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pageBreakBefore w:val="0"/>
        <w:widowControl w:val="0"/>
        <w:kinsoku/>
        <w:topLinePunct w:val="0"/>
        <w:bidi w:val="0"/>
        <w:spacing w:after="0" w:line="840" w:lineRule="exact"/>
        <w:jc w:val="center"/>
        <w:outlineLvl w:val="0"/>
        <w:rPr>
          <w:rFonts w:hint="default" w:ascii="Times New Roman" w:hAnsi="Times New Roman" w:eastAsia="宋体" w:cs="Times New Roman"/>
          <w:b/>
          <w:bCs/>
          <w:sz w:val="52"/>
          <w:highlight w:val="none"/>
        </w:rPr>
      </w:pPr>
    </w:p>
    <w:p>
      <w:pPr>
        <w:pStyle w:val="29"/>
        <w:pageBreakBefore w:val="0"/>
        <w:widowControl w:val="0"/>
        <w:kinsoku/>
        <w:topLinePunct w:val="0"/>
        <w:bidi w:val="0"/>
        <w:spacing w:after="0" w:line="840" w:lineRule="exact"/>
        <w:jc w:val="center"/>
        <w:outlineLvl w:val="0"/>
        <w:rPr>
          <w:rFonts w:hint="default" w:ascii="Times New Roman" w:hAnsi="Times New Roman" w:eastAsia="宋体" w:cs="Times New Roman"/>
          <w:b/>
          <w:bCs/>
          <w:sz w:val="52"/>
          <w:highlight w:val="none"/>
        </w:rPr>
      </w:pPr>
    </w:p>
    <w:p>
      <w:pPr>
        <w:pStyle w:val="29"/>
        <w:pageBreakBefore w:val="0"/>
        <w:widowControl w:val="0"/>
        <w:kinsoku/>
        <w:topLinePunct w:val="0"/>
        <w:bidi w:val="0"/>
        <w:spacing w:after="0" w:line="840" w:lineRule="exact"/>
        <w:jc w:val="center"/>
        <w:outlineLvl w:val="0"/>
        <w:rPr>
          <w:rFonts w:hint="default" w:ascii="Times New Roman" w:hAnsi="Times New Roman" w:eastAsia="宋体" w:cs="Times New Roman"/>
          <w:b/>
          <w:bCs/>
          <w:sz w:val="52"/>
          <w:highlight w:val="none"/>
        </w:rPr>
      </w:pPr>
      <w:r>
        <w:rPr>
          <w:rFonts w:hint="default" w:ascii="Times New Roman" w:hAnsi="Times New Roman" w:eastAsia="宋体" w:cs="Times New Roman"/>
          <w:b/>
          <w:bCs/>
          <w:sz w:val="52"/>
          <w:highlight w:val="none"/>
        </w:rPr>
        <w:t>义乌市公安局“雪亮工程”项目（一期）</w:t>
      </w:r>
    </w:p>
    <w:p>
      <w:pPr>
        <w:pStyle w:val="29"/>
        <w:pageBreakBefore w:val="0"/>
        <w:widowControl w:val="0"/>
        <w:kinsoku/>
        <w:topLinePunct w:val="0"/>
        <w:bidi w:val="0"/>
        <w:spacing w:after="0" w:line="840" w:lineRule="exact"/>
        <w:jc w:val="center"/>
        <w:outlineLvl w:val="0"/>
        <w:rPr>
          <w:rFonts w:hint="default" w:ascii="Times New Roman" w:hAnsi="Times New Roman" w:eastAsia="宋体" w:cs="Times New Roman"/>
          <w:b/>
          <w:bCs/>
          <w:sz w:val="52"/>
          <w:highlight w:val="none"/>
        </w:rPr>
      </w:pPr>
      <w:r>
        <w:rPr>
          <w:rFonts w:hint="default" w:ascii="Times New Roman" w:hAnsi="Times New Roman" w:eastAsia="宋体" w:cs="Times New Roman"/>
          <w:b/>
          <w:bCs/>
          <w:sz w:val="52"/>
          <w:highlight w:val="none"/>
        </w:rPr>
        <w:t>平台及实战应用系统项目</w:t>
      </w:r>
    </w:p>
    <w:p>
      <w:pPr>
        <w:pageBreakBefore w:val="0"/>
        <w:widowControl w:val="0"/>
        <w:kinsoku/>
        <w:overflowPunct/>
        <w:topLinePunct w:val="0"/>
        <w:bidi w:val="0"/>
        <w:spacing w:after="0" w:line="264" w:lineRule="auto"/>
        <w:jc w:val="center"/>
        <w:rPr>
          <w:rFonts w:hint="default" w:ascii="Times New Roman" w:hAnsi="Times New Roman" w:cs="Times New Roman"/>
          <w:b/>
          <w:sz w:val="48"/>
          <w:szCs w:val="48"/>
          <w:highlight w:val="none"/>
        </w:rPr>
      </w:pPr>
    </w:p>
    <w:p>
      <w:pPr>
        <w:pageBreakBefore w:val="0"/>
        <w:widowControl w:val="0"/>
        <w:kinsoku/>
        <w:overflowPunct/>
        <w:topLinePunct w:val="0"/>
        <w:bidi w:val="0"/>
        <w:spacing w:after="0" w:line="264" w:lineRule="auto"/>
        <w:jc w:val="center"/>
        <w:rPr>
          <w:rFonts w:hint="default" w:ascii="Times New Roman" w:hAnsi="Times New Roman" w:cs="Times New Roman"/>
          <w:b/>
          <w:sz w:val="48"/>
          <w:szCs w:val="48"/>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ageBreakBefore w:val="0"/>
        <w:widowControl w:val="0"/>
        <w:kinsoku/>
        <w:overflowPunct/>
        <w:topLinePunct w:val="0"/>
        <w:bidi w:val="0"/>
        <w:spacing w:after="0" w:line="264" w:lineRule="auto"/>
        <w:jc w:val="center"/>
        <w:rPr>
          <w:rFonts w:hint="default" w:ascii="Times New Roman" w:hAnsi="Times New Roman" w:cs="Times New Roman"/>
          <w:sz w:val="84"/>
          <w:szCs w:val="84"/>
          <w:highlight w:val="none"/>
        </w:rPr>
      </w:pPr>
      <w:r>
        <w:rPr>
          <w:rFonts w:hint="default" w:ascii="Times New Roman" w:hAnsi="Times New Roman" w:cs="Times New Roman"/>
          <w:sz w:val="84"/>
          <w:szCs w:val="84"/>
          <w:highlight w:val="none"/>
        </w:rPr>
        <w:t>招标文件</w:t>
      </w:r>
    </w:p>
    <w:p>
      <w:pPr>
        <w:pageBreakBefore w:val="0"/>
        <w:widowControl w:val="0"/>
        <w:kinsoku/>
        <w:overflowPunct/>
        <w:topLinePunct w:val="0"/>
        <w:bidi w:val="0"/>
        <w:spacing w:after="0" w:line="264" w:lineRule="auto"/>
        <w:jc w:val="center"/>
        <w:rPr>
          <w:rFonts w:hint="default" w:ascii="Times New Roman" w:hAnsi="Times New Roman" w:cs="Times New Roman"/>
          <w:sz w:val="72"/>
          <w:szCs w:val="72"/>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9"/>
        <w:pageBreakBefore w:val="0"/>
        <w:widowControl w:val="0"/>
        <w:kinsoku/>
        <w:overflowPunct/>
        <w:topLinePunct w:val="0"/>
        <w:bidi w:val="0"/>
        <w:snapToGrid w:val="0"/>
        <w:spacing w:after="0" w:line="264" w:lineRule="auto"/>
        <w:jc w:val="center"/>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采购编号：YWCG2020131GK</w:t>
      </w:r>
    </w:p>
    <w:p>
      <w:pPr>
        <w:pStyle w:val="29"/>
        <w:pageBreakBefore w:val="0"/>
        <w:widowControl w:val="0"/>
        <w:kinsoku/>
        <w:topLinePunct w:val="0"/>
        <w:bidi w:val="0"/>
        <w:snapToGrid w:val="0"/>
        <w:spacing w:before="120" w:after="120" w:line="360" w:lineRule="auto"/>
        <w:jc w:val="center"/>
        <w:rPr>
          <w:rFonts w:hint="default" w:ascii="Times New Roman" w:hAnsi="Times New Roman" w:eastAsia="宋体" w:cs="Times New Roman"/>
          <w:sz w:val="30"/>
          <w:szCs w:val="72"/>
          <w:highlight w:val="none"/>
        </w:rPr>
      </w:pPr>
    </w:p>
    <w:p>
      <w:pPr>
        <w:pStyle w:val="29"/>
        <w:pageBreakBefore w:val="0"/>
        <w:widowControl w:val="0"/>
        <w:kinsoku/>
        <w:topLinePunct w:val="0"/>
        <w:bidi w:val="0"/>
        <w:snapToGrid w:val="0"/>
        <w:spacing w:before="120" w:after="120" w:line="360" w:lineRule="auto"/>
        <w:jc w:val="center"/>
        <w:rPr>
          <w:rFonts w:hint="default" w:ascii="Times New Roman" w:hAnsi="Times New Roman" w:eastAsia="宋体" w:cs="Times New Roman"/>
          <w:sz w:val="30"/>
          <w:szCs w:val="72"/>
          <w:highlight w:val="none"/>
        </w:rPr>
      </w:pPr>
    </w:p>
    <w:p>
      <w:pPr>
        <w:pStyle w:val="29"/>
        <w:pageBreakBefore w:val="0"/>
        <w:widowControl w:val="0"/>
        <w:kinsoku/>
        <w:topLinePunct w:val="0"/>
        <w:bidi w:val="0"/>
        <w:snapToGrid w:val="0"/>
        <w:spacing w:before="120" w:after="120" w:line="360" w:lineRule="auto"/>
        <w:jc w:val="center"/>
        <w:rPr>
          <w:rFonts w:hint="default" w:ascii="Times New Roman" w:hAnsi="Times New Roman" w:eastAsia="宋体" w:cs="Times New Roman"/>
          <w:sz w:val="30"/>
          <w:szCs w:val="72"/>
          <w:highlight w:val="none"/>
        </w:rPr>
      </w:pPr>
    </w:p>
    <w:p>
      <w:pPr>
        <w:pStyle w:val="29"/>
        <w:pageBreakBefore w:val="0"/>
        <w:widowControl w:val="0"/>
        <w:kinsoku/>
        <w:topLinePunct w:val="0"/>
        <w:bidi w:val="0"/>
        <w:spacing w:after="0" w:line="240" w:lineRule="auto"/>
        <w:jc w:val="center"/>
        <w:rPr>
          <w:rFonts w:hint="default" w:ascii="Times New Roman" w:hAnsi="Times New Roman" w:eastAsia="宋体" w:cs="Times New Roman"/>
          <w:b/>
          <w:bCs/>
          <w:w w:val="95"/>
          <w:sz w:val="32"/>
          <w:szCs w:val="32"/>
          <w:highlight w:val="none"/>
        </w:rPr>
      </w:pPr>
      <w:r>
        <w:rPr>
          <w:rFonts w:hint="default" w:ascii="Times New Roman" w:hAnsi="Times New Roman" w:eastAsia="宋体" w:cs="Times New Roman"/>
          <w:b/>
          <w:bCs/>
          <w:w w:val="95"/>
          <w:sz w:val="32"/>
          <w:szCs w:val="32"/>
          <w:highlight w:val="none"/>
        </w:rPr>
        <w:t>采购人：</w:t>
      </w:r>
      <w:r>
        <w:rPr>
          <w:rFonts w:hint="default" w:ascii="Times New Roman" w:hAnsi="Times New Roman" w:eastAsia="宋体" w:cs="Times New Roman"/>
          <w:b/>
          <w:sz w:val="32"/>
          <w:szCs w:val="32"/>
          <w:highlight w:val="none"/>
          <w:u w:val="single"/>
        </w:rPr>
        <w:t>义乌市公安局</w:t>
      </w:r>
      <w:r>
        <w:rPr>
          <w:rFonts w:hint="default" w:ascii="Times New Roman" w:hAnsi="Times New Roman" w:eastAsia="宋体" w:cs="Times New Roman"/>
          <w:b/>
          <w:bCs/>
          <w:w w:val="95"/>
          <w:sz w:val="32"/>
          <w:szCs w:val="32"/>
          <w:highlight w:val="none"/>
        </w:rPr>
        <w:t>（盖章）</w:t>
      </w:r>
    </w:p>
    <w:p>
      <w:pPr>
        <w:pStyle w:val="29"/>
        <w:pageBreakBefore w:val="0"/>
        <w:widowControl w:val="0"/>
        <w:kinsoku/>
        <w:topLinePunct w:val="0"/>
        <w:bidi w:val="0"/>
        <w:spacing w:after="0" w:line="240" w:lineRule="auto"/>
        <w:jc w:val="center"/>
        <w:rPr>
          <w:rFonts w:hint="default" w:ascii="Times New Roman" w:hAnsi="Times New Roman" w:eastAsia="宋体" w:cs="Times New Roman"/>
          <w:b/>
          <w:bCs/>
          <w:w w:val="95"/>
          <w:sz w:val="32"/>
          <w:szCs w:val="32"/>
          <w:highlight w:val="none"/>
        </w:rPr>
      </w:pPr>
      <w:r>
        <w:rPr>
          <w:rFonts w:hint="default" w:ascii="Times New Roman" w:hAnsi="Times New Roman" w:eastAsia="宋体" w:cs="Times New Roman"/>
          <w:b/>
          <w:bCs/>
          <w:w w:val="95"/>
          <w:sz w:val="32"/>
          <w:szCs w:val="32"/>
          <w:highlight w:val="none"/>
        </w:rPr>
        <w:t>采购代理机构：</w:t>
      </w:r>
      <w:r>
        <w:rPr>
          <w:rFonts w:hint="default" w:ascii="Times New Roman" w:hAnsi="Times New Roman" w:eastAsia="宋体" w:cs="Times New Roman"/>
          <w:b/>
          <w:sz w:val="32"/>
          <w:szCs w:val="32"/>
          <w:highlight w:val="none"/>
          <w:u w:val="single"/>
        </w:rPr>
        <w:t>义乌市政府采购中心</w:t>
      </w:r>
      <w:r>
        <w:rPr>
          <w:rFonts w:hint="default" w:ascii="Times New Roman" w:hAnsi="Times New Roman" w:eastAsia="宋体" w:cs="Times New Roman"/>
          <w:b/>
          <w:bCs/>
          <w:w w:val="95"/>
          <w:sz w:val="32"/>
          <w:szCs w:val="32"/>
          <w:highlight w:val="none"/>
        </w:rPr>
        <w:t>（盖章）</w:t>
      </w:r>
    </w:p>
    <w:p>
      <w:pPr>
        <w:pStyle w:val="29"/>
        <w:pageBreakBefore w:val="0"/>
        <w:widowControl w:val="0"/>
        <w:kinsoku/>
        <w:topLinePunct w:val="0"/>
        <w:bidi w:val="0"/>
        <w:spacing w:after="0" w:line="240" w:lineRule="auto"/>
        <w:ind w:firstLine="2747" w:firstLineChars="900"/>
        <w:jc w:val="both"/>
        <w:rPr>
          <w:rFonts w:hint="default" w:ascii="Times New Roman" w:hAnsi="Times New Roman" w:eastAsia="宋体" w:cs="Times New Roman"/>
          <w:b/>
          <w:bCs/>
          <w:w w:val="95"/>
          <w:sz w:val="32"/>
          <w:szCs w:val="32"/>
          <w:highlight w:val="none"/>
        </w:rPr>
      </w:pPr>
      <w:r>
        <w:rPr>
          <w:rFonts w:hint="default" w:ascii="Times New Roman" w:hAnsi="Times New Roman" w:eastAsia="宋体" w:cs="Times New Roman"/>
          <w:b/>
          <w:bCs/>
          <w:w w:val="95"/>
          <w:sz w:val="32"/>
          <w:szCs w:val="32"/>
          <w:highlight w:val="none"/>
        </w:rPr>
        <w:t>日　期：</w:t>
      </w:r>
      <w:r>
        <w:rPr>
          <w:rFonts w:hint="default" w:ascii="Times New Roman" w:hAnsi="Times New Roman" w:eastAsia="宋体" w:cs="Times New Roman"/>
          <w:b/>
          <w:color w:val="FF0000"/>
          <w:sz w:val="32"/>
          <w:szCs w:val="32"/>
          <w:highlight w:val="none"/>
          <w:u w:val="single"/>
        </w:rPr>
        <w:t>202</w:t>
      </w:r>
      <w:r>
        <w:rPr>
          <w:rFonts w:hint="default" w:ascii="Times New Roman" w:hAnsi="Times New Roman" w:eastAsia="宋体" w:cs="Times New Roman"/>
          <w:b/>
          <w:color w:val="FF0000"/>
          <w:sz w:val="32"/>
          <w:szCs w:val="32"/>
          <w:highlight w:val="none"/>
          <w:u w:val="single"/>
          <w:lang w:val="en-US" w:eastAsia="zh-CN"/>
        </w:rPr>
        <w:t>1</w:t>
      </w:r>
      <w:r>
        <w:rPr>
          <w:rFonts w:hint="default" w:ascii="Times New Roman" w:hAnsi="Times New Roman" w:eastAsia="宋体" w:cs="Times New Roman"/>
          <w:b/>
          <w:color w:val="FF0000"/>
          <w:sz w:val="32"/>
          <w:szCs w:val="32"/>
          <w:highlight w:val="none"/>
          <w:u w:val="single"/>
        </w:rPr>
        <w:t>年</w:t>
      </w:r>
      <w:r>
        <w:rPr>
          <w:rFonts w:hint="default" w:ascii="Times New Roman" w:hAnsi="Times New Roman" w:cs="Times New Roman"/>
          <w:b/>
          <w:color w:val="FF0000"/>
          <w:sz w:val="32"/>
          <w:szCs w:val="32"/>
          <w:highlight w:val="none"/>
          <w:u w:val="single"/>
          <w:lang w:val="en-US" w:eastAsia="zh-CN"/>
        </w:rPr>
        <w:t>2</w:t>
      </w:r>
      <w:r>
        <w:rPr>
          <w:rFonts w:hint="default" w:ascii="Times New Roman" w:hAnsi="Times New Roman" w:eastAsia="宋体" w:cs="Times New Roman"/>
          <w:b/>
          <w:color w:val="FF0000"/>
          <w:sz w:val="32"/>
          <w:szCs w:val="32"/>
          <w:highlight w:val="none"/>
          <w:u w:val="single"/>
        </w:rPr>
        <w:t>月</w:t>
      </w:r>
      <w:r>
        <w:rPr>
          <w:rFonts w:hint="default" w:ascii="Times New Roman" w:hAnsi="Times New Roman" w:cs="Times New Roman"/>
          <w:b/>
          <w:color w:val="FF0000"/>
          <w:sz w:val="32"/>
          <w:szCs w:val="32"/>
          <w:highlight w:val="none"/>
          <w:u w:val="single"/>
          <w:lang w:val="en-US" w:eastAsia="zh-CN"/>
        </w:rPr>
        <w:t>24</w:t>
      </w:r>
      <w:r>
        <w:rPr>
          <w:rFonts w:hint="default" w:ascii="Times New Roman" w:hAnsi="Times New Roman" w:eastAsia="宋体" w:cs="Times New Roman"/>
          <w:b/>
          <w:color w:val="FF0000"/>
          <w:sz w:val="32"/>
          <w:szCs w:val="32"/>
          <w:highlight w:val="none"/>
          <w:u w:val="single"/>
        </w:rPr>
        <w:t>日</w:t>
      </w:r>
    </w:p>
    <w:p>
      <w:pPr>
        <w:pStyle w:val="29"/>
        <w:pageBreakBefore w:val="0"/>
        <w:widowControl w:val="0"/>
        <w:kinsoku/>
        <w:overflowPunct/>
        <w:topLinePunct w:val="0"/>
        <w:bidi w:val="0"/>
        <w:spacing w:after="0" w:line="264" w:lineRule="auto"/>
        <w:ind w:firstLine="420" w:firstLineChars="200"/>
        <w:jc w:val="center"/>
        <w:rPr>
          <w:rFonts w:hint="default" w:ascii="Times New Roman" w:hAnsi="Times New Roman" w:cs="Times New Roman"/>
          <w:b/>
          <w:sz w:val="44"/>
          <w:szCs w:val="44"/>
          <w:highlight w:val="none"/>
        </w:rPr>
      </w:pPr>
      <w:r>
        <w:rPr>
          <w:rFonts w:hint="default" w:ascii="Times New Roman" w:hAnsi="Times New Roman" w:cs="Times New Roman"/>
          <w:highlight w:val="none"/>
        </w:rPr>
        <w:br w:type="page"/>
      </w:r>
      <w:r>
        <w:rPr>
          <w:rFonts w:hint="default" w:ascii="Times New Roman" w:hAnsi="Times New Roman" w:cs="Times New Roman"/>
          <w:b/>
          <w:sz w:val="44"/>
          <w:szCs w:val="44"/>
          <w:highlight w:val="none"/>
        </w:rPr>
        <w:t>招标文件目录</w:t>
      </w:r>
    </w:p>
    <w:p>
      <w:pPr>
        <w:pStyle w:val="37"/>
        <w:pageBreakBefore w:val="0"/>
        <w:widowControl w:val="0"/>
        <w:tabs>
          <w:tab w:val="right" w:leader="dot" w:pos="9638"/>
          <w:tab w:val="clear" w:pos="9344"/>
        </w:tabs>
        <w:kinsoku/>
        <w:topLinePunct w:val="0"/>
        <w:bidi w:val="0"/>
        <w:spacing w:after="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TOC \o "1-3" \h \u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_Toc711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第一章 采购公告</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_Toc711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2</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7"/>
        <w:pageBreakBefore w:val="0"/>
        <w:widowControl w:val="0"/>
        <w:tabs>
          <w:tab w:val="right" w:leader="dot" w:pos="9638"/>
          <w:tab w:val="clear" w:pos="9344"/>
        </w:tabs>
        <w:kinsoku/>
        <w:topLinePunct w:val="0"/>
        <w:bidi w:val="0"/>
        <w:spacing w:after="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_Toc30078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第二章 投标须知和投标须知前附表</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_Toc30078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5</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7"/>
        <w:pageBreakBefore w:val="0"/>
        <w:widowControl w:val="0"/>
        <w:tabs>
          <w:tab w:val="right" w:leader="dot" w:pos="9638"/>
          <w:tab w:val="clear" w:pos="9344"/>
        </w:tabs>
        <w:kinsoku/>
        <w:topLinePunct w:val="0"/>
        <w:bidi w:val="0"/>
        <w:spacing w:after="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_Toc21607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第三章 招标项目要求</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_Toc21607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13</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7"/>
        <w:pageBreakBefore w:val="0"/>
        <w:widowControl w:val="0"/>
        <w:tabs>
          <w:tab w:val="right" w:leader="dot" w:pos="9638"/>
          <w:tab w:val="clear" w:pos="9344"/>
        </w:tabs>
        <w:kinsoku/>
        <w:topLinePunct w:val="0"/>
        <w:bidi w:val="0"/>
        <w:spacing w:after="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_Toc26420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第四章 开标、评标和定标须知</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_Toc26420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49</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7"/>
        <w:pageBreakBefore w:val="0"/>
        <w:widowControl w:val="0"/>
        <w:tabs>
          <w:tab w:val="right" w:leader="dot" w:pos="9638"/>
          <w:tab w:val="clear" w:pos="9344"/>
        </w:tabs>
        <w:kinsoku/>
        <w:topLinePunct w:val="0"/>
        <w:bidi w:val="0"/>
        <w:spacing w:after="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_Toc27299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第五章 投标文件的有效性</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_Toc27299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53</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7"/>
        <w:pageBreakBefore w:val="0"/>
        <w:widowControl w:val="0"/>
        <w:tabs>
          <w:tab w:val="right" w:leader="dot" w:pos="9638"/>
          <w:tab w:val="clear" w:pos="9344"/>
        </w:tabs>
        <w:kinsoku/>
        <w:topLinePunct w:val="0"/>
        <w:bidi w:val="0"/>
        <w:spacing w:after="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_Toc16940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第六章 评标办法</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_Toc16940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55</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7"/>
        <w:pageBreakBefore w:val="0"/>
        <w:widowControl w:val="0"/>
        <w:tabs>
          <w:tab w:val="right" w:leader="dot" w:pos="9638"/>
          <w:tab w:val="clear" w:pos="9344"/>
        </w:tabs>
        <w:kinsoku/>
        <w:topLinePunct w:val="0"/>
        <w:bidi w:val="0"/>
        <w:spacing w:after="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_Toc648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第七章 义乌市政府采购合同（样本）</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_Toc648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58</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7"/>
        <w:pageBreakBefore w:val="0"/>
        <w:widowControl w:val="0"/>
        <w:tabs>
          <w:tab w:val="right" w:leader="dot" w:pos="9638"/>
          <w:tab w:val="clear" w:pos="9344"/>
        </w:tabs>
        <w:kinsoku/>
        <w:topLinePunct w:val="0"/>
        <w:bidi w:val="0"/>
        <w:spacing w:after="0"/>
        <w:rPr>
          <w:rFonts w:hint="default" w:ascii="Times New Roman" w:hAnsi="Times New Roman" w:eastAsia="宋体" w:cs="Times New Roman"/>
          <w:highlight w:val="none"/>
        </w:rPr>
      </w:pP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HYPERLINK \l _Toc5562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第八章 投标文件部分格式</w:t>
      </w:r>
      <w:r>
        <w:rPr>
          <w:rFonts w:hint="default" w:ascii="Times New Roman" w:hAnsi="Times New Roman" w:eastAsia="宋体" w:cs="Times New Roman"/>
          <w:highlight w:val="none"/>
        </w:rPr>
        <w:tab/>
      </w:r>
      <w:r>
        <w:rPr>
          <w:rFonts w:hint="default" w:ascii="Times New Roman" w:hAnsi="Times New Roman" w:eastAsia="宋体" w:cs="Times New Roman"/>
          <w:highlight w:val="none"/>
        </w:rPr>
        <w:fldChar w:fldCharType="begin"/>
      </w:r>
      <w:r>
        <w:rPr>
          <w:rFonts w:hint="default" w:ascii="Times New Roman" w:hAnsi="Times New Roman" w:eastAsia="宋体" w:cs="Times New Roman"/>
          <w:highlight w:val="none"/>
        </w:rPr>
        <w:instrText xml:space="preserve"> PAGEREF _Toc5562 </w:instrText>
      </w:r>
      <w:r>
        <w:rPr>
          <w:rFonts w:hint="default" w:ascii="Times New Roman" w:hAnsi="Times New Roman" w:eastAsia="宋体" w:cs="Times New Roman"/>
          <w:highlight w:val="none"/>
        </w:rPr>
        <w:fldChar w:fldCharType="separate"/>
      </w:r>
      <w:r>
        <w:rPr>
          <w:rFonts w:hint="default" w:ascii="Times New Roman" w:hAnsi="Times New Roman" w:eastAsia="宋体" w:cs="Times New Roman"/>
          <w:highlight w:val="none"/>
        </w:rPr>
        <w:t>61</w:t>
      </w:r>
      <w:r>
        <w:rPr>
          <w:rFonts w:hint="default" w:ascii="Times New Roman" w:hAnsi="Times New Roman" w:eastAsia="宋体" w:cs="Times New Roman"/>
          <w:highlight w:val="none"/>
        </w:rPr>
        <w:fldChar w:fldCharType="end"/>
      </w:r>
      <w:r>
        <w:rPr>
          <w:rFonts w:hint="default" w:ascii="Times New Roman" w:hAnsi="Times New Roman" w:eastAsia="宋体" w:cs="Times New Roman"/>
          <w:highlight w:val="none"/>
        </w:rPr>
        <w:fldChar w:fldCharType="end"/>
      </w:r>
    </w:p>
    <w:p>
      <w:pPr>
        <w:pStyle w:val="37"/>
        <w:pageBreakBefore w:val="0"/>
        <w:widowControl w:val="0"/>
        <w:tabs>
          <w:tab w:val="right" w:leader="dot" w:pos="9638"/>
          <w:tab w:val="clear" w:pos="9344"/>
        </w:tabs>
        <w:kinsoku/>
        <w:topLinePunct w:val="0"/>
        <w:bidi w:val="0"/>
        <w:spacing w:after="0"/>
        <w:rPr>
          <w:rFonts w:hint="default" w:ascii="Times New Roman" w:hAnsi="Times New Roman" w:cs="Times New Roman"/>
          <w:highlight w:val="none"/>
        </w:rPr>
      </w:pPr>
      <w:r>
        <w:rPr>
          <w:rFonts w:hint="default" w:ascii="Times New Roman" w:hAnsi="Times New Roman" w:eastAsia="宋体" w:cs="Times New Roman"/>
          <w:highlight w:val="none"/>
        </w:rPr>
        <w:fldChar w:fldCharType="end"/>
      </w: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Style w:val="4"/>
        <w:pageBreakBefore w:val="0"/>
        <w:widowControl w:val="0"/>
        <w:kinsoku/>
        <w:overflowPunct/>
        <w:topLinePunct w:val="0"/>
        <w:bidi w:val="0"/>
        <w:spacing w:before="0" w:after="0" w:line="264" w:lineRule="auto"/>
        <w:jc w:val="center"/>
        <w:rPr>
          <w:rFonts w:hint="default" w:ascii="Times New Roman" w:hAnsi="Times New Roman" w:cs="Times New Roman"/>
          <w:sz w:val="36"/>
          <w:highlight w:val="none"/>
        </w:rPr>
      </w:pPr>
      <w:bookmarkStart w:id="0" w:name="_Toc406413925"/>
      <w:bookmarkStart w:id="1" w:name="_Toc711"/>
      <w:r>
        <w:rPr>
          <w:rFonts w:hint="default" w:ascii="Times New Roman" w:hAnsi="Times New Roman" w:cs="Times New Roman"/>
          <w:sz w:val="36"/>
          <w:highlight w:val="none"/>
        </w:rPr>
        <w:t>第一章 采购公告</w:t>
      </w:r>
      <w:bookmarkEnd w:id="0"/>
      <w:bookmarkEnd w:id="1"/>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根据《中华人民共和国政府采购法》等有关规定，义乌市政府采购中心受委托，现就</w:t>
      </w:r>
      <w:r>
        <w:rPr>
          <w:rFonts w:hint="default" w:ascii="Times New Roman" w:hAnsi="Times New Roman" w:cs="Times New Roman"/>
          <w:color w:val="FF0000"/>
          <w:szCs w:val="21"/>
          <w:highlight w:val="none"/>
        </w:rPr>
        <w:t>义乌市公安局“雪亮工程”项目（一期）平台及实战应用系统项目</w:t>
      </w:r>
      <w:r>
        <w:rPr>
          <w:rFonts w:hint="default" w:ascii="Times New Roman" w:hAnsi="Times New Roman" w:cs="Times New Roman"/>
          <w:szCs w:val="21"/>
          <w:highlight w:val="none"/>
        </w:rPr>
        <w:t>进行公开招标，欢迎国内合格的供应商参加投标。</w:t>
      </w:r>
    </w:p>
    <w:p>
      <w:pPr>
        <w:pStyle w:val="29"/>
        <w:pageBreakBefore w:val="0"/>
        <w:widowControl w:val="0"/>
        <w:kinsoku/>
        <w:overflowPunct/>
        <w:topLinePunct w:val="0"/>
        <w:bidi w:val="0"/>
        <w:adjustRightInd w:val="0"/>
        <w:snapToGrid w:val="0"/>
        <w:spacing w:after="0" w:line="264" w:lineRule="auto"/>
        <w:ind w:firstLine="472" w:firstLineChars="196"/>
        <w:rPr>
          <w:rFonts w:hint="default" w:ascii="Times New Roman" w:hAnsi="Times New Roman" w:cs="Times New Roman"/>
          <w:b/>
          <w:sz w:val="24"/>
          <w:szCs w:val="24"/>
          <w:highlight w:val="none"/>
        </w:rPr>
      </w:pPr>
      <w:bookmarkStart w:id="2" w:name="_Toc30711_WPSOffice_Level2"/>
      <w:bookmarkStart w:id="3" w:name="_Toc19544_WPSOffice_Level2"/>
      <w:r>
        <w:rPr>
          <w:rFonts w:hint="default" w:ascii="Times New Roman" w:hAnsi="Times New Roman" w:cs="Times New Roman"/>
          <w:b/>
          <w:sz w:val="24"/>
          <w:szCs w:val="24"/>
          <w:highlight w:val="none"/>
        </w:rPr>
        <w:t>一、项目基本情况</w:t>
      </w:r>
      <w:bookmarkEnd w:id="2"/>
      <w:bookmarkEnd w:id="3"/>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1.采购编号：</w:t>
      </w:r>
      <w:r>
        <w:rPr>
          <w:rFonts w:hint="default" w:ascii="Times New Roman" w:hAnsi="Times New Roman" w:cs="Times New Roman"/>
          <w:color w:val="FF0000"/>
          <w:szCs w:val="21"/>
          <w:highlight w:val="none"/>
        </w:rPr>
        <w:t>YWCG2020131GK</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2.项目名称：</w:t>
      </w:r>
      <w:r>
        <w:rPr>
          <w:rFonts w:hint="default" w:ascii="Times New Roman" w:hAnsi="Times New Roman" w:cs="Times New Roman"/>
          <w:color w:val="FF0000"/>
          <w:szCs w:val="21"/>
          <w:highlight w:val="none"/>
        </w:rPr>
        <w:t>义乌市公安局“雪亮工程”项目（一期）平台及实战应用系统项目</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3.项目预算：</w:t>
      </w:r>
      <w:r>
        <w:rPr>
          <w:rFonts w:hint="default" w:ascii="Times New Roman" w:hAnsi="Times New Roman" w:cs="Times New Roman"/>
          <w:color w:val="FF0000"/>
          <w:szCs w:val="21"/>
          <w:highlight w:val="none"/>
          <w:lang w:val="en-US" w:eastAsia="zh-CN"/>
        </w:rPr>
        <w:t>2832</w:t>
      </w:r>
      <w:r>
        <w:rPr>
          <w:rFonts w:hint="default" w:ascii="Times New Roman" w:hAnsi="Times New Roman" w:eastAsia="宋体" w:cs="Times New Roman"/>
          <w:color w:val="FF0000"/>
          <w:szCs w:val="21"/>
          <w:highlight w:val="none"/>
        </w:rPr>
        <w:t>万元</w:t>
      </w:r>
      <w:r>
        <w:rPr>
          <w:rFonts w:hint="default" w:ascii="Times New Roman" w:hAnsi="Times New Roman" w:eastAsia="宋体" w:cs="Times New Roman"/>
          <w:color w:val="FF0000"/>
          <w:szCs w:val="21"/>
          <w:highlight w:val="none"/>
          <w:lang w:val="en-US" w:eastAsia="zh-CN"/>
        </w:rPr>
        <w:t xml:space="preserve">  </w:t>
      </w:r>
      <w:r>
        <w:rPr>
          <w:rFonts w:hint="default" w:ascii="Times New Roman" w:hAnsi="Times New Roman" w:cs="Times New Roman"/>
          <w:szCs w:val="21"/>
          <w:highlight w:val="none"/>
        </w:rPr>
        <w:t>最高限价：</w:t>
      </w:r>
      <w:r>
        <w:rPr>
          <w:rFonts w:hint="default" w:ascii="Times New Roman" w:hAnsi="Times New Roman" w:cs="Times New Roman"/>
          <w:color w:val="FF0000"/>
          <w:highlight w:val="none"/>
        </w:rPr>
        <w:t>2567.6万元</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4.采购需求</w:t>
      </w:r>
    </w:p>
    <w:tbl>
      <w:tblPr>
        <w:tblStyle w:val="56"/>
        <w:tblW w:w="96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594"/>
        <w:gridCol w:w="795"/>
        <w:gridCol w:w="735"/>
        <w:gridCol w:w="1215"/>
        <w:gridCol w:w="139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697"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序号</w:t>
            </w:r>
          </w:p>
        </w:tc>
        <w:tc>
          <w:tcPr>
            <w:tcW w:w="2594"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项目内容</w:t>
            </w:r>
          </w:p>
        </w:tc>
        <w:tc>
          <w:tcPr>
            <w:tcW w:w="79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数量</w:t>
            </w:r>
          </w:p>
        </w:tc>
        <w:tc>
          <w:tcPr>
            <w:tcW w:w="73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单位</w:t>
            </w:r>
          </w:p>
        </w:tc>
        <w:tc>
          <w:tcPr>
            <w:tcW w:w="121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预算金额</w:t>
            </w:r>
          </w:p>
        </w:tc>
        <w:tc>
          <w:tcPr>
            <w:tcW w:w="139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最高限价</w:t>
            </w:r>
          </w:p>
        </w:tc>
        <w:tc>
          <w:tcPr>
            <w:tcW w:w="2180"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97"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2594"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义乌市公安局“雪亮工程”项目（一期）平台及实战应用系统项目</w:t>
            </w:r>
          </w:p>
        </w:tc>
        <w:tc>
          <w:tcPr>
            <w:tcW w:w="79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73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批</w:t>
            </w:r>
          </w:p>
        </w:tc>
        <w:tc>
          <w:tcPr>
            <w:tcW w:w="121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color w:val="FF0000"/>
                <w:szCs w:val="21"/>
                <w:highlight w:val="none"/>
                <w:lang w:val="en-US" w:eastAsia="zh-CN"/>
              </w:rPr>
              <w:t>2832</w:t>
            </w:r>
            <w:r>
              <w:rPr>
                <w:rFonts w:hint="default" w:ascii="Times New Roman" w:hAnsi="Times New Roman" w:eastAsia="宋体" w:cs="Times New Roman"/>
                <w:color w:val="FF0000"/>
                <w:szCs w:val="21"/>
                <w:highlight w:val="none"/>
              </w:rPr>
              <w:t>万元</w:t>
            </w:r>
          </w:p>
        </w:tc>
        <w:tc>
          <w:tcPr>
            <w:tcW w:w="139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color w:val="FF0000"/>
                <w:highlight w:val="none"/>
              </w:rPr>
              <w:t>2567.6万元</w:t>
            </w:r>
          </w:p>
        </w:tc>
        <w:tc>
          <w:tcPr>
            <w:tcW w:w="2180" w:type="dxa"/>
            <w:vAlign w:val="center"/>
          </w:tcPr>
          <w:p>
            <w:pPr>
              <w:pageBreakBefore w:val="0"/>
              <w:widowControl w:val="0"/>
              <w:kinsoku/>
              <w:overflowPunct/>
              <w:topLinePunct w:val="0"/>
              <w:bidi w:val="0"/>
              <w:snapToGrid w:val="0"/>
              <w:spacing w:after="0" w:line="264" w:lineRule="auto"/>
              <w:jc w:val="both"/>
              <w:rPr>
                <w:rFonts w:hint="default" w:ascii="Times New Roman" w:hAnsi="Times New Roman" w:cs="Times New Roman"/>
                <w:color w:val="FF0000"/>
                <w:highlight w:val="none"/>
              </w:rPr>
            </w:pPr>
            <w:r>
              <w:rPr>
                <w:rFonts w:hint="default" w:ascii="Times New Roman" w:hAnsi="Times New Roman" w:eastAsia="宋体" w:cs="Times New Roman"/>
                <w:highlight w:val="none"/>
                <w:lang w:val="en-US" w:eastAsia="zh-CN"/>
              </w:rPr>
              <w:t>采购标的属于“</w:t>
            </w:r>
            <w:r>
              <w:rPr>
                <w:rFonts w:hint="default" w:ascii="Times New Roman" w:hAnsi="Times New Roman" w:eastAsia="宋体" w:cs="Times New Roman"/>
                <w:i w:val="0"/>
                <w:caps w:val="0"/>
                <w:color w:val="000000"/>
                <w:spacing w:val="0"/>
                <w:sz w:val="24"/>
                <w:szCs w:val="24"/>
                <w:highlight w:val="none"/>
                <w:shd w:val="clear" w:fill="FFFFFF"/>
              </w:rPr>
              <w:t>其他未列明行业</w:t>
            </w:r>
            <w:r>
              <w:rPr>
                <w:rFonts w:hint="default" w:ascii="Times New Roman" w:hAnsi="Times New Roman" w:eastAsia="宋体" w:cs="Times New Roman"/>
                <w:highlight w:val="none"/>
                <w:lang w:val="en-US" w:eastAsia="zh-CN"/>
              </w:rPr>
              <w:t>”</w:t>
            </w:r>
          </w:p>
        </w:tc>
      </w:tr>
    </w:tbl>
    <w:p>
      <w:pPr>
        <w:pStyle w:val="29"/>
        <w:pageBreakBefore w:val="0"/>
        <w:widowControl w:val="0"/>
        <w:kinsoku/>
        <w:overflowPunct/>
        <w:topLinePunct w:val="0"/>
        <w:bidi w:val="0"/>
        <w:adjustRightInd w:val="0"/>
        <w:snapToGrid w:val="0"/>
        <w:spacing w:after="0" w:line="264" w:lineRule="auto"/>
        <w:ind w:firstLine="470" w:firstLineChars="196"/>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5.合同履约期限：</w:t>
      </w:r>
      <w:r>
        <w:rPr>
          <w:rFonts w:hint="eastAsia" w:ascii="Times New Roman" w:hAnsi="Times New Roman" w:cs="Times New Roman"/>
          <w:kern w:val="0"/>
          <w:sz w:val="24"/>
          <w:szCs w:val="24"/>
          <w:highlight w:val="none"/>
          <w:lang w:eastAsia="zh-CN"/>
        </w:rPr>
        <w:t>项目</w:t>
      </w:r>
      <w:r>
        <w:rPr>
          <w:rFonts w:hint="default" w:ascii="Times New Roman" w:hAnsi="Times New Roman" w:cs="Times New Roman"/>
          <w:kern w:val="0"/>
          <w:sz w:val="24"/>
          <w:szCs w:val="24"/>
          <w:highlight w:val="none"/>
        </w:rPr>
        <w:t>建设期7个月。</w:t>
      </w:r>
    </w:p>
    <w:p>
      <w:pPr>
        <w:pStyle w:val="29"/>
        <w:pageBreakBefore w:val="0"/>
        <w:widowControl w:val="0"/>
        <w:kinsoku/>
        <w:overflowPunct/>
        <w:topLinePunct w:val="0"/>
        <w:bidi w:val="0"/>
        <w:adjustRightInd w:val="0"/>
        <w:snapToGrid w:val="0"/>
        <w:spacing w:after="0" w:line="264" w:lineRule="auto"/>
        <w:ind w:firstLine="472" w:firstLineChars="196"/>
        <w:rPr>
          <w:rFonts w:hint="default" w:ascii="Times New Roman" w:hAnsi="Times New Roman" w:cs="Times New Roman"/>
          <w:b/>
          <w:sz w:val="24"/>
          <w:szCs w:val="24"/>
          <w:highlight w:val="none"/>
        </w:rPr>
      </w:pPr>
      <w:bookmarkStart w:id="4" w:name="_Toc20433_WPSOffice_Level2"/>
      <w:bookmarkStart w:id="5" w:name="_Toc17371_WPSOffice_Level2"/>
      <w:r>
        <w:rPr>
          <w:rFonts w:hint="default" w:ascii="Times New Roman" w:hAnsi="Times New Roman" w:cs="Times New Roman"/>
          <w:b/>
          <w:sz w:val="24"/>
          <w:szCs w:val="24"/>
          <w:highlight w:val="none"/>
        </w:rPr>
        <w:t>二、投标人的资格要求，须同时满足以下条件：</w:t>
      </w:r>
      <w:bookmarkEnd w:id="4"/>
      <w:bookmarkEnd w:id="5"/>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1.符合《中华人民共和国政府采购法》第二十二条供应商应当具备的条件或符合浙财采监【2013】24号《关于规范政府采购供应商资格设定及资格审查的通知》第六条规定的供应商。</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2.供应商无以下不良行为：开标当日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3.供应商自2018年1月1日起到中标公告期结束前无行贿犯罪记录［评审结束后，发放中标通知书前由采购人通过中国裁判文书网（http://wenshu.court.gov.cn/）按照采购文件约定对拟中标单位及其拟派项目负责人的行贿犯罪记录进行查询，查询结果以网站页面显示内容为准］。</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4.根据《关于在全市公共资源交易活动中应用信用报告的通知》（义行服管〔2017〕17号）的规定，综合信用报告评级不属于D类或E类的（无信用评价供应商不受此项条件限制，查询结果以开标当日网站页面显示内容为准）。</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5.</w:t>
      </w:r>
      <w:r>
        <w:rPr>
          <w:rFonts w:hint="default" w:ascii="Times New Roman" w:hAnsi="Times New Roman" w:cs="Times New Roman"/>
          <w:highlight w:val="none"/>
        </w:rPr>
        <w:t>单位负责人为同一人或者存在直接控股、管理关系的不同供应商，不得参加同一合同项下（同一标项）的政府采购活动。</w:t>
      </w:r>
    </w:p>
    <w:p>
      <w:pPr>
        <w:pageBreakBefore w:val="0"/>
        <w:widowControl w:val="0"/>
        <w:tabs>
          <w:tab w:val="left" w:pos="180"/>
          <w:tab w:val="left" w:pos="360"/>
          <w:tab w:val="left" w:pos="540"/>
          <w:tab w:val="left" w:pos="8280"/>
        </w:tabs>
        <w:kinsoku/>
        <w:overflowPunct/>
        <w:topLinePunct w:val="0"/>
        <w:autoSpaceDE w:val="0"/>
        <w:autoSpaceDN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szCs w:val="21"/>
          <w:highlight w:val="none"/>
        </w:rPr>
        <w:t>6.</w:t>
      </w:r>
      <w:r>
        <w:rPr>
          <w:rFonts w:hint="default" w:ascii="Times New Roman" w:hAnsi="Times New Roman" w:cs="Times New Roman"/>
          <w:highlight w:val="none"/>
        </w:rPr>
        <w:t>为采购项目提供整体设计、规范编制或者项目管理、监理、检测等服务的供应商，不得再参加该采购项目的其他采购活动。</w:t>
      </w:r>
    </w:p>
    <w:p>
      <w:pPr>
        <w:pageBreakBefore w:val="0"/>
        <w:widowControl w:val="0"/>
        <w:tabs>
          <w:tab w:val="left" w:pos="180"/>
          <w:tab w:val="left" w:pos="360"/>
          <w:tab w:val="left" w:pos="540"/>
          <w:tab w:val="left" w:pos="8280"/>
        </w:tabs>
        <w:kinsoku/>
        <w:overflowPunct/>
        <w:topLinePunct w:val="0"/>
        <w:autoSpaceDE w:val="0"/>
        <w:autoSpaceDN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7.</w:t>
      </w:r>
      <w:r>
        <w:rPr>
          <w:rFonts w:hint="default" w:ascii="Times New Roman" w:hAnsi="Times New Roman" w:cs="Times New Roman"/>
          <w:szCs w:val="21"/>
          <w:highlight w:val="none"/>
        </w:rPr>
        <w:t>公益一类事业单位不属于政府购买服务的承接主体，不得参与承接购买服务采购项目。</w:t>
      </w:r>
    </w:p>
    <w:p>
      <w:pPr>
        <w:pageBreakBefore w:val="0"/>
        <w:widowControl w:val="0"/>
        <w:tabs>
          <w:tab w:val="left" w:pos="180"/>
          <w:tab w:val="left" w:pos="360"/>
          <w:tab w:val="left" w:pos="540"/>
          <w:tab w:val="left" w:pos="8280"/>
        </w:tabs>
        <w:kinsoku/>
        <w:overflowPunct/>
        <w:topLinePunct w:val="0"/>
        <w:autoSpaceDE w:val="0"/>
        <w:autoSpaceDN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szCs w:val="21"/>
          <w:highlight w:val="none"/>
        </w:rPr>
        <w:t>8.本项目不接受联合体参与投标。</w:t>
      </w:r>
    </w:p>
    <w:p>
      <w:pPr>
        <w:pStyle w:val="29"/>
        <w:pageBreakBefore w:val="0"/>
        <w:widowControl w:val="0"/>
        <w:kinsoku/>
        <w:overflowPunct/>
        <w:topLinePunct w:val="0"/>
        <w:bidi w:val="0"/>
        <w:adjustRightInd w:val="0"/>
        <w:snapToGrid w:val="0"/>
        <w:spacing w:after="0" w:line="264" w:lineRule="auto"/>
        <w:ind w:firstLine="472" w:firstLineChars="196"/>
        <w:rPr>
          <w:rFonts w:hint="default" w:ascii="Times New Roman" w:hAnsi="Times New Roman" w:cs="Times New Roman"/>
          <w:b/>
          <w:sz w:val="24"/>
          <w:szCs w:val="24"/>
          <w:highlight w:val="none"/>
        </w:rPr>
      </w:pPr>
      <w:bookmarkStart w:id="6" w:name="_Toc20714_WPSOffice_Level2"/>
      <w:bookmarkStart w:id="7" w:name="_Toc24595_WPSOffice_Level2"/>
      <w:r>
        <w:rPr>
          <w:rFonts w:hint="default" w:ascii="Times New Roman" w:hAnsi="Times New Roman" w:cs="Times New Roman"/>
          <w:b/>
          <w:sz w:val="24"/>
          <w:szCs w:val="24"/>
          <w:highlight w:val="none"/>
        </w:rPr>
        <w:t>三、采购文件（即招标文件，下同）获取时间、地点及方式：</w:t>
      </w:r>
      <w:bookmarkEnd w:id="6"/>
      <w:bookmarkEnd w:id="7"/>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1.时间：公告发布时间起至投标截止时间止。</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2.地点：浙江政府采购网（http://zfcg.czt.zj.gov.cn/）。</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3.方式：潜在供应商应按照浙江省政府采购网上所提示的方式免费获取采购文件。</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潜在供应商未在规定的期限内按照按上述方式获取招标文件的，采购人、采购代理机构可以不予受理其所提出的对招标文件的质疑。</w:t>
      </w:r>
    </w:p>
    <w:p>
      <w:pPr>
        <w:pStyle w:val="29"/>
        <w:pageBreakBefore w:val="0"/>
        <w:widowControl w:val="0"/>
        <w:kinsoku/>
        <w:overflowPunct/>
        <w:topLinePunct w:val="0"/>
        <w:bidi w:val="0"/>
        <w:adjustRightInd w:val="0"/>
        <w:snapToGrid w:val="0"/>
        <w:spacing w:after="0" w:line="264" w:lineRule="auto"/>
        <w:ind w:firstLine="472" w:firstLineChars="196"/>
        <w:rPr>
          <w:rFonts w:hint="default" w:ascii="Times New Roman" w:hAnsi="Times New Roman" w:cs="Times New Roman"/>
          <w:b/>
          <w:sz w:val="24"/>
          <w:szCs w:val="24"/>
          <w:highlight w:val="none"/>
        </w:rPr>
      </w:pPr>
      <w:bookmarkStart w:id="8" w:name="_Toc29581_WPSOffice_Level2"/>
      <w:bookmarkStart w:id="9" w:name="_Toc22698_WPSOffice_Level2"/>
      <w:r>
        <w:rPr>
          <w:rFonts w:hint="default" w:ascii="Times New Roman" w:hAnsi="Times New Roman" w:cs="Times New Roman"/>
          <w:b/>
          <w:sz w:val="24"/>
          <w:szCs w:val="24"/>
          <w:highlight w:val="none"/>
        </w:rPr>
        <w:t>四、投标截止时间及地点：</w:t>
      </w:r>
      <w:bookmarkEnd w:id="8"/>
      <w:bookmarkEnd w:id="9"/>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color w:val="FF0000"/>
          <w:szCs w:val="21"/>
          <w:highlight w:val="none"/>
        </w:rPr>
      </w:pPr>
      <w:r>
        <w:rPr>
          <w:rFonts w:hint="default" w:ascii="Times New Roman" w:hAnsi="Times New Roman" w:cs="Times New Roman"/>
          <w:color w:val="FF0000"/>
          <w:szCs w:val="21"/>
          <w:highlight w:val="none"/>
        </w:rPr>
        <w:t>1.提交投标文件截止时间：2021年</w:t>
      </w:r>
      <w:r>
        <w:rPr>
          <w:rFonts w:hint="default" w:ascii="Times New Roman" w:hAnsi="Times New Roman" w:cs="Times New Roman"/>
          <w:color w:val="FF0000"/>
          <w:szCs w:val="21"/>
          <w:highlight w:val="none"/>
          <w:lang w:val="en-US" w:eastAsia="zh-CN"/>
        </w:rPr>
        <w:t>3</w:t>
      </w:r>
      <w:r>
        <w:rPr>
          <w:rFonts w:hint="default" w:ascii="Times New Roman" w:hAnsi="Times New Roman" w:cs="Times New Roman"/>
          <w:color w:val="FF0000"/>
          <w:szCs w:val="21"/>
          <w:highlight w:val="none"/>
        </w:rPr>
        <w:t>月</w:t>
      </w:r>
      <w:r>
        <w:rPr>
          <w:rFonts w:hint="eastAsia" w:cs="Times New Roman"/>
          <w:color w:val="FF0000"/>
          <w:szCs w:val="21"/>
          <w:highlight w:val="none"/>
          <w:lang w:val="en-US" w:eastAsia="zh-CN"/>
        </w:rPr>
        <w:t>23日</w:t>
      </w:r>
      <w:r>
        <w:rPr>
          <w:rFonts w:hint="default" w:ascii="Times New Roman" w:hAnsi="Times New Roman" w:cs="Times New Roman"/>
          <w:color w:val="FF0000"/>
          <w:szCs w:val="21"/>
          <w:highlight w:val="none"/>
        </w:rPr>
        <w:t xml:space="preserve"> 09:30（北京时间）</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2.投标地点：用帐号登陆政府采购云平台（简称“政采云”下同， https://www.zcygov.cn/），上传电子加密标书至政采云（https://www.zcygov.cn/），逾期或未上传成功的将导致无法投标或投标无效。</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3.开标时间：</w:t>
      </w:r>
      <w:r>
        <w:rPr>
          <w:rFonts w:hint="default" w:ascii="Times New Roman" w:hAnsi="Times New Roman" w:cs="Times New Roman"/>
          <w:color w:val="FF0000"/>
          <w:szCs w:val="21"/>
          <w:highlight w:val="none"/>
        </w:rPr>
        <w:t>2021年</w:t>
      </w:r>
      <w:r>
        <w:rPr>
          <w:rFonts w:hint="default" w:ascii="Times New Roman" w:hAnsi="Times New Roman" w:cs="Times New Roman"/>
          <w:color w:val="FF0000"/>
          <w:szCs w:val="21"/>
          <w:highlight w:val="none"/>
          <w:lang w:val="en-US" w:eastAsia="zh-CN"/>
        </w:rPr>
        <w:t>3</w:t>
      </w:r>
      <w:r>
        <w:rPr>
          <w:rFonts w:hint="default" w:ascii="Times New Roman" w:hAnsi="Times New Roman" w:cs="Times New Roman"/>
          <w:color w:val="FF0000"/>
          <w:szCs w:val="21"/>
          <w:highlight w:val="none"/>
        </w:rPr>
        <w:t>月</w:t>
      </w:r>
      <w:r>
        <w:rPr>
          <w:rFonts w:hint="eastAsia" w:cs="Times New Roman"/>
          <w:color w:val="FF0000"/>
          <w:szCs w:val="21"/>
          <w:highlight w:val="none"/>
          <w:lang w:val="en-US" w:eastAsia="zh-CN"/>
        </w:rPr>
        <w:t>23日</w:t>
      </w:r>
      <w:r>
        <w:rPr>
          <w:rFonts w:hint="default" w:ascii="Times New Roman" w:hAnsi="Times New Roman" w:cs="Times New Roman"/>
          <w:color w:val="FF0000"/>
          <w:szCs w:val="21"/>
          <w:highlight w:val="none"/>
        </w:rPr>
        <w:t>09:30</w:t>
      </w:r>
      <w:r>
        <w:rPr>
          <w:rFonts w:hint="default" w:ascii="Times New Roman" w:hAnsi="Times New Roman" w:cs="Times New Roman"/>
          <w:szCs w:val="21"/>
          <w:highlight w:val="none"/>
        </w:rPr>
        <w:t> </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4.开标地点：政采云平台（https://www.zcygov.cn/）</w:t>
      </w:r>
    </w:p>
    <w:p>
      <w:pPr>
        <w:pStyle w:val="29"/>
        <w:pageBreakBefore w:val="0"/>
        <w:widowControl w:val="0"/>
        <w:kinsoku/>
        <w:overflowPunct/>
        <w:topLinePunct w:val="0"/>
        <w:bidi w:val="0"/>
        <w:adjustRightInd w:val="0"/>
        <w:snapToGrid w:val="0"/>
        <w:spacing w:after="0" w:line="264" w:lineRule="auto"/>
        <w:ind w:firstLine="472" w:firstLineChars="196"/>
        <w:rPr>
          <w:rFonts w:hint="default" w:ascii="Times New Roman" w:hAnsi="Times New Roman" w:cs="Times New Roman"/>
          <w:b/>
          <w:kern w:val="0"/>
          <w:sz w:val="24"/>
          <w:szCs w:val="24"/>
          <w:highlight w:val="none"/>
        </w:rPr>
      </w:pPr>
      <w:bookmarkStart w:id="10" w:name="_Toc2376_WPSOffice_Level2"/>
      <w:bookmarkStart w:id="11" w:name="_Toc22420_WPSOffice_Level2"/>
      <w:r>
        <w:rPr>
          <w:rFonts w:hint="default" w:ascii="Times New Roman" w:hAnsi="Times New Roman" w:cs="Times New Roman"/>
          <w:b/>
          <w:kern w:val="0"/>
          <w:sz w:val="24"/>
          <w:szCs w:val="24"/>
          <w:highlight w:val="none"/>
        </w:rPr>
        <w:t>五、公告期限：</w:t>
      </w:r>
      <w:bookmarkEnd w:id="10"/>
      <w:bookmarkEnd w:id="11"/>
    </w:p>
    <w:p>
      <w:pPr>
        <w:pStyle w:val="29"/>
        <w:pageBreakBefore w:val="0"/>
        <w:kinsoku/>
        <w:overflowPunct/>
        <w:topLinePunct w:val="0"/>
        <w:bidi w:val="0"/>
        <w:spacing w:after="0" w:line="264"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本项目采购文件公告期为自本公告发布之日起至第6个工作日24时。</w:t>
      </w:r>
    </w:p>
    <w:p>
      <w:pPr>
        <w:pStyle w:val="29"/>
        <w:pageBreakBefore w:val="0"/>
        <w:widowControl w:val="0"/>
        <w:kinsoku/>
        <w:overflowPunct/>
        <w:topLinePunct w:val="0"/>
        <w:bidi w:val="0"/>
        <w:adjustRightInd w:val="0"/>
        <w:snapToGrid w:val="0"/>
        <w:spacing w:after="0" w:line="264" w:lineRule="auto"/>
        <w:ind w:firstLine="472" w:firstLineChars="196"/>
        <w:rPr>
          <w:rFonts w:hint="default" w:ascii="Times New Roman" w:hAnsi="Times New Roman" w:cs="Times New Roman"/>
          <w:b/>
          <w:kern w:val="0"/>
          <w:sz w:val="24"/>
          <w:szCs w:val="24"/>
          <w:highlight w:val="none"/>
        </w:rPr>
      </w:pPr>
      <w:r>
        <w:rPr>
          <w:rFonts w:hint="default" w:ascii="Times New Roman" w:hAnsi="Times New Roman" w:cs="Times New Roman"/>
          <w:b/>
          <w:sz w:val="24"/>
          <w:szCs w:val="24"/>
          <w:highlight w:val="none"/>
        </w:rPr>
        <w:t>六、</w:t>
      </w:r>
      <w:bookmarkStart w:id="12" w:name="_Toc16590_WPSOffice_Level2"/>
      <w:bookmarkStart w:id="13" w:name="_Toc28546_WPSOffice_Level2"/>
      <w:r>
        <w:rPr>
          <w:rFonts w:hint="default" w:ascii="Times New Roman" w:hAnsi="Times New Roman" w:cs="Times New Roman"/>
          <w:b/>
          <w:kern w:val="0"/>
          <w:sz w:val="24"/>
          <w:szCs w:val="24"/>
          <w:highlight w:val="none"/>
        </w:rPr>
        <w:t>其他补充事宜</w:t>
      </w:r>
      <w:bookmarkEnd w:id="12"/>
      <w:bookmarkEnd w:id="13"/>
    </w:p>
    <w:p>
      <w:pPr>
        <w:pStyle w:val="29"/>
        <w:pageBreakBefore w:val="0"/>
        <w:widowControl w:val="0"/>
        <w:kinsoku/>
        <w:overflowPunct/>
        <w:topLinePunct w:val="0"/>
        <w:bidi w:val="0"/>
        <w:spacing w:after="0" w:line="264" w:lineRule="auto"/>
        <w:ind w:firstLine="470" w:firstLineChars="196"/>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质疑与投诉：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9"/>
        <w:pageBreakBefore w:val="0"/>
        <w:widowControl w:val="0"/>
        <w:kinsoku/>
        <w:overflowPunct/>
        <w:topLinePunct w:val="0"/>
        <w:bidi w:val="0"/>
        <w:spacing w:after="0" w:line="264" w:lineRule="auto"/>
        <w:ind w:firstLine="470" w:firstLineChars="196"/>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2.投标保证金：无</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3.投标与开标注意事项：</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①标前准备：本项目通过“政采云（www.zcygov.cn）”实行在线投标（电子投标），各供应商在投标前应确保成为浙江政府采购网正式注册入库供应商，并完成CA数字证书办理。【办理流程详见电子投标工具链接：（</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"file:///C:\\Users\\Administrator\\AppData\\Roaming\\Microsoft\\Word\\CA申领操作指南.pdf"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目前“政采云”平台仅支持浙江汇信或天谷CA锁，个体工商户投标仅支持浙江汇信CA锁）申领操作流程</w:t>
      </w:r>
      <w:r>
        <w:rPr>
          <w:rFonts w:hint="default" w:ascii="Times New Roman" w:hAnsi="Times New Roman" w:cs="Times New Roman"/>
          <w:highlight w:val="none"/>
        </w:rPr>
        <w:fldChar w:fldCharType="end"/>
      </w:r>
      <w:r>
        <w:rPr>
          <w:rFonts w:hint="default" w:ascii="Times New Roman" w:hAnsi="Times New Roman" w:cs="Times New Roman"/>
          <w:highlight w:val="none"/>
        </w:rPr>
        <w:t>”】。因未注册入库、未办理CA数字证书等原因造成无法投标或投标失败等后果由供应商自行承担。</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②投标文件制作：投标人通过“政采云”平台电子投标工具制作投标文件，电子投标工具请供应商自行前往http://zfcg.czt.zj.gov.cn/download/index.html?_=1599446768424下载并安装，投标文件制作具体流程详见“</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"file:///C:\\Users\\Administrator\\AppData\\Roaming\\Microsoft\\Word\\电子化投标操作指南.pdf"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政采云供应商项目采购-电子招投标操作指南</w:t>
      </w:r>
      <w:r>
        <w:rPr>
          <w:rFonts w:hint="default" w:ascii="Times New Roman" w:hAnsi="Times New Roman" w:cs="Times New Roman"/>
          <w:highlight w:val="none"/>
        </w:rPr>
        <w:fldChar w:fldCharType="end"/>
      </w:r>
      <w:r>
        <w:rPr>
          <w:rFonts w:hint="default" w:ascii="Times New Roman" w:hAnsi="Times New Roman" w:cs="Times New Roman"/>
          <w:highlight w:val="none"/>
        </w:rPr>
        <w:t>”（请投标供应商登陆政采云平台政府采购电子卖场后点击链接https://service.zcygov.cn/#/knowledges/CW1EtGwBFdiHxlNd6I3m/6IMVAG0BFdiHxlNdQ8Na）以获取最新操作指南。</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b/>
          <w:highlight w:val="none"/>
        </w:rPr>
      </w:pPr>
      <w:r>
        <w:rPr>
          <w:rFonts w:hint="default" w:ascii="Times New Roman" w:hAnsi="Times New Roman" w:cs="Times New Roman"/>
          <w:kern w:val="0"/>
          <w:sz w:val="24"/>
          <w:szCs w:val="24"/>
          <w:highlight w:val="none"/>
        </w:rPr>
        <w:t>③投标文件上上传：投标人应在投标截止时间（</w:t>
      </w:r>
      <w:r>
        <w:rPr>
          <w:rFonts w:hint="default" w:ascii="Times New Roman" w:hAnsi="Times New Roman" w:cs="Times New Roman"/>
          <w:color w:val="FF0000"/>
          <w:kern w:val="0"/>
          <w:sz w:val="24"/>
          <w:highlight w:val="none"/>
        </w:rPr>
        <w:t>2021年</w:t>
      </w:r>
      <w:r>
        <w:rPr>
          <w:rFonts w:hint="default" w:ascii="Times New Roman" w:hAnsi="Times New Roman" w:cs="Times New Roman"/>
          <w:color w:val="FF0000"/>
          <w:kern w:val="0"/>
          <w:sz w:val="24"/>
          <w:highlight w:val="none"/>
          <w:lang w:val="en-US" w:eastAsia="zh-CN"/>
        </w:rPr>
        <w:t>3</w:t>
      </w:r>
      <w:r>
        <w:rPr>
          <w:rFonts w:hint="default" w:ascii="Times New Roman" w:hAnsi="Times New Roman" w:cs="Times New Roman"/>
          <w:color w:val="FF0000"/>
          <w:kern w:val="0"/>
          <w:sz w:val="24"/>
          <w:highlight w:val="none"/>
        </w:rPr>
        <w:t>月</w:t>
      </w:r>
      <w:r>
        <w:rPr>
          <w:rFonts w:hint="eastAsia" w:ascii="Times New Roman" w:hAnsi="Times New Roman" w:cs="Times New Roman"/>
          <w:color w:val="FF0000"/>
          <w:kern w:val="0"/>
          <w:sz w:val="24"/>
          <w:highlight w:val="none"/>
          <w:lang w:val="en-US" w:eastAsia="zh-CN"/>
        </w:rPr>
        <w:t>23日</w:t>
      </w:r>
      <w:r>
        <w:rPr>
          <w:rFonts w:hint="default" w:ascii="Times New Roman" w:hAnsi="Times New Roman" w:cs="Times New Roman"/>
          <w:color w:val="FF0000"/>
          <w:kern w:val="0"/>
          <w:sz w:val="24"/>
          <w:highlight w:val="none"/>
        </w:rPr>
        <w:t>09:30</w:t>
      </w:r>
      <w:r>
        <w:rPr>
          <w:rFonts w:hint="default" w:ascii="Times New Roman" w:hAnsi="Times New Roman" w:cs="Times New Roman"/>
          <w:kern w:val="0"/>
          <w:sz w:val="24"/>
          <w:szCs w:val="24"/>
          <w:highlight w:val="none"/>
        </w:rPr>
        <w:t>）之前上传投标文件，同时，投标人可在投标截止时间前将在政采云平台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cs="Times New Roman"/>
          <w:b/>
          <w:sz w:val="24"/>
          <w:szCs w:val="24"/>
          <w:highlight w:val="none"/>
        </w:rPr>
        <w:t>投标供应商仅递交备份投标文件的，投标无效。</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highlight w:val="none"/>
        </w:rPr>
        <w:t>④开标与投标文件解密：</w:t>
      </w:r>
      <w:r>
        <w:rPr>
          <w:rFonts w:hint="default" w:ascii="Times New Roman" w:hAnsi="Times New Roman" w:cs="Times New Roman"/>
          <w:szCs w:val="21"/>
          <w:highlight w:val="none"/>
        </w:rPr>
        <w:t>本项目采用线上开标，供应商无需到开标现场，但应准时在线参加。开标时间后采购中心开启解密。开启解密后的1小时内，供应商应当登录“政采云”平台，用“项目采购-开标评标”功能解密投标文件。</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cs="Times New Roman"/>
          <w:color w:val="FF0000"/>
          <w:szCs w:val="21"/>
          <w:highlight w:val="none"/>
        </w:rPr>
        <w:t>2021年</w:t>
      </w:r>
      <w:r>
        <w:rPr>
          <w:rFonts w:hint="default" w:ascii="Times New Roman" w:hAnsi="Times New Roman" w:cs="Times New Roman"/>
          <w:color w:val="FF0000"/>
          <w:szCs w:val="21"/>
          <w:highlight w:val="none"/>
          <w:lang w:val="en-US" w:eastAsia="zh-CN"/>
        </w:rPr>
        <w:t>3</w:t>
      </w:r>
      <w:r>
        <w:rPr>
          <w:rFonts w:hint="default" w:ascii="Times New Roman" w:hAnsi="Times New Roman" w:cs="Times New Roman"/>
          <w:color w:val="FF0000"/>
          <w:szCs w:val="21"/>
          <w:highlight w:val="none"/>
        </w:rPr>
        <w:t>月</w:t>
      </w:r>
      <w:r>
        <w:rPr>
          <w:rFonts w:hint="eastAsia" w:cs="Times New Roman"/>
          <w:color w:val="FF0000"/>
          <w:szCs w:val="21"/>
          <w:highlight w:val="none"/>
          <w:lang w:val="en-US" w:eastAsia="zh-CN"/>
        </w:rPr>
        <w:t>23日</w:t>
      </w:r>
      <w:r>
        <w:rPr>
          <w:rFonts w:hint="default" w:ascii="Times New Roman" w:hAnsi="Times New Roman" w:cs="Times New Roman"/>
          <w:color w:val="FF0000"/>
          <w:highlight w:val="none"/>
        </w:rPr>
        <w:t>上午9时30分前</w:t>
      </w:r>
      <w:r>
        <w:rPr>
          <w:rFonts w:hint="default" w:ascii="Times New Roman" w:hAnsi="Times New Roman" w:cs="Times New Roman"/>
          <w:highlight w:val="none"/>
        </w:rPr>
        <w:t>）及要求提供有效备份标书，同时政采云上投标文件解密失败的，将导致投标无效。</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如果投标人发送两份以上备份文件的，以最后收到的那一份为准，通过“政采云”平台上传递交的“加密投标文件”已按时解密的，“备份投标文件”自动失效。</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highlight w:val="none"/>
        </w:rPr>
      </w:pPr>
      <w:r>
        <w:rPr>
          <w:rFonts w:hint="default" w:ascii="Times New Roman" w:hAnsi="Times New Roman" w:cs="Times New Roman"/>
          <w:highlight w:val="none"/>
        </w:rPr>
        <w:t>4. 参与在线投标时如遇平台技术问题详询400-881-7190，电子投标制作问题详询付先生0579－85583800。</w:t>
      </w:r>
    </w:p>
    <w:p>
      <w:pPr>
        <w:pStyle w:val="29"/>
        <w:pageBreakBefore w:val="0"/>
        <w:widowControl w:val="0"/>
        <w:kinsoku/>
        <w:overflowPunct/>
        <w:topLinePunct w:val="0"/>
        <w:bidi w:val="0"/>
        <w:adjustRightInd w:val="0"/>
        <w:snapToGrid w:val="0"/>
        <w:spacing w:after="0" w:line="264" w:lineRule="auto"/>
        <w:ind w:firstLine="472" w:firstLineChars="196"/>
        <w:rPr>
          <w:rFonts w:hint="default" w:ascii="Times New Roman" w:hAnsi="Times New Roman" w:cs="Times New Roman"/>
          <w:b/>
          <w:kern w:val="0"/>
          <w:sz w:val="24"/>
          <w:szCs w:val="24"/>
          <w:highlight w:val="none"/>
        </w:rPr>
      </w:pPr>
      <w:bookmarkStart w:id="14" w:name="_Toc13448_WPSOffice_Level2"/>
      <w:bookmarkStart w:id="15" w:name="_Toc9254_WPSOffice_Level2"/>
      <w:r>
        <w:rPr>
          <w:rFonts w:hint="default" w:ascii="Times New Roman" w:hAnsi="Times New Roman" w:cs="Times New Roman"/>
          <w:b/>
          <w:kern w:val="0"/>
          <w:sz w:val="24"/>
          <w:szCs w:val="24"/>
          <w:highlight w:val="none"/>
        </w:rPr>
        <w:t>十、对本次招标提出询问、质疑、投诉，请按以下方式联系。</w:t>
      </w:r>
      <w:bookmarkEnd w:id="14"/>
      <w:bookmarkEnd w:id="15"/>
    </w:p>
    <w:p>
      <w:pPr>
        <w:pStyle w:val="29"/>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kern w:val="0"/>
          <w:sz w:val="24"/>
          <w:szCs w:val="24"/>
          <w:highlight w:val="none"/>
        </w:rPr>
      </w:pPr>
      <w:r>
        <w:rPr>
          <w:rFonts w:hint="default" w:ascii="Times New Roman" w:hAnsi="Times New Roman" w:cs="Times New Roman"/>
          <w:b/>
          <w:kern w:val="0"/>
          <w:sz w:val="24"/>
          <w:szCs w:val="24"/>
          <w:highlight w:val="none"/>
        </w:rPr>
        <w:t>1.采购人信息</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名称：</w:t>
      </w:r>
      <w:r>
        <w:rPr>
          <w:rFonts w:hint="default" w:ascii="Times New Roman" w:hAnsi="Times New Roman" w:cs="Times New Roman"/>
          <w:color w:val="FF0000"/>
          <w:sz w:val="24"/>
          <w:szCs w:val="24"/>
          <w:highlight w:val="none"/>
        </w:rPr>
        <w:t>义乌市公安局</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color w:val="FF0000"/>
          <w:sz w:val="24"/>
          <w:szCs w:val="24"/>
          <w:highlight w:val="none"/>
        </w:rPr>
      </w:pPr>
      <w:r>
        <w:rPr>
          <w:rFonts w:hint="default" w:ascii="Times New Roman" w:hAnsi="Times New Roman" w:cs="Times New Roman"/>
          <w:kern w:val="0"/>
          <w:sz w:val="24"/>
          <w:szCs w:val="24"/>
          <w:highlight w:val="none"/>
        </w:rPr>
        <w:t>地址：</w:t>
      </w:r>
      <w:r>
        <w:rPr>
          <w:rFonts w:hint="default" w:ascii="Times New Roman" w:hAnsi="Times New Roman" w:cs="Times New Roman"/>
          <w:color w:val="FF0000"/>
          <w:sz w:val="24"/>
          <w:szCs w:val="24"/>
          <w:highlight w:val="none"/>
        </w:rPr>
        <w:t>义乌市机场路110号</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项目联系人：</w:t>
      </w:r>
      <w:r>
        <w:rPr>
          <w:rFonts w:hint="default" w:ascii="Times New Roman" w:hAnsi="Times New Roman" w:cs="Times New Roman"/>
          <w:color w:val="FF0000"/>
          <w:kern w:val="0"/>
          <w:sz w:val="24"/>
          <w:szCs w:val="24"/>
          <w:highlight w:val="none"/>
        </w:rPr>
        <w:t>胡先生</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项目联系方式：</w:t>
      </w:r>
      <w:r>
        <w:rPr>
          <w:rFonts w:hint="default" w:ascii="Times New Roman" w:hAnsi="Times New Roman" w:cs="Times New Roman"/>
          <w:color w:val="FF0000"/>
          <w:kern w:val="0"/>
          <w:sz w:val="24"/>
          <w:szCs w:val="24"/>
          <w:highlight w:val="none"/>
        </w:rPr>
        <w:t>13606817574</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质疑联系人：</w:t>
      </w:r>
      <w:r>
        <w:rPr>
          <w:rFonts w:hint="default" w:ascii="Times New Roman" w:hAnsi="Times New Roman" w:cs="Times New Roman"/>
          <w:color w:val="FF0000"/>
          <w:kern w:val="0"/>
          <w:sz w:val="24"/>
          <w:szCs w:val="24"/>
          <w:highlight w:val="none"/>
        </w:rPr>
        <w:t>陈先生</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质疑联系方式：</w:t>
      </w:r>
      <w:r>
        <w:rPr>
          <w:rFonts w:hint="default" w:ascii="Times New Roman" w:hAnsi="Times New Roman" w:cs="Times New Roman"/>
          <w:color w:val="FF0000"/>
          <w:kern w:val="0"/>
          <w:sz w:val="24"/>
          <w:szCs w:val="24"/>
          <w:highlight w:val="none"/>
        </w:rPr>
        <w:t>0579-85534619</w:t>
      </w:r>
    </w:p>
    <w:p>
      <w:pPr>
        <w:pStyle w:val="29"/>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kern w:val="0"/>
          <w:sz w:val="24"/>
          <w:szCs w:val="24"/>
          <w:highlight w:val="none"/>
        </w:rPr>
      </w:pPr>
      <w:r>
        <w:rPr>
          <w:rFonts w:hint="default" w:ascii="Times New Roman" w:hAnsi="Times New Roman" w:cs="Times New Roman"/>
          <w:b/>
          <w:kern w:val="0"/>
          <w:sz w:val="24"/>
          <w:szCs w:val="24"/>
          <w:highlight w:val="none"/>
        </w:rPr>
        <w:t>2.采购代理机构信息</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名称：义乌市政府采购中心</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地址：义乌市望道路300号4楼</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传真： 0579-85583812</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项目联系人：方先生</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项目联系方式：0579-85583802</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质疑联系人：洪艳 </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质疑联系方式：0579-85232979　</w:t>
      </w:r>
    </w:p>
    <w:p>
      <w:pPr>
        <w:pStyle w:val="29"/>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kern w:val="0"/>
          <w:sz w:val="24"/>
          <w:szCs w:val="24"/>
          <w:highlight w:val="none"/>
        </w:rPr>
      </w:pPr>
      <w:r>
        <w:rPr>
          <w:rFonts w:hint="default" w:ascii="Times New Roman" w:hAnsi="Times New Roman" w:cs="Times New Roman"/>
          <w:b/>
          <w:kern w:val="0"/>
          <w:sz w:val="24"/>
          <w:szCs w:val="24"/>
          <w:highlight w:val="none"/>
        </w:rPr>
        <w:t>3.同级政府采购监督管理部门</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名  称：义乌市财政局</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地  址：义乌市望道路300号5楼</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kern w:val="0"/>
          <w:sz w:val="24"/>
          <w:szCs w:val="24"/>
          <w:highlight w:val="none"/>
        </w:rPr>
      </w:pPr>
      <w:r>
        <w:rPr>
          <w:rFonts w:hint="default" w:ascii="Times New Roman" w:hAnsi="Times New Roman" w:cs="Times New Roman"/>
          <w:kern w:val="0"/>
          <w:sz w:val="24"/>
          <w:szCs w:val="24"/>
          <w:highlight w:val="none"/>
        </w:rPr>
        <w:t>联系人：</w:t>
      </w:r>
      <w:r>
        <w:rPr>
          <w:rFonts w:hint="default" w:ascii="Times New Roman" w:hAnsi="Times New Roman" w:cs="Times New Roman"/>
          <w:color w:val="FF0000"/>
          <w:kern w:val="0"/>
          <w:sz w:val="24"/>
          <w:szCs w:val="24"/>
          <w:highlight w:val="none"/>
        </w:rPr>
        <w:t>骆女士</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color w:val="FF0000"/>
          <w:kern w:val="0"/>
          <w:sz w:val="24"/>
          <w:szCs w:val="24"/>
          <w:highlight w:val="none"/>
        </w:rPr>
      </w:pPr>
      <w:r>
        <w:rPr>
          <w:rFonts w:hint="default" w:ascii="Times New Roman" w:hAnsi="Times New Roman" w:cs="Times New Roman"/>
          <w:kern w:val="0"/>
          <w:sz w:val="24"/>
          <w:szCs w:val="24"/>
          <w:highlight w:val="none"/>
        </w:rPr>
        <w:t>监督投诉电话：</w:t>
      </w:r>
      <w:r>
        <w:rPr>
          <w:rFonts w:hint="default" w:ascii="Times New Roman" w:hAnsi="Times New Roman" w:cs="Times New Roman"/>
          <w:color w:val="FF0000"/>
          <w:kern w:val="0"/>
          <w:sz w:val="24"/>
          <w:szCs w:val="24"/>
          <w:highlight w:val="none"/>
        </w:rPr>
        <w:t>0579-89915066</w:t>
      </w:r>
    </w:p>
    <w:p>
      <w:pPr>
        <w:pStyle w:val="29"/>
        <w:pageBreakBefore w:val="0"/>
        <w:widowControl w:val="0"/>
        <w:kinsoku/>
        <w:overflowPunct/>
        <w:topLinePunct w:val="0"/>
        <w:bidi w:val="0"/>
        <w:adjustRightInd w:val="0"/>
        <w:snapToGrid w:val="0"/>
        <w:spacing w:after="0" w:line="264" w:lineRule="auto"/>
        <w:jc w:val="right"/>
        <w:rPr>
          <w:rFonts w:hint="default" w:ascii="Times New Roman" w:hAnsi="Times New Roman" w:cs="Times New Roman"/>
          <w:color w:val="FF0000"/>
          <w:sz w:val="24"/>
          <w:szCs w:val="24"/>
          <w:highlight w:val="none"/>
        </w:rPr>
      </w:pPr>
    </w:p>
    <w:p>
      <w:pPr>
        <w:pStyle w:val="29"/>
        <w:pageBreakBefore w:val="0"/>
        <w:widowControl w:val="0"/>
        <w:kinsoku/>
        <w:overflowPunct/>
        <w:topLinePunct w:val="0"/>
        <w:bidi w:val="0"/>
        <w:adjustRightInd w:val="0"/>
        <w:snapToGrid w:val="0"/>
        <w:spacing w:after="0" w:line="264" w:lineRule="auto"/>
        <w:jc w:val="right"/>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义乌市公安局</w:t>
      </w:r>
    </w:p>
    <w:p>
      <w:pPr>
        <w:pStyle w:val="29"/>
        <w:pageBreakBefore w:val="0"/>
        <w:widowControl w:val="0"/>
        <w:kinsoku/>
        <w:overflowPunct/>
        <w:topLinePunct w:val="0"/>
        <w:bidi w:val="0"/>
        <w:adjustRightInd w:val="0"/>
        <w:snapToGrid w:val="0"/>
        <w:spacing w:after="0" w:line="264" w:lineRule="auto"/>
        <w:jc w:val="righ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义乌市政府采购中心</w:t>
      </w:r>
    </w:p>
    <w:p>
      <w:pPr>
        <w:pStyle w:val="29"/>
        <w:pageBreakBefore w:val="0"/>
        <w:widowControl w:val="0"/>
        <w:kinsoku/>
        <w:overflowPunct/>
        <w:topLinePunct w:val="0"/>
        <w:bidi w:val="0"/>
        <w:adjustRightInd w:val="0"/>
        <w:snapToGrid w:val="0"/>
        <w:spacing w:after="0" w:line="264" w:lineRule="auto"/>
        <w:ind w:firstLine="480"/>
        <w:jc w:val="right"/>
        <w:rPr>
          <w:rFonts w:hint="default" w:ascii="Times New Roman" w:hAnsi="Times New Roman" w:cs="Times New Roman"/>
          <w:color w:val="FF0000"/>
          <w:sz w:val="24"/>
          <w:szCs w:val="24"/>
          <w:highlight w:val="none"/>
        </w:rPr>
      </w:pPr>
      <w:r>
        <w:rPr>
          <w:rFonts w:hint="default" w:ascii="Times New Roman" w:hAnsi="Times New Roman" w:cs="Times New Roman"/>
          <w:color w:val="FF0000"/>
          <w:sz w:val="24"/>
          <w:szCs w:val="24"/>
          <w:highlight w:val="none"/>
        </w:rPr>
        <w:t>202</w:t>
      </w:r>
      <w:r>
        <w:rPr>
          <w:rFonts w:hint="default" w:ascii="Times New Roman" w:hAnsi="Times New Roman" w:cs="Times New Roman"/>
          <w:color w:val="FF0000"/>
          <w:sz w:val="24"/>
          <w:szCs w:val="24"/>
          <w:highlight w:val="none"/>
          <w:lang w:val="en-US" w:eastAsia="zh-CN"/>
        </w:rPr>
        <w:t>1</w:t>
      </w:r>
      <w:r>
        <w:rPr>
          <w:rFonts w:hint="default" w:ascii="Times New Roman" w:hAnsi="Times New Roman" w:cs="Times New Roman"/>
          <w:color w:val="FF0000"/>
          <w:sz w:val="24"/>
          <w:szCs w:val="24"/>
          <w:highlight w:val="none"/>
        </w:rPr>
        <w:t>年</w:t>
      </w:r>
      <w:r>
        <w:rPr>
          <w:rFonts w:hint="eastAsia" w:ascii="Times New Roman" w:hAnsi="Times New Roman" w:cs="Times New Roman"/>
          <w:color w:val="FF0000"/>
          <w:sz w:val="24"/>
          <w:szCs w:val="24"/>
          <w:highlight w:val="none"/>
          <w:lang w:val="en-US" w:eastAsia="zh-CN"/>
        </w:rPr>
        <w:t>3</w:t>
      </w:r>
      <w:r>
        <w:rPr>
          <w:rFonts w:hint="default" w:ascii="Times New Roman" w:hAnsi="Times New Roman" w:cs="Times New Roman"/>
          <w:color w:val="FF0000"/>
          <w:sz w:val="24"/>
          <w:szCs w:val="24"/>
          <w:highlight w:val="none"/>
        </w:rPr>
        <w:t>月</w:t>
      </w:r>
      <w:r>
        <w:rPr>
          <w:rFonts w:hint="eastAsia" w:ascii="Times New Roman" w:hAnsi="Times New Roman" w:cs="Times New Roman"/>
          <w:color w:val="FF0000"/>
          <w:sz w:val="24"/>
          <w:szCs w:val="24"/>
          <w:highlight w:val="none"/>
          <w:lang w:val="en-US" w:eastAsia="zh-CN"/>
        </w:rPr>
        <w:t>1</w:t>
      </w:r>
      <w:r>
        <w:rPr>
          <w:rFonts w:hint="default" w:ascii="Times New Roman" w:hAnsi="Times New Roman" w:cs="Times New Roman"/>
          <w:color w:val="FF0000"/>
          <w:sz w:val="24"/>
          <w:szCs w:val="24"/>
          <w:highlight w:val="none"/>
        </w:rPr>
        <w:t>日</w:t>
      </w:r>
    </w:p>
    <w:p>
      <w:pPr>
        <w:pStyle w:val="4"/>
        <w:pageBreakBefore w:val="0"/>
        <w:widowControl w:val="0"/>
        <w:kinsoku/>
        <w:overflowPunct/>
        <w:topLinePunct w:val="0"/>
        <w:bidi w:val="0"/>
        <w:spacing w:before="0" w:after="0" w:line="264" w:lineRule="auto"/>
        <w:jc w:val="center"/>
        <w:rPr>
          <w:rFonts w:hint="default" w:ascii="Times New Roman" w:hAnsi="Times New Roman" w:cs="Times New Roman"/>
          <w:sz w:val="36"/>
          <w:highlight w:val="none"/>
        </w:rPr>
      </w:pPr>
      <w:r>
        <w:rPr>
          <w:rFonts w:hint="default" w:ascii="Times New Roman" w:hAnsi="Times New Roman" w:cs="Times New Roman"/>
          <w:sz w:val="24"/>
          <w:szCs w:val="24"/>
          <w:highlight w:val="none"/>
        </w:rPr>
        <w:br w:type="page"/>
      </w:r>
      <w:bookmarkStart w:id="16" w:name="_Toc4525"/>
      <w:bookmarkStart w:id="17" w:name="_Toc406413926"/>
      <w:bookmarkStart w:id="18" w:name="_Toc30078"/>
      <w:bookmarkStart w:id="19" w:name="_Toc17276"/>
      <w:r>
        <w:rPr>
          <w:rFonts w:hint="default" w:ascii="Times New Roman" w:hAnsi="Times New Roman" w:cs="Times New Roman"/>
          <w:sz w:val="36"/>
          <w:highlight w:val="none"/>
        </w:rPr>
        <w:t>第二章 投标须知和投标须知前附表</w:t>
      </w:r>
      <w:bookmarkEnd w:id="16"/>
      <w:bookmarkEnd w:id="17"/>
      <w:bookmarkEnd w:id="18"/>
      <w:bookmarkEnd w:id="19"/>
    </w:p>
    <w:p>
      <w:pPr>
        <w:pageBreakBefore w:val="0"/>
        <w:widowControl w:val="0"/>
        <w:kinsoku/>
        <w:overflowPunct/>
        <w:topLinePunct w:val="0"/>
        <w:bidi w:val="0"/>
        <w:spacing w:after="0" w:line="264" w:lineRule="auto"/>
        <w:ind w:firstLine="723" w:firstLineChars="200"/>
        <w:jc w:val="center"/>
        <w:rPr>
          <w:rFonts w:hint="default" w:ascii="Times New Roman" w:hAnsi="Times New Roman" w:cs="Times New Roman"/>
          <w:b/>
          <w:sz w:val="36"/>
          <w:szCs w:val="36"/>
          <w:highlight w:val="none"/>
        </w:rPr>
      </w:pPr>
      <w:bookmarkStart w:id="20" w:name="_Toc15653_WPSOffice_Level2"/>
      <w:r>
        <w:rPr>
          <w:rFonts w:hint="default" w:ascii="Times New Roman" w:hAnsi="Times New Roman" w:cs="Times New Roman"/>
          <w:b/>
          <w:sz w:val="36"/>
          <w:szCs w:val="36"/>
          <w:highlight w:val="none"/>
        </w:rPr>
        <w:t>投标须知前附表</w:t>
      </w:r>
      <w:bookmarkEnd w:id="20"/>
    </w:p>
    <w:tbl>
      <w:tblPr>
        <w:tblStyle w:val="56"/>
        <w:tblW w:w="102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05"/>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b/>
                <w:highlight w:val="none"/>
              </w:rPr>
            </w:pPr>
            <w:r>
              <w:rPr>
                <w:rFonts w:hint="default" w:ascii="Times New Roman" w:hAnsi="Times New Roman" w:cs="Times New Roman"/>
                <w:b/>
                <w:highlight w:val="none"/>
              </w:rPr>
              <w:t>序号</w:t>
            </w:r>
          </w:p>
        </w:tc>
        <w:tc>
          <w:tcPr>
            <w:tcW w:w="9554" w:type="dxa"/>
            <w:gridSpan w:val="2"/>
            <w:vAlign w:val="center"/>
          </w:tcPr>
          <w:p>
            <w:pPr>
              <w:pageBreakBefore w:val="0"/>
              <w:widowControl w:val="0"/>
              <w:kinsoku/>
              <w:overflowPunct/>
              <w:topLinePunct w:val="0"/>
              <w:bidi w:val="0"/>
              <w:spacing w:after="0" w:line="264" w:lineRule="auto"/>
              <w:jc w:val="center"/>
              <w:rPr>
                <w:rFonts w:hint="default" w:ascii="Times New Roman" w:hAnsi="Times New Roman" w:cs="Times New Roman"/>
                <w:b/>
                <w:highlight w:val="none"/>
              </w:rPr>
            </w:pPr>
            <w:r>
              <w:rPr>
                <w:rFonts w:hint="default" w:ascii="Times New Roman" w:hAnsi="Times New Roman" w:cs="Times New Roman"/>
                <w:b/>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ind w:firstLine="240" w:firstLineChars="100"/>
              <w:rPr>
                <w:rFonts w:hint="default" w:ascii="Times New Roman" w:hAnsi="Times New Roman" w:cs="Times New Roman"/>
                <w:highlight w:val="none"/>
              </w:rPr>
            </w:pPr>
            <w:r>
              <w:rPr>
                <w:rFonts w:hint="default" w:ascii="Times New Roman" w:hAnsi="Times New Roman" w:cs="Times New Roman"/>
                <w:highlight w:val="none"/>
              </w:rPr>
              <w:t>1</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项目综合</w:t>
            </w:r>
          </w:p>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说明</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项目名称：</w:t>
            </w:r>
            <w:r>
              <w:rPr>
                <w:rFonts w:hint="default" w:ascii="Times New Roman" w:hAnsi="Times New Roman" w:cs="Times New Roman"/>
                <w:b/>
                <w:bCs/>
                <w:color w:val="FF0000"/>
                <w:szCs w:val="21"/>
                <w:highlight w:val="none"/>
              </w:rPr>
              <w:t>义乌市公安局“雪亮工程”项目（一期）平台及实战应用系统项目</w:t>
            </w:r>
            <w:r>
              <w:rPr>
                <w:rFonts w:hint="default" w:ascii="Times New Roman" w:hAnsi="Times New Roman" w:cs="Times New Roman"/>
                <w:highlight w:val="none"/>
              </w:rPr>
              <w:t>，采购内容及数量:具体详见《第三章招标项目要求》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2</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招标方式</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3</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投标单位资格</w:t>
            </w:r>
          </w:p>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要求</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4</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color w:val="FF0000"/>
                <w:highlight w:val="none"/>
              </w:rPr>
            </w:pPr>
            <w:r>
              <w:rPr>
                <w:rFonts w:hint="default" w:ascii="Times New Roman" w:hAnsi="Times New Roman" w:cs="Times New Roman"/>
                <w:highlight w:val="none"/>
              </w:rPr>
              <w:t>合同履约期限</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详见招标项目要求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5</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招标文件获取时间、地点及方式</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6</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现场踏勘时间</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采购方不统一组织投标人前往项目实施场地踏勘，根据项目实际投标需求，投标人可自行前往项目实施场地进行现场探勘，以获取编制投标文件所需资料，如投标人因未现场踏勘原因导致投标文件出现错误或遗漏的，由投标人自行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7</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招标答疑</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本项目不组织答疑会；招标方的答疑内容、书面澄清文件是招标文件的组成部份，招标方的书面澄清（更正）文件会在浙江政府采购网上发布公告，同时政采云系统会向所有已按招标文件规定方式获取招标文件的潜在供应商发送澄清（更正）提醒信息，潜在供应商请自行到浙江政府采购网上下载澄清（更正）文件，潜在供应商在收到该澄清（更正）文件后应于1日内，以书面或传真形式（签署意见并加盖公章）向招标代理机构回函给予确认。过期未回复的，视为默认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8</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投标有效期</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自开标之日起90天（日历天）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9</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上传电子投标文件时间</w:t>
            </w:r>
          </w:p>
        </w:tc>
        <w:tc>
          <w:tcPr>
            <w:tcW w:w="7649" w:type="dxa"/>
            <w:vAlign w:val="center"/>
          </w:tcPr>
          <w:p>
            <w:pPr>
              <w:pStyle w:val="29"/>
              <w:pageBreakBefore w:val="0"/>
              <w:widowControl w:val="0"/>
              <w:kinsoku/>
              <w:overflowPunct/>
              <w:topLinePunct w:val="0"/>
              <w:bidi w:val="0"/>
              <w:adjustRightInd w:val="0"/>
              <w:snapToGrid w:val="0"/>
              <w:spacing w:after="0" w:line="264" w:lineRule="auto"/>
              <w:rPr>
                <w:rFonts w:hint="default" w:ascii="Times New Roman" w:hAnsi="Times New Roman" w:cs="Times New Roman"/>
                <w:b/>
                <w:highlight w:val="none"/>
              </w:rPr>
            </w:pPr>
            <w:r>
              <w:rPr>
                <w:rFonts w:hint="default" w:ascii="Times New Roman" w:hAnsi="Times New Roman" w:cs="Times New Roman"/>
                <w:kern w:val="0"/>
                <w:sz w:val="24"/>
                <w:szCs w:val="24"/>
                <w:highlight w:val="none"/>
              </w:rPr>
              <w:t>投标人应在投标截止时间</w:t>
            </w:r>
            <w:r>
              <w:rPr>
                <w:rFonts w:hint="default" w:ascii="Times New Roman" w:hAnsi="Times New Roman" w:cs="Times New Roman"/>
                <w:color w:val="FF0000"/>
                <w:kern w:val="0"/>
                <w:sz w:val="24"/>
                <w:szCs w:val="24"/>
                <w:highlight w:val="none"/>
              </w:rPr>
              <w:t>（2021年</w:t>
            </w:r>
            <w:r>
              <w:rPr>
                <w:rFonts w:hint="default" w:ascii="Times New Roman" w:hAnsi="Times New Roman" w:cs="Times New Roman"/>
                <w:color w:val="FF0000"/>
                <w:kern w:val="0"/>
                <w:sz w:val="24"/>
                <w:szCs w:val="24"/>
                <w:highlight w:val="none"/>
                <w:lang w:val="en-US" w:eastAsia="zh-CN"/>
              </w:rPr>
              <w:t>3</w:t>
            </w:r>
            <w:r>
              <w:rPr>
                <w:rFonts w:hint="default" w:ascii="Times New Roman" w:hAnsi="Times New Roman" w:cs="Times New Roman"/>
                <w:color w:val="FF0000"/>
                <w:kern w:val="0"/>
                <w:sz w:val="24"/>
                <w:szCs w:val="24"/>
                <w:highlight w:val="none"/>
              </w:rPr>
              <w:t>月</w:t>
            </w:r>
            <w:r>
              <w:rPr>
                <w:rFonts w:hint="eastAsia" w:ascii="Times New Roman" w:hAnsi="Times New Roman" w:cs="Times New Roman"/>
                <w:color w:val="FF0000"/>
                <w:kern w:val="0"/>
                <w:sz w:val="24"/>
                <w:szCs w:val="24"/>
                <w:highlight w:val="none"/>
                <w:lang w:val="en-US" w:eastAsia="zh-CN"/>
              </w:rPr>
              <w:t>23日</w:t>
            </w:r>
            <w:r>
              <w:rPr>
                <w:rFonts w:hint="default" w:ascii="Times New Roman" w:hAnsi="Times New Roman" w:cs="Times New Roman"/>
                <w:color w:val="FF0000"/>
                <w:kern w:val="0"/>
                <w:sz w:val="24"/>
                <w:szCs w:val="24"/>
                <w:highlight w:val="none"/>
              </w:rPr>
              <w:t>09:30）</w:t>
            </w:r>
            <w:r>
              <w:rPr>
                <w:rFonts w:hint="default" w:ascii="Times New Roman" w:hAnsi="Times New Roman" w:cs="Times New Roman"/>
                <w:kern w:val="0"/>
                <w:sz w:val="24"/>
                <w:szCs w:val="24"/>
                <w:highlight w:val="none"/>
              </w:rPr>
              <w:t>之前上传投标文件，同时，投标人可在投标截止时间前将在政采云平台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cs="Times New Roman"/>
                <w:b/>
                <w:sz w:val="24"/>
                <w:szCs w:val="24"/>
                <w:highlight w:val="none"/>
              </w:rPr>
              <w:t>投标供应商仅递交备份投标文件的，投标无效。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10</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履约保证金</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11</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开标时间、地点及电子投标文件解密</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开标时间：</w:t>
            </w:r>
            <w:r>
              <w:rPr>
                <w:rFonts w:hint="default" w:ascii="Times New Roman" w:hAnsi="Times New Roman" w:cs="Times New Roman"/>
                <w:color w:val="FF0000"/>
                <w:szCs w:val="21"/>
                <w:highlight w:val="none"/>
              </w:rPr>
              <w:t>2021年</w:t>
            </w:r>
            <w:r>
              <w:rPr>
                <w:rFonts w:hint="default" w:ascii="Times New Roman" w:hAnsi="Times New Roman" w:cs="Times New Roman"/>
                <w:color w:val="FF0000"/>
                <w:szCs w:val="21"/>
                <w:highlight w:val="none"/>
                <w:lang w:val="en-US" w:eastAsia="zh-CN"/>
              </w:rPr>
              <w:t>3</w:t>
            </w:r>
            <w:r>
              <w:rPr>
                <w:rFonts w:hint="default" w:ascii="Times New Roman" w:hAnsi="Times New Roman" w:cs="Times New Roman"/>
                <w:color w:val="FF0000"/>
                <w:szCs w:val="21"/>
                <w:highlight w:val="none"/>
              </w:rPr>
              <w:t>月</w:t>
            </w:r>
            <w:r>
              <w:rPr>
                <w:rFonts w:hint="eastAsia" w:cs="Times New Roman"/>
                <w:color w:val="FF0000"/>
                <w:szCs w:val="21"/>
                <w:highlight w:val="none"/>
                <w:lang w:val="en-US" w:eastAsia="zh-CN"/>
              </w:rPr>
              <w:t>23日</w:t>
            </w:r>
            <w:r>
              <w:rPr>
                <w:rFonts w:hint="default" w:ascii="Times New Roman" w:hAnsi="Times New Roman" w:cs="Times New Roman"/>
                <w:highlight w:val="none"/>
              </w:rPr>
              <w:t>上午9:30</w:t>
            </w:r>
          </w:p>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开标地点：政采云平台（</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"https://www.zcygov.cn/"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t>https://www.zcygov.cn/</w:t>
            </w:r>
            <w:r>
              <w:rPr>
                <w:rFonts w:hint="default" w:ascii="Times New Roman" w:hAnsi="Times New Roman" w:cs="Times New Roman"/>
                <w:highlight w:val="none"/>
              </w:rPr>
              <w:fldChar w:fldCharType="end"/>
            </w:r>
            <w:r>
              <w:rPr>
                <w:rFonts w:hint="default" w:ascii="Times New Roman" w:hAnsi="Times New Roman" w:cs="Times New Roman"/>
                <w:highlight w:val="none"/>
              </w:rPr>
              <w:t>）</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本项目采用线上开标，供应商无需到开标现场，但应准时在线参加。开标时间后采购中心开启解密。开启解密后的1小时内，供应商应当登录“政采云”平台，用“项目采购-开标评标”功能解密投标文件。</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cs="Times New Roman"/>
                <w:color w:val="FF0000"/>
                <w:szCs w:val="21"/>
                <w:highlight w:val="none"/>
              </w:rPr>
              <w:t>2021年</w:t>
            </w:r>
            <w:r>
              <w:rPr>
                <w:rFonts w:hint="default" w:ascii="Times New Roman" w:hAnsi="Times New Roman" w:cs="Times New Roman"/>
                <w:color w:val="FF0000"/>
                <w:szCs w:val="21"/>
                <w:highlight w:val="none"/>
                <w:lang w:val="en-US" w:eastAsia="zh-CN"/>
              </w:rPr>
              <w:t>3</w:t>
            </w:r>
            <w:r>
              <w:rPr>
                <w:rFonts w:hint="default" w:ascii="Times New Roman" w:hAnsi="Times New Roman" w:cs="Times New Roman"/>
                <w:color w:val="FF0000"/>
                <w:szCs w:val="21"/>
                <w:highlight w:val="none"/>
              </w:rPr>
              <w:t>月</w:t>
            </w:r>
            <w:r>
              <w:rPr>
                <w:rFonts w:hint="eastAsia" w:cs="Times New Roman"/>
                <w:color w:val="FF0000"/>
                <w:szCs w:val="21"/>
                <w:highlight w:val="none"/>
                <w:lang w:val="en-US" w:eastAsia="zh-CN"/>
              </w:rPr>
              <w:t>23日</w:t>
            </w:r>
            <w:r>
              <w:rPr>
                <w:rFonts w:hint="default" w:ascii="Times New Roman" w:hAnsi="Times New Roman" w:cs="Times New Roman"/>
                <w:highlight w:val="none"/>
              </w:rPr>
              <w:t>上午9时30分前）及要求提供有效备份标书，同时政采云上投标文件解密失败的，将导致投标无效。</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b/>
                <w:highlight w:val="none"/>
              </w:rPr>
            </w:pPr>
            <w:r>
              <w:rPr>
                <w:rFonts w:hint="default" w:ascii="Times New Roman" w:hAnsi="Times New Roman" w:cs="Times New Roman"/>
                <w:kern w:val="0"/>
                <w:sz w:val="24"/>
                <w:szCs w:val="24"/>
                <w:highlight w:val="none"/>
              </w:rPr>
              <w:t>如果投标人发送两份以上备份文件的，以最后收到的那一份为准，通过“政采云”平台上传递交的“加密投标文件”已按时解密的，“备份投标文件”自动失效。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12</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评标办法</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13</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付款方式</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spacing w:val="-8"/>
                <w:highlight w:val="none"/>
              </w:rPr>
            </w:pPr>
            <w:r>
              <w:rPr>
                <w:rFonts w:hint="default" w:ascii="Times New Roman" w:hAnsi="Times New Roman" w:cs="Times New Roman"/>
                <w:spacing w:val="-8"/>
                <w:highlight w:val="none"/>
              </w:rPr>
              <w:t>详见招标项目要求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14</w:t>
            </w:r>
          </w:p>
        </w:tc>
        <w:tc>
          <w:tcPr>
            <w:tcW w:w="1905" w:type="dxa"/>
            <w:vAlign w:val="center"/>
          </w:tcPr>
          <w:p>
            <w:pPr>
              <w:pageBreakBefore w:val="0"/>
              <w:widowControl w:val="0"/>
              <w:kinsoku/>
              <w:overflowPunct/>
              <w:topLinePunct w:val="0"/>
              <w:bidi w:val="0"/>
              <w:snapToGrid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不良信为记录</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bCs/>
                <w:highlight w:val="none"/>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w:t>
            </w:r>
            <w:r>
              <w:rPr>
                <w:rFonts w:hint="default" w:ascii="Times New Roman" w:hAnsi="Times New Roman" w:cs="Times New Roman"/>
                <w:highlight w:val="none"/>
              </w:rPr>
              <w:t>或被“信用中国”（www.creditchina.gov.cn）、中国政府采购网（www.ccgp.gov.cn）列入失信被执行人、重大税收违法案件当事人名单、政府采购严重违法失信行为记录名单的，其投标将作无效标处理。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15</w:t>
            </w:r>
          </w:p>
        </w:tc>
        <w:tc>
          <w:tcPr>
            <w:tcW w:w="1905" w:type="dxa"/>
            <w:vAlign w:val="center"/>
          </w:tcPr>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政府采购节能环保产品</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投标人所投的相应产品须在中国政府采购网节能清单查询目录（http://www.ccgp.gov.cn/search/jnqdchaxun.htm）或环保清单查询目录（http://www.ccgp.gov.cn/search/hbqdchaxun.htm）</w:t>
            </w:r>
            <w:r>
              <w:rPr>
                <w:rFonts w:hint="default" w:ascii="Times New Roman" w:hAnsi="Times New Roman" w:cs="Times New Roman"/>
                <w:highlight w:val="none"/>
              </w:rPr>
              <w:br w:type="textWrapping"/>
            </w:r>
            <w:r>
              <w:rPr>
                <w:rFonts w:hint="default" w:ascii="Times New Roman" w:hAnsi="Times New Roman" w:cs="Times New Roman"/>
                <w:highlight w:val="none"/>
              </w:rPr>
              <w:t xml:space="preserve">中可查询到。 </w:t>
            </w:r>
          </w:p>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bCs/>
                <w:highlight w:val="none"/>
              </w:rPr>
              <w:t>★2</w:t>
            </w:r>
            <w:r>
              <w:rPr>
                <w:rFonts w:hint="default" w:ascii="Times New Roman" w:hAnsi="Times New Roman" w:cs="Times New Roman"/>
                <w:highlight w:val="none"/>
              </w:rPr>
              <w:t>.</w:t>
            </w:r>
            <w:r>
              <w:rPr>
                <w:rFonts w:hint="default" w:ascii="Times New Roman" w:hAnsi="Times New Roman" w:cs="Times New Roman"/>
                <w:bCs/>
                <w:highlight w:val="none"/>
              </w:rPr>
              <w:t>招标需求中要求提供的产品属于节能产品</w:t>
            </w:r>
            <w:r>
              <w:rPr>
                <w:rFonts w:hint="default" w:ascii="Times New Roman" w:hAnsi="Times New Roman" w:cs="Times New Roman"/>
                <w:highlight w:val="none"/>
              </w:rPr>
              <w:t>政府采购品目</w:t>
            </w:r>
            <w:r>
              <w:rPr>
                <w:rFonts w:hint="default" w:ascii="Times New Roman" w:hAnsi="Times New Roman" w:cs="Times New Roman"/>
                <w:bCs/>
                <w:highlight w:val="none"/>
              </w:rPr>
              <w:t>清单中强制采购的，</w:t>
            </w:r>
            <w:r>
              <w:rPr>
                <w:rFonts w:hint="default" w:ascii="Times New Roman" w:hAnsi="Times New Roman" w:cs="Times New Roman"/>
                <w:highlight w:val="none"/>
              </w:rPr>
              <w:t>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16</w:t>
            </w:r>
          </w:p>
        </w:tc>
        <w:tc>
          <w:tcPr>
            <w:tcW w:w="1905" w:type="dxa"/>
            <w:vAlign w:val="center"/>
          </w:tcPr>
          <w:p>
            <w:pPr>
              <w:pageBreakBefore w:val="0"/>
              <w:widowControl w:val="0"/>
              <w:kinsoku/>
              <w:overflowPunct/>
              <w:topLinePunct w:val="0"/>
              <w:bidi w:val="0"/>
              <w:spacing w:after="0" w:line="264" w:lineRule="auto"/>
              <w:rPr>
                <w:rFonts w:hint="default" w:ascii="Times New Roman" w:hAnsi="Times New Roman" w:eastAsia="宋体" w:cs="Times New Roman"/>
                <w:highlight w:val="none"/>
              </w:rPr>
            </w:pPr>
            <w:r>
              <w:rPr>
                <w:rFonts w:hint="default" w:ascii="Times New Roman" w:hAnsi="Times New Roman" w:eastAsia="宋体" w:cs="Times New Roman"/>
                <w:highlight w:val="none"/>
                <w:lang w:val="en-US" w:eastAsia="zh-CN"/>
              </w:rPr>
              <w:t>中</w:t>
            </w:r>
            <w:r>
              <w:rPr>
                <w:rFonts w:hint="default" w:ascii="Times New Roman" w:hAnsi="Times New Roman" w:eastAsia="宋体" w:cs="Times New Roman"/>
                <w:highlight w:val="none"/>
              </w:rPr>
              <w:t>小微企业有关政策</w:t>
            </w:r>
          </w:p>
        </w:tc>
        <w:tc>
          <w:tcPr>
            <w:tcW w:w="7649" w:type="dxa"/>
            <w:vAlign w:val="center"/>
          </w:tcPr>
          <w:p>
            <w:pPr>
              <w:pageBreakBefore w:val="0"/>
              <w:widowControl w:val="0"/>
              <w:kinsoku/>
              <w:overflowPunct/>
              <w:topLinePunct w:val="0"/>
              <w:bidi w:val="0"/>
              <w:spacing w:after="0" w:line="264"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1</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根据财库[20</w:t>
            </w:r>
            <w:r>
              <w:rPr>
                <w:rFonts w:hint="default" w:ascii="Times New Roman" w:hAnsi="Times New Roman" w:eastAsia="宋体" w:cs="Times New Roman"/>
                <w:highlight w:val="none"/>
                <w:lang w:val="en-US" w:eastAsia="zh-CN"/>
              </w:rPr>
              <w:t>20</w:t>
            </w:r>
            <w:r>
              <w:rPr>
                <w:rFonts w:hint="default" w:ascii="Times New Roman" w:hAnsi="Times New Roman" w:eastAsia="宋体" w:cs="Times New Roman"/>
                <w:highlight w:val="none"/>
              </w:rPr>
              <w:t>]46号《政府采购促进中小企业发展管理办法》的相关规定，在评审时对</w:t>
            </w:r>
            <w:r>
              <w:rPr>
                <w:rFonts w:hint="default" w:ascii="Times New Roman" w:hAnsi="Times New Roman" w:eastAsia="宋体" w:cs="Times New Roman"/>
                <w:highlight w:val="none"/>
                <w:lang w:val="en-US" w:eastAsia="zh-CN"/>
              </w:rPr>
              <w:t>符合该办法规定的小微企业</w:t>
            </w:r>
            <w:r>
              <w:rPr>
                <w:rFonts w:hint="default" w:ascii="Times New Roman" w:hAnsi="Times New Roman" w:eastAsia="宋体" w:cs="Times New Roman"/>
                <w:highlight w:val="none"/>
              </w:rPr>
              <w:t>的投标报价给予6%的扣除，取扣除后的价格作为评审投标报价（此评审投标报价仅在评标时使用）。</w:t>
            </w:r>
            <w:r>
              <w:rPr>
                <w:rFonts w:hint="default" w:ascii="Times New Roman" w:hAnsi="Times New Roman" w:eastAsia="宋体" w:cs="Times New Roman"/>
                <w:highlight w:val="none"/>
                <w:lang w:val="en-US" w:eastAsia="zh-CN"/>
              </w:rPr>
              <w:t>享受相关中小企业扶持政策的</w:t>
            </w:r>
            <w:r>
              <w:rPr>
                <w:rFonts w:hint="default" w:ascii="Times New Roman" w:hAnsi="Times New Roman" w:eastAsia="宋体" w:cs="Times New Roman"/>
                <w:highlight w:val="none"/>
              </w:rPr>
              <w:t>投标人</w:t>
            </w:r>
            <w:r>
              <w:rPr>
                <w:rFonts w:hint="default" w:ascii="Times New Roman" w:hAnsi="Times New Roman" w:eastAsia="宋体" w:cs="Times New Roman"/>
                <w:highlight w:val="none"/>
                <w:lang w:eastAsia="zh-CN"/>
              </w:rPr>
              <w:t>，</w:t>
            </w:r>
            <w:r>
              <w:rPr>
                <w:rFonts w:hint="default" w:ascii="Times New Roman" w:hAnsi="Times New Roman" w:eastAsia="宋体" w:cs="Times New Roman"/>
                <w:highlight w:val="none"/>
              </w:rPr>
              <w:t>必须在投标文件中提供《中小企业声明函》。</w:t>
            </w:r>
          </w:p>
          <w:p>
            <w:pPr>
              <w:pageBreakBefore w:val="0"/>
              <w:widowControl w:val="0"/>
              <w:kinsoku/>
              <w:overflowPunct/>
              <w:topLinePunct w:val="0"/>
              <w:bidi w:val="0"/>
              <w:spacing w:after="0" w:line="264"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2</w:t>
            </w:r>
            <w:r>
              <w:rPr>
                <w:rFonts w:hint="default" w:ascii="Times New Roman" w:hAnsi="Times New Roman" w:eastAsia="宋体" w:cs="Times New Roman"/>
                <w:highlight w:val="none"/>
                <w:lang w:val="en-US" w:eastAsia="zh-CN"/>
              </w:rPr>
              <w:t>.</w:t>
            </w:r>
            <w:r>
              <w:rPr>
                <w:rFonts w:hint="default" w:ascii="Times New Roman" w:hAnsi="Times New Roman" w:eastAsia="宋体" w:cs="Times New Roman"/>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pageBreakBefore w:val="0"/>
              <w:widowControl w:val="0"/>
              <w:kinsoku/>
              <w:overflowPunct/>
              <w:topLinePunct w:val="0"/>
              <w:bidi w:val="0"/>
              <w:spacing w:after="0" w:line="264"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3.根据财库[2014]68号的相关规定，在政府采购活动中，监狱企业视同小型、微型企业，享受评审中价格扣除政策，并在投标文件中提供由省级以上监狱管理局、戒毒管理局（含新疆生产建设兵团）出具的属于监狱企业的声明文件（格式自拟）。</w:t>
            </w:r>
          </w:p>
          <w:p>
            <w:pPr>
              <w:pageBreakBefore w:val="0"/>
              <w:widowControl w:val="0"/>
              <w:kinsoku/>
              <w:overflowPunct/>
              <w:topLinePunct w:val="0"/>
              <w:bidi w:val="0"/>
              <w:spacing w:after="0" w:line="264"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4、同一投标人，小微企业、监狱企业、残疾人福利性单位价格扣除优惠只享受一次，不得重复享受。</w:t>
            </w:r>
          </w:p>
          <w:p>
            <w:pPr>
              <w:pageBreakBefore w:val="0"/>
              <w:widowControl w:val="0"/>
              <w:kinsoku/>
              <w:overflowPunct/>
              <w:topLinePunct w:val="0"/>
              <w:bidi w:val="0"/>
              <w:spacing w:after="0" w:line="264" w:lineRule="auto"/>
              <w:rPr>
                <w:rFonts w:hint="default" w:ascii="Times New Roman" w:hAnsi="Times New Roman" w:eastAsia="宋体" w:cs="Times New Roman"/>
                <w:highlight w:val="none"/>
              </w:rPr>
            </w:pPr>
            <w:r>
              <w:rPr>
                <w:rFonts w:hint="default" w:ascii="Times New Roman" w:hAnsi="Times New Roman" w:eastAsia="宋体" w:cs="Times New Roman"/>
                <w:highlight w:val="none"/>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17</w:t>
            </w:r>
          </w:p>
        </w:tc>
        <w:tc>
          <w:tcPr>
            <w:tcW w:w="1905" w:type="dxa"/>
            <w:vAlign w:val="center"/>
          </w:tcPr>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政采贷</w:t>
            </w:r>
          </w:p>
        </w:tc>
        <w:tc>
          <w:tcPr>
            <w:tcW w:w="7649" w:type="dxa"/>
            <w:vAlign w:val="center"/>
          </w:tcPr>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为支持和促进中小企业发展，进一步发挥政府采购政策功能，根据《义乌市政府采购支持中小企业信用融资暂行办法》，供应商若有融资意向，登陆义乌市公共资源交易平台（http://ywjypt.yw.gov.cn/）“政采贷”专栏进行查询，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18</w:t>
            </w:r>
          </w:p>
        </w:tc>
        <w:tc>
          <w:tcPr>
            <w:tcW w:w="1905" w:type="dxa"/>
            <w:vAlign w:val="center"/>
          </w:tcPr>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失信行为处理</w:t>
            </w:r>
          </w:p>
        </w:tc>
        <w:tc>
          <w:tcPr>
            <w:tcW w:w="7649" w:type="dxa"/>
            <w:vAlign w:val="center"/>
          </w:tcPr>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投标人发生下列情况之一时，除严格依法依规进行处理外，还将通报市信用管理部门，列入严重失信名单：</w:t>
            </w:r>
          </w:p>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（1）投标人在规定的投标有效期内撤回投标或放弃中标的；</w:t>
            </w:r>
          </w:p>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（2）有意串标或提供虚假材料的；</w:t>
            </w:r>
          </w:p>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（3）中标人在收到中标通知书后，因自身原因不能在投标有效期内和采购人签订合同。</w:t>
            </w:r>
          </w:p>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（4）中标供应商在标后履约过程中未按合同约定的期限和要求履约的。</w:t>
            </w:r>
          </w:p>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（5）因中标供应商原因在标后履约过程中擅自终止合同的。</w:t>
            </w:r>
          </w:p>
          <w:p>
            <w:pPr>
              <w:pageBreakBefore w:val="0"/>
              <w:widowControl w:val="0"/>
              <w:kinsoku/>
              <w:overflowPunct/>
              <w:topLinePunct w:val="0"/>
              <w:bidi w:val="0"/>
              <w:snapToGrid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（6）不符合招标文件要求的其他失信行为。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19</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质疑与投诉：</w:t>
            </w:r>
          </w:p>
        </w:tc>
        <w:tc>
          <w:tcPr>
            <w:tcW w:w="7649" w:type="dxa"/>
            <w:vAlign w:val="center"/>
          </w:tcPr>
          <w:p>
            <w:pPr>
              <w:pStyle w:val="29"/>
              <w:pageBreakBefore w:val="0"/>
              <w:widowControl w:val="0"/>
              <w:kinsoku/>
              <w:overflowPunct/>
              <w:topLinePunct w:val="0"/>
              <w:bidi w:val="0"/>
              <w:spacing w:after="0" w:line="264" w:lineRule="auto"/>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供应商认为采购文件、采购过程、中标结果使自己的权益受到损害的，可以在知道或者应知其权益受到损害之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9"/>
              <w:pageBreakBefore w:val="0"/>
              <w:widowControl w:val="0"/>
              <w:kinsoku/>
              <w:overflowPunct/>
              <w:topLinePunct w:val="0"/>
              <w:bidi w:val="0"/>
              <w:spacing w:after="0" w:line="264" w:lineRule="auto"/>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2.供应商可以通过政采云平台在线询问和质疑。</w:t>
            </w:r>
          </w:p>
          <w:p>
            <w:pPr>
              <w:pStyle w:val="29"/>
              <w:pageBreakBefore w:val="0"/>
              <w:widowControl w:val="0"/>
              <w:kinsoku/>
              <w:overflowPunct/>
              <w:topLinePunct w:val="0"/>
              <w:bidi w:val="0"/>
              <w:spacing w:after="0" w:line="264" w:lineRule="auto"/>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3.供应商应在法定质疑内一次性提出针对同一采购程序环节的质疑。</w:t>
            </w:r>
          </w:p>
          <w:p>
            <w:pPr>
              <w:pStyle w:val="29"/>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kern w:val="0"/>
                <w:sz w:val="24"/>
                <w:highlight w:val="none"/>
              </w:rPr>
              <w:t>4.提出质疑的供应商应当是参与所质疑项目采购活动的供应商。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2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20</w:t>
            </w:r>
          </w:p>
        </w:tc>
        <w:tc>
          <w:tcPr>
            <w:tcW w:w="190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其他</w:t>
            </w:r>
          </w:p>
        </w:tc>
        <w:tc>
          <w:tcPr>
            <w:tcW w:w="7649" w:type="dxa"/>
            <w:vAlign w:val="center"/>
          </w:tcPr>
          <w:p>
            <w:pPr>
              <w:pStyle w:val="29"/>
              <w:pageBreakBefore w:val="0"/>
              <w:widowControl w:val="0"/>
              <w:kinsoku/>
              <w:overflowPunct/>
              <w:topLinePunct w:val="0"/>
              <w:bidi w:val="0"/>
              <w:spacing w:after="0" w:line="264" w:lineRule="auto"/>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1.投标报价超过预算价或最高限价的，其投标为无效标。</w:t>
            </w:r>
          </w:p>
          <w:p>
            <w:pPr>
              <w:pStyle w:val="29"/>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kern w:val="0"/>
                <w:sz w:val="24"/>
                <w:highlight w:val="none"/>
              </w:rPr>
              <w:t>2.招标文件中要求投标人在制作投标文件时，提供的证明文件件必须根据评审细则对评审的内容要求完整、清晰可辨，否则在评审时以最不利于投标人原则评审。</w:t>
            </w:r>
          </w:p>
        </w:tc>
      </w:tr>
    </w:tbl>
    <w:p>
      <w:pPr>
        <w:pageBreakBefore w:val="0"/>
        <w:widowControl w:val="0"/>
        <w:kinsoku/>
        <w:overflowPunct/>
        <w:topLinePunct w:val="0"/>
        <w:bidi w:val="0"/>
        <w:spacing w:after="0" w:line="264" w:lineRule="auto"/>
        <w:jc w:val="center"/>
        <w:rPr>
          <w:rFonts w:hint="default" w:ascii="Times New Roman" w:hAnsi="Times New Roman" w:cs="Times New Roman"/>
          <w:sz w:val="36"/>
          <w:szCs w:val="36"/>
          <w:highlight w:val="none"/>
        </w:rPr>
      </w:pPr>
      <w:r>
        <w:rPr>
          <w:rFonts w:hint="default" w:ascii="Times New Roman" w:hAnsi="Times New Roman" w:cs="Times New Roman"/>
          <w:b/>
          <w:highlight w:val="none"/>
        </w:rPr>
        <w:t>注：投标人须知前附表内容与本招标文件后述内容不一致的，以投标须知前附表为准。</w:t>
      </w:r>
      <w:bookmarkStart w:id="21" w:name="_Toc274303228"/>
      <w:bookmarkStart w:id="22" w:name="_Toc362250686"/>
      <w:r>
        <w:rPr>
          <w:rFonts w:hint="default" w:ascii="Times New Roman" w:hAnsi="Times New Roman" w:cs="Times New Roman"/>
          <w:sz w:val="36"/>
          <w:szCs w:val="36"/>
          <w:highlight w:val="none"/>
        </w:rPr>
        <w:br w:type="page"/>
      </w:r>
      <w:bookmarkStart w:id="23" w:name="_Toc406413927"/>
      <w:r>
        <w:rPr>
          <w:rFonts w:hint="default" w:ascii="Times New Roman" w:hAnsi="Times New Roman" w:cs="Times New Roman"/>
          <w:b/>
          <w:bCs/>
          <w:sz w:val="36"/>
          <w:szCs w:val="36"/>
          <w:highlight w:val="none"/>
        </w:rPr>
        <w:t>投标须知</w:t>
      </w:r>
      <w:bookmarkEnd w:id="21"/>
      <w:bookmarkEnd w:id="22"/>
      <w:bookmarkEnd w:id="23"/>
    </w:p>
    <w:p>
      <w:pPr>
        <w:pStyle w:val="5"/>
        <w:pageBreakBefore w:val="0"/>
        <w:widowControl w:val="0"/>
        <w:kinsoku/>
        <w:overflowPunct/>
        <w:topLinePunct w:val="0"/>
        <w:bidi w:val="0"/>
        <w:spacing w:before="0" w:after="0" w:line="264" w:lineRule="auto"/>
        <w:rPr>
          <w:rFonts w:hint="default" w:ascii="Times New Roman" w:hAnsi="Times New Roman" w:eastAsia="宋体" w:cs="Times New Roman"/>
          <w:sz w:val="24"/>
          <w:szCs w:val="24"/>
          <w:highlight w:val="none"/>
        </w:rPr>
      </w:pPr>
      <w:bookmarkStart w:id="24" w:name="_Toc20676"/>
      <w:bookmarkStart w:id="25" w:name="_Toc11012"/>
      <w:bookmarkStart w:id="26" w:name="_Toc22037"/>
      <w:bookmarkStart w:id="27" w:name="_Toc8163_WPSOffice_Level2"/>
      <w:bookmarkStart w:id="28" w:name="_Toc10628"/>
      <w:bookmarkStart w:id="29" w:name="_Toc362250687"/>
      <w:bookmarkStart w:id="30" w:name="_Toc406413928"/>
      <w:bookmarkStart w:id="31" w:name="_Toc27929"/>
      <w:bookmarkStart w:id="32" w:name="_Toc274303229"/>
      <w:r>
        <w:rPr>
          <w:rFonts w:hint="default" w:ascii="Times New Roman" w:hAnsi="Times New Roman" w:eastAsia="宋体" w:cs="Times New Roman"/>
          <w:sz w:val="24"/>
          <w:szCs w:val="24"/>
          <w:highlight w:val="none"/>
        </w:rPr>
        <w:t>一、说明</w:t>
      </w:r>
      <w:bookmarkEnd w:id="24"/>
      <w:bookmarkEnd w:id="25"/>
      <w:bookmarkEnd w:id="26"/>
      <w:bookmarkEnd w:id="27"/>
      <w:bookmarkEnd w:id="28"/>
      <w:bookmarkEnd w:id="29"/>
      <w:bookmarkEnd w:id="30"/>
      <w:bookmarkEnd w:id="31"/>
      <w:bookmarkEnd w:id="32"/>
    </w:p>
    <w:p>
      <w:pPr>
        <w:pStyle w:val="23"/>
        <w:pageBreakBefore w:val="0"/>
        <w:widowControl w:val="0"/>
        <w:kinsoku/>
        <w:overflowPunct/>
        <w:topLinePunct w:val="0"/>
        <w:bidi w:val="0"/>
        <w:adjustRightInd w:val="0"/>
        <w:snapToGrid w:val="0"/>
        <w:spacing w:after="0" w:line="264" w:lineRule="auto"/>
        <w:ind w:firstLine="482"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1.适用范围</w:t>
      </w:r>
    </w:p>
    <w:p>
      <w:pPr>
        <w:pStyle w:val="23"/>
        <w:pageBreakBefore w:val="0"/>
        <w:widowControl w:val="0"/>
        <w:kinsoku/>
        <w:overflowPunct/>
        <w:topLinePunct w:val="0"/>
        <w:bidi w:val="0"/>
        <w:adjustRightInd w:val="0"/>
        <w:snapToGrid w:val="0"/>
        <w:spacing w:after="0" w:line="264" w:lineRule="auto"/>
        <w:ind w:firstLine="480" w:firstLineChars="200"/>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1.1本招标文件仅适用于本次招标采购所叙述的货物和服务项目。</w:t>
      </w:r>
    </w:p>
    <w:p>
      <w:pPr>
        <w:pStyle w:val="23"/>
        <w:pageBreakBefore w:val="0"/>
        <w:widowControl w:val="0"/>
        <w:kinsoku/>
        <w:overflowPunct/>
        <w:topLinePunct w:val="0"/>
        <w:bidi w:val="0"/>
        <w:adjustRightInd w:val="0"/>
        <w:snapToGrid w:val="0"/>
        <w:spacing w:after="0" w:line="264" w:lineRule="auto"/>
        <w:ind w:firstLine="482"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2.定义</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2.1招标方：系指的是采购人和采购代理机构</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sz w:val="24"/>
          <w:szCs w:val="24"/>
          <w:highlight w:val="none"/>
        </w:rPr>
        <w:t>2.2采购人：系指</w:t>
      </w:r>
      <w:r>
        <w:rPr>
          <w:rFonts w:hint="default" w:ascii="Times New Roman" w:hAnsi="Times New Roman" w:cs="Times New Roman"/>
          <w:color w:val="FF0000"/>
          <w:sz w:val="24"/>
          <w:szCs w:val="24"/>
          <w:highlight w:val="none"/>
        </w:rPr>
        <w:t>义乌市公安局</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采购（招标）代理机构：系指义乌市政府采购中心</w:t>
      </w:r>
    </w:p>
    <w:p>
      <w:pPr>
        <w:pStyle w:val="29"/>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2.3投标人：系指响应招标、参加投标竞争的供应商</w:t>
      </w:r>
    </w:p>
    <w:p>
      <w:pPr>
        <w:pStyle w:val="23"/>
        <w:pageBreakBefore w:val="0"/>
        <w:widowControl w:val="0"/>
        <w:kinsoku/>
        <w:overflowPunct/>
        <w:topLinePunct w:val="0"/>
        <w:bidi w:val="0"/>
        <w:adjustRightInd w:val="0"/>
        <w:snapToGrid w:val="0"/>
        <w:spacing w:after="0" w:line="264" w:lineRule="auto"/>
        <w:ind w:firstLine="480" w:firstLineChars="200"/>
        <w:jc w:val="both"/>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2.4服务：系指</w:t>
      </w:r>
      <w:r>
        <w:rPr>
          <w:rFonts w:hint="default" w:ascii="Times New Roman" w:hAnsi="Times New Roman" w:cs="Times New Roman"/>
          <w:b w:val="0"/>
          <w:color w:val="auto"/>
          <w:sz w:val="24"/>
          <w:szCs w:val="24"/>
          <w:highlight w:val="none"/>
        </w:rPr>
        <w:t>招标文件规定投标人须承担的劳务及其它类似的服务</w:t>
      </w:r>
    </w:p>
    <w:p>
      <w:pPr>
        <w:pStyle w:val="33"/>
        <w:pageBreakBefore w:val="0"/>
        <w:widowControl w:val="0"/>
        <w:kinsoku/>
        <w:overflowPunct/>
        <w:topLinePunct w:val="0"/>
        <w:bidi w:val="0"/>
        <w:adjustRightInd w:val="0"/>
        <w:snapToGrid w:val="0"/>
        <w:spacing w:after="0" w:line="264" w:lineRule="auto"/>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2.5货物：系指按招标文件规定投标人须向采购人提供的设备及附件等</w:t>
      </w:r>
    </w:p>
    <w:p>
      <w:pPr>
        <w:pStyle w:val="23"/>
        <w:pageBreakBefore w:val="0"/>
        <w:widowControl w:val="0"/>
        <w:kinsoku/>
        <w:overflowPunct/>
        <w:topLinePunct w:val="0"/>
        <w:bidi w:val="0"/>
        <w:spacing w:after="0" w:line="264" w:lineRule="auto"/>
        <w:ind w:firstLine="480" w:firstLineChars="200"/>
        <w:jc w:val="both"/>
        <w:rPr>
          <w:rFonts w:hint="default" w:ascii="Times New Roman" w:hAnsi="Times New Roman" w:cs="Times New Roman"/>
          <w:b w:val="0"/>
          <w:color w:val="auto"/>
          <w:sz w:val="24"/>
          <w:szCs w:val="24"/>
          <w:highlight w:val="none"/>
        </w:rPr>
      </w:pPr>
      <w:r>
        <w:rPr>
          <w:rFonts w:hint="default" w:ascii="Times New Roman" w:hAnsi="Times New Roman" w:cs="Times New Roman"/>
          <w:b w:val="0"/>
          <w:color w:val="auto"/>
          <w:sz w:val="24"/>
          <w:szCs w:val="24"/>
          <w:highlight w:val="none"/>
        </w:rPr>
        <w:t>2.6需方：即采购人，在招投标阶段称为采购人，在签订和执行合同阶段称为需方。</w:t>
      </w:r>
    </w:p>
    <w:p>
      <w:pPr>
        <w:pStyle w:val="23"/>
        <w:pageBreakBefore w:val="0"/>
        <w:widowControl w:val="0"/>
        <w:kinsoku/>
        <w:overflowPunct/>
        <w:topLinePunct w:val="0"/>
        <w:bidi w:val="0"/>
        <w:spacing w:after="0" w:line="264" w:lineRule="auto"/>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b w:val="0"/>
          <w:color w:val="auto"/>
          <w:sz w:val="24"/>
          <w:szCs w:val="24"/>
          <w:highlight w:val="none"/>
        </w:rPr>
        <w:t>2.7供方：在招投标阶段称为投标人，中标后在签订和执行合同阶段称为供方。</w:t>
      </w:r>
    </w:p>
    <w:p>
      <w:pPr>
        <w:pStyle w:val="33"/>
        <w:pageBreakBefore w:val="0"/>
        <w:widowControl w:val="0"/>
        <w:kinsoku/>
        <w:overflowPunct/>
        <w:topLinePunct w:val="0"/>
        <w:bidi w:val="0"/>
        <w:adjustRightInd w:val="0"/>
        <w:snapToGrid w:val="0"/>
        <w:spacing w:after="0" w:line="264" w:lineRule="auto"/>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2.8“原产地”是指货物开采、生长或生产、或提供有关服务的来源地。</w:t>
      </w:r>
    </w:p>
    <w:p>
      <w:pPr>
        <w:pStyle w:val="33"/>
        <w:pageBreakBefore w:val="0"/>
        <w:widowControl w:val="0"/>
        <w:kinsoku/>
        <w:overflowPunct/>
        <w:topLinePunct w:val="0"/>
        <w:bidi w:val="0"/>
        <w:adjustRightInd w:val="0"/>
        <w:snapToGrid w:val="0"/>
        <w:spacing w:after="0" w:line="264" w:lineRule="auto"/>
        <w:ind w:firstLineChars="200"/>
        <w:rPr>
          <w:rFonts w:hint="default" w:ascii="Times New Roman" w:hAnsi="Times New Roman" w:eastAsia="宋体" w:cs="Times New Roman"/>
          <w:szCs w:val="24"/>
          <w:highlight w:val="none"/>
        </w:rPr>
      </w:pPr>
      <w:r>
        <w:rPr>
          <w:rFonts w:hint="default" w:ascii="Times New Roman" w:hAnsi="Times New Roman" w:eastAsia="宋体" w:cs="Times New Roman"/>
          <w:szCs w:val="24"/>
          <w:highlight w:val="none"/>
        </w:rPr>
        <w:t>2.9“★”标记系指必须满足不能负偏离或必须应答的条款。</w:t>
      </w:r>
    </w:p>
    <w:p>
      <w:pPr>
        <w:pStyle w:val="23"/>
        <w:pageBreakBefore w:val="0"/>
        <w:widowControl w:val="0"/>
        <w:kinsoku/>
        <w:overflowPunct/>
        <w:topLinePunct w:val="0"/>
        <w:bidi w:val="0"/>
        <w:adjustRightInd w:val="0"/>
        <w:snapToGrid w:val="0"/>
        <w:spacing w:after="0" w:line="264" w:lineRule="auto"/>
        <w:ind w:firstLine="482"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3.合格的投标人</w:t>
      </w:r>
    </w:p>
    <w:p>
      <w:pPr>
        <w:pStyle w:val="23"/>
        <w:pageBreakBefore w:val="0"/>
        <w:widowControl w:val="0"/>
        <w:kinsoku/>
        <w:overflowPunct/>
        <w:topLinePunct w:val="0"/>
        <w:bidi w:val="0"/>
        <w:adjustRightInd w:val="0"/>
        <w:snapToGrid w:val="0"/>
        <w:spacing w:after="0" w:line="264" w:lineRule="auto"/>
        <w:ind w:firstLine="480" w:firstLineChars="200"/>
        <w:jc w:val="both"/>
        <w:rPr>
          <w:rFonts w:hint="default" w:ascii="Times New Roman" w:hAnsi="Times New Roman" w:cs="Times New Roman"/>
          <w:color w:val="auto"/>
          <w:sz w:val="24"/>
          <w:szCs w:val="24"/>
          <w:highlight w:val="none"/>
        </w:rPr>
      </w:pPr>
      <w:r>
        <w:rPr>
          <w:rFonts w:hint="default" w:ascii="Times New Roman" w:hAnsi="Times New Roman" w:cs="Times New Roman"/>
          <w:b w:val="0"/>
          <w:bCs w:val="0"/>
          <w:color w:val="auto"/>
          <w:sz w:val="24"/>
          <w:szCs w:val="24"/>
          <w:highlight w:val="none"/>
        </w:rPr>
        <w:t>符合第一章采购公告中关于“投标人资格条件”规定的投标人。</w:t>
      </w:r>
    </w:p>
    <w:p>
      <w:pPr>
        <w:pStyle w:val="29"/>
        <w:pageBreakBefore w:val="0"/>
        <w:widowControl w:val="0"/>
        <w:kinsoku/>
        <w:overflowPunct/>
        <w:topLinePunct w:val="0"/>
        <w:bidi w:val="0"/>
        <w:spacing w:after="0" w:line="264" w:lineRule="auto"/>
        <w:ind w:firstLine="482" w:firstLineChars="20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4.保证</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投标单位应保证所提交给采购代理机构和采购人的资料和数据是真实、有效的。</w:t>
      </w:r>
    </w:p>
    <w:p>
      <w:pPr>
        <w:pStyle w:val="29"/>
        <w:pageBreakBefore w:val="0"/>
        <w:widowControl w:val="0"/>
        <w:kinsoku/>
        <w:overflowPunct/>
        <w:topLinePunct w:val="0"/>
        <w:bidi w:val="0"/>
        <w:spacing w:after="0" w:line="264"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5.标投标费用</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b/>
          <w:sz w:val="24"/>
          <w:szCs w:val="24"/>
          <w:highlight w:val="none"/>
        </w:rPr>
      </w:pPr>
      <w:r>
        <w:rPr>
          <w:rFonts w:hint="default" w:ascii="Times New Roman" w:hAnsi="Times New Roman" w:cs="Times New Roman"/>
          <w:sz w:val="24"/>
          <w:szCs w:val="24"/>
          <w:highlight w:val="none"/>
        </w:rPr>
        <w:t>不论投标过程中的作法和结果如何，投标人应承担所有与投标有关的全部费用。采购人和采购代理机构在任何情况下均无义务和责任承担上述这些费用。</w:t>
      </w:r>
    </w:p>
    <w:p>
      <w:pPr>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highlight w:val="none"/>
        </w:rPr>
      </w:pPr>
      <w:r>
        <w:rPr>
          <w:rFonts w:hint="default" w:ascii="Times New Roman" w:hAnsi="Times New Roman" w:cs="Times New Roman"/>
          <w:b/>
          <w:highlight w:val="none"/>
        </w:rPr>
        <w:t>6.转包及分包</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本项目不接受转包及分包。</w:t>
      </w:r>
    </w:p>
    <w:p>
      <w:pPr>
        <w:pStyle w:val="5"/>
        <w:pageBreakBefore w:val="0"/>
        <w:widowControl w:val="0"/>
        <w:kinsoku/>
        <w:overflowPunct/>
        <w:topLinePunct w:val="0"/>
        <w:bidi w:val="0"/>
        <w:spacing w:before="0" w:after="0" w:line="264" w:lineRule="auto"/>
        <w:rPr>
          <w:rFonts w:hint="default" w:ascii="Times New Roman" w:hAnsi="Times New Roman" w:eastAsia="宋体" w:cs="Times New Roman"/>
          <w:sz w:val="24"/>
          <w:szCs w:val="24"/>
          <w:highlight w:val="none"/>
        </w:rPr>
      </w:pPr>
      <w:bookmarkStart w:id="33" w:name="_Toc18971_WPSOffice_Level2"/>
      <w:bookmarkStart w:id="34" w:name="_Toc362250688"/>
      <w:bookmarkStart w:id="35" w:name="_Toc25174"/>
      <w:bookmarkStart w:id="36" w:name="_Toc16769"/>
      <w:bookmarkStart w:id="37" w:name="_Toc274303230"/>
      <w:bookmarkStart w:id="38" w:name="_Toc406413929"/>
      <w:bookmarkStart w:id="39" w:name="_Toc10953"/>
      <w:bookmarkStart w:id="40" w:name="_Toc893"/>
      <w:bookmarkStart w:id="41" w:name="_Toc351"/>
      <w:r>
        <w:rPr>
          <w:rFonts w:hint="default" w:ascii="Times New Roman" w:hAnsi="Times New Roman" w:eastAsia="宋体" w:cs="Times New Roman"/>
          <w:sz w:val="24"/>
          <w:szCs w:val="24"/>
          <w:highlight w:val="none"/>
        </w:rPr>
        <w:t>二、招标文件</w:t>
      </w:r>
      <w:bookmarkEnd w:id="33"/>
      <w:bookmarkEnd w:id="34"/>
      <w:bookmarkEnd w:id="35"/>
      <w:bookmarkEnd w:id="36"/>
      <w:bookmarkEnd w:id="37"/>
      <w:bookmarkEnd w:id="38"/>
      <w:bookmarkEnd w:id="39"/>
      <w:bookmarkEnd w:id="40"/>
      <w:bookmarkEnd w:id="41"/>
    </w:p>
    <w:p>
      <w:pPr>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7.招标文件的组成</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7.1招标文件包括下列内容：</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第一章采购公告</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第二章投标须知和投标须知前附表</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第三章招标项目要求</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第四章开标、评标和定标</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第五章投标文件的有效性</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第六章评标办法</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第七章合同主要条款</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第八章投标文件部分格式</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7.2除7.1内容外，招标方在投标文件递交截止日前以公告形式发出的对招标文件的澄清或修改内容，均为招标文件的组成部分，对招标方和投标人起约束作用。</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7.3上述所列7.1及7.2条内容均以公告内容为准，招标方的任何工作人员对投标人所作的任何口头解释、介绍、答复，对招标方和投标人无任何约束力。</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7.4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pStyle w:val="2"/>
        <w:pageBreakBefore w:val="0"/>
        <w:widowControl w:val="0"/>
        <w:kinsoku/>
        <w:overflowPunct/>
        <w:topLinePunct w:val="0"/>
        <w:bidi w:val="0"/>
        <w:spacing w:after="0" w:line="264" w:lineRule="auto"/>
        <w:ind w:left="480" w:firstLine="0" w:firstLineChars="0"/>
        <w:rPr>
          <w:rFonts w:hint="default" w:ascii="Times New Roman" w:hAnsi="Times New Roman" w:cs="Times New Roman"/>
          <w:highlight w:val="none"/>
        </w:rPr>
      </w:pPr>
      <w:r>
        <w:rPr>
          <w:rFonts w:hint="default" w:ascii="Times New Roman" w:hAnsi="Times New Roman" w:cs="Times New Roman"/>
          <w:b/>
          <w:color w:val="000000" w:themeColor="text1"/>
          <w:highlight w:val="none"/>
        </w:rPr>
        <w:t>7.5招标方在政采云系统上设定的内容与招标文件的内容如有不一致的，以招标文件为准。</w:t>
      </w:r>
    </w:p>
    <w:p>
      <w:pPr>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8.招标文件的澄清</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bookmarkStart w:id="42" w:name="_Toc406413930"/>
      <w:bookmarkStart w:id="43" w:name="_Toc274303231"/>
      <w:bookmarkStart w:id="44" w:name="_Toc362250689"/>
      <w:r>
        <w:rPr>
          <w:rFonts w:hint="default" w:ascii="Times New Roman" w:hAnsi="Times New Roman" w:cs="Times New Roman"/>
          <w:highlight w:val="none"/>
        </w:rPr>
        <w:t>8.1投标人若对招标文件有任何疑问，应于前附表规定的时间以书面形式送（传真）向采购人和代理机构提出。</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color w:val="FF0000"/>
          <w:highlight w:val="none"/>
        </w:rPr>
      </w:pPr>
      <w:r>
        <w:rPr>
          <w:rFonts w:hint="default" w:ascii="Times New Roman" w:hAnsi="Times New Roman" w:cs="Times New Roman"/>
          <w:highlight w:val="none"/>
        </w:rPr>
        <w:t>8.2无论是招标方根据需要主动对招标文件进行必要澄清，或是根据投标人的要求对招标文件做出澄清，</w:t>
      </w:r>
      <w:r>
        <w:rPr>
          <w:rFonts w:hint="default" w:ascii="Times New Roman" w:hAnsi="Times New Roman" w:cs="Times New Roman"/>
          <w:b/>
          <w:highlight w:val="none"/>
          <w:u w:val="single"/>
        </w:rPr>
        <w:t>招标方的书面澄清（更正）文件会在浙江省政府网上发布公告，同时政采云系统会向所有已按招标文件规定方式获取招标文件的潜在供应商发送更正提醒信息，潜在供应商请自行到浙江省政府采网上下载澄清（更正）文件，潜在供应商在收到该澄清（更正）文件后应于1日内，以书面或传真形式（签署意见并加盖公章）向招标代理机构回函给予确认。过期未回复的，视为默认接受。</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8.3投标人在前附表规定时间未提交疑问或质疑的，视作默认对本次招标过程中招标文件无异议，招标方对其提出的问题可以不予受理。</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8.4招标文件澄清、变更、补充等内容均以浙江政府采购网公示的内容为准。当招标文件、招标文件的澄清、变更、补充等在同一内容的表述上不一致时，以最后在浙江政府采购网发出的公示内容为准。</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8.5采购人及招标代理机构工作人员向投标人所作的任何口头答复或电话通知一律无效。</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8.6投标人应仔细阅读和检查招标文件的全部内容。如发现缺页或附件不全，应及时向招标方提出，以便补齐。如有疑问，应在投标人须知前附表规定的方式及时间前不署名书面或传真形式要求澄清问题的文件，要求招标方对招标文件予以澄清。否则，由此引起的损失由投标人自己承担。</w:t>
      </w:r>
    </w:p>
    <w:p>
      <w:pPr>
        <w:pStyle w:val="5"/>
        <w:pageBreakBefore w:val="0"/>
        <w:widowControl w:val="0"/>
        <w:kinsoku/>
        <w:overflowPunct/>
        <w:topLinePunct w:val="0"/>
        <w:bidi w:val="0"/>
        <w:spacing w:before="0" w:after="0" w:line="264" w:lineRule="auto"/>
        <w:rPr>
          <w:rFonts w:hint="default" w:ascii="Times New Roman" w:hAnsi="Times New Roman" w:eastAsia="宋体" w:cs="Times New Roman"/>
          <w:sz w:val="24"/>
          <w:szCs w:val="24"/>
          <w:highlight w:val="none"/>
        </w:rPr>
      </w:pPr>
      <w:bookmarkStart w:id="45" w:name="_Toc14588"/>
      <w:bookmarkStart w:id="46" w:name="_Toc15242_WPSOffice_Level2"/>
      <w:bookmarkStart w:id="47" w:name="_Toc30766"/>
      <w:bookmarkStart w:id="48" w:name="_Toc27200"/>
      <w:bookmarkStart w:id="49" w:name="_Toc5301"/>
      <w:bookmarkStart w:id="50" w:name="_Toc16010"/>
      <w:r>
        <w:rPr>
          <w:rFonts w:hint="default" w:ascii="Times New Roman" w:hAnsi="Times New Roman" w:eastAsia="宋体" w:cs="Times New Roman"/>
          <w:sz w:val="24"/>
          <w:szCs w:val="24"/>
          <w:highlight w:val="none"/>
        </w:rPr>
        <w:t>三、投标文件</w:t>
      </w:r>
      <w:bookmarkEnd w:id="42"/>
      <w:bookmarkEnd w:id="43"/>
      <w:bookmarkEnd w:id="44"/>
      <w:bookmarkEnd w:id="45"/>
      <w:bookmarkEnd w:id="46"/>
      <w:bookmarkEnd w:id="47"/>
      <w:bookmarkEnd w:id="48"/>
      <w:bookmarkEnd w:id="49"/>
      <w:bookmarkEnd w:id="50"/>
    </w:p>
    <w:p>
      <w:pPr>
        <w:pageBreakBefore w:val="0"/>
        <w:widowControl w:val="0"/>
        <w:kinsoku/>
        <w:overflowPunct/>
        <w:topLinePunct w:val="0"/>
        <w:bidi w:val="0"/>
        <w:spacing w:after="0" w:line="264" w:lineRule="auto"/>
        <w:ind w:firstLine="480"/>
        <w:rPr>
          <w:rFonts w:hint="default" w:ascii="Times New Roman" w:hAnsi="Times New Roman" w:cs="Times New Roman"/>
          <w:b/>
          <w:bCs/>
          <w:highlight w:val="none"/>
        </w:rPr>
      </w:pPr>
      <w:r>
        <w:rPr>
          <w:rFonts w:hint="default" w:ascii="Times New Roman" w:hAnsi="Times New Roman" w:cs="Times New Roman"/>
          <w:b/>
          <w:bCs/>
          <w:highlight w:val="none"/>
        </w:rPr>
        <w:t>9.投标文件的组成</w:t>
      </w:r>
    </w:p>
    <w:p>
      <w:pPr>
        <w:pageBreakBefore w:val="0"/>
        <w:widowControl w:val="0"/>
        <w:kinsoku/>
        <w:overflowPunct/>
        <w:topLinePunct w:val="0"/>
        <w:bidi w:val="0"/>
        <w:spacing w:after="0" w:line="264" w:lineRule="auto"/>
        <w:ind w:firstLine="480"/>
        <w:rPr>
          <w:rFonts w:hint="default" w:ascii="Times New Roman" w:hAnsi="Times New Roman" w:cs="Times New Roman"/>
          <w:b/>
          <w:szCs w:val="21"/>
          <w:highlight w:val="none"/>
          <w:u w:val="single"/>
        </w:rPr>
      </w:pPr>
      <w:r>
        <w:rPr>
          <w:rFonts w:hint="default" w:ascii="Times New Roman" w:hAnsi="Times New Roman" w:cs="Times New Roman"/>
          <w:b/>
          <w:bCs/>
          <w:highlight w:val="none"/>
        </w:rPr>
        <w:t>9</w:t>
      </w:r>
      <w:r>
        <w:rPr>
          <w:rFonts w:hint="default" w:ascii="Times New Roman" w:hAnsi="Times New Roman" w:cs="Times New Roman"/>
          <w:b/>
          <w:szCs w:val="21"/>
          <w:highlight w:val="none"/>
        </w:rPr>
        <w:t>.1投标文件由资格响应文件、商务技术响应文件和报价响应文件组成，以下的“格式”，指的是第八章投标文件格式中的表格；</w:t>
      </w:r>
    </w:p>
    <w:p>
      <w:pPr>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szCs w:val="21"/>
          <w:highlight w:val="none"/>
          <w:u w:val="single"/>
        </w:rPr>
      </w:pPr>
      <w:r>
        <w:rPr>
          <w:rFonts w:hint="default" w:ascii="Times New Roman" w:hAnsi="Times New Roman" w:cs="Times New Roman"/>
          <w:b/>
          <w:szCs w:val="21"/>
          <w:highlight w:val="none"/>
        </w:rPr>
        <w:t>9.1.1资格响应文件：包含以下内容</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highlight w:val="none"/>
        </w:rPr>
      </w:pPr>
      <w:r>
        <w:rPr>
          <w:rFonts w:hint="default" w:ascii="Times New Roman" w:hAnsi="Times New Roman" w:cs="Times New Roman"/>
          <w:highlight w:val="none"/>
        </w:rPr>
        <w:t>★①义乌市政府采购项目投标承诺书（见格式）</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highlight w:val="none"/>
        </w:rPr>
      </w:pPr>
      <w:r>
        <w:rPr>
          <w:rFonts w:hint="default" w:ascii="Times New Roman" w:hAnsi="Times New Roman" w:cs="Times New Roman"/>
          <w:highlight w:val="none"/>
        </w:rPr>
        <w:t>★②单位营业执照副本等经营资格证明文件扫描件（加盖电子签章）</w:t>
      </w:r>
    </w:p>
    <w:p>
      <w:pPr>
        <w:pStyle w:val="49"/>
        <w:pageBreakBefore w:val="0"/>
        <w:widowControl w:val="0"/>
        <w:kinsoku/>
        <w:overflowPunct/>
        <w:topLinePunct w:val="0"/>
        <w:bidi w:val="0"/>
        <w:spacing w:after="0" w:line="264" w:lineRule="auto"/>
        <w:ind w:left="480" w:leftChars="200"/>
        <w:textAlignment w:val="baseline"/>
        <w:rPr>
          <w:rFonts w:hint="default" w:ascii="Times New Roman" w:hAnsi="Times New Roman" w:cs="Times New Roman"/>
          <w:highlight w:val="none"/>
        </w:rPr>
      </w:pPr>
      <w:r>
        <w:rPr>
          <w:rFonts w:hint="default" w:ascii="Times New Roman" w:hAnsi="Times New Roman" w:cs="Times New Roman"/>
          <w:highlight w:val="none"/>
        </w:rPr>
        <w:t>③投标人实力与资信情况介绍</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highlight w:val="none"/>
        </w:rPr>
      </w:pPr>
      <w:r>
        <w:rPr>
          <w:rFonts w:hint="default" w:ascii="Times New Roman" w:hAnsi="Times New Roman" w:cs="Times New Roman"/>
          <w:highlight w:val="none"/>
        </w:rPr>
        <w:t>④投标人认为需要提供的其他文件或说明</w:t>
      </w:r>
    </w:p>
    <w:p>
      <w:pPr>
        <w:pStyle w:val="49"/>
        <w:pageBreakBefore w:val="0"/>
        <w:widowControl w:val="0"/>
        <w:kinsoku/>
        <w:overflowPunct/>
        <w:topLinePunct w:val="0"/>
        <w:bidi w:val="0"/>
        <w:spacing w:after="0" w:line="264" w:lineRule="auto"/>
        <w:ind w:firstLine="482" w:firstLineChars="200"/>
        <w:textAlignment w:val="baseline"/>
        <w:rPr>
          <w:rFonts w:hint="default" w:ascii="Times New Roman" w:hAnsi="Times New Roman" w:cs="Times New Roman"/>
          <w:b/>
          <w:highlight w:val="none"/>
        </w:rPr>
      </w:pPr>
      <w:r>
        <w:rPr>
          <w:rFonts w:hint="default" w:ascii="Times New Roman" w:hAnsi="Times New Roman" w:cs="Times New Roman"/>
          <w:b/>
          <w:highlight w:val="none"/>
        </w:rPr>
        <w:t>9.1.2商务技术响应文件</w:t>
      </w:r>
      <w:r>
        <w:rPr>
          <w:rFonts w:hint="default" w:ascii="Times New Roman" w:hAnsi="Times New Roman" w:cs="Times New Roman"/>
          <w:b/>
          <w:szCs w:val="21"/>
          <w:highlight w:val="none"/>
        </w:rPr>
        <w:t>：包含以下内容</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default" w:ascii="Times New Roman" w:hAnsi="Times New Roman" w:cs="Times New Roman"/>
          <w:highlight w:val="none"/>
        </w:rPr>
        <w:t>★①</w:t>
      </w:r>
      <w:r>
        <w:rPr>
          <w:rFonts w:hint="default" w:ascii="Times New Roman" w:hAnsi="Times New Roman" w:cs="Times New Roman" w:eastAsiaTheme="minorEastAsia"/>
          <w:highlight w:val="none"/>
        </w:rPr>
        <w:t>参投货物说明一览表（见格式）</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★②规范偏离表（见格式）</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★③项目经理简历表（见格式）</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★④项目经理具有的信息系统项目管理师（高级）证书扫描件（加盖电子签章）</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★⑤项目组成主要成员表（见格式）</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★⑥产品质量及售后服务承诺书（见格式）</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⑦投标人在浙江省范围内设有服务和技术支持机构注册资料扫描件（加盖电子签章）（投标前已设立售后服务和技术支持机构投标人适用），或售后服务机构设立承诺书（加盖电子签章）（投标前未在浙江省范围内设有服务和技术支持机构投标人适用）</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★⑧投标人承诺智能视觉系统与金华“雪亮平台”无缝对接</w:t>
      </w:r>
      <w:r>
        <w:rPr>
          <w:rFonts w:hint="eastAsia" w:ascii="Times New Roman" w:hAnsi="Times New Roman" w:cs="Times New Roman" w:eastAsiaTheme="minorEastAsia"/>
          <w:highlight w:val="none"/>
          <w:lang w:eastAsia="zh-CN"/>
        </w:rPr>
        <w:t>的承诺函</w:t>
      </w:r>
      <w:r>
        <w:rPr>
          <w:rFonts w:hint="default" w:ascii="Times New Roman" w:hAnsi="Times New Roman" w:cs="Times New Roman" w:eastAsiaTheme="minorEastAsia"/>
          <w:highlight w:val="none"/>
        </w:rPr>
        <w:t>（加盖电子签章）</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eastAsia" w:ascii="Times New Roman" w:hAnsi="Times New Roman" w:cs="Times New Roman" w:eastAsiaTheme="minorEastAsia"/>
          <w:highlight w:val="none"/>
        </w:rPr>
        <w:t>⑨</w:t>
      </w:r>
      <w:r>
        <w:rPr>
          <w:rFonts w:hint="default" w:ascii="Times New Roman" w:hAnsi="Times New Roman" w:cs="Times New Roman" w:eastAsiaTheme="minorEastAsia"/>
          <w:highlight w:val="none"/>
        </w:rPr>
        <w:t>项目实施方案（格式自拟）</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eastAsiaTheme="minorEastAsia"/>
          <w:highlight w:val="none"/>
        </w:rPr>
      </w:pPr>
      <w:r>
        <w:rPr>
          <w:rFonts w:hint="eastAsia" w:ascii="Times New Roman" w:hAnsi="Times New Roman" w:cs="Times New Roman" w:eastAsiaTheme="minorEastAsia"/>
          <w:highlight w:val="none"/>
        </w:rPr>
        <w:t>⑩</w:t>
      </w:r>
      <w:r>
        <w:rPr>
          <w:rFonts w:hint="default" w:ascii="Times New Roman" w:hAnsi="Times New Roman" w:cs="Times New Roman" w:eastAsiaTheme="minorEastAsia"/>
          <w:highlight w:val="none"/>
        </w:rPr>
        <w:t>根据评审需要、技术打分规则、招标文件要求等,投标方自行考虑需提供的资料</w:t>
      </w:r>
    </w:p>
    <w:p>
      <w:pPr>
        <w:pStyle w:val="49"/>
        <w:pageBreakBefore w:val="0"/>
        <w:widowControl w:val="0"/>
        <w:kinsoku/>
        <w:overflowPunct/>
        <w:topLinePunct w:val="0"/>
        <w:bidi w:val="0"/>
        <w:spacing w:after="0" w:line="264" w:lineRule="auto"/>
        <w:ind w:firstLine="482" w:firstLineChars="200"/>
        <w:textAlignment w:val="baseline"/>
        <w:rPr>
          <w:rFonts w:hint="default" w:ascii="Times New Roman" w:hAnsi="Times New Roman" w:cs="Times New Roman"/>
          <w:b/>
          <w:highlight w:val="none"/>
        </w:rPr>
      </w:pPr>
      <w:r>
        <w:rPr>
          <w:rFonts w:hint="default" w:ascii="Times New Roman" w:hAnsi="Times New Roman" w:cs="Times New Roman"/>
          <w:b/>
          <w:highlight w:val="none"/>
        </w:rPr>
        <w:t>9.1.3报价响应文件：包含下列内容</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★①开标一览表（见格式）</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★②项目成本报价表（见格式）</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③</w:t>
      </w:r>
      <w:r>
        <w:rPr>
          <w:rFonts w:hint="default" w:ascii="Times New Roman" w:hAnsi="Times New Roman" w:eastAsia="宋体" w:cs="Times New Roman"/>
          <w:highlight w:val="none"/>
          <w:lang w:eastAsia="zh-CN"/>
        </w:rPr>
        <w:t>中小企业声明函（见格式）（</w:t>
      </w:r>
      <w:r>
        <w:rPr>
          <w:rFonts w:hint="default" w:ascii="Times New Roman" w:hAnsi="Times New Roman" w:eastAsia="宋体" w:cs="Times New Roman"/>
          <w:highlight w:val="none"/>
          <w:lang w:val="en-US" w:eastAsia="zh-CN"/>
        </w:rPr>
        <w:t>符合</w:t>
      </w:r>
      <w:r>
        <w:rPr>
          <w:rFonts w:hint="default" w:ascii="Times New Roman" w:hAnsi="Times New Roman" w:eastAsia="宋体" w:cs="Times New Roman"/>
          <w:highlight w:val="none"/>
        </w:rPr>
        <w:t>小微企业有关政策</w:t>
      </w:r>
      <w:r>
        <w:rPr>
          <w:rFonts w:hint="default" w:ascii="Times New Roman" w:hAnsi="Times New Roman" w:eastAsia="宋体" w:cs="Times New Roman"/>
          <w:highlight w:val="none"/>
          <w:lang w:eastAsia="zh-CN"/>
        </w:rPr>
        <w:t>的投标人需提供本项材料。</w:t>
      </w:r>
      <w:r>
        <w:rPr>
          <w:rFonts w:hint="default" w:ascii="Times New Roman" w:hAnsi="Times New Roman" w:eastAsia="宋体" w:cs="Times New Roman"/>
          <w:highlight w:val="none"/>
          <w:lang w:val="en-US" w:eastAsia="zh-CN"/>
        </w:rPr>
        <w:t>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r>
        <w:rPr>
          <w:rFonts w:hint="default" w:ascii="Times New Roman" w:hAnsi="Times New Roman" w:eastAsia="宋体" w:cs="Times New Roman"/>
          <w:highlight w:val="none"/>
          <w:lang w:eastAsia="zh-CN"/>
        </w:rPr>
        <w:t>）</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④残疾人福利性单位声明函（见格式）（</w:t>
      </w:r>
      <w:r>
        <w:rPr>
          <w:rFonts w:hint="default" w:ascii="Times New Roman" w:hAnsi="Times New Roman" w:eastAsia="宋体" w:cs="Times New Roman"/>
          <w:highlight w:val="none"/>
          <w:lang w:val="en-US" w:eastAsia="zh-CN"/>
        </w:rPr>
        <w:t>符合</w:t>
      </w:r>
      <w:r>
        <w:rPr>
          <w:rFonts w:hint="default" w:ascii="Times New Roman" w:hAnsi="Times New Roman" w:eastAsia="宋体" w:cs="Times New Roman"/>
          <w:highlight w:val="none"/>
        </w:rPr>
        <w:t>残疾人福利性单位有关政策的投标人需提供本项材料）</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eastAsia="宋体" w:cs="Times New Roman"/>
          <w:highlight w:val="none"/>
        </w:rPr>
      </w:pPr>
      <w:r>
        <w:rPr>
          <w:rFonts w:hint="default" w:ascii="Times New Roman" w:hAnsi="Times New Roman" w:eastAsia="宋体" w:cs="Times New Roman"/>
          <w:highlight w:val="none"/>
        </w:rPr>
        <w:t>⑤省级及以上监狱管理局、戒毒管理局（含新疆生产建设兵团）出具的属于监狱企业的文件</w:t>
      </w:r>
      <w:r>
        <w:rPr>
          <w:rFonts w:hint="default" w:ascii="Times New Roman" w:hAnsi="Times New Roman" w:eastAsia="宋体" w:cs="Times New Roman"/>
          <w:highlight w:val="none"/>
          <w:lang w:val="en-US" w:eastAsia="zh-CN"/>
        </w:rPr>
        <w:t>扫描件</w:t>
      </w:r>
      <w:r>
        <w:rPr>
          <w:rFonts w:hint="default" w:ascii="Times New Roman" w:hAnsi="Times New Roman" w:eastAsia="宋体" w:cs="Times New Roman"/>
          <w:highlight w:val="none"/>
        </w:rPr>
        <w:t>加盖</w:t>
      </w:r>
      <w:r>
        <w:rPr>
          <w:rFonts w:hint="default" w:ascii="Times New Roman" w:hAnsi="Times New Roman" w:eastAsia="宋体" w:cs="Times New Roman"/>
          <w:highlight w:val="none"/>
          <w:lang w:eastAsia="zh-CN"/>
        </w:rPr>
        <w:t>电子签章</w:t>
      </w:r>
      <w:r>
        <w:rPr>
          <w:rFonts w:hint="default" w:ascii="Times New Roman" w:hAnsi="Times New Roman" w:eastAsia="宋体" w:cs="Times New Roman"/>
          <w:highlight w:val="none"/>
        </w:rPr>
        <w:t>（</w:t>
      </w:r>
      <w:r>
        <w:rPr>
          <w:rFonts w:hint="default" w:ascii="Times New Roman" w:hAnsi="Times New Roman" w:eastAsia="宋体" w:cs="Times New Roman"/>
          <w:highlight w:val="none"/>
          <w:lang w:val="en-US" w:eastAsia="zh-CN"/>
        </w:rPr>
        <w:t>符合</w:t>
      </w:r>
      <w:r>
        <w:rPr>
          <w:rFonts w:hint="default" w:ascii="Times New Roman" w:hAnsi="Times New Roman" w:eastAsia="宋体" w:cs="Times New Roman"/>
          <w:highlight w:val="none"/>
        </w:rPr>
        <w:t>监狱企业有关政策的投标人需提供本项材料）</w:t>
      </w:r>
    </w:p>
    <w:p>
      <w:pPr>
        <w:pStyle w:val="29"/>
        <w:pageBreakBefore w:val="0"/>
        <w:widowControl w:val="0"/>
        <w:kinsoku/>
        <w:overflowPunct/>
        <w:topLinePunct w:val="0"/>
        <w:bidi w:val="0"/>
        <w:spacing w:after="0" w:line="264"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10.投标文件编制要求</w:t>
      </w:r>
    </w:p>
    <w:p>
      <w:pPr>
        <w:pStyle w:val="49"/>
        <w:pageBreakBefore w:val="0"/>
        <w:widowControl w:val="0"/>
        <w:kinsoku/>
        <w:overflowPunct/>
        <w:topLinePunct w:val="0"/>
        <w:bidi w:val="0"/>
        <w:spacing w:after="0" w:line="264" w:lineRule="auto"/>
        <w:ind w:firstLine="480" w:firstLineChars="200"/>
        <w:textAlignment w:val="baseline"/>
        <w:rPr>
          <w:rFonts w:hint="default" w:ascii="Times New Roman" w:hAnsi="Times New Roman" w:cs="Times New Roman"/>
          <w:highlight w:val="none"/>
        </w:rPr>
      </w:pPr>
      <w:r>
        <w:rPr>
          <w:rFonts w:hint="default" w:ascii="Times New Roman" w:hAnsi="Times New Roman" w:cs="Times New Roman"/>
          <w:highlight w:val="none"/>
        </w:rPr>
        <w:t>10.1投标人应仔细阅读招标文件，了解招标文件的要求，在完全了解招标项目的技术要求和商务要求后，编制投标文件。</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10.2在招标文件对技术要求中，投标人必须充分应答和满足用户的强制性的需求，如“★”等，否则将导致无效标。</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10.3编制的投标文件对招标文件中有关条款未提出异议的，均被视为接受和同意。</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10.4投标人应根据电子投标操作指南按本招标文件规定的格式和顺序编制电子投标文件并进行关联定位。</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10.5由于未按招标文件的规定要求编制投标文件，导致评审小组作出的对投标人的误判，责任由投标人自己承担。</w:t>
      </w:r>
    </w:p>
    <w:p>
      <w:pPr>
        <w:pageBreakBefore w:val="0"/>
        <w:widowControl w:val="0"/>
        <w:kinsoku/>
        <w:overflowPunct/>
        <w:topLinePunct w:val="0"/>
        <w:bidi w:val="0"/>
        <w:adjustRightInd w:val="0"/>
        <w:snapToGrid w:val="0"/>
        <w:spacing w:after="0" w:line="264" w:lineRule="auto"/>
        <w:ind w:firstLine="480"/>
        <w:rPr>
          <w:rFonts w:hint="default" w:ascii="Times New Roman" w:hAnsi="Times New Roman" w:cs="Times New Roman"/>
          <w:highlight w:val="none"/>
        </w:rPr>
      </w:pPr>
      <w:r>
        <w:rPr>
          <w:rFonts w:hint="default" w:ascii="Times New Roman" w:hAnsi="Times New Roman" w:cs="Times New Roman"/>
          <w:b/>
          <w:highlight w:val="none"/>
        </w:rPr>
        <w:t>11.</w:t>
      </w:r>
      <w:r>
        <w:rPr>
          <w:rFonts w:hint="default" w:ascii="Times New Roman" w:hAnsi="Times New Roman" w:cs="Times New Roman"/>
          <w:b/>
          <w:bCs/>
          <w:highlight w:val="none"/>
        </w:rPr>
        <w:t>投标文件的语言及度量衡单位</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11.1投标文件和与投标有关的所有文件均应使用中文简体字。</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11.2原版为外文的证书类文件，以及由外国人作出的本人签名、外国公司的名称或外国印章等可以是外文，但应当提供中文翻译文件（可以是复印件）并加盖投标人公章。</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11.3除工程规范另有规定外，投标文件使用的度量衡单位，均采用中华人民共和国法定计量单位。</w:t>
      </w:r>
    </w:p>
    <w:p>
      <w:pPr>
        <w:pStyle w:val="29"/>
        <w:pageBreakBefore w:val="0"/>
        <w:widowControl w:val="0"/>
        <w:kinsoku/>
        <w:overflowPunct/>
        <w:topLinePunct w:val="0"/>
        <w:bidi w:val="0"/>
        <w:spacing w:after="0" w:line="264" w:lineRule="auto"/>
        <w:ind w:firstLine="472" w:firstLineChars="196"/>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12.投标报价</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12.1投标人应根据国家的有关规定和招标文件要求并结合企业的实际情况进行投标报价。投标报价以人民币为结算货币，计量单位为元，</w:t>
      </w:r>
      <w:r>
        <w:rPr>
          <w:rFonts w:hint="default" w:ascii="Times New Roman" w:hAnsi="Times New Roman" w:cs="Times New Roman" w:eastAsiaTheme="minorEastAsia"/>
          <w:color w:val="FF0000"/>
          <w:highlight w:val="none"/>
        </w:rPr>
        <w:t>投标报价须包含产品购置费（含必需的辅材配件）、运输费、装卸费、附件费、安装费、软件开发费、安装调试（系统集成）费、辅料费、设备维护费、培训费、利润、税金、完成本项目的其它费用和政策性文件规定及合同包含的所有风险、责任等各项应有费用等所有费用。</w:t>
      </w:r>
      <w:r>
        <w:rPr>
          <w:rFonts w:hint="default" w:ascii="Times New Roman" w:hAnsi="Times New Roman" w:cs="Times New Roman"/>
          <w:highlight w:val="none"/>
        </w:rPr>
        <w:t>如有漏项，视同已包含在其总项目中，总价不予调整。</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12.2投标人应在投标文件的《开标一览表》上写明投标报价项目的单价和总价。</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12.3中标后，中标人所填写的单价在合同实施期间不因市场变化因素而变动，投标人在计算报价时应考虑一定的风险系数。</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12.4投标人应按招标文件规定的报价格式进行投标报价。投标人对每种货物只允许有一个报价，招标方不接受任何有选择性的报价。</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12.5招标方不接受低于成本的投标报价。</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12.6投标人按照上述要求编制投标报价。一旦确认某一投标人中标，除合同规定的可调整内容外，中标人不得要求追加任何费用。</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12.7须由中标单位开具正式发票。</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12.8招标文件中规定由投标单位承担并支付的相关费用在投标报价时应一并考虑。</w:t>
      </w:r>
    </w:p>
    <w:p>
      <w:pPr>
        <w:pageBreakBefore w:val="0"/>
        <w:widowControl w:val="0"/>
        <w:numPr>
          <w:ilvl w:val="0"/>
          <w:numId w:val="2"/>
        </w:numPr>
        <w:kinsoku/>
        <w:overflowPunct/>
        <w:topLinePunct w:val="0"/>
        <w:bidi w:val="0"/>
        <w:adjustRightInd w:val="0"/>
        <w:snapToGrid w:val="0"/>
        <w:spacing w:after="0" w:line="264" w:lineRule="auto"/>
        <w:ind w:firstLine="482" w:firstLineChars="200"/>
        <w:rPr>
          <w:rFonts w:hint="default" w:ascii="Times New Roman" w:hAnsi="Times New Roman" w:cs="Times New Roman"/>
          <w:highlight w:val="none"/>
        </w:rPr>
      </w:pPr>
      <w:r>
        <w:rPr>
          <w:rFonts w:hint="default" w:ascii="Times New Roman" w:hAnsi="Times New Roman" w:cs="Times New Roman"/>
          <w:b/>
          <w:bCs/>
          <w:highlight w:val="none"/>
        </w:rPr>
        <w:t>投标文件格式</w:t>
      </w:r>
    </w:p>
    <w:p>
      <w:pPr>
        <w:pageBreakBefore w:val="0"/>
        <w:widowControl w:val="0"/>
        <w:kinsoku/>
        <w:overflowPunct/>
        <w:topLinePunct w:val="0"/>
        <w:bidi w:val="0"/>
        <w:spacing w:after="0" w:line="264" w:lineRule="auto"/>
        <w:ind w:firstLine="480"/>
        <w:rPr>
          <w:rFonts w:hint="default" w:ascii="Times New Roman" w:hAnsi="Times New Roman" w:cs="Times New Roman"/>
          <w:highlight w:val="none"/>
        </w:rPr>
      </w:pPr>
      <w:r>
        <w:rPr>
          <w:rFonts w:hint="default" w:ascii="Times New Roman" w:hAnsi="Times New Roman" w:cs="Times New Roman"/>
          <w:highlight w:val="none"/>
        </w:rPr>
        <w:t>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29"/>
        <w:pageBreakBefore w:val="0"/>
        <w:widowControl w:val="0"/>
        <w:kinsoku/>
        <w:overflowPunct/>
        <w:topLinePunct w:val="0"/>
        <w:bidi w:val="0"/>
        <w:spacing w:after="0" w:line="264" w:lineRule="auto"/>
        <w:ind w:firstLine="482" w:firstLineChars="200"/>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14.履约保证金：</w:t>
      </w:r>
      <w:r>
        <w:rPr>
          <w:rFonts w:hint="default" w:ascii="Times New Roman" w:hAnsi="Times New Roman" w:cs="Times New Roman"/>
          <w:bCs/>
          <w:sz w:val="24"/>
          <w:szCs w:val="24"/>
          <w:highlight w:val="none"/>
        </w:rPr>
        <w:t>无</w:t>
      </w:r>
    </w:p>
    <w:p>
      <w:pPr>
        <w:pageBreakBefore w:val="0"/>
        <w:widowControl w:val="0"/>
        <w:kinsoku/>
        <w:overflowPunct/>
        <w:topLinePunct w:val="0"/>
        <w:bidi w:val="0"/>
        <w:spacing w:after="0" w:line="264"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15.投标有效期</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b/>
          <w:bCs/>
          <w:highlight w:val="none"/>
        </w:rPr>
      </w:pPr>
      <w:r>
        <w:rPr>
          <w:rFonts w:hint="default" w:ascii="Times New Roman" w:hAnsi="Times New Roman" w:cs="Times New Roman"/>
          <w:highlight w:val="none"/>
        </w:rPr>
        <w:t>15.1投标文件从开标之日起，投标有效期为90天。</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15.2特殊情况下，在原投标有效期截止之前，采购人可要求投标人同意延长有效期，这种要求与答复均应以书面形式提交。投标人可拒绝这种要求，接受延长投标有效期的投标人将不会被要求和允许修正其投标。</w:t>
      </w:r>
    </w:p>
    <w:p>
      <w:pPr>
        <w:pStyle w:val="5"/>
        <w:pageBreakBefore w:val="0"/>
        <w:widowControl w:val="0"/>
        <w:kinsoku/>
        <w:overflowPunct/>
        <w:topLinePunct w:val="0"/>
        <w:bidi w:val="0"/>
        <w:spacing w:before="0" w:after="0" w:line="264" w:lineRule="auto"/>
        <w:rPr>
          <w:rFonts w:hint="default" w:ascii="Times New Roman" w:hAnsi="Times New Roman" w:eastAsia="宋体" w:cs="Times New Roman"/>
          <w:sz w:val="24"/>
          <w:szCs w:val="24"/>
          <w:highlight w:val="none"/>
        </w:rPr>
      </w:pPr>
      <w:bookmarkStart w:id="51" w:name="_Toc26096"/>
      <w:bookmarkStart w:id="52" w:name="_Toc9929"/>
      <w:bookmarkStart w:id="53" w:name="_Toc31311"/>
      <w:bookmarkStart w:id="54" w:name="_Toc406413931"/>
      <w:bookmarkStart w:id="55" w:name="_Toc18004"/>
      <w:bookmarkStart w:id="56" w:name="_Toc8361_WPSOffice_Level2"/>
      <w:bookmarkStart w:id="57" w:name="_Toc274303232"/>
      <w:bookmarkStart w:id="58" w:name="_Toc362250690"/>
      <w:bookmarkStart w:id="59" w:name="_Toc31526"/>
      <w:r>
        <w:rPr>
          <w:rFonts w:hint="default" w:ascii="Times New Roman" w:hAnsi="Times New Roman" w:eastAsia="宋体" w:cs="Times New Roman"/>
          <w:sz w:val="24"/>
          <w:szCs w:val="24"/>
          <w:highlight w:val="none"/>
        </w:rPr>
        <w:t>四、投标文件的递交</w:t>
      </w:r>
      <w:bookmarkEnd w:id="51"/>
      <w:bookmarkEnd w:id="52"/>
      <w:bookmarkEnd w:id="53"/>
      <w:bookmarkEnd w:id="54"/>
      <w:bookmarkEnd w:id="55"/>
      <w:bookmarkEnd w:id="56"/>
      <w:bookmarkEnd w:id="57"/>
      <w:bookmarkEnd w:id="58"/>
      <w:bookmarkEnd w:id="59"/>
    </w:p>
    <w:p>
      <w:pPr>
        <w:pageBreakBefore w:val="0"/>
        <w:widowControl w:val="0"/>
        <w:tabs>
          <w:tab w:val="left" w:pos="315"/>
        </w:tabs>
        <w:kinsoku/>
        <w:overflowPunct/>
        <w:topLinePunct w:val="0"/>
        <w:bidi w:val="0"/>
        <w:adjustRightInd w:val="0"/>
        <w:snapToGrid w:val="0"/>
        <w:spacing w:after="0" w:line="264"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16.电子投标文件上传的地点和截止时间</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投标人应在投标截止时间（</w:t>
      </w:r>
      <w:r>
        <w:rPr>
          <w:rFonts w:hint="default" w:ascii="Times New Roman" w:hAnsi="Times New Roman" w:cs="Times New Roman"/>
          <w:color w:val="FF0000"/>
          <w:sz w:val="24"/>
          <w:szCs w:val="24"/>
          <w:highlight w:val="none"/>
        </w:rPr>
        <w:t>2021年</w:t>
      </w:r>
      <w:r>
        <w:rPr>
          <w:rFonts w:hint="default" w:ascii="Times New Roman" w:hAnsi="Times New Roman" w:cs="Times New Roman"/>
          <w:color w:val="FF0000"/>
          <w:sz w:val="24"/>
          <w:szCs w:val="24"/>
          <w:highlight w:val="none"/>
          <w:lang w:val="en-US" w:eastAsia="zh-CN"/>
        </w:rPr>
        <w:t>3</w:t>
      </w:r>
      <w:r>
        <w:rPr>
          <w:rFonts w:hint="default" w:ascii="Times New Roman" w:hAnsi="Times New Roman" w:cs="Times New Roman"/>
          <w:color w:val="FF0000"/>
          <w:sz w:val="24"/>
          <w:szCs w:val="24"/>
          <w:highlight w:val="none"/>
        </w:rPr>
        <w:t>月</w:t>
      </w:r>
      <w:r>
        <w:rPr>
          <w:rFonts w:hint="eastAsia" w:ascii="Times New Roman" w:hAnsi="Times New Roman" w:cs="Times New Roman"/>
          <w:color w:val="FF0000"/>
          <w:sz w:val="24"/>
          <w:szCs w:val="24"/>
          <w:highlight w:val="none"/>
          <w:lang w:val="en-US" w:eastAsia="zh-CN"/>
        </w:rPr>
        <w:t>23日</w:t>
      </w:r>
      <w:r>
        <w:rPr>
          <w:rFonts w:hint="default" w:ascii="Times New Roman" w:hAnsi="Times New Roman" w:cs="Times New Roman"/>
          <w:color w:val="FF0000"/>
          <w:sz w:val="24"/>
          <w:szCs w:val="24"/>
          <w:highlight w:val="none"/>
        </w:rPr>
        <w:t>09:30</w:t>
      </w:r>
      <w:r>
        <w:rPr>
          <w:rFonts w:hint="default" w:ascii="Times New Roman" w:hAnsi="Times New Roman" w:cs="Times New Roman"/>
          <w:sz w:val="24"/>
          <w:szCs w:val="24"/>
          <w:highlight w:val="none"/>
        </w:rPr>
        <w:t>）之前上传投标文件，同时，投标人可在投标截止时间前将在政采云平台上最后生成的具备电子签章的备份加密投标文件（文件名采用“采购编号+投标人名称+系统自动生成的后缀名”）以电子邮件方式传送至义乌市政府采购中心邮箱（ywszfcgzx@163.com），传送的备份投标文件需打包压缩并加密，加密密码由投标人自行保管。为了防止泄密，建议投标人在设置加密密码时采用大小写字母加数字的组合方式。</w:t>
      </w:r>
      <w:r>
        <w:rPr>
          <w:rFonts w:hint="default" w:ascii="Times New Roman" w:hAnsi="Times New Roman" w:cs="Times New Roman"/>
          <w:b/>
          <w:bCs/>
          <w:sz w:val="24"/>
          <w:szCs w:val="24"/>
          <w:highlight w:val="none"/>
        </w:rPr>
        <w:t>投标供应商仅递交备份投标文件的，投标无效。</w:t>
      </w:r>
    </w:p>
    <w:p>
      <w:pPr>
        <w:pageBreakBefore w:val="0"/>
        <w:widowControl w:val="0"/>
        <w:tabs>
          <w:tab w:val="left" w:pos="315"/>
        </w:tabs>
        <w:kinsoku/>
        <w:overflowPunct/>
        <w:topLinePunct w:val="0"/>
        <w:bidi w:val="0"/>
        <w:adjustRightInd w:val="0"/>
        <w:snapToGrid w:val="0"/>
        <w:spacing w:after="0" w:line="264" w:lineRule="auto"/>
        <w:ind w:firstLine="482" w:firstLineChars="200"/>
        <w:rPr>
          <w:rFonts w:hint="default" w:ascii="Times New Roman" w:hAnsi="Times New Roman" w:cs="Times New Roman"/>
          <w:b/>
          <w:bCs/>
          <w:highlight w:val="none"/>
        </w:rPr>
      </w:pPr>
      <w:r>
        <w:rPr>
          <w:rFonts w:hint="default" w:ascii="Times New Roman" w:hAnsi="Times New Roman" w:cs="Times New Roman"/>
          <w:b/>
          <w:highlight w:val="none"/>
        </w:rPr>
        <w:t>17.</w:t>
      </w:r>
      <w:r>
        <w:rPr>
          <w:rFonts w:hint="default" w:ascii="Times New Roman" w:hAnsi="Times New Roman" w:cs="Times New Roman"/>
          <w:b/>
          <w:bCs/>
          <w:highlight w:val="none"/>
        </w:rPr>
        <w:t>投标文件的补充、修改与撤回</w:t>
      </w:r>
    </w:p>
    <w:p>
      <w:pPr>
        <w:pageBreakBefore w:val="0"/>
        <w:widowControl w:val="0"/>
        <w:tabs>
          <w:tab w:val="left" w:pos="315"/>
        </w:tabs>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17.1投标人在政采云系统上提交投标文件以后，在规定的投标截止时间之前，可以重新补充修改或撤回已上传的投标文件，补充、修改的内容为投标文件的组成部分。</w:t>
      </w:r>
    </w:p>
    <w:p>
      <w:pPr>
        <w:pStyle w:val="23"/>
        <w:pageBreakBefore w:val="0"/>
        <w:widowControl w:val="0"/>
        <w:kinsoku/>
        <w:overflowPunct/>
        <w:topLinePunct w:val="0"/>
        <w:bidi w:val="0"/>
        <w:spacing w:after="0" w:line="264" w:lineRule="auto"/>
        <w:ind w:firstLine="470" w:firstLineChars="196"/>
        <w:jc w:val="both"/>
        <w:rPr>
          <w:rFonts w:hint="default" w:ascii="Times New Roman" w:hAnsi="Times New Roman" w:cs="Times New Roman"/>
          <w:b w:val="0"/>
          <w:color w:val="auto"/>
          <w:spacing w:val="-6"/>
          <w:sz w:val="24"/>
          <w:szCs w:val="24"/>
          <w:highlight w:val="none"/>
        </w:rPr>
      </w:pPr>
      <w:r>
        <w:rPr>
          <w:rFonts w:hint="default" w:ascii="Times New Roman" w:hAnsi="Times New Roman" w:cs="Times New Roman"/>
          <w:b w:val="0"/>
          <w:color w:val="auto"/>
          <w:sz w:val="24"/>
          <w:szCs w:val="24"/>
          <w:highlight w:val="none"/>
        </w:rPr>
        <w:t>17.2在投标截止时间之后，</w:t>
      </w:r>
      <w:r>
        <w:rPr>
          <w:rFonts w:hint="default" w:ascii="Times New Roman" w:hAnsi="Times New Roman" w:cs="Times New Roman"/>
          <w:b w:val="0"/>
          <w:color w:val="auto"/>
          <w:spacing w:val="-6"/>
          <w:sz w:val="24"/>
          <w:szCs w:val="24"/>
          <w:highlight w:val="none"/>
        </w:rPr>
        <w:t>投标人不得对其投标做任何修改。</w:t>
      </w:r>
    </w:p>
    <w:p>
      <w:pPr>
        <w:pStyle w:val="29"/>
        <w:pageBreakBefore w:val="0"/>
        <w:widowControl w:val="0"/>
        <w:kinsoku/>
        <w:overflowPunct/>
        <w:topLinePunct w:val="0"/>
        <w:bidi w:val="0"/>
        <w:spacing w:after="0" w:line="264" w:lineRule="auto"/>
        <w:ind w:firstLine="480"/>
        <w:rPr>
          <w:rFonts w:hint="default" w:ascii="Times New Roman" w:hAnsi="Times New Roman" w:cs="Times New Roman"/>
          <w:spacing w:val="-6"/>
          <w:sz w:val="24"/>
          <w:szCs w:val="24"/>
          <w:highlight w:val="none"/>
        </w:rPr>
      </w:pPr>
      <w:r>
        <w:rPr>
          <w:rFonts w:hint="default" w:ascii="Times New Roman" w:hAnsi="Times New Roman" w:cs="Times New Roman"/>
          <w:spacing w:val="-6"/>
          <w:sz w:val="24"/>
          <w:szCs w:val="24"/>
          <w:highlight w:val="none"/>
        </w:rPr>
        <w:t>17.3从投标截止时间至投标人在投标书格式中确定的投标有效期期满这段时间内，投标人不得撤回其投标。</w:t>
      </w:r>
    </w:p>
    <w:p>
      <w:pPr>
        <w:pageBreakBefore w:val="0"/>
        <w:widowControl w:val="0"/>
        <w:kinsoku/>
        <w:overflowPunct/>
        <w:topLinePunct w:val="0"/>
        <w:bidi w:val="0"/>
        <w:spacing w:after="0" w:line="264" w:lineRule="auto"/>
        <w:ind w:firstLine="482" w:firstLineChars="200"/>
        <w:rPr>
          <w:rFonts w:hint="default" w:ascii="Times New Roman" w:hAnsi="Times New Roman" w:cs="Times New Roman"/>
          <w:b/>
          <w:highlight w:val="none"/>
        </w:rPr>
      </w:pPr>
      <w:r>
        <w:rPr>
          <w:rFonts w:hint="default" w:ascii="Times New Roman" w:hAnsi="Times New Roman" w:cs="Times New Roman"/>
          <w:b/>
          <w:highlight w:val="none"/>
        </w:rPr>
        <w:t>18.投标文件解密</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szCs w:val="21"/>
          <w:highlight w:val="none"/>
        </w:rPr>
      </w:pPr>
      <w:r>
        <w:rPr>
          <w:rFonts w:hint="default" w:ascii="Times New Roman" w:hAnsi="Times New Roman" w:cs="Times New Roman"/>
          <w:szCs w:val="21"/>
          <w:highlight w:val="none"/>
        </w:rPr>
        <w:t>本项目采用线上开标，供应商无需到开标现场，但应准时在线参加。开标时间后采购中心开启解密。开启解密后的1小时内，供应商应当登录“政采云”平台，用“项目采购-开标评标”功能解密投标文件。</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如政采云上投标文件在规定时间内出现解密失败的，投标人可按照自身意愿确认同意提供加密密码，启用备份文件，并由采购中心把备份文件上传至政采云。如投标人未按照规定时间（</w:t>
      </w:r>
      <w:r>
        <w:rPr>
          <w:rFonts w:hint="default" w:ascii="Times New Roman" w:hAnsi="Times New Roman" w:eastAsia="宋体" w:cs="Times New Roman"/>
          <w:color w:val="FF0000"/>
          <w:kern w:val="2"/>
          <w:sz w:val="24"/>
          <w:szCs w:val="24"/>
          <w:highlight w:val="none"/>
          <w:lang w:val="en-US" w:eastAsia="zh-CN" w:bidi="ar-SA"/>
        </w:rPr>
        <w:t>2021年3月</w:t>
      </w:r>
      <w:r>
        <w:rPr>
          <w:rFonts w:hint="eastAsia" w:cs="Times New Roman"/>
          <w:color w:val="FF0000"/>
          <w:kern w:val="2"/>
          <w:sz w:val="24"/>
          <w:szCs w:val="24"/>
          <w:highlight w:val="none"/>
          <w:lang w:val="en-US" w:eastAsia="zh-CN" w:bidi="ar-SA"/>
        </w:rPr>
        <w:t>23日</w:t>
      </w:r>
      <w:r>
        <w:rPr>
          <w:rFonts w:hint="default" w:ascii="Times New Roman" w:hAnsi="Times New Roman" w:cs="Times New Roman"/>
          <w:highlight w:val="none"/>
        </w:rPr>
        <w:t>上午9时30分前）及要求提供有效备份标书，同时政采云上投标文件解密失败的，将导致投标无效。</w:t>
      </w:r>
    </w:p>
    <w:p>
      <w:pPr>
        <w:pStyle w:val="29"/>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highlight w:val="none"/>
        </w:rPr>
      </w:pPr>
      <w:r>
        <w:rPr>
          <w:rFonts w:hint="default" w:ascii="Times New Roman" w:hAnsi="Times New Roman" w:cs="Times New Roman"/>
          <w:b/>
          <w:bCs/>
          <w:kern w:val="0"/>
          <w:sz w:val="24"/>
          <w:szCs w:val="24"/>
          <w:highlight w:val="none"/>
        </w:rPr>
        <w:t>如果投标人发送两份以上备份文件的，以最后收到的那一份为准，</w:t>
      </w:r>
      <w:r>
        <w:rPr>
          <w:rFonts w:hint="default" w:ascii="Times New Roman" w:hAnsi="Times New Roman" w:cs="Times New Roman"/>
          <w:sz w:val="24"/>
          <w:szCs w:val="24"/>
          <w:highlight w:val="none"/>
        </w:rPr>
        <w:t>通过</w:t>
      </w:r>
      <w:r>
        <w:rPr>
          <w:rFonts w:hint="default" w:ascii="Times New Roman" w:hAnsi="Times New Roman" w:cs="Times New Roman"/>
          <w:highlight w:val="none"/>
        </w:rPr>
        <w:t>“政采云”平台</w:t>
      </w:r>
      <w:r>
        <w:rPr>
          <w:rFonts w:hint="default" w:ascii="Times New Roman" w:hAnsi="Times New Roman" w:cs="Times New Roman"/>
          <w:sz w:val="24"/>
          <w:szCs w:val="24"/>
          <w:highlight w:val="none"/>
        </w:rPr>
        <w:t>上传递交的“加密投标文件”已按时解密的，“备份投标文件”自动失效。</w:t>
      </w:r>
    </w:p>
    <w:p>
      <w:pPr>
        <w:pStyle w:val="5"/>
        <w:pageBreakBefore w:val="0"/>
        <w:widowControl w:val="0"/>
        <w:numPr>
          <w:ilvl w:val="0"/>
          <w:numId w:val="0"/>
        </w:numPr>
        <w:kinsoku/>
        <w:overflowPunct/>
        <w:topLinePunct w:val="0"/>
        <w:bidi w:val="0"/>
        <w:spacing w:before="0" w:after="0" w:line="264" w:lineRule="auto"/>
        <w:rPr>
          <w:rFonts w:hint="default" w:ascii="Times New Roman" w:hAnsi="Times New Roman" w:eastAsia="宋体" w:cs="Times New Roman"/>
          <w:sz w:val="24"/>
          <w:szCs w:val="24"/>
          <w:highlight w:val="none"/>
        </w:rPr>
      </w:pPr>
      <w:bookmarkStart w:id="60" w:name="_Toc406413932"/>
      <w:bookmarkStart w:id="61" w:name="_Toc274303233"/>
      <w:bookmarkStart w:id="62" w:name="_Toc362250691"/>
      <w:bookmarkStart w:id="63" w:name="_Toc31928"/>
      <w:bookmarkStart w:id="64" w:name="_Toc26312"/>
      <w:bookmarkStart w:id="65" w:name="_Toc6539"/>
      <w:bookmarkStart w:id="66" w:name="_Toc26617_WPSOffice_Level2"/>
      <w:bookmarkStart w:id="67" w:name="_Toc11640"/>
      <w:bookmarkStart w:id="68" w:name="_Toc3711"/>
      <w:r>
        <w:rPr>
          <w:rFonts w:hint="default" w:ascii="Times New Roman" w:hAnsi="Times New Roman" w:eastAsia="宋体" w:cs="Times New Roman"/>
          <w:sz w:val="24"/>
          <w:szCs w:val="24"/>
          <w:highlight w:val="none"/>
        </w:rPr>
        <w:t>五、</w:t>
      </w:r>
      <w:bookmarkEnd w:id="60"/>
      <w:bookmarkEnd w:id="61"/>
      <w:bookmarkEnd w:id="62"/>
      <w:r>
        <w:rPr>
          <w:rFonts w:hint="default" w:ascii="Times New Roman" w:hAnsi="Times New Roman" w:eastAsia="宋体" w:cs="Times New Roman"/>
          <w:sz w:val="24"/>
          <w:szCs w:val="24"/>
          <w:highlight w:val="none"/>
        </w:rPr>
        <w:t>其它</w:t>
      </w:r>
      <w:bookmarkEnd w:id="63"/>
      <w:bookmarkEnd w:id="64"/>
      <w:bookmarkEnd w:id="65"/>
      <w:bookmarkEnd w:id="66"/>
      <w:bookmarkEnd w:id="67"/>
      <w:bookmarkEnd w:id="68"/>
    </w:p>
    <w:p>
      <w:pPr>
        <w:pageBreakBefore w:val="0"/>
        <w:widowControl w:val="0"/>
        <w:kinsoku/>
        <w:overflowPunct/>
        <w:topLinePunct w:val="0"/>
        <w:bidi w:val="0"/>
        <w:spacing w:after="0" w:line="264" w:lineRule="auto"/>
        <w:ind w:firstLine="482" w:firstLineChars="200"/>
        <w:rPr>
          <w:rFonts w:hint="default" w:ascii="Times New Roman" w:hAnsi="Times New Roman" w:cs="Times New Roman"/>
          <w:b/>
          <w:bCs/>
          <w:highlight w:val="none"/>
        </w:rPr>
      </w:pPr>
      <w:r>
        <w:rPr>
          <w:rFonts w:hint="default" w:ascii="Times New Roman" w:hAnsi="Times New Roman" w:cs="Times New Roman"/>
          <w:b/>
          <w:bCs/>
          <w:highlight w:val="none"/>
        </w:rPr>
        <w:t>19.本招标文件解释权归“招标方”。</w:t>
      </w: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rPr>
          <w:rFonts w:hint="default" w:ascii="Times New Roman" w:hAnsi="Times New Roman" w:cs="Times New Roman"/>
          <w:b/>
          <w:bCs/>
          <w:highlight w:val="none"/>
        </w:rPr>
      </w:pPr>
    </w:p>
    <w:p>
      <w:pPr>
        <w:pStyle w:val="2"/>
        <w:pageBreakBefore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kinsoku/>
        <w:overflowPunct/>
        <w:topLinePunct w:val="0"/>
        <w:bidi w:val="0"/>
        <w:spacing w:after="0" w:line="264" w:lineRule="auto"/>
        <w:ind w:left="480" w:firstLine="480"/>
        <w:rPr>
          <w:rFonts w:hint="default" w:ascii="Times New Roman" w:hAnsi="Times New Roman" w:cs="Times New Roman"/>
          <w:highlight w:val="none"/>
        </w:rPr>
      </w:pPr>
    </w:p>
    <w:p>
      <w:pPr>
        <w:pStyle w:val="4"/>
        <w:pageBreakBefore w:val="0"/>
        <w:widowControl w:val="0"/>
        <w:kinsoku/>
        <w:overflowPunct/>
        <w:topLinePunct w:val="0"/>
        <w:bidi w:val="0"/>
        <w:spacing w:before="0" w:after="0" w:line="264" w:lineRule="auto"/>
        <w:jc w:val="center"/>
        <w:rPr>
          <w:rFonts w:hint="default" w:ascii="Times New Roman" w:hAnsi="Times New Roman" w:cs="Times New Roman"/>
          <w:sz w:val="36"/>
          <w:highlight w:val="none"/>
        </w:rPr>
      </w:pPr>
      <w:bookmarkStart w:id="69" w:name="_Toc406413933"/>
      <w:bookmarkStart w:id="70" w:name="_Toc7513"/>
      <w:bookmarkStart w:id="71" w:name="_Toc18864"/>
      <w:bookmarkStart w:id="72" w:name="_Toc21607"/>
      <w:bookmarkStart w:id="73" w:name="_Toc274303234"/>
      <w:r>
        <w:rPr>
          <w:rFonts w:hint="default" w:ascii="Times New Roman" w:hAnsi="Times New Roman" w:cs="Times New Roman"/>
          <w:sz w:val="36"/>
          <w:highlight w:val="none"/>
        </w:rPr>
        <w:t>第三章 招标项目要求</w:t>
      </w:r>
      <w:bookmarkEnd w:id="69"/>
      <w:bookmarkEnd w:id="70"/>
      <w:bookmarkEnd w:id="71"/>
      <w:bookmarkEnd w:id="72"/>
      <w:bookmarkEnd w:id="73"/>
      <w:bookmarkStart w:id="74" w:name="_Toc274303251"/>
      <w:bookmarkStart w:id="75" w:name="_Toc226973000"/>
      <w:bookmarkStart w:id="76" w:name="_Toc406413936"/>
      <w:r>
        <w:rPr>
          <w:rFonts w:hint="default" w:ascii="Times New Roman" w:hAnsi="Times New Roman" w:cs="Times New Roman"/>
          <w:sz w:val="36"/>
          <w:highlight w:val="none"/>
        </w:rPr>
        <w:t xml:space="preserve"> </w:t>
      </w:r>
    </w:p>
    <w:p>
      <w:pPr>
        <w:pStyle w:val="5"/>
        <w:pageBreakBefore w:val="0"/>
        <w:widowControl w:val="0"/>
        <w:kinsoku/>
        <w:overflowPunct/>
        <w:topLinePunct w:val="0"/>
        <w:bidi w:val="0"/>
        <w:spacing w:before="0" w:after="0" w:line="264" w:lineRule="auto"/>
        <w:rPr>
          <w:rFonts w:hint="default" w:ascii="Times New Roman" w:hAnsi="Times New Roman" w:cs="Times New Roman"/>
          <w:b/>
          <w:bCs/>
          <w:sz w:val="21"/>
          <w:szCs w:val="21"/>
          <w:highlight w:val="none"/>
        </w:rPr>
      </w:pPr>
      <w:bookmarkStart w:id="77" w:name="_Toc13619"/>
      <w:bookmarkStart w:id="78" w:name="_Toc24339"/>
      <w:bookmarkStart w:id="79" w:name="_Toc28761"/>
      <w:bookmarkStart w:id="80" w:name="_Toc31145"/>
      <w:bookmarkStart w:id="81" w:name="_Toc59008738"/>
      <w:bookmarkStart w:id="82" w:name="_Toc1779"/>
      <w:bookmarkStart w:id="83" w:name="_Toc423012129"/>
      <w:bookmarkStart w:id="84" w:name="_Toc476921614"/>
      <w:r>
        <w:rPr>
          <w:rFonts w:hint="default" w:ascii="Times New Roman" w:hAnsi="Times New Roman" w:cs="Times New Roman"/>
          <w:b/>
          <w:bCs/>
          <w:sz w:val="21"/>
          <w:szCs w:val="21"/>
          <w:highlight w:val="none"/>
        </w:rPr>
        <w:t>一、项目</w:t>
      </w:r>
      <w:r>
        <w:rPr>
          <w:rFonts w:hint="default" w:ascii="Times New Roman" w:hAnsi="Times New Roman" w:eastAsia="宋体" w:cs="Times New Roman"/>
          <w:sz w:val="24"/>
          <w:szCs w:val="24"/>
          <w:highlight w:val="none"/>
        </w:rPr>
        <w:t>概述</w:t>
      </w:r>
      <w:bookmarkEnd w:id="77"/>
      <w:bookmarkEnd w:id="78"/>
      <w:bookmarkEnd w:id="79"/>
      <w:bookmarkEnd w:id="80"/>
      <w:bookmarkEnd w:id="81"/>
      <w:bookmarkEnd w:id="82"/>
      <w:bookmarkStart w:id="85" w:name="_Toc30716"/>
      <w:bookmarkStart w:id="86" w:name="_Toc29002"/>
      <w:bookmarkStart w:id="87" w:name="_Toc16561"/>
    </w:p>
    <w:p>
      <w:pPr>
        <w:pageBreakBefore w:val="0"/>
        <w:kinsoku/>
        <w:overflowPunct/>
        <w:topLinePunct w:val="0"/>
        <w:bidi w:val="0"/>
        <w:snapToGrid w:val="0"/>
        <w:spacing w:after="0" w:line="264" w:lineRule="auto"/>
        <w:rPr>
          <w:rFonts w:hint="default" w:ascii="Times New Roman" w:hAnsi="Times New Roman" w:cs="Times New Roman"/>
          <w:sz w:val="21"/>
          <w:szCs w:val="21"/>
          <w:highlight w:val="none"/>
        </w:rPr>
      </w:pPr>
      <w:r>
        <w:rPr>
          <w:rFonts w:hint="default" w:ascii="Times New Roman" w:hAnsi="Times New Roman" w:cs="Times New Roman"/>
          <w:b/>
          <w:bCs/>
          <w:sz w:val="21"/>
          <w:szCs w:val="21"/>
          <w:highlight w:val="none"/>
        </w:rPr>
        <w:t>（一）项目名称</w:t>
      </w:r>
      <w:bookmarkEnd w:id="85"/>
      <w:bookmarkEnd w:id="86"/>
      <w:bookmarkEnd w:id="87"/>
      <w:r>
        <w:rPr>
          <w:rFonts w:hint="default" w:ascii="Times New Roman" w:hAnsi="Times New Roman" w:cs="Times New Roman"/>
          <w:b/>
          <w:bCs/>
          <w:sz w:val="21"/>
          <w:szCs w:val="21"/>
          <w:highlight w:val="none"/>
        </w:rPr>
        <w:t>：</w:t>
      </w:r>
      <w:r>
        <w:rPr>
          <w:rFonts w:hint="default" w:ascii="Times New Roman" w:hAnsi="Times New Roman" w:cs="Times New Roman"/>
          <w:sz w:val="21"/>
          <w:szCs w:val="21"/>
          <w:highlight w:val="none"/>
        </w:rPr>
        <w:t>义乌市公安局“雪亮工程”项目（一期）平台及实战应用系统</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88" w:name="_Toc8136"/>
      <w:bookmarkStart w:id="89" w:name="_Toc7407"/>
      <w:bookmarkStart w:id="90" w:name="_Toc24243"/>
      <w:r>
        <w:rPr>
          <w:rFonts w:hint="default" w:ascii="Times New Roman" w:hAnsi="Times New Roman" w:cs="Times New Roman"/>
          <w:b/>
          <w:bCs/>
          <w:sz w:val="21"/>
          <w:szCs w:val="21"/>
          <w:highlight w:val="none"/>
        </w:rPr>
        <w:t>（二）项目背景</w:t>
      </w:r>
      <w:bookmarkEnd w:id="88"/>
      <w:bookmarkEnd w:id="89"/>
      <w:bookmarkEnd w:id="90"/>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2020年5月9</w:t>
      </w:r>
      <w:bookmarkStart w:id="223" w:name="_GoBack"/>
      <w:r>
        <w:rPr>
          <w:rFonts w:hint="default" w:ascii="Times New Roman" w:hAnsi="Times New Roman" w:cs="Times New Roman"/>
          <w:sz w:val="21"/>
          <w:szCs w:val="21"/>
          <w:highlight w:val="none"/>
        </w:rPr>
        <w:t>日</w:t>
      </w:r>
      <w:bookmarkEnd w:id="223"/>
      <w:r>
        <w:rPr>
          <w:rFonts w:hint="default" w:ascii="Times New Roman" w:hAnsi="Times New Roman" w:cs="Times New Roman"/>
          <w:sz w:val="21"/>
          <w:szCs w:val="21"/>
          <w:highlight w:val="none"/>
        </w:rPr>
        <w:t>浙江省政法委发布《浙江省“雪亮工程”2020年推进计划》的通知，要求主体单位完成《浙江省公共安全视频监控建设联网应用工作实施方案（2016-2020年）》规定的各项任务，推进“雪亮工程”建设迈上新台阶。</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2020年3月17日金华市公安局印发《金华市公安局科技兴警五年规划（2020-2024年）》的通知，要求打造“3”个智慧公安应用驱动体系：以“一点通”为基础，构建精准应用体系；以“雪亮工程”为龙头，构建全域感知体系；以“五星透视”为核心，构建智能认知体系。</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义乌市“雪亮工程”2020-2023年建设计划》，2020-2021年义乌市将继续延续2019年金华市“雪亮工程”的建设思想，前端改建为主，在原点位上新增部分人脸卡口智能化监控。在城际出入口、治安复杂区域安装移动物联数据采集设备，与视频监控互为补充，提升视频监控应用效能。围绕“全域覆盖、全网共享、全时可用、全程可控”目标，提升社会视频监控资源共享平台，加大社会视频资源整合力度，建立健全视频监控安全管理体系。</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91" w:name="_Toc10263"/>
      <w:bookmarkStart w:id="92" w:name="_Toc6465"/>
      <w:bookmarkStart w:id="93" w:name="_Toc20763"/>
      <w:r>
        <w:rPr>
          <w:rFonts w:hint="default" w:ascii="Times New Roman" w:hAnsi="Times New Roman" w:cs="Times New Roman"/>
          <w:b/>
          <w:bCs/>
          <w:sz w:val="21"/>
          <w:szCs w:val="21"/>
          <w:highlight w:val="none"/>
        </w:rPr>
        <w:t>（三）项目建设原则</w:t>
      </w:r>
      <w:bookmarkEnd w:id="91"/>
      <w:bookmarkEnd w:id="92"/>
      <w:bookmarkEnd w:id="93"/>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本项目的系统设计以“先进性、可靠性、实用性、标准性、经济性、扩展性、安全性”为基本原则，具体表现如下：</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先进性：系统采用智能分析技术，通过全画面分析提取出监控场景中的车牌、人物，并予以分类，用户能够通过多种条件对场景元素进行查询；系统能够自动检测视频质量不高的输入，并向管理员、维护人员报警以提示及时抢修。</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可靠性：系统采用高清前端获取监控场景图像、视频，并采取添加水印等防篡改措施；根据不同前端类型组建专网，并在相关数据出入口部署网闸等安全设备，以保护数据安全。</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实用性：系统点位部署是根据拟建设区域地理环境规划而设计，并按用户实际需要选择合适的设备。所设计功能均满足用户的实际需求，站在用户业务的角度思考。</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标准性：系统设备选型符合国内外相关标准，保证设备应用的兼容性，采用标准接口，实现信息资源共享。</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经济性：充分考虑点位的实际需求部署前端设备，减少不必要的投资；系统能够与原有矩阵、监控中心对接，实现对资源的有效利用。</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扩展性：系统采用业界主流的硬件设备，提供标准的协议，具有良好的兼容性和通用的软硬件接口，可以全面兼容主流厂商的设备，并能为其他系统提供接口。系统支持对外输出的能力。</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安全性：综合考虑设备安全、网络安全和数据安全。采取可靠手段杜绝对系统的非法访问、入侵或攻击行为。视频监控数据采用中心存储管理方式，对数据的访问采用严格的用户权限控制。</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94" w:name="_Toc26606"/>
      <w:bookmarkStart w:id="95" w:name="_Toc22086"/>
      <w:bookmarkStart w:id="96" w:name="_Toc32137"/>
      <w:r>
        <w:rPr>
          <w:rFonts w:hint="default" w:ascii="Times New Roman" w:hAnsi="Times New Roman" w:cs="Times New Roman"/>
          <w:b/>
          <w:bCs/>
          <w:sz w:val="21"/>
          <w:szCs w:val="21"/>
          <w:highlight w:val="none"/>
        </w:rPr>
        <w:t>（四）项目建设依据</w:t>
      </w:r>
      <w:bookmarkEnd w:id="94"/>
      <w:bookmarkEnd w:id="95"/>
      <w:bookmarkEnd w:id="96"/>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1.《公安视频图像智能化建设应用指南》，公科信〔2020〕48号；</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2.《安全防范视频监控联网系统信息传输、交换、控制技术要求》，（GB/T28181-2016）；</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3.《公共安全视频监控联网信息安全技术要求》，（GB35114-2017）；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4.《公共安全视频图像信息联网共享应用标准体系》（2017版）；</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5.《公共安全视频监控数字视音频编解码技术要求》，（GB/T25724-2017）；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6.《公共安全视频图像分析系统第1部分：通用技术要求》，（GA/T 1399.1-2017）；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7.《公共安全视频图像分析系统第2部分：视频图像内容分析及描述技术要求》，（GA/T 1399.2-2017）；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8.《公安视频图像信息应用系统第1部分：通用技术要求》，（GA/T1400.1－2017）；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9.《公安视频图像信息应用系统第2部分：应用平台技术要求》，（GA/T1400.2－2017）；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10.《公安视频图像信息应用系统第3部分：数据库技术要求》，（GA/T1400.3－2017）；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11.《公安视频图像信息应用系统第4部分：接口协议要求》，（GA/T1400.4－2017）；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12.《公共安全视频监控数字视音频编解码技术测试规范》，（GB/T 25724-2017）；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13.《公共安全视频图像信息交换共享体系IP地址规划》国家电子政务外网管理中心（2017）；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14.《城乡社区网格化服务管理规范》，（GB/T34300-2017）；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15.《社会治安综合治理基础数据规范》，（GB/T31000-2015）；</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16.《社会治安综合治理综治中心建设与管理规范》，（GB/T33200-2016）；</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17.《安全防范工程技术规范》，（GB50348-2018）；</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18.《视频安防监控系统工程设计规范》，（GB50395-2007）；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19.《视频安防监控系统技术要求》，（GA/T367－2001）；</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20.《安全防范系统验收规则》，（GA308－2001）；</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21.《安全防范工程程序与要求》，（GA/T75－94）；</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22.《数据中心设计规范》，（GB50174-2017）；</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23.《大气污染物综合排放标准》，（GBl6297—1996）；</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24.《工业企业厂界环境噪声排放标准》，（GB12348—2008）；</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25.《污水综合排放标准》，（GB8978—1996）；</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26.《生活垃圾填埋场污染控制标准》，（GB16889—2008）；</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27.《民用建筑电器设计规范》，（JGJ16—2008）；</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28.《电子计算机场地通用规范》，（GB/T2887－2011）；</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29.《智能建筑设计标准》，（GB/T50314-2015）；</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30.《安全防范工程技术规范》，（GB50348-2018）；</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31.《公共场所无线上网安全管理系统无线上网接入安全技术要求》，（GA/WA3011.8-2015）；</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32.《综合布线系统工程设计规范》，（GB50311-2016）。</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97" w:name="_Toc29766"/>
      <w:bookmarkStart w:id="98" w:name="_Toc6612"/>
      <w:bookmarkStart w:id="99" w:name="_Toc29918"/>
      <w:r>
        <w:rPr>
          <w:rFonts w:hint="default" w:ascii="Times New Roman" w:hAnsi="Times New Roman" w:cs="Times New Roman"/>
          <w:b/>
          <w:bCs/>
          <w:sz w:val="21"/>
          <w:szCs w:val="21"/>
          <w:highlight w:val="none"/>
        </w:rPr>
        <w:t>（五）项目建设目标</w:t>
      </w:r>
      <w:bookmarkEnd w:id="97"/>
      <w:bookmarkEnd w:id="98"/>
      <w:bookmarkEnd w:id="99"/>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项目总体目标是围绕建设立体化社会治安防控体系，优化视频监控布局，改造已用时限较长的视频监控，进一步扩大智能化视频监控覆盖面。以公共安全视频图像信息共享平台为核心，依托公安视频专网及电子政务视联网，分级整合义乌全市的视频监控资源。</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到2021年，基本建成涵盖市、乡镇（街道）、村（社区）三级公共安全视频监控联网应用体系，实现视频图像信息交换共享平台按需联通、视频资源有效整合，达成“全域覆盖、全网共享、全时可用、全程可控、智能应用”的工作目标。</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1.全域覆盖。通过改建、移位过保视频监控，实现重点公共区域、部位视频监控覆盖率达到100%，改建高清摄像机比例达到100%；重点行业、领域的重要部位视频监控覆盖率达到100%。</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2.全网共享。重点公共区域视频监控联网率达到100%；重点行业、领域涉及公共区域的视频图像资源联网率达到100%。到2021年8月，实现联网整合社会面视频资源达到5万路，并通过视联网平台实现部门间共享。</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3.全时可用。重点公共区域安装的视频监控摄像机完好率达到98%，重点行业、领域安装的涉及公共区域的视频监控摄像机完好率达到98%，实现“135”防控圈区域摄像机运维智能化。</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4.全程可控。建成公共安全视频监控系统联网应用的安全体系、运行维护体系、智能应用体系，实现重要视频图像信息不失控，敏感视频图像信息不泄露。</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5.智能应用。建设前端智能化摄像机、移动物联数据采集设备、后端软件智能分析应用，提升视频监控应用成效。</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100" w:name="_Toc19446"/>
      <w:bookmarkStart w:id="101" w:name="_Toc14979"/>
      <w:bookmarkStart w:id="102" w:name="_Toc21136"/>
      <w:r>
        <w:rPr>
          <w:rFonts w:hint="default" w:ascii="Times New Roman" w:hAnsi="Times New Roman" w:cs="Times New Roman"/>
          <w:b/>
          <w:bCs/>
          <w:sz w:val="21"/>
          <w:szCs w:val="21"/>
          <w:highlight w:val="none"/>
        </w:rPr>
        <w:t>（六）项目建设主要内容</w:t>
      </w:r>
      <w:bookmarkEnd w:id="100"/>
      <w:bookmarkEnd w:id="101"/>
      <w:bookmarkEnd w:id="102"/>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1.社会面视频监控联网云平台二期</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本期项目将实现平台接入能力达到75000路，同时进行国标化改造，并建设1套符合智安小区（5+X）标准的视图库。</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2.移动物联数据采集及应用</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新建1套移动物联数据采集应用分析研判系统软件。</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3.智能视觉系统</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扩容3000路人像解析和96路人脸人体融合分析算力。</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4.慧眼大数据应用系统</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基于公安网建设人像、车辆、**数据融合的大数据分析应用系统。</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5.视频专网安全系统扩容</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本期项目新增30000点视频专网终端准入授权数，同时新增1套网络准入控制探针。</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6.公安网安全边界接入平台扩容</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新增扩容电子政务网到公安网以及公安网到互联网数据安全边界接入平台各1套。</w:t>
      </w:r>
      <w:bookmarkStart w:id="103" w:name="_Toc17627"/>
      <w:bookmarkStart w:id="104" w:name="_Toc11867"/>
      <w:bookmarkStart w:id="105" w:name="_Toc16682"/>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（七）项目预算</w:t>
      </w:r>
      <w:bookmarkEnd w:id="103"/>
      <w:bookmarkEnd w:id="104"/>
      <w:bookmarkEnd w:id="105"/>
    </w:p>
    <w:p>
      <w:pPr>
        <w:pageBreakBefore w:val="0"/>
        <w:widowControl w:val="0"/>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平台及实战应用系统预算2567.60万元。资金来源为义乌市财政专项资金。各分项预算如下：</w:t>
      </w:r>
    </w:p>
    <w:tbl>
      <w:tblPr>
        <w:tblStyle w:val="56"/>
        <w:tblW w:w="90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4"/>
        <w:gridCol w:w="4864"/>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34" w:type="dxa"/>
            <w:shd w:val="clear" w:color="auto" w:fill="auto"/>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4864" w:type="dxa"/>
            <w:shd w:val="clear" w:color="auto" w:fill="auto"/>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名称</w:t>
            </w:r>
          </w:p>
        </w:tc>
        <w:tc>
          <w:tcPr>
            <w:tcW w:w="3315" w:type="dxa"/>
            <w:shd w:val="clear" w:color="auto" w:fill="auto"/>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预算(单位:万元）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3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86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社会面视频监控联网云平台二期</w:t>
            </w:r>
          </w:p>
        </w:tc>
        <w:tc>
          <w:tcPr>
            <w:tcW w:w="3315"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 xml:space="preserve">553.70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3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86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移动物联数据采集及应用</w:t>
            </w:r>
          </w:p>
        </w:tc>
        <w:tc>
          <w:tcPr>
            <w:tcW w:w="3315"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 xml:space="preserve">328.20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3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3</w:t>
            </w:r>
          </w:p>
        </w:tc>
        <w:tc>
          <w:tcPr>
            <w:tcW w:w="486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智能视觉系统</w:t>
            </w:r>
          </w:p>
        </w:tc>
        <w:tc>
          <w:tcPr>
            <w:tcW w:w="3315"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 xml:space="preserve">1193.70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3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4</w:t>
            </w:r>
          </w:p>
        </w:tc>
        <w:tc>
          <w:tcPr>
            <w:tcW w:w="486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慧眼大数据应用系统</w:t>
            </w:r>
          </w:p>
        </w:tc>
        <w:tc>
          <w:tcPr>
            <w:tcW w:w="3315"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 xml:space="preserve">192.00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3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w:t>
            </w:r>
          </w:p>
        </w:tc>
        <w:tc>
          <w:tcPr>
            <w:tcW w:w="486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视频专网安全系统扩容</w:t>
            </w:r>
          </w:p>
        </w:tc>
        <w:tc>
          <w:tcPr>
            <w:tcW w:w="3315"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 xml:space="preserve">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3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486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auto"/>
                <w:sz w:val="21"/>
                <w:szCs w:val="21"/>
                <w:highlight w:val="none"/>
              </w:rPr>
              <w:t>公安网安全</w:t>
            </w:r>
            <w:r>
              <w:rPr>
                <w:rFonts w:hint="default" w:ascii="Times New Roman" w:hAnsi="Times New Roman" w:cs="Times New Roman"/>
                <w:color w:val="000000"/>
                <w:sz w:val="21"/>
                <w:szCs w:val="21"/>
                <w:highlight w:val="none"/>
                <w:lang w:bidi="ar"/>
              </w:rPr>
              <w:t>边界接入平台扩容</w:t>
            </w:r>
          </w:p>
        </w:tc>
        <w:tc>
          <w:tcPr>
            <w:tcW w:w="3315"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 xml:space="preserve">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83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一</w:t>
            </w:r>
          </w:p>
        </w:tc>
        <w:tc>
          <w:tcPr>
            <w:tcW w:w="4864"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平台及实战应用系统合计（1+2+3+4+5+6）</w:t>
            </w:r>
          </w:p>
        </w:tc>
        <w:tc>
          <w:tcPr>
            <w:tcW w:w="3315" w:type="dxa"/>
            <w:shd w:val="clear" w:color="auto" w:fill="auto"/>
            <w:noWrap/>
            <w:tcMar>
              <w:top w:w="15" w:type="dxa"/>
              <w:left w:w="15" w:type="dxa"/>
              <w:right w:w="15" w:type="dxa"/>
            </w:tcMar>
            <w:vAlign w:val="center"/>
          </w:tcPr>
          <w:p>
            <w:pPr>
              <w:pageBreakBefore w:val="0"/>
              <w:widowControl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 xml:space="preserve">2567.60 </w:t>
            </w:r>
          </w:p>
        </w:tc>
      </w:tr>
    </w:tbl>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★注：各分项预算包含</w:t>
      </w: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年质保，</w:t>
      </w:r>
      <w:r>
        <w:rPr>
          <w:rFonts w:hint="eastAsia" w:cs="Times New Roman"/>
          <w:sz w:val="21"/>
          <w:szCs w:val="21"/>
          <w:highlight w:val="none"/>
          <w:lang w:eastAsia="zh-CN"/>
        </w:rPr>
        <w:t>质保时间</w:t>
      </w:r>
      <w:r>
        <w:rPr>
          <w:rFonts w:hint="default" w:ascii="Times New Roman" w:hAnsi="Times New Roman" w:cs="Times New Roman"/>
          <w:sz w:val="21"/>
          <w:szCs w:val="21"/>
          <w:highlight w:val="none"/>
        </w:rPr>
        <w:t>以项目竣工验收时间为始。</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106" w:name="_Toc29770"/>
      <w:bookmarkStart w:id="107" w:name="_Toc15491"/>
      <w:bookmarkStart w:id="108" w:name="_Toc59008739"/>
      <w:bookmarkStart w:id="109" w:name="_Toc21879"/>
      <w:bookmarkStart w:id="110" w:name="_Toc5459"/>
    </w:p>
    <w:p>
      <w:pPr>
        <w:pStyle w:val="5"/>
        <w:pageBreakBefore w:val="0"/>
        <w:widowControl w:val="0"/>
        <w:kinsoku/>
        <w:overflowPunct/>
        <w:topLinePunct w:val="0"/>
        <w:bidi w:val="0"/>
        <w:spacing w:before="0" w:after="0" w:line="264" w:lineRule="auto"/>
        <w:rPr>
          <w:rFonts w:hint="default" w:ascii="Times New Roman" w:hAnsi="Times New Roman" w:cs="Times New Roman"/>
          <w:b/>
          <w:bCs/>
          <w:sz w:val="21"/>
          <w:szCs w:val="21"/>
          <w:highlight w:val="none"/>
        </w:rPr>
      </w:pPr>
      <w:bookmarkStart w:id="111" w:name="_Toc22902"/>
      <w:r>
        <w:rPr>
          <w:rFonts w:hint="default" w:ascii="Times New Roman" w:hAnsi="Times New Roman" w:cs="Times New Roman"/>
          <w:b/>
          <w:bCs/>
          <w:sz w:val="21"/>
          <w:szCs w:val="21"/>
          <w:highlight w:val="none"/>
        </w:rPr>
        <w:t>二、招标货物一览表及有关技术要求</w:t>
      </w:r>
      <w:bookmarkEnd w:id="106"/>
      <w:bookmarkEnd w:id="107"/>
      <w:bookmarkEnd w:id="108"/>
      <w:bookmarkEnd w:id="109"/>
      <w:bookmarkEnd w:id="110"/>
      <w:bookmarkEnd w:id="111"/>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112" w:name="_Toc19704"/>
      <w:bookmarkStart w:id="113" w:name="_Toc30557"/>
      <w:bookmarkStart w:id="114" w:name="_Toc10853"/>
      <w:r>
        <w:rPr>
          <w:rFonts w:hint="default" w:ascii="Times New Roman" w:hAnsi="Times New Roman" w:cs="Times New Roman"/>
          <w:sz w:val="21"/>
          <w:szCs w:val="21"/>
          <w:highlight w:val="none"/>
        </w:rPr>
        <w:t>★</w:t>
      </w:r>
      <w:r>
        <w:rPr>
          <w:rFonts w:hint="default" w:ascii="Times New Roman" w:hAnsi="Times New Roman" w:cs="Times New Roman"/>
          <w:b/>
          <w:bCs/>
          <w:sz w:val="21"/>
          <w:szCs w:val="21"/>
          <w:highlight w:val="none"/>
        </w:rPr>
        <w:t>（一）项目招标内容及要求</w:t>
      </w:r>
      <w:bookmarkEnd w:id="112"/>
      <w:bookmarkEnd w:id="113"/>
      <w:bookmarkEnd w:id="114"/>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1.招标内容：</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义乌市公安局“雪亮工程”项目（一期）平台及实战应用系统采购项目招标内容：社会面视频监控联网云平台二期，移动物联数据采集及应用，智能视觉系统，慧眼大数据应用系统，视频专网安全系统扩容，公安网安全边界接入平台扩容，</w:t>
      </w: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年质保。</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2.本次建设要求：</w:t>
      </w:r>
    </w:p>
    <w:p>
      <w:pPr>
        <w:pageBreakBefore w:val="0"/>
        <w:kinsoku/>
        <w:overflowPunct/>
        <w:topLinePunct w:val="0"/>
        <w:bidi w:val="0"/>
        <w:snapToGrid w:val="0"/>
        <w:spacing w:after="0" w:line="264" w:lineRule="auto"/>
        <w:ind w:firstLine="413" w:firstLineChars="196"/>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（1）拟配备的项目经理须具有信息系统项目管理师（高级）证书，投标文件商务技术响应文件中提供证书扫描件加盖投标方电子签章。</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（2）投标人应在浙江省范围内设有服务和技术支持机构，能提供快速的维保服务响应（</w:t>
      </w:r>
      <w:r>
        <w:rPr>
          <w:rFonts w:hint="default" w:ascii="Times New Roman" w:hAnsi="Times New Roman" w:cs="Times New Roman"/>
          <w:sz w:val="21"/>
          <w:szCs w:val="21"/>
          <w:highlight w:val="none"/>
          <w:lang w:eastAsia="zh-CN"/>
        </w:rPr>
        <w:t>投标文件商务技术响应文件中</w:t>
      </w:r>
      <w:r>
        <w:rPr>
          <w:rFonts w:hint="default" w:ascii="Times New Roman" w:hAnsi="Times New Roman" w:cs="Times New Roman"/>
          <w:sz w:val="21"/>
          <w:szCs w:val="21"/>
          <w:highlight w:val="none"/>
        </w:rPr>
        <w:t>提供省内常驻服务和技术支持机构注册资料</w:t>
      </w:r>
      <w:r>
        <w:rPr>
          <w:rFonts w:hint="default" w:ascii="Times New Roman" w:hAnsi="Times New Roman" w:cs="Times New Roman"/>
          <w:sz w:val="21"/>
          <w:szCs w:val="21"/>
          <w:highlight w:val="none"/>
          <w:lang w:eastAsia="zh-CN"/>
        </w:rPr>
        <w:t>扫描件</w:t>
      </w:r>
      <w:r>
        <w:rPr>
          <w:rFonts w:hint="default" w:ascii="Times New Roman" w:hAnsi="Times New Roman" w:cs="Times New Roman"/>
          <w:sz w:val="21"/>
          <w:szCs w:val="21"/>
          <w:highlight w:val="none"/>
        </w:rPr>
        <w:t>），投标前未在浙江省范围内设有服务和技术支持机构的需承诺在中标公告截止后七个工作日内在浙江省范围内设立服务和技术支持机构或与其他具备服务能力与资质的技术支持服务机构签订合作协议。</w:t>
      </w:r>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（3）中标方在项目实施和维护过程中，对可能出现的损失及后果承担完全责任，建设方不承担任何责任。</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115" w:name="_Toc12573"/>
      <w:bookmarkStart w:id="116" w:name="_Toc6733"/>
      <w:bookmarkStart w:id="117" w:name="_Toc5133"/>
      <w:r>
        <w:rPr>
          <w:rFonts w:hint="default" w:ascii="Times New Roman" w:hAnsi="Times New Roman" w:cs="Times New Roman"/>
          <w:b/>
          <w:bCs/>
          <w:sz w:val="21"/>
          <w:szCs w:val="21"/>
          <w:highlight w:val="none"/>
        </w:rPr>
        <w:t>（二）招标货物清单如下</w:t>
      </w:r>
      <w:bookmarkEnd w:id="115"/>
      <w:bookmarkEnd w:id="116"/>
      <w:bookmarkEnd w:id="117"/>
    </w:p>
    <w:p>
      <w:pPr>
        <w:pageBreakBefore w:val="0"/>
        <w:kinsoku/>
        <w:overflowPunct/>
        <w:topLinePunct w:val="0"/>
        <w:bidi w:val="0"/>
        <w:snapToGrid w:val="0"/>
        <w:spacing w:after="0" w:line="264" w:lineRule="auto"/>
        <w:ind w:firstLine="411" w:firstLineChars="196"/>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注意：以下设备清单备注栏中标注为“利旧”、“甲供”的，表示该设备已配备，不需要在本次项目中采购。</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1.产品数量清单</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（1）社会面视频监控联网云平台二期</w:t>
      </w:r>
    </w:p>
    <w:tbl>
      <w:tblPr>
        <w:tblStyle w:val="56"/>
        <w:tblW w:w="96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3"/>
        <w:gridCol w:w="585"/>
        <w:gridCol w:w="1365"/>
        <w:gridCol w:w="915"/>
        <w:gridCol w:w="5235"/>
        <w:gridCol w:w="480"/>
        <w:gridCol w:w="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Header/>
          <w:jc w:val="center"/>
        </w:trPr>
        <w:tc>
          <w:tcPr>
            <w:tcW w:w="553"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585"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子系统</w:t>
            </w:r>
          </w:p>
        </w:tc>
        <w:tc>
          <w:tcPr>
            <w:tcW w:w="1365"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一级功能模块</w:t>
            </w:r>
          </w:p>
        </w:tc>
        <w:tc>
          <w:tcPr>
            <w:tcW w:w="915"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二级功能模块</w:t>
            </w:r>
          </w:p>
        </w:tc>
        <w:tc>
          <w:tcPr>
            <w:tcW w:w="5235"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功能需求</w:t>
            </w:r>
          </w:p>
        </w:tc>
        <w:tc>
          <w:tcPr>
            <w:tcW w:w="480"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数量</w:t>
            </w:r>
          </w:p>
        </w:tc>
        <w:tc>
          <w:tcPr>
            <w:tcW w:w="516"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kern w:val="2"/>
                <w:sz w:val="21"/>
                <w:szCs w:val="21"/>
                <w:highlight w:val="none"/>
              </w:rPr>
            </w:pPr>
            <w:r>
              <w:rPr>
                <w:rFonts w:hint="default" w:ascii="Times New Roman" w:hAnsi="Times New Roman" w:cs="Times New Roman"/>
                <w:b/>
                <w:color w:val="000000"/>
                <w:sz w:val="21"/>
                <w:szCs w:val="21"/>
                <w:highlight w:val="none"/>
                <w:lang w:bidi="ar"/>
              </w:rPr>
              <w:t>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(一)</w:t>
            </w:r>
          </w:p>
        </w:tc>
        <w:tc>
          <w:tcPr>
            <w:tcW w:w="9096"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国标改造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国标改造</w:t>
            </w: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中心管理服务系统</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实现本域系统内设备接入模块,用户接入、媒体服务、录像服务等设备的管理、信令和业务的策略控制等符合国标标准</w:t>
            </w:r>
            <w:r>
              <w:rPr>
                <w:rFonts w:hint="default" w:ascii="Times New Roman" w:hAnsi="Times New Roman" w:cs="Times New Roman"/>
                <w:sz w:val="21"/>
                <w:szCs w:val="21"/>
                <w:highlight w:val="none"/>
                <w:lang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设备接入接入服务系统</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对本域的前端单元进行接入管理、接收请求和转发由CMS来的控制信令，实现SIP Proxy、NAT和防火墙的穿越等符合国标标准。</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用户接入接入服务系统</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对用户端单元提供接入管理服务，接收用户端的控制信令并负责转发给本域的CMS进行处理，实现SIP Proxy、NAT和防火墙的穿越等。</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数据服务系统</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实现对系统运行数据内容的访问，符合国标标准。</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媒体服务系统</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sz w:val="21"/>
                <w:szCs w:val="21"/>
                <w:highlight w:val="none"/>
                <w:lang w:bidi="ar"/>
              </w:rPr>
              <w:t>实现多级级联和分布式部署，同时具备音视频请求、接收、分发功能，符合国标标准。</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存储服务系统</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实现在存储管理服务器的控制下进行存储</w:t>
            </w:r>
            <w:r>
              <w:rPr>
                <w:rFonts w:hint="default" w:ascii="Times New Roman" w:hAnsi="Times New Roman" w:cs="Times New Roman"/>
                <w:sz w:val="21"/>
                <w:szCs w:val="21"/>
                <w:highlight w:val="none"/>
                <w:lang w:bidi="ar"/>
              </w:rPr>
              <w:t>。</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7</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业务服务系统</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运营支持系统，实现业务的受理、用户管理等。</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PC客户端软件</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实现用户与前端设备之间的交互,视频浏览、云镜控制。</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国标服务配置管理</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通过业务页面管理国标上下级级联、推送参数，实现推送上下级平台国标编号、连接地址、端口、相关厂家、用户名、密码等可视化管理。</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10</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国标接入模块同步共享点位路由管理</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国标接入模块同步共享点位路由表，实现便捷化国标接入。根据域号进行判断，进入共享国标点位业务管理；从共享国标点位全量表中获取到对应的国标接入模块，转发点位业务请求到目标国标接入模块。</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国标级联注册</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升级支持GB28181 2016版数字摘要认证方式，并支持刷新注册功能。</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1.4</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国标下级平台共享点位自动入库</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国标接入模块支持向数据库上报国标下级平台所共享的设备的点位信息，该点位信息包括状态信息，解码标志等等，用于请求视频时的调度依据。</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国标配置管理界面</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可通过国标管理页面配置、查询推送给某个上级的点位，可配置的点位包括下级共享过来的点位，和本平台GB28181协议接入的点位。</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14</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点位状态同步模块</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国标接入模块向DBS实时上报国标下级平台所共享点位的状态变化通知，并实时向上级发送状态变化通知。</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设备控制模块</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升级支持GB28181 2016版设备控制功能，包括球机/云台控制、远程启动、录像控制、报警布防/撤防、报警复位、强制关键帧、拉框放大、拉框缩小设备配置等。</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虚拟组织推送及接入模块</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升级支持GB28181 2016版虚拟组织、省级行政区划组织相关功能，支持主动推送多级虚拟组织和业务组织；支持多级下级业务组织和虚拟组织推送；支持2、4、6、8位省级行政区划组织推送。</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17</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TCP媒体流支持</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升级支持GB28181 2016版媒体流关于TCP传输方式支持的相关功能，并和主流厂家完成对接测试。</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视频录像共享功能</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升级支持通过国标协议向上级共享视频录像资源。支持点播、下级域视频，检索和回放下级域录像资源。</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19</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级联状态监测模块</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支持通过人机交互接口查询与上级、下级对接状态和信息；支持国标点位全量表查询；支持视频点播状态信息查询等。</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20</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云图库</w:t>
            </w:r>
          </w:p>
        </w:tc>
        <w:tc>
          <w:tcPr>
            <w:tcW w:w="13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云图汇聚</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标准接入网关模块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主要是指对接设备和系统时的对接网关，对外提供注册，认证，注销，心跳，数据获取，业务订阅等功能。</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非标准接入网关模块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非标准对接设备和系统时的接入网关，需要根据设备情况定制开发，实现非标与标准化的转换功能。</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大数据汇聚清洗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对平台所有数据进行归集管理。通过分布式实时流式计算引擎，实现时间、区域、名称、属性等进行筛选、过滤、数据碰撞。</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数据交换模块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数据交换模块通过大数据技术，针对各个业务场景搭建了多种数据交换模式，通过实时和非实时等多种方式，对各类业务数据信息（包括物联网数据、图片、短视频等）汇聚到视图库汇聚平台。</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数据处理模块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处理模块主要实现实现高吞吐的具备容错机制的实时流处理。使用消费中数据，分为两支，一支作为历史备份存储进大数据存储平台作为历史数据存留和分析，使用展现框架可以直接对接数据做实时查询，供页面显示。</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数据中心</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数据中心由大数据集群、关系型数据库集群、数据缓存集群等组成，构建起多个数据中心，包含业务数据库、动态数据库、视图基础数据库等，所有数据保存在云空间，并支持异地冗灾备份等安全措施。</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26</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大数据统计分析模块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搭建分布式大数据数据仓库模型，支持分析，整合，清洗，多维度查询。</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27</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联网监测</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在线监测：支持对上下级视图库、应用平台、采集系统、分析系统进行在线监测，按每个系统，展示其离线次数、离线时长，在线率和近七天在线率。支持按照统计时间、系统类型查询，支持统计数据导出，支持对下级进行数据稳定性和接口稳定性的监测，数据收发监测。</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28</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数据可视化统计中心</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数据可视化统计中心通过大数据存储和分析技术，对系统中的多维数据进行图表化展现。</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29</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订阅通知</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订阅通知中心是视图库支持自动采集的视频图像信息、采集设备或系统的目录和状态等进行订阅、撤销订阅等，并能在接收到通知后自动实现同步的功能模块。订阅通知包括订阅管理和通知查询。</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30</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数据对接、清洗系统</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对平台所有数据进行归集管理。通过分布式实时流式计算引擎，实现时间、区域、名称、属性等进行筛选、过滤、数据碰撞。</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31</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图片存储管理模块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实现S3协议图片存储，图片管理，图片校验，图片检索查询下载等功能。</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32</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用户权限管理</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用户权限管理主要实现对系统内所有用户的账号统一创建和管理以及当前域下对各个应用（菜单功能）和各种资源（数据、设备、服务等）的操作使用权限创建、分配和管理。</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33</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通用配置管理</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通用配置主要包括用户创建时的基本参数配置管理，数据字典管理，系统任务管理以及地图应用管理等。</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34</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数据级联管理</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系统支持查看系统所在本级域、上级域及下级域的运行状态，通过级联服务名称、联网方式（同网、跨网）、级联服务地址等信息添加系统上级域及下级域，实现用户将本级及下级域中的卡口抓拍、人脸抓拍及人体抓拍数据共享至选中上级域，同时支持配置推送数据详情。</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35</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系统管理</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bottom"/>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通过目录管理、资源管理、业务资源关联以及资源配置失败情况的统计等方面，进行目录资源的概览，用户权限管理主要实现对系统内所有用户的账号统一创建和管理以及当前域下对各个应用（菜单功能）和各种资源（数据、设备、服务等）的操作使用权限创建、分配和管理。</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36</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云图采集</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数据交换服务总线（ESB）</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是数据共享交换模块的主要集成主干，可用于集成从Web服务和RESTful服务到复杂的基于智安小区集成方案的所有内容。</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37</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数据服务服务器（DSS）</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主要用于使用服务层动态地包装现有的异构和不同的数据存储。DSS可以集成数据源（RDBMS或NoSQL），创建复合数据视图和主机数据服务，将数据存储与这些数据存储的内部和外部使用者完全分离。</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38</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业务流程服务器（BPS）</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用于快速部署使用WS-BPEL标准编写的业务流程，用作业务流程管理和托管环境，支持需要人工交互的业务流程的人工任务。</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39</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Message Broker（MB）</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使应用程序能够异步交换通信或发布消息，以便许多订户及时访问。MB支持用于持久性消息传递的JMS和AMQP标准，可用于保证消息传递至关重要的场景。</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40</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Governance Registry</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（注册表和存储库以及SOA治理）也可用作此领域交货至关重要的支持产品。</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41</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服务注册模块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包括目录管理、服务注册、服务回收等功能，实现将总线上注册的服务按资源类别、资源提供方式进行分类、将共享类资源注册到总线，由总线提供对外服务、服务发布通过服务发布功能正式生效、服务回收对原已在总线注册的服务停止提供，通过服务回收将撤销总线上注册服务。</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0.9</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42</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服务申请模块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包括请求方系统注册、请求方资源申请、资源服务申请、请求方授权审批、请求方资源回收等功能。</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43</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安全控制模块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IP授权认证、资源授权认证、行为审计：对请求方系统访问资源时进行访问IP、资源进行授权认证、认证提供各服务资源访问的行为审计等方面的安全控制。</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44</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服务监测模块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提供在总线上注册的服务资源进行监控，包括服务资源状态监控、服务资源使用情况监控。</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45</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总线引擎模块</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包括了总线集群、数据缓存、代理服务、协议转换、消息路由。</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46</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基础应用</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检索：数据仓库包含常用的人员、车辆、多维物联感知等几大基础库，支持全文检索功能，输入关键字进行检索；全文检索支持多个关键字的组合检索等；订阅：具有对数据仓库的视频图像信息对象及其目录、采集设备、系统目录与状态等订阅、撤销订阅、通知等功能；统计分析：根据视频案事件类型、处理阶段、所属区域、时间范围等不同特征进行统计分析，生成统计报表；支持BI图形化展示界面功能。</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47</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管理功能</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用户权限：各部分应具有各自相对独立的用户权限管理功能，宜支持通过统一的鉴权认证系统进行用户权限管理；设备管理提供设备/系统、设备/系统的管理功能，包括存储设备、分析设备、采集设备等；支持采集设备登录口令/密码的动态管理，能定期自动更新采集设备登录口令/密码；档案管理：具有视频案事件的创建、更新及删除等管理功能，对数据仓库服务器、采集系统、卡口点位、采集设备、车道、人脸数据等档案信息进行管理；存储管理：具有结构化信息对象的存储功能，对人工上传和自动上传的信息和文件进行分类存储，支持配置其存储时间及周期、支持存储容量的平滑扩展、支持存储时限灵活可调；日志管理：对系统运行状态和用户操作情况进行日志记录，并能按照日志类型、时间等对日志进行检索与统计分析。各部分具有相对独立的运行日志和操作日志管理功能。</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48</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OSS大数据资源存储池基础库</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智安小区缓冲存储区基础库面向对象资源维度构建的物理存储库，满足不同资源目标对象（车辆、人脸、人体、物体、事件、WIFI等）的管理与应用。包括人员信息库（人脸、人体）、车辆信息库（车牌号、品牌、颜色、年款等）等。</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49</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采集接口</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通过采集模块主要实现采集接口，接收采集设备及采集系统发送的数据，将视频图像数据通过存储服务写入存储介质。</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50</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数据服务接口</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通过数据服务模块为视频图像信息应用平台及其他信息应用系统提供接入认证与鉴权、视频图像信息对象的CRUD操作、布控与告警、订阅与通知等服务。</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51</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级联接口</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通过级联模块为上下级数据仓库提供接入认证与鉴权、视频图像信息对象的CRUD操作、布控与告警、订阅与通知、联网等服务。</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52</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对象存储OSS</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提供的海量、安全、低成本、高可靠的云存储服务。您可以通过调用 API，在任何应用、任何时间、任何地点上传和下载数据，也可以通过 Web 控制台对数据进行简单的管理。</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53</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SLB负载均衡</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负载均衡 SLB对多台云服务器进行流量分发的负载均衡服务，可以通过流量分发扩展应用系统对外的服务能力，通过消除单点故障提升应用系统的可用性。</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54</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分布式数据库</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提供稳定可靠、可弹性伸缩的在线数据库服务产品总称。提供了容灾、备份、恢复、监控、迁移等方面的全套解决方案，彻底解决数据库运维的烦恼。</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55</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数据备份及服务保障</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包括数据库自动备份、手工备份两种方式。自动备份可以通过设置备份时间、备份路径，系统后台自动备份数据库；手工备份是在必要的情况下，手工执行备份功能。备份的时间、频率、存储路径都可配置化，并对备份的作业记录进行记录，便于追溯数据备份情况。</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56</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数据及网络安全</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top"/>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一种虚拟防火墙，具备状态检测包过滤功能。安全组用于设置单台或多台云服务器的网络访问控制，它是重要的网络安全隔离手段，用于在云端划分安全域。</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(二)</w:t>
            </w:r>
          </w:p>
        </w:tc>
        <w:tc>
          <w:tcPr>
            <w:tcW w:w="9096"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国标对接工作</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国标对接工作</w:t>
            </w: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新单位国标接入对接</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教育局、义乌之心、国际生产资料市场、医院、公路管理所、酒店等25个新单位国标接入测试对接工作。</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国标下级改造对接</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国标下级广电、移动、联通、电信、市场监管局等平台改造对接工作。</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直挂点位国标改造</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现网国标直挂点位按照公安新国标标准改造工作。</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录像国标改造迁移</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现网国标直挂点位视频存储按照公安新国标标准改造工作。</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3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bidi="ar"/>
              </w:rPr>
              <w:t>综治考核点位调整对接</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在考核系统内删除综治考核点位，按照公安新国标标准调整完毕后，再添加进考核系统。</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0.9</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序号</w:t>
            </w:r>
          </w:p>
        </w:tc>
        <w:tc>
          <w:tcPr>
            <w:tcW w:w="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子系统</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分项名称</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规格及主要技术要求</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数量</w:t>
            </w:r>
          </w:p>
        </w:tc>
        <w:tc>
          <w:tcPr>
            <w:tcW w:w="5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(三)</w:t>
            </w:r>
          </w:p>
        </w:tc>
        <w:tc>
          <w:tcPr>
            <w:tcW w:w="9096"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b/>
                <w:bCs/>
                <w:color w:val="000000"/>
                <w:sz w:val="21"/>
                <w:szCs w:val="21"/>
                <w:highlight w:val="none"/>
                <w:lang w:bidi="ar"/>
              </w:rPr>
              <w:t>硬件部分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软硬件扩容</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缓存池</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视频边界</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安全隔离与信息交换系统 (视频网闸）</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视频接入认证系统</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视频用户认证系统</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数据边界</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安全隔离与信息交换系统</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数据安全交换系统（前置）</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7</w:t>
            </w: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数据安全交换系统（后置）</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序号</w:t>
            </w:r>
          </w:p>
        </w:tc>
        <w:tc>
          <w:tcPr>
            <w:tcW w:w="5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子系统</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分项名称</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规格及主要技术要求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数量</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w:t>
            </w:r>
          </w:p>
        </w:tc>
        <w:tc>
          <w:tcPr>
            <w:tcW w:w="585" w:type="dxa"/>
            <w:vMerge w:val="restart"/>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网络及安全设备</w:t>
            </w: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防火墙</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w:t>
            </w:r>
          </w:p>
        </w:tc>
        <w:tc>
          <w:tcPr>
            <w:tcW w:w="58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核心交换机</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10</w:t>
            </w:r>
          </w:p>
        </w:tc>
        <w:tc>
          <w:tcPr>
            <w:tcW w:w="58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核心交换机板卡1</w:t>
            </w:r>
          </w:p>
        </w:tc>
        <w:tc>
          <w:tcPr>
            <w:tcW w:w="5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24端口千兆以太网电接口(RJ45)+20端口千兆以太网光接口(SFP,LC)+4端口万兆以太网光接口模块(SFP+,LC)</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8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核心交换机板卡2</w:t>
            </w:r>
          </w:p>
        </w:tc>
        <w:tc>
          <w:tcPr>
            <w:tcW w:w="5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12端口40G以太网光接口模块(QSFP+)(SG)</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w:t>
            </w:r>
          </w:p>
        </w:tc>
        <w:tc>
          <w:tcPr>
            <w:tcW w:w="58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核心交换机板卡3</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24端口万兆以太网光接口模块(SFP+,LC)(FD)</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8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汇聚交换机</w:t>
            </w:r>
          </w:p>
        </w:tc>
        <w:tc>
          <w:tcPr>
            <w:tcW w:w="52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14</w:t>
            </w:r>
          </w:p>
        </w:tc>
        <w:tc>
          <w:tcPr>
            <w:tcW w:w="58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40G多模光模块</w:t>
            </w:r>
          </w:p>
        </w:tc>
        <w:tc>
          <w:tcPr>
            <w:tcW w:w="5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QSFP+ 40G光模块(850nm,100m,SR4,支持1分4)</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85" w:type="dxa"/>
            <w:vMerge w:val="continue"/>
            <w:tcBorders>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万兆多模光模块</w:t>
            </w:r>
          </w:p>
        </w:tc>
        <w:tc>
          <w:tcPr>
            <w:tcW w:w="5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SFP+ 万兆模块(850nm,300m,LC)</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168</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23" w:hRule="atLeast"/>
          <w:jc w:val="center"/>
        </w:trPr>
        <w:tc>
          <w:tcPr>
            <w:tcW w:w="5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16</w:t>
            </w:r>
          </w:p>
        </w:tc>
        <w:tc>
          <w:tcPr>
            <w:tcW w:w="585" w:type="dxa"/>
            <w:vMerge w:val="continue"/>
            <w:tcBorders>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p>
        </w:tc>
        <w:tc>
          <w:tcPr>
            <w:tcW w:w="228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千兆多模光模块</w:t>
            </w:r>
          </w:p>
        </w:tc>
        <w:tc>
          <w:tcPr>
            <w:tcW w:w="52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光模块-SFP-GE-多模模块-(850nm,0.55km,LC)</w:t>
            </w:r>
          </w:p>
        </w:tc>
        <w:tc>
          <w:tcPr>
            <w:tcW w:w="4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40</w:t>
            </w:r>
          </w:p>
        </w:tc>
        <w:tc>
          <w:tcPr>
            <w:tcW w:w="5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台</w:t>
            </w:r>
          </w:p>
        </w:tc>
      </w:tr>
    </w:tbl>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★注：社会面视频监控联网云平台二期需与原有一期平台无缝对接。同时，由于服务器设备另行采购，中标集成商需要负责该子系统的集成工作，包括且不限于系统软件部署、上线联调、试运行等。</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（2）移动物联数据采集及应用</w:t>
      </w:r>
    </w:p>
    <w:tbl>
      <w:tblPr>
        <w:tblStyle w:val="56"/>
        <w:tblW w:w="96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3"/>
        <w:gridCol w:w="540"/>
        <w:gridCol w:w="870"/>
        <w:gridCol w:w="1169"/>
        <w:gridCol w:w="5611"/>
        <w:gridCol w:w="495"/>
        <w:gridCol w:w="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tblHeader/>
          <w:jc w:val="center"/>
        </w:trPr>
        <w:tc>
          <w:tcPr>
            <w:tcW w:w="463"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540"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子系统</w:t>
            </w:r>
          </w:p>
        </w:tc>
        <w:tc>
          <w:tcPr>
            <w:tcW w:w="870"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一级功能模块</w:t>
            </w:r>
          </w:p>
        </w:tc>
        <w:tc>
          <w:tcPr>
            <w:tcW w:w="1169"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二级功能模块</w:t>
            </w:r>
          </w:p>
        </w:tc>
        <w:tc>
          <w:tcPr>
            <w:tcW w:w="5611"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功能需求</w:t>
            </w:r>
          </w:p>
        </w:tc>
        <w:tc>
          <w:tcPr>
            <w:tcW w:w="495"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数量</w:t>
            </w:r>
          </w:p>
        </w:tc>
        <w:tc>
          <w:tcPr>
            <w:tcW w:w="506" w:type="dxa"/>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 w:hRule="atLeast"/>
          <w:jc w:val="center"/>
        </w:trPr>
        <w:tc>
          <w:tcPr>
            <w:tcW w:w="463" w:type="dxa"/>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lang w:bidi="ar"/>
              </w:rPr>
              <w:t>(</w:t>
            </w:r>
            <w:r>
              <w:rPr>
                <w:rFonts w:hint="default" w:ascii="Times New Roman" w:hAnsi="Times New Roman" w:cs="Times New Roman"/>
                <w:b/>
                <w:bCs/>
                <w:color w:val="000000"/>
                <w:sz w:val="21"/>
                <w:szCs w:val="21"/>
                <w:highlight w:val="none"/>
              </w:rPr>
              <w:t>一</w:t>
            </w:r>
            <w:r>
              <w:rPr>
                <w:rFonts w:hint="default" w:ascii="Times New Roman" w:hAnsi="Times New Roman" w:cs="Times New Roman"/>
                <w:b/>
                <w:bCs/>
                <w:color w:val="000000"/>
                <w:sz w:val="21"/>
                <w:szCs w:val="21"/>
                <w:highlight w:val="none"/>
                <w:lang w:bidi="ar"/>
              </w:rPr>
              <w:t>)</w:t>
            </w:r>
          </w:p>
        </w:tc>
        <w:tc>
          <w:tcPr>
            <w:tcW w:w="9191" w:type="dxa"/>
            <w:gridSpan w:val="6"/>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kern w:val="2"/>
                <w:sz w:val="21"/>
                <w:szCs w:val="21"/>
                <w:highlight w:val="none"/>
              </w:rPr>
            </w:pPr>
            <w:r>
              <w:rPr>
                <w:rFonts w:hint="default" w:ascii="Times New Roman" w:hAnsi="Times New Roman" w:cs="Times New Roman"/>
                <w:b/>
                <w:bCs/>
                <w:color w:val="000000"/>
                <w:kern w:val="2"/>
                <w:sz w:val="21"/>
                <w:szCs w:val="21"/>
                <w:highlight w:val="none"/>
              </w:rPr>
              <w:t>软件开发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数据平台</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数据源</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移动设备互联网数据接入</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提供涉及义乌市本地设备的移动终端数据，含</w:t>
            </w:r>
            <w:r>
              <w:rPr>
                <w:rFonts w:hint="default" w:ascii="Times New Roman" w:hAnsi="Times New Roman" w:cs="Times New Roman"/>
                <w:color w:val="000000"/>
                <w:sz w:val="21"/>
                <w:szCs w:val="21"/>
                <w:highlight w:val="none"/>
                <w:lang w:val="en-US" w:eastAsia="zh-CN" w:bidi="ar"/>
              </w:rPr>
              <w:t>四码</w:t>
            </w:r>
            <w:r>
              <w:rPr>
                <w:rFonts w:hint="default" w:ascii="Times New Roman" w:hAnsi="Times New Roman" w:cs="Times New Roman"/>
                <w:color w:val="000000"/>
                <w:sz w:val="21"/>
                <w:szCs w:val="21"/>
                <w:highlight w:val="none"/>
                <w:lang w:bidi="ar"/>
              </w:rPr>
              <w:t>、位置轨迹等</w:t>
            </w:r>
            <w:r>
              <w:rPr>
                <w:rFonts w:hint="default" w:ascii="Times New Roman" w:hAnsi="Times New Roman" w:cs="Times New Roman"/>
                <w:color w:val="000000"/>
                <w:sz w:val="21"/>
                <w:szCs w:val="21"/>
                <w:highlight w:val="none"/>
                <w:lang w:val="en-US" w:eastAsia="zh-CN" w:bidi="ar"/>
              </w:rPr>
              <w:t>数据</w:t>
            </w:r>
            <w:r>
              <w:rPr>
                <w:rFonts w:hint="default" w:ascii="Times New Roman" w:hAnsi="Times New Roman" w:cs="Times New Roman"/>
                <w:color w:val="000000"/>
                <w:sz w:val="21"/>
                <w:szCs w:val="21"/>
                <w:highlight w:val="none"/>
                <w:lang w:bidi="ar"/>
              </w:rPr>
              <w:t>。</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通过数据文件推送的方式接入。</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新建的室外采集设备数据接入</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新建的前端感知设备（全网感知前端、无线特征感知前端、无线网络感知设备、车行感知设备）采集数据。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以FTP方式接入。</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已建的无线特征采集设备数据接入</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义乌公安已建的2000个无线特征感知前端采集的数据。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以FTP方式接入。</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支撑组件</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精准位置组件</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通过精准位置组件可以对位置进行校准，并提供位置精度。通过对数据清洗和融合，实现无线前端采集数据校对精度从百米级到30米级。</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电子地图引擎</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通过百度地图以可视化方式快速、清晰展示位置信息，提高定位能力，支持高质量的定位。</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1.9</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标签画像引擎</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提供统一的标签服务，包括设备属性、位置属性、APP属性、人物属性等，对业务对象进行快速标识。</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1.4</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大数据计算引擎</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基于内存计算的大数据并行计算框架，提高在大数据环境下数据处理的实时性，同时保证了高容错性和可伸缩性。</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分析组件</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ID分析组件</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val="en-US" w:eastAsia="zh-CN" w:bidi="ar"/>
              </w:rPr>
              <w:t>需实现</w:t>
            </w:r>
            <w:r>
              <w:rPr>
                <w:rFonts w:hint="default" w:ascii="Times New Roman" w:hAnsi="Times New Roman" w:cs="Times New Roman"/>
                <w:color w:val="000000"/>
                <w:sz w:val="21"/>
                <w:szCs w:val="21"/>
                <w:highlight w:val="none"/>
                <w:lang w:bidi="ar"/>
              </w:rPr>
              <w:t>四码互译</w:t>
            </w:r>
            <w:r>
              <w:rPr>
                <w:rFonts w:hint="default" w:ascii="Times New Roman" w:hAnsi="Times New Roman" w:cs="Times New Roman"/>
                <w:color w:val="000000"/>
                <w:sz w:val="21"/>
                <w:szCs w:val="21"/>
                <w:highlight w:val="none"/>
                <w:lang w:val="en-US" w:eastAsia="zh-CN" w:bidi="ar"/>
              </w:rPr>
              <w:t>功能</w:t>
            </w:r>
            <w:r>
              <w:rPr>
                <w:rFonts w:hint="default" w:ascii="Times New Roman" w:hAnsi="Times New Roman" w:cs="Times New Roman"/>
                <w:color w:val="000000"/>
                <w:sz w:val="21"/>
                <w:szCs w:val="21"/>
                <w:highlight w:val="none"/>
                <w:lang w:bidi="ar"/>
              </w:rPr>
              <w:t>，由其中的一码翻译出另外的三码，并实现查询历史关联数据的功能。</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画像分析组件</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实现目标用户人物画像和标签分析功能。根据用户线上行为及线下轨迹等信息，通过设备属性、位置属性、APP属性、人物属性等方面对目标用户进行人物画像分析和关联分析，并提供可视化展示功能。</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关系分析组件</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基于互联网数据、WIFI特征感知前端采集数据，实现查询某段时间内设备连接WiFi的具体信息，并可灵活设置相关条件，具备分析各设备间同网关系的能力。</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业务应用</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全息画像</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通过对目标人员手机设备的线上数据进行分析，掌握目标人员行为轨迹，建立人员画像。全息画像依赖手机特征码，即用户或手机的身份识别码。</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画像推测</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查询目标人员的用户画像，包括性别、职业、原籍地、工作地、居住地以及人员特征标签，辅助公安机关对目标人员的身份、可疑度进行研判。其中，特征标签主要来源于系统建模分析，包括人物属性、APP线上属性、地理位置属性和设备属性四类，涵盖基本职业、换卡频率、工作/居住地稳定性、往返高危地区、活动直径等多个专用标签。</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设备信息</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根据手机的一个特征码，查询其它特征码信息，即四码转换，同时可查询手机的设备型号、设备语言、运营商信息及可能的换机、换卡历史。</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行为习惯</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展示目标设备安装的APP列表，对安装的涉恐、涉黄、境外通讯、翻墙VPN等各类敏感APP进行提示。</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常连WiFi</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分析展示近段时间目标设备的常连WiFi信息，主要包括白天和晚上的常连WiFi，及同网下的设备信息。</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关系图谱</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可自定义时间段，查询目标手机连接过的WiFi热点，并自定义选择WiFi热点进行同网关系分析，生成关系图谱，通过关系图谱对目标手机进行扩线分析，辅助对目标人员生活关系的挖掘。</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2.6</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位置轨迹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根据设备特征码等信息，查询某段时间内目标人员的位置活动轨迹。系统整合了互联网大数据、WIFI特征感知前端采集数据、移动终端多维感知前端采集数据等，同时利用了互联网大数据进行位置校准，从而提供更加丰富精准的位置轨迹。</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活动规律</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根据目标手机的历史位置轨迹，自动分析判断目标人员最近出现的位置、近3个月落脚点、工作地和居住地信息。</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19</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空间提数</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围栏提数</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划定围栏区域的方式，提取指定时间段内出现在围栏区域范围内的设备，并可通过性别、年龄、消费水平、手机品牌、手机语言以及手机内安装的特定APP等标签进一步筛选，辅助公安机关快速定位到具体人员。</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基站提数</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通过输入4G基站的基站号，对指定时间内连接指定基站的设备进行查询筛选，帮助筛选特定目标，为案件侦破提供帮助。</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1.9</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WiFi提数</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通过输入WiFi路由器的无线特征码地址，对指定时间内连接指定WiFi的设备进行查询筛选。</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1.9</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APP提数</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通过选择与义乌警情相关的APP，系统可自动分析出义乌特定APP的安装总数量、各个区域安装比例及安装APP的用户画像如性别、年龄、居住地、工作地、原籍地等特征信息。</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2.6</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预警布控</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终端布控</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通过目标人员的手机进行布控，对目标人员的出现、动向以及聚集行为进行监控，系统通过报警的方式通知相关负责人员。</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群体预警</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基于地图和围栏，对重点群体批量布控，监测其在全国范围内的活动情况，可实时通过地图查看重点人员的位置分布、活动轨迹和活动动向，发现重点人员标有跨越围栏或聚集等行为时，系统报警提示。</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管理模块</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采集前端管理</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感知设备地图</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以地图形式展示义乌市前端感知设备的位置分布、设备位置偏移情况及采集数据情况。</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WiFi特征感知前端管理</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提供WiFi特征感知前端的入库管理，并展示义乌市WiFi特征感知前端的运行情况、数据采集情况以及位置校准。</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移动终端多维感知前端设备管理</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提供移动终端多维感知前端设备的入库管理，展示移动终端多维感知前端的运行情况。</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基础信息管理</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人群管理</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用户可按照模板上传人群包，审批通过后可对人群包进行预警布控。</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29</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围栏管理</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用户可通过地图工具自定义绘制围栏，审批通过后可用于预警布控和APP提数等。</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备案管理</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用户通过人工填写方式录入案件信息，进行备案。</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系统管理</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部门管理</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部门层级架构设置</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用户组管理</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用户所属组设置</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用户管理</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用户管理中心</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公告消息</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系统升级信息与通知信息</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系统设置</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系统名称与图标更换</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操作日志</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记录用户组操作，查询操作日志</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系统登陆</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系统在公安网内通过PKI（数字证书）登陆。</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0.4</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38</w:t>
            </w:r>
          </w:p>
        </w:tc>
        <w:tc>
          <w:tcPr>
            <w:tcW w:w="5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API接口</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本地特征码数据查询接口</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针对输入义乌本地设备的特征码数据，从相关数据源中，提取到与该特征码相关联的其它特征码，提供特征码数据查询，支持API接口方式查询和单次单条查询。</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39</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本地轨迹数据查询接口开发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WIFI特征感知前端采集数据、移动终端多维感知前端采集数据与义乌本地设备的移动终端数据进行融合后，针对输入本地设备的特征码和时间段，从相关数据源中，提取到该特征码相关设备的位置数据，提供轨迹类数据查询和API接口方式查询，支持API接口方式查询和单次单条查询。</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2.8</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40</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本地APP类数据服务接口开发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针对输入义乌本地设备的特征码数据，从相关数据源中，提取该特征码相关联设备安装的APP信息。同时以API接口方式查询和单次单条查询。</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41</w:t>
            </w:r>
          </w:p>
        </w:tc>
        <w:tc>
          <w:tcPr>
            <w:tcW w:w="54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预警类数据推送服务开发</w:t>
            </w:r>
          </w:p>
        </w:tc>
        <w:tc>
          <w:tcPr>
            <w:tcW w:w="1169"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611"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义乌公安提供的重点人员设备先在预警布控模块设置触警条件进行布控，当相关人员触发预警条件时将相关设备的预警信息以文本或者kafka的方式推送到指定位置。</w:t>
            </w:r>
          </w:p>
        </w:tc>
        <w:tc>
          <w:tcPr>
            <w:tcW w:w="495"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3.7</w:t>
            </w:r>
          </w:p>
        </w:tc>
        <w:tc>
          <w:tcPr>
            <w:tcW w:w="506" w:type="dxa"/>
            <w:tcBorders>
              <w:top w:val="single" w:color="auto" w:sz="4" w:space="0"/>
              <w:left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人月</w:t>
            </w:r>
          </w:p>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42</w:t>
            </w:r>
          </w:p>
        </w:tc>
        <w:tc>
          <w:tcPr>
            <w:tcW w:w="54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数据服务</w:t>
            </w:r>
          </w:p>
        </w:tc>
        <w:tc>
          <w:tcPr>
            <w:tcW w:w="870"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数据更新服务</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本地特征码、本地轨迹数据、本地APP类数据、预警类数据按需更新，义乌市本地数据将全量推送至义乌市公安局，后续根据人员流动情况和业务需求不定时更新数据并推送至义乌市公安局。</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43</w:t>
            </w:r>
          </w:p>
        </w:tc>
        <w:tc>
          <w:tcPr>
            <w:tcW w:w="54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left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数据推送服务</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出现在义乌市的特征码、轨迹数据、APP类数据、预警类数据等全量推送至义乌市公安局。</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44</w:t>
            </w:r>
          </w:p>
        </w:tc>
        <w:tc>
          <w:tcPr>
            <w:tcW w:w="54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70"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数据查询服务</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API接口查询和单次单条查询的上限为每年50万次，50万次查询上限为未在义乌市出现的特征码及相关数据有效查询次数。</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4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45</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互联网数据更新</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移动终端互联网实时数据更新</w:t>
            </w:r>
          </w:p>
        </w:tc>
        <w:tc>
          <w:tcPr>
            <w:tcW w:w="116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56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通过及时更新义乌本地互联网数据，含无线特征码、用户识别码、机身码、用户号码、APP列表、位置轨迹等，为平台业务应用提供基础数据支撑。每日推送数据量约15G左右。</w:t>
            </w:r>
          </w:p>
        </w:tc>
        <w:tc>
          <w:tcPr>
            <w:tcW w:w="49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6</w:t>
            </w:r>
          </w:p>
        </w:tc>
        <w:tc>
          <w:tcPr>
            <w:tcW w:w="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年</w:t>
            </w:r>
          </w:p>
        </w:tc>
      </w:tr>
    </w:tbl>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★注：由于服务器设备另行采购，中标集成商需要负责该子系统的集成工作，包括且不限于系统软件部署、上线联调、试运行等。</w:t>
      </w:r>
    </w:p>
    <w:p>
      <w:pPr>
        <w:pageBreakBefore w:val="0"/>
        <w:kinsoku/>
        <w:overflowPunct/>
        <w:topLinePunct w:val="0"/>
        <w:bidi w:val="0"/>
        <w:spacing w:after="0" w:line="264" w:lineRule="auto"/>
        <w:jc w:val="both"/>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（3）智能视觉系统</w:t>
      </w:r>
    </w:p>
    <w:tbl>
      <w:tblPr>
        <w:tblStyle w:val="56"/>
        <w:tblW w:w="9657" w:type="dxa"/>
        <w:jc w:val="center"/>
        <w:tblInd w:w="0" w:type="dxa"/>
        <w:tblLayout w:type="fixed"/>
        <w:tblCellMar>
          <w:top w:w="0" w:type="dxa"/>
          <w:left w:w="0" w:type="dxa"/>
          <w:bottom w:w="0" w:type="dxa"/>
          <w:right w:w="0" w:type="dxa"/>
        </w:tblCellMar>
      </w:tblPr>
      <w:tblGrid>
        <w:gridCol w:w="464"/>
        <w:gridCol w:w="735"/>
        <w:gridCol w:w="1845"/>
        <w:gridCol w:w="5610"/>
        <w:gridCol w:w="510"/>
        <w:gridCol w:w="493"/>
      </w:tblGrid>
      <w:tr>
        <w:tblPrEx>
          <w:tblLayout w:type="fixed"/>
          <w:tblCellMar>
            <w:top w:w="0" w:type="dxa"/>
            <w:left w:w="0" w:type="dxa"/>
            <w:bottom w:w="0" w:type="dxa"/>
            <w:right w:w="0" w:type="dxa"/>
          </w:tblCellMar>
        </w:tblPrEx>
        <w:trPr>
          <w:trHeight w:val="23" w:hRule="atLeast"/>
          <w:tblHeader/>
          <w:jc w:val="center"/>
        </w:trPr>
        <w:tc>
          <w:tcPr>
            <w:tcW w:w="464"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73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子系统</w:t>
            </w:r>
          </w:p>
        </w:tc>
        <w:tc>
          <w:tcPr>
            <w:tcW w:w="184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lang w:bidi="ar"/>
              </w:rPr>
              <w:t>智能算法</w:t>
            </w:r>
          </w:p>
        </w:tc>
        <w:tc>
          <w:tcPr>
            <w:tcW w:w="561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功能需求</w:t>
            </w:r>
          </w:p>
        </w:tc>
        <w:tc>
          <w:tcPr>
            <w:tcW w:w="510"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数量</w:t>
            </w:r>
          </w:p>
        </w:tc>
        <w:tc>
          <w:tcPr>
            <w:tcW w:w="49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单位</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bCs/>
                <w:color w:val="000000"/>
                <w:sz w:val="21"/>
                <w:szCs w:val="21"/>
                <w:highlight w:val="none"/>
                <w:lang w:bidi="ar"/>
              </w:rPr>
              <w:t>(</w:t>
            </w:r>
            <w:r>
              <w:rPr>
                <w:rFonts w:hint="default" w:ascii="Times New Roman" w:hAnsi="Times New Roman" w:cs="Times New Roman"/>
                <w:b/>
                <w:color w:val="000000"/>
                <w:sz w:val="21"/>
                <w:szCs w:val="21"/>
                <w:highlight w:val="none"/>
                <w:lang w:bidi="ar"/>
              </w:rPr>
              <w:t>一</w:t>
            </w:r>
            <w:r>
              <w:rPr>
                <w:rFonts w:hint="default" w:ascii="Times New Roman" w:hAnsi="Times New Roman" w:cs="Times New Roman"/>
                <w:b/>
                <w:bCs/>
                <w:color w:val="000000"/>
                <w:sz w:val="21"/>
                <w:szCs w:val="21"/>
                <w:highlight w:val="none"/>
                <w:lang w:bidi="ar"/>
              </w:rPr>
              <w:t>)</w:t>
            </w:r>
          </w:p>
        </w:tc>
        <w:tc>
          <w:tcPr>
            <w:tcW w:w="9193"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lang w:bidi="ar"/>
              </w:rPr>
              <w:t>智能算法</w:t>
            </w:r>
          </w:p>
        </w:tc>
      </w:tr>
      <w:tr>
        <w:tblPrEx>
          <w:tblLayout w:type="fixed"/>
          <w:tblCellMar>
            <w:top w:w="0" w:type="dxa"/>
            <w:left w:w="0" w:type="dxa"/>
            <w:bottom w:w="0" w:type="dxa"/>
            <w:right w:w="0" w:type="dxa"/>
          </w:tblCellMar>
        </w:tblPrEx>
        <w:trPr>
          <w:trHeight w:val="23" w:hRule="atLeast"/>
          <w:jc w:val="center"/>
        </w:trPr>
        <w:tc>
          <w:tcPr>
            <w:tcW w:w="46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73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图片流</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人脸识别算法授权</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包含图片流人脸检测、人脸配准、人脸特征提取、人脸属性识别、人脸布控、人脸检索、人脸特征值存储90天的功能。</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3000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个</w:t>
            </w:r>
          </w:p>
        </w:tc>
      </w:tr>
      <w:tr>
        <w:tblPrEx>
          <w:tblLayout w:type="fixed"/>
          <w:tblCellMar>
            <w:top w:w="0" w:type="dxa"/>
            <w:left w:w="0" w:type="dxa"/>
            <w:bottom w:w="0" w:type="dxa"/>
            <w:right w:w="0" w:type="dxa"/>
          </w:tblCellMar>
        </w:tblPrEx>
        <w:trPr>
          <w:trHeight w:val="23" w:hRule="atLeast"/>
          <w:jc w:val="center"/>
        </w:trPr>
        <w:tc>
          <w:tcPr>
            <w:tcW w:w="4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D0D0D"/>
                <w:sz w:val="21"/>
                <w:szCs w:val="21"/>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人脸聚类和人脸档案算法授权</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根据人脸聚类算法，对人脸图片按照相似度进行归类，把同一个人的人脸图片归为一个类。根据人脸档案算法，对聚类产生的类中心与静态库做撞库，通过身份置信形成匿名人脸档案与实名人脸档案，并且进行人脸档案数据的查询检索应用，人脸档案数据存储1年。</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3000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个</w:t>
            </w:r>
          </w:p>
        </w:tc>
      </w:tr>
      <w:tr>
        <w:tblPrEx>
          <w:tblLayout w:type="fixed"/>
          <w:tblCellMar>
            <w:top w:w="0" w:type="dxa"/>
            <w:left w:w="0" w:type="dxa"/>
            <w:bottom w:w="0" w:type="dxa"/>
            <w:right w:w="0" w:type="dxa"/>
          </w:tblCellMar>
        </w:tblPrEx>
        <w:trPr>
          <w:trHeight w:val="23" w:hRule="atLeast"/>
          <w:jc w:val="center"/>
        </w:trPr>
        <w:tc>
          <w:tcPr>
            <w:tcW w:w="4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D0D0D"/>
                <w:sz w:val="21"/>
                <w:szCs w:val="21"/>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人体识别算法授权</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包含图片流的人体检测、人体配准、人体特征提取、人体属性识别、人体检索、人体特征值存储90天的功能。</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3000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个</w:t>
            </w:r>
          </w:p>
        </w:tc>
      </w:tr>
      <w:tr>
        <w:tblPrEx>
          <w:tblLayout w:type="fixed"/>
          <w:tblCellMar>
            <w:top w:w="0" w:type="dxa"/>
            <w:left w:w="0" w:type="dxa"/>
            <w:bottom w:w="0" w:type="dxa"/>
            <w:right w:w="0" w:type="dxa"/>
          </w:tblCellMar>
        </w:tblPrEx>
        <w:trPr>
          <w:trHeight w:val="23" w:hRule="atLeast"/>
          <w:jc w:val="center"/>
        </w:trPr>
        <w:tc>
          <w:tcPr>
            <w:tcW w:w="4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D0D0D"/>
                <w:sz w:val="21"/>
                <w:szCs w:val="21"/>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人脸人体关联及融合检索算法</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分析图片流的人脸抓拍和人体抓拍是否是同一个人员，并且对同一个人员的人脸和人体进行关联。可以实现在没有清晰人脸的时候，通过人体的检索找出一张具有清晰人脸抓拍；也可以在已有清晰人脸的情况下，通过对人体的检索，来补全目标人员的行动轨迹。</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3000</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个</w:t>
            </w:r>
          </w:p>
        </w:tc>
      </w:tr>
      <w:tr>
        <w:tblPrEx>
          <w:tblLayout w:type="fixed"/>
          <w:tblCellMar>
            <w:top w:w="0" w:type="dxa"/>
            <w:left w:w="0" w:type="dxa"/>
            <w:bottom w:w="0" w:type="dxa"/>
            <w:right w:w="0" w:type="dxa"/>
          </w:tblCellMar>
        </w:tblPrEx>
        <w:trPr>
          <w:trHeight w:val="23" w:hRule="atLeast"/>
          <w:jc w:val="center"/>
        </w:trPr>
        <w:tc>
          <w:tcPr>
            <w:tcW w:w="464"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735"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视频流</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人脸识别算法授权</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包含视频流的人脸检测、人脸跟踪、人脸配准、人脸特征提取、人脸属性识别、人脸布控、人脸检索、人脸特征值存储90天的功能。</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96</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个</w:t>
            </w:r>
          </w:p>
        </w:tc>
      </w:tr>
      <w:tr>
        <w:tblPrEx>
          <w:tblLayout w:type="fixed"/>
          <w:tblCellMar>
            <w:top w:w="0" w:type="dxa"/>
            <w:left w:w="0" w:type="dxa"/>
            <w:bottom w:w="0" w:type="dxa"/>
            <w:right w:w="0" w:type="dxa"/>
          </w:tblCellMar>
        </w:tblPrEx>
        <w:trPr>
          <w:trHeight w:val="23" w:hRule="atLeast"/>
          <w:jc w:val="center"/>
        </w:trPr>
        <w:tc>
          <w:tcPr>
            <w:tcW w:w="4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D0D0D"/>
                <w:sz w:val="21"/>
                <w:szCs w:val="21"/>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人脸聚类和人脸档案算法授权</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根据人脸聚类算法，对人脸图片按照相似度进行归类，把同一个人的人脸图片归为一个类。根据人脸档案算法，对聚类产生的类中心与静态库做撞库，通过身份置信形成匿名人脸档案与实名人脸档案，并且进行人脸档案数据的查询检索应用，人脸档案数据存储1年。</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96</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个</w:t>
            </w:r>
          </w:p>
        </w:tc>
      </w:tr>
      <w:tr>
        <w:tblPrEx>
          <w:tblLayout w:type="fixed"/>
          <w:tblCellMar>
            <w:top w:w="0" w:type="dxa"/>
            <w:left w:w="0" w:type="dxa"/>
            <w:bottom w:w="0" w:type="dxa"/>
            <w:right w:w="0" w:type="dxa"/>
          </w:tblCellMar>
        </w:tblPrEx>
        <w:trPr>
          <w:trHeight w:val="23" w:hRule="atLeast"/>
          <w:jc w:val="center"/>
        </w:trPr>
        <w:tc>
          <w:tcPr>
            <w:tcW w:w="4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D0D0D"/>
                <w:sz w:val="21"/>
                <w:szCs w:val="21"/>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人体识别算法授权</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包含视频流的人体检测、人体跟踪、人体配准、人体特征提取、人体属性识别、人体检索、人体特征值存储90天的功能。</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96</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个</w:t>
            </w:r>
          </w:p>
        </w:tc>
      </w:tr>
      <w:tr>
        <w:tblPrEx>
          <w:tblLayout w:type="fixed"/>
          <w:tblCellMar>
            <w:top w:w="0" w:type="dxa"/>
            <w:left w:w="0" w:type="dxa"/>
            <w:bottom w:w="0" w:type="dxa"/>
            <w:right w:w="0" w:type="dxa"/>
          </w:tblCellMar>
        </w:tblPrEx>
        <w:trPr>
          <w:trHeight w:val="23" w:hRule="atLeast"/>
          <w:jc w:val="center"/>
        </w:trPr>
        <w:tc>
          <w:tcPr>
            <w:tcW w:w="464"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35"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D0D0D"/>
                <w:sz w:val="21"/>
                <w:szCs w:val="21"/>
                <w:highlight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人脸人体关联及融合检索算法</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D0D0D"/>
                <w:sz w:val="21"/>
                <w:szCs w:val="21"/>
                <w:highlight w:val="none"/>
                <w:lang w:bidi="ar"/>
              </w:rPr>
              <w:t>分析视频流的人脸抓拍和人体抓拍是否是同一个人员，并且对同一个人员的人脸和人体进行关联。可以实现在没有清晰人脸的时候，通过人体的检索找出一张具有清晰人脸抓拍；也可以在已有清晰人脸的情况下，通过对人体的检索，来补全目标人员的行动轨迹。</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96</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个</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widowControl w:val="0"/>
              <w:kinsoku/>
              <w:overflowPunct/>
              <w:topLinePunct w:val="0"/>
              <w:bidi w:val="0"/>
              <w:snapToGrid w:val="0"/>
              <w:spacing w:after="0" w:line="264" w:lineRule="auto"/>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br w:type="page"/>
            </w:r>
            <w:r>
              <w:rPr>
                <w:rFonts w:hint="default" w:ascii="Times New Roman" w:hAnsi="Times New Roman" w:cs="Times New Roman"/>
                <w:b/>
                <w:bCs/>
                <w:color w:val="000000"/>
                <w:sz w:val="21"/>
                <w:szCs w:val="21"/>
                <w:highlight w:val="none"/>
                <w:lang w:bidi="ar"/>
              </w:rPr>
              <w:t>序号</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子系统</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分项名称</w:t>
            </w:r>
          </w:p>
        </w:tc>
        <w:tc>
          <w:tcPr>
            <w:tcW w:w="5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规格及主要技术要求</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数量</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单位</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(二)</w:t>
            </w:r>
          </w:p>
        </w:tc>
        <w:tc>
          <w:tcPr>
            <w:tcW w:w="91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硬件部分</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7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视频专网</w:t>
            </w: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人脸布控服务器</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视图解析服务器</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视图特征库服务器</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存储节点</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存储服务器</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管理交换机</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接入交换机</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sz w:val="21"/>
                <w:szCs w:val="21"/>
                <w:highlight w:val="none"/>
              </w:rPr>
              <w:t>详见“主要设备技术指标要求”</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8</w:t>
            </w:r>
          </w:p>
        </w:tc>
        <w:tc>
          <w:tcPr>
            <w:tcW w:w="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kern w:val="2"/>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服务器交换机</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sz w:val="21"/>
                <w:szCs w:val="21"/>
                <w:highlight w:val="none"/>
              </w:rPr>
              <w:t>详见“主要设备技术指标要求”</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2</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9</w:t>
            </w:r>
          </w:p>
        </w:tc>
        <w:tc>
          <w:tcPr>
            <w:tcW w:w="7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kern w:val="2"/>
                <w:sz w:val="21"/>
                <w:szCs w:val="21"/>
                <w:highlight w:val="none"/>
              </w:rPr>
            </w:pPr>
          </w:p>
        </w:tc>
        <w:tc>
          <w:tcPr>
            <w:tcW w:w="18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企业级硬盘</w:t>
            </w:r>
          </w:p>
        </w:tc>
        <w:tc>
          <w:tcPr>
            <w:tcW w:w="56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3.5英寸 6000G 7200 128M SATA3 6Gb/S</w:t>
            </w:r>
          </w:p>
        </w:tc>
        <w:tc>
          <w:tcPr>
            <w:tcW w:w="5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288</w:t>
            </w:r>
          </w:p>
        </w:tc>
        <w:tc>
          <w:tcPr>
            <w:tcW w:w="4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块</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rPr>
              <w:t>(</w:t>
            </w:r>
            <w:r>
              <w:rPr>
                <w:rFonts w:hint="default" w:ascii="Times New Roman" w:hAnsi="Times New Roman" w:cs="Times New Roman"/>
                <w:b/>
                <w:bCs/>
                <w:color w:val="000000"/>
                <w:sz w:val="21"/>
                <w:szCs w:val="21"/>
                <w:highlight w:val="none"/>
                <w:lang w:bidi="ar"/>
              </w:rPr>
              <w:t>三</w:t>
            </w:r>
            <w:r>
              <w:rPr>
                <w:rFonts w:hint="default" w:ascii="Times New Roman" w:hAnsi="Times New Roman" w:cs="Times New Roman"/>
                <w:b/>
                <w:bCs/>
                <w:color w:val="000000"/>
                <w:sz w:val="21"/>
                <w:szCs w:val="21"/>
                <w:highlight w:val="none"/>
              </w:rPr>
              <w:t>)</w:t>
            </w:r>
          </w:p>
        </w:tc>
        <w:tc>
          <w:tcPr>
            <w:tcW w:w="9193"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接入与调试</w:t>
            </w:r>
          </w:p>
        </w:tc>
      </w:tr>
      <w:tr>
        <w:tblPrEx>
          <w:tblLayout w:type="fixed"/>
          <w:tblCellMar>
            <w:top w:w="0" w:type="dxa"/>
            <w:left w:w="0" w:type="dxa"/>
            <w:bottom w:w="0" w:type="dxa"/>
            <w:right w:w="0" w:type="dxa"/>
          </w:tblCellMar>
        </w:tblPrEx>
        <w:trPr>
          <w:trHeight w:val="23" w:hRule="atLeast"/>
          <w:jc w:val="center"/>
        </w:trPr>
        <w:tc>
          <w:tcPr>
            <w:tcW w:w="464"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接入服务与调试服务</w:t>
            </w:r>
          </w:p>
        </w:tc>
        <w:tc>
          <w:tcPr>
            <w:tcW w:w="56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视频/图片流及图片流数据接入服务与调试服务</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3096</w:t>
            </w:r>
          </w:p>
        </w:tc>
        <w:tc>
          <w:tcPr>
            <w:tcW w:w="4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路</w:t>
            </w:r>
          </w:p>
        </w:tc>
      </w:tr>
    </w:tbl>
    <w:p>
      <w:pPr>
        <w:pageBreakBefore w:val="0"/>
        <w:kinsoku/>
        <w:overflowPunct/>
        <w:topLinePunct w:val="0"/>
        <w:bidi w:val="0"/>
        <w:spacing w:after="0" w:line="264" w:lineRule="auto"/>
        <w:jc w:val="both"/>
        <w:rPr>
          <w:rFonts w:hint="default" w:ascii="Times New Roman" w:hAnsi="Times New Roman" w:cs="Times New Roman"/>
          <w:b/>
          <w:bCs/>
          <w:sz w:val="21"/>
          <w:szCs w:val="21"/>
          <w:highlight w:val="none"/>
        </w:rPr>
      </w:pPr>
    </w:p>
    <w:p>
      <w:pPr>
        <w:pageBreakBefore w:val="0"/>
        <w:kinsoku/>
        <w:overflowPunct/>
        <w:topLinePunct w:val="0"/>
        <w:bidi w:val="0"/>
        <w:spacing w:after="0" w:line="264" w:lineRule="auto"/>
        <w:jc w:val="both"/>
        <w:rPr>
          <w:rFonts w:hint="default" w:ascii="Times New Roman" w:hAnsi="Times New Roman" w:cs="Times New Roman"/>
          <w:b/>
          <w:bCs/>
          <w:color w:val="FF0000"/>
          <w:sz w:val="21"/>
          <w:szCs w:val="21"/>
          <w:highlight w:val="none"/>
        </w:rPr>
      </w:pPr>
      <w:r>
        <w:rPr>
          <w:rFonts w:hint="default" w:ascii="Times New Roman" w:hAnsi="Times New Roman" w:cs="Times New Roman"/>
          <w:b/>
          <w:bCs/>
          <w:color w:val="FF0000"/>
          <w:sz w:val="21"/>
          <w:szCs w:val="21"/>
          <w:highlight w:val="none"/>
        </w:rPr>
        <w:t>★注：智能视觉系统需要与金华“雪亮平台”无缝对接。投标人需在投标文件商务技术响应文件中提供承诺函（加盖投标人电子签章）承诺与金华“雪亮平台”无缝对接。</w:t>
      </w:r>
      <w:r>
        <w:rPr>
          <w:rFonts w:hint="default" w:ascii="Times New Roman" w:hAnsi="Times New Roman" w:cs="Times New Roman"/>
          <w:b/>
          <w:bCs/>
          <w:sz w:val="21"/>
          <w:szCs w:val="21"/>
          <w:highlight w:val="none"/>
        </w:rPr>
        <w:t>同时，由于部分服务器设备另行采购，中标集成商需要负责该子系统的集成工作，包括且不限于系统软件部署、上线联调、试运行等。</w:t>
      </w:r>
    </w:p>
    <w:p>
      <w:pPr>
        <w:pageBreakBefore w:val="0"/>
        <w:kinsoku/>
        <w:overflowPunct/>
        <w:topLinePunct w:val="0"/>
        <w:bidi w:val="0"/>
        <w:spacing w:after="0" w:line="264" w:lineRule="auto"/>
        <w:jc w:val="both"/>
        <w:rPr>
          <w:rFonts w:hint="default" w:ascii="Times New Roman" w:hAnsi="Times New Roman" w:cs="Times New Roman"/>
          <w:b/>
          <w:bCs/>
          <w:sz w:val="21"/>
          <w:szCs w:val="21"/>
          <w:highlight w:val="none"/>
        </w:rPr>
      </w:pPr>
    </w:p>
    <w:p>
      <w:pPr>
        <w:pageBreakBefore w:val="0"/>
        <w:kinsoku/>
        <w:overflowPunct/>
        <w:topLinePunct w:val="0"/>
        <w:bidi w:val="0"/>
        <w:spacing w:after="0" w:line="264" w:lineRule="auto"/>
        <w:jc w:val="both"/>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（4）慧眼大数据应用系统</w:t>
      </w:r>
    </w:p>
    <w:tbl>
      <w:tblPr>
        <w:tblStyle w:val="56"/>
        <w:tblW w:w="9650" w:type="dxa"/>
        <w:jc w:val="center"/>
        <w:tblInd w:w="0" w:type="dxa"/>
        <w:tblLayout w:type="fixed"/>
        <w:tblCellMar>
          <w:top w:w="0" w:type="dxa"/>
          <w:left w:w="0" w:type="dxa"/>
          <w:bottom w:w="0" w:type="dxa"/>
          <w:right w:w="0" w:type="dxa"/>
        </w:tblCellMar>
      </w:tblPr>
      <w:tblGrid>
        <w:gridCol w:w="550"/>
        <w:gridCol w:w="540"/>
        <w:gridCol w:w="720"/>
        <w:gridCol w:w="825"/>
        <w:gridCol w:w="6060"/>
        <w:gridCol w:w="465"/>
        <w:gridCol w:w="490"/>
      </w:tblGrid>
      <w:tr>
        <w:tblPrEx>
          <w:tblLayout w:type="fixed"/>
          <w:tblCellMar>
            <w:top w:w="0" w:type="dxa"/>
            <w:left w:w="0" w:type="dxa"/>
            <w:bottom w:w="0" w:type="dxa"/>
            <w:right w:w="0" w:type="dxa"/>
          </w:tblCellMar>
        </w:tblPrEx>
        <w:trPr>
          <w:trHeight w:val="23" w:hRule="atLeast"/>
          <w:tblHeader/>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5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子系统</w:t>
            </w:r>
          </w:p>
        </w:tc>
        <w:tc>
          <w:tcPr>
            <w:tcW w:w="72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一级功能模块</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lang w:bidi="ar"/>
              </w:rPr>
              <w:t>二级功能模块</w:t>
            </w:r>
          </w:p>
        </w:tc>
        <w:tc>
          <w:tcPr>
            <w:tcW w:w="606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功能需求</w:t>
            </w: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数量</w:t>
            </w:r>
          </w:p>
        </w:tc>
        <w:tc>
          <w:tcPr>
            <w:tcW w:w="4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单位</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sz w:val="21"/>
                <w:szCs w:val="21"/>
                <w:highlight w:val="none"/>
                <w:lang w:bidi="ar"/>
              </w:rPr>
            </w:pPr>
            <w:r>
              <w:rPr>
                <w:rFonts w:hint="default" w:ascii="Times New Roman" w:hAnsi="Times New Roman" w:cs="Times New Roman"/>
                <w:b/>
                <w:sz w:val="21"/>
                <w:szCs w:val="21"/>
                <w:highlight w:val="none"/>
                <w:lang w:bidi="ar"/>
              </w:rPr>
              <w:t>(一)</w:t>
            </w:r>
          </w:p>
        </w:tc>
        <w:tc>
          <w:tcPr>
            <w:tcW w:w="9100" w:type="dxa"/>
            <w:gridSpan w:val="6"/>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sz w:val="21"/>
                <w:szCs w:val="21"/>
                <w:highlight w:val="none"/>
                <w:lang w:bidi="ar"/>
              </w:rPr>
            </w:pPr>
            <w:r>
              <w:rPr>
                <w:rFonts w:hint="default" w:ascii="Times New Roman" w:hAnsi="Times New Roman" w:cs="Times New Roman"/>
                <w:b/>
                <w:sz w:val="21"/>
                <w:szCs w:val="21"/>
                <w:highlight w:val="none"/>
                <w:lang w:bidi="ar"/>
              </w:rPr>
              <w:t>软件开发</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人员标签体系</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标签管理</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标签管理提供可视化的用户标签生命周期管理功能，包括标签创建、修改、审批、发布和评估等，实现标签规范化的全流程闭环管理。</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标签模型</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从基础属性、行为习惯等纬度给要素打标签，从而获取多种数据标签纬度组合。标签模型分为基础标签模型、行为标签模型、业务标签模型。</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1.基础标签涉及性别、文化程度、民族、宗教信仰、户籍、国籍等基础信息。</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2.行为标签包括火车、飞机、汽车、上网、住宿、就医等行为信息。</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3.业务标签涉及前科、流口、重点人员、关注人员等业务积累信息。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标签检索</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实现标签快速和高级检索功能，具备快速查找需要标签的检索能力。同时实现标签视图功能，用于快速定位全面描述标签信息，包括标签基本信息、相关标签、基本特征、标签积分。</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人脸动态库</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前科人员动态库</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与打防控、省执法办案系统对接，建立侵财前科、涉黄前科、涉赌前科、涉毒前科等前科人员库。通过与市常住人口系统、全国常住人口系统对接，获取人脸照片，构建前科人员人脸布控库。</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重点人员动态库</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与9+X重点人员管控系统对接，建立重点人员名单库。通过与市常住人口和全国常住人口系统对接，获取人脸照片，构建重点人员人脸布控库。支持重点人员列管、撤管的变动，对重点人员动态库的布控、撤控操作。</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在逃人员动态库</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与全国在逃人员系统对接，建立在逃人员名单库。通过与市常住人口系统、全国常住人口系统对接，获取人脸照片，构建在逃人员布控库。支持在逃人员上网、撤网的变动，对在逃人员动态库的布控、撤控操作。</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境外人员动态库</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与一点通系统和旅馆住宿系统对接，建立境外人员名单库。通过与全国出入境系统对接，获取境外人员照片，构建境外人员布控库。</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走失人员动态库</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实现走失人员布控功能，具备对走失人员名单管理的能力。与人像平台对接，构建走私人员动态库，支持走失人员动态库的布控、撤控功能。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嫌疑人员动态库</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实现人员布控功能，具备对嫌疑人员布控管理的能力。与人像平台对接，构建嫌疑人员动态库，支持嫌疑人员动态库的布控、撤控功能。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10</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融合档案</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全息档案</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基本信息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对接省厅云上户籍人口、流动人口信息资源，建立人员档案基本信息。展示人员姓名、证件号码、性别、民族、婚姻状况、兵役状况、联系电话、户籍地址、现住地址、人员照片等基本信息。对非本省户籍人员且未登记流口信息的人员，通过对接全国人口库，获取人员基本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0.4</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健康码信息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通过对接省厅云上阿里健康码资源，获取健康码相关信息，包括健康码颜色、红黄码原因、申请时间、更新时间。</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同户信息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根据全省户籍信息，获取同户人员，展示同户人员信息，包括同户人员姓名、证件号码、性别、出生日期、联系电话、户主关系等。支持根据同户人员证件号码展示同户人员全息档案功能。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同住信息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将实有人口库数据治理上云后，基于ADS实时获取同住人员信息，展示同住人员信息，包括同住人姓名、证件号码、性别、联系电话、户籍地址等。同时支持根据同住人员证件号码展示同住人员全息档案功能。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证件信息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通过居住证、驾驶证数据治理上云后，基于ADS实时获取居住证、驾驶证等证件信息，展示人员持有证件。根据证件时间排序，显示持有的最新证件。</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0.4</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车辆信息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车辆信息主要包括名下车辆、关联车辆。名下车辆主要通过机动车数据、非机动车数据治理上云后，根据车辆所有人，实时获取相关车辆信息。关联车辆主要基于人车关联分析，实现关联车辆的检索功能，并结合本地车辆数据、违章处理数据以及全市卡口抓拍数据，通过车牌识别、人脸识别、离线分析等方式实现对人员和车辆关系分析和挖掘，形成人车关联库。</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虚拟身份信息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将一点通虚拟身份信息经数据治理上云后，实现人员虚拟身份信息检索，展示人员虚拟身份信息。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开户信息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将整合的社会资源开户信息经数据治理上云后，实现电力、天然气、市民卡等开户信息的检索，展示人员开户信息。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标签信息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通过标签模型，实现对人员标签式刻画，综合展示人员标签信息。支持标签溯源，并获取标签生成原因。</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19</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社群结构</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在原有**数据、社会数据挖掘关系人的基础上，结合人像结构化数据、移动终端信息，分析同行轨迹，挖掘隐性关系人信息。</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社群结构分析主要包括家庭关系、社会关系、同涉案人员、出行关系、同住关系等各类社群关系结构分析。</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3.8</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旧货交易信息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将旧货交易信息经数据治理上云后，实现旧货交易信息的实时检索，展示人员旧货交易行为信息。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非标日志信息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将一点通非标日志（含人员管控日志）经数据治理上云后，实现人员非标日志信息的实时检索，展示人员非标日志信息。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前科信息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对接省厅云上资源，获取省违法犯罪、看守所、拘留所、收容教育所各类资源，展示人员前科信息。对接全国违法犯罪记录库，获取全国违法犯罪信息。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0.8</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活动轨迹</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铁路、航空、汽车、住宿、上网、市民卡刷卡、人像结构化、访客等数据经治理上云后，结合移动终端信息，采用多种形式直观展现人员活动轨迹。依托移动地图，结合感知数据位置信息，实现活动区域时空刻画。提供以时间轴方式展现人员活动轨迹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1.4</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从业信息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将一点通从业人员数据经数据治理上云，提供从业人员信息的检索，展示从业工作单位信息。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公积金信息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将公积金缴纳信息、缴款明细、贷款信息、还款信息、失信信息经数据治理上云，提供公积金信息的检索。以公积金为主线，建立子项档案信息，展示缴纳、缴存、贷款、还款、失信等信息。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0.4</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就诊、住院信息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将门诊、住院信息经数据治理上云，提供人员就诊、住院信息的检索，展示人员就诊、住院信息。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公共信用信息</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将自然人医疗待遇、工伤待遇、社保参保、退休待遇数据经治理上云，提供人员关联各类信息的检索及展示。</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0.4</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省全息档案融合</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与省厅全息档案进行融合，实现省全息档案一键调阅功能。省全息档案融合涉及档案接口认证及档案调用。档案接口认证实现对操作用户鉴权请求，对授权用户方可调用省全息档案。</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0.8</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29</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融合检索</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本地资源检索</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搜索引擎</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实现海量数据检索应用功能，提供数据存储、索引、检索服务能力；实现对字、词、短语、句和片段全文检索功能；实现分词搜索功能，对输入的关键词，经过分词处理，保障一定查准率基础上，提供100%查全率；实现复杂搜索、逻辑组合检索、模糊检索功能；以多种排序方式实现对检索结果的处理，包括相关度排序、自定义权重排序和二次排序等。</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1.5</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全文索引库</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将数据治理后的数据资源目录及需要纳入全文检索应用的各类数据资源进行梳理，生成全文索引资源库。</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全文索引库资源包括：户籍人口、流动人口、实有人口、机动车所有人、电力开户、天燃气开户、市民卡开户、前科人员、社保参保人员、健康码人员、从业人员等。</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3.8</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检索服务</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实现数据检索服务支持分类检索，包括人、事、地、物、组织等类别；实现各类要素信息综合检索功能；实现检索命中结果关键字高亮显示功能；实现人像融合检索服务功能，通过拍照或上传人像照片并调用人像解析服务，获取人员身份信息并进行人员信息二次检索。</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2.9</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省云搜融合检索</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基于本地资源构建全文检索服务能力，同时融合省云搜检索服务，实现省云搜应用的一键调用及结果展示功能。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0.4</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33</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融合分析</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境外人员管理模型升级</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在义乌市公安局**数据和社会数据建设的境外人员管理模型的基础上，增加人像结构化、移动终端数据维度分析，判定疑似外籍人员，并结合活动频次判定为常活动在我市的境外人员，实现境外人员管理模型升级功能。具体如下：</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1.通过常活动在我市境外人员库与境外人员临住库比对，在临住登记库中不存在，则判定疑似未登记的境外人员；</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2.通过常活动在我市境外人员库与境外人员临住库比对，在临住库登记或已注销，同时与全国签证库、全国出入境记录比对，对超出签证有效期并仍在我市活动的境外人员，则判定非法居留人员。</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重点人员失联模型</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实现对居住在我市的重点人员轨迹分析功能。在一定时间区域内无人像抓拍、门禁开门、旅馆住宿、网吧上网、车辆卡口数据且无交通流信息（铁路、汽车、航空），构建疑似失联重点人员模型。</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涉毒行为分析模型升级</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义乌市公安局**数据和社会数据建设的涉毒人员分析模型基础上，增加人像结构化、移动终端数据维度分析，实现疑似涉毒人员分析模型升级。具体如下：</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1.涉毒前科人员同时段出现在住所或易涉毒场所（如娱乐场所、旅馆等），推送疑似涉毒行为；</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2.对涉毒人员使用的App进行数据分析，掌握该群体人员安装和使用手机App的特征，结合人员住宿轨迹、同行人员，开展隐性**人员分析。</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侵财人员分析模型升级</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在义乌市公安局**数据和社会数据建设的侵财前科人员分析模型的基础上，增加基于人像结构化、移动终端数据维度的分析，实现侵财人员分析模型升级。具体方式如下：</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1.对导入的侵财前科人员昼伏夜出、跨区域活动、前科人员结伴活动等行为进行分析，判断其再次作案可能性，为精准管控提供依据；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2.与全国重点人员库对接，利用人像识别及时发现新进入义乌的侵财前科人员，并通过分析其前科次数、作案手段等，判别是否需要火车站、机场、汽车站民警及时提醒管控；</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3.通过人像识别轨迹、移动终端数据对划定的侵财案件高发区域内活动的人员进行分析，如有区域内徘徊、跨区域活动等情况的人员，并剔除居住在网格区域内的实有人口，推送疑似侵财行为预警信息。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4.6</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案件嫌疑人员分析</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根据案件发生的时空纬度，分析在时间段内周围出现的人员，同时通过人员标签及发案类别，实现案件疑似人员分析功能。具体方式如下：</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1.对不同地域、不同时间发生的多起同类案件，进行合并分析，对发案时间周围出现的相同人员进行推送；</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2.根据人员时空纬度，通过人员活动轨迹刻画，结合时间段内周边案件情况决定是否进行推送。</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3.8</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核查指令</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在模型推送的线索基础上进行二次研判分析和深度挖掘，对需落地核查的线索生成核查指令，通过核查指令开展线索落地查处并全程跟踪处置结果。核查指令主要包括：指令下达、指令签收、指令反馈功能。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39</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融合工具</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以图搜人</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上传人脸图片并结合相似度、抓拍时间等检索条件，实现以图搜图方式比对被抓拍人脸，显示比对结果，支持按相似度由高到低排序。比对结果显示包括抓拍人脸照片、抓拍时间、抓拍地点、相似度等，支持场景图预览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时空轨迹</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对接省厅电子地图服务，将人脸抓拍、移动终端活动轨迹以时间、空间纬度进行可视化直观展现，分析人员活动区域、活动路线。以图搜人、移动终端数据时空轨迹将结果以地图可视化方式进行展现；人员全息档案时空轨迹将人脸抓拍轨迹、移动终端轨迹、旅馆住宿、网吧上网、实有人口居住等活动轨迹进行一图展示分析。</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2.8</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视频调用</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针对视频流解析获取的人脸信息，支持抓拍时间段内视频的调用回放功能，实现事件的回溯。视频调用可应用于以图搜人结果、人脸抓拍预警结果等功能中。</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数据魔方</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为疫情防控工作需要，各地对数据比对的需求呈现批量性、多样化、紧急程度高等特点。由于缺乏相应的工具，往往需依托开发公司，通过后台数据库进行比对处理。因此，需要一个可由用户自主搭建、组合数据比对工具。功能如下：</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1.支持用户可自行导入外部数据源。</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2.用户可自定义比对多个数据源，前一次比对结果可作为下次比对的数据源。</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3.支持用户自定选择碰撞方式，如左连接、右连接、全连接等。</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4.自定义选择输出结果信息、数据导出。</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可视化</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于多源数据的融合、多维度立体化分析，构建可视化决策模块，最大限度挖掘数据的价值，为决策研判提供全面、客观的数据支持和依据。可视化模块根据应用场景不同分为：重点人员可视化、流入人员可视化。重点人员可视化以重点人员为底库，结合铁路、航空、汽车、人像结构化等感知数据，对特定时期内重点人员流出监测分析，主要功能包括：人员流出动态预警、人员去向分布、人员去向聚集分析、人员流出七日波动分析、流出人员结构分析、人像感知预警推送等。流入人员可视化基于铁路、航空、汽车、人像、移动终端、旅馆等各类感知数据，对流入我市人员进行多维度立体化呈现，主要功能包括：流入人员人像归档分析、高危区域人员流入监测分析、流入人员户籍区域结构分析、前科人员流入监测分析、在逃人员流入预警等。</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44</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融合布控</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布控中心</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走失人员布控</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提供走失的儿童、老人、精神异常人员名单管理功能。支持对人脸、身份证布控。人脸布控支持将布控的人脸信息推送至走失人员动态库，结合前端人像结构化数据、移动终端进行实时比对。身份证布控支持各类感知信息比对，包括旅馆、网吧、铁路、民航、汽车等信息。</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提供布控生命周期管理，支持按月、自定义周期、永久等布控时效管理；支持布控名单撤销功能。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45</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嫌疑人员布控</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提供对嫌疑人员布控名单管理功能。支持人脸、身份证布控。人脸布控支持将布控的人脸信息推送至嫌疑人员动态库，结合前端人像结构化数据、移动终端进行实时比对。身份证布控支持各类感知信息比对，包括旅馆、网吧、铁路、民航、汽车等信息。</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重点区域布控</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提供按区域范围设置布控区域，对区域内抓拍的人员进行布控。支持按人员前科标签、重点人员标签属性进行布控；支持布控区域自定义划界功能。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布控审批</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对人员的布控申请后，进入审批环节，经主管部门审批通过后在布控模型生效。审批未通过则布控对象无需同步到布控模型。</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0.4</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自定义布控</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在常规布控功能基础上，为满足警种实战应用需要，提供用户自定义布控功能。提供用户可自行创建布控任务，设置布控任务生命周期管理、布控名单管理、比对数据源管理以及预警接收等功能。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布控任务生命周期管理提供布控任务的有效期限。布控任务延期、任务终止功能；生命周期结束后，任务自动失效。</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布控名单管理提供布控任务名单的列控、撤控功能，布控名单批量导入功能；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比对数据源管理提供用户自定义比对数据源管理功能。根据数据资源目录，由用户选择比对数据源，支持多个数据源比对管理功能。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预警接收提供对预警结果的接收功能。预警接收原则采用谁布控、谁接收，提供预警结果的推送展示。</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49</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比对中心</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依托布控中心建立人员布控，将布控信息推送比对中心，同时接入各类感知数据，根据比对规则进行匹配，生成统一比对结果。根据布控方式不同分为结构化、非结构化布控。非结构化比对由人像解析中心完成。</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预警中心</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布控管理实现对在逃人员、嫌疑人员、走失人员、重点区域的布控管理，对人像结构化数据、移动终端比中人员推送至预警中心，通过预警模型生成预警信息，通过管辖属地推送。支持电脑端、移动端预警处置功能，实现预警信息的签收、处置、反馈。</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根据预警信息的类型不同分为逃犯预警、走失人员预警、关注人员预警、嫌疑人员预警等。</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51</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移动应用</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以图搜人</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移动终端拍照或上传照片并结合相似度、抓拍时间等检索条件，实现路人库检索，支持按相似度由高到低排序。检索结果显示包括抓拍人脸照片、抓拍时间、抓拍地点、相似度等，支持场景图预览功能。基于移动地图服务，实现对检索结果的时空展示，分析人员活动区域、活动路线。</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3.1</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人像比对</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与人像智能网关对接，实现全国人口身份库比对功能。全国人像库比对需集成可信活检模块，可对现场人员身份的核查落地，解决市、省人脸静态库不完整问题。人像比对应用支持按市级、省级、全国人像库分库比对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预警处置</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通过布控管理实现对在逃人员、嫌疑人员、走失人员、关注人员的布控管理，对人像结构化数据、移动终端比中人员推送至预警中心，通过预警模型生成预警信息，通过管辖属地推送至移动**终端。通过移动**预警处置功能，实现预警信息的签收、处置、反馈。根据预警信息的类型不同分为逃犯预警、走失人员预警、关注人员预警、嫌疑人员预警等。</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1.3</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54</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全文检索</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基于公安内网的全文检索引擎，建立移动**全文检索应用。数据检索服务支持分类检索，按人、事、地、物、组织提供分类检索；支持综合检索服务，实现各类要素信息的综合检索；支持检索命中结果关键字高亮显示服务。</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提供人像融合检索服务，通过拍照或上传人像照片并调用人像解析服务，获取人员身份信息。结合公安**数据，进行人员信息二次检索。</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55</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系统管理</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用户管理</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提供对用户管理功能，支持用户新增、修改、注销；支持个人信息、登录口令修改功能；支持用户所属单位（部门）管理功能。</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56</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访问控制及权限管理</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角色管理</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角色管理功能应支持系统用户和角色授权功能。角色信息应包括但不限于：区、县、***、社区等。其中授权功能包括：维护用户与角色关系；维护用户、角色对资源目录的访问权限。</w:t>
            </w:r>
          </w:p>
        </w:tc>
        <w:tc>
          <w:tcPr>
            <w:tcW w:w="4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0.2</w:t>
            </w: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57</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授权管理</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授权管理功能应支持增加、删除角色，更改角色属性的功能。</w:t>
            </w: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58</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登录认证</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支持数字证书登录认证方式。</w:t>
            </w: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59</w:t>
            </w:r>
          </w:p>
        </w:tc>
        <w:tc>
          <w:tcPr>
            <w:tcW w:w="5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数据治理</w:t>
            </w:r>
          </w:p>
        </w:tc>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数据清洗</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对义乌市公安局需要上云的数据，同步至公安专有云上。但由于各类数据信息的质量参差不齐，需按“浙江公安标准管理平台”和公安专有云的数据治理标准统一治理后，同步至公安专有云。</w:t>
            </w:r>
          </w:p>
        </w:tc>
        <w:tc>
          <w:tcPr>
            <w:tcW w:w="4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3.3</w:t>
            </w:r>
          </w:p>
        </w:tc>
        <w:tc>
          <w:tcPr>
            <w:tcW w:w="4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60</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为了能够全面彻底地对各类数据资源进行标准化治理，使其达到数据上云要求，符合数据分析挖掘需要，满足业务警种应用需求，将对抽取到汇聚中心的所有数据表进行逐表、逐个数据项的清理，并根据业务要求制定每个数据表的治理方案，治理方案主要包括以下几个方面：</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1.表的业务应用说明，包括来源、采集用户、对应系统说明等。</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2.表的命名规则，包括源表名称、上云表名称。</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3.表中各数据项的意义说明、字符类型、长度。</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4.表中各数据项的标准化处理方式，包括数据项名称、数据格式等。</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5.表中各代码数据项的字典表对应关系、字典表清单及其说明。</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6.表中唯一标识说明，更新和删除依据说明。</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7.表数据的全量、增量数据同步方式和频率。</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8.表数据中脏数据的处理方式，如无效数据、重复数据、时间格式不一致数据等。</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9.表的监测方式说明，包括数据源监测、数据抽取处理状态监测、入库数据质量监测、上云数据状态监测。</w:t>
            </w:r>
          </w:p>
        </w:tc>
        <w:tc>
          <w:tcPr>
            <w:tcW w:w="4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49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61</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数据汇聚</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数据汇集是指各需要上云数据从各业务库根据上云标准，进过标准化处理以后汇集到数据汇聚中心的过程。功能包括标准元数据和数据字典代码管理、数据汇聚管理、接口适配、数据抽取、数据转换、数据加载。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标准元数据和数据字典代码管理，为了保证数据汇聚中心各类数据资源质量，将与“浙江公安标准管理平台”对接，在本地搭建标准的元数据和数据代码字典库，方便数据治理和数据监控时使用，同时建立标准数据同步机制，定时更新“浙江公安标准管理平台”新增的标准数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数据汇聚管理，因各个类数据资源对应的业务系统的厂家不同，采用的技术差异很大（开发语言、数据库、网络通信协议等），需要通过统一的ETL（数据抽取、转换、清洗、加载）程序将各类数据整合到汇聚中心集中治理存储。整个信息资源整合过程分三步：数据源的抽取、数据的转换清洗、数据的加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3.数据抽取，各类业务数据的抽取，将根据不同的数据源选择不同的适配接口，通过全量抽取和定时增量抽取的方式将各类业务数据抽取整合至数据流通中心。具体内容如下：</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（1）全量抽取：在第一次抽取某类业务数据时采用全量抽取方式实现。</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（2）定时增量抽取：各业务数据在不断变化，为了保证数据的有效性，通过时间戳界定数据范围，定时增量抽取的方式实现数据的更新。</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（3）根据实际情况可进行定制化抽取。</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4.数据转换，主要是在数据抽取过程中对元数据和数据代码字典进行转换，具体转换方式如下：</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（1）不一致数据转换：将不同业务数据中的相同类型的数据统一转换成标准数据格式，比如日期类型数据统一转换为数字类型，yyyyMMddHH24miss格式。</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（2）数据代码的转换：将非标准数据代码转换成翻译成中文数据和代码数据。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（3）数据项名称转换：将非标准数据项名称，转换成标准元数据名称。</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（4）业务规则的计算：不同的业务系统有不同的业务规则、不同的数据指标，这些指标有的时候不是简单地加加减减就能完成，这个时候需要在ETL中将这些数据指标计算好了之后存储在数据汇聚中心。</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5.数据加载，数据加载也叫提交，也就是将转换清洗完成的数据提交至数据汇聚中心，此时的数据已经是符合数据标准的数据。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6.任务管理，业务系统的数据抽取、清洗转换、加载都是通过任务的方式进行。任务管理主要实现ETL过程的执行时间、抽取频率、抽取方式的管理。</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抽取频率：根据业务对数据实时性要求的差异，通过抽取频率的设置实现不同数据源按天、时、分、秒的抽取。</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2.6</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62</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数据同步</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按数据上云要求，利用云上的系统逐个创建待上云数据的同步任务，将汇聚中心的数据同步到公安云上的资源库和资源库同步数据或其他指定位置。主要内容包括表命名规则、增加字段、数据标准化。</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2.1</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63</w:t>
            </w:r>
          </w:p>
        </w:tc>
        <w:tc>
          <w:tcPr>
            <w:tcW w:w="54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数据监控</w:t>
            </w: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为了保障上云的数据资源和写入汇聚中心数据资源的质量达标、上行下发数据链路通畅，将在数据源端、数据处理端、汇聚中心端和公安云端安装数据监测探针，实时监测数据处理过程中的每个操作环节，尤其在数据转换清洗环节，将对数据质量进行严格的筛查验证，当实时数据长期无增量数据汇入或数据质量不达标时，则向管理员以短信或系统消息的方式发布预警。</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通过数字化、可视化的数据看板，动态展示监测探针反馈的监控日志信息，实现数据治理过程中各个环节的可视化运维管理，各环节包括数据的抽取、清洗转换、加载、同步等步骤。宏观方面主要是把数据治理过程中各个数据处理环节以可视化数据看板的方式展示，使管理员可以快速了解平台的运行状况。</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微观方面主要是对每类数据的当前状态、各个节点状态以可视化数据看板的方式展示，通过状态节点管理员可以查看实时的数据运行日志。</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人月</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rPr>
                <w:rFonts w:hint="default" w:ascii="Times New Roman" w:hAnsi="Times New Roman" w:cs="Times New Roman"/>
                <w:b/>
                <w:bCs/>
                <w:color w:val="000000"/>
                <w:sz w:val="21"/>
                <w:szCs w:val="21"/>
                <w:highlight w:val="none"/>
                <w:lang w:bidi="ar"/>
              </w:rPr>
            </w:pPr>
            <w:r>
              <w:rPr>
                <w:rFonts w:hint="default" w:ascii="Times New Roman" w:hAnsi="Times New Roman" w:cs="Times New Roman"/>
                <w:sz w:val="21"/>
                <w:szCs w:val="21"/>
                <w:highlight w:val="none"/>
              </w:rPr>
              <w:br w:type="page"/>
            </w:r>
            <w:r>
              <w:rPr>
                <w:rFonts w:hint="default" w:ascii="Times New Roman" w:hAnsi="Times New Roman" w:cs="Times New Roman"/>
                <w:b/>
                <w:bCs/>
                <w:color w:val="000000"/>
                <w:sz w:val="21"/>
                <w:szCs w:val="21"/>
                <w:highlight w:val="none"/>
                <w:lang w:bidi="ar"/>
              </w:rPr>
              <w:t>序号</w:t>
            </w:r>
          </w:p>
        </w:tc>
        <w:tc>
          <w:tcPr>
            <w:tcW w:w="5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子系统</w:t>
            </w:r>
          </w:p>
        </w:tc>
        <w:tc>
          <w:tcPr>
            <w:tcW w:w="154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分项名称</w:t>
            </w:r>
          </w:p>
        </w:tc>
        <w:tc>
          <w:tcPr>
            <w:tcW w:w="60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规格及主要技术要求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数量</w:t>
            </w:r>
          </w:p>
        </w:tc>
        <w:tc>
          <w:tcPr>
            <w:tcW w:w="4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单位</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(二)</w:t>
            </w:r>
          </w:p>
        </w:tc>
        <w:tc>
          <w:tcPr>
            <w:tcW w:w="9100"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硬件部分</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服务器</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应用服务器（ECS）</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4C 32GB 500G高效云盘（利旧义乌市公安局硬件资源）</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全文检索服务器</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4C 32GB 1TB高效云盘（利旧义乌市公安局硬件资源）</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资源数据库</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对象存储资源（OSS）</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3TB 存储（利旧义乌市公安局硬件资源）</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关系数据库（RDS）</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16C 64G,2TB 存储（利旧义乌市公安局硬件资源）</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计算应用</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实时计算（ADS）</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3CORE,32G内存,2TB SSD（利旧义乌市公安局硬件资源）</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离线计算（ODPS）</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5TB存储（利旧义乌市公安局硬件资源）</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50"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rPr>
              <w:t>服务器内存</w:t>
            </w:r>
          </w:p>
        </w:tc>
        <w:tc>
          <w:tcPr>
            <w:tcW w:w="60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32G,DDR4，2666MHz（升级更新硬件）</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10</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根</w:t>
            </w:r>
          </w:p>
        </w:tc>
      </w:tr>
    </w:tbl>
    <w:p>
      <w:pPr>
        <w:pageBreakBefore w:val="0"/>
        <w:kinsoku/>
        <w:overflowPunct/>
        <w:topLinePunct w:val="0"/>
        <w:bidi w:val="0"/>
        <w:spacing w:after="0" w:line="264" w:lineRule="auto"/>
        <w:jc w:val="both"/>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注：利旧硬件资源无需采购，义乌市公安局根据实际情况自行调配；升级更新硬件需按要求采购。</w:t>
      </w:r>
    </w:p>
    <w:p>
      <w:pPr>
        <w:pageBreakBefore w:val="0"/>
        <w:kinsoku/>
        <w:overflowPunct/>
        <w:topLinePunct w:val="0"/>
        <w:bidi w:val="0"/>
        <w:spacing w:after="0" w:line="264" w:lineRule="auto"/>
        <w:jc w:val="both"/>
        <w:rPr>
          <w:rFonts w:hint="default" w:ascii="Times New Roman" w:hAnsi="Times New Roman" w:cs="Times New Roman"/>
          <w:b/>
          <w:bCs/>
          <w:sz w:val="21"/>
          <w:szCs w:val="21"/>
          <w:highlight w:val="none"/>
        </w:rPr>
      </w:pPr>
    </w:p>
    <w:p>
      <w:pPr>
        <w:pageBreakBefore w:val="0"/>
        <w:kinsoku/>
        <w:overflowPunct/>
        <w:topLinePunct w:val="0"/>
        <w:bidi w:val="0"/>
        <w:spacing w:after="0" w:line="264" w:lineRule="auto"/>
        <w:jc w:val="both"/>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（5）视频专网安全系统扩容</w:t>
      </w:r>
    </w:p>
    <w:tbl>
      <w:tblPr>
        <w:tblStyle w:val="56"/>
        <w:tblW w:w="9655" w:type="dxa"/>
        <w:jc w:val="center"/>
        <w:tblInd w:w="0" w:type="dxa"/>
        <w:tblLayout w:type="fixed"/>
        <w:tblCellMar>
          <w:top w:w="0" w:type="dxa"/>
          <w:left w:w="0" w:type="dxa"/>
          <w:bottom w:w="0" w:type="dxa"/>
          <w:right w:w="0" w:type="dxa"/>
        </w:tblCellMar>
      </w:tblPr>
      <w:tblGrid>
        <w:gridCol w:w="553"/>
        <w:gridCol w:w="705"/>
        <w:gridCol w:w="1740"/>
        <w:gridCol w:w="5715"/>
        <w:gridCol w:w="465"/>
        <w:gridCol w:w="477"/>
      </w:tblGrid>
      <w:tr>
        <w:tblPrEx>
          <w:tblLayout w:type="fixed"/>
          <w:tblCellMar>
            <w:top w:w="0" w:type="dxa"/>
            <w:left w:w="0" w:type="dxa"/>
            <w:bottom w:w="0" w:type="dxa"/>
            <w:right w:w="0" w:type="dxa"/>
          </w:tblCellMar>
        </w:tblPrEx>
        <w:trPr>
          <w:trHeight w:val="23" w:hRule="atLeast"/>
          <w:tblHeader/>
          <w:jc w:val="center"/>
        </w:trPr>
        <w:tc>
          <w:tcPr>
            <w:tcW w:w="553"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70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子系统</w:t>
            </w:r>
          </w:p>
        </w:tc>
        <w:tc>
          <w:tcPr>
            <w:tcW w:w="174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rPr>
              <w:t>分项</w:t>
            </w:r>
            <w:r>
              <w:rPr>
                <w:rFonts w:hint="default" w:ascii="Times New Roman" w:hAnsi="Times New Roman" w:cs="Times New Roman"/>
                <w:b/>
                <w:color w:val="000000"/>
                <w:sz w:val="21"/>
                <w:szCs w:val="21"/>
                <w:highlight w:val="none"/>
                <w:lang w:bidi="ar"/>
              </w:rPr>
              <w:t>名称</w:t>
            </w:r>
          </w:p>
        </w:tc>
        <w:tc>
          <w:tcPr>
            <w:tcW w:w="571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规格及主要技术要求</w:t>
            </w:r>
          </w:p>
        </w:tc>
        <w:tc>
          <w:tcPr>
            <w:tcW w:w="46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数量</w:t>
            </w:r>
          </w:p>
        </w:tc>
        <w:tc>
          <w:tcPr>
            <w:tcW w:w="477"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单位</w:t>
            </w:r>
          </w:p>
        </w:tc>
      </w:tr>
      <w:tr>
        <w:tblPrEx>
          <w:tblLayout w:type="fixed"/>
          <w:tblCellMar>
            <w:top w:w="0" w:type="dxa"/>
            <w:left w:w="0" w:type="dxa"/>
            <w:bottom w:w="0" w:type="dxa"/>
            <w:right w:w="0" w:type="dxa"/>
          </w:tblCellMar>
        </w:tblPrEx>
        <w:trPr>
          <w:trHeight w:val="23" w:hRule="atLeast"/>
          <w:jc w:val="center"/>
        </w:trPr>
        <w:tc>
          <w:tcPr>
            <w:tcW w:w="55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视频前端准入控制系统</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准入控制系统</w:t>
            </w:r>
          </w:p>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License</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1.增加3万点授权数，加上原有2万授权数，总共5万授权数；</w:t>
            </w:r>
          </w:p>
          <w:p>
            <w:pPr>
              <w:pageBreakBefore w:val="0"/>
              <w:kinsoku/>
              <w:overflowPunct/>
              <w:topLinePunct w:val="0"/>
              <w:bidi w:val="0"/>
              <w:spacing w:after="0" w:line="264" w:lineRule="auto"/>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2.提供5年驻场维保服务。</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套</w:t>
            </w:r>
          </w:p>
        </w:tc>
      </w:tr>
      <w:tr>
        <w:tblPrEx>
          <w:tblLayout w:type="fixed"/>
          <w:tblCellMar>
            <w:top w:w="0" w:type="dxa"/>
            <w:left w:w="0" w:type="dxa"/>
            <w:bottom w:w="0" w:type="dxa"/>
            <w:right w:w="0" w:type="dxa"/>
          </w:tblCellMar>
        </w:tblPrEx>
        <w:trPr>
          <w:trHeight w:val="23" w:hRule="atLeast"/>
          <w:jc w:val="center"/>
        </w:trPr>
        <w:tc>
          <w:tcPr>
            <w:tcW w:w="55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网络准入控制系统探针</w:t>
            </w:r>
          </w:p>
        </w:tc>
        <w:tc>
          <w:tcPr>
            <w:tcW w:w="57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支持不少于4个千兆电口，2个USB口，1个console配置串口，最大终端数3000个；支持ARP终端发现，支持ARP准入控制，支持上级网关宕机后，探针切换为默认工作模式，支持本地探针WEB重定向</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支持多VLAN环境的终端发现与准入控制，支持按策略执行终端入网控制，支持默认放行/阻断两种工作模式</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当系统进程、服务等出现问题，自动启用系统恢复功能，确保网络准入不受影响，支持本地WEB管理，并使用HTTPS安全管理方式，支持与网络接入控制系统网关级联管理，支持SNMP管理，提供本地CPU、内存、磁盘、网络等信息。</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套</w:t>
            </w:r>
          </w:p>
        </w:tc>
      </w:tr>
    </w:tbl>
    <w:p>
      <w:pPr>
        <w:pageBreakBefore w:val="0"/>
        <w:kinsoku/>
        <w:overflowPunct/>
        <w:topLinePunct w:val="0"/>
        <w:bidi w:val="0"/>
        <w:spacing w:after="0" w:line="264" w:lineRule="auto"/>
        <w:rPr>
          <w:rFonts w:hint="default" w:ascii="Times New Roman" w:hAnsi="Times New Roman" w:cs="Times New Roman"/>
          <w:b/>
          <w:bCs/>
          <w:sz w:val="21"/>
          <w:szCs w:val="21"/>
          <w:highlight w:val="none"/>
        </w:rPr>
      </w:pPr>
    </w:p>
    <w:p>
      <w:pPr>
        <w:pageBreakBefore w:val="0"/>
        <w:kinsoku/>
        <w:overflowPunct/>
        <w:topLinePunct w:val="0"/>
        <w:bidi w:val="0"/>
        <w:spacing w:after="0" w:line="264" w:lineRule="auto"/>
        <w:jc w:val="both"/>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（6）公安网安全边界接入平台扩容</w:t>
      </w:r>
    </w:p>
    <w:tbl>
      <w:tblPr>
        <w:tblStyle w:val="56"/>
        <w:tblW w:w="9654" w:type="dxa"/>
        <w:jc w:val="center"/>
        <w:tblInd w:w="0" w:type="dxa"/>
        <w:tblLayout w:type="fixed"/>
        <w:tblCellMar>
          <w:top w:w="0" w:type="dxa"/>
          <w:left w:w="0" w:type="dxa"/>
          <w:bottom w:w="0" w:type="dxa"/>
          <w:right w:w="0" w:type="dxa"/>
        </w:tblCellMar>
      </w:tblPr>
      <w:tblGrid>
        <w:gridCol w:w="522"/>
        <w:gridCol w:w="795"/>
        <w:gridCol w:w="930"/>
        <w:gridCol w:w="2505"/>
        <w:gridCol w:w="3960"/>
        <w:gridCol w:w="465"/>
        <w:gridCol w:w="477"/>
      </w:tblGrid>
      <w:tr>
        <w:tblPrEx>
          <w:tblLayout w:type="fixed"/>
          <w:tblCellMar>
            <w:top w:w="0" w:type="dxa"/>
            <w:left w:w="0" w:type="dxa"/>
            <w:bottom w:w="0" w:type="dxa"/>
            <w:right w:w="0" w:type="dxa"/>
          </w:tblCellMar>
        </w:tblPrEx>
        <w:trPr>
          <w:trHeight w:val="23" w:hRule="atLeast"/>
          <w:tblHeader/>
          <w:jc w:val="center"/>
        </w:trPr>
        <w:tc>
          <w:tcPr>
            <w:tcW w:w="5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子系统</w:t>
            </w:r>
          </w:p>
        </w:tc>
        <w:tc>
          <w:tcPr>
            <w:tcW w:w="9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分项</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lang w:bidi="ar"/>
              </w:rPr>
              <w:t>名称</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规格及主要技术要求</w:t>
            </w:r>
          </w:p>
        </w:tc>
        <w:tc>
          <w:tcPr>
            <w:tcW w:w="4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数量</w:t>
            </w:r>
          </w:p>
        </w:tc>
        <w:tc>
          <w:tcPr>
            <w:tcW w:w="4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单位</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(一)</w:t>
            </w:r>
          </w:p>
        </w:tc>
        <w:tc>
          <w:tcPr>
            <w:tcW w:w="9132" w:type="dxa"/>
            <w:gridSpan w:val="6"/>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电子政务网数据交互链路扩容</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电子政务网数据交互链路扩容</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边界保护区</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防火墙1</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可信边界安全网关1</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入侵检测系统IDS1</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三层交换机1</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管理终端</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安全隔离区</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安全数据交换系统</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7</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网闸</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(二)</w:t>
            </w:r>
          </w:p>
        </w:tc>
        <w:tc>
          <w:tcPr>
            <w:tcW w:w="9132" w:type="dxa"/>
            <w:gridSpan w:val="6"/>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公安网信息共享链路扩容</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7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公安网信息共享链路扩容</w:t>
            </w:r>
          </w:p>
        </w:tc>
        <w:tc>
          <w:tcPr>
            <w:tcW w:w="93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边界保护区</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防火墙2</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可信边界安全网关2</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入侵防御系统IPS2</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三层交换机2</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r>
        <w:tblPrEx>
          <w:tblLayout w:type="fixed"/>
          <w:tblCellMar>
            <w:top w:w="0" w:type="dxa"/>
            <w:left w:w="0" w:type="dxa"/>
            <w:bottom w:w="0" w:type="dxa"/>
            <w:right w:w="0" w:type="dxa"/>
          </w:tblCellMar>
        </w:tblPrEx>
        <w:trPr>
          <w:trHeight w:val="23" w:hRule="atLeast"/>
          <w:jc w:val="center"/>
        </w:trPr>
        <w:tc>
          <w:tcPr>
            <w:tcW w:w="5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7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9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安全隔离区</w:t>
            </w:r>
          </w:p>
        </w:tc>
        <w:tc>
          <w:tcPr>
            <w:tcW w:w="2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安全隔离与单向传输系统(简称：单向光闸)</w:t>
            </w:r>
          </w:p>
        </w:tc>
        <w:tc>
          <w:tcPr>
            <w:tcW w:w="396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sz w:val="21"/>
                <w:szCs w:val="21"/>
                <w:highlight w:val="none"/>
              </w:rPr>
              <w:t>详见“主要设备技术指标要求”</w:t>
            </w:r>
          </w:p>
        </w:tc>
        <w:tc>
          <w:tcPr>
            <w:tcW w:w="4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台</w:t>
            </w:r>
          </w:p>
        </w:tc>
      </w:tr>
    </w:tbl>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bookmarkStart w:id="118" w:name="_Toc6128"/>
      <w:bookmarkStart w:id="119" w:name="_Toc30200"/>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2.主要设备技术指标要求</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（1）社会面视频监控联网云平台二期</w:t>
      </w:r>
    </w:p>
    <w:tbl>
      <w:tblPr>
        <w:tblStyle w:val="56"/>
        <w:tblW w:w="9666" w:type="dxa"/>
        <w:jc w:val="center"/>
        <w:tblInd w:w="0" w:type="dxa"/>
        <w:tblLayout w:type="fixed"/>
        <w:tblCellMar>
          <w:top w:w="0" w:type="dxa"/>
          <w:left w:w="0" w:type="dxa"/>
          <w:bottom w:w="0" w:type="dxa"/>
          <w:right w:w="0" w:type="dxa"/>
        </w:tblCellMar>
      </w:tblPr>
      <w:tblGrid>
        <w:gridCol w:w="583"/>
        <w:gridCol w:w="695"/>
        <w:gridCol w:w="1092"/>
        <w:gridCol w:w="7296"/>
      </w:tblGrid>
      <w:tr>
        <w:tblPrEx>
          <w:tblLayout w:type="fixed"/>
          <w:tblCellMar>
            <w:top w:w="0" w:type="dxa"/>
            <w:left w:w="0" w:type="dxa"/>
            <w:bottom w:w="0" w:type="dxa"/>
            <w:right w:w="0" w:type="dxa"/>
          </w:tblCellMar>
        </w:tblPrEx>
        <w:trPr>
          <w:trHeight w:val="23" w:hRule="atLeast"/>
          <w:tblHeader/>
          <w:jc w:val="center"/>
        </w:trPr>
        <w:tc>
          <w:tcPr>
            <w:tcW w:w="583"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69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子系统</w:t>
            </w:r>
          </w:p>
        </w:tc>
        <w:tc>
          <w:tcPr>
            <w:tcW w:w="1092"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名称</w:t>
            </w:r>
          </w:p>
        </w:tc>
        <w:tc>
          <w:tcPr>
            <w:tcW w:w="7296"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lang w:bidi="ar"/>
              </w:rPr>
              <w:t>主要技术指标要求</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软硬件扩容</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缓存池</w:t>
            </w:r>
          </w:p>
        </w:tc>
        <w:tc>
          <w:tcPr>
            <w:tcW w:w="7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1.采用控制器架构，模块化、无线缆设计，控制器、电源、风扇各模块可独立直接插拔；</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2.支持24盘位，支持热插拔，支持磁盘漫游；</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3.Intel 64位四核八线程处理器；</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4.16GB DDR4内存缓存，可扩展至32GB；</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5.960GB 企业级SSD系统盘，提供高速数据交换能力；</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6.2个万兆以太网接口，可支持网口绑定，带宽不小于16Gbps；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7.550W电源模块，交流供电，1+1电源模块冗余；实际功耗小于500W；</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8.提供API，NFS，FTP，HDFS，S3等通用访问接口，为各类业务系统提供统一存储服务。</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6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视频边界</w:t>
            </w:r>
          </w:p>
        </w:tc>
        <w:tc>
          <w:tcPr>
            <w:tcW w:w="10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安全隔离与信息交换系统 (视频网闸）</w:t>
            </w:r>
          </w:p>
        </w:tc>
        <w:tc>
          <w:tcPr>
            <w:tcW w:w="7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1.12个千兆电口，4个万兆SFP+光口；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2.2个串口，4USB口；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3.液晶屏；</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4.支持双机热备、端口聚合；</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5.冗余电源；</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6.吞吐率≥6Gbps；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7.系统延时&lt;0.2ms；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8.并发连接数≥120万；</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9.可支持2000路D1（2M）视频并发。</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6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0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视频接入认证系统</w:t>
            </w:r>
          </w:p>
        </w:tc>
        <w:tc>
          <w:tcPr>
            <w:tcW w:w="72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1.6个千兆电口，2个万兆SFP+光口；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2.1个串口，2个USB口；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3.液晶屏；</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4.支持双机热备、端口聚合；</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5.冗余电源；</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6.吞吐率≥6Gbps；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7.系统延时&lt;80us；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8.并发连接数≥120万。</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w:t>
            </w:r>
          </w:p>
        </w:tc>
        <w:tc>
          <w:tcPr>
            <w:tcW w:w="6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lang w:bidi="ar"/>
              </w:rPr>
            </w:pPr>
          </w:p>
        </w:tc>
        <w:tc>
          <w:tcPr>
            <w:tcW w:w="10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Style w:val="359"/>
                <w:rFonts w:hint="default" w:ascii="Times New Roman" w:hAnsi="Times New Roman" w:cs="Times New Roman"/>
                <w:sz w:val="21"/>
                <w:szCs w:val="21"/>
                <w:highlight w:val="none"/>
                <w:lang w:bidi="ar"/>
              </w:rPr>
            </w:pPr>
            <w:r>
              <w:rPr>
                <w:rFonts w:hint="default" w:ascii="Times New Roman" w:hAnsi="Times New Roman" w:cs="Times New Roman"/>
                <w:color w:val="000000"/>
                <w:sz w:val="21"/>
                <w:szCs w:val="21"/>
                <w:highlight w:val="none"/>
                <w:lang w:bidi="ar"/>
              </w:rPr>
              <w:t>视频用户认证系统</w:t>
            </w:r>
          </w:p>
        </w:tc>
        <w:tc>
          <w:tcPr>
            <w:tcW w:w="72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1.6个千兆电口，2个万兆SFP+光口；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2.1个串口，2个USB口；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3.液晶屏；</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4.支持双机热备、端口聚合；</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5.冗余电源；</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6.吞吐率≥6Gbps；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7.系统延时&lt;80us；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8.并发连接数≥120万。</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w:t>
            </w:r>
          </w:p>
        </w:tc>
        <w:tc>
          <w:tcPr>
            <w:tcW w:w="695"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数据边界</w:t>
            </w:r>
          </w:p>
        </w:tc>
        <w:tc>
          <w:tcPr>
            <w:tcW w:w="10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Style w:val="359"/>
                <w:rFonts w:hint="default" w:ascii="Times New Roman" w:hAnsi="Times New Roman" w:cs="Times New Roman"/>
                <w:sz w:val="21"/>
                <w:szCs w:val="21"/>
                <w:highlight w:val="none"/>
                <w:lang w:bidi="ar"/>
              </w:rPr>
            </w:pPr>
            <w:r>
              <w:rPr>
                <w:rFonts w:hint="default" w:ascii="Times New Roman" w:hAnsi="Times New Roman" w:cs="Times New Roman"/>
                <w:color w:val="000000"/>
                <w:sz w:val="21"/>
                <w:szCs w:val="21"/>
                <w:highlight w:val="none"/>
                <w:lang w:bidi="ar"/>
              </w:rPr>
              <w:t>安全隔离与信息交换系统</w:t>
            </w:r>
          </w:p>
        </w:tc>
        <w:tc>
          <w:tcPr>
            <w:tcW w:w="72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1.12个千兆电口；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2.2个串口，4USB口；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3.液晶屏；</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4.支持双机热备；</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5.吞吐率≥900Mbps；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6.系统延时&lt;0.5ms；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7.并发连接数≥20万。</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w:t>
            </w:r>
          </w:p>
        </w:tc>
        <w:tc>
          <w:tcPr>
            <w:tcW w:w="6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lang w:bidi="ar"/>
              </w:rPr>
            </w:pPr>
          </w:p>
        </w:tc>
        <w:tc>
          <w:tcPr>
            <w:tcW w:w="10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Style w:val="359"/>
                <w:rFonts w:hint="default" w:ascii="Times New Roman" w:hAnsi="Times New Roman" w:cs="Times New Roman"/>
                <w:sz w:val="21"/>
                <w:szCs w:val="21"/>
                <w:highlight w:val="none"/>
                <w:lang w:bidi="ar"/>
              </w:rPr>
            </w:pPr>
            <w:r>
              <w:rPr>
                <w:rFonts w:hint="default" w:ascii="Times New Roman" w:hAnsi="Times New Roman" w:cs="Times New Roman"/>
                <w:color w:val="000000"/>
                <w:sz w:val="21"/>
                <w:szCs w:val="21"/>
                <w:highlight w:val="none"/>
                <w:lang w:bidi="ar"/>
              </w:rPr>
              <w:t>数据安全交换系统（前置）</w:t>
            </w:r>
          </w:p>
        </w:tc>
        <w:tc>
          <w:tcPr>
            <w:tcW w:w="72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1.6个千兆电口；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2.1个串口，2个USB口；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3.液晶屏；</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4.支持双机热备；</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5.吞吐率≥800Mbps；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6.系统延时&lt;1ms；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7.并发连接数≥10万；</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8.大文件≥5000Mbbps/s，小文件≥100个/s；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9.数据库≥2500条/s。</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w:t>
            </w:r>
          </w:p>
        </w:tc>
        <w:tc>
          <w:tcPr>
            <w:tcW w:w="69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lang w:bidi="ar"/>
              </w:rPr>
            </w:pPr>
          </w:p>
        </w:tc>
        <w:tc>
          <w:tcPr>
            <w:tcW w:w="10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Style w:val="359"/>
                <w:rFonts w:hint="default" w:ascii="Times New Roman" w:hAnsi="Times New Roman" w:cs="Times New Roman"/>
                <w:sz w:val="21"/>
                <w:szCs w:val="21"/>
                <w:highlight w:val="none"/>
                <w:lang w:bidi="ar"/>
              </w:rPr>
            </w:pPr>
            <w:r>
              <w:rPr>
                <w:rFonts w:hint="default" w:ascii="Times New Roman" w:hAnsi="Times New Roman" w:cs="Times New Roman"/>
                <w:color w:val="000000"/>
                <w:sz w:val="21"/>
                <w:szCs w:val="21"/>
                <w:highlight w:val="none"/>
                <w:lang w:bidi="ar"/>
              </w:rPr>
              <w:t>数据安全交换系统（后置）</w:t>
            </w:r>
          </w:p>
        </w:tc>
        <w:tc>
          <w:tcPr>
            <w:tcW w:w="72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1.6个千兆电口；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2.1个串口，2个USB口；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3.液晶屏；</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4.支持双机热备；</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5.吞吐率≥800Mbps；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6.系统延时&lt;1ms；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7.并发连接数≥10万；</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8.大文件≥ 500Mbbps/s，小文件≥100个/s；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9.数据库≥2500条/s。</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8</w:t>
            </w:r>
          </w:p>
        </w:tc>
        <w:tc>
          <w:tcPr>
            <w:tcW w:w="69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防火墙</w:t>
            </w:r>
          </w:p>
        </w:tc>
        <w:tc>
          <w:tcPr>
            <w:tcW w:w="10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Style w:val="359"/>
                <w:rFonts w:hint="default" w:ascii="Times New Roman" w:hAnsi="Times New Roman" w:cs="Times New Roman"/>
                <w:sz w:val="21"/>
                <w:szCs w:val="21"/>
                <w:highlight w:val="none"/>
                <w:lang w:bidi="ar"/>
              </w:rPr>
            </w:pPr>
            <w:r>
              <w:rPr>
                <w:rFonts w:hint="default" w:ascii="Times New Roman" w:hAnsi="Times New Roman" w:cs="Times New Roman"/>
                <w:color w:val="000000"/>
                <w:sz w:val="21"/>
                <w:szCs w:val="21"/>
                <w:highlight w:val="none"/>
              </w:rPr>
              <w:t>/</w:t>
            </w:r>
          </w:p>
        </w:tc>
        <w:tc>
          <w:tcPr>
            <w:tcW w:w="72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1.带IPS功能，带威胁情报模块；</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2.双交流电源；</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3.含12*GE电口，12*SFP光口，4*SFP+光口；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4.1TB硬盘；</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5.网络吞吐量20Gbps；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6.最大并发连接数大于500万，每秒新建HTTP连接数大于50万。</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9</w:t>
            </w:r>
          </w:p>
        </w:tc>
        <w:tc>
          <w:tcPr>
            <w:tcW w:w="69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核心交换机</w:t>
            </w:r>
          </w:p>
        </w:tc>
        <w:tc>
          <w:tcPr>
            <w:tcW w:w="10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Style w:val="359"/>
                <w:rFonts w:hint="default" w:ascii="Times New Roman" w:hAnsi="Times New Roman" w:cs="Times New Roman"/>
                <w:sz w:val="21"/>
                <w:szCs w:val="21"/>
                <w:highlight w:val="none"/>
                <w:lang w:bidi="ar"/>
              </w:rPr>
            </w:pPr>
            <w:r>
              <w:rPr>
                <w:rFonts w:hint="default" w:ascii="Times New Roman" w:hAnsi="Times New Roman" w:cs="Times New Roman"/>
                <w:color w:val="000000"/>
                <w:sz w:val="21"/>
                <w:szCs w:val="21"/>
                <w:highlight w:val="none"/>
              </w:rPr>
              <w:t>/</w:t>
            </w:r>
          </w:p>
        </w:tc>
        <w:tc>
          <w:tcPr>
            <w:tcW w:w="72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1.交换容量：≥512Tbps；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2.包转发率：≥96000Mpps；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3.8个独立业务槽位，5个交换网板槽位；</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4.正交CLOS架构；</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5.实际配置：双主控，冗余1200W交流电源；</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6.冗余独立交换网板，一根40G QSFP+堆叠线缆；</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7.支持横向虚拟化，支持纵向虚拟化，基于DRNI架构的HA，支持MACsec硬件加密技术，支持数据中心功能TRILL/SPB，EVI,VXLAN，EVB,FCoE，支持IPv6。</w:t>
            </w:r>
          </w:p>
        </w:tc>
      </w:tr>
      <w:tr>
        <w:tblPrEx>
          <w:tblLayout w:type="fixed"/>
          <w:tblCellMar>
            <w:top w:w="0" w:type="dxa"/>
            <w:left w:w="0" w:type="dxa"/>
            <w:bottom w:w="0" w:type="dxa"/>
            <w:right w:w="0" w:type="dxa"/>
          </w:tblCellMar>
        </w:tblPrEx>
        <w:trPr>
          <w:trHeight w:val="23" w:hRule="atLeast"/>
          <w:jc w:val="center"/>
        </w:trPr>
        <w:tc>
          <w:tcPr>
            <w:tcW w:w="583" w:type="dxa"/>
            <w:tcBorders>
              <w:top w:val="single" w:color="auto"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10</w:t>
            </w:r>
          </w:p>
        </w:tc>
        <w:tc>
          <w:tcPr>
            <w:tcW w:w="69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汇聚交换机</w:t>
            </w:r>
          </w:p>
        </w:tc>
        <w:tc>
          <w:tcPr>
            <w:tcW w:w="1092"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Style w:val="359"/>
                <w:rFonts w:hint="default" w:ascii="Times New Roman" w:hAnsi="Times New Roman" w:cs="Times New Roman"/>
                <w:sz w:val="21"/>
                <w:szCs w:val="21"/>
                <w:highlight w:val="none"/>
                <w:lang w:bidi="ar"/>
              </w:rPr>
            </w:pPr>
            <w:r>
              <w:rPr>
                <w:rFonts w:hint="default" w:ascii="Times New Roman" w:hAnsi="Times New Roman" w:cs="Times New Roman"/>
                <w:color w:val="000000"/>
                <w:sz w:val="21"/>
                <w:szCs w:val="21"/>
                <w:highlight w:val="none"/>
              </w:rPr>
              <w:t>/</w:t>
            </w:r>
          </w:p>
        </w:tc>
        <w:tc>
          <w:tcPr>
            <w:tcW w:w="7296"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1.固定端口：48个万兆SFP+光口，2个QSFP+光口，支持2个扩展插槽；</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2.交换容量：≥2.56Tbps；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3.包转发率：≥1080Mpps；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4.实际配置：2个QSFP+光口接口卡，1根40G堆叠线缆；</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5.支持横/纵向虚拟化，支持VXLAN，支持MACsec硬件加密技术，支持SDN。</w:t>
            </w:r>
          </w:p>
        </w:tc>
      </w:tr>
    </w:tbl>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（2）智能视觉系统</w:t>
      </w:r>
    </w:p>
    <w:tbl>
      <w:tblPr>
        <w:tblStyle w:val="56"/>
        <w:tblW w:w="9648" w:type="dxa"/>
        <w:jc w:val="center"/>
        <w:tblInd w:w="0" w:type="dxa"/>
        <w:tblLayout w:type="fixed"/>
        <w:tblCellMar>
          <w:top w:w="0" w:type="dxa"/>
          <w:left w:w="0" w:type="dxa"/>
          <w:bottom w:w="0" w:type="dxa"/>
          <w:right w:w="0" w:type="dxa"/>
        </w:tblCellMar>
      </w:tblPr>
      <w:tblGrid>
        <w:gridCol w:w="534"/>
        <w:gridCol w:w="825"/>
        <w:gridCol w:w="1035"/>
        <w:gridCol w:w="7254"/>
      </w:tblGrid>
      <w:tr>
        <w:tblPrEx>
          <w:tblLayout w:type="fixed"/>
          <w:tblCellMar>
            <w:top w:w="0" w:type="dxa"/>
            <w:left w:w="0" w:type="dxa"/>
            <w:bottom w:w="0" w:type="dxa"/>
            <w:right w:w="0" w:type="dxa"/>
          </w:tblCellMar>
        </w:tblPrEx>
        <w:trPr>
          <w:trHeight w:val="23" w:hRule="atLeast"/>
          <w:tblHeader/>
          <w:jc w:val="center"/>
        </w:trPr>
        <w:tc>
          <w:tcPr>
            <w:tcW w:w="53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82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子系统</w:t>
            </w:r>
          </w:p>
        </w:tc>
        <w:tc>
          <w:tcPr>
            <w:tcW w:w="10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名称</w:t>
            </w:r>
          </w:p>
        </w:tc>
        <w:tc>
          <w:tcPr>
            <w:tcW w:w="72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lang w:bidi="ar"/>
              </w:rPr>
              <w:t>主要技术指标要求</w:t>
            </w:r>
          </w:p>
        </w:tc>
      </w:tr>
      <w:tr>
        <w:tblPrEx>
          <w:tblLayout w:type="fixed"/>
          <w:tblCellMar>
            <w:top w:w="0" w:type="dxa"/>
            <w:left w:w="0" w:type="dxa"/>
            <w:bottom w:w="0" w:type="dxa"/>
            <w:right w:w="0"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视频专网</w:t>
            </w: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人脸布控服务器</w:t>
            </w:r>
          </w:p>
        </w:tc>
        <w:tc>
          <w:tcPr>
            <w:tcW w:w="7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1.CPU：不少于12核，主频不少于2.2GHz *2；</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2.GPU：不少于1块；</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3.内存：DDR4 RDIMM ECC 32GB*8 2666MHz及以上；</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4.阵列卡：Raid 0/1/5/10 1G 配电容；</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5.系统盘：SATA SSD 240GB *2（RAID1）；</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6.数据盘1：SATA 7.2K 3.5 2TB x6（单盘RAID0）；</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7.网络：万兆双电口，板载优先；</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8.电源：550w or 以上*2 (1+1冗余)。</w:t>
            </w:r>
          </w:p>
        </w:tc>
      </w:tr>
      <w:tr>
        <w:tblPrEx>
          <w:tblLayout w:type="fixed"/>
          <w:tblCellMar>
            <w:top w:w="0" w:type="dxa"/>
            <w:left w:w="0" w:type="dxa"/>
            <w:bottom w:w="0" w:type="dxa"/>
            <w:right w:w="0"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视图解析服务器</w:t>
            </w:r>
          </w:p>
        </w:tc>
        <w:tc>
          <w:tcPr>
            <w:tcW w:w="7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1.CPU：不少于16核，主频不少于2.1GHz *2；</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2.GPU：不少于4块；</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3.内存：DDR4 RDIMM ECC 32GB*8 2666MHz及以上；</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4.阵列卡：Raid 0/1/5/10 1G或更高；</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5.系统盘：SATA SSD 240GB *2（RAID1）；</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6.网络：万兆双电口，板载优先；</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7.电源：800w or 以上*2 (1+1冗余)；</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8.带外管理：独立千兆RJ45端。</w:t>
            </w:r>
          </w:p>
        </w:tc>
      </w:tr>
      <w:tr>
        <w:tblPrEx>
          <w:tblLayout w:type="fixed"/>
          <w:tblCellMar>
            <w:top w:w="0" w:type="dxa"/>
            <w:left w:w="0" w:type="dxa"/>
            <w:bottom w:w="0" w:type="dxa"/>
            <w:right w:w="0"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视图特征库服务器</w:t>
            </w:r>
          </w:p>
        </w:tc>
        <w:tc>
          <w:tcPr>
            <w:tcW w:w="7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1.CPU：不少于16核，主频不少于2.1GHz *2；</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2.GPU：不少于4块；</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3.内存：DDR4 RDIMM ECC 32GB*8 2666MHz及以上；</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4.阵列卡：Raid 0/1/5/10 1G；</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5.系统盘：SATA SSD 240GB *2（RAID1）；</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6.数据盘1：SATA SSD 1.9TB *8（单盘RAID0）；</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7.数据盘2：SATA SSD 480GB *2（RAID1）；</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8.网络：万兆双电口，板载优先；</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9.电源：800w or 以上*2 (1+1冗余)；</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10.带外管理ipmi：独立RJ45口。</w:t>
            </w:r>
          </w:p>
        </w:tc>
      </w:tr>
      <w:tr>
        <w:tblPrEx>
          <w:tblLayout w:type="fixed"/>
          <w:tblCellMar>
            <w:top w:w="0" w:type="dxa"/>
            <w:left w:w="0" w:type="dxa"/>
            <w:bottom w:w="0" w:type="dxa"/>
            <w:right w:w="0"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云存储节点</w:t>
            </w:r>
          </w:p>
        </w:tc>
        <w:tc>
          <w:tcPr>
            <w:tcW w:w="7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1.CPU：≥6核心处理器，核心主频3GHz；</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2.内存：≥16GB DDR4 主频2666MHz；</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3.1+1冗余电源；</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4.4个千兆数据电口，2个万兆数据光口；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5.1个eSATA接口，1个RS-232接口，2个USB 3.0接口，2个USB 2.0接口；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6.硬盘：内置1块2.5英寸SATA 240G 企业级固态硬盘，最大支持48个2.5"或3.5"的SATA硬盘或者SAS硬盘；</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val="en-US" w:eastAsia="zh-CN" w:bidi="ar"/>
              </w:rPr>
              <w:t>7</w:t>
            </w:r>
            <w:r>
              <w:rPr>
                <w:rFonts w:hint="default" w:ascii="Times New Roman" w:hAnsi="Times New Roman" w:cs="Times New Roman"/>
                <w:color w:val="000000"/>
                <w:sz w:val="21"/>
                <w:szCs w:val="21"/>
                <w:highlight w:val="none"/>
                <w:lang w:bidi="ar"/>
              </w:rPr>
              <w:t>.支持云基础存储和管理软件服务：云存储软件服务、文件生命周期管理服务、文件智能恢复服务、图片处理模块、多租户服务；</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val="en-US" w:eastAsia="zh-CN" w:bidi="ar"/>
              </w:rPr>
              <w:t>8</w:t>
            </w:r>
            <w:r>
              <w:rPr>
                <w:rFonts w:hint="default" w:ascii="Times New Roman" w:hAnsi="Times New Roman" w:cs="Times New Roman"/>
                <w:color w:val="000000"/>
                <w:sz w:val="21"/>
                <w:szCs w:val="21"/>
                <w:highlight w:val="none"/>
                <w:lang w:bidi="ar"/>
              </w:rPr>
              <w:t>.支持云直存服务模块：视频设备接入服务、卡口设备接入服务、视图存储服务、流媒体转发服务；</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val="en-US" w:eastAsia="zh-CN" w:bidi="ar"/>
              </w:rPr>
              <w:t>9</w:t>
            </w:r>
            <w:r>
              <w:rPr>
                <w:rFonts w:hint="default" w:ascii="Times New Roman" w:hAnsi="Times New Roman" w:cs="Times New Roman"/>
                <w:color w:val="000000"/>
                <w:sz w:val="21"/>
                <w:szCs w:val="21"/>
                <w:highlight w:val="none"/>
                <w:lang w:bidi="ar"/>
              </w:rPr>
              <w:t>.支持服务日志采集、展示、搜索，支持日志告警、告警趋势分析，可根据日志完成服务链路的追踪分析；</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w:t>
            </w:r>
            <w:r>
              <w:rPr>
                <w:rFonts w:hint="default" w:ascii="Times New Roman" w:hAnsi="Times New Roman" w:cs="Times New Roman"/>
                <w:color w:val="000000"/>
                <w:sz w:val="21"/>
                <w:szCs w:val="21"/>
                <w:highlight w:val="none"/>
                <w:lang w:val="en-US" w:eastAsia="zh-CN" w:bidi="ar"/>
              </w:rPr>
              <w:t>0</w:t>
            </w:r>
            <w:r>
              <w:rPr>
                <w:rFonts w:hint="default" w:ascii="Times New Roman" w:hAnsi="Times New Roman" w:cs="Times New Roman"/>
                <w:color w:val="000000"/>
                <w:sz w:val="21"/>
                <w:szCs w:val="21"/>
                <w:highlight w:val="none"/>
                <w:lang w:bidi="ar"/>
              </w:rPr>
              <w:t>.存储接入能力：单台存储节点支持5000路摄像机接入，同时支持500路视频点播；</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w:t>
            </w:r>
            <w:r>
              <w:rPr>
                <w:rFonts w:hint="default" w:ascii="Times New Roman" w:hAnsi="Times New Roman" w:cs="Times New Roman"/>
                <w:color w:val="000000"/>
                <w:sz w:val="21"/>
                <w:szCs w:val="21"/>
                <w:highlight w:val="none"/>
                <w:lang w:val="en-US" w:eastAsia="zh-CN" w:bidi="ar"/>
              </w:rPr>
              <w:t>1</w:t>
            </w:r>
            <w:r>
              <w:rPr>
                <w:rFonts w:hint="default" w:ascii="Times New Roman" w:hAnsi="Times New Roman" w:cs="Times New Roman"/>
                <w:color w:val="000000"/>
                <w:sz w:val="21"/>
                <w:szCs w:val="21"/>
                <w:highlight w:val="none"/>
                <w:lang w:bidi="ar"/>
              </w:rPr>
              <w:t>.支持对人脸分析、车辆智能、视频结构化等智能分析服务器进行统一调度管理；</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w:t>
            </w:r>
            <w:r>
              <w:rPr>
                <w:rFonts w:hint="default" w:ascii="Times New Roman" w:hAnsi="Times New Roman" w:cs="Times New Roman"/>
                <w:color w:val="000000"/>
                <w:sz w:val="21"/>
                <w:szCs w:val="21"/>
                <w:highlight w:val="none"/>
                <w:lang w:val="en-US" w:eastAsia="zh-CN" w:bidi="ar"/>
              </w:rPr>
              <w:t>2</w:t>
            </w:r>
            <w:r>
              <w:rPr>
                <w:rFonts w:hint="default" w:ascii="Times New Roman" w:hAnsi="Times New Roman" w:cs="Times New Roman"/>
                <w:color w:val="000000"/>
                <w:sz w:val="21"/>
                <w:szCs w:val="21"/>
                <w:highlight w:val="none"/>
                <w:lang w:bidi="ar"/>
              </w:rPr>
              <w:t>.支持针对实时报警方式的自定义SQL处理，单节点支持实时处理性能不低于10万条/秒；</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w:t>
            </w:r>
            <w:r>
              <w:rPr>
                <w:rFonts w:hint="default" w:ascii="Times New Roman" w:hAnsi="Times New Roman" w:cs="Times New Roman"/>
                <w:color w:val="000000"/>
                <w:sz w:val="21"/>
                <w:szCs w:val="21"/>
                <w:highlight w:val="none"/>
                <w:lang w:val="en-US" w:eastAsia="zh-CN" w:bidi="ar"/>
              </w:rPr>
              <w:t>3</w:t>
            </w:r>
            <w:r>
              <w:rPr>
                <w:rFonts w:hint="default" w:ascii="Times New Roman" w:hAnsi="Times New Roman" w:cs="Times New Roman"/>
                <w:color w:val="000000"/>
                <w:sz w:val="21"/>
                <w:szCs w:val="21"/>
                <w:highlight w:val="none"/>
                <w:lang w:bidi="ar"/>
              </w:rPr>
              <w:t>.支持一个文件有多种N+M:b容错机制，能自适应调整N+M:b，系统根据当前节点情况自动配置使用哪种容错算法以达到最可靠的容错，以实现最大化节点容错能力；</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r>
              <w:rPr>
                <w:rFonts w:hint="default" w:ascii="Times New Roman" w:hAnsi="Times New Roman" w:cs="Times New Roman"/>
                <w:color w:val="000000"/>
                <w:sz w:val="21"/>
                <w:szCs w:val="21"/>
                <w:highlight w:val="none"/>
                <w:lang w:val="en-US" w:eastAsia="zh-CN" w:bidi="ar"/>
              </w:rPr>
              <w:t>4</w:t>
            </w:r>
            <w:r>
              <w:rPr>
                <w:rFonts w:hint="default" w:ascii="Times New Roman" w:hAnsi="Times New Roman" w:cs="Times New Roman"/>
                <w:color w:val="000000"/>
                <w:sz w:val="21"/>
                <w:szCs w:val="21"/>
                <w:highlight w:val="none"/>
                <w:lang w:bidi="ar"/>
              </w:rPr>
              <w:t>.具备节点间容错能力下，容忍大于16台节点同时故障后，只要有1台以上节点正常，即可保证录像可写入，写入录像依然具备磁盘间容错能力。</w:t>
            </w:r>
          </w:p>
        </w:tc>
      </w:tr>
      <w:tr>
        <w:tblPrEx>
          <w:tblLayout w:type="fixed"/>
          <w:tblCellMar>
            <w:top w:w="0" w:type="dxa"/>
            <w:left w:w="0" w:type="dxa"/>
            <w:bottom w:w="0" w:type="dxa"/>
            <w:right w:w="0"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服务器</w:t>
            </w:r>
          </w:p>
        </w:tc>
        <w:tc>
          <w:tcPr>
            <w:tcW w:w="7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1.CPU：≥8核心处理器，核心主频2.1GHz*2；</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2.内存：64G DDR4 ；</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3.数据硬盘：1TB SATA 硬盘*2；</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4.系统硬盘：240G SSD*2；</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5.RAID卡*1；</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6.8个千兆网口（RJ45接口）；</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7.电池组*1；</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8.550W白金电源*2。</w:t>
            </w:r>
          </w:p>
        </w:tc>
      </w:tr>
      <w:tr>
        <w:tblPrEx>
          <w:tblLayout w:type="fixed"/>
          <w:tblCellMar>
            <w:top w:w="0" w:type="dxa"/>
            <w:left w:w="0" w:type="dxa"/>
            <w:bottom w:w="0" w:type="dxa"/>
            <w:right w:w="0"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管理交换机</w:t>
            </w:r>
          </w:p>
        </w:tc>
        <w:tc>
          <w:tcPr>
            <w:tcW w:w="7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1.交换容量≥1.28Tbps；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2.包转发率≥960Mpps；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3.可支持接口类型：GE（光/电）、10GE（光）、40GE（光）；</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4.端口配置：10GE光口≥48（满配光模块）；</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5.路由特性：支持IPv4、IPv6静态路由，RIP等三层动态路由协议；支持策略路由器；支持RIP v1/2、RIPng ；支持等价路由、VRRP、OSPFv1/v2、OSPF v3、BGP、ISIS等增强三层路由协议；</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6.支持链路聚合、MAC地址表、VLAN、流量监控、FHCP、ARP、MPLS、组播协议、QOS/ACL等。</w:t>
            </w:r>
          </w:p>
        </w:tc>
      </w:tr>
      <w:tr>
        <w:tblPrEx>
          <w:tblLayout w:type="fixed"/>
          <w:tblCellMar>
            <w:top w:w="0" w:type="dxa"/>
            <w:left w:w="0" w:type="dxa"/>
            <w:bottom w:w="0" w:type="dxa"/>
            <w:right w:w="0"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7</w:t>
            </w: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sz w:val="21"/>
                <w:szCs w:val="21"/>
                <w:highlight w:val="none"/>
              </w:rPr>
            </w:pPr>
            <w:r>
              <w:rPr>
                <w:rFonts w:hint="default" w:ascii="Times New Roman" w:hAnsi="Times New Roman" w:cs="Times New Roman"/>
                <w:color w:val="000000"/>
                <w:sz w:val="21"/>
                <w:szCs w:val="21"/>
                <w:highlight w:val="none"/>
                <w:lang w:bidi="ar"/>
              </w:rPr>
              <w:t>接入交换机</w:t>
            </w:r>
          </w:p>
        </w:tc>
        <w:tc>
          <w:tcPr>
            <w:tcW w:w="7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1.交换容量≥598Gbps；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2.包转发率≥252Mpps；</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3.可支持接口类型：GE（光/电）、10GE（光）；</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4.端口配置：48个千兆电口，4个万兆光口，2个QSFP+堆叠口，支持通过console口管理。</w:t>
            </w:r>
          </w:p>
        </w:tc>
      </w:tr>
      <w:tr>
        <w:tblPrEx>
          <w:tblLayout w:type="fixed"/>
          <w:tblCellMar>
            <w:top w:w="0" w:type="dxa"/>
            <w:left w:w="0" w:type="dxa"/>
            <w:bottom w:w="0" w:type="dxa"/>
            <w:right w:w="0" w:type="dxa"/>
          </w:tblCellMar>
        </w:tblPrEx>
        <w:trPr>
          <w:trHeight w:val="23" w:hRule="atLeast"/>
          <w:jc w:val="center"/>
        </w:trPr>
        <w:tc>
          <w:tcPr>
            <w:tcW w:w="53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8</w:t>
            </w: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kern w:val="2"/>
                <w:sz w:val="21"/>
                <w:szCs w:val="21"/>
                <w:highlight w:val="none"/>
              </w:rPr>
            </w:pPr>
          </w:p>
        </w:tc>
        <w:tc>
          <w:tcPr>
            <w:tcW w:w="10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服务器交换机</w:t>
            </w:r>
          </w:p>
        </w:tc>
        <w:tc>
          <w:tcPr>
            <w:tcW w:w="72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1.交换容量≥2.56Tbps；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2.转发性能≥1080Mpps；</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3.万兆电口≥48个，40GE QSFP+端口≥6个</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4.路由表项：支持智能表项技术，整机路由地址表可调，整机最大路由地址表≥120K；</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5.ARP表项：支持智能表项技术，整机ARP地址表可调，整机最大ARP地址表≥120K；</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6.MAC地址表：支持智能表项技术，整机 MAC地址表可调，整机最大MAC地址表≥280K；</w:t>
            </w:r>
          </w:p>
          <w:p>
            <w:pPr>
              <w:pageBreakBefore w:val="0"/>
              <w:kinsoku/>
              <w:overflowPunct/>
              <w:topLinePunct w:val="0"/>
              <w:bidi w:val="0"/>
              <w:spacing w:after="0" w:line="264" w:lineRule="auto"/>
              <w:textAlignment w:val="center"/>
              <w:rPr>
                <w:rFonts w:hint="default" w:ascii="Times New Roman" w:hAnsi="Times New Roman" w:cs="Times New Roman"/>
                <w:color w:val="000000"/>
                <w:kern w:val="2"/>
                <w:sz w:val="21"/>
                <w:szCs w:val="21"/>
                <w:highlight w:val="none"/>
              </w:rPr>
            </w:pPr>
            <w:r>
              <w:rPr>
                <w:rFonts w:hint="default" w:ascii="Times New Roman" w:hAnsi="Times New Roman" w:cs="Times New Roman"/>
                <w:color w:val="000000"/>
                <w:sz w:val="21"/>
                <w:szCs w:val="21"/>
                <w:highlight w:val="none"/>
                <w:lang w:bidi="ar"/>
              </w:rPr>
              <w:t>7支持STP/RSTP/MSTP协议，支持PVST+/RPVST+。</w:t>
            </w:r>
          </w:p>
        </w:tc>
      </w:tr>
    </w:tbl>
    <w:p>
      <w:pPr>
        <w:pageBreakBefore w:val="0"/>
        <w:kinsoku/>
        <w:overflowPunct/>
        <w:topLinePunct w:val="0"/>
        <w:bidi w:val="0"/>
        <w:snapToGrid w:val="0"/>
        <w:spacing w:after="0" w:line="264" w:lineRule="auto"/>
        <w:ind w:firstLine="422" w:firstLineChars="20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智能视觉系统技术指标要求：</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此次义乌市公安局建设的智能视觉系统要在金华市雪亮工程系统上实现无缝扩容功能，包括但不限以下方面：</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时空特征数据无缝对接：此次义乌市公安局建设的人像算法生成的时空数据和全金华市人像的时空数据一起存储90天，确保义乌市公安局在金华市公安局雪亮工程系统能查询到全金华市90天内的所有人像数据和轨迹信息。</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人脸聚类和人脸档案无缝对接：此次义乌市建设的人脸数据与全金华市的人脸数据统一进行人脸聚类，并且和金华市静态库撞库做身份落地，形成具有全金华市所有人脸数据的全市统一的实名人脸档案和非实名人脸档案，人脸档案数据统一存储1年，系统最大总人脸档案数不低于1亿。</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（一）解析算法技术要求</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1.视图兼容格式:人脸图片支持JPG、JPEG、PNG、BMP等多种格式，视频支持H.264/H.265编码格式、1080P/4K分辨率。</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2.可识别人脸最小瞳距：针对两眼瞳间距为30像素的人脸图片，能够进行人脸检出及1:1比对。</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4.人脸属性识别：性别、年龄段、是否戴口罩、眼镜款式、胡型。</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5.人体属性识别：性别、发型、是否戴口罩、是否戴帽子、是否撑伞、是否携带背包、上衣款式、上衣长度、上衣颜色、裤子颜色、裤子长度、鞋子款式、上衣图案、下衣图案和人体角度。</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6．人脸可比对识别角度：水平转动角范围：-75˚~+75˚，俯仰角范围：-45˚~+45˚，倾斜角范围：-60˚~+60˚</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7．图片遮挡人脸检测性能：人脸被遮挡住不超过半边脸的情况下，半遮挡人脸检出准确率≥99%</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8．人脸及人体提取能力：支持对人脸可见同时人体有一半被遮挡的图片进行人脸人体检出，检出率≥90%。</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9．融合检索：系统上传一张人脸图片进行检索，可通过检索出的人脸结果关联相应人体；系统上传一张人体图片进行检索，可通过检索出的人体结果关联相应人脸。</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（二）时空特征库检索技术要求</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1.检索性能：可根据时间段、摄像头点位实现人脸以图搜图，TOP100结杲返回时间小于3s，并发能力不低于30个。</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2.千万级人脸库检索准确率：千万级人脸库规模下，以脸搜脸首位命中率不低于99%，前十位命中率不低于99.9%，前五十位命中率不低于99.99%。</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3．亿级人脸库检索准确率：亿级人脸库规模下，以脸搜脸首位命中率不低于95%，前五位命中率不低于98%，前十位命中率不低于99%。</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4.人脸时空特征库容量：单视图特征库节点支持存储8亿人脸特征数据，支持线性扩展。人脸时空库检索性能：8亿特征库容下，50用户并发进行人脸特征1:N检索，TOP100结果返回时间小于1s。</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（三）人脸聚类归档技术要求</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1.人脸聚类性能：采用增量聚类的方式，每次增量聚类完成时间不超8小时，误聚率≤5%时，漏聚率≤10%。</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2．人脸档案数据保存时间不低于1年，最大总人脸档案数不低于1亿。</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（四）系统技术要求</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1.支持多算法混合部署：能够在同一台视图解析服务器上混合部署多种算法，包括人脸解析、视频结构化解析、人脸人体融合解析等算法，各算法占用 GPU 资源能够按卡粒度灵活调配。</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2.服务可靠性：在集群环境中，单个视图解析节点出现异常断电情况时，该节点上的接入解析任务可自动调度至其他解析节点上继续运行。</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3.数据可靠性：在集群环境中，单个视图特征库节点出现异常断电情况时，特征库服务不中断，断电节点恢复后该节点上特征及结构化属性数据不丢失。</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4.在线扩容：系统在服务正常运行的情况下，能在线扩容综合管控节点、视图解析节点和视图特征节点的功能。</w:t>
      </w:r>
    </w:p>
    <w:p>
      <w:pPr>
        <w:pageBreakBefore w:val="0"/>
        <w:kinsoku/>
        <w:overflowPunct/>
        <w:topLinePunct w:val="0"/>
        <w:bidi w:val="0"/>
        <w:snapToGrid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5.人脸特征数据在线升级：系统能够在服务不中断的情况下，完成对历史人脸特征数据升级的功能。</w:t>
      </w:r>
    </w:p>
    <w:p>
      <w:pPr>
        <w:pageBreakBefore w:val="0"/>
        <w:kinsoku/>
        <w:overflowPunct/>
        <w:topLinePunct w:val="0"/>
        <w:bidi w:val="0"/>
        <w:snapToGrid w:val="0"/>
        <w:spacing w:after="0" w:line="264" w:lineRule="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（4）公安网安全边界接入平台扩容</w:t>
      </w:r>
    </w:p>
    <w:tbl>
      <w:tblPr>
        <w:tblStyle w:val="56"/>
        <w:tblW w:w="9654" w:type="dxa"/>
        <w:jc w:val="center"/>
        <w:tblInd w:w="0" w:type="dxa"/>
        <w:tblLayout w:type="fixed"/>
        <w:tblCellMar>
          <w:top w:w="0" w:type="dxa"/>
          <w:left w:w="0" w:type="dxa"/>
          <w:bottom w:w="0" w:type="dxa"/>
          <w:right w:w="0" w:type="dxa"/>
        </w:tblCellMar>
      </w:tblPr>
      <w:tblGrid>
        <w:gridCol w:w="507"/>
        <w:gridCol w:w="765"/>
        <w:gridCol w:w="585"/>
        <w:gridCol w:w="750"/>
        <w:gridCol w:w="7047"/>
      </w:tblGrid>
      <w:tr>
        <w:tblPrEx>
          <w:tblLayout w:type="fixed"/>
          <w:tblCellMar>
            <w:top w:w="0" w:type="dxa"/>
            <w:left w:w="0" w:type="dxa"/>
            <w:bottom w:w="0" w:type="dxa"/>
            <w:right w:w="0" w:type="dxa"/>
          </w:tblCellMar>
        </w:tblPrEx>
        <w:trPr>
          <w:trHeight w:val="23" w:hRule="atLeast"/>
          <w:tblHeader/>
          <w:jc w:val="center"/>
        </w:trPr>
        <w:tc>
          <w:tcPr>
            <w:tcW w:w="507" w:type="dxa"/>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序号</w:t>
            </w:r>
          </w:p>
        </w:tc>
        <w:tc>
          <w:tcPr>
            <w:tcW w:w="76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rPr>
              <w:t>子系统</w:t>
            </w:r>
          </w:p>
        </w:tc>
        <w:tc>
          <w:tcPr>
            <w:tcW w:w="585"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rPr>
            </w:pPr>
            <w:r>
              <w:rPr>
                <w:rFonts w:hint="default" w:ascii="Times New Roman" w:hAnsi="Times New Roman" w:cs="Times New Roman"/>
                <w:b/>
                <w:color w:val="000000"/>
                <w:sz w:val="21"/>
                <w:szCs w:val="21"/>
                <w:highlight w:val="none"/>
                <w:lang w:bidi="ar"/>
              </w:rPr>
              <w:t>分项</w:t>
            </w:r>
          </w:p>
        </w:tc>
        <w:tc>
          <w:tcPr>
            <w:tcW w:w="750"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lang w:bidi="ar"/>
              </w:rPr>
              <w:t>名称</w:t>
            </w:r>
          </w:p>
        </w:tc>
        <w:tc>
          <w:tcPr>
            <w:tcW w:w="7047" w:type="dxa"/>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color w:val="000000"/>
                <w:sz w:val="21"/>
                <w:szCs w:val="21"/>
                <w:highlight w:val="none"/>
                <w:lang w:bidi="ar"/>
              </w:rPr>
            </w:pPr>
            <w:r>
              <w:rPr>
                <w:rFonts w:hint="default" w:ascii="Times New Roman" w:hAnsi="Times New Roman" w:cs="Times New Roman"/>
                <w:b/>
                <w:color w:val="000000"/>
                <w:sz w:val="21"/>
                <w:szCs w:val="21"/>
                <w:highlight w:val="none"/>
                <w:lang w:bidi="ar"/>
              </w:rPr>
              <w:t>规格及主要技术要求</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(一)</w:t>
            </w:r>
          </w:p>
        </w:tc>
        <w:tc>
          <w:tcPr>
            <w:tcW w:w="9147"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电子政务网数据交互链路扩容</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电子政务网数据交互链路扩容</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边界保护区</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防火墙1</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硬件性能配置：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标配6个10/100/1000M Base-TX，1个扩展槽位；吞吐量6G；并发连接数220万，冗余电源。</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主要功能：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支持针对用户/用户组进行URL、文件类型、应用的流量管理；支持针对URL类型进行流量管理，至少支持：旅游出行、美体美容、web代理、报刊杂志等。可以针对不同类型的URL配置不同的流量管理规则,包括最大带宽、保证带宽、协议流量优先级等；必须支持基于文件类型的策略路由，可实现将预定义或者自定义的文件按照不同的分类进行智能选路；服务器负载均衡支持10种算法。</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可信边界安全网关1</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硬件性能配置：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专用软硬件一体化设备；</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性能要求：新建连接速度≥1500（连接/秒），加密带宽吞吐量≥500Mbps，ssl事务处理速率≥2000次/秒，最大并发连接数≥50000个；接入用户数≥50000；稳定性运行时间(MTBF)&gt;100,000小时；SSL延时转发&lt;0.4ms。</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端口配置：网络接口≥4个100/1000M，管理用串口1个；</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主要功能：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支持网关使用情况实时监控，至少包含在线用户数、保护资源数、并发连接数、注册终端数等；支持系统运维，包括对网关数据库进行检查和修复的的运维操作，内置SSH运维工具；支持对网关系统日志的配置和下载，支持对网关所用到的加密算法进行性能自测。</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入侵检测系统IDS1</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1个RJ-45 Console口，1个10/100 Base-Tx带外管理口，5个10/100/1000 Base-T接口，2个USB口，冗余电源。</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主要功能：可检测不少于10种以上分类的攻击类型；支持基于IPv4/v6网络的攻击检测；支持根据历史均值基线对当前时刻的流量进行异常判断的能力；具有独立的报警界面对异常流量进行界面报警，报警须区分偏低、偏高两种情况，总计不少于4种报警等级，报警需具备不同颜色的警灯保警方式。</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三层交换机1</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48个10/100/1000 Base-T以太网端口，4个复用的1000Base-X千兆SFP端口。</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性能指标：交换容量≥256Gbps；包转发率≥72Mpps。</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管理终端</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CPU不少于4核，主频不小于1.8GHz/32GB内存+512GB SSD/独显/14英寸FHD IPS防眩光雾面屏。</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6</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安全隔离区</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安全数据交换系统</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采用内外网双服务器主机架构。</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网络接口：内外网主机分别不少于4个100/1000M Base-TX网络接口。</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USB口：内外网主机分别不少于6个。</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电源：服务器专用冗余电源。</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性能指标：</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交换能力：≥600Mbps；并发会话：6000个；数据库到数据库交换记录数（＞100Kb/记录）：≥2000条/秒；文件数据处理数（＞100Kb/个）：≥1500个/秒；最大支持服务个数：≥60；稳定性运行时间（MTBF）：＞50000小时；文件数据处理吞吐量：≥600Mbps；应用层数据交换速度（FTP）：≥600Mbps；最大数据文件：≥30G；任务调度粒度：秒级；目录监控触发时间：＜1秒；最大传输延时：＜40ms。</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功能要求：</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支持主流关系型数据库数据交换：Oracle、DB2、SQL Server、GreenPlum、Sybase、MYSQL的各种版本，及支持达梦、Gbase、神舟通用等国产数据库，及支持Cassandra、UDB等大数据数据库；支持共享、客户端、FTP、NFS等多种模式的文件交换服务；支持灵活多样的数据库数据获取方式；支持对传输数据采用商密进行加密；支持多网闸容错，当一台网闸出现故障，系统会自动选择无故障的网闸继续运行，不影响数据的正常交换；支持对网闸的实时流量和延时进行监控分析。</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7</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网闸</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标准机架式硬件设备，千兆背板硬件架构；不少于6个10/100/1000M自适应电口，内外网主机系统分别具有独立的网络口、管理口。</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性能指标：</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系统吞吐量≥600Mbps；并发连接数≥6万；延时小于1ms。</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主要功能：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支持IPv4、IPv6双协议栈接入；支持支持oracle、Sql Server 、DB2、Sybase等主流数据库间的同种或异种数据库同步，支持单向和双向同步；管理方式采用B/S架构的Web方式管理，基于数字证书管理；支持内外网分别采用独立管理口管理；支持图表实时显示网口流量、CPU状态、内存状态信息。</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(二)</w:t>
            </w:r>
          </w:p>
        </w:tc>
        <w:tc>
          <w:tcPr>
            <w:tcW w:w="9147" w:type="dxa"/>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b/>
                <w:bCs/>
                <w:color w:val="000000"/>
                <w:sz w:val="21"/>
                <w:szCs w:val="21"/>
                <w:highlight w:val="none"/>
                <w:lang w:bidi="ar"/>
              </w:rPr>
            </w:pPr>
            <w:r>
              <w:rPr>
                <w:rFonts w:hint="default" w:ascii="Times New Roman" w:hAnsi="Times New Roman" w:cs="Times New Roman"/>
                <w:b/>
                <w:bCs/>
                <w:color w:val="000000"/>
                <w:sz w:val="21"/>
                <w:szCs w:val="21"/>
                <w:highlight w:val="none"/>
                <w:lang w:bidi="ar"/>
              </w:rPr>
              <w:t>公安网信息共享链路扩容</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1</w:t>
            </w:r>
          </w:p>
        </w:tc>
        <w:tc>
          <w:tcPr>
            <w:tcW w:w="76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公安网信息共享链路扩容</w:t>
            </w:r>
          </w:p>
        </w:tc>
        <w:tc>
          <w:tcPr>
            <w:tcW w:w="585"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边界保护区</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防火墙2</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硬件性能配置：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标配6个10/100/1000M Base-TX，1个扩展槽位；吞吐量6G；并发连接数220万，冗余电源。</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主要功能：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支持针对用户/用户组进行URL、文件类型、应用的流量管理；支持针对URL类型进行流量管理，至少支持：旅游出行、美体美容、web代理、报刊杂志等。可以针对不同类型的URL配置不同的流量管理规则,包括最大带宽、保证带宽、协议流量优先级等；必须支持基于文件类型的策略路由，可实现将预定义或者自定义的文件按照不同的分类进行智能选路；服务器负载均衡支持10种算法。</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2</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可信边界安全网关2</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专用软硬件一体化设备；</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性能要求：新建连接速度≥1500（连接/秒），加密带宽吞吐量≥500Mbps，ssl事务处理速率≥2000次/秒，最大并发连接数≥50000个；接入用户数≥50000；稳定性运行时间(MTBF)&gt;100,000小时；SSL延时转发&lt;0.4ms。</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端口配置：网络接口≥4个100/1000M，管理用串口1个。</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主要功能：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支持网关使用情况实时监控，至少包含在线用户数、保护资源数、并发连接数、注册终端数等；支持系统运维，包括对网关数据库进行检查和修复的的运维操作，内置SSH运维工具；支持对网关系统日志的配置和下载，支持对网关所用到的加密算法进行性能自测。</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3</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入侵防御系统IPS2</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lang w:bidi="ar"/>
              </w:rPr>
            </w:pPr>
            <w:r>
              <w:rPr>
                <w:rFonts w:hint="default" w:ascii="Times New Roman" w:hAnsi="Times New Roman" w:cs="Times New Roman"/>
                <w:color w:val="000000"/>
                <w:sz w:val="21"/>
                <w:szCs w:val="21"/>
                <w:highlight w:val="none"/>
                <w:lang w:bidi="ar"/>
              </w:rPr>
              <w:t>硬件配置：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6个10/100/1000 Base-T接口（4个具备bypass功能），1个扩展槽位。</w:t>
            </w:r>
          </w:p>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双电源性能指标：</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支持扩展SSD存储，2路BYPASS，最大并发300万，最大吞吐量6G，最大IPS吞吐量4G。</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主要功能：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系统可检测的入侵防御事件库事件数量不少于4000条，系统应支持事件响应模版，能够批量修改事件响应动作，包括：事件级别、事件启用开关、动作、日志合并方式、日志开关、抓包取证；系统应支持多种防web扫描能力，包括爬虫、CGI和漏洞扫描等，并支持设置至少5个不同级别的扫描容忍度/扫描敏感度；系统应支持弱口令检测功能，需支持至少8种网络协议并支持至少7种弱口令检测元素，文字说明支持的网络协议和定义弱口令的检测元素；系统应支持多种事件响应方式，满足客户的安全要求，需包括：重置、临时阻断、丢弃报文、丢弃会话等动作。系统应支持密码穷举探测功能，提供至少16种应用的密码穷举行为探测和阻断。</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4</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三层交换机2</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硬件配置：</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48个10/100/1000 Base-T以太网端口，4个复用的1000Base-X千兆SFP端口。</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性能指标：</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交换容量≥256Gbps；包转发率≥72Mpps。</w:t>
            </w:r>
          </w:p>
        </w:tc>
      </w:tr>
      <w:tr>
        <w:tblPrEx>
          <w:tblLayout w:type="fixed"/>
          <w:tblCellMar>
            <w:top w:w="0" w:type="dxa"/>
            <w:left w:w="0" w:type="dxa"/>
            <w:bottom w:w="0" w:type="dxa"/>
            <w:right w:w="0" w:type="dxa"/>
          </w:tblCellMar>
        </w:tblPrEx>
        <w:trPr>
          <w:trHeight w:val="23"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5</w:t>
            </w:r>
          </w:p>
        </w:tc>
        <w:tc>
          <w:tcPr>
            <w:tcW w:w="76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sz w:val="21"/>
                <w:szCs w:val="21"/>
                <w:highlight w:val="none"/>
              </w:rPr>
            </w:pPr>
          </w:p>
        </w:tc>
        <w:tc>
          <w:tcPr>
            <w:tcW w:w="58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安全隔离区</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安全隔离与单向传输系统(简称：单向光闸)</w:t>
            </w:r>
          </w:p>
        </w:tc>
        <w:tc>
          <w:tcPr>
            <w:tcW w:w="70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textAlignment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lang w:bidi="ar"/>
              </w:rPr>
              <w:t>硬件和接口：</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采用2+1硬件架构，具有两个独立主机，独立主机之间，仅使用单个无源分光器进行单纤连接，不存在反方向的物理通道；</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标准机架式机箱，冗余电源，设备提供液晶面板。</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内网接口：不少于6个10M/100M/1000M自适应电口、4个SFP插槽、1个Console口和2个USB口。</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外网接口：不少于6个10M/100M/1000M自适应电口、4个SFP插槽、1个Console口和2个USB口。</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性能参数：</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数据库数据同步性能：≥1,500条/秒；小文件数据同步性能：≥1,500个/秒；最大传输延时：≤60ms；系统吞吐量：≥640Mbps；最大支持服务：≥60；稳定性运行时间(MTBF)：&gt;50000小时。</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主要功能：</w:t>
            </w:r>
            <w:r>
              <w:rPr>
                <w:rFonts w:hint="default" w:ascii="Times New Roman" w:hAnsi="Times New Roman" w:cs="Times New Roman"/>
                <w:color w:val="000000"/>
                <w:sz w:val="21"/>
                <w:szCs w:val="21"/>
                <w:highlight w:val="none"/>
                <w:lang w:bidi="ar"/>
              </w:rPr>
              <w:br w:type="textWrapping"/>
            </w:r>
            <w:r>
              <w:rPr>
                <w:rFonts w:hint="default" w:ascii="Times New Roman" w:hAnsi="Times New Roman" w:cs="Times New Roman"/>
                <w:color w:val="000000"/>
                <w:sz w:val="21"/>
                <w:szCs w:val="21"/>
                <w:highlight w:val="none"/>
                <w:lang w:bidi="ar"/>
              </w:rPr>
              <w:t>系统要求：内、外网主机系统分别采用冗余双系统启动模式，当A系统运行失败后，能从B系统启动，且A、B系统可互为备份；主机系统采用具有自主知识产权的安全操作系统平台；支持数据库的单向导入：支持ORACLE、SQLSERVER、SYBASE、DB2、Mysql、神州通用(oscar)、达梦、南大通用等多种数据库类型数据库的单向导入；具有全热备的能力：即两套设备的所有主机中任何一台出现故障，都能被相应的备机替换并正常工作；支持丢包恢复、断网恢复等功能，有效保障传输数据的完整性、正确性。</w:t>
            </w:r>
          </w:p>
        </w:tc>
      </w:tr>
    </w:tbl>
    <w:p>
      <w:pPr>
        <w:pageBreakBefore w:val="0"/>
        <w:kinsoku/>
        <w:overflowPunct/>
        <w:topLinePunct w:val="0"/>
        <w:bidi w:val="0"/>
        <w:spacing w:after="0" w:line="264" w:lineRule="auto"/>
        <w:rPr>
          <w:rFonts w:hint="default" w:ascii="Times New Roman" w:hAnsi="Times New Roman" w:cs="Times New Roman"/>
          <w:iCs/>
          <w:sz w:val="21"/>
          <w:szCs w:val="21"/>
          <w:highlight w:val="none"/>
        </w:rPr>
      </w:pPr>
      <w:bookmarkStart w:id="120" w:name="_Toc5113"/>
      <w:bookmarkStart w:id="121" w:name="_Toc5555"/>
      <w:bookmarkStart w:id="122" w:name="_Toc59008740"/>
    </w:p>
    <w:p>
      <w:pPr>
        <w:pageBreakBefore w:val="0"/>
        <w:kinsoku/>
        <w:overflowPunct/>
        <w:topLinePunct w:val="0"/>
        <w:bidi w:val="0"/>
        <w:spacing w:after="0" w:line="264" w:lineRule="auto"/>
        <w:rPr>
          <w:rFonts w:hint="default" w:ascii="Times New Roman" w:hAnsi="Times New Roman" w:cs="Times New Roman"/>
          <w:iCs/>
          <w:sz w:val="21"/>
          <w:szCs w:val="21"/>
          <w:highlight w:val="none"/>
        </w:rPr>
      </w:pPr>
    </w:p>
    <w:p>
      <w:pPr>
        <w:pStyle w:val="5"/>
        <w:pageBreakBefore w:val="0"/>
        <w:widowControl w:val="0"/>
        <w:kinsoku/>
        <w:wordWrap/>
        <w:overflowPunct/>
        <w:topLinePunct w:val="0"/>
        <w:autoSpaceDE/>
        <w:autoSpaceDN/>
        <w:bidi w:val="0"/>
        <w:adjustRightInd/>
        <w:spacing w:before="0" w:after="0" w:line="288" w:lineRule="auto"/>
        <w:textAlignment w:val="auto"/>
        <w:rPr>
          <w:rFonts w:hint="default" w:ascii="Times New Roman" w:hAnsi="Times New Roman" w:cs="Times New Roman"/>
          <w:b/>
          <w:bCs/>
          <w:iCs/>
          <w:sz w:val="21"/>
          <w:szCs w:val="21"/>
          <w:highlight w:val="none"/>
        </w:rPr>
      </w:pPr>
      <w:bookmarkStart w:id="123" w:name="_Toc7853"/>
      <w:r>
        <w:rPr>
          <w:rFonts w:hint="default" w:ascii="Times New Roman" w:hAnsi="Times New Roman" w:cs="Times New Roman"/>
          <w:b/>
          <w:bCs/>
          <w:sz w:val="21"/>
          <w:szCs w:val="21"/>
          <w:highlight w:val="none"/>
          <w:lang w:val="zh-CN"/>
        </w:rPr>
        <w:t>★</w:t>
      </w:r>
      <w:r>
        <w:rPr>
          <w:rFonts w:hint="default" w:ascii="Times New Roman" w:hAnsi="Times New Roman" w:cs="Times New Roman"/>
          <w:b/>
          <w:bCs/>
          <w:iCs/>
          <w:sz w:val="21"/>
          <w:szCs w:val="21"/>
          <w:highlight w:val="none"/>
        </w:rPr>
        <w:t>三、商务要求</w:t>
      </w:r>
      <w:bookmarkEnd w:id="118"/>
      <w:bookmarkEnd w:id="119"/>
      <w:bookmarkEnd w:id="120"/>
      <w:bookmarkEnd w:id="121"/>
      <w:bookmarkEnd w:id="122"/>
      <w:bookmarkEnd w:id="123"/>
    </w:p>
    <w:p>
      <w:pPr>
        <w:pageBreakBefore w:val="0"/>
        <w:kinsoku/>
        <w:wordWrap/>
        <w:overflowPunct/>
        <w:topLinePunct w:val="0"/>
        <w:autoSpaceDE/>
        <w:autoSpaceDN/>
        <w:bidi w:val="0"/>
        <w:adjustRightInd/>
        <w:snapToGrid w:val="0"/>
        <w:spacing w:after="0" w:line="288" w:lineRule="auto"/>
        <w:ind w:firstLine="413" w:firstLineChars="196"/>
        <w:textAlignment w:val="auto"/>
        <w:rPr>
          <w:rFonts w:hint="default" w:ascii="Times New Roman" w:hAnsi="Times New Roman" w:cs="Times New Roman"/>
          <w:b/>
          <w:bCs/>
          <w:sz w:val="21"/>
          <w:szCs w:val="21"/>
          <w:highlight w:val="none"/>
          <w:lang w:val="zh-CN"/>
        </w:rPr>
      </w:pPr>
      <w:r>
        <w:rPr>
          <w:rFonts w:hint="default" w:ascii="Times New Roman" w:hAnsi="Times New Roman" w:cs="Times New Roman"/>
          <w:b/>
          <w:bCs/>
          <w:sz w:val="21"/>
          <w:szCs w:val="21"/>
          <w:highlight w:val="none"/>
          <w:lang w:val="zh-CN"/>
        </w:rPr>
        <w:t>（一）工期要求</w:t>
      </w:r>
    </w:p>
    <w:p>
      <w:pPr>
        <w:pageBreakBefore w:val="0"/>
        <w:kinsoku/>
        <w:wordWrap/>
        <w:overflowPunct/>
        <w:topLinePunct w:val="0"/>
        <w:autoSpaceDE/>
        <w:autoSpaceDN/>
        <w:bidi w:val="0"/>
        <w:adjustRightInd/>
        <w:snapToGrid w:val="0"/>
        <w:spacing w:after="0" w:line="288" w:lineRule="auto"/>
        <w:ind w:firstLine="411" w:firstLineChars="196"/>
        <w:textAlignment w:val="auto"/>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rPr>
        <w:t>1.</w:t>
      </w:r>
      <w:r>
        <w:rPr>
          <w:rFonts w:hint="default" w:ascii="Times New Roman" w:hAnsi="Times New Roman" w:cs="Times New Roman"/>
          <w:sz w:val="21"/>
          <w:szCs w:val="21"/>
          <w:highlight w:val="none"/>
          <w:lang w:val="zh-CN"/>
        </w:rPr>
        <w:t>供方须按照采购人实际要求在合同签订完成后七个月内完成安装、调试、试运行及验收通过，并移交采购人。</w:t>
      </w:r>
    </w:p>
    <w:p>
      <w:pPr>
        <w:pageBreakBefore w:val="0"/>
        <w:kinsoku/>
        <w:wordWrap/>
        <w:overflowPunct/>
        <w:topLinePunct w:val="0"/>
        <w:autoSpaceDE/>
        <w:autoSpaceDN/>
        <w:bidi w:val="0"/>
        <w:adjustRightInd/>
        <w:snapToGrid w:val="0"/>
        <w:spacing w:after="0" w:line="288" w:lineRule="auto"/>
        <w:ind w:firstLine="411" w:firstLineChars="196"/>
        <w:textAlignment w:val="auto"/>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lang w:val="zh-CN"/>
        </w:rPr>
        <w:t>2.交货地点：采购人指定。</w:t>
      </w:r>
    </w:p>
    <w:p>
      <w:pPr>
        <w:pageBreakBefore w:val="0"/>
        <w:kinsoku/>
        <w:wordWrap/>
        <w:overflowPunct/>
        <w:topLinePunct w:val="0"/>
        <w:autoSpaceDE/>
        <w:autoSpaceDN/>
        <w:bidi w:val="0"/>
        <w:adjustRightInd/>
        <w:snapToGrid w:val="0"/>
        <w:spacing w:after="0" w:line="288" w:lineRule="auto"/>
        <w:ind w:firstLine="413" w:firstLineChars="196"/>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lang w:val="zh-CN"/>
        </w:rPr>
        <w:t>（二）</w:t>
      </w:r>
      <w:r>
        <w:rPr>
          <w:rFonts w:hint="eastAsia" w:cs="Times New Roman"/>
          <w:b/>
          <w:bCs/>
          <w:sz w:val="21"/>
          <w:szCs w:val="21"/>
          <w:highlight w:val="none"/>
          <w:lang w:val="en-US" w:eastAsia="zh-CN"/>
        </w:rPr>
        <w:t>5</w:t>
      </w:r>
      <w:r>
        <w:rPr>
          <w:rFonts w:hint="default" w:ascii="Times New Roman" w:hAnsi="Times New Roman" w:cs="Times New Roman"/>
          <w:b/>
          <w:bCs/>
          <w:sz w:val="21"/>
          <w:szCs w:val="21"/>
          <w:highlight w:val="none"/>
        </w:rPr>
        <w:t>年质保要求说明</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lang w:val="zh-CN"/>
        </w:rPr>
      </w:pP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年质保</w:t>
      </w:r>
      <w:r>
        <w:rPr>
          <w:rFonts w:hint="eastAsia" w:cs="Times New Roman"/>
          <w:sz w:val="21"/>
          <w:szCs w:val="21"/>
          <w:highlight w:val="none"/>
          <w:lang w:val="en-US" w:eastAsia="zh-CN"/>
        </w:rPr>
        <w:t>要求</w:t>
      </w:r>
      <w:r>
        <w:rPr>
          <w:rFonts w:hint="default" w:ascii="Times New Roman" w:hAnsi="Times New Roman" w:cs="Times New Roman"/>
          <w:sz w:val="21"/>
          <w:szCs w:val="21"/>
          <w:highlight w:val="none"/>
          <w:lang w:val="zh-CN"/>
        </w:rPr>
        <w:t>包括：</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1）硬件</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对本招标文件（以下视为合同）内所有设备进行保养、性能检查、故障修复及更换损坏设备，所有费用均由投标方承担；</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2）软件</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①对本合同内所有应用系统的软件进行保养、性能检查和故障修复；</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②对操作系统、数据库等系统的版本进行及时升级；</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③定时更新客户杀毒软件病毒代码库；</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④电脑资源优化、系统性能的优化；</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3）其他</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①负责各子</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 xml:space="preserve">系统应用操作培训及应用技巧传授，接受各类相关问题的咨询； </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②做好以上条款未能罗列完全，但属合同内的其他事宜；</w:t>
      </w:r>
    </w:p>
    <w:p>
      <w:pPr>
        <w:pageBreakBefore w:val="0"/>
        <w:kinsoku/>
        <w:wordWrap/>
        <w:overflowPunct/>
        <w:topLinePunct w:val="0"/>
        <w:autoSpaceDE/>
        <w:autoSpaceDN/>
        <w:bidi w:val="0"/>
        <w:adjustRightInd/>
        <w:snapToGrid w:val="0"/>
        <w:spacing w:after="0" w:line="288" w:lineRule="auto"/>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③协助做好采购人系统运行及其它相关工作；</w:t>
      </w:r>
    </w:p>
    <w:p>
      <w:pPr>
        <w:pageBreakBefore w:val="0"/>
        <w:kinsoku/>
        <w:wordWrap/>
        <w:overflowPunct/>
        <w:topLinePunct w:val="0"/>
        <w:autoSpaceDE/>
        <w:autoSpaceDN/>
        <w:bidi w:val="0"/>
        <w:adjustRightInd/>
        <w:snapToGrid w:val="0"/>
        <w:spacing w:after="0" w:line="288" w:lineRule="auto"/>
        <w:ind w:firstLine="413" w:firstLineChars="196"/>
        <w:textAlignment w:val="auto"/>
        <w:rPr>
          <w:rFonts w:hint="default" w:ascii="Times New Roman" w:hAnsi="Times New Roman" w:cs="Times New Roman"/>
          <w:b/>
          <w:bCs/>
          <w:sz w:val="21"/>
          <w:szCs w:val="21"/>
          <w:highlight w:val="none"/>
          <w:lang w:val="zh-CN"/>
        </w:rPr>
      </w:pPr>
      <w:r>
        <w:rPr>
          <w:rFonts w:hint="default" w:ascii="Times New Roman" w:hAnsi="Times New Roman" w:cs="Times New Roman"/>
          <w:b/>
          <w:bCs/>
          <w:sz w:val="21"/>
          <w:szCs w:val="21"/>
          <w:highlight w:val="none"/>
          <w:lang w:val="zh-CN"/>
        </w:rPr>
        <w:t>（三）验收要求</w:t>
      </w:r>
    </w:p>
    <w:p>
      <w:pPr>
        <w:pageBreakBefore w:val="0"/>
        <w:kinsoku/>
        <w:wordWrap/>
        <w:overflowPunct/>
        <w:topLinePunct w:val="0"/>
        <w:autoSpaceDE/>
        <w:autoSpaceDN/>
        <w:bidi w:val="0"/>
        <w:adjustRightInd/>
        <w:snapToGrid w:val="0"/>
        <w:spacing w:after="0" w:line="288" w:lineRule="auto"/>
        <w:ind w:firstLine="411" w:firstLineChars="196"/>
        <w:textAlignment w:val="auto"/>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lang w:val="zh-CN"/>
        </w:rPr>
        <w:t>根据中华人民共和国现行技术标准，按招标文件以及合同规定的验收评定标准等规范，由使用单位和采购人根据《政府采购合同履约和验收管理办法（暂行）》（义公共资源交易管理办公室【2008】32号）文件及</w:t>
      </w:r>
      <w:bookmarkStart w:id="124" w:name="filecode"/>
      <w:r>
        <w:rPr>
          <w:rFonts w:hint="default" w:ascii="Times New Roman" w:hAnsi="Times New Roman" w:cs="Times New Roman"/>
          <w:sz w:val="21"/>
          <w:szCs w:val="21"/>
          <w:highlight w:val="none"/>
          <w:lang w:val="zh-CN"/>
        </w:rPr>
        <w:t>《义乌市关于规范政府采购管理的若干意见》（义政办发</w:t>
      </w:r>
      <w:bookmarkEnd w:id="124"/>
      <w:r>
        <w:rPr>
          <w:rFonts w:hint="default" w:ascii="Times New Roman" w:hAnsi="Times New Roman" w:cs="Times New Roman"/>
          <w:sz w:val="21"/>
          <w:szCs w:val="21"/>
          <w:highlight w:val="none"/>
          <w:lang w:val="zh-CN"/>
        </w:rPr>
        <w:t>〔</w:t>
      </w:r>
      <w:bookmarkStart w:id="125" w:name="fileyear"/>
      <w:r>
        <w:rPr>
          <w:rFonts w:hint="default" w:ascii="Times New Roman" w:hAnsi="Times New Roman" w:cs="Times New Roman"/>
          <w:sz w:val="21"/>
          <w:szCs w:val="21"/>
          <w:highlight w:val="none"/>
          <w:lang w:val="zh-CN"/>
        </w:rPr>
        <w:t>201</w:t>
      </w:r>
      <w:bookmarkEnd w:id="125"/>
      <w:r>
        <w:rPr>
          <w:rFonts w:hint="default" w:ascii="Times New Roman" w:hAnsi="Times New Roman" w:cs="Times New Roman"/>
          <w:sz w:val="21"/>
          <w:szCs w:val="21"/>
          <w:highlight w:val="none"/>
          <w:lang w:val="zh-CN"/>
        </w:rPr>
        <w:t>7〕102号）文件要求，组织验收。供方必须保证所供货物全新、正宗、原包装，验收中发现产品达不到验收标准或合同规定的性能指标，供方必须立即调整或更换，并且赔偿由此给用户造成的损失。</w:t>
      </w:r>
    </w:p>
    <w:p>
      <w:pPr>
        <w:pageBreakBefore w:val="0"/>
        <w:kinsoku/>
        <w:wordWrap/>
        <w:overflowPunct/>
        <w:topLinePunct w:val="0"/>
        <w:autoSpaceDE/>
        <w:autoSpaceDN/>
        <w:bidi w:val="0"/>
        <w:adjustRightInd/>
        <w:snapToGrid w:val="0"/>
        <w:spacing w:after="0" w:line="288" w:lineRule="auto"/>
        <w:ind w:firstLine="413" w:firstLineChars="196"/>
        <w:textAlignment w:val="auto"/>
        <w:rPr>
          <w:rFonts w:hint="default" w:ascii="Times New Roman" w:hAnsi="Times New Roman" w:cs="Times New Roman"/>
          <w:b/>
          <w:bCs/>
          <w:sz w:val="21"/>
          <w:szCs w:val="21"/>
          <w:highlight w:val="none"/>
          <w:lang w:val="zh-CN"/>
        </w:rPr>
      </w:pPr>
      <w:r>
        <w:rPr>
          <w:rFonts w:hint="default" w:ascii="Times New Roman" w:hAnsi="Times New Roman" w:cs="Times New Roman"/>
          <w:b/>
          <w:bCs/>
          <w:sz w:val="21"/>
          <w:szCs w:val="21"/>
          <w:highlight w:val="none"/>
          <w:lang w:val="zh-CN"/>
        </w:rPr>
        <w:t>（四）付款方式</w:t>
      </w:r>
    </w:p>
    <w:p>
      <w:pPr>
        <w:pageBreakBefore w:val="0"/>
        <w:kinsoku/>
        <w:wordWrap/>
        <w:overflowPunct/>
        <w:topLinePunct w:val="0"/>
        <w:autoSpaceDE/>
        <w:autoSpaceDN/>
        <w:bidi w:val="0"/>
        <w:adjustRightInd/>
        <w:snapToGrid w:val="0"/>
        <w:spacing w:after="0" w:line="288" w:lineRule="auto"/>
        <w:ind w:firstLine="411" w:firstLineChars="196"/>
        <w:textAlignment w:val="auto"/>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lang w:val="zh-CN"/>
        </w:rPr>
        <w:t>1.在合同生效后15日内，采购人向中标人支付合同总价的30%作为预付款（在签订合同时，中标方明确表示无需预付款或者主动要求降低预付款比例的，采购单位可不支付或减少预付款支付比例）。中标人须在采购人支付预付款前，向采购人提交由银行出具的预付款保函</w:t>
      </w:r>
      <w:r>
        <w:rPr>
          <w:rFonts w:hint="default" w:ascii="Times New Roman" w:hAnsi="Times New Roman" w:cs="Times New Roman"/>
          <w:sz w:val="21"/>
          <w:szCs w:val="21"/>
          <w:highlight w:val="none"/>
          <w:lang w:val="en-US" w:eastAsia="zh-CN"/>
        </w:rPr>
        <w:t>或其他担保措施</w:t>
      </w:r>
      <w:r>
        <w:rPr>
          <w:rFonts w:hint="default" w:ascii="Times New Roman" w:hAnsi="Times New Roman" w:cs="Times New Roman"/>
          <w:sz w:val="21"/>
          <w:szCs w:val="21"/>
          <w:highlight w:val="none"/>
          <w:lang w:val="zh-CN"/>
        </w:rPr>
        <w:t>（保函的金额、有效期等在签订合同时约定，对受疫情影响严重的中小微企业应当取消或者减少预付款担保）。</w:t>
      </w:r>
    </w:p>
    <w:p>
      <w:pPr>
        <w:pageBreakBefore w:val="0"/>
        <w:kinsoku/>
        <w:wordWrap/>
        <w:overflowPunct/>
        <w:topLinePunct w:val="0"/>
        <w:autoSpaceDE/>
        <w:autoSpaceDN/>
        <w:bidi w:val="0"/>
        <w:adjustRightInd/>
        <w:snapToGrid w:val="0"/>
        <w:spacing w:after="0" w:line="288" w:lineRule="auto"/>
        <w:ind w:firstLine="411" w:firstLineChars="196"/>
        <w:textAlignment w:val="auto"/>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lang w:val="zh-CN"/>
        </w:rPr>
        <w:t>2.硬件设备到货验货合格后，7个工作日内支付至合同金额的40％。安装调试完毕试运行三个月无故障并通过验收，终验合格后7个工作日内付至合同总额的85％</w:t>
      </w:r>
      <w:r>
        <w:rPr>
          <w:rFonts w:hint="eastAsia" w:cs="Times New Roman"/>
          <w:sz w:val="21"/>
          <w:szCs w:val="21"/>
          <w:highlight w:val="none"/>
          <w:lang w:val="zh-CN"/>
        </w:rPr>
        <w:t>（如果中标方是中小企业的，则在</w:t>
      </w:r>
      <w:r>
        <w:rPr>
          <w:rFonts w:hint="default" w:ascii="Times New Roman" w:hAnsi="Times New Roman" w:cs="Times New Roman"/>
          <w:sz w:val="21"/>
          <w:szCs w:val="21"/>
          <w:highlight w:val="none"/>
          <w:lang w:val="zh-CN"/>
        </w:rPr>
        <w:t>终验合格后</w:t>
      </w:r>
      <w:r>
        <w:rPr>
          <w:rFonts w:hint="eastAsia" w:cs="Times New Roman"/>
          <w:sz w:val="21"/>
          <w:szCs w:val="21"/>
          <w:highlight w:val="none"/>
          <w:lang w:val="en-US" w:eastAsia="zh-CN"/>
        </w:rPr>
        <w:t>60</w:t>
      </w:r>
      <w:r>
        <w:rPr>
          <w:rFonts w:hint="default" w:ascii="Times New Roman" w:hAnsi="Times New Roman" w:cs="Times New Roman"/>
          <w:sz w:val="21"/>
          <w:szCs w:val="21"/>
          <w:highlight w:val="none"/>
          <w:lang w:val="zh-CN"/>
        </w:rPr>
        <w:t>日内付至合同总额的</w:t>
      </w:r>
      <w:r>
        <w:rPr>
          <w:rFonts w:hint="eastAsia" w:cs="Times New Roman"/>
          <w:sz w:val="21"/>
          <w:szCs w:val="21"/>
          <w:highlight w:val="none"/>
          <w:lang w:val="en-US" w:eastAsia="zh-CN"/>
        </w:rPr>
        <w:t>100</w:t>
      </w:r>
      <w:r>
        <w:rPr>
          <w:rFonts w:hint="default" w:ascii="Times New Roman" w:hAnsi="Times New Roman" w:cs="Times New Roman"/>
          <w:sz w:val="21"/>
          <w:szCs w:val="21"/>
          <w:highlight w:val="none"/>
          <w:lang w:val="zh-CN"/>
        </w:rPr>
        <w:t>％</w:t>
      </w:r>
      <w:r>
        <w:rPr>
          <w:rFonts w:hint="eastAsia" w:cs="Times New Roman"/>
          <w:sz w:val="21"/>
          <w:szCs w:val="21"/>
          <w:highlight w:val="none"/>
          <w:lang w:val="zh-CN"/>
        </w:rPr>
        <w:t>）</w:t>
      </w:r>
      <w:r>
        <w:rPr>
          <w:rFonts w:hint="eastAsia" w:cs="Times New Roman"/>
          <w:sz w:val="21"/>
          <w:szCs w:val="21"/>
          <w:highlight w:val="none"/>
          <w:lang w:val="zh-CN" w:eastAsia="zh-CN"/>
        </w:rPr>
        <w:t>。</w:t>
      </w:r>
      <w:r>
        <w:rPr>
          <w:rFonts w:hint="default" w:ascii="Times New Roman" w:hAnsi="Times New Roman" w:cs="Times New Roman"/>
          <w:sz w:val="21"/>
          <w:szCs w:val="21"/>
          <w:highlight w:val="none"/>
          <w:lang w:val="zh-CN"/>
        </w:rPr>
        <w:t>质保期满1年后7个工作日付至合同总额的87％；质保期满2年后7个工作日付至合同总额的89％；质保期满</w:t>
      </w:r>
      <w:r>
        <w:rPr>
          <w:rFonts w:hint="eastAsia" w:cs="Times New Roman"/>
          <w:sz w:val="21"/>
          <w:szCs w:val="21"/>
          <w:highlight w:val="none"/>
          <w:lang w:val="en-US" w:eastAsia="zh-CN"/>
        </w:rPr>
        <w:t>3</w:t>
      </w:r>
      <w:r>
        <w:rPr>
          <w:rFonts w:hint="default" w:ascii="Times New Roman" w:hAnsi="Times New Roman" w:cs="Times New Roman"/>
          <w:sz w:val="21"/>
          <w:szCs w:val="21"/>
          <w:highlight w:val="none"/>
          <w:lang w:val="zh-CN"/>
        </w:rPr>
        <w:t>年后7个工作日付至合同总额的92％；质保期满</w:t>
      </w:r>
      <w:r>
        <w:rPr>
          <w:rFonts w:hint="eastAsia" w:cs="Times New Roman"/>
          <w:sz w:val="21"/>
          <w:szCs w:val="21"/>
          <w:highlight w:val="none"/>
          <w:lang w:val="en-US" w:eastAsia="zh-CN"/>
        </w:rPr>
        <w:t>4</w:t>
      </w:r>
      <w:r>
        <w:rPr>
          <w:rFonts w:hint="default" w:ascii="Times New Roman" w:hAnsi="Times New Roman" w:cs="Times New Roman"/>
          <w:sz w:val="21"/>
          <w:szCs w:val="21"/>
          <w:highlight w:val="none"/>
          <w:lang w:val="zh-CN"/>
        </w:rPr>
        <w:t>年后7个工作日付至合同总额的95％；质保期满</w:t>
      </w:r>
      <w:r>
        <w:rPr>
          <w:rFonts w:hint="eastAsia" w:cs="Times New Roman"/>
          <w:sz w:val="21"/>
          <w:szCs w:val="21"/>
          <w:highlight w:val="none"/>
          <w:lang w:val="en-US" w:eastAsia="zh-CN"/>
        </w:rPr>
        <w:t>5</w:t>
      </w:r>
      <w:r>
        <w:rPr>
          <w:rFonts w:hint="default" w:ascii="Times New Roman" w:hAnsi="Times New Roman" w:cs="Times New Roman"/>
          <w:sz w:val="21"/>
          <w:szCs w:val="21"/>
          <w:highlight w:val="none"/>
          <w:lang w:val="zh-CN"/>
        </w:rPr>
        <w:t>年后7个工作日付至合同总额的100％。</w:t>
      </w:r>
    </w:p>
    <w:p>
      <w:pPr>
        <w:pageBreakBefore w:val="0"/>
        <w:kinsoku/>
        <w:wordWrap/>
        <w:overflowPunct/>
        <w:topLinePunct w:val="0"/>
        <w:autoSpaceDE/>
        <w:autoSpaceDN/>
        <w:bidi w:val="0"/>
        <w:adjustRightInd/>
        <w:snapToGrid w:val="0"/>
        <w:spacing w:after="0" w:line="288" w:lineRule="auto"/>
        <w:ind w:firstLine="411" w:firstLineChars="196"/>
        <w:textAlignment w:val="auto"/>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lang w:val="zh-CN"/>
        </w:rPr>
        <w:t>3.货款凭政府采购合同、发票、政府采购资金结算单由义乌市财政直接支付。</w:t>
      </w:r>
    </w:p>
    <w:p>
      <w:pPr>
        <w:pageBreakBefore w:val="0"/>
        <w:kinsoku/>
        <w:wordWrap/>
        <w:overflowPunct/>
        <w:topLinePunct w:val="0"/>
        <w:autoSpaceDE/>
        <w:autoSpaceDN/>
        <w:bidi w:val="0"/>
        <w:adjustRightInd/>
        <w:snapToGrid w:val="0"/>
        <w:spacing w:after="0" w:line="288" w:lineRule="auto"/>
        <w:ind w:firstLine="413" w:firstLineChars="196"/>
        <w:textAlignment w:val="auto"/>
        <w:rPr>
          <w:rFonts w:hint="default" w:ascii="Times New Roman" w:hAnsi="Times New Roman" w:cs="Times New Roman"/>
          <w:b/>
          <w:bCs/>
          <w:sz w:val="21"/>
          <w:szCs w:val="21"/>
          <w:highlight w:val="none"/>
          <w:lang w:val="zh-CN"/>
        </w:rPr>
      </w:pPr>
      <w:r>
        <w:rPr>
          <w:rFonts w:hint="default" w:ascii="Times New Roman" w:hAnsi="Times New Roman" w:cs="Times New Roman"/>
          <w:b/>
          <w:bCs/>
          <w:sz w:val="21"/>
          <w:szCs w:val="21"/>
          <w:highlight w:val="none"/>
          <w:lang w:val="zh-CN"/>
        </w:rPr>
        <w:t>（五）其它说明</w:t>
      </w:r>
    </w:p>
    <w:p>
      <w:pPr>
        <w:pageBreakBefore w:val="0"/>
        <w:kinsoku/>
        <w:wordWrap/>
        <w:overflowPunct/>
        <w:topLinePunct w:val="0"/>
        <w:autoSpaceDE/>
        <w:autoSpaceDN/>
        <w:bidi w:val="0"/>
        <w:adjustRightInd/>
        <w:snapToGrid w:val="0"/>
        <w:spacing w:after="0" w:line="288" w:lineRule="auto"/>
        <w:ind w:firstLine="411" w:firstLineChars="196"/>
        <w:textAlignment w:val="auto"/>
        <w:rPr>
          <w:rFonts w:hint="default" w:ascii="Times New Roman" w:hAnsi="Times New Roman" w:cs="Times New Roman"/>
          <w:sz w:val="21"/>
          <w:szCs w:val="21"/>
          <w:highlight w:val="none"/>
          <w:lang w:val="zh-CN"/>
        </w:rPr>
      </w:pPr>
      <w:r>
        <w:rPr>
          <w:rFonts w:hint="default" w:ascii="Times New Roman" w:hAnsi="Times New Roman" w:cs="Times New Roman"/>
          <w:sz w:val="21"/>
          <w:szCs w:val="21"/>
          <w:highlight w:val="none"/>
          <w:lang w:val="zh-CN"/>
        </w:rPr>
        <w:t>1.本项目设有一个标项，对于同一标项内的产品或服务不允许拆分参投，否则其投无效。</w:t>
      </w:r>
    </w:p>
    <w:p>
      <w:pPr>
        <w:pageBreakBefore w:val="0"/>
        <w:kinsoku/>
        <w:wordWrap/>
        <w:overflowPunct/>
        <w:topLinePunct w:val="0"/>
        <w:autoSpaceDE/>
        <w:autoSpaceDN/>
        <w:bidi w:val="0"/>
        <w:adjustRightInd/>
        <w:snapToGrid w:val="0"/>
        <w:spacing w:after="0" w:line="288" w:lineRule="auto"/>
        <w:ind w:firstLine="411" w:firstLineChars="196"/>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zh-CN"/>
        </w:rPr>
        <w:t>2.中标之后，如发现投标人的投标文件内容有不一致的，以有利于采购人为准原则执行。</w:t>
      </w:r>
      <w:bookmarkEnd w:id="83"/>
      <w:bookmarkEnd w:id="84"/>
      <w:bookmarkStart w:id="126" w:name="_Toc15404"/>
      <w:bookmarkStart w:id="127" w:name="_Toc32323"/>
    </w:p>
    <w:p>
      <w:pPr>
        <w:pageBreakBefore w:val="0"/>
        <w:kinsoku/>
        <w:overflowPunct/>
        <w:topLinePunct w:val="0"/>
        <w:bidi w:val="0"/>
        <w:spacing w:after="0" w:line="264" w:lineRule="auto"/>
        <w:ind w:firstLine="640"/>
        <w:rPr>
          <w:rFonts w:hint="default" w:ascii="Times New Roman" w:hAnsi="Times New Roman" w:cs="Times New Roman"/>
          <w:sz w:val="21"/>
          <w:szCs w:val="21"/>
          <w:highlight w:val="none"/>
          <w:shd w:val="clear" w:color="auto" w:fill="FFFFFF"/>
        </w:rPr>
      </w:pPr>
    </w:p>
    <w:p>
      <w:pPr>
        <w:pStyle w:val="2"/>
        <w:rPr>
          <w:rFonts w:hint="default" w:ascii="Times New Roman" w:hAnsi="Times New Roman" w:cs="Times New Roman"/>
          <w:sz w:val="21"/>
          <w:szCs w:val="21"/>
          <w:highlight w:val="none"/>
          <w:shd w:val="clear" w:color="auto" w:fill="FFFFFF"/>
        </w:rPr>
      </w:pPr>
    </w:p>
    <w:p>
      <w:pPr>
        <w:pStyle w:val="2"/>
        <w:rPr>
          <w:rFonts w:hint="default" w:ascii="Times New Roman" w:hAnsi="Times New Roman" w:cs="Times New Roman"/>
          <w:sz w:val="21"/>
          <w:szCs w:val="21"/>
          <w:highlight w:val="none"/>
          <w:shd w:val="clear" w:color="auto" w:fill="FFFFFF"/>
        </w:rPr>
      </w:pPr>
    </w:p>
    <w:p>
      <w:pPr>
        <w:pStyle w:val="2"/>
        <w:rPr>
          <w:rFonts w:hint="default" w:ascii="Times New Roman" w:hAnsi="Times New Roman" w:cs="Times New Roman"/>
          <w:sz w:val="21"/>
          <w:szCs w:val="21"/>
          <w:highlight w:val="none"/>
          <w:shd w:val="clear" w:color="auto" w:fill="FFFFFF"/>
        </w:rPr>
      </w:pPr>
    </w:p>
    <w:p>
      <w:pPr>
        <w:pStyle w:val="2"/>
        <w:rPr>
          <w:rFonts w:hint="default" w:ascii="Times New Roman" w:hAnsi="Times New Roman" w:cs="Times New Roman"/>
          <w:sz w:val="21"/>
          <w:szCs w:val="21"/>
          <w:highlight w:val="none"/>
          <w:shd w:val="clear" w:color="auto" w:fill="FFFFFF"/>
        </w:rPr>
      </w:pPr>
    </w:p>
    <w:p>
      <w:pPr>
        <w:pStyle w:val="2"/>
        <w:rPr>
          <w:rFonts w:hint="default" w:ascii="Times New Roman" w:hAnsi="Times New Roman" w:cs="Times New Roman"/>
          <w:sz w:val="21"/>
          <w:szCs w:val="21"/>
          <w:highlight w:val="none"/>
          <w:shd w:val="clear" w:color="auto" w:fill="FFFFFF"/>
        </w:rPr>
      </w:pPr>
    </w:p>
    <w:p>
      <w:pPr>
        <w:pStyle w:val="4"/>
        <w:pageBreakBefore w:val="0"/>
        <w:widowControl w:val="0"/>
        <w:kinsoku/>
        <w:overflowPunct/>
        <w:topLinePunct w:val="0"/>
        <w:bidi w:val="0"/>
        <w:spacing w:before="0" w:after="0" w:line="264" w:lineRule="auto"/>
        <w:jc w:val="center"/>
        <w:rPr>
          <w:rFonts w:hint="default" w:ascii="Times New Roman" w:hAnsi="Times New Roman" w:cs="Times New Roman"/>
          <w:sz w:val="36"/>
          <w:highlight w:val="none"/>
        </w:rPr>
      </w:pPr>
      <w:bookmarkStart w:id="128" w:name="_Toc26420"/>
      <w:r>
        <w:rPr>
          <w:rFonts w:hint="default" w:ascii="Times New Roman" w:hAnsi="Times New Roman" w:cs="Times New Roman"/>
          <w:sz w:val="36"/>
          <w:highlight w:val="none"/>
        </w:rPr>
        <w:t>第四章 开标、评标和定标须知</w:t>
      </w:r>
      <w:bookmarkEnd w:id="74"/>
      <w:bookmarkEnd w:id="75"/>
      <w:bookmarkEnd w:id="76"/>
      <w:bookmarkEnd w:id="126"/>
      <w:bookmarkEnd w:id="127"/>
      <w:bookmarkEnd w:id="128"/>
    </w:p>
    <w:p>
      <w:pPr>
        <w:pStyle w:val="5"/>
        <w:pageBreakBefore w:val="0"/>
        <w:widowControl w:val="0"/>
        <w:kinsoku/>
        <w:overflowPunct/>
        <w:topLinePunct w:val="0"/>
        <w:bidi w:val="0"/>
        <w:spacing w:before="0" w:after="0" w:line="264" w:lineRule="auto"/>
        <w:rPr>
          <w:rFonts w:hint="default" w:ascii="Times New Roman" w:hAnsi="Times New Roman" w:eastAsia="宋体" w:cs="Times New Roman"/>
          <w:sz w:val="24"/>
          <w:szCs w:val="24"/>
          <w:highlight w:val="none"/>
        </w:rPr>
      </w:pPr>
      <w:bookmarkStart w:id="129" w:name="_Toc274303252"/>
      <w:bookmarkStart w:id="130" w:name="_Toc362250704"/>
      <w:bookmarkStart w:id="131" w:name="_Toc406413937"/>
      <w:bookmarkStart w:id="132" w:name="_Toc19898"/>
      <w:bookmarkStart w:id="133" w:name="_Toc818"/>
      <w:bookmarkStart w:id="134" w:name="_Toc19329"/>
      <w:bookmarkStart w:id="135" w:name="_Toc6599"/>
      <w:bookmarkStart w:id="136" w:name="_Toc384297860"/>
      <w:bookmarkStart w:id="137" w:name="_Toc11790_WPSOffice_Level2"/>
      <w:r>
        <w:rPr>
          <w:rFonts w:hint="default" w:ascii="Times New Roman" w:hAnsi="Times New Roman" w:eastAsia="宋体" w:cs="Times New Roman"/>
          <w:sz w:val="24"/>
          <w:szCs w:val="24"/>
          <w:highlight w:val="none"/>
        </w:rPr>
        <w:t>一、开标</w:t>
      </w:r>
      <w:bookmarkEnd w:id="129"/>
      <w:bookmarkEnd w:id="130"/>
      <w:bookmarkEnd w:id="131"/>
      <w:bookmarkEnd w:id="132"/>
      <w:bookmarkEnd w:id="133"/>
      <w:bookmarkEnd w:id="134"/>
      <w:bookmarkEnd w:id="135"/>
      <w:bookmarkEnd w:id="136"/>
      <w:bookmarkEnd w:id="137"/>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bookmarkStart w:id="138" w:name="_Toc406413938"/>
      <w:bookmarkStart w:id="139" w:name="_Toc226973002"/>
      <w:bookmarkStart w:id="140" w:name="_Toc384297861"/>
      <w:bookmarkStart w:id="141" w:name="_Toc362250705"/>
      <w:bookmarkStart w:id="142" w:name="_Toc274303253"/>
      <w:bookmarkStart w:id="143" w:name="_Toc261519847"/>
      <w:bookmarkStart w:id="144" w:name="_Toc263090375"/>
      <w:r>
        <w:rPr>
          <w:rFonts w:hint="default" w:ascii="Times New Roman" w:hAnsi="Times New Roman" w:cs="Times New Roman"/>
          <w:highlight w:val="none"/>
        </w:rPr>
        <w:t>1、本项目实行电子开评标，投标人无需前往开评标现场，应在规定时间内在“政采云”平台上上传电子投标文件和准时在线参加开标。</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2、电子开评标及评审程序</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 xml:space="preserve">2.1采购中心开启解密后的1小时内，由各投标人自行对电子投标文件进行解密（请各投标人务必在规定时间内完成电子投标文件的解密工作，在电子开评标期间，投标人（授权代表）需确保在各自所在的区域具备上网的技术条件并保持网络及联系方式畅通）； </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2.2.评标委员会对投标人的资格和商务技术响应文件进行评审；</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2.3评标委员会对报价响应文件进行评审；</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2.4在系统上公布评审结果。</w:t>
      </w:r>
    </w:p>
    <w:p>
      <w:pPr>
        <w:pageBreakBefore w:val="0"/>
        <w:widowControl w:val="0"/>
        <w:kinsoku/>
        <w:overflowPunct/>
        <w:topLinePunct w:val="0"/>
        <w:bidi w:val="0"/>
        <w:spacing w:after="0" w:line="264" w:lineRule="auto"/>
        <w:ind w:firstLine="482" w:firstLineChars="200"/>
        <w:rPr>
          <w:rFonts w:hint="default" w:ascii="Times New Roman" w:hAnsi="Times New Roman" w:cs="Times New Roman"/>
          <w:b/>
          <w:szCs w:val="21"/>
          <w:highlight w:val="none"/>
          <w:u w:val="single"/>
        </w:rPr>
      </w:pPr>
      <w:r>
        <w:rPr>
          <w:rFonts w:hint="default" w:ascii="Times New Roman" w:hAnsi="Times New Roman" w:cs="Times New Roman"/>
          <w:b/>
          <w:szCs w:val="21"/>
          <w:highlight w:val="none"/>
          <w:u w:val="single"/>
        </w:rPr>
        <w:t>特别说明：政采云平台如对开评标程序有调整的，按调整后的程序操作。</w:t>
      </w:r>
    </w:p>
    <w:p>
      <w:pPr>
        <w:pStyle w:val="5"/>
        <w:pageBreakBefore w:val="0"/>
        <w:widowControl w:val="0"/>
        <w:kinsoku/>
        <w:overflowPunct/>
        <w:topLinePunct w:val="0"/>
        <w:bidi w:val="0"/>
        <w:spacing w:before="0" w:after="0" w:line="264" w:lineRule="auto"/>
        <w:rPr>
          <w:rFonts w:hint="default" w:ascii="Times New Roman" w:hAnsi="Times New Roman" w:eastAsia="宋体" w:cs="Times New Roman"/>
          <w:sz w:val="24"/>
          <w:szCs w:val="24"/>
          <w:highlight w:val="none"/>
        </w:rPr>
      </w:pPr>
      <w:bookmarkStart w:id="145" w:name="_Toc3997_WPSOffice_Level2"/>
      <w:bookmarkStart w:id="146" w:name="_Toc8072"/>
      <w:bookmarkStart w:id="147" w:name="_Toc17799"/>
      <w:bookmarkStart w:id="148" w:name="_Toc32230"/>
      <w:bookmarkStart w:id="149" w:name="_Toc20608"/>
      <w:r>
        <w:rPr>
          <w:rFonts w:hint="default" w:ascii="Times New Roman" w:hAnsi="Times New Roman" w:eastAsia="宋体" w:cs="Times New Roman"/>
          <w:sz w:val="24"/>
          <w:szCs w:val="24"/>
          <w:highlight w:val="none"/>
        </w:rPr>
        <w:t>二、评标</w:t>
      </w:r>
      <w:bookmarkEnd w:id="138"/>
      <w:bookmarkEnd w:id="139"/>
      <w:bookmarkEnd w:id="140"/>
      <w:bookmarkEnd w:id="141"/>
      <w:bookmarkEnd w:id="142"/>
      <w:bookmarkEnd w:id="143"/>
      <w:bookmarkEnd w:id="144"/>
      <w:bookmarkEnd w:id="145"/>
      <w:bookmarkEnd w:id="146"/>
      <w:bookmarkEnd w:id="147"/>
      <w:bookmarkEnd w:id="148"/>
      <w:bookmarkEnd w:id="149"/>
    </w:p>
    <w:p>
      <w:pPr>
        <w:pageBreakBefore w:val="0"/>
        <w:widowControl w:val="0"/>
        <w:kinsoku/>
        <w:overflowPunct/>
        <w:topLinePunct w:val="0"/>
        <w:bidi w:val="0"/>
        <w:spacing w:after="0" w:line="264" w:lineRule="auto"/>
        <w:ind w:firstLine="480"/>
        <w:rPr>
          <w:rFonts w:hint="default" w:ascii="Times New Roman" w:hAnsi="Times New Roman" w:cs="Times New Roman"/>
          <w:b/>
          <w:highlight w:val="none"/>
        </w:rPr>
      </w:pPr>
      <w:r>
        <w:rPr>
          <w:rFonts w:hint="default" w:ascii="Times New Roman" w:hAnsi="Times New Roman" w:cs="Times New Roman"/>
          <w:b/>
          <w:highlight w:val="none"/>
        </w:rPr>
        <w:t>3、评标小组</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招标方将根据招标采购项目的特点确定评标委员会（即评标小组）。其成员由评审专家和采购人代表5人及以上单数组成。评标小组对投标文件进行审查、质疑、评估和比较。</w:t>
      </w:r>
    </w:p>
    <w:p>
      <w:pPr>
        <w:pageBreakBefore w:val="0"/>
        <w:widowControl w:val="0"/>
        <w:kinsoku/>
        <w:overflowPunct/>
        <w:topLinePunct w:val="0"/>
        <w:bidi w:val="0"/>
        <w:spacing w:after="0" w:line="264" w:lineRule="auto"/>
        <w:ind w:firstLine="480"/>
        <w:rPr>
          <w:rFonts w:hint="default" w:ascii="Times New Roman" w:hAnsi="Times New Roman" w:cs="Times New Roman"/>
          <w:b/>
          <w:highlight w:val="none"/>
        </w:rPr>
      </w:pPr>
      <w:r>
        <w:rPr>
          <w:rFonts w:hint="default" w:ascii="Times New Roman" w:hAnsi="Times New Roman" w:cs="Times New Roman"/>
          <w:b/>
          <w:highlight w:val="none"/>
        </w:rPr>
        <w:t>4、评标原则</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4.1评标小组将遵循公开、公平、公正的原则，严格遵守评标工作纪律。</w:t>
      </w:r>
    </w:p>
    <w:p>
      <w:pPr>
        <w:pageBreakBefore w:val="0"/>
        <w:widowControl w:val="0"/>
        <w:kinsoku/>
        <w:overflowPunct/>
        <w:topLinePunct w:val="0"/>
        <w:bidi w:val="0"/>
        <w:spacing w:after="0" w:line="264" w:lineRule="auto"/>
        <w:ind w:firstLine="480"/>
        <w:rPr>
          <w:rFonts w:hint="default" w:ascii="Times New Roman" w:hAnsi="Times New Roman" w:cs="Times New Roman"/>
          <w:kern w:val="2"/>
          <w:highlight w:val="none"/>
        </w:rPr>
      </w:pPr>
      <w:r>
        <w:rPr>
          <w:rFonts w:hint="default" w:ascii="Times New Roman" w:hAnsi="Times New Roman" w:cs="Times New Roman"/>
          <w:kern w:val="2"/>
          <w:highlight w:val="none"/>
        </w:rPr>
        <w:t>4.2先评资格及商务技术响应文件，再评报价响应文件。</w:t>
      </w:r>
    </w:p>
    <w:p>
      <w:pPr>
        <w:pageBreakBefore w:val="0"/>
        <w:widowControl w:val="0"/>
        <w:kinsoku/>
        <w:overflowPunct/>
        <w:topLinePunct w:val="0"/>
        <w:bidi w:val="0"/>
        <w:spacing w:after="0" w:line="264" w:lineRule="auto"/>
        <w:ind w:firstLine="480"/>
        <w:rPr>
          <w:rFonts w:hint="default" w:ascii="Times New Roman" w:hAnsi="Times New Roman" w:cs="Times New Roman"/>
          <w:kern w:val="2"/>
          <w:highlight w:val="none"/>
        </w:rPr>
      </w:pPr>
      <w:r>
        <w:rPr>
          <w:rFonts w:hint="default" w:ascii="Times New Roman" w:hAnsi="Times New Roman" w:cs="Times New Roman"/>
          <w:kern w:val="2"/>
          <w:highlight w:val="none"/>
        </w:rPr>
        <w:t>4.3客观公正对待所有投标人，对所有投标评审均采用相同的程序和标准。评标的依据为招标文件和相关法律、法规及政策文件。</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4.4异常或特殊情况处理：</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4.4.1在评标过程中，如发现招标文件中内容有不一致的（招标文件中其它地方另外规定的除外），经评标委员讨论认为不影响评标的，可以继续评标。</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ageBreakBefore w:val="0"/>
        <w:widowControl w:val="0"/>
        <w:kinsoku/>
        <w:overflowPunct/>
        <w:topLinePunct w:val="0"/>
        <w:bidi w:val="0"/>
        <w:spacing w:after="0" w:line="264" w:lineRule="auto"/>
        <w:ind w:firstLine="464" w:firstLineChars="200"/>
        <w:rPr>
          <w:rFonts w:hint="default" w:ascii="Times New Roman" w:hAnsi="Times New Roman" w:cs="Times New Roman"/>
          <w:highlight w:val="none"/>
        </w:rPr>
      </w:pPr>
      <w:r>
        <w:rPr>
          <w:rFonts w:hint="default" w:ascii="Times New Roman" w:hAnsi="Times New Roman" w:cs="Times New Roman"/>
          <w:spacing w:val="-4"/>
          <w:highlight w:val="none"/>
        </w:rPr>
        <w:t>4.4.2</w:t>
      </w:r>
      <w:r>
        <w:rPr>
          <w:rFonts w:hint="default" w:ascii="Times New Roman" w:hAnsi="Times New Roman" w:cs="Times New Roman"/>
          <w:highlight w:val="none"/>
        </w:rPr>
        <w:t>在评标过程中，出现其它异常或特殊情况时，由评标小组集体讨论决定。</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eastAsiaTheme="minorEastAsia"/>
          <w:sz w:val="24"/>
          <w:szCs w:val="24"/>
          <w:highlight w:val="none"/>
        </w:rPr>
      </w:pPr>
      <w:r>
        <w:rPr>
          <w:rFonts w:hint="default" w:ascii="Times New Roman" w:hAnsi="Times New Roman" w:cs="Times New Roman"/>
          <w:sz w:val="24"/>
          <w:szCs w:val="24"/>
          <w:highlight w:val="none"/>
        </w:rPr>
        <w:t>4.5</w:t>
      </w:r>
      <w:r>
        <w:rPr>
          <w:rFonts w:hint="default" w:ascii="Times New Roman" w:hAnsi="Times New Roman" w:cs="Times New Roman" w:eastAsiaTheme="minorEastAsia"/>
          <w:sz w:val="24"/>
          <w:szCs w:val="24"/>
          <w:highlight w:val="none"/>
        </w:rPr>
        <w:t>使用综合评分法的采购项目，提供所有</w:t>
      </w:r>
      <w:r>
        <w:rPr>
          <w:rFonts w:hint="default" w:ascii="Times New Roman" w:hAnsi="Times New Roman" w:cs="Times New Roman" w:eastAsiaTheme="minorEastAsia"/>
          <w:color w:val="FF0000"/>
          <w:sz w:val="24"/>
          <w:szCs w:val="24"/>
          <w:highlight w:val="none"/>
        </w:rPr>
        <w:t>服务器</w:t>
      </w:r>
      <w:r>
        <w:rPr>
          <w:rFonts w:hint="default" w:ascii="Times New Roman" w:hAnsi="Times New Roman" w:cs="Times New Roman" w:eastAsiaTheme="minorEastAsia"/>
          <w:color w:val="FF0000"/>
          <w:sz w:val="24"/>
          <w:szCs w:val="24"/>
          <w:highlight w:val="none"/>
          <w:lang w:val="en-US" w:eastAsia="zh-CN"/>
        </w:rPr>
        <w:t>和所有交换机</w:t>
      </w:r>
      <w:r>
        <w:rPr>
          <w:rFonts w:hint="default" w:ascii="Times New Roman" w:hAnsi="Times New Roman" w:cs="Times New Roman" w:eastAsiaTheme="minorEastAsia"/>
          <w:color w:val="FF0000"/>
          <w:sz w:val="24"/>
          <w:szCs w:val="24"/>
          <w:highlight w:val="none"/>
        </w:rPr>
        <w:t>同时为</w:t>
      </w:r>
      <w:r>
        <w:rPr>
          <w:rFonts w:hint="default" w:ascii="Times New Roman" w:hAnsi="Times New Roman" w:cs="Times New Roman" w:eastAsiaTheme="minorEastAsia"/>
          <w:sz w:val="24"/>
          <w:szCs w:val="24"/>
          <w:highlight w:val="none"/>
        </w:rPr>
        <w:t>相同品牌产品且通过资格审查、符合性审查的不同投标人参加同一标项下投标的，按一家投标人计算，评审后得分最高的同品牌投标人作为有效供应商，评审得分相同的，采取随机抽取方式确定，其他同品牌投标人投标无效。</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4.6评标委员会成员对需要共同认定的事项存在争议的，应当按照少数服从多数的原则作出结论。持不同意见的评标委员会成员应当在评标报告上签署不同意见及理由，否则视为同意评标报告。</w:t>
      </w:r>
    </w:p>
    <w:p>
      <w:pPr>
        <w:pStyle w:val="29"/>
        <w:pageBreakBefore w:val="0"/>
        <w:widowControl w:val="0"/>
        <w:kinsoku/>
        <w:overflowPunct/>
        <w:topLinePunct w:val="0"/>
        <w:bidi w:val="0"/>
        <w:spacing w:after="0" w:line="264" w:lineRule="auto"/>
        <w:ind w:firstLine="482" w:firstLineChars="200"/>
        <w:rPr>
          <w:rFonts w:hint="default" w:ascii="Times New Roman" w:hAnsi="Times New Roman" w:cs="Times New Roman"/>
          <w:sz w:val="24"/>
          <w:szCs w:val="24"/>
          <w:highlight w:val="none"/>
        </w:rPr>
      </w:pPr>
      <w:r>
        <w:rPr>
          <w:rFonts w:hint="default" w:ascii="Times New Roman" w:hAnsi="Times New Roman" w:cs="Times New Roman"/>
          <w:b/>
          <w:sz w:val="24"/>
          <w:szCs w:val="24"/>
          <w:highlight w:val="none"/>
        </w:rPr>
        <w:t>5、评标过程的保密</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5.1开标后，直至授予中标人合同为止，凡属于对投标文件的审查、澄清、评价和比较等有关的资料以及中标候选人的推荐情况等与评标有关的任何情况均严格保密。</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5.2在投标文件的评审和比较、中标候选人推荐以及授予合同的过程中，投标人向采购人和评标小组施加影响的任何行为，都将会导致其投标被拒绝。</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5.3中标人确认后，采购人不对未中标人就评标过程以及未能中标原因作出任何解释。未中标人不得向评标小组人员或其他有关人员索问评标过程的全部情况。</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pacing w:val="-4"/>
          <w:highlight w:val="none"/>
        </w:rPr>
      </w:pPr>
      <w:r>
        <w:rPr>
          <w:rFonts w:hint="default" w:ascii="Times New Roman" w:hAnsi="Times New Roman" w:cs="Times New Roman"/>
          <w:highlight w:val="none"/>
        </w:rPr>
        <w:t>5.4</w:t>
      </w:r>
      <w:r>
        <w:rPr>
          <w:rFonts w:hint="default" w:ascii="Times New Roman" w:hAnsi="Times New Roman" w:cs="Times New Roman"/>
          <w:spacing w:val="-4"/>
          <w:highlight w:val="none"/>
        </w:rPr>
        <w:t>为保证定标的公正性，在评标过程中，评标成员不得与投标人私人交换意见。在招标工作结束后，凡与评标情况有接触的任何人不得也不应将评标情况扩散出评标成员之外。</w:t>
      </w:r>
    </w:p>
    <w:p>
      <w:pPr>
        <w:pageBreakBefore w:val="0"/>
        <w:widowControl w:val="0"/>
        <w:kinsoku/>
        <w:overflowPunct/>
        <w:topLinePunct w:val="0"/>
        <w:bidi w:val="0"/>
        <w:adjustRightInd w:val="0"/>
        <w:snapToGrid w:val="0"/>
        <w:spacing w:after="0" w:line="264" w:lineRule="auto"/>
        <w:ind w:firstLine="472" w:firstLineChars="196"/>
        <w:rPr>
          <w:rFonts w:hint="default" w:ascii="Times New Roman" w:hAnsi="Times New Roman" w:cs="Times New Roman"/>
          <w:b/>
          <w:highlight w:val="none"/>
        </w:rPr>
      </w:pPr>
      <w:r>
        <w:rPr>
          <w:rFonts w:hint="default" w:ascii="Times New Roman" w:hAnsi="Times New Roman" w:cs="Times New Roman"/>
          <w:b/>
          <w:highlight w:val="none"/>
        </w:rPr>
        <w:t>6、投标文件的澄清</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6.1为有助于投标文件的审查、评价和比较，评标委员会应当在“政采云”平台在线询标或采用其他有效形式要求投标人对同一份投标文件含义不明确、同类问题表述不一致或者有明显文字和计算错误的内容（招标文件其它地方有另有规定处理方法的除外）作必要的澄清或说明，投标人应采用在线回复或其他有效形式在询标规定时间内进行澄清或说明（需盖电子签章或实体公章），但不得超出投标文件的范围或改变投标文件的实质性内容。根据本须知第8条规定，凡属于评标小组在评标中发现的计算错误并进行核实的修改不在此列。</w:t>
      </w:r>
    </w:p>
    <w:p>
      <w:pPr>
        <w:pStyle w:val="29"/>
        <w:pageBreakBefore w:val="0"/>
        <w:widowControl w:val="0"/>
        <w:tabs>
          <w:tab w:val="left" w:pos="0"/>
        </w:tabs>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6.2如果投标人代表拒绝按评标委员会要求在“政采云”平台作出在线回复且无其他有效回复方式的，评标委员会可以对其作出无效标处理。</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7、</w:t>
      </w:r>
      <w:r>
        <w:rPr>
          <w:rFonts w:hint="default" w:ascii="Times New Roman" w:hAnsi="Times New Roman" w:cs="Times New Roman"/>
          <w:b/>
          <w:highlight w:val="none"/>
        </w:rPr>
        <w:t>投标文件的资格性和符合性评审</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7.1评标时，评标小组将首先评定每份投标文件是否实质上响应了招标文件的要求。所谓实质上响应，是指投标文件应与招标文件的所有实质性条款、条件和要求相符，无显著差异或保留，</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7.2如果投标文件出现第五章规定的内容，即为实质上不响应招标文件的各项要求，评标小组将予以拒绝（或作为无效标），并且不允许投标人通过修改或撤销其不符合要求的差异或保留，使之成为具有响应性的投标。</w:t>
      </w:r>
    </w:p>
    <w:p>
      <w:pPr>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highlight w:val="none"/>
        </w:rPr>
      </w:pPr>
      <w:r>
        <w:rPr>
          <w:rFonts w:hint="default" w:ascii="Times New Roman" w:hAnsi="Times New Roman" w:cs="Times New Roman"/>
          <w:b/>
          <w:highlight w:val="none"/>
        </w:rPr>
        <w:t>7.3评标小组在作出任何一项无效标决定前，都应当严格遵循以下程序：</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7.3.1要求当事投标人作相应的答辩</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7.3.2在充分讨论的基础上集体表决</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8、投标文件</w:t>
      </w:r>
      <w:r>
        <w:rPr>
          <w:rFonts w:hint="default" w:ascii="Times New Roman" w:hAnsi="Times New Roman" w:cs="Times New Roman"/>
          <w:b/>
          <w:sz w:val="24"/>
          <w:szCs w:val="24"/>
          <w:highlight w:val="none"/>
          <w:u w:val="single"/>
        </w:rPr>
        <w:t>计算错误和不同文字文本</w:t>
      </w:r>
      <w:r>
        <w:rPr>
          <w:rFonts w:hint="default" w:ascii="Times New Roman" w:hAnsi="Times New Roman" w:cs="Times New Roman"/>
          <w:b/>
          <w:sz w:val="24"/>
          <w:szCs w:val="24"/>
          <w:highlight w:val="none"/>
        </w:rPr>
        <w:t>的修正</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8.1修正原则如下：</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8.1.1对不同文字文本投标文件的解释发生异义的，以中文文本为准；评标委员会可以拒绝接受不是中文版的投标文件以及与投标相关的资料。</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8.1.2投标文件报价出现不一致的，除招标文件另有规定外，按照下列规定修正：</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（1）客户端填写的报价与以pdf格式上传文件中的报价不一致的，应以Pdf格式上传文件中的报价为准。</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 xml:space="preserve">（2）投标文件中开标一览表内容与投标文件中相应内容不一致的，以开标一览表为准； </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（3）投标文件的大写金额和小写金额不一致的，以大写金额为准；</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（4）单价金额小数点或者百分比有明显错位的，以开标一览表的总价为准，并修改单价；</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（5）总价金额与按单价汇总金额不一致的，以单价金额计算结果为准。</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同时出现两种以上不一致的，按照前款规定的顺序修正。修正后的报价通过政采云系统经投标人确认后产生约束力，投标人不确认的，其投标无效。</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9、评标办法</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本项目采用综合评分法（具体评标办法见后）。</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10、决标</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评标小组依据本招标文件规定的评标标准和方法，对投标文件进行评审和比较，向招标方提出书面评标报告，并直接确定中标人。</w:t>
      </w:r>
    </w:p>
    <w:p>
      <w:pPr>
        <w:pStyle w:val="29"/>
        <w:pageBreakBefore w:val="0"/>
        <w:widowControl w:val="0"/>
        <w:kinsoku/>
        <w:overflowPunct/>
        <w:topLinePunct w:val="0"/>
        <w:bidi w:val="0"/>
        <w:spacing w:after="0" w:line="264" w:lineRule="auto"/>
        <w:ind w:firstLine="482"/>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11. 在招标采购过程中，有下列情形之一的，应对采购项目予以废标：</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（1）通过资格审查或评审后有效投标人不足三家的；</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（2）出现影响采购公正的违法、违规行为的；</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（3）因重大变故采购任务取消的；</w:t>
      </w:r>
    </w:p>
    <w:p>
      <w:pPr>
        <w:pageBreakBefore w:val="0"/>
        <w:widowControl w:val="0"/>
        <w:kinsoku/>
        <w:overflowPunct/>
        <w:topLinePunct w:val="0"/>
        <w:bidi w:val="0"/>
        <w:adjustRightInd w:val="0"/>
        <w:snapToGrid w:val="0"/>
        <w:spacing w:after="0" w:line="264" w:lineRule="auto"/>
        <w:ind w:firstLine="573"/>
        <w:rPr>
          <w:rFonts w:hint="default" w:ascii="Times New Roman" w:hAnsi="Times New Roman" w:cs="Times New Roman"/>
          <w:highlight w:val="none"/>
        </w:rPr>
      </w:pPr>
      <w:r>
        <w:rPr>
          <w:rFonts w:hint="default" w:ascii="Times New Roman" w:hAnsi="Times New Roman" w:cs="Times New Roman"/>
          <w:highlight w:val="none"/>
        </w:rPr>
        <w:t>（4）招标文件另有规定情形的。</w:t>
      </w:r>
    </w:p>
    <w:p>
      <w:pPr>
        <w:pStyle w:val="5"/>
        <w:pageBreakBefore w:val="0"/>
        <w:widowControl w:val="0"/>
        <w:kinsoku/>
        <w:overflowPunct/>
        <w:topLinePunct w:val="0"/>
        <w:bidi w:val="0"/>
        <w:spacing w:before="0" w:after="0" w:line="264" w:lineRule="auto"/>
        <w:rPr>
          <w:rFonts w:hint="default" w:ascii="Times New Roman" w:hAnsi="Times New Roman" w:eastAsia="宋体" w:cs="Times New Roman"/>
          <w:sz w:val="24"/>
          <w:szCs w:val="24"/>
          <w:highlight w:val="none"/>
        </w:rPr>
      </w:pPr>
      <w:bookmarkStart w:id="150" w:name="_Toc1674"/>
      <w:bookmarkStart w:id="151" w:name="_Toc406413939"/>
      <w:bookmarkStart w:id="152" w:name="_Toc226973003"/>
      <w:bookmarkStart w:id="153" w:name="_Toc11496"/>
      <w:bookmarkStart w:id="154" w:name="_Toc384297862"/>
      <w:bookmarkStart w:id="155" w:name="_Toc362250706"/>
      <w:bookmarkStart w:id="156" w:name="_Toc263090376"/>
      <w:bookmarkStart w:id="157" w:name="_Toc12298"/>
      <w:bookmarkStart w:id="158" w:name="_Toc22327"/>
      <w:bookmarkStart w:id="159" w:name="_Toc274303254"/>
      <w:bookmarkStart w:id="160" w:name="_Toc261519848"/>
      <w:bookmarkStart w:id="161" w:name="_Toc2943_WPSOffice_Level2"/>
      <w:r>
        <w:rPr>
          <w:rFonts w:hint="default" w:ascii="Times New Roman" w:hAnsi="Times New Roman" w:eastAsia="宋体" w:cs="Times New Roman"/>
          <w:sz w:val="24"/>
          <w:szCs w:val="24"/>
          <w:highlight w:val="none"/>
        </w:rPr>
        <w:t>三、定标</w:t>
      </w:r>
      <w:bookmarkEnd w:id="150"/>
      <w:bookmarkEnd w:id="151"/>
      <w:bookmarkEnd w:id="152"/>
      <w:bookmarkEnd w:id="153"/>
      <w:bookmarkEnd w:id="154"/>
      <w:bookmarkEnd w:id="155"/>
      <w:bookmarkEnd w:id="156"/>
      <w:bookmarkEnd w:id="157"/>
      <w:bookmarkEnd w:id="158"/>
      <w:bookmarkEnd w:id="159"/>
      <w:bookmarkEnd w:id="160"/>
      <w:bookmarkEnd w:id="161"/>
    </w:p>
    <w:p>
      <w:pPr>
        <w:pageBreakBefore w:val="0"/>
        <w:widowControl w:val="0"/>
        <w:kinsoku/>
        <w:overflowPunct/>
        <w:topLinePunct w:val="0"/>
        <w:bidi w:val="0"/>
        <w:spacing w:after="0" w:line="264" w:lineRule="auto"/>
        <w:ind w:firstLine="482" w:firstLineChars="200"/>
        <w:rPr>
          <w:rFonts w:hint="default" w:ascii="Times New Roman" w:hAnsi="Times New Roman" w:cs="Times New Roman"/>
          <w:b/>
          <w:bCs/>
          <w:highlight w:val="none"/>
        </w:rPr>
      </w:pPr>
      <w:r>
        <w:rPr>
          <w:rFonts w:hint="default" w:ascii="Times New Roman" w:hAnsi="Times New Roman" w:cs="Times New Roman"/>
          <w:b/>
          <w:highlight w:val="none"/>
        </w:rPr>
        <w:t>12、</w:t>
      </w:r>
      <w:r>
        <w:rPr>
          <w:rFonts w:hint="default" w:ascii="Times New Roman" w:hAnsi="Times New Roman" w:cs="Times New Roman"/>
          <w:b/>
          <w:bCs/>
          <w:highlight w:val="none"/>
        </w:rPr>
        <w:t>中标通知</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12.1投标人自201</w:t>
      </w:r>
      <w:r>
        <w:rPr>
          <w:rFonts w:hint="default" w:ascii="Times New Roman" w:hAnsi="Times New Roman" w:cs="Times New Roman"/>
          <w:highlight w:val="none"/>
          <w:lang w:val="en-US" w:eastAsia="zh-CN"/>
        </w:rPr>
        <w:t>8</w:t>
      </w:r>
      <w:r>
        <w:rPr>
          <w:rFonts w:hint="default" w:ascii="Times New Roman" w:hAnsi="Times New Roman" w:cs="Times New Roman"/>
          <w:highlight w:val="none"/>
        </w:rPr>
        <w:t>年1月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经查实，中标人有前述行贿犯罪记录的，取消其中标资格，采购人依法重新组织采购。</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12.2评标结束后，评标结果公告期限为1个工作日，发布评标结果公告的媒体为：浙江政府采购网站、义乌市公共资源交易平台。</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12.3由采购中心通过 “政采云”平台确认并签发《中标通知书》，《中标通知书》一经发出即发生法律效力。</w:t>
      </w:r>
    </w:p>
    <w:p>
      <w:pPr>
        <w:pStyle w:val="29"/>
        <w:pageBreakBefore w:val="0"/>
        <w:widowControl w:val="0"/>
        <w:tabs>
          <w:tab w:val="left" w:pos="900"/>
        </w:tabs>
        <w:kinsoku/>
        <w:overflowPunct/>
        <w:topLinePunct w:val="0"/>
        <w:bidi w:val="0"/>
        <w:spacing w:after="0" w:line="264" w:lineRule="auto"/>
        <w:ind w:firstLine="482" w:firstLineChars="200"/>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13、合同签订</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13.1中标人自接到《中标通知书》后应在三十天内与采购人签订合同。</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13.2招标文件、中标人的投标文件、评标过程中投标人在询标时作出的承诺及其澄清文件等，均为签订合同的依据。</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13.3中标人不遵守招标文件和投标文件的要约及承诺而擅自修改报价，或在接到《中标通知书》后借故拖延、拒签合同而造成超过规定时间的，取消该投标人的中标资格。在此情况下，采购人和招标代理机构重新招标，对受影响的投标人不承担任何责任。</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13.4采购人与中标人签订合同后招标代理机构将中标结果通知落选投标人，采购人和招标代理机构对评标结果不负责解释。</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13.5采购人变更数量的权利</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采购人在授予合同时有权对“招标货物一览表”中规定的货物数量和服务予以增加或减少，但必须符合《中华人民共和国政府采购法》及义乌市政府采购的相关规定。</w:t>
      </w:r>
    </w:p>
    <w:p>
      <w:pPr>
        <w:pStyle w:val="29"/>
        <w:pageBreakBefore w:val="0"/>
        <w:widowControl w:val="0"/>
        <w:tabs>
          <w:tab w:val="left" w:pos="900"/>
        </w:tabs>
        <w:kinsoku/>
        <w:overflowPunct/>
        <w:topLinePunct w:val="0"/>
        <w:bidi w:val="0"/>
        <w:spacing w:after="0" w:line="264" w:lineRule="auto"/>
        <w:rPr>
          <w:rFonts w:hint="default" w:ascii="Times New Roman" w:hAnsi="Times New Roman" w:cs="Times New Roman"/>
          <w:b/>
          <w:sz w:val="24"/>
          <w:szCs w:val="24"/>
          <w:highlight w:val="none"/>
        </w:rPr>
      </w:pPr>
      <w:bookmarkStart w:id="162" w:name="_Toc32221_WPSOffice_Level2"/>
      <w:r>
        <w:rPr>
          <w:rFonts w:hint="default" w:ascii="Times New Roman" w:hAnsi="Times New Roman" w:cs="Times New Roman"/>
          <w:b/>
          <w:sz w:val="24"/>
          <w:szCs w:val="24"/>
          <w:highlight w:val="none"/>
        </w:rPr>
        <w:t>四、质疑和投诉</w:t>
      </w:r>
      <w:bookmarkEnd w:id="162"/>
    </w:p>
    <w:p>
      <w:pPr>
        <w:pStyle w:val="29"/>
        <w:pageBreakBefore w:val="0"/>
        <w:widowControl w:val="0"/>
        <w:tabs>
          <w:tab w:val="left" w:pos="900"/>
        </w:tabs>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14.1开标过程中，投标人对开标有异议的，应当在“政采云”平台上及时提出，评标委员应对异常情况制作相关记录。</w:t>
      </w:r>
    </w:p>
    <w:p>
      <w:pPr>
        <w:pStyle w:val="29"/>
        <w:pageBreakBefore w:val="0"/>
        <w:widowControl w:val="0"/>
        <w:tabs>
          <w:tab w:val="left" w:pos="900"/>
        </w:tabs>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14.2开评标结束后，投标人或者其他利害关系人对依法必须进行招标的项目的评标结果有异议的，应在采购结果公告期限结束之日（公告发布之日起至第2日24小时止）起7个工作日内依据招投标相关法律法规向采购人、采购代理机构提出质疑。采购人或招标代理机构将在收到书面质疑后7个工作日内对质疑内容作出答复。若投标人对采购人或采购代理机构的答复、处理结果不满意，应在收到采购人或采购代理机构的书面答复后十五个工作日内到招标投标管理部门投诉。</w:t>
      </w:r>
    </w:p>
    <w:p>
      <w:pPr>
        <w:pStyle w:val="29"/>
        <w:pageBreakBefore w:val="0"/>
        <w:widowControl w:val="0"/>
        <w:tabs>
          <w:tab w:val="left" w:pos="900"/>
        </w:tabs>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14.3质疑投诉的相关规定</w:t>
      </w:r>
    </w:p>
    <w:p>
      <w:pPr>
        <w:pStyle w:val="29"/>
        <w:pageBreakBefore w:val="0"/>
        <w:widowControl w:val="0"/>
        <w:tabs>
          <w:tab w:val="left" w:pos="900"/>
        </w:tabs>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（一）质疑投诉递交的资料需为书面材料。质疑投诉书面材料需法人代表人（或负责人）或授权代表签字并加盖公章。</w:t>
      </w:r>
    </w:p>
    <w:p>
      <w:pPr>
        <w:pageBreakBefore w:val="0"/>
        <w:widowControl w:val="0"/>
        <w:kinsoku/>
        <w:overflowPunct/>
        <w:topLinePunct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（二）质疑投诉属于以下情况之一的，将不予受理：</w:t>
      </w:r>
    </w:p>
    <w:p>
      <w:pPr>
        <w:pageBreakBefore w:val="0"/>
        <w:widowControl w:val="0"/>
        <w:kinsoku/>
        <w:overflowPunct/>
        <w:topLinePunct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(1).质疑投诉人不是所投诉项目的参与者，或者与质疑投诉项目无任何利害关系。</w:t>
      </w:r>
    </w:p>
    <w:p>
      <w:pPr>
        <w:pageBreakBefore w:val="0"/>
        <w:widowControl w:val="0"/>
        <w:kinsoku/>
        <w:overflowPunct/>
        <w:topLinePunct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(2).质疑投诉事项不具体，且未提供有效线索，难以查证。</w:t>
      </w:r>
    </w:p>
    <w:p>
      <w:pPr>
        <w:pageBreakBefore w:val="0"/>
        <w:widowControl w:val="0"/>
        <w:kinsoku/>
        <w:overflowPunct/>
        <w:topLinePunct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(3).未提供书面质疑或者质疑未加盖公章的；投诉人为法人或者其他组织，其投诉书未经法定代表人或者主要负责人签字并加盖公章的。</w:t>
      </w:r>
    </w:p>
    <w:p>
      <w:pPr>
        <w:pageBreakBefore w:val="0"/>
        <w:widowControl w:val="0"/>
        <w:kinsoku/>
        <w:overflowPunct/>
        <w:topLinePunct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(4).已超过招标文件规定质疑投诉提出期限的事项。</w:t>
      </w:r>
    </w:p>
    <w:p>
      <w:pPr>
        <w:pageBreakBefore w:val="0"/>
        <w:widowControl w:val="0"/>
        <w:kinsoku/>
        <w:overflowPunct/>
        <w:topLinePunct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(5).投诉事项已作出处理决定，并且投诉人没有提出新的证据</w:t>
      </w:r>
    </w:p>
    <w:p>
      <w:pPr>
        <w:pageBreakBefore w:val="0"/>
        <w:widowControl w:val="0"/>
        <w:kinsoku/>
        <w:overflowPunct/>
        <w:topLinePunct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(6).质疑投诉的事项已经进入行政复议或者行政诉讼程序的；投诉事项应先提出质疑而没有提出质疑的。</w:t>
      </w:r>
    </w:p>
    <w:p>
      <w:pPr>
        <w:pageBreakBefore w:val="0"/>
        <w:widowControl w:val="0"/>
        <w:kinsoku/>
        <w:overflowPunct/>
        <w:topLinePunct w:val="0"/>
        <w:bidi w:val="0"/>
        <w:adjustRightIn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(7).不符合《政府采购质疑和投诉办法》（财政部令第94号）等有关规定的投诉。</w:t>
      </w:r>
    </w:p>
    <w:p>
      <w:pPr>
        <w:pStyle w:val="29"/>
        <w:pageBreakBefore w:val="0"/>
        <w:widowControl w:val="0"/>
        <w:tabs>
          <w:tab w:val="left" w:pos="900"/>
        </w:tabs>
        <w:kinsoku/>
        <w:overflowPunct/>
        <w:topLinePunct w:val="0"/>
        <w:bidi w:val="0"/>
        <w:spacing w:after="0" w:line="264" w:lineRule="auto"/>
        <w:ind w:firstLine="480" w:firstLineChars="200"/>
        <w:rPr>
          <w:rFonts w:hint="default" w:ascii="Times New Roman" w:hAnsi="Times New Roman" w:cs="Times New Roman"/>
          <w:sz w:val="24"/>
          <w:szCs w:val="24"/>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2"/>
        <w:pageBreakBefore w:val="0"/>
        <w:widowControl w:val="0"/>
        <w:kinsoku/>
        <w:overflowPunct/>
        <w:topLinePunct w:val="0"/>
        <w:bidi w:val="0"/>
        <w:spacing w:after="0" w:line="264" w:lineRule="auto"/>
        <w:ind w:left="480" w:firstLine="480"/>
        <w:rPr>
          <w:rFonts w:hint="default" w:ascii="Times New Roman" w:hAnsi="Times New Roman" w:cs="Times New Roman"/>
          <w:highlight w:val="none"/>
        </w:rPr>
      </w:pPr>
    </w:p>
    <w:p>
      <w:pPr>
        <w:pStyle w:val="4"/>
        <w:pageBreakBefore w:val="0"/>
        <w:widowControl w:val="0"/>
        <w:kinsoku/>
        <w:overflowPunct/>
        <w:topLinePunct w:val="0"/>
        <w:bidi w:val="0"/>
        <w:spacing w:before="0" w:after="0" w:line="264" w:lineRule="auto"/>
        <w:jc w:val="center"/>
        <w:rPr>
          <w:rFonts w:hint="default" w:ascii="Times New Roman" w:hAnsi="Times New Roman" w:cs="Times New Roman"/>
          <w:sz w:val="36"/>
          <w:highlight w:val="none"/>
        </w:rPr>
      </w:pPr>
      <w:bookmarkStart w:id="163" w:name="_Toc18010"/>
      <w:bookmarkStart w:id="164" w:name="_Toc406413940"/>
      <w:bookmarkStart w:id="165" w:name="_Toc362268017"/>
      <w:bookmarkStart w:id="166" w:name="_Toc15178"/>
      <w:bookmarkStart w:id="167" w:name="_Toc27299"/>
      <w:r>
        <w:rPr>
          <w:rFonts w:hint="default" w:ascii="Times New Roman" w:hAnsi="Times New Roman" w:cs="Times New Roman"/>
          <w:sz w:val="36"/>
          <w:highlight w:val="none"/>
        </w:rPr>
        <w:t>第五章 投标文件的有效性</w:t>
      </w:r>
      <w:bookmarkEnd w:id="163"/>
      <w:bookmarkEnd w:id="164"/>
      <w:bookmarkEnd w:id="165"/>
      <w:bookmarkEnd w:id="166"/>
      <w:bookmarkEnd w:id="167"/>
    </w:p>
    <w:p>
      <w:pPr>
        <w:pStyle w:val="29"/>
        <w:pageBreakBefore w:val="0"/>
        <w:widowControl w:val="0"/>
        <w:kinsoku/>
        <w:overflowPunct/>
        <w:topLinePunct w:val="0"/>
        <w:bidi w:val="0"/>
        <w:spacing w:after="0" w:line="264" w:lineRule="auto"/>
        <w:ind w:firstLine="472" w:firstLineChars="196"/>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1、有下列情形之一的，招标方将不予受理投标文件：</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1.1逾期上传电子投标文件至“政采云”平台的。</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1.2电子投标文件在规定时间内解密未成功的且未提供备份投标文件或提供的备份投标文件无法上传打开的。</w:t>
      </w:r>
    </w:p>
    <w:p>
      <w:pPr>
        <w:pStyle w:val="29"/>
        <w:pageBreakBefore w:val="0"/>
        <w:widowControl w:val="0"/>
        <w:kinsoku/>
        <w:overflowPunct/>
        <w:topLinePunct w:val="0"/>
        <w:bidi w:val="0"/>
        <w:spacing w:after="0" w:line="264" w:lineRule="auto"/>
        <w:ind w:firstLine="472" w:firstLineChars="196"/>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2、投标文件在资格性评审或技术响应性评审出现下列情形之一的，由评标委员会审核后按无效投标文件处理：</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2.1.资格响应文件或商务技术响应文件中包含商务报价的；</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2.2招标文件关于投标文件组成内容技术标要求中打“★”的内容，投标人的投标文件内容未提提供完整或关键字迹模糊、无法辨认的或未按其规定的格式及要求填写、签字、盖章或提供的投标文件内容不符合招标文件的中有关打★号的条款的规定；</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2.3投标人的投标资格未符合招标文件的资格要求规定；</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 4投标人递交两份或多份内容不同的投标文件，且未声明哪一个有效，但按招标文件规定提交备选投标人案的除外；</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 xml:space="preserve"> 2.5投标人所投产品的数量不符合招标文件规定的；</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2.6投标人借用或冒用他人名义或证件、涂改文件、伪造或编造投标文件的；</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2.7投标中不同投标单位的投标文件出现雷同或相似（包括部分雷同或相似），对所有雷同或相似投标人按废标处理，招标方将保留进一步追究责任的权利；投标人串标的；</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2.8其它对本招标文件中打★号的条款未完全响应的；</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2.9经评标委员会认定，投标文件附有采购人不能接受的条件；</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2.10对于评标委员会提出的要求投标人澄清或说明的，如果投标人拒绝按照招标文件规定进行澄清或说明的，评标委员会可以对其作出无效标处理。</w:t>
      </w:r>
    </w:p>
    <w:p>
      <w:pPr>
        <w:pageBreakBefore w:val="0"/>
        <w:widowControl w:val="0"/>
        <w:kinsoku/>
        <w:overflowPunct/>
        <w:topLinePunct w:val="0"/>
        <w:bidi w:val="0"/>
        <w:adjustRightInd w:val="0"/>
        <w:snapToGrid w:val="0"/>
        <w:spacing w:after="0" w:line="264" w:lineRule="auto"/>
        <w:ind w:firstLine="482" w:firstLineChars="200"/>
        <w:rPr>
          <w:rFonts w:hint="default" w:ascii="Times New Roman" w:hAnsi="Times New Roman" w:cs="Times New Roman"/>
          <w:b/>
          <w:highlight w:val="none"/>
        </w:rPr>
      </w:pPr>
      <w:r>
        <w:rPr>
          <w:rFonts w:hint="default" w:ascii="Times New Roman" w:hAnsi="Times New Roman" w:cs="Times New Roman"/>
          <w:b/>
          <w:highlight w:val="none"/>
        </w:rPr>
        <w:t>3、报价响应文件评审出现下列情形之一的，由评标委员会审核后按无效投标文件处理：</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3.1.招标文件关于投标文件组成内容报价响应文件要求中打“★”的内容，投标人的投标文件内容未提提供完整或关键字迹模糊、无法辨认的或未按其规定的格式及要求填写、签字、盖章或提供的投标文件内容不符合招标文件的中有关打★号的条款的规定</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3.2投标报价高于最高限价或低于项目成本总价的</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3.3投标人的所投产品的数量不符合招标文件规定的</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 xml:space="preserve">3.4投标人的投标报价未明确的，或者对同一采购项目提供两个或两个以上报价且未声明哪一个有效的，或者对同一采购项目提供两个或两个以上成本价且未声明哪一个有效。 </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3.5经评标委员会审议认为投标文件附有采购人不能接受的条件的；</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3.6评标委员会认为投标人的报价明显低于其他通过符合性审查投标人的报价，有可能影响产品（服务）质量或者不能诚信履约的，要求其通过“政采云”平台在规定的时间内提供CA签章的材料，投标人不能证明其报价合理性的。</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3.7其它对本招标文件中打★号的条款未完全响应的</w:t>
      </w:r>
    </w:p>
    <w:p>
      <w:pPr>
        <w:pageBreakBefore w:val="0"/>
        <w:widowControl w:val="0"/>
        <w:kinsoku/>
        <w:overflowPunct/>
        <w:topLinePunct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3.8当投标人由于报价计算错误，投标人拒绝接受按招标文件的规定进行的修正处理。</w:t>
      </w:r>
    </w:p>
    <w:p>
      <w:pPr>
        <w:pageBreakBefore w:val="0"/>
        <w:widowControl w:val="0"/>
        <w:tabs>
          <w:tab w:val="left" w:pos="1898"/>
        </w:tabs>
        <w:kinsoku/>
        <w:overflowPunct/>
        <w:topLinePunct w:val="0"/>
        <w:autoSpaceDE w:val="0"/>
        <w:autoSpaceDN w:val="0"/>
        <w:bidi w:val="0"/>
        <w:adjustRightInd w:val="0"/>
        <w:snapToGrid w:val="0"/>
        <w:spacing w:after="0" w:line="264" w:lineRule="auto"/>
        <w:ind w:firstLine="480" w:firstLineChars="200"/>
        <w:rPr>
          <w:rFonts w:hint="default" w:ascii="Times New Roman" w:hAnsi="Times New Roman" w:cs="Times New Roman"/>
          <w:highlight w:val="none"/>
        </w:rPr>
      </w:pPr>
      <w:r>
        <w:rPr>
          <w:rFonts w:hint="default" w:ascii="Times New Roman" w:hAnsi="Times New Roman" w:cs="Times New Roman"/>
          <w:highlight w:val="none"/>
        </w:rPr>
        <w:t>4、在资格审查及评审过程中，符合中华人民共和国财政部令第87号《政府采购货物和服务招标投标管理办法》第三十七条情形之一的，视为投标人串通投标，其投标无效，并移送采购监管部门：</w:t>
      </w:r>
    </w:p>
    <w:p>
      <w:pPr>
        <w:pStyle w:val="51"/>
        <w:pageBreakBefore w:val="0"/>
        <w:widowControl w:val="0"/>
        <w:kinsoku/>
        <w:overflowPunct/>
        <w:topLinePunct w:val="0"/>
        <w:bidi w:val="0"/>
        <w:spacing w:after="0" w:line="264" w:lineRule="auto"/>
        <w:ind w:firstLine="480" w:firstLineChars="200"/>
        <w:jc w:val="both"/>
        <w:rPr>
          <w:rFonts w:hint="default" w:ascii="Times New Roman" w:hAnsi="Times New Roman" w:cs="Times New Roman"/>
          <w:highlight w:val="none"/>
        </w:rPr>
      </w:pPr>
      <w:r>
        <w:rPr>
          <w:rFonts w:hint="default" w:ascii="Times New Roman" w:hAnsi="Times New Roman" w:cs="Times New Roman"/>
          <w:highlight w:val="none"/>
        </w:rPr>
        <w:t>（1）不同投标人的投标文件由同一单位或者个人编制；</w:t>
      </w:r>
    </w:p>
    <w:p>
      <w:pPr>
        <w:pStyle w:val="51"/>
        <w:pageBreakBefore w:val="0"/>
        <w:widowControl w:val="0"/>
        <w:kinsoku/>
        <w:overflowPunct/>
        <w:topLinePunct w:val="0"/>
        <w:bidi w:val="0"/>
        <w:spacing w:after="0" w:line="264" w:lineRule="auto"/>
        <w:ind w:firstLine="480" w:firstLineChars="200"/>
        <w:jc w:val="both"/>
        <w:rPr>
          <w:rFonts w:hint="default" w:ascii="Times New Roman" w:hAnsi="Times New Roman" w:cs="Times New Roman"/>
          <w:highlight w:val="none"/>
        </w:rPr>
      </w:pPr>
      <w:r>
        <w:rPr>
          <w:rFonts w:hint="default" w:ascii="Times New Roman" w:hAnsi="Times New Roman" w:cs="Times New Roman"/>
          <w:highlight w:val="none"/>
        </w:rPr>
        <w:t>（2）不同投标人委托同一单位或者个人办理投标事宜；</w:t>
      </w:r>
    </w:p>
    <w:p>
      <w:pPr>
        <w:pStyle w:val="51"/>
        <w:pageBreakBefore w:val="0"/>
        <w:widowControl w:val="0"/>
        <w:kinsoku/>
        <w:overflowPunct/>
        <w:topLinePunct w:val="0"/>
        <w:bidi w:val="0"/>
        <w:spacing w:after="0" w:line="264" w:lineRule="auto"/>
        <w:ind w:firstLine="480" w:firstLineChars="200"/>
        <w:jc w:val="both"/>
        <w:rPr>
          <w:rFonts w:hint="default" w:ascii="Times New Roman" w:hAnsi="Times New Roman" w:cs="Times New Roman"/>
          <w:highlight w:val="none"/>
        </w:rPr>
      </w:pPr>
      <w:r>
        <w:rPr>
          <w:rFonts w:hint="default" w:ascii="Times New Roman" w:hAnsi="Times New Roman" w:cs="Times New Roman"/>
          <w:highlight w:val="none"/>
        </w:rPr>
        <w:t>（3）不同投标人的投标文件载明的项目管理成员或者联系人员为同一人；</w:t>
      </w:r>
    </w:p>
    <w:p>
      <w:pPr>
        <w:pStyle w:val="51"/>
        <w:pageBreakBefore w:val="0"/>
        <w:widowControl w:val="0"/>
        <w:kinsoku/>
        <w:overflowPunct/>
        <w:topLinePunct w:val="0"/>
        <w:bidi w:val="0"/>
        <w:spacing w:after="0" w:line="264" w:lineRule="auto"/>
        <w:ind w:firstLine="480" w:firstLineChars="200"/>
        <w:jc w:val="both"/>
        <w:rPr>
          <w:rFonts w:hint="default" w:ascii="Times New Roman" w:hAnsi="Times New Roman" w:cs="Times New Roman"/>
          <w:highlight w:val="none"/>
        </w:rPr>
      </w:pPr>
      <w:r>
        <w:rPr>
          <w:rFonts w:hint="default" w:ascii="Times New Roman" w:hAnsi="Times New Roman" w:cs="Times New Roman"/>
          <w:highlight w:val="none"/>
        </w:rPr>
        <w:t>（4）不同投标人的投标文件异常一致或者投标报价呈规律性差异；</w:t>
      </w:r>
    </w:p>
    <w:p>
      <w:pPr>
        <w:pStyle w:val="51"/>
        <w:pageBreakBefore w:val="0"/>
        <w:widowControl w:val="0"/>
        <w:kinsoku/>
        <w:overflowPunct/>
        <w:topLinePunct w:val="0"/>
        <w:bidi w:val="0"/>
        <w:spacing w:after="0" w:line="264" w:lineRule="auto"/>
        <w:ind w:firstLine="480" w:firstLineChars="200"/>
        <w:jc w:val="both"/>
        <w:rPr>
          <w:rFonts w:hint="default" w:ascii="Times New Roman" w:hAnsi="Times New Roman" w:cs="Times New Roman"/>
          <w:highlight w:val="none"/>
        </w:rPr>
      </w:pPr>
      <w:r>
        <w:rPr>
          <w:rFonts w:hint="default" w:ascii="Times New Roman" w:hAnsi="Times New Roman" w:cs="Times New Roman"/>
          <w:highlight w:val="none"/>
        </w:rPr>
        <w:t>（5）不同投标人的投标文件相互混装；</w:t>
      </w:r>
    </w:p>
    <w:p>
      <w:pPr>
        <w:pStyle w:val="29"/>
        <w:pageBreakBefore w:val="0"/>
        <w:widowControl w:val="0"/>
        <w:kinsoku/>
        <w:overflowPunct/>
        <w:topLinePunct w:val="0"/>
        <w:bidi w:val="0"/>
        <w:spacing w:after="0" w:line="264" w:lineRule="auto"/>
        <w:ind w:firstLine="470" w:firstLineChars="196"/>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5、其他违反法律法规的的情况。</w:t>
      </w:r>
    </w:p>
    <w:p>
      <w:pPr>
        <w:pStyle w:val="29"/>
        <w:pageBreakBefore w:val="0"/>
        <w:widowControl w:val="0"/>
        <w:kinsoku/>
        <w:overflowPunct/>
        <w:topLinePunct w:val="0"/>
        <w:bidi w:val="0"/>
        <w:spacing w:after="0" w:line="264" w:lineRule="auto"/>
        <w:ind w:firstLine="470" w:firstLineChars="196"/>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6、评标过程中，非上述所罗列的情况，不得以无效标处理。</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4"/>
        <w:pageBreakBefore w:val="0"/>
        <w:widowControl w:val="0"/>
        <w:kinsoku/>
        <w:overflowPunct/>
        <w:topLinePunct w:val="0"/>
        <w:bidi w:val="0"/>
        <w:spacing w:before="0" w:after="0" w:line="264" w:lineRule="auto"/>
        <w:jc w:val="center"/>
        <w:rPr>
          <w:rFonts w:hint="default" w:ascii="Times New Roman" w:hAnsi="Times New Roman" w:cs="Times New Roman"/>
          <w:sz w:val="36"/>
          <w:highlight w:val="none"/>
        </w:rPr>
      </w:pPr>
      <w:bookmarkStart w:id="168" w:name="_Toc8867"/>
      <w:bookmarkStart w:id="169" w:name="_Toc145992551"/>
      <w:bookmarkStart w:id="170" w:name="_Toc274303255"/>
      <w:bookmarkStart w:id="171" w:name="_Toc16940"/>
      <w:bookmarkStart w:id="172" w:name="_Toc226973004"/>
      <w:bookmarkStart w:id="173" w:name="_Toc23410"/>
      <w:bookmarkStart w:id="174" w:name="_Toc406413941"/>
      <w:bookmarkStart w:id="175" w:name="_Toc238878128"/>
      <w:bookmarkStart w:id="176" w:name="_Toc274303258"/>
      <w:bookmarkStart w:id="177" w:name="_Toc213038697"/>
      <w:r>
        <w:rPr>
          <w:rFonts w:hint="default" w:ascii="Times New Roman" w:hAnsi="Times New Roman" w:cs="Times New Roman"/>
          <w:sz w:val="36"/>
          <w:highlight w:val="none"/>
        </w:rPr>
        <w:t>第六章 评标办法</w:t>
      </w:r>
      <w:bookmarkEnd w:id="168"/>
      <w:bookmarkEnd w:id="169"/>
      <w:bookmarkEnd w:id="170"/>
      <w:bookmarkEnd w:id="171"/>
      <w:bookmarkEnd w:id="172"/>
      <w:bookmarkEnd w:id="173"/>
      <w:bookmarkEnd w:id="174"/>
    </w:p>
    <w:p>
      <w:pPr>
        <w:pStyle w:val="29"/>
        <w:pageBreakBefore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bookmarkStart w:id="178" w:name="_Toc274303257"/>
      <w:r>
        <w:rPr>
          <w:rFonts w:hint="default" w:ascii="Times New Roman" w:hAnsi="Times New Roman" w:cs="Times New Roman"/>
          <w:sz w:val="24"/>
          <w:szCs w:val="24"/>
          <w:highlight w:val="none"/>
        </w:rPr>
        <w:t>根据《中华人民共和国政府采购法》及相关法律的有关规定，为更好地做到公开、公平、公正，结合本次招标的特点，特制定本评标办法，本项目的评标办法为综合评分法。</w:t>
      </w:r>
    </w:p>
    <w:p>
      <w:pPr>
        <w:pStyle w:val="29"/>
        <w:pageBreakBefore w:val="0"/>
        <w:widowControl w:val="0"/>
        <w:kinsoku/>
        <w:overflowPunct/>
        <w:topLinePunct w:val="0"/>
        <w:bidi w:val="0"/>
        <w:spacing w:after="0" w:line="264" w:lineRule="auto"/>
        <w:ind w:firstLine="482" w:firstLineChars="200"/>
        <w:rPr>
          <w:rFonts w:hint="default" w:ascii="Times New Roman" w:hAnsi="Times New Roman" w:cs="Times New Roman"/>
          <w:b/>
          <w:sz w:val="24"/>
          <w:szCs w:val="24"/>
          <w:highlight w:val="none"/>
        </w:rPr>
      </w:pPr>
      <w:bookmarkStart w:id="179" w:name="_Toc23970_WPSOffice_Level2"/>
      <w:r>
        <w:rPr>
          <w:rFonts w:hint="default" w:ascii="Times New Roman" w:hAnsi="Times New Roman" w:cs="Times New Roman"/>
          <w:b/>
          <w:sz w:val="24"/>
          <w:szCs w:val="24"/>
          <w:highlight w:val="none"/>
        </w:rPr>
        <w:t>一、评审程序</w:t>
      </w:r>
      <w:bookmarkEnd w:id="179"/>
    </w:p>
    <w:bookmarkEnd w:id="178"/>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bookmarkStart w:id="180" w:name="_Toc295815145"/>
      <w:bookmarkStart w:id="181" w:name="_Toc323024194"/>
      <w:bookmarkStart w:id="182" w:name="_Toc269969080"/>
      <w:bookmarkStart w:id="183" w:name="_Toc362250710"/>
      <w:bookmarkStart w:id="184" w:name="_Toc330474791"/>
      <w:bookmarkStart w:id="185" w:name="_Toc358884475"/>
      <w:r>
        <w:rPr>
          <w:rFonts w:hint="default" w:ascii="Times New Roman" w:hAnsi="Times New Roman" w:cs="Times New Roman"/>
          <w:sz w:val="24"/>
          <w:szCs w:val="24"/>
          <w:highlight w:val="none"/>
        </w:rPr>
        <w:t xml:space="preserve">评标小组以开标、评标、询标情况为基本依据，按照招标文件的规定，对各投标人的投标文件按资格部分、商务技术部分和报价部分顺序序进行分析、评议，具体按以下程序进行评审： </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对所有投标人的资格响应文件进行审查并以开标当日为准对投标人“信用中国”网站（www.creditchina.gov.cn）、中国政府采购网（www.ccgp.gov.cn）信用记录情况进行查询，根据义行服管〔2017〕17号）的规定，对投标人的综合信用报告评级进</w:t>
      </w:r>
      <w:r>
        <w:rPr>
          <w:rFonts w:hint="eastAsia" w:ascii="Times New Roman" w:hAnsi="Times New Roman" w:cs="Times New Roman"/>
          <w:sz w:val="24"/>
          <w:szCs w:val="24"/>
          <w:highlight w:val="none"/>
          <w:lang w:eastAsia="zh-CN"/>
        </w:rPr>
        <w:t>行</w:t>
      </w:r>
      <w:r>
        <w:rPr>
          <w:rFonts w:hint="default" w:ascii="Times New Roman" w:hAnsi="Times New Roman" w:cs="Times New Roman"/>
          <w:sz w:val="24"/>
          <w:szCs w:val="24"/>
          <w:highlight w:val="none"/>
        </w:rPr>
        <w:t>查询。</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（二）对通过资格性审查合格的投标标人的商务技术响应文件进行符合性审查；</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（三）对通过符合性审查有效的投标人的商务技术响应文件进行技术评分（详见三、评分细则）；</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四）上述投标人的评分结束后，评标委员会对上述投标人的报价文件进行评审；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（五）对通过报价评审有效的投标人,由政采云系统计算出其报价分及总得分，并由评标委员会进行确认；</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（六）确定中标人；</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1、首先，评标委员按综合得分从高到低顺序进行排列；得分相同的，按投标报价由低到高顺序排列；得分且投标报价相同的，按技术分从高低顺序排列，技术分也相同的，由采购人代表采用公共资源交易中心抽取程序随机确定排列顺序。</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2、其次，评标委员会直接确定排名第一的投标单位为中标单位。</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（七）完成评标报告。</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评标委员会根据评审相关情况作出评标报告。</w:t>
      </w:r>
    </w:p>
    <w:p>
      <w:pPr>
        <w:pStyle w:val="29"/>
        <w:pageBreakBefore w:val="0"/>
        <w:widowControl w:val="0"/>
        <w:kinsoku/>
        <w:overflowPunct/>
        <w:topLinePunct w:val="0"/>
        <w:bidi w:val="0"/>
        <w:spacing w:after="0" w:line="264" w:lineRule="auto"/>
        <w:ind w:firstLine="482" w:firstLineChars="200"/>
        <w:rPr>
          <w:rFonts w:hint="default" w:ascii="Times New Roman" w:hAnsi="Times New Roman" w:cs="Times New Roman"/>
          <w:b/>
          <w:sz w:val="24"/>
          <w:szCs w:val="24"/>
          <w:highlight w:val="none"/>
        </w:rPr>
      </w:pPr>
      <w:bookmarkStart w:id="186" w:name="_Toc7909_WPSOffice_Level2"/>
      <w:r>
        <w:rPr>
          <w:rFonts w:hint="default" w:ascii="Times New Roman" w:hAnsi="Times New Roman" w:cs="Times New Roman"/>
          <w:b/>
          <w:sz w:val="24"/>
          <w:szCs w:val="24"/>
          <w:highlight w:val="none"/>
        </w:rPr>
        <w:t>二、确定的中标人放弃中标等情况的处理</w:t>
      </w:r>
      <w:bookmarkEnd w:id="186"/>
    </w:p>
    <w:bookmarkEnd w:id="180"/>
    <w:bookmarkEnd w:id="181"/>
    <w:bookmarkEnd w:id="182"/>
    <w:bookmarkEnd w:id="183"/>
    <w:bookmarkEnd w:id="184"/>
    <w:bookmarkEnd w:id="185"/>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当确定的中标人放弃中标，因不可抗力提出不能履行合同，或者质疑投诉成立，取消中标人资格的，都不再确定其余投标人作为中标人。</w:t>
      </w:r>
    </w:p>
    <w:p>
      <w:pPr>
        <w:pStyle w:val="29"/>
        <w:pageBreakBefore w:val="0"/>
        <w:widowControl w:val="0"/>
        <w:kinsoku/>
        <w:overflowPunct/>
        <w:topLinePunct w:val="0"/>
        <w:bidi w:val="0"/>
        <w:spacing w:after="0" w:line="264" w:lineRule="auto"/>
        <w:ind w:firstLine="482" w:firstLineChars="200"/>
        <w:rPr>
          <w:rFonts w:hint="default" w:ascii="Times New Roman" w:hAnsi="Times New Roman" w:cs="Times New Roman"/>
          <w:b/>
          <w:sz w:val="24"/>
          <w:szCs w:val="24"/>
          <w:highlight w:val="none"/>
        </w:rPr>
      </w:pPr>
      <w:bookmarkStart w:id="187" w:name="_Toc27096_WPSOffice_Level2"/>
      <w:r>
        <w:rPr>
          <w:rFonts w:hint="default" w:ascii="Times New Roman" w:hAnsi="Times New Roman" w:cs="Times New Roman"/>
          <w:b/>
          <w:sz w:val="24"/>
          <w:szCs w:val="24"/>
          <w:highlight w:val="none"/>
        </w:rPr>
        <w:t>三、评分细则</w:t>
      </w:r>
      <w:bookmarkEnd w:id="175"/>
      <w:bookmarkEnd w:id="176"/>
      <w:bookmarkEnd w:id="177"/>
      <w:bookmarkEnd w:id="187"/>
      <w:bookmarkStart w:id="188" w:name="_Toc235778631"/>
      <w:bookmarkStart w:id="189" w:name="_Toc238878129"/>
      <w:bookmarkStart w:id="190" w:name="_Toc187829774"/>
      <w:bookmarkStart w:id="191" w:name="_Toc423012136"/>
      <w:bookmarkStart w:id="192" w:name="_Toc274303259"/>
      <w:bookmarkStart w:id="193" w:name="_Toc213038698"/>
    </w:p>
    <w:tbl>
      <w:tblPr>
        <w:tblStyle w:val="56"/>
        <w:tblW w:w="10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0"/>
        <w:gridCol w:w="1275"/>
        <w:gridCol w:w="690"/>
        <w:gridCol w:w="6285"/>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序号</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评分项目</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分值</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评分要点及说明</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一</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技术分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left="-13" w:leftChars="-20" w:hanging="35" w:hangingChars="17"/>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70分</w:t>
            </w:r>
          </w:p>
        </w:tc>
        <w:tc>
          <w:tcPr>
            <w:tcW w:w="6285"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评标委员会根据评分细则，对各投标人的技术标进行书面审核和评论后，由各成员独立给分，打分时保留小数1位，每人一份评分表，并签名。在统计得分时，如果发现某一单项评分超过评分细则规定的分值范围，则该张评分表无效。投标人技术分的最终得分为评标委员会组成员的有效评分的算术平均值。计算结果保留小数2位(第三位四舍五入)。</w:t>
            </w:r>
          </w:p>
        </w:tc>
        <w:tc>
          <w:tcPr>
            <w:tcW w:w="886" w:type="dxa"/>
            <w:tcBorders>
              <w:top w:val="single" w:color="auto" w:sz="4" w:space="0"/>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390" w:type="dxa"/>
            <w:vMerge w:val="restart"/>
            <w:tcBorders>
              <w:top w:val="single" w:color="auto" w:sz="4" w:space="0"/>
              <w:left w:val="single" w:color="auto" w:sz="4" w:space="0"/>
              <w:right w:val="single" w:color="auto" w:sz="4" w:space="0"/>
            </w:tcBorders>
            <w:vAlign w:val="center"/>
          </w:tcPr>
          <w:p>
            <w:pPr>
              <w:pageBreakBefore w:val="0"/>
              <w:kinsoku/>
              <w:overflowPunct/>
              <w:topLinePunct w:val="0"/>
              <w:bidi w:val="0"/>
              <w:spacing w:after="0" w:line="264" w:lineRule="auto"/>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系统设计方案分</w:t>
            </w:r>
          </w:p>
        </w:tc>
        <w:tc>
          <w:tcPr>
            <w:tcW w:w="1275"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项目需求理解</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1-6</w:t>
            </w:r>
          </w:p>
        </w:tc>
        <w:tc>
          <w:tcPr>
            <w:tcW w:w="6285"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根据投标人对本项目现状、需求分析以及公共安全应用服务的理解打分，1-6分。</w:t>
            </w:r>
          </w:p>
        </w:tc>
        <w:tc>
          <w:tcPr>
            <w:tcW w:w="886"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社会面视频监控云平台二期设计方案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1-</w:t>
            </w:r>
            <w:r>
              <w:rPr>
                <w:rFonts w:hint="eastAsia" w:cs="Times New Roman"/>
                <w:sz w:val="21"/>
                <w:szCs w:val="21"/>
                <w:highlight w:val="none"/>
                <w:lang w:val="en-US" w:eastAsia="zh-CN"/>
              </w:rPr>
              <w:t>5</w:t>
            </w:r>
          </w:p>
        </w:tc>
        <w:tc>
          <w:tcPr>
            <w:tcW w:w="6285"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根据本项目需求提供系统详细设计方案，需要包括系统总体框架设计；系统技术路线选择；系统国标化改造、云图库、视频边界、数据边界的功能方案；与一期平台无缝对接方案；下级社会面视频监控点位接入方案等内容。评价详细设计方案与项目需求的满足度，得1-</w:t>
            </w: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分。</w:t>
            </w:r>
          </w:p>
        </w:tc>
        <w:tc>
          <w:tcPr>
            <w:tcW w:w="886"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移动物联数据应用系统设计方案</w:t>
            </w:r>
          </w:p>
        </w:tc>
        <w:tc>
          <w:tcPr>
            <w:tcW w:w="690" w:type="dxa"/>
            <w:tcBorders>
              <w:top w:val="single" w:color="auto" w:sz="4" w:space="0"/>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1-</w:t>
            </w:r>
            <w:r>
              <w:rPr>
                <w:rFonts w:hint="eastAsia" w:cs="Times New Roman"/>
                <w:sz w:val="21"/>
                <w:szCs w:val="21"/>
                <w:highlight w:val="none"/>
                <w:lang w:val="en-US" w:eastAsia="zh-CN"/>
              </w:rPr>
              <w:t>5</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根据本项目需求提供系统详细设计方案，需要包括系统总体框架设计；系统技术路线选择；数据平台、业务应用、管理模块、API接口、数据服务、互联网数据更新的功能方案等内容。评价详细设计方案与项目需求的满足度，得1-</w:t>
            </w:r>
            <w:r>
              <w:rPr>
                <w:rFonts w:hint="eastAsia" w:cs="Times New Roman"/>
                <w:sz w:val="21"/>
                <w:szCs w:val="21"/>
                <w:highlight w:val="none"/>
                <w:lang w:val="en-US" w:eastAsia="zh-CN"/>
              </w:rPr>
              <w:t>5</w:t>
            </w:r>
            <w:r>
              <w:rPr>
                <w:rFonts w:hint="default" w:ascii="Times New Roman" w:hAnsi="Times New Roman" w:cs="Times New Roman"/>
                <w:sz w:val="21"/>
                <w:szCs w:val="21"/>
                <w:highlight w:val="none"/>
              </w:rPr>
              <w:t>分。</w:t>
            </w:r>
          </w:p>
        </w:tc>
        <w:tc>
          <w:tcPr>
            <w:tcW w:w="886" w:type="dxa"/>
            <w:tcBorders>
              <w:top w:val="single" w:color="auto" w:sz="4" w:space="0"/>
              <w:left w:val="single" w:color="auto" w:sz="4" w:space="0"/>
              <w:right w:val="single" w:color="auto" w:sz="4" w:space="0"/>
            </w:tcBorders>
            <w:vAlign w:val="center"/>
          </w:tcPr>
          <w:p>
            <w:pPr>
              <w:pageBreakBefore w:val="0"/>
              <w:kinsoku/>
              <w:overflowPunct/>
              <w:topLinePunct w:val="0"/>
              <w:bidi w:val="0"/>
              <w:snapToGrid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智能视觉系统设计方案</w:t>
            </w:r>
          </w:p>
        </w:tc>
        <w:tc>
          <w:tcPr>
            <w:tcW w:w="690" w:type="dxa"/>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3-8</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根据本项目需求提供系统详细设计方案，需要包括系统总体框架设计；系统技术路线选择；图片流和视频流的方案设计、系统的详细模块设计、人脸人体融合分析算法的详细设计；以及在金华市公安局雪亮工程上的无缝扩容方案（包括解析布控、特征值存储、轨迹检索、聚类和人脸档案的无缝扩容）等内容。评价详细设计方案与项目需求的满足度，得3-8分。</w:t>
            </w:r>
          </w:p>
        </w:tc>
        <w:tc>
          <w:tcPr>
            <w:tcW w:w="886" w:type="dxa"/>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慧眼大数据应用系统设计方案</w:t>
            </w:r>
          </w:p>
        </w:tc>
        <w:tc>
          <w:tcPr>
            <w:tcW w:w="690" w:type="dxa"/>
            <w:tcBorders>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1-</w:t>
            </w:r>
            <w:r>
              <w:rPr>
                <w:rFonts w:hint="eastAsia" w:cs="Times New Roman"/>
                <w:sz w:val="21"/>
                <w:szCs w:val="21"/>
                <w:highlight w:val="none"/>
                <w:lang w:val="en-US" w:eastAsia="zh-CN"/>
              </w:rPr>
              <w:t>6</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根据本项目需求提供系统详细设计方案，需要包括系统总体框架设计；系统技术路线选择；人员标签体系、人脸动态库、融合档案、融合检索、融合分析、融合工具、融合布控、移动应用、系统管理和数据治理的功能方案等内容。评价详细设计方案与项目需求的满足度，得1-</w:t>
            </w:r>
            <w:r>
              <w:rPr>
                <w:rFonts w:hint="eastAsia" w:cs="Times New Roman"/>
                <w:sz w:val="21"/>
                <w:szCs w:val="21"/>
                <w:highlight w:val="none"/>
                <w:lang w:val="en-US" w:eastAsia="zh-CN"/>
              </w:rPr>
              <w:t>6</w:t>
            </w:r>
            <w:r>
              <w:rPr>
                <w:rFonts w:hint="default" w:ascii="Times New Roman" w:hAnsi="Times New Roman" w:cs="Times New Roman"/>
                <w:sz w:val="21"/>
                <w:szCs w:val="21"/>
                <w:highlight w:val="none"/>
              </w:rPr>
              <w:t>分。</w:t>
            </w:r>
          </w:p>
        </w:tc>
        <w:tc>
          <w:tcPr>
            <w:tcW w:w="886" w:type="dxa"/>
            <w:tcBorders>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视频专网安全系统扩容设计方案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根据本项目需求提供系统详细设计方案，需要包括系统总体组网架构设计；系统技术路线选择；视频前端准入控制方案以及与现有平台无缝对接方案等内容。评价详细设计方案与项目需求的满足度，得1-3分。</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公安网安全边界接入平台扩容设计方案</w:t>
            </w:r>
          </w:p>
        </w:tc>
        <w:tc>
          <w:tcPr>
            <w:tcW w:w="690" w:type="dxa"/>
            <w:tcBorders>
              <w:top w:val="single" w:color="auto" w:sz="4" w:space="0"/>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eastAsia"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1-</w:t>
            </w:r>
            <w:r>
              <w:rPr>
                <w:rFonts w:hint="eastAsia" w:cs="Times New Roman"/>
                <w:sz w:val="21"/>
                <w:szCs w:val="21"/>
                <w:highlight w:val="none"/>
                <w:lang w:val="en-US" w:eastAsia="zh-CN"/>
              </w:rPr>
              <w:t>4</w:t>
            </w:r>
          </w:p>
        </w:tc>
        <w:tc>
          <w:tcPr>
            <w:tcW w:w="6285"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根据本项目需求提供系统详细设计方案，需要包括系统总体组网架构设计；系统技术路线选择；电子政务网数据交互链路扩容和公安网信息采集链路扩容方案等内容。评价详细设计方案与项目需求的满足度，得1-</w:t>
            </w:r>
            <w:r>
              <w:rPr>
                <w:rFonts w:hint="eastAsia" w:cs="Times New Roman"/>
                <w:sz w:val="21"/>
                <w:szCs w:val="21"/>
                <w:highlight w:val="none"/>
                <w:lang w:val="en-US" w:eastAsia="zh-CN"/>
              </w:rPr>
              <w:t>4</w:t>
            </w:r>
            <w:r>
              <w:rPr>
                <w:rFonts w:hint="default" w:ascii="Times New Roman" w:hAnsi="Times New Roman" w:cs="Times New Roman"/>
                <w:sz w:val="21"/>
                <w:szCs w:val="21"/>
                <w:highlight w:val="none"/>
              </w:rPr>
              <w:t>分。</w:t>
            </w:r>
          </w:p>
        </w:tc>
        <w:tc>
          <w:tcPr>
            <w:tcW w:w="886" w:type="dxa"/>
            <w:tcBorders>
              <w:top w:val="single" w:color="auto" w:sz="4" w:space="0"/>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产品技术参数</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0-6</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除强制性要求外，根据参投产品（服务器、交换机、安全设备等）技术参数打分，完全满足招标文件要求且部分指标超过招标文件要求的在5.6分的基础上每项正偏离加0.1分，最高得6分；完全满足招标文件要求的得5.6分，有部分不满足招标文件要求的在5.6分的基础上每项负偏离扣除0.3分，扣完为止。</w:t>
            </w:r>
          </w:p>
        </w:tc>
        <w:tc>
          <w:tcPr>
            <w:tcW w:w="886"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vMerge w:val="restart"/>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实施方案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根据投标人提供的实施步骤、实施计划、实施组织方案打分，得1-3分。</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rPr>
                <w:rFonts w:hint="default" w:ascii="Times New Roman" w:hAnsi="Times New Roman" w:cs="Times New Roman"/>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根据投标人提供的实施保障措施、风险预见、风险应对措施方案打分，得1-3分。</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390"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c>
          <w:tcPr>
            <w:tcW w:w="1275" w:type="dxa"/>
            <w:vMerge w:val="continue"/>
            <w:tcBorders>
              <w:left w:val="single" w:color="auto" w:sz="4" w:space="0"/>
              <w:right w:val="single" w:color="auto" w:sz="4" w:space="0"/>
            </w:tcBorders>
            <w:vAlign w:val="center"/>
          </w:tcPr>
          <w:p>
            <w:pPr>
              <w:pageBreakBefore w:val="0"/>
              <w:kinsoku/>
              <w:overflowPunct/>
              <w:topLinePunct w:val="0"/>
              <w:bidi w:val="0"/>
              <w:spacing w:after="0" w:line="264" w:lineRule="auto"/>
              <w:jc w:val="both"/>
              <w:rPr>
                <w:rFonts w:hint="default" w:ascii="Times New Roman" w:hAnsi="Times New Roman" w:cs="Times New Roman"/>
                <w:sz w:val="21"/>
                <w:szCs w:val="21"/>
                <w:highlight w:val="none"/>
              </w:rPr>
            </w:pP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根据投标人提供的系统部署方案及测试方案打分，得1-3分。</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1665"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实施人员分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0-6</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团队人员配备齐全，人员实力中等，实施团队5-8人，其中工程师（软件设计师或网络工程师或系统集成项目管理师）≥2人，高级工程师（系统架构设计师或系统分析师或通信与信息系统或信息系统与安全）1人，得3分；项目团队人员配备齐全、充足，人员实力强，实施团队8人及以上，其中工程师（软件设计师或网络工程师或系统集成项目管理师）≥4人，高级工程师（系统架构设计师或系统分析师或通信与信息系统或信息系统与安全）≥2人，得6分。</w:t>
            </w:r>
            <w:r>
              <w:rPr>
                <w:rFonts w:hint="default" w:ascii="Times New Roman" w:hAnsi="Times New Roman" w:cs="Times New Roman"/>
                <w:sz w:val="21"/>
                <w:szCs w:val="21"/>
                <w:highlight w:val="none"/>
              </w:rPr>
              <w:br w:type="textWrapping"/>
            </w:r>
            <w:r>
              <w:rPr>
                <w:rFonts w:hint="default" w:ascii="Times New Roman" w:hAnsi="Times New Roman" w:cs="Times New Roman"/>
                <w:sz w:val="21"/>
                <w:szCs w:val="21"/>
                <w:highlight w:val="none"/>
              </w:rPr>
              <w:t>注：以上人员及其他有关技术人员需在投标文件商务技术响应文件中提供人员相关资质证书扫描件、个人社保缴费清单，不提供的不得分。（社保缴费清单要求是相应人员近三个月的在该单位任职的个人社保缴费清单，如投标单位新成立不足三个月的，按实际缴纳情况提供相应人员在该单位的社保缴费清单，社保缴费清单需加盖缴费当地社保机构公章或业务章。近三个月指的是从2020年</w:t>
            </w:r>
            <w:r>
              <w:rPr>
                <w:rFonts w:hint="default" w:ascii="Times New Roman" w:hAnsi="Times New Roman" w:cs="Times New Roman"/>
                <w:sz w:val="21"/>
                <w:szCs w:val="21"/>
                <w:highlight w:val="none"/>
                <w:lang w:val="en-US" w:eastAsia="zh-CN"/>
              </w:rPr>
              <w:t>9</w:t>
            </w:r>
            <w:r>
              <w:rPr>
                <w:rFonts w:hint="default" w:ascii="Times New Roman" w:hAnsi="Times New Roman" w:cs="Times New Roman"/>
                <w:sz w:val="21"/>
                <w:szCs w:val="21"/>
                <w:highlight w:val="none"/>
              </w:rPr>
              <w:t>月01日至投标截止时止期间中任何一个连续三个月）</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p>
        </w:tc>
        <w:tc>
          <w:tcPr>
            <w:tcW w:w="1665"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信誉分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0-5</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（1）投标人持有有效的ISO9001质量管理体系认证，得1分。</w:t>
            </w:r>
            <w:r>
              <w:rPr>
                <w:rFonts w:hint="default" w:ascii="Times New Roman" w:hAnsi="Times New Roman" w:cs="Times New Roman"/>
                <w:sz w:val="21"/>
                <w:szCs w:val="21"/>
                <w:highlight w:val="none"/>
              </w:rPr>
              <w:br w:type="textWrapping"/>
            </w:r>
            <w:r>
              <w:rPr>
                <w:rFonts w:hint="default" w:ascii="Times New Roman" w:hAnsi="Times New Roman" w:cs="Times New Roman"/>
                <w:sz w:val="21"/>
                <w:szCs w:val="21"/>
                <w:highlight w:val="none"/>
              </w:rPr>
              <w:t>（2）投标人持有有效的ISO/IEC27001信息安全管理体系认证，得1分。</w:t>
            </w:r>
            <w:r>
              <w:rPr>
                <w:rFonts w:hint="default" w:ascii="Times New Roman" w:hAnsi="Times New Roman" w:cs="Times New Roman"/>
                <w:sz w:val="21"/>
                <w:szCs w:val="21"/>
                <w:highlight w:val="none"/>
              </w:rPr>
              <w:br w:type="textWrapping"/>
            </w:r>
            <w:r>
              <w:rPr>
                <w:rFonts w:hint="default" w:ascii="Times New Roman" w:hAnsi="Times New Roman" w:cs="Times New Roman"/>
                <w:sz w:val="21"/>
                <w:szCs w:val="21"/>
                <w:highlight w:val="none"/>
              </w:rPr>
              <w:t>（3）投标人具有省级或直辖市科技主管部门颁发的“高新技术企业证书”，得1分。</w:t>
            </w:r>
            <w:r>
              <w:rPr>
                <w:rFonts w:hint="default" w:ascii="Times New Roman" w:hAnsi="Times New Roman" w:cs="Times New Roman"/>
                <w:sz w:val="21"/>
                <w:szCs w:val="21"/>
                <w:highlight w:val="none"/>
              </w:rPr>
              <w:br w:type="textWrapping"/>
            </w:r>
            <w:r>
              <w:rPr>
                <w:rFonts w:hint="default" w:ascii="Times New Roman" w:hAnsi="Times New Roman" w:cs="Times New Roman"/>
                <w:sz w:val="21"/>
                <w:szCs w:val="21"/>
                <w:highlight w:val="none"/>
              </w:rPr>
              <w:t>（4）投标人持有有效的ISO/IEC20000信息技术服务管理体系认证证书，得1分，</w:t>
            </w:r>
            <w:r>
              <w:rPr>
                <w:rFonts w:hint="default" w:ascii="Times New Roman" w:hAnsi="Times New Roman" w:cs="Times New Roman"/>
                <w:sz w:val="21"/>
                <w:szCs w:val="21"/>
                <w:highlight w:val="none"/>
              </w:rPr>
              <w:br w:type="textWrapping"/>
            </w:r>
            <w:r>
              <w:rPr>
                <w:rFonts w:hint="default" w:ascii="Times New Roman" w:hAnsi="Times New Roman" w:cs="Times New Roman"/>
                <w:sz w:val="21"/>
                <w:szCs w:val="21"/>
                <w:highlight w:val="none"/>
              </w:rPr>
              <w:t>（5）投标人持有有效的CMMI 3级及以上认证证书，得1分。</w:t>
            </w:r>
            <w:r>
              <w:rPr>
                <w:rFonts w:hint="default" w:ascii="Times New Roman" w:hAnsi="Times New Roman" w:cs="Times New Roman"/>
                <w:sz w:val="21"/>
                <w:szCs w:val="21"/>
                <w:highlight w:val="none"/>
              </w:rPr>
              <w:br w:type="textWrapping"/>
            </w:r>
            <w:r>
              <w:rPr>
                <w:rFonts w:hint="default" w:ascii="Times New Roman" w:hAnsi="Times New Roman" w:cs="Times New Roman"/>
                <w:sz w:val="21"/>
                <w:szCs w:val="21"/>
                <w:highlight w:val="none"/>
              </w:rPr>
              <w:t>注：在投标文件商务技术响应文件中提供证书扫描件并加盖单位电子签章，不提供的不得分。</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w:t>
            </w:r>
          </w:p>
        </w:tc>
        <w:tc>
          <w:tcPr>
            <w:tcW w:w="1665"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业绩分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0-2</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投标人具备自2017年1月1日以来（以合同签订日期为准）同类类似项目业绩的，每项得0.5分，满分2分。</w:t>
            </w:r>
            <w:r>
              <w:rPr>
                <w:rFonts w:hint="default" w:ascii="Times New Roman" w:hAnsi="Times New Roman" w:cs="Times New Roman"/>
                <w:sz w:val="21"/>
                <w:szCs w:val="21"/>
                <w:highlight w:val="none"/>
              </w:rPr>
              <w:br w:type="textWrapping"/>
            </w:r>
            <w:r>
              <w:rPr>
                <w:rFonts w:hint="default" w:ascii="Times New Roman" w:hAnsi="Times New Roman" w:cs="Times New Roman"/>
                <w:sz w:val="21"/>
                <w:szCs w:val="21"/>
                <w:highlight w:val="none"/>
              </w:rPr>
              <w:t>注：须在投标文件商务技术响应文件中提供包含关键页（体现签订时间、项目内容简介、合同相关方等重要信息）的合同扫描件加盖投标单位电子签章，业绩是否有效以评标委员会认定为准。</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w:t>
            </w:r>
          </w:p>
        </w:tc>
        <w:tc>
          <w:tcPr>
            <w:tcW w:w="1665" w:type="dxa"/>
            <w:gridSpan w:val="2"/>
            <w:tcBorders>
              <w:left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color w:val="000000"/>
                <w:sz w:val="21"/>
                <w:szCs w:val="21"/>
                <w:highlight w:val="none"/>
              </w:rPr>
              <w:t>售后服务方案</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根据投标人对项目</w:t>
            </w:r>
            <w:r>
              <w:rPr>
                <w:rFonts w:hint="eastAsia" w:cs="Times New Roman"/>
                <w:sz w:val="21"/>
                <w:szCs w:val="21"/>
                <w:highlight w:val="none"/>
                <w:lang w:val="en-US" w:eastAsia="zh-CN"/>
              </w:rPr>
              <w:t>质保</w:t>
            </w:r>
            <w:r>
              <w:rPr>
                <w:rFonts w:hint="default" w:ascii="Times New Roman" w:hAnsi="Times New Roman" w:cs="Times New Roman"/>
                <w:sz w:val="21"/>
                <w:szCs w:val="21"/>
                <w:highlight w:val="none"/>
              </w:rPr>
              <w:t>、应急保障方案、</w:t>
            </w:r>
            <w:r>
              <w:rPr>
                <w:rFonts w:hint="eastAsia" w:cs="Times New Roman"/>
                <w:sz w:val="21"/>
                <w:szCs w:val="21"/>
                <w:highlight w:val="none"/>
                <w:lang w:val="en-US" w:eastAsia="zh-CN"/>
              </w:rPr>
              <w:t>驻场人员条件、</w:t>
            </w:r>
            <w:r>
              <w:rPr>
                <w:rFonts w:hint="default" w:ascii="Times New Roman" w:hAnsi="Times New Roman" w:cs="Times New Roman"/>
                <w:sz w:val="21"/>
                <w:szCs w:val="21"/>
                <w:highlight w:val="none"/>
              </w:rPr>
              <w:t>保密承诺及廉洁承诺等内容打分，得1-5分。</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ind w:firstLine="18" w:firstLineChars="9"/>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二</w:t>
            </w:r>
          </w:p>
        </w:tc>
        <w:tc>
          <w:tcPr>
            <w:tcW w:w="1665" w:type="dxa"/>
            <w:gridSpan w:val="2"/>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商务报价分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jc w:val="center"/>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30分</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pacing w:after="0" w:line="264" w:lineRule="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1.以满足招标文件要求且投标价格最低的投标报价为评标基准价，其商务报价得分为满分。</w:t>
            </w:r>
          </w:p>
          <w:p>
            <w:pPr>
              <w:pageBreakBefore w:val="0"/>
              <w:kinsoku/>
              <w:overflowPunct/>
              <w:topLinePunct w:val="0"/>
              <w:bidi w:val="0"/>
              <w:adjustRightInd w:val="0"/>
              <w:spacing w:after="0" w:line="264" w:lineRule="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2.其他投标人的商务报价分统一按照下列公式计算：</w:t>
            </w:r>
          </w:p>
          <w:p>
            <w:pPr>
              <w:pageBreakBefore w:val="0"/>
              <w:kinsoku/>
              <w:overflowPunct/>
              <w:topLinePunct w:val="0"/>
              <w:bidi w:val="0"/>
              <w:spacing w:after="0" w:line="264" w:lineRule="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商务报价分＝（评标基准价／投标报价）×30，计算结果保留2位小数（第三位小数四舍五入）。</w:t>
            </w:r>
          </w:p>
          <w:p>
            <w:pPr>
              <w:pageBreakBefore w:val="0"/>
              <w:kinsoku/>
              <w:overflowPunct/>
              <w:topLinePunct w:val="0"/>
              <w:bidi w:val="0"/>
              <w:adjustRightInd w:val="0"/>
              <w:snapToGrid w:val="0"/>
              <w:spacing w:after="0" w:line="264" w:lineRule="auto"/>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（注：对于小型和微型企业产品的价格给予6%的扣除，用扣除后的价格参与评审，是否给予价格扣除按前附表“小微企业有关规定”要求认定）。</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46" w:type="dxa"/>
            <w:tcBorders>
              <w:left w:val="single" w:color="auto" w:sz="4" w:space="0"/>
              <w:right w:val="single" w:color="auto" w:sz="4" w:space="0"/>
            </w:tcBorders>
          </w:tcPr>
          <w:p>
            <w:pPr>
              <w:pageBreakBefore w:val="0"/>
              <w:kinsoku/>
              <w:overflowPunct/>
              <w:topLinePunct w:val="0"/>
              <w:bidi w:val="0"/>
              <w:adjustRightInd w:val="0"/>
              <w:snapToGrid w:val="0"/>
              <w:spacing w:after="0" w:line="264" w:lineRule="auto"/>
              <w:jc w:val="center"/>
              <w:textAlignment w:val="baseline"/>
              <w:rPr>
                <w:rFonts w:hint="default" w:ascii="Times New Roman" w:hAnsi="Times New Roman" w:cs="Times New Roman"/>
                <w:bCs/>
                <w:sz w:val="21"/>
                <w:szCs w:val="21"/>
                <w:highlight w:val="none"/>
              </w:rPr>
            </w:pPr>
          </w:p>
        </w:tc>
        <w:tc>
          <w:tcPr>
            <w:tcW w:w="1665" w:type="dxa"/>
            <w:gridSpan w:val="2"/>
            <w:tcBorders>
              <w:left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jc w:val="center"/>
              <w:textAlignment w:val="baseline"/>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综合得分</w:t>
            </w:r>
          </w:p>
        </w:tc>
        <w:tc>
          <w:tcPr>
            <w:tcW w:w="690"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jc w:val="center"/>
              <w:textAlignment w:val="baseline"/>
              <w:rPr>
                <w:rFonts w:hint="default" w:ascii="Times New Roman" w:hAnsi="Times New Roman" w:cs="Times New Roman"/>
                <w:bCs/>
                <w:sz w:val="21"/>
                <w:szCs w:val="21"/>
                <w:highlight w:val="none"/>
              </w:rPr>
            </w:pPr>
            <w:r>
              <w:rPr>
                <w:rFonts w:hint="default" w:ascii="Times New Roman" w:hAnsi="Times New Roman" w:cs="Times New Roman"/>
                <w:bCs/>
                <w:sz w:val="21"/>
                <w:szCs w:val="21"/>
                <w:highlight w:val="none"/>
              </w:rPr>
              <w:t>100分</w:t>
            </w:r>
          </w:p>
        </w:tc>
        <w:tc>
          <w:tcPr>
            <w:tcW w:w="6285"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adjustRightInd w:val="0"/>
              <w:snapToGrid w:val="0"/>
              <w:spacing w:after="0" w:line="264" w:lineRule="auto"/>
              <w:textAlignment w:val="baseline"/>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投标单位综合得分=技术分+商务报价分</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bidi w:val="0"/>
              <w:spacing w:after="0" w:line="264" w:lineRule="auto"/>
              <w:jc w:val="center"/>
              <w:rPr>
                <w:rFonts w:hint="default" w:ascii="Times New Roman" w:hAnsi="Times New Roman" w:cs="Times New Roman"/>
                <w:sz w:val="21"/>
                <w:szCs w:val="21"/>
                <w:highlight w:val="none"/>
              </w:rPr>
            </w:pPr>
          </w:p>
        </w:tc>
      </w:tr>
    </w:tbl>
    <w:p>
      <w:pPr>
        <w:pStyle w:val="2"/>
        <w:rPr>
          <w:rFonts w:hint="default"/>
          <w:highlight w:val="none"/>
        </w:rPr>
      </w:pPr>
      <w:r>
        <w:rPr>
          <w:rFonts w:hint="default" w:ascii="Times New Roman" w:hAnsi="Times New Roman" w:cs="Times New Roman"/>
          <w:b/>
          <w:bCs/>
          <w:sz w:val="21"/>
          <w:szCs w:val="21"/>
          <w:highlight w:val="none"/>
        </w:rPr>
        <w:t>以上评分内容仅限对未打“★”条款进行评分。</w:t>
      </w:r>
    </w:p>
    <w:p>
      <w:pPr>
        <w:pStyle w:val="2"/>
        <w:rPr>
          <w:rFonts w:hint="default" w:ascii="Times New Roman" w:hAnsi="Times New Roman" w:cs="Times New Roman"/>
          <w:sz w:val="36"/>
          <w:highlight w:val="none"/>
        </w:rPr>
      </w:pPr>
    </w:p>
    <w:p>
      <w:pPr>
        <w:pStyle w:val="2"/>
        <w:rPr>
          <w:rFonts w:hint="default" w:ascii="Times New Roman" w:hAnsi="Times New Roman" w:cs="Times New Roman"/>
          <w:sz w:val="36"/>
          <w:highlight w:val="none"/>
        </w:rPr>
      </w:pPr>
    </w:p>
    <w:p>
      <w:pPr>
        <w:pStyle w:val="2"/>
        <w:rPr>
          <w:rFonts w:hint="default" w:ascii="Times New Roman" w:hAnsi="Times New Roman" w:cs="Times New Roman"/>
          <w:sz w:val="36"/>
          <w:highlight w:val="none"/>
        </w:rPr>
      </w:pPr>
    </w:p>
    <w:p>
      <w:pPr>
        <w:pStyle w:val="4"/>
        <w:pageBreakBefore w:val="0"/>
        <w:widowControl w:val="0"/>
        <w:kinsoku/>
        <w:overflowPunct/>
        <w:topLinePunct w:val="0"/>
        <w:bidi w:val="0"/>
        <w:spacing w:before="0" w:after="0" w:line="264" w:lineRule="auto"/>
        <w:jc w:val="center"/>
        <w:rPr>
          <w:rFonts w:hint="default" w:ascii="Times New Roman" w:hAnsi="Times New Roman" w:cs="Times New Roman"/>
          <w:sz w:val="36"/>
          <w:highlight w:val="none"/>
        </w:rPr>
      </w:pPr>
      <w:bookmarkStart w:id="194" w:name="_Toc648"/>
      <w:r>
        <w:rPr>
          <w:rFonts w:hint="default" w:ascii="Times New Roman" w:hAnsi="Times New Roman" w:cs="Times New Roman"/>
          <w:sz w:val="36"/>
          <w:highlight w:val="none"/>
        </w:rPr>
        <w:t>第七章 义乌市政府采购合同（样本）</w:t>
      </w:r>
      <w:bookmarkEnd w:id="194"/>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供方：________________________________</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需方：________________________________</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供、需双方根据__</w:t>
      </w:r>
      <w:r>
        <w:rPr>
          <w:rFonts w:hint="default" w:ascii="Times New Roman" w:hAnsi="Times New Roman" w:cs="Times New Roman" w:eastAsiaTheme="minorEastAsia"/>
          <w:highlight w:val="none"/>
          <w:u w:val="single"/>
        </w:rPr>
        <w:t>_ _</w:t>
      </w:r>
      <w:r>
        <w:rPr>
          <w:rFonts w:hint="default" w:ascii="Times New Roman" w:hAnsi="Times New Roman" w:cs="Times New Roman" w:eastAsiaTheme="minorEastAsia"/>
          <w:highlight w:val="none"/>
        </w:rPr>
        <w:t>年____月____日浙江省义乌市政府采购项目招标结果和投标文件的要求，依据《中华人民共和国</w:t>
      </w:r>
      <w:r>
        <w:rPr>
          <w:rFonts w:hint="eastAsia" w:cs="Times New Roman" w:eastAsiaTheme="minorEastAsia"/>
          <w:highlight w:val="none"/>
          <w:lang w:eastAsia="zh-CN"/>
        </w:rPr>
        <w:t>民法典</w:t>
      </w:r>
      <w:r>
        <w:rPr>
          <w:rFonts w:hint="default" w:ascii="Times New Roman" w:hAnsi="Times New Roman" w:cs="Times New Roman" w:eastAsiaTheme="minorEastAsia"/>
          <w:highlight w:val="none"/>
        </w:rPr>
        <w:t>》并经双方协调一致，订立本采购合同。</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一、合同文件组成：招标文件及其补充文件、询标承诺、询疑答复、投标响应文件、双方来函。合同文件组成的所有内容是构成合同不可分割的部分，与合同具有同等法律效力。</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二、合同金额</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highlight w:val="none"/>
        </w:rPr>
        <w:t>合同总价中</w:t>
      </w:r>
      <w:r>
        <w:rPr>
          <w:rFonts w:hint="default" w:ascii="Times New Roman" w:hAnsi="Times New Roman" w:cs="Times New Roman" w:eastAsiaTheme="minorEastAsia"/>
          <w:szCs w:val="21"/>
          <w:highlight w:val="none"/>
        </w:rPr>
        <w:t>须包括</w:t>
      </w:r>
      <w:r>
        <w:rPr>
          <w:rFonts w:hint="default" w:ascii="Times New Roman" w:hAnsi="Times New Roman" w:cs="Times New Roman" w:eastAsiaTheme="minorEastAsia"/>
          <w:highlight w:val="none"/>
        </w:rPr>
        <w:t>___________________</w:t>
      </w:r>
      <w:r>
        <w:rPr>
          <w:rFonts w:hint="default" w:ascii="Times New Roman" w:hAnsi="Times New Roman" w:cs="Times New Roman" w:eastAsiaTheme="minorEastAsia"/>
          <w:szCs w:val="21"/>
          <w:highlight w:val="none"/>
        </w:rPr>
        <w:t>及合同中明示或暗示的所有一般风险、责任和义务等一切应由采购人支付的费用。</w:t>
      </w:r>
    </w:p>
    <w:tbl>
      <w:tblPr>
        <w:tblStyle w:val="56"/>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8"/>
        <w:gridCol w:w="1417"/>
        <w:gridCol w:w="1490"/>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4928"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项目名称</w:t>
            </w:r>
          </w:p>
        </w:tc>
        <w:tc>
          <w:tcPr>
            <w:tcW w:w="4642" w:type="dxa"/>
            <w:gridSpan w:val="3"/>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项目总价（元）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4928" w:type="dxa"/>
            <w:vAlign w:val="center"/>
          </w:tcPr>
          <w:p>
            <w:pPr>
              <w:pStyle w:val="29"/>
              <w:pageBreakBefore w:val="0"/>
              <w:kinsoku/>
              <w:overflowPunct/>
              <w:topLinePunct w:val="0"/>
              <w:bidi w:val="0"/>
              <w:spacing w:after="0" w:line="264" w:lineRule="auto"/>
              <w:jc w:val="center"/>
              <w:rPr>
                <w:rFonts w:hint="default" w:ascii="Times New Roman" w:hAnsi="Times New Roman" w:cs="Times New Roman"/>
                <w:kern w:val="21"/>
                <w:sz w:val="24"/>
                <w:szCs w:val="24"/>
                <w:highlight w:val="none"/>
              </w:rPr>
            </w:pPr>
            <w:r>
              <w:rPr>
                <w:rFonts w:hint="default" w:ascii="Times New Roman" w:hAnsi="Times New Roman" w:cs="Times New Roman"/>
                <w:color w:val="FF0000"/>
                <w:kern w:val="21"/>
                <w:sz w:val="24"/>
                <w:szCs w:val="24"/>
                <w:highlight w:val="none"/>
              </w:rPr>
              <w:t>义乌市公安局“雪亮工程”项目（一期）平台及实战应用系统项目</w:t>
            </w:r>
          </w:p>
        </w:tc>
        <w:tc>
          <w:tcPr>
            <w:tcW w:w="4642" w:type="dxa"/>
            <w:gridSpan w:val="3"/>
            <w:vAlign w:val="center"/>
          </w:tcPr>
          <w:p>
            <w:pPr>
              <w:pStyle w:val="23"/>
              <w:pageBreakBefore w:val="0"/>
              <w:kinsoku/>
              <w:overflowPunct/>
              <w:topLinePunct w:val="0"/>
              <w:bidi w:val="0"/>
              <w:spacing w:after="0" w:line="264" w:lineRule="auto"/>
              <w:ind w:firstLine="240" w:firstLineChars="100"/>
              <w:jc w:val="both"/>
              <w:rPr>
                <w:rFonts w:hint="default" w:ascii="Times New Roman" w:hAnsi="Times New Roman" w:cs="Times New Roman" w:eastAsiaTheme="minorEastAsia"/>
                <w:b w:val="0"/>
                <w:bCs w:val="0"/>
                <w:sz w:val="24"/>
                <w:szCs w:val="24"/>
                <w:highlight w:val="none"/>
                <w:u w:val="single"/>
              </w:rPr>
            </w:pPr>
          </w:p>
          <w:p>
            <w:pPr>
              <w:pStyle w:val="23"/>
              <w:pageBreakBefore w:val="0"/>
              <w:kinsoku/>
              <w:overflowPunct/>
              <w:topLinePunct w:val="0"/>
              <w:bidi w:val="0"/>
              <w:spacing w:after="0" w:line="264" w:lineRule="auto"/>
              <w:ind w:firstLine="240" w:firstLineChars="100"/>
              <w:jc w:val="both"/>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sz w:val="24"/>
                <w:szCs w:val="24"/>
                <w:highlight w:val="none"/>
                <w:u w:val="single"/>
              </w:rPr>
              <w:t xml:space="preserve">                          (</w:t>
            </w:r>
            <w:r>
              <w:rPr>
                <w:rFonts w:hint="default" w:ascii="Times New Roman" w:hAnsi="Times New Roman" w:cs="Times New Roman" w:eastAsiaTheme="minorEastAsia"/>
                <w:b w:val="0"/>
                <w:bCs w:val="0"/>
                <w:sz w:val="24"/>
                <w:szCs w:val="24"/>
                <w:highlight w:val="none"/>
              </w:rPr>
              <w:t>大写)</w:t>
            </w:r>
          </w:p>
          <w:p>
            <w:pPr>
              <w:pStyle w:val="23"/>
              <w:pageBreakBefore w:val="0"/>
              <w:kinsoku/>
              <w:overflowPunct/>
              <w:topLinePunct w:val="0"/>
              <w:bidi w:val="0"/>
              <w:spacing w:after="0" w:line="264" w:lineRule="auto"/>
              <w:ind w:firstLine="240" w:firstLineChars="100"/>
              <w:jc w:val="both"/>
              <w:rPr>
                <w:rFonts w:hint="default" w:ascii="Times New Roman" w:hAnsi="Times New Roman" w:cs="Times New Roman" w:eastAsiaTheme="minorEastAsia"/>
                <w:b w:val="0"/>
                <w:bCs w:val="0"/>
                <w:sz w:val="24"/>
                <w:szCs w:val="24"/>
                <w:highlight w:val="none"/>
              </w:rPr>
            </w:pPr>
          </w:p>
          <w:p>
            <w:pPr>
              <w:pageBreakBefore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9570" w:type="dxa"/>
            <w:gridSpan w:val="4"/>
            <w:vAlign w:val="center"/>
          </w:tcPr>
          <w:p>
            <w:pPr>
              <w:pageBreakBefore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各项设备（货物、软件）报价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4928"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设备（货物、软件）名称</w:t>
            </w:r>
          </w:p>
        </w:tc>
        <w:tc>
          <w:tcPr>
            <w:tcW w:w="1417"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数量</w:t>
            </w:r>
          </w:p>
        </w:tc>
        <w:tc>
          <w:tcPr>
            <w:tcW w:w="1490"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单价</w:t>
            </w:r>
          </w:p>
        </w:tc>
        <w:tc>
          <w:tcPr>
            <w:tcW w:w="1735"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4928"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1417"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p>
        </w:tc>
        <w:tc>
          <w:tcPr>
            <w:tcW w:w="1490"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p>
        </w:tc>
        <w:tc>
          <w:tcPr>
            <w:tcW w:w="1735"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28"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w:t>
            </w:r>
          </w:p>
        </w:tc>
        <w:tc>
          <w:tcPr>
            <w:tcW w:w="1417"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p>
        </w:tc>
        <w:tc>
          <w:tcPr>
            <w:tcW w:w="1490"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p>
        </w:tc>
        <w:tc>
          <w:tcPr>
            <w:tcW w:w="1735" w:type="dxa"/>
            <w:vAlign w:val="center"/>
          </w:tcPr>
          <w:p>
            <w:pPr>
              <w:pageBreakBefore w:val="0"/>
              <w:kinsoku/>
              <w:overflowPunct/>
              <w:topLinePunct w:val="0"/>
              <w:bidi w:val="0"/>
              <w:spacing w:after="0" w:line="264" w:lineRule="auto"/>
              <w:jc w:val="center"/>
              <w:rPr>
                <w:rFonts w:hint="default" w:ascii="Times New Roman" w:hAnsi="Times New Roman" w:cs="Times New Roman"/>
                <w:highlight w:val="none"/>
              </w:rPr>
            </w:pPr>
          </w:p>
        </w:tc>
      </w:tr>
    </w:tbl>
    <w:p>
      <w:pPr>
        <w:pageBreakBefore w:val="0"/>
        <w:widowControl w:val="0"/>
        <w:kinsoku/>
        <w:overflowPunct/>
        <w:topLinePunct w:val="0"/>
        <w:bidi w:val="0"/>
        <w:spacing w:after="0" w:line="264" w:lineRule="auto"/>
        <w:ind w:right="480"/>
        <w:jc w:val="righ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单位：人民币元</w:t>
      </w:r>
    </w:p>
    <w:p>
      <w:pPr>
        <w:pageBreakBefore w:val="0"/>
        <w:widowControl w:val="0"/>
        <w:kinsoku/>
        <w:overflowPunct/>
        <w:topLinePunct w:val="0"/>
        <w:bidi w:val="0"/>
        <w:snapToGrid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三、技术资料</w:t>
      </w:r>
    </w:p>
    <w:p>
      <w:pPr>
        <w:pageBreakBefore w:val="0"/>
        <w:widowControl w:val="0"/>
        <w:kinsoku/>
        <w:overflowPunct/>
        <w:topLinePunct w:val="0"/>
        <w:bidi w:val="0"/>
        <w:snapToGrid w:val="0"/>
        <w:spacing w:after="0" w:line="264" w:lineRule="auto"/>
        <w:ind w:left="466" w:leftChars="194" w:firstLine="120" w:firstLineChars="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1、供方应按招标文件规定的时间向需方提供使用货物的有关技术资料。</w:t>
      </w:r>
    </w:p>
    <w:p>
      <w:pPr>
        <w:pageBreakBefore w:val="0"/>
        <w:widowControl w:val="0"/>
        <w:kinsoku/>
        <w:overflowPunct/>
        <w:topLinePunct w:val="0"/>
        <w:bidi w:val="0"/>
        <w:snapToGrid w:val="0"/>
        <w:spacing w:after="0" w:line="264" w:lineRule="auto"/>
        <w:ind w:left="89" w:leftChars="37"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没有需方事先书面同意，供方不得将由需方提供的有关合同或任何合同条文、规格、计划、图纸、样品或资料提供给与履行本合同无关的任何其他人。即使向履行本合同有关的人员提供，也应注意保密并限于履行合同的必需范围。</w:t>
      </w:r>
    </w:p>
    <w:p>
      <w:pPr>
        <w:pageBreakBefore w:val="0"/>
        <w:widowControl w:val="0"/>
        <w:kinsoku/>
        <w:overflowPunct/>
        <w:topLinePunct w:val="0"/>
        <w:bidi w:val="0"/>
        <w:snapToGrid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四、知识产权</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eastAsiaTheme="minorEastAsia"/>
          <w:bCs/>
          <w:highlight w:val="none"/>
        </w:rPr>
      </w:pPr>
      <w:r>
        <w:rPr>
          <w:rFonts w:hint="default" w:ascii="Times New Roman" w:hAnsi="Times New Roman" w:cs="Times New Roman" w:eastAsiaTheme="minorEastAsia"/>
          <w:highlight w:val="none"/>
        </w:rPr>
        <w:t>供方应保证所提供的货物或其任何一部分均不会侵犯任何第三方的知识产权</w:t>
      </w:r>
      <w:r>
        <w:rPr>
          <w:rFonts w:hint="default" w:ascii="Times New Roman" w:hAnsi="Times New Roman" w:cs="Times New Roman" w:eastAsiaTheme="minorEastAsia"/>
          <w:bCs/>
          <w:highlight w:val="none"/>
        </w:rPr>
        <w:t>。</w:t>
      </w:r>
    </w:p>
    <w:p>
      <w:pPr>
        <w:pageBreakBefore w:val="0"/>
        <w:widowControl w:val="0"/>
        <w:kinsoku/>
        <w:overflowPunct/>
        <w:topLinePunct w:val="0"/>
        <w:bidi w:val="0"/>
        <w:snapToGrid w:val="0"/>
        <w:spacing w:after="0" w:line="264" w:lineRule="auto"/>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highlight w:val="none"/>
        </w:rPr>
        <w:t>五、产权担保</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highlight w:val="none"/>
        </w:rPr>
        <w:t>供方保证所交付的货物的所有权完全属于供方且无任何抵押、查封等产权瑕疵。</w:t>
      </w:r>
    </w:p>
    <w:p>
      <w:pPr>
        <w:pageBreakBefore w:val="0"/>
        <w:widowControl w:val="0"/>
        <w:kinsoku/>
        <w:overflowPunct/>
        <w:topLinePunct w:val="0"/>
        <w:bidi w:val="0"/>
        <w:snapToGrid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六、转包或分包</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1、本合同范围的货物，应由供方直接供应，不得转让他人供应；</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2、供方不得将本合同范围的货物全部或部分分包给他人供应；</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3、如有转让和分包行为，需方中止合同，并追究供方的违约责任。</w:t>
      </w:r>
    </w:p>
    <w:p>
      <w:pPr>
        <w:pageBreakBefore w:val="0"/>
        <w:widowControl w:val="0"/>
        <w:kinsoku/>
        <w:overflowPunct/>
        <w:topLinePunct w:val="0"/>
        <w:bidi w:val="0"/>
        <w:snapToGrid w:val="0"/>
        <w:spacing w:after="0" w:line="264" w:lineRule="auto"/>
        <w:ind w:firstLine="120" w:firstLineChars="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七、质保期</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供方必须对合同中规定的货物在项目验收合格后提供至少</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年的质保期（货物另有规定的按原规定执行），时间从验收合格办理移交手续之日起计算。质保期内供方须免费负责修理和替换任何由于产品自身的质量问题造成的损坏，并负责有关费用。供方不能修理和不能调换，按不能交货处理。如因需方使用不当造成故障，供方负责包修、包换或者包退，费用双方另行协商。维修过程中供方提供的材料色泽等应与原来的保持一致。</w:t>
      </w:r>
    </w:p>
    <w:p>
      <w:pPr>
        <w:pageBreakBefore w:val="0"/>
        <w:widowControl w:val="0"/>
        <w:kinsoku/>
        <w:overflowPunct/>
        <w:topLinePunct w:val="0"/>
        <w:bidi w:val="0"/>
        <w:snapToGrid w:val="0"/>
        <w:spacing w:after="0" w:line="264" w:lineRule="auto"/>
        <w:ind w:firstLine="470" w:firstLineChars="196"/>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八、履约保证金：无</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九、交货期、交货方式及交货地点</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bookmarkStart w:id="195" w:name="_Toc2938_WPSOffice_Level2"/>
      <w:r>
        <w:rPr>
          <w:rFonts w:hint="default" w:ascii="Times New Roman" w:hAnsi="Times New Roman" w:cs="Times New Roman" w:eastAsiaTheme="minorEastAsia"/>
          <w:highlight w:val="none"/>
        </w:rPr>
        <w:t>1、交货日期：</w:t>
      </w:r>
      <w:bookmarkEnd w:id="195"/>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bCs/>
          <w:highlight w:val="none"/>
        </w:rPr>
      </w:pPr>
      <w:bookmarkStart w:id="196" w:name="_Toc21265_WPSOffice_Level2"/>
      <w:r>
        <w:rPr>
          <w:rFonts w:hint="default" w:ascii="Times New Roman" w:hAnsi="Times New Roman" w:cs="Times New Roman" w:eastAsiaTheme="minorEastAsia"/>
          <w:bCs/>
          <w:highlight w:val="none"/>
        </w:rPr>
        <w:t>2、交货方式：</w:t>
      </w:r>
      <w:bookmarkEnd w:id="196"/>
      <w:r>
        <w:rPr>
          <w:rFonts w:hint="default" w:ascii="Times New Roman" w:hAnsi="Times New Roman" w:cs="Times New Roman" w:eastAsiaTheme="minorEastAsia"/>
          <w:bCs/>
          <w:highlight w:val="none"/>
        </w:rPr>
        <w:t xml:space="preserve"> </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bookmarkStart w:id="197" w:name="_Toc6922_WPSOffice_Level2"/>
      <w:r>
        <w:rPr>
          <w:rFonts w:hint="default" w:ascii="Times New Roman" w:hAnsi="Times New Roman" w:cs="Times New Roman" w:eastAsiaTheme="minorEastAsia"/>
          <w:bCs/>
          <w:highlight w:val="none"/>
        </w:rPr>
        <w:t>3、交货地点：</w:t>
      </w:r>
      <w:bookmarkEnd w:id="197"/>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十、货款支付</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1、付款方式：_______________________(与招标文件保持一致)</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szCs w:val="20"/>
          <w:highlight w:val="none"/>
        </w:rPr>
      </w:pPr>
      <w:r>
        <w:rPr>
          <w:rFonts w:hint="default" w:ascii="Times New Roman" w:hAnsi="Times New Roman" w:cs="Times New Roman" w:eastAsiaTheme="minorEastAsia"/>
          <w:highlight w:val="none"/>
        </w:rPr>
        <w:t>十一、税费</w:t>
      </w:r>
    </w:p>
    <w:p>
      <w:pPr>
        <w:pageBreakBefore w:val="0"/>
        <w:widowControl w:val="0"/>
        <w:kinsoku/>
        <w:overflowPunct/>
        <w:topLinePunct w:val="0"/>
        <w:bidi w:val="0"/>
        <w:snapToGrid w:val="0"/>
        <w:spacing w:after="0" w:line="264" w:lineRule="auto"/>
        <w:ind w:firstLine="480" w:firstLineChars="200"/>
        <w:rPr>
          <w:rFonts w:hint="default" w:ascii="Times New Roman" w:hAnsi="Times New Roman" w:cs="Times New Roman" w:eastAsiaTheme="minorEastAsia"/>
          <w:szCs w:val="20"/>
          <w:highlight w:val="none"/>
        </w:rPr>
      </w:pPr>
      <w:r>
        <w:rPr>
          <w:rFonts w:hint="default" w:ascii="Times New Roman" w:hAnsi="Times New Roman" w:cs="Times New Roman" w:eastAsiaTheme="minorEastAsia"/>
          <w:highlight w:val="none"/>
        </w:rPr>
        <w:t>本合同执行中相关的一切税费均由供方负担。</w:t>
      </w:r>
    </w:p>
    <w:p>
      <w:pPr>
        <w:pageBreakBefore w:val="0"/>
        <w:widowControl w:val="0"/>
        <w:kinsoku/>
        <w:overflowPunct/>
        <w:topLinePunct w:val="0"/>
        <w:bidi w:val="0"/>
        <w:snapToGrid w:val="0"/>
        <w:spacing w:after="0" w:line="264" w:lineRule="auto"/>
        <w:ind w:left="468" w:leftChars="195" w:firstLine="117" w:firstLineChars="49"/>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十二、质量保证及售后服务</w:t>
      </w:r>
    </w:p>
    <w:p>
      <w:pPr>
        <w:pageBreakBefore w:val="0"/>
        <w:widowControl w:val="0"/>
        <w:kinsoku/>
        <w:overflowPunct/>
        <w:topLinePunct w:val="0"/>
        <w:bidi w:val="0"/>
        <w:snapToGrid w:val="0"/>
        <w:spacing w:after="0" w:line="264" w:lineRule="auto"/>
        <w:ind w:left="77"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1、供方应按招标文件规定的货物性能、技术要求、质量标准向需方提供未经使用的全新产品。</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2、供方提供的货物在质保期内因货物本身的质量问题发生故障，供方应负责免费更换。对达不到技术要求者，根据实际情况，经双方协商，可按以下办法处理：</w:t>
      </w:r>
    </w:p>
    <w:p>
      <w:pPr>
        <w:pageBreakBefore w:val="0"/>
        <w:widowControl w:val="0"/>
        <w:kinsoku/>
        <w:overflowPunct/>
        <w:topLinePunct w:val="0"/>
        <w:bidi w:val="0"/>
        <w:snapToGrid w:val="0"/>
        <w:spacing w:after="0" w:line="264" w:lineRule="auto"/>
        <w:ind w:firstLine="42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①更换：由供方承担所发生的全部费用。</w:t>
      </w:r>
    </w:p>
    <w:p>
      <w:pPr>
        <w:pageBreakBefore w:val="0"/>
        <w:widowControl w:val="0"/>
        <w:kinsoku/>
        <w:overflowPunct/>
        <w:topLinePunct w:val="0"/>
        <w:bidi w:val="0"/>
        <w:snapToGrid w:val="0"/>
        <w:spacing w:after="0" w:line="264" w:lineRule="auto"/>
        <w:ind w:firstLine="42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②贬值处理：由供需双方合议定价。</w:t>
      </w:r>
    </w:p>
    <w:p>
      <w:pPr>
        <w:pageBreakBefore w:val="0"/>
        <w:widowControl w:val="0"/>
        <w:kinsoku/>
        <w:overflowPunct/>
        <w:topLinePunct w:val="0"/>
        <w:bidi w:val="0"/>
        <w:snapToGrid w:val="0"/>
        <w:spacing w:after="0" w:line="264" w:lineRule="auto"/>
        <w:ind w:firstLine="42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③退货处理：供方应退还需方支付的合同款，同时应承担该货物的直接费用（运输、保险、检验、货款利息及银行手续费等）。</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3、如在使用过程中发生质量问题，供方在接到需方通知后在小时内到达需方现场。</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4、在质保期内，供方应对货物出现的质量及安全问题负责处理解决并承担一切费用。</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十三、违约责任</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1、需方无正当理由拒收货物的，需方向供方偿付拒收货款总值的百分之____违约金。</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2、需方无故逾期验收和办理货款支付手续的,需方应按逾期付款总额每日万分之____向供方支付违约金。</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 xml:space="preserve">3、供方逾期交付货物的，供方应按逾期交货总额每日千分之___向需方支付违约金，由需方从待付货款中扣除。逾期超过约定日期___个工作日不能交货的，需方可解除本合同。供方因逾期交货或因其他违约行为导致需方解除合同的，供方应向需方支付合同总值___%的违约金，如造成需方损失超过违约金的，超出部分由供方继续承担赔偿责任。 </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4、供方所交的货物品种、型号、规格、技术参数、质量不符合合同规定及招标文件规定标准的，需方有权拒收该货物，供方愿意更换货物但逾期交货的，按供方逾期交货处理。供方拒绝更换货物的，需方可单方面解除合同。</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5、供方原因不能按期指导安装验收完毕的，供方向需方每日偿付货款总额___‰的违约金。</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6、未按规定提供完整的技术资料处以货款总额千分之___的违约金。</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7、未按招标文件约定派驻相关专业的技术人员进行安装调试指导的，每发现一次处以货款总额千分之___的违约金。</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十四、不可抗力事件处理</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1、在合同有效期内，任何一方因不可抗力事件导致不能履行合同，则合同履行期可延长，其延长期与不可抗力影响期相同。</w:t>
      </w:r>
    </w:p>
    <w:p>
      <w:pPr>
        <w:pageBreakBefore w:val="0"/>
        <w:widowControl w:val="0"/>
        <w:kinsoku/>
        <w:overflowPunct/>
        <w:topLinePunct w:val="0"/>
        <w:bidi w:val="0"/>
        <w:snapToGrid w:val="0"/>
        <w:spacing w:after="0" w:line="264" w:lineRule="auto"/>
        <w:ind w:left="547" w:leftChars="228"/>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2、不可抗力事件发生后，应立即通知对方，并寄送有关权威机构出具的证明。</w:t>
      </w:r>
    </w:p>
    <w:p>
      <w:pPr>
        <w:pageBreakBefore w:val="0"/>
        <w:widowControl w:val="0"/>
        <w:kinsoku/>
        <w:overflowPunct/>
        <w:topLinePunct w:val="0"/>
        <w:bidi w:val="0"/>
        <w:snapToGrid w:val="0"/>
        <w:spacing w:after="0" w:line="264" w:lineRule="auto"/>
        <w:ind w:left="547" w:leftChars="228"/>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3、不可抗力事件延续_____天以上，双方应通过友好协商，确定是否继续履行合同。</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十五、诉讼</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本合同项目所在地为义乌市，本合同发生争议产生的诉讼，可向项目所在地有管辖权的法院提起诉讼。</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十六、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十七、合同生效及其它</w:t>
      </w:r>
    </w:p>
    <w:p>
      <w:pPr>
        <w:pageBreakBefore w:val="0"/>
        <w:widowControl w:val="0"/>
        <w:kinsoku/>
        <w:overflowPunct/>
        <w:topLinePunct w:val="0"/>
        <w:bidi w:val="0"/>
        <w:snapToGrid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1、合同经双方法定代表人或授权代表签字并加盖单位公章后生效。</w:t>
      </w:r>
    </w:p>
    <w:p>
      <w:pPr>
        <w:pageBreakBefore w:val="0"/>
        <w:widowControl w:val="0"/>
        <w:kinsoku/>
        <w:overflowPunct/>
        <w:topLinePunct w:val="0"/>
        <w:bidi w:val="0"/>
        <w:snapToGrid w:val="0"/>
        <w:spacing w:after="0" w:line="264" w:lineRule="auto"/>
        <w:ind w:left="547" w:leftChars="228"/>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2、本合同未尽事宜，遵照《合同法》有关条文执行。</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十八、本合同一式____份，供需双方各执____份，义乌市政府采购中心执一份，义乌市财政局执一份，均具同等效力。</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十九、本合同并在合同签订之日起报义乌市财政局备案。</w:t>
      </w:r>
    </w:p>
    <w:p>
      <w:pPr>
        <w:pageBreakBefore w:val="0"/>
        <w:widowControl w:val="0"/>
        <w:kinsoku/>
        <w:overflowPunct/>
        <w:topLinePunct w:val="0"/>
        <w:bidi w:val="0"/>
        <w:spacing w:after="0" w:line="264" w:lineRule="auto"/>
        <w:ind w:firstLine="480"/>
        <w:rPr>
          <w:rFonts w:hint="default" w:ascii="Times New Roman" w:hAnsi="Times New Roman" w:cs="Times New Roman" w:eastAsiaTheme="minorEastAsia"/>
          <w:b/>
          <w:highlight w:val="none"/>
        </w:rPr>
      </w:pPr>
      <w:r>
        <w:rPr>
          <w:rFonts w:hint="default" w:ascii="Times New Roman" w:hAnsi="Times New Roman" w:cs="Times New Roman" w:eastAsiaTheme="minorEastAsia"/>
          <w:b/>
          <w:highlight w:val="none"/>
        </w:rPr>
        <w:t>二十、本合同（□是 □否）可融资合同。</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供    方：________________________  需    方：________________________</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地    址：________________________  地    址：________________________</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法定代表人：______________________  法定代表人：______________________</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授权代表：_____________________</w:t>
      </w:r>
      <w:r>
        <w:rPr>
          <w:rFonts w:hint="default" w:ascii="Times New Roman" w:hAnsi="Times New Roman" w:cs="Times New Roman" w:eastAsiaTheme="minorEastAsia"/>
          <w:szCs w:val="21"/>
          <w:highlight w:val="none"/>
          <w:u w:val="single"/>
        </w:rPr>
        <w:t xml:space="preserve">  _</w:t>
      </w:r>
      <w:r>
        <w:rPr>
          <w:rFonts w:hint="default" w:ascii="Times New Roman" w:hAnsi="Times New Roman" w:cs="Times New Roman" w:eastAsiaTheme="minorEastAsia"/>
          <w:szCs w:val="21"/>
          <w:highlight w:val="none"/>
        </w:rPr>
        <w:t xml:space="preserve">  授权代表：____________________</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电    话：________________________  电    话：________________________</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帐户名称：________________________  帐户名称：________________________</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开户银行：________________________  开户银行：________________________</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帐    号：________________________  帐    号：________________________</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 xml:space="preserve">签约时间：________________________  签约地点：________________________ </w:t>
      </w:r>
    </w:p>
    <w:p>
      <w:pPr>
        <w:pStyle w:val="2"/>
        <w:rPr>
          <w:rFonts w:hint="default" w:ascii="Times New Roman" w:hAnsi="Times New Roman" w:cs="Times New Roman" w:eastAsiaTheme="minorEastAsia"/>
          <w:szCs w:val="21"/>
          <w:highlight w:val="none"/>
        </w:rPr>
      </w:pPr>
    </w:p>
    <w:p>
      <w:pPr>
        <w:pStyle w:val="2"/>
        <w:rPr>
          <w:rFonts w:hint="default" w:ascii="Times New Roman" w:hAnsi="Times New Roman" w:cs="Times New Roman" w:eastAsiaTheme="minorEastAsia"/>
          <w:szCs w:val="21"/>
          <w:highlight w:val="none"/>
        </w:rPr>
      </w:pPr>
    </w:p>
    <w:p>
      <w:pPr>
        <w:pStyle w:val="2"/>
        <w:rPr>
          <w:rFonts w:hint="default" w:ascii="Times New Roman" w:hAnsi="Times New Roman" w:cs="Times New Roman" w:eastAsiaTheme="minorEastAsia"/>
          <w:szCs w:val="21"/>
          <w:highlight w:val="none"/>
        </w:rPr>
      </w:pPr>
    </w:p>
    <w:p>
      <w:pPr>
        <w:pStyle w:val="2"/>
        <w:rPr>
          <w:rFonts w:hint="default" w:ascii="Times New Roman" w:hAnsi="Times New Roman" w:cs="Times New Roman" w:eastAsiaTheme="minorEastAsia"/>
          <w:szCs w:val="21"/>
          <w:highlight w:val="none"/>
        </w:rPr>
      </w:pPr>
    </w:p>
    <w:p>
      <w:pPr>
        <w:pStyle w:val="2"/>
        <w:rPr>
          <w:rFonts w:hint="default" w:ascii="Times New Roman" w:hAnsi="Times New Roman" w:cs="Times New Roman" w:eastAsiaTheme="minorEastAsia"/>
          <w:szCs w:val="21"/>
          <w:highlight w:val="none"/>
        </w:rPr>
      </w:pPr>
    </w:p>
    <w:p>
      <w:pPr>
        <w:pStyle w:val="2"/>
        <w:rPr>
          <w:rFonts w:hint="default" w:ascii="Times New Roman" w:hAnsi="Times New Roman" w:cs="Times New Roman" w:eastAsiaTheme="minorEastAsia"/>
          <w:szCs w:val="21"/>
          <w:highlight w:val="none"/>
        </w:rPr>
      </w:pP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highlight w:val="none"/>
        </w:rPr>
      </w:pPr>
    </w:p>
    <w:p>
      <w:pPr>
        <w:pStyle w:val="4"/>
        <w:pageBreakBefore w:val="0"/>
        <w:widowControl w:val="0"/>
        <w:kinsoku/>
        <w:overflowPunct/>
        <w:topLinePunct w:val="0"/>
        <w:bidi w:val="0"/>
        <w:spacing w:before="0" w:after="0" w:line="264" w:lineRule="auto"/>
        <w:jc w:val="center"/>
        <w:rPr>
          <w:rFonts w:hint="default" w:ascii="Times New Roman" w:hAnsi="Times New Roman" w:cs="Times New Roman"/>
          <w:sz w:val="36"/>
          <w:highlight w:val="none"/>
        </w:rPr>
      </w:pPr>
      <w:bookmarkStart w:id="198" w:name="_Toc5562"/>
      <w:r>
        <w:rPr>
          <w:rFonts w:hint="default" w:ascii="Times New Roman" w:hAnsi="Times New Roman" w:cs="Times New Roman"/>
          <w:sz w:val="36"/>
          <w:highlight w:val="none"/>
        </w:rPr>
        <w:t>第八章 投标文件部分格式</w:t>
      </w:r>
      <w:bookmarkEnd w:id="188"/>
      <w:bookmarkEnd w:id="189"/>
      <w:bookmarkEnd w:id="190"/>
      <w:bookmarkEnd w:id="191"/>
      <w:bookmarkEnd w:id="192"/>
      <w:bookmarkEnd w:id="193"/>
      <w:bookmarkEnd w:id="198"/>
    </w:p>
    <w:p>
      <w:pPr>
        <w:pStyle w:val="37"/>
        <w:pageBreakBefore w:val="0"/>
        <w:widowControl w:val="0"/>
        <w:kinsoku/>
        <w:overflowPunct/>
        <w:topLinePunct w:val="0"/>
        <w:bidi w:val="0"/>
        <w:spacing w:after="0" w:line="264" w:lineRule="auto"/>
        <w:rPr>
          <w:rFonts w:hint="default" w:ascii="Times New Roman" w:hAnsi="Times New Roman" w:cs="Times New Roman"/>
          <w:b w:val="0"/>
          <w:color w:val="auto"/>
          <w:sz w:val="24"/>
          <w:szCs w:val="24"/>
          <w:highlight w:val="none"/>
        </w:rPr>
      </w:pPr>
      <w:bookmarkStart w:id="199" w:name="_Toc14932_WPSOffice_Level2"/>
      <w:r>
        <w:rPr>
          <w:rFonts w:hint="default" w:ascii="Times New Roman" w:hAnsi="Times New Roman" w:cs="Times New Roman"/>
          <w:b w:val="0"/>
          <w:color w:val="auto"/>
          <w:sz w:val="24"/>
          <w:szCs w:val="24"/>
          <w:highlight w:val="none"/>
        </w:rPr>
        <w:t>一、封面格式</w:t>
      </w:r>
      <w:bookmarkEnd w:id="199"/>
    </w:p>
    <w:p>
      <w:pPr>
        <w:pStyle w:val="37"/>
        <w:pageBreakBefore w:val="0"/>
        <w:widowControl w:val="0"/>
        <w:kinsoku/>
        <w:overflowPunct/>
        <w:topLinePunct w:val="0"/>
        <w:bidi w:val="0"/>
        <w:spacing w:after="0" w:line="264" w:lineRule="auto"/>
        <w:rPr>
          <w:rFonts w:hint="default" w:ascii="Times New Roman" w:hAnsi="Times New Roman" w:cs="Times New Roman"/>
          <w:b w:val="0"/>
          <w:color w:val="auto"/>
          <w:sz w:val="24"/>
          <w:szCs w:val="24"/>
          <w:highlight w:val="none"/>
        </w:rPr>
      </w:pPr>
      <w:bookmarkStart w:id="200" w:name="_Toc15492_WPSOffice_Level2"/>
      <w:r>
        <w:rPr>
          <w:rFonts w:hint="default" w:ascii="Times New Roman" w:hAnsi="Times New Roman" w:cs="Times New Roman"/>
          <w:b w:val="0"/>
          <w:color w:val="auto"/>
          <w:sz w:val="24"/>
          <w:szCs w:val="24"/>
          <w:highlight w:val="none"/>
        </w:rPr>
        <w:t>二、</w:t>
      </w:r>
      <w:r>
        <w:rPr>
          <w:rFonts w:hint="default" w:ascii="Times New Roman" w:hAnsi="Times New Roman" w:cs="Times New Roman"/>
          <w:b w:val="0"/>
          <w:color w:val="auto"/>
          <w:sz w:val="24"/>
          <w:szCs w:val="24"/>
          <w:highlight w:val="none"/>
          <w:lang w:eastAsia="zh-CN"/>
        </w:rPr>
        <w:t>资格及商务技术响应文件</w:t>
      </w:r>
      <w:r>
        <w:rPr>
          <w:rFonts w:hint="default" w:ascii="Times New Roman" w:hAnsi="Times New Roman" w:cs="Times New Roman"/>
          <w:b w:val="0"/>
          <w:color w:val="auto"/>
          <w:sz w:val="24"/>
          <w:szCs w:val="24"/>
          <w:highlight w:val="none"/>
        </w:rPr>
        <w:t>部分格式：</w:t>
      </w:r>
      <w:bookmarkEnd w:id="200"/>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1、义乌市政府采购项目投标承诺书</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2、参投货物说明一览表</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3、规范偏离表</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4、项目经理简历表</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5、项目组成主要成员表</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6、产品质量及售后服务承诺书</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bookmarkStart w:id="201" w:name="_Toc1208_WPSOffice_Level2"/>
      <w:r>
        <w:rPr>
          <w:rFonts w:hint="default" w:ascii="Times New Roman" w:hAnsi="Times New Roman" w:cs="Times New Roman"/>
          <w:highlight w:val="none"/>
        </w:rPr>
        <w:t>三、</w:t>
      </w:r>
      <w:r>
        <w:rPr>
          <w:rFonts w:hint="default" w:ascii="Times New Roman" w:hAnsi="Times New Roman" w:cs="Times New Roman"/>
          <w:highlight w:val="none"/>
          <w:lang w:eastAsia="zh-CN"/>
        </w:rPr>
        <w:t>报价响应</w:t>
      </w:r>
      <w:r>
        <w:rPr>
          <w:rFonts w:hint="default" w:ascii="Times New Roman" w:hAnsi="Times New Roman" w:cs="Times New Roman"/>
          <w:highlight w:val="none"/>
        </w:rPr>
        <w:t>文件部分格式：</w:t>
      </w:r>
      <w:bookmarkEnd w:id="201"/>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1、开标一览表</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2、项目成本报价表</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w:t>
      </w:r>
      <w:r>
        <w:rPr>
          <w:rFonts w:hint="default" w:ascii="Times New Roman" w:hAnsi="Times New Roman" w:cs="Times New Roman" w:eastAsiaTheme="minorEastAsia"/>
          <w:highlight w:val="none"/>
          <w:lang w:eastAsia="zh-CN"/>
        </w:rPr>
        <w:t>中小企业</w:t>
      </w:r>
      <w:r>
        <w:rPr>
          <w:rFonts w:hint="default" w:ascii="Times New Roman" w:hAnsi="Times New Roman" w:cs="Times New Roman" w:eastAsiaTheme="minorEastAsia"/>
          <w:highlight w:val="none"/>
        </w:rPr>
        <w:t>声明函</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4、残疾人福利企业声明函</w:t>
      </w:r>
    </w:p>
    <w:p>
      <w:pPr>
        <w:pStyle w:val="2"/>
        <w:pageBreakBefore w:val="0"/>
        <w:widowControl w:val="0"/>
        <w:kinsoku/>
        <w:overflowPunct/>
        <w:topLinePunct w:val="0"/>
        <w:bidi w:val="0"/>
        <w:spacing w:after="0" w:line="264" w:lineRule="auto"/>
        <w:ind w:left="0" w:leftChars="0" w:firstLine="0" w:firstLineChars="0"/>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szCs w:val="21"/>
          <w:highlight w:val="none"/>
        </w:rPr>
      </w:pPr>
    </w:p>
    <w:p>
      <w:pPr>
        <w:pageBreakBefore w:val="0"/>
        <w:widowControl w:val="0"/>
        <w:kinsoku/>
        <w:overflowPunct/>
        <w:topLinePunct w:val="0"/>
        <w:bidi w:val="0"/>
        <w:spacing w:after="0" w:line="264" w:lineRule="auto"/>
        <w:jc w:val="center"/>
        <w:rPr>
          <w:rFonts w:hint="default" w:ascii="Times New Roman" w:hAnsi="Times New Roman" w:cs="Times New Roman"/>
          <w:szCs w:val="21"/>
          <w:highlight w:val="none"/>
          <w:u w:val="single"/>
        </w:rPr>
      </w:pPr>
    </w:p>
    <w:p>
      <w:pPr>
        <w:pageBreakBefore w:val="0"/>
        <w:widowControl w:val="0"/>
        <w:kinsoku/>
        <w:overflowPunct/>
        <w:topLinePunct w:val="0"/>
        <w:bidi w:val="0"/>
        <w:spacing w:after="0" w:line="264" w:lineRule="auto"/>
        <w:rPr>
          <w:rFonts w:hint="default" w:ascii="Times New Roman" w:hAnsi="Times New Roman" w:cs="Times New Roman"/>
          <w:bCs/>
          <w:sz w:val="28"/>
          <w:highlight w:val="none"/>
        </w:rPr>
      </w:pPr>
      <w:r>
        <w:rPr>
          <w:rFonts w:hint="default" w:ascii="Times New Roman" w:hAnsi="Times New Roman" w:cs="Times New Roman"/>
          <w:bCs/>
          <w:szCs w:val="21"/>
          <w:highlight w:val="none"/>
        </w:rPr>
        <w:br w:type="page"/>
      </w:r>
      <w:r>
        <w:rPr>
          <w:rFonts w:hint="default" w:ascii="Times New Roman" w:hAnsi="Times New Roman" w:cs="Times New Roman"/>
          <w:bCs/>
          <w:sz w:val="28"/>
          <w:highlight w:val="none"/>
        </w:rPr>
        <w:t>封面格式</w:t>
      </w:r>
    </w:p>
    <w:p>
      <w:pPr>
        <w:pStyle w:val="23"/>
        <w:pageBreakBefore w:val="0"/>
        <w:widowControl w:val="0"/>
        <w:kinsoku/>
        <w:overflowPunct/>
        <w:topLinePunct w:val="0"/>
        <w:bidi w:val="0"/>
        <w:spacing w:after="0" w:line="264" w:lineRule="auto"/>
        <w:rPr>
          <w:rFonts w:hint="default" w:ascii="Times New Roman" w:hAnsi="Times New Roman" w:cs="Times New Roman"/>
          <w:highlight w:val="none"/>
        </w:rPr>
      </w:pPr>
    </w:p>
    <w:p>
      <w:pPr>
        <w:pageBreakBefore w:val="0"/>
        <w:widowControl w:val="0"/>
        <w:kinsoku/>
        <w:overflowPunct/>
        <w:topLinePunct w:val="0"/>
        <w:bidi w:val="0"/>
        <w:spacing w:after="0" w:line="264" w:lineRule="auto"/>
        <w:jc w:val="center"/>
        <w:rPr>
          <w:rFonts w:hint="default" w:ascii="Times New Roman" w:hAnsi="Times New Roman" w:cs="Times New Roman"/>
          <w:color w:val="000000"/>
          <w:sz w:val="52"/>
          <w:highlight w:val="none"/>
        </w:rPr>
      </w:pPr>
      <w:r>
        <w:rPr>
          <w:rFonts w:hint="default" w:ascii="Times New Roman" w:hAnsi="Times New Roman" w:cs="Times New Roman"/>
          <w:color w:val="000000"/>
          <w:sz w:val="52"/>
          <w:highlight w:val="none"/>
        </w:rPr>
        <w:t xml:space="preserve">   </w:t>
      </w:r>
      <w:r>
        <w:rPr>
          <w:rFonts w:hint="default" w:ascii="Times New Roman" w:hAnsi="Times New Roman" w:cs="Times New Roman"/>
          <w:color w:val="000000"/>
          <w:sz w:val="52"/>
          <w:highlight w:val="none"/>
          <w:u w:val="single"/>
        </w:rPr>
        <w:t xml:space="preserve">            </w:t>
      </w:r>
      <w:bookmarkStart w:id="202" w:name="_Toc15653_WPSOffice_Level1"/>
      <w:bookmarkStart w:id="203" w:name="_Toc27136_WPSOffice_Level1"/>
      <w:r>
        <w:rPr>
          <w:rFonts w:hint="default" w:ascii="Times New Roman" w:hAnsi="Times New Roman" w:cs="Times New Roman"/>
          <w:color w:val="000000"/>
          <w:sz w:val="52"/>
          <w:highlight w:val="none"/>
        </w:rPr>
        <w:t>项目</w:t>
      </w:r>
      <w:bookmarkEnd w:id="202"/>
      <w:bookmarkEnd w:id="203"/>
    </w:p>
    <w:p>
      <w:pPr>
        <w:pageBreakBefore w:val="0"/>
        <w:widowControl w:val="0"/>
        <w:kinsoku/>
        <w:overflowPunct/>
        <w:topLinePunct w:val="0"/>
        <w:bidi w:val="0"/>
        <w:spacing w:after="0" w:line="264" w:lineRule="auto"/>
        <w:jc w:val="center"/>
        <w:rPr>
          <w:rFonts w:hint="default" w:ascii="Times New Roman" w:hAnsi="Times New Roman" w:cs="Times New Roman"/>
          <w:sz w:val="52"/>
          <w:highlight w:val="none"/>
        </w:rPr>
      </w:pPr>
    </w:p>
    <w:p>
      <w:pPr>
        <w:pageBreakBefore w:val="0"/>
        <w:widowControl w:val="0"/>
        <w:kinsoku/>
        <w:overflowPunct/>
        <w:topLinePunct w:val="0"/>
        <w:bidi w:val="0"/>
        <w:spacing w:after="0" w:line="264" w:lineRule="auto"/>
        <w:rPr>
          <w:rFonts w:hint="default" w:ascii="Times New Roman" w:hAnsi="Times New Roman" w:cs="Times New Roman"/>
          <w:sz w:val="52"/>
          <w:highlight w:val="none"/>
        </w:rPr>
      </w:pPr>
    </w:p>
    <w:p>
      <w:pPr>
        <w:pageBreakBefore w:val="0"/>
        <w:widowControl w:val="0"/>
        <w:kinsoku/>
        <w:overflowPunct/>
        <w:topLinePunct w:val="0"/>
        <w:bidi w:val="0"/>
        <w:spacing w:after="0" w:line="264" w:lineRule="auto"/>
        <w:rPr>
          <w:rFonts w:hint="default" w:ascii="Times New Roman" w:hAnsi="Times New Roman" w:cs="Times New Roman"/>
          <w:sz w:val="52"/>
          <w:highlight w:val="none"/>
        </w:rPr>
      </w:pPr>
    </w:p>
    <w:p>
      <w:pPr>
        <w:pageBreakBefore w:val="0"/>
        <w:widowControl w:val="0"/>
        <w:kinsoku/>
        <w:overflowPunct/>
        <w:topLinePunct w:val="0"/>
        <w:bidi w:val="0"/>
        <w:spacing w:after="0" w:line="264" w:lineRule="auto"/>
        <w:jc w:val="center"/>
        <w:rPr>
          <w:rFonts w:hint="default" w:ascii="Times New Roman" w:hAnsi="Times New Roman" w:cs="Times New Roman"/>
          <w:bCs/>
          <w:sz w:val="72"/>
          <w:highlight w:val="none"/>
        </w:rPr>
      </w:pPr>
      <w:bookmarkStart w:id="204" w:name="_Toc8163_WPSOffice_Level1"/>
      <w:bookmarkStart w:id="205" w:name="_Toc11893_WPSOffice_Level1"/>
      <w:r>
        <w:rPr>
          <w:rFonts w:hint="default" w:ascii="Times New Roman" w:hAnsi="Times New Roman" w:cs="Times New Roman"/>
          <w:bCs/>
          <w:sz w:val="72"/>
          <w:highlight w:val="none"/>
        </w:rPr>
        <w:t>投标文件</w:t>
      </w:r>
      <w:bookmarkEnd w:id="204"/>
      <w:bookmarkEnd w:id="205"/>
    </w:p>
    <w:p>
      <w:pPr>
        <w:pageBreakBefore w:val="0"/>
        <w:widowControl w:val="0"/>
        <w:kinsoku/>
        <w:overflowPunct/>
        <w:topLinePunct w:val="0"/>
        <w:bidi w:val="0"/>
        <w:spacing w:after="0" w:line="264" w:lineRule="auto"/>
        <w:jc w:val="center"/>
        <w:rPr>
          <w:rFonts w:hint="default" w:ascii="Times New Roman" w:hAnsi="Times New Roman" w:cs="Times New Roman"/>
          <w:bCs/>
          <w:sz w:val="28"/>
          <w:highlight w:val="none"/>
        </w:rPr>
      </w:pPr>
      <w:bookmarkStart w:id="206" w:name="_Toc18971_WPSOffice_Level1"/>
      <w:bookmarkStart w:id="207" w:name="_Toc5659_WPSOffice_Level1"/>
      <w:r>
        <w:rPr>
          <w:rFonts w:hint="default" w:ascii="Times New Roman" w:hAnsi="Times New Roman" w:cs="Times New Roman"/>
          <w:bCs/>
          <w:sz w:val="28"/>
          <w:highlight w:val="none"/>
        </w:rPr>
        <w:t>采购编号：</w:t>
      </w:r>
      <w:r>
        <w:rPr>
          <w:rFonts w:hint="default" w:ascii="Times New Roman" w:hAnsi="Times New Roman" w:cs="Times New Roman"/>
          <w:highlight w:val="none"/>
        </w:rPr>
        <w:t>*********</w:t>
      </w:r>
      <w:bookmarkEnd w:id="206"/>
      <w:bookmarkEnd w:id="207"/>
    </w:p>
    <w:p>
      <w:pPr>
        <w:pageBreakBefore w:val="0"/>
        <w:widowControl w:val="0"/>
        <w:kinsoku/>
        <w:overflowPunct/>
        <w:topLinePunct w:val="0"/>
        <w:bidi w:val="0"/>
        <w:spacing w:after="0" w:line="264" w:lineRule="auto"/>
        <w:jc w:val="center"/>
        <w:rPr>
          <w:rFonts w:hint="default" w:ascii="Times New Roman" w:hAnsi="Times New Roman" w:cs="Times New Roman"/>
          <w:bCs/>
          <w:sz w:val="28"/>
          <w:highlight w:val="none"/>
        </w:rPr>
      </w:pPr>
    </w:p>
    <w:p>
      <w:pPr>
        <w:pageBreakBefore w:val="0"/>
        <w:widowControl w:val="0"/>
        <w:kinsoku/>
        <w:overflowPunct/>
        <w:topLinePunct w:val="0"/>
        <w:bidi w:val="0"/>
        <w:spacing w:after="0" w:line="264" w:lineRule="auto"/>
        <w:jc w:val="center"/>
        <w:rPr>
          <w:rFonts w:hint="default" w:ascii="Times New Roman" w:hAnsi="Times New Roman" w:cs="Times New Roman"/>
          <w:bCs/>
          <w:sz w:val="28"/>
          <w:highlight w:val="none"/>
        </w:rPr>
      </w:pPr>
    </w:p>
    <w:p>
      <w:pPr>
        <w:pageBreakBefore w:val="0"/>
        <w:widowControl w:val="0"/>
        <w:kinsoku/>
        <w:overflowPunct/>
        <w:topLinePunct w:val="0"/>
        <w:bidi w:val="0"/>
        <w:spacing w:after="0" w:line="264" w:lineRule="auto"/>
        <w:jc w:val="center"/>
        <w:rPr>
          <w:rFonts w:hint="default" w:ascii="Times New Roman" w:hAnsi="Times New Roman" w:cs="Times New Roman"/>
          <w:bCs/>
          <w:sz w:val="28"/>
          <w:highlight w:val="none"/>
        </w:rPr>
      </w:pPr>
    </w:p>
    <w:p>
      <w:pPr>
        <w:pStyle w:val="23"/>
        <w:pageBreakBefore w:val="0"/>
        <w:widowControl w:val="0"/>
        <w:kinsoku/>
        <w:overflowPunct/>
        <w:topLinePunct w:val="0"/>
        <w:bidi w:val="0"/>
        <w:spacing w:after="0" w:line="264" w:lineRule="auto"/>
        <w:rPr>
          <w:rFonts w:hint="default" w:ascii="Times New Roman" w:hAnsi="Times New Roman" w:cs="Times New Roman"/>
          <w:sz w:val="28"/>
          <w:highlight w:val="none"/>
        </w:rPr>
      </w:pPr>
    </w:p>
    <w:p>
      <w:pPr>
        <w:pStyle w:val="23"/>
        <w:pageBreakBefore w:val="0"/>
        <w:widowControl w:val="0"/>
        <w:kinsoku/>
        <w:overflowPunct/>
        <w:topLinePunct w:val="0"/>
        <w:bidi w:val="0"/>
        <w:spacing w:after="0" w:line="264" w:lineRule="auto"/>
        <w:rPr>
          <w:rFonts w:hint="default" w:ascii="Times New Roman" w:hAnsi="Times New Roman" w:cs="Times New Roman"/>
          <w:sz w:val="28"/>
          <w:highlight w:val="none"/>
        </w:rPr>
      </w:pPr>
    </w:p>
    <w:p>
      <w:pPr>
        <w:pStyle w:val="23"/>
        <w:pageBreakBefore w:val="0"/>
        <w:widowControl w:val="0"/>
        <w:kinsoku/>
        <w:overflowPunct/>
        <w:topLinePunct w:val="0"/>
        <w:bidi w:val="0"/>
        <w:spacing w:after="0" w:line="264" w:lineRule="auto"/>
        <w:rPr>
          <w:rFonts w:hint="default" w:ascii="Times New Roman" w:hAnsi="Times New Roman" w:cs="Times New Roman"/>
          <w:sz w:val="28"/>
          <w:highlight w:val="none"/>
        </w:rPr>
      </w:pPr>
    </w:p>
    <w:p>
      <w:pPr>
        <w:pStyle w:val="23"/>
        <w:pageBreakBefore w:val="0"/>
        <w:widowControl w:val="0"/>
        <w:kinsoku/>
        <w:overflowPunct/>
        <w:topLinePunct w:val="0"/>
        <w:bidi w:val="0"/>
        <w:spacing w:after="0" w:line="264" w:lineRule="auto"/>
        <w:rPr>
          <w:rFonts w:hint="default" w:ascii="Times New Roman" w:hAnsi="Times New Roman" w:cs="Times New Roman"/>
          <w:sz w:val="28"/>
          <w:highlight w:val="none"/>
        </w:rPr>
      </w:pPr>
    </w:p>
    <w:p>
      <w:pPr>
        <w:pageBreakBefore w:val="0"/>
        <w:widowControl w:val="0"/>
        <w:kinsoku/>
        <w:overflowPunct/>
        <w:topLinePunct w:val="0"/>
        <w:bidi w:val="0"/>
        <w:spacing w:after="0" w:line="264" w:lineRule="auto"/>
        <w:rPr>
          <w:rFonts w:hint="default" w:ascii="Times New Roman" w:hAnsi="Times New Roman" w:cs="Times New Roman"/>
          <w:bCs/>
          <w:sz w:val="28"/>
          <w:highlight w:val="none"/>
        </w:rPr>
      </w:pPr>
    </w:p>
    <w:p>
      <w:pPr>
        <w:pageBreakBefore w:val="0"/>
        <w:widowControl w:val="0"/>
        <w:kinsoku/>
        <w:overflowPunct/>
        <w:topLinePunct w:val="0"/>
        <w:bidi w:val="0"/>
        <w:spacing w:after="0" w:line="264" w:lineRule="auto"/>
        <w:jc w:val="center"/>
        <w:rPr>
          <w:rFonts w:hint="default" w:ascii="Times New Roman" w:hAnsi="Times New Roman" w:cs="Times New Roman"/>
          <w:sz w:val="32"/>
          <w:highlight w:val="none"/>
          <w:u w:val="single"/>
        </w:rPr>
      </w:pPr>
      <w:bookmarkStart w:id="208" w:name="_Toc15242_WPSOffice_Level1"/>
      <w:bookmarkStart w:id="209" w:name="_Toc19206_WPSOffice_Level1"/>
      <w:r>
        <w:rPr>
          <w:rFonts w:hint="default" w:ascii="Times New Roman" w:hAnsi="Times New Roman" w:cs="Times New Roman"/>
          <w:sz w:val="32"/>
          <w:highlight w:val="none"/>
        </w:rPr>
        <w:t>投标文件内容：</w:t>
      </w:r>
      <w:r>
        <w:rPr>
          <w:rFonts w:hint="default" w:ascii="Times New Roman" w:hAnsi="Times New Roman" w:cs="Times New Roman"/>
          <w:sz w:val="32"/>
          <w:highlight w:val="none"/>
          <w:u w:val="single"/>
        </w:rPr>
        <w:t xml:space="preserve">    （资格、商务技术或报价响应文件）</w:t>
      </w:r>
      <w:bookmarkEnd w:id="208"/>
      <w:bookmarkEnd w:id="209"/>
    </w:p>
    <w:p>
      <w:pPr>
        <w:pageBreakBefore w:val="0"/>
        <w:widowControl w:val="0"/>
        <w:kinsoku/>
        <w:overflowPunct/>
        <w:topLinePunct w:val="0"/>
        <w:bidi w:val="0"/>
        <w:spacing w:after="0" w:line="264" w:lineRule="auto"/>
        <w:jc w:val="center"/>
        <w:rPr>
          <w:rFonts w:hint="default" w:ascii="Times New Roman" w:hAnsi="Times New Roman" w:cs="Times New Roman"/>
          <w:sz w:val="32"/>
          <w:highlight w:val="none"/>
          <w:u w:val="single"/>
        </w:rPr>
      </w:pPr>
      <w:bookmarkStart w:id="210" w:name="_Toc8361_WPSOffice_Level1"/>
      <w:bookmarkStart w:id="211" w:name="_Toc2012_WPSOffice_Level1"/>
      <w:r>
        <w:rPr>
          <w:rFonts w:hint="default" w:ascii="Times New Roman" w:hAnsi="Times New Roman" w:cs="Times New Roman"/>
          <w:sz w:val="32"/>
          <w:highlight w:val="none"/>
        </w:rPr>
        <w:t>投标人：</w:t>
      </w:r>
      <w:r>
        <w:rPr>
          <w:rFonts w:hint="default" w:ascii="Times New Roman" w:hAnsi="Times New Roman" w:cs="Times New Roman"/>
          <w:sz w:val="32"/>
          <w:highlight w:val="none"/>
          <w:u w:val="single"/>
        </w:rPr>
        <w:t xml:space="preserve">                   （电子签章）</w:t>
      </w:r>
      <w:bookmarkEnd w:id="210"/>
      <w:bookmarkEnd w:id="211"/>
    </w:p>
    <w:p>
      <w:pPr>
        <w:pageBreakBefore w:val="0"/>
        <w:widowControl w:val="0"/>
        <w:kinsoku/>
        <w:overflowPunct/>
        <w:topLinePunct w:val="0"/>
        <w:bidi w:val="0"/>
        <w:spacing w:after="0" w:line="264" w:lineRule="auto"/>
        <w:ind w:firstLine="1920" w:firstLineChars="600"/>
        <w:jc w:val="both"/>
        <w:rPr>
          <w:rFonts w:hint="default" w:ascii="Times New Roman" w:hAnsi="Times New Roman" w:cs="Times New Roman"/>
          <w:sz w:val="32"/>
          <w:highlight w:val="none"/>
          <w:u w:val="single"/>
        </w:rPr>
      </w:pPr>
      <w:bookmarkStart w:id="212" w:name="_Toc8458_WPSOffice_Level1"/>
      <w:bookmarkStart w:id="213" w:name="_Toc26617_WPSOffice_Level1"/>
      <w:r>
        <w:rPr>
          <w:rFonts w:hint="default" w:ascii="Times New Roman" w:hAnsi="Times New Roman" w:cs="Times New Roman"/>
          <w:sz w:val="32"/>
          <w:highlight w:val="none"/>
        </w:rPr>
        <w:t>日期：</w:t>
      </w:r>
      <w:r>
        <w:rPr>
          <w:rFonts w:hint="default" w:ascii="Times New Roman" w:hAnsi="Times New Roman" w:cs="Times New Roman"/>
          <w:sz w:val="32"/>
          <w:highlight w:val="none"/>
          <w:u w:val="single"/>
        </w:rPr>
        <w:t xml:space="preserve">     年     月      日</w:t>
      </w:r>
      <w:bookmarkEnd w:id="212"/>
      <w:bookmarkEnd w:id="213"/>
    </w:p>
    <w:p>
      <w:pPr>
        <w:pStyle w:val="29"/>
        <w:pageBreakBefore w:val="0"/>
        <w:widowControl w:val="0"/>
        <w:kinsoku/>
        <w:overflowPunct/>
        <w:topLinePunct w:val="0"/>
        <w:bidi w:val="0"/>
        <w:spacing w:after="0" w:line="264" w:lineRule="auto"/>
        <w:ind w:left="274" w:leftChars="114"/>
        <w:jc w:val="center"/>
        <w:rPr>
          <w:rFonts w:hint="default" w:ascii="Times New Roman" w:hAnsi="Times New Roman" w:cs="Times New Roman"/>
          <w:bCs/>
          <w:sz w:val="36"/>
          <w:szCs w:val="36"/>
          <w:highlight w:val="none"/>
        </w:rPr>
      </w:pPr>
    </w:p>
    <w:p>
      <w:pPr>
        <w:pStyle w:val="29"/>
        <w:pageBreakBefore w:val="0"/>
        <w:widowControl w:val="0"/>
        <w:kinsoku/>
        <w:overflowPunct/>
        <w:topLinePunct w:val="0"/>
        <w:bidi w:val="0"/>
        <w:spacing w:after="0" w:line="264" w:lineRule="auto"/>
        <w:ind w:left="274" w:leftChars="114"/>
        <w:jc w:val="center"/>
        <w:rPr>
          <w:rFonts w:hint="default" w:ascii="Times New Roman" w:hAnsi="Times New Roman" w:cs="Times New Roman"/>
          <w:bCs/>
          <w:sz w:val="36"/>
          <w:szCs w:val="36"/>
          <w:highlight w:val="none"/>
        </w:rPr>
      </w:pPr>
    </w:p>
    <w:p>
      <w:pPr>
        <w:pStyle w:val="29"/>
        <w:pageBreakBefore w:val="0"/>
        <w:widowControl w:val="0"/>
        <w:kinsoku/>
        <w:overflowPunct/>
        <w:topLinePunct w:val="0"/>
        <w:bidi w:val="0"/>
        <w:spacing w:after="0" w:line="264" w:lineRule="auto"/>
        <w:ind w:left="274" w:leftChars="114"/>
        <w:jc w:val="center"/>
        <w:rPr>
          <w:rFonts w:hint="default" w:ascii="Times New Roman" w:hAnsi="Times New Roman" w:cs="Times New Roman"/>
          <w:bCs/>
          <w:sz w:val="36"/>
          <w:szCs w:val="36"/>
          <w:highlight w:val="none"/>
        </w:rPr>
      </w:pPr>
    </w:p>
    <w:p>
      <w:pPr>
        <w:pStyle w:val="29"/>
        <w:pageBreakBefore w:val="0"/>
        <w:widowControl w:val="0"/>
        <w:kinsoku/>
        <w:overflowPunct/>
        <w:topLinePunct w:val="0"/>
        <w:bidi w:val="0"/>
        <w:spacing w:after="0" w:line="264" w:lineRule="auto"/>
        <w:ind w:left="274" w:leftChars="114"/>
        <w:jc w:val="center"/>
        <w:rPr>
          <w:rFonts w:hint="default" w:ascii="Times New Roman" w:hAnsi="Times New Roman" w:cs="Times New Roman"/>
          <w:bCs/>
          <w:sz w:val="36"/>
          <w:szCs w:val="36"/>
          <w:highlight w:val="none"/>
        </w:rPr>
      </w:pPr>
    </w:p>
    <w:p>
      <w:pPr>
        <w:pStyle w:val="29"/>
        <w:pageBreakBefore w:val="0"/>
        <w:widowControl w:val="0"/>
        <w:kinsoku/>
        <w:overflowPunct/>
        <w:topLinePunct w:val="0"/>
        <w:bidi w:val="0"/>
        <w:spacing w:after="0" w:line="264" w:lineRule="auto"/>
        <w:ind w:left="274" w:leftChars="114"/>
        <w:jc w:val="center"/>
        <w:rPr>
          <w:rFonts w:hint="default" w:ascii="Times New Roman" w:hAnsi="Times New Roman" w:cs="Times New Roman"/>
          <w:b/>
          <w:sz w:val="32"/>
          <w:szCs w:val="32"/>
          <w:highlight w:val="none"/>
        </w:rPr>
      </w:pPr>
      <w:bookmarkStart w:id="214" w:name="_Toc13060_WPSOffice_Level2"/>
      <w:r>
        <w:rPr>
          <w:rFonts w:hint="default" w:ascii="Times New Roman" w:hAnsi="Times New Roman" w:cs="Times New Roman"/>
          <w:b/>
          <w:sz w:val="36"/>
          <w:szCs w:val="36"/>
          <w:highlight w:val="none"/>
        </w:rPr>
        <w:t>义乌市政府采购项目投标承诺书</w:t>
      </w:r>
      <w:bookmarkEnd w:id="214"/>
    </w:p>
    <w:p>
      <w:pPr>
        <w:pStyle w:val="29"/>
        <w:pageBreakBefore w:val="0"/>
        <w:widowControl w:val="0"/>
        <w:kinsoku/>
        <w:overflowPunct/>
        <w:topLinePunct w:val="0"/>
        <w:bidi w:val="0"/>
        <w:spacing w:after="0" w:line="264" w:lineRule="auto"/>
        <w:rPr>
          <w:rFonts w:hint="default" w:ascii="Times New Roman" w:hAnsi="Times New Roman" w:cs="Times New Roman"/>
          <w:highlight w:val="none"/>
          <w:u w:val="single"/>
        </w:rPr>
      </w:pPr>
      <w:r>
        <w:rPr>
          <w:rFonts w:hint="default" w:ascii="Times New Roman" w:hAnsi="Times New Roman" w:cs="Times New Roman"/>
          <w:highlight w:val="none"/>
        </w:rPr>
        <w:t>致：</w:t>
      </w:r>
      <w:r>
        <w:rPr>
          <w:rFonts w:hint="default" w:ascii="Times New Roman" w:hAnsi="Times New Roman" w:cs="Times New Roman"/>
          <w:highlight w:val="none"/>
          <w:u w:val="single"/>
        </w:rPr>
        <w:t>采购人名称和代理机构名称</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1、我单位已认真阅读了</w:t>
      </w:r>
      <w:r>
        <w:rPr>
          <w:rFonts w:hint="default" w:ascii="Times New Roman" w:hAnsi="Times New Roman" w:cs="Times New Roman"/>
          <w:color w:val="FF0000"/>
          <w:sz w:val="21"/>
          <w:szCs w:val="21"/>
          <w:highlight w:val="none"/>
        </w:rPr>
        <w:t>义乌市公安局“雪亮工程”项目（一期）平台及实战应用系统项目</w:t>
      </w:r>
      <w:r>
        <w:rPr>
          <w:rFonts w:hint="default" w:ascii="Times New Roman" w:hAnsi="Times New Roman" w:cs="Times New Roman"/>
          <w:sz w:val="21"/>
          <w:szCs w:val="21"/>
          <w:highlight w:val="none"/>
        </w:rPr>
        <w:t>（采购编号：</w:t>
      </w:r>
      <w:r>
        <w:rPr>
          <w:rFonts w:hint="default" w:ascii="Times New Roman" w:hAnsi="Times New Roman" w:cs="Times New Roman"/>
          <w:color w:val="FF0000"/>
          <w:sz w:val="21"/>
          <w:szCs w:val="21"/>
          <w:highlight w:val="none"/>
        </w:rPr>
        <w:t>YWCG2020131GK</w:t>
      </w:r>
      <w:r>
        <w:rPr>
          <w:rFonts w:hint="default" w:ascii="Times New Roman" w:hAnsi="Times New Roman" w:cs="Times New Roman"/>
          <w:sz w:val="21"/>
          <w:szCs w:val="21"/>
          <w:highlight w:val="none"/>
        </w:rPr>
        <w:t>）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2、自愿接受义乌市财政局的管理，并严格遵守义乌市财政局制定的招投标管理制度、规范和纪律。</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如我单位中标，我单位承诺不转包和分包该项目。</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4、积极主动配合义乌市财政局的调查。及时、如实、全面地回答义乌市财政局提出的问题，并在调查笔录中签字确认。如拒绝签字确认的，则视为我单位及有关工作人员认可调查笔录中的全部内容，并对最终的调查结果无任何异议，且自愿放弃一切救济途径。</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5、不转让、出借、涂改、伪造资质（资格）证书或者以其他方式允许其他单位（个人）以我单位（本人）名义承接业务。</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6、不与采购人或者其他投标人相互串通投标，围标，不以行贿等不正当手段谋取中标。</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7、在招标、投标、开标、评标、询标、中标、签订合同等招投标预备和进行的全过程中提供的资料均真实、有效，不弄虚作假。</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8、我方已详细审核全部招标文件，包括修改文件(如果有的话)，及有关附件，我方同意放弃提出含糊不清或误解的权力。</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9.投标文件中未明确的内容一律按招标文件规定执行。</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10、我方同意招标文件要求的投标有效期，如我方中标，我方将受此约束。</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11、我方相信贵方的招标结果是公正、合法的，无论我方中标还是落标，我方将接受这一结果。</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12、一旦我方中标，我方将严格依照招标文件和投标文件的规定与采购人签订合同。</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13、不低于企业成本价投标，不恶意过高报价，不扰乱招投标的正常秩序。</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14、严格遵守开标会议纪律，不在开标会场吵闹、滋事，服从工作人员指挥。</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15、按照法律法规和本项目招标文件规定的程序和方式进行异议和投诉，不越级投诉，不无理投诉。如捏造事实、伪造材料或者以非法手段取得材料进行投诉，给他人造成损失的，依法承担赔偿责任。</w:t>
      </w:r>
    </w:p>
    <w:p>
      <w:pPr>
        <w:pageBreakBefore w:val="0"/>
        <w:widowControl w:val="0"/>
        <w:kinsoku/>
        <w:overflowPunct/>
        <w:topLinePunct w:val="0"/>
        <w:bidi w:val="0"/>
        <w:spacing w:after="0" w:line="264" w:lineRule="auto"/>
        <w:ind w:firstLine="422" w:firstLineChars="200"/>
        <w:rPr>
          <w:rFonts w:hint="default" w:ascii="Times New Roman" w:hAnsi="Times New Roman" w:cs="Times New Roman"/>
          <w:sz w:val="21"/>
          <w:szCs w:val="21"/>
          <w:highlight w:val="none"/>
        </w:rPr>
      </w:pPr>
      <w:r>
        <w:rPr>
          <w:rFonts w:hint="default" w:ascii="Times New Roman" w:hAnsi="Times New Roman" w:cs="Times New Roman"/>
          <w:b/>
          <w:color w:val="000000"/>
          <w:sz w:val="21"/>
          <w:szCs w:val="21"/>
          <w:highlight w:val="none"/>
        </w:rPr>
        <w:t>16、</w:t>
      </w:r>
      <w:r>
        <w:rPr>
          <w:rFonts w:hint="default" w:ascii="Times New Roman" w:hAnsi="Times New Roman" w:cs="Times New Roman"/>
          <w:b/>
          <w:sz w:val="21"/>
          <w:szCs w:val="21"/>
          <w:highlight w:val="none"/>
        </w:rPr>
        <w:t>指定我单位人员(姓名: _____________ 身份证号码：___________</w:t>
      </w:r>
      <w:r>
        <w:rPr>
          <w:rFonts w:hint="default" w:ascii="Times New Roman" w:hAnsi="Times New Roman" w:cs="Times New Roman"/>
          <w:b/>
          <w:sz w:val="21"/>
          <w:szCs w:val="21"/>
          <w:highlight w:val="none"/>
          <w:u w:val="single"/>
        </w:rPr>
        <w:t xml:space="preserve">     </w:t>
      </w:r>
      <w:r>
        <w:rPr>
          <w:rFonts w:hint="default" w:ascii="Times New Roman" w:hAnsi="Times New Roman" w:cs="Times New Roman"/>
          <w:b/>
          <w:sz w:val="21"/>
          <w:szCs w:val="21"/>
          <w:highlight w:val="none"/>
        </w:rPr>
        <w:t>联系电话：_____________)全权代表我方联系和协调处理投标过程中的有关事项。</w:t>
      </w:r>
    </w:p>
    <w:p>
      <w:pPr>
        <w:pageBreakBefore w:val="0"/>
        <w:widowControl w:val="0"/>
        <w:tabs>
          <w:tab w:val="left" w:pos="8820"/>
        </w:tabs>
        <w:kinsoku/>
        <w:overflowPunct/>
        <w:topLinePunct w:val="0"/>
        <w:bidi w:val="0"/>
        <w:spacing w:after="0" w:line="264" w:lineRule="auto"/>
        <w:ind w:firstLine="420" w:firstLineChars="200"/>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上述承诺事项已认真逐项核对，均表达我单位真实意见，愿承担任何责任。若有任何弄虚作假内容或未遵守上述约定的，经查实后，愿意放弃投标及中标资格，如由此给采购人造成损失的，我方愿意承担赔偿责任。如我单位违反上述承诺事项，无条件接受义乌市财政局或相关监管部门作出的任何管理和处理决定，并自愿承担一切不利的后果。</w:t>
      </w:r>
    </w:p>
    <w:p>
      <w:pPr>
        <w:pageBreakBefore w:val="0"/>
        <w:widowControl w:val="0"/>
        <w:kinsoku/>
        <w:overflowPunct/>
        <w:topLinePunct w:val="0"/>
        <w:bidi w:val="0"/>
        <w:spacing w:after="0" w:line="264" w:lineRule="auto"/>
        <w:rPr>
          <w:rFonts w:hint="default" w:ascii="Times New Roman" w:hAnsi="Times New Roman" w:cs="Times New Roman"/>
          <w:sz w:val="21"/>
          <w:szCs w:val="21"/>
          <w:highlight w:val="none"/>
        </w:rPr>
      </w:pPr>
    </w:p>
    <w:p>
      <w:pPr>
        <w:pageBreakBefore w:val="0"/>
        <w:widowControl w:val="0"/>
        <w:kinsoku/>
        <w:overflowPunct/>
        <w:topLinePunct w:val="0"/>
        <w:bidi w:val="0"/>
        <w:spacing w:after="0" w:line="264" w:lineRule="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投标人（电子签章）：                                  年  月  日</w:t>
      </w:r>
    </w:p>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bookmarkStart w:id="215" w:name="_Toc31194_WPSOffice_Level2"/>
    </w:p>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r>
        <w:rPr>
          <w:rFonts w:hint="default" w:ascii="Times New Roman" w:hAnsi="Times New Roman" w:cs="Times New Roman" w:eastAsiaTheme="minorEastAsia"/>
          <w:b/>
          <w:bCs/>
          <w:sz w:val="36"/>
          <w:szCs w:val="36"/>
          <w:highlight w:val="none"/>
        </w:rPr>
        <w:t>参投货物说明一览表（格式）</w:t>
      </w: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招标编号：</w:t>
      </w:r>
      <w:r>
        <w:rPr>
          <w:rFonts w:hint="default" w:ascii="Times New Roman" w:hAnsi="Times New Roman" w:cs="Times New Roman" w:eastAsiaTheme="minorEastAsia"/>
          <w:color w:val="FF0000"/>
          <w:highlight w:val="none"/>
        </w:rPr>
        <w:t>YWCG2020131GK</w:t>
      </w:r>
    </w:p>
    <w:tbl>
      <w:tblPr>
        <w:tblStyle w:val="56"/>
        <w:tblW w:w="96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055"/>
        <w:gridCol w:w="1395"/>
        <w:gridCol w:w="1365"/>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highlight w:val="none"/>
              </w:rPr>
            </w:pPr>
            <w:r>
              <w:rPr>
                <w:rFonts w:hint="default" w:ascii="Times New Roman" w:hAnsi="Times New Roman" w:cs="Times New Roman" w:eastAsiaTheme="minorEastAsia"/>
                <w:b/>
                <w:bCs/>
                <w:highlight w:val="none"/>
              </w:rPr>
              <w:t>序号</w:t>
            </w:r>
          </w:p>
        </w:tc>
        <w:tc>
          <w:tcPr>
            <w:tcW w:w="205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highlight w:val="none"/>
              </w:rPr>
            </w:pPr>
            <w:r>
              <w:rPr>
                <w:rFonts w:hint="default" w:ascii="Times New Roman" w:hAnsi="Times New Roman" w:cs="Times New Roman" w:eastAsiaTheme="minorEastAsia"/>
                <w:b/>
                <w:bCs/>
                <w:highlight w:val="none"/>
              </w:rPr>
              <w:t>名称</w:t>
            </w:r>
          </w:p>
        </w:tc>
        <w:tc>
          <w:tcPr>
            <w:tcW w:w="139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highlight w:val="none"/>
              </w:rPr>
            </w:pPr>
            <w:r>
              <w:rPr>
                <w:rFonts w:hint="default" w:ascii="Times New Roman" w:hAnsi="Times New Roman" w:cs="Times New Roman" w:eastAsiaTheme="minorEastAsia"/>
                <w:b/>
                <w:bCs/>
                <w:highlight w:val="none"/>
              </w:rPr>
              <w:t>数量</w:t>
            </w:r>
          </w:p>
        </w:tc>
        <w:tc>
          <w:tcPr>
            <w:tcW w:w="136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highlight w:val="none"/>
              </w:rPr>
            </w:pPr>
            <w:r>
              <w:rPr>
                <w:rFonts w:hint="default" w:ascii="Times New Roman" w:hAnsi="Times New Roman" w:cs="Times New Roman" w:eastAsiaTheme="minorEastAsia"/>
                <w:b/>
                <w:bCs/>
                <w:highlight w:val="none"/>
              </w:rPr>
              <w:t>品牌型号</w:t>
            </w:r>
          </w:p>
        </w:tc>
        <w:tc>
          <w:tcPr>
            <w:tcW w:w="3834"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highlight w:val="none"/>
              </w:rPr>
            </w:pPr>
            <w:r>
              <w:rPr>
                <w:rFonts w:hint="default" w:ascii="Times New Roman" w:hAnsi="Times New Roman" w:cs="Times New Roman" w:eastAsiaTheme="minorEastAsia"/>
                <w:b/>
                <w:bCs/>
                <w:highlight w:val="none"/>
              </w:rPr>
              <w:t>规格及技术参数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4</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5</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6</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7</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8</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9</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10</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11</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12</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13</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14</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1016" w:type="dxa"/>
            <w:vAlign w:val="center"/>
          </w:tcPr>
          <w:p>
            <w:pPr>
              <w:pStyle w:val="29"/>
              <w:pageBreakBefore w:val="0"/>
              <w:widowControl w:val="0"/>
              <w:kinsoku/>
              <w:overflowPunct/>
              <w:topLinePunct w:val="0"/>
              <w:bidi w:val="0"/>
              <w:adjustRightInd w:val="0"/>
              <w:snapToGrid w:val="0"/>
              <w:spacing w:after="0" w:line="264" w:lineRule="auto"/>
              <w:jc w:val="center"/>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w:t>
            </w:r>
          </w:p>
        </w:tc>
        <w:tc>
          <w:tcPr>
            <w:tcW w:w="2055" w:type="dxa"/>
            <w:vAlign w:val="center"/>
          </w:tcPr>
          <w:p>
            <w:pPr>
              <w:pageBreakBefore w:val="0"/>
              <w:widowControl w:val="0"/>
              <w:kinsoku/>
              <w:overflowPunct/>
              <w:topLinePunct w:val="0"/>
              <w:bidi w:val="0"/>
              <w:spacing w:after="0" w:line="264" w:lineRule="auto"/>
              <w:jc w:val="center"/>
              <w:textAlignment w:val="bottom"/>
              <w:rPr>
                <w:rFonts w:hint="default" w:ascii="Times New Roman" w:hAnsi="Times New Roman" w:cs="Times New Roman" w:eastAsiaTheme="minorEastAsia"/>
                <w:highlight w:val="none"/>
              </w:rPr>
            </w:pPr>
          </w:p>
        </w:tc>
        <w:tc>
          <w:tcPr>
            <w:tcW w:w="1395"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365" w:type="dxa"/>
            <w:vAlign w:val="center"/>
          </w:tcPr>
          <w:p>
            <w:pPr>
              <w:pageBreakBefore w:val="0"/>
              <w:widowControl w:val="0"/>
              <w:kinsoku/>
              <w:overflowPunct/>
              <w:topLinePunct w:val="0"/>
              <w:bidi w:val="0"/>
              <w:adjustRightInd w:val="0"/>
              <w:spacing w:after="0" w:line="264" w:lineRule="auto"/>
              <w:jc w:val="center"/>
              <w:rPr>
                <w:rFonts w:hint="default" w:ascii="Times New Roman" w:hAnsi="Times New Roman" w:cs="Times New Roman" w:eastAsiaTheme="minorEastAsia"/>
                <w:szCs w:val="20"/>
                <w:highlight w:val="none"/>
              </w:rPr>
            </w:pPr>
          </w:p>
        </w:tc>
        <w:tc>
          <w:tcPr>
            <w:tcW w:w="3834" w:type="dxa"/>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bl>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投标人名称（电子签章）：</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 xml:space="preserve">  </w:t>
      </w: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日 期：      年    月      日</w:t>
      </w:r>
    </w:p>
    <w:p>
      <w:pPr>
        <w:pageBreakBefore w:val="0"/>
        <w:widowControl w:val="0"/>
        <w:kinsoku/>
        <w:overflowPunct/>
        <w:topLinePunct w:val="0"/>
        <w:bidi w:val="0"/>
        <w:spacing w:after="0" w:line="264" w:lineRule="auto"/>
        <w:rPr>
          <w:rFonts w:hint="default" w:ascii="Times New Roman" w:hAnsi="Times New Roman" w:cs="Times New Roman" w:eastAsiaTheme="minorEastAsia"/>
          <w:bCs/>
          <w:highlight w:val="none"/>
        </w:rPr>
      </w:pPr>
    </w:p>
    <w:p>
      <w:pPr>
        <w:pageBreakBefore w:val="0"/>
        <w:widowControl w:val="0"/>
        <w:kinsoku/>
        <w:overflowPunct/>
        <w:topLinePunct w:val="0"/>
        <w:bidi w:val="0"/>
        <w:spacing w:after="0" w:line="264" w:lineRule="auto"/>
        <w:rPr>
          <w:rFonts w:hint="default" w:ascii="Times New Roman" w:hAnsi="Times New Roman" w:cs="Times New Roman" w:eastAsiaTheme="minorEastAsia"/>
          <w:bCs/>
          <w:highlight w:val="none"/>
        </w:rPr>
      </w:pPr>
    </w:p>
    <w:p>
      <w:pPr>
        <w:pageBreakBefore w:val="0"/>
        <w:widowControl w:val="0"/>
        <w:kinsoku/>
        <w:overflowPunct/>
        <w:topLinePunct w:val="0"/>
        <w:bidi w:val="0"/>
        <w:spacing w:after="0" w:line="264" w:lineRule="auto"/>
        <w:rPr>
          <w:rFonts w:hint="default" w:ascii="Times New Roman" w:hAnsi="Times New Roman" w:cs="Times New Roman" w:eastAsiaTheme="minorEastAsia"/>
          <w:bCs/>
          <w:highlight w:val="none"/>
        </w:rPr>
      </w:pPr>
      <w:r>
        <w:rPr>
          <w:rFonts w:hint="default" w:ascii="Times New Roman" w:hAnsi="Times New Roman" w:cs="Times New Roman" w:eastAsiaTheme="minorEastAsia"/>
          <w:bCs/>
          <w:highlight w:val="none"/>
        </w:rPr>
        <w:t>备注：</w:t>
      </w:r>
    </w:p>
    <w:p>
      <w:pPr>
        <w:pageBreakBefore w:val="0"/>
        <w:widowControl w:val="0"/>
        <w:kinsoku/>
        <w:overflowPunct/>
        <w:topLinePunct w:val="0"/>
        <w:bidi w:val="0"/>
        <w:spacing w:after="0" w:line="264" w:lineRule="auto"/>
        <w:rPr>
          <w:rFonts w:hint="default" w:ascii="Times New Roman" w:hAnsi="Times New Roman" w:cs="Times New Roman" w:eastAsiaTheme="minorEastAsia"/>
          <w:bCs/>
          <w:szCs w:val="21"/>
          <w:highlight w:val="none"/>
        </w:rPr>
      </w:pPr>
      <w:r>
        <w:rPr>
          <w:rFonts w:hint="default" w:ascii="Times New Roman" w:hAnsi="Times New Roman" w:cs="Times New Roman" w:eastAsiaTheme="minorEastAsia"/>
          <w:highlight w:val="none"/>
        </w:rPr>
        <w:t>1.</w:t>
      </w:r>
      <w:r>
        <w:rPr>
          <w:rFonts w:hint="default" w:ascii="Times New Roman" w:hAnsi="Times New Roman" w:cs="Times New Roman" w:eastAsiaTheme="minorEastAsia"/>
          <w:bCs/>
          <w:szCs w:val="21"/>
          <w:highlight w:val="none"/>
        </w:rPr>
        <w:t>此表在不改变格式的情况下可自行制作。</w:t>
      </w: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r>
        <w:rPr>
          <w:rFonts w:hint="default" w:ascii="Times New Roman" w:hAnsi="Times New Roman" w:cs="Times New Roman" w:eastAsiaTheme="minorEastAsia"/>
          <w:b/>
          <w:bCs/>
          <w:sz w:val="36"/>
          <w:szCs w:val="36"/>
          <w:highlight w:val="none"/>
        </w:rPr>
        <w:t>规范偏离表（格式）</w:t>
      </w: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招标编号：</w:t>
      </w:r>
      <w:r>
        <w:rPr>
          <w:rFonts w:hint="default" w:ascii="Times New Roman" w:hAnsi="Times New Roman" w:cs="Times New Roman" w:eastAsiaTheme="minorEastAsia"/>
          <w:color w:val="FF0000"/>
          <w:highlight w:val="none"/>
        </w:rPr>
        <w:t>YWCG2020131GK</w:t>
      </w:r>
    </w:p>
    <w:tbl>
      <w:tblPr>
        <w:tblStyle w:val="56"/>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1701"/>
        <w:gridCol w:w="1984"/>
        <w:gridCol w:w="1843"/>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540"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招标文件</w:t>
            </w:r>
          </w:p>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规范要求</w:t>
            </w:r>
          </w:p>
        </w:tc>
        <w:tc>
          <w:tcPr>
            <w:tcW w:w="184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投标文件</w:t>
            </w:r>
          </w:p>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对应规范</w:t>
            </w:r>
          </w:p>
        </w:tc>
        <w:tc>
          <w:tcPr>
            <w:tcW w:w="258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偏离情况</w:t>
            </w:r>
          </w:p>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restart"/>
            <w:tcBorders>
              <w:top w:val="single" w:color="auto" w:sz="4" w:space="0"/>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商务偏离</w:t>
            </w: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restart"/>
            <w:tcBorders>
              <w:top w:val="single" w:color="auto" w:sz="4" w:space="0"/>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技术</w:t>
            </w: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偏离</w:t>
            </w: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 w:hRule="atLeast"/>
          <w:jc w:val="center"/>
        </w:trPr>
        <w:tc>
          <w:tcPr>
            <w:tcW w:w="540" w:type="dxa"/>
            <w:vMerge w:val="continue"/>
            <w:tcBorders>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81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701"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984"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1843"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c>
          <w:tcPr>
            <w:tcW w:w="2587" w:type="dxa"/>
            <w:tcBorders>
              <w:top w:val="single" w:color="auto" w:sz="4" w:space="0"/>
              <w:left w:val="single" w:color="auto" w:sz="4" w:space="0"/>
              <w:bottom w:val="single" w:color="auto" w:sz="4" w:space="0"/>
              <w:right w:val="single" w:color="auto" w:sz="4" w:space="0"/>
            </w:tcBorders>
          </w:tcPr>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p>
        </w:tc>
      </w:tr>
    </w:tbl>
    <w:p>
      <w:pPr>
        <w:pageBreakBefore w:val="0"/>
        <w:widowControl w:val="0"/>
        <w:kinsoku/>
        <w:overflowPunct/>
        <w:topLinePunct w:val="0"/>
        <w:bidi w:val="0"/>
        <w:spacing w:after="0" w:line="264" w:lineRule="auto"/>
        <w:ind w:firstLine="4320" w:firstLineChars="180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4320" w:firstLineChars="18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投标人名称（电子签章）：</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 xml:space="preserve">  </w:t>
      </w:r>
    </w:p>
    <w:p>
      <w:pPr>
        <w:pageBreakBefore w:val="0"/>
        <w:widowControl w:val="0"/>
        <w:kinsoku/>
        <w:overflowPunct/>
        <w:topLinePunct w:val="0"/>
        <w:bidi w:val="0"/>
        <w:spacing w:after="0" w:line="264" w:lineRule="auto"/>
        <w:ind w:firstLine="5760" w:firstLineChars="24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日 期：</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年</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月</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日</w:t>
      </w:r>
    </w:p>
    <w:p>
      <w:pPr>
        <w:pStyle w:val="29"/>
        <w:pageBreakBefore w:val="0"/>
        <w:widowControl w:val="0"/>
        <w:kinsoku/>
        <w:overflowPunct/>
        <w:topLinePunct w:val="0"/>
        <w:bidi w:val="0"/>
        <w:spacing w:after="0" w:line="264"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注：1、投标方应仔细对第三章招标项目要求进行逐条分析，如投标内容与招标文件内容有不一致的，则须在上表中列明并详细填写。</w:t>
      </w:r>
    </w:p>
    <w:p>
      <w:pPr>
        <w:pStyle w:val="29"/>
        <w:pageBreakBefore w:val="0"/>
        <w:widowControl w:val="0"/>
        <w:kinsoku/>
        <w:overflowPunct/>
        <w:topLinePunct w:val="0"/>
        <w:bidi w:val="0"/>
        <w:spacing w:after="0" w:line="264"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2、如招标文件内容与投标文件内容都一致的，则本表可以在相关的签字、盖章后，不需要填写其它内容或在“偏离情况详细说明”栏内只填写一个无字。</w:t>
      </w:r>
    </w:p>
    <w:p>
      <w:pPr>
        <w:pStyle w:val="29"/>
        <w:pageBreakBefore w:val="0"/>
        <w:widowControl w:val="0"/>
        <w:kinsoku/>
        <w:overflowPunct/>
        <w:topLinePunct w:val="0"/>
        <w:bidi w:val="0"/>
        <w:spacing w:after="0" w:line="264"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3、此表在不改变表式内容的情况下可自行制作。</w:t>
      </w:r>
    </w:p>
    <w:p>
      <w:pPr>
        <w:rPr>
          <w:rFonts w:hint="default" w:ascii="Times New Roman" w:hAnsi="Times New Roman" w:cs="Times New Roman" w:eastAsiaTheme="minorEastAsia"/>
          <w:sz w:val="24"/>
          <w:szCs w:val="24"/>
          <w:highlight w:val="none"/>
        </w:rPr>
      </w:pPr>
    </w:p>
    <w:p>
      <w:pPr>
        <w:pStyle w:val="2"/>
        <w:rPr>
          <w:rFonts w:hint="default" w:ascii="Times New Roman" w:hAnsi="Times New Roman" w:cs="Times New Roman" w:eastAsiaTheme="minorEastAsia"/>
          <w:sz w:val="24"/>
          <w:szCs w:val="24"/>
          <w:highlight w:val="none"/>
        </w:rPr>
      </w:pPr>
    </w:p>
    <w:p>
      <w:pPr>
        <w:pStyle w:val="2"/>
        <w:rPr>
          <w:rFonts w:hint="default" w:ascii="Times New Roman" w:hAnsi="Times New Roman" w:cs="Times New Roman" w:eastAsiaTheme="minorEastAsia"/>
          <w:sz w:val="24"/>
          <w:szCs w:val="24"/>
          <w:highlight w:val="none"/>
        </w:rPr>
      </w:pPr>
    </w:p>
    <w:p>
      <w:pPr>
        <w:pStyle w:val="2"/>
        <w:rPr>
          <w:rFonts w:hint="default" w:ascii="Times New Roman" w:hAnsi="Times New Roman" w:cs="Times New Roman" w:eastAsiaTheme="minorEastAsia"/>
          <w:sz w:val="24"/>
          <w:szCs w:val="24"/>
          <w:highlight w:val="none"/>
        </w:rPr>
      </w:pPr>
    </w:p>
    <w:p>
      <w:pPr>
        <w:pageBreakBefore w:val="0"/>
        <w:kinsoku/>
        <w:overflowPunct/>
        <w:topLinePunct w:val="0"/>
        <w:bidi w:val="0"/>
        <w:spacing w:after="0" w:line="264" w:lineRule="auto"/>
        <w:jc w:val="center"/>
        <w:rPr>
          <w:rFonts w:hint="default" w:ascii="Times New Roman" w:hAnsi="Times New Roman" w:cs="Times New Roman" w:eastAsiaTheme="minorEastAsia"/>
          <w:highlight w:val="none"/>
        </w:rPr>
      </w:pPr>
    </w:p>
    <w:p>
      <w:pPr>
        <w:pageBreakBefore w:val="0"/>
        <w:kinsoku/>
        <w:overflowPunct/>
        <w:topLinePunct w:val="0"/>
        <w:bidi w:val="0"/>
        <w:spacing w:after="0" w:line="264" w:lineRule="auto"/>
        <w:jc w:val="center"/>
        <w:rPr>
          <w:rFonts w:hint="default" w:ascii="Times New Roman" w:hAnsi="Times New Roman" w:cs="Times New Roman" w:eastAsiaTheme="minorEastAsia"/>
          <w:highlight w:val="none"/>
        </w:rPr>
      </w:pPr>
    </w:p>
    <w:p>
      <w:pPr>
        <w:pageBreakBefore w:val="0"/>
        <w:kinsoku/>
        <w:overflowPunct/>
        <w:topLinePunct w:val="0"/>
        <w:bidi w:val="0"/>
        <w:spacing w:after="0" w:line="264" w:lineRule="auto"/>
        <w:jc w:val="center"/>
        <w:rPr>
          <w:rFonts w:hint="default" w:ascii="Times New Roman" w:hAnsi="Times New Roman" w:cs="Times New Roman" w:eastAsiaTheme="minorEastAsia"/>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r>
        <w:rPr>
          <w:rFonts w:hint="default" w:ascii="Times New Roman" w:hAnsi="Times New Roman" w:cs="Times New Roman" w:eastAsiaTheme="minorEastAsia"/>
          <w:b/>
          <w:bCs/>
          <w:sz w:val="36"/>
          <w:szCs w:val="36"/>
          <w:highlight w:val="none"/>
        </w:rPr>
        <w:t>项目经理简历表（格式）</w:t>
      </w: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投标单位：</w:t>
      </w:r>
      <w:r>
        <w:rPr>
          <w:rFonts w:hint="default" w:ascii="Times New Roman" w:hAnsi="Times New Roman" w:cs="Times New Roman" w:eastAsiaTheme="minorEastAsia"/>
          <w:highlight w:val="none"/>
          <w:u w:val="single"/>
        </w:rPr>
        <w:t>（电子签章）</w:t>
      </w:r>
      <w:r>
        <w:rPr>
          <w:rFonts w:hint="default" w:ascii="Times New Roman" w:hAnsi="Times New Roman" w:cs="Times New Roman" w:eastAsiaTheme="minorEastAsia"/>
          <w:highlight w:val="none"/>
        </w:rPr>
        <w:t xml:space="preserve">                              招标编号：</w:t>
      </w:r>
      <w:r>
        <w:rPr>
          <w:rFonts w:hint="default" w:ascii="Times New Roman" w:hAnsi="Times New Roman" w:cs="Times New Roman" w:eastAsiaTheme="minorEastAsia"/>
          <w:color w:val="FF0000"/>
          <w:highlight w:val="none"/>
        </w:rPr>
        <w:t>YWCG2020131GK</w:t>
      </w:r>
    </w:p>
    <w:tbl>
      <w:tblPr>
        <w:tblStyle w:val="56"/>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7"/>
        <w:gridCol w:w="1241"/>
        <w:gridCol w:w="231"/>
        <w:gridCol w:w="433"/>
        <w:gridCol w:w="526"/>
        <w:gridCol w:w="277"/>
        <w:gridCol w:w="577"/>
        <w:gridCol w:w="535"/>
        <w:gridCol w:w="127"/>
        <w:gridCol w:w="327"/>
        <w:gridCol w:w="712"/>
        <w:gridCol w:w="289"/>
        <w:gridCol w:w="452"/>
        <w:gridCol w:w="605"/>
        <w:gridCol w:w="96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125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姓名</w:t>
            </w:r>
          </w:p>
        </w:tc>
        <w:tc>
          <w:tcPr>
            <w:tcW w:w="124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664"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性别</w:t>
            </w:r>
          </w:p>
        </w:tc>
        <w:tc>
          <w:tcPr>
            <w:tcW w:w="526"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854"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年龄</w:t>
            </w:r>
          </w:p>
        </w:tc>
        <w:tc>
          <w:tcPr>
            <w:tcW w:w="53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454"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ind w:right="-110" w:rightChars="-46"/>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学历</w:t>
            </w:r>
          </w:p>
        </w:tc>
        <w:tc>
          <w:tcPr>
            <w:tcW w:w="71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74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职称</w:t>
            </w:r>
          </w:p>
        </w:tc>
        <w:tc>
          <w:tcPr>
            <w:tcW w:w="276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252"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职务</w:t>
            </w:r>
          </w:p>
        </w:tc>
        <w:tc>
          <w:tcPr>
            <w:tcW w:w="124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90"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参加工作</w:t>
            </w:r>
          </w:p>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时间</w:t>
            </w:r>
          </w:p>
        </w:tc>
        <w:tc>
          <w:tcPr>
            <w:tcW w:w="854" w:type="dxa"/>
            <w:gridSpan w:val="2"/>
            <w:tcBorders>
              <w:top w:val="single" w:color="auto" w:sz="4" w:space="0"/>
              <w:left w:val="single" w:color="auto" w:sz="4" w:space="0"/>
              <w:bottom w:val="single" w:color="auto" w:sz="4" w:space="0"/>
              <w:right w:val="single" w:color="auto" w:sz="4" w:space="0"/>
            </w:tcBorders>
          </w:tcPr>
          <w:p>
            <w:pPr>
              <w:pageBreakBefore w:val="0"/>
              <w:widowControl w:val="0"/>
              <w:tabs>
                <w:tab w:val="left" w:pos="632"/>
              </w:tabs>
              <w:kinsoku/>
              <w:overflowPunct/>
              <w:topLinePunct w:val="0"/>
              <w:bidi w:val="0"/>
              <w:spacing w:after="0" w:line="264" w:lineRule="auto"/>
              <w:jc w:val="righ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年</w:t>
            </w:r>
          </w:p>
          <w:p>
            <w:pPr>
              <w:pageBreakBefore w:val="0"/>
              <w:widowControl w:val="0"/>
              <w:tabs>
                <w:tab w:val="left" w:pos="632"/>
              </w:tabs>
              <w:kinsoku/>
              <w:overflowPunct/>
              <w:topLinePunct w:val="0"/>
              <w:bidi w:val="0"/>
              <w:spacing w:after="0" w:line="264" w:lineRule="auto"/>
              <w:jc w:val="righ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月</w:t>
            </w:r>
          </w:p>
        </w:tc>
        <w:tc>
          <w:tcPr>
            <w:tcW w:w="1701" w:type="dxa"/>
            <w:gridSpan w:val="4"/>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从事类似</w:t>
            </w:r>
          </w:p>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工作年限</w:t>
            </w:r>
          </w:p>
        </w:tc>
        <w:tc>
          <w:tcPr>
            <w:tcW w:w="3509" w:type="dxa"/>
            <w:gridSpan w:val="5"/>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9747" w:type="dxa"/>
            <w:gridSpan w:val="17"/>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近三年负责完成的类似项目情况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93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序号</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业主单位</w:t>
            </w:r>
          </w:p>
        </w:tc>
        <w:tc>
          <w:tcPr>
            <w:tcW w:w="123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项目名称</w:t>
            </w:r>
          </w:p>
        </w:tc>
        <w:tc>
          <w:tcPr>
            <w:tcW w:w="12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项目内容</w:t>
            </w: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开竣工日期</w:t>
            </w:r>
          </w:p>
        </w:tc>
        <w:tc>
          <w:tcPr>
            <w:tcW w:w="1057" w:type="dxa"/>
            <w:gridSpan w:val="2"/>
            <w:tcBorders>
              <w:top w:val="single" w:color="auto" w:sz="4" w:space="0"/>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质量等级</w:t>
            </w:r>
          </w:p>
        </w:tc>
        <w:tc>
          <w:tcPr>
            <w:tcW w:w="966" w:type="dxa"/>
            <w:tcBorders>
              <w:top w:val="single" w:color="auto" w:sz="4" w:space="0"/>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联系人</w:t>
            </w:r>
          </w:p>
        </w:tc>
        <w:tc>
          <w:tcPr>
            <w:tcW w:w="1197" w:type="dxa"/>
            <w:tcBorders>
              <w:top w:val="single" w:color="auto" w:sz="4" w:space="0"/>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57" w:type="dxa"/>
            <w:gridSpan w:val="2"/>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66"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97"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2</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57" w:type="dxa"/>
            <w:gridSpan w:val="2"/>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66"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97"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3</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57" w:type="dxa"/>
            <w:gridSpan w:val="2"/>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66"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97"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4</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57" w:type="dxa"/>
            <w:gridSpan w:val="2"/>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66"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97"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5</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57" w:type="dxa"/>
            <w:gridSpan w:val="2"/>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66"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97"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4" w:hRule="exact"/>
        </w:trPr>
        <w:tc>
          <w:tcPr>
            <w:tcW w:w="935"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6</w:t>
            </w:r>
          </w:p>
        </w:tc>
        <w:tc>
          <w:tcPr>
            <w:tcW w:w="178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6"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239"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28" w:type="dxa"/>
            <w:gridSpan w:val="3"/>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57" w:type="dxa"/>
            <w:gridSpan w:val="2"/>
            <w:tcBorders>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66" w:type="dxa"/>
            <w:tcBorders>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97" w:type="dxa"/>
            <w:tcBorders>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bl>
    <w:p>
      <w:pPr>
        <w:pStyle w:val="29"/>
        <w:pageBreakBefore w:val="0"/>
        <w:widowControl w:val="0"/>
        <w:kinsoku/>
        <w:overflowPunct/>
        <w:topLinePunct w:val="0"/>
        <w:bidi w:val="0"/>
        <w:spacing w:after="0" w:line="264"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注：1、本表须置于投标响应文件中。</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2、项目经理如有技术等级或职称证书，需将证书扫描件附于表后。</w:t>
      </w:r>
    </w:p>
    <w:p>
      <w:pPr>
        <w:pStyle w:val="29"/>
        <w:pageBreakBefore w:val="0"/>
        <w:widowControl w:val="0"/>
        <w:kinsoku/>
        <w:overflowPunct/>
        <w:topLinePunct w:val="0"/>
        <w:bidi w:val="0"/>
        <w:spacing w:after="0" w:line="264" w:lineRule="auto"/>
        <w:ind w:left="480" w:left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项目经理需提供近三个月的个人社保缴费清单。（社保缴费清单要求是相应人员近三个月的在该单位任职的个人社保缴费清单，如投标单位新成立不足三个月的，按实际缴纳情况提供相应人员在该单位的社保缴费清单，社保缴费清单需加盖缴费当地社保机构公章或业务章。近三个月指的是从2020年</w:t>
      </w:r>
      <w:r>
        <w:rPr>
          <w:rFonts w:hint="default" w:ascii="Times New Roman" w:hAnsi="Times New Roman" w:cs="Times New Roman" w:eastAsiaTheme="minorEastAsia"/>
          <w:sz w:val="24"/>
          <w:szCs w:val="24"/>
          <w:highlight w:val="none"/>
          <w:lang w:val="en-US" w:eastAsia="zh-CN"/>
        </w:rPr>
        <w:t>9</w:t>
      </w:r>
      <w:r>
        <w:rPr>
          <w:rFonts w:hint="default" w:ascii="Times New Roman" w:hAnsi="Times New Roman" w:cs="Times New Roman" w:eastAsiaTheme="minorEastAsia"/>
          <w:sz w:val="24"/>
          <w:szCs w:val="24"/>
          <w:highlight w:val="none"/>
        </w:rPr>
        <w:t>月01日至投标截止时止期间中任何一个连续三个月）</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4、本表可在不改变格式的情况下自行制作。</w:t>
      </w:r>
    </w:p>
    <w:p>
      <w:pPr>
        <w:rPr>
          <w:rFonts w:hint="default" w:ascii="Times New Roman" w:hAnsi="Times New Roman" w:cs="Times New Roman" w:eastAsiaTheme="minorEastAsia"/>
          <w:sz w:val="24"/>
          <w:szCs w:val="24"/>
          <w:highlight w:val="none"/>
        </w:rPr>
      </w:pPr>
    </w:p>
    <w:p>
      <w:pPr>
        <w:pStyle w:val="2"/>
        <w:rPr>
          <w:rFonts w:hint="default" w:ascii="Times New Roman" w:hAnsi="Times New Roman" w:cs="Times New Roman" w:eastAsiaTheme="minorEastAsia"/>
          <w:sz w:val="24"/>
          <w:szCs w:val="24"/>
          <w:highlight w:val="none"/>
        </w:rPr>
      </w:pPr>
    </w:p>
    <w:p>
      <w:pPr>
        <w:pStyle w:val="2"/>
        <w:rPr>
          <w:rFonts w:hint="default" w:ascii="Times New Roman" w:hAnsi="Times New Roman" w:cs="Times New Roman" w:eastAsiaTheme="minorEastAsia"/>
          <w:sz w:val="24"/>
          <w:szCs w:val="24"/>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r>
        <w:rPr>
          <w:rFonts w:hint="default" w:ascii="Times New Roman" w:hAnsi="Times New Roman" w:cs="Times New Roman" w:eastAsiaTheme="minorEastAsia"/>
          <w:b/>
          <w:bCs/>
          <w:sz w:val="36"/>
          <w:szCs w:val="36"/>
          <w:highlight w:val="none"/>
        </w:rPr>
        <w:t>项目组成主要成员表（格式）</w:t>
      </w: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投标单位：</w:t>
      </w:r>
      <w:r>
        <w:rPr>
          <w:rFonts w:hint="default" w:ascii="Times New Roman" w:hAnsi="Times New Roman" w:cs="Times New Roman" w:eastAsiaTheme="minorEastAsia"/>
          <w:highlight w:val="none"/>
          <w:u w:val="single"/>
        </w:rPr>
        <w:t xml:space="preserve">（电子签章）  </w:t>
      </w:r>
      <w:r>
        <w:rPr>
          <w:rFonts w:hint="default" w:ascii="Times New Roman" w:hAnsi="Times New Roman" w:cs="Times New Roman" w:eastAsiaTheme="minorEastAsia"/>
          <w:highlight w:val="none"/>
        </w:rPr>
        <w:t xml:space="preserve">                          招标编号：</w:t>
      </w:r>
      <w:r>
        <w:rPr>
          <w:rFonts w:hint="default" w:ascii="Times New Roman" w:hAnsi="Times New Roman" w:cs="Times New Roman" w:eastAsiaTheme="minorEastAsia"/>
          <w:color w:val="FF0000"/>
          <w:highlight w:val="none"/>
        </w:rPr>
        <w:t>YWCG2020131GK</w:t>
      </w:r>
    </w:p>
    <w:tbl>
      <w:tblPr>
        <w:tblStyle w:val="56"/>
        <w:tblW w:w="98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332"/>
        <w:gridCol w:w="933"/>
        <w:gridCol w:w="1177"/>
        <w:gridCol w:w="1081"/>
        <w:gridCol w:w="1773"/>
        <w:gridCol w:w="1399"/>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序号</w:t>
            </w: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姓名</w:t>
            </w: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性别</w:t>
            </w: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技术等级或职称</w:t>
            </w: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岗位</w:t>
            </w: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从事该岗位时间</w:t>
            </w: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工作经验</w:t>
            </w: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tabs>
                <w:tab w:val="left" w:pos="510"/>
              </w:tabs>
              <w:kinsoku/>
              <w:overflowPunct/>
              <w:topLinePunct w:val="0"/>
              <w:bidi w:val="0"/>
              <w:spacing w:after="0" w:line="264" w:lineRule="auto"/>
              <w:jc w:val="center"/>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p>
          <w:p>
            <w:pPr>
              <w:pStyle w:val="2"/>
              <w:pageBreakBefore w:val="0"/>
              <w:kinsoku/>
              <w:overflowPunct/>
              <w:topLinePunct w:val="0"/>
              <w:bidi w:val="0"/>
              <w:spacing w:after="0" w:line="264" w:lineRule="auto"/>
              <w:ind w:left="480" w:firstLine="480"/>
              <w:rPr>
                <w:rFonts w:hint="default" w:ascii="Times New Roman" w:hAnsi="Times New Roman" w:cs="Times New Roman"/>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exact"/>
          <w:jc w:val="center"/>
        </w:trPr>
        <w:tc>
          <w:tcPr>
            <w:tcW w:w="73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32"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081"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773"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c>
          <w:tcPr>
            <w:tcW w:w="1399" w:type="dxa"/>
            <w:tcBorders>
              <w:left w:val="single" w:color="auto" w:sz="4" w:space="0"/>
              <w:right w:val="single" w:color="auto" w:sz="4" w:space="0"/>
            </w:tcBorders>
            <w:vAlign w:val="center"/>
          </w:tcPr>
          <w:p>
            <w:pPr>
              <w:pageBreakBefore w:val="0"/>
              <w:widowControl w:val="0"/>
              <w:kinsoku/>
              <w:overflowPunct/>
              <w:topLinePunct w:val="0"/>
              <w:bidi w:val="0"/>
              <w:spacing w:after="0" w:line="264" w:lineRule="auto"/>
              <w:jc w:val="center"/>
              <w:rPr>
                <w:rFonts w:hint="default" w:ascii="Times New Roman" w:hAnsi="Times New Roman" w:cs="Times New Roman" w:eastAsiaTheme="minorEastAsia"/>
                <w:highlight w:val="none"/>
              </w:rPr>
            </w:pPr>
          </w:p>
        </w:tc>
      </w:tr>
    </w:tbl>
    <w:p>
      <w:pPr>
        <w:pStyle w:val="29"/>
        <w:pageBreakBefore w:val="0"/>
        <w:widowControl w:val="0"/>
        <w:kinsoku/>
        <w:wordWrap w:val="0"/>
        <w:overflowPunct/>
        <w:topLinePunct w:val="0"/>
        <w:bidi w:val="0"/>
        <w:spacing w:after="0" w:line="264"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注：1、本表须置于投标响应文件中。</w:t>
      </w:r>
    </w:p>
    <w:p>
      <w:pPr>
        <w:pStyle w:val="29"/>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2、项目成员如有技术等级或职称证书，需将证书扫描件附于表后。</w:t>
      </w:r>
    </w:p>
    <w:p>
      <w:pPr>
        <w:pStyle w:val="29"/>
        <w:pageBreakBefore w:val="0"/>
        <w:widowControl w:val="0"/>
        <w:kinsoku/>
        <w:overflowPunct/>
        <w:topLinePunct w:val="0"/>
        <w:bidi w:val="0"/>
        <w:spacing w:after="0" w:line="264" w:lineRule="auto"/>
        <w:ind w:left="480" w:left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项目成员需提供近三个月的个人社保缴费清单。（社保缴费清单要求是相应人员近三个月的在该单位任职的个人社保缴费清单，如投标单位新成立不足三个月的，按实际缴纳情况提供相应人员在该单位的社保缴费清单，社保缴费清单需加盖缴费当地社保机构公章或业务章。近三个月指的是从2020年</w:t>
      </w:r>
      <w:r>
        <w:rPr>
          <w:rFonts w:hint="default" w:ascii="Times New Roman" w:hAnsi="Times New Roman" w:cs="Times New Roman" w:eastAsiaTheme="minorEastAsia"/>
          <w:sz w:val="24"/>
          <w:szCs w:val="24"/>
          <w:highlight w:val="none"/>
          <w:lang w:val="en-US" w:eastAsia="zh-CN"/>
        </w:rPr>
        <w:t>9</w:t>
      </w:r>
      <w:r>
        <w:rPr>
          <w:rFonts w:hint="default" w:ascii="Times New Roman" w:hAnsi="Times New Roman" w:cs="Times New Roman" w:eastAsiaTheme="minorEastAsia"/>
          <w:sz w:val="24"/>
          <w:szCs w:val="24"/>
          <w:highlight w:val="none"/>
        </w:rPr>
        <w:t>月01日至投标截止时止期间中任何一个连续三个月）</w:t>
      </w:r>
    </w:p>
    <w:p>
      <w:pPr>
        <w:pStyle w:val="29"/>
        <w:pageBreakBefore w:val="0"/>
        <w:widowControl w:val="0"/>
        <w:kinsoku/>
        <w:wordWrap w:val="0"/>
        <w:overflowPunct/>
        <w:topLinePunct w:val="0"/>
        <w:bidi w:val="0"/>
        <w:spacing w:after="0" w:line="264" w:lineRule="auto"/>
        <w:ind w:firstLine="480" w:firstLineChars="200"/>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sz w:val="24"/>
          <w:szCs w:val="24"/>
          <w:highlight w:val="none"/>
        </w:rPr>
        <w:t>3、本表可在不改变格式的情况下自行制作。</w:t>
      </w:r>
    </w:p>
    <w:p>
      <w:pPr>
        <w:rPr>
          <w:rFonts w:hint="default" w:ascii="Times New Roman" w:hAnsi="Times New Roman" w:cs="Times New Roman" w:eastAsiaTheme="minorEastAsia"/>
          <w:sz w:val="24"/>
          <w:szCs w:val="24"/>
          <w:highlight w:val="none"/>
        </w:rPr>
      </w:pPr>
    </w:p>
    <w:p>
      <w:pPr>
        <w:pStyle w:val="2"/>
        <w:rPr>
          <w:rFonts w:hint="default" w:ascii="Times New Roman" w:hAnsi="Times New Roman" w:cs="Times New Roman"/>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p>
    <w:p>
      <w:pPr>
        <w:pageBreakBefore w:val="0"/>
        <w:kinsoku/>
        <w:overflowPunct/>
        <w:topLinePunct w:val="0"/>
        <w:bidi w:val="0"/>
        <w:spacing w:after="0" w:line="264" w:lineRule="auto"/>
        <w:rPr>
          <w:rFonts w:hint="default" w:ascii="Times New Roman" w:hAnsi="Times New Roman" w:cs="Times New Roman"/>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eastAsiaTheme="minorEastAsia"/>
          <w:b/>
          <w:bCs/>
          <w:sz w:val="36"/>
          <w:szCs w:val="36"/>
          <w:highlight w:val="none"/>
        </w:rPr>
      </w:pPr>
      <w:r>
        <w:rPr>
          <w:rFonts w:hint="default" w:ascii="Times New Roman" w:hAnsi="Times New Roman" w:cs="Times New Roman" w:eastAsiaTheme="minorEastAsia"/>
          <w:b/>
          <w:bCs/>
          <w:sz w:val="36"/>
          <w:szCs w:val="36"/>
          <w:highlight w:val="none"/>
        </w:rPr>
        <w:t>产品质量及售后服务承诺书（格式）</w:t>
      </w:r>
    </w:p>
    <w:p>
      <w:pPr>
        <w:pageBreakBefore w:val="0"/>
        <w:widowControl w:val="0"/>
        <w:kinsoku/>
        <w:overflowPunct/>
        <w:topLinePunct w:val="0"/>
        <w:bidi w:val="0"/>
        <w:spacing w:after="0" w:line="264" w:lineRule="auto"/>
        <w:ind w:firstLine="480" w:firstLineChars="20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根据贵方</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 xml:space="preserve">年 </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月</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日招标编号为</w:t>
      </w:r>
      <w:r>
        <w:rPr>
          <w:rFonts w:hint="default" w:ascii="Times New Roman" w:hAnsi="Times New Roman" w:cs="Times New Roman" w:eastAsiaTheme="minorEastAsia"/>
          <w:color w:val="FF0000"/>
          <w:highlight w:val="none"/>
          <w:u w:val="single"/>
        </w:rPr>
        <w:t>YWCG2020131GK</w:t>
      </w:r>
      <w:r>
        <w:rPr>
          <w:rFonts w:hint="default" w:ascii="Times New Roman" w:hAnsi="Times New Roman" w:cs="Times New Roman" w:eastAsiaTheme="minorEastAsia"/>
          <w:highlight w:val="none"/>
        </w:rPr>
        <w:t>项目的投标邀请，我方对该项目做出如下产品质量及售后服务承诺：</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售后服务部分</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1、项目完成时限、范围、条件</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2、</w:t>
      </w:r>
      <w:r>
        <w:rPr>
          <w:rFonts w:hint="default" w:ascii="Times New Roman" w:hAnsi="Times New Roman" w:cs="Times New Roman" w:eastAsiaTheme="minorEastAsia"/>
          <w:highlight w:val="none"/>
        </w:rPr>
        <w:t>解决问题、服务响应的速度</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3、</w:t>
      </w:r>
      <w:r>
        <w:rPr>
          <w:rFonts w:hint="default" w:ascii="Times New Roman" w:hAnsi="Times New Roman" w:cs="Times New Roman" w:eastAsiaTheme="minorEastAsia"/>
          <w:highlight w:val="none"/>
        </w:rPr>
        <w:t>设备（软件）使用的培训、指导</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4、</w:t>
      </w:r>
      <w:r>
        <w:rPr>
          <w:rFonts w:hint="default" w:ascii="Times New Roman" w:hAnsi="Times New Roman" w:cs="Times New Roman" w:eastAsiaTheme="minorEastAsia"/>
          <w:highlight w:val="none"/>
        </w:rPr>
        <w:t>其他承诺（复检、定期巡检等）</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lang w:val="en-US" w:eastAsia="zh-CN"/>
        </w:rPr>
        <w:t>5、</w:t>
      </w:r>
      <w:r>
        <w:rPr>
          <w:rFonts w:hint="default" w:ascii="Times New Roman" w:hAnsi="Times New Roman" w:cs="Times New Roman" w:eastAsiaTheme="minorEastAsia"/>
          <w:highlight w:val="none"/>
        </w:rPr>
        <w:t>联系方式（联系人、联系电话、服务点、响应时间等）</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6、其他售后服务承诺条件</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产品质量部分</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1、技术规范及相关产品标准：</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2、产品都属于厂家原装正品产品：</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3、产品“三包”内容：</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4、质量问题的处理：</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5、质量投诉的处理：</w:t>
      </w: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p>
    <w:p>
      <w:pPr>
        <w:pageBreakBefore w:val="0"/>
        <w:widowControl w:val="0"/>
        <w:kinsoku/>
        <w:overflowPunct/>
        <w:topLinePunct w:val="0"/>
        <w:bidi w:val="0"/>
        <w:spacing w:after="0" w:line="264" w:lineRule="auto"/>
        <w:ind w:firstLine="360" w:firstLineChars="150"/>
        <w:rPr>
          <w:rFonts w:hint="default" w:ascii="Times New Roman" w:hAnsi="Times New Roman" w:cs="Times New Roman" w:eastAsiaTheme="minorEastAsia"/>
          <w:highlight w:val="none"/>
          <w:lang w:val="en-US" w:eastAsia="zh-CN"/>
        </w:rPr>
      </w:pPr>
      <w:r>
        <w:rPr>
          <w:rFonts w:hint="default" w:ascii="Times New Roman" w:hAnsi="Times New Roman" w:cs="Times New Roman" w:eastAsiaTheme="minorEastAsia"/>
          <w:highlight w:val="none"/>
          <w:lang w:val="en-US" w:eastAsia="zh-CN"/>
        </w:rPr>
        <w:t>6、其它产品质量承诺：</w:t>
      </w: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 xml:space="preserve">                              </w:t>
      </w:r>
    </w:p>
    <w:p>
      <w:pPr>
        <w:pageBreakBefore w:val="0"/>
        <w:widowControl w:val="0"/>
        <w:kinsoku/>
        <w:overflowPunct/>
        <w:topLinePunct w:val="0"/>
        <w:bidi w:val="0"/>
        <w:spacing w:after="0" w:line="264" w:lineRule="auto"/>
        <w:rPr>
          <w:rFonts w:hint="default" w:ascii="Times New Roman" w:hAnsi="Times New Roman" w:cs="Times New Roman" w:eastAsiaTheme="minorEastAsia"/>
          <w:highlight w:val="none"/>
          <w:u w:val="single"/>
        </w:rPr>
      </w:pPr>
      <w:r>
        <w:rPr>
          <w:rFonts w:hint="default" w:ascii="Times New Roman" w:hAnsi="Times New Roman" w:cs="Times New Roman" w:eastAsiaTheme="minorEastAsia"/>
          <w:highlight w:val="none"/>
        </w:rPr>
        <w:t xml:space="preserve">                              企业名称（电子签章）：</w:t>
      </w:r>
      <w:r>
        <w:rPr>
          <w:rFonts w:hint="default" w:ascii="Times New Roman" w:hAnsi="Times New Roman" w:cs="Times New Roman" w:eastAsiaTheme="minorEastAsia"/>
          <w:highlight w:val="none"/>
          <w:u w:val="single"/>
        </w:rPr>
        <w:t xml:space="preserve">                           </w:t>
      </w:r>
    </w:p>
    <w:p>
      <w:pPr>
        <w:pageBreakBefore w:val="0"/>
        <w:kinsoku/>
        <w:overflowPunct/>
        <w:topLinePunct w:val="0"/>
        <w:bidi w:val="0"/>
        <w:spacing w:after="0" w:line="264" w:lineRule="auto"/>
        <w:jc w:val="right"/>
        <w:rPr>
          <w:rFonts w:hint="default" w:ascii="Times New Roman" w:hAnsi="Times New Roman" w:cs="Times New Roman" w:eastAsiaTheme="minorEastAsia"/>
          <w:highlight w:val="none"/>
        </w:rPr>
      </w:pPr>
      <w:r>
        <w:rPr>
          <w:rFonts w:hint="default" w:ascii="Times New Roman" w:hAnsi="Times New Roman" w:cs="Times New Roman" w:eastAsiaTheme="minorEastAsia"/>
          <w:highlight w:val="none"/>
        </w:rPr>
        <w:t>年      月      日</w:t>
      </w:r>
    </w:p>
    <w:p>
      <w:pPr>
        <w:pStyle w:val="2"/>
        <w:rPr>
          <w:rFonts w:hint="default" w:ascii="Times New Roman" w:hAnsi="Times New Roman" w:cs="Times New Roman" w:eastAsiaTheme="minorEastAsia"/>
          <w:highlight w:val="none"/>
        </w:rPr>
      </w:pPr>
    </w:p>
    <w:p>
      <w:pPr>
        <w:pStyle w:val="2"/>
        <w:rPr>
          <w:rFonts w:hint="default" w:ascii="Times New Roman" w:hAnsi="Times New Roman" w:cs="Times New Roman" w:eastAsiaTheme="minorEastAsia"/>
          <w:highlight w:val="none"/>
        </w:rPr>
      </w:pPr>
    </w:p>
    <w:p>
      <w:pPr>
        <w:pStyle w:val="2"/>
        <w:rPr>
          <w:rFonts w:hint="default" w:ascii="Times New Roman" w:hAnsi="Times New Roman" w:cs="Times New Roman" w:eastAsiaTheme="minorEastAsia"/>
          <w:highlight w:val="none"/>
        </w:rPr>
      </w:pPr>
    </w:p>
    <w:bookmarkEnd w:id="215"/>
    <w:p>
      <w:pPr>
        <w:pStyle w:val="29"/>
        <w:pageBreakBefore w:val="0"/>
        <w:widowControl w:val="0"/>
        <w:kinsoku/>
        <w:overflowPunct/>
        <w:topLinePunct w:val="0"/>
        <w:bidi w:val="0"/>
        <w:spacing w:after="0" w:line="264" w:lineRule="auto"/>
        <w:jc w:val="center"/>
        <w:rPr>
          <w:rFonts w:hint="default" w:ascii="Times New Roman" w:hAnsi="Times New Roman" w:cs="Times New Roman"/>
          <w:b/>
          <w:bCs/>
          <w:sz w:val="36"/>
          <w:szCs w:val="36"/>
          <w:highlight w:val="none"/>
        </w:rPr>
      </w:pPr>
      <w:bookmarkStart w:id="216" w:name="_Toc3997_WPSOffice_Level1"/>
      <w:bookmarkStart w:id="217" w:name="_Toc4921_WPSOffice_Level1"/>
      <w:r>
        <w:rPr>
          <w:rFonts w:hint="default" w:ascii="Times New Roman" w:hAnsi="Times New Roman" w:cs="Times New Roman"/>
          <w:b/>
          <w:bCs/>
          <w:sz w:val="36"/>
          <w:szCs w:val="36"/>
          <w:highlight w:val="none"/>
        </w:rPr>
        <w:t>开标一览表</w:t>
      </w:r>
      <w:bookmarkEnd w:id="216"/>
      <w:bookmarkEnd w:id="217"/>
      <w:r>
        <w:rPr>
          <w:rFonts w:hint="default" w:ascii="Times New Roman" w:hAnsi="Times New Roman" w:cs="Times New Roman"/>
          <w:b/>
          <w:bCs/>
          <w:sz w:val="36"/>
          <w:szCs w:val="36"/>
          <w:highlight w:val="none"/>
        </w:rPr>
        <w:t>（格式）</w:t>
      </w:r>
    </w:p>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项目名称：</w:t>
      </w:r>
      <w:r>
        <w:rPr>
          <w:rFonts w:hint="default" w:ascii="Times New Roman" w:hAnsi="Times New Roman" w:cs="Times New Roman"/>
          <w:color w:val="FF0000"/>
          <w:highlight w:val="none"/>
        </w:rPr>
        <w:t>义乌市公安局“雪亮工程”项目（一期）平台及实战应用系统项目</w:t>
      </w:r>
    </w:p>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采购编号：</w:t>
      </w:r>
      <w:r>
        <w:rPr>
          <w:rFonts w:hint="default" w:ascii="Times New Roman" w:hAnsi="Times New Roman" w:cs="Times New Roman"/>
          <w:color w:val="FF0000"/>
          <w:highlight w:val="none"/>
        </w:rPr>
        <w:t>YWCG2020131GK</w:t>
      </w:r>
    </w:p>
    <w:tbl>
      <w:tblPr>
        <w:tblStyle w:val="56"/>
        <w:tblW w:w="9657" w:type="dxa"/>
        <w:tblInd w:w="0" w:type="dxa"/>
        <w:tblLayout w:type="fixed"/>
        <w:tblCellMar>
          <w:top w:w="0" w:type="dxa"/>
          <w:left w:w="0" w:type="dxa"/>
          <w:bottom w:w="0" w:type="dxa"/>
          <w:right w:w="0" w:type="dxa"/>
        </w:tblCellMar>
      </w:tblPr>
      <w:tblGrid>
        <w:gridCol w:w="703"/>
        <w:gridCol w:w="4320"/>
        <w:gridCol w:w="645"/>
        <w:gridCol w:w="540"/>
        <w:gridCol w:w="750"/>
        <w:gridCol w:w="675"/>
        <w:gridCol w:w="959"/>
        <w:gridCol w:w="1065"/>
      </w:tblGrid>
      <w:tr>
        <w:tblPrEx>
          <w:tblLayout w:type="fixed"/>
          <w:tblCellMar>
            <w:top w:w="0" w:type="dxa"/>
            <w:left w:w="0" w:type="dxa"/>
            <w:bottom w:w="0" w:type="dxa"/>
            <w:right w:w="0" w:type="dxa"/>
          </w:tblCellMar>
        </w:tblPrEx>
        <w:trPr>
          <w:trHeight w:val="23" w:hRule="atLeast"/>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序号</w:t>
            </w:r>
          </w:p>
        </w:tc>
        <w:tc>
          <w:tcPr>
            <w:tcW w:w="4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名称</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数量</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单价（元）</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总价（元）</w:t>
            </w:r>
          </w:p>
        </w:tc>
        <w:tc>
          <w:tcPr>
            <w:tcW w:w="2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制造商情况</w:t>
            </w:r>
          </w:p>
        </w:tc>
      </w:tr>
      <w:tr>
        <w:tblPrEx>
          <w:tblLayout w:type="fixed"/>
          <w:tblCellMar>
            <w:top w:w="0" w:type="dxa"/>
            <w:left w:w="0" w:type="dxa"/>
            <w:bottom w:w="0" w:type="dxa"/>
            <w:right w:w="0" w:type="dxa"/>
          </w:tblCellMar>
        </w:tblPrEx>
        <w:trPr>
          <w:trHeight w:val="23" w:hRule="atLeast"/>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4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是否小微企业</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企业全称</w:t>
            </w: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社会面视频监控联网云平台二期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缓存池</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安全隔离与信息交换系统 (视频网闸）</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视频接入认证系统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视频用户认证系统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6</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安全隔离与信息交换系统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7</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数据安全交换系统（前置）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8</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数据安全交换系统（后置）</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9</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防火墙</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10</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核心交换机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核心交换机板卡1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核心交换机板卡2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核心交换机板卡3</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汇聚交换机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40G多模光模块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24</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16</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万兆多模光模块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168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17</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千兆多模光模块</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18</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移动物联数据采集应用系统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19</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highlight w:val="none"/>
              </w:rPr>
            </w:pPr>
            <w:r>
              <w:rPr>
                <w:rFonts w:hint="default" w:ascii="Times New Roman" w:hAnsi="Times New Roman" w:cs="Times New Roman"/>
                <w:color w:val="0D0D0D"/>
                <w:highlight w:val="none"/>
                <w:lang w:bidi="ar"/>
              </w:rPr>
              <w:t>人脸识别算法授权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20</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highlight w:val="none"/>
              </w:rPr>
            </w:pPr>
            <w:r>
              <w:rPr>
                <w:rFonts w:hint="default" w:ascii="Times New Roman" w:hAnsi="Times New Roman" w:cs="Times New Roman"/>
                <w:color w:val="0D0D0D"/>
                <w:highlight w:val="none"/>
                <w:lang w:bidi="ar"/>
              </w:rPr>
              <w:t>人脸聚类和人脸档案算法授权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highlight w:val="none"/>
              </w:rPr>
            </w:pPr>
            <w:r>
              <w:rPr>
                <w:rFonts w:hint="default" w:ascii="Times New Roman" w:hAnsi="Times New Roman" w:cs="Times New Roman"/>
                <w:color w:val="0D0D0D"/>
                <w:highlight w:val="none"/>
                <w:lang w:bidi="ar"/>
              </w:rPr>
              <w:t>人体识别算法授权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highlight w:val="none"/>
              </w:rPr>
            </w:pPr>
            <w:r>
              <w:rPr>
                <w:rFonts w:hint="default" w:ascii="Times New Roman" w:hAnsi="Times New Roman" w:cs="Times New Roman"/>
                <w:color w:val="0D0D0D"/>
                <w:highlight w:val="none"/>
                <w:lang w:bidi="ar"/>
              </w:rPr>
              <w:t>人脸人体关联及融合检索算法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3000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highlight w:val="none"/>
              </w:rPr>
            </w:pPr>
            <w:r>
              <w:rPr>
                <w:rFonts w:hint="default" w:ascii="Times New Roman" w:hAnsi="Times New Roman" w:cs="Times New Roman"/>
                <w:color w:val="0D0D0D"/>
                <w:highlight w:val="none"/>
                <w:lang w:bidi="ar"/>
              </w:rPr>
              <w:t>人脸识别算法授权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96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highlight w:val="none"/>
              </w:rPr>
            </w:pPr>
            <w:r>
              <w:rPr>
                <w:rFonts w:hint="default" w:ascii="Times New Roman" w:hAnsi="Times New Roman" w:cs="Times New Roman"/>
                <w:color w:val="0D0D0D"/>
                <w:highlight w:val="none"/>
                <w:lang w:bidi="ar"/>
              </w:rPr>
              <w:t>人脸聚类和人脸档案算法授权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96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highlight w:val="none"/>
              </w:rPr>
            </w:pPr>
            <w:r>
              <w:rPr>
                <w:rFonts w:hint="default" w:ascii="Times New Roman" w:hAnsi="Times New Roman" w:cs="Times New Roman"/>
                <w:color w:val="0D0D0D"/>
                <w:highlight w:val="none"/>
                <w:lang w:bidi="ar"/>
              </w:rPr>
              <w:t>人体识别算法授权</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96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26</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D0D0D"/>
                <w:highlight w:val="none"/>
              </w:rPr>
            </w:pPr>
            <w:r>
              <w:rPr>
                <w:rFonts w:hint="default" w:ascii="Times New Roman" w:hAnsi="Times New Roman" w:cs="Times New Roman"/>
                <w:color w:val="0D0D0D"/>
                <w:highlight w:val="none"/>
                <w:lang w:bidi="ar"/>
              </w:rPr>
              <w:t>人脸人体关联及融合检索算法</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96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27</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接入服务与调试服务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3096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路</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28</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人脸布控服务器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29</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视图解析服务器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5</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30</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视图特征库服务器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存储节点</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6</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服务器</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存储管理交换机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存储接入交换机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服务器交换机</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36</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企业级硬盘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288</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37</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慧眼大数据应用系统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38</w:t>
            </w:r>
          </w:p>
        </w:tc>
        <w:tc>
          <w:tcPr>
            <w:tcW w:w="4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内存</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39</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网络准入控制系统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40</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网络准入控制探针</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防火墙1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可信边界安全网关1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43</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入侵检测系统IDS1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44</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三层交换机1</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45</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管理终端</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46</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安全数据交换系统</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47</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网闸</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48</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防火墙2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49</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可信边界安全网关2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50</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入侵防御系统IPS2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51</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三层交换机2</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23"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52</w:t>
            </w:r>
          </w:p>
        </w:tc>
        <w:tc>
          <w:tcPr>
            <w:tcW w:w="43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安全隔离与单向传输系统(简称：单向光闸)</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textAlignment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lang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rPr>
            </w:pPr>
          </w:p>
        </w:tc>
      </w:tr>
      <w:tr>
        <w:tblPrEx>
          <w:tblLayout w:type="fixed"/>
          <w:tblCellMar>
            <w:top w:w="0" w:type="dxa"/>
            <w:left w:w="0" w:type="dxa"/>
            <w:bottom w:w="0" w:type="dxa"/>
            <w:right w:w="0" w:type="dxa"/>
          </w:tblCellMar>
        </w:tblPrEx>
        <w:trPr>
          <w:trHeight w:val="94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overflowPunct/>
              <w:topLinePunct w:val="0"/>
              <w:bidi w:val="0"/>
              <w:spacing w:after="0" w:line="264" w:lineRule="auto"/>
              <w:jc w:val="center"/>
              <w:rPr>
                <w:rFonts w:hint="default" w:ascii="Times New Roman" w:hAnsi="Times New Roman" w:cs="Times New Roman"/>
                <w:color w:val="000000"/>
                <w:highlight w:val="none"/>
                <w:lang w:bidi="ar"/>
              </w:rPr>
            </w:pPr>
            <w:r>
              <w:rPr>
                <w:rFonts w:hint="default" w:ascii="Times New Roman" w:hAnsi="Times New Roman" w:cs="Times New Roman" w:eastAsiaTheme="minorEastAsia"/>
                <w:highlight w:val="none"/>
              </w:rPr>
              <w:t>合计</w:t>
            </w:r>
          </w:p>
        </w:tc>
        <w:tc>
          <w:tcPr>
            <w:tcW w:w="895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ageBreakBefore w:val="0"/>
              <w:kinsoku/>
              <w:overflowPunct/>
              <w:topLinePunct w:val="0"/>
              <w:bidi w:val="0"/>
              <w:spacing w:after="0" w:line="264" w:lineRule="auto"/>
              <w:rPr>
                <w:rFonts w:hint="default" w:ascii="Times New Roman" w:hAnsi="Times New Roman" w:cs="Times New Roman" w:eastAsiaTheme="minorEastAsia"/>
                <w:highlight w:val="none"/>
                <w:u w:val="single"/>
              </w:rPr>
            </w:pPr>
          </w:p>
          <w:p>
            <w:pPr>
              <w:pStyle w:val="23"/>
              <w:pageBreakBefore w:val="0"/>
              <w:kinsoku/>
              <w:overflowPunct/>
              <w:topLinePunct w:val="0"/>
              <w:bidi w:val="0"/>
              <w:spacing w:after="0" w:line="264" w:lineRule="auto"/>
              <w:jc w:val="both"/>
              <w:rPr>
                <w:rFonts w:hint="default" w:ascii="Times New Roman" w:hAnsi="Times New Roman" w:cs="Times New Roman" w:eastAsiaTheme="minorEastAsia"/>
                <w:b w:val="0"/>
                <w:bCs w:val="0"/>
                <w:sz w:val="24"/>
                <w:szCs w:val="24"/>
                <w:highlight w:val="none"/>
              </w:rPr>
            </w:pPr>
            <w:r>
              <w:rPr>
                <w:rFonts w:hint="default" w:ascii="Times New Roman" w:hAnsi="Times New Roman" w:cs="Times New Roman" w:eastAsiaTheme="minorEastAsia"/>
                <w:b w:val="0"/>
                <w:bCs w:val="0"/>
                <w:kern w:val="0"/>
                <w:sz w:val="24"/>
                <w:szCs w:val="24"/>
                <w:highlight w:val="none"/>
              </w:rPr>
              <w:t>投标总价：</w:t>
            </w:r>
            <w:r>
              <w:rPr>
                <w:rFonts w:hint="default" w:ascii="Times New Roman" w:hAnsi="Times New Roman" w:cs="Times New Roman" w:eastAsiaTheme="minorEastAsia"/>
                <w:b w:val="0"/>
                <w:bCs w:val="0"/>
                <w:sz w:val="24"/>
                <w:szCs w:val="24"/>
                <w:highlight w:val="none"/>
                <w:u w:val="single"/>
              </w:rPr>
              <w:t xml:space="preserve">                          (</w:t>
            </w:r>
            <w:r>
              <w:rPr>
                <w:rFonts w:hint="default" w:ascii="Times New Roman" w:hAnsi="Times New Roman" w:cs="Times New Roman" w:eastAsiaTheme="minorEastAsia"/>
                <w:b w:val="0"/>
                <w:bCs w:val="0"/>
                <w:sz w:val="24"/>
                <w:szCs w:val="24"/>
                <w:highlight w:val="none"/>
              </w:rPr>
              <w:t>大写)</w:t>
            </w:r>
          </w:p>
          <w:p>
            <w:pPr>
              <w:pStyle w:val="23"/>
              <w:pageBreakBefore w:val="0"/>
              <w:kinsoku/>
              <w:overflowPunct/>
              <w:topLinePunct w:val="0"/>
              <w:bidi w:val="0"/>
              <w:spacing w:after="0" w:line="264" w:lineRule="auto"/>
              <w:jc w:val="both"/>
              <w:rPr>
                <w:rFonts w:hint="default" w:ascii="Times New Roman" w:hAnsi="Times New Roman" w:cs="Times New Roman" w:eastAsiaTheme="minorEastAsia"/>
                <w:b w:val="0"/>
                <w:bCs w:val="0"/>
                <w:sz w:val="24"/>
                <w:szCs w:val="24"/>
                <w:highlight w:val="none"/>
              </w:rPr>
            </w:pPr>
          </w:p>
          <w:p>
            <w:pPr>
              <w:pageBreakBefore w:val="0"/>
              <w:kinsoku/>
              <w:overflowPunct/>
              <w:topLinePunct w:val="0"/>
              <w:bidi w:val="0"/>
              <w:spacing w:after="0" w:line="264" w:lineRule="auto"/>
              <w:ind w:firstLine="960" w:firstLineChars="400"/>
              <w:rPr>
                <w:rFonts w:hint="default" w:ascii="Times New Roman" w:hAnsi="Times New Roman" w:cs="Times New Roman"/>
                <w:color w:val="000000"/>
                <w:highlight w:val="none"/>
              </w:rPr>
            </w:pPr>
            <w:r>
              <w:rPr>
                <w:rFonts w:hint="default" w:ascii="Times New Roman" w:hAnsi="Times New Roman" w:cs="Times New Roman" w:eastAsiaTheme="minorEastAsia"/>
                <w:highlight w:val="none"/>
              </w:rPr>
              <w:t>￥</w:t>
            </w:r>
            <w:r>
              <w:rPr>
                <w:rFonts w:hint="default" w:ascii="Times New Roman" w:hAnsi="Times New Roman" w:cs="Times New Roman" w:eastAsiaTheme="minorEastAsia"/>
                <w:highlight w:val="none"/>
                <w:u w:val="single"/>
              </w:rPr>
              <w:t xml:space="preserve">                          (</w:t>
            </w:r>
            <w:r>
              <w:rPr>
                <w:rFonts w:hint="default" w:ascii="Times New Roman" w:hAnsi="Times New Roman" w:cs="Times New Roman" w:eastAsiaTheme="minorEastAsia"/>
                <w:highlight w:val="none"/>
              </w:rPr>
              <w:t>小写)</w:t>
            </w:r>
          </w:p>
        </w:tc>
      </w:tr>
    </w:tbl>
    <w:p>
      <w:pPr>
        <w:pStyle w:val="29"/>
        <w:pageBreakBefore w:val="0"/>
        <w:widowControl w:val="0"/>
        <w:kinsoku/>
        <w:overflowPunct/>
        <w:topLinePunct w:val="0"/>
        <w:bidi w:val="0"/>
        <w:spacing w:after="0" w:line="264" w:lineRule="auto"/>
        <w:rPr>
          <w:rFonts w:hint="default" w:ascii="Times New Roman" w:hAnsi="Times New Roman" w:cs="Times New Roman"/>
          <w:sz w:val="24"/>
          <w:szCs w:val="24"/>
          <w:highlight w:val="none"/>
        </w:rPr>
      </w:pPr>
    </w:p>
    <w:p>
      <w:pPr>
        <w:pStyle w:val="29"/>
        <w:pageBreakBefore w:val="0"/>
        <w:widowControl w:val="0"/>
        <w:kinsoku/>
        <w:overflowPunct/>
        <w:topLinePunct w:val="0"/>
        <w:bidi w:val="0"/>
        <w:spacing w:after="0" w:line="264"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 xml:space="preserve">投标人名称（电子签章）：________________________  </w:t>
      </w:r>
    </w:p>
    <w:p>
      <w:pPr>
        <w:pStyle w:val="29"/>
        <w:pageBreakBefore w:val="0"/>
        <w:widowControl w:val="0"/>
        <w:kinsoku/>
        <w:overflowPunct/>
        <w:topLinePunct w:val="0"/>
        <w:bidi w:val="0"/>
        <w:spacing w:after="0" w:line="264" w:lineRule="auto"/>
        <w:rPr>
          <w:rFonts w:hint="default" w:ascii="Times New Roman" w:hAnsi="Times New Roman" w:cs="Times New Roman"/>
          <w:sz w:val="24"/>
          <w:szCs w:val="24"/>
          <w:highlight w:val="none"/>
        </w:rPr>
      </w:pPr>
    </w:p>
    <w:p>
      <w:pPr>
        <w:pStyle w:val="29"/>
        <w:pageBreakBefore w:val="0"/>
        <w:widowControl w:val="0"/>
        <w:kinsoku/>
        <w:overflowPunct/>
        <w:topLinePunct w:val="0"/>
        <w:bidi w:val="0"/>
        <w:spacing w:after="0" w:line="264" w:lineRule="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  期:________________</w:t>
      </w:r>
    </w:p>
    <w:p>
      <w:pPr>
        <w:pStyle w:val="29"/>
        <w:pageBreakBefore w:val="0"/>
        <w:widowControl w:val="0"/>
        <w:numPr>
          <w:ilvl w:val="0"/>
          <w:numId w:val="3"/>
        </w:numPr>
        <w:kinsoku/>
        <w:overflowPunct/>
        <w:topLinePunct w:val="0"/>
        <w:bidi w:val="0"/>
        <w:spacing w:after="0" w:line="264" w:lineRule="auto"/>
        <w:ind w:firstLine="708"/>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投标报价以人民币为结算货币，计量单位为元，</w:t>
      </w:r>
      <w:r>
        <w:rPr>
          <w:rFonts w:hint="default" w:ascii="Times New Roman" w:hAnsi="Times New Roman" w:cs="Times New Roman" w:eastAsiaTheme="minorEastAsia"/>
          <w:color w:val="FF0000"/>
          <w:sz w:val="24"/>
          <w:szCs w:val="24"/>
          <w:highlight w:val="none"/>
        </w:rPr>
        <w:t>投标报价须包含产品购置费（含必需的辅材配件）、运输费、装卸费、附件费、安装费、软件开发费、安装调试（系统集成）费、辅料费、设备维护费、培训费、利润、税金、完成本项目的其它费用和政策性文件规定及合同包含的所有风险、责任等各项应有费用等所有费用。如有漏项，视同已包含在其总项目中，合同总价不予调整。</w:t>
      </w:r>
      <w:r>
        <w:rPr>
          <w:rFonts w:hint="default" w:ascii="Times New Roman" w:hAnsi="Times New Roman" w:cs="Times New Roman"/>
          <w:sz w:val="24"/>
          <w:szCs w:val="24"/>
          <w:highlight w:val="none"/>
        </w:rPr>
        <w:t>投标报价为投标方所能承受的最低、最终报价。只允许有一个报价，有选择的报价将不予接受。</w:t>
      </w:r>
    </w:p>
    <w:p>
      <w:pPr>
        <w:pStyle w:val="29"/>
        <w:pageBreakBefore w:val="0"/>
        <w:widowControl w:val="0"/>
        <w:numPr>
          <w:ilvl w:val="0"/>
          <w:numId w:val="3"/>
        </w:numPr>
        <w:kinsoku/>
        <w:overflowPunct/>
        <w:topLinePunct w:val="0"/>
        <w:bidi w:val="0"/>
        <w:spacing w:after="0" w:line="264" w:lineRule="auto"/>
        <w:ind w:firstLine="708"/>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每个子项目报价按照软件部分和硬件部分分别报价。</w:t>
      </w:r>
    </w:p>
    <w:p>
      <w:pPr>
        <w:pStyle w:val="29"/>
        <w:pageBreakBefore w:val="0"/>
        <w:widowControl w:val="0"/>
        <w:numPr>
          <w:ilvl w:val="0"/>
          <w:numId w:val="3"/>
        </w:numPr>
        <w:kinsoku/>
        <w:overflowPunct/>
        <w:topLinePunct w:val="0"/>
        <w:bidi w:val="0"/>
        <w:spacing w:after="0" w:line="264" w:lineRule="auto"/>
        <w:ind w:firstLine="708"/>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kern w:val="0"/>
          <w:sz w:val="24"/>
          <w:highlight w:val="none"/>
        </w:rPr>
        <w:t>投标报价是否给予价格扣除按前附表“小微企业有关规定”要求认定。</w:t>
      </w:r>
    </w:p>
    <w:p>
      <w:pPr>
        <w:pStyle w:val="29"/>
        <w:pageBreakBefore w:val="0"/>
        <w:widowControl w:val="0"/>
        <w:numPr>
          <w:ilvl w:val="0"/>
          <w:numId w:val="3"/>
        </w:numPr>
        <w:kinsoku/>
        <w:overflowPunct/>
        <w:topLinePunct w:val="0"/>
        <w:bidi w:val="0"/>
        <w:spacing w:after="0" w:line="264" w:lineRule="auto"/>
        <w:ind w:firstLine="708"/>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kern w:val="0"/>
          <w:sz w:val="24"/>
          <w:highlight w:val="none"/>
        </w:rPr>
        <w:t>投标报价超过预算价或最高限价的，其投标为无效标。</w:t>
      </w:r>
    </w:p>
    <w:p>
      <w:pPr>
        <w:pStyle w:val="29"/>
        <w:pageBreakBefore w:val="0"/>
        <w:widowControl w:val="0"/>
        <w:numPr>
          <w:ilvl w:val="0"/>
          <w:numId w:val="3"/>
        </w:numPr>
        <w:kinsoku/>
        <w:overflowPunct/>
        <w:topLinePunct w:val="0"/>
        <w:bidi w:val="0"/>
        <w:spacing w:after="0" w:line="264" w:lineRule="auto"/>
        <w:ind w:firstLine="708"/>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按国家规定由中标人缴纳的各种税收已包含在投标总价内，由中标人向税务机关缴纳。</w:t>
      </w:r>
    </w:p>
    <w:p>
      <w:pPr>
        <w:pStyle w:val="29"/>
        <w:pageBreakBefore w:val="0"/>
        <w:widowControl w:val="0"/>
        <w:numPr>
          <w:ilvl w:val="0"/>
          <w:numId w:val="3"/>
        </w:numPr>
        <w:kinsoku/>
        <w:overflowPunct/>
        <w:topLinePunct w:val="0"/>
        <w:bidi w:val="0"/>
        <w:spacing w:after="0" w:line="264" w:lineRule="auto"/>
        <w:ind w:firstLine="708"/>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此表在不改变表式的情况下，可自行制作。</w:t>
      </w:r>
    </w:p>
    <w:p>
      <w:pPr>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Style w:val="2"/>
        <w:rPr>
          <w:rFonts w:hint="default" w:ascii="Times New Roman" w:hAnsi="Times New Roman" w:cs="Times New Roman"/>
          <w:sz w:val="24"/>
          <w:szCs w:val="24"/>
          <w:highlight w:val="none"/>
        </w:rPr>
      </w:pPr>
    </w:p>
    <w:p>
      <w:pPr>
        <w:pageBreakBefore w:val="0"/>
        <w:kinsoku/>
        <w:overflowPunct/>
        <w:topLinePunct w:val="0"/>
        <w:bidi w:val="0"/>
        <w:spacing w:after="0" w:line="264" w:lineRule="auto"/>
        <w:rPr>
          <w:rFonts w:hint="default" w:ascii="Times New Roman" w:hAnsi="Times New Roman" w:cs="Times New Roman"/>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bookmarkStart w:id="218" w:name="_Toc2943_WPSOffice_Level1"/>
      <w:bookmarkStart w:id="219" w:name="_Toc23011_WPSOffice_Level1"/>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9"/>
        <w:pageBreakBefore w:val="0"/>
        <w:widowControl w:val="0"/>
        <w:kinsoku/>
        <w:overflowPunct/>
        <w:topLinePunct w:val="0"/>
        <w:bidi w:val="0"/>
        <w:spacing w:after="0" w:line="264" w:lineRule="auto"/>
        <w:jc w:val="center"/>
        <w:rPr>
          <w:rFonts w:hint="default" w:ascii="Times New Roman" w:hAnsi="Times New Roman" w:cs="Times New Roman"/>
          <w:b/>
          <w:bCs/>
          <w:sz w:val="36"/>
          <w:szCs w:val="36"/>
          <w:highlight w:val="none"/>
        </w:rPr>
      </w:pPr>
      <w:r>
        <w:rPr>
          <w:rFonts w:hint="default" w:ascii="Times New Roman" w:hAnsi="Times New Roman" w:cs="Times New Roman"/>
          <w:b/>
          <w:bCs/>
          <w:sz w:val="36"/>
          <w:szCs w:val="36"/>
          <w:highlight w:val="none"/>
        </w:rPr>
        <w:t>项目成本报价表</w:t>
      </w:r>
      <w:bookmarkEnd w:id="218"/>
      <w:bookmarkEnd w:id="219"/>
      <w:r>
        <w:rPr>
          <w:rFonts w:hint="default" w:ascii="Times New Roman" w:hAnsi="Times New Roman" w:cs="Times New Roman"/>
          <w:b/>
          <w:bCs/>
          <w:sz w:val="36"/>
          <w:szCs w:val="36"/>
          <w:highlight w:val="none"/>
        </w:rPr>
        <w:t>（格式）</w:t>
      </w: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项目名称：</w:t>
      </w:r>
      <w:r>
        <w:rPr>
          <w:rFonts w:hint="default" w:ascii="Times New Roman" w:hAnsi="Times New Roman" w:cs="Times New Roman"/>
          <w:color w:val="FF0000"/>
          <w:highlight w:val="none"/>
        </w:rPr>
        <w:t>义乌市公安局“雪亮工程”项目（一期）平台及实战应用系统项目</w:t>
      </w:r>
    </w:p>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采购编号：</w:t>
      </w:r>
      <w:r>
        <w:rPr>
          <w:rFonts w:hint="default" w:ascii="Times New Roman" w:hAnsi="Times New Roman" w:cs="Times New Roman"/>
          <w:color w:val="FF0000"/>
          <w:highlight w:val="none"/>
        </w:rPr>
        <w:t>YWCG2020131GK</w:t>
      </w:r>
    </w:p>
    <w:p>
      <w:pPr>
        <w:pageBreakBefore w:val="0"/>
        <w:kinsoku/>
        <w:overflowPunct/>
        <w:topLinePunct w:val="0"/>
        <w:bidi w:val="0"/>
        <w:spacing w:after="0" w:line="264" w:lineRule="auto"/>
        <w:rPr>
          <w:rFonts w:hint="default" w:ascii="Times New Roman" w:hAnsi="Times New Roman" w:cs="Times New Roman"/>
          <w:highlight w:val="none"/>
        </w:rPr>
      </w:pPr>
    </w:p>
    <w:tbl>
      <w:tblPr>
        <w:tblStyle w:val="56"/>
        <w:tblW w:w="88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3455"/>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71"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序号</w:t>
            </w:r>
          </w:p>
        </w:tc>
        <w:tc>
          <w:tcPr>
            <w:tcW w:w="345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项目</w:t>
            </w:r>
          </w:p>
        </w:tc>
        <w:tc>
          <w:tcPr>
            <w:tcW w:w="429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项目成本总价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jc w:val="center"/>
        </w:trPr>
        <w:tc>
          <w:tcPr>
            <w:tcW w:w="1071"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1</w:t>
            </w:r>
          </w:p>
        </w:tc>
        <w:tc>
          <w:tcPr>
            <w:tcW w:w="3455"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color w:val="FF0000"/>
                <w:highlight w:val="none"/>
              </w:rPr>
              <w:t>义乌市公安局“雪亮工程”项目（一期）平台及实战应用系统项目（YWCG2020131GK）</w:t>
            </w:r>
          </w:p>
        </w:tc>
        <w:tc>
          <w:tcPr>
            <w:tcW w:w="4290" w:type="dxa"/>
            <w:vAlign w:val="center"/>
          </w:tcPr>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小写：</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元</w:t>
            </w:r>
          </w:p>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r>
              <w:rPr>
                <w:rFonts w:hint="default" w:ascii="Times New Roman" w:hAnsi="Times New Roman" w:cs="Times New Roman"/>
                <w:highlight w:val="none"/>
              </w:rPr>
              <w:t>大写：</w:t>
            </w:r>
            <w:r>
              <w:rPr>
                <w:rFonts w:hint="default" w:ascii="Times New Roman" w:hAnsi="Times New Roman" w:cs="Times New Roman"/>
                <w:highlight w:val="none"/>
                <w:u w:val="single"/>
              </w:rPr>
              <w:t xml:space="preserve">           </w:t>
            </w:r>
            <w:r>
              <w:rPr>
                <w:rFonts w:hint="default" w:ascii="Times New Roman" w:hAnsi="Times New Roman" w:cs="Times New Roman"/>
                <w:highlight w:val="none"/>
              </w:rPr>
              <w:t>元</w:t>
            </w:r>
          </w:p>
        </w:tc>
      </w:tr>
    </w:tbl>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投标人名称（电子签章）：____________________________</w:t>
      </w:r>
    </w:p>
    <w:p>
      <w:pPr>
        <w:pageBreakBefore w:val="0"/>
        <w:widowControl w:val="0"/>
        <w:kinsoku/>
        <w:overflowPunct/>
        <w:topLinePunct w:val="0"/>
        <w:bidi w:val="0"/>
        <w:spacing w:after="0" w:line="264" w:lineRule="auto"/>
        <w:rPr>
          <w:rFonts w:hint="default" w:ascii="Times New Roman" w:hAnsi="Times New Roman" w:cs="Times New Roman"/>
          <w:highlight w:val="none"/>
        </w:rPr>
      </w:pPr>
      <w:r>
        <w:rPr>
          <w:rFonts w:hint="default" w:ascii="Times New Roman" w:hAnsi="Times New Roman" w:cs="Times New Roman"/>
          <w:highlight w:val="none"/>
        </w:rPr>
        <w:t>日期:________________</w:t>
      </w:r>
    </w:p>
    <w:p>
      <w:pPr>
        <w:pageBreakBefore w:val="0"/>
        <w:widowControl w:val="0"/>
        <w:kinsoku/>
        <w:overflowPunct/>
        <w:topLinePunct w:val="0"/>
        <w:bidi w:val="0"/>
        <w:spacing w:after="0" w:line="264" w:lineRule="auto"/>
        <w:jc w:val="center"/>
        <w:rPr>
          <w:rFonts w:hint="default" w:ascii="Times New Roman" w:hAnsi="Times New Roman" w:cs="Times New Roman"/>
          <w:highlight w:val="none"/>
        </w:rPr>
      </w:pPr>
    </w:p>
    <w:p>
      <w:pPr>
        <w:pageBreakBefore w:val="0"/>
        <w:widowControl w:val="0"/>
        <w:kinsoku/>
        <w:overflowPunct/>
        <w:topLinePunct w:val="0"/>
        <w:bidi w:val="0"/>
        <w:spacing w:after="0" w:line="264" w:lineRule="auto"/>
        <w:ind w:left="960" w:hanging="960" w:hangingChars="400"/>
        <w:rPr>
          <w:rFonts w:hint="default" w:ascii="Times New Roman" w:hAnsi="Times New Roman" w:cs="Times New Roman"/>
          <w:bCs/>
          <w:highlight w:val="none"/>
        </w:rPr>
      </w:pPr>
      <w:r>
        <w:rPr>
          <w:rFonts w:hint="default" w:ascii="Times New Roman" w:hAnsi="Times New Roman" w:cs="Times New Roman"/>
          <w:bCs/>
          <w:highlight w:val="none"/>
        </w:rPr>
        <w:t>备注：</w:t>
      </w:r>
    </w:p>
    <w:p>
      <w:pPr>
        <w:pStyle w:val="29"/>
        <w:pageBreakBefore w:val="0"/>
        <w:kinsoku/>
        <w:overflowPunct/>
        <w:topLinePunct w:val="0"/>
        <w:bidi w:val="0"/>
        <w:spacing w:after="0" w:line="264" w:lineRule="auto"/>
        <w:ind w:firstLine="480" w:firstLineChars="200"/>
        <w:rPr>
          <w:rFonts w:hint="default" w:ascii="Times New Roman" w:hAnsi="Times New Roman" w:cs="Times New Roman"/>
          <w:color w:val="FF000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eastAsiaTheme="minorEastAsia"/>
          <w:sz w:val="24"/>
          <w:szCs w:val="24"/>
          <w:highlight w:val="none"/>
        </w:rPr>
        <w:t>投标单位应按照招标项目内容要求，根据项目特点和企业条件确定该项目成本报价，项目成本总价不得高于投标总价，否则投标无效。</w:t>
      </w:r>
    </w:p>
    <w:p>
      <w:pPr>
        <w:pStyle w:val="29"/>
        <w:pageBreakBefore w:val="0"/>
        <w:kinsoku/>
        <w:overflowPunct/>
        <w:topLinePunct w:val="0"/>
        <w:bidi w:val="0"/>
        <w:spacing w:after="0" w:line="264" w:lineRule="auto"/>
        <w:ind w:firstLine="480" w:firstLineChars="200"/>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2、此表在不改变表式的情况下，可自行制作。</w:t>
      </w: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ageBreakBefore w:val="0"/>
        <w:widowControl w:val="0"/>
        <w:kinsoku/>
        <w:overflowPunct/>
        <w:topLinePunct w:val="0"/>
        <w:bidi w:val="0"/>
        <w:spacing w:after="0" w:line="264" w:lineRule="auto"/>
        <w:ind w:firstLine="240" w:firstLineChars="100"/>
        <w:rPr>
          <w:rFonts w:hint="default" w:ascii="Times New Roman" w:hAnsi="Times New Roman" w:cs="Times New Roman"/>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bookmarkStart w:id="220" w:name="_Toc8092_WPSOffice_Level2"/>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p>
      <w:pPr>
        <w:pStyle w:val="23"/>
        <w:pageBreakBefore w:val="0"/>
        <w:kinsoku/>
        <w:overflowPunct/>
        <w:topLinePunct w:val="0"/>
        <w:bidi w:val="0"/>
        <w:spacing w:after="0" w:line="264" w:lineRule="auto"/>
        <w:rPr>
          <w:rFonts w:hint="default" w:ascii="Times New Roman" w:hAnsi="Times New Roman" w:cs="Times New Roman"/>
          <w:sz w:val="36"/>
          <w:szCs w:val="36"/>
          <w:highlight w:val="none"/>
        </w:rPr>
      </w:pPr>
    </w:p>
    <w:bookmarkEnd w:id="220"/>
    <w:p>
      <w:pPr>
        <w:keepNext w:val="0"/>
        <w:keepLines w:val="0"/>
        <w:pageBreakBefore w:val="0"/>
        <w:widowControl/>
        <w:kinsoku/>
        <w:wordWrap/>
        <w:overflowPunct/>
        <w:topLinePunct w:val="0"/>
        <w:autoSpaceDE/>
        <w:autoSpaceDN/>
        <w:bidi w:val="0"/>
        <w:adjustRightInd/>
        <w:snapToGrid w:val="0"/>
        <w:spacing w:before="50" w:after="50" w:line="312" w:lineRule="auto"/>
        <w:jc w:val="center"/>
        <w:textAlignment w:val="auto"/>
        <w:rPr>
          <w:rFonts w:hint="default" w:ascii="Times New Roman" w:hAnsi="Times New Roman" w:eastAsia="新宋体" w:cs="Times New Roman"/>
          <w:b/>
          <w:color w:val="auto"/>
          <w:sz w:val="36"/>
          <w:szCs w:val="36"/>
          <w:highlight w:val="none"/>
        </w:rPr>
      </w:pPr>
      <w:r>
        <w:rPr>
          <w:rFonts w:hint="default" w:ascii="Times New Roman" w:hAnsi="Times New Roman" w:eastAsia="新宋体" w:cs="Times New Roman"/>
          <w:b/>
          <w:color w:val="auto"/>
          <w:sz w:val="36"/>
          <w:szCs w:val="36"/>
          <w:highlight w:val="none"/>
          <w:lang w:val="en-US" w:eastAsia="zh-CN"/>
        </w:rPr>
        <w:t>中小企业声明函（货物）</w:t>
      </w:r>
    </w:p>
    <w:p>
      <w:pPr>
        <w:keepNext w:val="0"/>
        <w:keepLines w:val="0"/>
        <w:pageBreakBefore w:val="0"/>
        <w:widowControl/>
        <w:kinsoku/>
        <w:wordWrap/>
        <w:overflowPunct/>
        <w:topLinePunct w:val="0"/>
        <w:autoSpaceDE/>
        <w:autoSpaceDN/>
        <w:bidi w:val="0"/>
        <w:adjustRightInd/>
        <w:snapToGrid w:val="0"/>
        <w:spacing w:line="312" w:lineRule="auto"/>
        <w:ind w:firstLine="560" w:firstLineChars="200"/>
        <w:textAlignment w:val="auto"/>
        <w:rPr>
          <w:rFonts w:hint="default" w:ascii="Times New Roman" w:hAnsi="Times New Roman" w:eastAsia="新宋体" w:cs="Times New Roman"/>
          <w:color w:val="auto"/>
          <w:sz w:val="28"/>
          <w:szCs w:val="28"/>
          <w:highlight w:val="none"/>
        </w:rPr>
      </w:pPr>
      <w:r>
        <w:rPr>
          <w:rFonts w:hint="default" w:ascii="Times New Roman" w:hAnsi="Times New Roman" w:eastAsia="新宋体" w:cs="Times New Roman"/>
          <w:color w:val="auto"/>
          <w:sz w:val="28"/>
          <w:szCs w:val="28"/>
          <w:highlight w:val="none"/>
          <w:lang w:val="en-US" w:eastAsia="zh-CN"/>
        </w:rPr>
        <w:t>本公司（联合体）郑重声明，根据《政府采购促进中小企业发展管理办法》（财库﹝2020﹞46号）的规定，本公司（联合体）参加</w:t>
      </w:r>
      <w:r>
        <w:rPr>
          <w:rFonts w:hint="default" w:ascii="Times New Roman" w:hAnsi="Times New Roman" w:eastAsia="新宋体" w:cs="Times New Roman"/>
          <w:i/>
          <w:iCs/>
          <w:color w:val="auto"/>
          <w:sz w:val="28"/>
          <w:szCs w:val="28"/>
          <w:highlight w:val="none"/>
          <w:u w:val="single"/>
          <w:lang w:val="en-US" w:eastAsia="zh-CN"/>
        </w:rPr>
        <w:t>（单位名称）</w:t>
      </w:r>
      <w:r>
        <w:rPr>
          <w:rFonts w:hint="default" w:ascii="Times New Roman" w:hAnsi="Times New Roman" w:eastAsia="新宋体" w:cs="Times New Roman"/>
          <w:color w:val="auto"/>
          <w:sz w:val="28"/>
          <w:szCs w:val="28"/>
          <w:highlight w:val="none"/>
          <w:lang w:val="en-US" w:eastAsia="zh-CN"/>
        </w:rPr>
        <w:t>的</w:t>
      </w:r>
      <w:r>
        <w:rPr>
          <w:rFonts w:hint="default" w:ascii="Times New Roman" w:hAnsi="Times New Roman" w:eastAsia="新宋体" w:cs="Times New Roman"/>
          <w:i/>
          <w:iCs/>
          <w:color w:val="auto"/>
          <w:sz w:val="28"/>
          <w:szCs w:val="28"/>
          <w:highlight w:val="none"/>
          <w:u w:val="single"/>
          <w:lang w:val="en-US" w:eastAsia="zh-CN"/>
        </w:rPr>
        <w:t>（项目名称）</w:t>
      </w:r>
      <w:r>
        <w:rPr>
          <w:rFonts w:hint="default" w:ascii="Times New Roman" w:hAnsi="Times New Roman" w:eastAsia="新宋体" w:cs="Times New Roman"/>
          <w:color w:val="auto"/>
          <w:sz w:val="28"/>
          <w:szCs w:val="28"/>
          <w:highlight w:val="none"/>
          <w:lang w:val="en-US"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kinsoku/>
        <w:wordWrap/>
        <w:overflowPunct/>
        <w:topLinePunct w:val="0"/>
        <w:autoSpaceDE/>
        <w:autoSpaceDN/>
        <w:bidi w:val="0"/>
        <w:adjustRightInd/>
        <w:snapToGrid w:val="0"/>
        <w:spacing w:line="312" w:lineRule="auto"/>
        <w:ind w:firstLine="560" w:firstLineChars="200"/>
        <w:textAlignment w:val="auto"/>
        <w:rPr>
          <w:rFonts w:hint="default" w:ascii="Times New Roman" w:hAnsi="Times New Roman" w:eastAsia="新宋体" w:cs="Times New Roman"/>
          <w:color w:val="auto"/>
          <w:sz w:val="28"/>
          <w:szCs w:val="28"/>
          <w:highlight w:val="none"/>
          <w:lang w:val="en-US" w:eastAsia="zh-CN"/>
        </w:rPr>
      </w:pPr>
      <w:r>
        <w:rPr>
          <w:rFonts w:hint="default" w:ascii="Times New Roman" w:hAnsi="Times New Roman" w:eastAsia="新宋体" w:cs="Times New Roman"/>
          <w:color w:val="auto"/>
          <w:sz w:val="28"/>
          <w:szCs w:val="28"/>
          <w:highlight w:val="none"/>
          <w:lang w:val="en-US" w:eastAsia="zh-CN"/>
        </w:rPr>
        <w:t>1.</w:t>
      </w:r>
      <w:r>
        <w:rPr>
          <w:rFonts w:hint="default" w:ascii="Times New Roman" w:hAnsi="Times New Roman" w:eastAsia="新宋体" w:cs="Times New Roman"/>
          <w:i/>
          <w:iCs/>
          <w:color w:val="auto"/>
          <w:sz w:val="28"/>
          <w:szCs w:val="28"/>
          <w:highlight w:val="none"/>
          <w:u w:val="single"/>
          <w:lang w:val="en-US" w:eastAsia="zh-CN"/>
        </w:rPr>
        <w:t>（标的名称）</w:t>
      </w:r>
      <w:r>
        <w:rPr>
          <w:rFonts w:hint="default" w:ascii="Times New Roman" w:hAnsi="Times New Roman" w:eastAsia="新宋体" w:cs="Times New Roman"/>
          <w:color w:val="auto"/>
          <w:sz w:val="28"/>
          <w:szCs w:val="28"/>
          <w:highlight w:val="none"/>
          <w:lang w:val="en-US" w:eastAsia="zh-CN"/>
        </w:rPr>
        <w:t>，属于</w:t>
      </w:r>
      <w:r>
        <w:rPr>
          <w:rFonts w:hint="default" w:ascii="Times New Roman" w:hAnsi="Times New Roman" w:eastAsia="新宋体" w:cs="Times New Roman"/>
          <w:i/>
          <w:iCs/>
          <w:color w:val="auto"/>
          <w:sz w:val="28"/>
          <w:szCs w:val="28"/>
          <w:highlight w:val="none"/>
          <w:u w:val="single"/>
          <w:lang w:val="en-US" w:eastAsia="zh-CN"/>
        </w:rPr>
        <w:t>（采购文件中明确的所属行业）</w:t>
      </w:r>
      <w:r>
        <w:rPr>
          <w:rFonts w:hint="default" w:ascii="Times New Roman" w:hAnsi="Times New Roman" w:eastAsia="新宋体" w:cs="Times New Roman"/>
          <w:color w:val="auto"/>
          <w:sz w:val="28"/>
          <w:szCs w:val="28"/>
          <w:highlight w:val="none"/>
          <w:lang w:val="en-US" w:eastAsia="zh-CN"/>
        </w:rPr>
        <w:t>行业；制造商为</w:t>
      </w:r>
      <w:r>
        <w:rPr>
          <w:rFonts w:hint="default" w:ascii="Times New Roman" w:hAnsi="Times New Roman" w:eastAsia="新宋体" w:cs="Times New Roman"/>
          <w:i/>
          <w:iCs/>
          <w:color w:val="auto"/>
          <w:sz w:val="28"/>
          <w:szCs w:val="28"/>
          <w:highlight w:val="none"/>
          <w:u w:val="single"/>
          <w:lang w:val="en-US" w:eastAsia="zh-CN"/>
        </w:rPr>
        <w:t>（企业名称）</w:t>
      </w:r>
      <w:r>
        <w:rPr>
          <w:rFonts w:hint="default" w:ascii="Times New Roman" w:hAnsi="Times New Roman" w:eastAsia="新宋体" w:cs="Times New Roman"/>
          <w:color w:val="auto"/>
          <w:sz w:val="28"/>
          <w:szCs w:val="28"/>
          <w:highlight w:val="none"/>
          <w:lang w:val="en-US" w:eastAsia="zh-CN"/>
        </w:rPr>
        <w:t>，从业人员</w:t>
      </w:r>
      <w:r>
        <w:rPr>
          <w:rFonts w:hint="default" w:ascii="Times New Roman" w:hAnsi="Times New Roman" w:eastAsia="新宋体" w:cs="Times New Roman"/>
          <w:color w:val="auto"/>
          <w:sz w:val="28"/>
          <w:szCs w:val="28"/>
          <w:highlight w:val="none"/>
        </w:rPr>
        <w:t>______</w:t>
      </w:r>
      <w:r>
        <w:rPr>
          <w:rFonts w:hint="default" w:ascii="Times New Roman" w:hAnsi="Times New Roman" w:eastAsia="新宋体" w:cs="Times New Roman"/>
          <w:color w:val="auto"/>
          <w:sz w:val="28"/>
          <w:szCs w:val="28"/>
          <w:highlight w:val="none"/>
          <w:lang w:val="en-US" w:eastAsia="zh-CN"/>
        </w:rPr>
        <w:t>人，营业收入为</w:t>
      </w:r>
      <w:r>
        <w:rPr>
          <w:rFonts w:hint="default" w:ascii="Times New Roman" w:hAnsi="Times New Roman" w:eastAsia="新宋体" w:cs="Times New Roman"/>
          <w:color w:val="auto"/>
          <w:sz w:val="28"/>
          <w:szCs w:val="28"/>
          <w:highlight w:val="none"/>
        </w:rPr>
        <w:t>________</w:t>
      </w:r>
      <w:r>
        <w:rPr>
          <w:rFonts w:hint="default" w:ascii="Times New Roman" w:hAnsi="Times New Roman" w:eastAsia="新宋体" w:cs="Times New Roman"/>
          <w:color w:val="auto"/>
          <w:sz w:val="28"/>
          <w:szCs w:val="28"/>
          <w:highlight w:val="none"/>
          <w:lang w:val="en-US" w:eastAsia="zh-CN"/>
        </w:rPr>
        <w:t>万元，资产总额为</w:t>
      </w:r>
      <w:r>
        <w:rPr>
          <w:rFonts w:hint="default" w:ascii="Times New Roman" w:hAnsi="Times New Roman" w:eastAsia="新宋体" w:cs="Times New Roman"/>
          <w:color w:val="auto"/>
          <w:sz w:val="28"/>
          <w:szCs w:val="28"/>
          <w:highlight w:val="none"/>
        </w:rPr>
        <w:t>_________</w:t>
      </w:r>
      <w:r>
        <w:rPr>
          <w:rFonts w:hint="default" w:ascii="Times New Roman" w:hAnsi="Times New Roman" w:eastAsia="新宋体" w:cs="Times New Roman"/>
          <w:color w:val="auto"/>
          <w:sz w:val="28"/>
          <w:szCs w:val="28"/>
          <w:highlight w:val="none"/>
          <w:lang w:val="en-US" w:eastAsia="zh-CN"/>
        </w:rPr>
        <w:t>万元，属于</w:t>
      </w:r>
      <w:r>
        <w:rPr>
          <w:rFonts w:hint="default" w:ascii="Times New Roman" w:hAnsi="Times New Roman" w:eastAsia="新宋体" w:cs="Times New Roman"/>
          <w:i/>
          <w:iCs/>
          <w:color w:val="auto"/>
          <w:sz w:val="28"/>
          <w:szCs w:val="28"/>
          <w:highlight w:val="none"/>
          <w:u w:val="single"/>
          <w:lang w:val="en-US" w:eastAsia="zh-CN"/>
        </w:rPr>
        <w:t>（中型企业、小型企业、微型企业）</w:t>
      </w:r>
      <w:r>
        <w:rPr>
          <w:rFonts w:hint="default" w:ascii="Times New Roman" w:hAnsi="Times New Roman" w:eastAsia="新宋体"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12" w:lineRule="auto"/>
        <w:ind w:firstLine="560" w:firstLineChars="200"/>
        <w:textAlignment w:val="auto"/>
        <w:rPr>
          <w:rFonts w:hint="default" w:ascii="Times New Roman" w:hAnsi="Times New Roman" w:eastAsia="仿宋" w:cs="Times New Roman"/>
          <w:color w:val="auto"/>
          <w:kern w:val="0"/>
          <w:sz w:val="31"/>
          <w:szCs w:val="31"/>
          <w:highlight w:val="none"/>
          <w:lang w:val="en-US" w:eastAsia="zh-CN" w:bidi="ar"/>
        </w:rPr>
      </w:pPr>
      <w:r>
        <w:rPr>
          <w:rFonts w:hint="default" w:ascii="Times New Roman" w:hAnsi="Times New Roman" w:eastAsia="新宋体" w:cs="Times New Roman"/>
          <w:color w:val="auto"/>
          <w:sz w:val="28"/>
          <w:szCs w:val="28"/>
          <w:highlight w:val="none"/>
          <w:lang w:val="en-US" w:eastAsia="zh-CN"/>
        </w:rPr>
        <w:t>2.</w:t>
      </w:r>
      <w:r>
        <w:rPr>
          <w:rFonts w:hint="default" w:ascii="Times New Roman" w:hAnsi="Times New Roman" w:eastAsia="新宋体" w:cs="Times New Roman"/>
          <w:i/>
          <w:iCs/>
          <w:color w:val="auto"/>
          <w:sz w:val="28"/>
          <w:szCs w:val="28"/>
          <w:highlight w:val="none"/>
          <w:u w:val="single"/>
          <w:lang w:val="en-US" w:eastAsia="zh-CN"/>
        </w:rPr>
        <w:t>（标的名称）</w:t>
      </w:r>
      <w:r>
        <w:rPr>
          <w:rFonts w:hint="default" w:ascii="Times New Roman" w:hAnsi="Times New Roman" w:eastAsia="新宋体" w:cs="Times New Roman"/>
          <w:color w:val="auto"/>
          <w:sz w:val="28"/>
          <w:szCs w:val="28"/>
          <w:highlight w:val="none"/>
          <w:lang w:val="en-US" w:eastAsia="zh-CN"/>
        </w:rPr>
        <w:t>，属于</w:t>
      </w:r>
      <w:r>
        <w:rPr>
          <w:rFonts w:hint="default" w:ascii="Times New Roman" w:hAnsi="Times New Roman" w:eastAsia="新宋体" w:cs="Times New Roman"/>
          <w:i/>
          <w:iCs/>
          <w:color w:val="auto"/>
          <w:sz w:val="28"/>
          <w:szCs w:val="28"/>
          <w:highlight w:val="none"/>
          <w:u w:val="single"/>
          <w:lang w:val="en-US" w:eastAsia="zh-CN"/>
        </w:rPr>
        <w:t>（采购文件中明确的所属行业）</w:t>
      </w:r>
      <w:r>
        <w:rPr>
          <w:rFonts w:hint="default" w:ascii="Times New Roman" w:hAnsi="Times New Roman" w:eastAsia="新宋体" w:cs="Times New Roman"/>
          <w:color w:val="auto"/>
          <w:sz w:val="28"/>
          <w:szCs w:val="28"/>
          <w:highlight w:val="none"/>
          <w:lang w:val="en-US" w:eastAsia="zh-CN"/>
        </w:rPr>
        <w:t>行业；制造商为</w:t>
      </w:r>
      <w:r>
        <w:rPr>
          <w:rFonts w:hint="default" w:ascii="Times New Roman" w:hAnsi="Times New Roman" w:eastAsia="新宋体" w:cs="Times New Roman"/>
          <w:i/>
          <w:iCs/>
          <w:color w:val="auto"/>
          <w:sz w:val="28"/>
          <w:szCs w:val="28"/>
          <w:highlight w:val="none"/>
          <w:u w:val="single"/>
          <w:lang w:val="en-US" w:eastAsia="zh-CN"/>
        </w:rPr>
        <w:t>（企业名称）</w:t>
      </w:r>
      <w:r>
        <w:rPr>
          <w:rFonts w:hint="default" w:ascii="Times New Roman" w:hAnsi="Times New Roman" w:eastAsia="新宋体" w:cs="Times New Roman"/>
          <w:color w:val="auto"/>
          <w:sz w:val="28"/>
          <w:szCs w:val="28"/>
          <w:highlight w:val="none"/>
          <w:lang w:val="en-US" w:eastAsia="zh-CN"/>
        </w:rPr>
        <w:t>，从业人员</w:t>
      </w:r>
      <w:r>
        <w:rPr>
          <w:rFonts w:hint="default" w:ascii="Times New Roman" w:hAnsi="Times New Roman" w:eastAsia="新宋体" w:cs="Times New Roman"/>
          <w:color w:val="auto"/>
          <w:sz w:val="28"/>
          <w:szCs w:val="28"/>
          <w:highlight w:val="none"/>
        </w:rPr>
        <w:t>______</w:t>
      </w:r>
      <w:r>
        <w:rPr>
          <w:rFonts w:hint="default" w:ascii="Times New Roman" w:hAnsi="Times New Roman" w:eastAsia="新宋体" w:cs="Times New Roman"/>
          <w:color w:val="auto"/>
          <w:sz w:val="28"/>
          <w:szCs w:val="28"/>
          <w:highlight w:val="none"/>
          <w:lang w:val="en-US" w:eastAsia="zh-CN"/>
        </w:rPr>
        <w:t>人，营业收入为</w:t>
      </w:r>
      <w:r>
        <w:rPr>
          <w:rFonts w:hint="default" w:ascii="Times New Roman" w:hAnsi="Times New Roman" w:eastAsia="新宋体" w:cs="Times New Roman"/>
          <w:color w:val="auto"/>
          <w:sz w:val="28"/>
          <w:szCs w:val="28"/>
          <w:highlight w:val="none"/>
        </w:rPr>
        <w:t>________</w:t>
      </w:r>
      <w:r>
        <w:rPr>
          <w:rFonts w:hint="default" w:ascii="Times New Roman" w:hAnsi="Times New Roman" w:eastAsia="新宋体" w:cs="Times New Roman"/>
          <w:color w:val="auto"/>
          <w:sz w:val="28"/>
          <w:szCs w:val="28"/>
          <w:highlight w:val="none"/>
          <w:lang w:val="en-US" w:eastAsia="zh-CN"/>
        </w:rPr>
        <w:t>万元，资产总额为</w:t>
      </w:r>
      <w:r>
        <w:rPr>
          <w:rFonts w:hint="default" w:ascii="Times New Roman" w:hAnsi="Times New Roman" w:eastAsia="新宋体" w:cs="Times New Roman"/>
          <w:color w:val="auto"/>
          <w:sz w:val="28"/>
          <w:szCs w:val="28"/>
          <w:highlight w:val="none"/>
        </w:rPr>
        <w:t>_________</w:t>
      </w:r>
      <w:r>
        <w:rPr>
          <w:rFonts w:hint="default" w:ascii="Times New Roman" w:hAnsi="Times New Roman" w:eastAsia="新宋体" w:cs="Times New Roman"/>
          <w:color w:val="auto"/>
          <w:sz w:val="28"/>
          <w:szCs w:val="28"/>
          <w:highlight w:val="none"/>
          <w:lang w:val="en-US" w:eastAsia="zh-CN"/>
        </w:rPr>
        <w:t>万元，属于</w:t>
      </w:r>
      <w:r>
        <w:rPr>
          <w:rFonts w:hint="default" w:ascii="Times New Roman" w:hAnsi="Times New Roman" w:eastAsia="新宋体" w:cs="Times New Roman"/>
          <w:i/>
          <w:iCs/>
          <w:color w:val="auto"/>
          <w:sz w:val="28"/>
          <w:szCs w:val="28"/>
          <w:highlight w:val="none"/>
          <w:u w:val="single"/>
          <w:lang w:val="en-US" w:eastAsia="zh-CN"/>
        </w:rPr>
        <w:t>（中型企业、小型企业、微型企业）</w:t>
      </w:r>
      <w:r>
        <w:rPr>
          <w:rFonts w:hint="default" w:ascii="Times New Roman" w:hAnsi="Times New Roman" w:eastAsia="新宋体"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12" w:lineRule="auto"/>
        <w:ind w:firstLine="560" w:firstLineChars="200"/>
        <w:textAlignment w:val="auto"/>
        <w:rPr>
          <w:rFonts w:hint="default" w:ascii="Times New Roman" w:hAnsi="Times New Roman" w:eastAsia="新宋体" w:cs="Times New Roman"/>
          <w:color w:val="auto"/>
          <w:sz w:val="28"/>
          <w:szCs w:val="28"/>
          <w:highlight w:val="none"/>
          <w:lang w:val="en-US" w:eastAsia="zh-CN"/>
        </w:rPr>
      </w:pPr>
      <w:r>
        <w:rPr>
          <w:rFonts w:hint="default" w:ascii="Times New Roman" w:hAnsi="Times New Roman" w:eastAsia="新宋体" w:cs="Times New Roman"/>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val="0"/>
        <w:spacing w:line="312" w:lineRule="auto"/>
        <w:ind w:firstLine="560" w:firstLineChars="200"/>
        <w:textAlignment w:val="auto"/>
        <w:rPr>
          <w:rFonts w:hint="default" w:ascii="Times New Roman" w:hAnsi="Times New Roman" w:eastAsia="新宋体" w:cs="Times New Roman"/>
          <w:color w:val="auto"/>
          <w:sz w:val="28"/>
          <w:szCs w:val="28"/>
          <w:highlight w:val="none"/>
          <w:lang w:val="en-US" w:eastAsia="zh-CN"/>
        </w:rPr>
      </w:pPr>
      <w:r>
        <w:rPr>
          <w:rFonts w:hint="default" w:ascii="Times New Roman" w:hAnsi="Times New Roman" w:eastAsia="新宋体" w:cs="Times New Roman"/>
          <w:color w:val="auto"/>
          <w:sz w:val="28"/>
          <w:szCs w:val="28"/>
          <w:highlight w:val="none"/>
          <w:lang w:val="en-US"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val="0"/>
        <w:spacing w:line="312" w:lineRule="auto"/>
        <w:ind w:firstLine="560" w:firstLineChars="200"/>
        <w:textAlignment w:val="auto"/>
        <w:rPr>
          <w:rFonts w:hint="default" w:ascii="Times New Roman" w:hAnsi="Times New Roman" w:eastAsia="新宋体" w:cs="Times New Roman"/>
          <w:color w:val="auto"/>
          <w:sz w:val="28"/>
          <w:szCs w:val="28"/>
          <w:highlight w:val="none"/>
          <w:lang w:val="en-US" w:eastAsia="zh-CN"/>
        </w:rPr>
      </w:pPr>
      <w:r>
        <w:rPr>
          <w:rFonts w:hint="default" w:ascii="Times New Roman" w:hAnsi="Times New Roman" w:eastAsia="新宋体" w:cs="Times New Roman"/>
          <w:color w:val="auto"/>
          <w:sz w:val="28"/>
          <w:szCs w:val="28"/>
          <w:highlight w:val="none"/>
          <w:lang w:val="en-US" w:eastAsia="zh-CN"/>
        </w:rPr>
        <w:t>本企业对上述声明内容的真实性负责。如有虚假，将依法承担相应责任。</w:t>
      </w:r>
    </w:p>
    <w:p>
      <w:pPr>
        <w:keepNext w:val="0"/>
        <w:keepLines w:val="0"/>
        <w:pageBreakBefore w:val="0"/>
        <w:widowControl/>
        <w:kinsoku/>
        <w:wordWrap/>
        <w:overflowPunct/>
        <w:topLinePunct w:val="0"/>
        <w:autoSpaceDE/>
        <w:autoSpaceDN/>
        <w:bidi w:val="0"/>
        <w:adjustRightInd/>
        <w:snapToGrid w:val="0"/>
        <w:spacing w:line="312" w:lineRule="auto"/>
        <w:ind w:firstLine="3080" w:firstLineChars="1100"/>
        <w:textAlignment w:val="auto"/>
        <w:rPr>
          <w:rFonts w:hint="default" w:ascii="Times New Roman" w:hAnsi="Times New Roman" w:eastAsia="新宋体" w:cs="Times New Roman"/>
          <w:color w:val="auto"/>
          <w:sz w:val="28"/>
          <w:szCs w:val="28"/>
          <w:highlight w:val="none"/>
          <w:lang w:val="en-US" w:eastAsia="zh-CN"/>
        </w:rPr>
      </w:pPr>
      <w:r>
        <w:rPr>
          <w:rFonts w:hint="default" w:ascii="Times New Roman" w:hAnsi="Times New Roman" w:eastAsia="新宋体" w:cs="Times New Roman"/>
          <w:color w:val="auto"/>
          <w:sz w:val="28"/>
          <w:szCs w:val="28"/>
          <w:highlight w:val="none"/>
          <w:lang w:val="en-US" w:eastAsia="zh-CN"/>
        </w:rPr>
        <w:t>企业（投标人）名称（盖章）：</w:t>
      </w:r>
      <w:r>
        <w:rPr>
          <w:rFonts w:hint="default" w:ascii="Times New Roman" w:hAnsi="Times New Roman" w:eastAsia="新宋体" w:cs="Times New Roman"/>
          <w:color w:val="auto"/>
          <w:sz w:val="28"/>
          <w:szCs w:val="28"/>
          <w:highlight w:val="none"/>
        </w:rPr>
        <w:t>_______</w:t>
      </w:r>
    </w:p>
    <w:p>
      <w:pPr>
        <w:keepNext w:val="0"/>
        <w:keepLines w:val="0"/>
        <w:pageBreakBefore w:val="0"/>
        <w:widowControl/>
        <w:kinsoku/>
        <w:wordWrap/>
        <w:overflowPunct/>
        <w:topLinePunct w:val="0"/>
        <w:autoSpaceDE/>
        <w:autoSpaceDN/>
        <w:bidi w:val="0"/>
        <w:adjustRightInd/>
        <w:snapToGrid w:val="0"/>
        <w:spacing w:line="312" w:lineRule="auto"/>
        <w:ind w:firstLine="5880" w:firstLineChars="2100"/>
        <w:textAlignment w:val="auto"/>
        <w:rPr>
          <w:rFonts w:hint="default" w:ascii="Times New Roman" w:hAnsi="Times New Roman" w:eastAsia="新宋体" w:cs="Times New Roman"/>
          <w:color w:val="auto"/>
          <w:sz w:val="28"/>
          <w:szCs w:val="28"/>
          <w:highlight w:val="none"/>
        </w:rPr>
      </w:pPr>
      <w:r>
        <w:rPr>
          <w:rFonts w:hint="default" w:ascii="Times New Roman" w:hAnsi="Times New Roman" w:eastAsia="新宋体" w:cs="Times New Roman"/>
          <w:color w:val="auto"/>
          <w:sz w:val="28"/>
          <w:szCs w:val="28"/>
          <w:highlight w:val="none"/>
          <w:lang w:val="en-US" w:eastAsia="zh-CN"/>
        </w:rPr>
        <w:t>日 期：</w:t>
      </w:r>
      <w:r>
        <w:rPr>
          <w:rFonts w:hint="default" w:ascii="Times New Roman" w:hAnsi="Times New Roman" w:eastAsia="新宋体" w:cs="Times New Roman"/>
          <w:color w:val="auto"/>
          <w:sz w:val="28"/>
          <w:szCs w:val="28"/>
          <w:highlight w:val="none"/>
        </w:rPr>
        <w:t>_______</w:t>
      </w:r>
    </w:p>
    <w:p>
      <w:pPr>
        <w:keepNext w:val="0"/>
        <w:keepLines w:val="0"/>
        <w:pageBreakBefore w:val="0"/>
        <w:widowControl/>
        <w:kinsoku/>
        <w:wordWrap/>
        <w:overflowPunct/>
        <w:topLinePunct w:val="0"/>
        <w:autoSpaceDE/>
        <w:autoSpaceDN/>
        <w:bidi w:val="0"/>
        <w:adjustRightInd/>
        <w:snapToGrid w:val="0"/>
        <w:spacing w:line="312" w:lineRule="auto"/>
        <w:textAlignment w:val="auto"/>
        <w:rPr>
          <w:rFonts w:hint="default" w:ascii="Times New Roman" w:hAnsi="Times New Roman" w:eastAsia="新宋体" w:cs="Times New Roman"/>
          <w:b/>
          <w:color w:val="auto"/>
          <w:sz w:val="24"/>
          <w:highlight w:val="none"/>
        </w:rPr>
      </w:pPr>
      <w:r>
        <w:rPr>
          <w:rFonts w:hint="default" w:ascii="Times New Roman" w:hAnsi="Times New Roman" w:eastAsia="新宋体" w:cs="Times New Roman"/>
          <w:b/>
          <w:color w:val="auto"/>
          <w:sz w:val="24"/>
          <w:highlight w:val="none"/>
        </w:rPr>
        <w:t>备注说明：</w:t>
      </w:r>
    </w:p>
    <w:p>
      <w:pPr>
        <w:keepNext w:val="0"/>
        <w:keepLines w:val="0"/>
        <w:pageBreakBefore w:val="0"/>
        <w:widowControl/>
        <w:numPr>
          <w:ilvl w:val="0"/>
          <w:numId w:val="4"/>
        </w:numPr>
        <w:kinsoku/>
        <w:wordWrap/>
        <w:overflowPunct/>
        <w:topLinePunct w:val="0"/>
        <w:autoSpaceDE/>
        <w:autoSpaceDN/>
        <w:bidi w:val="0"/>
        <w:adjustRightInd/>
        <w:snapToGrid w:val="0"/>
        <w:spacing w:line="312" w:lineRule="auto"/>
        <w:ind w:firstLine="480" w:firstLineChars="200"/>
        <w:textAlignment w:val="auto"/>
        <w:rPr>
          <w:rFonts w:hint="default" w:ascii="Times New Roman" w:hAnsi="Times New Roman" w:eastAsia="新宋体" w:cs="Times New Roman"/>
          <w:color w:val="auto"/>
          <w:sz w:val="24"/>
          <w:highlight w:val="none"/>
          <w:lang w:val="en-US" w:eastAsia="zh-CN"/>
        </w:rPr>
      </w:pPr>
      <w:r>
        <w:rPr>
          <w:rFonts w:hint="default" w:ascii="Times New Roman" w:hAnsi="Times New Roman" w:eastAsia="新宋体" w:cs="Times New Roman"/>
          <w:color w:val="auto"/>
          <w:sz w:val="24"/>
          <w:highlight w:val="none"/>
          <w:lang w:val="en-US" w:eastAsia="zh-CN"/>
        </w:rPr>
        <w:t>从业人员、营业收入、资产总额填报上一年度数据，无上一年度数据的新成立企业可不填报。</w:t>
      </w:r>
    </w:p>
    <w:p>
      <w:pPr>
        <w:keepNext w:val="0"/>
        <w:keepLines w:val="0"/>
        <w:pageBreakBefore w:val="0"/>
        <w:widowControl/>
        <w:numPr>
          <w:ilvl w:val="0"/>
          <w:numId w:val="4"/>
        </w:numPr>
        <w:kinsoku/>
        <w:wordWrap/>
        <w:overflowPunct/>
        <w:topLinePunct w:val="0"/>
        <w:autoSpaceDE/>
        <w:autoSpaceDN/>
        <w:bidi w:val="0"/>
        <w:adjustRightInd/>
        <w:snapToGrid w:val="0"/>
        <w:spacing w:line="312" w:lineRule="auto"/>
        <w:ind w:firstLine="480" w:firstLineChars="200"/>
        <w:textAlignment w:val="auto"/>
        <w:rPr>
          <w:rFonts w:hint="default" w:ascii="Times New Roman" w:hAnsi="Times New Roman" w:eastAsia="新宋体" w:cs="Times New Roman"/>
          <w:color w:val="auto"/>
          <w:sz w:val="24"/>
          <w:highlight w:val="none"/>
          <w:lang w:val="en-US" w:eastAsia="zh-CN"/>
        </w:rPr>
      </w:pPr>
      <w:r>
        <w:rPr>
          <w:rFonts w:hint="default" w:ascii="Times New Roman" w:hAnsi="Times New Roman" w:eastAsia="新宋体" w:cs="Times New Roman"/>
          <w:color w:val="auto"/>
          <w:sz w:val="24"/>
          <w:highlight w:val="none"/>
          <w:lang w:val="en-US" w:eastAsia="zh-CN"/>
        </w:rPr>
        <w:t>投标人应根据《工业和信息化部、国家统计局、国家发展和改革委员会、财政部关于印发中小企业划型标准规定的通知》（工信部联企业〔2011〕300号）规定的划分标准,填报企业规模类型。投标人也可在国务院客户端或工业和信息化部网站上，使用中小企业规模类型自测小程序识别企业规模类型。</w:t>
      </w:r>
    </w:p>
    <w:p>
      <w:pPr>
        <w:keepNext w:val="0"/>
        <w:keepLines w:val="0"/>
        <w:pageBreakBefore w:val="0"/>
        <w:widowControl/>
        <w:numPr>
          <w:ilvl w:val="0"/>
          <w:numId w:val="4"/>
        </w:numPr>
        <w:kinsoku/>
        <w:wordWrap/>
        <w:overflowPunct/>
        <w:topLinePunct w:val="0"/>
        <w:autoSpaceDE/>
        <w:autoSpaceDN/>
        <w:bidi w:val="0"/>
        <w:adjustRightInd/>
        <w:snapToGrid w:val="0"/>
        <w:spacing w:line="312" w:lineRule="auto"/>
        <w:ind w:firstLine="480" w:firstLineChars="200"/>
        <w:textAlignment w:val="auto"/>
        <w:rPr>
          <w:rFonts w:hint="default" w:ascii="Times New Roman" w:hAnsi="Times New Roman" w:eastAsia="新宋体" w:cs="Times New Roman"/>
          <w:color w:val="auto"/>
          <w:sz w:val="24"/>
          <w:highlight w:val="none"/>
          <w:lang w:val="en-US" w:eastAsia="zh-CN"/>
        </w:rPr>
      </w:pPr>
      <w:r>
        <w:rPr>
          <w:rFonts w:hint="default" w:ascii="Times New Roman" w:hAnsi="Times New Roman" w:eastAsia="新宋体" w:cs="Times New Roman"/>
          <w:color w:val="auto"/>
          <w:sz w:val="24"/>
          <w:highlight w:val="none"/>
          <w:lang w:val="en-US" w:eastAsia="zh-CN"/>
        </w:rPr>
        <w:t>符合小微企业有关政策的投标人需提供本项材料。</w:t>
      </w:r>
    </w:p>
    <w:p>
      <w:pPr>
        <w:pageBreakBefore w:val="0"/>
        <w:widowControl w:val="0"/>
        <w:kinsoku/>
        <w:overflowPunct/>
        <w:topLinePunct w:val="0"/>
        <w:bidi w:val="0"/>
        <w:spacing w:after="0" w:line="264" w:lineRule="auto"/>
        <w:rPr>
          <w:rFonts w:hint="default" w:ascii="Times New Roman" w:hAnsi="Times New Roman" w:cs="Times New Roman"/>
          <w:highlight w:val="none"/>
        </w:rPr>
      </w:pPr>
    </w:p>
    <w:p>
      <w:pPr>
        <w:pageBreakBefore w:val="0"/>
        <w:widowControl w:val="0"/>
        <w:kinsoku/>
        <w:overflowPunct/>
        <w:topLinePunct w:val="0"/>
        <w:bidi w:val="0"/>
        <w:snapToGrid w:val="0"/>
        <w:spacing w:after="0" w:line="264" w:lineRule="auto"/>
        <w:jc w:val="center"/>
        <w:rPr>
          <w:rFonts w:hint="default" w:ascii="Times New Roman" w:hAnsi="Times New Roman" w:cs="Times New Roman"/>
          <w:b/>
          <w:sz w:val="36"/>
          <w:szCs w:val="36"/>
          <w:highlight w:val="none"/>
        </w:rPr>
      </w:pPr>
      <w:bookmarkStart w:id="221" w:name="_Toc11041_WPSOffice_Level1"/>
      <w:bookmarkStart w:id="222" w:name="_Toc32221_WPSOffice_Level1"/>
    </w:p>
    <w:p>
      <w:pPr>
        <w:pageBreakBefore w:val="0"/>
        <w:widowControl w:val="0"/>
        <w:kinsoku/>
        <w:overflowPunct/>
        <w:topLinePunct w:val="0"/>
        <w:bidi w:val="0"/>
        <w:snapToGrid w:val="0"/>
        <w:spacing w:after="0" w:line="264" w:lineRule="auto"/>
        <w:jc w:val="center"/>
        <w:rPr>
          <w:rFonts w:hint="default" w:ascii="Times New Roman" w:hAnsi="Times New Roman" w:cs="Times New Roman"/>
          <w:b/>
          <w:sz w:val="36"/>
          <w:szCs w:val="36"/>
          <w:highlight w:val="none"/>
        </w:rPr>
      </w:pPr>
      <w:r>
        <w:rPr>
          <w:rFonts w:hint="default" w:ascii="Times New Roman" w:hAnsi="Times New Roman" w:cs="Times New Roman"/>
          <w:b/>
          <w:sz w:val="36"/>
          <w:szCs w:val="36"/>
          <w:highlight w:val="none"/>
        </w:rPr>
        <w:t>残疾人福利性单位声明函</w:t>
      </w:r>
      <w:bookmarkEnd w:id="221"/>
      <w:bookmarkEnd w:id="222"/>
    </w:p>
    <w:p>
      <w:pPr>
        <w:pageBreakBefore w:val="0"/>
        <w:widowControl w:val="0"/>
        <w:kinsoku/>
        <w:overflowPunct/>
        <w:topLinePunct w:val="0"/>
        <w:bidi w:val="0"/>
        <w:spacing w:after="0" w:line="264" w:lineRule="auto"/>
        <w:rPr>
          <w:rFonts w:hint="default" w:ascii="Times New Roman" w:hAnsi="Times New Roman" w:cs="Times New Roman"/>
          <w:b/>
          <w:spacing w:val="6"/>
          <w:sz w:val="30"/>
          <w:szCs w:val="30"/>
          <w:highlight w:val="none"/>
        </w:rPr>
      </w:pPr>
    </w:p>
    <w:p>
      <w:pPr>
        <w:pageBreakBefore w:val="0"/>
        <w:widowControl w:val="0"/>
        <w:kinsoku/>
        <w:overflowPunct/>
        <w:topLinePunct w:val="0"/>
        <w:bidi w:val="0"/>
        <w:snapToGrid w:val="0"/>
        <w:spacing w:after="0" w:line="264"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ageBreakBefore w:val="0"/>
        <w:widowControl w:val="0"/>
        <w:kinsoku/>
        <w:overflowPunct/>
        <w:topLinePunct w:val="0"/>
        <w:bidi w:val="0"/>
        <w:snapToGrid w:val="0"/>
        <w:spacing w:after="0" w:line="264" w:lineRule="auto"/>
        <w:ind w:firstLine="560" w:firstLineChars="2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本单位对上述声明的真实性负责。如有虚假，将依法承担相应责任。</w:t>
      </w:r>
    </w:p>
    <w:p>
      <w:pPr>
        <w:pageBreakBefore w:val="0"/>
        <w:widowControl w:val="0"/>
        <w:kinsoku/>
        <w:overflowPunct/>
        <w:topLinePunct w:val="0"/>
        <w:bidi w:val="0"/>
        <w:snapToGrid w:val="0"/>
        <w:spacing w:after="0" w:line="264" w:lineRule="auto"/>
        <w:ind w:firstLine="560" w:firstLineChars="200"/>
        <w:rPr>
          <w:rFonts w:hint="default" w:ascii="Times New Roman" w:hAnsi="Times New Roman" w:cs="Times New Roman"/>
          <w:sz w:val="28"/>
          <w:szCs w:val="28"/>
          <w:highlight w:val="none"/>
        </w:rPr>
      </w:pPr>
    </w:p>
    <w:p>
      <w:pPr>
        <w:pageBreakBefore w:val="0"/>
        <w:widowControl w:val="0"/>
        <w:kinsoku/>
        <w:overflowPunct/>
        <w:topLinePunct w:val="0"/>
        <w:bidi w:val="0"/>
        <w:spacing w:after="0" w:line="264" w:lineRule="auto"/>
        <w:ind w:firstLine="624" w:firstLineChars="200"/>
        <w:rPr>
          <w:rFonts w:hint="default" w:ascii="Times New Roman" w:hAnsi="Times New Roman" w:cs="Times New Roman"/>
          <w:spacing w:val="6"/>
          <w:sz w:val="30"/>
          <w:szCs w:val="30"/>
          <w:highlight w:val="none"/>
        </w:rPr>
      </w:pPr>
    </w:p>
    <w:p>
      <w:pPr>
        <w:pageBreakBefore w:val="0"/>
        <w:widowControl w:val="0"/>
        <w:kinsoku/>
        <w:overflowPunct/>
        <w:topLinePunct w:val="0"/>
        <w:bidi w:val="0"/>
        <w:snapToGrid w:val="0"/>
        <w:spacing w:after="0" w:line="264" w:lineRule="auto"/>
        <w:ind w:firstLine="560" w:firstLineChars="200"/>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单位名称（</w:t>
      </w:r>
      <w:r>
        <w:rPr>
          <w:rFonts w:hint="default" w:ascii="Times New Roman" w:hAnsi="Times New Roman" w:cs="Times New Roman"/>
          <w:sz w:val="32"/>
          <w:highlight w:val="none"/>
        </w:rPr>
        <w:t>电子签章</w:t>
      </w:r>
      <w:r>
        <w:rPr>
          <w:rFonts w:hint="default" w:ascii="Times New Roman" w:hAnsi="Times New Roman" w:cs="Times New Roman"/>
          <w:sz w:val="28"/>
          <w:szCs w:val="28"/>
          <w:highlight w:val="none"/>
        </w:rPr>
        <w:t>）：</w:t>
      </w:r>
    </w:p>
    <w:p>
      <w:pPr>
        <w:pageBreakBefore w:val="0"/>
        <w:widowControl w:val="0"/>
        <w:kinsoku/>
        <w:overflowPunct/>
        <w:topLinePunct w:val="0"/>
        <w:bidi w:val="0"/>
        <w:snapToGrid w:val="0"/>
        <w:spacing w:after="0" w:line="264" w:lineRule="auto"/>
        <w:ind w:firstLine="560" w:firstLineChars="200"/>
        <w:jc w:val="right"/>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       日  期：</w:t>
      </w:r>
    </w:p>
    <w:p>
      <w:pPr>
        <w:pStyle w:val="29"/>
        <w:pageBreakBefore w:val="0"/>
        <w:widowControl w:val="0"/>
        <w:kinsoku/>
        <w:overflowPunct/>
        <w:topLinePunct w:val="0"/>
        <w:bidi w:val="0"/>
        <w:spacing w:after="0" w:line="264" w:lineRule="auto"/>
        <w:rPr>
          <w:rFonts w:hint="default" w:ascii="Times New Roman" w:hAnsi="Times New Roman" w:cs="Times New Roman"/>
          <w:highlight w:val="none"/>
        </w:rPr>
      </w:pPr>
    </w:p>
    <w:sectPr>
      <w:headerReference r:id="rId3" w:type="default"/>
      <w:footerReference r:id="rId4" w:type="default"/>
      <w:pgSz w:w="11906" w:h="16838"/>
      <w:pgMar w:top="1440" w:right="1080" w:bottom="1440" w:left="1080" w:header="851" w:footer="992" w:gutter="0"/>
      <w:pgNumType w:start="0"/>
      <w:cols w:space="720" w:num="1"/>
      <w:titlePg/>
      <w:docGrid w:type="lines" w:linePitch="326"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ourier">
    <w:panose1 w:val="02060409020205020404"/>
    <w:charset w:val="00"/>
    <w:family w:val="modern"/>
    <w:pitch w:val="default"/>
    <w:sig w:usb0="00000007" w:usb1="00000000" w:usb2="00000000" w:usb3="00000000" w:csb0="00000093"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8797"/>
    </w:sdtPr>
    <w:sdtContent>
      <w:p>
        <w:pPr>
          <w:pStyle w:val="35"/>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90" w:firstLineChars="5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C3F20"/>
    <w:multiLevelType w:val="singleLevel"/>
    <w:tmpl w:val="A38C3F20"/>
    <w:lvl w:ilvl="0" w:tentative="0">
      <w:start w:val="1"/>
      <w:numFmt w:val="decimal"/>
      <w:lvlText w:val="%1."/>
      <w:lvlJc w:val="left"/>
      <w:pPr>
        <w:tabs>
          <w:tab w:val="left" w:pos="312"/>
        </w:tabs>
      </w:pPr>
    </w:lvl>
  </w:abstractNum>
  <w:abstractNum w:abstractNumId="1">
    <w:nsid w:val="23345CF9"/>
    <w:multiLevelType w:val="singleLevel"/>
    <w:tmpl w:val="23345CF9"/>
    <w:lvl w:ilvl="0" w:tentative="0">
      <w:start w:val="13"/>
      <w:numFmt w:val="decimal"/>
      <w:lvlText w:val="%1."/>
      <w:lvlJc w:val="left"/>
      <w:pPr>
        <w:tabs>
          <w:tab w:val="left" w:pos="312"/>
        </w:tabs>
      </w:pPr>
    </w:lvl>
  </w:abstractNum>
  <w:abstractNum w:abstractNumId="2">
    <w:nsid w:val="28630A2E"/>
    <w:multiLevelType w:val="multilevel"/>
    <w:tmpl w:val="28630A2E"/>
    <w:lvl w:ilvl="0" w:tentative="0">
      <w:start w:val="1"/>
      <w:numFmt w:val="chineseCountingThousand"/>
      <w:suff w:val="nothing"/>
      <w:lvlText w:val="第%1章"/>
      <w:lvlJc w:val="left"/>
      <w:pPr>
        <w:ind w:left="0" w:firstLine="0"/>
      </w:pPr>
    </w:lvl>
    <w:lvl w:ilvl="1" w:tentative="0">
      <w:start w:val="1"/>
      <w:numFmt w:val="none"/>
      <w:pStyle w:val="5"/>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73A4696"/>
    <w:multiLevelType w:val="singleLevel"/>
    <w:tmpl w:val="773A4696"/>
    <w:lvl w:ilvl="0" w:tentative="0">
      <w:start w:val="1"/>
      <w:numFmt w:val="decimal"/>
      <w:suff w:val="nothing"/>
      <w:lvlText w:val="%1、"/>
      <w:lvlJc w:val="left"/>
      <w:pPr>
        <w:ind w:left="12"/>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565"/>
    <w:rsid w:val="00000248"/>
    <w:rsid w:val="000003B9"/>
    <w:rsid w:val="00000885"/>
    <w:rsid w:val="00000A02"/>
    <w:rsid w:val="0000168A"/>
    <w:rsid w:val="000016F1"/>
    <w:rsid w:val="0000182F"/>
    <w:rsid w:val="000019C5"/>
    <w:rsid w:val="00001CD2"/>
    <w:rsid w:val="00001E5C"/>
    <w:rsid w:val="00002653"/>
    <w:rsid w:val="000031B2"/>
    <w:rsid w:val="00003444"/>
    <w:rsid w:val="000035B5"/>
    <w:rsid w:val="000036EF"/>
    <w:rsid w:val="00003954"/>
    <w:rsid w:val="00003B25"/>
    <w:rsid w:val="0000419C"/>
    <w:rsid w:val="000043B3"/>
    <w:rsid w:val="000047F8"/>
    <w:rsid w:val="00004944"/>
    <w:rsid w:val="00005302"/>
    <w:rsid w:val="0000532D"/>
    <w:rsid w:val="0000544E"/>
    <w:rsid w:val="0000550A"/>
    <w:rsid w:val="00005537"/>
    <w:rsid w:val="000058D8"/>
    <w:rsid w:val="00005A3D"/>
    <w:rsid w:val="00006076"/>
    <w:rsid w:val="000068FF"/>
    <w:rsid w:val="00006A6F"/>
    <w:rsid w:val="00006BB3"/>
    <w:rsid w:val="00006DD7"/>
    <w:rsid w:val="00006E2B"/>
    <w:rsid w:val="000071AE"/>
    <w:rsid w:val="000073B1"/>
    <w:rsid w:val="0000769F"/>
    <w:rsid w:val="00007C6B"/>
    <w:rsid w:val="00010548"/>
    <w:rsid w:val="0001062D"/>
    <w:rsid w:val="0001067A"/>
    <w:rsid w:val="0001075F"/>
    <w:rsid w:val="00010AA0"/>
    <w:rsid w:val="00010BC4"/>
    <w:rsid w:val="00010D8E"/>
    <w:rsid w:val="00011521"/>
    <w:rsid w:val="00011578"/>
    <w:rsid w:val="00011620"/>
    <w:rsid w:val="0001170F"/>
    <w:rsid w:val="00011C4A"/>
    <w:rsid w:val="00012174"/>
    <w:rsid w:val="000123B3"/>
    <w:rsid w:val="0001253B"/>
    <w:rsid w:val="00012665"/>
    <w:rsid w:val="00012692"/>
    <w:rsid w:val="00012963"/>
    <w:rsid w:val="00012C0A"/>
    <w:rsid w:val="00012CF7"/>
    <w:rsid w:val="00012D37"/>
    <w:rsid w:val="00012DBF"/>
    <w:rsid w:val="00012E61"/>
    <w:rsid w:val="000130C1"/>
    <w:rsid w:val="000138C8"/>
    <w:rsid w:val="000139D3"/>
    <w:rsid w:val="00013CFD"/>
    <w:rsid w:val="00013D1A"/>
    <w:rsid w:val="00013D1B"/>
    <w:rsid w:val="00014202"/>
    <w:rsid w:val="0001477A"/>
    <w:rsid w:val="00014AEF"/>
    <w:rsid w:val="000155B0"/>
    <w:rsid w:val="000156FE"/>
    <w:rsid w:val="000159CE"/>
    <w:rsid w:val="00016618"/>
    <w:rsid w:val="0001678C"/>
    <w:rsid w:val="00016831"/>
    <w:rsid w:val="000169B0"/>
    <w:rsid w:val="00016BAD"/>
    <w:rsid w:val="00016BC2"/>
    <w:rsid w:val="00016C87"/>
    <w:rsid w:val="0001706C"/>
    <w:rsid w:val="00017416"/>
    <w:rsid w:val="00017A4B"/>
    <w:rsid w:val="0002000A"/>
    <w:rsid w:val="0002023F"/>
    <w:rsid w:val="0002029D"/>
    <w:rsid w:val="0002099A"/>
    <w:rsid w:val="00020A1D"/>
    <w:rsid w:val="00020E80"/>
    <w:rsid w:val="00020F3F"/>
    <w:rsid w:val="000211E4"/>
    <w:rsid w:val="00021DEE"/>
    <w:rsid w:val="00022034"/>
    <w:rsid w:val="000222AD"/>
    <w:rsid w:val="000222C2"/>
    <w:rsid w:val="000223B4"/>
    <w:rsid w:val="000225A8"/>
    <w:rsid w:val="000225EC"/>
    <w:rsid w:val="0002269E"/>
    <w:rsid w:val="000227D6"/>
    <w:rsid w:val="00022E4B"/>
    <w:rsid w:val="000231B1"/>
    <w:rsid w:val="0002335C"/>
    <w:rsid w:val="0002342A"/>
    <w:rsid w:val="0002369F"/>
    <w:rsid w:val="000238E2"/>
    <w:rsid w:val="00023D0E"/>
    <w:rsid w:val="000240F3"/>
    <w:rsid w:val="000242B3"/>
    <w:rsid w:val="00024326"/>
    <w:rsid w:val="0002444B"/>
    <w:rsid w:val="00024D19"/>
    <w:rsid w:val="00024D24"/>
    <w:rsid w:val="000250ED"/>
    <w:rsid w:val="0002518D"/>
    <w:rsid w:val="00025443"/>
    <w:rsid w:val="00025487"/>
    <w:rsid w:val="000254BA"/>
    <w:rsid w:val="000255BF"/>
    <w:rsid w:val="0002575F"/>
    <w:rsid w:val="000258B1"/>
    <w:rsid w:val="000259BB"/>
    <w:rsid w:val="00025E36"/>
    <w:rsid w:val="0002678F"/>
    <w:rsid w:val="0002695D"/>
    <w:rsid w:val="00026E1A"/>
    <w:rsid w:val="00026F38"/>
    <w:rsid w:val="000274C8"/>
    <w:rsid w:val="00027509"/>
    <w:rsid w:val="000277B7"/>
    <w:rsid w:val="00027A2A"/>
    <w:rsid w:val="00027B1E"/>
    <w:rsid w:val="00027C5C"/>
    <w:rsid w:val="00027CB8"/>
    <w:rsid w:val="00027EF6"/>
    <w:rsid w:val="0003029D"/>
    <w:rsid w:val="000303CC"/>
    <w:rsid w:val="00031085"/>
    <w:rsid w:val="0003117C"/>
    <w:rsid w:val="000315EA"/>
    <w:rsid w:val="00031DEB"/>
    <w:rsid w:val="00032096"/>
    <w:rsid w:val="000322E0"/>
    <w:rsid w:val="0003243D"/>
    <w:rsid w:val="0003254D"/>
    <w:rsid w:val="000326B9"/>
    <w:rsid w:val="00032955"/>
    <w:rsid w:val="00032EEB"/>
    <w:rsid w:val="00032F2D"/>
    <w:rsid w:val="00032FEA"/>
    <w:rsid w:val="00033115"/>
    <w:rsid w:val="00033339"/>
    <w:rsid w:val="000333D1"/>
    <w:rsid w:val="000339F9"/>
    <w:rsid w:val="00033DB3"/>
    <w:rsid w:val="000344F0"/>
    <w:rsid w:val="00034946"/>
    <w:rsid w:val="00034BE2"/>
    <w:rsid w:val="00034D15"/>
    <w:rsid w:val="00034D7F"/>
    <w:rsid w:val="00035C3A"/>
    <w:rsid w:val="00035FBC"/>
    <w:rsid w:val="0003611D"/>
    <w:rsid w:val="00036331"/>
    <w:rsid w:val="00036559"/>
    <w:rsid w:val="000371E5"/>
    <w:rsid w:val="000372EE"/>
    <w:rsid w:val="0003734C"/>
    <w:rsid w:val="00037A85"/>
    <w:rsid w:val="00037AD8"/>
    <w:rsid w:val="00037CCE"/>
    <w:rsid w:val="0004008B"/>
    <w:rsid w:val="00040671"/>
    <w:rsid w:val="000408B7"/>
    <w:rsid w:val="00040940"/>
    <w:rsid w:val="00040961"/>
    <w:rsid w:val="00040AF3"/>
    <w:rsid w:val="00040E05"/>
    <w:rsid w:val="00040F49"/>
    <w:rsid w:val="00041616"/>
    <w:rsid w:val="00041A8A"/>
    <w:rsid w:val="00041C81"/>
    <w:rsid w:val="00041EBB"/>
    <w:rsid w:val="0004214E"/>
    <w:rsid w:val="00042783"/>
    <w:rsid w:val="000427A9"/>
    <w:rsid w:val="00042DED"/>
    <w:rsid w:val="00042E6A"/>
    <w:rsid w:val="0004305C"/>
    <w:rsid w:val="000430B1"/>
    <w:rsid w:val="0004320D"/>
    <w:rsid w:val="0004341D"/>
    <w:rsid w:val="0004373A"/>
    <w:rsid w:val="00043822"/>
    <w:rsid w:val="0004407A"/>
    <w:rsid w:val="0004447B"/>
    <w:rsid w:val="00044554"/>
    <w:rsid w:val="000447E1"/>
    <w:rsid w:val="00044D16"/>
    <w:rsid w:val="00044E2B"/>
    <w:rsid w:val="00045728"/>
    <w:rsid w:val="00045854"/>
    <w:rsid w:val="00045F25"/>
    <w:rsid w:val="00046776"/>
    <w:rsid w:val="00046FC0"/>
    <w:rsid w:val="000470F2"/>
    <w:rsid w:val="000475D0"/>
    <w:rsid w:val="000477AD"/>
    <w:rsid w:val="00050042"/>
    <w:rsid w:val="0005006D"/>
    <w:rsid w:val="00050163"/>
    <w:rsid w:val="000503DE"/>
    <w:rsid w:val="00050889"/>
    <w:rsid w:val="00051218"/>
    <w:rsid w:val="00051294"/>
    <w:rsid w:val="00051367"/>
    <w:rsid w:val="00051519"/>
    <w:rsid w:val="000517C0"/>
    <w:rsid w:val="000522F3"/>
    <w:rsid w:val="00052714"/>
    <w:rsid w:val="00052BDF"/>
    <w:rsid w:val="00052E00"/>
    <w:rsid w:val="000532E9"/>
    <w:rsid w:val="0005334D"/>
    <w:rsid w:val="000534F7"/>
    <w:rsid w:val="00053F3D"/>
    <w:rsid w:val="000541E6"/>
    <w:rsid w:val="000549C0"/>
    <w:rsid w:val="00054BC8"/>
    <w:rsid w:val="00054E73"/>
    <w:rsid w:val="00055369"/>
    <w:rsid w:val="000556FB"/>
    <w:rsid w:val="000559BF"/>
    <w:rsid w:val="00055A7D"/>
    <w:rsid w:val="000562D6"/>
    <w:rsid w:val="0005672D"/>
    <w:rsid w:val="00056CE3"/>
    <w:rsid w:val="00056D3B"/>
    <w:rsid w:val="00056E54"/>
    <w:rsid w:val="00056E6F"/>
    <w:rsid w:val="000573E8"/>
    <w:rsid w:val="0005755B"/>
    <w:rsid w:val="000578B1"/>
    <w:rsid w:val="00057C3A"/>
    <w:rsid w:val="00057F5C"/>
    <w:rsid w:val="0006001F"/>
    <w:rsid w:val="00060870"/>
    <w:rsid w:val="00060948"/>
    <w:rsid w:val="00060A05"/>
    <w:rsid w:val="00060B5F"/>
    <w:rsid w:val="00060C29"/>
    <w:rsid w:val="00060CF7"/>
    <w:rsid w:val="00060D9B"/>
    <w:rsid w:val="000610A6"/>
    <w:rsid w:val="00061195"/>
    <w:rsid w:val="000612CB"/>
    <w:rsid w:val="000612F5"/>
    <w:rsid w:val="00061358"/>
    <w:rsid w:val="00061503"/>
    <w:rsid w:val="000616F2"/>
    <w:rsid w:val="00061A35"/>
    <w:rsid w:val="00061B3D"/>
    <w:rsid w:val="00061C40"/>
    <w:rsid w:val="00061E38"/>
    <w:rsid w:val="00061ECD"/>
    <w:rsid w:val="0006249C"/>
    <w:rsid w:val="00062539"/>
    <w:rsid w:val="00062802"/>
    <w:rsid w:val="0006301E"/>
    <w:rsid w:val="0006359D"/>
    <w:rsid w:val="000639CF"/>
    <w:rsid w:val="00063B97"/>
    <w:rsid w:val="00063E83"/>
    <w:rsid w:val="00063F4B"/>
    <w:rsid w:val="000641C3"/>
    <w:rsid w:val="00064818"/>
    <w:rsid w:val="00064E93"/>
    <w:rsid w:val="000650B0"/>
    <w:rsid w:val="000650D3"/>
    <w:rsid w:val="00065486"/>
    <w:rsid w:val="00065754"/>
    <w:rsid w:val="0006589E"/>
    <w:rsid w:val="000661C7"/>
    <w:rsid w:val="000662E2"/>
    <w:rsid w:val="0006641E"/>
    <w:rsid w:val="00066574"/>
    <w:rsid w:val="00066D7F"/>
    <w:rsid w:val="00067129"/>
    <w:rsid w:val="00067538"/>
    <w:rsid w:val="00067850"/>
    <w:rsid w:val="0006789C"/>
    <w:rsid w:val="00067F0B"/>
    <w:rsid w:val="0007010C"/>
    <w:rsid w:val="00070339"/>
    <w:rsid w:val="00070954"/>
    <w:rsid w:val="00070FCA"/>
    <w:rsid w:val="000713BE"/>
    <w:rsid w:val="000713BF"/>
    <w:rsid w:val="00071A79"/>
    <w:rsid w:val="00071B56"/>
    <w:rsid w:val="000724AC"/>
    <w:rsid w:val="000725A2"/>
    <w:rsid w:val="00072A21"/>
    <w:rsid w:val="00072A6F"/>
    <w:rsid w:val="00072AF5"/>
    <w:rsid w:val="00072B5D"/>
    <w:rsid w:val="00072D3F"/>
    <w:rsid w:val="0007310F"/>
    <w:rsid w:val="00073631"/>
    <w:rsid w:val="00073BAF"/>
    <w:rsid w:val="00073C3C"/>
    <w:rsid w:val="00073D89"/>
    <w:rsid w:val="0007409D"/>
    <w:rsid w:val="000742F3"/>
    <w:rsid w:val="0007444F"/>
    <w:rsid w:val="00074770"/>
    <w:rsid w:val="00074F39"/>
    <w:rsid w:val="00074FF8"/>
    <w:rsid w:val="00075125"/>
    <w:rsid w:val="000751FF"/>
    <w:rsid w:val="00075358"/>
    <w:rsid w:val="0007585C"/>
    <w:rsid w:val="00075943"/>
    <w:rsid w:val="00076101"/>
    <w:rsid w:val="000766FE"/>
    <w:rsid w:val="00076A6F"/>
    <w:rsid w:val="00076BFF"/>
    <w:rsid w:val="0007737D"/>
    <w:rsid w:val="000777BC"/>
    <w:rsid w:val="0008039C"/>
    <w:rsid w:val="00080597"/>
    <w:rsid w:val="000807A8"/>
    <w:rsid w:val="00080AB5"/>
    <w:rsid w:val="00080C6C"/>
    <w:rsid w:val="00080DB3"/>
    <w:rsid w:val="00080F4C"/>
    <w:rsid w:val="000819BB"/>
    <w:rsid w:val="00081B24"/>
    <w:rsid w:val="00081CC1"/>
    <w:rsid w:val="00081E7A"/>
    <w:rsid w:val="0008228A"/>
    <w:rsid w:val="0008230E"/>
    <w:rsid w:val="000825A7"/>
    <w:rsid w:val="00082606"/>
    <w:rsid w:val="00082C52"/>
    <w:rsid w:val="00082CD2"/>
    <w:rsid w:val="000831BC"/>
    <w:rsid w:val="00083309"/>
    <w:rsid w:val="000836A5"/>
    <w:rsid w:val="0008395E"/>
    <w:rsid w:val="00084BBB"/>
    <w:rsid w:val="00084C1D"/>
    <w:rsid w:val="00084C85"/>
    <w:rsid w:val="00084FD2"/>
    <w:rsid w:val="00085013"/>
    <w:rsid w:val="0008508D"/>
    <w:rsid w:val="000855E2"/>
    <w:rsid w:val="000856A5"/>
    <w:rsid w:val="000857C7"/>
    <w:rsid w:val="0008584A"/>
    <w:rsid w:val="0008598F"/>
    <w:rsid w:val="00085B55"/>
    <w:rsid w:val="000866D4"/>
    <w:rsid w:val="00086737"/>
    <w:rsid w:val="00086A1C"/>
    <w:rsid w:val="00086BD6"/>
    <w:rsid w:val="00086F71"/>
    <w:rsid w:val="00086FAA"/>
    <w:rsid w:val="000875E9"/>
    <w:rsid w:val="00087690"/>
    <w:rsid w:val="00087741"/>
    <w:rsid w:val="0008783C"/>
    <w:rsid w:val="00087C77"/>
    <w:rsid w:val="00087CA0"/>
    <w:rsid w:val="00087CA9"/>
    <w:rsid w:val="00087D48"/>
    <w:rsid w:val="00090049"/>
    <w:rsid w:val="000901A6"/>
    <w:rsid w:val="00090367"/>
    <w:rsid w:val="00090429"/>
    <w:rsid w:val="00090494"/>
    <w:rsid w:val="00090714"/>
    <w:rsid w:val="00090869"/>
    <w:rsid w:val="00090A05"/>
    <w:rsid w:val="00090AAC"/>
    <w:rsid w:val="00090E1B"/>
    <w:rsid w:val="00090F8D"/>
    <w:rsid w:val="000914F5"/>
    <w:rsid w:val="00091D51"/>
    <w:rsid w:val="0009216D"/>
    <w:rsid w:val="0009253B"/>
    <w:rsid w:val="00092759"/>
    <w:rsid w:val="00092812"/>
    <w:rsid w:val="000931D8"/>
    <w:rsid w:val="0009396E"/>
    <w:rsid w:val="00093F68"/>
    <w:rsid w:val="00093FB5"/>
    <w:rsid w:val="00094099"/>
    <w:rsid w:val="00094672"/>
    <w:rsid w:val="00094CA8"/>
    <w:rsid w:val="00094E0A"/>
    <w:rsid w:val="00094EDB"/>
    <w:rsid w:val="0009538D"/>
    <w:rsid w:val="000953B2"/>
    <w:rsid w:val="000953BB"/>
    <w:rsid w:val="00095557"/>
    <w:rsid w:val="000959AC"/>
    <w:rsid w:val="00095CAD"/>
    <w:rsid w:val="00095D40"/>
    <w:rsid w:val="000966D0"/>
    <w:rsid w:val="00096C05"/>
    <w:rsid w:val="00097206"/>
    <w:rsid w:val="0009723E"/>
    <w:rsid w:val="000973A6"/>
    <w:rsid w:val="00097B17"/>
    <w:rsid w:val="00097B83"/>
    <w:rsid w:val="000A05E8"/>
    <w:rsid w:val="000A0D72"/>
    <w:rsid w:val="000A0FED"/>
    <w:rsid w:val="000A19E1"/>
    <w:rsid w:val="000A1B6C"/>
    <w:rsid w:val="000A1F3A"/>
    <w:rsid w:val="000A1FAC"/>
    <w:rsid w:val="000A202F"/>
    <w:rsid w:val="000A215A"/>
    <w:rsid w:val="000A277E"/>
    <w:rsid w:val="000A2900"/>
    <w:rsid w:val="000A2955"/>
    <w:rsid w:val="000A2993"/>
    <w:rsid w:val="000A2AEC"/>
    <w:rsid w:val="000A2E98"/>
    <w:rsid w:val="000A3233"/>
    <w:rsid w:val="000A325C"/>
    <w:rsid w:val="000A334A"/>
    <w:rsid w:val="000A3418"/>
    <w:rsid w:val="000A3DAD"/>
    <w:rsid w:val="000A3E3C"/>
    <w:rsid w:val="000A3FA9"/>
    <w:rsid w:val="000A4996"/>
    <w:rsid w:val="000A4EEB"/>
    <w:rsid w:val="000A5204"/>
    <w:rsid w:val="000A524D"/>
    <w:rsid w:val="000A5514"/>
    <w:rsid w:val="000A5A92"/>
    <w:rsid w:val="000A6094"/>
    <w:rsid w:val="000A615E"/>
    <w:rsid w:val="000A61F0"/>
    <w:rsid w:val="000A65F5"/>
    <w:rsid w:val="000A68B9"/>
    <w:rsid w:val="000A6B22"/>
    <w:rsid w:val="000A707C"/>
    <w:rsid w:val="000A734C"/>
    <w:rsid w:val="000A7453"/>
    <w:rsid w:val="000A77D0"/>
    <w:rsid w:val="000A78AD"/>
    <w:rsid w:val="000A7A64"/>
    <w:rsid w:val="000A7D6A"/>
    <w:rsid w:val="000B0158"/>
    <w:rsid w:val="000B01FE"/>
    <w:rsid w:val="000B060D"/>
    <w:rsid w:val="000B06E9"/>
    <w:rsid w:val="000B0CB4"/>
    <w:rsid w:val="000B0CF5"/>
    <w:rsid w:val="000B0DE0"/>
    <w:rsid w:val="000B1062"/>
    <w:rsid w:val="000B110C"/>
    <w:rsid w:val="000B16FA"/>
    <w:rsid w:val="000B182C"/>
    <w:rsid w:val="000B18D7"/>
    <w:rsid w:val="000B18F6"/>
    <w:rsid w:val="000B1AC2"/>
    <w:rsid w:val="000B1C53"/>
    <w:rsid w:val="000B1D03"/>
    <w:rsid w:val="000B1E64"/>
    <w:rsid w:val="000B1F3B"/>
    <w:rsid w:val="000B2353"/>
    <w:rsid w:val="000B2370"/>
    <w:rsid w:val="000B23A8"/>
    <w:rsid w:val="000B2429"/>
    <w:rsid w:val="000B2936"/>
    <w:rsid w:val="000B2CA0"/>
    <w:rsid w:val="000B2D11"/>
    <w:rsid w:val="000B2E1E"/>
    <w:rsid w:val="000B3009"/>
    <w:rsid w:val="000B35F9"/>
    <w:rsid w:val="000B38A3"/>
    <w:rsid w:val="000B3C6A"/>
    <w:rsid w:val="000B3E54"/>
    <w:rsid w:val="000B4176"/>
    <w:rsid w:val="000B44C8"/>
    <w:rsid w:val="000B4606"/>
    <w:rsid w:val="000B4B15"/>
    <w:rsid w:val="000B4FAF"/>
    <w:rsid w:val="000B5202"/>
    <w:rsid w:val="000B547D"/>
    <w:rsid w:val="000B54F0"/>
    <w:rsid w:val="000B58A0"/>
    <w:rsid w:val="000B58D8"/>
    <w:rsid w:val="000B596F"/>
    <w:rsid w:val="000B5DA8"/>
    <w:rsid w:val="000B624C"/>
    <w:rsid w:val="000C0124"/>
    <w:rsid w:val="000C0194"/>
    <w:rsid w:val="000C0507"/>
    <w:rsid w:val="000C055A"/>
    <w:rsid w:val="000C061B"/>
    <w:rsid w:val="000C0659"/>
    <w:rsid w:val="000C0A7A"/>
    <w:rsid w:val="000C0B26"/>
    <w:rsid w:val="000C0D22"/>
    <w:rsid w:val="000C138B"/>
    <w:rsid w:val="000C13BA"/>
    <w:rsid w:val="000C153E"/>
    <w:rsid w:val="000C1559"/>
    <w:rsid w:val="000C1617"/>
    <w:rsid w:val="000C1672"/>
    <w:rsid w:val="000C167A"/>
    <w:rsid w:val="000C1C93"/>
    <w:rsid w:val="000C22E3"/>
    <w:rsid w:val="000C2714"/>
    <w:rsid w:val="000C2E2D"/>
    <w:rsid w:val="000C2EAA"/>
    <w:rsid w:val="000C2F56"/>
    <w:rsid w:val="000C36A0"/>
    <w:rsid w:val="000C36C0"/>
    <w:rsid w:val="000C3858"/>
    <w:rsid w:val="000C458C"/>
    <w:rsid w:val="000C4711"/>
    <w:rsid w:val="000C51C6"/>
    <w:rsid w:val="000C51D6"/>
    <w:rsid w:val="000C5A02"/>
    <w:rsid w:val="000C5E34"/>
    <w:rsid w:val="000C6296"/>
    <w:rsid w:val="000C67A4"/>
    <w:rsid w:val="000C6E2B"/>
    <w:rsid w:val="000C6E54"/>
    <w:rsid w:val="000C6F54"/>
    <w:rsid w:val="000C76C8"/>
    <w:rsid w:val="000C77EE"/>
    <w:rsid w:val="000C79E0"/>
    <w:rsid w:val="000C7A83"/>
    <w:rsid w:val="000C7BD7"/>
    <w:rsid w:val="000C7DFB"/>
    <w:rsid w:val="000D0211"/>
    <w:rsid w:val="000D0F50"/>
    <w:rsid w:val="000D1643"/>
    <w:rsid w:val="000D18D3"/>
    <w:rsid w:val="000D1A04"/>
    <w:rsid w:val="000D1C22"/>
    <w:rsid w:val="000D1D94"/>
    <w:rsid w:val="000D2111"/>
    <w:rsid w:val="000D2347"/>
    <w:rsid w:val="000D2574"/>
    <w:rsid w:val="000D29BD"/>
    <w:rsid w:val="000D2A0A"/>
    <w:rsid w:val="000D2A4C"/>
    <w:rsid w:val="000D2D39"/>
    <w:rsid w:val="000D32F5"/>
    <w:rsid w:val="000D362B"/>
    <w:rsid w:val="000D3894"/>
    <w:rsid w:val="000D3CF0"/>
    <w:rsid w:val="000D3D01"/>
    <w:rsid w:val="000D436C"/>
    <w:rsid w:val="000D482E"/>
    <w:rsid w:val="000D4E65"/>
    <w:rsid w:val="000D4EC0"/>
    <w:rsid w:val="000D4FB1"/>
    <w:rsid w:val="000D5068"/>
    <w:rsid w:val="000D5A8A"/>
    <w:rsid w:val="000D61B9"/>
    <w:rsid w:val="000D61D5"/>
    <w:rsid w:val="000D67B2"/>
    <w:rsid w:val="000D6908"/>
    <w:rsid w:val="000D6967"/>
    <w:rsid w:val="000D6CD8"/>
    <w:rsid w:val="000D6D54"/>
    <w:rsid w:val="000D6DAF"/>
    <w:rsid w:val="000D7144"/>
    <w:rsid w:val="000D73FE"/>
    <w:rsid w:val="000D7455"/>
    <w:rsid w:val="000D7724"/>
    <w:rsid w:val="000D7E46"/>
    <w:rsid w:val="000D7EDC"/>
    <w:rsid w:val="000D7F31"/>
    <w:rsid w:val="000E063C"/>
    <w:rsid w:val="000E0B02"/>
    <w:rsid w:val="000E0B3B"/>
    <w:rsid w:val="000E0BE1"/>
    <w:rsid w:val="000E0EAF"/>
    <w:rsid w:val="000E157D"/>
    <w:rsid w:val="000E17EF"/>
    <w:rsid w:val="000E18BB"/>
    <w:rsid w:val="000E19B1"/>
    <w:rsid w:val="000E2053"/>
    <w:rsid w:val="000E2588"/>
    <w:rsid w:val="000E25FC"/>
    <w:rsid w:val="000E2A79"/>
    <w:rsid w:val="000E2F99"/>
    <w:rsid w:val="000E32A4"/>
    <w:rsid w:val="000E3306"/>
    <w:rsid w:val="000E330B"/>
    <w:rsid w:val="000E3513"/>
    <w:rsid w:val="000E3617"/>
    <w:rsid w:val="000E39FF"/>
    <w:rsid w:val="000E3AB2"/>
    <w:rsid w:val="000E3C0B"/>
    <w:rsid w:val="000E3D65"/>
    <w:rsid w:val="000E4347"/>
    <w:rsid w:val="000E4981"/>
    <w:rsid w:val="000E4B78"/>
    <w:rsid w:val="000E4C37"/>
    <w:rsid w:val="000E4CEC"/>
    <w:rsid w:val="000E4EA9"/>
    <w:rsid w:val="000E58FE"/>
    <w:rsid w:val="000E5DD0"/>
    <w:rsid w:val="000E74E9"/>
    <w:rsid w:val="000E75DA"/>
    <w:rsid w:val="000E7BAD"/>
    <w:rsid w:val="000E7F35"/>
    <w:rsid w:val="000F0104"/>
    <w:rsid w:val="000F0139"/>
    <w:rsid w:val="000F0316"/>
    <w:rsid w:val="000F0E74"/>
    <w:rsid w:val="000F1086"/>
    <w:rsid w:val="000F1597"/>
    <w:rsid w:val="000F1943"/>
    <w:rsid w:val="000F1F26"/>
    <w:rsid w:val="000F207B"/>
    <w:rsid w:val="000F24AC"/>
    <w:rsid w:val="000F26EA"/>
    <w:rsid w:val="000F28AC"/>
    <w:rsid w:val="000F29A5"/>
    <w:rsid w:val="000F29D7"/>
    <w:rsid w:val="000F2AEF"/>
    <w:rsid w:val="000F3603"/>
    <w:rsid w:val="000F3782"/>
    <w:rsid w:val="000F401A"/>
    <w:rsid w:val="000F410A"/>
    <w:rsid w:val="000F43C0"/>
    <w:rsid w:val="000F45CA"/>
    <w:rsid w:val="000F493F"/>
    <w:rsid w:val="000F4F67"/>
    <w:rsid w:val="000F5060"/>
    <w:rsid w:val="000F54E3"/>
    <w:rsid w:val="000F56D2"/>
    <w:rsid w:val="000F57D6"/>
    <w:rsid w:val="000F5B2B"/>
    <w:rsid w:val="000F60C1"/>
    <w:rsid w:val="000F61E4"/>
    <w:rsid w:val="000F6317"/>
    <w:rsid w:val="000F6612"/>
    <w:rsid w:val="000F6D0F"/>
    <w:rsid w:val="000F6D91"/>
    <w:rsid w:val="000F7038"/>
    <w:rsid w:val="000F7785"/>
    <w:rsid w:val="000F79C9"/>
    <w:rsid w:val="00100013"/>
    <w:rsid w:val="001002C4"/>
    <w:rsid w:val="00100480"/>
    <w:rsid w:val="00100508"/>
    <w:rsid w:val="0010086F"/>
    <w:rsid w:val="001008DD"/>
    <w:rsid w:val="00100ECB"/>
    <w:rsid w:val="00101A39"/>
    <w:rsid w:val="00101B07"/>
    <w:rsid w:val="00102436"/>
    <w:rsid w:val="00102BBD"/>
    <w:rsid w:val="0010349B"/>
    <w:rsid w:val="001036D2"/>
    <w:rsid w:val="00103E05"/>
    <w:rsid w:val="001041E4"/>
    <w:rsid w:val="001043CF"/>
    <w:rsid w:val="00104790"/>
    <w:rsid w:val="00104D7E"/>
    <w:rsid w:val="00105040"/>
    <w:rsid w:val="00105123"/>
    <w:rsid w:val="001053F3"/>
    <w:rsid w:val="0010545D"/>
    <w:rsid w:val="001055F3"/>
    <w:rsid w:val="00105B3B"/>
    <w:rsid w:val="00105D3E"/>
    <w:rsid w:val="00106049"/>
    <w:rsid w:val="00106294"/>
    <w:rsid w:val="0010661B"/>
    <w:rsid w:val="0010685F"/>
    <w:rsid w:val="00107AA8"/>
    <w:rsid w:val="00107B4F"/>
    <w:rsid w:val="00107D9B"/>
    <w:rsid w:val="00107E60"/>
    <w:rsid w:val="00107F68"/>
    <w:rsid w:val="001106F8"/>
    <w:rsid w:val="00110D9E"/>
    <w:rsid w:val="00111629"/>
    <w:rsid w:val="00111BF8"/>
    <w:rsid w:val="00111E4A"/>
    <w:rsid w:val="0011239F"/>
    <w:rsid w:val="001126F9"/>
    <w:rsid w:val="001127E1"/>
    <w:rsid w:val="0011299A"/>
    <w:rsid w:val="00112F03"/>
    <w:rsid w:val="0011381C"/>
    <w:rsid w:val="00113C79"/>
    <w:rsid w:val="00113F25"/>
    <w:rsid w:val="00114193"/>
    <w:rsid w:val="001141F7"/>
    <w:rsid w:val="00114363"/>
    <w:rsid w:val="001144B7"/>
    <w:rsid w:val="001145DE"/>
    <w:rsid w:val="00114D54"/>
    <w:rsid w:val="00114FB9"/>
    <w:rsid w:val="0011509E"/>
    <w:rsid w:val="001158AE"/>
    <w:rsid w:val="00115A7C"/>
    <w:rsid w:val="00115A7D"/>
    <w:rsid w:val="00115F03"/>
    <w:rsid w:val="0011608B"/>
    <w:rsid w:val="001165AC"/>
    <w:rsid w:val="00116768"/>
    <w:rsid w:val="00116BA2"/>
    <w:rsid w:val="00116D37"/>
    <w:rsid w:val="00116F9F"/>
    <w:rsid w:val="00116FA0"/>
    <w:rsid w:val="00117399"/>
    <w:rsid w:val="00117654"/>
    <w:rsid w:val="00117661"/>
    <w:rsid w:val="00117AF0"/>
    <w:rsid w:val="00117D05"/>
    <w:rsid w:val="0012068B"/>
    <w:rsid w:val="0012078F"/>
    <w:rsid w:val="0012086E"/>
    <w:rsid w:val="00120EF7"/>
    <w:rsid w:val="0012106E"/>
    <w:rsid w:val="00121153"/>
    <w:rsid w:val="001212B0"/>
    <w:rsid w:val="00121EE0"/>
    <w:rsid w:val="001222A7"/>
    <w:rsid w:val="00122346"/>
    <w:rsid w:val="001224C0"/>
    <w:rsid w:val="00122CDC"/>
    <w:rsid w:val="00123433"/>
    <w:rsid w:val="001235ED"/>
    <w:rsid w:val="001237A1"/>
    <w:rsid w:val="0012397A"/>
    <w:rsid w:val="001239FC"/>
    <w:rsid w:val="00123C77"/>
    <w:rsid w:val="0012415C"/>
    <w:rsid w:val="001242B6"/>
    <w:rsid w:val="00124376"/>
    <w:rsid w:val="00124EF7"/>
    <w:rsid w:val="00125155"/>
    <w:rsid w:val="0012530F"/>
    <w:rsid w:val="00125485"/>
    <w:rsid w:val="00125646"/>
    <w:rsid w:val="00125BEE"/>
    <w:rsid w:val="00125E8F"/>
    <w:rsid w:val="00125EB5"/>
    <w:rsid w:val="00125F3E"/>
    <w:rsid w:val="00125F9A"/>
    <w:rsid w:val="0012674B"/>
    <w:rsid w:val="001270ED"/>
    <w:rsid w:val="00127182"/>
    <w:rsid w:val="00127698"/>
    <w:rsid w:val="001276EB"/>
    <w:rsid w:val="00127884"/>
    <w:rsid w:val="001279B8"/>
    <w:rsid w:val="0013024E"/>
    <w:rsid w:val="00130680"/>
    <w:rsid w:val="00130794"/>
    <w:rsid w:val="001307FA"/>
    <w:rsid w:val="00131284"/>
    <w:rsid w:val="0013198E"/>
    <w:rsid w:val="00131A43"/>
    <w:rsid w:val="001320F3"/>
    <w:rsid w:val="001321A9"/>
    <w:rsid w:val="0013224B"/>
    <w:rsid w:val="001322F3"/>
    <w:rsid w:val="00132BD4"/>
    <w:rsid w:val="00132C87"/>
    <w:rsid w:val="00133292"/>
    <w:rsid w:val="00133A64"/>
    <w:rsid w:val="00134116"/>
    <w:rsid w:val="001341B4"/>
    <w:rsid w:val="001343CB"/>
    <w:rsid w:val="00134913"/>
    <w:rsid w:val="00134C07"/>
    <w:rsid w:val="00135339"/>
    <w:rsid w:val="0013533A"/>
    <w:rsid w:val="00135549"/>
    <w:rsid w:val="001355D1"/>
    <w:rsid w:val="00135C81"/>
    <w:rsid w:val="00136019"/>
    <w:rsid w:val="001360AE"/>
    <w:rsid w:val="00136304"/>
    <w:rsid w:val="001364DC"/>
    <w:rsid w:val="001371D9"/>
    <w:rsid w:val="001374E2"/>
    <w:rsid w:val="00137762"/>
    <w:rsid w:val="00137C85"/>
    <w:rsid w:val="00137CCF"/>
    <w:rsid w:val="00137D2C"/>
    <w:rsid w:val="00140623"/>
    <w:rsid w:val="001406E5"/>
    <w:rsid w:val="0014083C"/>
    <w:rsid w:val="00140D1F"/>
    <w:rsid w:val="00141205"/>
    <w:rsid w:val="0014159C"/>
    <w:rsid w:val="00141859"/>
    <w:rsid w:val="00141937"/>
    <w:rsid w:val="00141A00"/>
    <w:rsid w:val="00141EFA"/>
    <w:rsid w:val="00141EFF"/>
    <w:rsid w:val="00142037"/>
    <w:rsid w:val="00142609"/>
    <w:rsid w:val="0014285B"/>
    <w:rsid w:val="001428F1"/>
    <w:rsid w:val="00142BAD"/>
    <w:rsid w:val="00143558"/>
    <w:rsid w:val="001436CB"/>
    <w:rsid w:val="001437A9"/>
    <w:rsid w:val="00143853"/>
    <w:rsid w:val="00143A7C"/>
    <w:rsid w:val="00143BBD"/>
    <w:rsid w:val="00143E6A"/>
    <w:rsid w:val="00144127"/>
    <w:rsid w:val="0014429C"/>
    <w:rsid w:val="0014472F"/>
    <w:rsid w:val="001447E9"/>
    <w:rsid w:val="00144BEE"/>
    <w:rsid w:val="00144CEE"/>
    <w:rsid w:val="00144E87"/>
    <w:rsid w:val="00145C90"/>
    <w:rsid w:val="001462CF"/>
    <w:rsid w:val="001471C0"/>
    <w:rsid w:val="001471E4"/>
    <w:rsid w:val="00147341"/>
    <w:rsid w:val="00147539"/>
    <w:rsid w:val="00147876"/>
    <w:rsid w:val="00150A94"/>
    <w:rsid w:val="00150B17"/>
    <w:rsid w:val="00150B36"/>
    <w:rsid w:val="00150C0D"/>
    <w:rsid w:val="00151144"/>
    <w:rsid w:val="00151371"/>
    <w:rsid w:val="00151876"/>
    <w:rsid w:val="001519F8"/>
    <w:rsid w:val="00151A0F"/>
    <w:rsid w:val="0015247F"/>
    <w:rsid w:val="00152519"/>
    <w:rsid w:val="001527A4"/>
    <w:rsid w:val="00152E9C"/>
    <w:rsid w:val="001530BB"/>
    <w:rsid w:val="0015312B"/>
    <w:rsid w:val="001533B5"/>
    <w:rsid w:val="0015363A"/>
    <w:rsid w:val="0015394C"/>
    <w:rsid w:val="00153D08"/>
    <w:rsid w:val="00153F2E"/>
    <w:rsid w:val="00154185"/>
    <w:rsid w:val="00154280"/>
    <w:rsid w:val="001545D2"/>
    <w:rsid w:val="001549E9"/>
    <w:rsid w:val="0015506A"/>
    <w:rsid w:val="0015507A"/>
    <w:rsid w:val="001552BD"/>
    <w:rsid w:val="001553B9"/>
    <w:rsid w:val="001559CA"/>
    <w:rsid w:val="00155AF9"/>
    <w:rsid w:val="00155B35"/>
    <w:rsid w:val="0015659C"/>
    <w:rsid w:val="00156C2B"/>
    <w:rsid w:val="001571E1"/>
    <w:rsid w:val="00157227"/>
    <w:rsid w:val="001577B6"/>
    <w:rsid w:val="001579F7"/>
    <w:rsid w:val="00157C68"/>
    <w:rsid w:val="00157D9A"/>
    <w:rsid w:val="00157DCF"/>
    <w:rsid w:val="00157DF9"/>
    <w:rsid w:val="00157FA7"/>
    <w:rsid w:val="00160021"/>
    <w:rsid w:val="0016021D"/>
    <w:rsid w:val="0016045C"/>
    <w:rsid w:val="0016050A"/>
    <w:rsid w:val="0016067E"/>
    <w:rsid w:val="00160698"/>
    <w:rsid w:val="00160792"/>
    <w:rsid w:val="00160966"/>
    <w:rsid w:val="00160E26"/>
    <w:rsid w:val="00160EE5"/>
    <w:rsid w:val="00161325"/>
    <w:rsid w:val="001614E3"/>
    <w:rsid w:val="00161B72"/>
    <w:rsid w:val="00161B73"/>
    <w:rsid w:val="00161DC3"/>
    <w:rsid w:val="00161E58"/>
    <w:rsid w:val="00161F6A"/>
    <w:rsid w:val="001620FB"/>
    <w:rsid w:val="00162216"/>
    <w:rsid w:val="00162877"/>
    <w:rsid w:val="00162EF2"/>
    <w:rsid w:val="00163361"/>
    <w:rsid w:val="001636E6"/>
    <w:rsid w:val="0016396D"/>
    <w:rsid w:val="001639F2"/>
    <w:rsid w:val="00163AC3"/>
    <w:rsid w:val="00163BCE"/>
    <w:rsid w:val="00163D70"/>
    <w:rsid w:val="00163FBA"/>
    <w:rsid w:val="00164277"/>
    <w:rsid w:val="00164AF5"/>
    <w:rsid w:val="001653AE"/>
    <w:rsid w:val="0016558B"/>
    <w:rsid w:val="0016568A"/>
    <w:rsid w:val="00165971"/>
    <w:rsid w:val="00165FCA"/>
    <w:rsid w:val="0016601F"/>
    <w:rsid w:val="00166073"/>
    <w:rsid w:val="001664D5"/>
    <w:rsid w:val="001664F0"/>
    <w:rsid w:val="001665BF"/>
    <w:rsid w:val="0016668C"/>
    <w:rsid w:val="00166CAE"/>
    <w:rsid w:val="00166F0F"/>
    <w:rsid w:val="001670E7"/>
    <w:rsid w:val="00167CAE"/>
    <w:rsid w:val="00167CEA"/>
    <w:rsid w:val="00170176"/>
    <w:rsid w:val="00170217"/>
    <w:rsid w:val="001702F0"/>
    <w:rsid w:val="00170532"/>
    <w:rsid w:val="00170593"/>
    <w:rsid w:val="00170916"/>
    <w:rsid w:val="00170BF1"/>
    <w:rsid w:val="00171EDE"/>
    <w:rsid w:val="00172222"/>
    <w:rsid w:val="001722AA"/>
    <w:rsid w:val="001723F0"/>
    <w:rsid w:val="00172665"/>
    <w:rsid w:val="0017273C"/>
    <w:rsid w:val="00172C85"/>
    <w:rsid w:val="00172DFC"/>
    <w:rsid w:val="00172E88"/>
    <w:rsid w:val="00173381"/>
    <w:rsid w:val="00173D86"/>
    <w:rsid w:val="001740BD"/>
    <w:rsid w:val="00174391"/>
    <w:rsid w:val="00174776"/>
    <w:rsid w:val="00174AC1"/>
    <w:rsid w:val="00174AFB"/>
    <w:rsid w:val="00175157"/>
    <w:rsid w:val="00175745"/>
    <w:rsid w:val="00175778"/>
    <w:rsid w:val="00175935"/>
    <w:rsid w:val="00175DED"/>
    <w:rsid w:val="00176122"/>
    <w:rsid w:val="0017666A"/>
    <w:rsid w:val="00176E3E"/>
    <w:rsid w:val="00176E77"/>
    <w:rsid w:val="0017724E"/>
    <w:rsid w:val="0017727E"/>
    <w:rsid w:val="001772F5"/>
    <w:rsid w:val="0017747E"/>
    <w:rsid w:val="001775C3"/>
    <w:rsid w:val="001776F9"/>
    <w:rsid w:val="00177799"/>
    <w:rsid w:val="00177D26"/>
    <w:rsid w:val="001804B4"/>
    <w:rsid w:val="0018057A"/>
    <w:rsid w:val="00180614"/>
    <w:rsid w:val="00180D70"/>
    <w:rsid w:val="00180EFC"/>
    <w:rsid w:val="00180F99"/>
    <w:rsid w:val="00181099"/>
    <w:rsid w:val="00181565"/>
    <w:rsid w:val="0018160F"/>
    <w:rsid w:val="001817F0"/>
    <w:rsid w:val="0018186C"/>
    <w:rsid w:val="00181C1F"/>
    <w:rsid w:val="00181C91"/>
    <w:rsid w:val="00181F09"/>
    <w:rsid w:val="00181F9F"/>
    <w:rsid w:val="001820A8"/>
    <w:rsid w:val="001821D8"/>
    <w:rsid w:val="00182382"/>
    <w:rsid w:val="00182A73"/>
    <w:rsid w:val="00183354"/>
    <w:rsid w:val="00183457"/>
    <w:rsid w:val="001837EC"/>
    <w:rsid w:val="00183C13"/>
    <w:rsid w:val="00184367"/>
    <w:rsid w:val="001843CC"/>
    <w:rsid w:val="001851BB"/>
    <w:rsid w:val="00185648"/>
    <w:rsid w:val="001865D0"/>
    <w:rsid w:val="00186F10"/>
    <w:rsid w:val="001870B4"/>
    <w:rsid w:val="00187225"/>
    <w:rsid w:val="00187418"/>
    <w:rsid w:val="00187A95"/>
    <w:rsid w:val="00187F22"/>
    <w:rsid w:val="0019025A"/>
    <w:rsid w:val="001903DE"/>
    <w:rsid w:val="001905BC"/>
    <w:rsid w:val="001905F5"/>
    <w:rsid w:val="0019093E"/>
    <w:rsid w:val="001909A8"/>
    <w:rsid w:val="00190D1E"/>
    <w:rsid w:val="001910DA"/>
    <w:rsid w:val="00191AD4"/>
    <w:rsid w:val="00191C7A"/>
    <w:rsid w:val="00191D8F"/>
    <w:rsid w:val="00191F79"/>
    <w:rsid w:val="00192097"/>
    <w:rsid w:val="00192373"/>
    <w:rsid w:val="0019254E"/>
    <w:rsid w:val="00192555"/>
    <w:rsid w:val="0019264D"/>
    <w:rsid w:val="001928A3"/>
    <w:rsid w:val="00192A2A"/>
    <w:rsid w:val="00192AE0"/>
    <w:rsid w:val="00192E0F"/>
    <w:rsid w:val="00192E73"/>
    <w:rsid w:val="0019365D"/>
    <w:rsid w:val="0019386C"/>
    <w:rsid w:val="00193F27"/>
    <w:rsid w:val="00193F49"/>
    <w:rsid w:val="00194B51"/>
    <w:rsid w:val="00194CC7"/>
    <w:rsid w:val="00194CF0"/>
    <w:rsid w:val="00194F7B"/>
    <w:rsid w:val="001958B3"/>
    <w:rsid w:val="001959CA"/>
    <w:rsid w:val="00196009"/>
    <w:rsid w:val="00196273"/>
    <w:rsid w:val="00196752"/>
    <w:rsid w:val="00196C9A"/>
    <w:rsid w:val="00196D1E"/>
    <w:rsid w:val="001976EB"/>
    <w:rsid w:val="001A0217"/>
    <w:rsid w:val="001A0284"/>
    <w:rsid w:val="001A08B2"/>
    <w:rsid w:val="001A0974"/>
    <w:rsid w:val="001A0B04"/>
    <w:rsid w:val="001A1176"/>
    <w:rsid w:val="001A12C7"/>
    <w:rsid w:val="001A1323"/>
    <w:rsid w:val="001A1820"/>
    <w:rsid w:val="001A1E10"/>
    <w:rsid w:val="001A1E41"/>
    <w:rsid w:val="001A204A"/>
    <w:rsid w:val="001A20ED"/>
    <w:rsid w:val="001A21A9"/>
    <w:rsid w:val="001A21E6"/>
    <w:rsid w:val="001A2C81"/>
    <w:rsid w:val="001A2D99"/>
    <w:rsid w:val="001A2F53"/>
    <w:rsid w:val="001A33AE"/>
    <w:rsid w:val="001A36BA"/>
    <w:rsid w:val="001A3790"/>
    <w:rsid w:val="001A39C5"/>
    <w:rsid w:val="001A3E21"/>
    <w:rsid w:val="001A3E94"/>
    <w:rsid w:val="001A41AA"/>
    <w:rsid w:val="001A4399"/>
    <w:rsid w:val="001A43BF"/>
    <w:rsid w:val="001A4535"/>
    <w:rsid w:val="001A4757"/>
    <w:rsid w:val="001A4AD3"/>
    <w:rsid w:val="001A4AD4"/>
    <w:rsid w:val="001A511A"/>
    <w:rsid w:val="001A53D7"/>
    <w:rsid w:val="001A5C49"/>
    <w:rsid w:val="001A5FB4"/>
    <w:rsid w:val="001A60F6"/>
    <w:rsid w:val="001A614C"/>
    <w:rsid w:val="001A61D8"/>
    <w:rsid w:val="001A654F"/>
    <w:rsid w:val="001A6629"/>
    <w:rsid w:val="001A680F"/>
    <w:rsid w:val="001A6CB8"/>
    <w:rsid w:val="001A71CA"/>
    <w:rsid w:val="001A7202"/>
    <w:rsid w:val="001A72B0"/>
    <w:rsid w:val="001A72BC"/>
    <w:rsid w:val="001A7597"/>
    <w:rsid w:val="001A7826"/>
    <w:rsid w:val="001A79A1"/>
    <w:rsid w:val="001A7E7A"/>
    <w:rsid w:val="001B02F6"/>
    <w:rsid w:val="001B0695"/>
    <w:rsid w:val="001B0A6A"/>
    <w:rsid w:val="001B0AB7"/>
    <w:rsid w:val="001B0F33"/>
    <w:rsid w:val="001B1322"/>
    <w:rsid w:val="001B171D"/>
    <w:rsid w:val="001B174B"/>
    <w:rsid w:val="001B2260"/>
    <w:rsid w:val="001B25C6"/>
    <w:rsid w:val="001B280E"/>
    <w:rsid w:val="001B294E"/>
    <w:rsid w:val="001B29CA"/>
    <w:rsid w:val="001B2E16"/>
    <w:rsid w:val="001B300E"/>
    <w:rsid w:val="001B39AA"/>
    <w:rsid w:val="001B3FA2"/>
    <w:rsid w:val="001B4262"/>
    <w:rsid w:val="001B4313"/>
    <w:rsid w:val="001B441F"/>
    <w:rsid w:val="001B51BB"/>
    <w:rsid w:val="001B51F9"/>
    <w:rsid w:val="001B6074"/>
    <w:rsid w:val="001B6524"/>
    <w:rsid w:val="001B69FA"/>
    <w:rsid w:val="001B6B99"/>
    <w:rsid w:val="001B7000"/>
    <w:rsid w:val="001B725E"/>
    <w:rsid w:val="001B72E5"/>
    <w:rsid w:val="001B7432"/>
    <w:rsid w:val="001B75EF"/>
    <w:rsid w:val="001B76DA"/>
    <w:rsid w:val="001B777C"/>
    <w:rsid w:val="001B7A6A"/>
    <w:rsid w:val="001B7BBD"/>
    <w:rsid w:val="001B7D60"/>
    <w:rsid w:val="001B7D78"/>
    <w:rsid w:val="001B7E1C"/>
    <w:rsid w:val="001C0C8F"/>
    <w:rsid w:val="001C0F7B"/>
    <w:rsid w:val="001C1373"/>
    <w:rsid w:val="001C1942"/>
    <w:rsid w:val="001C19B9"/>
    <w:rsid w:val="001C26A9"/>
    <w:rsid w:val="001C29F3"/>
    <w:rsid w:val="001C2ADE"/>
    <w:rsid w:val="001C2FB4"/>
    <w:rsid w:val="001C30D1"/>
    <w:rsid w:val="001C3139"/>
    <w:rsid w:val="001C31E6"/>
    <w:rsid w:val="001C3657"/>
    <w:rsid w:val="001C39FD"/>
    <w:rsid w:val="001C419E"/>
    <w:rsid w:val="001C41C7"/>
    <w:rsid w:val="001C46D9"/>
    <w:rsid w:val="001C4929"/>
    <w:rsid w:val="001C4A39"/>
    <w:rsid w:val="001C4F37"/>
    <w:rsid w:val="001C5028"/>
    <w:rsid w:val="001C58BF"/>
    <w:rsid w:val="001C5B8B"/>
    <w:rsid w:val="001C6020"/>
    <w:rsid w:val="001C637F"/>
    <w:rsid w:val="001C6620"/>
    <w:rsid w:val="001C69E7"/>
    <w:rsid w:val="001C6E91"/>
    <w:rsid w:val="001C70DB"/>
    <w:rsid w:val="001C783B"/>
    <w:rsid w:val="001C787D"/>
    <w:rsid w:val="001C7C03"/>
    <w:rsid w:val="001C7D5F"/>
    <w:rsid w:val="001D0524"/>
    <w:rsid w:val="001D068D"/>
    <w:rsid w:val="001D0790"/>
    <w:rsid w:val="001D0828"/>
    <w:rsid w:val="001D0B92"/>
    <w:rsid w:val="001D0BD6"/>
    <w:rsid w:val="001D0F2B"/>
    <w:rsid w:val="001D0F4B"/>
    <w:rsid w:val="001D1453"/>
    <w:rsid w:val="001D1AAC"/>
    <w:rsid w:val="001D1B9C"/>
    <w:rsid w:val="001D1D6F"/>
    <w:rsid w:val="001D2086"/>
    <w:rsid w:val="001D209B"/>
    <w:rsid w:val="001D20A0"/>
    <w:rsid w:val="001D213B"/>
    <w:rsid w:val="001D2957"/>
    <w:rsid w:val="001D299A"/>
    <w:rsid w:val="001D2A9C"/>
    <w:rsid w:val="001D2BFC"/>
    <w:rsid w:val="001D2CEB"/>
    <w:rsid w:val="001D2D54"/>
    <w:rsid w:val="001D2DEB"/>
    <w:rsid w:val="001D2F1B"/>
    <w:rsid w:val="001D30C0"/>
    <w:rsid w:val="001D3409"/>
    <w:rsid w:val="001D354F"/>
    <w:rsid w:val="001D39FF"/>
    <w:rsid w:val="001D3EB1"/>
    <w:rsid w:val="001D44A7"/>
    <w:rsid w:val="001D45A2"/>
    <w:rsid w:val="001D493B"/>
    <w:rsid w:val="001D5072"/>
    <w:rsid w:val="001D521F"/>
    <w:rsid w:val="001D52EC"/>
    <w:rsid w:val="001D5522"/>
    <w:rsid w:val="001D556D"/>
    <w:rsid w:val="001D591E"/>
    <w:rsid w:val="001D59A5"/>
    <w:rsid w:val="001D5FFB"/>
    <w:rsid w:val="001D6100"/>
    <w:rsid w:val="001D6300"/>
    <w:rsid w:val="001D6506"/>
    <w:rsid w:val="001D6A8D"/>
    <w:rsid w:val="001D6BC5"/>
    <w:rsid w:val="001D6C4D"/>
    <w:rsid w:val="001D6E35"/>
    <w:rsid w:val="001D6E36"/>
    <w:rsid w:val="001D7082"/>
    <w:rsid w:val="001D70D0"/>
    <w:rsid w:val="001D7131"/>
    <w:rsid w:val="001D71AB"/>
    <w:rsid w:val="001D761A"/>
    <w:rsid w:val="001D7727"/>
    <w:rsid w:val="001D772F"/>
    <w:rsid w:val="001D79A3"/>
    <w:rsid w:val="001D79C8"/>
    <w:rsid w:val="001D79D9"/>
    <w:rsid w:val="001D7B77"/>
    <w:rsid w:val="001D7DF2"/>
    <w:rsid w:val="001D7F88"/>
    <w:rsid w:val="001E015A"/>
    <w:rsid w:val="001E02B4"/>
    <w:rsid w:val="001E03A5"/>
    <w:rsid w:val="001E04DE"/>
    <w:rsid w:val="001E051E"/>
    <w:rsid w:val="001E0621"/>
    <w:rsid w:val="001E0B1F"/>
    <w:rsid w:val="001E0C22"/>
    <w:rsid w:val="001E0F54"/>
    <w:rsid w:val="001E0FBD"/>
    <w:rsid w:val="001E10B8"/>
    <w:rsid w:val="001E115C"/>
    <w:rsid w:val="001E15AF"/>
    <w:rsid w:val="001E16FE"/>
    <w:rsid w:val="001E19E9"/>
    <w:rsid w:val="001E1CB5"/>
    <w:rsid w:val="001E1D03"/>
    <w:rsid w:val="001E1E65"/>
    <w:rsid w:val="001E2E14"/>
    <w:rsid w:val="001E30F9"/>
    <w:rsid w:val="001E3128"/>
    <w:rsid w:val="001E3525"/>
    <w:rsid w:val="001E371C"/>
    <w:rsid w:val="001E375A"/>
    <w:rsid w:val="001E3C31"/>
    <w:rsid w:val="001E3EA8"/>
    <w:rsid w:val="001E4075"/>
    <w:rsid w:val="001E45E1"/>
    <w:rsid w:val="001E4773"/>
    <w:rsid w:val="001E47CB"/>
    <w:rsid w:val="001E4E0D"/>
    <w:rsid w:val="001E4F63"/>
    <w:rsid w:val="001E5345"/>
    <w:rsid w:val="001E5506"/>
    <w:rsid w:val="001E559A"/>
    <w:rsid w:val="001E55D8"/>
    <w:rsid w:val="001E55F1"/>
    <w:rsid w:val="001E5624"/>
    <w:rsid w:val="001E5742"/>
    <w:rsid w:val="001E5970"/>
    <w:rsid w:val="001E59FF"/>
    <w:rsid w:val="001E5A49"/>
    <w:rsid w:val="001E5DF7"/>
    <w:rsid w:val="001E61E5"/>
    <w:rsid w:val="001E62D3"/>
    <w:rsid w:val="001E6472"/>
    <w:rsid w:val="001E694D"/>
    <w:rsid w:val="001E730A"/>
    <w:rsid w:val="001E75E0"/>
    <w:rsid w:val="001E768E"/>
    <w:rsid w:val="001E7C30"/>
    <w:rsid w:val="001F01D1"/>
    <w:rsid w:val="001F02F4"/>
    <w:rsid w:val="001F032A"/>
    <w:rsid w:val="001F04EF"/>
    <w:rsid w:val="001F0974"/>
    <w:rsid w:val="001F09E2"/>
    <w:rsid w:val="001F0A35"/>
    <w:rsid w:val="001F0DCF"/>
    <w:rsid w:val="001F0FF4"/>
    <w:rsid w:val="001F1688"/>
    <w:rsid w:val="001F1936"/>
    <w:rsid w:val="001F198A"/>
    <w:rsid w:val="001F1E76"/>
    <w:rsid w:val="001F2467"/>
    <w:rsid w:val="001F2593"/>
    <w:rsid w:val="001F25AC"/>
    <w:rsid w:val="001F2E2A"/>
    <w:rsid w:val="001F2F9D"/>
    <w:rsid w:val="001F302E"/>
    <w:rsid w:val="001F3157"/>
    <w:rsid w:val="001F3167"/>
    <w:rsid w:val="001F39E1"/>
    <w:rsid w:val="001F40C4"/>
    <w:rsid w:val="001F41D7"/>
    <w:rsid w:val="001F4376"/>
    <w:rsid w:val="001F4417"/>
    <w:rsid w:val="001F4503"/>
    <w:rsid w:val="001F46C7"/>
    <w:rsid w:val="001F4BD8"/>
    <w:rsid w:val="001F4CA9"/>
    <w:rsid w:val="001F50E1"/>
    <w:rsid w:val="001F5237"/>
    <w:rsid w:val="001F52B8"/>
    <w:rsid w:val="001F548E"/>
    <w:rsid w:val="001F596F"/>
    <w:rsid w:val="001F628F"/>
    <w:rsid w:val="001F62C6"/>
    <w:rsid w:val="001F66CC"/>
    <w:rsid w:val="001F6B27"/>
    <w:rsid w:val="001F6E37"/>
    <w:rsid w:val="001F6E67"/>
    <w:rsid w:val="001F6FBE"/>
    <w:rsid w:val="001F7192"/>
    <w:rsid w:val="001F73F4"/>
    <w:rsid w:val="001F771E"/>
    <w:rsid w:val="001F7915"/>
    <w:rsid w:val="00200044"/>
    <w:rsid w:val="0020027E"/>
    <w:rsid w:val="00200657"/>
    <w:rsid w:val="0020077D"/>
    <w:rsid w:val="00200884"/>
    <w:rsid w:val="002008AF"/>
    <w:rsid w:val="00200962"/>
    <w:rsid w:val="00200B3B"/>
    <w:rsid w:val="00200D2B"/>
    <w:rsid w:val="00201002"/>
    <w:rsid w:val="0020147D"/>
    <w:rsid w:val="00201B42"/>
    <w:rsid w:val="00201B49"/>
    <w:rsid w:val="00201C6D"/>
    <w:rsid w:val="00201F4B"/>
    <w:rsid w:val="00202727"/>
    <w:rsid w:val="00202AA0"/>
    <w:rsid w:val="00203340"/>
    <w:rsid w:val="0020378B"/>
    <w:rsid w:val="00203AE4"/>
    <w:rsid w:val="00203C57"/>
    <w:rsid w:val="00203EB4"/>
    <w:rsid w:val="00203F97"/>
    <w:rsid w:val="0020417D"/>
    <w:rsid w:val="0020420E"/>
    <w:rsid w:val="00204725"/>
    <w:rsid w:val="00204BAB"/>
    <w:rsid w:val="00204E54"/>
    <w:rsid w:val="00205434"/>
    <w:rsid w:val="00205596"/>
    <w:rsid w:val="0020565A"/>
    <w:rsid w:val="0020573A"/>
    <w:rsid w:val="00205A12"/>
    <w:rsid w:val="00205F2D"/>
    <w:rsid w:val="00205F4E"/>
    <w:rsid w:val="002063A8"/>
    <w:rsid w:val="002064D2"/>
    <w:rsid w:val="0020652E"/>
    <w:rsid w:val="002069FA"/>
    <w:rsid w:val="002070A1"/>
    <w:rsid w:val="0020782B"/>
    <w:rsid w:val="00207AFD"/>
    <w:rsid w:val="00207D53"/>
    <w:rsid w:val="00207F8B"/>
    <w:rsid w:val="00210337"/>
    <w:rsid w:val="002105CA"/>
    <w:rsid w:val="002106E3"/>
    <w:rsid w:val="00210E33"/>
    <w:rsid w:val="00210EE1"/>
    <w:rsid w:val="00210F65"/>
    <w:rsid w:val="00211275"/>
    <w:rsid w:val="002115B6"/>
    <w:rsid w:val="002116BA"/>
    <w:rsid w:val="00211954"/>
    <w:rsid w:val="00211BDA"/>
    <w:rsid w:val="00211E62"/>
    <w:rsid w:val="00211EC7"/>
    <w:rsid w:val="0021207E"/>
    <w:rsid w:val="0021245A"/>
    <w:rsid w:val="002125FE"/>
    <w:rsid w:val="0021276A"/>
    <w:rsid w:val="0021279E"/>
    <w:rsid w:val="002128D6"/>
    <w:rsid w:val="00212A40"/>
    <w:rsid w:val="00212E71"/>
    <w:rsid w:val="00212FBF"/>
    <w:rsid w:val="002131A8"/>
    <w:rsid w:val="00213832"/>
    <w:rsid w:val="00213B22"/>
    <w:rsid w:val="00213F88"/>
    <w:rsid w:val="00214177"/>
    <w:rsid w:val="002144CE"/>
    <w:rsid w:val="0021451C"/>
    <w:rsid w:val="002146C7"/>
    <w:rsid w:val="002146EC"/>
    <w:rsid w:val="00214743"/>
    <w:rsid w:val="00214A6B"/>
    <w:rsid w:val="00214AE0"/>
    <w:rsid w:val="00214D30"/>
    <w:rsid w:val="00214D86"/>
    <w:rsid w:val="0021526C"/>
    <w:rsid w:val="002152CC"/>
    <w:rsid w:val="002153A9"/>
    <w:rsid w:val="002155D4"/>
    <w:rsid w:val="00215635"/>
    <w:rsid w:val="00215CFA"/>
    <w:rsid w:val="00215D3D"/>
    <w:rsid w:val="00215FAE"/>
    <w:rsid w:val="002161C9"/>
    <w:rsid w:val="00216545"/>
    <w:rsid w:val="0021670A"/>
    <w:rsid w:val="002168BE"/>
    <w:rsid w:val="002168C7"/>
    <w:rsid w:val="002169C3"/>
    <w:rsid w:val="00216B31"/>
    <w:rsid w:val="00217710"/>
    <w:rsid w:val="00217927"/>
    <w:rsid w:val="002200DB"/>
    <w:rsid w:val="00220777"/>
    <w:rsid w:val="002208D2"/>
    <w:rsid w:val="00220AA9"/>
    <w:rsid w:val="00221155"/>
    <w:rsid w:val="002214CB"/>
    <w:rsid w:val="0022154B"/>
    <w:rsid w:val="002215A1"/>
    <w:rsid w:val="002215BA"/>
    <w:rsid w:val="002224AF"/>
    <w:rsid w:val="00222535"/>
    <w:rsid w:val="0022255C"/>
    <w:rsid w:val="002225E9"/>
    <w:rsid w:val="002226DA"/>
    <w:rsid w:val="002228A1"/>
    <w:rsid w:val="00222A49"/>
    <w:rsid w:val="00222B65"/>
    <w:rsid w:val="00222BB4"/>
    <w:rsid w:val="00222C4A"/>
    <w:rsid w:val="00222CD7"/>
    <w:rsid w:val="00222DB6"/>
    <w:rsid w:val="00222EC2"/>
    <w:rsid w:val="00223237"/>
    <w:rsid w:val="00223447"/>
    <w:rsid w:val="002237E9"/>
    <w:rsid w:val="00223A11"/>
    <w:rsid w:val="00223D97"/>
    <w:rsid w:val="00224081"/>
    <w:rsid w:val="00224083"/>
    <w:rsid w:val="00224093"/>
    <w:rsid w:val="00224224"/>
    <w:rsid w:val="002243CE"/>
    <w:rsid w:val="00224910"/>
    <w:rsid w:val="002249F3"/>
    <w:rsid w:val="00225581"/>
    <w:rsid w:val="002256B3"/>
    <w:rsid w:val="002256F5"/>
    <w:rsid w:val="002259C1"/>
    <w:rsid w:val="00225FA7"/>
    <w:rsid w:val="002262BF"/>
    <w:rsid w:val="002262C2"/>
    <w:rsid w:val="00226528"/>
    <w:rsid w:val="00226610"/>
    <w:rsid w:val="00226B5D"/>
    <w:rsid w:val="00227155"/>
    <w:rsid w:val="002273B7"/>
    <w:rsid w:val="002276A6"/>
    <w:rsid w:val="002277C5"/>
    <w:rsid w:val="002279D5"/>
    <w:rsid w:val="00230665"/>
    <w:rsid w:val="00230DAE"/>
    <w:rsid w:val="002311A1"/>
    <w:rsid w:val="002314A6"/>
    <w:rsid w:val="0023161A"/>
    <w:rsid w:val="00231771"/>
    <w:rsid w:val="002318F5"/>
    <w:rsid w:val="00231A9C"/>
    <w:rsid w:val="00231AF1"/>
    <w:rsid w:val="00231C15"/>
    <w:rsid w:val="00231CF8"/>
    <w:rsid w:val="00231D47"/>
    <w:rsid w:val="00231F82"/>
    <w:rsid w:val="002325A9"/>
    <w:rsid w:val="002325AA"/>
    <w:rsid w:val="0023263D"/>
    <w:rsid w:val="002326F5"/>
    <w:rsid w:val="0023280E"/>
    <w:rsid w:val="00232DD8"/>
    <w:rsid w:val="00233587"/>
    <w:rsid w:val="002335A0"/>
    <w:rsid w:val="002339B4"/>
    <w:rsid w:val="002340D3"/>
    <w:rsid w:val="002341B2"/>
    <w:rsid w:val="00234431"/>
    <w:rsid w:val="00234677"/>
    <w:rsid w:val="00235055"/>
    <w:rsid w:val="002352DA"/>
    <w:rsid w:val="002355F3"/>
    <w:rsid w:val="0023583F"/>
    <w:rsid w:val="00235940"/>
    <w:rsid w:val="00235C62"/>
    <w:rsid w:val="00235D43"/>
    <w:rsid w:val="00236187"/>
    <w:rsid w:val="00236496"/>
    <w:rsid w:val="002367AE"/>
    <w:rsid w:val="00236FC3"/>
    <w:rsid w:val="002371F3"/>
    <w:rsid w:val="0023725F"/>
    <w:rsid w:val="0023745A"/>
    <w:rsid w:val="0023759A"/>
    <w:rsid w:val="00237CE0"/>
    <w:rsid w:val="00237E15"/>
    <w:rsid w:val="00237FE0"/>
    <w:rsid w:val="00240051"/>
    <w:rsid w:val="002401C8"/>
    <w:rsid w:val="0024057D"/>
    <w:rsid w:val="002406DA"/>
    <w:rsid w:val="00240AFE"/>
    <w:rsid w:val="00240D71"/>
    <w:rsid w:val="00241201"/>
    <w:rsid w:val="00241837"/>
    <w:rsid w:val="0024188A"/>
    <w:rsid w:val="002419BB"/>
    <w:rsid w:val="00241BD1"/>
    <w:rsid w:val="00242354"/>
    <w:rsid w:val="00242526"/>
    <w:rsid w:val="00242638"/>
    <w:rsid w:val="00242C7B"/>
    <w:rsid w:val="00243171"/>
    <w:rsid w:val="002432F7"/>
    <w:rsid w:val="0024366E"/>
    <w:rsid w:val="00243E84"/>
    <w:rsid w:val="00243EBA"/>
    <w:rsid w:val="0024481B"/>
    <w:rsid w:val="0024482F"/>
    <w:rsid w:val="0024486F"/>
    <w:rsid w:val="00244A23"/>
    <w:rsid w:val="00244F33"/>
    <w:rsid w:val="0024551C"/>
    <w:rsid w:val="00245A42"/>
    <w:rsid w:val="00245B76"/>
    <w:rsid w:val="00245C84"/>
    <w:rsid w:val="00245F90"/>
    <w:rsid w:val="00246021"/>
    <w:rsid w:val="00246022"/>
    <w:rsid w:val="00246316"/>
    <w:rsid w:val="002466CE"/>
    <w:rsid w:val="00246A6A"/>
    <w:rsid w:val="00246C01"/>
    <w:rsid w:val="00246F89"/>
    <w:rsid w:val="002470D8"/>
    <w:rsid w:val="002471A2"/>
    <w:rsid w:val="0024731D"/>
    <w:rsid w:val="002474B4"/>
    <w:rsid w:val="00247513"/>
    <w:rsid w:val="00247587"/>
    <w:rsid w:val="00247BF4"/>
    <w:rsid w:val="00247D32"/>
    <w:rsid w:val="00250099"/>
    <w:rsid w:val="00250658"/>
    <w:rsid w:val="00250726"/>
    <w:rsid w:val="00250767"/>
    <w:rsid w:val="00250AEA"/>
    <w:rsid w:val="00250E3E"/>
    <w:rsid w:val="0025108F"/>
    <w:rsid w:val="00251261"/>
    <w:rsid w:val="002512B9"/>
    <w:rsid w:val="00251436"/>
    <w:rsid w:val="00251660"/>
    <w:rsid w:val="00251D17"/>
    <w:rsid w:val="00251D8A"/>
    <w:rsid w:val="00252341"/>
    <w:rsid w:val="00252398"/>
    <w:rsid w:val="00252468"/>
    <w:rsid w:val="0025286B"/>
    <w:rsid w:val="00252A7A"/>
    <w:rsid w:val="00252AFB"/>
    <w:rsid w:val="00252DEB"/>
    <w:rsid w:val="00252E21"/>
    <w:rsid w:val="00253273"/>
    <w:rsid w:val="002533C6"/>
    <w:rsid w:val="0025344E"/>
    <w:rsid w:val="002535D8"/>
    <w:rsid w:val="0025391E"/>
    <w:rsid w:val="00253A8F"/>
    <w:rsid w:val="00253E28"/>
    <w:rsid w:val="00253FA9"/>
    <w:rsid w:val="0025441D"/>
    <w:rsid w:val="002545C5"/>
    <w:rsid w:val="00254928"/>
    <w:rsid w:val="00254958"/>
    <w:rsid w:val="00254A55"/>
    <w:rsid w:val="00254F46"/>
    <w:rsid w:val="00255029"/>
    <w:rsid w:val="00255116"/>
    <w:rsid w:val="00255A59"/>
    <w:rsid w:val="00255B33"/>
    <w:rsid w:val="002560DD"/>
    <w:rsid w:val="00256255"/>
    <w:rsid w:val="0025647B"/>
    <w:rsid w:val="00256A56"/>
    <w:rsid w:val="00257099"/>
    <w:rsid w:val="0025736D"/>
    <w:rsid w:val="002574FC"/>
    <w:rsid w:val="00257628"/>
    <w:rsid w:val="00257695"/>
    <w:rsid w:val="002578CD"/>
    <w:rsid w:val="00257C1F"/>
    <w:rsid w:val="00257C54"/>
    <w:rsid w:val="00257DF1"/>
    <w:rsid w:val="00257E23"/>
    <w:rsid w:val="0026013A"/>
    <w:rsid w:val="002608C7"/>
    <w:rsid w:val="002609A1"/>
    <w:rsid w:val="002609E1"/>
    <w:rsid w:val="00260E20"/>
    <w:rsid w:val="002610BF"/>
    <w:rsid w:val="002615A9"/>
    <w:rsid w:val="00261E64"/>
    <w:rsid w:val="00261F93"/>
    <w:rsid w:val="00261FF3"/>
    <w:rsid w:val="00262335"/>
    <w:rsid w:val="0026250C"/>
    <w:rsid w:val="002627B2"/>
    <w:rsid w:val="00262C6A"/>
    <w:rsid w:val="00262C87"/>
    <w:rsid w:val="002630F7"/>
    <w:rsid w:val="00263193"/>
    <w:rsid w:val="002632CB"/>
    <w:rsid w:val="00263703"/>
    <w:rsid w:val="0026388D"/>
    <w:rsid w:val="00263A71"/>
    <w:rsid w:val="00263EF3"/>
    <w:rsid w:val="00264308"/>
    <w:rsid w:val="00264392"/>
    <w:rsid w:val="00264493"/>
    <w:rsid w:val="00264727"/>
    <w:rsid w:val="00264EAF"/>
    <w:rsid w:val="00265176"/>
    <w:rsid w:val="00265976"/>
    <w:rsid w:val="00265B3E"/>
    <w:rsid w:val="00265BB6"/>
    <w:rsid w:val="00265CB5"/>
    <w:rsid w:val="00266207"/>
    <w:rsid w:val="0026675C"/>
    <w:rsid w:val="00266C68"/>
    <w:rsid w:val="00267174"/>
    <w:rsid w:val="00267222"/>
    <w:rsid w:val="0026788C"/>
    <w:rsid w:val="00267978"/>
    <w:rsid w:val="00267BF0"/>
    <w:rsid w:val="00267DED"/>
    <w:rsid w:val="00267F70"/>
    <w:rsid w:val="00270063"/>
    <w:rsid w:val="0027023A"/>
    <w:rsid w:val="002703EF"/>
    <w:rsid w:val="0027055D"/>
    <w:rsid w:val="0027058E"/>
    <w:rsid w:val="00270A6C"/>
    <w:rsid w:val="00270CAA"/>
    <w:rsid w:val="002710E9"/>
    <w:rsid w:val="00271508"/>
    <w:rsid w:val="0027178C"/>
    <w:rsid w:val="00271BCB"/>
    <w:rsid w:val="00271C45"/>
    <w:rsid w:val="00271F59"/>
    <w:rsid w:val="00271F84"/>
    <w:rsid w:val="00272222"/>
    <w:rsid w:val="002724C2"/>
    <w:rsid w:val="00272682"/>
    <w:rsid w:val="00272EF2"/>
    <w:rsid w:val="0027346D"/>
    <w:rsid w:val="002734B7"/>
    <w:rsid w:val="002735D6"/>
    <w:rsid w:val="00273E27"/>
    <w:rsid w:val="00273F40"/>
    <w:rsid w:val="00274170"/>
    <w:rsid w:val="002747AB"/>
    <w:rsid w:val="00274A97"/>
    <w:rsid w:val="00274BE9"/>
    <w:rsid w:val="00274C2B"/>
    <w:rsid w:val="0027542C"/>
    <w:rsid w:val="002758F5"/>
    <w:rsid w:val="002759F0"/>
    <w:rsid w:val="00275A1F"/>
    <w:rsid w:val="00275E29"/>
    <w:rsid w:val="0027615A"/>
    <w:rsid w:val="00276BFD"/>
    <w:rsid w:val="00276C61"/>
    <w:rsid w:val="00276D1E"/>
    <w:rsid w:val="00276E8F"/>
    <w:rsid w:val="002774AC"/>
    <w:rsid w:val="002774E4"/>
    <w:rsid w:val="0027762F"/>
    <w:rsid w:val="00277973"/>
    <w:rsid w:val="00277B7E"/>
    <w:rsid w:val="00277FE0"/>
    <w:rsid w:val="00280604"/>
    <w:rsid w:val="0028073F"/>
    <w:rsid w:val="00280B71"/>
    <w:rsid w:val="00280DE1"/>
    <w:rsid w:val="002815EF"/>
    <w:rsid w:val="00281717"/>
    <w:rsid w:val="00281780"/>
    <w:rsid w:val="00281860"/>
    <w:rsid w:val="0028186E"/>
    <w:rsid w:val="00281977"/>
    <w:rsid w:val="00281C9D"/>
    <w:rsid w:val="00281F29"/>
    <w:rsid w:val="00282012"/>
    <w:rsid w:val="00282709"/>
    <w:rsid w:val="002827E1"/>
    <w:rsid w:val="0028289C"/>
    <w:rsid w:val="002828BD"/>
    <w:rsid w:val="00283048"/>
    <w:rsid w:val="00283509"/>
    <w:rsid w:val="00283644"/>
    <w:rsid w:val="002838F5"/>
    <w:rsid w:val="00283B49"/>
    <w:rsid w:val="00283BAF"/>
    <w:rsid w:val="00283DFA"/>
    <w:rsid w:val="0028404F"/>
    <w:rsid w:val="00284124"/>
    <w:rsid w:val="0028421F"/>
    <w:rsid w:val="002845B3"/>
    <w:rsid w:val="00284993"/>
    <w:rsid w:val="00284C30"/>
    <w:rsid w:val="00284C5A"/>
    <w:rsid w:val="00284CF9"/>
    <w:rsid w:val="0028521B"/>
    <w:rsid w:val="0028534C"/>
    <w:rsid w:val="002855E9"/>
    <w:rsid w:val="002856C1"/>
    <w:rsid w:val="002857EA"/>
    <w:rsid w:val="00285AF2"/>
    <w:rsid w:val="00285CE5"/>
    <w:rsid w:val="00285E55"/>
    <w:rsid w:val="00286287"/>
    <w:rsid w:val="002862C1"/>
    <w:rsid w:val="00286394"/>
    <w:rsid w:val="00286526"/>
    <w:rsid w:val="0028664C"/>
    <w:rsid w:val="002866F0"/>
    <w:rsid w:val="002867D4"/>
    <w:rsid w:val="00286B20"/>
    <w:rsid w:val="00286B67"/>
    <w:rsid w:val="002872A8"/>
    <w:rsid w:val="002873DA"/>
    <w:rsid w:val="00287504"/>
    <w:rsid w:val="002877BF"/>
    <w:rsid w:val="002877CF"/>
    <w:rsid w:val="00287890"/>
    <w:rsid w:val="002878C2"/>
    <w:rsid w:val="002901EF"/>
    <w:rsid w:val="00290478"/>
    <w:rsid w:val="00290665"/>
    <w:rsid w:val="002909E4"/>
    <w:rsid w:val="002909F0"/>
    <w:rsid w:val="00290BCE"/>
    <w:rsid w:val="002919B8"/>
    <w:rsid w:val="00291A8A"/>
    <w:rsid w:val="002924FE"/>
    <w:rsid w:val="00292557"/>
    <w:rsid w:val="0029277A"/>
    <w:rsid w:val="00292E2E"/>
    <w:rsid w:val="0029332C"/>
    <w:rsid w:val="0029336F"/>
    <w:rsid w:val="00293511"/>
    <w:rsid w:val="002935B8"/>
    <w:rsid w:val="00293706"/>
    <w:rsid w:val="0029373D"/>
    <w:rsid w:val="0029376F"/>
    <w:rsid w:val="00293881"/>
    <w:rsid w:val="00293996"/>
    <w:rsid w:val="00293CF1"/>
    <w:rsid w:val="00293DB6"/>
    <w:rsid w:val="00293F9F"/>
    <w:rsid w:val="00294012"/>
    <w:rsid w:val="0029406B"/>
    <w:rsid w:val="00294335"/>
    <w:rsid w:val="002944AD"/>
    <w:rsid w:val="00294F54"/>
    <w:rsid w:val="002953D0"/>
    <w:rsid w:val="00295576"/>
    <w:rsid w:val="0029581B"/>
    <w:rsid w:val="00295F4C"/>
    <w:rsid w:val="0029660B"/>
    <w:rsid w:val="00296802"/>
    <w:rsid w:val="0029691B"/>
    <w:rsid w:val="002969E7"/>
    <w:rsid w:val="00296A00"/>
    <w:rsid w:val="00296F80"/>
    <w:rsid w:val="0029732F"/>
    <w:rsid w:val="00297990"/>
    <w:rsid w:val="00297996"/>
    <w:rsid w:val="00297CC7"/>
    <w:rsid w:val="002A02A7"/>
    <w:rsid w:val="002A036F"/>
    <w:rsid w:val="002A06E4"/>
    <w:rsid w:val="002A0800"/>
    <w:rsid w:val="002A0A01"/>
    <w:rsid w:val="002A0C8C"/>
    <w:rsid w:val="002A0CBD"/>
    <w:rsid w:val="002A0F5C"/>
    <w:rsid w:val="002A1086"/>
    <w:rsid w:val="002A1152"/>
    <w:rsid w:val="002A14EA"/>
    <w:rsid w:val="002A1AE7"/>
    <w:rsid w:val="002A1CD4"/>
    <w:rsid w:val="002A291F"/>
    <w:rsid w:val="002A2930"/>
    <w:rsid w:val="002A346B"/>
    <w:rsid w:val="002A35E3"/>
    <w:rsid w:val="002A36F1"/>
    <w:rsid w:val="002A3898"/>
    <w:rsid w:val="002A39ED"/>
    <w:rsid w:val="002A3B9F"/>
    <w:rsid w:val="002A3DA8"/>
    <w:rsid w:val="002A3EB9"/>
    <w:rsid w:val="002A3FC2"/>
    <w:rsid w:val="002A4804"/>
    <w:rsid w:val="002A4ACC"/>
    <w:rsid w:val="002A4B81"/>
    <w:rsid w:val="002A4FD5"/>
    <w:rsid w:val="002A5587"/>
    <w:rsid w:val="002A5863"/>
    <w:rsid w:val="002A5A8E"/>
    <w:rsid w:val="002A5C05"/>
    <w:rsid w:val="002A5C66"/>
    <w:rsid w:val="002A5D76"/>
    <w:rsid w:val="002A5F7A"/>
    <w:rsid w:val="002A68CF"/>
    <w:rsid w:val="002A6C0B"/>
    <w:rsid w:val="002A7807"/>
    <w:rsid w:val="002A785D"/>
    <w:rsid w:val="002A79ED"/>
    <w:rsid w:val="002A7BA9"/>
    <w:rsid w:val="002A7E45"/>
    <w:rsid w:val="002B0214"/>
    <w:rsid w:val="002B02AA"/>
    <w:rsid w:val="002B0313"/>
    <w:rsid w:val="002B0481"/>
    <w:rsid w:val="002B04C1"/>
    <w:rsid w:val="002B06BE"/>
    <w:rsid w:val="002B0CBC"/>
    <w:rsid w:val="002B0D64"/>
    <w:rsid w:val="002B0D80"/>
    <w:rsid w:val="002B0E40"/>
    <w:rsid w:val="002B1382"/>
    <w:rsid w:val="002B1B30"/>
    <w:rsid w:val="002B1E67"/>
    <w:rsid w:val="002B24B5"/>
    <w:rsid w:val="002B272B"/>
    <w:rsid w:val="002B2810"/>
    <w:rsid w:val="002B29D6"/>
    <w:rsid w:val="002B2D59"/>
    <w:rsid w:val="002B2DBC"/>
    <w:rsid w:val="002B2FA4"/>
    <w:rsid w:val="002B30B2"/>
    <w:rsid w:val="002B313A"/>
    <w:rsid w:val="002B344D"/>
    <w:rsid w:val="002B34D0"/>
    <w:rsid w:val="002B36CD"/>
    <w:rsid w:val="002B3C9D"/>
    <w:rsid w:val="002B3D81"/>
    <w:rsid w:val="002B3F5D"/>
    <w:rsid w:val="002B425B"/>
    <w:rsid w:val="002B45BE"/>
    <w:rsid w:val="002B4883"/>
    <w:rsid w:val="002B49A1"/>
    <w:rsid w:val="002B4B62"/>
    <w:rsid w:val="002B4C2B"/>
    <w:rsid w:val="002B4F2A"/>
    <w:rsid w:val="002B4F45"/>
    <w:rsid w:val="002B54A5"/>
    <w:rsid w:val="002B58A1"/>
    <w:rsid w:val="002B6036"/>
    <w:rsid w:val="002B604A"/>
    <w:rsid w:val="002B60D3"/>
    <w:rsid w:val="002B6544"/>
    <w:rsid w:val="002B6657"/>
    <w:rsid w:val="002B677F"/>
    <w:rsid w:val="002B6902"/>
    <w:rsid w:val="002B70DC"/>
    <w:rsid w:val="002B7150"/>
    <w:rsid w:val="002B71C1"/>
    <w:rsid w:val="002B73C6"/>
    <w:rsid w:val="002B7B16"/>
    <w:rsid w:val="002B7F1B"/>
    <w:rsid w:val="002C010D"/>
    <w:rsid w:val="002C021D"/>
    <w:rsid w:val="002C0631"/>
    <w:rsid w:val="002C073A"/>
    <w:rsid w:val="002C0A1A"/>
    <w:rsid w:val="002C0B0C"/>
    <w:rsid w:val="002C0E28"/>
    <w:rsid w:val="002C0E6A"/>
    <w:rsid w:val="002C0FCB"/>
    <w:rsid w:val="002C1661"/>
    <w:rsid w:val="002C19C2"/>
    <w:rsid w:val="002C1B12"/>
    <w:rsid w:val="002C1D15"/>
    <w:rsid w:val="002C1F0E"/>
    <w:rsid w:val="002C1FDE"/>
    <w:rsid w:val="002C2608"/>
    <w:rsid w:val="002C2B8A"/>
    <w:rsid w:val="002C333D"/>
    <w:rsid w:val="002C37D3"/>
    <w:rsid w:val="002C39B7"/>
    <w:rsid w:val="002C3A02"/>
    <w:rsid w:val="002C4860"/>
    <w:rsid w:val="002C5051"/>
    <w:rsid w:val="002C5104"/>
    <w:rsid w:val="002C5573"/>
    <w:rsid w:val="002C55F2"/>
    <w:rsid w:val="002C589F"/>
    <w:rsid w:val="002C5953"/>
    <w:rsid w:val="002C5A6C"/>
    <w:rsid w:val="002C5E64"/>
    <w:rsid w:val="002C5FF9"/>
    <w:rsid w:val="002C62AB"/>
    <w:rsid w:val="002C641E"/>
    <w:rsid w:val="002C6D27"/>
    <w:rsid w:val="002C6FB2"/>
    <w:rsid w:val="002C77D0"/>
    <w:rsid w:val="002C7948"/>
    <w:rsid w:val="002C794E"/>
    <w:rsid w:val="002D02E9"/>
    <w:rsid w:val="002D069F"/>
    <w:rsid w:val="002D0B5E"/>
    <w:rsid w:val="002D1028"/>
    <w:rsid w:val="002D137A"/>
    <w:rsid w:val="002D1D3B"/>
    <w:rsid w:val="002D2229"/>
    <w:rsid w:val="002D24B1"/>
    <w:rsid w:val="002D291B"/>
    <w:rsid w:val="002D298D"/>
    <w:rsid w:val="002D2C18"/>
    <w:rsid w:val="002D2D2A"/>
    <w:rsid w:val="002D2E66"/>
    <w:rsid w:val="002D2E7D"/>
    <w:rsid w:val="002D300B"/>
    <w:rsid w:val="002D31DE"/>
    <w:rsid w:val="002D37F9"/>
    <w:rsid w:val="002D3BBF"/>
    <w:rsid w:val="002D3F68"/>
    <w:rsid w:val="002D416B"/>
    <w:rsid w:val="002D420F"/>
    <w:rsid w:val="002D4290"/>
    <w:rsid w:val="002D440D"/>
    <w:rsid w:val="002D4475"/>
    <w:rsid w:val="002D474F"/>
    <w:rsid w:val="002D483C"/>
    <w:rsid w:val="002D4928"/>
    <w:rsid w:val="002D4F00"/>
    <w:rsid w:val="002D5038"/>
    <w:rsid w:val="002D5304"/>
    <w:rsid w:val="002D5455"/>
    <w:rsid w:val="002D5627"/>
    <w:rsid w:val="002D594E"/>
    <w:rsid w:val="002D67FD"/>
    <w:rsid w:val="002D6B22"/>
    <w:rsid w:val="002D6BDD"/>
    <w:rsid w:val="002D6E89"/>
    <w:rsid w:val="002D74A6"/>
    <w:rsid w:val="002D7579"/>
    <w:rsid w:val="002D790B"/>
    <w:rsid w:val="002D7A24"/>
    <w:rsid w:val="002E00B4"/>
    <w:rsid w:val="002E03CB"/>
    <w:rsid w:val="002E03D7"/>
    <w:rsid w:val="002E057D"/>
    <w:rsid w:val="002E0DC1"/>
    <w:rsid w:val="002E1726"/>
    <w:rsid w:val="002E1884"/>
    <w:rsid w:val="002E1C55"/>
    <w:rsid w:val="002E1D78"/>
    <w:rsid w:val="002E1E9C"/>
    <w:rsid w:val="002E202E"/>
    <w:rsid w:val="002E218A"/>
    <w:rsid w:val="002E2191"/>
    <w:rsid w:val="002E2669"/>
    <w:rsid w:val="002E291C"/>
    <w:rsid w:val="002E29D3"/>
    <w:rsid w:val="002E2EBC"/>
    <w:rsid w:val="002E2EC0"/>
    <w:rsid w:val="002E3128"/>
    <w:rsid w:val="002E323A"/>
    <w:rsid w:val="002E34B5"/>
    <w:rsid w:val="002E3513"/>
    <w:rsid w:val="002E351B"/>
    <w:rsid w:val="002E361B"/>
    <w:rsid w:val="002E37D8"/>
    <w:rsid w:val="002E3C5B"/>
    <w:rsid w:val="002E3DB2"/>
    <w:rsid w:val="002E3EE5"/>
    <w:rsid w:val="002E4397"/>
    <w:rsid w:val="002E452F"/>
    <w:rsid w:val="002E4720"/>
    <w:rsid w:val="002E4772"/>
    <w:rsid w:val="002E490C"/>
    <w:rsid w:val="002E4D56"/>
    <w:rsid w:val="002E4D60"/>
    <w:rsid w:val="002E51AB"/>
    <w:rsid w:val="002E575B"/>
    <w:rsid w:val="002E5894"/>
    <w:rsid w:val="002E5C0C"/>
    <w:rsid w:val="002E5F2C"/>
    <w:rsid w:val="002E6279"/>
    <w:rsid w:val="002E6498"/>
    <w:rsid w:val="002E68A0"/>
    <w:rsid w:val="002E6A94"/>
    <w:rsid w:val="002E6C4D"/>
    <w:rsid w:val="002E6C76"/>
    <w:rsid w:val="002E7119"/>
    <w:rsid w:val="002E7277"/>
    <w:rsid w:val="002E7964"/>
    <w:rsid w:val="002E7A5D"/>
    <w:rsid w:val="002E7A85"/>
    <w:rsid w:val="002F0809"/>
    <w:rsid w:val="002F08CF"/>
    <w:rsid w:val="002F0E96"/>
    <w:rsid w:val="002F103E"/>
    <w:rsid w:val="002F184C"/>
    <w:rsid w:val="002F19DF"/>
    <w:rsid w:val="002F1BB3"/>
    <w:rsid w:val="002F1D8C"/>
    <w:rsid w:val="002F1E5F"/>
    <w:rsid w:val="002F1F9C"/>
    <w:rsid w:val="002F2273"/>
    <w:rsid w:val="002F2328"/>
    <w:rsid w:val="002F23A2"/>
    <w:rsid w:val="002F24A3"/>
    <w:rsid w:val="002F24F4"/>
    <w:rsid w:val="002F28D2"/>
    <w:rsid w:val="002F291D"/>
    <w:rsid w:val="002F2952"/>
    <w:rsid w:val="002F3356"/>
    <w:rsid w:val="002F383E"/>
    <w:rsid w:val="002F3F0F"/>
    <w:rsid w:val="002F4370"/>
    <w:rsid w:val="002F44E0"/>
    <w:rsid w:val="002F46D2"/>
    <w:rsid w:val="002F48FB"/>
    <w:rsid w:val="002F4E6D"/>
    <w:rsid w:val="002F4E80"/>
    <w:rsid w:val="002F5194"/>
    <w:rsid w:val="002F5526"/>
    <w:rsid w:val="002F58C0"/>
    <w:rsid w:val="002F5A99"/>
    <w:rsid w:val="002F6268"/>
    <w:rsid w:val="002F6754"/>
    <w:rsid w:val="002F681D"/>
    <w:rsid w:val="002F6E45"/>
    <w:rsid w:val="002F7152"/>
    <w:rsid w:val="002F72A0"/>
    <w:rsid w:val="002F72A5"/>
    <w:rsid w:val="002F7471"/>
    <w:rsid w:val="002F75ED"/>
    <w:rsid w:val="002F7A69"/>
    <w:rsid w:val="00300035"/>
    <w:rsid w:val="0030008C"/>
    <w:rsid w:val="003002D5"/>
    <w:rsid w:val="0030031B"/>
    <w:rsid w:val="003003CB"/>
    <w:rsid w:val="0030062D"/>
    <w:rsid w:val="003007EE"/>
    <w:rsid w:val="00300812"/>
    <w:rsid w:val="00300A45"/>
    <w:rsid w:val="00300E33"/>
    <w:rsid w:val="0030121C"/>
    <w:rsid w:val="00301835"/>
    <w:rsid w:val="0030187D"/>
    <w:rsid w:val="00301960"/>
    <w:rsid w:val="0030199E"/>
    <w:rsid w:val="00301C9F"/>
    <w:rsid w:val="00301EE5"/>
    <w:rsid w:val="00301F58"/>
    <w:rsid w:val="0030203D"/>
    <w:rsid w:val="00302522"/>
    <w:rsid w:val="003027AD"/>
    <w:rsid w:val="003027E2"/>
    <w:rsid w:val="00302865"/>
    <w:rsid w:val="003028E8"/>
    <w:rsid w:val="00302985"/>
    <w:rsid w:val="0030336B"/>
    <w:rsid w:val="0030344C"/>
    <w:rsid w:val="003036C5"/>
    <w:rsid w:val="003036FE"/>
    <w:rsid w:val="00303A52"/>
    <w:rsid w:val="00303E0F"/>
    <w:rsid w:val="003046CF"/>
    <w:rsid w:val="00304875"/>
    <w:rsid w:val="00304EDB"/>
    <w:rsid w:val="003052E7"/>
    <w:rsid w:val="00305454"/>
    <w:rsid w:val="00305573"/>
    <w:rsid w:val="00305633"/>
    <w:rsid w:val="003056F3"/>
    <w:rsid w:val="00305ADD"/>
    <w:rsid w:val="00305E05"/>
    <w:rsid w:val="0030647E"/>
    <w:rsid w:val="00306580"/>
    <w:rsid w:val="003065DA"/>
    <w:rsid w:val="003065F8"/>
    <w:rsid w:val="00306D18"/>
    <w:rsid w:val="00306D32"/>
    <w:rsid w:val="003077BF"/>
    <w:rsid w:val="00310169"/>
    <w:rsid w:val="0031036F"/>
    <w:rsid w:val="00310431"/>
    <w:rsid w:val="00310644"/>
    <w:rsid w:val="00310705"/>
    <w:rsid w:val="003108D6"/>
    <w:rsid w:val="0031090C"/>
    <w:rsid w:val="00310A6B"/>
    <w:rsid w:val="00310D77"/>
    <w:rsid w:val="0031105D"/>
    <w:rsid w:val="00311613"/>
    <w:rsid w:val="00311752"/>
    <w:rsid w:val="003118AF"/>
    <w:rsid w:val="00311F74"/>
    <w:rsid w:val="003121CD"/>
    <w:rsid w:val="003129CD"/>
    <w:rsid w:val="00312BBE"/>
    <w:rsid w:val="00312C88"/>
    <w:rsid w:val="00313217"/>
    <w:rsid w:val="0031338E"/>
    <w:rsid w:val="00313BA6"/>
    <w:rsid w:val="00313CA3"/>
    <w:rsid w:val="00313E25"/>
    <w:rsid w:val="00314395"/>
    <w:rsid w:val="003145AB"/>
    <w:rsid w:val="00314870"/>
    <w:rsid w:val="00314B4F"/>
    <w:rsid w:val="0031506B"/>
    <w:rsid w:val="003151FE"/>
    <w:rsid w:val="0031522A"/>
    <w:rsid w:val="003154EA"/>
    <w:rsid w:val="003155CA"/>
    <w:rsid w:val="00315CC9"/>
    <w:rsid w:val="00315E3C"/>
    <w:rsid w:val="003161A1"/>
    <w:rsid w:val="00316262"/>
    <w:rsid w:val="00316562"/>
    <w:rsid w:val="00316895"/>
    <w:rsid w:val="00316C3B"/>
    <w:rsid w:val="00316C99"/>
    <w:rsid w:val="00316F23"/>
    <w:rsid w:val="00316F25"/>
    <w:rsid w:val="00317030"/>
    <w:rsid w:val="0031724C"/>
    <w:rsid w:val="00317612"/>
    <w:rsid w:val="00320166"/>
    <w:rsid w:val="003207A2"/>
    <w:rsid w:val="00320859"/>
    <w:rsid w:val="00320B93"/>
    <w:rsid w:val="00320BF7"/>
    <w:rsid w:val="00320FFF"/>
    <w:rsid w:val="00321118"/>
    <w:rsid w:val="003211BA"/>
    <w:rsid w:val="003212E9"/>
    <w:rsid w:val="00321408"/>
    <w:rsid w:val="0032168B"/>
    <w:rsid w:val="003216B7"/>
    <w:rsid w:val="00321903"/>
    <w:rsid w:val="003219EB"/>
    <w:rsid w:val="00321A1B"/>
    <w:rsid w:val="00321D18"/>
    <w:rsid w:val="00322784"/>
    <w:rsid w:val="0032278C"/>
    <w:rsid w:val="003227F5"/>
    <w:rsid w:val="00322BE6"/>
    <w:rsid w:val="003230E0"/>
    <w:rsid w:val="00323248"/>
    <w:rsid w:val="0032330E"/>
    <w:rsid w:val="00323962"/>
    <w:rsid w:val="00323C43"/>
    <w:rsid w:val="00323E60"/>
    <w:rsid w:val="00324298"/>
    <w:rsid w:val="0032452D"/>
    <w:rsid w:val="00324932"/>
    <w:rsid w:val="00324C64"/>
    <w:rsid w:val="003250E7"/>
    <w:rsid w:val="00325108"/>
    <w:rsid w:val="00325134"/>
    <w:rsid w:val="00325433"/>
    <w:rsid w:val="00325510"/>
    <w:rsid w:val="00325689"/>
    <w:rsid w:val="003256A8"/>
    <w:rsid w:val="003259D1"/>
    <w:rsid w:val="00325B03"/>
    <w:rsid w:val="0032614A"/>
    <w:rsid w:val="00326791"/>
    <w:rsid w:val="00326F7E"/>
    <w:rsid w:val="003270FD"/>
    <w:rsid w:val="00327ACA"/>
    <w:rsid w:val="00327DB4"/>
    <w:rsid w:val="00327E5F"/>
    <w:rsid w:val="00327F5D"/>
    <w:rsid w:val="00330177"/>
    <w:rsid w:val="003303F1"/>
    <w:rsid w:val="0033054A"/>
    <w:rsid w:val="00330841"/>
    <w:rsid w:val="00330A2D"/>
    <w:rsid w:val="00330CC7"/>
    <w:rsid w:val="003312E0"/>
    <w:rsid w:val="00331974"/>
    <w:rsid w:val="00331B03"/>
    <w:rsid w:val="00331C6F"/>
    <w:rsid w:val="00331F30"/>
    <w:rsid w:val="003325EA"/>
    <w:rsid w:val="00332A2A"/>
    <w:rsid w:val="00332BC2"/>
    <w:rsid w:val="00332CE6"/>
    <w:rsid w:val="003332ED"/>
    <w:rsid w:val="003337D6"/>
    <w:rsid w:val="00333B25"/>
    <w:rsid w:val="00333DE8"/>
    <w:rsid w:val="0033419F"/>
    <w:rsid w:val="0033449D"/>
    <w:rsid w:val="00334641"/>
    <w:rsid w:val="00334724"/>
    <w:rsid w:val="00334BF8"/>
    <w:rsid w:val="00334DA6"/>
    <w:rsid w:val="00334ECA"/>
    <w:rsid w:val="00335271"/>
    <w:rsid w:val="00335380"/>
    <w:rsid w:val="003355AB"/>
    <w:rsid w:val="00335A3E"/>
    <w:rsid w:val="00335AD3"/>
    <w:rsid w:val="00335B18"/>
    <w:rsid w:val="00335E77"/>
    <w:rsid w:val="00336011"/>
    <w:rsid w:val="003365E9"/>
    <w:rsid w:val="0033689B"/>
    <w:rsid w:val="003369ED"/>
    <w:rsid w:val="00336C36"/>
    <w:rsid w:val="00337037"/>
    <w:rsid w:val="003370A5"/>
    <w:rsid w:val="003370E0"/>
    <w:rsid w:val="00337219"/>
    <w:rsid w:val="00337462"/>
    <w:rsid w:val="00337C9E"/>
    <w:rsid w:val="00337E0A"/>
    <w:rsid w:val="00337EBE"/>
    <w:rsid w:val="00340136"/>
    <w:rsid w:val="00340419"/>
    <w:rsid w:val="00340650"/>
    <w:rsid w:val="0034082D"/>
    <w:rsid w:val="0034091B"/>
    <w:rsid w:val="00340AB2"/>
    <w:rsid w:val="00340AE9"/>
    <w:rsid w:val="00340C01"/>
    <w:rsid w:val="00341999"/>
    <w:rsid w:val="003419D3"/>
    <w:rsid w:val="00341A8A"/>
    <w:rsid w:val="00341D66"/>
    <w:rsid w:val="00342678"/>
    <w:rsid w:val="00342821"/>
    <w:rsid w:val="00342AD5"/>
    <w:rsid w:val="00342D76"/>
    <w:rsid w:val="0034312B"/>
    <w:rsid w:val="00343953"/>
    <w:rsid w:val="003439A1"/>
    <w:rsid w:val="00343D4B"/>
    <w:rsid w:val="00343F54"/>
    <w:rsid w:val="003444A4"/>
    <w:rsid w:val="00344AEA"/>
    <w:rsid w:val="003450FE"/>
    <w:rsid w:val="003457E1"/>
    <w:rsid w:val="00345E0A"/>
    <w:rsid w:val="00345E82"/>
    <w:rsid w:val="003460FB"/>
    <w:rsid w:val="00346DB4"/>
    <w:rsid w:val="00347358"/>
    <w:rsid w:val="003474EB"/>
    <w:rsid w:val="003475A8"/>
    <w:rsid w:val="00347642"/>
    <w:rsid w:val="003476CA"/>
    <w:rsid w:val="003477DC"/>
    <w:rsid w:val="00347ADF"/>
    <w:rsid w:val="00347FA1"/>
    <w:rsid w:val="00350058"/>
    <w:rsid w:val="003505B6"/>
    <w:rsid w:val="003509F9"/>
    <w:rsid w:val="00350A5F"/>
    <w:rsid w:val="00350B4C"/>
    <w:rsid w:val="00350E03"/>
    <w:rsid w:val="00350E3E"/>
    <w:rsid w:val="00350E3F"/>
    <w:rsid w:val="003511FC"/>
    <w:rsid w:val="0035140A"/>
    <w:rsid w:val="00351443"/>
    <w:rsid w:val="0035157A"/>
    <w:rsid w:val="00351775"/>
    <w:rsid w:val="00352424"/>
    <w:rsid w:val="003524CE"/>
    <w:rsid w:val="003525BF"/>
    <w:rsid w:val="003526BE"/>
    <w:rsid w:val="0035295B"/>
    <w:rsid w:val="00352B2A"/>
    <w:rsid w:val="00352BC1"/>
    <w:rsid w:val="00352D59"/>
    <w:rsid w:val="00352EB8"/>
    <w:rsid w:val="00353008"/>
    <w:rsid w:val="0035357A"/>
    <w:rsid w:val="003536BE"/>
    <w:rsid w:val="00353C93"/>
    <w:rsid w:val="00353E69"/>
    <w:rsid w:val="00354144"/>
    <w:rsid w:val="0035420C"/>
    <w:rsid w:val="003542C7"/>
    <w:rsid w:val="0035453C"/>
    <w:rsid w:val="0035453E"/>
    <w:rsid w:val="00354A7A"/>
    <w:rsid w:val="00354D0F"/>
    <w:rsid w:val="0035534B"/>
    <w:rsid w:val="0035548E"/>
    <w:rsid w:val="003556C5"/>
    <w:rsid w:val="003558C4"/>
    <w:rsid w:val="0035598A"/>
    <w:rsid w:val="00355C6B"/>
    <w:rsid w:val="00355F4B"/>
    <w:rsid w:val="003560B1"/>
    <w:rsid w:val="0035637D"/>
    <w:rsid w:val="00356431"/>
    <w:rsid w:val="00356884"/>
    <w:rsid w:val="00356D70"/>
    <w:rsid w:val="00356F10"/>
    <w:rsid w:val="003570FE"/>
    <w:rsid w:val="00357371"/>
    <w:rsid w:val="00357830"/>
    <w:rsid w:val="003578E5"/>
    <w:rsid w:val="00357978"/>
    <w:rsid w:val="00357C59"/>
    <w:rsid w:val="00357E88"/>
    <w:rsid w:val="00357F13"/>
    <w:rsid w:val="00357FAB"/>
    <w:rsid w:val="0036001B"/>
    <w:rsid w:val="0036042C"/>
    <w:rsid w:val="00360686"/>
    <w:rsid w:val="003606F3"/>
    <w:rsid w:val="0036080E"/>
    <w:rsid w:val="00360CA7"/>
    <w:rsid w:val="00360E22"/>
    <w:rsid w:val="00360EA8"/>
    <w:rsid w:val="00360F31"/>
    <w:rsid w:val="003610CB"/>
    <w:rsid w:val="0036135C"/>
    <w:rsid w:val="00361371"/>
    <w:rsid w:val="00361885"/>
    <w:rsid w:val="00361B1C"/>
    <w:rsid w:val="00361DD4"/>
    <w:rsid w:val="00361EEA"/>
    <w:rsid w:val="003620D3"/>
    <w:rsid w:val="00362268"/>
    <w:rsid w:val="00362723"/>
    <w:rsid w:val="00362A03"/>
    <w:rsid w:val="00363223"/>
    <w:rsid w:val="003637B4"/>
    <w:rsid w:val="00363869"/>
    <w:rsid w:val="00363902"/>
    <w:rsid w:val="00363B17"/>
    <w:rsid w:val="00363C5B"/>
    <w:rsid w:val="00363C6F"/>
    <w:rsid w:val="00363E25"/>
    <w:rsid w:val="00364054"/>
    <w:rsid w:val="00364134"/>
    <w:rsid w:val="0036419A"/>
    <w:rsid w:val="00364915"/>
    <w:rsid w:val="00364E19"/>
    <w:rsid w:val="0036553E"/>
    <w:rsid w:val="00365E69"/>
    <w:rsid w:val="00365FC4"/>
    <w:rsid w:val="00366403"/>
    <w:rsid w:val="003665D9"/>
    <w:rsid w:val="003666F6"/>
    <w:rsid w:val="003674DD"/>
    <w:rsid w:val="0036796D"/>
    <w:rsid w:val="00367BC5"/>
    <w:rsid w:val="00367D04"/>
    <w:rsid w:val="00367DF7"/>
    <w:rsid w:val="00367F83"/>
    <w:rsid w:val="00370128"/>
    <w:rsid w:val="003701E3"/>
    <w:rsid w:val="00370283"/>
    <w:rsid w:val="00370D91"/>
    <w:rsid w:val="00370E45"/>
    <w:rsid w:val="0037150F"/>
    <w:rsid w:val="00371A4B"/>
    <w:rsid w:val="00371C7F"/>
    <w:rsid w:val="00371E1A"/>
    <w:rsid w:val="00372408"/>
    <w:rsid w:val="003724E1"/>
    <w:rsid w:val="00372517"/>
    <w:rsid w:val="003728E0"/>
    <w:rsid w:val="0037294C"/>
    <w:rsid w:val="00372C01"/>
    <w:rsid w:val="00372C78"/>
    <w:rsid w:val="00372E64"/>
    <w:rsid w:val="003734AA"/>
    <w:rsid w:val="0037355C"/>
    <w:rsid w:val="003738BF"/>
    <w:rsid w:val="00374365"/>
    <w:rsid w:val="003745F4"/>
    <w:rsid w:val="00374C62"/>
    <w:rsid w:val="00374F76"/>
    <w:rsid w:val="003758C6"/>
    <w:rsid w:val="00375E04"/>
    <w:rsid w:val="00375FAE"/>
    <w:rsid w:val="00376B63"/>
    <w:rsid w:val="00376DBD"/>
    <w:rsid w:val="00376EAB"/>
    <w:rsid w:val="00376EFB"/>
    <w:rsid w:val="00376F15"/>
    <w:rsid w:val="003771A6"/>
    <w:rsid w:val="003775FF"/>
    <w:rsid w:val="003779C7"/>
    <w:rsid w:val="00377F37"/>
    <w:rsid w:val="00377FED"/>
    <w:rsid w:val="003800A5"/>
    <w:rsid w:val="003800D5"/>
    <w:rsid w:val="0038010F"/>
    <w:rsid w:val="0038016C"/>
    <w:rsid w:val="003803A1"/>
    <w:rsid w:val="00380EA0"/>
    <w:rsid w:val="00380EA6"/>
    <w:rsid w:val="00381039"/>
    <w:rsid w:val="00381693"/>
    <w:rsid w:val="003819D8"/>
    <w:rsid w:val="00381AD3"/>
    <w:rsid w:val="00381C2B"/>
    <w:rsid w:val="003820D5"/>
    <w:rsid w:val="003820FC"/>
    <w:rsid w:val="003822F9"/>
    <w:rsid w:val="00382329"/>
    <w:rsid w:val="003825C4"/>
    <w:rsid w:val="00382857"/>
    <w:rsid w:val="0038285A"/>
    <w:rsid w:val="0038299E"/>
    <w:rsid w:val="00382B79"/>
    <w:rsid w:val="00382F97"/>
    <w:rsid w:val="00383111"/>
    <w:rsid w:val="003831AD"/>
    <w:rsid w:val="0038327F"/>
    <w:rsid w:val="0038392C"/>
    <w:rsid w:val="00383E67"/>
    <w:rsid w:val="00384202"/>
    <w:rsid w:val="00384881"/>
    <w:rsid w:val="00384AC0"/>
    <w:rsid w:val="00384C80"/>
    <w:rsid w:val="00384D2A"/>
    <w:rsid w:val="00384FF6"/>
    <w:rsid w:val="00385999"/>
    <w:rsid w:val="00385A61"/>
    <w:rsid w:val="00385D98"/>
    <w:rsid w:val="00385F6F"/>
    <w:rsid w:val="00386074"/>
    <w:rsid w:val="0038643C"/>
    <w:rsid w:val="00386493"/>
    <w:rsid w:val="003864FE"/>
    <w:rsid w:val="00386CFE"/>
    <w:rsid w:val="003874A2"/>
    <w:rsid w:val="00387741"/>
    <w:rsid w:val="00387B20"/>
    <w:rsid w:val="00387C9B"/>
    <w:rsid w:val="00387DD6"/>
    <w:rsid w:val="00387E7F"/>
    <w:rsid w:val="00387F95"/>
    <w:rsid w:val="0039023F"/>
    <w:rsid w:val="00390667"/>
    <w:rsid w:val="00390966"/>
    <w:rsid w:val="00390E45"/>
    <w:rsid w:val="00391012"/>
    <w:rsid w:val="003911A9"/>
    <w:rsid w:val="00391414"/>
    <w:rsid w:val="003914F2"/>
    <w:rsid w:val="0039163E"/>
    <w:rsid w:val="00391654"/>
    <w:rsid w:val="00391A2D"/>
    <w:rsid w:val="00391C90"/>
    <w:rsid w:val="00391CAE"/>
    <w:rsid w:val="003921C7"/>
    <w:rsid w:val="003922A8"/>
    <w:rsid w:val="00392330"/>
    <w:rsid w:val="0039252C"/>
    <w:rsid w:val="00392970"/>
    <w:rsid w:val="00392EBD"/>
    <w:rsid w:val="00393110"/>
    <w:rsid w:val="00393768"/>
    <w:rsid w:val="0039382D"/>
    <w:rsid w:val="0039390D"/>
    <w:rsid w:val="00393A09"/>
    <w:rsid w:val="00393DB9"/>
    <w:rsid w:val="00393DF1"/>
    <w:rsid w:val="00393F8C"/>
    <w:rsid w:val="003940A1"/>
    <w:rsid w:val="00394933"/>
    <w:rsid w:val="00394973"/>
    <w:rsid w:val="00394D8E"/>
    <w:rsid w:val="003952DB"/>
    <w:rsid w:val="0039552E"/>
    <w:rsid w:val="00395B63"/>
    <w:rsid w:val="00395DAC"/>
    <w:rsid w:val="00395F01"/>
    <w:rsid w:val="00395F47"/>
    <w:rsid w:val="00395FBB"/>
    <w:rsid w:val="003964E1"/>
    <w:rsid w:val="00396DBC"/>
    <w:rsid w:val="00396F29"/>
    <w:rsid w:val="00397094"/>
    <w:rsid w:val="003973DD"/>
    <w:rsid w:val="003A0922"/>
    <w:rsid w:val="003A0A62"/>
    <w:rsid w:val="003A0DE0"/>
    <w:rsid w:val="003A0E64"/>
    <w:rsid w:val="003A0EE5"/>
    <w:rsid w:val="003A153C"/>
    <w:rsid w:val="003A17AE"/>
    <w:rsid w:val="003A180F"/>
    <w:rsid w:val="003A18D5"/>
    <w:rsid w:val="003A190F"/>
    <w:rsid w:val="003A1DC2"/>
    <w:rsid w:val="003A2273"/>
    <w:rsid w:val="003A2AA3"/>
    <w:rsid w:val="003A2BA6"/>
    <w:rsid w:val="003A2D13"/>
    <w:rsid w:val="003A314E"/>
    <w:rsid w:val="003A3401"/>
    <w:rsid w:val="003A3594"/>
    <w:rsid w:val="003A3612"/>
    <w:rsid w:val="003A36E8"/>
    <w:rsid w:val="003A3BDD"/>
    <w:rsid w:val="003A3DC8"/>
    <w:rsid w:val="003A3E21"/>
    <w:rsid w:val="003A3E2E"/>
    <w:rsid w:val="003A47CA"/>
    <w:rsid w:val="003A4903"/>
    <w:rsid w:val="003A4EFA"/>
    <w:rsid w:val="003A51E5"/>
    <w:rsid w:val="003A527F"/>
    <w:rsid w:val="003A54D0"/>
    <w:rsid w:val="003A5861"/>
    <w:rsid w:val="003A599C"/>
    <w:rsid w:val="003A5C91"/>
    <w:rsid w:val="003A5CBC"/>
    <w:rsid w:val="003A5DF5"/>
    <w:rsid w:val="003A6210"/>
    <w:rsid w:val="003A639E"/>
    <w:rsid w:val="003A646D"/>
    <w:rsid w:val="003A64CF"/>
    <w:rsid w:val="003A6B3C"/>
    <w:rsid w:val="003A71A0"/>
    <w:rsid w:val="003A71C9"/>
    <w:rsid w:val="003A72C8"/>
    <w:rsid w:val="003A7A0D"/>
    <w:rsid w:val="003A7D7A"/>
    <w:rsid w:val="003A7DD5"/>
    <w:rsid w:val="003A7E11"/>
    <w:rsid w:val="003A7EAC"/>
    <w:rsid w:val="003B0E80"/>
    <w:rsid w:val="003B108D"/>
    <w:rsid w:val="003B125E"/>
    <w:rsid w:val="003B13CC"/>
    <w:rsid w:val="003B19D2"/>
    <w:rsid w:val="003B1B62"/>
    <w:rsid w:val="003B1B8E"/>
    <w:rsid w:val="003B1DFB"/>
    <w:rsid w:val="003B22BA"/>
    <w:rsid w:val="003B278B"/>
    <w:rsid w:val="003B27A8"/>
    <w:rsid w:val="003B27B1"/>
    <w:rsid w:val="003B28FF"/>
    <w:rsid w:val="003B291C"/>
    <w:rsid w:val="003B2B70"/>
    <w:rsid w:val="003B2CC0"/>
    <w:rsid w:val="003B332E"/>
    <w:rsid w:val="003B33E2"/>
    <w:rsid w:val="003B38F6"/>
    <w:rsid w:val="003B3903"/>
    <w:rsid w:val="003B3B59"/>
    <w:rsid w:val="003B3B78"/>
    <w:rsid w:val="003B3CCF"/>
    <w:rsid w:val="003B3E0C"/>
    <w:rsid w:val="003B3F9B"/>
    <w:rsid w:val="003B4193"/>
    <w:rsid w:val="003B435A"/>
    <w:rsid w:val="003B441E"/>
    <w:rsid w:val="003B4A93"/>
    <w:rsid w:val="003B5204"/>
    <w:rsid w:val="003B534E"/>
    <w:rsid w:val="003B53E4"/>
    <w:rsid w:val="003B5FBE"/>
    <w:rsid w:val="003B65F7"/>
    <w:rsid w:val="003B714C"/>
    <w:rsid w:val="003B714D"/>
    <w:rsid w:val="003B7477"/>
    <w:rsid w:val="003B747C"/>
    <w:rsid w:val="003B75B6"/>
    <w:rsid w:val="003B76A4"/>
    <w:rsid w:val="003B76FB"/>
    <w:rsid w:val="003B7AFA"/>
    <w:rsid w:val="003B7C74"/>
    <w:rsid w:val="003B7DE9"/>
    <w:rsid w:val="003C018D"/>
    <w:rsid w:val="003C01A8"/>
    <w:rsid w:val="003C04A6"/>
    <w:rsid w:val="003C0A78"/>
    <w:rsid w:val="003C0D71"/>
    <w:rsid w:val="003C0E66"/>
    <w:rsid w:val="003C0F64"/>
    <w:rsid w:val="003C0F85"/>
    <w:rsid w:val="003C10E7"/>
    <w:rsid w:val="003C1D52"/>
    <w:rsid w:val="003C1E9F"/>
    <w:rsid w:val="003C26CB"/>
    <w:rsid w:val="003C277F"/>
    <w:rsid w:val="003C28C5"/>
    <w:rsid w:val="003C2D15"/>
    <w:rsid w:val="003C2D5C"/>
    <w:rsid w:val="003C2F8C"/>
    <w:rsid w:val="003C31F7"/>
    <w:rsid w:val="003C343A"/>
    <w:rsid w:val="003C3497"/>
    <w:rsid w:val="003C379C"/>
    <w:rsid w:val="003C38B5"/>
    <w:rsid w:val="003C3C21"/>
    <w:rsid w:val="003C3C54"/>
    <w:rsid w:val="003C3D58"/>
    <w:rsid w:val="003C3FAE"/>
    <w:rsid w:val="003C4418"/>
    <w:rsid w:val="003C4454"/>
    <w:rsid w:val="003C44C6"/>
    <w:rsid w:val="003C49ED"/>
    <w:rsid w:val="003C4CF3"/>
    <w:rsid w:val="003C4E9D"/>
    <w:rsid w:val="003C53C9"/>
    <w:rsid w:val="003C54E4"/>
    <w:rsid w:val="003C573C"/>
    <w:rsid w:val="003C58A4"/>
    <w:rsid w:val="003C61D6"/>
    <w:rsid w:val="003C643B"/>
    <w:rsid w:val="003C6AD8"/>
    <w:rsid w:val="003C6BB4"/>
    <w:rsid w:val="003C6FFE"/>
    <w:rsid w:val="003C740F"/>
    <w:rsid w:val="003C7A98"/>
    <w:rsid w:val="003C7C25"/>
    <w:rsid w:val="003C7C3D"/>
    <w:rsid w:val="003C7C7A"/>
    <w:rsid w:val="003C7D6A"/>
    <w:rsid w:val="003D00FC"/>
    <w:rsid w:val="003D0697"/>
    <w:rsid w:val="003D10C6"/>
    <w:rsid w:val="003D1119"/>
    <w:rsid w:val="003D115D"/>
    <w:rsid w:val="003D1527"/>
    <w:rsid w:val="003D171F"/>
    <w:rsid w:val="003D1986"/>
    <w:rsid w:val="003D1CB8"/>
    <w:rsid w:val="003D258C"/>
    <w:rsid w:val="003D2596"/>
    <w:rsid w:val="003D30C6"/>
    <w:rsid w:val="003D3337"/>
    <w:rsid w:val="003D37D7"/>
    <w:rsid w:val="003D3891"/>
    <w:rsid w:val="003D39E6"/>
    <w:rsid w:val="003D3A67"/>
    <w:rsid w:val="003D3C24"/>
    <w:rsid w:val="003D3CCB"/>
    <w:rsid w:val="003D3D4A"/>
    <w:rsid w:val="003D3DFA"/>
    <w:rsid w:val="003D4414"/>
    <w:rsid w:val="003D466D"/>
    <w:rsid w:val="003D4BFD"/>
    <w:rsid w:val="003D5404"/>
    <w:rsid w:val="003D561C"/>
    <w:rsid w:val="003D5922"/>
    <w:rsid w:val="003D5EDF"/>
    <w:rsid w:val="003D600C"/>
    <w:rsid w:val="003D617A"/>
    <w:rsid w:val="003D64F3"/>
    <w:rsid w:val="003D65C3"/>
    <w:rsid w:val="003D6617"/>
    <w:rsid w:val="003D662B"/>
    <w:rsid w:val="003D680B"/>
    <w:rsid w:val="003D69ED"/>
    <w:rsid w:val="003D6D5A"/>
    <w:rsid w:val="003D77B8"/>
    <w:rsid w:val="003D78F7"/>
    <w:rsid w:val="003D7982"/>
    <w:rsid w:val="003D7F7C"/>
    <w:rsid w:val="003E02E2"/>
    <w:rsid w:val="003E08A5"/>
    <w:rsid w:val="003E0DB6"/>
    <w:rsid w:val="003E0E3E"/>
    <w:rsid w:val="003E0F71"/>
    <w:rsid w:val="003E0F9B"/>
    <w:rsid w:val="003E1118"/>
    <w:rsid w:val="003E11E3"/>
    <w:rsid w:val="003E12DD"/>
    <w:rsid w:val="003E1394"/>
    <w:rsid w:val="003E1447"/>
    <w:rsid w:val="003E16A5"/>
    <w:rsid w:val="003E185A"/>
    <w:rsid w:val="003E1B53"/>
    <w:rsid w:val="003E1C3A"/>
    <w:rsid w:val="003E1FC2"/>
    <w:rsid w:val="003E208D"/>
    <w:rsid w:val="003E2538"/>
    <w:rsid w:val="003E258A"/>
    <w:rsid w:val="003E2868"/>
    <w:rsid w:val="003E2982"/>
    <w:rsid w:val="003E2F43"/>
    <w:rsid w:val="003E308C"/>
    <w:rsid w:val="003E32FA"/>
    <w:rsid w:val="003E3441"/>
    <w:rsid w:val="003E3607"/>
    <w:rsid w:val="003E367C"/>
    <w:rsid w:val="003E3711"/>
    <w:rsid w:val="003E3E24"/>
    <w:rsid w:val="003E4308"/>
    <w:rsid w:val="003E43D2"/>
    <w:rsid w:val="003E48D8"/>
    <w:rsid w:val="003E4EEB"/>
    <w:rsid w:val="003E50C3"/>
    <w:rsid w:val="003E535F"/>
    <w:rsid w:val="003E5615"/>
    <w:rsid w:val="003E5670"/>
    <w:rsid w:val="003E5A9C"/>
    <w:rsid w:val="003E5B28"/>
    <w:rsid w:val="003E5C4E"/>
    <w:rsid w:val="003E5F3F"/>
    <w:rsid w:val="003E6619"/>
    <w:rsid w:val="003E6A4F"/>
    <w:rsid w:val="003E6DFE"/>
    <w:rsid w:val="003E776F"/>
    <w:rsid w:val="003E788D"/>
    <w:rsid w:val="003E7C41"/>
    <w:rsid w:val="003E7DC2"/>
    <w:rsid w:val="003E7F7D"/>
    <w:rsid w:val="003F0028"/>
    <w:rsid w:val="003F0139"/>
    <w:rsid w:val="003F021E"/>
    <w:rsid w:val="003F0305"/>
    <w:rsid w:val="003F0440"/>
    <w:rsid w:val="003F0495"/>
    <w:rsid w:val="003F0B98"/>
    <w:rsid w:val="003F0ECD"/>
    <w:rsid w:val="003F111A"/>
    <w:rsid w:val="003F1160"/>
    <w:rsid w:val="003F12DD"/>
    <w:rsid w:val="003F1671"/>
    <w:rsid w:val="003F1BDE"/>
    <w:rsid w:val="003F1CF9"/>
    <w:rsid w:val="003F2091"/>
    <w:rsid w:val="003F21C9"/>
    <w:rsid w:val="003F2203"/>
    <w:rsid w:val="003F24D2"/>
    <w:rsid w:val="003F2A31"/>
    <w:rsid w:val="003F2AFF"/>
    <w:rsid w:val="003F2FEE"/>
    <w:rsid w:val="003F304C"/>
    <w:rsid w:val="003F3315"/>
    <w:rsid w:val="003F339F"/>
    <w:rsid w:val="003F3A04"/>
    <w:rsid w:val="003F40CA"/>
    <w:rsid w:val="003F45CE"/>
    <w:rsid w:val="003F4725"/>
    <w:rsid w:val="003F47DB"/>
    <w:rsid w:val="003F4ABD"/>
    <w:rsid w:val="003F4B95"/>
    <w:rsid w:val="003F4C09"/>
    <w:rsid w:val="003F50AC"/>
    <w:rsid w:val="003F54E2"/>
    <w:rsid w:val="003F55A4"/>
    <w:rsid w:val="003F5A20"/>
    <w:rsid w:val="003F5A4A"/>
    <w:rsid w:val="003F5DAA"/>
    <w:rsid w:val="003F5F31"/>
    <w:rsid w:val="003F6232"/>
    <w:rsid w:val="003F64AB"/>
    <w:rsid w:val="003F66A7"/>
    <w:rsid w:val="003F6B7A"/>
    <w:rsid w:val="003F709D"/>
    <w:rsid w:val="003F7D8D"/>
    <w:rsid w:val="00400088"/>
    <w:rsid w:val="00400843"/>
    <w:rsid w:val="00400CF9"/>
    <w:rsid w:val="004011DA"/>
    <w:rsid w:val="004013D0"/>
    <w:rsid w:val="00401680"/>
    <w:rsid w:val="0040188E"/>
    <w:rsid w:val="00401A8B"/>
    <w:rsid w:val="00401C8A"/>
    <w:rsid w:val="00401DD9"/>
    <w:rsid w:val="00402206"/>
    <w:rsid w:val="004022DE"/>
    <w:rsid w:val="00402527"/>
    <w:rsid w:val="0040253E"/>
    <w:rsid w:val="004029B1"/>
    <w:rsid w:val="00402C1B"/>
    <w:rsid w:val="00402C5B"/>
    <w:rsid w:val="00403265"/>
    <w:rsid w:val="00403333"/>
    <w:rsid w:val="004035C1"/>
    <w:rsid w:val="0040365B"/>
    <w:rsid w:val="004036AE"/>
    <w:rsid w:val="00403D96"/>
    <w:rsid w:val="00404292"/>
    <w:rsid w:val="0040468B"/>
    <w:rsid w:val="004046AF"/>
    <w:rsid w:val="004049BE"/>
    <w:rsid w:val="00404A93"/>
    <w:rsid w:val="00404F70"/>
    <w:rsid w:val="004050AF"/>
    <w:rsid w:val="00405652"/>
    <w:rsid w:val="00406027"/>
    <w:rsid w:val="00406057"/>
    <w:rsid w:val="00406263"/>
    <w:rsid w:val="00406473"/>
    <w:rsid w:val="00406B5D"/>
    <w:rsid w:val="00406B7D"/>
    <w:rsid w:val="00406F8C"/>
    <w:rsid w:val="00407270"/>
    <w:rsid w:val="004072B9"/>
    <w:rsid w:val="0040732C"/>
    <w:rsid w:val="0040754F"/>
    <w:rsid w:val="004076F3"/>
    <w:rsid w:val="004078E6"/>
    <w:rsid w:val="00407958"/>
    <w:rsid w:val="00407C55"/>
    <w:rsid w:val="004100D7"/>
    <w:rsid w:val="00410491"/>
    <w:rsid w:val="004107D6"/>
    <w:rsid w:val="00410A95"/>
    <w:rsid w:val="00410B5B"/>
    <w:rsid w:val="00410B89"/>
    <w:rsid w:val="00410F16"/>
    <w:rsid w:val="00411191"/>
    <w:rsid w:val="004111B1"/>
    <w:rsid w:val="0041125B"/>
    <w:rsid w:val="004112CC"/>
    <w:rsid w:val="00411E01"/>
    <w:rsid w:val="00411E85"/>
    <w:rsid w:val="00412083"/>
    <w:rsid w:val="004121EF"/>
    <w:rsid w:val="004123EE"/>
    <w:rsid w:val="00412990"/>
    <w:rsid w:val="00412E34"/>
    <w:rsid w:val="004146B9"/>
    <w:rsid w:val="00414A07"/>
    <w:rsid w:val="00415123"/>
    <w:rsid w:val="004156EA"/>
    <w:rsid w:val="00415943"/>
    <w:rsid w:val="00415DFA"/>
    <w:rsid w:val="00415F10"/>
    <w:rsid w:val="00416793"/>
    <w:rsid w:val="00416980"/>
    <w:rsid w:val="00416A2E"/>
    <w:rsid w:val="00416A4E"/>
    <w:rsid w:val="00416D9D"/>
    <w:rsid w:val="00416F21"/>
    <w:rsid w:val="00417000"/>
    <w:rsid w:val="00417175"/>
    <w:rsid w:val="00417364"/>
    <w:rsid w:val="00417C84"/>
    <w:rsid w:val="00417D55"/>
    <w:rsid w:val="00417F3E"/>
    <w:rsid w:val="00417F68"/>
    <w:rsid w:val="00417FA8"/>
    <w:rsid w:val="00420070"/>
    <w:rsid w:val="004200BF"/>
    <w:rsid w:val="004202FA"/>
    <w:rsid w:val="00420666"/>
    <w:rsid w:val="0042071E"/>
    <w:rsid w:val="00420E1B"/>
    <w:rsid w:val="0042108A"/>
    <w:rsid w:val="0042131C"/>
    <w:rsid w:val="00421935"/>
    <w:rsid w:val="00421F76"/>
    <w:rsid w:val="0042255F"/>
    <w:rsid w:val="004225D3"/>
    <w:rsid w:val="0042263A"/>
    <w:rsid w:val="00422787"/>
    <w:rsid w:val="004229C9"/>
    <w:rsid w:val="00422A18"/>
    <w:rsid w:val="00422ADA"/>
    <w:rsid w:val="00422BE5"/>
    <w:rsid w:val="00423143"/>
    <w:rsid w:val="00423188"/>
    <w:rsid w:val="004235BB"/>
    <w:rsid w:val="004238A7"/>
    <w:rsid w:val="00423CC1"/>
    <w:rsid w:val="00423F86"/>
    <w:rsid w:val="0042421A"/>
    <w:rsid w:val="00424860"/>
    <w:rsid w:val="004249AC"/>
    <w:rsid w:val="004249E2"/>
    <w:rsid w:val="00424A5B"/>
    <w:rsid w:val="00424AC1"/>
    <w:rsid w:val="00424CE5"/>
    <w:rsid w:val="00424EAB"/>
    <w:rsid w:val="004252A2"/>
    <w:rsid w:val="004254A6"/>
    <w:rsid w:val="0042558C"/>
    <w:rsid w:val="004256B7"/>
    <w:rsid w:val="00425773"/>
    <w:rsid w:val="0042593E"/>
    <w:rsid w:val="00425FB8"/>
    <w:rsid w:val="0042616B"/>
    <w:rsid w:val="0042624E"/>
    <w:rsid w:val="00426379"/>
    <w:rsid w:val="00426759"/>
    <w:rsid w:val="00426798"/>
    <w:rsid w:val="004267A7"/>
    <w:rsid w:val="00426ACE"/>
    <w:rsid w:val="004271FF"/>
    <w:rsid w:val="00427325"/>
    <w:rsid w:val="004274EA"/>
    <w:rsid w:val="0042763C"/>
    <w:rsid w:val="00427724"/>
    <w:rsid w:val="004279AC"/>
    <w:rsid w:val="004279F6"/>
    <w:rsid w:val="00430151"/>
    <w:rsid w:val="0043035B"/>
    <w:rsid w:val="00430412"/>
    <w:rsid w:val="00430483"/>
    <w:rsid w:val="004304D4"/>
    <w:rsid w:val="0043052D"/>
    <w:rsid w:val="00430973"/>
    <w:rsid w:val="00430B99"/>
    <w:rsid w:val="004310C3"/>
    <w:rsid w:val="00431133"/>
    <w:rsid w:val="00431290"/>
    <w:rsid w:val="004317D7"/>
    <w:rsid w:val="00431823"/>
    <w:rsid w:val="004319BA"/>
    <w:rsid w:val="00432235"/>
    <w:rsid w:val="00432523"/>
    <w:rsid w:val="00432632"/>
    <w:rsid w:val="00432A79"/>
    <w:rsid w:val="00433382"/>
    <w:rsid w:val="004334EA"/>
    <w:rsid w:val="00433718"/>
    <w:rsid w:val="00433ABD"/>
    <w:rsid w:val="00433EF4"/>
    <w:rsid w:val="004341B2"/>
    <w:rsid w:val="004343CB"/>
    <w:rsid w:val="00434A1A"/>
    <w:rsid w:val="00434C5F"/>
    <w:rsid w:val="00434D1D"/>
    <w:rsid w:val="00434E6F"/>
    <w:rsid w:val="00434F4A"/>
    <w:rsid w:val="004352CB"/>
    <w:rsid w:val="004354AF"/>
    <w:rsid w:val="004362B4"/>
    <w:rsid w:val="0043630D"/>
    <w:rsid w:val="00436462"/>
    <w:rsid w:val="00436887"/>
    <w:rsid w:val="00436F9E"/>
    <w:rsid w:val="00437144"/>
    <w:rsid w:val="00437236"/>
    <w:rsid w:val="0043755A"/>
    <w:rsid w:val="0043786A"/>
    <w:rsid w:val="004379C9"/>
    <w:rsid w:val="00440119"/>
    <w:rsid w:val="004404E5"/>
    <w:rsid w:val="0044080B"/>
    <w:rsid w:val="00440B4E"/>
    <w:rsid w:val="00440EBC"/>
    <w:rsid w:val="00440F4D"/>
    <w:rsid w:val="0044143E"/>
    <w:rsid w:val="00441A04"/>
    <w:rsid w:val="00441BDB"/>
    <w:rsid w:val="004420D2"/>
    <w:rsid w:val="004421B5"/>
    <w:rsid w:val="004422AC"/>
    <w:rsid w:val="00442351"/>
    <w:rsid w:val="00442F4A"/>
    <w:rsid w:val="00442F84"/>
    <w:rsid w:val="004431A2"/>
    <w:rsid w:val="0044335A"/>
    <w:rsid w:val="00443370"/>
    <w:rsid w:val="004436BA"/>
    <w:rsid w:val="004437D7"/>
    <w:rsid w:val="00443ED3"/>
    <w:rsid w:val="00444007"/>
    <w:rsid w:val="00444064"/>
    <w:rsid w:val="004441DB"/>
    <w:rsid w:val="00444294"/>
    <w:rsid w:val="004442FB"/>
    <w:rsid w:val="00444425"/>
    <w:rsid w:val="00444513"/>
    <w:rsid w:val="00444B39"/>
    <w:rsid w:val="00444F5E"/>
    <w:rsid w:val="00444FC3"/>
    <w:rsid w:val="004450C4"/>
    <w:rsid w:val="004451B2"/>
    <w:rsid w:val="004457E1"/>
    <w:rsid w:val="004459B4"/>
    <w:rsid w:val="00445F8A"/>
    <w:rsid w:val="004461E6"/>
    <w:rsid w:val="00446262"/>
    <w:rsid w:val="004466DE"/>
    <w:rsid w:val="0044675B"/>
    <w:rsid w:val="00446905"/>
    <w:rsid w:val="00446997"/>
    <w:rsid w:val="00446B48"/>
    <w:rsid w:val="004470BE"/>
    <w:rsid w:val="00447749"/>
    <w:rsid w:val="00447B55"/>
    <w:rsid w:val="00447B94"/>
    <w:rsid w:val="00447BA0"/>
    <w:rsid w:val="00447F04"/>
    <w:rsid w:val="00447F0D"/>
    <w:rsid w:val="00447F61"/>
    <w:rsid w:val="00450302"/>
    <w:rsid w:val="0045039A"/>
    <w:rsid w:val="004506C8"/>
    <w:rsid w:val="0045078F"/>
    <w:rsid w:val="004509EE"/>
    <w:rsid w:val="00450B4C"/>
    <w:rsid w:val="00450CD2"/>
    <w:rsid w:val="00450D48"/>
    <w:rsid w:val="004515CB"/>
    <w:rsid w:val="00451767"/>
    <w:rsid w:val="0045177C"/>
    <w:rsid w:val="00451999"/>
    <w:rsid w:val="00451A97"/>
    <w:rsid w:val="00451ED8"/>
    <w:rsid w:val="00452054"/>
    <w:rsid w:val="00452197"/>
    <w:rsid w:val="00452517"/>
    <w:rsid w:val="004525DD"/>
    <w:rsid w:val="004528A0"/>
    <w:rsid w:val="004533BF"/>
    <w:rsid w:val="00453933"/>
    <w:rsid w:val="00453A4C"/>
    <w:rsid w:val="00454048"/>
    <w:rsid w:val="00454141"/>
    <w:rsid w:val="004542A0"/>
    <w:rsid w:val="00454456"/>
    <w:rsid w:val="00454534"/>
    <w:rsid w:val="00454549"/>
    <w:rsid w:val="0045466F"/>
    <w:rsid w:val="004547B4"/>
    <w:rsid w:val="00454E99"/>
    <w:rsid w:val="00454F31"/>
    <w:rsid w:val="00455090"/>
    <w:rsid w:val="004552CC"/>
    <w:rsid w:val="00455689"/>
    <w:rsid w:val="00455BE4"/>
    <w:rsid w:val="00455F33"/>
    <w:rsid w:val="004567A0"/>
    <w:rsid w:val="00457291"/>
    <w:rsid w:val="00457359"/>
    <w:rsid w:val="004574B7"/>
    <w:rsid w:val="00457565"/>
    <w:rsid w:val="00457DB1"/>
    <w:rsid w:val="0046015F"/>
    <w:rsid w:val="0046065C"/>
    <w:rsid w:val="004606C5"/>
    <w:rsid w:val="004607EC"/>
    <w:rsid w:val="00460882"/>
    <w:rsid w:val="00460C42"/>
    <w:rsid w:val="00460D6A"/>
    <w:rsid w:val="00461002"/>
    <w:rsid w:val="00461313"/>
    <w:rsid w:val="004614B0"/>
    <w:rsid w:val="004618B0"/>
    <w:rsid w:val="00461A37"/>
    <w:rsid w:val="00461D35"/>
    <w:rsid w:val="00461DC2"/>
    <w:rsid w:val="00461E0E"/>
    <w:rsid w:val="00462028"/>
    <w:rsid w:val="00462148"/>
    <w:rsid w:val="00462180"/>
    <w:rsid w:val="004623F7"/>
    <w:rsid w:val="00462D33"/>
    <w:rsid w:val="004633E8"/>
    <w:rsid w:val="004636CF"/>
    <w:rsid w:val="00463832"/>
    <w:rsid w:val="00463990"/>
    <w:rsid w:val="00463A6A"/>
    <w:rsid w:val="00463B64"/>
    <w:rsid w:val="00463B7D"/>
    <w:rsid w:val="00463CFB"/>
    <w:rsid w:val="00463E22"/>
    <w:rsid w:val="00463ED7"/>
    <w:rsid w:val="00463FC0"/>
    <w:rsid w:val="00464114"/>
    <w:rsid w:val="004644C3"/>
    <w:rsid w:val="004644F7"/>
    <w:rsid w:val="004645DF"/>
    <w:rsid w:val="00464604"/>
    <w:rsid w:val="0046488B"/>
    <w:rsid w:val="004648FE"/>
    <w:rsid w:val="0046543F"/>
    <w:rsid w:val="00465C77"/>
    <w:rsid w:val="00465EF5"/>
    <w:rsid w:val="00466098"/>
    <w:rsid w:val="004664BB"/>
    <w:rsid w:val="00466850"/>
    <w:rsid w:val="00466879"/>
    <w:rsid w:val="00466B9E"/>
    <w:rsid w:val="00466C18"/>
    <w:rsid w:val="00466C35"/>
    <w:rsid w:val="00466F37"/>
    <w:rsid w:val="00466FCB"/>
    <w:rsid w:val="0046718D"/>
    <w:rsid w:val="0046724C"/>
    <w:rsid w:val="004679CB"/>
    <w:rsid w:val="004679EE"/>
    <w:rsid w:val="004709B7"/>
    <w:rsid w:val="00470CDA"/>
    <w:rsid w:val="00470CE5"/>
    <w:rsid w:val="00470FBD"/>
    <w:rsid w:val="00471203"/>
    <w:rsid w:val="00471234"/>
    <w:rsid w:val="004715E3"/>
    <w:rsid w:val="00471A56"/>
    <w:rsid w:val="00471CCF"/>
    <w:rsid w:val="00472079"/>
    <w:rsid w:val="004721AC"/>
    <w:rsid w:val="004721B2"/>
    <w:rsid w:val="004726E5"/>
    <w:rsid w:val="00472B9C"/>
    <w:rsid w:val="004730B9"/>
    <w:rsid w:val="004732B9"/>
    <w:rsid w:val="004734B4"/>
    <w:rsid w:val="004739C6"/>
    <w:rsid w:val="00473BB1"/>
    <w:rsid w:val="00473C43"/>
    <w:rsid w:val="00473E18"/>
    <w:rsid w:val="00473E41"/>
    <w:rsid w:val="00473EC4"/>
    <w:rsid w:val="0047402C"/>
    <w:rsid w:val="00474087"/>
    <w:rsid w:val="004748F4"/>
    <w:rsid w:val="00474B04"/>
    <w:rsid w:val="00474D34"/>
    <w:rsid w:val="0047540C"/>
    <w:rsid w:val="00475431"/>
    <w:rsid w:val="004756F9"/>
    <w:rsid w:val="00475854"/>
    <w:rsid w:val="00475892"/>
    <w:rsid w:val="00475B78"/>
    <w:rsid w:val="00475DA9"/>
    <w:rsid w:val="00475FAE"/>
    <w:rsid w:val="00476663"/>
    <w:rsid w:val="0047681D"/>
    <w:rsid w:val="00476A53"/>
    <w:rsid w:val="00476B7F"/>
    <w:rsid w:val="00476B99"/>
    <w:rsid w:val="00476C07"/>
    <w:rsid w:val="0047709C"/>
    <w:rsid w:val="0047714C"/>
    <w:rsid w:val="0047739C"/>
    <w:rsid w:val="00477B5E"/>
    <w:rsid w:val="00477C84"/>
    <w:rsid w:val="00477F22"/>
    <w:rsid w:val="004809AF"/>
    <w:rsid w:val="00480D1C"/>
    <w:rsid w:val="00480EED"/>
    <w:rsid w:val="00481166"/>
    <w:rsid w:val="0048142E"/>
    <w:rsid w:val="0048186F"/>
    <w:rsid w:val="004819F3"/>
    <w:rsid w:val="00481EA7"/>
    <w:rsid w:val="0048233D"/>
    <w:rsid w:val="00482585"/>
    <w:rsid w:val="00482A72"/>
    <w:rsid w:val="00482DDE"/>
    <w:rsid w:val="004835A3"/>
    <w:rsid w:val="004835B6"/>
    <w:rsid w:val="004838FA"/>
    <w:rsid w:val="00483AEA"/>
    <w:rsid w:val="0048409E"/>
    <w:rsid w:val="00484953"/>
    <w:rsid w:val="00484A7D"/>
    <w:rsid w:val="00484C21"/>
    <w:rsid w:val="00484C9B"/>
    <w:rsid w:val="00484CCE"/>
    <w:rsid w:val="00484E9C"/>
    <w:rsid w:val="0048543D"/>
    <w:rsid w:val="00485841"/>
    <w:rsid w:val="00485927"/>
    <w:rsid w:val="00485972"/>
    <w:rsid w:val="00485C6F"/>
    <w:rsid w:val="00485DDA"/>
    <w:rsid w:val="00486225"/>
    <w:rsid w:val="0048667C"/>
    <w:rsid w:val="004866EA"/>
    <w:rsid w:val="004867CC"/>
    <w:rsid w:val="0048690C"/>
    <w:rsid w:val="0048692F"/>
    <w:rsid w:val="00486C4D"/>
    <w:rsid w:val="00486DF1"/>
    <w:rsid w:val="00486E86"/>
    <w:rsid w:val="00486FD5"/>
    <w:rsid w:val="00487E6F"/>
    <w:rsid w:val="00487F6C"/>
    <w:rsid w:val="00490021"/>
    <w:rsid w:val="00490121"/>
    <w:rsid w:val="00490259"/>
    <w:rsid w:val="004906E0"/>
    <w:rsid w:val="0049079F"/>
    <w:rsid w:val="004907A9"/>
    <w:rsid w:val="004907BD"/>
    <w:rsid w:val="00490CA9"/>
    <w:rsid w:val="004910FD"/>
    <w:rsid w:val="00491260"/>
    <w:rsid w:val="004912E7"/>
    <w:rsid w:val="00491B10"/>
    <w:rsid w:val="0049220A"/>
    <w:rsid w:val="00492427"/>
    <w:rsid w:val="00492842"/>
    <w:rsid w:val="00492E29"/>
    <w:rsid w:val="0049306D"/>
    <w:rsid w:val="004931B1"/>
    <w:rsid w:val="00493267"/>
    <w:rsid w:val="00493CC9"/>
    <w:rsid w:val="00493DDC"/>
    <w:rsid w:val="0049486A"/>
    <w:rsid w:val="00494998"/>
    <w:rsid w:val="0049500B"/>
    <w:rsid w:val="0049543E"/>
    <w:rsid w:val="0049587A"/>
    <w:rsid w:val="00495E42"/>
    <w:rsid w:val="00495EBD"/>
    <w:rsid w:val="00495FA2"/>
    <w:rsid w:val="00496085"/>
    <w:rsid w:val="00496179"/>
    <w:rsid w:val="0049643D"/>
    <w:rsid w:val="00496618"/>
    <w:rsid w:val="00496CD1"/>
    <w:rsid w:val="00496DF2"/>
    <w:rsid w:val="00496EA6"/>
    <w:rsid w:val="00497368"/>
    <w:rsid w:val="004977FE"/>
    <w:rsid w:val="00497BE2"/>
    <w:rsid w:val="00497D22"/>
    <w:rsid w:val="004A029D"/>
    <w:rsid w:val="004A053B"/>
    <w:rsid w:val="004A0863"/>
    <w:rsid w:val="004A0BC4"/>
    <w:rsid w:val="004A0BCE"/>
    <w:rsid w:val="004A0D49"/>
    <w:rsid w:val="004A0DE3"/>
    <w:rsid w:val="004A0DEB"/>
    <w:rsid w:val="004A0EBC"/>
    <w:rsid w:val="004A1129"/>
    <w:rsid w:val="004A116A"/>
    <w:rsid w:val="004A125A"/>
    <w:rsid w:val="004A1376"/>
    <w:rsid w:val="004A13FD"/>
    <w:rsid w:val="004A146B"/>
    <w:rsid w:val="004A15AF"/>
    <w:rsid w:val="004A1A51"/>
    <w:rsid w:val="004A1D0F"/>
    <w:rsid w:val="004A1F1A"/>
    <w:rsid w:val="004A1F51"/>
    <w:rsid w:val="004A2170"/>
    <w:rsid w:val="004A2695"/>
    <w:rsid w:val="004A26FB"/>
    <w:rsid w:val="004A29CF"/>
    <w:rsid w:val="004A2BEE"/>
    <w:rsid w:val="004A33EA"/>
    <w:rsid w:val="004A347F"/>
    <w:rsid w:val="004A357B"/>
    <w:rsid w:val="004A369A"/>
    <w:rsid w:val="004A3877"/>
    <w:rsid w:val="004A39FF"/>
    <w:rsid w:val="004A3DCF"/>
    <w:rsid w:val="004A41A6"/>
    <w:rsid w:val="004A4357"/>
    <w:rsid w:val="004A43E8"/>
    <w:rsid w:val="004A443C"/>
    <w:rsid w:val="004A49BD"/>
    <w:rsid w:val="004A4E51"/>
    <w:rsid w:val="004A5037"/>
    <w:rsid w:val="004A566A"/>
    <w:rsid w:val="004A5985"/>
    <w:rsid w:val="004A60FC"/>
    <w:rsid w:val="004A666B"/>
    <w:rsid w:val="004A6675"/>
    <w:rsid w:val="004A67C2"/>
    <w:rsid w:val="004A6985"/>
    <w:rsid w:val="004A6F09"/>
    <w:rsid w:val="004A7010"/>
    <w:rsid w:val="004A739D"/>
    <w:rsid w:val="004A750F"/>
    <w:rsid w:val="004A7546"/>
    <w:rsid w:val="004A78CC"/>
    <w:rsid w:val="004A7909"/>
    <w:rsid w:val="004A7B85"/>
    <w:rsid w:val="004A7BAA"/>
    <w:rsid w:val="004B00FE"/>
    <w:rsid w:val="004B06CE"/>
    <w:rsid w:val="004B07D3"/>
    <w:rsid w:val="004B0A14"/>
    <w:rsid w:val="004B0EAB"/>
    <w:rsid w:val="004B13C0"/>
    <w:rsid w:val="004B168D"/>
    <w:rsid w:val="004B1C4A"/>
    <w:rsid w:val="004B2A35"/>
    <w:rsid w:val="004B2F9C"/>
    <w:rsid w:val="004B3038"/>
    <w:rsid w:val="004B32DE"/>
    <w:rsid w:val="004B38FE"/>
    <w:rsid w:val="004B3B14"/>
    <w:rsid w:val="004B3CD0"/>
    <w:rsid w:val="004B4151"/>
    <w:rsid w:val="004B41BC"/>
    <w:rsid w:val="004B4212"/>
    <w:rsid w:val="004B4300"/>
    <w:rsid w:val="004B4432"/>
    <w:rsid w:val="004B4449"/>
    <w:rsid w:val="004B45BE"/>
    <w:rsid w:val="004B4890"/>
    <w:rsid w:val="004B4CA9"/>
    <w:rsid w:val="004B4FDB"/>
    <w:rsid w:val="004B50DA"/>
    <w:rsid w:val="004B5202"/>
    <w:rsid w:val="004B5563"/>
    <w:rsid w:val="004B55BE"/>
    <w:rsid w:val="004B57A1"/>
    <w:rsid w:val="004B57D1"/>
    <w:rsid w:val="004B624A"/>
    <w:rsid w:val="004B6446"/>
    <w:rsid w:val="004B67DF"/>
    <w:rsid w:val="004B69AE"/>
    <w:rsid w:val="004B6A19"/>
    <w:rsid w:val="004B6D87"/>
    <w:rsid w:val="004B6F6D"/>
    <w:rsid w:val="004B722C"/>
    <w:rsid w:val="004B72B3"/>
    <w:rsid w:val="004B76E0"/>
    <w:rsid w:val="004B7828"/>
    <w:rsid w:val="004C027C"/>
    <w:rsid w:val="004C0359"/>
    <w:rsid w:val="004C0881"/>
    <w:rsid w:val="004C0D88"/>
    <w:rsid w:val="004C0F43"/>
    <w:rsid w:val="004C106E"/>
    <w:rsid w:val="004C14D6"/>
    <w:rsid w:val="004C15A5"/>
    <w:rsid w:val="004C16F9"/>
    <w:rsid w:val="004C17BF"/>
    <w:rsid w:val="004C19A2"/>
    <w:rsid w:val="004C1C15"/>
    <w:rsid w:val="004C1DD3"/>
    <w:rsid w:val="004C1E56"/>
    <w:rsid w:val="004C204B"/>
    <w:rsid w:val="004C2172"/>
    <w:rsid w:val="004C2251"/>
    <w:rsid w:val="004C23AA"/>
    <w:rsid w:val="004C23D9"/>
    <w:rsid w:val="004C2935"/>
    <w:rsid w:val="004C2F45"/>
    <w:rsid w:val="004C3646"/>
    <w:rsid w:val="004C3A17"/>
    <w:rsid w:val="004C3D33"/>
    <w:rsid w:val="004C432E"/>
    <w:rsid w:val="004C506A"/>
    <w:rsid w:val="004C523C"/>
    <w:rsid w:val="004C52F6"/>
    <w:rsid w:val="004C533C"/>
    <w:rsid w:val="004C53B6"/>
    <w:rsid w:val="004C57BE"/>
    <w:rsid w:val="004C57EE"/>
    <w:rsid w:val="004C580D"/>
    <w:rsid w:val="004C6089"/>
    <w:rsid w:val="004C60E4"/>
    <w:rsid w:val="004C65EC"/>
    <w:rsid w:val="004C67E0"/>
    <w:rsid w:val="004C6952"/>
    <w:rsid w:val="004C6BA2"/>
    <w:rsid w:val="004C6FE9"/>
    <w:rsid w:val="004C7156"/>
    <w:rsid w:val="004C71AC"/>
    <w:rsid w:val="004C72AD"/>
    <w:rsid w:val="004C74AA"/>
    <w:rsid w:val="004C759D"/>
    <w:rsid w:val="004C75FB"/>
    <w:rsid w:val="004C774E"/>
    <w:rsid w:val="004C77A9"/>
    <w:rsid w:val="004C787E"/>
    <w:rsid w:val="004C7C27"/>
    <w:rsid w:val="004C7E6D"/>
    <w:rsid w:val="004C7F96"/>
    <w:rsid w:val="004D00D2"/>
    <w:rsid w:val="004D0669"/>
    <w:rsid w:val="004D16C9"/>
    <w:rsid w:val="004D190B"/>
    <w:rsid w:val="004D1D3A"/>
    <w:rsid w:val="004D1DA4"/>
    <w:rsid w:val="004D1FBD"/>
    <w:rsid w:val="004D235E"/>
    <w:rsid w:val="004D260C"/>
    <w:rsid w:val="004D2753"/>
    <w:rsid w:val="004D2854"/>
    <w:rsid w:val="004D2927"/>
    <w:rsid w:val="004D2E2E"/>
    <w:rsid w:val="004D36C9"/>
    <w:rsid w:val="004D3903"/>
    <w:rsid w:val="004D4A62"/>
    <w:rsid w:val="004D4BE2"/>
    <w:rsid w:val="004D4CE1"/>
    <w:rsid w:val="004D4EEA"/>
    <w:rsid w:val="004D50FD"/>
    <w:rsid w:val="004D5394"/>
    <w:rsid w:val="004D54DF"/>
    <w:rsid w:val="004D5D1C"/>
    <w:rsid w:val="004D5E61"/>
    <w:rsid w:val="004D6014"/>
    <w:rsid w:val="004D6203"/>
    <w:rsid w:val="004D6697"/>
    <w:rsid w:val="004D69DF"/>
    <w:rsid w:val="004D712F"/>
    <w:rsid w:val="004D72F9"/>
    <w:rsid w:val="004D7435"/>
    <w:rsid w:val="004D7723"/>
    <w:rsid w:val="004D7C79"/>
    <w:rsid w:val="004D7CBA"/>
    <w:rsid w:val="004D7ECE"/>
    <w:rsid w:val="004E0313"/>
    <w:rsid w:val="004E04E1"/>
    <w:rsid w:val="004E092C"/>
    <w:rsid w:val="004E0C89"/>
    <w:rsid w:val="004E0CD0"/>
    <w:rsid w:val="004E0CDC"/>
    <w:rsid w:val="004E168A"/>
    <w:rsid w:val="004E1772"/>
    <w:rsid w:val="004E1BF9"/>
    <w:rsid w:val="004E1E22"/>
    <w:rsid w:val="004E200E"/>
    <w:rsid w:val="004E20AF"/>
    <w:rsid w:val="004E2399"/>
    <w:rsid w:val="004E2400"/>
    <w:rsid w:val="004E2545"/>
    <w:rsid w:val="004E2604"/>
    <w:rsid w:val="004E27BB"/>
    <w:rsid w:val="004E2A4C"/>
    <w:rsid w:val="004E2DD1"/>
    <w:rsid w:val="004E30E2"/>
    <w:rsid w:val="004E316C"/>
    <w:rsid w:val="004E3DD6"/>
    <w:rsid w:val="004E3E53"/>
    <w:rsid w:val="004E3F79"/>
    <w:rsid w:val="004E426D"/>
    <w:rsid w:val="004E4273"/>
    <w:rsid w:val="004E43FA"/>
    <w:rsid w:val="004E459F"/>
    <w:rsid w:val="004E49FA"/>
    <w:rsid w:val="004E4A17"/>
    <w:rsid w:val="004E50CD"/>
    <w:rsid w:val="004E5175"/>
    <w:rsid w:val="004E5518"/>
    <w:rsid w:val="004E574E"/>
    <w:rsid w:val="004E5DF1"/>
    <w:rsid w:val="004E5F05"/>
    <w:rsid w:val="004E6029"/>
    <w:rsid w:val="004E60DB"/>
    <w:rsid w:val="004E61C0"/>
    <w:rsid w:val="004E61D5"/>
    <w:rsid w:val="004E646F"/>
    <w:rsid w:val="004E6936"/>
    <w:rsid w:val="004E6AA2"/>
    <w:rsid w:val="004E6BF4"/>
    <w:rsid w:val="004E731D"/>
    <w:rsid w:val="004E745B"/>
    <w:rsid w:val="004E75AA"/>
    <w:rsid w:val="004E7ABA"/>
    <w:rsid w:val="004E7C0B"/>
    <w:rsid w:val="004E7CDA"/>
    <w:rsid w:val="004E7F34"/>
    <w:rsid w:val="004E7FEE"/>
    <w:rsid w:val="004F036A"/>
    <w:rsid w:val="004F03CD"/>
    <w:rsid w:val="004F083E"/>
    <w:rsid w:val="004F0BFF"/>
    <w:rsid w:val="004F0FC7"/>
    <w:rsid w:val="004F1090"/>
    <w:rsid w:val="004F1243"/>
    <w:rsid w:val="004F1329"/>
    <w:rsid w:val="004F1742"/>
    <w:rsid w:val="004F1B9A"/>
    <w:rsid w:val="004F1BA2"/>
    <w:rsid w:val="004F1F7F"/>
    <w:rsid w:val="004F210E"/>
    <w:rsid w:val="004F2793"/>
    <w:rsid w:val="004F3232"/>
    <w:rsid w:val="004F3259"/>
    <w:rsid w:val="004F35AF"/>
    <w:rsid w:val="004F3D17"/>
    <w:rsid w:val="004F3D53"/>
    <w:rsid w:val="004F3DEC"/>
    <w:rsid w:val="004F4176"/>
    <w:rsid w:val="004F42B3"/>
    <w:rsid w:val="004F442E"/>
    <w:rsid w:val="004F443A"/>
    <w:rsid w:val="004F4443"/>
    <w:rsid w:val="004F4597"/>
    <w:rsid w:val="004F4675"/>
    <w:rsid w:val="004F48B3"/>
    <w:rsid w:val="004F4901"/>
    <w:rsid w:val="004F4AFD"/>
    <w:rsid w:val="004F4D63"/>
    <w:rsid w:val="004F4D7D"/>
    <w:rsid w:val="004F4DCA"/>
    <w:rsid w:val="004F4DDA"/>
    <w:rsid w:val="004F508E"/>
    <w:rsid w:val="004F529E"/>
    <w:rsid w:val="004F5606"/>
    <w:rsid w:val="004F5B1A"/>
    <w:rsid w:val="004F5BC3"/>
    <w:rsid w:val="004F5D6A"/>
    <w:rsid w:val="004F66C7"/>
    <w:rsid w:val="004F6869"/>
    <w:rsid w:val="004F6883"/>
    <w:rsid w:val="004F6B78"/>
    <w:rsid w:val="004F6D6D"/>
    <w:rsid w:val="004F6F74"/>
    <w:rsid w:val="004F7298"/>
    <w:rsid w:val="004F766A"/>
    <w:rsid w:val="004F7C97"/>
    <w:rsid w:val="004F7D75"/>
    <w:rsid w:val="005000BF"/>
    <w:rsid w:val="00500368"/>
    <w:rsid w:val="005003E8"/>
    <w:rsid w:val="00500449"/>
    <w:rsid w:val="00500584"/>
    <w:rsid w:val="00500A63"/>
    <w:rsid w:val="00500DFE"/>
    <w:rsid w:val="00501035"/>
    <w:rsid w:val="00501218"/>
    <w:rsid w:val="0050147F"/>
    <w:rsid w:val="005015C7"/>
    <w:rsid w:val="005019C8"/>
    <w:rsid w:val="00501A09"/>
    <w:rsid w:val="00501C4A"/>
    <w:rsid w:val="00501C9F"/>
    <w:rsid w:val="00501E2A"/>
    <w:rsid w:val="00501F7A"/>
    <w:rsid w:val="00502108"/>
    <w:rsid w:val="005025BE"/>
    <w:rsid w:val="005026F6"/>
    <w:rsid w:val="00503877"/>
    <w:rsid w:val="00503A3C"/>
    <w:rsid w:val="00503C5C"/>
    <w:rsid w:val="005046C2"/>
    <w:rsid w:val="0050477C"/>
    <w:rsid w:val="00504C2F"/>
    <w:rsid w:val="0050522A"/>
    <w:rsid w:val="005053AD"/>
    <w:rsid w:val="005056EB"/>
    <w:rsid w:val="0050594B"/>
    <w:rsid w:val="00505959"/>
    <w:rsid w:val="00505D87"/>
    <w:rsid w:val="00506026"/>
    <w:rsid w:val="00506536"/>
    <w:rsid w:val="00506643"/>
    <w:rsid w:val="00506D6B"/>
    <w:rsid w:val="00506DE8"/>
    <w:rsid w:val="00507042"/>
    <w:rsid w:val="00507048"/>
    <w:rsid w:val="00510955"/>
    <w:rsid w:val="00510AAF"/>
    <w:rsid w:val="00510BAA"/>
    <w:rsid w:val="005117CA"/>
    <w:rsid w:val="00511F73"/>
    <w:rsid w:val="00512A5F"/>
    <w:rsid w:val="00512B24"/>
    <w:rsid w:val="00513140"/>
    <w:rsid w:val="00513488"/>
    <w:rsid w:val="005135B4"/>
    <w:rsid w:val="005136C4"/>
    <w:rsid w:val="0051372E"/>
    <w:rsid w:val="00513769"/>
    <w:rsid w:val="00513EEE"/>
    <w:rsid w:val="00513F56"/>
    <w:rsid w:val="005144F7"/>
    <w:rsid w:val="00514937"/>
    <w:rsid w:val="00514A1F"/>
    <w:rsid w:val="00514B8C"/>
    <w:rsid w:val="00514E1A"/>
    <w:rsid w:val="0051523F"/>
    <w:rsid w:val="00515595"/>
    <w:rsid w:val="00515674"/>
    <w:rsid w:val="00515897"/>
    <w:rsid w:val="00515A2C"/>
    <w:rsid w:val="00515ABF"/>
    <w:rsid w:val="00515AE7"/>
    <w:rsid w:val="00515B87"/>
    <w:rsid w:val="00515DC8"/>
    <w:rsid w:val="00515FD3"/>
    <w:rsid w:val="0051630E"/>
    <w:rsid w:val="005163F4"/>
    <w:rsid w:val="0051643B"/>
    <w:rsid w:val="0051651F"/>
    <w:rsid w:val="005165E3"/>
    <w:rsid w:val="005167EA"/>
    <w:rsid w:val="00516EFC"/>
    <w:rsid w:val="005178FA"/>
    <w:rsid w:val="005178FE"/>
    <w:rsid w:val="00517925"/>
    <w:rsid w:val="00517AF9"/>
    <w:rsid w:val="00517C65"/>
    <w:rsid w:val="00517DC6"/>
    <w:rsid w:val="00517DC7"/>
    <w:rsid w:val="00517F50"/>
    <w:rsid w:val="00520343"/>
    <w:rsid w:val="00520353"/>
    <w:rsid w:val="0052056A"/>
    <w:rsid w:val="005211F1"/>
    <w:rsid w:val="00521947"/>
    <w:rsid w:val="00521AF1"/>
    <w:rsid w:val="00521C42"/>
    <w:rsid w:val="00521C93"/>
    <w:rsid w:val="00521CC5"/>
    <w:rsid w:val="00521ED3"/>
    <w:rsid w:val="00521FC0"/>
    <w:rsid w:val="0052206C"/>
    <w:rsid w:val="005220A1"/>
    <w:rsid w:val="005221B2"/>
    <w:rsid w:val="00522380"/>
    <w:rsid w:val="005228B4"/>
    <w:rsid w:val="00522CE0"/>
    <w:rsid w:val="00522EA9"/>
    <w:rsid w:val="00523494"/>
    <w:rsid w:val="00523B91"/>
    <w:rsid w:val="00523EC3"/>
    <w:rsid w:val="00523F8A"/>
    <w:rsid w:val="005242BD"/>
    <w:rsid w:val="00524966"/>
    <w:rsid w:val="00524B9E"/>
    <w:rsid w:val="00524C58"/>
    <w:rsid w:val="005254F1"/>
    <w:rsid w:val="005257A1"/>
    <w:rsid w:val="0052594F"/>
    <w:rsid w:val="00525A7B"/>
    <w:rsid w:val="00526146"/>
    <w:rsid w:val="005261B2"/>
    <w:rsid w:val="005263C0"/>
    <w:rsid w:val="005268C4"/>
    <w:rsid w:val="00526D14"/>
    <w:rsid w:val="00526D15"/>
    <w:rsid w:val="00526D78"/>
    <w:rsid w:val="005274BA"/>
    <w:rsid w:val="00527992"/>
    <w:rsid w:val="00527AB8"/>
    <w:rsid w:val="00527C2F"/>
    <w:rsid w:val="00530387"/>
    <w:rsid w:val="005309BA"/>
    <w:rsid w:val="00530A08"/>
    <w:rsid w:val="00530A5D"/>
    <w:rsid w:val="00530CD7"/>
    <w:rsid w:val="005312EF"/>
    <w:rsid w:val="00531388"/>
    <w:rsid w:val="00531423"/>
    <w:rsid w:val="00531696"/>
    <w:rsid w:val="005318D1"/>
    <w:rsid w:val="00531967"/>
    <w:rsid w:val="0053253E"/>
    <w:rsid w:val="00532602"/>
    <w:rsid w:val="00532A34"/>
    <w:rsid w:val="00532B47"/>
    <w:rsid w:val="00533023"/>
    <w:rsid w:val="005333B9"/>
    <w:rsid w:val="00533601"/>
    <w:rsid w:val="0053361A"/>
    <w:rsid w:val="005338A0"/>
    <w:rsid w:val="0053397D"/>
    <w:rsid w:val="00534193"/>
    <w:rsid w:val="0053452C"/>
    <w:rsid w:val="005348AE"/>
    <w:rsid w:val="005348C0"/>
    <w:rsid w:val="00534FB7"/>
    <w:rsid w:val="00534FBF"/>
    <w:rsid w:val="005351FE"/>
    <w:rsid w:val="005354F5"/>
    <w:rsid w:val="0053570A"/>
    <w:rsid w:val="00535EEE"/>
    <w:rsid w:val="00536745"/>
    <w:rsid w:val="005369CC"/>
    <w:rsid w:val="00536A02"/>
    <w:rsid w:val="00536A05"/>
    <w:rsid w:val="00536ACC"/>
    <w:rsid w:val="00536CEF"/>
    <w:rsid w:val="00536DEC"/>
    <w:rsid w:val="005377F2"/>
    <w:rsid w:val="00537874"/>
    <w:rsid w:val="00537936"/>
    <w:rsid w:val="005379AB"/>
    <w:rsid w:val="00537A9F"/>
    <w:rsid w:val="0054092C"/>
    <w:rsid w:val="005409CC"/>
    <w:rsid w:val="00540BFF"/>
    <w:rsid w:val="00540EC2"/>
    <w:rsid w:val="00541725"/>
    <w:rsid w:val="0054177E"/>
    <w:rsid w:val="005425EF"/>
    <w:rsid w:val="00542995"/>
    <w:rsid w:val="00542B7C"/>
    <w:rsid w:val="00543112"/>
    <w:rsid w:val="0054339E"/>
    <w:rsid w:val="00543510"/>
    <w:rsid w:val="00543766"/>
    <w:rsid w:val="00543A9B"/>
    <w:rsid w:val="00543D1C"/>
    <w:rsid w:val="00543FFD"/>
    <w:rsid w:val="0054407C"/>
    <w:rsid w:val="0054417C"/>
    <w:rsid w:val="0054472A"/>
    <w:rsid w:val="00544814"/>
    <w:rsid w:val="0054494F"/>
    <w:rsid w:val="00544AB0"/>
    <w:rsid w:val="00544B9B"/>
    <w:rsid w:val="00544C5E"/>
    <w:rsid w:val="00544F31"/>
    <w:rsid w:val="00544F33"/>
    <w:rsid w:val="005450AB"/>
    <w:rsid w:val="0054520E"/>
    <w:rsid w:val="00545857"/>
    <w:rsid w:val="005459CC"/>
    <w:rsid w:val="00545D03"/>
    <w:rsid w:val="00545ECF"/>
    <w:rsid w:val="0054612C"/>
    <w:rsid w:val="005465D4"/>
    <w:rsid w:val="00546B04"/>
    <w:rsid w:val="00546BC3"/>
    <w:rsid w:val="00546C90"/>
    <w:rsid w:val="00546CC1"/>
    <w:rsid w:val="00547012"/>
    <w:rsid w:val="005475B2"/>
    <w:rsid w:val="00547810"/>
    <w:rsid w:val="00547871"/>
    <w:rsid w:val="00547A54"/>
    <w:rsid w:val="00547E76"/>
    <w:rsid w:val="00547F8A"/>
    <w:rsid w:val="005502B1"/>
    <w:rsid w:val="00550674"/>
    <w:rsid w:val="005509F2"/>
    <w:rsid w:val="00550A7E"/>
    <w:rsid w:val="00550AE6"/>
    <w:rsid w:val="00550BA5"/>
    <w:rsid w:val="0055111F"/>
    <w:rsid w:val="00551171"/>
    <w:rsid w:val="0055131A"/>
    <w:rsid w:val="005517ED"/>
    <w:rsid w:val="00551AE8"/>
    <w:rsid w:val="00552211"/>
    <w:rsid w:val="005522E5"/>
    <w:rsid w:val="00552FBC"/>
    <w:rsid w:val="0055314C"/>
    <w:rsid w:val="00553956"/>
    <w:rsid w:val="00554770"/>
    <w:rsid w:val="00554F69"/>
    <w:rsid w:val="00555223"/>
    <w:rsid w:val="00555310"/>
    <w:rsid w:val="0055535E"/>
    <w:rsid w:val="00555590"/>
    <w:rsid w:val="00555715"/>
    <w:rsid w:val="005557FE"/>
    <w:rsid w:val="00555958"/>
    <w:rsid w:val="00555B4B"/>
    <w:rsid w:val="00555F11"/>
    <w:rsid w:val="00556013"/>
    <w:rsid w:val="00556292"/>
    <w:rsid w:val="00556385"/>
    <w:rsid w:val="005563BF"/>
    <w:rsid w:val="00556974"/>
    <w:rsid w:val="00556A35"/>
    <w:rsid w:val="00556A6A"/>
    <w:rsid w:val="00556BB5"/>
    <w:rsid w:val="00556F49"/>
    <w:rsid w:val="00556FE2"/>
    <w:rsid w:val="0055705A"/>
    <w:rsid w:val="00557649"/>
    <w:rsid w:val="00557801"/>
    <w:rsid w:val="00557808"/>
    <w:rsid w:val="00557B1C"/>
    <w:rsid w:val="00557BCF"/>
    <w:rsid w:val="00557DDE"/>
    <w:rsid w:val="00557E81"/>
    <w:rsid w:val="00560539"/>
    <w:rsid w:val="00560DC7"/>
    <w:rsid w:val="005612FA"/>
    <w:rsid w:val="00561779"/>
    <w:rsid w:val="00561873"/>
    <w:rsid w:val="00561B06"/>
    <w:rsid w:val="00561CAE"/>
    <w:rsid w:val="0056232F"/>
    <w:rsid w:val="00562D85"/>
    <w:rsid w:val="00562EAF"/>
    <w:rsid w:val="00562F73"/>
    <w:rsid w:val="0056316A"/>
    <w:rsid w:val="005631EF"/>
    <w:rsid w:val="00563219"/>
    <w:rsid w:val="00563280"/>
    <w:rsid w:val="0056335D"/>
    <w:rsid w:val="005634F8"/>
    <w:rsid w:val="0056358A"/>
    <w:rsid w:val="00563809"/>
    <w:rsid w:val="0056391F"/>
    <w:rsid w:val="00563A61"/>
    <w:rsid w:val="00563CFF"/>
    <w:rsid w:val="00563EAC"/>
    <w:rsid w:val="00564083"/>
    <w:rsid w:val="00565321"/>
    <w:rsid w:val="0056544E"/>
    <w:rsid w:val="00565528"/>
    <w:rsid w:val="00565657"/>
    <w:rsid w:val="00565917"/>
    <w:rsid w:val="00565934"/>
    <w:rsid w:val="00565A74"/>
    <w:rsid w:val="00565C4C"/>
    <w:rsid w:val="00566073"/>
    <w:rsid w:val="005668B0"/>
    <w:rsid w:val="00566A43"/>
    <w:rsid w:val="0056757C"/>
    <w:rsid w:val="00567798"/>
    <w:rsid w:val="005678B2"/>
    <w:rsid w:val="0056791D"/>
    <w:rsid w:val="00567938"/>
    <w:rsid w:val="00567AAF"/>
    <w:rsid w:val="005705BD"/>
    <w:rsid w:val="005707D1"/>
    <w:rsid w:val="00570AFA"/>
    <w:rsid w:val="005716BF"/>
    <w:rsid w:val="005719FA"/>
    <w:rsid w:val="00571A2E"/>
    <w:rsid w:val="0057229D"/>
    <w:rsid w:val="00572930"/>
    <w:rsid w:val="00572B1B"/>
    <w:rsid w:val="00572BBA"/>
    <w:rsid w:val="00572DD2"/>
    <w:rsid w:val="00572EC4"/>
    <w:rsid w:val="005734A1"/>
    <w:rsid w:val="005742BA"/>
    <w:rsid w:val="00574A5D"/>
    <w:rsid w:val="00574C33"/>
    <w:rsid w:val="00574FF2"/>
    <w:rsid w:val="0057510B"/>
    <w:rsid w:val="005751E2"/>
    <w:rsid w:val="005752A7"/>
    <w:rsid w:val="00575654"/>
    <w:rsid w:val="0057570F"/>
    <w:rsid w:val="00575854"/>
    <w:rsid w:val="005758C6"/>
    <w:rsid w:val="00575E35"/>
    <w:rsid w:val="00575EB6"/>
    <w:rsid w:val="00575EF4"/>
    <w:rsid w:val="00576046"/>
    <w:rsid w:val="005764F0"/>
    <w:rsid w:val="005765DE"/>
    <w:rsid w:val="00577038"/>
    <w:rsid w:val="00577235"/>
    <w:rsid w:val="00577690"/>
    <w:rsid w:val="005779CD"/>
    <w:rsid w:val="00577BE5"/>
    <w:rsid w:val="00577FCF"/>
    <w:rsid w:val="0058012D"/>
    <w:rsid w:val="00580BE8"/>
    <w:rsid w:val="00580E26"/>
    <w:rsid w:val="00580F36"/>
    <w:rsid w:val="005817BD"/>
    <w:rsid w:val="00581A8E"/>
    <w:rsid w:val="0058211D"/>
    <w:rsid w:val="0058225B"/>
    <w:rsid w:val="00582751"/>
    <w:rsid w:val="005827DA"/>
    <w:rsid w:val="00582A68"/>
    <w:rsid w:val="00582AEF"/>
    <w:rsid w:val="00582B40"/>
    <w:rsid w:val="00582BEE"/>
    <w:rsid w:val="00583293"/>
    <w:rsid w:val="00583507"/>
    <w:rsid w:val="00583607"/>
    <w:rsid w:val="00583853"/>
    <w:rsid w:val="00583D17"/>
    <w:rsid w:val="005842C5"/>
    <w:rsid w:val="0058464B"/>
    <w:rsid w:val="0058472D"/>
    <w:rsid w:val="00584951"/>
    <w:rsid w:val="0058499E"/>
    <w:rsid w:val="00584E43"/>
    <w:rsid w:val="00584FDC"/>
    <w:rsid w:val="00584FEE"/>
    <w:rsid w:val="0058500F"/>
    <w:rsid w:val="005850E3"/>
    <w:rsid w:val="005857BD"/>
    <w:rsid w:val="0058587C"/>
    <w:rsid w:val="00585F27"/>
    <w:rsid w:val="00586625"/>
    <w:rsid w:val="00586FD4"/>
    <w:rsid w:val="0058745E"/>
    <w:rsid w:val="005874EB"/>
    <w:rsid w:val="005874F3"/>
    <w:rsid w:val="00587712"/>
    <w:rsid w:val="0058798A"/>
    <w:rsid w:val="00587CE8"/>
    <w:rsid w:val="00587F91"/>
    <w:rsid w:val="00590401"/>
    <w:rsid w:val="00590683"/>
    <w:rsid w:val="00590C6F"/>
    <w:rsid w:val="00590D14"/>
    <w:rsid w:val="00590F1F"/>
    <w:rsid w:val="00590F5B"/>
    <w:rsid w:val="00590FD3"/>
    <w:rsid w:val="005911BF"/>
    <w:rsid w:val="00591268"/>
    <w:rsid w:val="005915F8"/>
    <w:rsid w:val="005918C4"/>
    <w:rsid w:val="00591956"/>
    <w:rsid w:val="0059212C"/>
    <w:rsid w:val="005921F9"/>
    <w:rsid w:val="0059233D"/>
    <w:rsid w:val="0059244B"/>
    <w:rsid w:val="00592594"/>
    <w:rsid w:val="00592645"/>
    <w:rsid w:val="0059265D"/>
    <w:rsid w:val="005927B3"/>
    <w:rsid w:val="00592FCA"/>
    <w:rsid w:val="005931BC"/>
    <w:rsid w:val="0059327C"/>
    <w:rsid w:val="005934F7"/>
    <w:rsid w:val="00593589"/>
    <w:rsid w:val="00593B4E"/>
    <w:rsid w:val="00593CBB"/>
    <w:rsid w:val="00593E5E"/>
    <w:rsid w:val="0059435E"/>
    <w:rsid w:val="0059437D"/>
    <w:rsid w:val="0059443F"/>
    <w:rsid w:val="00594456"/>
    <w:rsid w:val="00594733"/>
    <w:rsid w:val="0059492C"/>
    <w:rsid w:val="00594B1C"/>
    <w:rsid w:val="0059514D"/>
    <w:rsid w:val="005959C7"/>
    <w:rsid w:val="00595E2C"/>
    <w:rsid w:val="0059676C"/>
    <w:rsid w:val="00596871"/>
    <w:rsid w:val="00596D08"/>
    <w:rsid w:val="00597148"/>
    <w:rsid w:val="00597A41"/>
    <w:rsid w:val="00597CA5"/>
    <w:rsid w:val="00597D23"/>
    <w:rsid w:val="00597ED9"/>
    <w:rsid w:val="00597F77"/>
    <w:rsid w:val="005A01CC"/>
    <w:rsid w:val="005A01DB"/>
    <w:rsid w:val="005A049C"/>
    <w:rsid w:val="005A08F1"/>
    <w:rsid w:val="005A0A7C"/>
    <w:rsid w:val="005A10AD"/>
    <w:rsid w:val="005A15EA"/>
    <w:rsid w:val="005A1726"/>
    <w:rsid w:val="005A1D7E"/>
    <w:rsid w:val="005A1E33"/>
    <w:rsid w:val="005A1F60"/>
    <w:rsid w:val="005A1FE6"/>
    <w:rsid w:val="005A20D8"/>
    <w:rsid w:val="005A25DB"/>
    <w:rsid w:val="005A2697"/>
    <w:rsid w:val="005A2C45"/>
    <w:rsid w:val="005A2D60"/>
    <w:rsid w:val="005A2DE2"/>
    <w:rsid w:val="005A308A"/>
    <w:rsid w:val="005A3412"/>
    <w:rsid w:val="005A349F"/>
    <w:rsid w:val="005A35B9"/>
    <w:rsid w:val="005A3E17"/>
    <w:rsid w:val="005A4480"/>
    <w:rsid w:val="005A4AE5"/>
    <w:rsid w:val="005A4C30"/>
    <w:rsid w:val="005A4C47"/>
    <w:rsid w:val="005A4CD1"/>
    <w:rsid w:val="005A5068"/>
    <w:rsid w:val="005A506B"/>
    <w:rsid w:val="005A5307"/>
    <w:rsid w:val="005A5A52"/>
    <w:rsid w:val="005A5C0F"/>
    <w:rsid w:val="005A5CDF"/>
    <w:rsid w:val="005A5CFB"/>
    <w:rsid w:val="005A658E"/>
    <w:rsid w:val="005A6A34"/>
    <w:rsid w:val="005A6F75"/>
    <w:rsid w:val="005A6FDD"/>
    <w:rsid w:val="005A708A"/>
    <w:rsid w:val="005A70DA"/>
    <w:rsid w:val="005A7458"/>
    <w:rsid w:val="005A7501"/>
    <w:rsid w:val="005A7838"/>
    <w:rsid w:val="005A7846"/>
    <w:rsid w:val="005A7990"/>
    <w:rsid w:val="005A7B14"/>
    <w:rsid w:val="005A7D19"/>
    <w:rsid w:val="005A7E4E"/>
    <w:rsid w:val="005A7F49"/>
    <w:rsid w:val="005A7F86"/>
    <w:rsid w:val="005B099E"/>
    <w:rsid w:val="005B0BAF"/>
    <w:rsid w:val="005B0C09"/>
    <w:rsid w:val="005B0FE4"/>
    <w:rsid w:val="005B1567"/>
    <w:rsid w:val="005B15FD"/>
    <w:rsid w:val="005B28F9"/>
    <w:rsid w:val="005B2973"/>
    <w:rsid w:val="005B2E23"/>
    <w:rsid w:val="005B3026"/>
    <w:rsid w:val="005B30D4"/>
    <w:rsid w:val="005B318A"/>
    <w:rsid w:val="005B33C8"/>
    <w:rsid w:val="005B3521"/>
    <w:rsid w:val="005B3567"/>
    <w:rsid w:val="005B36E4"/>
    <w:rsid w:val="005B3996"/>
    <w:rsid w:val="005B3EBC"/>
    <w:rsid w:val="005B3F3D"/>
    <w:rsid w:val="005B433D"/>
    <w:rsid w:val="005B47D8"/>
    <w:rsid w:val="005B48ED"/>
    <w:rsid w:val="005B499A"/>
    <w:rsid w:val="005B4DA1"/>
    <w:rsid w:val="005B4EBC"/>
    <w:rsid w:val="005B503F"/>
    <w:rsid w:val="005B546A"/>
    <w:rsid w:val="005B54A1"/>
    <w:rsid w:val="005B54EF"/>
    <w:rsid w:val="005B5522"/>
    <w:rsid w:val="005B555E"/>
    <w:rsid w:val="005B559B"/>
    <w:rsid w:val="005B55F4"/>
    <w:rsid w:val="005B5D36"/>
    <w:rsid w:val="005B62B0"/>
    <w:rsid w:val="005B6773"/>
    <w:rsid w:val="005B6914"/>
    <w:rsid w:val="005B6A22"/>
    <w:rsid w:val="005B6BFE"/>
    <w:rsid w:val="005B6DF5"/>
    <w:rsid w:val="005B6ED5"/>
    <w:rsid w:val="005B710C"/>
    <w:rsid w:val="005B73ED"/>
    <w:rsid w:val="005B7943"/>
    <w:rsid w:val="005B797C"/>
    <w:rsid w:val="005B7F92"/>
    <w:rsid w:val="005C018F"/>
    <w:rsid w:val="005C0359"/>
    <w:rsid w:val="005C0722"/>
    <w:rsid w:val="005C09E1"/>
    <w:rsid w:val="005C0FE2"/>
    <w:rsid w:val="005C1055"/>
    <w:rsid w:val="005C13E8"/>
    <w:rsid w:val="005C15F5"/>
    <w:rsid w:val="005C1738"/>
    <w:rsid w:val="005C17B3"/>
    <w:rsid w:val="005C1C42"/>
    <w:rsid w:val="005C1CE5"/>
    <w:rsid w:val="005C1F60"/>
    <w:rsid w:val="005C206E"/>
    <w:rsid w:val="005C28A7"/>
    <w:rsid w:val="005C2D15"/>
    <w:rsid w:val="005C33EF"/>
    <w:rsid w:val="005C3578"/>
    <w:rsid w:val="005C3C96"/>
    <w:rsid w:val="005C3D13"/>
    <w:rsid w:val="005C3FDA"/>
    <w:rsid w:val="005C46BE"/>
    <w:rsid w:val="005C47A7"/>
    <w:rsid w:val="005C4878"/>
    <w:rsid w:val="005C4FD2"/>
    <w:rsid w:val="005C5214"/>
    <w:rsid w:val="005C55F5"/>
    <w:rsid w:val="005C58E7"/>
    <w:rsid w:val="005C5916"/>
    <w:rsid w:val="005C5F11"/>
    <w:rsid w:val="005C64BC"/>
    <w:rsid w:val="005C64C2"/>
    <w:rsid w:val="005C64C6"/>
    <w:rsid w:val="005C650D"/>
    <w:rsid w:val="005C66DF"/>
    <w:rsid w:val="005C6748"/>
    <w:rsid w:val="005C6B9D"/>
    <w:rsid w:val="005C6C83"/>
    <w:rsid w:val="005C6F18"/>
    <w:rsid w:val="005C7B21"/>
    <w:rsid w:val="005C7F4E"/>
    <w:rsid w:val="005C7FFB"/>
    <w:rsid w:val="005D0023"/>
    <w:rsid w:val="005D058B"/>
    <w:rsid w:val="005D0949"/>
    <w:rsid w:val="005D0D09"/>
    <w:rsid w:val="005D0F81"/>
    <w:rsid w:val="005D18A2"/>
    <w:rsid w:val="005D1E77"/>
    <w:rsid w:val="005D21A9"/>
    <w:rsid w:val="005D23BA"/>
    <w:rsid w:val="005D255B"/>
    <w:rsid w:val="005D27DF"/>
    <w:rsid w:val="005D2872"/>
    <w:rsid w:val="005D2882"/>
    <w:rsid w:val="005D2FB3"/>
    <w:rsid w:val="005D2FCD"/>
    <w:rsid w:val="005D3179"/>
    <w:rsid w:val="005D3472"/>
    <w:rsid w:val="005D3590"/>
    <w:rsid w:val="005D3604"/>
    <w:rsid w:val="005D39BF"/>
    <w:rsid w:val="005D3C32"/>
    <w:rsid w:val="005D4109"/>
    <w:rsid w:val="005D4397"/>
    <w:rsid w:val="005D4565"/>
    <w:rsid w:val="005D45C9"/>
    <w:rsid w:val="005D495D"/>
    <w:rsid w:val="005D4B8B"/>
    <w:rsid w:val="005D4BD0"/>
    <w:rsid w:val="005D4E16"/>
    <w:rsid w:val="005D4E27"/>
    <w:rsid w:val="005D590E"/>
    <w:rsid w:val="005D5A1F"/>
    <w:rsid w:val="005D5A9E"/>
    <w:rsid w:val="005D5B17"/>
    <w:rsid w:val="005D5B97"/>
    <w:rsid w:val="005D6247"/>
    <w:rsid w:val="005D6718"/>
    <w:rsid w:val="005D6723"/>
    <w:rsid w:val="005D6743"/>
    <w:rsid w:val="005D689F"/>
    <w:rsid w:val="005D6E39"/>
    <w:rsid w:val="005D7755"/>
    <w:rsid w:val="005D7863"/>
    <w:rsid w:val="005D7D82"/>
    <w:rsid w:val="005E0449"/>
    <w:rsid w:val="005E06F1"/>
    <w:rsid w:val="005E0AE8"/>
    <w:rsid w:val="005E0C3C"/>
    <w:rsid w:val="005E1272"/>
    <w:rsid w:val="005E159F"/>
    <w:rsid w:val="005E15FD"/>
    <w:rsid w:val="005E2A89"/>
    <w:rsid w:val="005E2D26"/>
    <w:rsid w:val="005E2D86"/>
    <w:rsid w:val="005E3017"/>
    <w:rsid w:val="005E34D9"/>
    <w:rsid w:val="005E378C"/>
    <w:rsid w:val="005E3A8E"/>
    <w:rsid w:val="005E4525"/>
    <w:rsid w:val="005E47D1"/>
    <w:rsid w:val="005E48BF"/>
    <w:rsid w:val="005E4A03"/>
    <w:rsid w:val="005E4D70"/>
    <w:rsid w:val="005E4E36"/>
    <w:rsid w:val="005E4E6E"/>
    <w:rsid w:val="005E4EB0"/>
    <w:rsid w:val="005E4FBC"/>
    <w:rsid w:val="005E521C"/>
    <w:rsid w:val="005E5744"/>
    <w:rsid w:val="005E584F"/>
    <w:rsid w:val="005E5948"/>
    <w:rsid w:val="005E5DDC"/>
    <w:rsid w:val="005E5E2D"/>
    <w:rsid w:val="005E618C"/>
    <w:rsid w:val="005E6288"/>
    <w:rsid w:val="005E6428"/>
    <w:rsid w:val="005E6505"/>
    <w:rsid w:val="005E6DDE"/>
    <w:rsid w:val="005E6DE7"/>
    <w:rsid w:val="005E6F54"/>
    <w:rsid w:val="005E70FE"/>
    <w:rsid w:val="005E7180"/>
    <w:rsid w:val="005E76DF"/>
    <w:rsid w:val="005E78A7"/>
    <w:rsid w:val="005E7B72"/>
    <w:rsid w:val="005E7D0C"/>
    <w:rsid w:val="005E7D64"/>
    <w:rsid w:val="005F008A"/>
    <w:rsid w:val="005F0102"/>
    <w:rsid w:val="005F023D"/>
    <w:rsid w:val="005F02A5"/>
    <w:rsid w:val="005F03FC"/>
    <w:rsid w:val="005F0481"/>
    <w:rsid w:val="005F0756"/>
    <w:rsid w:val="005F0806"/>
    <w:rsid w:val="005F092B"/>
    <w:rsid w:val="005F0D49"/>
    <w:rsid w:val="005F0DDA"/>
    <w:rsid w:val="005F0EB9"/>
    <w:rsid w:val="005F0F2B"/>
    <w:rsid w:val="005F12E6"/>
    <w:rsid w:val="005F150E"/>
    <w:rsid w:val="005F154A"/>
    <w:rsid w:val="005F160B"/>
    <w:rsid w:val="005F1BAD"/>
    <w:rsid w:val="005F2064"/>
    <w:rsid w:val="005F2321"/>
    <w:rsid w:val="005F2717"/>
    <w:rsid w:val="005F2743"/>
    <w:rsid w:val="005F2B38"/>
    <w:rsid w:val="005F2FB3"/>
    <w:rsid w:val="005F351B"/>
    <w:rsid w:val="005F3648"/>
    <w:rsid w:val="005F3DFA"/>
    <w:rsid w:val="005F4170"/>
    <w:rsid w:val="005F41FB"/>
    <w:rsid w:val="005F4254"/>
    <w:rsid w:val="005F462F"/>
    <w:rsid w:val="005F4657"/>
    <w:rsid w:val="005F4732"/>
    <w:rsid w:val="005F4894"/>
    <w:rsid w:val="005F4AE9"/>
    <w:rsid w:val="005F4CE5"/>
    <w:rsid w:val="005F5A47"/>
    <w:rsid w:val="005F5C30"/>
    <w:rsid w:val="005F5FAD"/>
    <w:rsid w:val="005F60C6"/>
    <w:rsid w:val="005F6146"/>
    <w:rsid w:val="005F63F0"/>
    <w:rsid w:val="005F642C"/>
    <w:rsid w:val="005F6CA3"/>
    <w:rsid w:val="005F6DFD"/>
    <w:rsid w:val="005F6EB7"/>
    <w:rsid w:val="005F6F88"/>
    <w:rsid w:val="005F76C0"/>
    <w:rsid w:val="005F7A2B"/>
    <w:rsid w:val="005F7A3E"/>
    <w:rsid w:val="005F7C74"/>
    <w:rsid w:val="005F7DEB"/>
    <w:rsid w:val="006001FA"/>
    <w:rsid w:val="00600520"/>
    <w:rsid w:val="0060065F"/>
    <w:rsid w:val="006006F3"/>
    <w:rsid w:val="0060085D"/>
    <w:rsid w:val="00600C5F"/>
    <w:rsid w:val="00600DF9"/>
    <w:rsid w:val="006011FD"/>
    <w:rsid w:val="00601226"/>
    <w:rsid w:val="006018AB"/>
    <w:rsid w:val="006019C5"/>
    <w:rsid w:val="00601A62"/>
    <w:rsid w:val="00601A68"/>
    <w:rsid w:val="006021B4"/>
    <w:rsid w:val="00602451"/>
    <w:rsid w:val="00602566"/>
    <w:rsid w:val="00602615"/>
    <w:rsid w:val="006026DC"/>
    <w:rsid w:val="006028D4"/>
    <w:rsid w:val="00602EE8"/>
    <w:rsid w:val="00602F13"/>
    <w:rsid w:val="00603CE3"/>
    <w:rsid w:val="00604266"/>
    <w:rsid w:val="006042D3"/>
    <w:rsid w:val="006043BA"/>
    <w:rsid w:val="006043E0"/>
    <w:rsid w:val="006044F0"/>
    <w:rsid w:val="00604565"/>
    <w:rsid w:val="006046ED"/>
    <w:rsid w:val="00604924"/>
    <w:rsid w:val="00605244"/>
    <w:rsid w:val="00605C64"/>
    <w:rsid w:val="00605D10"/>
    <w:rsid w:val="0060604A"/>
    <w:rsid w:val="00606100"/>
    <w:rsid w:val="00606363"/>
    <w:rsid w:val="0060677C"/>
    <w:rsid w:val="00606B77"/>
    <w:rsid w:val="00606C1A"/>
    <w:rsid w:val="00606F45"/>
    <w:rsid w:val="00607137"/>
    <w:rsid w:val="00607181"/>
    <w:rsid w:val="00607708"/>
    <w:rsid w:val="00610193"/>
    <w:rsid w:val="006103D5"/>
    <w:rsid w:val="0061049A"/>
    <w:rsid w:val="00610565"/>
    <w:rsid w:val="006105FA"/>
    <w:rsid w:val="00610631"/>
    <w:rsid w:val="00610710"/>
    <w:rsid w:val="00610B5F"/>
    <w:rsid w:val="00610BA1"/>
    <w:rsid w:val="00610CD1"/>
    <w:rsid w:val="00610E72"/>
    <w:rsid w:val="006116A9"/>
    <w:rsid w:val="006117A8"/>
    <w:rsid w:val="006118FD"/>
    <w:rsid w:val="00611A4C"/>
    <w:rsid w:val="00611B16"/>
    <w:rsid w:val="00611F8A"/>
    <w:rsid w:val="00612066"/>
    <w:rsid w:val="006120B8"/>
    <w:rsid w:val="00612378"/>
    <w:rsid w:val="00612396"/>
    <w:rsid w:val="0061295B"/>
    <w:rsid w:val="00612B53"/>
    <w:rsid w:val="00613124"/>
    <w:rsid w:val="0061319D"/>
    <w:rsid w:val="00613505"/>
    <w:rsid w:val="0061395D"/>
    <w:rsid w:val="006139FF"/>
    <w:rsid w:val="0061407A"/>
    <w:rsid w:val="00614780"/>
    <w:rsid w:val="00614BD1"/>
    <w:rsid w:val="00614CD2"/>
    <w:rsid w:val="006152AE"/>
    <w:rsid w:val="0061545D"/>
    <w:rsid w:val="0061556F"/>
    <w:rsid w:val="00616811"/>
    <w:rsid w:val="00616A32"/>
    <w:rsid w:val="00616AFF"/>
    <w:rsid w:val="00616F41"/>
    <w:rsid w:val="00616FE7"/>
    <w:rsid w:val="006172F2"/>
    <w:rsid w:val="00617386"/>
    <w:rsid w:val="0061741B"/>
    <w:rsid w:val="006203CB"/>
    <w:rsid w:val="0062052C"/>
    <w:rsid w:val="00620D6B"/>
    <w:rsid w:val="006210B8"/>
    <w:rsid w:val="006213DB"/>
    <w:rsid w:val="00621699"/>
    <w:rsid w:val="00621732"/>
    <w:rsid w:val="00621A92"/>
    <w:rsid w:val="00621ABE"/>
    <w:rsid w:val="00622062"/>
    <w:rsid w:val="006229BA"/>
    <w:rsid w:val="006238BE"/>
    <w:rsid w:val="00623979"/>
    <w:rsid w:val="006247A3"/>
    <w:rsid w:val="006247F4"/>
    <w:rsid w:val="00624CD2"/>
    <w:rsid w:val="00624DDA"/>
    <w:rsid w:val="00624E4D"/>
    <w:rsid w:val="006251BB"/>
    <w:rsid w:val="0062527A"/>
    <w:rsid w:val="0062552E"/>
    <w:rsid w:val="00625589"/>
    <w:rsid w:val="006255E0"/>
    <w:rsid w:val="006257DB"/>
    <w:rsid w:val="00625851"/>
    <w:rsid w:val="00625D6D"/>
    <w:rsid w:val="00626212"/>
    <w:rsid w:val="00626517"/>
    <w:rsid w:val="00626526"/>
    <w:rsid w:val="00626775"/>
    <w:rsid w:val="006268E0"/>
    <w:rsid w:val="00626B06"/>
    <w:rsid w:val="00626CD2"/>
    <w:rsid w:val="00626D10"/>
    <w:rsid w:val="00626EBE"/>
    <w:rsid w:val="00626F51"/>
    <w:rsid w:val="00627099"/>
    <w:rsid w:val="006272F9"/>
    <w:rsid w:val="00627774"/>
    <w:rsid w:val="00627A7D"/>
    <w:rsid w:val="00627B85"/>
    <w:rsid w:val="00627F0A"/>
    <w:rsid w:val="0063010D"/>
    <w:rsid w:val="00630726"/>
    <w:rsid w:val="0063099E"/>
    <w:rsid w:val="006309ED"/>
    <w:rsid w:val="00630E80"/>
    <w:rsid w:val="00630EDD"/>
    <w:rsid w:val="006310AA"/>
    <w:rsid w:val="00631BA9"/>
    <w:rsid w:val="00631D54"/>
    <w:rsid w:val="00632486"/>
    <w:rsid w:val="00632680"/>
    <w:rsid w:val="006328F6"/>
    <w:rsid w:val="0063298A"/>
    <w:rsid w:val="006329C8"/>
    <w:rsid w:val="00632A44"/>
    <w:rsid w:val="00632FBB"/>
    <w:rsid w:val="0063330D"/>
    <w:rsid w:val="006335FF"/>
    <w:rsid w:val="006338D5"/>
    <w:rsid w:val="00633C70"/>
    <w:rsid w:val="00634056"/>
    <w:rsid w:val="00634259"/>
    <w:rsid w:val="00634308"/>
    <w:rsid w:val="0063435A"/>
    <w:rsid w:val="00634512"/>
    <w:rsid w:val="00634687"/>
    <w:rsid w:val="00634EB4"/>
    <w:rsid w:val="0063529E"/>
    <w:rsid w:val="006356AC"/>
    <w:rsid w:val="00635AF5"/>
    <w:rsid w:val="00635B9F"/>
    <w:rsid w:val="00635BA0"/>
    <w:rsid w:val="00636475"/>
    <w:rsid w:val="006364CA"/>
    <w:rsid w:val="00636CAA"/>
    <w:rsid w:val="006376E9"/>
    <w:rsid w:val="00637748"/>
    <w:rsid w:val="00637DFF"/>
    <w:rsid w:val="00637FDD"/>
    <w:rsid w:val="0064044A"/>
    <w:rsid w:val="00640753"/>
    <w:rsid w:val="00640833"/>
    <w:rsid w:val="00640A7D"/>
    <w:rsid w:val="00640C22"/>
    <w:rsid w:val="00641095"/>
    <w:rsid w:val="00641D5D"/>
    <w:rsid w:val="00641DD7"/>
    <w:rsid w:val="00641E06"/>
    <w:rsid w:val="00641EDB"/>
    <w:rsid w:val="00642738"/>
    <w:rsid w:val="00642774"/>
    <w:rsid w:val="0064285A"/>
    <w:rsid w:val="0064299A"/>
    <w:rsid w:val="00642B9A"/>
    <w:rsid w:val="00642D2F"/>
    <w:rsid w:val="0064302E"/>
    <w:rsid w:val="006431CD"/>
    <w:rsid w:val="00643482"/>
    <w:rsid w:val="00643591"/>
    <w:rsid w:val="00643EC7"/>
    <w:rsid w:val="00643EFF"/>
    <w:rsid w:val="0064443E"/>
    <w:rsid w:val="006444D0"/>
    <w:rsid w:val="006445C6"/>
    <w:rsid w:val="006447A2"/>
    <w:rsid w:val="00644E20"/>
    <w:rsid w:val="00644ECD"/>
    <w:rsid w:val="00644F08"/>
    <w:rsid w:val="0064503D"/>
    <w:rsid w:val="00645083"/>
    <w:rsid w:val="00645676"/>
    <w:rsid w:val="00645F90"/>
    <w:rsid w:val="00646093"/>
    <w:rsid w:val="00646220"/>
    <w:rsid w:val="0064636D"/>
    <w:rsid w:val="006463DC"/>
    <w:rsid w:val="00646705"/>
    <w:rsid w:val="0064679C"/>
    <w:rsid w:val="006467FC"/>
    <w:rsid w:val="00646DBC"/>
    <w:rsid w:val="00647378"/>
    <w:rsid w:val="00647533"/>
    <w:rsid w:val="00647654"/>
    <w:rsid w:val="0065073C"/>
    <w:rsid w:val="006507F2"/>
    <w:rsid w:val="00650997"/>
    <w:rsid w:val="00650B03"/>
    <w:rsid w:val="00651442"/>
    <w:rsid w:val="00651481"/>
    <w:rsid w:val="00651905"/>
    <w:rsid w:val="00651AE7"/>
    <w:rsid w:val="00651BB0"/>
    <w:rsid w:val="00651C98"/>
    <w:rsid w:val="0065233D"/>
    <w:rsid w:val="00652544"/>
    <w:rsid w:val="00652AF7"/>
    <w:rsid w:val="00652AFB"/>
    <w:rsid w:val="00652F42"/>
    <w:rsid w:val="006534BF"/>
    <w:rsid w:val="006537FE"/>
    <w:rsid w:val="0065381C"/>
    <w:rsid w:val="00653ABD"/>
    <w:rsid w:val="00653BC6"/>
    <w:rsid w:val="00653BC9"/>
    <w:rsid w:val="00653C06"/>
    <w:rsid w:val="00653E52"/>
    <w:rsid w:val="00653E6E"/>
    <w:rsid w:val="00653F93"/>
    <w:rsid w:val="006546E2"/>
    <w:rsid w:val="00654A6E"/>
    <w:rsid w:val="00654CA2"/>
    <w:rsid w:val="00654D45"/>
    <w:rsid w:val="00654D9D"/>
    <w:rsid w:val="00654F3C"/>
    <w:rsid w:val="006554BC"/>
    <w:rsid w:val="00655607"/>
    <w:rsid w:val="006556AB"/>
    <w:rsid w:val="006556BE"/>
    <w:rsid w:val="006558C4"/>
    <w:rsid w:val="00655963"/>
    <w:rsid w:val="00655A84"/>
    <w:rsid w:val="00655D92"/>
    <w:rsid w:val="00655FD2"/>
    <w:rsid w:val="00656378"/>
    <w:rsid w:val="006564B1"/>
    <w:rsid w:val="00656B55"/>
    <w:rsid w:val="00656BAC"/>
    <w:rsid w:val="00656CE0"/>
    <w:rsid w:val="00656F45"/>
    <w:rsid w:val="0065753D"/>
    <w:rsid w:val="006577DA"/>
    <w:rsid w:val="006578FB"/>
    <w:rsid w:val="00657954"/>
    <w:rsid w:val="0066016B"/>
    <w:rsid w:val="00660194"/>
    <w:rsid w:val="00660803"/>
    <w:rsid w:val="00660C53"/>
    <w:rsid w:val="0066110C"/>
    <w:rsid w:val="00661BBD"/>
    <w:rsid w:val="00661C64"/>
    <w:rsid w:val="006620E7"/>
    <w:rsid w:val="006622A7"/>
    <w:rsid w:val="0066230A"/>
    <w:rsid w:val="0066242A"/>
    <w:rsid w:val="006624EF"/>
    <w:rsid w:val="00662682"/>
    <w:rsid w:val="00662B69"/>
    <w:rsid w:val="00662E1D"/>
    <w:rsid w:val="0066364F"/>
    <w:rsid w:val="006639A4"/>
    <w:rsid w:val="00663FED"/>
    <w:rsid w:val="00663FF1"/>
    <w:rsid w:val="0066404B"/>
    <w:rsid w:val="00664092"/>
    <w:rsid w:val="00664138"/>
    <w:rsid w:val="00664350"/>
    <w:rsid w:val="0066435A"/>
    <w:rsid w:val="0066444F"/>
    <w:rsid w:val="00664721"/>
    <w:rsid w:val="00664B9D"/>
    <w:rsid w:val="00664CD1"/>
    <w:rsid w:val="00664D20"/>
    <w:rsid w:val="00664D8E"/>
    <w:rsid w:val="00664FC1"/>
    <w:rsid w:val="00665208"/>
    <w:rsid w:val="006655D1"/>
    <w:rsid w:val="0066572E"/>
    <w:rsid w:val="006658C3"/>
    <w:rsid w:val="00666125"/>
    <w:rsid w:val="00666139"/>
    <w:rsid w:val="006663A2"/>
    <w:rsid w:val="006665B8"/>
    <w:rsid w:val="006669DB"/>
    <w:rsid w:val="00666E7E"/>
    <w:rsid w:val="006672C0"/>
    <w:rsid w:val="0066736C"/>
    <w:rsid w:val="006675AC"/>
    <w:rsid w:val="0066789C"/>
    <w:rsid w:val="006678AD"/>
    <w:rsid w:val="006700B3"/>
    <w:rsid w:val="0067052A"/>
    <w:rsid w:val="00670A0B"/>
    <w:rsid w:val="0067170B"/>
    <w:rsid w:val="0067188D"/>
    <w:rsid w:val="00671D34"/>
    <w:rsid w:val="00672028"/>
    <w:rsid w:val="006721E2"/>
    <w:rsid w:val="00672232"/>
    <w:rsid w:val="006725B2"/>
    <w:rsid w:val="006728BA"/>
    <w:rsid w:val="00672AA8"/>
    <w:rsid w:val="00672D53"/>
    <w:rsid w:val="00672E57"/>
    <w:rsid w:val="00672F3C"/>
    <w:rsid w:val="006735C7"/>
    <w:rsid w:val="00673BC3"/>
    <w:rsid w:val="00673F12"/>
    <w:rsid w:val="00673F14"/>
    <w:rsid w:val="00673F79"/>
    <w:rsid w:val="006744FD"/>
    <w:rsid w:val="00674551"/>
    <w:rsid w:val="00674A7C"/>
    <w:rsid w:val="00674D94"/>
    <w:rsid w:val="0067510F"/>
    <w:rsid w:val="00675399"/>
    <w:rsid w:val="006755B2"/>
    <w:rsid w:val="006756F1"/>
    <w:rsid w:val="00675BD8"/>
    <w:rsid w:val="00675D3D"/>
    <w:rsid w:val="006760A9"/>
    <w:rsid w:val="006760C2"/>
    <w:rsid w:val="006760DF"/>
    <w:rsid w:val="0067615E"/>
    <w:rsid w:val="00676A46"/>
    <w:rsid w:val="00676BA3"/>
    <w:rsid w:val="00676F69"/>
    <w:rsid w:val="00676FE5"/>
    <w:rsid w:val="00677161"/>
    <w:rsid w:val="00677236"/>
    <w:rsid w:val="00677812"/>
    <w:rsid w:val="006778E8"/>
    <w:rsid w:val="00680007"/>
    <w:rsid w:val="0068029E"/>
    <w:rsid w:val="006807F3"/>
    <w:rsid w:val="00680866"/>
    <w:rsid w:val="0068093E"/>
    <w:rsid w:val="00680984"/>
    <w:rsid w:val="00681035"/>
    <w:rsid w:val="006810EF"/>
    <w:rsid w:val="00681448"/>
    <w:rsid w:val="00681636"/>
    <w:rsid w:val="00681F87"/>
    <w:rsid w:val="00682988"/>
    <w:rsid w:val="00682C92"/>
    <w:rsid w:val="00682DD0"/>
    <w:rsid w:val="00682FE4"/>
    <w:rsid w:val="00682FE7"/>
    <w:rsid w:val="006836F1"/>
    <w:rsid w:val="00683C0C"/>
    <w:rsid w:val="0068427C"/>
    <w:rsid w:val="006843C2"/>
    <w:rsid w:val="00685177"/>
    <w:rsid w:val="006852EC"/>
    <w:rsid w:val="006856F1"/>
    <w:rsid w:val="00685A79"/>
    <w:rsid w:val="00685B42"/>
    <w:rsid w:val="00685C5F"/>
    <w:rsid w:val="00685CF5"/>
    <w:rsid w:val="00685FEF"/>
    <w:rsid w:val="006860C8"/>
    <w:rsid w:val="006865D3"/>
    <w:rsid w:val="0068691A"/>
    <w:rsid w:val="00687810"/>
    <w:rsid w:val="00687897"/>
    <w:rsid w:val="006878DF"/>
    <w:rsid w:val="00687AA2"/>
    <w:rsid w:val="00687F1D"/>
    <w:rsid w:val="00687F80"/>
    <w:rsid w:val="00690AEA"/>
    <w:rsid w:val="00691034"/>
    <w:rsid w:val="006913F6"/>
    <w:rsid w:val="0069166A"/>
    <w:rsid w:val="0069194B"/>
    <w:rsid w:val="00691C68"/>
    <w:rsid w:val="00692697"/>
    <w:rsid w:val="0069301B"/>
    <w:rsid w:val="00693421"/>
    <w:rsid w:val="00693A16"/>
    <w:rsid w:val="00693C87"/>
    <w:rsid w:val="00693F6C"/>
    <w:rsid w:val="0069419B"/>
    <w:rsid w:val="00694226"/>
    <w:rsid w:val="00694670"/>
    <w:rsid w:val="00694875"/>
    <w:rsid w:val="006948C9"/>
    <w:rsid w:val="00694BBA"/>
    <w:rsid w:val="00694FFE"/>
    <w:rsid w:val="00695194"/>
    <w:rsid w:val="0069524C"/>
    <w:rsid w:val="006954E2"/>
    <w:rsid w:val="0069551C"/>
    <w:rsid w:val="00695723"/>
    <w:rsid w:val="00695799"/>
    <w:rsid w:val="00695A1C"/>
    <w:rsid w:val="00695DA1"/>
    <w:rsid w:val="00695F83"/>
    <w:rsid w:val="006963F2"/>
    <w:rsid w:val="00696825"/>
    <w:rsid w:val="006968AE"/>
    <w:rsid w:val="006968CE"/>
    <w:rsid w:val="0069692B"/>
    <w:rsid w:val="00696BF5"/>
    <w:rsid w:val="00696D36"/>
    <w:rsid w:val="00696E69"/>
    <w:rsid w:val="0069710E"/>
    <w:rsid w:val="0069725E"/>
    <w:rsid w:val="006972DA"/>
    <w:rsid w:val="0069742F"/>
    <w:rsid w:val="00697508"/>
    <w:rsid w:val="006977B5"/>
    <w:rsid w:val="00697864"/>
    <w:rsid w:val="006A0385"/>
    <w:rsid w:val="006A08C4"/>
    <w:rsid w:val="006A0D87"/>
    <w:rsid w:val="006A0DAC"/>
    <w:rsid w:val="006A14F1"/>
    <w:rsid w:val="006A14FF"/>
    <w:rsid w:val="006A184B"/>
    <w:rsid w:val="006A18B3"/>
    <w:rsid w:val="006A1AB3"/>
    <w:rsid w:val="006A2214"/>
    <w:rsid w:val="006A227F"/>
    <w:rsid w:val="006A2395"/>
    <w:rsid w:val="006A2512"/>
    <w:rsid w:val="006A2A9C"/>
    <w:rsid w:val="006A2C5E"/>
    <w:rsid w:val="006A2D9B"/>
    <w:rsid w:val="006A2DED"/>
    <w:rsid w:val="006A322A"/>
    <w:rsid w:val="006A3237"/>
    <w:rsid w:val="006A32EB"/>
    <w:rsid w:val="006A3ACE"/>
    <w:rsid w:val="006A4444"/>
    <w:rsid w:val="006A45FE"/>
    <w:rsid w:val="006A49B6"/>
    <w:rsid w:val="006A4AA6"/>
    <w:rsid w:val="006A4D29"/>
    <w:rsid w:val="006A4D68"/>
    <w:rsid w:val="006A4D80"/>
    <w:rsid w:val="006A4E47"/>
    <w:rsid w:val="006A4E6A"/>
    <w:rsid w:val="006A5132"/>
    <w:rsid w:val="006A5211"/>
    <w:rsid w:val="006A5B22"/>
    <w:rsid w:val="006A5CC9"/>
    <w:rsid w:val="006A5DE6"/>
    <w:rsid w:val="006A5E27"/>
    <w:rsid w:val="006A68A6"/>
    <w:rsid w:val="006A68EC"/>
    <w:rsid w:val="006A6A5C"/>
    <w:rsid w:val="006A6A8C"/>
    <w:rsid w:val="006A6FAF"/>
    <w:rsid w:val="006A7320"/>
    <w:rsid w:val="006A768D"/>
    <w:rsid w:val="006A774E"/>
    <w:rsid w:val="006A7A10"/>
    <w:rsid w:val="006A7C51"/>
    <w:rsid w:val="006B0643"/>
    <w:rsid w:val="006B0966"/>
    <w:rsid w:val="006B0BC7"/>
    <w:rsid w:val="006B0D4A"/>
    <w:rsid w:val="006B0E1B"/>
    <w:rsid w:val="006B0EBA"/>
    <w:rsid w:val="006B0F39"/>
    <w:rsid w:val="006B127D"/>
    <w:rsid w:val="006B12FC"/>
    <w:rsid w:val="006B1433"/>
    <w:rsid w:val="006B184B"/>
    <w:rsid w:val="006B1885"/>
    <w:rsid w:val="006B18EA"/>
    <w:rsid w:val="006B19C6"/>
    <w:rsid w:val="006B19CE"/>
    <w:rsid w:val="006B1C5F"/>
    <w:rsid w:val="006B1F50"/>
    <w:rsid w:val="006B2038"/>
    <w:rsid w:val="006B2116"/>
    <w:rsid w:val="006B228D"/>
    <w:rsid w:val="006B23BC"/>
    <w:rsid w:val="006B2A2D"/>
    <w:rsid w:val="006B33AA"/>
    <w:rsid w:val="006B373A"/>
    <w:rsid w:val="006B44DA"/>
    <w:rsid w:val="006B4994"/>
    <w:rsid w:val="006B4ABA"/>
    <w:rsid w:val="006B4B7A"/>
    <w:rsid w:val="006B4BD2"/>
    <w:rsid w:val="006B4D5A"/>
    <w:rsid w:val="006B4FE5"/>
    <w:rsid w:val="006B50F7"/>
    <w:rsid w:val="006B542D"/>
    <w:rsid w:val="006B5753"/>
    <w:rsid w:val="006B581F"/>
    <w:rsid w:val="006B5898"/>
    <w:rsid w:val="006B5A4D"/>
    <w:rsid w:val="006B5C5F"/>
    <w:rsid w:val="006B5CA9"/>
    <w:rsid w:val="006B6BA7"/>
    <w:rsid w:val="006B6DD1"/>
    <w:rsid w:val="006B6ED5"/>
    <w:rsid w:val="006B6EE7"/>
    <w:rsid w:val="006B7075"/>
    <w:rsid w:val="006B7578"/>
    <w:rsid w:val="006B7C40"/>
    <w:rsid w:val="006B7F7C"/>
    <w:rsid w:val="006C0433"/>
    <w:rsid w:val="006C06DB"/>
    <w:rsid w:val="006C0745"/>
    <w:rsid w:val="006C0810"/>
    <w:rsid w:val="006C0D97"/>
    <w:rsid w:val="006C14C0"/>
    <w:rsid w:val="006C191B"/>
    <w:rsid w:val="006C1A99"/>
    <w:rsid w:val="006C1C00"/>
    <w:rsid w:val="006C1FA1"/>
    <w:rsid w:val="006C2014"/>
    <w:rsid w:val="006C2531"/>
    <w:rsid w:val="006C26BF"/>
    <w:rsid w:val="006C2EC6"/>
    <w:rsid w:val="006C2F65"/>
    <w:rsid w:val="006C3593"/>
    <w:rsid w:val="006C3843"/>
    <w:rsid w:val="006C3A40"/>
    <w:rsid w:val="006C3AA3"/>
    <w:rsid w:val="006C3AD0"/>
    <w:rsid w:val="006C3E17"/>
    <w:rsid w:val="006C4164"/>
    <w:rsid w:val="006C48CC"/>
    <w:rsid w:val="006C4A08"/>
    <w:rsid w:val="006C4A4C"/>
    <w:rsid w:val="006C4AD9"/>
    <w:rsid w:val="006C4D75"/>
    <w:rsid w:val="006C4F34"/>
    <w:rsid w:val="006C5267"/>
    <w:rsid w:val="006C531D"/>
    <w:rsid w:val="006C544E"/>
    <w:rsid w:val="006C54D6"/>
    <w:rsid w:val="006C5F5F"/>
    <w:rsid w:val="006C6036"/>
    <w:rsid w:val="006C61D7"/>
    <w:rsid w:val="006C6208"/>
    <w:rsid w:val="006C625A"/>
    <w:rsid w:val="006C6951"/>
    <w:rsid w:val="006C6B6C"/>
    <w:rsid w:val="006C6BEF"/>
    <w:rsid w:val="006C6E0A"/>
    <w:rsid w:val="006C6F9A"/>
    <w:rsid w:val="006C7074"/>
    <w:rsid w:val="006C71CD"/>
    <w:rsid w:val="006C7BC6"/>
    <w:rsid w:val="006D050E"/>
    <w:rsid w:val="006D0AE7"/>
    <w:rsid w:val="006D0EF2"/>
    <w:rsid w:val="006D0F43"/>
    <w:rsid w:val="006D139D"/>
    <w:rsid w:val="006D1871"/>
    <w:rsid w:val="006D1E76"/>
    <w:rsid w:val="006D1FE2"/>
    <w:rsid w:val="006D223D"/>
    <w:rsid w:val="006D24EE"/>
    <w:rsid w:val="006D2598"/>
    <w:rsid w:val="006D26F8"/>
    <w:rsid w:val="006D27A8"/>
    <w:rsid w:val="006D285D"/>
    <w:rsid w:val="006D2B67"/>
    <w:rsid w:val="006D2EE1"/>
    <w:rsid w:val="006D3003"/>
    <w:rsid w:val="006D3206"/>
    <w:rsid w:val="006D32E3"/>
    <w:rsid w:val="006D3402"/>
    <w:rsid w:val="006D3438"/>
    <w:rsid w:val="006D398E"/>
    <w:rsid w:val="006D3A94"/>
    <w:rsid w:val="006D3CE0"/>
    <w:rsid w:val="006D3D2B"/>
    <w:rsid w:val="006D3D61"/>
    <w:rsid w:val="006D401B"/>
    <w:rsid w:val="006D4038"/>
    <w:rsid w:val="006D40D1"/>
    <w:rsid w:val="006D4534"/>
    <w:rsid w:val="006D47AF"/>
    <w:rsid w:val="006D4CAA"/>
    <w:rsid w:val="006D4E56"/>
    <w:rsid w:val="006D5B50"/>
    <w:rsid w:val="006D6094"/>
    <w:rsid w:val="006D6298"/>
    <w:rsid w:val="006D676D"/>
    <w:rsid w:val="006D6BB6"/>
    <w:rsid w:val="006D746D"/>
    <w:rsid w:val="006D75E9"/>
    <w:rsid w:val="006D765C"/>
    <w:rsid w:val="006D7A4A"/>
    <w:rsid w:val="006E008A"/>
    <w:rsid w:val="006E00E4"/>
    <w:rsid w:val="006E06C4"/>
    <w:rsid w:val="006E083D"/>
    <w:rsid w:val="006E08CC"/>
    <w:rsid w:val="006E092F"/>
    <w:rsid w:val="006E0B18"/>
    <w:rsid w:val="006E0BCA"/>
    <w:rsid w:val="006E0D44"/>
    <w:rsid w:val="006E1F35"/>
    <w:rsid w:val="006E2115"/>
    <w:rsid w:val="006E21DB"/>
    <w:rsid w:val="006E28C2"/>
    <w:rsid w:val="006E2A6C"/>
    <w:rsid w:val="006E2AE3"/>
    <w:rsid w:val="006E2C92"/>
    <w:rsid w:val="006E304E"/>
    <w:rsid w:val="006E305D"/>
    <w:rsid w:val="006E3199"/>
    <w:rsid w:val="006E3412"/>
    <w:rsid w:val="006E39D9"/>
    <w:rsid w:val="006E3C11"/>
    <w:rsid w:val="006E3D98"/>
    <w:rsid w:val="006E3DD9"/>
    <w:rsid w:val="006E3F3B"/>
    <w:rsid w:val="006E4042"/>
    <w:rsid w:val="006E44CE"/>
    <w:rsid w:val="006E44DD"/>
    <w:rsid w:val="006E48DF"/>
    <w:rsid w:val="006E49BC"/>
    <w:rsid w:val="006E4E9F"/>
    <w:rsid w:val="006E4EFC"/>
    <w:rsid w:val="006E54A9"/>
    <w:rsid w:val="006E5671"/>
    <w:rsid w:val="006E568C"/>
    <w:rsid w:val="006E56DD"/>
    <w:rsid w:val="006E5A0D"/>
    <w:rsid w:val="006E5AF7"/>
    <w:rsid w:val="006E6392"/>
    <w:rsid w:val="006E6471"/>
    <w:rsid w:val="006E7030"/>
    <w:rsid w:val="006E724D"/>
    <w:rsid w:val="006E7952"/>
    <w:rsid w:val="006E7A21"/>
    <w:rsid w:val="006E7CAD"/>
    <w:rsid w:val="006F00DE"/>
    <w:rsid w:val="006F0330"/>
    <w:rsid w:val="006F066C"/>
    <w:rsid w:val="006F06FA"/>
    <w:rsid w:val="006F0ED4"/>
    <w:rsid w:val="006F1484"/>
    <w:rsid w:val="006F1643"/>
    <w:rsid w:val="006F19CB"/>
    <w:rsid w:val="006F1DBA"/>
    <w:rsid w:val="006F1DC0"/>
    <w:rsid w:val="006F23A3"/>
    <w:rsid w:val="006F253E"/>
    <w:rsid w:val="006F25D2"/>
    <w:rsid w:val="006F25D6"/>
    <w:rsid w:val="006F2641"/>
    <w:rsid w:val="006F26FD"/>
    <w:rsid w:val="006F2967"/>
    <w:rsid w:val="006F3798"/>
    <w:rsid w:val="006F3839"/>
    <w:rsid w:val="006F3896"/>
    <w:rsid w:val="006F389C"/>
    <w:rsid w:val="006F3C10"/>
    <w:rsid w:val="006F3C7F"/>
    <w:rsid w:val="006F3CFA"/>
    <w:rsid w:val="006F4735"/>
    <w:rsid w:val="006F4CA2"/>
    <w:rsid w:val="006F4D76"/>
    <w:rsid w:val="006F57E3"/>
    <w:rsid w:val="006F5B5A"/>
    <w:rsid w:val="006F5CEF"/>
    <w:rsid w:val="006F5F5B"/>
    <w:rsid w:val="006F636A"/>
    <w:rsid w:val="006F636B"/>
    <w:rsid w:val="006F63A5"/>
    <w:rsid w:val="006F65F6"/>
    <w:rsid w:val="006F6D4F"/>
    <w:rsid w:val="006F6ED9"/>
    <w:rsid w:val="006F70A8"/>
    <w:rsid w:val="006F740E"/>
    <w:rsid w:val="006F7420"/>
    <w:rsid w:val="006F7915"/>
    <w:rsid w:val="006F7ACB"/>
    <w:rsid w:val="006F7F5B"/>
    <w:rsid w:val="006F7F63"/>
    <w:rsid w:val="006F7FA5"/>
    <w:rsid w:val="0070019F"/>
    <w:rsid w:val="00700348"/>
    <w:rsid w:val="00700498"/>
    <w:rsid w:val="00700746"/>
    <w:rsid w:val="00700A8A"/>
    <w:rsid w:val="00700AEA"/>
    <w:rsid w:val="00700D3E"/>
    <w:rsid w:val="00700E69"/>
    <w:rsid w:val="00700F03"/>
    <w:rsid w:val="00700FFF"/>
    <w:rsid w:val="007011D8"/>
    <w:rsid w:val="007015D2"/>
    <w:rsid w:val="00701BCA"/>
    <w:rsid w:val="00701CAC"/>
    <w:rsid w:val="0070226B"/>
    <w:rsid w:val="007024FE"/>
    <w:rsid w:val="00702829"/>
    <w:rsid w:val="00702879"/>
    <w:rsid w:val="00702F60"/>
    <w:rsid w:val="007032DD"/>
    <w:rsid w:val="007035B0"/>
    <w:rsid w:val="0070393D"/>
    <w:rsid w:val="00703D5A"/>
    <w:rsid w:val="00703EFD"/>
    <w:rsid w:val="00704571"/>
    <w:rsid w:val="00704B5E"/>
    <w:rsid w:val="00704D12"/>
    <w:rsid w:val="00704F9C"/>
    <w:rsid w:val="0070501A"/>
    <w:rsid w:val="007053EF"/>
    <w:rsid w:val="00705A4D"/>
    <w:rsid w:val="00705E92"/>
    <w:rsid w:val="007061DD"/>
    <w:rsid w:val="007070D8"/>
    <w:rsid w:val="0070739A"/>
    <w:rsid w:val="0070742C"/>
    <w:rsid w:val="00707480"/>
    <w:rsid w:val="00707866"/>
    <w:rsid w:val="00707BED"/>
    <w:rsid w:val="00707CC8"/>
    <w:rsid w:val="00707E2E"/>
    <w:rsid w:val="007102D8"/>
    <w:rsid w:val="00710329"/>
    <w:rsid w:val="0071036A"/>
    <w:rsid w:val="007104B1"/>
    <w:rsid w:val="0071056C"/>
    <w:rsid w:val="00710835"/>
    <w:rsid w:val="007108DE"/>
    <w:rsid w:val="00710C9E"/>
    <w:rsid w:val="00710F49"/>
    <w:rsid w:val="00710F80"/>
    <w:rsid w:val="00711200"/>
    <w:rsid w:val="007112AA"/>
    <w:rsid w:val="00711507"/>
    <w:rsid w:val="00711D8B"/>
    <w:rsid w:val="0071211C"/>
    <w:rsid w:val="007122DC"/>
    <w:rsid w:val="00712330"/>
    <w:rsid w:val="007126F7"/>
    <w:rsid w:val="00712706"/>
    <w:rsid w:val="007129CC"/>
    <w:rsid w:val="007129D6"/>
    <w:rsid w:val="00712EF0"/>
    <w:rsid w:val="0071323F"/>
    <w:rsid w:val="00713440"/>
    <w:rsid w:val="00713CA6"/>
    <w:rsid w:val="00713EF8"/>
    <w:rsid w:val="00714225"/>
    <w:rsid w:val="007143D1"/>
    <w:rsid w:val="007149A6"/>
    <w:rsid w:val="00714C97"/>
    <w:rsid w:val="00714EA4"/>
    <w:rsid w:val="00715296"/>
    <w:rsid w:val="00715D9F"/>
    <w:rsid w:val="00715E53"/>
    <w:rsid w:val="007160AC"/>
    <w:rsid w:val="00716CE7"/>
    <w:rsid w:val="0071711C"/>
    <w:rsid w:val="00717412"/>
    <w:rsid w:val="007174E3"/>
    <w:rsid w:val="007176F7"/>
    <w:rsid w:val="007179B7"/>
    <w:rsid w:val="00717C67"/>
    <w:rsid w:val="00717FBE"/>
    <w:rsid w:val="00720086"/>
    <w:rsid w:val="0072013D"/>
    <w:rsid w:val="00720253"/>
    <w:rsid w:val="00720920"/>
    <w:rsid w:val="00720C27"/>
    <w:rsid w:val="00720FB6"/>
    <w:rsid w:val="00721295"/>
    <w:rsid w:val="00721CDF"/>
    <w:rsid w:val="00721DC9"/>
    <w:rsid w:val="00721DF6"/>
    <w:rsid w:val="00721F91"/>
    <w:rsid w:val="007225ED"/>
    <w:rsid w:val="00722EC7"/>
    <w:rsid w:val="007230A4"/>
    <w:rsid w:val="007231BC"/>
    <w:rsid w:val="00723601"/>
    <w:rsid w:val="007239EA"/>
    <w:rsid w:val="00723BED"/>
    <w:rsid w:val="007241CF"/>
    <w:rsid w:val="00724262"/>
    <w:rsid w:val="0072443A"/>
    <w:rsid w:val="00724C9C"/>
    <w:rsid w:val="00724FAF"/>
    <w:rsid w:val="0072518C"/>
    <w:rsid w:val="00725332"/>
    <w:rsid w:val="00725495"/>
    <w:rsid w:val="00725669"/>
    <w:rsid w:val="00725D47"/>
    <w:rsid w:val="0072611D"/>
    <w:rsid w:val="00726264"/>
    <w:rsid w:val="007262AF"/>
    <w:rsid w:val="007262B6"/>
    <w:rsid w:val="007263DD"/>
    <w:rsid w:val="0072650F"/>
    <w:rsid w:val="007265E2"/>
    <w:rsid w:val="0072660E"/>
    <w:rsid w:val="007268EA"/>
    <w:rsid w:val="00726F6A"/>
    <w:rsid w:val="00727579"/>
    <w:rsid w:val="0072761E"/>
    <w:rsid w:val="00727CA7"/>
    <w:rsid w:val="00727EF0"/>
    <w:rsid w:val="007300E6"/>
    <w:rsid w:val="0073022F"/>
    <w:rsid w:val="00730A7A"/>
    <w:rsid w:val="00730AC2"/>
    <w:rsid w:val="00730BA0"/>
    <w:rsid w:val="0073147F"/>
    <w:rsid w:val="0073153D"/>
    <w:rsid w:val="00731A7A"/>
    <w:rsid w:val="00732232"/>
    <w:rsid w:val="00732350"/>
    <w:rsid w:val="00732609"/>
    <w:rsid w:val="0073265A"/>
    <w:rsid w:val="007327F1"/>
    <w:rsid w:val="00732852"/>
    <w:rsid w:val="007329A0"/>
    <w:rsid w:val="00732A04"/>
    <w:rsid w:val="00732B71"/>
    <w:rsid w:val="00732C84"/>
    <w:rsid w:val="00733036"/>
    <w:rsid w:val="007334A7"/>
    <w:rsid w:val="007335BE"/>
    <w:rsid w:val="0073385C"/>
    <w:rsid w:val="00733A66"/>
    <w:rsid w:val="00733CA1"/>
    <w:rsid w:val="00733E5B"/>
    <w:rsid w:val="00734100"/>
    <w:rsid w:val="00734188"/>
    <w:rsid w:val="0073418E"/>
    <w:rsid w:val="007342A5"/>
    <w:rsid w:val="0073444A"/>
    <w:rsid w:val="007344D0"/>
    <w:rsid w:val="007345A9"/>
    <w:rsid w:val="0073461D"/>
    <w:rsid w:val="00734A89"/>
    <w:rsid w:val="00734B1E"/>
    <w:rsid w:val="00734B47"/>
    <w:rsid w:val="00734D36"/>
    <w:rsid w:val="00734FA1"/>
    <w:rsid w:val="0073524E"/>
    <w:rsid w:val="007353F1"/>
    <w:rsid w:val="007354E8"/>
    <w:rsid w:val="00735787"/>
    <w:rsid w:val="00735ABA"/>
    <w:rsid w:val="00735D53"/>
    <w:rsid w:val="00735F09"/>
    <w:rsid w:val="00736050"/>
    <w:rsid w:val="0073625A"/>
    <w:rsid w:val="007364BE"/>
    <w:rsid w:val="00736A3A"/>
    <w:rsid w:val="0073702F"/>
    <w:rsid w:val="007371A3"/>
    <w:rsid w:val="007375E3"/>
    <w:rsid w:val="00737D84"/>
    <w:rsid w:val="00737D97"/>
    <w:rsid w:val="00737FE7"/>
    <w:rsid w:val="0074081B"/>
    <w:rsid w:val="00740855"/>
    <w:rsid w:val="00740865"/>
    <w:rsid w:val="007409C0"/>
    <w:rsid w:val="00740AAA"/>
    <w:rsid w:val="00741106"/>
    <w:rsid w:val="0074146D"/>
    <w:rsid w:val="007419F5"/>
    <w:rsid w:val="00741B59"/>
    <w:rsid w:val="0074221B"/>
    <w:rsid w:val="00742846"/>
    <w:rsid w:val="007429E2"/>
    <w:rsid w:val="00742B3A"/>
    <w:rsid w:val="00742B86"/>
    <w:rsid w:val="007430DF"/>
    <w:rsid w:val="007438E5"/>
    <w:rsid w:val="007438F3"/>
    <w:rsid w:val="00743AEE"/>
    <w:rsid w:val="00744264"/>
    <w:rsid w:val="0074428E"/>
    <w:rsid w:val="0074448D"/>
    <w:rsid w:val="007445DF"/>
    <w:rsid w:val="00744615"/>
    <w:rsid w:val="007447DA"/>
    <w:rsid w:val="007449FF"/>
    <w:rsid w:val="00744A0F"/>
    <w:rsid w:val="00745516"/>
    <w:rsid w:val="007459C5"/>
    <w:rsid w:val="007459DC"/>
    <w:rsid w:val="00745BA9"/>
    <w:rsid w:val="00745F48"/>
    <w:rsid w:val="00745F6B"/>
    <w:rsid w:val="007479AF"/>
    <w:rsid w:val="00747AD7"/>
    <w:rsid w:val="007500EB"/>
    <w:rsid w:val="007500F1"/>
    <w:rsid w:val="00750391"/>
    <w:rsid w:val="00750571"/>
    <w:rsid w:val="00750808"/>
    <w:rsid w:val="00751263"/>
    <w:rsid w:val="007513FF"/>
    <w:rsid w:val="0075140F"/>
    <w:rsid w:val="0075150F"/>
    <w:rsid w:val="00751620"/>
    <w:rsid w:val="00751985"/>
    <w:rsid w:val="00751C21"/>
    <w:rsid w:val="00751DAF"/>
    <w:rsid w:val="00751E16"/>
    <w:rsid w:val="00752476"/>
    <w:rsid w:val="00752DB8"/>
    <w:rsid w:val="00753189"/>
    <w:rsid w:val="007535F8"/>
    <w:rsid w:val="00753655"/>
    <w:rsid w:val="00753EA9"/>
    <w:rsid w:val="00753F44"/>
    <w:rsid w:val="007545F7"/>
    <w:rsid w:val="00754834"/>
    <w:rsid w:val="00754976"/>
    <w:rsid w:val="00755817"/>
    <w:rsid w:val="007559AB"/>
    <w:rsid w:val="00755B60"/>
    <w:rsid w:val="00755D85"/>
    <w:rsid w:val="00755FCA"/>
    <w:rsid w:val="00756082"/>
    <w:rsid w:val="007561B2"/>
    <w:rsid w:val="00756616"/>
    <w:rsid w:val="00756736"/>
    <w:rsid w:val="00756793"/>
    <w:rsid w:val="00756838"/>
    <w:rsid w:val="00756BA3"/>
    <w:rsid w:val="00756BD1"/>
    <w:rsid w:val="00756F30"/>
    <w:rsid w:val="007570DA"/>
    <w:rsid w:val="0075737D"/>
    <w:rsid w:val="0075763B"/>
    <w:rsid w:val="00757849"/>
    <w:rsid w:val="00757A17"/>
    <w:rsid w:val="00757CDF"/>
    <w:rsid w:val="00757E38"/>
    <w:rsid w:val="007601E7"/>
    <w:rsid w:val="00760995"/>
    <w:rsid w:val="00760B9A"/>
    <w:rsid w:val="00760D1C"/>
    <w:rsid w:val="007614D5"/>
    <w:rsid w:val="00761552"/>
    <w:rsid w:val="007617F0"/>
    <w:rsid w:val="00761CF2"/>
    <w:rsid w:val="00761FBD"/>
    <w:rsid w:val="00761FF3"/>
    <w:rsid w:val="00762156"/>
    <w:rsid w:val="007622D4"/>
    <w:rsid w:val="00762544"/>
    <w:rsid w:val="00762714"/>
    <w:rsid w:val="00762AE2"/>
    <w:rsid w:val="00762BF8"/>
    <w:rsid w:val="00762D43"/>
    <w:rsid w:val="00762D60"/>
    <w:rsid w:val="00762D6D"/>
    <w:rsid w:val="0076316B"/>
    <w:rsid w:val="00763850"/>
    <w:rsid w:val="00763FFC"/>
    <w:rsid w:val="0076447C"/>
    <w:rsid w:val="00764489"/>
    <w:rsid w:val="0076480C"/>
    <w:rsid w:val="007649F8"/>
    <w:rsid w:val="007650EA"/>
    <w:rsid w:val="00766217"/>
    <w:rsid w:val="00766CC5"/>
    <w:rsid w:val="00766F68"/>
    <w:rsid w:val="007675FC"/>
    <w:rsid w:val="007677B5"/>
    <w:rsid w:val="00770897"/>
    <w:rsid w:val="00770941"/>
    <w:rsid w:val="00770B53"/>
    <w:rsid w:val="00771685"/>
    <w:rsid w:val="00771AF7"/>
    <w:rsid w:val="00772AAD"/>
    <w:rsid w:val="0077308C"/>
    <w:rsid w:val="0077309F"/>
    <w:rsid w:val="0077339D"/>
    <w:rsid w:val="007735E5"/>
    <w:rsid w:val="00773684"/>
    <w:rsid w:val="007737ED"/>
    <w:rsid w:val="00773A38"/>
    <w:rsid w:val="00773B32"/>
    <w:rsid w:val="00774595"/>
    <w:rsid w:val="007748DB"/>
    <w:rsid w:val="0077490D"/>
    <w:rsid w:val="00774E1D"/>
    <w:rsid w:val="00774FD8"/>
    <w:rsid w:val="00775254"/>
    <w:rsid w:val="007753EF"/>
    <w:rsid w:val="007757A2"/>
    <w:rsid w:val="00775AFC"/>
    <w:rsid w:val="00775B2D"/>
    <w:rsid w:val="00775BA2"/>
    <w:rsid w:val="00775D15"/>
    <w:rsid w:val="00775D83"/>
    <w:rsid w:val="007760F0"/>
    <w:rsid w:val="0077615F"/>
    <w:rsid w:val="007762A7"/>
    <w:rsid w:val="007762DE"/>
    <w:rsid w:val="00776684"/>
    <w:rsid w:val="007767BC"/>
    <w:rsid w:val="00776FB8"/>
    <w:rsid w:val="00777403"/>
    <w:rsid w:val="007778DE"/>
    <w:rsid w:val="00780331"/>
    <w:rsid w:val="00780462"/>
    <w:rsid w:val="007804BB"/>
    <w:rsid w:val="00780938"/>
    <w:rsid w:val="00780BEB"/>
    <w:rsid w:val="00780C21"/>
    <w:rsid w:val="00780DCC"/>
    <w:rsid w:val="00780E31"/>
    <w:rsid w:val="007816A8"/>
    <w:rsid w:val="007820A7"/>
    <w:rsid w:val="0078215B"/>
    <w:rsid w:val="00782672"/>
    <w:rsid w:val="00782760"/>
    <w:rsid w:val="00782883"/>
    <w:rsid w:val="00782884"/>
    <w:rsid w:val="00782A3F"/>
    <w:rsid w:val="00782B72"/>
    <w:rsid w:val="00782E7A"/>
    <w:rsid w:val="00783078"/>
    <w:rsid w:val="007830BF"/>
    <w:rsid w:val="00783187"/>
    <w:rsid w:val="00783272"/>
    <w:rsid w:val="00783301"/>
    <w:rsid w:val="00783306"/>
    <w:rsid w:val="007833E3"/>
    <w:rsid w:val="00783610"/>
    <w:rsid w:val="0078375A"/>
    <w:rsid w:val="00783A7E"/>
    <w:rsid w:val="00783CCA"/>
    <w:rsid w:val="00784187"/>
    <w:rsid w:val="0078480C"/>
    <w:rsid w:val="00785E81"/>
    <w:rsid w:val="00785F42"/>
    <w:rsid w:val="00785FE6"/>
    <w:rsid w:val="00786251"/>
    <w:rsid w:val="00786317"/>
    <w:rsid w:val="0078637B"/>
    <w:rsid w:val="007864CD"/>
    <w:rsid w:val="00786B62"/>
    <w:rsid w:val="00787193"/>
    <w:rsid w:val="00787839"/>
    <w:rsid w:val="00787FBF"/>
    <w:rsid w:val="0079005F"/>
    <w:rsid w:val="00790375"/>
    <w:rsid w:val="007905B4"/>
    <w:rsid w:val="00790E2F"/>
    <w:rsid w:val="007916FD"/>
    <w:rsid w:val="00791B35"/>
    <w:rsid w:val="00791D74"/>
    <w:rsid w:val="00791EE6"/>
    <w:rsid w:val="00791EF8"/>
    <w:rsid w:val="007921D0"/>
    <w:rsid w:val="00792603"/>
    <w:rsid w:val="00792C34"/>
    <w:rsid w:val="00792CB1"/>
    <w:rsid w:val="007937FC"/>
    <w:rsid w:val="0079388D"/>
    <w:rsid w:val="0079390D"/>
    <w:rsid w:val="00793E98"/>
    <w:rsid w:val="0079404F"/>
    <w:rsid w:val="007940D2"/>
    <w:rsid w:val="00794145"/>
    <w:rsid w:val="0079450C"/>
    <w:rsid w:val="00794B60"/>
    <w:rsid w:val="00794DE2"/>
    <w:rsid w:val="00794F1B"/>
    <w:rsid w:val="007950A4"/>
    <w:rsid w:val="007950E6"/>
    <w:rsid w:val="0079513F"/>
    <w:rsid w:val="00795672"/>
    <w:rsid w:val="007956A1"/>
    <w:rsid w:val="00795977"/>
    <w:rsid w:val="00795D8A"/>
    <w:rsid w:val="007969A5"/>
    <w:rsid w:val="00796B73"/>
    <w:rsid w:val="00796C60"/>
    <w:rsid w:val="00797816"/>
    <w:rsid w:val="007979E7"/>
    <w:rsid w:val="00797A47"/>
    <w:rsid w:val="00797A6B"/>
    <w:rsid w:val="00797EBA"/>
    <w:rsid w:val="007A02C6"/>
    <w:rsid w:val="007A0395"/>
    <w:rsid w:val="007A03F9"/>
    <w:rsid w:val="007A04D2"/>
    <w:rsid w:val="007A0650"/>
    <w:rsid w:val="007A08C6"/>
    <w:rsid w:val="007A0C34"/>
    <w:rsid w:val="007A0DCE"/>
    <w:rsid w:val="007A10AD"/>
    <w:rsid w:val="007A1532"/>
    <w:rsid w:val="007A16E3"/>
    <w:rsid w:val="007A1D35"/>
    <w:rsid w:val="007A2068"/>
    <w:rsid w:val="007A242A"/>
    <w:rsid w:val="007A26D9"/>
    <w:rsid w:val="007A2744"/>
    <w:rsid w:val="007A2E55"/>
    <w:rsid w:val="007A2FF2"/>
    <w:rsid w:val="007A31AE"/>
    <w:rsid w:val="007A32D2"/>
    <w:rsid w:val="007A33F2"/>
    <w:rsid w:val="007A3785"/>
    <w:rsid w:val="007A38A4"/>
    <w:rsid w:val="007A41B6"/>
    <w:rsid w:val="007A484B"/>
    <w:rsid w:val="007A4A8C"/>
    <w:rsid w:val="007A4BCD"/>
    <w:rsid w:val="007A4DF7"/>
    <w:rsid w:val="007A4EB0"/>
    <w:rsid w:val="007A4F60"/>
    <w:rsid w:val="007A505D"/>
    <w:rsid w:val="007A51E7"/>
    <w:rsid w:val="007A5662"/>
    <w:rsid w:val="007A57DF"/>
    <w:rsid w:val="007A5E04"/>
    <w:rsid w:val="007A5E5B"/>
    <w:rsid w:val="007A5FA4"/>
    <w:rsid w:val="007A5FC8"/>
    <w:rsid w:val="007A6144"/>
    <w:rsid w:val="007A645B"/>
    <w:rsid w:val="007A64BF"/>
    <w:rsid w:val="007A64EF"/>
    <w:rsid w:val="007A6E3E"/>
    <w:rsid w:val="007A6EE7"/>
    <w:rsid w:val="007A6F64"/>
    <w:rsid w:val="007A7068"/>
    <w:rsid w:val="007A7116"/>
    <w:rsid w:val="007A74B9"/>
    <w:rsid w:val="007A75AA"/>
    <w:rsid w:val="007A75F2"/>
    <w:rsid w:val="007A762C"/>
    <w:rsid w:val="007A78A6"/>
    <w:rsid w:val="007A7925"/>
    <w:rsid w:val="007A7CE5"/>
    <w:rsid w:val="007A7FEA"/>
    <w:rsid w:val="007B00A4"/>
    <w:rsid w:val="007B07C9"/>
    <w:rsid w:val="007B08E2"/>
    <w:rsid w:val="007B0BCD"/>
    <w:rsid w:val="007B0D76"/>
    <w:rsid w:val="007B11CE"/>
    <w:rsid w:val="007B1DD8"/>
    <w:rsid w:val="007B26F1"/>
    <w:rsid w:val="007B2AB4"/>
    <w:rsid w:val="007B2E21"/>
    <w:rsid w:val="007B2F81"/>
    <w:rsid w:val="007B2FA6"/>
    <w:rsid w:val="007B3063"/>
    <w:rsid w:val="007B35CD"/>
    <w:rsid w:val="007B3D73"/>
    <w:rsid w:val="007B41F0"/>
    <w:rsid w:val="007B454B"/>
    <w:rsid w:val="007B475E"/>
    <w:rsid w:val="007B48B4"/>
    <w:rsid w:val="007B538C"/>
    <w:rsid w:val="007B5442"/>
    <w:rsid w:val="007B5AE4"/>
    <w:rsid w:val="007B5C5B"/>
    <w:rsid w:val="007B6042"/>
    <w:rsid w:val="007B60C4"/>
    <w:rsid w:val="007B6489"/>
    <w:rsid w:val="007B64C6"/>
    <w:rsid w:val="007B66C0"/>
    <w:rsid w:val="007B6769"/>
    <w:rsid w:val="007B7122"/>
    <w:rsid w:val="007B7848"/>
    <w:rsid w:val="007B7F7F"/>
    <w:rsid w:val="007C0128"/>
    <w:rsid w:val="007C01BD"/>
    <w:rsid w:val="007C031A"/>
    <w:rsid w:val="007C03C8"/>
    <w:rsid w:val="007C0E69"/>
    <w:rsid w:val="007C1392"/>
    <w:rsid w:val="007C1492"/>
    <w:rsid w:val="007C1495"/>
    <w:rsid w:val="007C17B2"/>
    <w:rsid w:val="007C18D7"/>
    <w:rsid w:val="007C22B5"/>
    <w:rsid w:val="007C274D"/>
    <w:rsid w:val="007C29A5"/>
    <w:rsid w:val="007C2C26"/>
    <w:rsid w:val="007C2C7C"/>
    <w:rsid w:val="007C2FC6"/>
    <w:rsid w:val="007C328F"/>
    <w:rsid w:val="007C33A4"/>
    <w:rsid w:val="007C3725"/>
    <w:rsid w:val="007C3826"/>
    <w:rsid w:val="007C4261"/>
    <w:rsid w:val="007C447F"/>
    <w:rsid w:val="007C44AE"/>
    <w:rsid w:val="007C46F4"/>
    <w:rsid w:val="007C48B9"/>
    <w:rsid w:val="007C4D70"/>
    <w:rsid w:val="007C4E0F"/>
    <w:rsid w:val="007C4F33"/>
    <w:rsid w:val="007C5629"/>
    <w:rsid w:val="007C5716"/>
    <w:rsid w:val="007C59AD"/>
    <w:rsid w:val="007C5A38"/>
    <w:rsid w:val="007C60C9"/>
    <w:rsid w:val="007C6651"/>
    <w:rsid w:val="007C66F1"/>
    <w:rsid w:val="007C6875"/>
    <w:rsid w:val="007C69E8"/>
    <w:rsid w:val="007C7193"/>
    <w:rsid w:val="007C77E1"/>
    <w:rsid w:val="007C7865"/>
    <w:rsid w:val="007C7A36"/>
    <w:rsid w:val="007C7B1F"/>
    <w:rsid w:val="007C7BB3"/>
    <w:rsid w:val="007C7D41"/>
    <w:rsid w:val="007C7F4D"/>
    <w:rsid w:val="007D001B"/>
    <w:rsid w:val="007D001E"/>
    <w:rsid w:val="007D029E"/>
    <w:rsid w:val="007D050A"/>
    <w:rsid w:val="007D0545"/>
    <w:rsid w:val="007D0A6A"/>
    <w:rsid w:val="007D0A80"/>
    <w:rsid w:val="007D0F4D"/>
    <w:rsid w:val="007D1292"/>
    <w:rsid w:val="007D1C2D"/>
    <w:rsid w:val="007D1C90"/>
    <w:rsid w:val="007D220F"/>
    <w:rsid w:val="007D239B"/>
    <w:rsid w:val="007D2747"/>
    <w:rsid w:val="007D28E4"/>
    <w:rsid w:val="007D29E8"/>
    <w:rsid w:val="007D2C77"/>
    <w:rsid w:val="007D3292"/>
    <w:rsid w:val="007D332D"/>
    <w:rsid w:val="007D36FA"/>
    <w:rsid w:val="007D3AC6"/>
    <w:rsid w:val="007D3B87"/>
    <w:rsid w:val="007D3D9C"/>
    <w:rsid w:val="007D4A93"/>
    <w:rsid w:val="007D4AE2"/>
    <w:rsid w:val="007D4C24"/>
    <w:rsid w:val="007D4F50"/>
    <w:rsid w:val="007D5400"/>
    <w:rsid w:val="007D5481"/>
    <w:rsid w:val="007D60B1"/>
    <w:rsid w:val="007D60C7"/>
    <w:rsid w:val="007D61F1"/>
    <w:rsid w:val="007D638D"/>
    <w:rsid w:val="007D717B"/>
    <w:rsid w:val="007D733F"/>
    <w:rsid w:val="007D771B"/>
    <w:rsid w:val="007D7A92"/>
    <w:rsid w:val="007D7BC3"/>
    <w:rsid w:val="007E0078"/>
    <w:rsid w:val="007E0477"/>
    <w:rsid w:val="007E0895"/>
    <w:rsid w:val="007E0A83"/>
    <w:rsid w:val="007E0A95"/>
    <w:rsid w:val="007E0C73"/>
    <w:rsid w:val="007E0E1F"/>
    <w:rsid w:val="007E0EC4"/>
    <w:rsid w:val="007E1038"/>
    <w:rsid w:val="007E1474"/>
    <w:rsid w:val="007E1540"/>
    <w:rsid w:val="007E1547"/>
    <w:rsid w:val="007E162C"/>
    <w:rsid w:val="007E19C4"/>
    <w:rsid w:val="007E1B20"/>
    <w:rsid w:val="007E1BBC"/>
    <w:rsid w:val="007E2DD7"/>
    <w:rsid w:val="007E2E86"/>
    <w:rsid w:val="007E2F07"/>
    <w:rsid w:val="007E3072"/>
    <w:rsid w:val="007E324F"/>
    <w:rsid w:val="007E3D46"/>
    <w:rsid w:val="007E3EA5"/>
    <w:rsid w:val="007E408A"/>
    <w:rsid w:val="007E4A71"/>
    <w:rsid w:val="007E4B46"/>
    <w:rsid w:val="007E4E48"/>
    <w:rsid w:val="007E53AC"/>
    <w:rsid w:val="007E5F25"/>
    <w:rsid w:val="007E64C9"/>
    <w:rsid w:val="007E669E"/>
    <w:rsid w:val="007E67E1"/>
    <w:rsid w:val="007E69F1"/>
    <w:rsid w:val="007E6D2C"/>
    <w:rsid w:val="007E6D34"/>
    <w:rsid w:val="007E71EC"/>
    <w:rsid w:val="007E7360"/>
    <w:rsid w:val="007E78D3"/>
    <w:rsid w:val="007E7BC3"/>
    <w:rsid w:val="007E7BD2"/>
    <w:rsid w:val="007E7C16"/>
    <w:rsid w:val="007E7F09"/>
    <w:rsid w:val="007E7FBC"/>
    <w:rsid w:val="007F048D"/>
    <w:rsid w:val="007F0492"/>
    <w:rsid w:val="007F0CC4"/>
    <w:rsid w:val="007F0D1F"/>
    <w:rsid w:val="007F137A"/>
    <w:rsid w:val="007F146A"/>
    <w:rsid w:val="007F1791"/>
    <w:rsid w:val="007F1908"/>
    <w:rsid w:val="007F1995"/>
    <w:rsid w:val="007F1B66"/>
    <w:rsid w:val="007F1D73"/>
    <w:rsid w:val="007F216E"/>
    <w:rsid w:val="007F2484"/>
    <w:rsid w:val="007F257B"/>
    <w:rsid w:val="007F25FE"/>
    <w:rsid w:val="007F28A2"/>
    <w:rsid w:val="007F28AA"/>
    <w:rsid w:val="007F28AB"/>
    <w:rsid w:val="007F28F1"/>
    <w:rsid w:val="007F2AA0"/>
    <w:rsid w:val="007F2E43"/>
    <w:rsid w:val="007F33F8"/>
    <w:rsid w:val="007F35A7"/>
    <w:rsid w:val="007F3A99"/>
    <w:rsid w:val="007F3C49"/>
    <w:rsid w:val="007F3F47"/>
    <w:rsid w:val="007F3F83"/>
    <w:rsid w:val="007F4239"/>
    <w:rsid w:val="007F44A2"/>
    <w:rsid w:val="007F44CA"/>
    <w:rsid w:val="007F488C"/>
    <w:rsid w:val="007F48CA"/>
    <w:rsid w:val="007F56DC"/>
    <w:rsid w:val="007F5BA3"/>
    <w:rsid w:val="007F6089"/>
    <w:rsid w:val="007F6560"/>
    <w:rsid w:val="007F6941"/>
    <w:rsid w:val="007F69C5"/>
    <w:rsid w:val="007F6F15"/>
    <w:rsid w:val="007F710F"/>
    <w:rsid w:val="007F74B9"/>
    <w:rsid w:val="007F74CB"/>
    <w:rsid w:val="007F7742"/>
    <w:rsid w:val="007F7814"/>
    <w:rsid w:val="007F7D89"/>
    <w:rsid w:val="007F7F33"/>
    <w:rsid w:val="008001C7"/>
    <w:rsid w:val="00800561"/>
    <w:rsid w:val="00800624"/>
    <w:rsid w:val="008007A1"/>
    <w:rsid w:val="00800A2B"/>
    <w:rsid w:val="00800CAC"/>
    <w:rsid w:val="00800CD8"/>
    <w:rsid w:val="00800DDA"/>
    <w:rsid w:val="00800E54"/>
    <w:rsid w:val="008011FB"/>
    <w:rsid w:val="008012C1"/>
    <w:rsid w:val="00801788"/>
    <w:rsid w:val="00801A7B"/>
    <w:rsid w:val="00801AC9"/>
    <w:rsid w:val="00802ADA"/>
    <w:rsid w:val="00803004"/>
    <w:rsid w:val="0080303F"/>
    <w:rsid w:val="0080318D"/>
    <w:rsid w:val="00803486"/>
    <w:rsid w:val="00803665"/>
    <w:rsid w:val="00803732"/>
    <w:rsid w:val="00803928"/>
    <w:rsid w:val="00803C9C"/>
    <w:rsid w:val="00804089"/>
    <w:rsid w:val="0080443B"/>
    <w:rsid w:val="008044FB"/>
    <w:rsid w:val="0080452A"/>
    <w:rsid w:val="008047D8"/>
    <w:rsid w:val="008048CD"/>
    <w:rsid w:val="00804AC9"/>
    <w:rsid w:val="008050DD"/>
    <w:rsid w:val="0080539A"/>
    <w:rsid w:val="008058DC"/>
    <w:rsid w:val="00805AA6"/>
    <w:rsid w:val="00805EA9"/>
    <w:rsid w:val="008067DB"/>
    <w:rsid w:val="008068E8"/>
    <w:rsid w:val="008069AC"/>
    <w:rsid w:val="00806E78"/>
    <w:rsid w:val="00806F42"/>
    <w:rsid w:val="0080738B"/>
    <w:rsid w:val="00807DA8"/>
    <w:rsid w:val="008100BB"/>
    <w:rsid w:val="00810629"/>
    <w:rsid w:val="008109A2"/>
    <w:rsid w:val="00810D48"/>
    <w:rsid w:val="0081133A"/>
    <w:rsid w:val="0081201E"/>
    <w:rsid w:val="008120D5"/>
    <w:rsid w:val="008127E8"/>
    <w:rsid w:val="00812AD3"/>
    <w:rsid w:val="00813704"/>
    <w:rsid w:val="0081375D"/>
    <w:rsid w:val="008138CD"/>
    <w:rsid w:val="0081392F"/>
    <w:rsid w:val="00813962"/>
    <w:rsid w:val="00814987"/>
    <w:rsid w:val="008149E8"/>
    <w:rsid w:val="00814EE6"/>
    <w:rsid w:val="00815221"/>
    <w:rsid w:val="00815296"/>
    <w:rsid w:val="0081540D"/>
    <w:rsid w:val="0081549F"/>
    <w:rsid w:val="00815612"/>
    <w:rsid w:val="0081573B"/>
    <w:rsid w:val="008158FC"/>
    <w:rsid w:val="00815B65"/>
    <w:rsid w:val="00815C53"/>
    <w:rsid w:val="00815C8A"/>
    <w:rsid w:val="00815DBB"/>
    <w:rsid w:val="008162B4"/>
    <w:rsid w:val="008164AF"/>
    <w:rsid w:val="0081664D"/>
    <w:rsid w:val="00816977"/>
    <w:rsid w:val="00816AD6"/>
    <w:rsid w:val="00817249"/>
    <w:rsid w:val="008173C5"/>
    <w:rsid w:val="008174B0"/>
    <w:rsid w:val="008176FE"/>
    <w:rsid w:val="00817742"/>
    <w:rsid w:val="00817BF2"/>
    <w:rsid w:val="00817F08"/>
    <w:rsid w:val="00820483"/>
    <w:rsid w:val="0082082B"/>
    <w:rsid w:val="0082082C"/>
    <w:rsid w:val="008208F1"/>
    <w:rsid w:val="00820CD0"/>
    <w:rsid w:val="00821607"/>
    <w:rsid w:val="00821895"/>
    <w:rsid w:val="008219A6"/>
    <w:rsid w:val="00821CFE"/>
    <w:rsid w:val="00822023"/>
    <w:rsid w:val="008227C0"/>
    <w:rsid w:val="00822AB0"/>
    <w:rsid w:val="00822E82"/>
    <w:rsid w:val="00822ED3"/>
    <w:rsid w:val="0082317E"/>
    <w:rsid w:val="008232C8"/>
    <w:rsid w:val="00823372"/>
    <w:rsid w:val="008235A9"/>
    <w:rsid w:val="00823A5A"/>
    <w:rsid w:val="00823FC3"/>
    <w:rsid w:val="008241A3"/>
    <w:rsid w:val="008247AE"/>
    <w:rsid w:val="00824916"/>
    <w:rsid w:val="00824BA0"/>
    <w:rsid w:val="00824D84"/>
    <w:rsid w:val="00824EB2"/>
    <w:rsid w:val="00824F59"/>
    <w:rsid w:val="008255CE"/>
    <w:rsid w:val="00825670"/>
    <w:rsid w:val="008257D2"/>
    <w:rsid w:val="0082589C"/>
    <w:rsid w:val="008259A2"/>
    <w:rsid w:val="00825C5E"/>
    <w:rsid w:val="00825CDC"/>
    <w:rsid w:val="00825D28"/>
    <w:rsid w:val="008260C5"/>
    <w:rsid w:val="008261D2"/>
    <w:rsid w:val="008261FD"/>
    <w:rsid w:val="00826922"/>
    <w:rsid w:val="0082696F"/>
    <w:rsid w:val="00826CCF"/>
    <w:rsid w:val="00826F06"/>
    <w:rsid w:val="00826F1C"/>
    <w:rsid w:val="00827857"/>
    <w:rsid w:val="008278F4"/>
    <w:rsid w:val="00827913"/>
    <w:rsid w:val="00827951"/>
    <w:rsid w:val="008279FC"/>
    <w:rsid w:val="00827B96"/>
    <w:rsid w:val="008301AF"/>
    <w:rsid w:val="008302BE"/>
    <w:rsid w:val="008302E4"/>
    <w:rsid w:val="00830374"/>
    <w:rsid w:val="0083073B"/>
    <w:rsid w:val="00830AD3"/>
    <w:rsid w:val="00830C2C"/>
    <w:rsid w:val="008311EC"/>
    <w:rsid w:val="00831366"/>
    <w:rsid w:val="008317A8"/>
    <w:rsid w:val="00831BED"/>
    <w:rsid w:val="00831F8A"/>
    <w:rsid w:val="0083203B"/>
    <w:rsid w:val="00832090"/>
    <w:rsid w:val="008323E3"/>
    <w:rsid w:val="0083261B"/>
    <w:rsid w:val="00832732"/>
    <w:rsid w:val="008328EB"/>
    <w:rsid w:val="00832984"/>
    <w:rsid w:val="00832DF5"/>
    <w:rsid w:val="008330D4"/>
    <w:rsid w:val="00833234"/>
    <w:rsid w:val="008333FE"/>
    <w:rsid w:val="0083350C"/>
    <w:rsid w:val="00833742"/>
    <w:rsid w:val="00833B30"/>
    <w:rsid w:val="00833E8B"/>
    <w:rsid w:val="008340C5"/>
    <w:rsid w:val="008345F4"/>
    <w:rsid w:val="0083479F"/>
    <w:rsid w:val="008348E8"/>
    <w:rsid w:val="00834E4D"/>
    <w:rsid w:val="00834FCC"/>
    <w:rsid w:val="00835157"/>
    <w:rsid w:val="00835256"/>
    <w:rsid w:val="008352C4"/>
    <w:rsid w:val="008353E8"/>
    <w:rsid w:val="0083586E"/>
    <w:rsid w:val="00835BCE"/>
    <w:rsid w:val="00836BBF"/>
    <w:rsid w:val="00836D3F"/>
    <w:rsid w:val="008370D4"/>
    <w:rsid w:val="00837198"/>
    <w:rsid w:val="00837734"/>
    <w:rsid w:val="00837C41"/>
    <w:rsid w:val="008402CD"/>
    <w:rsid w:val="008405EE"/>
    <w:rsid w:val="00840A65"/>
    <w:rsid w:val="00840AAF"/>
    <w:rsid w:val="00841278"/>
    <w:rsid w:val="0084156D"/>
    <w:rsid w:val="008416FE"/>
    <w:rsid w:val="00841756"/>
    <w:rsid w:val="0084189A"/>
    <w:rsid w:val="00841AB6"/>
    <w:rsid w:val="00841C79"/>
    <w:rsid w:val="00841CD9"/>
    <w:rsid w:val="00841EB2"/>
    <w:rsid w:val="00841FF3"/>
    <w:rsid w:val="008420D5"/>
    <w:rsid w:val="0084218A"/>
    <w:rsid w:val="00842393"/>
    <w:rsid w:val="00842425"/>
    <w:rsid w:val="0084255B"/>
    <w:rsid w:val="00842632"/>
    <w:rsid w:val="00842E48"/>
    <w:rsid w:val="00843296"/>
    <w:rsid w:val="0084358B"/>
    <w:rsid w:val="00843B20"/>
    <w:rsid w:val="00843B43"/>
    <w:rsid w:val="00843C21"/>
    <w:rsid w:val="00843F41"/>
    <w:rsid w:val="008441D7"/>
    <w:rsid w:val="008443E8"/>
    <w:rsid w:val="00844686"/>
    <w:rsid w:val="008448AF"/>
    <w:rsid w:val="0084500A"/>
    <w:rsid w:val="00845697"/>
    <w:rsid w:val="00845C03"/>
    <w:rsid w:val="00845C0C"/>
    <w:rsid w:val="00845C70"/>
    <w:rsid w:val="0084622D"/>
    <w:rsid w:val="00846294"/>
    <w:rsid w:val="00846337"/>
    <w:rsid w:val="00846933"/>
    <w:rsid w:val="00846BB8"/>
    <w:rsid w:val="00846CB3"/>
    <w:rsid w:val="00846D7C"/>
    <w:rsid w:val="00847780"/>
    <w:rsid w:val="00847A30"/>
    <w:rsid w:val="00847A80"/>
    <w:rsid w:val="00847C35"/>
    <w:rsid w:val="0085021B"/>
    <w:rsid w:val="00850356"/>
    <w:rsid w:val="008505B8"/>
    <w:rsid w:val="008506B0"/>
    <w:rsid w:val="00850928"/>
    <w:rsid w:val="00850E90"/>
    <w:rsid w:val="0085101D"/>
    <w:rsid w:val="008511EE"/>
    <w:rsid w:val="008514FF"/>
    <w:rsid w:val="00851695"/>
    <w:rsid w:val="00851A20"/>
    <w:rsid w:val="00851AE4"/>
    <w:rsid w:val="008520CF"/>
    <w:rsid w:val="0085213E"/>
    <w:rsid w:val="0085269E"/>
    <w:rsid w:val="00852A6D"/>
    <w:rsid w:val="008536D4"/>
    <w:rsid w:val="008537FF"/>
    <w:rsid w:val="00853880"/>
    <w:rsid w:val="008538C1"/>
    <w:rsid w:val="00853AED"/>
    <w:rsid w:val="00853E8C"/>
    <w:rsid w:val="00853FB0"/>
    <w:rsid w:val="008541C4"/>
    <w:rsid w:val="00854228"/>
    <w:rsid w:val="00854530"/>
    <w:rsid w:val="008546E8"/>
    <w:rsid w:val="008546EF"/>
    <w:rsid w:val="0085476A"/>
    <w:rsid w:val="0085498D"/>
    <w:rsid w:val="00854D66"/>
    <w:rsid w:val="00854FEC"/>
    <w:rsid w:val="00855292"/>
    <w:rsid w:val="008553CC"/>
    <w:rsid w:val="00855AF7"/>
    <w:rsid w:val="008560AB"/>
    <w:rsid w:val="0085624F"/>
    <w:rsid w:val="0085638E"/>
    <w:rsid w:val="008563AE"/>
    <w:rsid w:val="00856C3B"/>
    <w:rsid w:val="00857114"/>
    <w:rsid w:val="00857638"/>
    <w:rsid w:val="00857881"/>
    <w:rsid w:val="00857BFC"/>
    <w:rsid w:val="00857C2B"/>
    <w:rsid w:val="00857D65"/>
    <w:rsid w:val="00860184"/>
    <w:rsid w:val="00860FC7"/>
    <w:rsid w:val="00861754"/>
    <w:rsid w:val="00861792"/>
    <w:rsid w:val="0086186F"/>
    <w:rsid w:val="00861B14"/>
    <w:rsid w:val="00861C4E"/>
    <w:rsid w:val="00861CDC"/>
    <w:rsid w:val="00861D78"/>
    <w:rsid w:val="0086200D"/>
    <w:rsid w:val="00862058"/>
    <w:rsid w:val="0086233C"/>
    <w:rsid w:val="00862476"/>
    <w:rsid w:val="00862534"/>
    <w:rsid w:val="00862B15"/>
    <w:rsid w:val="00862B7B"/>
    <w:rsid w:val="00862C53"/>
    <w:rsid w:val="008631BC"/>
    <w:rsid w:val="008634A9"/>
    <w:rsid w:val="00863579"/>
    <w:rsid w:val="00863A56"/>
    <w:rsid w:val="008642CD"/>
    <w:rsid w:val="008645D1"/>
    <w:rsid w:val="00864D97"/>
    <w:rsid w:val="00864DB5"/>
    <w:rsid w:val="00864E5E"/>
    <w:rsid w:val="00864F36"/>
    <w:rsid w:val="00865898"/>
    <w:rsid w:val="00865E4D"/>
    <w:rsid w:val="0086678B"/>
    <w:rsid w:val="0086698F"/>
    <w:rsid w:val="00866AC5"/>
    <w:rsid w:val="00866C43"/>
    <w:rsid w:val="00866E01"/>
    <w:rsid w:val="00867125"/>
    <w:rsid w:val="0086717C"/>
    <w:rsid w:val="00867755"/>
    <w:rsid w:val="008677AC"/>
    <w:rsid w:val="008679DD"/>
    <w:rsid w:val="00867C29"/>
    <w:rsid w:val="00867E33"/>
    <w:rsid w:val="00870013"/>
    <w:rsid w:val="00870486"/>
    <w:rsid w:val="00870886"/>
    <w:rsid w:val="00870C61"/>
    <w:rsid w:val="008711B4"/>
    <w:rsid w:val="008711D0"/>
    <w:rsid w:val="008713F8"/>
    <w:rsid w:val="00871448"/>
    <w:rsid w:val="00871460"/>
    <w:rsid w:val="00871794"/>
    <w:rsid w:val="0087197D"/>
    <w:rsid w:val="00871C80"/>
    <w:rsid w:val="00871D56"/>
    <w:rsid w:val="00872062"/>
    <w:rsid w:val="0087216E"/>
    <w:rsid w:val="0087229C"/>
    <w:rsid w:val="00872667"/>
    <w:rsid w:val="00873091"/>
    <w:rsid w:val="00873683"/>
    <w:rsid w:val="00873941"/>
    <w:rsid w:val="00873D7C"/>
    <w:rsid w:val="00873E11"/>
    <w:rsid w:val="00873E56"/>
    <w:rsid w:val="00874252"/>
    <w:rsid w:val="00874BEA"/>
    <w:rsid w:val="00874C60"/>
    <w:rsid w:val="00874DF2"/>
    <w:rsid w:val="008757B1"/>
    <w:rsid w:val="008759F4"/>
    <w:rsid w:val="00875A05"/>
    <w:rsid w:val="00875AA6"/>
    <w:rsid w:val="00876065"/>
    <w:rsid w:val="008761E1"/>
    <w:rsid w:val="0087625F"/>
    <w:rsid w:val="008764E7"/>
    <w:rsid w:val="00876516"/>
    <w:rsid w:val="00876665"/>
    <w:rsid w:val="008769AE"/>
    <w:rsid w:val="00876B23"/>
    <w:rsid w:val="00876CA0"/>
    <w:rsid w:val="00876E0D"/>
    <w:rsid w:val="00876E39"/>
    <w:rsid w:val="00876E4C"/>
    <w:rsid w:val="00877339"/>
    <w:rsid w:val="00877486"/>
    <w:rsid w:val="008775BC"/>
    <w:rsid w:val="00877770"/>
    <w:rsid w:val="008777CE"/>
    <w:rsid w:val="00877873"/>
    <w:rsid w:val="008778EC"/>
    <w:rsid w:val="00877B1C"/>
    <w:rsid w:val="00877D99"/>
    <w:rsid w:val="0088015C"/>
    <w:rsid w:val="008803FB"/>
    <w:rsid w:val="00880517"/>
    <w:rsid w:val="008806A1"/>
    <w:rsid w:val="008806A8"/>
    <w:rsid w:val="008807FC"/>
    <w:rsid w:val="00880CEF"/>
    <w:rsid w:val="00880D33"/>
    <w:rsid w:val="00880E17"/>
    <w:rsid w:val="008812E3"/>
    <w:rsid w:val="008813BC"/>
    <w:rsid w:val="00881732"/>
    <w:rsid w:val="008817CD"/>
    <w:rsid w:val="008817DC"/>
    <w:rsid w:val="008818C1"/>
    <w:rsid w:val="008818F4"/>
    <w:rsid w:val="00882170"/>
    <w:rsid w:val="008822F8"/>
    <w:rsid w:val="008826B5"/>
    <w:rsid w:val="0088270C"/>
    <w:rsid w:val="008828C3"/>
    <w:rsid w:val="00882B05"/>
    <w:rsid w:val="00882CBF"/>
    <w:rsid w:val="00882EA2"/>
    <w:rsid w:val="00882EF8"/>
    <w:rsid w:val="00883135"/>
    <w:rsid w:val="00883480"/>
    <w:rsid w:val="008834FF"/>
    <w:rsid w:val="008835BA"/>
    <w:rsid w:val="00883B50"/>
    <w:rsid w:val="00883BFD"/>
    <w:rsid w:val="00883C4D"/>
    <w:rsid w:val="00884385"/>
    <w:rsid w:val="00884465"/>
    <w:rsid w:val="008845BB"/>
    <w:rsid w:val="0088495C"/>
    <w:rsid w:val="008849B7"/>
    <w:rsid w:val="00884D48"/>
    <w:rsid w:val="00884E2D"/>
    <w:rsid w:val="00884EFF"/>
    <w:rsid w:val="008851A8"/>
    <w:rsid w:val="008852BB"/>
    <w:rsid w:val="00885455"/>
    <w:rsid w:val="00885821"/>
    <w:rsid w:val="00885CE0"/>
    <w:rsid w:val="00885E9E"/>
    <w:rsid w:val="00886499"/>
    <w:rsid w:val="00886A32"/>
    <w:rsid w:val="00886ACA"/>
    <w:rsid w:val="00886CFA"/>
    <w:rsid w:val="00887182"/>
    <w:rsid w:val="00887611"/>
    <w:rsid w:val="0088782B"/>
    <w:rsid w:val="00887ECB"/>
    <w:rsid w:val="008906B8"/>
    <w:rsid w:val="00890FBB"/>
    <w:rsid w:val="00891167"/>
    <w:rsid w:val="00891173"/>
    <w:rsid w:val="0089153A"/>
    <w:rsid w:val="00891E4E"/>
    <w:rsid w:val="0089206F"/>
    <w:rsid w:val="00892070"/>
    <w:rsid w:val="0089217F"/>
    <w:rsid w:val="00892191"/>
    <w:rsid w:val="0089235D"/>
    <w:rsid w:val="00892385"/>
    <w:rsid w:val="00892427"/>
    <w:rsid w:val="008925EC"/>
    <w:rsid w:val="0089295D"/>
    <w:rsid w:val="00892ADE"/>
    <w:rsid w:val="00892E04"/>
    <w:rsid w:val="0089364A"/>
    <w:rsid w:val="008938D3"/>
    <w:rsid w:val="00893973"/>
    <w:rsid w:val="00893A08"/>
    <w:rsid w:val="00893A2C"/>
    <w:rsid w:val="00893A62"/>
    <w:rsid w:val="00893A67"/>
    <w:rsid w:val="00893CE7"/>
    <w:rsid w:val="00893D59"/>
    <w:rsid w:val="00894444"/>
    <w:rsid w:val="008950E2"/>
    <w:rsid w:val="0089537C"/>
    <w:rsid w:val="0089539B"/>
    <w:rsid w:val="0089571B"/>
    <w:rsid w:val="008957CF"/>
    <w:rsid w:val="00895B3B"/>
    <w:rsid w:val="00895C1C"/>
    <w:rsid w:val="00895F09"/>
    <w:rsid w:val="008963EC"/>
    <w:rsid w:val="0089706D"/>
    <w:rsid w:val="008971AB"/>
    <w:rsid w:val="008973CB"/>
    <w:rsid w:val="00897709"/>
    <w:rsid w:val="008A02B8"/>
    <w:rsid w:val="008A09A9"/>
    <w:rsid w:val="008A0BA0"/>
    <w:rsid w:val="008A0BB0"/>
    <w:rsid w:val="008A0E97"/>
    <w:rsid w:val="008A10C3"/>
    <w:rsid w:val="008A112F"/>
    <w:rsid w:val="008A11BD"/>
    <w:rsid w:val="008A14B1"/>
    <w:rsid w:val="008A1C6C"/>
    <w:rsid w:val="008A1CEF"/>
    <w:rsid w:val="008A1E0E"/>
    <w:rsid w:val="008A1F24"/>
    <w:rsid w:val="008A21D0"/>
    <w:rsid w:val="008A25BC"/>
    <w:rsid w:val="008A3232"/>
    <w:rsid w:val="008A371B"/>
    <w:rsid w:val="008A3B38"/>
    <w:rsid w:val="008A3F4E"/>
    <w:rsid w:val="008A469A"/>
    <w:rsid w:val="008A489F"/>
    <w:rsid w:val="008A4BBC"/>
    <w:rsid w:val="008A4BD9"/>
    <w:rsid w:val="008A4C70"/>
    <w:rsid w:val="008A5527"/>
    <w:rsid w:val="008A573B"/>
    <w:rsid w:val="008A58C9"/>
    <w:rsid w:val="008A5A3A"/>
    <w:rsid w:val="008A5D7F"/>
    <w:rsid w:val="008A5DEF"/>
    <w:rsid w:val="008A5E14"/>
    <w:rsid w:val="008A5E75"/>
    <w:rsid w:val="008A66B7"/>
    <w:rsid w:val="008A6A2B"/>
    <w:rsid w:val="008A6C0F"/>
    <w:rsid w:val="008A7296"/>
    <w:rsid w:val="008A75CE"/>
    <w:rsid w:val="008A78D7"/>
    <w:rsid w:val="008A7978"/>
    <w:rsid w:val="008A7AF8"/>
    <w:rsid w:val="008A7EC8"/>
    <w:rsid w:val="008B0171"/>
    <w:rsid w:val="008B0357"/>
    <w:rsid w:val="008B035C"/>
    <w:rsid w:val="008B03BA"/>
    <w:rsid w:val="008B043E"/>
    <w:rsid w:val="008B0772"/>
    <w:rsid w:val="008B0A04"/>
    <w:rsid w:val="008B0A67"/>
    <w:rsid w:val="008B0F64"/>
    <w:rsid w:val="008B1BE5"/>
    <w:rsid w:val="008B1F03"/>
    <w:rsid w:val="008B1FBE"/>
    <w:rsid w:val="008B21DC"/>
    <w:rsid w:val="008B2772"/>
    <w:rsid w:val="008B2E97"/>
    <w:rsid w:val="008B2F67"/>
    <w:rsid w:val="008B300D"/>
    <w:rsid w:val="008B303B"/>
    <w:rsid w:val="008B35E3"/>
    <w:rsid w:val="008B3EF0"/>
    <w:rsid w:val="008B40EB"/>
    <w:rsid w:val="008B46DE"/>
    <w:rsid w:val="008B4A99"/>
    <w:rsid w:val="008B4DB4"/>
    <w:rsid w:val="008B4F42"/>
    <w:rsid w:val="008B53C7"/>
    <w:rsid w:val="008B5C0E"/>
    <w:rsid w:val="008B5D1B"/>
    <w:rsid w:val="008B6196"/>
    <w:rsid w:val="008B651B"/>
    <w:rsid w:val="008B686E"/>
    <w:rsid w:val="008B6BA3"/>
    <w:rsid w:val="008B6BA9"/>
    <w:rsid w:val="008B6C3C"/>
    <w:rsid w:val="008B6D4D"/>
    <w:rsid w:val="008B70A0"/>
    <w:rsid w:val="008B740D"/>
    <w:rsid w:val="008B744D"/>
    <w:rsid w:val="008B7753"/>
    <w:rsid w:val="008B7E6B"/>
    <w:rsid w:val="008C0157"/>
    <w:rsid w:val="008C059C"/>
    <w:rsid w:val="008C0618"/>
    <w:rsid w:val="008C075B"/>
    <w:rsid w:val="008C0819"/>
    <w:rsid w:val="008C0A0E"/>
    <w:rsid w:val="008C0AE9"/>
    <w:rsid w:val="008C0F3E"/>
    <w:rsid w:val="008C134A"/>
    <w:rsid w:val="008C1584"/>
    <w:rsid w:val="008C190D"/>
    <w:rsid w:val="008C1BA2"/>
    <w:rsid w:val="008C1D46"/>
    <w:rsid w:val="008C2764"/>
    <w:rsid w:val="008C2BE2"/>
    <w:rsid w:val="008C2CFD"/>
    <w:rsid w:val="008C2E42"/>
    <w:rsid w:val="008C2E84"/>
    <w:rsid w:val="008C305E"/>
    <w:rsid w:val="008C30ED"/>
    <w:rsid w:val="008C33F3"/>
    <w:rsid w:val="008C35F2"/>
    <w:rsid w:val="008C3891"/>
    <w:rsid w:val="008C3978"/>
    <w:rsid w:val="008C3A76"/>
    <w:rsid w:val="008C3CD2"/>
    <w:rsid w:val="008C3D9A"/>
    <w:rsid w:val="008C41B0"/>
    <w:rsid w:val="008C57F8"/>
    <w:rsid w:val="008C5C29"/>
    <w:rsid w:val="008C606B"/>
    <w:rsid w:val="008C61E5"/>
    <w:rsid w:val="008C62D3"/>
    <w:rsid w:val="008C65CC"/>
    <w:rsid w:val="008C6E59"/>
    <w:rsid w:val="008C6E92"/>
    <w:rsid w:val="008C730A"/>
    <w:rsid w:val="008C75B0"/>
    <w:rsid w:val="008D00DD"/>
    <w:rsid w:val="008D04AC"/>
    <w:rsid w:val="008D050F"/>
    <w:rsid w:val="008D0590"/>
    <w:rsid w:val="008D0751"/>
    <w:rsid w:val="008D089C"/>
    <w:rsid w:val="008D0D65"/>
    <w:rsid w:val="008D1070"/>
    <w:rsid w:val="008D1130"/>
    <w:rsid w:val="008D1883"/>
    <w:rsid w:val="008D1B89"/>
    <w:rsid w:val="008D1CD2"/>
    <w:rsid w:val="008D2398"/>
    <w:rsid w:val="008D24BD"/>
    <w:rsid w:val="008D2839"/>
    <w:rsid w:val="008D294B"/>
    <w:rsid w:val="008D2C23"/>
    <w:rsid w:val="008D31E2"/>
    <w:rsid w:val="008D3707"/>
    <w:rsid w:val="008D38A7"/>
    <w:rsid w:val="008D3BA0"/>
    <w:rsid w:val="008D3DD0"/>
    <w:rsid w:val="008D413E"/>
    <w:rsid w:val="008D43CC"/>
    <w:rsid w:val="008D4825"/>
    <w:rsid w:val="008D4B61"/>
    <w:rsid w:val="008D4DE1"/>
    <w:rsid w:val="008D4F10"/>
    <w:rsid w:val="008D5023"/>
    <w:rsid w:val="008D5230"/>
    <w:rsid w:val="008D5379"/>
    <w:rsid w:val="008D579A"/>
    <w:rsid w:val="008D5872"/>
    <w:rsid w:val="008D5B79"/>
    <w:rsid w:val="008D5E49"/>
    <w:rsid w:val="008D6100"/>
    <w:rsid w:val="008D610B"/>
    <w:rsid w:val="008D6153"/>
    <w:rsid w:val="008D6376"/>
    <w:rsid w:val="008D6DB0"/>
    <w:rsid w:val="008D6E68"/>
    <w:rsid w:val="008D70B5"/>
    <w:rsid w:val="008D71F7"/>
    <w:rsid w:val="008D7216"/>
    <w:rsid w:val="008D75F6"/>
    <w:rsid w:val="008D7CA9"/>
    <w:rsid w:val="008D7CEC"/>
    <w:rsid w:val="008D7D11"/>
    <w:rsid w:val="008E0048"/>
    <w:rsid w:val="008E0163"/>
    <w:rsid w:val="008E07AF"/>
    <w:rsid w:val="008E0F2A"/>
    <w:rsid w:val="008E116D"/>
    <w:rsid w:val="008E1250"/>
    <w:rsid w:val="008E12B2"/>
    <w:rsid w:val="008E14C2"/>
    <w:rsid w:val="008E171D"/>
    <w:rsid w:val="008E19E0"/>
    <w:rsid w:val="008E1A40"/>
    <w:rsid w:val="008E1DA0"/>
    <w:rsid w:val="008E1EB3"/>
    <w:rsid w:val="008E21B1"/>
    <w:rsid w:val="008E2729"/>
    <w:rsid w:val="008E277E"/>
    <w:rsid w:val="008E2C2C"/>
    <w:rsid w:val="008E2F10"/>
    <w:rsid w:val="008E328E"/>
    <w:rsid w:val="008E32FE"/>
    <w:rsid w:val="008E342A"/>
    <w:rsid w:val="008E37DB"/>
    <w:rsid w:val="008E38C1"/>
    <w:rsid w:val="008E38CE"/>
    <w:rsid w:val="008E3958"/>
    <w:rsid w:val="008E3D59"/>
    <w:rsid w:val="008E3D81"/>
    <w:rsid w:val="008E3DDF"/>
    <w:rsid w:val="008E403F"/>
    <w:rsid w:val="008E4059"/>
    <w:rsid w:val="008E4188"/>
    <w:rsid w:val="008E43D0"/>
    <w:rsid w:val="008E454E"/>
    <w:rsid w:val="008E4993"/>
    <w:rsid w:val="008E4AFA"/>
    <w:rsid w:val="008E4F52"/>
    <w:rsid w:val="008E4FF2"/>
    <w:rsid w:val="008E5190"/>
    <w:rsid w:val="008E51DB"/>
    <w:rsid w:val="008E5A84"/>
    <w:rsid w:val="008E5AB6"/>
    <w:rsid w:val="008E5DF5"/>
    <w:rsid w:val="008E625D"/>
    <w:rsid w:val="008E66AB"/>
    <w:rsid w:val="008E6DA2"/>
    <w:rsid w:val="008E7132"/>
    <w:rsid w:val="008E7861"/>
    <w:rsid w:val="008E7B73"/>
    <w:rsid w:val="008F02E1"/>
    <w:rsid w:val="008F02F4"/>
    <w:rsid w:val="008F0487"/>
    <w:rsid w:val="008F0761"/>
    <w:rsid w:val="008F0A08"/>
    <w:rsid w:val="008F0E77"/>
    <w:rsid w:val="008F12B3"/>
    <w:rsid w:val="008F140A"/>
    <w:rsid w:val="008F15DA"/>
    <w:rsid w:val="008F19EC"/>
    <w:rsid w:val="008F1E64"/>
    <w:rsid w:val="008F2238"/>
    <w:rsid w:val="008F248F"/>
    <w:rsid w:val="008F2B7A"/>
    <w:rsid w:val="008F2E73"/>
    <w:rsid w:val="008F360C"/>
    <w:rsid w:val="008F3773"/>
    <w:rsid w:val="008F380A"/>
    <w:rsid w:val="008F3B4C"/>
    <w:rsid w:val="008F3DBD"/>
    <w:rsid w:val="008F3E7B"/>
    <w:rsid w:val="008F405C"/>
    <w:rsid w:val="008F42FC"/>
    <w:rsid w:val="008F45D7"/>
    <w:rsid w:val="008F4893"/>
    <w:rsid w:val="008F49BE"/>
    <w:rsid w:val="008F4A17"/>
    <w:rsid w:val="008F4B3E"/>
    <w:rsid w:val="008F4F23"/>
    <w:rsid w:val="008F5005"/>
    <w:rsid w:val="008F52CF"/>
    <w:rsid w:val="008F5752"/>
    <w:rsid w:val="008F5955"/>
    <w:rsid w:val="008F5B7E"/>
    <w:rsid w:val="008F5F4E"/>
    <w:rsid w:val="008F603C"/>
    <w:rsid w:val="008F618A"/>
    <w:rsid w:val="008F665A"/>
    <w:rsid w:val="008F69CA"/>
    <w:rsid w:val="008F6ECD"/>
    <w:rsid w:val="008F71B8"/>
    <w:rsid w:val="008F73EE"/>
    <w:rsid w:val="008F776E"/>
    <w:rsid w:val="008F78FF"/>
    <w:rsid w:val="008F795E"/>
    <w:rsid w:val="008F7ACB"/>
    <w:rsid w:val="009000A4"/>
    <w:rsid w:val="0090029D"/>
    <w:rsid w:val="0090084E"/>
    <w:rsid w:val="0090096A"/>
    <w:rsid w:val="00900C27"/>
    <w:rsid w:val="0090116A"/>
    <w:rsid w:val="00901476"/>
    <w:rsid w:val="009014FE"/>
    <w:rsid w:val="00901599"/>
    <w:rsid w:val="00901BCB"/>
    <w:rsid w:val="00901BD8"/>
    <w:rsid w:val="00901D1E"/>
    <w:rsid w:val="009025D8"/>
    <w:rsid w:val="00902813"/>
    <w:rsid w:val="00902970"/>
    <w:rsid w:val="00902F24"/>
    <w:rsid w:val="009031E5"/>
    <w:rsid w:val="00903548"/>
    <w:rsid w:val="009035E9"/>
    <w:rsid w:val="0090365B"/>
    <w:rsid w:val="009036F6"/>
    <w:rsid w:val="00903A13"/>
    <w:rsid w:val="00903A5E"/>
    <w:rsid w:val="00903C8A"/>
    <w:rsid w:val="00903CE3"/>
    <w:rsid w:val="00903E3B"/>
    <w:rsid w:val="00903F90"/>
    <w:rsid w:val="00904393"/>
    <w:rsid w:val="0090455C"/>
    <w:rsid w:val="009046AA"/>
    <w:rsid w:val="009047F9"/>
    <w:rsid w:val="0090484E"/>
    <w:rsid w:val="009048E3"/>
    <w:rsid w:val="00904CBC"/>
    <w:rsid w:val="00904E88"/>
    <w:rsid w:val="00904ED1"/>
    <w:rsid w:val="009051AA"/>
    <w:rsid w:val="00905294"/>
    <w:rsid w:val="009052C9"/>
    <w:rsid w:val="0090572B"/>
    <w:rsid w:val="009060B8"/>
    <w:rsid w:val="009064B3"/>
    <w:rsid w:val="00906B30"/>
    <w:rsid w:val="00906D0E"/>
    <w:rsid w:val="00906ED8"/>
    <w:rsid w:val="00907152"/>
    <w:rsid w:val="0090732E"/>
    <w:rsid w:val="00907337"/>
    <w:rsid w:val="00907475"/>
    <w:rsid w:val="009076D8"/>
    <w:rsid w:val="0090778F"/>
    <w:rsid w:val="0090796B"/>
    <w:rsid w:val="00907CFC"/>
    <w:rsid w:val="00910100"/>
    <w:rsid w:val="00910114"/>
    <w:rsid w:val="0091011F"/>
    <w:rsid w:val="00910253"/>
    <w:rsid w:val="0091062F"/>
    <w:rsid w:val="00910701"/>
    <w:rsid w:val="00910E9F"/>
    <w:rsid w:val="00910F44"/>
    <w:rsid w:val="00910F4E"/>
    <w:rsid w:val="009110D1"/>
    <w:rsid w:val="00911526"/>
    <w:rsid w:val="0091158B"/>
    <w:rsid w:val="00911A7B"/>
    <w:rsid w:val="00911CB3"/>
    <w:rsid w:val="00912662"/>
    <w:rsid w:val="009126F2"/>
    <w:rsid w:val="00912C8D"/>
    <w:rsid w:val="00912CBA"/>
    <w:rsid w:val="00912F34"/>
    <w:rsid w:val="00912F69"/>
    <w:rsid w:val="00912F94"/>
    <w:rsid w:val="00913517"/>
    <w:rsid w:val="009135BC"/>
    <w:rsid w:val="0091365F"/>
    <w:rsid w:val="0091381F"/>
    <w:rsid w:val="009138F3"/>
    <w:rsid w:val="00913C5E"/>
    <w:rsid w:val="0091415B"/>
    <w:rsid w:val="009142CD"/>
    <w:rsid w:val="009149D8"/>
    <w:rsid w:val="00914E8D"/>
    <w:rsid w:val="00914FF3"/>
    <w:rsid w:val="009150B3"/>
    <w:rsid w:val="009151FF"/>
    <w:rsid w:val="009152C7"/>
    <w:rsid w:val="0091552C"/>
    <w:rsid w:val="00915FB5"/>
    <w:rsid w:val="00915FBF"/>
    <w:rsid w:val="0091616F"/>
    <w:rsid w:val="009161FC"/>
    <w:rsid w:val="00916288"/>
    <w:rsid w:val="009162D3"/>
    <w:rsid w:val="00916629"/>
    <w:rsid w:val="009168DD"/>
    <w:rsid w:val="00916A4B"/>
    <w:rsid w:val="00916EFE"/>
    <w:rsid w:val="009171EC"/>
    <w:rsid w:val="009172C1"/>
    <w:rsid w:val="0091789C"/>
    <w:rsid w:val="00917A2B"/>
    <w:rsid w:val="00917B9C"/>
    <w:rsid w:val="00917FED"/>
    <w:rsid w:val="00920185"/>
    <w:rsid w:val="00920330"/>
    <w:rsid w:val="0092065F"/>
    <w:rsid w:val="00920B53"/>
    <w:rsid w:val="00920C85"/>
    <w:rsid w:val="00920D59"/>
    <w:rsid w:val="00920E45"/>
    <w:rsid w:val="00920FFC"/>
    <w:rsid w:val="0092138D"/>
    <w:rsid w:val="00921602"/>
    <w:rsid w:val="0092167A"/>
    <w:rsid w:val="00921AD3"/>
    <w:rsid w:val="009224D0"/>
    <w:rsid w:val="0092281A"/>
    <w:rsid w:val="00922828"/>
    <w:rsid w:val="009228E8"/>
    <w:rsid w:val="009228F5"/>
    <w:rsid w:val="00922D50"/>
    <w:rsid w:val="00922FFF"/>
    <w:rsid w:val="00923455"/>
    <w:rsid w:val="00923478"/>
    <w:rsid w:val="009237DD"/>
    <w:rsid w:val="00923842"/>
    <w:rsid w:val="009239F5"/>
    <w:rsid w:val="00923BD1"/>
    <w:rsid w:val="00923FE4"/>
    <w:rsid w:val="00924101"/>
    <w:rsid w:val="009245E9"/>
    <w:rsid w:val="0092512B"/>
    <w:rsid w:val="00925492"/>
    <w:rsid w:val="0092562D"/>
    <w:rsid w:val="00925679"/>
    <w:rsid w:val="009256D6"/>
    <w:rsid w:val="009257EC"/>
    <w:rsid w:val="00925812"/>
    <w:rsid w:val="00925CDE"/>
    <w:rsid w:val="00925ED2"/>
    <w:rsid w:val="009263FB"/>
    <w:rsid w:val="00926AC2"/>
    <w:rsid w:val="00926B75"/>
    <w:rsid w:val="00926C40"/>
    <w:rsid w:val="009270FB"/>
    <w:rsid w:val="00927314"/>
    <w:rsid w:val="00927470"/>
    <w:rsid w:val="0092797D"/>
    <w:rsid w:val="00927BB5"/>
    <w:rsid w:val="00927E3A"/>
    <w:rsid w:val="00930087"/>
    <w:rsid w:val="009300A0"/>
    <w:rsid w:val="00930BB8"/>
    <w:rsid w:val="00930DC4"/>
    <w:rsid w:val="00931401"/>
    <w:rsid w:val="009315AA"/>
    <w:rsid w:val="0093164B"/>
    <w:rsid w:val="00931DF8"/>
    <w:rsid w:val="00931DFC"/>
    <w:rsid w:val="0093222E"/>
    <w:rsid w:val="009323AD"/>
    <w:rsid w:val="0093267C"/>
    <w:rsid w:val="00932807"/>
    <w:rsid w:val="00933025"/>
    <w:rsid w:val="00933123"/>
    <w:rsid w:val="0093336D"/>
    <w:rsid w:val="00933386"/>
    <w:rsid w:val="00933690"/>
    <w:rsid w:val="00933A5C"/>
    <w:rsid w:val="00933CD2"/>
    <w:rsid w:val="00933D34"/>
    <w:rsid w:val="00933F41"/>
    <w:rsid w:val="009342D0"/>
    <w:rsid w:val="0093438B"/>
    <w:rsid w:val="009348FA"/>
    <w:rsid w:val="00934B42"/>
    <w:rsid w:val="00934B45"/>
    <w:rsid w:val="00934BCC"/>
    <w:rsid w:val="00934C6B"/>
    <w:rsid w:val="00934CDD"/>
    <w:rsid w:val="00934F92"/>
    <w:rsid w:val="00935125"/>
    <w:rsid w:val="00935607"/>
    <w:rsid w:val="0093587C"/>
    <w:rsid w:val="009359B1"/>
    <w:rsid w:val="00935A52"/>
    <w:rsid w:val="00935A9E"/>
    <w:rsid w:val="00935D5F"/>
    <w:rsid w:val="0093600B"/>
    <w:rsid w:val="0093653A"/>
    <w:rsid w:val="00936957"/>
    <w:rsid w:val="00936E6B"/>
    <w:rsid w:val="00937116"/>
    <w:rsid w:val="00937730"/>
    <w:rsid w:val="0093777A"/>
    <w:rsid w:val="00937D82"/>
    <w:rsid w:val="00937E89"/>
    <w:rsid w:val="00937FE5"/>
    <w:rsid w:val="00940007"/>
    <w:rsid w:val="009401F9"/>
    <w:rsid w:val="009403D2"/>
    <w:rsid w:val="00940485"/>
    <w:rsid w:val="009405BC"/>
    <w:rsid w:val="009407DB"/>
    <w:rsid w:val="00940BA9"/>
    <w:rsid w:val="00940D89"/>
    <w:rsid w:val="0094114D"/>
    <w:rsid w:val="00941445"/>
    <w:rsid w:val="00941638"/>
    <w:rsid w:val="0094170C"/>
    <w:rsid w:val="009417C3"/>
    <w:rsid w:val="00941813"/>
    <w:rsid w:val="00941AA8"/>
    <w:rsid w:val="00941BE4"/>
    <w:rsid w:val="00941F7E"/>
    <w:rsid w:val="009422CA"/>
    <w:rsid w:val="0094235A"/>
    <w:rsid w:val="009424F3"/>
    <w:rsid w:val="0094253D"/>
    <w:rsid w:val="00942643"/>
    <w:rsid w:val="00942A56"/>
    <w:rsid w:val="00942B12"/>
    <w:rsid w:val="00942B4E"/>
    <w:rsid w:val="00943117"/>
    <w:rsid w:val="00943227"/>
    <w:rsid w:val="00943654"/>
    <w:rsid w:val="009436C4"/>
    <w:rsid w:val="0094388C"/>
    <w:rsid w:val="00943DB4"/>
    <w:rsid w:val="00943F5D"/>
    <w:rsid w:val="00944093"/>
    <w:rsid w:val="00944244"/>
    <w:rsid w:val="00944E3A"/>
    <w:rsid w:val="00944F2C"/>
    <w:rsid w:val="009451F0"/>
    <w:rsid w:val="009456AC"/>
    <w:rsid w:val="00945BF5"/>
    <w:rsid w:val="00945CD4"/>
    <w:rsid w:val="00945EA5"/>
    <w:rsid w:val="0094663E"/>
    <w:rsid w:val="009467ED"/>
    <w:rsid w:val="00946B04"/>
    <w:rsid w:val="00946F16"/>
    <w:rsid w:val="009475B2"/>
    <w:rsid w:val="00947A43"/>
    <w:rsid w:val="00947CE8"/>
    <w:rsid w:val="00950177"/>
    <w:rsid w:val="00950569"/>
    <w:rsid w:val="00950861"/>
    <w:rsid w:val="009508FC"/>
    <w:rsid w:val="0095093B"/>
    <w:rsid w:val="00950A38"/>
    <w:rsid w:val="00950CC4"/>
    <w:rsid w:val="00951077"/>
    <w:rsid w:val="009511A0"/>
    <w:rsid w:val="009511DA"/>
    <w:rsid w:val="00951733"/>
    <w:rsid w:val="0095187A"/>
    <w:rsid w:val="00951A17"/>
    <w:rsid w:val="00951B78"/>
    <w:rsid w:val="00951DAE"/>
    <w:rsid w:val="00951FA3"/>
    <w:rsid w:val="00952D9D"/>
    <w:rsid w:val="00952E6C"/>
    <w:rsid w:val="00953228"/>
    <w:rsid w:val="0095336D"/>
    <w:rsid w:val="00953536"/>
    <w:rsid w:val="00953C00"/>
    <w:rsid w:val="00953EC4"/>
    <w:rsid w:val="009547DB"/>
    <w:rsid w:val="00954DB3"/>
    <w:rsid w:val="00955277"/>
    <w:rsid w:val="0095553E"/>
    <w:rsid w:val="00955911"/>
    <w:rsid w:val="00955A23"/>
    <w:rsid w:val="00955E08"/>
    <w:rsid w:val="00955FC3"/>
    <w:rsid w:val="0095600E"/>
    <w:rsid w:val="009560FA"/>
    <w:rsid w:val="0095674D"/>
    <w:rsid w:val="0095737B"/>
    <w:rsid w:val="009575CC"/>
    <w:rsid w:val="009576DB"/>
    <w:rsid w:val="009605FE"/>
    <w:rsid w:val="00960688"/>
    <w:rsid w:val="00960DB5"/>
    <w:rsid w:val="00960FC6"/>
    <w:rsid w:val="0096116F"/>
    <w:rsid w:val="00961603"/>
    <w:rsid w:val="00961746"/>
    <w:rsid w:val="00961768"/>
    <w:rsid w:val="009617AF"/>
    <w:rsid w:val="00961D9E"/>
    <w:rsid w:val="00961FAF"/>
    <w:rsid w:val="0096244D"/>
    <w:rsid w:val="0096258E"/>
    <w:rsid w:val="0096283C"/>
    <w:rsid w:val="00962A33"/>
    <w:rsid w:val="00962BC7"/>
    <w:rsid w:val="00962D67"/>
    <w:rsid w:val="00962EC0"/>
    <w:rsid w:val="0096304A"/>
    <w:rsid w:val="009631C1"/>
    <w:rsid w:val="009636DC"/>
    <w:rsid w:val="009636EA"/>
    <w:rsid w:val="0096389D"/>
    <w:rsid w:val="009638DD"/>
    <w:rsid w:val="00963A33"/>
    <w:rsid w:val="00963AD8"/>
    <w:rsid w:val="00963C32"/>
    <w:rsid w:val="00963C7F"/>
    <w:rsid w:val="00963CA4"/>
    <w:rsid w:val="009646A2"/>
    <w:rsid w:val="0096492B"/>
    <w:rsid w:val="00964F6F"/>
    <w:rsid w:val="00964FC6"/>
    <w:rsid w:val="0096574C"/>
    <w:rsid w:val="00965890"/>
    <w:rsid w:val="009658A6"/>
    <w:rsid w:val="00965B34"/>
    <w:rsid w:val="00965CB7"/>
    <w:rsid w:val="00965CC9"/>
    <w:rsid w:val="009660CE"/>
    <w:rsid w:val="00966191"/>
    <w:rsid w:val="0096626A"/>
    <w:rsid w:val="00966323"/>
    <w:rsid w:val="00966778"/>
    <w:rsid w:val="00966E43"/>
    <w:rsid w:val="00966E91"/>
    <w:rsid w:val="00967432"/>
    <w:rsid w:val="0096760F"/>
    <w:rsid w:val="00967813"/>
    <w:rsid w:val="00967EFD"/>
    <w:rsid w:val="00970112"/>
    <w:rsid w:val="00970331"/>
    <w:rsid w:val="00970653"/>
    <w:rsid w:val="00970B91"/>
    <w:rsid w:val="00970FC6"/>
    <w:rsid w:val="0097136C"/>
    <w:rsid w:val="00971E5C"/>
    <w:rsid w:val="00971FBF"/>
    <w:rsid w:val="00972245"/>
    <w:rsid w:val="00972966"/>
    <w:rsid w:val="00972D89"/>
    <w:rsid w:val="00972E62"/>
    <w:rsid w:val="00972EAE"/>
    <w:rsid w:val="00973094"/>
    <w:rsid w:val="009734B1"/>
    <w:rsid w:val="009737D1"/>
    <w:rsid w:val="00973CBD"/>
    <w:rsid w:val="00974537"/>
    <w:rsid w:val="00974710"/>
    <w:rsid w:val="00974993"/>
    <w:rsid w:val="00974D8F"/>
    <w:rsid w:val="0097531F"/>
    <w:rsid w:val="0097542D"/>
    <w:rsid w:val="009754D3"/>
    <w:rsid w:val="00975F50"/>
    <w:rsid w:val="00976366"/>
    <w:rsid w:val="00976533"/>
    <w:rsid w:val="009765A5"/>
    <w:rsid w:val="009765AA"/>
    <w:rsid w:val="00976A11"/>
    <w:rsid w:val="00976A9A"/>
    <w:rsid w:val="009771B2"/>
    <w:rsid w:val="0097722A"/>
    <w:rsid w:val="00977378"/>
    <w:rsid w:val="0097744F"/>
    <w:rsid w:val="009776A9"/>
    <w:rsid w:val="00977719"/>
    <w:rsid w:val="0097794F"/>
    <w:rsid w:val="009807B0"/>
    <w:rsid w:val="00980A75"/>
    <w:rsid w:val="00980C94"/>
    <w:rsid w:val="00980D58"/>
    <w:rsid w:val="00980E79"/>
    <w:rsid w:val="009810F3"/>
    <w:rsid w:val="0098117F"/>
    <w:rsid w:val="0098149F"/>
    <w:rsid w:val="00981F4D"/>
    <w:rsid w:val="0098208A"/>
    <w:rsid w:val="00982528"/>
    <w:rsid w:val="009832FA"/>
    <w:rsid w:val="0098399F"/>
    <w:rsid w:val="00983B7E"/>
    <w:rsid w:val="00983C4C"/>
    <w:rsid w:val="00984323"/>
    <w:rsid w:val="00984475"/>
    <w:rsid w:val="0098460A"/>
    <w:rsid w:val="00984A65"/>
    <w:rsid w:val="00984C72"/>
    <w:rsid w:val="0098537C"/>
    <w:rsid w:val="009854B0"/>
    <w:rsid w:val="00985664"/>
    <w:rsid w:val="00985C43"/>
    <w:rsid w:val="00985DF2"/>
    <w:rsid w:val="0098618D"/>
    <w:rsid w:val="0098688F"/>
    <w:rsid w:val="00987471"/>
    <w:rsid w:val="00987500"/>
    <w:rsid w:val="009876AD"/>
    <w:rsid w:val="00987839"/>
    <w:rsid w:val="00987CD7"/>
    <w:rsid w:val="00987D9E"/>
    <w:rsid w:val="00987F6E"/>
    <w:rsid w:val="00990738"/>
    <w:rsid w:val="00990827"/>
    <w:rsid w:val="00990A21"/>
    <w:rsid w:val="00990F4F"/>
    <w:rsid w:val="00991067"/>
    <w:rsid w:val="00991559"/>
    <w:rsid w:val="009916C1"/>
    <w:rsid w:val="00992057"/>
    <w:rsid w:val="00992406"/>
    <w:rsid w:val="0099243D"/>
    <w:rsid w:val="00992531"/>
    <w:rsid w:val="009925AD"/>
    <w:rsid w:val="00992A8D"/>
    <w:rsid w:val="00992C5B"/>
    <w:rsid w:val="00992DA7"/>
    <w:rsid w:val="009931FF"/>
    <w:rsid w:val="009935C2"/>
    <w:rsid w:val="009935F5"/>
    <w:rsid w:val="0099366D"/>
    <w:rsid w:val="00993F0F"/>
    <w:rsid w:val="00993F93"/>
    <w:rsid w:val="00994008"/>
    <w:rsid w:val="00994648"/>
    <w:rsid w:val="00994A43"/>
    <w:rsid w:val="00994D7A"/>
    <w:rsid w:val="00994E08"/>
    <w:rsid w:val="00995883"/>
    <w:rsid w:val="009958C2"/>
    <w:rsid w:val="00995E9F"/>
    <w:rsid w:val="00996199"/>
    <w:rsid w:val="009961FB"/>
    <w:rsid w:val="009969D1"/>
    <w:rsid w:val="00996C22"/>
    <w:rsid w:val="00996D75"/>
    <w:rsid w:val="009976BC"/>
    <w:rsid w:val="009976E9"/>
    <w:rsid w:val="009977B5"/>
    <w:rsid w:val="009979DA"/>
    <w:rsid w:val="00997ACD"/>
    <w:rsid w:val="00997B71"/>
    <w:rsid w:val="00997D02"/>
    <w:rsid w:val="00997F4B"/>
    <w:rsid w:val="00997F84"/>
    <w:rsid w:val="009A0320"/>
    <w:rsid w:val="009A05B2"/>
    <w:rsid w:val="009A076B"/>
    <w:rsid w:val="009A07BA"/>
    <w:rsid w:val="009A087D"/>
    <w:rsid w:val="009A0880"/>
    <w:rsid w:val="009A0D10"/>
    <w:rsid w:val="009A10E6"/>
    <w:rsid w:val="009A1422"/>
    <w:rsid w:val="009A14BD"/>
    <w:rsid w:val="009A15E8"/>
    <w:rsid w:val="009A20AB"/>
    <w:rsid w:val="009A25C6"/>
    <w:rsid w:val="009A2F3B"/>
    <w:rsid w:val="009A30A0"/>
    <w:rsid w:val="009A31E8"/>
    <w:rsid w:val="009A31FE"/>
    <w:rsid w:val="009A3232"/>
    <w:rsid w:val="009A3508"/>
    <w:rsid w:val="009A36DA"/>
    <w:rsid w:val="009A3A57"/>
    <w:rsid w:val="009A3D5D"/>
    <w:rsid w:val="009A3F4B"/>
    <w:rsid w:val="009A52E0"/>
    <w:rsid w:val="009A55E3"/>
    <w:rsid w:val="009A5B56"/>
    <w:rsid w:val="009A5C85"/>
    <w:rsid w:val="009A5D7E"/>
    <w:rsid w:val="009A616D"/>
    <w:rsid w:val="009A6ED3"/>
    <w:rsid w:val="009A7255"/>
    <w:rsid w:val="009A758C"/>
    <w:rsid w:val="009A766B"/>
    <w:rsid w:val="009A79F2"/>
    <w:rsid w:val="009A7CAA"/>
    <w:rsid w:val="009A7E88"/>
    <w:rsid w:val="009A7EE7"/>
    <w:rsid w:val="009A7F95"/>
    <w:rsid w:val="009B0160"/>
    <w:rsid w:val="009B0180"/>
    <w:rsid w:val="009B0875"/>
    <w:rsid w:val="009B0A67"/>
    <w:rsid w:val="009B106E"/>
    <w:rsid w:val="009B113E"/>
    <w:rsid w:val="009B115D"/>
    <w:rsid w:val="009B19D9"/>
    <w:rsid w:val="009B1AEB"/>
    <w:rsid w:val="009B1E16"/>
    <w:rsid w:val="009B1E1A"/>
    <w:rsid w:val="009B226C"/>
    <w:rsid w:val="009B248E"/>
    <w:rsid w:val="009B2736"/>
    <w:rsid w:val="009B2A27"/>
    <w:rsid w:val="009B2D8C"/>
    <w:rsid w:val="009B3426"/>
    <w:rsid w:val="009B359C"/>
    <w:rsid w:val="009B35EA"/>
    <w:rsid w:val="009B3720"/>
    <w:rsid w:val="009B395D"/>
    <w:rsid w:val="009B395F"/>
    <w:rsid w:val="009B3ADE"/>
    <w:rsid w:val="009B3D99"/>
    <w:rsid w:val="009B4052"/>
    <w:rsid w:val="009B4552"/>
    <w:rsid w:val="009B4A18"/>
    <w:rsid w:val="009B4C51"/>
    <w:rsid w:val="009B4D66"/>
    <w:rsid w:val="009B4DE1"/>
    <w:rsid w:val="009B4FE7"/>
    <w:rsid w:val="009B574F"/>
    <w:rsid w:val="009B5920"/>
    <w:rsid w:val="009B5C9B"/>
    <w:rsid w:val="009B5E0D"/>
    <w:rsid w:val="009B6020"/>
    <w:rsid w:val="009B6096"/>
    <w:rsid w:val="009B6331"/>
    <w:rsid w:val="009B6822"/>
    <w:rsid w:val="009B6D2C"/>
    <w:rsid w:val="009B6EB1"/>
    <w:rsid w:val="009B6F79"/>
    <w:rsid w:val="009B7A88"/>
    <w:rsid w:val="009B7F28"/>
    <w:rsid w:val="009C016C"/>
    <w:rsid w:val="009C0259"/>
    <w:rsid w:val="009C06C3"/>
    <w:rsid w:val="009C0FF7"/>
    <w:rsid w:val="009C12ED"/>
    <w:rsid w:val="009C1337"/>
    <w:rsid w:val="009C1438"/>
    <w:rsid w:val="009C1BC3"/>
    <w:rsid w:val="009C1D29"/>
    <w:rsid w:val="009C1F9D"/>
    <w:rsid w:val="009C1FCA"/>
    <w:rsid w:val="009C2054"/>
    <w:rsid w:val="009C24E6"/>
    <w:rsid w:val="009C2559"/>
    <w:rsid w:val="009C283B"/>
    <w:rsid w:val="009C2867"/>
    <w:rsid w:val="009C2879"/>
    <w:rsid w:val="009C2882"/>
    <w:rsid w:val="009C2962"/>
    <w:rsid w:val="009C2A84"/>
    <w:rsid w:val="009C37A8"/>
    <w:rsid w:val="009C38DB"/>
    <w:rsid w:val="009C3D66"/>
    <w:rsid w:val="009C3F1B"/>
    <w:rsid w:val="009C4277"/>
    <w:rsid w:val="009C43F2"/>
    <w:rsid w:val="009C461C"/>
    <w:rsid w:val="009C51DA"/>
    <w:rsid w:val="009C5FC6"/>
    <w:rsid w:val="009C6060"/>
    <w:rsid w:val="009C63B0"/>
    <w:rsid w:val="009C64A5"/>
    <w:rsid w:val="009C67E5"/>
    <w:rsid w:val="009C6909"/>
    <w:rsid w:val="009C6A65"/>
    <w:rsid w:val="009C6A70"/>
    <w:rsid w:val="009C6BA4"/>
    <w:rsid w:val="009C6E36"/>
    <w:rsid w:val="009C6F2A"/>
    <w:rsid w:val="009C6F30"/>
    <w:rsid w:val="009C72E1"/>
    <w:rsid w:val="009C79F5"/>
    <w:rsid w:val="009C79FD"/>
    <w:rsid w:val="009C7D07"/>
    <w:rsid w:val="009C7D52"/>
    <w:rsid w:val="009C7EBA"/>
    <w:rsid w:val="009C7FD0"/>
    <w:rsid w:val="009D0156"/>
    <w:rsid w:val="009D09AE"/>
    <w:rsid w:val="009D0B5E"/>
    <w:rsid w:val="009D0B62"/>
    <w:rsid w:val="009D0BBA"/>
    <w:rsid w:val="009D0C2B"/>
    <w:rsid w:val="009D0F1F"/>
    <w:rsid w:val="009D0FAE"/>
    <w:rsid w:val="009D14B7"/>
    <w:rsid w:val="009D14FF"/>
    <w:rsid w:val="009D1DB2"/>
    <w:rsid w:val="009D2268"/>
    <w:rsid w:val="009D24B7"/>
    <w:rsid w:val="009D2B9A"/>
    <w:rsid w:val="009D38EB"/>
    <w:rsid w:val="009D479D"/>
    <w:rsid w:val="009D4856"/>
    <w:rsid w:val="009D4A10"/>
    <w:rsid w:val="009D51FE"/>
    <w:rsid w:val="009D55FA"/>
    <w:rsid w:val="009D5E58"/>
    <w:rsid w:val="009D63E8"/>
    <w:rsid w:val="009D6426"/>
    <w:rsid w:val="009D6491"/>
    <w:rsid w:val="009D64C6"/>
    <w:rsid w:val="009D6695"/>
    <w:rsid w:val="009D6719"/>
    <w:rsid w:val="009D68D7"/>
    <w:rsid w:val="009D6EDE"/>
    <w:rsid w:val="009D7381"/>
    <w:rsid w:val="009D7571"/>
    <w:rsid w:val="009D777B"/>
    <w:rsid w:val="009D7833"/>
    <w:rsid w:val="009D79BF"/>
    <w:rsid w:val="009D7C43"/>
    <w:rsid w:val="009D7DC9"/>
    <w:rsid w:val="009E018C"/>
    <w:rsid w:val="009E0206"/>
    <w:rsid w:val="009E02F3"/>
    <w:rsid w:val="009E0907"/>
    <w:rsid w:val="009E0A10"/>
    <w:rsid w:val="009E0AB4"/>
    <w:rsid w:val="009E0ECE"/>
    <w:rsid w:val="009E0F5E"/>
    <w:rsid w:val="009E10E1"/>
    <w:rsid w:val="009E11D3"/>
    <w:rsid w:val="009E17B3"/>
    <w:rsid w:val="009E1C29"/>
    <w:rsid w:val="009E20A7"/>
    <w:rsid w:val="009E2268"/>
    <w:rsid w:val="009E2352"/>
    <w:rsid w:val="009E2539"/>
    <w:rsid w:val="009E26FA"/>
    <w:rsid w:val="009E29C8"/>
    <w:rsid w:val="009E2EBF"/>
    <w:rsid w:val="009E325D"/>
    <w:rsid w:val="009E41DC"/>
    <w:rsid w:val="009E4683"/>
    <w:rsid w:val="009E4A62"/>
    <w:rsid w:val="009E4B89"/>
    <w:rsid w:val="009E4D53"/>
    <w:rsid w:val="009E5011"/>
    <w:rsid w:val="009E57A7"/>
    <w:rsid w:val="009E587E"/>
    <w:rsid w:val="009E5B94"/>
    <w:rsid w:val="009E5BDB"/>
    <w:rsid w:val="009E5DA1"/>
    <w:rsid w:val="009E5DBA"/>
    <w:rsid w:val="009E5EA6"/>
    <w:rsid w:val="009E6091"/>
    <w:rsid w:val="009E6437"/>
    <w:rsid w:val="009E651B"/>
    <w:rsid w:val="009E68F1"/>
    <w:rsid w:val="009E690F"/>
    <w:rsid w:val="009E6924"/>
    <w:rsid w:val="009E6D98"/>
    <w:rsid w:val="009E6E4C"/>
    <w:rsid w:val="009E76B6"/>
    <w:rsid w:val="009E76B8"/>
    <w:rsid w:val="009E7746"/>
    <w:rsid w:val="009E7A53"/>
    <w:rsid w:val="009F0275"/>
    <w:rsid w:val="009F035A"/>
    <w:rsid w:val="009F0502"/>
    <w:rsid w:val="009F0943"/>
    <w:rsid w:val="009F0D52"/>
    <w:rsid w:val="009F0DF5"/>
    <w:rsid w:val="009F0F9F"/>
    <w:rsid w:val="009F0FA7"/>
    <w:rsid w:val="009F101C"/>
    <w:rsid w:val="009F1442"/>
    <w:rsid w:val="009F1786"/>
    <w:rsid w:val="009F2115"/>
    <w:rsid w:val="009F25F7"/>
    <w:rsid w:val="009F286B"/>
    <w:rsid w:val="009F2883"/>
    <w:rsid w:val="009F2AE6"/>
    <w:rsid w:val="009F3033"/>
    <w:rsid w:val="009F341C"/>
    <w:rsid w:val="009F37A7"/>
    <w:rsid w:val="009F3B20"/>
    <w:rsid w:val="009F3CE8"/>
    <w:rsid w:val="009F4706"/>
    <w:rsid w:val="009F4761"/>
    <w:rsid w:val="009F4C3A"/>
    <w:rsid w:val="009F4E53"/>
    <w:rsid w:val="009F4ED6"/>
    <w:rsid w:val="009F56E1"/>
    <w:rsid w:val="009F5A78"/>
    <w:rsid w:val="009F5AA9"/>
    <w:rsid w:val="009F5AD5"/>
    <w:rsid w:val="009F5BB7"/>
    <w:rsid w:val="009F600C"/>
    <w:rsid w:val="009F6514"/>
    <w:rsid w:val="009F6550"/>
    <w:rsid w:val="009F6637"/>
    <w:rsid w:val="009F6A49"/>
    <w:rsid w:val="009F6C3C"/>
    <w:rsid w:val="009F6CA5"/>
    <w:rsid w:val="009F6D93"/>
    <w:rsid w:val="009F6DFD"/>
    <w:rsid w:val="009F7189"/>
    <w:rsid w:val="009F7347"/>
    <w:rsid w:val="009F7357"/>
    <w:rsid w:val="009F752D"/>
    <w:rsid w:val="009F7987"/>
    <w:rsid w:val="009F7B02"/>
    <w:rsid w:val="009F7B60"/>
    <w:rsid w:val="009F7E1D"/>
    <w:rsid w:val="009F7FAC"/>
    <w:rsid w:val="009F7FE4"/>
    <w:rsid w:val="00A00212"/>
    <w:rsid w:val="00A00260"/>
    <w:rsid w:val="00A0035E"/>
    <w:rsid w:val="00A004E4"/>
    <w:rsid w:val="00A00C7E"/>
    <w:rsid w:val="00A00D92"/>
    <w:rsid w:val="00A012B2"/>
    <w:rsid w:val="00A01968"/>
    <w:rsid w:val="00A01A9B"/>
    <w:rsid w:val="00A01E83"/>
    <w:rsid w:val="00A01EC2"/>
    <w:rsid w:val="00A01FBF"/>
    <w:rsid w:val="00A02680"/>
    <w:rsid w:val="00A0286A"/>
    <w:rsid w:val="00A02A78"/>
    <w:rsid w:val="00A02E0A"/>
    <w:rsid w:val="00A03188"/>
    <w:rsid w:val="00A03300"/>
    <w:rsid w:val="00A034D0"/>
    <w:rsid w:val="00A035C4"/>
    <w:rsid w:val="00A0376A"/>
    <w:rsid w:val="00A03781"/>
    <w:rsid w:val="00A037C2"/>
    <w:rsid w:val="00A04549"/>
    <w:rsid w:val="00A04651"/>
    <w:rsid w:val="00A04FBD"/>
    <w:rsid w:val="00A05039"/>
    <w:rsid w:val="00A05390"/>
    <w:rsid w:val="00A05699"/>
    <w:rsid w:val="00A0569E"/>
    <w:rsid w:val="00A05811"/>
    <w:rsid w:val="00A05A39"/>
    <w:rsid w:val="00A05B5B"/>
    <w:rsid w:val="00A05C7F"/>
    <w:rsid w:val="00A05CCE"/>
    <w:rsid w:val="00A060B0"/>
    <w:rsid w:val="00A06975"/>
    <w:rsid w:val="00A06C0D"/>
    <w:rsid w:val="00A06C2B"/>
    <w:rsid w:val="00A07081"/>
    <w:rsid w:val="00A072CE"/>
    <w:rsid w:val="00A07A6F"/>
    <w:rsid w:val="00A07B6F"/>
    <w:rsid w:val="00A07BE4"/>
    <w:rsid w:val="00A07CF1"/>
    <w:rsid w:val="00A07D3A"/>
    <w:rsid w:val="00A07DA9"/>
    <w:rsid w:val="00A07DD7"/>
    <w:rsid w:val="00A07E5D"/>
    <w:rsid w:val="00A07F47"/>
    <w:rsid w:val="00A10C5C"/>
    <w:rsid w:val="00A10E97"/>
    <w:rsid w:val="00A10EDC"/>
    <w:rsid w:val="00A11194"/>
    <w:rsid w:val="00A112C3"/>
    <w:rsid w:val="00A115A7"/>
    <w:rsid w:val="00A115B0"/>
    <w:rsid w:val="00A1172C"/>
    <w:rsid w:val="00A1297A"/>
    <w:rsid w:val="00A12AE1"/>
    <w:rsid w:val="00A12C01"/>
    <w:rsid w:val="00A12E44"/>
    <w:rsid w:val="00A12E83"/>
    <w:rsid w:val="00A131CB"/>
    <w:rsid w:val="00A135D7"/>
    <w:rsid w:val="00A138AE"/>
    <w:rsid w:val="00A13C01"/>
    <w:rsid w:val="00A13EF6"/>
    <w:rsid w:val="00A145A8"/>
    <w:rsid w:val="00A14607"/>
    <w:rsid w:val="00A14716"/>
    <w:rsid w:val="00A14864"/>
    <w:rsid w:val="00A14983"/>
    <w:rsid w:val="00A14CAB"/>
    <w:rsid w:val="00A14D6C"/>
    <w:rsid w:val="00A157D1"/>
    <w:rsid w:val="00A15DEB"/>
    <w:rsid w:val="00A15E1E"/>
    <w:rsid w:val="00A167ED"/>
    <w:rsid w:val="00A16B2B"/>
    <w:rsid w:val="00A16C7A"/>
    <w:rsid w:val="00A16E48"/>
    <w:rsid w:val="00A16F14"/>
    <w:rsid w:val="00A170F1"/>
    <w:rsid w:val="00A17442"/>
    <w:rsid w:val="00A17599"/>
    <w:rsid w:val="00A176E5"/>
    <w:rsid w:val="00A17735"/>
    <w:rsid w:val="00A177AB"/>
    <w:rsid w:val="00A17A90"/>
    <w:rsid w:val="00A204D6"/>
    <w:rsid w:val="00A209F7"/>
    <w:rsid w:val="00A20D8B"/>
    <w:rsid w:val="00A21128"/>
    <w:rsid w:val="00A213CA"/>
    <w:rsid w:val="00A214AC"/>
    <w:rsid w:val="00A216A7"/>
    <w:rsid w:val="00A2177F"/>
    <w:rsid w:val="00A2181B"/>
    <w:rsid w:val="00A21989"/>
    <w:rsid w:val="00A21B66"/>
    <w:rsid w:val="00A21EFA"/>
    <w:rsid w:val="00A22173"/>
    <w:rsid w:val="00A222FF"/>
    <w:rsid w:val="00A2293C"/>
    <w:rsid w:val="00A22A87"/>
    <w:rsid w:val="00A22CE5"/>
    <w:rsid w:val="00A23071"/>
    <w:rsid w:val="00A234EC"/>
    <w:rsid w:val="00A23A2F"/>
    <w:rsid w:val="00A2418C"/>
    <w:rsid w:val="00A2434E"/>
    <w:rsid w:val="00A246BF"/>
    <w:rsid w:val="00A24A7C"/>
    <w:rsid w:val="00A24D17"/>
    <w:rsid w:val="00A25225"/>
    <w:rsid w:val="00A253F6"/>
    <w:rsid w:val="00A25552"/>
    <w:rsid w:val="00A25A8A"/>
    <w:rsid w:val="00A25E35"/>
    <w:rsid w:val="00A25E7B"/>
    <w:rsid w:val="00A261C1"/>
    <w:rsid w:val="00A261ED"/>
    <w:rsid w:val="00A267AF"/>
    <w:rsid w:val="00A2690D"/>
    <w:rsid w:val="00A26EB1"/>
    <w:rsid w:val="00A27145"/>
    <w:rsid w:val="00A27B41"/>
    <w:rsid w:val="00A27B84"/>
    <w:rsid w:val="00A27BE1"/>
    <w:rsid w:val="00A27FE0"/>
    <w:rsid w:val="00A30469"/>
    <w:rsid w:val="00A30526"/>
    <w:rsid w:val="00A305E0"/>
    <w:rsid w:val="00A30804"/>
    <w:rsid w:val="00A31911"/>
    <w:rsid w:val="00A31B6A"/>
    <w:rsid w:val="00A3205C"/>
    <w:rsid w:val="00A321A1"/>
    <w:rsid w:val="00A3240E"/>
    <w:rsid w:val="00A3278A"/>
    <w:rsid w:val="00A32894"/>
    <w:rsid w:val="00A32D10"/>
    <w:rsid w:val="00A33508"/>
    <w:rsid w:val="00A3377D"/>
    <w:rsid w:val="00A33A92"/>
    <w:rsid w:val="00A340D5"/>
    <w:rsid w:val="00A34543"/>
    <w:rsid w:val="00A34552"/>
    <w:rsid w:val="00A34901"/>
    <w:rsid w:val="00A349DA"/>
    <w:rsid w:val="00A352FA"/>
    <w:rsid w:val="00A35391"/>
    <w:rsid w:val="00A3575A"/>
    <w:rsid w:val="00A35760"/>
    <w:rsid w:val="00A357F6"/>
    <w:rsid w:val="00A358AD"/>
    <w:rsid w:val="00A358CE"/>
    <w:rsid w:val="00A35909"/>
    <w:rsid w:val="00A35C5A"/>
    <w:rsid w:val="00A35CCD"/>
    <w:rsid w:val="00A35D9D"/>
    <w:rsid w:val="00A35E39"/>
    <w:rsid w:val="00A364E9"/>
    <w:rsid w:val="00A36813"/>
    <w:rsid w:val="00A36837"/>
    <w:rsid w:val="00A37118"/>
    <w:rsid w:val="00A37530"/>
    <w:rsid w:val="00A37877"/>
    <w:rsid w:val="00A37A32"/>
    <w:rsid w:val="00A37F2D"/>
    <w:rsid w:val="00A37FF8"/>
    <w:rsid w:val="00A40002"/>
    <w:rsid w:val="00A400D9"/>
    <w:rsid w:val="00A40672"/>
    <w:rsid w:val="00A406F1"/>
    <w:rsid w:val="00A40B2D"/>
    <w:rsid w:val="00A40CDA"/>
    <w:rsid w:val="00A40F3A"/>
    <w:rsid w:val="00A40FD8"/>
    <w:rsid w:val="00A413B6"/>
    <w:rsid w:val="00A41C0A"/>
    <w:rsid w:val="00A41EA9"/>
    <w:rsid w:val="00A42127"/>
    <w:rsid w:val="00A426A6"/>
    <w:rsid w:val="00A427CB"/>
    <w:rsid w:val="00A42870"/>
    <w:rsid w:val="00A42BE6"/>
    <w:rsid w:val="00A433CB"/>
    <w:rsid w:val="00A435B0"/>
    <w:rsid w:val="00A435FB"/>
    <w:rsid w:val="00A4366C"/>
    <w:rsid w:val="00A43A01"/>
    <w:rsid w:val="00A43A4C"/>
    <w:rsid w:val="00A43AFC"/>
    <w:rsid w:val="00A43D37"/>
    <w:rsid w:val="00A4410F"/>
    <w:rsid w:val="00A442E9"/>
    <w:rsid w:val="00A44566"/>
    <w:rsid w:val="00A44977"/>
    <w:rsid w:val="00A44A2A"/>
    <w:rsid w:val="00A44DBB"/>
    <w:rsid w:val="00A44FE8"/>
    <w:rsid w:val="00A451CE"/>
    <w:rsid w:val="00A4522A"/>
    <w:rsid w:val="00A45D8F"/>
    <w:rsid w:val="00A45E13"/>
    <w:rsid w:val="00A4605E"/>
    <w:rsid w:val="00A460F6"/>
    <w:rsid w:val="00A46260"/>
    <w:rsid w:val="00A46901"/>
    <w:rsid w:val="00A47074"/>
    <w:rsid w:val="00A4757F"/>
    <w:rsid w:val="00A4776D"/>
    <w:rsid w:val="00A478E8"/>
    <w:rsid w:val="00A47F07"/>
    <w:rsid w:val="00A50450"/>
    <w:rsid w:val="00A507FE"/>
    <w:rsid w:val="00A50DE5"/>
    <w:rsid w:val="00A512C9"/>
    <w:rsid w:val="00A512FC"/>
    <w:rsid w:val="00A5188F"/>
    <w:rsid w:val="00A51898"/>
    <w:rsid w:val="00A51FB5"/>
    <w:rsid w:val="00A52105"/>
    <w:rsid w:val="00A52119"/>
    <w:rsid w:val="00A52157"/>
    <w:rsid w:val="00A524A0"/>
    <w:rsid w:val="00A52843"/>
    <w:rsid w:val="00A52B73"/>
    <w:rsid w:val="00A52E09"/>
    <w:rsid w:val="00A52EC7"/>
    <w:rsid w:val="00A534F9"/>
    <w:rsid w:val="00A53C9C"/>
    <w:rsid w:val="00A53E70"/>
    <w:rsid w:val="00A53E89"/>
    <w:rsid w:val="00A544E5"/>
    <w:rsid w:val="00A546CC"/>
    <w:rsid w:val="00A54FA3"/>
    <w:rsid w:val="00A55240"/>
    <w:rsid w:val="00A55376"/>
    <w:rsid w:val="00A553F3"/>
    <w:rsid w:val="00A555A6"/>
    <w:rsid w:val="00A558CF"/>
    <w:rsid w:val="00A55D37"/>
    <w:rsid w:val="00A55D82"/>
    <w:rsid w:val="00A5605F"/>
    <w:rsid w:val="00A56471"/>
    <w:rsid w:val="00A56AFB"/>
    <w:rsid w:val="00A56B9D"/>
    <w:rsid w:val="00A5703A"/>
    <w:rsid w:val="00A5773F"/>
    <w:rsid w:val="00A57F36"/>
    <w:rsid w:val="00A602EA"/>
    <w:rsid w:val="00A6070A"/>
    <w:rsid w:val="00A60715"/>
    <w:rsid w:val="00A60933"/>
    <w:rsid w:val="00A6165B"/>
    <w:rsid w:val="00A61928"/>
    <w:rsid w:val="00A61953"/>
    <w:rsid w:val="00A61A8E"/>
    <w:rsid w:val="00A61D69"/>
    <w:rsid w:val="00A62092"/>
    <w:rsid w:val="00A620EB"/>
    <w:rsid w:val="00A621CC"/>
    <w:rsid w:val="00A62430"/>
    <w:rsid w:val="00A62606"/>
    <w:rsid w:val="00A627AA"/>
    <w:rsid w:val="00A629E9"/>
    <w:rsid w:val="00A62AEB"/>
    <w:rsid w:val="00A62C9E"/>
    <w:rsid w:val="00A62FB0"/>
    <w:rsid w:val="00A6305C"/>
    <w:rsid w:val="00A637A0"/>
    <w:rsid w:val="00A638F4"/>
    <w:rsid w:val="00A63CCC"/>
    <w:rsid w:val="00A6429A"/>
    <w:rsid w:val="00A64812"/>
    <w:rsid w:val="00A64D0C"/>
    <w:rsid w:val="00A651D5"/>
    <w:rsid w:val="00A658F3"/>
    <w:rsid w:val="00A65B19"/>
    <w:rsid w:val="00A65EB0"/>
    <w:rsid w:val="00A660B2"/>
    <w:rsid w:val="00A661D2"/>
    <w:rsid w:val="00A664F2"/>
    <w:rsid w:val="00A666CB"/>
    <w:rsid w:val="00A6691C"/>
    <w:rsid w:val="00A66B9C"/>
    <w:rsid w:val="00A6734C"/>
    <w:rsid w:val="00A6737A"/>
    <w:rsid w:val="00A678C0"/>
    <w:rsid w:val="00A67B69"/>
    <w:rsid w:val="00A67E32"/>
    <w:rsid w:val="00A67E71"/>
    <w:rsid w:val="00A70153"/>
    <w:rsid w:val="00A702ED"/>
    <w:rsid w:val="00A70316"/>
    <w:rsid w:val="00A703E6"/>
    <w:rsid w:val="00A7048E"/>
    <w:rsid w:val="00A706C2"/>
    <w:rsid w:val="00A70F96"/>
    <w:rsid w:val="00A70FF4"/>
    <w:rsid w:val="00A714C3"/>
    <w:rsid w:val="00A71516"/>
    <w:rsid w:val="00A71D43"/>
    <w:rsid w:val="00A720F3"/>
    <w:rsid w:val="00A72136"/>
    <w:rsid w:val="00A721D4"/>
    <w:rsid w:val="00A72266"/>
    <w:rsid w:val="00A72336"/>
    <w:rsid w:val="00A72657"/>
    <w:rsid w:val="00A72A9B"/>
    <w:rsid w:val="00A72CF3"/>
    <w:rsid w:val="00A72D8C"/>
    <w:rsid w:val="00A72E8F"/>
    <w:rsid w:val="00A73107"/>
    <w:rsid w:val="00A735BC"/>
    <w:rsid w:val="00A73611"/>
    <w:rsid w:val="00A73AF5"/>
    <w:rsid w:val="00A73C1A"/>
    <w:rsid w:val="00A73F22"/>
    <w:rsid w:val="00A7461F"/>
    <w:rsid w:val="00A74668"/>
    <w:rsid w:val="00A746E4"/>
    <w:rsid w:val="00A746F9"/>
    <w:rsid w:val="00A74A01"/>
    <w:rsid w:val="00A75B78"/>
    <w:rsid w:val="00A75F08"/>
    <w:rsid w:val="00A75F23"/>
    <w:rsid w:val="00A761D8"/>
    <w:rsid w:val="00A7636B"/>
    <w:rsid w:val="00A76593"/>
    <w:rsid w:val="00A765C2"/>
    <w:rsid w:val="00A76610"/>
    <w:rsid w:val="00A766A8"/>
    <w:rsid w:val="00A768DD"/>
    <w:rsid w:val="00A76A25"/>
    <w:rsid w:val="00A76DD9"/>
    <w:rsid w:val="00A76EF7"/>
    <w:rsid w:val="00A76F4E"/>
    <w:rsid w:val="00A76FE5"/>
    <w:rsid w:val="00A77076"/>
    <w:rsid w:val="00A77665"/>
    <w:rsid w:val="00A776C3"/>
    <w:rsid w:val="00A7770B"/>
    <w:rsid w:val="00A778DE"/>
    <w:rsid w:val="00A77C9E"/>
    <w:rsid w:val="00A77CA5"/>
    <w:rsid w:val="00A77FC4"/>
    <w:rsid w:val="00A80096"/>
    <w:rsid w:val="00A8031E"/>
    <w:rsid w:val="00A8033A"/>
    <w:rsid w:val="00A80481"/>
    <w:rsid w:val="00A8063F"/>
    <w:rsid w:val="00A80A22"/>
    <w:rsid w:val="00A80AFC"/>
    <w:rsid w:val="00A80D99"/>
    <w:rsid w:val="00A80DC2"/>
    <w:rsid w:val="00A80F68"/>
    <w:rsid w:val="00A81285"/>
    <w:rsid w:val="00A8154E"/>
    <w:rsid w:val="00A8179C"/>
    <w:rsid w:val="00A817B4"/>
    <w:rsid w:val="00A81B1C"/>
    <w:rsid w:val="00A81D43"/>
    <w:rsid w:val="00A81DA4"/>
    <w:rsid w:val="00A8213D"/>
    <w:rsid w:val="00A82191"/>
    <w:rsid w:val="00A8272A"/>
    <w:rsid w:val="00A82CBB"/>
    <w:rsid w:val="00A82F29"/>
    <w:rsid w:val="00A82FCD"/>
    <w:rsid w:val="00A8314C"/>
    <w:rsid w:val="00A83422"/>
    <w:rsid w:val="00A834A4"/>
    <w:rsid w:val="00A83735"/>
    <w:rsid w:val="00A83806"/>
    <w:rsid w:val="00A839C2"/>
    <w:rsid w:val="00A83B20"/>
    <w:rsid w:val="00A83C1F"/>
    <w:rsid w:val="00A83FDE"/>
    <w:rsid w:val="00A840CD"/>
    <w:rsid w:val="00A840F8"/>
    <w:rsid w:val="00A8430C"/>
    <w:rsid w:val="00A84A1A"/>
    <w:rsid w:val="00A84CBE"/>
    <w:rsid w:val="00A85020"/>
    <w:rsid w:val="00A856D2"/>
    <w:rsid w:val="00A85B78"/>
    <w:rsid w:val="00A8664D"/>
    <w:rsid w:val="00A867B6"/>
    <w:rsid w:val="00A86931"/>
    <w:rsid w:val="00A86B7C"/>
    <w:rsid w:val="00A8718D"/>
    <w:rsid w:val="00A871FF"/>
    <w:rsid w:val="00A87477"/>
    <w:rsid w:val="00A87658"/>
    <w:rsid w:val="00A879F8"/>
    <w:rsid w:val="00A87F0D"/>
    <w:rsid w:val="00A90205"/>
    <w:rsid w:val="00A903D8"/>
    <w:rsid w:val="00A90424"/>
    <w:rsid w:val="00A9130E"/>
    <w:rsid w:val="00A9176C"/>
    <w:rsid w:val="00A91AAC"/>
    <w:rsid w:val="00A92239"/>
    <w:rsid w:val="00A922E7"/>
    <w:rsid w:val="00A92311"/>
    <w:rsid w:val="00A9268A"/>
    <w:rsid w:val="00A92740"/>
    <w:rsid w:val="00A9285B"/>
    <w:rsid w:val="00A928C5"/>
    <w:rsid w:val="00A929F6"/>
    <w:rsid w:val="00A92D2B"/>
    <w:rsid w:val="00A92E79"/>
    <w:rsid w:val="00A93183"/>
    <w:rsid w:val="00A9340D"/>
    <w:rsid w:val="00A936C2"/>
    <w:rsid w:val="00A9398E"/>
    <w:rsid w:val="00A93B4A"/>
    <w:rsid w:val="00A93B6B"/>
    <w:rsid w:val="00A93FFD"/>
    <w:rsid w:val="00A94018"/>
    <w:rsid w:val="00A9430C"/>
    <w:rsid w:val="00A943EA"/>
    <w:rsid w:val="00A94885"/>
    <w:rsid w:val="00A9495B"/>
    <w:rsid w:val="00A94D08"/>
    <w:rsid w:val="00A94D99"/>
    <w:rsid w:val="00A950EE"/>
    <w:rsid w:val="00A95133"/>
    <w:rsid w:val="00A95254"/>
    <w:rsid w:val="00A956DE"/>
    <w:rsid w:val="00A95722"/>
    <w:rsid w:val="00A957B2"/>
    <w:rsid w:val="00A95C1E"/>
    <w:rsid w:val="00A95C53"/>
    <w:rsid w:val="00A965D3"/>
    <w:rsid w:val="00A96602"/>
    <w:rsid w:val="00A96710"/>
    <w:rsid w:val="00A969B4"/>
    <w:rsid w:val="00A969BA"/>
    <w:rsid w:val="00A96CA0"/>
    <w:rsid w:val="00A96D5B"/>
    <w:rsid w:val="00A970A7"/>
    <w:rsid w:val="00A970B3"/>
    <w:rsid w:val="00A9720A"/>
    <w:rsid w:val="00A9762C"/>
    <w:rsid w:val="00A97889"/>
    <w:rsid w:val="00A97ABB"/>
    <w:rsid w:val="00AA007B"/>
    <w:rsid w:val="00AA0838"/>
    <w:rsid w:val="00AA0F3C"/>
    <w:rsid w:val="00AA15CA"/>
    <w:rsid w:val="00AA16B2"/>
    <w:rsid w:val="00AA174C"/>
    <w:rsid w:val="00AA19E9"/>
    <w:rsid w:val="00AA1C48"/>
    <w:rsid w:val="00AA1E95"/>
    <w:rsid w:val="00AA1EAE"/>
    <w:rsid w:val="00AA36FE"/>
    <w:rsid w:val="00AA37FC"/>
    <w:rsid w:val="00AA382F"/>
    <w:rsid w:val="00AA3D2D"/>
    <w:rsid w:val="00AA4426"/>
    <w:rsid w:val="00AA4500"/>
    <w:rsid w:val="00AA487A"/>
    <w:rsid w:val="00AA4F62"/>
    <w:rsid w:val="00AA5042"/>
    <w:rsid w:val="00AA5167"/>
    <w:rsid w:val="00AA520A"/>
    <w:rsid w:val="00AA538B"/>
    <w:rsid w:val="00AA542D"/>
    <w:rsid w:val="00AA563D"/>
    <w:rsid w:val="00AA6062"/>
    <w:rsid w:val="00AA6814"/>
    <w:rsid w:val="00AA6DE4"/>
    <w:rsid w:val="00AA6DE6"/>
    <w:rsid w:val="00AA6EE7"/>
    <w:rsid w:val="00AA6F5F"/>
    <w:rsid w:val="00AA78D4"/>
    <w:rsid w:val="00AA7C2E"/>
    <w:rsid w:val="00AB02F0"/>
    <w:rsid w:val="00AB07A1"/>
    <w:rsid w:val="00AB0B6B"/>
    <w:rsid w:val="00AB0CF8"/>
    <w:rsid w:val="00AB10BF"/>
    <w:rsid w:val="00AB147E"/>
    <w:rsid w:val="00AB198D"/>
    <w:rsid w:val="00AB1A1A"/>
    <w:rsid w:val="00AB1D16"/>
    <w:rsid w:val="00AB1E41"/>
    <w:rsid w:val="00AB20C0"/>
    <w:rsid w:val="00AB285B"/>
    <w:rsid w:val="00AB2E8D"/>
    <w:rsid w:val="00AB32C2"/>
    <w:rsid w:val="00AB3D82"/>
    <w:rsid w:val="00AB3E5A"/>
    <w:rsid w:val="00AB40A1"/>
    <w:rsid w:val="00AB40FC"/>
    <w:rsid w:val="00AB4218"/>
    <w:rsid w:val="00AB46FB"/>
    <w:rsid w:val="00AB48C9"/>
    <w:rsid w:val="00AB4991"/>
    <w:rsid w:val="00AB4BC2"/>
    <w:rsid w:val="00AB4BC7"/>
    <w:rsid w:val="00AB4CDA"/>
    <w:rsid w:val="00AB4FDE"/>
    <w:rsid w:val="00AB52D3"/>
    <w:rsid w:val="00AB5360"/>
    <w:rsid w:val="00AB561C"/>
    <w:rsid w:val="00AB594F"/>
    <w:rsid w:val="00AB5A9A"/>
    <w:rsid w:val="00AB5C2F"/>
    <w:rsid w:val="00AB5DE7"/>
    <w:rsid w:val="00AB6225"/>
    <w:rsid w:val="00AB63FC"/>
    <w:rsid w:val="00AB64F8"/>
    <w:rsid w:val="00AB658A"/>
    <w:rsid w:val="00AB69FE"/>
    <w:rsid w:val="00AB6B38"/>
    <w:rsid w:val="00AB6C90"/>
    <w:rsid w:val="00AB6D09"/>
    <w:rsid w:val="00AB6DD0"/>
    <w:rsid w:val="00AB6EC8"/>
    <w:rsid w:val="00AB6ED9"/>
    <w:rsid w:val="00AB7525"/>
    <w:rsid w:val="00AB764D"/>
    <w:rsid w:val="00AB785E"/>
    <w:rsid w:val="00AB7FEA"/>
    <w:rsid w:val="00AC02F5"/>
    <w:rsid w:val="00AC0328"/>
    <w:rsid w:val="00AC07E5"/>
    <w:rsid w:val="00AC091F"/>
    <w:rsid w:val="00AC09A5"/>
    <w:rsid w:val="00AC0B4A"/>
    <w:rsid w:val="00AC1587"/>
    <w:rsid w:val="00AC1C82"/>
    <w:rsid w:val="00AC1EB8"/>
    <w:rsid w:val="00AC1ED6"/>
    <w:rsid w:val="00AC20A8"/>
    <w:rsid w:val="00AC21C0"/>
    <w:rsid w:val="00AC229E"/>
    <w:rsid w:val="00AC27C8"/>
    <w:rsid w:val="00AC2894"/>
    <w:rsid w:val="00AC2A90"/>
    <w:rsid w:val="00AC2E32"/>
    <w:rsid w:val="00AC328A"/>
    <w:rsid w:val="00AC353D"/>
    <w:rsid w:val="00AC386D"/>
    <w:rsid w:val="00AC38FF"/>
    <w:rsid w:val="00AC3C35"/>
    <w:rsid w:val="00AC3E94"/>
    <w:rsid w:val="00AC45AB"/>
    <w:rsid w:val="00AC4616"/>
    <w:rsid w:val="00AC479D"/>
    <w:rsid w:val="00AC47F8"/>
    <w:rsid w:val="00AC481D"/>
    <w:rsid w:val="00AC4BE1"/>
    <w:rsid w:val="00AC4C7A"/>
    <w:rsid w:val="00AC5467"/>
    <w:rsid w:val="00AC5851"/>
    <w:rsid w:val="00AC5A60"/>
    <w:rsid w:val="00AC5C7F"/>
    <w:rsid w:val="00AC5D4C"/>
    <w:rsid w:val="00AC6164"/>
    <w:rsid w:val="00AC6709"/>
    <w:rsid w:val="00AC6CC6"/>
    <w:rsid w:val="00AC6D04"/>
    <w:rsid w:val="00AC6D8B"/>
    <w:rsid w:val="00AC6DEA"/>
    <w:rsid w:val="00AC6E7C"/>
    <w:rsid w:val="00AC7099"/>
    <w:rsid w:val="00AC72FA"/>
    <w:rsid w:val="00AC764D"/>
    <w:rsid w:val="00AC765D"/>
    <w:rsid w:val="00AC76B3"/>
    <w:rsid w:val="00AC76E1"/>
    <w:rsid w:val="00AC771C"/>
    <w:rsid w:val="00AC7BFB"/>
    <w:rsid w:val="00AC7C74"/>
    <w:rsid w:val="00AD024F"/>
    <w:rsid w:val="00AD0498"/>
    <w:rsid w:val="00AD053D"/>
    <w:rsid w:val="00AD07CA"/>
    <w:rsid w:val="00AD0CA9"/>
    <w:rsid w:val="00AD0D82"/>
    <w:rsid w:val="00AD11F3"/>
    <w:rsid w:val="00AD1296"/>
    <w:rsid w:val="00AD199B"/>
    <w:rsid w:val="00AD1BCA"/>
    <w:rsid w:val="00AD1D1D"/>
    <w:rsid w:val="00AD2434"/>
    <w:rsid w:val="00AD2B57"/>
    <w:rsid w:val="00AD3047"/>
    <w:rsid w:val="00AD30E2"/>
    <w:rsid w:val="00AD32D1"/>
    <w:rsid w:val="00AD3524"/>
    <w:rsid w:val="00AD3B02"/>
    <w:rsid w:val="00AD3DD4"/>
    <w:rsid w:val="00AD3DDD"/>
    <w:rsid w:val="00AD3EB3"/>
    <w:rsid w:val="00AD3F33"/>
    <w:rsid w:val="00AD4446"/>
    <w:rsid w:val="00AD462F"/>
    <w:rsid w:val="00AD4819"/>
    <w:rsid w:val="00AD4894"/>
    <w:rsid w:val="00AD49C8"/>
    <w:rsid w:val="00AD49E9"/>
    <w:rsid w:val="00AD4A24"/>
    <w:rsid w:val="00AD4A8D"/>
    <w:rsid w:val="00AD4A98"/>
    <w:rsid w:val="00AD5ECC"/>
    <w:rsid w:val="00AD601A"/>
    <w:rsid w:val="00AD6C8F"/>
    <w:rsid w:val="00AD6F44"/>
    <w:rsid w:val="00AD6FA1"/>
    <w:rsid w:val="00AD6FCB"/>
    <w:rsid w:val="00AD6FDB"/>
    <w:rsid w:val="00AD7009"/>
    <w:rsid w:val="00AD756A"/>
    <w:rsid w:val="00AD79FC"/>
    <w:rsid w:val="00AD7A30"/>
    <w:rsid w:val="00AD7BF3"/>
    <w:rsid w:val="00AE0292"/>
    <w:rsid w:val="00AE05D9"/>
    <w:rsid w:val="00AE0B36"/>
    <w:rsid w:val="00AE1323"/>
    <w:rsid w:val="00AE15EB"/>
    <w:rsid w:val="00AE189C"/>
    <w:rsid w:val="00AE23B3"/>
    <w:rsid w:val="00AE2521"/>
    <w:rsid w:val="00AE25A0"/>
    <w:rsid w:val="00AE3116"/>
    <w:rsid w:val="00AE3243"/>
    <w:rsid w:val="00AE3457"/>
    <w:rsid w:val="00AE3D4E"/>
    <w:rsid w:val="00AE3E51"/>
    <w:rsid w:val="00AE3E7F"/>
    <w:rsid w:val="00AE42DE"/>
    <w:rsid w:val="00AE4881"/>
    <w:rsid w:val="00AE495E"/>
    <w:rsid w:val="00AE49AE"/>
    <w:rsid w:val="00AE54CF"/>
    <w:rsid w:val="00AE5726"/>
    <w:rsid w:val="00AE5D0E"/>
    <w:rsid w:val="00AE5E0B"/>
    <w:rsid w:val="00AE600D"/>
    <w:rsid w:val="00AE682A"/>
    <w:rsid w:val="00AE6F63"/>
    <w:rsid w:val="00AE7182"/>
    <w:rsid w:val="00AE7226"/>
    <w:rsid w:val="00AE7750"/>
    <w:rsid w:val="00AE7B5A"/>
    <w:rsid w:val="00AE7CC5"/>
    <w:rsid w:val="00AE7FAB"/>
    <w:rsid w:val="00AE7FE8"/>
    <w:rsid w:val="00AF0026"/>
    <w:rsid w:val="00AF021A"/>
    <w:rsid w:val="00AF02CD"/>
    <w:rsid w:val="00AF1127"/>
    <w:rsid w:val="00AF16D3"/>
    <w:rsid w:val="00AF196D"/>
    <w:rsid w:val="00AF1C2F"/>
    <w:rsid w:val="00AF1C80"/>
    <w:rsid w:val="00AF1E71"/>
    <w:rsid w:val="00AF1F08"/>
    <w:rsid w:val="00AF1F09"/>
    <w:rsid w:val="00AF1FD6"/>
    <w:rsid w:val="00AF21D5"/>
    <w:rsid w:val="00AF224A"/>
    <w:rsid w:val="00AF2364"/>
    <w:rsid w:val="00AF26F1"/>
    <w:rsid w:val="00AF2A11"/>
    <w:rsid w:val="00AF2E55"/>
    <w:rsid w:val="00AF31D2"/>
    <w:rsid w:val="00AF3243"/>
    <w:rsid w:val="00AF32B1"/>
    <w:rsid w:val="00AF3385"/>
    <w:rsid w:val="00AF3812"/>
    <w:rsid w:val="00AF3A05"/>
    <w:rsid w:val="00AF3B62"/>
    <w:rsid w:val="00AF3BB0"/>
    <w:rsid w:val="00AF3E17"/>
    <w:rsid w:val="00AF4334"/>
    <w:rsid w:val="00AF43C3"/>
    <w:rsid w:val="00AF4463"/>
    <w:rsid w:val="00AF47D2"/>
    <w:rsid w:val="00AF4DF5"/>
    <w:rsid w:val="00AF4E35"/>
    <w:rsid w:val="00AF50A4"/>
    <w:rsid w:val="00AF54F3"/>
    <w:rsid w:val="00AF5763"/>
    <w:rsid w:val="00AF5C63"/>
    <w:rsid w:val="00AF60A9"/>
    <w:rsid w:val="00AF613F"/>
    <w:rsid w:val="00AF616D"/>
    <w:rsid w:val="00AF6198"/>
    <w:rsid w:val="00AF6286"/>
    <w:rsid w:val="00AF6293"/>
    <w:rsid w:val="00AF637A"/>
    <w:rsid w:val="00AF681E"/>
    <w:rsid w:val="00AF6A32"/>
    <w:rsid w:val="00AF6BAB"/>
    <w:rsid w:val="00AF71F6"/>
    <w:rsid w:val="00AF7D5D"/>
    <w:rsid w:val="00B00604"/>
    <w:rsid w:val="00B00813"/>
    <w:rsid w:val="00B00B86"/>
    <w:rsid w:val="00B00C31"/>
    <w:rsid w:val="00B00E12"/>
    <w:rsid w:val="00B01451"/>
    <w:rsid w:val="00B01948"/>
    <w:rsid w:val="00B020AA"/>
    <w:rsid w:val="00B0221C"/>
    <w:rsid w:val="00B0230A"/>
    <w:rsid w:val="00B02652"/>
    <w:rsid w:val="00B02CCF"/>
    <w:rsid w:val="00B034C7"/>
    <w:rsid w:val="00B03CC3"/>
    <w:rsid w:val="00B03DEC"/>
    <w:rsid w:val="00B03F5C"/>
    <w:rsid w:val="00B044C9"/>
    <w:rsid w:val="00B04802"/>
    <w:rsid w:val="00B0492C"/>
    <w:rsid w:val="00B04AEC"/>
    <w:rsid w:val="00B04BC2"/>
    <w:rsid w:val="00B04E5D"/>
    <w:rsid w:val="00B050CF"/>
    <w:rsid w:val="00B05561"/>
    <w:rsid w:val="00B0557E"/>
    <w:rsid w:val="00B055A6"/>
    <w:rsid w:val="00B055C4"/>
    <w:rsid w:val="00B05734"/>
    <w:rsid w:val="00B057FA"/>
    <w:rsid w:val="00B05D45"/>
    <w:rsid w:val="00B05E23"/>
    <w:rsid w:val="00B05FCF"/>
    <w:rsid w:val="00B060AE"/>
    <w:rsid w:val="00B063CD"/>
    <w:rsid w:val="00B064BE"/>
    <w:rsid w:val="00B068CF"/>
    <w:rsid w:val="00B06FC7"/>
    <w:rsid w:val="00B071D5"/>
    <w:rsid w:val="00B0778F"/>
    <w:rsid w:val="00B07ACB"/>
    <w:rsid w:val="00B07B97"/>
    <w:rsid w:val="00B07DDC"/>
    <w:rsid w:val="00B07ED7"/>
    <w:rsid w:val="00B10046"/>
    <w:rsid w:val="00B10214"/>
    <w:rsid w:val="00B10340"/>
    <w:rsid w:val="00B10851"/>
    <w:rsid w:val="00B108EE"/>
    <w:rsid w:val="00B11170"/>
    <w:rsid w:val="00B111CB"/>
    <w:rsid w:val="00B1127F"/>
    <w:rsid w:val="00B112B5"/>
    <w:rsid w:val="00B1132D"/>
    <w:rsid w:val="00B11625"/>
    <w:rsid w:val="00B1199E"/>
    <w:rsid w:val="00B11AB4"/>
    <w:rsid w:val="00B11FDE"/>
    <w:rsid w:val="00B12061"/>
    <w:rsid w:val="00B120E2"/>
    <w:rsid w:val="00B12385"/>
    <w:rsid w:val="00B12411"/>
    <w:rsid w:val="00B12649"/>
    <w:rsid w:val="00B126C3"/>
    <w:rsid w:val="00B12ADC"/>
    <w:rsid w:val="00B12B1D"/>
    <w:rsid w:val="00B12BDA"/>
    <w:rsid w:val="00B12C9D"/>
    <w:rsid w:val="00B12FFE"/>
    <w:rsid w:val="00B1320C"/>
    <w:rsid w:val="00B132E8"/>
    <w:rsid w:val="00B13513"/>
    <w:rsid w:val="00B1357D"/>
    <w:rsid w:val="00B13796"/>
    <w:rsid w:val="00B137D8"/>
    <w:rsid w:val="00B13EAA"/>
    <w:rsid w:val="00B141EF"/>
    <w:rsid w:val="00B14764"/>
    <w:rsid w:val="00B14BCE"/>
    <w:rsid w:val="00B150B7"/>
    <w:rsid w:val="00B153B4"/>
    <w:rsid w:val="00B154DD"/>
    <w:rsid w:val="00B15720"/>
    <w:rsid w:val="00B157F8"/>
    <w:rsid w:val="00B15BAC"/>
    <w:rsid w:val="00B163C1"/>
    <w:rsid w:val="00B166F8"/>
    <w:rsid w:val="00B167EE"/>
    <w:rsid w:val="00B1685C"/>
    <w:rsid w:val="00B16BCA"/>
    <w:rsid w:val="00B17195"/>
    <w:rsid w:val="00B17598"/>
    <w:rsid w:val="00B175D3"/>
    <w:rsid w:val="00B1768A"/>
    <w:rsid w:val="00B200A1"/>
    <w:rsid w:val="00B20A76"/>
    <w:rsid w:val="00B20ACE"/>
    <w:rsid w:val="00B2109D"/>
    <w:rsid w:val="00B214AF"/>
    <w:rsid w:val="00B21876"/>
    <w:rsid w:val="00B21AEA"/>
    <w:rsid w:val="00B21D65"/>
    <w:rsid w:val="00B21FE6"/>
    <w:rsid w:val="00B22973"/>
    <w:rsid w:val="00B2312D"/>
    <w:rsid w:val="00B23344"/>
    <w:rsid w:val="00B23916"/>
    <w:rsid w:val="00B23C08"/>
    <w:rsid w:val="00B23F70"/>
    <w:rsid w:val="00B243C8"/>
    <w:rsid w:val="00B24900"/>
    <w:rsid w:val="00B24CCA"/>
    <w:rsid w:val="00B24E82"/>
    <w:rsid w:val="00B24EEC"/>
    <w:rsid w:val="00B24F52"/>
    <w:rsid w:val="00B2508F"/>
    <w:rsid w:val="00B250A9"/>
    <w:rsid w:val="00B252F7"/>
    <w:rsid w:val="00B25558"/>
    <w:rsid w:val="00B256E5"/>
    <w:rsid w:val="00B25774"/>
    <w:rsid w:val="00B26016"/>
    <w:rsid w:val="00B2628F"/>
    <w:rsid w:val="00B263FB"/>
    <w:rsid w:val="00B2667B"/>
    <w:rsid w:val="00B26B07"/>
    <w:rsid w:val="00B26E8C"/>
    <w:rsid w:val="00B27029"/>
    <w:rsid w:val="00B270AD"/>
    <w:rsid w:val="00B271BD"/>
    <w:rsid w:val="00B27AE3"/>
    <w:rsid w:val="00B30235"/>
    <w:rsid w:val="00B3077D"/>
    <w:rsid w:val="00B30A80"/>
    <w:rsid w:val="00B31886"/>
    <w:rsid w:val="00B31CC7"/>
    <w:rsid w:val="00B325D4"/>
    <w:rsid w:val="00B32914"/>
    <w:rsid w:val="00B32B79"/>
    <w:rsid w:val="00B32C19"/>
    <w:rsid w:val="00B32F2B"/>
    <w:rsid w:val="00B33546"/>
    <w:rsid w:val="00B33662"/>
    <w:rsid w:val="00B3367A"/>
    <w:rsid w:val="00B33749"/>
    <w:rsid w:val="00B337C8"/>
    <w:rsid w:val="00B339A4"/>
    <w:rsid w:val="00B3424B"/>
    <w:rsid w:val="00B34318"/>
    <w:rsid w:val="00B344E8"/>
    <w:rsid w:val="00B3458A"/>
    <w:rsid w:val="00B349DC"/>
    <w:rsid w:val="00B34A98"/>
    <w:rsid w:val="00B35013"/>
    <w:rsid w:val="00B35170"/>
    <w:rsid w:val="00B354B6"/>
    <w:rsid w:val="00B35AFF"/>
    <w:rsid w:val="00B35C8E"/>
    <w:rsid w:val="00B36067"/>
    <w:rsid w:val="00B3618A"/>
    <w:rsid w:val="00B36247"/>
    <w:rsid w:val="00B362D5"/>
    <w:rsid w:val="00B36633"/>
    <w:rsid w:val="00B368DA"/>
    <w:rsid w:val="00B36934"/>
    <w:rsid w:val="00B36EEE"/>
    <w:rsid w:val="00B3744D"/>
    <w:rsid w:val="00B376FF"/>
    <w:rsid w:val="00B3784A"/>
    <w:rsid w:val="00B3785F"/>
    <w:rsid w:val="00B37B91"/>
    <w:rsid w:val="00B37D13"/>
    <w:rsid w:val="00B37E1A"/>
    <w:rsid w:val="00B37FDC"/>
    <w:rsid w:val="00B40021"/>
    <w:rsid w:val="00B400D5"/>
    <w:rsid w:val="00B4071A"/>
    <w:rsid w:val="00B407D0"/>
    <w:rsid w:val="00B40860"/>
    <w:rsid w:val="00B40A29"/>
    <w:rsid w:val="00B40CC8"/>
    <w:rsid w:val="00B410B8"/>
    <w:rsid w:val="00B41301"/>
    <w:rsid w:val="00B417BF"/>
    <w:rsid w:val="00B41A91"/>
    <w:rsid w:val="00B41E84"/>
    <w:rsid w:val="00B4219B"/>
    <w:rsid w:val="00B422D1"/>
    <w:rsid w:val="00B42437"/>
    <w:rsid w:val="00B42565"/>
    <w:rsid w:val="00B4260E"/>
    <w:rsid w:val="00B426A0"/>
    <w:rsid w:val="00B428A6"/>
    <w:rsid w:val="00B428D9"/>
    <w:rsid w:val="00B437CB"/>
    <w:rsid w:val="00B43CD4"/>
    <w:rsid w:val="00B43EB0"/>
    <w:rsid w:val="00B43FD6"/>
    <w:rsid w:val="00B43FFF"/>
    <w:rsid w:val="00B44B61"/>
    <w:rsid w:val="00B44F55"/>
    <w:rsid w:val="00B45334"/>
    <w:rsid w:val="00B45559"/>
    <w:rsid w:val="00B45710"/>
    <w:rsid w:val="00B457CE"/>
    <w:rsid w:val="00B45E31"/>
    <w:rsid w:val="00B45E8E"/>
    <w:rsid w:val="00B4653B"/>
    <w:rsid w:val="00B46904"/>
    <w:rsid w:val="00B46A58"/>
    <w:rsid w:val="00B46A66"/>
    <w:rsid w:val="00B46ECC"/>
    <w:rsid w:val="00B46F7A"/>
    <w:rsid w:val="00B4700A"/>
    <w:rsid w:val="00B472F8"/>
    <w:rsid w:val="00B474C4"/>
    <w:rsid w:val="00B4794E"/>
    <w:rsid w:val="00B479AD"/>
    <w:rsid w:val="00B47BE4"/>
    <w:rsid w:val="00B504A2"/>
    <w:rsid w:val="00B5055D"/>
    <w:rsid w:val="00B50815"/>
    <w:rsid w:val="00B509E5"/>
    <w:rsid w:val="00B50B8A"/>
    <w:rsid w:val="00B50D79"/>
    <w:rsid w:val="00B50F5B"/>
    <w:rsid w:val="00B50FD1"/>
    <w:rsid w:val="00B51324"/>
    <w:rsid w:val="00B519C8"/>
    <w:rsid w:val="00B5252C"/>
    <w:rsid w:val="00B5255A"/>
    <w:rsid w:val="00B52645"/>
    <w:rsid w:val="00B526E5"/>
    <w:rsid w:val="00B5275E"/>
    <w:rsid w:val="00B52ADC"/>
    <w:rsid w:val="00B52E9E"/>
    <w:rsid w:val="00B52FF1"/>
    <w:rsid w:val="00B530F7"/>
    <w:rsid w:val="00B53266"/>
    <w:rsid w:val="00B532EF"/>
    <w:rsid w:val="00B53461"/>
    <w:rsid w:val="00B536EE"/>
    <w:rsid w:val="00B53B6B"/>
    <w:rsid w:val="00B54834"/>
    <w:rsid w:val="00B54ADB"/>
    <w:rsid w:val="00B54D29"/>
    <w:rsid w:val="00B54E2E"/>
    <w:rsid w:val="00B54F94"/>
    <w:rsid w:val="00B5521A"/>
    <w:rsid w:val="00B552BD"/>
    <w:rsid w:val="00B553A9"/>
    <w:rsid w:val="00B55CE4"/>
    <w:rsid w:val="00B55CF6"/>
    <w:rsid w:val="00B56843"/>
    <w:rsid w:val="00B570EB"/>
    <w:rsid w:val="00B57771"/>
    <w:rsid w:val="00B578CB"/>
    <w:rsid w:val="00B57949"/>
    <w:rsid w:val="00B57B0B"/>
    <w:rsid w:val="00B57BB6"/>
    <w:rsid w:val="00B57BD6"/>
    <w:rsid w:val="00B60092"/>
    <w:rsid w:val="00B60125"/>
    <w:rsid w:val="00B60A53"/>
    <w:rsid w:val="00B60C50"/>
    <w:rsid w:val="00B6136B"/>
    <w:rsid w:val="00B618CC"/>
    <w:rsid w:val="00B61BF1"/>
    <w:rsid w:val="00B62574"/>
    <w:rsid w:val="00B6269D"/>
    <w:rsid w:val="00B62834"/>
    <w:rsid w:val="00B631C2"/>
    <w:rsid w:val="00B6323C"/>
    <w:rsid w:val="00B63553"/>
    <w:rsid w:val="00B6392D"/>
    <w:rsid w:val="00B63963"/>
    <w:rsid w:val="00B63AC3"/>
    <w:rsid w:val="00B6408E"/>
    <w:rsid w:val="00B64441"/>
    <w:rsid w:val="00B64523"/>
    <w:rsid w:val="00B64C94"/>
    <w:rsid w:val="00B64CE9"/>
    <w:rsid w:val="00B64D3C"/>
    <w:rsid w:val="00B65102"/>
    <w:rsid w:val="00B653F3"/>
    <w:rsid w:val="00B65D83"/>
    <w:rsid w:val="00B662CD"/>
    <w:rsid w:val="00B6639D"/>
    <w:rsid w:val="00B663A4"/>
    <w:rsid w:val="00B66F2F"/>
    <w:rsid w:val="00B672A4"/>
    <w:rsid w:val="00B67316"/>
    <w:rsid w:val="00B675DE"/>
    <w:rsid w:val="00B678DF"/>
    <w:rsid w:val="00B67AB4"/>
    <w:rsid w:val="00B67D60"/>
    <w:rsid w:val="00B67F21"/>
    <w:rsid w:val="00B7079F"/>
    <w:rsid w:val="00B70AE7"/>
    <w:rsid w:val="00B70B67"/>
    <w:rsid w:val="00B70C4D"/>
    <w:rsid w:val="00B70D74"/>
    <w:rsid w:val="00B70DEE"/>
    <w:rsid w:val="00B7101A"/>
    <w:rsid w:val="00B71031"/>
    <w:rsid w:val="00B7121C"/>
    <w:rsid w:val="00B7137A"/>
    <w:rsid w:val="00B713C3"/>
    <w:rsid w:val="00B71647"/>
    <w:rsid w:val="00B71A3E"/>
    <w:rsid w:val="00B71B3E"/>
    <w:rsid w:val="00B725D3"/>
    <w:rsid w:val="00B726D0"/>
    <w:rsid w:val="00B72889"/>
    <w:rsid w:val="00B728F8"/>
    <w:rsid w:val="00B72962"/>
    <w:rsid w:val="00B72A89"/>
    <w:rsid w:val="00B72D6C"/>
    <w:rsid w:val="00B7338F"/>
    <w:rsid w:val="00B736FF"/>
    <w:rsid w:val="00B7371E"/>
    <w:rsid w:val="00B738FC"/>
    <w:rsid w:val="00B73C2D"/>
    <w:rsid w:val="00B74214"/>
    <w:rsid w:val="00B74662"/>
    <w:rsid w:val="00B75688"/>
    <w:rsid w:val="00B75B98"/>
    <w:rsid w:val="00B75C83"/>
    <w:rsid w:val="00B75DBB"/>
    <w:rsid w:val="00B75FC5"/>
    <w:rsid w:val="00B7604D"/>
    <w:rsid w:val="00B76181"/>
    <w:rsid w:val="00B762E1"/>
    <w:rsid w:val="00B7637F"/>
    <w:rsid w:val="00B767D2"/>
    <w:rsid w:val="00B7684B"/>
    <w:rsid w:val="00B768E6"/>
    <w:rsid w:val="00B769B8"/>
    <w:rsid w:val="00B76CC1"/>
    <w:rsid w:val="00B76F55"/>
    <w:rsid w:val="00B772BE"/>
    <w:rsid w:val="00B77A5F"/>
    <w:rsid w:val="00B80203"/>
    <w:rsid w:val="00B80659"/>
    <w:rsid w:val="00B80AB8"/>
    <w:rsid w:val="00B80CD9"/>
    <w:rsid w:val="00B820FA"/>
    <w:rsid w:val="00B82558"/>
    <w:rsid w:val="00B82928"/>
    <w:rsid w:val="00B82EB7"/>
    <w:rsid w:val="00B83112"/>
    <w:rsid w:val="00B831AD"/>
    <w:rsid w:val="00B83564"/>
    <w:rsid w:val="00B8358F"/>
    <w:rsid w:val="00B83CF1"/>
    <w:rsid w:val="00B83CF5"/>
    <w:rsid w:val="00B83F19"/>
    <w:rsid w:val="00B83F1D"/>
    <w:rsid w:val="00B841A1"/>
    <w:rsid w:val="00B84329"/>
    <w:rsid w:val="00B8435B"/>
    <w:rsid w:val="00B8443A"/>
    <w:rsid w:val="00B84577"/>
    <w:rsid w:val="00B84786"/>
    <w:rsid w:val="00B84C93"/>
    <w:rsid w:val="00B84DD7"/>
    <w:rsid w:val="00B84E2A"/>
    <w:rsid w:val="00B851C7"/>
    <w:rsid w:val="00B85B36"/>
    <w:rsid w:val="00B85D65"/>
    <w:rsid w:val="00B85E63"/>
    <w:rsid w:val="00B8611D"/>
    <w:rsid w:val="00B861DC"/>
    <w:rsid w:val="00B8628D"/>
    <w:rsid w:val="00B86367"/>
    <w:rsid w:val="00B8661C"/>
    <w:rsid w:val="00B86C85"/>
    <w:rsid w:val="00B8716E"/>
    <w:rsid w:val="00B873A1"/>
    <w:rsid w:val="00B8747E"/>
    <w:rsid w:val="00B874AC"/>
    <w:rsid w:val="00B90060"/>
    <w:rsid w:val="00B9055F"/>
    <w:rsid w:val="00B9068F"/>
    <w:rsid w:val="00B90B07"/>
    <w:rsid w:val="00B90D39"/>
    <w:rsid w:val="00B90E8A"/>
    <w:rsid w:val="00B91180"/>
    <w:rsid w:val="00B913DC"/>
    <w:rsid w:val="00B91E06"/>
    <w:rsid w:val="00B91E26"/>
    <w:rsid w:val="00B9257A"/>
    <w:rsid w:val="00B92741"/>
    <w:rsid w:val="00B92AA3"/>
    <w:rsid w:val="00B92FAD"/>
    <w:rsid w:val="00B93007"/>
    <w:rsid w:val="00B936C3"/>
    <w:rsid w:val="00B938B3"/>
    <w:rsid w:val="00B93BE5"/>
    <w:rsid w:val="00B93E77"/>
    <w:rsid w:val="00B93FA3"/>
    <w:rsid w:val="00B94053"/>
    <w:rsid w:val="00B9409F"/>
    <w:rsid w:val="00B94588"/>
    <w:rsid w:val="00B946D6"/>
    <w:rsid w:val="00B94752"/>
    <w:rsid w:val="00B94A1F"/>
    <w:rsid w:val="00B94FFA"/>
    <w:rsid w:val="00B953B5"/>
    <w:rsid w:val="00B95560"/>
    <w:rsid w:val="00B956D8"/>
    <w:rsid w:val="00B95777"/>
    <w:rsid w:val="00B95910"/>
    <w:rsid w:val="00B95DA9"/>
    <w:rsid w:val="00B95E3B"/>
    <w:rsid w:val="00B95E73"/>
    <w:rsid w:val="00B963B8"/>
    <w:rsid w:val="00B96498"/>
    <w:rsid w:val="00B966E1"/>
    <w:rsid w:val="00B96893"/>
    <w:rsid w:val="00B96EC9"/>
    <w:rsid w:val="00B9735C"/>
    <w:rsid w:val="00B97791"/>
    <w:rsid w:val="00B978AF"/>
    <w:rsid w:val="00B97B45"/>
    <w:rsid w:val="00BA0041"/>
    <w:rsid w:val="00BA0328"/>
    <w:rsid w:val="00BA0B8E"/>
    <w:rsid w:val="00BA0C37"/>
    <w:rsid w:val="00BA0ECD"/>
    <w:rsid w:val="00BA104E"/>
    <w:rsid w:val="00BA105E"/>
    <w:rsid w:val="00BA15B6"/>
    <w:rsid w:val="00BA168F"/>
    <w:rsid w:val="00BA1862"/>
    <w:rsid w:val="00BA201B"/>
    <w:rsid w:val="00BA20E0"/>
    <w:rsid w:val="00BA21FC"/>
    <w:rsid w:val="00BA235A"/>
    <w:rsid w:val="00BA2ED0"/>
    <w:rsid w:val="00BA3349"/>
    <w:rsid w:val="00BA3DEB"/>
    <w:rsid w:val="00BA40D9"/>
    <w:rsid w:val="00BA4900"/>
    <w:rsid w:val="00BA4BE3"/>
    <w:rsid w:val="00BA4C9A"/>
    <w:rsid w:val="00BA52F9"/>
    <w:rsid w:val="00BA5389"/>
    <w:rsid w:val="00BA5471"/>
    <w:rsid w:val="00BA54C3"/>
    <w:rsid w:val="00BA5616"/>
    <w:rsid w:val="00BA5657"/>
    <w:rsid w:val="00BA5688"/>
    <w:rsid w:val="00BA5827"/>
    <w:rsid w:val="00BA589E"/>
    <w:rsid w:val="00BA5D5F"/>
    <w:rsid w:val="00BA5F71"/>
    <w:rsid w:val="00BA6A17"/>
    <w:rsid w:val="00BA6BCE"/>
    <w:rsid w:val="00BA6F68"/>
    <w:rsid w:val="00BA775E"/>
    <w:rsid w:val="00BA7A98"/>
    <w:rsid w:val="00BA7C1F"/>
    <w:rsid w:val="00BA7F63"/>
    <w:rsid w:val="00BB0006"/>
    <w:rsid w:val="00BB0735"/>
    <w:rsid w:val="00BB0807"/>
    <w:rsid w:val="00BB0D04"/>
    <w:rsid w:val="00BB0EC7"/>
    <w:rsid w:val="00BB0F0D"/>
    <w:rsid w:val="00BB10AA"/>
    <w:rsid w:val="00BB1307"/>
    <w:rsid w:val="00BB14CD"/>
    <w:rsid w:val="00BB167A"/>
    <w:rsid w:val="00BB16B9"/>
    <w:rsid w:val="00BB1946"/>
    <w:rsid w:val="00BB1A0B"/>
    <w:rsid w:val="00BB23FE"/>
    <w:rsid w:val="00BB2527"/>
    <w:rsid w:val="00BB2681"/>
    <w:rsid w:val="00BB2B2B"/>
    <w:rsid w:val="00BB3057"/>
    <w:rsid w:val="00BB3591"/>
    <w:rsid w:val="00BB3C6E"/>
    <w:rsid w:val="00BB4022"/>
    <w:rsid w:val="00BB407B"/>
    <w:rsid w:val="00BB40DB"/>
    <w:rsid w:val="00BB42C1"/>
    <w:rsid w:val="00BB42CD"/>
    <w:rsid w:val="00BB4471"/>
    <w:rsid w:val="00BB469E"/>
    <w:rsid w:val="00BB47F1"/>
    <w:rsid w:val="00BB487B"/>
    <w:rsid w:val="00BB4D75"/>
    <w:rsid w:val="00BB4EC2"/>
    <w:rsid w:val="00BB5156"/>
    <w:rsid w:val="00BB51E9"/>
    <w:rsid w:val="00BB54B9"/>
    <w:rsid w:val="00BB581D"/>
    <w:rsid w:val="00BB5C08"/>
    <w:rsid w:val="00BB5C4E"/>
    <w:rsid w:val="00BB5FCB"/>
    <w:rsid w:val="00BB6176"/>
    <w:rsid w:val="00BB622F"/>
    <w:rsid w:val="00BB63BA"/>
    <w:rsid w:val="00BB642E"/>
    <w:rsid w:val="00BB6892"/>
    <w:rsid w:val="00BB6CC5"/>
    <w:rsid w:val="00BB70B3"/>
    <w:rsid w:val="00BB71E0"/>
    <w:rsid w:val="00BB7796"/>
    <w:rsid w:val="00BB7FA9"/>
    <w:rsid w:val="00BC001A"/>
    <w:rsid w:val="00BC01CA"/>
    <w:rsid w:val="00BC0291"/>
    <w:rsid w:val="00BC0864"/>
    <w:rsid w:val="00BC08BF"/>
    <w:rsid w:val="00BC0995"/>
    <w:rsid w:val="00BC0C99"/>
    <w:rsid w:val="00BC0E7E"/>
    <w:rsid w:val="00BC112C"/>
    <w:rsid w:val="00BC12F9"/>
    <w:rsid w:val="00BC14DB"/>
    <w:rsid w:val="00BC15D1"/>
    <w:rsid w:val="00BC16DF"/>
    <w:rsid w:val="00BC16EA"/>
    <w:rsid w:val="00BC18FE"/>
    <w:rsid w:val="00BC1EE1"/>
    <w:rsid w:val="00BC2286"/>
    <w:rsid w:val="00BC22BE"/>
    <w:rsid w:val="00BC23D5"/>
    <w:rsid w:val="00BC23D9"/>
    <w:rsid w:val="00BC2687"/>
    <w:rsid w:val="00BC292F"/>
    <w:rsid w:val="00BC2EC6"/>
    <w:rsid w:val="00BC37AC"/>
    <w:rsid w:val="00BC3A64"/>
    <w:rsid w:val="00BC3BAA"/>
    <w:rsid w:val="00BC3E19"/>
    <w:rsid w:val="00BC3E5A"/>
    <w:rsid w:val="00BC4370"/>
    <w:rsid w:val="00BC458B"/>
    <w:rsid w:val="00BC4596"/>
    <w:rsid w:val="00BC4CC3"/>
    <w:rsid w:val="00BC50D3"/>
    <w:rsid w:val="00BC5253"/>
    <w:rsid w:val="00BC5565"/>
    <w:rsid w:val="00BC5C68"/>
    <w:rsid w:val="00BC62EC"/>
    <w:rsid w:val="00BC64A8"/>
    <w:rsid w:val="00BC6A8A"/>
    <w:rsid w:val="00BC6DAD"/>
    <w:rsid w:val="00BC705A"/>
    <w:rsid w:val="00BC749F"/>
    <w:rsid w:val="00BC7FF3"/>
    <w:rsid w:val="00BD0514"/>
    <w:rsid w:val="00BD08FD"/>
    <w:rsid w:val="00BD09F1"/>
    <w:rsid w:val="00BD0D55"/>
    <w:rsid w:val="00BD1127"/>
    <w:rsid w:val="00BD1D64"/>
    <w:rsid w:val="00BD24EA"/>
    <w:rsid w:val="00BD2EF9"/>
    <w:rsid w:val="00BD2F80"/>
    <w:rsid w:val="00BD33AC"/>
    <w:rsid w:val="00BD3AB2"/>
    <w:rsid w:val="00BD3ABD"/>
    <w:rsid w:val="00BD3F91"/>
    <w:rsid w:val="00BD4459"/>
    <w:rsid w:val="00BD4A1E"/>
    <w:rsid w:val="00BD4D82"/>
    <w:rsid w:val="00BD51BC"/>
    <w:rsid w:val="00BD5261"/>
    <w:rsid w:val="00BD5B59"/>
    <w:rsid w:val="00BD5BCB"/>
    <w:rsid w:val="00BD5DEB"/>
    <w:rsid w:val="00BD5F02"/>
    <w:rsid w:val="00BD620B"/>
    <w:rsid w:val="00BD66CB"/>
    <w:rsid w:val="00BD66E8"/>
    <w:rsid w:val="00BD7306"/>
    <w:rsid w:val="00BD7515"/>
    <w:rsid w:val="00BD75B0"/>
    <w:rsid w:val="00BD75D6"/>
    <w:rsid w:val="00BD75DD"/>
    <w:rsid w:val="00BD7796"/>
    <w:rsid w:val="00BD7FB5"/>
    <w:rsid w:val="00BE033B"/>
    <w:rsid w:val="00BE054D"/>
    <w:rsid w:val="00BE054E"/>
    <w:rsid w:val="00BE059A"/>
    <w:rsid w:val="00BE069F"/>
    <w:rsid w:val="00BE0BC2"/>
    <w:rsid w:val="00BE10B0"/>
    <w:rsid w:val="00BE1529"/>
    <w:rsid w:val="00BE15C6"/>
    <w:rsid w:val="00BE1AA3"/>
    <w:rsid w:val="00BE2079"/>
    <w:rsid w:val="00BE20A6"/>
    <w:rsid w:val="00BE23B7"/>
    <w:rsid w:val="00BE23DA"/>
    <w:rsid w:val="00BE265C"/>
    <w:rsid w:val="00BE26D6"/>
    <w:rsid w:val="00BE2F72"/>
    <w:rsid w:val="00BE30AA"/>
    <w:rsid w:val="00BE3516"/>
    <w:rsid w:val="00BE36B8"/>
    <w:rsid w:val="00BE4173"/>
    <w:rsid w:val="00BE41ED"/>
    <w:rsid w:val="00BE4381"/>
    <w:rsid w:val="00BE450B"/>
    <w:rsid w:val="00BE45E1"/>
    <w:rsid w:val="00BE49BC"/>
    <w:rsid w:val="00BE4EFF"/>
    <w:rsid w:val="00BE51DA"/>
    <w:rsid w:val="00BE534E"/>
    <w:rsid w:val="00BE56F4"/>
    <w:rsid w:val="00BE5922"/>
    <w:rsid w:val="00BE59D6"/>
    <w:rsid w:val="00BE5BE4"/>
    <w:rsid w:val="00BE6390"/>
    <w:rsid w:val="00BE650E"/>
    <w:rsid w:val="00BE663A"/>
    <w:rsid w:val="00BE6705"/>
    <w:rsid w:val="00BE6815"/>
    <w:rsid w:val="00BE69BA"/>
    <w:rsid w:val="00BE6BEA"/>
    <w:rsid w:val="00BE6CEC"/>
    <w:rsid w:val="00BE6D1D"/>
    <w:rsid w:val="00BE6FB1"/>
    <w:rsid w:val="00BE7155"/>
    <w:rsid w:val="00BE718D"/>
    <w:rsid w:val="00BE725C"/>
    <w:rsid w:val="00BE7385"/>
    <w:rsid w:val="00BE7818"/>
    <w:rsid w:val="00BE786D"/>
    <w:rsid w:val="00BE7880"/>
    <w:rsid w:val="00BE7B22"/>
    <w:rsid w:val="00BE7E69"/>
    <w:rsid w:val="00BE7EE5"/>
    <w:rsid w:val="00BE7F1A"/>
    <w:rsid w:val="00BF0458"/>
    <w:rsid w:val="00BF0461"/>
    <w:rsid w:val="00BF0824"/>
    <w:rsid w:val="00BF08F9"/>
    <w:rsid w:val="00BF0956"/>
    <w:rsid w:val="00BF0961"/>
    <w:rsid w:val="00BF0E9C"/>
    <w:rsid w:val="00BF11F6"/>
    <w:rsid w:val="00BF1514"/>
    <w:rsid w:val="00BF1B3A"/>
    <w:rsid w:val="00BF2621"/>
    <w:rsid w:val="00BF26BA"/>
    <w:rsid w:val="00BF26F4"/>
    <w:rsid w:val="00BF295A"/>
    <w:rsid w:val="00BF2AE3"/>
    <w:rsid w:val="00BF2D2D"/>
    <w:rsid w:val="00BF30E2"/>
    <w:rsid w:val="00BF311C"/>
    <w:rsid w:val="00BF32D3"/>
    <w:rsid w:val="00BF3C48"/>
    <w:rsid w:val="00BF3EDB"/>
    <w:rsid w:val="00BF4658"/>
    <w:rsid w:val="00BF495C"/>
    <w:rsid w:val="00BF4B9E"/>
    <w:rsid w:val="00BF519A"/>
    <w:rsid w:val="00BF51B3"/>
    <w:rsid w:val="00BF51E5"/>
    <w:rsid w:val="00BF595C"/>
    <w:rsid w:val="00BF5A32"/>
    <w:rsid w:val="00BF5A70"/>
    <w:rsid w:val="00BF5BC8"/>
    <w:rsid w:val="00BF61E0"/>
    <w:rsid w:val="00BF6244"/>
    <w:rsid w:val="00BF63E0"/>
    <w:rsid w:val="00BF68AC"/>
    <w:rsid w:val="00BF6A0F"/>
    <w:rsid w:val="00BF6B53"/>
    <w:rsid w:val="00BF6D0E"/>
    <w:rsid w:val="00BF6FD9"/>
    <w:rsid w:val="00BF758B"/>
    <w:rsid w:val="00BF79E4"/>
    <w:rsid w:val="00BF7A8E"/>
    <w:rsid w:val="00BF7B40"/>
    <w:rsid w:val="00BF7B61"/>
    <w:rsid w:val="00BF7D0F"/>
    <w:rsid w:val="00BF7EB7"/>
    <w:rsid w:val="00BF7EC6"/>
    <w:rsid w:val="00BF7F88"/>
    <w:rsid w:val="00C00072"/>
    <w:rsid w:val="00C000B5"/>
    <w:rsid w:val="00C001E2"/>
    <w:rsid w:val="00C0044B"/>
    <w:rsid w:val="00C00693"/>
    <w:rsid w:val="00C00F80"/>
    <w:rsid w:val="00C010F5"/>
    <w:rsid w:val="00C01437"/>
    <w:rsid w:val="00C018AA"/>
    <w:rsid w:val="00C018E4"/>
    <w:rsid w:val="00C01C4F"/>
    <w:rsid w:val="00C021BD"/>
    <w:rsid w:val="00C02218"/>
    <w:rsid w:val="00C024D3"/>
    <w:rsid w:val="00C02F26"/>
    <w:rsid w:val="00C03A2A"/>
    <w:rsid w:val="00C03C7F"/>
    <w:rsid w:val="00C042A1"/>
    <w:rsid w:val="00C04497"/>
    <w:rsid w:val="00C04562"/>
    <w:rsid w:val="00C0469F"/>
    <w:rsid w:val="00C050D9"/>
    <w:rsid w:val="00C051D1"/>
    <w:rsid w:val="00C05642"/>
    <w:rsid w:val="00C05656"/>
    <w:rsid w:val="00C057AA"/>
    <w:rsid w:val="00C059B8"/>
    <w:rsid w:val="00C05C07"/>
    <w:rsid w:val="00C0627E"/>
    <w:rsid w:val="00C06333"/>
    <w:rsid w:val="00C06D3A"/>
    <w:rsid w:val="00C071BB"/>
    <w:rsid w:val="00C07420"/>
    <w:rsid w:val="00C07599"/>
    <w:rsid w:val="00C07627"/>
    <w:rsid w:val="00C079CD"/>
    <w:rsid w:val="00C07D2A"/>
    <w:rsid w:val="00C100E9"/>
    <w:rsid w:val="00C10448"/>
    <w:rsid w:val="00C105B2"/>
    <w:rsid w:val="00C10869"/>
    <w:rsid w:val="00C10FD4"/>
    <w:rsid w:val="00C113D4"/>
    <w:rsid w:val="00C11460"/>
    <w:rsid w:val="00C115D3"/>
    <w:rsid w:val="00C11849"/>
    <w:rsid w:val="00C11CEA"/>
    <w:rsid w:val="00C120F2"/>
    <w:rsid w:val="00C12198"/>
    <w:rsid w:val="00C12466"/>
    <w:rsid w:val="00C124C3"/>
    <w:rsid w:val="00C12B02"/>
    <w:rsid w:val="00C13059"/>
    <w:rsid w:val="00C13440"/>
    <w:rsid w:val="00C13675"/>
    <w:rsid w:val="00C139E9"/>
    <w:rsid w:val="00C13C0A"/>
    <w:rsid w:val="00C13D66"/>
    <w:rsid w:val="00C13EC3"/>
    <w:rsid w:val="00C14316"/>
    <w:rsid w:val="00C143F3"/>
    <w:rsid w:val="00C14A11"/>
    <w:rsid w:val="00C14CA2"/>
    <w:rsid w:val="00C14D1A"/>
    <w:rsid w:val="00C14F54"/>
    <w:rsid w:val="00C150D7"/>
    <w:rsid w:val="00C15162"/>
    <w:rsid w:val="00C15334"/>
    <w:rsid w:val="00C15AF5"/>
    <w:rsid w:val="00C15C60"/>
    <w:rsid w:val="00C15EF5"/>
    <w:rsid w:val="00C1607C"/>
    <w:rsid w:val="00C1616C"/>
    <w:rsid w:val="00C161B7"/>
    <w:rsid w:val="00C16411"/>
    <w:rsid w:val="00C16E78"/>
    <w:rsid w:val="00C17150"/>
    <w:rsid w:val="00C17205"/>
    <w:rsid w:val="00C17584"/>
    <w:rsid w:val="00C17EFC"/>
    <w:rsid w:val="00C17F51"/>
    <w:rsid w:val="00C200A1"/>
    <w:rsid w:val="00C20113"/>
    <w:rsid w:val="00C2022E"/>
    <w:rsid w:val="00C2027D"/>
    <w:rsid w:val="00C205A3"/>
    <w:rsid w:val="00C207D8"/>
    <w:rsid w:val="00C2080B"/>
    <w:rsid w:val="00C2089F"/>
    <w:rsid w:val="00C20AE7"/>
    <w:rsid w:val="00C20B1E"/>
    <w:rsid w:val="00C20C1E"/>
    <w:rsid w:val="00C20CEC"/>
    <w:rsid w:val="00C2119F"/>
    <w:rsid w:val="00C211C7"/>
    <w:rsid w:val="00C212E4"/>
    <w:rsid w:val="00C2138D"/>
    <w:rsid w:val="00C21620"/>
    <w:rsid w:val="00C2165E"/>
    <w:rsid w:val="00C216A8"/>
    <w:rsid w:val="00C21D32"/>
    <w:rsid w:val="00C21D79"/>
    <w:rsid w:val="00C21E1D"/>
    <w:rsid w:val="00C21E78"/>
    <w:rsid w:val="00C21E89"/>
    <w:rsid w:val="00C221BB"/>
    <w:rsid w:val="00C22224"/>
    <w:rsid w:val="00C2235B"/>
    <w:rsid w:val="00C2269C"/>
    <w:rsid w:val="00C22D11"/>
    <w:rsid w:val="00C22E40"/>
    <w:rsid w:val="00C2369C"/>
    <w:rsid w:val="00C238DC"/>
    <w:rsid w:val="00C2392A"/>
    <w:rsid w:val="00C23D0B"/>
    <w:rsid w:val="00C23E36"/>
    <w:rsid w:val="00C2516E"/>
    <w:rsid w:val="00C25228"/>
    <w:rsid w:val="00C25686"/>
    <w:rsid w:val="00C256C8"/>
    <w:rsid w:val="00C25D36"/>
    <w:rsid w:val="00C263AB"/>
    <w:rsid w:val="00C263C4"/>
    <w:rsid w:val="00C266B1"/>
    <w:rsid w:val="00C26770"/>
    <w:rsid w:val="00C269B6"/>
    <w:rsid w:val="00C26BE1"/>
    <w:rsid w:val="00C26C1B"/>
    <w:rsid w:val="00C26C29"/>
    <w:rsid w:val="00C26D41"/>
    <w:rsid w:val="00C2726B"/>
    <w:rsid w:val="00C273A6"/>
    <w:rsid w:val="00C274FE"/>
    <w:rsid w:val="00C27A71"/>
    <w:rsid w:val="00C27C41"/>
    <w:rsid w:val="00C27C52"/>
    <w:rsid w:val="00C27C90"/>
    <w:rsid w:val="00C27F7F"/>
    <w:rsid w:val="00C27FD0"/>
    <w:rsid w:val="00C308E9"/>
    <w:rsid w:val="00C30AEA"/>
    <w:rsid w:val="00C30D9F"/>
    <w:rsid w:val="00C30E2B"/>
    <w:rsid w:val="00C30FF5"/>
    <w:rsid w:val="00C3203A"/>
    <w:rsid w:val="00C32071"/>
    <w:rsid w:val="00C32107"/>
    <w:rsid w:val="00C3220A"/>
    <w:rsid w:val="00C323DE"/>
    <w:rsid w:val="00C32643"/>
    <w:rsid w:val="00C3292F"/>
    <w:rsid w:val="00C3293C"/>
    <w:rsid w:val="00C32D68"/>
    <w:rsid w:val="00C32F79"/>
    <w:rsid w:val="00C32FD3"/>
    <w:rsid w:val="00C32FEF"/>
    <w:rsid w:val="00C3334A"/>
    <w:rsid w:val="00C33679"/>
    <w:rsid w:val="00C3395E"/>
    <w:rsid w:val="00C33AEF"/>
    <w:rsid w:val="00C33BEF"/>
    <w:rsid w:val="00C34010"/>
    <w:rsid w:val="00C34712"/>
    <w:rsid w:val="00C34AF4"/>
    <w:rsid w:val="00C34CCC"/>
    <w:rsid w:val="00C34E32"/>
    <w:rsid w:val="00C3549C"/>
    <w:rsid w:val="00C3551D"/>
    <w:rsid w:val="00C35A3B"/>
    <w:rsid w:val="00C35A5B"/>
    <w:rsid w:val="00C35D89"/>
    <w:rsid w:val="00C36216"/>
    <w:rsid w:val="00C36A27"/>
    <w:rsid w:val="00C36AB7"/>
    <w:rsid w:val="00C36E3D"/>
    <w:rsid w:val="00C36EA0"/>
    <w:rsid w:val="00C36ED3"/>
    <w:rsid w:val="00C370B7"/>
    <w:rsid w:val="00C372F7"/>
    <w:rsid w:val="00C373A1"/>
    <w:rsid w:val="00C37618"/>
    <w:rsid w:val="00C37971"/>
    <w:rsid w:val="00C37B9D"/>
    <w:rsid w:val="00C37D81"/>
    <w:rsid w:val="00C37EB8"/>
    <w:rsid w:val="00C37FE0"/>
    <w:rsid w:val="00C402BF"/>
    <w:rsid w:val="00C4030E"/>
    <w:rsid w:val="00C40352"/>
    <w:rsid w:val="00C40406"/>
    <w:rsid w:val="00C4175C"/>
    <w:rsid w:val="00C41843"/>
    <w:rsid w:val="00C41C62"/>
    <w:rsid w:val="00C421D8"/>
    <w:rsid w:val="00C423D0"/>
    <w:rsid w:val="00C427BF"/>
    <w:rsid w:val="00C42A09"/>
    <w:rsid w:val="00C42AC6"/>
    <w:rsid w:val="00C42F1B"/>
    <w:rsid w:val="00C431E1"/>
    <w:rsid w:val="00C43678"/>
    <w:rsid w:val="00C43682"/>
    <w:rsid w:val="00C43952"/>
    <w:rsid w:val="00C43E27"/>
    <w:rsid w:val="00C4405A"/>
    <w:rsid w:val="00C44745"/>
    <w:rsid w:val="00C447C9"/>
    <w:rsid w:val="00C44833"/>
    <w:rsid w:val="00C4483C"/>
    <w:rsid w:val="00C44A36"/>
    <w:rsid w:val="00C44A4F"/>
    <w:rsid w:val="00C44A55"/>
    <w:rsid w:val="00C44AC1"/>
    <w:rsid w:val="00C44D5C"/>
    <w:rsid w:val="00C44DAD"/>
    <w:rsid w:val="00C44DCB"/>
    <w:rsid w:val="00C44EC3"/>
    <w:rsid w:val="00C4505C"/>
    <w:rsid w:val="00C454AE"/>
    <w:rsid w:val="00C456B3"/>
    <w:rsid w:val="00C457D7"/>
    <w:rsid w:val="00C458E3"/>
    <w:rsid w:val="00C45CF7"/>
    <w:rsid w:val="00C45D71"/>
    <w:rsid w:val="00C46112"/>
    <w:rsid w:val="00C4623F"/>
    <w:rsid w:val="00C462D3"/>
    <w:rsid w:val="00C463D4"/>
    <w:rsid w:val="00C46550"/>
    <w:rsid w:val="00C4687F"/>
    <w:rsid w:val="00C46896"/>
    <w:rsid w:val="00C46DDB"/>
    <w:rsid w:val="00C46EA0"/>
    <w:rsid w:val="00C47159"/>
    <w:rsid w:val="00C47272"/>
    <w:rsid w:val="00C473C9"/>
    <w:rsid w:val="00C47A48"/>
    <w:rsid w:val="00C47B53"/>
    <w:rsid w:val="00C47D27"/>
    <w:rsid w:val="00C5038B"/>
    <w:rsid w:val="00C50416"/>
    <w:rsid w:val="00C50770"/>
    <w:rsid w:val="00C50C0C"/>
    <w:rsid w:val="00C50D7D"/>
    <w:rsid w:val="00C50FC0"/>
    <w:rsid w:val="00C511F5"/>
    <w:rsid w:val="00C516B0"/>
    <w:rsid w:val="00C516F4"/>
    <w:rsid w:val="00C51CEE"/>
    <w:rsid w:val="00C51E15"/>
    <w:rsid w:val="00C51E55"/>
    <w:rsid w:val="00C52240"/>
    <w:rsid w:val="00C5229E"/>
    <w:rsid w:val="00C52579"/>
    <w:rsid w:val="00C530CC"/>
    <w:rsid w:val="00C533A6"/>
    <w:rsid w:val="00C53575"/>
    <w:rsid w:val="00C53DBD"/>
    <w:rsid w:val="00C53FD9"/>
    <w:rsid w:val="00C5402A"/>
    <w:rsid w:val="00C54043"/>
    <w:rsid w:val="00C541BF"/>
    <w:rsid w:val="00C54252"/>
    <w:rsid w:val="00C54760"/>
    <w:rsid w:val="00C54774"/>
    <w:rsid w:val="00C54780"/>
    <w:rsid w:val="00C54788"/>
    <w:rsid w:val="00C54CFB"/>
    <w:rsid w:val="00C54FB5"/>
    <w:rsid w:val="00C55684"/>
    <w:rsid w:val="00C55772"/>
    <w:rsid w:val="00C55AD0"/>
    <w:rsid w:val="00C55B2B"/>
    <w:rsid w:val="00C55BCA"/>
    <w:rsid w:val="00C5635D"/>
    <w:rsid w:val="00C565BC"/>
    <w:rsid w:val="00C567DE"/>
    <w:rsid w:val="00C56D47"/>
    <w:rsid w:val="00C56DA5"/>
    <w:rsid w:val="00C5754E"/>
    <w:rsid w:val="00C577FA"/>
    <w:rsid w:val="00C57848"/>
    <w:rsid w:val="00C6026B"/>
    <w:rsid w:val="00C6034C"/>
    <w:rsid w:val="00C6039C"/>
    <w:rsid w:val="00C6044D"/>
    <w:rsid w:val="00C606AC"/>
    <w:rsid w:val="00C607F8"/>
    <w:rsid w:val="00C60A2D"/>
    <w:rsid w:val="00C60BF8"/>
    <w:rsid w:val="00C60C69"/>
    <w:rsid w:val="00C60C7F"/>
    <w:rsid w:val="00C613E6"/>
    <w:rsid w:val="00C6140C"/>
    <w:rsid w:val="00C615B3"/>
    <w:rsid w:val="00C61900"/>
    <w:rsid w:val="00C619E4"/>
    <w:rsid w:val="00C61C7F"/>
    <w:rsid w:val="00C61D98"/>
    <w:rsid w:val="00C6254C"/>
    <w:rsid w:val="00C626B5"/>
    <w:rsid w:val="00C629BD"/>
    <w:rsid w:val="00C62AA6"/>
    <w:rsid w:val="00C62E2A"/>
    <w:rsid w:val="00C63154"/>
    <w:rsid w:val="00C6350D"/>
    <w:rsid w:val="00C63670"/>
    <w:rsid w:val="00C63697"/>
    <w:rsid w:val="00C64674"/>
    <w:rsid w:val="00C64BBA"/>
    <w:rsid w:val="00C64DED"/>
    <w:rsid w:val="00C65069"/>
    <w:rsid w:val="00C6519C"/>
    <w:rsid w:val="00C659A0"/>
    <w:rsid w:val="00C660ED"/>
    <w:rsid w:val="00C66235"/>
    <w:rsid w:val="00C6665D"/>
    <w:rsid w:val="00C6667E"/>
    <w:rsid w:val="00C667D1"/>
    <w:rsid w:val="00C66B42"/>
    <w:rsid w:val="00C66F38"/>
    <w:rsid w:val="00C67478"/>
    <w:rsid w:val="00C675B9"/>
    <w:rsid w:val="00C675F6"/>
    <w:rsid w:val="00C6775C"/>
    <w:rsid w:val="00C67F54"/>
    <w:rsid w:val="00C7002A"/>
    <w:rsid w:val="00C70071"/>
    <w:rsid w:val="00C700A2"/>
    <w:rsid w:val="00C7028B"/>
    <w:rsid w:val="00C7039B"/>
    <w:rsid w:val="00C7070B"/>
    <w:rsid w:val="00C707F6"/>
    <w:rsid w:val="00C7081B"/>
    <w:rsid w:val="00C70E10"/>
    <w:rsid w:val="00C71207"/>
    <w:rsid w:val="00C714A8"/>
    <w:rsid w:val="00C71604"/>
    <w:rsid w:val="00C71852"/>
    <w:rsid w:val="00C718E7"/>
    <w:rsid w:val="00C71BAE"/>
    <w:rsid w:val="00C71E8F"/>
    <w:rsid w:val="00C71F9D"/>
    <w:rsid w:val="00C721BE"/>
    <w:rsid w:val="00C72404"/>
    <w:rsid w:val="00C725A8"/>
    <w:rsid w:val="00C727DF"/>
    <w:rsid w:val="00C72858"/>
    <w:rsid w:val="00C72996"/>
    <w:rsid w:val="00C72ACC"/>
    <w:rsid w:val="00C72C80"/>
    <w:rsid w:val="00C72D83"/>
    <w:rsid w:val="00C72DF0"/>
    <w:rsid w:val="00C72ECE"/>
    <w:rsid w:val="00C730E0"/>
    <w:rsid w:val="00C73932"/>
    <w:rsid w:val="00C73C5F"/>
    <w:rsid w:val="00C74086"/>
    <w:rsid w:val="00C7423F"/>
    <w:rsid w:val="00C74403"/>
    <w:rsid w:val="00C7449E"/>
    <w:rsid w:val="00C74931"/>
    <w:rsid w:val="00C749DE"/>
    <w:rsid w:val="00C74A5F"/>
    <w:rsid w:val="00C74DDC"/>
    <w:rsid w:val="00C750E1"/>
    <w:rsid w:val="00C7513A"/>
    <w:rsid w:val="00C75A0F"/>
    <w:rsid w:val="00C75DF9"/>
    <w:rsid w:val="00C75E86"/>
    <w:rsid w:val="00C76056"/>
    <w:rsid w:val="00C765FB"/>
    <w:rsid w:val="00C76744"/>
    <w:rsid w:val="00C76797"/>
    <w:rsid w:val="00C769DE"/>
    <w:rsid w:val="00C77266"/>
    <w:rsid w:val="00C77700"/>
    <w:rsid w:val="00C77885"/>
    <w:rsid w:val="00C77BB1"/>
    <w:rsid w:val="00C77CFD"/>
    <w:rsid w:val="00C77E7C"/>
    <w:rsid w:val="00C80326"/>
    <w:rsid w:val="00C80494"/>
    <w:rsid w:val="00C80605"/>
    <w:rsid w:val="00C80790"/>
    <w:rsid w:val="00C80C60"/>
    <w:rsid w:val="00C81086"/>
    <w:rsid w:val="00C812EF"/>
    <w:rsid w:val="00C8143E"/>
    <w:rsid w:val="00C814B8"/>
    <w:rsid w:val="00C81A50"/>
    <w:rsid w:val="00C82018"/>
    <w:rsid w:val="00C820EC"/>
    <w:rsid w:val="00C82130"/>
    <w:rsid w:val="00C82383"/>
    <w:rsid w:val="00C8255E"/>
    <w:rsid w:val="00C8282B"/>
    <w:rsid w:val="00C836F8"/>
    <w:rsid w:val="00C838C2"/>
    <w:rsid w:val="00C838E2"/>
    <w:rsid w:val="00C83CF3"/>
    <w:rsid w:val="00C848A7"/>
    <w:rsid w:val="00C84BB1"/>
    <w:rsid w:val="00C84D6C"/>
    <w:rsid w:val="00C85814"/>
    <w:rsid w:val="00C85DB7"/>
    <w:rsid w:val="00C85E67"/>
    <w:rsid w:val="00C85F4F"/>
    <w:rsid w:val="00C8611B"/>
    <w:rsid w:val="00C867EF"/>
    <w:rsid w:val="00C86B19"/>
    <w:rsid w:val="00C86D14"/>
    <w:rsid w:val="00C87017"/>
    <w:rsid w:val="00C87C39"/>
    <w:rsid w:val="00C87DC1"/>
    <w:rsid w:val="00C904C6"/>
    <w:rsid w:val="00C90C57"/>
    <w:rsid w:val="00C91018"/>
    <w:rsid w:val="00C911ED"/>
    <w:rsid w:val="00C91BA9"/>
    <w:rsid w:val="00C91C04"/>
    <w:rsid w:val="00C91CCB"/>
    <w:rsid w:val="00C91D63"/>
    <w:rsid w:val="00C91FCF"/>
    <w:rsid w:val="00C92083"/>
    <w:rsid w:val="00C9295F"/>
    <w:rsid w:val="00C92DFD"/>
    <w:rsid w:val="00C92F05"/>
    <w:rsid w:val="00C92F12"/>
    <w:rsid w:val="00C93515"/>
    <w:rsid w:val="00C93745"/>
    <w:rsid w:val="00C93B0D"/>
    <w:rsid w:val="00C93E36"/>
    <w:rsid w:val="00C9499A"/>
    <w:rsid w:val="00C94A21"/>
    <w:rsid w:val="00C94B2B"/>
    <w:rsid w:val="00C94B94"/>
    <w:rsid w:val="00C94E40"/>
    <w:rsid w:val="00C94FE9"/>
    <w:rsid w:val="00C9514B"/>
    <w:rsid w:val="00C9518D"/>
    <w:rsid w:val="00C954B4"/>
    <w:rsid w:val="00C95F5C"/>
    <w:rsid w:val="00C96E1B"/>
    <w:rsid w:val="00C97068"/>
    <w:rsid w:val="00C97117"/>
    <w:rsid w:val="00C97426"/>
    <w:rsid w:val="00C97567"/>
    <w:rsid w:val="00C979E4"/>
    <w:rsid w:val="00C97BF1"/>
    <w:rsid w:val="00CA0032"/>
    <w:rsid w:val="00CA0051"/>
    <w:rsid w:val="00CA04D5"/>
    <w:rsid w:val="00CA062E"/>
    <w:rsid w:val="00CA0790"/>
    <w:rsid w:val="00CA0979"/>
    <w:rsid w:val="00CA0A4A"/>
    <w:rsid w:val="00CA0B46"/>
    <w:rsid w:val="00CA0C09"/>
    <w:rsid w:val="00CA0F58"/>
    <w:rsid w:val="00CA1068"/>
    <w:rsid w:val="00CA14F5"/>
    <w:rsid w:val="00CA165A"/>
    <w:rsid w:val="00CA177E"/>
    <w:rsid w:val="00CA1A68"/>
    <w:rsid w:val="00CA1EC2"/>
    <w:rsid w:val="00CA22DD"/>
    <w:rsid w:val="00CA23FF"/>
    <w:rsid w:val="00CA2693"/>
    <w:rsid w:val="00CA290A"/>
    <w:rsid w:val="00CA2E5A"/>
    <w:rsid w:val="00CA328D"/>
    <w:rsid w:val="00CA33CB"/>
    <w:rsid w:val="00CA34F0"/>
    <w:rsid w:val="00CA3580"/>
    <w:rsid w:val="00CA36D6"/>
    <w:rsid w:val="00CA38A8"/>
    <w:rsid w:val="00CA38F2"/>
    <w:rsid w:val="00CA394E"/>
    <w:rsid w:val="00CA3CA1"/>
    <w:rsid w:val="00CA4187"/>
    <w:rsid w:val="00CA430B"/>
    <w:rsid w:val="00CA5085"/>
    <w:rsid w:val="00CA5148"/>
    <w:rsid w:val="00CA5202"/>
    <w:rsid w:val="00CA5A6A"/>
    <w:rsid w:val="00CA5C84"/>
    <w:rsid w:val="00CA631B"/>
    <w:rsid w:val="00CA657F"/>
    <w:rsid w:val="00CA6BDB"/>
    <w:rsid w:val="00CA6FFF"/>
    <w:rsid w:val="00CA70FA"/>
    <w:rsid w:val="00CA7240"/>
    <w:rsid w:val="00CA72FC"/>
    <w:rsid w:val="00CA7394"/>
    <w:rsid w:val="00CA76FC"/>
    <w:rsid w:val="00CA7932"/>
    <w:rsid w:val="00CA797E"/>
    <w:rsid w:val="00CA7AA5"/>
    <w:rsid w:val="00CA7B36"/>
    <w:rsid w:val="00CA7B62"/>
    <w:rsid w:val="00CB004E"/>
    <w:rsid w:val="00CB0136"/>
    <w:rsid w:val="00CB0472"/>
    <w:rsid w:val="00CB06AC"/>
    <w:rsid w:val="00CB0965"/>
    <w:rsid w:val="00CB0BC0"/>
    <w:rsid w:val="00CB0C75"/>
    <w:rsid w:val="00CB0D18"/>
    <w:rsid w:val="00CB0E26"/>
    <w:rsid w:val="00CB17C6"/>
    <w:rsid w:val="00CB1D19"/>
    <w:rsid w:val="00CB1E64"/>
    <w:rsid w:val="00CB1F2B"/>
    <w:rsid w:val="00CB1F82"/>
    <w:rsid w:val="00CB23AE"/>
    <w:rsid w:val="00CB252F"/>
    <w:rsid w:val="00CB264E"/>
    <w:rsid w:val="00CB2AE6"/>
    <w:rsid w:val="00CB2AFE"/>
    <w:rsid w:val="00CB2C5D"/>
    <w:rsid w:val="00CB2CB1"/>
    <w:rsid w:val="00CB3363"/>
    <w:rsid w:val="00CB33FD"/>
    <w:rsid w:val="00CB34DD"/>
    <w:rsid w:val="00CB3850"/>
    <w:rsid w:val="00CB39B4"/>
    <w:rsid w:val="00CB3DF3"/>
    <w:rsid w:val="00CB3ED0"/>
    <w:rsid w:val="00CB4280"/>
    <w:rsid w:val="00CB463C"/>
    <w:rsid w:val="00CB4D04"/>
    <w:rsid w:val="00CB50A7"/>
    <w:rsid w:val="00CB53D7"/>
    <w:rsid w:val="00CB5637"/>
    <w:rsid w:val="00CB5C0F"/>
    <w:rsid w:val="00CB5CEF"/>
    <w:rsid w:val="00CB655D"/>
    <w:rsid w:val="00CB67B5"/>
    <w:rsid w:val="00CB687C"/>
    <w:rsid w:val="00CB6CB9"/>
    <w:rsid w:val="00CB6EF4"/>
    <w:rsid w:val="00CB71AF"/>
    <w:rsid w:val="00CB77E4"/>
    <w:rsid w:val="00CB77FF"/>
    <w:rsid w:val="00CB79C5"/>
    <w:rsid w:val="00CB7AC8"/>
    <w:rsid w:val="00CB7DB7"/>
    <w:rsid w:val="00CC026A"/>
    <w:rsid w:val="00CC02E6"/>
    <w:rsid w:val="00CC041E"/>
    <w:rsid w:val="00CC0440"/>
    <w:rsid w:val="00CC0AA9"/>
    <w:rsid w:val="00CC0AAE"/>
    <w:rsid w:val="00CC0C12"/>
    <w:rsid w:val="00CC0E23"/>
    <w:rsid w:val="00CC0ED7"/>
    <w:rsid w:val="00CC2582"/>
    <w:rsid w:val="00CC2609"/>
    <w:rsid w:val="00CC26CE"/>
    <w:rsid w:val="00CC29A7"/>
    <w:rsid w:val="00CC2E9A"/>
    <w:rsid w:val="00CC31F7"/>
    <w:rsid w:val="00CC3208"/>
    <w:rsid w:val="00CC3696"/>
    <w:rsid w:val="00CC38C0"/>
    <w:rsid w:val="00CC39A2"/>
    <w:rsid w:val="00CC3BFF"/>
    <w:rsid w:val="00CC3C1B"/>
    <w:rsid w:val="00CC3CC6"/>
    <w:rsid w:val="00CC49B0"/>
    <w:rsid w:val="00CC4AAE"/>
    <w:rsid w:val="00CC4DFA"/>
    <w:rsid w:val="00CC4E98"/>
    <w:rsid w:val="00CC4EA8"/>
    <w:rsid w:val="00CC4F5A"/>
    <w:rsid w:val="00CC5290"/>
    <w:rsid w:val="00CC5510"/>
    <w:rsid w:val="00CC56FF"/>
    <w:rsid w:val="00CC581B"/>
    <w:rsid w:val="00CC5934"/>
    <w:rsid w:val="00CC5B00"/>
    <w:rsid w:val="00CC5B5E"/>
    <w:rsid w:val="00CC5E21"/>
    <w:rsid w:val="00CC6444"/>
    <w:rsid w:val="00CC662D"/>
    <w:rsid w:val="00CC668C"/>
    <w:rsid w:val="00CC67B7"/>
    <w:rsid w:val="00CC6F77"/>
    <w:rsid w:val="00CC72CA"/>
    <w:rsid w:val="00CC7991"/>
    <w:rsid w:val="00CC7FE7"/>
    <w:rsid w:val="00CD00FE"/>
    <w:rsid w:val="00CD024D"/>
    <w:rsid w:val="00CD02B2"/>
    <w:rsid w:val="00CD0342"/>
    <w:rsid w:val="00CD047D"/>
    <w:rsid w:val="00CD07D5"/>
    <w:rsid w:val="00CD0B8F"/>
    <w:rsid w:val="00CD15CD"/>
    <w:rsid w:val="00CD16A8"/>
    <w:rsid w:val="00CD16C7"/>
    <w:rsid w:val="00CD18E1"/>
    <w:rsid w:val="00CD199F"/>
    <w:rsid w:val="00CD1BFF"/>
    <w:rsid w:val="00CD1C08"/>
    <w:rsid w:val="00CD1F15"/>
    <w:rsid w:val="00CD2117"/>
    <w:rsid w:val="00CD2264"/>
    <w:rsid w:val="00CD2A6B"/>
    <w:rsid w:val="00CD2AD0"/>
    <w:rsid w:val="00CD2C42"/>
    <w:rsid w:val="00CD3243"/>
    <w:rsid w:val="00CD33B8"/>
    <w:rsid w:val="00CD3A38"/>
    <w:rsid w:val="00CD3D81"/>
    <w:rsid w:val="00CD3F64"/>
    <w:rsid w:val="00CD410C"/>
    <w:rsid w:val="00CD41C1"/>
    <w:rsid w:val="00CD44C2"/>
    <w:rsid w:val="00CD471B"/>
    <w:rsid w:val="00CD48C3"/>
    <w:rsid w:val="00CD4934"/>
    <w:rsid w:val="00CD49DE"/>
    <w:rsid w:val="00CD4DD9"/>
    <w:rsid w:val="00CD5445"/>
    <w:rsid w:val="00CD5952"/>
    <w:rsid w:val="00CD5BC4"/>
    <w:rsid w:val="00CD5C27"/>
    <w:rsid w:val="00CD5C84"/>
    <w:rsid w:val="00CD5DEE"/>
    <w:rsid w:val="00CD6200"/>
    <w:rsid w:val="00CD651A"/>
    <w:rsid w:val="00CD6553"/>
    <w:rsid w:val="00CD6625"/>
    <w:rsid w:val="00CD66D9"/>
    <w:rsid w:val="00CD68D8"/>
    <w:rsid w:val="00CD70AB"/>
    <w:rsid w:val="00CD7146"/>
    <w:rsid w:val="00CD7165"/>
    <w:rsid w:val="00CD72AF"/>
    <w:rsid w:val="00CD7ACB"/>
    <w:rsid w:val="00CE01A1"/>
    <w:rsid w:val="00CE01C3"/>
    <w:rsid w:val="00CE0328"/>
    <w:rsid w:val="00CE054D"/>
    <w:rsid w:val="00CE0731"/>
    <w:rsid w:val="00CE0C5C"/>
    <w:rsid w:val="00CE1048"/>
    <w:rsid w:val="00CE140B"/>
    <w:rsid w:val="00CE14C9"/>
    <w:rsid w:val="00CE1535"/>
    <w:rsid w:val="00CE1673"/>
    <w:rsid w:val="00CE1EDF"/>
    <w:rsid w:val="00CE20E2"/>
    <w:rsid w:val="00CE299F"/>
    <w:rsid w:val="00CE369F"/>
    <w:rsid w:val="00CE3886"/>
    <w:rsid w:val="00CE3C53"/>
    <w:rsid w:val="00CE3F4F"/>
    <w:rsid w:val="00CE41AF"/>
    <w:rsid w:val="00CE42B0"/>
    <w:rsid w:val="00CE4416"/>
    <w:rsid w:val="00CE4723"/>
    <w:rsid w:val="00CE48DD"/>
    <w:rsid w:val="00CE4A76"/>
    <w:rsid w:val="00CE4A80"/>
    <w:rsid w:val="00CE4BE2"/>
    <w:rsid w:val="00CE5092"/>
    <w:rsid w:val="00CE52A7"/>
    <w:rsid w:val="00CE5784"/>
    <w:rsid w:val="00CE5977"/>
    <w:rsid w:val="00CE6225"/>
    <w:rsid w:val="00CE6339"/>
    <w:rsid w:val="00CE65E2"/>
    <w:rsid w:val="00CE6B38"/>
    <w:rsid w:val="00CE6DA2"/>
    <w:rsid w:val="00CE6F31"/>
    <w:rsid w:val="00CE6F62"/>
    <w:rsid w:val="00CE6F74"/>
    <w:rsid w:val="00CE6FA5"/>
    <w:rsid w:val="00CE7051"/>
    <w:rsid w:val="00CE772F"/>
    <w:rsid w:val="00CE7A3B"/>
    <w:rsid w:val="00CE7E4E"/>
    <w:rsid w:val="00CE7F4C"/>
    <w:rsid w:val="00CF029C"/>
    <w:rsid w:val="00CF0988"/>
    <w:rsid w:val="00CF0B14"/>
    <w:rsid w:val="00CF0B6B"/>
    <w:rsid w:val="00CF0C05"/>
    <w:rsid w:val="00CF11EC"/>
    <w:rsid w:val="00CF1499"/>
    <w:rsid w:val="00CF14A8"/>
    <w:rsid w:val="00CF173E"/>
    <w:rsid w:val="00CF177F"/>
    <w:rsid w:val="00CF1DA6"/>
    <w:rsid w:val="00CF1E9D"/>
    <w:rsid w:val="00CF1F61"/>
    <w:rsid w:val="00CF201C"/>
    <w:rsid w:val="00CF21D9"/>
    <w:rsid w:val="00CF2247"/>
    <w:rsid w:val="00CF2492"/>
    <w:rsid w:val="00CF2AB3"/>
    <w:rsid w:val="00CF2C2C"/>
    <w:rsid w:val="00CF2E73"/>
    <w:rsid w:val="00CF2FCF"/>
    <w:rsid w:val="00CF4A0C"/>
    <w:rsid w:val="00CF4B86"/>
    <w:rsid w:val="00CF4E50"/>
    <w:rsid w:val="00CF4EE0"/>
    <w:rsid w:val="00CF5238"/>
    <w:rsid w:val="00CF58CE"/>
    <w:rsid w:val="00CF59EF"/>
    <w:rsid w:val="00CF6676"/>
    <w:rsid w:val="00CF6F53"/>
    <w:rsid w:val="00CF70E7"/>
    <w:rsid w:val="00CF79D0"/>
    <w:rsid w:val="00CF7C48"/>
    <w:rsid w:val="00CF7CC6"/>
    <w:rsid w:val="00CF7D3C"/>
    <w:rsid w:val="00D003D4"/>
    <w:rsid w:val="00D0064F"/>
    <w:rsid w:val="00D00844"/>
    <w:rsid w:val="00D00A13"/>
    <w:rsid w:val="00D011EB"/>
    <w:rsid w:val="00D01565"/>
    <w:rsid w:val="00D0165A"/>
    <w:rsid w:val="00D01AEF"/>
    <w:rsid w:val="00D028E3"/>
    <w:rsid w:val="00D02C8A"/>
    <w:rsid w:val="00D02DBD"/>
    <w:rsid w:val="00D03680"/>
    <w:rsid w:val="00D03968"/>
    <w:rsid w:val="00D03BC6"/>
    <w:rsid w:val="00D03F18"/>
    <w:rsid w:val="00D03F5A"/>
    <w:rsid w:val="00D0401C"/>
    <w:rsid w:val="00D0409F"/>
    <w:rsid w:val="00D04689"/>
    <w:rsid w:val="00D0468B"/>
    <w:rsid w:val="00D0498D"/>
    <w:rsid w:val="00D0519B"/>
    <w:rsid w:val="00D053B8"/>
    <w:rsid w:val="00D0547D"/>
    <w:rsid w:val="00D055F6"/>
    <w:rsid w:val="00D056D8"/>
    <w:rsid w:val="00D05792"/>
    <w:rsid w:val="00D058F5"/>
    <w:rsid w:val="00D05C54"/>
    <w:rsid w:val="00D05E68"/>
    <w:rsid w:val="00D0663D"/>
    <w:rsid w:val="00D06690"/>
    <w:rsid w:val="00D067C9"/>
    <w:rsid w:val="00D071D9"/>
    <w:rsid w:val="00D072D0"/>
    <w:rsid w:val="00D07994"/>
    <w:rsid w:val="00D07E13"/>
    <w:rsid w:val="00D07E31"/>
    <w:rsid w:val="00D07F7A"/>
    <w:rsid w:val="00D1022C"/>
    <w:rsid w:val="00D1042E"/>
    <w:rsid w:val="00D10F2A"/>
    <w:rsid w:val="00D1126F"/>
    <w:rsid w:val="00D112AF"/>
    <w:rsid w:val="00D11747"/>
    <w:rsid w:val="00D11C25"/>
    <w:rsid w:val="00D121EE"/>
    <w:rsid w:val="00D1295A"/>
    <w:rsid w:val="00D130DC"/>
    <w:rsid w:val="00D13195"/>
    <w:rsid w:val="00D13321"/>
    <w:rsid w:val="00D1349C"/>
    <w:rsid w:val="00D13777"/>
    <w:rsid w:val="00D141F1"/>
    <w:rsid w:val="00D14281"/>
    <w:rsid w:val="00D14FB6"/>
    <w:rsid w:val="00D15105"/>
    <w:rsid w:val="00D15268"/>
    <w:rsid w:val="00D1572D"/>
    <w:rsid w:val="00D15B65"/>
    <w:rsid w:val="00D15D1A"/>
    <w:rsid w:val="00D15E02"/>
    <w:rsid w:val="00D15F35"/>
    <w:rsid w:val="00D16C4F"/>
    <w:rsid w:val="00D16D05"/>
    <w:rsid w:val="00D16E1A"/>
    <w:rsid w:val="00D16FC3"/>
    <w:rsid w:val="00D17321"/>
    <w:rsid w:val="00D17B2C"/>
    <w:rsid w:val="00D17BBB"/>
    <w:rsid w:val="00D20349"/>
    <w:rsid w:val="00D2066B"/>
    <w:rsid w:val="00D207D6"/>
    <w:rsid w:val="00D2084A"/>
    <w:rsid w:val="00D20B61"/>
    <w:rsid w:val="00D20EE9"/>
    <w:rsid w:val="00D215D1"/>
    <w:rsid w:val="00D2162E"/>
    <w:rsid w:val="00D216E8"/>
    <w:rsid w:val="00D219AA"/>
    <w:rsid w:val="00D21E9B"/>
    <w:rsid w:val="00D21FF7"/>
    <w:rsid w:val="00D220A6"/>
    <w:rsid w:val="00D22190"/>
    <w:rsid w:val="00D22248"/>
    <w:rsid w:val="00D22637"/>
    <w:rsid w:val="00D2281C"/>
    <w:rsid w:val="00D22CCB"/>
    <w:rsid w:val="00D23117"/>
    <w:rsid w:val="00D23367"/>
    <w:rsid w:val="00D2359A"/>
    <w:rsid w:val="00D235A1"/>
    <w:rsid w:val="00D23984"/>
    <w:rsid w:val="00D23ACD"/>
    <w:rsid w:val="00D23C06"/>
    <w:rsid w:val="00D23C7A"/>
    <w:rsid w:val="00D23D1E"/>
    <w:rsid w:val="00D23F8F"/>
    <w:rsid w:val="00D247DB"/>
    <w:rsid w:val="00D2501F"/>
    <w:rsid w:val="00D25601"/>
    <w:rsid w:val="00D2596B"/>
    <w:rsid w:val="00D25A60"/>
    <w:rsid w:val="00D26251"/>
    <w:rsid w:val="00D26482"/>
    <w:rsid w:val="00D2667A"/>
    <w:rsid w:val="00D268BD"/>
    <w:rsid w:val="00D26CEC"/>
    <w:rsid w:val="00D26DAB"/>
    <w:rsid w:val="00D26FBC"/>
    <w:rsid w:val="00D27015"/>
    <w:rsid w:val="00D270C0"/>
    <w:rsid w:val="00D27209"/>
    <w:rsid w:val="00D27379"/>
    <w:rsid w:val="00D2764D"/>
    <w:rsid w:val="00D277E7"/>
    <w:rsid w:val="00D278CC"/>
    <w:rsid w:val="00D27ECD"/>
    <w:rsid w:val="00D30F90"/>
    <w:rsid w:val="00D31477"/>
    <w:rsid w:val="00D318EC"/>
    <w:rsid w:val="00D31D31"/>
    <w:rsid w:val="00D31F11"/>
    <w:rsid w:val="00D32220"/>
    <w:rsid w:val="00D3242C"/>
    <w:rsid w:val="00D324C6"/>
    <w:rsid w:val="00D32540"/>
    <w:rsid w:val="00D3286E"/>
    <w:rsid w:val="00D32BDA"/>
    <w:rsid w:val="00D32C05"/>
    <w:rsid w:val="00D3309B"/>
    <w:rsid w:val="00D33102"/>
    <w:rsid w:val="00D33547"/>
    <w:rsid w:val="00D33913"/>
    <w:rsid w:val="00D33BD7"/>
    <w:rsid w:val="00D33C9B"/>
    <w:rsid w:val="00D33CD5"/>
    <w:rsid w:val="00D33CFA"/>
    <w:rsid w:val="00D33FAE"/>
    <w:rsid w:val="00D33FBF"/>
    <w:rsid w:val="00D35118"/>
    <w:rsid w:val="00D3517D"/>
    <w:rsid w:val="00D35AEC"/>
    <w:rsid w:val="00D35C62"/>
    <w:rsid w:val="00D35D3F"/>
    <w:rsid w:val="00D36170"/>
    <w:rsid w:val="00D361CD"/>
    <w:rsid w:val="00D363BE"/>
    <w:rsid w:val="00D36447"/>
    <w:rsid w:val="00D36468"/>
    <w:rsid w:val="00D36845"/>
    <w:rsid w:val="00D36D45"/>
    <w:rsid w:val="00D36D71"/>
    <w:rsid w:val="00D36EFE"/>
    <w:rsid w:val="00D370CC"/>
    <w:rsid w:val="00D37185"/>
    <w:rsid w:val="00D373CA"/>
    <w:rsid w:val="00D406CE"/>
    <w:rsid w:val="00D41401"/>
    <w:rsid w:val="00D41403"/>
    <w:rsid w:val="00D415BE"/>
    <w:rsid w:val="00D41B59"/>
    <w:rsid w:val="00D41E17"/>
    <w:rsid w:val="00D42062"/>
    <w:rsid w:val="00D42113"/>
    <w:rsid w:val="00D42323"/>
    <w:rsid w:val="00D4236A"/>
    <w:rsid w:val="00D425B6"/>
    <w:rsid w:val="00D42A7F"/>
    <w:rsid w:val="00D42C00"/>
    <w:rsid w:val="00D42E16"/>
    <w:rsid w:val="00D42EDF"/>
    <w:rsid w:val="00D42F88"/>
    <w:rsid w:val="00D42FE4"/>
    <w:rsid w:val="00D4311A"/>
    <w:rsid w:val="00D43596"/>
    <w:rsid w:val="00D439B6"/>
    <w:rsid w:val="00D44049"/>
    <w:rsid w:val="00D44902"/>
    <w:rsid w:val="00D44FBD"/>
    <w:rsid w:val="00D45814"/>
    <w:rsid w:val="00D45C88"/>
    <w:rsid w:val="00D45CF8"/>
    <w:rsid w:val="00D45E9C"/>
    <w:rsid w:val="00D46282"/>
    <w:rsid w:val="00D46326"/>
    <w:rsid w:val="00D469D6"/>
    <w:rsid w:val="00D46B28"/>
    <w:rsid w:val="00D46B7B"/>
    <w:rsid w:val="00D46BDE"/>
    <w:rsid w:val="00D46DFB"/>
    <w:rsid w:val="00D47180"/>
    <w:rsid w:val="00D47203"/>
    <w:rsid w:val="00D476D8"/>
    <w:rsid w:val="00D47C74"/>
    <w:rsid w:val="00D47E01"/>
    <w:rsid w:val="00D47E96"/>
    <w:rsid w:val="00D47EFF"/>
    <w:rsid w:val="00D50541"/>
    <w:rsid w:val="00D5067D"/>
    <w:rsid w:val="00D5068E"/>
    <w:rsid w:val="00D50A84"/>
    <w:rsid w:val="00D50DAF"/>
    <w:rsid w:val="00D50EB6"/>
    <w:rsid w:val="00D50EC5"/>
    <w:rsid w:val="00D51114"/>
    <w:rsid w:val="00D51422"/>
    <w:rsid w:val="00D5198A"/>
    <w:rsid w:val="00D51FE6"/>
    <w:rsid w:val="00D521B0"/>
    <w:rsid w:val="00D52588"/>
    <w:rsid w:val="00D529A0"/>
    <w:rsid w:val="00D52A32"/>
    <w:rsid w:val="00D52E2E"/>
    <w:rsid w:val="00D534BD"/>
    <w:rsid w:val="00D53A61"/>
    <w:rsid w:val="00D53AAC"/>
    <w:rsid w:val="00D54164"/>
    <w:rsid w:val="00D54524"/>
    <w:rsid w:val="00D545C2"/>
    <w:rsid w:val="00D54A5C"/>
    <w:rsid w:val="00D54C04"/>
    <w:rsid w:val="00D54F36"/>
    <w:rsid w:val="00D552EE"/>
    <w:rsid w:val="00D5548D"/>
    <w:rsid w:val="00D56087"/>
    <w:rsid w:val="00D569D7"/>
    <w:rsid w:val="00D56DF7"/>
    <w:rsid w:val="00D56E6A"/>
    <w:rsid w:val="00D56EC6"/>
    <w:rsid w:val="00D570A0"/>
    <w:rsid w:val="00D5721C"/>
    <w:rsid w:val="00D57683"/>
    <w:rsid w:val="00D57842"/>
    <w:rsid w:val="00D60348"/>
    <w:rsid w:val="00D603C5"/>
    <w:rsid w:val="00D606C7"/>
    <w:rsid w:val="00D607A5"/>
    <w:rsid w:val="00D608C6"/>
    <w:rsid w:val="00D60AA5"/>
    <w:rsid w:val="00D60B24"/>
    <w:rsid w:val="00D60FA8"/>
    <w:rsid w:val="00D6153B"/>
    <w:rsid w:val="00D6153D"/>
    <w:rsid w:val="00D6160A"/>
    <w:rsid w:val="00D6167B"/>
    <w:rsid w:val="00D6190B"/>
    <w:rsid w:val="00D61B65"/>
    <w:rsid w:val="00D61E20"/>
    <w:rsid w:val="00D6230F"/>
    <w:rsid w:val="00D623F5"/>
    <w:rsid w:val="00D628E1"/>
    <w:rsid w:val="00D62A85"/>
    <w:rsid w:val="00D62B95"/>
    <w:rsid w:val="00D63132"/>
    <w:rsid w:val="00D6327D"/>
    <w:rsid w:val="00D63432"/>
    <w:rsid w:val="00D634F4"/>
    <w:rsid w:val="00D63931"/>
    <w:rsid w:val="00D63C41"/>
    <w:rsid w:val="00D63DB0"/>
    <w:rsid w:val="00D63F37"/>
    <w:rsid w:val="00D64047"/>
    <w:rsid w:val="00D643D3"/>
    <w:rsid w:val="00D64528"/>
    <w:rsid w:val="00D646E2"/>
    <w:rsid w:val="00D64734"/>
    <w:rsid w:val="00D647F9"/>
    <w:rsid w:val="00D648D0"/>
    <w:rsid w:val="00D64C33"/>
    <w:rsid w:val="00D64D6E"/>
    <w:rsid w:val="00D650C0"/>
    <w:rsid w:val="00D65379"/>
    <w:rsid w:val="00D65666"/>
    <w:rsid w:val="00D65822"/>
    <w:rsid w:val="00D659C2"/>
    <w:rsid w:val="00D65F7E"/>
    <w:rsid w:val="00D6600C"/>
    <w:rsid w:val="00D66187"/>
    <w:rsid w:val="00D664C9"/>
    <w:rsid w:val="00D664D6"/>
    <w:rsid w:val="00D66602"/>
    <w:rsid w:val="00D6685A"/>
    <w:rsid w:val="00D669FF"/>
    <w:rsid w:val="00D66A7F"/>
    <w:rsid w:val="00D67291"/>
    <w:rsid w:val="00D676D9"/>
    <w:rsid w:val="00D677DA"/>
    <w:rsid w:val="00D67A1A"/>
    <w:rsid w:val="00D67C12"/>
    <w:rsid w:val="00D67DB6"/>
    <w:rsid w:val="00D705AD"/>
    <w:rsid w:val="00D707F1"/>
    <w:rsid w:val="00D708BF"/>
    <w:rsid w:val="00D70997"/>
    <w:rsid w:val="00D70DE8"/>
    <w:rsid w:val="00D70F6D"/>
    <w:rsid w:val="00D7134C"/>
    <w:rsid w:val="00D71598"/>
    <w:rsid w:val="00D7177D"/>
    <w:rsid w:val="00D71A31"/>
    <w:rsid w:val="00D71E63"/>
    <w:rsid w:val="00D71F53"/>
    <w:rsid w:val="00D720E1"/>
    <w:rsid w:val="00D720EA"/>
    <w:rsid w:val="00D72829"/>
    <w:rsid w:val="00D729F0"/>
    <w:rsid w:val="00D72BEE"/>
    <w:rsid w:val="00D72D26"/>
    <w:rsid w:val="00D72E01"/>
    <w:rsid w:val="00D7310F"/>
    <w:rsid w:val="00D732A0"/>
    <w:rsid w:val="00D73E0C"/>
    <w:rsid w:val="00D73EA4"/>
    <w:rsid w:val="00D740CF"/>
    <w:rsid w:val="00D7454E"/>
    <w:rsid w:val="00D74782"/>
    <w:rsid w:val="00D74B7C"/>
    <w:rsid w:val="00D74DF4"/>
    <w:rsid w:val="00D7514D"/>
    <w:rsid w:val="00D75E3A"/>
    <w:rsid w:val="00D75E40"/>
    <w:rsid w:val="00D76117"/>
    <w:rsid w:val="00D76149"/>
    <w:rsid w:val="00D76243"/>
    <w:rsid w:val="00D76258"/>
    <w:rsid w:val="00D7661B"/>
    <w:rsid w:val="00D76742"/>
    <w:rsid w:val="00D76E60"/>
    <w:rsid w:val="00D76F11"/>
    <w:rsid w:val="00D76F23"/>
    <w:rsid w:val="00D76FC5"/>
    <w:rsid w:val="00D7727E"/>
    <w:rsid w:val="00D772F3"/>
    <w:rsid w:val="00D77348"/>
    <w:rsid w:val="00D77511"/>
    <w:rsid w:val="00D77643"/>
    <w:rsid w:val="00D77971"/>
    <w:rsid w:val="00D77D5D"/>
    <w:rsid w:val="00D80270"/>
    <w:rsid w:val="00D80309"/>
    <w:rsid w:val="00D80CEA"/>
    <w:rsid w:val="00D8103D"/>
    <w:rsid w:val="00D81069"/>
    <w:rsid w:val="00D810BF"/>
    <w:rsid w:val="00D81569"/>
    <w:rsid w:val="00D815FF"/>
    <w:rsid w:val="00D81841"/>
    <w:rsid w:val="00D8196F"/>
    <w:rsid w:val="00D819DD"/>
    <w:rsid w:val="00D81FAD"/>
    <w:rsid w:val="00D827A2"/>
    <w:rsid w:val="00D82A5C"/>
    <w:rsid w:val="00D83591"/>
    <w:rsid w:val="00D837C0"/>
    <w:rsid w:val="00D83AD0"/>
    <w:rsid w:val="00D83B9F"/>
    <w:rsid w:val="00D83D3D"/>
    <w:rsid w:val="00D843D8"/>
    <w:rsid w:val="00D844FD"/>
    <w:rsid w:val="00D8460B"/>
    <w:rsid w:val="00D84898"/>
    <w:rsid w:val="00D849B1"/>
    <w:rsid w:val="00D85BFC"/>
    <w:rsid w:val="00D85C5D"/>
    <w:rsid w:val="00D85FAB"/>
    <w:rsid w:val="00D85FE3"/>
    <w:rsid w:val="00D8653F"/>
    <w:rsid w:val="00D866EE"/>
    <w:rsid w:val="00D869C9"/>
    <w:rsid w:val="00D86C17"/>
    <w:rsid w:val="00D86E4C"/>
    <w:rsid w:val="00D8704F"/>
    <w:rsid w:val="00D8718D"/>
    <w:rsid w:val="00D87317"/>
    <w:rsid w:val="00D877E9"/>
    <w:rsid w:val="00D87AA7"/>
    <w:rsid w:val="00D87B3E"/>
    <w:rsid w:val="00D90009"/>
    <w:rsid w:val="00D901C7"/>
    <w:rsid w:val="00D902CA"/>
    <w:rsid w:val="00D90B86"/>
    <w:rsid w:val="00D90CB6"/>
    <w:rsid w:val="00D90F9B"/>
    <w:rsid w:val="00D91089"/>
    <w:rsid w:val="00D9164B"/>
    <w:rsid w:val="00D91A1A"/>
    <w:rsid w:val="00D922B0"/>
    <w:rsid w:val="00D922C8"/>
    <w:rsid w:val="00D92670"/>
    <w:rsid w:val="00D9284F"/>
    <w:rsid w:val="00D92A16"/>
    <w:rsid w:val="00D92B19"/>
    <w:rsid w:val="00D92BDF"/>
    <w:rsid w:val="00D92D72"/>
    <w:rsid w:val="00D93558"/>
    <w:rsid w:val="00D9364F"/>
    <w:rsid w:val="00D9367A"/>
    <w:rsid w:val="00D93682"/>
    <w:rsid w:val="00D93870"/>
    <w:rsid w:val="00D9389C"/>
    <w:rsid w:val="00D939C3"/>
    <w:rsid w:val="00D93AD3"/>
    <w:rsid w:val="00D9400E"/>
    <w:rsid w:val="00D94310"/>
    <w:rsid w:val="00D94C24"/>
    <w:rsid w:val="00D94C44"/>
    <w:rsid w:val="00D94E8D"/>
    <w:rsid w:val="00D94EE2"/>
    <w:rsid w:val="00D95159"/>
    <w:rsid w:val="00D955B8"/>
    <w:rsid w:val="00D95829"/>
    <w:rsid w:val="00D958B8"/>
    <w:rsid w:val="00D95B96"/>
    <w:rsid w:val="00D95D49"/>
    <w:rsid w:val="00D95ECF"/>
    <w:rsid w:val="00D95EE5"/>
    <w:rsid w:val="00D96035"/>
    <w:rsid w:val="00D96A3E"/>
    <w:rsid w:val="00D96AB6"/>
    <w:rsid w:val="00D96EDE"/>
    <w:rsid w:val="00D96EF7"/>
    <w:rsid w:val="00D973B5"/>
    <w:rsid w:val="00D974B3"/>
    <w:rsid w:val="00D97748"/>
    <w:rsid w:val="00D97945"/>
    <w:rsid w:val="00D979C1"/>
    <w:rsid w:val="00D97A0D"/>
    <w:rsid w:val="00D97A75"/>
    <w:rsid w:val="00D97CCB"/>
    <w:rsid w:val="00DA0059"/>
    <w:rsid w:val="00DA0696"/>
    <w:rsid w:val="00DA09FD"/>
    <w:rsid w:val="00DA0BDE"/>
    <w:rsid w:val="00DA0C90"/>
    <w:rsid w:val="00DA1008"/>
    <w:rsid w:val="00DA162B"/>
    <w:rsid w:val="00DA182A"/>
    <w:rsid w:val="00DA1F4E"/>
    <w:rsid w:val="00DA2107"/>
    <w:rsid w:val="00DA211C"/>
    <w:rsid w:val="00DA2987"/>
    <w:rsid w:val="00DA2D01"/>
    <w:rsid w:val="00DA2D4B"/>
    <w:rsid w:val="00DA2DD1"/>
    <w:rsid w:val="00DA2E9D"/>
    <w:rsid w:val="00DA305F"/>
    <w:rsid w:val="00DA30B1"/>
    <w:rsid w:val="00DA3B9D"/>
    <w:rsid w:val="00DA3DD0"/>
    <w:rsid w:val="00DA3F3D"/>
    <w:rsid w:val="00DA41E3"/>
    <w:rsid w:val="00DA4762"/>
    <w:rsid w:val="00DA4F16"/>
    <w:rsid w:val="00DA5004"/>
    <w:rsid w:val="00DA5392"/>
    <w:rsid w:val="00DA54AD"/>
    <w:rsid w:val="00DA5574"/>
    <w:rsid w:val="00DA5C6E"/>
    <w:rsid w:val="00DA5D81"/>
    <w:rsid w:val="00DA5E8F"/>
    <w:rsid w:val="00DA6090"/>
    <w:rsid w:val="00DA62C5"/>
    <w:rsid w:val="00DA657F"/>
    <w:rsid w:val="00DA662C"/>
    <w:rsid w:val="00DA665E"/>
    <w:rsid w:val="00DA6742"/>
    <w:rsid w:val="00DA67DF"/>
    <w:rsid w:val="00DA687F"/>
    <w:rsid w:val="00DA6C05"/>
    <w:rsid w:val="00DA6E63"/>
    <w:rsid w:val="00DA6F1C"/>
    <w:rsid w:val="00DA73B3"/>
    <w:rsid w:val="00DA779C"/>
    <w:rsid w:val="00DA77DC"/>
    <w:rsid w:val="00DA7885"/>
    <w:rsid w:val="00DA7899"/>
    <w:rsid w:val="00DA7D45"/>
    <w:rsid w:val="00DA7DFD"/>
    <w:rsid w:val="00DB0235"/>
    <w:rsid w:val="00DB0682"/>
    <w:rsid w:val="00DB0838"/>
    <w:rsid w:val="00DB0B34"/>
    <w:rsid w:val="00DB10CD"/>
    <w:rsid w:val="00DB1364"/>
    <w:rsid w:val="00DB170B"/>
    <w:rsid w:val="00DB1788"/>
    <w:rsid w:val="00DB19C7"/>
    <w:rsid w:val="00DB2355"/>
    <w:rsid w:val="00DB23B0"/>
    <w:rsid w:val="00DB246F"/>
    <w:rsid w:val="00DB2CA2"/>
    <w:rsid w:val="00DB2D30"/>
    <w:rsid w:val="00DB2FCE"/>
    <w:rsid w:val="00DB311C"/>
    <w:rsid w:val="00DB37D0"/>
    <w:rsid w:val="00DB3A3B"/>
    <w:rsid w:val="00DB405F"/>
    <w:rsid w:val="00DB40BE"/>
    <w:rsid w:val="00DB4333"/>
    <w:rsid w:val="00DB4957"/>
    <w:rsid w:val="00DB4AAC"/>
    <w:rsid w:val="00DB4BE5"/>
    <w:rsid w:val="00DB52EA"/>
    <w:rsid w:val="00DB54BA"/>
    <w:rsid w:val="00DB57EC"/>
    <w:rsid w:val="00DB5977"/>
    <w:rsid w:val="00DB5B8E"/>
    <w:rsid w:val="00DB5D4E"/>
    <w:rsid w:val="00DB5EA9"/>
    <w:rsid w:val="00DB61DB"/>
    <w:rsid w:val="00DB651E"/>
    <w:rsid w:val="00DB6A00"/>
    <w:rsid w:val="00DB6AEF"/>
    <w:rsid w:val="00DB6F84"/>
    <w:rsid w:val="00DB70A8"/>
    <w:rsid w:val="00DB7538"/>
    <w:rsid w:val="00DB778D"/>
    <w:rsid w:val="00DB7BA2"/>
    <w:rsid w:val="00DB7E95"/>
    <w:rsid w:val="00DC0088"/>
    <w:rsid w:val="00DC00F6"/>
    <w:rsid w:val="00DC02C6"/>
    <w:rsid w:val="00DC036C"/>
    <w:rsid w:val="00DC042F"/>
    <w:rsid w:val="00DC0718"/>
    <w:rsid w:val="00DC08D6"/>
    <w:rsid w:val="00DC08D7"/>
    <w:rsid w:val="00DC09DF"/>
    <w:rsid w:val="00DC0A24"/>
    <w:rsid w:val="00DC0F68"/>
    <w:rsid w:val="00DC109C"/>
    <w:rsid w:val="00DC1921"/>
    <w:rsid w:val="00DC1CA7"/>
    <w:rsid w:val="00DC1F0B"/>
    <w:rsid w:val="00DC2093"/>
    <w:rsid w:val="00DC213E"/>
    <w:rsid w:val="00DC23A1"/>
    <w:rsid w:val="00DC26B2"/>
    <w:rsid w:val="00DC27D2"/>
    <w:rsid w:val="00DC3579"/>
    <w:rsid w:val="00DC390D"/>
    <w:rsid w:val="00DC397A"/>
    <w:rsid w:val="00DC3ECA"/>
    <w:rsid w:val="00DC413A"/>
    <w:rsid w:val="00DC4B7E"/>
    <w:rsid w:val="00DC5219"/>
    <w:rsid w:val="00DC530D"/>
    <w:rsid w:val="00DC5B84"/>
    <w:rsid w:val="00DC5E55"/>
    <w:rsid w:val="00DC5F5A"/>
    <w:rsid w:val="00DC6397"/>
    <w:rsid w:val="00DC67CE"/>
    <w:rsid w:val="00DC6830"/>
    <w:rsid w:val="00DC685B"/>
    <w:rsid w:val="00DC68A4"/>
    <w:rsid w:val="00DC6954"/>
    <w:rsid w:val="00DC7625"/>
    <w:rsid w:val="00DC79DF"/>
    <w:rsid w:val="00DC7B23"/>
    <w:rsid w:val="00DC7B5A"/>
    <w:rsid w:val="00DC7BF1"/>
    <w:rsid w:val="00DC7C9C"/>
    <w:rsid w:val="00DC7CF1"/>
    <w:rsid w:val="00DC7F78"/>
    <w:rsid w:val="00DD063C"/>
    <w:rsid w:val="00DD092D"/>
    <w:rsid w:val="00DD0A4D"/>
    <w:rsid w:val="00DD0AA6"/>
    <w:rsid w:val="00DD0BC9"/>
    <w:rsid w:val="00DD102D"/>
    <w:rsid w:val="00DD111F"/>
    <w:rsid w:val="00DD112F"/>
    <w:rsid w:val="00DD1337"/>
    <w:rsid w:val="00DD17F0"/>
    <w:rsid w:val="00DD21F7"/>
    <w:rsid w:val="00DD235A"/>
    <w:rsid w:val="00DD29BD"/>
    <w:rsid w:val="00DD34F3"/>
    <w:rsid w:val="00DD36B7"/>
    <w:rsid w:val="00DD36F7"/>
    <w:rsid w:val="00DD3A48"/>
    <w:rsid w:val="00DD3B8D"/>
    <w:rsid w:val="00DD3D46"/>
    <w:rsid w:val="00DD3DCC"/>
    <w:rsid w:val="00DD408F"/>
    <w:rsid w:val="00DD411B"/>
    <w:rsid w:val="00DD4121"/>
    <w:rsid w:val="00DD442D"/>
    <w:rsid w:val="00DD481D"/>
    <w:rsid w:val="00DD49A3"/>
    <w:rsid w:val="00DD4A1A"/>
    <w:rsid w:val="00DD4CCC"/>
    <w:rsid w:val="00DD4EC6"/>
    <w:rsid w:val="00DD5339"/>
    <w:rsid w:val="00DD5420"/>
    <w:rsid w:val="00DD57FB"/>
    <w:rsid w:val="00DD5A7C"/>
    <w:rsid w:val="00DD5D4B"/>
    <w:rsid w:val="00DD5FCC"/>
    <w:rsid w:val="00DD64F9"/>
    <w:rsid w:val="00DD6576"/>
    <w:rsid w:val="00DD69FE"/>
    <w:rsid w:val="00DD6AB0"/>
    <w:rsid w:val="00DD6D79"/>
    <w:rsid w:val="00DD71F3"/>
    <w:rsid w:val="00DD7312"/>
    <w:rsid w:val="00DD7327"/>
    <w:rsid w:val="00DD7382"/>
    <w:rsid w:val="00DD7675"/>
    <w:rsid w:val="00DD77EA"/>
    <w:rsid w:val="00DD7BEA"/>
    <w:rsid w:val="00DD7C5B"/>
    <w:rsid w:val="00DD7C9F"/>
    <w:rsid w:val="00DE0044"/>
    <w:rsid w:val="00DE02FA"/>
    <w:rsid w:val="00DE14F2"/>
    <w:rsid w:val="00DE1932"/>
    <w:rsid w:val="00DE1D84"/>
    <w:rsid w:val="00DE2012"/>
    <w:rsid w:val="00DE2901"/>
    <w:rsid w:val="00DE3083"/>
    <w:rsid w:val="00DE3487"/>
    <w:rsid w:val="00DE3A1D"/>
    <w:rsid w:val="00DE4007"/>
    <w:rsid w:val="00DE40B8"/>
    <w:rsid w:val="00DE433D"/>
    <w:rsid w:val="00DE4927"/>
    <w:rsid w:val="00DE49FA"/>
    <w:rsid w:val="00DE4BD4"/>
    <w:rsid w:val="00DE53A6"/>
    <w:rsid w:val="00DE55E8"/>
    <w:rsid w:val="00DE5693"/>
    <w:rsid w:val="00DE5701"/>
    <w:rsid w:val="00DE5729"/>
    <w:rsid w:val="00DE58D0"/>
    <w:rsid w:val="00DE5CC2"/>
    <w:rsid w:val="00DE5CEC"/>
    <w:rsid w:val="00DE5DDB"/>
    <w:rsid w:val="00DE629D"/>
    <w:rsid w:val="00DE6550"/>
    <w:rsid w:val="00DE65A0"/>
    <w:rsid w:val="00DE67C6"/>
    <w:rsid w:val="00DE6972"/>
    <w:rsid w:val="00DE6A60"/>
    <w:rsid w:val="00DE6ABB"/>
    <w:rsid w:val="00DE6B95"/>
    <w:rsid w:val="00DE6C83"/>
    <w:rsid w:val="00DE7079"/>
    <w:rsid w:val="00DE7C8B"/>
    <w:rsid w:val="00DE7D6E"/>
    <w:rsid w:val="00DF004A"/>
    <w:rsid w:val="00DF08EE"/>
    <w:rsid w:val="00DF1697"/>
    <w:rsid w:val="00DF19E8"/>
    <w:rsid w:val="00DF1A8A"/>
    <w:rsid w:val="00DF1FD5"/>
    <w:rsid w:val="00DF259A"/>
    <w:rsid w:val="00DF28A3"/>
    <w:rsid w:val="00DF2947"/>
    <w:rsid w:val="00DF29A4"/>
    <w:rsid w:val="00DF372A"/>
    <w:rsid w:val="00DF38A2"/>
    <w:rsid w:val="00DF3944"/>
    <w:rsid w:val="00DF3998"/>
    <w:rsid w:val="00DF3BBA"/>
    <w:rsid w:val="00DF3DEB"/>
    <w:rsid w:val="00DF3F73"/>
    <w:rsid w:val="00DF3FF7"/>
    <w:rsid w:val="00DF4415"/>
    <w:rsid w:val="00DF4547"/>
    <w:rsid w:val="00DF47E4"/>
    <w:rsid w:val="00DF4995"/>
    <w:rsid w:val="00DF4B58"/>
    <w:rsid w:val="00DF4E3B"/>
    <w:rsid w:val="00DF4E70"/>
    <w:rsid w:val="00DF4FAA"/>
    <w:rsid w:val="00DF5142"/>
    <w:rsid w:val="00DF5585"/>
    <w:rsid w:val="00DF5813"/>
    <w:rsid w:val="00DF58FA"/>
    <w:rsid w:val="00DF5961"/>
    <w:rsid w:val="00DF5A72"/>
    <w:rsid w:val="00DF5CD6"/>
    <w:rsid w:val="00DF5F08"/>
    <w:rsid w:val="00DF6643"/>
    <w:rsid w:val="00DF685F"/>
    <w:rsid w:val="00DF6A64"/>
    <w:rsid w:val="00DF6B7C"/>
    <w:rsid w:val="00DF6C66"/>
    <w:rsid w:val="00DF6E83"/>
    <w:rsid w:val="00DF705B"/>
    <w:rsid w:val="00DF7065"/>
    <w:rsid w:val="00DF718A"/>
    <w:rsid w:val="00DF71F1"/>
    <w:rsid w:val="00DF7239"/>
    <w:rsid w:val="00DF7395"/>
    <w:rsid w:val="00DF7403"/>
    <w:rsid w:val="00DF78BE"/>
    <w:rsid w:val="00DF7B98"/>
    <w:rsid w:val="00DF7C2C"/>
    <w:rsid w:val="00DF7C5C"/>
    <w:rsid w:val="00E00635"/>
    <w:rsid w:val="00E009F6"/>
    <w:rsid w:val="00E00F31"/>
    <w:rsid w:val="00E01098"/>
    <w:rsid w:val="00E01413"/>
    <w:rsid w:val="00E01485"/>
    <w:rsid w:val="00E01F2F"/>
    <w:rsid w:val="00E02648"/>
    <w:rsid w:val="00E0286E"/>
    <w:rsid w:val="00E030CE"/>
    <w:rsid w:val="00E0320C"/>
    <w:rsid w:val="00E033DF"/>
    <w:rsid w:val="00E0342A"/>
    <w:rsid w:val="00E03536"/>
    <w:rsid w:val="00E03872"/>
    <w:rsid w:val="00E039CF"/>
    <w:rsid w:val="00E03B74"/>
    <w:rsid w:val="00E03C20"/>
    <w:rsid w:val="00E0432E"/>
    <w:rsid w:val="00E04359"/>
    <w:rsid w:val="00E048B5"/>
    <w:rsid w:val="00E049AA"/>
    <w:rsid w:val="00E04A85"/>
    <w:rsid w:val="00E0506C"/>
    <w:rsid w:val="00E057F9"/>
    <w:rsid w:val="00E0593F"/>
    <w:rsid w:val="00E05AF0"/>
    <w:rsid w:val="00E05D66"/>
    <w:rsid w:val="00E06317"/>
    <w:rsid w:val="00E065AC"/>
    <w:rsid w:val="00E06BC2"/>
    <w:rsid w:val="00E06E29"/>
    <w:rsid w:val="00E070A9"/>
    <w:rsid w:val="00E0713D"/>
    <w:rsid w:val="00E0749D"/>
    <w:rsid w:val="00E07AEB"/>
    <w:rsid w:val="00E07C28"/>
    <w:rsid w:val="00E07CF4"/>
    <w:rsid w:val="00E07E63"/>
    <w:rsid w:val="00E10084"/>
    <w:rsid w:val="00E102E4"/>
    <w:rsid w:val="00E10DCE"/>
    <w:rsid w:val="00E10F22"/>
    <w:rsid w:val="00E10F5B"/>
    <w:rsid w:val="00E113F9"/>
    <w:rsid w:val="00E114D2"/>
    <w:rsid w:val="00E116F6"/>
    <w:rsid w:val="00E118AE"/>
    <w:rsid w:val="00E119F5"/>
    <w:rsid w:val="00E11C32"/>
    <w:rsid w:val="00E1239E"/>
    <w:rsid w:val="00E124A1"/>
    <w:rsid w:val="00E124F2"/>
    <w:rsid w:val="00E126A3"/>
    <w:rsid w:val="00E126AC"/>
    <w:rsid w:val="00E13430"/>
    <w:rsid w:val="00E1356F"/>
    <w:rsid w:val="00E13735"/>
    <w:rsid w:val="00E1380D"/>
    <w:rsid w:val="00E139B1"/>
    <w:rsid w:val="00E13A59"/>
    <w:rsid w:val="00E13D56"/>
    <w:rsid w:val="00E13F9F"/>
    <w:rsid w:val="00E13FB1"/>
    <w:rsid w:val="00E1420F"/>
    <w:rsid w:val="00E14440"/>
    <w:rsid w:val="00E14525"/>
    <w:rsid w:val="00E146D2"/>
    <w:rsid w:val="00E1489E"/>
    <w:rsid w:val="00E1499C"/>
    <w:rsid w:val="00E14A89"/>
    <w:rsid w:val="00E14B00"/>
    <w:rsid w:val="00E14DED"/>
    <w:rsid w:val="00E15746"/>
    <w:rsid w:val="00E15AE8"/>
    <w:rsid w:val="00E1604B"/>
    <w:rsid w:val="00E16056"/>
    <w:rsid w:val="00E16074"/>
    <w:rsid w:val="00E16123"/>
    <w:rsid w:val="00E161E3"/>
    <w:rsid w:val="00E16230"/>
    <w:rsid w:val="00E16529"/>
    <w:rsid w:val="00E165A5"/>
    <w:rsid w:val="00E16604"/>
    <w:rsid w:val="00E16ABD"/>
    <w:rsid w:val="00E16B81"/>
    <w:rsid w:val="00E16D16"/>
    <w:rsid w:val="00E1754A"/>
    <w:rsid w:val="00E17766"/>
    <w:rsid w:val="00E17894"/>
    <w:rsid w:val="00E17898"/>
    <w:rsid w:val="00E178B3"/>
    <w:rsid w:val="00E17AD7"/>
    <w:rsid w:val="00E17DBB"/>
    <w:rsid w:val="00E20545"/>
    <w:rsid w:val="00E211C9"/>
    <w:rsid w:val="00E2123D"/>
    <w:rsid w:val="00E2172B"/>
    <w:rsid w:val="00E21B71"/>
    <w:rsid w:val="00E22079"/>
    <w:rsid w:val="00E2224D"/>
    <w:rsid w:val="00E223E1"/>
    <w:rsid w:val="00E22409"/>
    <w:rsid w:val="00E225BA"/>
    <w:rsid w:val="00E22719"/>
    <w:rsid w:val="00E22CDE"/>
    <w:rsid w:val="00E22E56"/>
    <w:rsid w:val="00E2384C"/>
    <w:rsid w:val="00E23C2F"/>
    <w:rsid w:val="00E23C78"/>
    <w:rsid w:val="00E240DD"/>
    <w:rsid w:val="00E2439E"/>
    <w:rsid w:val="00E243D0"/>
    <w:rsid w:val="00E243FD"/>
    <w:rsid w:val="00E244F8"/>
    <w:rsid w:val="00E248B4"/>
    <w:rsid w:val="00E24AB7"/>
    <w:rsid w:val="00E24ABA"/>
    <w:rsid w:val="00E24C89"/>
    <w:rsid w:val="00E25B42"/>
    <w:rsid w:val="00E25D1B"/>
    <w:rsid w:val="00E25D72"/>
    <w:rsid w:val="00E265A1"/>
    <w:rsid w:val="00E269BA"/>
    <w:rsid w:val="00E26A91"/>
    <w:rsid w:val="00E26FBD"/>
    <w:rsid w:val="00E2701F"/>
    <w:rsid w:val="00E27094"/>
    <w:rsid w:val="00E27C19"/>
    <w:rsid w:val="00E27C20"/>
    <w:rsid w:val="00E27EC6"/>
    <w:rsid w:val="00E3012B"/>
    <w:rsid w:val="00E301F7"/>
    <w:rsid w:val="00E302E2"/>
    <w:rsid w:val="00E3082C"/>
    <w:rsid w:val="00E308F7"/>
    <w:rsid w:val="00E308F9"/>
    <w:rsid w:val="00E30A61"/>
    <w:rsid w:val="00E30C0C"/>
    <w:rsid w:val="00E30E32"/>
    <w:rsid w:val="00E31126"/>
    <w:rsid w:val="00E31162"/>
    <w:rsid w:val="00E31201"/>
    <w:rsid w:val="00E3135B"/>
    <w:rsid w:val="00E31A43"/>
    <w:rsid w:val="00E31E48"/>
    <w:rsid w:val="00E31F7C"/>
    <w:rsid w:val="00E32043"/>
    <w:rsid w:val="00E32305"/>
    <w:rsid w:val="00E32306"/>
    <w:rsid w:val="00E3293E"/>
    <w:rsid w:val="00E32942"/>
    <w:rsid w:val="00E32A2B"/>
    <w:rsid w:val="00E3329C"/>
    <w:rsid w:val="00E333B3"/>
    <w:rsid w:val="00E333E9"/>
    <w:rsid w:val="00E335DC"/>
    <w:rsid w:val="00E33679"/>
    <w:rsid w:val="00E33887"/>
    <w:rsid w:val="00E338CA"/>
    <w:rsid w:val="00E339DE"/>
    <w:rsid w:val="00E33C4E"/>
    <w:rsid w:val="00E341CB"/>
    <w:rsid w:val="00E34B5B"/>
    <w:rsid w:val="00E34D42"/>
    <w:rsid w:val="00E34ED7"/>
    <w:rsid w:val="00E35525"/>
    <w:rsid w:val="00E35663"/>
    <w:rsid w:val="00E35A68"/>
    <w:rsid w:val="00E35ADA"/>
    <w:rsid w:val="00E35E5A"/>
    <w:rsid w:val="00E361A2"/>
    <w:rsid w:val="00E361AE"/>
    <w:rsid w:val="00E36260"/>
    <w:rsid w:val="00E36338"/>
    <w:rsid w:val="00E365AB"/>
    <w:rsid w:val="00E36C2A"/>
    <w:rsid w:val="00E36D86"/>
    <w:rsid w:val="00E37277"/>
    <w:rsid w:val="00E37558"/>
    <w:rsid w:val="00E3795F"/>
    <w:rsid w:val="00E37E9F"/>
    <w:rsid w:val="00E400DC"/>
    <w:rsid w:val="00E40569"/>
    <w:rsid w:val="00E407E4"/>
    <w:rsid w:val="00E407F3"/>
    <w:rsid w:val="00E409F3"/>
    <w:rsid w:val="00E40D01"/>
    <w:rsid w:val="00E40D82"/>
    <w:rsid w:val="00E41308"/>
    <w:rsid w:val="00E41812"/>
    <w:rsid w:val="00E419F9"/>
    <w:rsid w:val="00E41D3C"/>
    <w:rsid w:val="00E42164"/>
    <w:rsid w:val="00E42917"/>
    <w:rsid w:val="00E42A3F"/>
    <w:rsid w:val="00E434BD"/>
    <w:rsid w:val="00E43565"/>
    <w:rsid w:val="00E4370F"/>
    <w:rsid w:val="00E4414C"/>
    <w:rsid w:val="00E44154"/>
    <w:rsid w:val="00E44379"/>
    <w:rsid w:val="00E44816"/>
    <w:rsid w:val="00E44981"/>
    <w:rsid w:val="00E4514C"/>
    <w:rsid w:val="00E45254"/>
    <w:rsid w:val="00E45BAA"/>
    <w:rsid w:val="00E45E87"/>
    <w:rsid w:val="00E4637B"/>
    <w:rsid w:val="00E463DB"/>
    <w:rsid w:val="00E464A3"/>
    <w:rsid w:val="00E46837"/>
    <w:rsid w:val="00E46858"/>
    <w:rsid w:val="00E47583"/>
    <w:rsid w:val="00E47615"/>
    <w:rsid w:val="00E477D9"/>
    <w:rsid w:val="00E4799B"/>
    <w:rsid w:val="00E503E4"/>
    <w:rsid w:val="00E50458"/>
    <w:rsid w:val="00E50911"/>
    <w:rsid w:val="00E50B9B"/>
    <w:rsid w:val="00E50C47"/>
    <w:rsid w:val="00E50C95"/>
    <w:rsid w:val="00E50DB0"/>
    <w:rsid w:val="00E50E74"/>
    <w:rsid w:val="00E50FED"/>
    <w:rsid w:val="00E512CD"/>
    <w:rsid w:val="00E51A2A"/>
    <w:rsid w:val="00E51AD6"/>
    <w:rsid w:val="00E51CF6"/>
    <w:rsid w:val="00E5210D"/>
    <w:rsid w:val="00E52165"/>
    <w:rsid w:val="00E521A8"/>
    <w:rsid w:val="00E5287E"/>
    <w:rsid w:val="00E5310C"/>
    <w:rsid w:val="00E5371C"/>
    <w:rsid w:val="00E537C0"/>
    <w:rsid w:val="00E5382E"/>
    <w:rsid w:val="00E53950"/>
    <w:rsid w:val="00E53E81"/>
    <w:rsid w:val="00E53F1D"/>
    <w:rsid w:val="00E5411F"/>
    <w:rsid w:val="00E5431B"/>
    <w:rsid w:val="00E54450"/>
    <w:rsid w:val="00E545B8"/>
    <w:rsid w:val="00E54CC2"/>
    <w:rsid w:val="00E54D12"/>
    <w:rsid w:val="00E54EA8"/>
    <w:rsid w:val="00E557BF"/>
    <w:rsid w:val="00E55899"/>
    <w:rsid w:val="00E559C5"/>
    <w:rsid w:val="00E559C8"/>
    <w:rsid w:val="00E55C4B"/>
    <w:rsid w:val="00E55DCF"/>
    <w:rsid w:val="00E560BB"/>
    <w:rsid w:val="00E5630C"/>
    <w:rsid w:val="00E569C3"/>
    <w:rsid w:val="00E56A41"/>
    <w:rsid w:val="00E56F83"/>
    <w:rsid w:val="00E5712E"/>
    <w:rsid w:val="00E573C3"/>
    <w:rsid w:val="00E5750E"/>
    <w:rsid w:val="00E578E3"/>
    <w:rsid w:val="00E57BC6"/>
    <w:rsid w:val="00E57EED"/>
    <w:rsid w:val="00E60743"/>
    <w:rsid w:val="00E60CD8"/>
    <w:rsid w:val="00E60D84"/>
    <w:rsid w:val="00E60DF1"/>
    <w:rsid w:val="00E610E8"/>
    <w:rsid w:val="00E614E9"/>
    <w:rsid w:val="00E61630"/>
    <w:rsid w:val="00E61E50"/>
    <w:rsid w:val="00E61F2E"/>
    <w:rsid w:val="00E620F3"/>
    <w:rsid w:val="00E62B97"/>
    <w:rsid w:val="00E62C08"/>
    <w:rsid w:val="00E62C0C"/>
    <w:rsid w:val="00E62CDE"/>
    <w:rsid w:val="00E62E3D"/>
    <w:rsid w:val="00E637FA"/>
    <w:rsid w:val="00E63962"/>
    <w:rsid w:val="00E63A21"/>
    <w:rsid w:val="00E63A70"/>
    <w:rsid w:val="00E63A8B"/>
    <w:rsid w:val="00E64010"/>
    <w:rsid w:val="00E643DE"/>
    <w:rsid w:val="00E643E2"/>
    <w:rsid w:val="00E6480A"/>
    <w:rsid w:val="00E64880"/>
    <w:rsid w:val="00E64953"/>
    <w:rsid w:val="00E64CFF"/>
    <w:rsid w:val="00E64E35"/>
    <w:rsid w:val="00E64EF4"/>
    <w:rsid w:val="00E650D7"/>
    <w:rsid w:val="00E65610"/>
    <w:rsid w:val="00E65B6D"/>
    <w:rsid w:val="00E65C65"/>
    <w:rsid w:val="00E65E29"/>
    <w:rsid w:val="00E65E87"/>
    <w:rsid w:val="00E6726B"/>
    <w:rsid w:val="00E67334"/>
    <w:rsid w:val="00E674CE"/>
    <w:rsid w:val="00E67770"/>
    <w:rsid w:val="00E67BFF"/>
    <w:rsid w:val="00E67D05"/>
    <w:rsid w:val="00E67F05"/>
    <w:rsid w:val="00E67FAD"/>
    <w:rsid w:val="00E705C0"/>
    <w:rsid w:val="00E70AE4"/>
    <w:rsid w:val="00E70CFA"/>
    <w:rsid w:val="00E70D24"/>
    <w:rsid w:val="00E71066"/>
    <w:rsid w:val="00E71134"/>
    <w:rsid w:val="00E7113B"/>
    <w:rsid w:val="00E7148D"/>
    <w:rsid w:val="00E71541"/>
    <w:rsid w:val="00E715B2"/>
    <w:rsid w:val="00E71C84"/>
    <w:rsid w:val="00E72296"/>
    <w:rsid w:val="00E72297"/>
    <w:rsid w:val="00E722B6"/>
    <w:rsid w:val="00E725FA"/>
    <w:rsid w:val="00E726B5"/>
    <w:rsid w:val="00E72976"/>
    <w:rsid w:val="00E729F7"/>
    <w:rsid w:val="00E72B86"/>
    <w:rsid w:val="00E73082"/>
    <w:rsid w:val="00E73124"/>
    <w:rsid w:val="00E73424"/>
    <w:rsid w:val="00E7365F"/>
    <w:rsid w:val="00E73762"/>
    <w:rsid w:val="00E739C4"/>
    <w:rsid w:val="00E739D8"/>
    <w:rsid w:val="00E73DD6"/>
    <w:rsid w:val="00E73F40"/>
    <w:rsid w:val="00E742C1"/>
    <w:rsid w:val="00E743DE"/>
    <w:rsid w:val="00E743F3"/>
    <w:rsid w:val="00E74DD5"/>
    <w:rsid w:val="00E75329"/>
    <w:rsid w:val="00E756D7"/>
    <w:rsid w:val="00E756F1"/>
    <w:rsid w:val="00E75EA9"/>
    <w:rsid w:val="00E76421"/>
    <w:rsid w:val="00E7652A"/>
    <w:rsid w:val="00E765C2"/>
    <w:rsid w:val="00E76856"/>
    <w:rsid w:val="00E76A57"/>
    <w:rsid w:val="00E76BC3"/>
    <w:rsid w:val="00E76D64"/>
    <w:rsid w:val="00E7726D"/>
    <w:rsid w:val="00E775B8"/>
    <w:rsid w:val="00E77A87"/>
    <w:rsid w:val="00E77BF8"/>
    <w:rsid w:val="00E77C72"/>
    <w:rsid w:val="00E77CAE"/>
    <w:rsid w:val="00E77EC5"/>
    <w:rsid w:val="00E77ECD"/>
    <w:rsid w:val="00E8012D"/>
    <w:rsid w:val="00E80A12"/>
    <w:rsid w:val="00E80EDE"/>
    <w:rsid w:val="00E81349"/>
    <w:rsid w:val="00E81350"/>
    <w:rsid w:val="00E81ACC"/>
    <w:rsid w:val="00E821EE"/>
    <w:rsid w:val="00E82C19"/>
    <w:rsid w:val="00E82DAE"/>
    <w:rsid w:val="00E82DE9"/>
    <w:rsid w:val="00E82E06"/>
    <w:rsid w:val="00E82FE4"/>
    <w:rsid w:val="00E8313F"/>
    <w:rsid w:val="00E8330F"/>
    <w:rsid w:val="00E834C8"/>
    <w:rsid w:val="00E83710"/>
    <w:rsid w:val="00E837E2"/>
    <w:rsid w:val="00E83925"/>
    <w:rsid w:val="00E83A5F"/>
    <w:rsid w:val="00E83CFA"/>
    <w:rsid w:val="00E83E07"/>
    <w:rsid w:val="00E8425B"/>
    <w:rsid w:val="00E8430F"/>
    <w:rsid w:val="00E8456D"/>
    <w:rsid w:val="00E8485C"/>
    <w:rsid w:val="00E849AA"/>
    <w:rsid w:val="00E84BCB"/>
    <w:rsid w:val="00E84D0A"/>
    <w:rsid w:val="00E84E3E"/>
    <w:rsid w:val="00E853B1"/>
    <w:rsid w:val="00E856C6"/>
    <w:rsid w:val="00E85838"/>
    <w:rsid w:val="00E85A7B"/>
    <w:rsid w:val="00E85A7F"/>
    <w:rsid w:val="00E85C9D"/>
    <w:rsid w:val="00E85F69"/>
    <w:rsid w:val="00E860ED"/>
    <w:rsid w:val="00E86302"/>
    <w:rsid w:val="00E86389"/>
    <w:rsid w:val="00E864E8"/>
    <w:rsid w:val="00E869A8"/>
    <w:rsid w:val="00E86B1C"/>
    <w:rsid w:val="00E86C16"/>
    <w:rsid w:val="00E86DD0"/>
    <w:rsid w:val="00E86F94"/>
    <w:rsid w:val="00E8770C"/>
    <w:rsid w:val="00E879A6"/>
    <w:rsid w:val="00E879BB"/>
    <w:rsid w:val="00E87A57"/>
    <w:rsid w:val="00E87B49"/>
    <w:rsid w:val="00E87EBE"/>
    <w:rsid w:val="00E9010F"/>
    <w:rsid w:val="00E9028F"/>
    <w:rsid w:val="00E9048D"/>
    <w:rsid w:val="00E911FD"/>
    <w:rsid w:val="00E91238"/>
    <w:rsid w:val="00E91516"/>
    <w:rsid w:val="00E918D3"/>
    <w:rsid w:val="00E91934"/>
    <w:rsid w:val="00E91C28"/>
    <w:rsid w:val="00E91F76"/>
    <w:rsid w:val="00E91FB1"/>
    <w:rsid w:val="00E921BC"/>
    <w:rsid w:val="00E921D1"/>
    <w:rsid w:val="00E925DB"/>
    <w:rsid w:val="00E926B5"/>
    <w:rsid w:val="00E92C17"/>
    <w:rsid w:val="00E930AE"/>
    <w:rsid w:val="00E930FE"/>
    <w:rsid w:val="00E93143"/>
    <w:rsid w:val="00E9398C"/>
    <w:rsid w:val="00E93B38"/>
    <w:rsid w:val="00E93B97"/>
    <w:rsid w:val="00E940EC"/>
    <w:rsid w:val="00E94444"/>
    <w:rsid w:val="00E94A11"/>
    <w:rsid w:val="00E94C77"/>
    <w:rsid w:val="00E94CCC"/>
    <w:rsid w:val="00E9524C"/>
    <w:rsid w:val="00E95732"/>
    <w:rsid w:val="00E957FC"/>
    <w:rsid w:val="00E95A61"/>
    <w:rsid w:val="00E95AF3"/>
    <w:rsid w:val="00E95B93"/>
    <w:rsid w:val="00E96398"/>
    <w:rsid w:val="00E9642E"/>
    <w:rsid w:val="00E96450"/>
    <w:rsid w:val="00E96BEC"/>
    <w:rsid w:val="00E97174"/>
    <w:rsid w:val="00E9722B"/>
    <w:rsid w:val="00E9723C"/>
    <w:rsid w:val="00E9724E"/>
    <w:rsid w:val="00E97261"/>
    <w:rsid w:val="00E9753A"/>
    <w:rsid w:val="00E97A55"/>
    <w:rsid w:val="00E97AF7"/>
    <w:rsid w:val="00E97EBE"/>
    <w:rsid w:val="00EA0822"/>
    <w:rsid w:val="00EA0E5A"/>
    <w:rsid w:val="00EA0EDB"/>
    <w:rsid w:val="00EA0EF8"/>
    <w:rsid w:val="00EA178B"/>
    <w:rsid w:val="00EA242B"/>
    <w:rsid w:val="00EA2689"/>
    <w:rsid w:val="00EA2982"/>
    <w:rsid w:val="00EA2E9B"/>
    <w:rsid w:val="00EA363D"/>
    <w:rsid w:val="00EA3706"/>
    <w:rsid w:val="00EA3E63"/>
    <w:rsid w:val="00EA4063"/>
    <w:rsid w:val="00EA4124"/>
    <w:rsid w:val="00EA44A7"/>
    <w:rsid w:val="00EA44E8"/>
    <w:rsid w:val="00EA4AED"/>
    <w:rsid w:val="00EA4B07"/>
    <w:rsid w:val="00EA4B52"/>
    <w:rsid w:val="00EA4BE1"/>
    <w:rsid w:val="00EA4EE6"/>
    <w:rsid w:val="00EA5157"/>
    <w:rsid w:val="00EA57EE"/>
    <w:rsid w:val="00EA5A2D"/>
    <w:rsid w:val="00EA5A57"/>
    <w:rsid w:val="00EA5AB8"/>
    <w:rsid w:val="00EA7052"/>
    <w:rsid w:val="00EA7660"/>
    <w:rsid w:val="00EA771F"/>
    <w:rsid w:val="00EA7E73"/>
    <w:rsid w:val="00EB02B4"/>
    <w:rsid w:val="00EB0353"/>
    <w:rsid w:val="00EB0534"/>
    <w:rsid w:val="00EB0754"/>
    <w:rsid w:val="00EB07C0"/>
    <w:rsid w:val="00EB07DA"/>
    <w:rsid w:val="00EB096B"/>
    <w:rsid w:val="00EB0BDA"/>
    <w:rsid w:val="00EB0DE0"/>
    <w:rsid w:val="00EB0E04"/>
    <w:rsid w:val="00EB0E9B"/>
    <w:rsid w:val="00EB0EEA"/>
    <w:rsid w:val="00EB1070"/>
    <w:rsid w:val="00EB1570"/>
    <w:rsid w:val="00EB1DC3"/>
    <w:rsid w:val="00EB24AB"/>
    <w:rsid w:val="00EB24AE"/>
    <w:rsid w:val="00EB2533"/>
    <w:rsid w:val="00EB2695"/>
    <w:rsid w:val="00EB2710"/>
    <w:rsid w:val="00EB2842"/>
    <w:rsid w:val="00EB2D80"/>
    <w:rsid w:val="00EB3329"/>
    <w:rsid w:val="00EB357C"/>
    <w:rsid w:val="00EB366C"/>
    <w:rsid w:val="00EB3844"/>
    <w:rsid w:val="00EB38CC"/>
    <w:rsid w:val="00EB390D"/>
    <w:rsid w:val="00EB3AB6"/>
    <w:rsid w:val="00EB3B26"/>
    <w:rsid w:val="00EB3EC7"/>
    <w:rsid w:val="00EB41FF"/>
    <w:rsid w:val="00EB4494"/>
    <w:rsid w:val="00EB4F4F"/>
    <w:rsid w:val="00EB5144"/>
    <w:rsid w:val="00EB5247"/>
    <w:rsid w:val="00EB549D"/>
    <w:rsid w:val="00EB5700"/>
    <w:rsid w:val="00EB5B16"/>
    <w:rsid w:val="00EB5CD4"/>
    <w:rsid w:val="00EB5D24"/>
    <w:rsid w:val="00EB61F0"/>
    <w:rsid w:val="00EB61F9"/>
    <w:rsid w:val="00EB62B2"/>
    <w:rsid w:val="00EB65FA"/>
    <w:rsid w:val="00EB6736"/>
    <w:rsid w:val="00EB6B1E"/>
    <w:rsid w:val="00EB6B94"/>
    <w:rsid w:val="00EB74B2"/>
    <w:rsid w:val="00EC02EA"/>
    <w:rsid w:val="00EC03B5"/>
    <w:rsid w:val="00EC0588"/>
    <w:rsid w:val="00EC074D"/>
    <w:rsid w:val="00EC0B77"/>
    <w:rsid w:val="00EC0F4E"/>
    <w:rsid w:val="00EC1050"/>
    <w:rsid w:val="00EC1179"/>
    <w:rsid w:val="00EC19CF"/>
    <w:rsid w:val="00EC2043"/>
    <w:rsid w:val="00EC2080"/>
    <w:rsid w:val="00EC21F6"/>
    <w:rsid w:val="00EC2409"/>
    <w:rsid w:val="00EC25B2"/>
    <w:rsid w:val="00EC27B9"/>
    <w:rsid w:val="00EC2E41"/>
    <w:rsid w:val="00EC2E85"/>
    <w:rsid w:val="00EC30FB"/>
    <w:rsid w:val="00EC311E"/>
    <w:rsid w:val="00EC3247"/>
    <w:rsid w:val="00EC3332"/>
    <w:rsid w:val="00EC338D"/>
    <w:rsid w:val="00EC35A5"/>
    <w:rsid w:val="00EC39AB"/>
    <w:rsid w:val="00EC3CE1"/>
    <w:rsid w:val="00EC3CFC"/>
    <w:rsid w:val="00EC470C"/>
    <w:rsid w:val="00EC4949"/>
    <w:rsid w:val="00EC49DF"/>
    <w:rsid w:val="00EC4D3E"/>
    <w:rsid w:val="00EC4D93"/>
    <w:rsid w:val="00EC4EEF"/>
    <w:rsid w:val="00EC50F1"/>
    <w:rsid w:val="00EC514B"/>
    <w:rsid w:val="00EC5709"/>
    <w:rsid w:val="00EC583F"/>
    <w:rsid w:val="00EC5897"/>
    <w:rsid w:val="00EC6269"/>
    <w:rsid w:val="00EC6652"/>
    <w:rsid w:val="00EC6864"/>
    <w:rsid w:val="00EC787F"/>
    <w:rsid w:val="00EC79ED"/>
    <w:rsid w:val="00EC7E1C"/>
    <w:rsid w:val="00EC7FA1"/>
    <w:rsid w:val="00ED014D"/>
    <w:rsid w:val="00ED0340"/>
    <w:rsid w:val="00ED03CA"/>
    <w:rsid w:val="00ED05D6"/>
    <w:rsid w:val="00ED0915"/>
    <w:rsid w:val="00ED0AE2"/>
    <w:rsid w:val="00ED0F36"/>
    <w:rsid w:val="00ED107B"/>
    <w:rsid w:val="00ED120E"/>
    <w:rsid w:val="00ED12DA"/>
    <w:rsid w:val="00ED13ED"/>
    <w:rsid w:val="00ED1722"/>
    <w:rsid w:val="00ED1B0B"/>
    <w:rsid w:val="00ED1BFF"/>
    <w:rsid w:val="00ED1D87"/>
    <w:rsid w:val="00ED2D14"/>
    <w:rsid w:val="00ED2E6E"/>
    <w:rsid w:val="00ED2F39"/>
    <w:rsid w:val="00ED34A0"/>
    <w:rsid w:val="00ED37D4"/>
    <w:rsid w:val="00ED3BCC"/>
    <w:rsid w:val="00ED3D74"/>
    <w:rsid w:val="00ED3EAA"/>
    <w:rsid w:val="00ED427B"/>
    <w:rsid w:val="00ED4C37"/>
    <w:rsid w:val="00ED5353"/>
    <w:rsid w:val="00ED5A2C"/>
    <w:rsid w:val="00ED623E"/>
    <w:rsid w:val="00ED627A"/>
    <w:rsid w:val="00ED6ADB"/>
    <w:rsid w:val="00ED6B78"/>
    <w:rsid w:val="00ED6FC7"/>
    <w:rsid w:val="00ED76ED"/>
    <w:rsid w:val="00ED77F4"/>
    <w:rsid w:val="00ED7C83"/>
    <w:rsid w:val="00EE0689"/>
    <w:rsid w:val="00EE0B08"/>
    <w:rsid w:val="00EE12E7"/>
    <w:rsid w:val="00EE1304"/>
    <w:rsid w:val="00EE1430"/>
    <w:rsid w:val="00EE2139"/>
    <w:rsid w:val="00EE2339"/>
    <w:rsid w:val="00EE2EF5"/>
    <w:rsid w:val="00EE2F36"/>
    <w:rsid w:val="00EE37F7"/>
    <w:rsid w:val="00EE3C39"/>
    <w:rsid w:val="00EE411C"/>
    <w:rsid w:val="00EE42E7"/>
    <w:rsid w:val="00EE446E"/>
    <w:rsid w:val="00EE46A0"/>
    <w:rsid w:val="00EE4885"/>
    <w:rsid w:val="00EE5065"/>
    <w:rsid w:val="00EE5843"/>
    <w:rsid w:val="00EE5C7B"/>
    <w:rsid w:val="00EE5E79"/>
    <w:rsid w:val="00EE6079"/>
    <w:rsid w:val="00EE61E8"/>
    <w:rsid w:val="00EE6423"/>
    <w:rsid w:val="00EE668E"/>
    <w:rsid w:val="00EE670A"/>
    <w:rsid w:val="00EE6B5C"/>
    <w:rsid w:val="00EE6C2B"/>
    <w:rsid w:val="00EE6D42"/>
    <w:rsid w:val="00EE7484"/>
    <w:rsid w:val="00EE7662"/>
    <w:rsid w:val="00EE769D"/>
    <w:rsid w:val="00EE7967"/>
    <w:rsid w:val="00EE7DC5"/>
    <w:rsid w:val="00EF00BC"/>
    <w:rsid w:val="00EF03EF"/>
    <w:rsid w:val="00EF05D0"/>
    <w:rsid w:val="00EF05FD"/>
    <w:rsid w:val="00EF0822"/>
    <w:rsid w:val="00EF0E75"/>
    <w:rsid w:val="00EF1813"/>
    <w:rsid w:val="00EF1BE2"/>
    <w:rsid w:val="00EF1C1F"/>
    <w:rsid w:val="00EF1CF6"/>
    <w:rsid w:val="00EF250C"/>
    <w:rsid w:val="00EF2E1C"/>
    <w:rsid w:val="00EF2FB0"/>
    <w:rsid w:val="00EF3050"/>
    <w:rsid w:val="00EF3112"/>
    <w:rsid w:val="00EF3191"/>
    <w:rsid w:val="00EF3A1D"/>
    <w:rsid w:val="00EF3A4F"/>
    <w:rsid w:val="00EF3AF0"/>
    <w:rsid w:val="00EF3B47"/>
    <w:rsid w:val="00EF3D0E"/>
    <w:rsid w:val="00EF438C"/>
    <w:rsid w:val="00EF4C66"/>
    <w:rsid w:val="00EF4EAC"/>
    <w:rsid w:val="00EF5123"/>
    <w:rsid w:val="00EF553E"/>
    <w:rsid w:val="00EF55B5"/>
    <w:rsid w:val="00EF592D"/>
    <w:rsid w:val="00EF5F79"/>
    <w:rsid w:val="00EF60D7"/>
    <w:rsid w:val="00EF61AB"/>
    <w:rsid w:val="00EF624C"/>
    <w:rsid w:val="00EF6374"/>
    <w:rsid w:val="00EF645D"/>
    <w:rsid w:val="00EF6526"/>
    <w:rsid w:val="00EF6549"/>
    <w:rsid w:val="00EF6972"/>
    <w:rsid w:val="00EF6AAB"/>
    <w:rsid w:val="00EF6D69"/>
    <w:rsid w:val="00EF6F21"/>
    <w:rsid w:val="00EF71CA"/>
    <w:rsid w:val="00EF7599"/>
    <w:rsid w:val="00EF77B2"/>
    <w:rsid w:val="00EF7B8E"/>
    <w:rsid w:val="00EF7E88"/>
    <w:rsid w:val="00EF7F94"/>
    <w:rsid w:val="00F00133"/>
    <w:rsid w:val="00F0031B"/>
    <w:rsid w:val="00F00365"/>
    <w:rsid w:val="00F00475"/>
    <w:rsid w:val="00F004C5"/>
    <w:rsid w:val="00F00614"/>
    <w:rsid w:val="00F007AB"/>
    <w:rsid w:val="00F00932"/>
    <w:rsid w:val="00F009B5"/>
    <w:rsid w:val="00F00D33"/>
    <w:rsid w:val="00F00DC0"/>
    <w:rsid w:val="00F00E2F"/>
    <w:rsid w:val="00F00EBA"/>
    <w:rsid w:val="00F0166F"/>
    <w:rsid w:val="00F0177A"/>
    <w:rsid w:val="00F017E5"/>
    <w:rsid w:val="00F01A37"/>
    <w:rsid w:val="00F02231"/>
    <w:rsid w:val="00F02278"/>
    <w:rsid w:val="00F023B3"/>
    <w:rsid w:val="00F0271A"/>
    <w:rsid w:val="00F0274E"/>
    <w:rsid w:val="00F03083"/>
    <w:rsid w:val="00F032C5"/>
    <w:rsid w:val="00F03A93"/>
    <w:rsid w:val="00F03BD5"/>
    <w:rsid w:val="00F04A45"/>
    <w:rsid w:val="00F04D24"/>
    <w:rsid w:val="00F04D2F"/>
    <w:rsid w:val="00F05171"/>
    <w:rsid w:val="00F058A9"/>
    <w:rsid w:val="00F05A20"/>
    <w:rsid w:val="00F05E62"/>
    <w:rsid w:val="00F06387"/>
    <w:rsid w:val="00F06449"/>
    <w:rsid w:val="00F070E7"/>
    <w:rsid w:val="00F10194"/>
    <w:rsid w:val="00F10261"/>
    <w:rsid w:val="00F109EC"/>
    <w:rsid w:val="00F10CA3"/>
    <w:rsid w:val="00F10D3F"/>
    <w:rsid w:val="00F111AE"/>
    <w:rsid w:val="00F1192F"/>
    <w:rsid w:val="00F11A9E"/>
    <w:rsid w:val="00F11B8E"/>
    <w:rsid w:val="00F11EC9"/>
    <w:rsid w:val="00F122A1"/>
    <w:rsid w:val="00F127F4"/>
    <w:rsid w:val="00F12952"/>
    <w:rsid w:val="00F12B75"/>
    <w:rsid w:val="00F12F7A"/>
    <w:rsid w:val="00F130EB"/>
    <w:rsid w:val="00F133E1"/>
    <w:rsid w:val="00F1347F"/>
    <w:rsid w:val="00F13527"/>
    <w:rsid w:val="00F13BD6"/>
    <w:rsid w:val="00F13FC0"/>
    <w:rsid w:val="00F144EC"/>
    <w:rsid w:val="00F14574"/>
    <w:rsid w:val="00F14FBA"/>
    <w:rsid w:val="00F1504F"/>
    <w:rsid w:val="00F150E1"/>
    <w:rsid w:val="00F1564E"/>
    <w:rsid w:val="00F15A17"/>
    <w:rsid w:val="00F15A37"/>
    <w:rsid w:val="00F15F31"/>
    <w:rsid w:val="00F161AE"/>
    <w:rsid w:val="00F1635E"/>
    <w:rsid w:val="00F16644"/>
    <w:rsid w:val="00F16AA4"/>
    <w:rsid w:val="00F16AB8"/>
    <w:rsid w:val="00F16B17"/>
    <w:rsid w:val="00F16D18"/>
    <w:rsid w:val="00F171E9"/>
    <w:rsid w:val="00F172DD"/>
    <w:rsid w:val="00F173CB"/>
    <w:rsid w:val="00F17621"/>
    <w:rsid w:val="00F17B6D"/>
    <w:rsid w:val="00F202AA"/>
    <w:rsid w:val="00F202CD"/>
    <w:rsid w:val="00F203AC"/>
    <w:rsid w:val="00F2082A"/>
    <w:rsid w:val="00F208A9"/>
    <w:rsid w:val="00F20FE2"/>
    <w:rsid w:val="00F2150A"/>
    <w:rsid w:val="00F21928"/>
    <w:rsid w:val="00F21C6A"/>
    <w:rsid w:val="00F221EB"/>
    <w:rsid w:val="00F2224E"/>
    <w:rsid w:val="00F223E3"/>
    <w:rsid w:val="00F22826"/>
    <w:rsid w:val="00F22A97"/>
    <w:rsid w:val="00F22CEF"/>
    <w:rsid w:val="00F23206"/>
    <w:rsid w:val="00F23306"/>
    <w:rsid w:val="00F237B8"/>
    <w:rsid w:val="00F237CF"/>
    <w:rsid w:val="00F23DD4"/>
    <w:rsid w:val="00F24507"/>
    <w:rsid w:val="00F245DB"/>
    <w:rsid w:val="00F246AB"/>
    <w:rsid w:val="00F24723"/>
    <w:rsid w:val="00F24789"/>
    <w:rsid w:val="00F2488B"/>
    <w:rsid w:val="00F252D3"/>
    <w:rsid w:val="00F253AE"/>
    <w:rsid w:val="00F2540A"/>
    <w:rsid w:val="00F2572E"/>
    <w:rsid w:val="00F258B8"/>
    <w:rsid w:val="00F259BF"/>
    <w:rsid w:val="00F25CA0"/>
    <w:rsid w:val="00F26386"/>
    <w:rsid w:val="00F2654B"/>
    <w:rsid w:val="00F2669D"/>
    <w:rsid w:val="00F26724"/>
    <w:rsid w:val="00F26838"/>
    <w:rsid w:val="00F26873"/>
    <w:rsid w:val="00F26B38"/>
    <w:rsid w:val="00F26BAC"/>
    <w:rsid w:val="00F26BE1"/>
    <w:rsid w:val="00F26BEB"/>
    <w:rsid w:val="00F26CD6"/>
    <w:rsid w:val="00F26DAE"/>
    <w:rsid w:val="00F26DE1"/>
    <w:rsid w:val="00F271BB"/>
    <w:rsid w:val="00F27318"/>
    <w:rsid w:val="00F27496"/>
    <w:rsid w:val="00F27511"/>
    <w:rsid w:val="00F275D0"/>
    <w:rsid w:val="00F276AC"/>
    <w:rsid w:val="00F276B9"/>
    <w:rsid w:val="00F27B6A"/>
    <w:rsid w:val="00F27E1E"/>
    <w:rsid w:val="00F3009D"/>
    <w:rsid w:val="00F30304"/>
    <w:rsid w:val="00F30404"/>
    <w:rsid w:val="00F304E7"/>
    <w:rsid w:val="00F3091A"/>
    <w:rsid w:val="00F30BFB"/>
    <w:rsid w:val="00F30C33"/>
    <w:rsid w:val="00F30FA5"/>
    <w:rsid w:val="00F3118B"/>
    <w:rsid w:val="00F311D1"/>
    <w:rsid w:val="00F31208"/>
    <w:rsid w:val="00F314E0"/>
    <w:rsid w:val="00F31C97"/>
    <w:rsid w:val="00F31E10"/>
    <w:rsid w:val="00F3212C"/>
    <w:rsid w:val="00F333CE"/>
    <w:rsid w:val="00F334DC"/>
    <w:rsid w:val="00F33A38"/>
    <w:rsid w:val="00F33B10"/>
    <w:rsid w:val="00F33C64"/>
    <w:rsid w:val="00F340D5"/>
    <w:rsid w:val="00F341AD"/>
    <w:rsid w:val="00F3484F"/>
    <w:rsid w:val="00F34957"/>
    <w:rsid w:val="00F35039"/>
    <w:rsid w:val="00F3518D"/>
    <w:rsid w:val="00F35456"/>
    <w:rsid w:val="00F3564B"/>
    <w:rsid w:val="00F35E21"/>
    <w:rsid w:val="00F365E0"/>
    <w:rsid w:val="00F3667D"/>
    <w:rsid w:val="00F366AF"/>
    <w:rsid w:val="00F367BF"/>
    <w:rsid w:val="00F36B30"/>
    <w:rsid w:val="00F36E4B"/>
    <w:rsid w:val="00F36E77"/>
    <w:rsid w:val="00F36EE2"/>
    <w:rsid w:val="00F36F24"/>
    <w:rsid w:val="00F373AC"/>
    <w:rsid w:val="00F37515"/>
    <w:rsid w:val="00F379A3"/>
    <w:rsid w:val="00F37A21"/>
    <w:rsid w:val="00F37A74"/>
    <w:rsid w:val="00F37C01"/>
    <w:rsid w:val="00F37DC7"/>
    <w:rsid w:val="00F37EC1"/>
    <w:rsid w:val="00F40B89"/>
    <w:rsid w:val="00F40DF0"/>
    <w:rsid w:val="00F41246"/>
    <w:rsid w:val="00F4136A"/>
    <w:rsid w:val="00F41F58"/>
    <w:rsid w:val="00F421E9"/>
    <w:rsid w:val="00F4271F"/>
    <w:rsid w:val="00F427FC"/>
    <w:rsid w:val="00F42867"/>
    <w:rsid w:val="00F428E4"/>
    <w:rsid w:val="00F43228"/>
    <w:rsid w:val="00F43845"/>
    <w:rsid w:val="00F4446C"/>
    <w:rsid w:val="00F44701"/>
    <w:rsid w:val="00F44998"/>
    <w:rsid w:val="00F44AF3"/>
    <w:rsid w:val="00F4532E"/>
    <w:rsid w:val="00F45516"/>
    <w:rsid w:val="00F458AC"/>
    <w:rsid w:val="00F45D98"/>
    <w:rsid w:val="00F463E4"/>
    <w:rsid w:val="00F46795"/>
    <w:rsid w:val="00F46FCA"/>
    <w:rsid w:val="00F4712E"/>
    <w:rsid w:val="00F4714D"/>
    <w:rsid w:val="00F471C2"/>
    <w:rsid w:val="00F47CCE"/>
    <w:rsid w:val="00F50413"/>
    <w:rsid w:val="00F5062D"/>
    <w:rsid w:val="00F507B9"/>
    <w:rsid w:val="00F50D17"/>
    <w:rsid w:val="00F5104F"/>
    <w:rsid w:val="00F51455"/>
    <w:rsid w:val="00F518DF"/>
    <w:rsid w:val="00F51AC6"/>
    <w:rsid w:val="00F51BF8"/>
    <w:rsid w:val="00F5218F"/>
    <w:rsid w:val="00F5222C"/>
    <w:rsid w:val="00F52534"/>
    <w:rsid w:val="00F5283F"/>
    <w:rsid w:val="00F52C48"/>
    <w:rsid w:val="00F52E24"/>
    <w:rsid w:val="00F52F31"/>
    <w:rsid w:val="00F531DA"/>
    <w:rsid w:val="00F53250"/>
    <w:rsid w:val="00F53D29"/>
    <w:rsid w:val="00F53DF5"/>
    <w:rsid w:val="00F54091"/>
    <w:rsid w:val="00F54755"/>
    <w:rsid w:val="00F54A2C"/>
    <w:rsid w:val="00F54B99"/>
    <w:rsid w:val="00F5502B"/>
    <w:rsid w:val="00F550AF"/>
    <w:rsid w:val="00F5514D"/>
    <w:rsid w:val="00F55399"/>
    <w:rsid w:val="00F556AE"/>
    <w:rsid w:val="00F557A8"/>
    <w:rsid w:val="00F5591A"/>
    <w:rsid w:val="00F55962"/>
    <w:rsid w:val="00F56194"/>
    <w:rsid w:val="00F561BF"/>
    <w:rsid w:val="00F562BD"/>
    <w:rsid w:val="00F5638C"/>
    <w:rsid w:val="00F566AF"/>
    <w:rsid w:val="00F56A73"/>
    <w:rsid w:val="00F56C86"/>
    <w:rsid w:val="00F56FDB"/>
    <w:rsid w:val="00F5708F"/>
    <w:rsid w:val="00F57118"/>
    <w:rsid w:val="00F57121"/>
    <w:rsid w:val="00F57790"/>
    <w:rsid w:val="00F57918"/>
    <w:rsid w:val="00F57A1F"/>
    <w:rsid w:val="00F57B6E"/>
    <w:rsid w:val="00F57BB9"/>
    <w:rsid w:val="00F57BCB"/>
    <w:rsid w:val="00F601D9"/>
    <w:rsid w:val="00F603B5"/>
    <w:rsid w:val="00F60577"/>
    <w:rsid w:val="00F60782"/>
    <w:rsid w:val="00F6089E"/>
    <w:rsid w:val="00F60FCF"/>
    <w:rsid w:val="00F61506"/>
    <w:rsid w:val="00F61633"/>
    <w:rsid w:val="00F61A6D"/>
    <w:rsid w:val="00F61C6E"/>
    <w:rsid w:val="00F61D65"/>
    <w:rsid w:val="00F6290B"/>
    <w:rsid w:val="00F62F36"/>
    <w:rsid w:val="00F63289"/>
    <w:rsid w:val="00F63439"/>
    <w:rsid w:val="00F634A6"/>
    <w:rsid w:val="00F63763"/>
    <w:rsid w:val="00F637FC"/>
    <w:rsid w:val="00F639D6"/>
    <w:rsid w:val="00F63C82"/>
    <w:rsid w:val="00F63E37"/>
    <w:rsid w:val="00F63FEB"/>
    <w:rsid w:val="00F640FF"/>
    <w:rsid w:val="00F64133"/>
    <w:rsid w:val="00F643E5"/>
    <w:rsid w:val="00F64841"/>
    <w:rsid w:val="00F64C22"/>
    <w:rsid w:val="00F65452"/>
    <w:rsid w:val="00F657EC"/>
    <w:rsid w:val="00F65B74"/>
    <w:rsid w:val="00F65C06"/>
    <w:rsid w:val="00F65E06"/>
    <w:rsid w:val="00F664B8"/>
    <w:rsid w:val="00F67751"/>
    <w:rsid w:val="00F67A9F"/>
    <w:rsid w:val="00F67AA5"/>
    <w:rsid w:val="00F67E29"/>
    <w:rsid w:val="00F70156"/>
    <w:rsid w:val="00F70259"/>
    <w:rsid w:val="00F7043C"/>
    <w:rsid w:val="00F707C9"/>
    <w:rsid w:val="00F7082B"/>
    <w:rsid w:val="00F70886"/>
    <w:rsid w:val="00F7110D"/>
    <w:rsid w:val="00F711D4"/>
    <w:rsid w:val="00F7144D"/>
    <w:rsid w:val="00F7176A"/>
    <w:rsid w:val="00F7195C"/>
    <w:rsid w:val="00F71AB1"/>
    <w:rsid w:val="00F71C61"/>
    <w:rsid w:val="00F71E62"/>
    <w:rsid w:val="00F721F2"/>
    <w:rsid w:val="00F7236B"/>
    <w:rsid w:val="00F724A3"/>
    <w:rsid w:val="00F72A8C"/>
    <w:rsid w:val="00F7323D"/>
    <w:rsid w:val="00F734A3"/>
    <w:rsid w:val="00F73622"/>
    <w:rsid w:val="00F736E5"/>
    <w:rsid w:val="00F73E90"/>
    <w:rsid w:val="00F73EE6"/>
    <w:rsid w:val="00F73F35"/>
    <w:rsid w:val="00F7433D"/>
    <w:rsid w:val="00F7470D"/>
    <w:rsid w:val="00F754BE"/>
    <w:rsid w:val="00F75A3C"/>
    <w:rsid w:val="00F75ACA"/>
    <w:rsid w:val="00F75B1D"/>
    <w:rsid w:val="00F75CFC"/>
    <w:rsid w:val="00F75D32"/>
    <w:rsid w:val="00F75DCA"/>
    <w:rsid w:val="00F7636D"/>
    <w:rsid w:val="00F7651C"/>
    <w:rsid w:val="00F76660"/>
    <w:rsid w:val="00F766F3"/>
    <w:rsid w:val="00F76EB6"/>
    <w:rsid w:val="00F76F09"/>
    <w:rsid w:val="00F777EA"/>
    <w:rsid w:val="00F778E8"/>
    <w:rsid w:val="00F77E22"/>
    <w:rsid w:val="00F77E25"/>
    <w:rsid w:val="00F8020A"/>
    <w:rsid w:val="00F802BD"/>
    <w:rsid w:val="00F802D5"/>
    <w:rsid w:val="00F8065D"/>
    <w:rsid w:val="00F80D78"/>
    <w:rsid w:val="00F80D7B"/>
    <w:rsid w:val="00F80DC9"/>
    <w:rsid w:val="00F80F1C"/>
    <w:rsid w:val="00F81036"/>
    <w:rsid w:val="00F811CC"/>
    <w:rsid w:val="00F812B6"/>
    <w:rsid w:val="00F81658"/>
    <w:rsid w:val="00F81825"/>
    <w:rsid w:val="00F81BF0"/>
    <w:rsid w:val="00F81E2D"/>
    <w:rsid w:val="00F82042"/>
    <w:rsid w:val="00F82289"/>
    <w:rsid w:val="00F8236E"/>
    <w:rsid w:val="00F826E7"/>
    <w:rsid w:val="00F82A6F"/>
    <w:rsid w:val="00F82B51"/>
    <w:rsid w:val="00F82DB1"/>
    <w:rsid w:val="00F8300D"/>
    <w:rsid w:val="00F8398C"/>
    <w:rsid w:val="00F83C6B"/>
    <w:rsid w:val="00F83CF4"/>
    <w:rsid w:val="00F8406C"/>
    <w:rsid w:val="00F842BF"/>
    <w:rsid w:val="00F846C4"/>
    <w:rsid w:val="00F84B31"/>
    <w:rsid w:val="00F84EE9"/>
    <w:rsid w:val="00F84FDA"/>
    <w:rsid w:val="00F85448"/>
    <w:rsid w:val="00F85857"/>
    <w:rsid w:val="00F85BC7"/>
    <w:rsid w:val="00F85BDC"/>
    <w:rsid w:val="00F86463"/>
    <w:rsid w:val="00F86638"/>
    <w:rsid w:val="00F8665A"/>
    <w:rsid w:val="00F86A13"/>
    <w:rsid w:val="00F86A6A"/>
    <w:rsid w:val="00F86C10"/>
    <w:rsid w:val="00F86D3B"/>
    <w:rsid w:val="00F86EC8"/>
    <w:rsid w:val="00F86F26"/>
    <w:rsid w:val="00F86F55"/>
    <w:rsid w:val="00F875B7"/>
    <w:rsid w:val="00F878E0"/>
    <w:rsid w:val="00F87E64"/>
    <w:rsid w:val="00F90007"/>
    <w:rsid w:val="00F903DA"/>
    <w:rsid w:val="00F905FF"/>
    <w:rsid w:val="00F90891"/>
    <w:rsid w:val="00F9098C"/>
    <w:rsid w:val="00F90A02"/>
    <w:rsid w:val="00F90C39"/>
    <w:rsid w:val="00F90E68"/>
    <w:rsid w:val="00F9149E"/>
    <w:rsid w:val="00F91EAA"/>
    <w:rsid w:val="00F9294C"/>
    <w:rsid w:val="00F92B63"/>
    <w:rsid w:val="00F92D6E"/>
    <w:rsid w:val="00F92E94"/>
    <w:rsid w:val="00F932D6"/>
    <w:rsid w:val="00F93502"/>
    <w:rsid w:val="00F936FE"/>
    <w:rsid w:val="00F93707"/>
    <w:rsid w:val="00F9379E"/>
    <w:rsid w:val="00F9382A"/>
    <w:rsid w:val="00F9388A"/>
    <w:rsid w:val="00F93D1C"/>
    <w:rsid w:val="00F94015"/>
    <w:rsid w:val="00F94136"/>
    <w:rsid w:val="00F9436E"/>
    <w:rsid w:val="00F94375"/>
    <w:rsid w:val="00F94657"/>
    <w:rsid w:val="00F94815"/>
    <w:rsid w:val="00F94CD0"/>
    <w:rsid w:val="00F94D8C"/>
    <w:rsid w:val="00F95BA5"/>
    <w:rsid w:val="00F95D12"/>
    <w:rsid w:val="00F95EDB"/>
    <w:rsid w:val="00F95F29"/>
    <w:rsid w:val="00F95F8E"/>
    <w:rsid w:val="00F96251"/>
    <w:rsid w:val="00F96869"/>
    <w:rsid w:val="00F96886"/>
    <w:rsid w:val="00F96A8E"/>
    <w:rsid w:val="00F96BD9"/>
    <w:rsid w:val="00F96F52"/>
    <w:rsid w:val="00F9721D"/>
    <w:rsid w:val="00F97797"/>
    <w:rsid w:val="00F9795A"/>
    <w:rsid w:val="00F97F92"/>
    <w:rsid w:val="00FA09FD"/>
    <w:rsid w:val="00FA122C"/>
    <w:rsid w:val="00FA1274"/>
    <w:rsid w:val="00FA13BC"/>
    <w:rsid w:val="00FA14BA"/>
    <w:rsid w:val="00FA1819"/>
    <w:rsid w:val="00FA18CB"/>
    <w:rsid w:val="00FA1986"/>
    <w:rsid w:val="00FA1A97"/>
    <w:rsid w:val="00FA1A9A"/>
    <w:rsid w:val="00FA1E2C"/>
    <w:rsid w:val="00FA2108"/>
    <w:rsid w:val="00FA2542"/>
    <w:rsid w:val="00FA29FD"/>
    <w:rsid w:val="00FA2E38"/>
    <w:rsid w:val="00FA36FE"/>
    <w:rsid w:val="00FA3946"/>
    <w:rsid w:val="00FA3A68"/>
    <w:rsid w:val="00FA3CA6"/>
    <w:rsid w:val="00FA3DBA"/>
    <w:rsid w:val="00FA3E3A"/>
    <w:rsid w:val="00FA3F0E"/>
    <w:rsid w:val="00FA43BF"/>
    <w:rsid w:val="00FA45F5"/>
    <w:rsid w:val="00FA4900"/>
    <w:rsid w:val="00FA50A7"/>
    <w:rsid w:val="00FA51D8"/>
    <w:rsid w:val="00FA5431"/>
    <w:rsid w:val="00FA5494"/>
    <w:rsid w:val="00FA5546"/>
    <w:rsid w:val="00FA56C7"/>
    <w:rsid w:val="00FA5AD8"/>
    <w:rsid w:val="00FA5C5E"/>
    <w:rsid w:val="00FA5E98"/>
    <w:rsid w:val="00FA5EF0"/>
    <w:rsid w:val="00FA5F46"/>
    <w:rsid w:val="00FA607D"/>
    <w:rsid w:val="00FA614C"/>
    <w:rsid w:val="00FA6425"/>
    <w:rsid w:val="00FA6941"/>
    <w:rsid w:val="00FA69B3"/>
    <w:rsid w:val="00FA69BF"/>
    <w:rsid w:val="00FA6CC5"/>
    <w:rsid w:val="00FA6FF2"/>
    <w:rsid w:val="00FA71B7"/>
    <w:rsid w:val="00FA749D"/>
    <w:rsid w:val="00FA7B1A"/>
    <w:rsid w:val="00FA7CA1"/>
    <w:rsid w:val="00FB0244"/>
    <w:rsid w:val="00FB0AC9"/>
    <w:rsid w:val="00FB0C7B"/>
    <w:rsid w:val="00FB1100"/>
    <w:rsid w:val="00FB1336"/>
    <w:rsid w:val="00FB1510"/>
    <w:rsid w:val="00FB1522"/>
    <w:rsid w:val="00FB15FB"/>
    <w:rsid w:val="00FB16B4"/>
    <w:rsid w:val="00FB1B4A"/>
    <w:rsid w:val="00FB2136"/>
    <w:rsid w:val="00FB28A0"/>
    <w:rsid w:val="00FB28DA"/>
    <w:rsid w:val="00FB29DB"/>
    <w:rsid w:val="00FB2FCC"/>
    <w:rsid w:val="00FB346A"/>
    <w:rsid w:val="00FB3904"/>
    <w:rsid w:val="00FB3A29"/>
    <w:rsid w:val="00FB3AFB"/>
    <w:rsid w:val="00FB3C9C"/>
    <w:rsid w:val="00FB3F73"/>
    <w:rsid w:val="00FB4387"/>
    <w:rsid w:val="00FB4456"/>
    <w:rsid w:val="00FB46AE"/>
    <w:rsid w:val="00FB486F"/>
    <w:rsid w:val="00FB49A1"/>
    <w:rsid w:val="00FB4C9F"/>
    <w:rsid w:val="00FB5305"/>
    <w:rsid w:val="00FB5507"/>
    <w:rsid w:val="00FB5633"/>
    <w:rsid w:val="00FB5985"/>
    <w:rsid w:val="00FB6047"/>
    <w:rsid w:val="00FB61D2"/>
    <w:rsid w:val="00FB6345"/>
    <w:rsid w:val="00FB68D9"/>
    <w:rsid w:val="00FB6AE9"/>
    <w:rsid w:val="00FB6DAE"/>
    <w:rsid w:val="00FB7149"/>
    <w:rsid w:val="00FB7279"/>
    <w:rsid w:val="00FB76BB"/>
    <w:rsid w:val="00FB7723"/>
    <w:rsid w:val="00FB79CE"/>
    <w:rsid w:val="00FB7AB6"/>
    <w:rsid w:val="00FB7EFD"/>
    <w:rsid w:val="00FC00BE"/>
    <w:rsid w:val="00FC0210"/>
    <w:rsid w:val="00FC0544"/>
    <w:rsid w:val="00FC05FF"/>
    <w:rsid w:val="00FC06B1"/>
    <w:rsid w:val="00FC06FA"/>
    <w:rsid w:val="00FC092B"/>
    <w:rsid w:val="00FC1519"/>
    <w:rsid w:val="00FC1546"/>
    <w:rsid w:val="00FC17B6"/>
    <w:rsid w:val="00FC1FD0"/>
    <w:rsid w:val="00FC222F"/>
    <w:rsid w:val="00FC22E3"/>
    <w:rsid w:val="00FC2A31"/>
    <w:rsid w:val="00FC2AE5"/>
    <w:rsid w:val="00FC2C22"/>
    <w:rsid w:val="00FC300A"/>
    <w:rsid w:val="00FC3676"/>
    <w:rsid w:val="00FC3EB8"/>
    <w:rsid w:val="00FC3EBF"/>
    <w:rsid w:val="00FC4185"/>
    <w:rsid w:val="00FC4205"/>
    <w:rsid w:val="00FC4980"/>
    <w:rsid w:val="00FC4B49"/>
    <w:rsid w:val="00FC4B53"/>
    <w:rsid w:val="00FC4DF4"/>
    <w:rsid w:val="00FC4F73"/>
    <w:rsid w:val="00FC4F77"/>
    <w:rsid w:val="00FC50C7"/>
    <w:rsid w:val="00FC52F2"/>
    <w:rsid w:val="00FC546A"/>
    <w:rsid w:val="00FC558F"/>
    <w:rsid w:val="00FC562F"/>
    <w:rsid w:val="00FC6258"/>
    <w:rsid w:val="00FC625D"/>
    <w:rsid w:val="00FC6A15"/>
    <w:rsid w:val="00FC6A7B"/>
    <w:rsid w:val="00FC6B04"/>
    <w:rsid w:val="00FC71AF"/>
    <w:rsid w:val="00FC72FF"/>
    <w:rsid w:val="00FC765A"/>
    <w:rsid w:val="00FC794F"/>
    <w:rsid w:val="00FC7C2B"/>
    <w:rsid w:val="00FC7C57"/>
    <w:rsid w:val="00FD01E4"/>
    <w:rsid w:val="00FD09ED"/>
    <w:rsid w:val="00FD0F72"/>
    <w:rsid w:val="00FD1A10"/>
    <w:rsid w:val="00FD1DD4"/>
    <w:rsid w:val="00FD1FDE"/>
    <w:rsid w:val="00FD203E"/>
    <w:rsid w:val="00FD2A8A"/>
    <w:rsid w:val="00FD2E2F"/>
    <w:rsid w:val="00FD3219"/>
    <w:rsid w:val="00FD3565"/>
    <w:rsid w:val="00FD362E"/>
    <w:rsid w:val="00FD3739"/>
    <w:rsid w:val="00FD3896"/>
    <w:rsid w:val="00FD39B9"/>
    <w:rsid w:val="00FD3B2A"/>
    <w:rsid w:val="00FD3B5E"/>
    <w:rsid w:val="00FD3BFA"/>
    <w:rsid w:val="00FD3CE5"/>
    <w:rsid w:val="00FD3CFE"/>
    <w:rsid w:val="00FD4107"/>
    <w:rsid w:val="00FD43D6"/>
    <w:rsid w:val="00FD4827"/>
    <w:rsid w:val="00FD4B6B"/>
    <w:rsid w:val="00FD4DDD"/>
    <w:rsid w:val="00FD50EF"/>
    <w:rsid w:val="00FD5206"/>
    <w:rsid w:val="00FD5301"/>
    <w:rsid w:val="00FD566A"/>
    <w:rsid w:val="00FD56BF"/>
    <w:rsid w:val="00FD56C0"/>
    <w:rsid w:val="00FD5870"/>
    <w:rsid w:val="00FD6431"/>
    <w:rsid w:val="00FD6A16"/>
    <w:rsid w:val="00FD6DB5"/>
    <w:rsid w:val="00FD72AF"/>
    <w:rsid w:val="00FD7714"/>
    <w:rsid w:val="00FD7829"/>
    <w:rsid w:val="00FD7EE4"/>
    <w:rsid w:val="00FE0425"/>
    <w:rsid w:val="00FE0A28"/>
    <w:rsid w:val="00FE0A90"/>
    <w:rsid w:val="00FE0C67"/>
    <w:rsid w:val="00FE0D82"/>
    <w:rsid w:val="00FE0FAD"/>
    <w:rsid w:val="00FE0FB8"/>
    <w:rsid w:val="00FE10C6"/>
    <w:rsid w:val="00FE1D82"/>
    <w:rsid w:val="00FE1F08"/>
    <w:rsid w:val="00FE254E"/>
    <w:rsid w:val="00FE29B1"/>
    <w:rsid w:val="00FE2F2D"/>
    <w:rsid w:val="00FE2F55"/>
    <w:rsid w:val="00FE2FAC"/>
    <w:rsid w:val="00FE2FE8"/>
    <w:rsid w:val="00FE332B"/>
    <w:rsid w:val="00FE3333"/>
    <w:rsid w:val="00FE39AB"/>
    <w:rsid w:val="00FE3D18"/>
    <w:rsid w:val="00FE41B3"/>
    <w:rsid w:val="00FE423E"/>
    <w:rsid w:val="00FE4478"/>
    <w:rsid w:val="00FE494A"/>
    <w:rsid w:val="00FE4B87"/>
    <w:rsid w:val="00FE4CCD"/>
    <w:rsid w:val="00FE4F03"/>
    <w:rsid w:val="00FE53EF"/>
    <w:rsid w:val="00FE5AF7"/>
    <w:rsid w:val="00FE5D12"/>
    <w:rsid w:val="00FE5D3D"/>
    <w:rsid w:val="00FE5D84"/>
    <w:rsid w:val="00FE6655"/>
    <w:rsid w:val="00FE6771"/>
    <w:rsid w:val="00FE6A04"/>
    <w:rsid w:val="00FE6B05"/>
    <w:rsid w:val="00FE70A3"/>
    <w:rsid w:val="00FE775E"/>
    <w:rsid w:val="00FE78F4"/>
    <w:rsid w:val="00FE7CF8"/>
    <w:rsid w:val="00FE7DAA"/>
    <w:rsid w:val="00FF0040"/>
    <w:rsid w:val="00FF00ED"/>
    <w:rsid w:val="00FF013E"/>
    <w:rsid w:val="00FF04E3"/>
    <w:rsid w:val="00FF05A8"/>
    <w:rsid w:val="00FF0603"/>
    <w:rsid w:val="00FF0785"/>
    <w:rsid w:val="00FF0BDB"/>
    <w:rsid w:val="00FF0F2B"/>
    <w:rsid w:val="00FF0F6A"/>
    <w:rsid w:val="00FF0F6C"/>
    <w:rsid w:val="00FF1789"/>
    <w:rsid w:val="00FF18C9"/>
    <w:rsid w:val="00FF19BD"/>
    <w:rsid w:val="00FF1AA4"/>
    <w:rsid w:val="00FF1F6F"/>
    <w:rsid w:val="00FF2283"/>
    <w:rsid w:val="00FF26EF"/>
    <w:rsid w:val="00FF2997"/>
    <w:rsid w:val="00FF2B5D"/>
    <w:rsid w:val="00FF2E2F"/>
    <w:rsid w:val="00FF2E78"/>
    <w:rsid w:val="00FF2F26"/>
    <w:rsid w:val="00FF3451"/>
    <w:rsid w:val="00FF3996"/>
    <w:rsid w:val="00FF3DB3"/>
    <w:rsid w:val="00FF3E06"/>
    <w:rsid w:val="00FF402D"/>
    <w:rsid w:val="00FF43A2"/>
    <w:rsid w:val="00FF463F"/>
    <w:rsid w:val="00FF481B"/>
    <w:rsid w:val="00FF4DDD"/>
    <w:rsid w:val="00FF5401"/>
    <w:rsid w:val="00FF5614"/>
    <w:rsid w:val="00FF58D7"/>
    <w:rsid w:val="00FF5AE3"/>
    <w:rsid w:val="00FF5DAE"/>
    <w:rsid w:val="00FF635B"/>
    <w:rsid w:val="00FF671B"/>
    <w:rsid w:val="00FF6C3E"/>
    <w:rsid w:val="00FF72D7"/>
    <w:rsid w:val="00FF73BC"/>
    <w:rsid w:val="00FF79F0"/>
    <w:rsid w:val="01890497"/>
    <w:rsid w:val="01D453C5"/>
    <w:rsid w:val="021C5F7C"/>
    <w:rsid w:val="023D2E2D"/>
    <w:rsid w:val="027125A2"/>
    <w:rsid w:val="028939B3"/>
    <w:rsid w:val="02B713E7"/>
    <w:rsid w:val="03D67225"/>
    <w:rsid w:val="04765F8C"/>
    <w:rsid w:val="04AE0A2D"/>
    <w:rsid w:val="05BA23BB"/>
    <w:rsid w:val="060B4078"/>
    <w:rsid w:val="06834678"/>
    <w:rsid w:val="06A33F3B"/>
    <w:rsid w:val="06EA3271"/>
    <w:rsid w:val="07532305"/>
    <w:rsid w:val="07854716"/>
    <w:rsid w:val="0809257B"/>
    <w:rsid w:val="08333785"/>
    <w:rsid w:val="08CA6DC7"/>
    <w:rsid w:val="09667CDC"/>
    <w:rsid w:val="097C7EA7"/>
    <w:rsid w:val="09904182"/>
    <w:rsid w:val="0ADB4E52"/>
    <w:rsid w:val="0B20122A"/>
    <w:rsid w:val="0C2D4943"/>
    <w:rsid w:val="0D376E61"/>
    <w:rsid w:val="0D5B19BB"/>
    <w:rsid w:val="0DC63BD4"/>
    <w:rsid w:val="0DCA0EDE"/>
    <w:rsid w:val="0DD2246A"/>
    <w:rsid w:val="0E4A334B"/>
    <w:rsid w:val="0E7F4560"/>
    <w:rsid w:val="0EF747DF"/>
    <w:rsid w:val="0FDB7531"/>
    <w:rsid w:val="11160527"/>
    <w:rsid w:val="11954F3A"/>
    <w:rsid w:val="12497ECE"/>
    <w:rsid w:val="124C1D82"/>
    <w:rsid w:val="12841571"/>
    <w:rsid w:val="12A0251E"/>
    <w:rsid w:val="12AD4BAF"/>
    <w:rsid w:val="12B00DB9"/>
    <w:rsid w:val="12C43695"/>
    <w:rsid w:val="12DB6374"/>
    <w:rsid w:val="131A290F"/>
    <w:rsid w:val="142619ED"/>
    <w:rsid w:val="143843E4"/>
    <w:rsid w:val="144D38CD"/>
    <w:rsid w:val="154A4194"/>
    <w:rsid w:val="15F31C27"/>
    <w:rsid w:val="16007E53"/>
    <w:rsid w:val="1674575B"/>
    <w:rsid w:val="16CA6528"/>
    <w:rsid w:val="17347EB3"/>
    <w:rsid w:val="186B421A"/>
    <w:rsid w:val="1909682D"/>
    <w:rsid w:val="1985291E"/>
    <w:rsid w:val="19C625BC"/>
    <w:rsid w:val="1A055EF5"/>
    <w:rsid w:val="1AF73983"/>
    <w:rsid w:val="1BF40838"/>
    <w:rsid w:val="1C465D47"/>
    <w:rsid w:val="1C6227ED"/>
    <w:rsid w:val="1D7258CC"/>
    <w:rsid w:val="1D977767"/>
    <w:rsid w:val="1DFB7F87"/>
    <w:rsid w:val="1E53145B"/>
    <w:rsid w:val="1E941CCC"/>
    <w:rsid w:val="1FB1760E"/>
    <w:rsid w:val="1FDD7DEB"/>
    <w:rsid w:val="202104E0"/>
    <w:rsid w:val="204372C3"/>
    <w:rsid w:val="207B3E8E"/>
    <w:rsid w:val="20D8305A"/>
    <w:rsid w:val="20F71CE7"/>
    <w:rsid w:val="2109731F"/>
    <w:rsid w:val="22597F92"/>
    <w:rsid w:val="23133ABC"/>
    <w:rsid w:val="231C7DAD"/>
    <w:rsid w:val="236C7409"/>
    <w:rsid w:val="23AD0CCB"/>
    <w:rsid w:val="23FF6FC2"/>
    <w:rsid w:val="248230D3"/>
    <w:rsid w:val="24872866"/>
    <w:rsid w:val="25134482"/>
    <w:rsid w:val="253B6CE5"/>
    <w:rsid w:val="25B25C72"/>
    <w:rsid w:val="25EE228E"/>
    <w:rsid w:val="26B56F8B"/>
    <w:rsid w:val="26CE6B2A"/>
    <w:rsid w:val="2701240B"/>
    <w:rsid w:val="2808698F"/>
    <w:rsid w:val="28257C9E"/>
    <w:rsid w:val="28707B92"/>
    <w:rsid w:val="287176D4"/>
    <w:rsid w:val="287A44D5"/>
    <w:rsid w:val="287E4090"/>
    <w:rsid w:val="289608E9"/>
    <w:rsid w:val="28D8378A"/>
    <w:rsid w:val="290C0439"/>
    <w:rsid w:val="297B7334"/>
    <w:rsid w:val="29BC46C0"/>
    <w:rsid w:val="29E75B05"/>
    <w:rsid w:val="29F344B7"/>
    <w:rsid w:val="2A530AED"/>
    <w:rsid w:val="2A7D18A5"/>
    <w:rsid w:val="2AEB0F85"/>
    <w:rsid w:val="2AF306F7"/>
    <w:rsid w:val="2B20441A"/>
    <w:rsid w:val="2B34764C"/>
    <w:rsid w:val="2BE128DA"/>
    <w:rsid w:val="2C2C0B20"/>
    <w:rsid w:val="2C404C74"/>
    <w:rsid w:val="2CBA0196"/>
    <w:rsid w:val="2DC774CE"/>
    <w:rsid w:val="2E436F91"/>
    <w:rsid w:val="2ED44775"/>
    <w:rsid w:val="2F3B1C21"/>
    <w:rsid w:val="2FBF20FE"/>
    <w:rsid w:val="303D023A"/>
    <w:rsid w:val="30847C6E"/>
    <w:rsid w:val="30CA0681"/>
    <w:rsid w:val="314F7C46"/>
    <w:rsid w:val="315370AA"/>
    <w:rsid w:val="31AE7BDF"/>
    <w:rsid w:val="323D0CC1"/>
    <w:rsid w:val="32615FEF"/>
    <w:rsid w:val="32B47CEB"/>
    <w:rsid w:val="33014C80"/>
    <w:rsid w:val="346C2BB3"/>
    <w:rsid w:val="34F922D4"/>
    <w:rsid w:val="35E06690"/>
    <w:rsid w:val="37765DAA"/>
    <w:rsid w:val="37BB30D5"/>
    <w:rsid w:val="381F46C9"/>
    <w:rsid w:val="382F3DF2"/>
    <w:rsid w:val="384E3F22"/>
    <w:rsid w:val="389F2D05"/>
    <w:rsid w:val="39CD13C3"/>
    <w:rsid w:val="39CD7A4F"/>
    <w:rsid w:val="39F6323F"/>
    <w:rsid w:val="3A397CE2"/>
    <w:rsid w:val="3A3D0AC2"/>
    <w:rsid w:val="3AE47198"/>
    <w:rsid w:val="3BF77969"/>
    <w:rsid w:val="3C477781"/>
    <w:rsid w:val="3C6544EB"/>
    <w:rsid w:val="3CA8168F"/>
    <w:rsid w:val="3D732BBB"/>
    <w:rsid w:val="3DBB66A8"/>
    <w:rsid w:val="3E0B5081"/>
    <w:rsid w:val="3E3E654A"/>
    <w:rsid w:val="3EA33D47"/>
    <w:rsid w:val="3F493F24"/>
    <w:rsid w:val="4008630B"/>
    <w:rsid w:val="41297B90"/>
    <w:rsid w:val="413A164B"/>
    <w:rsid w:val="414D5B4E"/>
    <w:rsid w:val="415413B2"/>
    <w:rsid w:val="415D7F83"/>
    <w:rsid w:val="41B024AC"/>
    <w:rsid w:val="41C15F4F"/>
    <w:rsid w:val="42965EFF"/>
    <w:rsid w:val="446F7BD0"/>
    <w:rsid w:val="4528026F"/>
    <w:rsid w:val="453529D1"/>
    <w:rsid w:val="45612CE4"/>
    <w:rsid w:val="45CD1EFE"/>
    <w:rsid w:val="45E02758"/>
    <w:rsid w:val="46EE143D"/>
    <w:rsid w:val="47052DEE"/>
    <w:rsid w:val="47964677"/>
    <w:rsid w:val="479F466F"/>
    <w:rsid w:val="48181AAD"/>
    <w:rsid w:val="484F180C"/>
    <w:rsid w:val="48E004FF"/>
    <w:rsid w:val="4A204EDE"/>
    <w:rsid w:val="4A25458B"/>
    <w:rsid w:val="4A9A6155"/>
    <w:rsid w:val="4AF67609"/>
    <w:rsid w:val="4CA45761"/>
    <w:rsid w:val="4CE132A1"/>
    <w:rsid w:val="4D1935AA"/>
    <w:rsid w:val="4D7A783B"/>
    <w:rsid w:val="4D915B65"/>
    <w:rsid w:val="4EE51345"/>
    <w:rsid w:val="4F237574"/>
    <w:rsid w:val="4F7E39BC"/>
    <w:rsid w:val="4FCB127C"/>
    <w:rsid w:val="50477D79"/>
    <w:rsid w:val="50704713"/>
    <w:rsid w:val="509317D3"/>
    <w:rsid w:val="519020AB"/>
    <w:rsid w:val="51F369D3"/>
    <w:rsid w:val="529A033D"/>
    <w:rsid w:val="52B8627F"/>
    <w:rsid w:val="53092E35"/>
    <w:rsid w:val="532F140E"/>
    <w:rsid w:val="53A711D6"/>
    <w:rsid w:val="53CC2C25"/>
    <w:rsid w:val="53D819B4"/>
    <w:rsid w:val="54086002"/>
    <w:rsid w:val="543809A5"/>
    <w:rsid w:val="54A97C67"/>
    <w:rsid w:val="54C12F0B"/>
    <w:rsid w:val="555F5FA4"/>
    <w:rsid w:val="55EB2850"/>
    <w:rsid w:val="56126F97"/>
    <w:rsid w:val="566E4F25"/>
    <w:rsid w:val="56D568E9"/>
    <w:rsid w:val="56DE2233"/>
    <w:rsid w:val="56E179E6"/>
    <w:rsid w:val="56F75296"/>
    <w:rsid w:val="58665FD6"/>
    <w:rsid w:val="59381236"/>
    <w:rsid w:val="594D4271"/>
    <w:rsid w:val="5A49135C"/>
    <w:rsid w:val="5AB76B78"/>
    <w:rsid w:val="5D3879A6"/>
    <w:rsid w:val="5F2B7BD6"/>
    <w:rsid w:val="5FB2122F"/>
    <w:rsid w:val="60995E4C"/>
    <w:rsid w:val="60C660C2"/>
    <w:rsid w:val="614978FF"/>
    <w:rsid w:val="616A4C3D"/>
    <w:rsid w:val="61A83D95"/>
    <w:rsid w:val="622434E0"/>
    <w:rsid w:val="62545C77"/>
    <w:rsid w:val="62636714"/>
    <w:rsid w:val="628E6A57"/>
    <w:rsid w:val="62DA4BD4"/>
    <w:rsid w:val="63041C94"/>
    <w:rsid w:val="630D03AC"/>
    <w:rsid w:val="6370380D"/>
    <w:rsid w:val="638F35A8"/>
    <w:rsid w:val="63987D70"/>
    <w:rsid w:val="646E6BAF"/>
    <w:rsid w:val="64A34F53"/>
    <w:rsid w:val="652023C4"/>
    <w:rsid w:val="659846CB"/>
    <w:rsid w:val="665C4585"/>
    <w:rsid w:val="66A43E11"/>
    <w:rsid w:val="66A54812"/>
    <w:rsid w:val="66D502FC"/>
    <w:rsid w:val="6806382A"/>
    <w:rsid w:val="682B0F33"/>
    <w:rsid w:val="685E2700"/>
    <w:rsid w:val="696944C2"/>
    <w:rsid w:val="69E8118A"/>
    <w:rsid w:val="6AEA53DA"/>
    <w:rsid w:val="6B380223"/>
    <w:rsid w:val="6B4A54E3"/>
    <w:rsid w:val="6BFF0EB2"/>
    <w:rsid w:val="6C2A5819"/>
    <w:rsid w:val="6C382307"/>
    <w:rsid w:val="6C9866B5"/>
    <w:rsid w:val="6CC32344"/>
    <w:rsid w:val="6D3C29EA"/>
    <w:rsid w:val="6D721B2E"/>
    <w:rsid w:val="6D8F388A"/>
    <w:rsid w:val="6E761F72"/>
    <w:rsid w:val="6E7D378E"/>
    <w:rsid w:val="6F4F2B7B"/>
    <w:rsid w:val="6FC407BC"/>
    <w:rsid w:val="70EF615E"/>
    <w:rsid w:val="71257D1F"/>
    <w:rsid w:val="7130797D"/>
    <w:rsid w:val="717C2CE0"/>
    <w:rsid w:val="717C7298"/>
    <w:rsid w:val="718C0CAE"/>
    <w:rsid w:val="71963C41"/>
    <w:rsid w:val="71A36A37"/>
    <w:rsid w:val="725C0374"/>
    <w:rsid w:val="72EA0E8B"/>
    <w:rsid w:val="731A2A26"/>
    <w:rsid w:val="73DE452A"/>
    <w:rsid w:val="74564A5D"/>
    <w:rsid w:val="74682EFE"/>
    <w:rsid w:val="75CD5156"/>
    <w:rsid w:val="762C27B7"/>
    <w:rsid w:val="764906A7"/>
    <w:rsid w:val="76E110D4"/>
    <w:rsid w:val="77193E72"/>
    <w:rsid w:val="7745018E"/>
    <w:rsid w:val="777C756E"/>
    <w:rsid w:val="77890AC7"/>
    <w:rsid w:val="77CF0277"/>
    <w:rsid w:val="78A1115E"/>
    <w:rsid w:val="78E44A59"/>
    <w:rsid w:val="79090D90"/>
    <w:rsid w:val="79363449"/>
    <w:rsid w:val="7997515D"/>
    <w:rsid w:val="79CC44D6"/>
    <w:rsid w:val="7A5101BC"/>
    <w:rsid w:val="7B831E71"/>
    <w:rsid w:val="7BA20A3B"/>
    <w:rsid w:val="7BFC7602"/>
    <w:rsid w:val="7C0D05F3"/>
    <w:rsid w:val="7C3F1061"/>
    <w:rsid w:val="7C8C1A8F"/>
    <w:rsid w:val="7C935D0C"/>
    <w:rsid w:val="7CE47418"/>
    <w:rsid w:val="7D303E99"/>
    <w:rsid w:val="7D377B9D"/>
    <w:rsid w:val="7D8024C0"/>
    <w:rsid w:val="7DAC73FC"/>
    <w:rsid w:val="7F3A590E"/>
    <w:rsid w:val="7F7D3E28"/>
    <w:rsid w:val="7F7E68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imes New Roman" w:hAnsi="Times New Roman" w:eastAsia="宋体" w:cs="Times New Roman"/>
      <w:sz w:val="24"/>
      <w:szCs w:val="24"/>
      <w:lang w:val="en-US" w:eastAsia="zh-CN" w:bidi="ar-SA"/>
    </w:rPr>
  </w:style>
  <w:style w:type="paragraph" w:styleId="4">
    <w:name w:val="heading 1"/>
    <w:basedOn w:val="1"/>
    <w:next w:val="1"/>
    <w:link w:val="18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239"/>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link w:val="110"/>
    <w:qFormat/>
    <w:uiPriority w:val="0"/>
    <w:pPr>
      <w:keepNext/>
      <w:keepLines/>
      <w:numPr>
        <w:ilvl w:val="2"/>
        <w:numId w:val="1"/>
      </w:numPr>
      <w:spacing w:before="260" w:after="260" w:line="416" w:lineRule="auto"/>
      <w:outlineLvl w:val="2"/>
    </w:pPr>
    <w:rPr>
      <w:b/>
      <w:bCs/>
      <w:sz w:val="32"/>
      <w:szCs w:val="32"/>
    </w:rPr>
  </w:style>
  <w:style w:type="paragraph" w:styleId="7">
    <w:name w:val="heading 4"/>
    <w:basedOn w:val="1"/>
    <w:next w:val="1"/>
    <w:link w:val="150"/>
    <w:qFormat/>
    <w:uiPriority w:val="0"/>
    <w:pPr>
      <w:keepNext/>
      <w:keepLines/>
      <w:spacing w:before="280" w:after="290" w:line="376" w:lineRule="auto"/>
      <w:outlineLvl w:val="3"/>
    </w:pPr>
    <w:rPr>
      <w:rFonts w:ascii="Arial" w:hAnsi="Arial" w:eastAsia="黑体"/>
      <w:b/>
      <w:bCs/>
      <w:kern w:val="2"/>
      <w:sz w:val="28"/>
      <w:szCs w:val="28"/>
    </w:rPr>
  </w:style>
  <w:style w:type="paragraph" w:styleId="8">
    <w:name w:val="heading 5"/>
    <w:basedOn w:val="1"/>
    <w:next w:val="1"/>
    <w:link w:val="212"/>
    <w:qFormat/>
    <w:uiPriority w:val="0"/>
    <w:pPr>
      <w:keepNext/>
      <w:keepLines/>
      <w:spacing w:before="280" w:after="290" w:line="376" w:lineRule="auto"/>
      <w:outlineLvl w:val="4"/>
    </w:pPr>
    <w:rPr>
      <w:b/>
      <w:bCs/>
      <w:kern w:val="2"/>
      <w:sz w:val="28"/>
      <w:szCs w:val="28"/>
    </w:rPr>
  </w:style>
  <w:style w:type="paragraph" w:styleId="9">
    <w:name w:val="heading 6"/>
    <w:basedOn w:val="1"/>
    <w:next w:val="1"/>
    <w:link w:val="232"/>
    <w:qFormat/>
    <w:uiPriority w:val="0"/>
    <w:pPr>
      <w:keepNext/>
      <w:keepLines/>
      <w:spacing w:before="240" w:after="64" w:line="320" w:lineRule="auto"/>
      <w:outlineLvl w:val="5"/>
    </w:pPr>
    <w:rPr>
      <w:rFonts w:ascii="Arial" w:hAnsi="Arial" w:eastAsia="黑体"/>
      <w:b/>
      <w:bCs/>
      <w:kern w:val="2"/>
    </w:rPr>
  </w:style>
  <w:style w:type="paragraph" w:styleId="10">
    <w:name w:val="heading 7"/>
    <w:basedOn w:val="1"/>
    <w:next w:val="1"/>
    <w:link w:val="116"/>
    <w:qFormat/>
    <w:uiPriority w:val="0"/>
    <w:pPr>
      <w:keepNext/>
      <w:keepLines/>
      <w:spacing w:before="240" w:after="64" w:line="320" w:lineRule="auto"/>
      <w:outlineLvl w:val="6"/>
    </w:pPr>
    <w:rPr>
      <w:b/>
      <w:bCs/>
      <w:kern w:val="2"/>
    </w:rPr>
  </w:style>
  <w:style w:type="paragraph" w:styleId="11">
    <w:name w:val="heading 8"/>
    <w:basedOn w:val="1"/>
    <w:next w:val="1"/>
    <w:link w:val="190"/>
    <w:qFormat/>
    <w:uiPriority w:val="0"/>
    <w:pPr>
      <w:keepNext/>
      <w:keepLines/>
      <w:spacing w:before="240" w:after="64" w:line="320" w:lineRule="auto"/>
      <w:outlineLvl w:val="7"/>
    </w:pPr>
    <w:rPr>
      <w:rFonts w:ascii="Arial" w:hAnsi="Arial" w:eastAsia="黑体"/>
      <w:kern w:val="2"/>
    </w:rPr>
  </w:style>
  <w:style w:type="paragraph" w:styleId="12">
    <w:name w:val="heading 9"/>
    <w:basedOn w:val="1"/>
    <w:next w:val="1"/>
    <w:link w:val="106"/>
    <w:qFormat/>
    <w:uiPriority w:val="0"/>
    <w:pPr>
      <w:keepNext/>
      <w:keepLines/>
      <w:spacing w:before="240" w:after="64" w:line="320" w:lineRule="auto"/>
      <w:outlineLvl w:val="8"/>
    </w:pPr>
    <w:rPr>
      <w:rFonts w:ascii="Arial" w:hAnsi="Arial" w:eastAsia="黑体"/>
      <w:kern w:val="2"/>
      <w:sz w:val="21"/>
      <w:szCs w:val="21"/>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link w:val="197"/>
    <w:qFormat/>
    <w:uiPriority w:val="0"/>
    <w:pPr>
      <w:spacing w:after="120" w:line="240" w:lineRule="auto"/>
      <w:ind w:left="420" w:leftChars="200" w:firstLine="420"/>
    </w:pPr>
    <w:rPr>
      <w:b w:val="0"/>
      <w:bCs w:val="0"/>
      <w:shd w:val="clear" w:color="auto" w:fill="auto"/>
    </w:rPr>
  </w:style>
  <w:style w:type="paragraph" w:styleId="3">
    <w:name w:val="Body Text Indent"/>
    <w:basedOn w:val="1"/>
    <w:link w:val="93"/>
    <w:qFormat/>
    <w:uiPriority w:val="0"/>
    <w:pPr>
      <w:spacing w:line="460" w:lineRule="exact"/>
      <w:ind w:firstLine="482" w:firstLineChars="200"/>
    </w:pPr>
    <w:rPr>
      <w:b/>
      <w:bCs/>
      <w:shd w:val="clear" w:color="auto" w:fill="CCCCCC"/>
    </w:rPr>
  </w:style>
  <w:style w:type="paragraph" w:styleId="13">
    <w:name w:val="toc 7"/>
    <w:basedOn w:val="1"/>
    <w:next w:val="1"/>
    <w:semiHidden/>
    <w:qFormat/>
    <w:uiPriority w:val="0"/>
    <w:pPr>
      <w:ind w:left="2520" w:leftChars="1200"/>
    </w:pPr>
  </w:style>
  <w:style w:type="paragraph" w:styleId="14">
    <w:name w:val="index 8"/>
    <w:basedOn w:val="1"/>
    <w:next w:val="1"/>
    <w:semiHidden/>
    <w:qFormat/>
    <w:uiPriority w:val="0"/>
    <w:pPr>
      <w:ind w:left="1400" w:leftChars="1400"/>
    </w:pPr>
  </w:style>
  <w:style w:type="paragraph" w:styleId="15">
    <w:name w:val="List Number"/>
    <w:basedOn w:val="1"/>
    <w:qFormat/>
    <w:uiPriority w:val="0"/>
    <w:pPr>
      <w:tabs>
        <w:tab w:val="left" w:pos="360"/>
      </w:tabs>
      <w:ind w:left="360" w:hanging="360"/>
    </w:pPr>
  </w:style>
  <w:style w:type="paragraph" w:styleId="16">
    <w:name w:val="Normal Indent"/>
    <w:basedOn w:val="1"/>
    <w:link w:val="167"/>
    <w:qFormat/>
    <w:uiPriority w:val="0"/>
    <w:pPr>
      <w:ind w:firstLine="420" w:firstLineChars="200"/>
    </w:pPr>
    <w:rPr>
      <w:kern w:val="2"/>
      <w:sz w:val="28"/>
      <w:szCs w:val="20"/>
    </w:rPr>
  </w:style>
  <w:style w:type="paragraph" w:styleId="17">
    <w:name w:val="caption"/>
    <w:basedOn w:val="1"/>
    <w:next w:val="1"/>
    <w:qFormat/>
    <w:uiPriority w:val="0"/>
    <w:pPr>
      <w:spacing w:before="152"/>
    </w:pPr>
    <w:rPr>
      <w:rFonts w:ascii="Arial" w:hAnsi="Arial" w:eastAsia="黑体"/>
      <w:sz w:val="20"/>
      <w:szCs w:val="20"/>
    </w:rPr>
  </w:style>
  <w:style w:type="paragraph" w:styleId="18">
    <w:name w:val="index 5"/>
    <w:basedOn w:val="1"/>
    <w:next w:val="1"/>
    <w:semiHidden/>
    <w:qFormat/>
    <w:uiPriority w:val="0"/>
    <w:pPr>
      <w:ind w:left="800" w:leftChars="800"/>
    </w:pPr>
  </w:style>
  <w:style w:type="paragraph" w:styleId="19">
    <w:name w:val="Document Map"/>
    <w:basedOn w:val="1"/>
    <w:link w:val="223"/>
    <w:qFormat/>
    <w:uiPriority w:val="0"/>
    <w:pPr>
      <w:shd w:val="clear" w:color="auto" w:fill="000080"/>
    </w:pPr>
    <w:rPr>
      <w:kern w:val="2"/>
      <w:sz w:val="21"/>
    </w:rPr>
  </w:style>
  <w:style w:type="paragraph" w:styleId="20">
    <w:name w:val="annotation text"/>
    <w:basedOn w:val="1"/>
    <w:link w:val="175"/>
    <w:qFormat/>
    <w:uiPriority w:val="0"/>
    <w:rPr>
      <w:kern w:val="2"/>
      <w:sz w:val="21"/>
    </w:rPr>
  </w:style>
  <w:style w:type="paragraph" w:styleId="21">
    <w:name w:val="index 6"/>
    <w:basedOn w:val="1"/>
    <w:next w:val="1"/>
    <w:semiHidden/>
    <w:qFormat/>
    <w:uiPriority w:val="0"/>
    <w:pPr>
      <w:ind w:left="1000" w:leftChars="1000"/>
    </w:pPr>
  </w:style>
  <w:style w:type="paragraph" w:styleId="22">
    <w:name w:val="Body Text 3"/>
    <w:basedOn w:val="1"/>
    <w:link w:val="231"/>
    <w:qFormat/>
    <w:uiPriority w:val="0"/>
    <w:pPr>
      <w:spacing w:after="120"/>
    </w:pPr>
    <w:rPr>
      <w:kern w:val="2"/>
      <w:sz w:val="16"/>
      <w:szCs w:val="16"/>
    </w:rPr>
  </w:style>
  <w:style w:type="paragraph" w:styleId="23">
    <w:name w:val="Body Text"/>
    <w:basedOn w:val="1"/>
    <w:link w:val="230"/>
    <w:qFormat/>
    <w:uiPriority w:val="0"/>
    <w:pPr>
      <w:jc w:val="center"/>
    </w:pPr>
    <w:rPr>
      <w:rFonts w:ascii="宋体" w:hAnsi="宋体"/>
      <w:b/>
      <w:bCs/>
      <w:color w:val="000000"/>
      <w:kern w:val="2"/>
      <w:sz w:val="72"/>
      <w:szCs w:val="20"/>
    </w:rPr>
  </w:style>
  <w:style w:type="paragraph" w:styleId="24">
    <w:name w:val="List Number 3"/>
    <w:basedOn w:val="1"/>
    <w:qFormat/>
    <w:uiPriority w:val="0"/>
    <w:pPr>
      <w:widowControl w:val="0"/>
      <w:tabs>
        <w:tab w:val="left" w:pos="360"/>
        <w:tab w:val="left" w:pos="1200"/>
      </w:tabs>
      <w:ind w:left="360" w:hanging="360"/>
      <w:jc w:val="both"/>
    </w:pPr>
    <w:rPr>
      <w:kern w:val="2"/>
      <w:sz w:val="21"/>
    </w:rPr>
  </w:style>
  <w:style w:type="paragraph" w:styleId="25">
    <w:name w:val="List 2"/>
    <w:basedOn w:val="1"/>
    <w:qFormat/>
    <w:uiPriority w:val="0"/>
    <w:pPr>
      <w:widowControl w:val="0"/>
      <w:ind w:left="100" w:leftChars="200" w:hanging="200" w:hangingChars="200"/>
      <w:jc w:val="both"/>
    </w:pPr>
    <w:rPr>
      <w:kern w:val="2"/>
      <w:sz w:val="28"/>
    </w:rPr>
  </w:style>
  <w:style w:type="paragraph" w:styleId="26">
    <w:name w:val="index 4"/>
    <w:basedOn w:val="1"/>
    <w:next w:val="1"/>
    <w:semiHidden/>
    <w:qFormat/>
    <w:uiPriority w:val="0"/>
    <w:pPr>
      <w:ind w:left="600" w:leftChars="600"/>
    </w:pPr>
  </w:style>
  <w:style w:type="paragraph" w:styleId="27">
    <w:name w:val="toc 5"/>
    <w:basedOn w:val="1"/>
    <w:next w:val="1"/>
    <w:semiHidden/>
    <w:qFormat/>
    <w:uiPriority w:val="0"/>
    <w:pPr>
      <w:ind w:left="1680" w:leftChars="800"/>
    </w:pPr>
  </w:style>
  <w:style w:type="paragraph" w:styleId="28">
    <w:name w:val="toc 3"/>
    <w:basedOn w:val="1"/>
    <w:next w:val="1"/>
    <w:qFormat/>
    <w:uiPriority w:val="39"/>
    <w:pPr>
      <w:ind w:left="840" w:leftChars="400"/>
    </w:pPr>
  </w:style>
  <w:style w:type="paragraph" w:styleId="29">
    <w:name w:val="Plain Text"/>
    <w:basedOn w:val="1"/>
    <w:next w:val="1"/>
    <w:link w:val="132"/>
    <w:qFormat/>
    <w:uiPriority w:val="0"/>
    <w:rPr>
      <w:rFonts w:ascii="宋体" w:hAnsi="Courier New" w:cs="Courier New"/>
      <w:kern w:val="2"/>
      <w:sz w:val="21"/>
      <w:szCs w:val="21"/>
    </w:rPr>
  </w:style>
  <w:style w:type="paragraph" w:styleId="30">
    <w:name w:val="toc 8"/>
    <w:basedOn w:val="1"/>
    <w:next w:val="1"/>
    <w:semiHidden/>
    <w:qFormat/>
    <w:uiPriority w:val="0"/>
    <w:pPr>
      <w:ind w:left="2940" w:leftChars="1400"/>
    </w:pPr>
  </w:style>
  <w:style w:type="paragraph" w:styleId="31">
    <w:name w:val="index 3"/>
    <w:basedOn w:val="1"/>
    <w:next w:val="1"/>
    <w:semiHidden/>
    <w:qFormat/>
    <w:uiPriority w:val="0"/>
    <w:pPr>
      <w:ind w:left="400" w:leftChars="400"/>
    </w:pPr>
  </w:style>
  <w:style w:type="paragraph" w:styleId="32">
    <w:name w:val="Date"/>
    <w:basedOn w:val="1"/>
    <w:next w:val="1"/>
    <w:link w:val="353"/>
    <w:qFormat/>
    <w:uiPriority w:val="0"/>
    <w:pPr>
      <w:ind w:left="100" w:leftChars="2500"/>
    </w:pPr>
  </w:style>
  <w:style w:type="paragraph" w:styleId="33">
    <w:name w:val="Body Text Indent 2"/>
    <w:basedOn w:val="1"/>
    <w:link w:val="350"/>
    <w:qFormat/>
    <w:uiPriority w:val="0"/>
    <w:pPr>
      <w:spacing w:line="360" w:lineRule="auto"/>
      <w:ind w:firstLine="480"/>
    </w:pPr>
    <w:rPr>
      <w:rFonts w:hint="eastAsia" w:ascii="宋体" w:eastAsia="新宋体"/>
      <w:szCs w:val="20"/>
    </w:rPr>
  </w:style>
  <w:style w:type="paragraph" w:styleId="34">
    <w:name w:val="Balloon Text"/>
    <w:basedOn w:val="1"/>
    <w:link w:val="153"/>
    <w:qFormat/>
    <w:uiPriority w:val="0"/>
    <w:rPr>
      <w:kern w:val="2"/>
      <w:sz w:val="18"/>
      <w:szCs w:val="18"/>
    </w:rPr>
  </w:style>
  <w:style w:type="paragraph" w:styleId="35">
    <w:name w:val="footer"/>
    <w:basedOn w:val="1"/>
    <w:link w:val="134"/>
    <w:qFormat/>
    <w:uiPriority w:val="99"/>
    <w:pPr>
      <w:tabs>
        <w:tab w:val="center" w:pos="4153"/>
        <w:tab w:val="right" w:pos="8306"/>
      </w:tabs>
      <w:snapToGrid w:val="0"/>
    </w:pPr>
    <w:rPr>
      <w:kern w:val="2"/>
      <w:sz w:val="18"/>
      <w:szCs w:val="18"/>
    </w:rPr>
  </w:style>
  <w:style w:type="paragraph" w:styleId="36">
    <w:name w:val="header"/>
    <w:basedOn w:val="1"/>
    <w:link w:val="202"/>
    <w:qFormat/>
    <w:uiPriority w:val="0"/>
    <w:pPr>
      <w:pBdr>
        <w:bottom w:val="single" w:color="auto" w:sz="6" w:space="1"/>
      </w:pBdr>
      <w:tabs>
        <w:tab w:val="center" w:pos="4153"/>
        <w:tab w:val="right" w:pos="8306"/>
      </w:tabs>
      <w:snapToGrid w:val="0"/>
      <w:jc w:val="center"/>
    </w:pPr>
    <w:rPr>
      <w:kern w:val="2"/>
      <w:sz w:val="18"/>
      <w:szCs w:val="18"/>
    </w:rPr>
  </w:style>
  <w:style w:type="paragraph" w:styleId="37">
    <w:name w:val="toc 1"/>
    <w:basedOn w:val="1"/>
    <w:next w:val="1"/>
    <w:qFormat/>
    <w:uiPriority w:val="39"/>
    <w:pPr>
      <w:tabs>
        <w:tab w:val="right" w:leader="dot" w:pos="9344"/>
      </w:tabs>
      <w:spacing w:line="460" w:lineRule="exact"/>
    </w:pPr>
    <w:rPr>
      <w:rFonts w:ascii="宋体" w:hAnsi="宋体"/>
      <w:b/>
      <w:bCs/>
      <w:color w:val="000000"/>
      <w:sz w:val="28"/>
      <w:szCs w:val="30"/>
    </w:rPr>
  </w:style>
  <w:style w:type="paragraph" w:styleId="38">
    <w:name w:val="toc 4"/>
    <w:basedOn w:val="1"/>
    <w:next w:val="1"/>
    <w:semiHidden/>
    <w:qFormat/>
    <w:uiPriority w:val="0"/>
    <w:pPr>
      <w:ind w:left="1260" w:leftChars="600"/>
    </w:pPr>
  </w:style>
  <w:style w:type="paragraph" w:styleId="39">
    <w:name w:val="index heading"/>
    <w:basedOn w:val="1"/>
    <w:next w:val="40"/>
    <w:semiHidden/>
    <w:qFormat/>
    <w:uiPriority w:val="0"/>
  </w:style>
  <w:style w:type="paragraph" w:styleId="40">
    <w:name w:val="index 1"/>
    <w:basedOn w:val="1"/>
    <w:next w:val="1"/>
    <w:semiHidden/>
    <w:qFormat/>
    <w:uiPriority w:val="0"/>
    <w:pPr>
      <w:spacing w:line="560" w:lineRule="exact"/>
    </w:pPr>
    <w:rPr>
      <w:sz w:val="28"/>
    </w:rPr>
  </w:style>
  <w:style w:type="paragraph" w:styleId="41">
    <w:name w:val="List"/>
    <w:basedOn w:val="1"/>
    <w:qFormat/>
    <w:uiPriority w:val="0"/>
    <w:pPr>
      <w:widowControl w:val="0"/>
      <w:ind w:left="200" w:hanging="200" w:hangingChars="200"/>
      <w:jc w:val="both"/>
    </w:pPr>
    <w:rPr>
      <w:kern w:val="2"/>
      <w:sz w:val="28"/>
    </w:rPr>
  </w:style>
  <w:style w:type="paragraph" w:styleId="42">
    <w:name w:val="toc 6"/>
    <w:basedOn w:val="1"/>
    <w:next w:val="1"/>
    <w:semiHidden/>
    <w:qFormat/>
    <w:uiPriority w:val="0"/>
    <w:pPr>
      <w:ind w:left="2100" w:leftChars="1000"/>
    </w:pPr>
  </w:style>
  <w:style w:type="paragraph" w:styleId="43">
    <w:name w:val="Body Text Indent 3"/>
    <w:basedOn w:val="1"/>
    <w:link w:val="347"/>
    <w:qFormat/>
    <w:uiPriority w:val="0"/>
    <w:pPr>
      <w:spacing w:after="120"/>
      <w:ind w:left="420" w:leftChars="200"/>
    </w:pPr>
    <w:rPr>
      <w:sz w:val="16"/>
      <w:szCs w:val="16"/>
    </w:rPr>
  </w:style>
  <w:style w:type="paragraph" w:styleId="44">
    <w:name w:val="index 7"/>
    <w:basedOn w:val="1"/>
    <w:next w:val="1"/>
    <w:semiHidden/>
    <w:qFormat/>
    <w:uiPriority w:val="0"/>
    <w:pPr>
      <w:ind w:left="1200" w:leftChars="1200"/>
    </w:pPr>
  </w:style>
  <w:style w:type="paragraph" w:styleId="45">
    <w:name w:val="index 9"/>
    <w:basedOn w:val="1"/>
    <w:next w:val="1"/>
    <w:semiHidden/>
    <w:qFormat/>
    <w:uiPriority w:val="0"/>
    <w:pPr>
      <w:ind w:left="1600" w:leftChars="1600"/>
    </w:pPr>
  </w:style>
  <w:style w:type="paragraph" w:styleId="46">
    <w:name w:val="table of figures"/>
    <w:basedOn w:val="1"/>
    <w:next w:val="1"/>
    <w:semiHidden/>
    <w:qFormat/>
    <w:uiPriority w:val="0"/>
    <w:pPr>
      <w:spacing w:line="560" w:lineRule="exact"/>
    </w:pPr>
    <w:rPr>
      <w:b/>
      <w:sz w:val="28"/>
    </w:rPr>
  </w:style>
  <w:style w:type="paragraph" w:styleId="47">
    <w:name w:val="toc 2"/>
    <w:basedOn w:val="1"/>
    <w:next w:val="1"/>
    <w:qFormat/>
    <w:uiPriority w:val="39"/>
    <w:pPr>
      <w:spacing w:line="400" w:lineRule="exact"/>
      <w:ind w:left="200" w:leftChars="200"/>
    </w:pPr>
  </w:style>
  <w:style w:type="paragraph" w:styleId="48">
    <w:name w:val="toc 9"/>
    <w:basedOn w:val="1"/>
    <w:next w:val="1"/>
    <w:semiHidden/>
    <w:qFormat/>
    <w:uiPriority w:val="0"/>
    <w:pPr>
      <w:ind w:left="3360" w:leftChars="1600"/>
    </w:pPr>
  </w:style>
  <w:style w:type="paragraph" w:styleId="49">
    <w:name w:val="Body Text 2"/>
    <w:basedOn w:val="1"/>
    <w:link w:val="351"/>
    <w:qFormat/>
    <w:uiPriority w:val="0"/>
    <w:pPr>
      <w:spacing w:after="120" w:line="480" w:lineRule="auto"/>
    </w:pPr>
  </w:style>
  <w:style w:type="paragraph" w:styleId="50">
    <w:name w:val="HTML Preformatted"/>
    <w:basedOn w:val="1"/>
    <w:link w:val="308"/>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rPr>
  </w:style>
  <w:style w:type="paragraph" w:styleId="51">
    <w:name w:val="Normal (Web)"/>
    <w:basedOn w:val="1"/>
    <w:qFormat/>
    <w:uiPriority w:val="99"/>
  </w:style>
  <w:style w:type="paragraph" w:styleId="52">
    <w:name w:val="index 2"/>
    <w:basedOn w:val="1"/>
    <w:next w:val="1"/>
    <w:semiHidden/>
    <w:qFormat/>
    <w:uiPriority w:val="0"/>
    <w:pPr>
      <w:spacing w:line="560" w:lineRule="exact"/>
      <w:ind w:left="200" w:leftChars="200"/>
    </w:pPr>
    <w:rPr>
      <w:sz w:val="28"/>
    </w:rPr>
  </w:style>
  <w:style w:type="paragraph" w:styleId="53">
    <w:name w:val="Title"/>
    <w:basedOn w:val="1"/>
    <w:next w:val="1"/>
    <w:link w:val="174"/>
    <w:qFormat/>
    <w:uiPriority w:val="0"/>
    <w:pPr>
      <w:spacing w:before="240" w:after="60"/>
      <w:jc w:val="center"/>
      <w:outlineLvl w:val="0"/>
    </w:pPr>
    <w:rPr>
      <w:rFonts w:ascii="Cambria" w:hAnsi="Cambria"/>
      <w:b/>
      <w:bCs/>
      <w:kern w:val="2"/>
      <w:sz w:val="32"/>
      <w:szCs w:val="32"/>
    </w:rPr>
  </w:style>
  <w:style w:type="paragraph" w:styleId="54">
    <w:name w:val="annotation subject"/>
    <w:basedOn w:val="20"/>
    <w:next w:val="20"/>
    <w:link w:val="213"/>
    <w:qFormat/>
    <w:uiPriority w:val="0"/>
    <w:rPr>
      <w:rFonts w:ascii="Calibri" w:hAnsi="Calibri" w:cs="Calibri"/>
      <w:b/>
      <w:bCs/>
      <w:kern w:val="0"/>
      <w:sz w:val="24"/>
    </w:rPr>
  </w:style>
  <w:style w:type="paragraph" w:styleId="55">
    <w:name w:val="Body Text First Indent"/>
    <w:basedOn w:val="23"/>
    <w:link w:val="164"/>
    <w:qFormat/>
    <w:uiPriority w:val="0"/>
    <w:pPr>
      <w:spacing w:after="120"/>
      <w:ind w:firstLine="420" w:firstLineChars="100"/>
      <w:jc w:val="both"/>
    </w:pPr>
    <w:rPr>
      <w:rFonts w:ascii="Times New Roman" w:hAnsi="Times New Roman"/>
      <w:b w:val="0"/>
      <w:bCs w:val="0"/>
      <w:color w:val="auto"/>
      <w:sz w:val="21"/>
      <w:szCs w:val="24"/>
    </w:rPr>
  </w:style>
  <w:style w:type="table" w:styleId="57">
    <w:name w:val="Table Grid"/>
    <w:basedOn w:val="5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9">
    <w:name w:val="Strong"/>
    <w:qFormat/>
    <w:uiPriority w:val="0"/>
    <w:rPr>
      <w:b/>
      <w:bCs/>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Hyperlink"/>
    <w:qFormat/>
    <w:uiPriority w:val="0"/>
    <w:rPr>
      <w:color w:val="0000FF"/>
      <w:u w:val="single"/>
    </w:rPr>
  </w:style>
  <w:style w:type="character" w:styleId="63">
    <w:name w:val="annotation reference"/>
    <w:basedOn w:val="58"/>
    <w:unhideWhenUsed/>
    <w:qFormat/>
    <w:uiPriority w:val="99"/>
  </w:style>
  <w:style w:type="character" w:customStyle="1" w:styleId="64">
    <w:name w:val="标题 2 Char"/>
    <w:qFormat/>
    <w:uiPriority w:val="9"/>
    <w:rPr>
      <w:rFonts w:ascii="宋体" w:hAnsi="宋体" w:eastAsia="宋体" w:cs="Times New Roman"/>
      <w:b/>
      <w:bCs/>
      <w:sz w:val="28"/>
      <w:szCs w:val="24"/>
    </w:rPr>
  </w:style>
  <w:style w:type="character" w:customStyle="1" w:styleId="65">
    <w:name w:val="页脚 Char"/>
    <w:qFormat/>
    <w:uiPriority w:val="99"/>
    <w:rPr>
      <w:rFonts w:ascii="Calibri" w:hAnsi="Calibri" w:eastAsia="宋体" w:cs="Times New Roman"/>
      <w:sz w:val="18"/>
      <w:szCs w:val="18"/>
    </w:rPr>
  </w:style>
  <w:style w:type="character" w:customStyle="1" w:styleId="66">
    <w:name w:val="页眉 Char"/>
    <w:qFormat/>
    <w:uiPriority w:val="99"/>
    <w:rPr>
      <w:rFonts w:ascii="Calibri" w:hAnsi="Calibri" w:eastAsia="宋体" w:cs="Times New Roman"/>
      <w:sz w:val="18"/>
      <w:szCs w:val="18"/>
    </w:rPr>
  </w:style>
  <w:style w:type="character" w:customStyle="1" w:styleId="67">
    <w:name w:val="-正文- Char"/>
    <w:link w:val="68"/>
    <w:qFormat/>
    <w:uiPriority w:val="0"/>
    <w:rPr>
      <w:rFonts w:eastAsia="宋体" w:cs="宋体"/>
      <w:kern w:val="2"/>
      <w:sz w:val="21"/>
      <w:lang w:val="en-US" w:eastAsia="zh-CN" w:bidi="ar-SA"/>
    </w:rPr>
  </w:style>
  <w:style w:type="paragraph" w:customStyle="1" w:styleId="68">
    <w:name w:val="-正文-"/>
    <w:basedOn w:val="1"/>
    <w:link w:val="67"/>
    <w:qFormat/>
    <w:uiPriority w:val="0"/>
    <w:pPr>
      <w:spacing w:line="360" w:lineRule="auto"/>
      <w:ind w:firstLine="420" w:firstLineChars="200"/>
    </w:pPr>
    <w:rPr>
      <w:rFonts w:cs="宋体"/>
      <w:kern w:val="2"/>
      <w:sz w:val="21"/>
      <w:szCs w:val="20"/>
    </w:rPr>
  </w:style>
  <w:style w:type="character" w:customStyle="1" w:styleId="69">
    <w:name w:val="正文主体 Char"/>
    <w:link w:val="70"/>
    <w:qFormat/>
    <w:uiPriority w:val="0"/>
    <w:rPr>
      <w:rFonts w:eastAsia="宋体"/>
      <w:kern w:val="2"/>
      <w:sz w:val="24"/>
      <w:szCs w:val="24"/>
      <w:lang w:val="en-US" w:eastAsia="zh-CN" w:bidi="ar-SA"/>
    </w:rPr>
  </w:style>
  <w:style w:type="paragraph" w:customStyle="1" w:styleId="70">
    <w:name w:val="正文主体"/>
    <w:basedOn w:val="71"/>
    <w:link w:val="69"/>
    <w:qFormat/>
    <w:uiPriority w:val="0"/>
    <w:rPr>
      <w:kern w:val="2"/>
    </w:rPr>
  </w:style>
  <w:style w:type="paragraph" w:customStyle="1" w:styleId="71">
    <w:name w:val="样式  + 首行缩进:  2 字符"/>
    <w:basedOn w:val="72"/>
    <w:qFormat/>
    <w:uiPriority w:val="0"/>
    <w:pPr>
      <w:ind w:firstLine="480"/>
    </w:pPr>
  </w:style>
  <w:style w:type="paragraph" w:customStyle="1" w:styleId="72">
    <w:name w:val="9"/>
    <w:basedOn w:val="1"/>
    <w:next w:val="23"/>
    <w:qFormat/>
    <w:uiPriority w:val="0"/>
    <w:pPr>
      <w:spacing w:before="60" w:after="60" w:line="360" w:lineRule="auto"/>
      <w:ind w:firstLine="200" w:firstLineChars="200"/>
    </w:pPr>
  </w:style>
  <w:style w:type="character" w:customStyle="1" w:styleId="73">
    <w:name w:val="列表段落 字符1"/>
    <w:link w:val="74"/>
    <w:qFormat/>
    <w:uiPriority w:val="0"/>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kern w:val="2"/>
      <w:sz w:val="21"/>
      <w:szCs w:val="22"/>
    </w:rPr>
  </w:style>
  <w:style w:type="character" w:customStyle="1" w:styleId="75">
    <w:name w:val="文档结构图 Char Char"/>
    <w:link w:val="76"/>
    <w:qFormat/>
    <w:uiPriority w:val="0"/>
    <w:rPr>
      <w:rFonts w:ascii="宋体" w:hAnsi="Calibri"/>
      <w:kern w:val="2"/>
      <w:sz w:val="18"/>
      <w:szCs w:val="18"/>
      <w:lang w:bidi="ar-SA"/>
    </w:rPr>
  </w:style>
  <w:style w:type="paragraph" w:customStyle="1" w:styleId="76">
    <w:name w:val="文档结构图1"/>
    <w:basedOn w:val="1"/>
    <w:link w:val="75"/>
    <w:qFormat/>
    <w:uiPriority w:val="0"/>
    <w:pPr>
      <w:spacing w:line="360" w:lineRule="auto"/>
      <w:ind w:firstLine="200" w:firstLineChars="200"/>
    </w:pPr>
    <w:rPr>
      <w:rFonts w:ascii="宋体" w:hAnsi="Calibri"/>
      <w:kern w:val="2"/>
      <w:sz w:val="18"/>
      <w:szCs w:val="18"/>
    </w:rPr>
  </w:style>
  <w:style w:type="character" w:customStyle="1" w:styleId="77">
    <w:name w:val="-标题2- Char"/>
    <w:link w:val="78"/>
    <w:qFormat/>
    <w:uiPriority w:val="0"/>
    <w:rPr>
      <w:rFonts w:ascii="宋体" w:hAnsi="宋体"/>
      <w:b/>
      <w:bCs/>
      <w:kern w:val="44"/>
      <w:sz w:val="28"/>
      <w:szCs w:val="28"/>
    </w:rPr>
  </w:style>
  <w:style w:type="paragraph" w:customStyle="1" w:styleId="78">
    <w:name w:val="-标题2-"/>
    <w:basedOn w:val="1"/>
    <w:link w:val="77"/>
    <w:qFormat/>
    <w:uiPriority w:val="0"/>
    <w:pPr>
      <w:keepNext/>
      <w:keepLines/>
      <w:tabs>
        <w:tab w:val="left" w:pos="568"/>
      </w:tabs>
      <w:spacing w:before="100" w:after="100" w:line="360" w:lineRule="auto"/>
      <w:ind w:left="1135" w:hanging="567"/>
      <w:outlineLvl w:val="3"/>
    </w:pPr>
    <w:rPr>
      <w:rFonts w:ascii="宋体" w:hAnsi="宋体"/>
      <w:b/>
      <w:bCs/>
      <w:kern w:val="44"/>
      <w:sz w:val="28"/>
      <w:szCs w:val="28"/>
    </w:rPr>
  </w:style>
  <w:style w:type="character" w:customStyle="1" w:styleId="79">
    <w:name w:val="纯文本 Char2"/>
    <w:qFormat/>
    <w:uiPriority w:val="0"/>
    <w:rPr>
      <w:rFonts w:ascii="宋体" w:hAnsi="Courier New" w:eastAsia="宋体" w:cs="Courier New"/>
      <w:kern w:val="2"/>
      <w:sz w:val="21"/>
      <w:szCs w:val="21"/>
      <w:lang w:val="en-US" w:eastAsia="zh-CN" w:bidi="ar-SA"/>
    </w:rPr>
  </w:style>
  <w:style w:type="character" w:customStyle="1" w:styleId="80">
    <w:name w:val="标题 3 Char"/>
    <w:qFormat/>
    <w:uiPriority w:val="0"/>
    <w:rPr>
      <w:rFonts w:ascii="宋体" w:hAnsi="宋体" w:eastAsia="宋体" w:cs="Times New Roman"/>
      <w:b/>
      <w:bCs/>
      <w:sz w:val="28"/>
      <w:szCs w:val="24"/>
    </w:rPr>
  </w:style>
  <w:style w:type="character" w:customStyle="1" w:styleId="81">
    <w:name w:val="正文，首行缩进: Char"/>
    <w:link w:val="82"/>
    <w:qFormat/>
    <w:uiPriority w:val="0"/>
    <w:rPr>
      <w:rFonts w:ascii="Arial" w:hAnsi="Arial"/>
      <w:kern w:val="2"/>
      <w:sz w:val="24"/>
      <w:szCs w:val="24"/>
      <w:lang w:bidi="ar-SA"/>
    </w:rPr>
  </w:style>
  <w:style w:type="paragraph" w:customStyle="1" w:styleId="82">
    <w:name w:val="正文，首行缩进:"/>
    <w:basedOn w:val="1"/>
    <w:link w:val="81"/>
    <w:qFormat/>
    <w:uiPriority w:val="0"/>
    <w:pPr>
      <w:spacing w:line="360" w:lineRule="auto"/>
      <w:ind w:firstLine="480" w:firstLineChars="200"/>
    </w:pPr>
    <w:rPr>
      <w:rFonts w:ascii="Arial" w:hAnsi="Arial"/>
      <w:kern w:val="2"/>
    </w:rPr>
  </w:style>
  <w:style w:type="character" w:customStyle="1" w:styleId="83">
    <w:name w:val="表格文字 Char"/>
    <w:link w:val="84"/>
    <w:qFormat/>
    <w:uiPriority w:val="0"/>
    <w:rPr>
      <w:sz w:val="18"/>
      <w:szCs w:val="24"/>
      <w:lang w:bidi="ar-SA"/>
    </w:rPr>
  </w:style>
  <w:style w:type="paragraph" w:customStyle="1" w:styleId="84">
    <w:name w:val="表格文字"/>
    <w:basedOn w:val="1"/>
    <w:next w:val="23"/>
    <w:link w:val="83"/>
    <w:qFormat/>
    <w:uiPriority w:val="0"/>
    <w:pPr>
      <w:textAlignment w:val="top"/>
    </w:pPr>
    <w:rPr>
      <w:sz w:val="18"/>
    </w:rPr>
  </w:style>
  <w:style w:type="character" w:customStyle="1" w:styleId="85">
    <w:name w:val="G-正文缩进 Char"/>
    <w:link w:val="86"/>
    <w:qFormat/>
    <w:uiPriority w:val="0"/>
    <w:rPr>
      <w:kern w:val="2"/>
      <w:sz w:val="24"/>
      <w:szCs w:val="24"/>
      <w:lang w:bidi="ar-SA"/>
    </w:rPr>
  </w:style>
  <w:style w:type="paragraph" w:customStyle="1" w:styleId="86">
    <w:name w:val="G-正文缩进"/>
    <w:basedOn w:val="1"/>
    <w:link w:val="85"/>
    <w:qFormat/>
    <w:uiPriority w:val="0"/>
    <w:pPr>
      <w:spacing w:line="312" w:lineRule="auto"/>
      <w:ind w:firstLine="480" w:firstLineChars="200"/>
    </w:pPr>
    <w:rPr>
      <w:kern w:val="2"/>
    </w:rPr>
  </w:style>
  <w:style w:type="character" w:customStyle="1" w:styleId="87">
    <w:name w:val="正文文本缩进 2 Char"/>
    <w:link w:val="88"/>
    <w:qFormat/>
    <w:uiPriority w:val="0"/>
    <w:rPr>
      <w:rFonts w:ascii="Calibri" w:hAnsi="Calibri" w:eastAsia="FangSong_GB2312"/>
      <w:kern w:val="2"/>
      <w:sz w:val="24"/>
      <w:szCs w:val="22"/>
      <w:lang w:bidi="ar-SA"/>
    </w:rPr>
  </w:style>
  <w:style w:type="paragraph" w:customStyle="1" w:styleId="88">
    <w:name w:val="正文文本缩进 21"/>
    <w:basedOn w:val="1"/>
    <w:link w:val="87"/>
    <w:qFormat/>
    <w:uiPriority w:val="0"/>
    <w:pPr>
      <w:spacing w:after="120" w:line="480" w:lineRule="auto"/>
      <w:ind w:left="420" w:leftChars="200"/>
    </w:pPr>
    <w:rPr>
      <w:rFonts w:ascii="Calibri" w:hAnsi="Calibri" w:eastAsia="FangSong_GB2312"/>
      <w:kern w:val="2"/>
      <w:szCs w:val="22"/>
    </w:rPr>
  </w:style>
  <w:style w:type="character" w:customStyle="1" w:styleId="89">
    <w:name w:val="my正文 Char"/>
    <w:link w:val="90"/>
    <w:qFormat/>
    <w:uiPriority w:val="0"/>
    <w:rPr>
      <w:kern w:val="2"/>
      <w:sz w:val="24"/>
      <w:szCs w:val="24"/>
    </w:rPr>
  </w:style>
  <w:style w:type="paragraph" w:customStyle="1" w:styleId="90">
    <w:name w:val="my正文"/>
    <w:basedOn w:val="1"/>
    <w:link w:val="89"/>
    <w:qFormat/>
    <w:uiPriority w:val="0"/>
    <w:pPr>
      <w:spacing w:line="360" w:lineRule="auto"/>
      <w:ind w:firstLine="200" w:firstLineChars="200"/>
    </w:pPr>
    <w:rPr>
      <w:kern w:val="2"/>
    </w:rPr>
  </w:style>
  <w:style w:type="character" w:customStyle="1" w:styleId="91">
    <w:name w:val="批注文字 Char"/>
    <w:qFormat/>
    <w:uiPriority w:val="99"/>
    <w:rPr>
      <w:kern w:val="2"/>
      <w:sz w:val="24"/>
      <w:szCs w:val="22"/>
    </w:rPr>
  </w:style>
  <w:style w:type="character" w:customStyle="1" w:styleId="92">
    <w:name w:val="正文文本 Char1"/>
    <w:qFormat/>
    <w:uiPriority w:val="0"/>
    <w:rPr>
      <w:rFonts w:hint="eastAsia" w:ascii="宋体" w:hAnsi="宋体" w:eastAsia="宋体" w:cs="宋体"/>
      <w:b/>
      <w:color w:val="000000"/>
      <w:sz w:val="72"/>
    </w:rPr>
  </w:style>
  <w:style w:type="character" w:customStyle="1" w:styleId="93">
    <w:name w:val="正文文本缩进 字符"/>
    <w:link w:val="3"/>
    <w:qFormat/>
    <w:uiPriority w:val="0"/>
    <w:rPr>
      <w:rFonts w:ascii="Times New Roman" w:hAnsi="Times New Roman"/>
      <w:b/>
      <w:bCs/>
      <w:sz w:val="24"/>
      <w:szCs w:val="24"/>
    </w:rPr>
  </w:style>
  <w:style w:type="character" w:customStyle="1" w:styleId="94">
    <w:name w:val="正文首行缩进 Char1"/>
    <w:qFormat/>
    <w:uiPriority w:val="0"/>
    <w:rPr>
      <w:rFonts w:eastAsia="FangSong_GB2312"/>
      <w:kern w:val="2"/>
      <w:sz w:val="28"/>
      <w:szCs w:val="24"/>
    </w:rPr>
  </w:style>
  <w:style w:type="character" w:customStyle="1" w:styleId="95">
    <w:name w:val="普通文字 Char Char3"/>
    <w:qFormat/>
    <w:uiPriority w:val="0"/>
    <w:rPr>
      <w:rFonts w:ascii="宋体" w:hAnsi="Courier New" w:eastAsia="宋体" w:cs="Courier New"/>
      <w:kern w:val="2"/>
      <w:sz w:val="21"/>
      <w:szCs w:val="21"/>
      <w:lang w:val="en-US" w:eastAsia="zh-CN" w:bidi="ar-SA"/>
    </w:rPr>
  </w:style>
  <w:style w:type="character" w:customStyle="1" w:styleId="96">
    <w:name w:val="样式 段前: 0.5 行 段后: 0.5 行 Char Char"/>
    <w:link w:val="97"/>
    <w:qFormat/>
    <w:uiPriority w:val="0"/>
    <w:rPr>
      <w:rFonts w:ascii="FangSong_GB2312" w:eastAsia="FangSong_GB2312"/>
      <w:color w:val="000000"/>
      <w:sz w:val="28"/>
      <w:szCs w:val="28"/>
      <w:lang w:bidi="ar-SA"/>
    </w:rPr>
  </w:style>
  <w:style w:type="paragraph" w:customStyle="1" w:styleId="97">
    <w:name w:val="样式 段前: 0.5 行 段后: 0.5 行"/>
    <w:basedOn w:val="1"/>
    <w:link w:val="96"/>
    <w:qFormat/>
    <w:uiPriority w:val="0"/>
    <w:pPr>
      <w:adjustRightInd w:val="0"/>
      <w:snapToGrid w:val="0"/>
      <w:spacing w:beforeLines="50" w:afterLines="50" w:line="360" w:lineRule="auto"/>
      <w:ind w:firstLine="480" w:firstLineChars="200"/>
    </w:pPr>
    <w:rPr>
      <w:rFonts w:ascii="FangSong_GB2312" w:eastAsia="FangSong_GB2312"/>
      <w:color w:val="000000"/>
      <w:sz w:val="28"/>
      <w:szCs w:val="28"/>
    </w:rPr>
  </w:style>
  <w:style w:type="character" w:customStyle="1" w:styleId="98">
    <w:name w:val="font31"/>
    <w:qFormat/>
    <w:uiPriority w:val="0"/>
    <w:rPr>
      <w:rFonts w:ascii="Calibri" w:hAnsi="Calibri" w:cs="Calibri"/>
      <w:color w:val="000000"/>
      <w:sz w:val="21"/>
      <w:szCs w:val="21"/>
      <w:u w:val="none"/>
    </w:rPr>
  </w:style>
  <w:style w:type="character" w:customStyle="1" w:styleId="99">
    <w:name w:val="标题 6 Char"/>
    <w:qFormat/>
    <w:uiPriority w:val="0"/>
    <w:rPr>
      <w:rFonts w:ascii="Arial" w:hAnsi="Arial" w:eastAsia="黑体" w:cs="Times New Roman"/>
      <w:b/>
      <w:bCs/>
      <w:sz w:val="24"/>
      <w:szCs w:val="24"/>
    </w:rPr>
  </w:style>
  <w:style w:type="character" w:customStyle="1" w:styleId="100">
    <w:name w:val="三级目录 Char Char"/>
    <w:link w:val="101"/>
    <w:qFormat/>
    <w:uiPriority w:val="0"/>
    <w:rPr>
      <w:rFonts w:ascii="Cambria" w:hAnsi="Cambria" w:eastAsia="楷体"/>
      <w:b/>
      <w:bCs/>
      <w:color w:val="000000"/>
      <w:sz w:val="26"/>
      <w:szCs w:val="26"/>
      <w:lang w:val="en-GB" w:bidi="ar-SA"/>
    </w:rPr>
  </w:style>
  <w:style w:type="paragraph" w:customStyle="1" w:styleId="101">
    <w:name w:val="三级目录"/>
    <w:basedOn w:val="5"/>
    <w:link w:val="100"/>
    <w:qFormat/>
    <w:uiPriority w:val="0"/>
    <w:pPr>
      <w:numPr>
        <w:ilvl w:val="0"/>
        <w:numId w:val="0"/>
      </w:numPr>
      <w:spacing w:before="240" w:after="0" w:line="276" w:lineRule="auto"/>
      <w:ind w:left="1418" w:hanging="567"/>
    </w:pPr>
    <w:rPr>
      <w:rFonts w:ascii="Cambria" w:hAnsi="Cambria" w:eastAsia="楷体"/>
      <w:color w:val="000000"/>
      <w:sz w:val="26"/>
      <w:szCs w:val="26"/>
      <w:lang w:val="en-GB"/>
    </w:rPr>
  </w:style>
  <w:style w:type="character" w:customStyle="1" w:styleId="102">
    <w:name w:val="正文文本缩进 2 Char1"/>
    <w:link w:val="103"/>
    <w:qFormat/>
    <w:uiPriority w:val="0"/>
    <w:rPr>
      <w:rFonts w:ascii="Calibri" w:hAnsi="Calibri" w:eastAsia="FangSong_GB2312"/>
      <w:kern w:val="2"/>
      <w:sz w:val="24"/>
      <w:szCs w:val="22"/>
      <w:lang w:bidi="ar-SA"/>
    </w:rPr>
  </w:style>
  <w:style w:type="paragraph" w:customStyle="1" w:styleId="103">
    <w:name w:val="正文文本缩进 22"/>
    <w:basedOn w:val="1"/>
    <w:link w:val="102"/>
    <w:qFormat/>
    <w:uiPriority w:val="0"/>
    <w:pPr>
      <w:spacing w:after="120" w:line="480" w:lineRule="auto"/>
      <w:ind w:left="420" w:leftChars="200" w:firstLine="200" w:firstLineChars="200"/>
    </w:pPr>
    <w:rPr>
      <w:rFonts w:ascii="Calibri" w:hAnsi="Calibri" w:eastAsia="FangSong_GB2312"/>
      <w:kern w:val="2"/>
      <w:szCs w:val="22"/>
    </w:rPr>
  </w:style>
  <w:style w:type="character" w:customStyle="1" w:styleId="104">
    <w:name w:val="方案正文 Char Char"/>
    <w:link w:val="105"/>
    <w:qFormat/>
    <w:uiPriority w:val="0"/>
    <w:rPr>
      <w:rFonts w:eastAsia="宋体"/>
      <w:kern w:val="2"/>
      <w:sz w:val="24"/>
      <w:szCs w:val="24"/>
      <w:lang w:val="en-US" w:eastAsia="zh-CN" w:bidi="ar-SA"/>
    </w:rPr>
  </w:style>
  <w:style w:type="paragraph" w:customStyle="1" w:styleId="105">
    <w:name w:val="方案正文"/>
    <w:basedOn w:val="1"/>
    <w:link w:val="104"/>
    <w:qFormat/>
    <w:uiPriority w:val="0"/>
    <w:pPr>
      <w:adjustRightInd w:val="0"/>
      <w:snapToGrid w:val="0"/>
      <w:spacing w:line="360" w:lineRule="auto"/>
      <w:ind w:firstLine="480" w:firstLineChars="200"/>
    </w:pPr>
    <w:rPr>
      <w:kern w:val="2"/>
    </w:rPr>
  </w:style>
  <w:style w:type="character" w:customStyle="1" w:styleId="106">
    <w:name w:val="标题 9 字符1"/>
    <w:link w:val="12"/>
    <w:qFormat/>
    <w:uiPriority w:val="0"/>
    <w:rPr>
      <w:rFonts w:ascii="Arial" w:hAnsi="Arial" w:eastAsia="黑体"/>
      <w:kern w:val="2"/>
      <w:sz w:val="21"/>
      <w:szCs w:val="21"/>
    </w:rPr>
  </w:style>
  <w:style w:type="character" w:customStyle="1" w:styleId="107">
    <w:name w:val="批注文字 Char1"/>
    <w:semiHidden/>
    <w:qFormat/>
    <w:uiPriority w:val="0"/>
    <w:rPr>
      <w:rFonts w:ascii="Calibri" w:hAnsi="Calibri" w:eastAsia="宋体" w:cs="Times New Roman"/>
      <w:sz w:val="24"/>
      <w:szCs w:val="24"/>
    </w:rPr>
  </w:style>
  <w:style w:type="character" w:customStyle="1" w:styleId="108">
    <w:name w:val="规范正文 Char"/>
    <w:link w:val="109"/>
    <w:qFormat/>
    <w:uiPriority w:val="0"/>
    <w:rPr>
      <w:rFonts w:eastAsia="宋体"/>
      <w:sz w:val="24"/>
      <w:lang w:val="en-US" w:eastAsia="zh-CN" w:bidi="ar-SA"/>
    </w:rPr>
  </w:style>
  <w:style w:type="paragraph" w:customStyle="1" w:styleId="109">
    <w:name w:val="规范正文"/>
    <w:basedOn w:val="1"/>
    <w:link w:val="108"/>
    <w:qFormat/>
    <w:uiPriority w:val="0"/>
    <w:pPr>
      <w:adjustRightInd w:val="0"/>
      <w:spacing w:beforeLines="50" w:line="360" w:lineRule="auto"/>
      <w:ind w:firstLine="480" w:firstLineChars="200"/>
      <w:textAlignment w:val="baseline"/>
    </w:pPr>
    <w:rPr>
      <w:szCs w:val="20"/>
    </w:rPr>
  </w:style>
  <w:style w:type="character" w:customStyle="1" w:styleId="110">
    <w:name w:val="标题 3 字符1"/>
    <w:link w:val="6"/>
    <w:qFormat/>
    <w:uiPriority w:val="0"/>
    <w:rPr>
      <w:b/>
      <w:bCs/>
      <w:sz w:val="32"/>
      <w:szCs w:val="32"/>
    </w:rPr>
  </w:style>
  <w:style w:type="character" w:customStyle="1" w:styleId="111">
    <w:name w:val="标题 8 Char"/>
    <w:qFormat/>
    <w:uiPriority w:val="0"/>
    <w:rPr>
      <w:rFonts w:ascii="Arial" w:hAnsi="Arial" w:eastAsia="黑体" w:cs="Times New Roman"/>
      <w:sz w:val="24"/>
      <w:szCs w:val="24"/>
    </w:rPr>
  </w:style>
  <w:style w:type="character" w:customStyle="1" w:styleId="112">
    <w:name w:val="彩色列表 - 强调文字颜色 1 Char"/>
    <w:link w:val="113"/>
    <w:qFormat/>
    <w:uiPriority w:val="0"/>
    <w:rPr>
      <w:rFonts w:ascii="Calibri" w:hAnsi="Calibri"/>
      <w:kern w:val="2"/>
      <w:sz w:val="21"/>
      <w:szCs w:val="22"/>
      <w:lang w:bidi="ar-SA"/>
    </w:rPr>
  </w:style>
  <w:style w:type="paragraph" w:customStyle="1" w:styleId="113">
    <w:name w:val="彩色列表 - 强调文字颜色 11"/>
    <w:basedOn w:val="1"/>
    <w:link w:val="112"/>
    <w:qFormat/>
    <w:uiPriority w:val="0"/>
    <w:pPr>
      <w:ind w:firstLine="420" w:firstLineChars="200"/>
    </w:pPr>
    <w:rPr>
      <w:rFonts w:ascii="Calibri" w:hAnsi="Calibri"/>
      <w:kern w:val="2"/>
      <w:sz w:val="21"/>
      <w:szCs w:val="22"/>
    </w:rPr>
  </w:style>
  <w:style w:type="character" w:customStyle="1" w:styleId="114">
    <w:name w:val="Table Text Char1"/>
    <w:link w:val="115"/>
    <w:qFormat/>
    <w:locked/>
    <w:uiPriority w:val="0"/>
    <w:rPr>
      <w:rFonts w:ascii="Arial" w:hAnsi="Arial" w:eastAsia="宋体"/>
      <w:sz w:val="18"/>
      <w:lang w:val="en-US" w:eastAsia="zh-CN" w:bidi="ar-SA"/>
    </w:rPr>
  </w:style>
  <w:style w:type="paragraph" w:customStyle="1" w:styleId="115">
    <w:name w:val="Table Text"/>
    <w:basedOn w:val="1"/>
    <w:link w:val="114"/>
    <w:qFormat/>
    <w:uiPriority w:val="0"/>
    <w:pPr>
      <w:tabs>
        <w:tab w:val="decimal" w:pos="0"/>
      </w:tabs>
      <w:autoSpaceDE w:val="0"/>
      <w:autoSpaceDN w:val="0"/>
      <w:adjustRightInd w:val="0"/>
      <w:spacing w:before="80" w:after="80"/>
    </w:pPr>
    <w:rPr>
      <w:rFonts w:ascii="Arial" w:hAnsi="Arial"/>
      <w:sz w:val="18"/>
      <w:szCs w:val="20"/>
    </w:rPr>
  </w:style>
  <w:style w:type="character" w:customStyle="1" w:styleId="116">
    <w:name w:val="标题 7 字符"/>
    <w:link w:val="10"/>
    <w:qFormat/>
    <w:uiPriority w:val="0"/>
    <w:rPr>
      <w:b/>
      <w:bCs/>
      <w:kern w:val="2"/>
      <w:sz w:val="24"/>
      <w:szCs w:val="24"/>
    </w:rPr>
  </w:style>
  <w:style w:type="character" w:customStyle="1" w:styleId="117">
    <w:name w:val="font01"/>
    <w:qFormat/>
    <w:uiPriority w:val="0"/>
    <w:rPr>
      <w:rFonts w:ascii="Arial" w:hAnsi="Arial" w:cs="Arial"/>
      <w:color w:val="000000"/>
      <w:sz w:val="20"/>
      <w:szCs w:val="20"/>
      <w:u w:val="none"/>
    </w:rPr>
  </w:style>
  <w:style w:type="character" w:customStyle="1" w:styleId="118">
    <w:name w:val="正文段 Char Char"/>
    <w:link w:val="119"/>
    <w:qFormat/>
    <w:uiPriority w:val="0"/>
    <w:rPr>
      <w:rFonts w:ascii="宋体" w:hAnsi="Calibri"/>
      <w:kern w:val="2"/>
      <w:sz w:val="24"/>
      <w:szCs w:val="22"/>
      <w:lang w:bidi="ar-SA"/>
    </w:rPr>
  </w:style>
  <w:style w:type="paragraph" w:customStyle="1" w:styleId="119">
    <w:name w:val="正文段"/>
    <w:basedOn w:val="1"/>
    <w:link w:val="118"/>
    <w:qFormat/>
    <w:uiPriority w:val="0"/>
    <w:pPr>
      <w:adjustRightInd w:val="0"/>
      <w:snapToGrid w:val="0"/>
      <w:spacing w:line="360" w:lineRule="atLeast"/>
      <w:ind w:firstLine="454"/>
      <w:textAlignment w:val="bottom"/>
    </w:pPr>
    <w:rPr>
      <w:rFonts w:ascii="宋体" w:hAnsi="Calibri"/>
      <w:kern w:val="2"/>
      <w:szCs w:val="22"/>
    </w:rPr>
  </w:style>
  <w:style w:type="character" w:customStyle="1" w:styleId="120">
    <w:name w:val="正文文本缩进 3 Char"/>
    <w:link w:val="121"/>
    <w:qFormat/>
    <w:uiPriority w:val="0"/>
    <w:rPr>
      <w:rFonts w:ascii="Calibri" w:hAnsi="Calibri" w:eastAsia="FangSong_GB2312"/>
      <w:kern w:val="2"/>
      <w:sz w:val="16"/>
      <w:szCs w:val="16"/>
      <w:lang w:bidi="ar-SA"/>
    </w:rPr>
  </w:style>
  <w:style w:type="paragraph" w:customStyle="1" w:styleId="121">
    <w:name w:val="正文文本缩进 31"/>
    <w:basedOn w:val="1"/>
    <w:link w:val="120"/>
    <w:qFormat/>
    <w:uiPriority w:val="0"/>
    <w:pPr>
      <w:spacing w:after="120" w:line="360" w:lineRule="auto"/>
      <w:ind w:left="420" w:leftChars="200" w:firstLine="200" w:firstLineChars="200"/>
    </w:pPr>
    <w:rPr>
      <w:rFonts w:ascii="Calibri" w:hAnsi="Calibri" w:eastAsia="FangSong_GB2312"/>
      <w:kern w:val="2"/>
      <w:sz w:val="16"/>
      <w:szCs w:val="16"/>
    </w:rPr>
  </w:style>
  <w:style w:type="character" w:customStyle="1" w:styleId="122">
    <w:name w:val="Code Line Char"/>
    <w:link w:val="123"/>
    <w:qFormat/>
    <w:locked/>
    <w:uiPriority w:val="0"/>
    <w:rPr>
      <w:rFonts w:ascii="Calibri" w:hAnsi="Calibri" w:eastAsia="宋体"/>
      <w:i/>
      <w:szCs w:val="24"/>
      <w:shd w:val="clear" w:color="auto" w:fill="C6D9F1"/>
      <w:lang w:bidi="ar-SA"/>
    </w:rPr>
  </w:style>
  <w:style w:type="paragraph" w:customStyle="1" w:styleId="123">
    <w:name w:val="Code Line"/>
    <w:basedOn w:val="1"/>
    <w:link w:val="122"/>
    <w:qFormat/>
    <w:uiPriority w:val="0"/>
    <w:pPr>
      <w:pBdr>
        <w:top w:val="wave" w:color="auto" w:sz="6" w:space="1"/>
        <w:left w:val="wave" w:color="auto" w:sz="6" w:space="4"/>
        <w:bottom w:val="wave" w:color="auto" w:sz="6" w:space="1"/>
        <w:right w:val="wave" w:color="auto" w:sz="6" w:space="4"/>
      </w:pBdr>
      <w:shd w:val="clear" w:color="auto" w:fill="C6D9F1"/>
      <w:ind w:firstLine="200" w:firstLineChars="200"/>
    </w:pPr>
    <w:rPr>
      <w:rFonts w:ascii="Calibri" w:hAnsi="Calibri"/>
      <w:i/>
      <w:sz w:val="20"/>
      <w:shd w:val="clear" w:color="auto" w:fill="C6D9F1"/>
    </w:rPr>
  </w:style>
  <w:style w:type="character" w:customStyle="1" w:styleId="124">
    <w:name w:val="正文2 Char"/>
    <w:link w:val="125"/>
    <w:qFormat/>
    <w:uiPriority w:val="0"/>
    <w:rPr>
      <w:kern w:val="2"/>
      <w:sz w:val="24"/>
      <w:lang w:bidi="ar-SA"/>
    </w:rPr>
  </w:style>
  <w:style w:type="paragraph" w:customStyle="1" w:styleId="125">
    <w:name w:val="正文2"/>
    <w:basedOn w:val="1"/>
    <w:link w:val="124"/>
    <w:qFormat/>
    <w:uiPriority w:val="0"/>
    <w:pPr>
      <w:spacing w:before="156" w:line="360" w:lineRule="auto"/>
      <w:ind w:firstLine="510" w:firstLineChars="200"/>
    </w:pPr>
    <w:rPr>
      <w:kern w:val="2"/>
      <w:szCs w:val="20"/>
    </w:rPr>
  </w:style>
  <w:style w:type="character" w:customStyle="1" w:styleId="126">
    <w:name w:val="标题 1 Char"/>
    <w:qFormat/>
    <w:uiPriority w:val="9"/>
    <w:rPr>
      <w:rFonts w:ascii="宋体" w:hAnsi="宋体" w:eastAsia="宋体" w:cs="Times New Roman"/>
      <w:b/>
      <w:bCs/>
      <w:kern w:val="44"/>
      <w:sz w:val="32"/>
      <w:szCs w:val="28"/>
    </w:rPr>
  </w:style>
  <w:style w:type="character" w:customStyle="1" w:styleId="127">
    <w:name w:val="GP正文(无首行缩进) Char"/>
    <w:link w:val="128"/>
    <w:qFormat/>
    <w:uiPriority w:val="0"/>
    <w:rPr>
      <w:rFonts w:hAnsi="宋体"/>
      <w:kern w:val="2"/>
      <w:sz w:val="24"/>
      <w:szCs w:val="24"/>
      <w:lang w:bidi="ar-SA"/>
    </w:rPr>
  </w:style>
  <w:style w:type="paragraph" w:customStyle="1" w:styleId="128">
    <w:name w:val="GP正文(无首行缩进)"/>
    <w:basedOn w:val="129"/>
    <w:link w:val="127"/>
    <w:qFormat/>
    <w:uiPriority w:val="0"/>
    <w:pPr>
      <w:ind w:firstLine="480"/>
    </w:pPr>
    <w:rPr>
      <w:rFonts w:hAnsi="宋体"/>
      <w:kern w:val="2"/>
      <w:szCs w:val="24"/>
    </w:rPr>
  </w:style>
  <w:style w:type="paragraph" w:customStyle="1" w:styleId="129">
    <w:name w:val="GP正文(首行缩进)"/>
    <w:basedOn w:val="1"/>
    <w:qFormat/>
    <w:uiPriority w:val="0"/>
    <w:pPr>
      <w:spacing w:line="360" w:lineRule="auto"/>
      <w:ind w:firstLine="200" w:firstLineChars="200"/>
    </w:pPr>
    <w:rPr>
      <w:szCs w:val="21"/>
    </w:rPr>
  </w:style>
  <w:style w:type="character" w:customStyle="1" w:styleId="130">
    <w:name w:val="Notes Text in Table Char"/>
    <w:link w:val="131"/>
    <w:qFormat/>
    <w:locked/>
    <w:uiPriority w:val="0"/>
    <w:rPr>
      <w:rFonts w:ascii="Arial" w:hAnsi="Arial" w:eastAsia="KaiTi_GB2312" w:cs="Arial"/>
      <w:sz w:val="18"/>
      <w:szCs w:val="18"/>
      <w:lang w:val="en-US" w:eastAsia="zh-CN" w:bidi="ar-SA"/>
    </w:rPr>
  </w:style>
  <w:style w:type="paragraph" w:customStyle="1" w:styleId="131">
    <w:name w:val="Notes Text in Table"/>
    <w:link w:val="130"/>
    <w:qFormat/>
    <w:uiPriority w:val="0"/>
    <w:pPr>
      <w:keepLines/>
      <w:spacing w:before="80" w:after="80" w:line="259" w:lineRule="auto"/>
    </w:pPr>
    <w:rPr>
      <w:rFonts w:ascii="Arial" w:hAnsi="Arial" w:eastAsia="KaiTi_GB2312" w:cs="Arial"/>
      <w:sz w:val="18"/>
      <w:szCs w:val="18"/>
      <w:lang w:val="en-US" w:eastAsia="zh-CN" w:bidi="ar-SA"/>
    </w:rPr>
  </w:style>
  <w:style w:type="character" w:customStyle="1" w:styleId="132">
    <w:name w:val="纯文本 字符"/>
    <w:link w:val="29"/>
    <w:qFormat/>
    <w:uiPriority w:val="0"/>
    <w:rPr>
      <w:rFonts w:ascii="宋体" w:hAnsi="Courier New" w:eastAsia="宋体" w:cs="Courier New"/>
      <w:kern w:val="2"/>
      <w:sz w:val="21"/>
      <w:szCs w:val="21"/>
      <w:lang w:val="en-US" w:eastAsia="zh-CN" w:bidi="ar-SA"/>
    </w:rPr>
  </w:style>
  <w:style w:type="character" w:customStyle="1" w:styleId="133">
    <w:name w:val="font51"/>
    <w:basedOn w:val="58"/>
    <w:qFormat/>
    <w:uiPriority w:val="0"/>
    <w:rPr>
      <w:rFonts w:hint="eastAsia" w:ascii="微软雅黑" w:hAnsi="微软雅黑" w:eastAsia="微软雅黑" w:cs="微软雅黑"/>
      <w:b/>
      <w:color w:val="FF0000"/>
      <w:sz w:val="24"/>
      <w:szCs w:val="24"/>
      <w:u w:val="none"/>
    </w:rPr>
  </w:style>
  <w:style w:type="character" w:customStyle="1" w:styleId="134">
    <w:name w:val="页脚 字符1"/>
    <w:link w:val="35"/>
    <w:qFormat/>
    <w:uiPriority w:val="0"/>
    <w:rPr>
      <w:rFonts w:eastAsia="宋体"/>
      <w:kern w:val="2"/>
      <w:sz w:val="18"/>
      <w:szCs w:val="18"/>
      <w:lang w:val="en-US" w:eastAsia="zh-CN" w:bidi="ar-SA"/>
    </w:rPr>
  </w:style>
  <w:style w:type="character" w:customStyle="1" w:styleId="135">
    <w:name w:val="标准正文 Char"/>
    <w:link w:val="136"/>
    <w:qFormat/>
    <w:locked/>
    <w:uiPriority w:val="0"/>
    <w:rPr>
      <w:kern w:val="2"/>
      <w:sz w:val="24"/>
      <w:lang w:bidi="ar-SA"/>
    </w:rPr>
  </w:style>
  <w:style w:type="paragraph" w:customStyle="1" w:styleId="136">
    <w:name w:val="标准正文"/>
    <w:basedOn w:val="1"/>
    <w:link w:val="135"/>
    <w:qFormat/>
    <w:uiPriority w:val="0"/>
    <w:pPr>
      <w:spacing w:before="156" w:after="156" w:line="360" w:lineRule="auto"/>
      <w:ind w:firstLine="480" w:firstLineChars="200"/>
    </w:pPr>
    <w:rPr>
      <w:kern w:val="2"/>
      <w:szCs w:val="20"/>
    </w:rPr>
  </w:style>
  <w:style w:type="character" w:customStyle="1" w:styleId="137">
    <w:name w:val="标题 3 Char1"/>
    <w:qFormat/>
    <w:uiPriority w:val="0"/>
    <w:rPr>
      <w:b/>
      <w:sz w:val="32"/>
      <w:szCs w:val="32"/>
    </w:rPr>
  </w:style>
  <w:style w:type="character" w:customStyle="1" w:styleId="138">
    <w:name w:val="3级标题 Char"/>
    <w:link w:val="139"/>
    <w:qFormat/>
    <w:uiPriority w:val="99"/>
    <w:rPr>
      <w:rFonts w:ascii="黑体" w:hAnsi="黑体"/>
      <w:b/>
      <w:szCs w:val="36"/>
      <w:lang w:eastAsia="en-US" w:bidi="en-US"/>
    </w:rPr>
  </w:style>
  <w:style w:type="paragraph" w:customStyle="1" w:styleId="139">
    <w:name w:val="3级标题"/>
    <w:basedOn w:val="140"/>
    <w:link w:val="138"/>
    <w:qFormat/>
    <w:uiPriority w:val="99"/>
    <w:pPr>
      <w:keepLines/>
      <w:tabs>
        <w:tab w:val="left" w:pos="360"/>
      </w:tabs>
      <w:spacing w:before="120" w:after="120"/>
      <w:ind w:left="360" w:firstLine="0" w:firstLineChars="0"/>
      <w:contextualSpacing/>
      <w:outlineLvl w:val="2"/>
    </w:pPr>
    <w:rPr>
      <w:rFonts w:ascii="黑体" w:hAnsi="黑体" w:cs="Times New Roman"/>
      <w:b/>
      <w:sz w:val="20"/>
      <w:szCs w:val="36"/>
      <w:lang w:eastAsia="en-US" w:bidi="en-US"/>
    </w:rPr>
  </w:style>
  <w:style w:type="paragraph" w:customStyle="1" w:styleId="140">
    <w:name w:val="列出段落111"/>
    <w:basedOn w:val="1"/>
    <w:qFormat/>
    <w:uiPriority w:val="0"/>
    <w:pPr>
      <w:ind w:firstLine="420" w:firstLineChars="200"/>
    </w:pPr>
    <w:rPr>
      <w:rFonts w:ascii="Calibri" w:hAnsi="Calibri" w:cs="黑体"/>
      <w:szCs w:val="22"/>
    </w:rPr>
  </w:style>
  <w:style w:type="character" w:customStyle="1" w:styleId="141">
    <w:name w:val="样式3 Char Char"/>
    <w:link w:val="142"/>
    <w:qFormat/>
    <w:uiPriority w:val="0"/>
    <w:rPr>
      <w:rFonts w:eastAsia="宋体" w:cs="宋体"/>
      <w:b/>
      <w:bCs/>
      <w:kern w:val="2"/>
      <w:sz w:val="32"/>
      <w:szCs w:val="32"/>
      <w:lang w:val="en-US" w:eastAsia="zh-CN" w:bidi="ar-SA"/>
    </w:rPr>
  </w:style>
  <w:style w:type="paragraph" w:customStyle="1" w:styleId="142">
    <w:name w:val="样式3"/>
    <w:basedOn w:val="6"/>
    <w:link w:val="141"/>
    <w:qFormat/>
    <w:uiPriority w:val="0"/>
    <w:pPr>
      <w:keepNext w:val="0"/>
      <w:keepLines w:val="0"/>
      <w:numPr>
        <w:ilvl w:val="0"/>
        <w:numId w:val="0"/>
      </w:numPr>
      <w:spacing w:before="60" w:after="60" w:line="360" w:lineRule="auto"/>
      <w:ind w:left="397"/>
    </w:pPr>
    <w:rPr>
      <w:rFonts w:cs="宋体"/>
      <w:kern w:val="2"/>
    </w:rPr>
  </w:style>
  <w:style w:type="character" w:customStyle="1" w:styleId="143">
    <w:name w:val="样式001 Char Char"/>
    <w:link w:val="144"/>
    <w:qFormat/>
    <w:uiPriority w:val="0"/>
    <w:rPr>
      <w:rFonts w:ascii="宋体" w:eastAsia="FangSong_GB2312"/>
      <w:color w:val="000000"/>
      <w:sz w:val="24"/>
      <w:szCs w:val="28"/>
      <w:lang w:bidi="ar-SA"/>
    </w:rPr>
  </w:style>
  <w:style w:type="paragraph" w:customStyle="1" w:styleId="144">
    <w:name w:val="样式001"/>
    <w:basedOn w:val="1"/>
    <w:link w:val="143"/>
    <w:qFormat/>
    <w:uiPriority w:val="0"/>
    <w:pPr>
      <w:adjustRightInd w:val="0"/>
      <w:snapToGrid w:val="0"/>
      <w:spacing w:beforeLines="50" w:afterLines="50" w:line="360" w:lineRule="auto"/>
      <w:ind w:firstLine="480" w:firstLineChars="200"/>
    </w:pPr>
    <w:rPr>
      <w:rFonts w:ascii="宋体" w:eastAsia="FangSong_GB2312"/>
      <w:color w:val="000000"/>
      <w:szCs w:val="28"/>
    </w:rPr>
  </w:style>
  <w:style w:type="character" w:customStyle="1" w:styleId="145">
    <w:name w:val="样式4 Char Char"/>
    <w:link w:val="146"/>
    <w:qFormat/>
    <w:uiPriority w:val="0"/>
    <w:rPr>
      <w:rFonts w:eastAsia="宋体"/>
      <w:b/>
      <w:bCs/>
      <w:kern w:val="2"/>
      <w:sz w:val="30"/>
      <w:szCs w:val="30"/>
      <w:lang w:val="en-US" w:eastAsia="zh-CN" w:bidi="ar-SA"/>
    </w:rPr>
  </w:style>
  <w:style w:type="paragraph" w:customStyle="1" w:styleId="146">
    <w:name w:val="样式4"/>
    <w:basedOn w:val="7"/>
    <w:link w:val="145"/>
    <w:qFormat/>
    <w:uiPriority w:val="0"/>
    <w:pPr>
      <w:keepNext w:val="0"/>
      <w:keepLines w:val="0"/>
      <w:spacing w:before="60" w:after="60" w:line="360" w:lineRule="auto"/>
      <w:ind w:left="315" w:leftChars="150"/>
    </w:pPr>
    <w:rPr>
      <w:rFonts w:ascii="Times New Roman" w:hAnsi="Times New Roman" w:eastAsia="宋体"/>
      <w:sz w:val="30"/>
      <w:szCs w:val="30"/>
    </w:rPr>
  </w:style>
  <w:style w:type="character" w:customStyle="1" w:styleId="147">
    <w:name w:val="普通文字 Char Char1"/>
    <w:qFormat/>
    <w:uiPriority w:val="0"/>
    <w:rPr>
      <w:rFonts w:ascii="宋体" w:hAnsi="Courier New" w:eastAsia="宋体" w:cs="Courier New"/>
      <w:kern w:val="2"/>
      <w:sz w:val="21"/>
      <w:szCs w:val="21"/>
      <w:lang w:val="en-US" w:eastAsia="zh-CN" w:bidi="ar-SA"/>
    </w:rPr>
  </w:style>
  <w:style w:type="character" w:customStyle="1" w:styleId="148">
    <w:name w:val="列表符号 Char1"/>
    <w:link w:val="149"/>
    <w:qFormat/>
    <w:uiPriority w:val="0"/>
    <w:rPr>
      <w:rFonts w:ascii="宋体" w:hAnsi="宋体"/>
      <w:bCs/>
      <w:kern w:val="21"/>
      <w:sz w:val="24"/>
      <w:szCs w:val="24"/>
      <w:lang w:val="zh-CN" w:bidi="ar-SA"/>
    </w:rPr>
  </w:style>
  <w:style w:type="paragraph" w:customStyle="1" w:styleId="149">
    <w:name w:val="列表符号"/>
    <w:basedOn w:val="1"/>
    <w:next w:val="1"/>
    <w:link w:val="148"/>
    <w:qFormat/>
    <w:uiPriority w:val="0"/>
    <w:pPr>
      <w:tabs>
        <w:tab w:val="left" w:pos="1095"/>
      </w:tabs>
      <w:spacing w:line="360" w:lineRule="auto"/>
      <w:ind w:left="1095" w:hanging="1095"/>
    </w:pPr>
    <w:rPr>
      <w:rFonts w:ascii="宋体" w:hAnsi="宋体"/>
      <w:bCs/>
      <w:kern w:val="21"/>
      <w:lang w:val="zh-CN"/>
    </w:rPr>
  </w:style>
  <w:style w:type="character" w:customStyle="1" w:styleId="150">
    <w:name w:val="标题 4 字符"/>
    <w:link w:val="7"/>
    <w:qFormat/>
    <w:uiPriority w:val="0"/>
    <w:rPr>
      <w:rFonts w:ascii="Arial" w:hAnsi="Arial" w:eastAsia="黑体"/>
      <w:b/>
      <w:bCs/>
      <w:kern w:val="2"/>
      <w:sz w:val="28"/>
      <w:szCs w:val="28"/>
    </w:rPr>
  </w:style>
  <w:style w:type="character" w:customStyle="1" w:styleId="151">
    <w:name w:val="标题 5 Char1"/>
    <w:qFormat/>
    <w:uiPriority w:val="0"/>
    <w:rPr>
      <w:rFonts w:eastAsia="宋体"/>
      <w:b/>
      <w:bCs/>
      <w:kern w:val="2"/>
      <w:sz w:val="28"/>
      <w:szCs w:val="28"/>
      <w:lang w:val="en-US" w:eastAsia="zh-CN" w:bidi="ar-SA"/>
    </w:rPr>
  </w:style>
  <w:style w:type="character" w:customStyle="1" w:styleId="152">
    <w:name w:val="font21"/>
    <w:qFormat/>
    <w:uiPriority w:val="0"/>
    <w:rPr>
      <w:rFonts w:hint="eastAsia" w:ascii="微软雅黑" w:hAnsi="微软雅黑" w:eastAsia="微软雅黑" w:cs="微软雅黑"/>
      <w:color w:val="000000"/>
      <w:sz w:val="24"/>
      <w:szCs w:val="24"/>
      <w:u w:val="none"/>
    </w:rPr>
  </w:style>
  <w:style w:type="character" w:customStyle="1" w:styleId="153">
    <w:name w:val="批注框文本 字符1"/>
    <w:link w:val="34"/>
    <w:qFormat/>
    <w:uiPriority w:val="0"/>
    <w:rPr>
      <w:rFonts w:eastAsia="宋体"/>
      <w:kern w:val="2"/>
      <w:sz w:val="18"/>
      <w:szCs w:val="18"/>
      <w:lang w:val="en-US" w:eastAsia="zh-CN" w:bidi="ar-SA"/>
    </w:rPr>
  </w:style>
  <w:style w:type="character" w:customStyle="1" w:styleId="154">
    <w:name w:val="标题 9 Char"/>
    <w:qFormat/>
    <w:uiPriority w:val="0"/>
    <w:rPr>
      <w:rFonts w:ascii="Arial" w:hAnsi="Arial" w:eastAsia="黑体" w:cs="Times New Roman"/>
      <w:sz w:val="24"/>
      <w:szCs w:val="21"/>
    </w:rPr>
  </w:style>
  <w:style w:type="character" w:customStyle="1" w:styleId="155">
    <w:name w:val="普通文字 Char Char2"/>
    <w:qFormat/>
    <w:uiPriority w:val="0"/>
    <w:rPr>
      <w:rFonts w:ascii="宋体" w:hAnsi="Courier New" w:eastAsia="宋体"/>
      <w:sz w:val="21"/>
      <w:szCs w:val="21"/>
      <w:lang w:val="en-US" w:eastAsia="zh-CN" w:bidi="ar-SA"/>
    </w:rPr>
  </w:style>
  <w:style w:type="character" w:customStyle="1" w:styleId="156">
    <w:name w:val="10"/>
    <w:qFormat/>
    <w:uiPriority w:val="0"/>
    <w:rPr>
      <w:rFonts w:hint="default" w:ascii="Times New Roman" w:hAnsi="Times New Roman" w:cs="Times New Roman"/>
    </w:rPr>
  </w:style>
  <w:style w:type="character" w:customStyle="1" w:styleId="157">
    <w:name w:val="正文文本 2 Char"/>
    <w:link w:val="158"/>
    <w:qFormat/>
    <w:uiPriority w:val="0"/>
    <w:rPr>
      <w:rFonts w:ascii="Calibri" w:hAnsi="Calibri" w:eastAsia="FangSong_GB2312"/>
      <w:kern w:val="2"/>
      <w:sz w:val="24"/>
      <w:szCs w:val="22"/>
      <w:lang w:bidi="ar-SA"/>
    </w:rPr>
  </w:style>
  <w:style w:type="paragraph" w:customStyle="1" w:styleId="158">
    <w:name w:val="正文文本 21"/>
    <w:basedOn w:val="1"/>
    <w:link w:val="157"/>
    <w:qFormat/>
    <w:uiPriority w:val="0"/>
    <w:pPr>
      <w:spacing w:after="120" w:line="480" w:lineRule="auto"/>
      <w:ind w:firstLine="200" w:firstLineChars="200"/>
    </w:pPr>
    <w:rPr>
      <w:rFonts w:ascii="Calibri" w:hAnsi="Calibri" w:eastAsia="FangSong_GB2312"/>
      <w:kern w:val="2"/>
      <w:szCs w:val="22"/>
    </w:rPr>
  </w:style>
  <w:style w:type="character" w:customStyle="1" w:styleId="159">
    <w:name w:val="Item List Char Char"/>
    <w:link w:val="160"/>
    <w:qFormat/>
    <w:locked/>
    <w:uiPriority w:val="0"/>
    <w:rPr>
      <w:rFonts w:ascii="Arial" w:hAnsi="Arial" w:eastAsia="Times New Roman"/>
      <w:b/>
      <w:bCs/>
      <w:lang w:val="en-US" w:eastAsia="zh-CN" w:bidi="ar-SA"/>
    </w:rPr>
  </w:style>
  <w:style w:type="paragraph" w:customStyle="1" w:styleId="160">
    <w:name w:val="Item List"/>
    <w:link w:val="159"/>
    <w:qFormat/>
    <w:uiPriority w:val="0"/>
    <w:pPr>
      <w:tabs>
        <w:tab w:val="left" w:pos="482"/>
      </w:tabs>
      <w:spacing w:after="160" w:line="360" w:lineRule="auto"/>
      <w:jc w:val="both"/>
    </w:pPr>
    <w:rPr>
      <w:rFonts w:ascii="Arial" w:hAnsi="Arial" w:eastAsia="Times New Roman" w:cs="Times New Roman"/>
      <w:b/>
      <w:bCs/>
      <w:lang w:val="en-US" w:eastAsia="zh-CN" w:bidi="ar-SA"/>
    </w:rPr>
  </w:style>
  <w:style w:type="character" w:customStyle="1" w:styleId="161">
    <w:name w:val="正文（缩进） Char"/>
    <w:link w:val="162"/>
    <w:qFormat/>
    <w:uiPriority w:val="0"/>
    <w:rPr>
      <w:rFonts w:ascii="宋体" w:hAnsi="宋体"/>
      <w:kern w:val="2"/>
      <w:sz w:val="21"/>
      <w:szCs w:val="21"/>
    </w:rPr>
  </w:style>
  <w:style w:type="paragraph" w:customStyle="1" w:styleId="162">
    <w:name w:val="正文（缩进）"/>
    <w:basedOn w:val="1"/>
    <w:link w:val="161"/>
    <w:qFormat/>
    <w:uiPriority w:val="0"/>
    <w:pPr>
      <w:spacing w:line="360" w:lineRule="auto"/>
      <w:ind w:firstLine="420" w:firstLineChars="200"/>
    </w:pPr>
    <w:rPr>
      <w:rFonts w:ascii="宋体" w:hAnsi="宋体"/>
      <w:kern w:val="2"/>
      <w:sz w:val="21"/>
      <w:szCs w:val="21"/>
    </w:rPr>
  </w:style>
  <w:style w:type="character" w:customStyle="1" w:styleId="163">
    <w:name w:val="列出段落 字符1"/>
    <w:qFormat/>
    <w:uiPriority w:val="0"/>
    <w:rPr>
      <w:kern w:val="2"/>
      <w:sz w:val="21"/>
      <w:szCs w:val="22"/>
    </w:rPr>
  </w:style>
  <w:style w:type="character" w:customStyle="1" w:styleId="164">
    <w:name w:val="正文文本首行缩进 字符1"/>
    <w:link w:val="55"/>
    <w:qFormat/>
    <w:locked/>
    <w:uiPriority w:val="0"/>
    <w:rPr>
      <w:rFonts w:eastAsia="宋体"/>
      <w:kern w:val="2"/>
      <w:sz w:val="21"/>
      <w:szCs w:val="24"/>
      <w:lang w:val="en-US" w:eastAsia="zh-CN" w:bidi="ar-SA"/>
    </w:rPr>
  </w:style>
  <w:style w:type="character" w:customStyle="1" w:styleId="165">
    <w:name w:val="新编正文 Char Char"/>
    <w:link w:val="166"/>
    <w:qFormat/>
    <w:uiPriority w:val="0"/>
    <w:rPr>
      <w:kern w:val="2"/>
      <w:sz w:val="24"/>
      <w:lang w:bidi="ar-SA"/>
    </w:rPr>
  </w:style>
  <w:style w:type="paragraph" w:customStyle="1" w:styleId="166">
    <w:name w:val="新编正文"/>
    <w:basedOn w:val="1"/>
    <w:link w:val="165"/>
    <w:qFormat/>
    <w:uiPriority w:val="0"/>
    <w:pPr>
      <w:spacing w:before="60" w:after="60" w:line="360" w:lineRule="auto"/>
      <w:ind w:firstLine="420"/>
    </w:pPr>
    <w:rPr>
      <w:kern w:val="2"/>
      <w:szCs w:val="20"/>
    </w:rPr>
  </w:style>
  <w:style w:type="character" w:customStyle="1" w:styleId="167">
    <w:name w:val="正文缩进 字符"/>
    <w:link w:val="16"/>
    <w:qFormat/>
    <w:uiPriority w:val="0"/>
    <w:rPr>
      <w:rFonts w:eastAsia="宋体"/>
      <w:kern w:val="2"/>
      <w:sz w:val="28"/>
      <w:lang w:val="en-US" w:eastAsia="zh-CN" w:bidi="ar-SA"/>
    </w:rPr>
  </w:style>
  <w:style w:type="character" w:customStyle="1" w:styleId="168">
    <w:name w:val="样式3 Char"/>
    <w:qFormat/>
    <w:uiPriority w:val="0"/>
    <w:rPr>
      <w:rFonts w:ascii="Times New Roman" w:hAnsi="Times New Roman" w:eastAsia="宋体" w:cs="Times New Roman"/>
      <w:b/>
      <w:bCs/>
      <w:sz w:val="32"/>
      <w:szCs w:val="32"/>
    </w:rPr>
  </w:style>
  <w:style w:type="character" w:customStyle="1" w:styleId="169">
    <w:name w:val="*正文 Char"/>
    <w:link w:val="170"/>
    <w:qFormat/>
    <w:uiPriority w:val="0"/>
    <w:rPr>
      <w:rFonts w:ascii="宋体" w:hAnsi="宋体" w:eastAsia="宋体"/>
      <w:kern w:val="2"/>
      <w:sz w:val="24"/>
      <w:szCs w:val="24"/>
      <w:lang w:val="en-US" w:eastAsia="zh-CN" w:bidi="ar-SA"/>
    </w:rPr>
  </w:style>
  <w:style w:type="paragraph" w:customStyle="1" w:styleId="170">
    <w:name w:val="*正文"/>
    <w:basedOn w:val="1"/>
    <w:link w:val="169"/>
    <w:qFormat/>
    <w:uiPriority w:val="0"/>
    <w:pPr>
      <w:spacing w:line="360" w:lineRule="auto"/>
      <w:ind w:firstLine="200" w:firstLineChars="200"/>
    </w:pPr>
    <w:rPr>
      <w:rFonts w:ascii="宋体" w:hAnsi="宋体"/>
      <w:kern w:val="2"/>
    </w:rPr>
  </w:style>
  <w:style w:type="character" w:customStyle="1" w:styleId="171">
    <w:name w:val="正文标准格式 Char"/>
    <w:link w:val="172"/>
    <w:qFormat/>
    <w:uiPriority w:val="0"/>
    <w:rPr>
      <w:rFonts w:ascii="宋体" w:hAnsi="宋体"/>
      <w:kern w:val="2"/>
      <w:sz w:val="24"/>
      <w:szCs w:val="24"/>
      <w:lang w:val="en-US" w:eastAsia="zh-CN" w:bidi="ar-SA"/>
    </w:rPr>
  </w:style>
  <w:style w:type="paragraph" w:customStyle="1" w:styleId="172">
    <w:name w:val="正文标准格式"/>
    <w:link w:val="171"/>
    <w:qFormat/>
    <w:uiPriority w:val="0"/>
    <w:pPr>
      <w:widowControl w:val="0"/>
      <w:spacing w:after="160"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173">
    <w:name w:val="font11"/>
    <w:qFormat/>
    <w:uiPriority w:val="0"/>
    <w:rPr>
      <w:rFonts w:hint="eastAsia" w:ascii="宋体" w:hAnsi="宋体" w:eastAsia="宋体" w:cs="宋体"/>
      <w:color w:val="000000"/>
      <w:sz w:val="21"/>
      <w:szCs w:val="21"/>
      <w:u w:val="none"/>
    </w:rPr>
  </w:style>
  <w:style w:type="character" w:customStyle="1" w:styleId="174">
    <w:name w:val="标题 字符"/>
    <w:link w:val="53"/>
    <w:qFormat/>
    <w:uiPriority w:val="0"/>
    <w:rPr>
      <w:rFonts w:ascii="Cambria" w:hAnsi="Cambria"/>
      <w:b/>
      <w:bCs/>
      <w:kern w:val="2"/>
      <w:sz w:val="32"/>
      <w:szCs w:val="32"/>
      <w:lang w:bidi="ar-SA"/>
    </w:rPr>
  </w:style>
  <w:style w:type="character" w:customStyle="1" w:styleId="175">
    <w:name w:val="批注文字 字符1"/>
    <w:link w:val="20"/>
    <w:qFormat/>
    <w:uiPriority w:val="0"/>
    <w:rPr>
      <w:rFonts w:eastAsia="宋体"/>
      <w:kern w:val="2"/>
      <w:sz w:val="21"/>
      <w:szCs w:val="24"/>
      <w:lang w:val="en-US" w:eastAsia="zh-CN" w:bidi="ar-SA"/>
    </w:rPr>
  </w:style>
  <w:style w:type="character" w:customStyle="1" w:styleId="176">
    <w:name w:val="纯文本 Char"/>
    <w:link w:val="177"/>
    <w:qFormat/>
    <w:uiPriority w:val="0"/>
    <w:rPr>
      <w:rFonts w:ascii="宋体" w:hAnsi="Courier New" w:eastAsia="宋体" w:cs="Courier New"/>
      <w:kern w:val="2"/>
      <w:sz w:val="21"/>
      <w:szCs w:val="21"/>
      <w:lang w:val="en-US" w:eastAsia="zh-CN" w:bidi="ar-SA"/>
    </w:rPr>
  </w:style>
  <w:style w:type="paragraph" w:customStyle="1" w:styleId="177">
    <w:name w:val="纯文本1"/>
    <w:basedOn w:val="1"/>
    <w:link w:val="176"/>
    <w:qFormat/>
    <w:uiPriority w:val="0"/>
    <w:rPr>
      <w:rFonts w:ascii="宋体" w:hAnsi="Courier New" w:cs="Courier New"/>
      <w:kern w:val="2"/>
      <w:sz w:val="21"/>
      <w:szCs w:val="21"/>
    </w:rPr>
  </w:style>
  <w:style w:type="character" w:customStyle="1" w:styleId="178">
    <w:name w:val="段 Char"/>
    <w:link w:val="179"/>
    <w:qFormat/>
    <w:locked/>
    <w:uiPriority w:val="0"/>
    <w:rPr>
      <w:rFonts w:ascii="宋体" w:eastAsia="Times New Roman"/>
      <w:lang w:val="en-US" w:eastAsia="zh-CN" w:bidi="ar-SA"/>
    </w:rPr>
  </w:style>
  <w:style w:type="paragraph" w:customStyle="1" w:styleId="179">
    <w:name w:val="段"/>
    <w:link w:val="178"/>
    <w:qFormat/>
    <w:uiPriority w:val="0"/>
    <w:pPr>
      <w:autoSpaceDE w:val="0"/>
      <w:autoSpaceDN w:val="0"/>
      <w:spacing w:after="160" w:line="259" w:lineRule="auto"/>
      <w:ind w:firstLine="200" w:firstLineChars="200"/>
      <w:jc w:val="both"/>
    </w:pPr>
    <w:rPr>
      <w:rFonts w:ascii="宋体" w:hAnsi="Times New Roman" w:eastAsia="Times New Roman" w:cs="Times New Roman"/>
      <w:lang w:val="en-US" w:eastAsia="zh-CN" w:bidi="ar-SA"/>
    </w:rPr>
  </w:style>
  <w:style w:type="character" w:customStyle="1" w:styleId="180">
    <w:name w:val="标题 1 字符1"/>
    <w:link w:val="4"/>
    <w:qFormat/>
    <w:uiPriority w:val="0"/>
    <w:rPr>
      <w:b/>
      <w:bCs/>
      <w:kern w:val="44"/>
      <w:sz w:val="44"/>
      <w:szCs w:val="44"/>
    </w:rPr>
  </w:style>
  <w:style w:type="character" w:customStyle="1" w:styleId="181">
    <w:name w:val="批注框文本 Char"/>
    <w:qFormat/>
    <w:uiPriority w:val="99"/>
    <w:rPr>
      <w:rFonts w:ascii="Calibri" w:hAnsi="Calibri" w:eastAsia="宋体" w:cs="Times New Roman"/>
      <w:sz w:val="16"/>
      <w:szCs w:val="16"/>
    </w:rPr>
  </w:style>
  <w:style w:type="character" w:customStyle="1" w:styleId="182">
    <w:name w:val="标题 5 Char"/>
    <w:qFormat/>
    <w:uiPriority w:val="0"/>
    <w:rPr>
      <w:rFonts w:ascii="Calibri" w:hAnsi="Calibri" w:eastAsia="宋体" w:cs="Times New Roman"/>
      <w:bCs/>
      <w:kern w:val="0"/>
      <w:sz w:val="24"/>
      <w:szCs w:val="28"/>
    </w:rPr>
  </w:style>
  <w:style w:type="character" w:customStyle="1" w:styleId="183">
    <w:name w:val="样式4 Char"/>
    <w:qFormat/>
    <w:uiPriority w:val="0"/>
    <w:rPr>
      <w:rFonts w:ascii="Times New Roman" w:hAnsi="Times New Roman" w:eastAsia="宋体" w:cs="Times New Roman"/>
      <w:b/>
      <w:bCs/>
      <w:sz w:val="30"/>
      <w:szCs w:val="28"/>
    </w:rPr>
  </w:style>
  <w:style w:type="character" w:customStyle="1" w:styleId="184">
    <w:name w:val="正文首行缩进小四宋体 字符"/>
    <w:link w:val="185"/>
    <w:qFormat/>
    <w:uiPriority w:val="0"/>
    <w:rPr>
      <w:rFonts w:ascii="Calibri" w:hAnsi="Calibri" w:eastAsia="宋体"/>
      <w:sz w:val="24"/>
      <w:szCs w:val="24"/>
      <w:lang w:bidi="ar-SA"/>
    </w:rPr>
  </w:style>
  <w:style w:type="paragraph" w:customStyle="1" w:styleId="185">
    <w:name w:val="正文首行缩进小四宋体"/>
    <w:basedOn w:val="1"/>
    <w:link w:val="184"/>
    <w:qFormat/>
    <w:uiPriority w:val="0"/>
    <w:pPr>
      <w:spacing w:line="360" w:lineRule="auto"/>
      <w:ind w:firstLine="480" w:firstLineChars="200"/>
    </w:pPr>
    <w:rPr>
      <w:rFonts w:ascii="Calibri" w:hAnsi="Calibri"/>
    </w:rPr>
  </w:style>
  <w:style w:type="character" w:customStyle="1" w:styleId="186">
    <w:name w:val="仿宋4号 Char"/>
    <w:link w:val="187"/>
    <w:qFormat/>
    <w:uiPriority w:val="0"/>
    <w:rPr>
      <w:rFonts w:ascii="仿宋" w:hAnsi="仿宋" w:eastAsia="仿宋"/>
      <w:kern w:val="2"/>
      <w:sz w:val="28"/>
      <w:szCs w:val="28"/>
      <w:lang w:bidi="ar-SA"/>
    </w:rPr>
  </w:style>
  <w:style w:type="paragraph" w:customStyle="1" w:styleId="187">
    <w:name w:val="仿宋4号"/>
    <w:basedOn w:val="1"/>
    <w:link w:val="186"/>
    <w:qFormat/>
    <w:uiPriority w:val="0"/>
    <w:pPr>
      <w:spacing w:line="360" w:lineRule="auto"/>
      <w:ind w:firstLine="560" w:firstLineChars="200"/>
    </w:pPr>
    <w:rPr>
      <w:rFonts w:ascii="仿宋" w:hAnsi="仿宋" w:eastAsia="仿宋"/>
      <w:kern w:val="2"/>
      <w:sz w:val="28"/>
      <w:szCs w:val="28"/>
    </w:rPr>
  </w:style>
  <w:style w:type="character" w:customStyle="1" w:styleId="188">
    <w:name w:val="正文文本缩进 Char"/>
    <w:link w:val="189"/>
    <w:qFormat/>
    <w:uiPriority w:val="0"/>
    <w:rPr>
      <w:rFonts w:ascii="KaiTi_GB2312" w:eastAsia="KaiTi_GB2312"/>
      <w:kern w:val="2"/>
      <w:sz w:val="24"/>
      <w:szCs w:val="28"/>
      <w:lang w:bidi="ar-SA"/>
    </w:rPr>
  </w:style>
  <w:style w:type="paragraph" w:customStyle="1" w:styleId="189">
    <w:name w:val="正文文本缩进1"/>
    <w:basedOn w:val="1"/>
    <w:link w:val="188"/>
    <w:qFormat/>
    <w:uiPriority w:val="0"/>
    <w:pPr>
      <w:spacing w:after="120" w:line="360" w:lineRule="auto"/>
      <w:ind w:left="480" w:leftChars="200" w:firstLine="200" w:firstLineChars="200"/>
    </w:pPr>
    <w:rPr>
      <w:rFonts w:ascii="KaiTi_GB2312" w:eastAsia="KaiTi_GB2312"/>
      <w:kern w:val="2"/>
      <w:szCs w:val="28"/>
    </w:rPr>
  </w:style>
  <w:style w:type="character" w:customStyle="1" w:styleId="190">
    <w:name w:val="标题 8 字符"/>
    <w:link w:val="11"/>
    <w:qFormat/>
    <w:uiPriority w:val="0"/>
    <w:rPr>
      <w:rFonts w:ascii="Arial" w:hAnsi="Arial" w:eastAsia="黑体"/>
      <w:kern w:val="2"/>
      <w:sz w:val="24"/>
      <w:szCs w:val="24"/>
    </w:rPr>
  </w:style>
  <w:style w:type="character" w:customStyle="1" w:styleId="191">
    <w:name w:val="投标书正文无序编号 Char"/>
    <w:link w:val="192"/>
    <w:qFormat/>
    <w:locked/>
    <w:uiPriority w:val="0"/>
    <w:rPr>
      <w:sz w:val="24"/>
      <w:szCs w:val="24"/>
      <w:lang w:bidi="ar-SA"/>
    </w:rPr>
  </w:style>
  <w:style w:type="paragraph" w:customStyle="1" w:styleId="192">
    <w:name w:val="投标书正文无序编号"/>
    <w:basedOn w:val="193"/>
    <w:link w:val="191"/>
    <w:qFormat/>
    <w:uiPriority w:val="0"/>
    <w:rPr>
      <w:rFonts w:eastAsia="宋体"/>
    </w:rPr>
  </w:style>
  <w:style w:type="paragraph" w:customStyle="1" w:styleId="193">
    <w:name w:val="投标书正文"/>
    <w:link w:val="227"/>
    <w:qFormat/>
    <w:uiPriority w:val="0"/>
    <w:pPr>
      <w:autoSpaceDE w:val="0"/>
      <w:spacing w:after="160" w:line="360" w:lineRule="auto"/>
      <w:ind w:firstLine="200" w:firstLineChars="200"/>
    </w:pPr>
    <w:rPr>
      <w:rFonts w:ascii="Times New Roman" w:hAnsi="Times New Roman" w:eastAsia="Times New Roman" w:cs="Times New Roman"/>
      <w:sz w:val="24"/>
      <w:szCs w:val="24"/>
      <w:lang w:val="en-US" w:eastAsia="zh-CN" w:bidi="ar-SA"/>
    </w:rPr>
  </w:style>
  <w:style w:type="character" w:customStyle="1" w:styleId="194">
    <w:name w:val="内容文本 Char"/>
    <w:link w:val="195"/>
    <w:qFormat/>
    <w:uiPriority w:val="0"/>
    <w:rPr>
      <w:rFonts w:ascii="宋体" w:hAnsi="宋体" w:eastAsia="宋体"/>
      <w:sz w:val="24"/>
      <w:szCs w:val="24"/>
      <w:lang w:val="en-US" w:eastAsia="zh-CN" w:bidi="ar-SA"/>
    </w:rPr>
  </w:style>
  <w:style w:type="paragraph" w:customStyle="1" w:styleId="195">
    <w:name w:val="内容文本"/>
    <w:basedOn w:val="196"/>
    <w:link w:val="194"/>
    <w:qFormat/>
    <w:uiPriority w:val="0"/>
    <w:pPr>
      <w:spacing w:line="360" w:lineRule="auto"/>
      <w:ind w:firstLine="200"/>
      <w:contextualSpacing/>
    </w:pPr>
    <w:rPr>
      <w:rFonts w:ascii="宋体" w:hAnsi="宋体"/>
      <w:kern w:val="0"/>
      <w:sz w:val="24"/>
      <w:szCs w:val="24"/>
    </w:rPr>
  </w:style>
  <w:style w:type="paragraph" w:customStyle="1" w:styleId="196">
    <w:name w:val="列出段落1"/>
    <w:basedOn w:val="1"/>
    <w:link w:val="222"/>
    <w:qFormat/>
    <w:uiPriority w:val="0"/>
    <w:pPr>
      <w:ind w:firstLine="420" w:firstLineChars="200"/>
    </w:pPr>
    <w:rPr>
      <w:rFonts w:ascii="Calibri" w:hAnsi="Calibri"/>
      <w:kern w:val="2"/>
      <w:sz w:val="21"/>
      <w:szCs w:val="21"/>
    </w:rPr>
  </w:style>
  <w:style w:type="character" w:customStyle="1" w:styleId="197">
    <w:name w:val="正文文本首行缩进 2 字符"/>
    <w:link w:val="2"/>
    <w:qFormat/>
    <w:uiPriority w:val="0"/>
    <w:rPr>
      <w:rFonts w:ascii="Times New Roman" w:hAnsi="Times New Roman"/>
      <w:sz w:val="24"/>
      <w:szCs w:val="24"/>
    </w:rPr>
  </w:style>
  <w:style w:type="character" w:customStyle="1" w:styleId="198">
    <w:name w:val="正文缩进 Char1"/>
    <w:link w:val="199"/>
    <w:qFormat/>
    <w:uiPriority w:val="99"/>
    <w:rPr>
      <w:kern w:val="2"/>
      <w:sz w:val="24"/>
      <w:lang w:bidi="ar-SA"/>
    </w:rPr>
  </w:style>
  <w:style w:type="paragraph" w:customStyle="1" w:styleId="199">
    <w:name w:val="正文缩进1"/>
    <w:basedOn w:val="1"/>
    <w:link w:val="198"/>
    <w:qFormat/>
    <w:uiPriority w:val="99"/>
    <w:pPr>
      <w:ind w:firstLine="420"/>
    </w:pPr>
    <w:rPr>
      <w:kern w:val="2"/>
      <w:szCs w:val="20"/>
    </w:rPr>
  </w:style>
  <w:style w:type="character" w:customStyle="1" w:styleId="200">
    <w:name w:val="Item List in Table Char Char"/>
    <w:link w:val="201"/>
    <w:qFormat/>
    <w:locked/>
    <w:uiPriority w:val="0"/>
    <w:rPr>
      <w:rFonts w:ascii="Arial" w:hAnsi="Arial" w:cs="Arial"/>
      <w:sz w:val="18"/>
      <w:szCs w:val="18"/>
      <w:lang w:val="en-US" w:eastAsia="zh-CN" w:bidi="ar-SA"/>
    </w:rPr>
  </w:style>
  <w:style w:type="paragraph" w:customStyle="1" w:styleId="201">
    <w:name w:val="Item List in Table"/>
    <w:link w:val="200"/>
    <w:qFormat/>
    <w:uiPriority w:val="0"/>
    <w:pPr>
      <w:tabs>
        <w:tab w:val="left" w:pos="284"/>
      </w:tabs>
      <w:spacing w:before="40" w:after="40" w:line="259" w:lineRule="auto"/>
      <w:jc w:val="both"/>
    </w:pPr>
    <w:rPr>
      <w:rFonts w:ascii="Arial" w:hAnsi="Arial" w:eastAsia="宋体" w:cs="Arial"/>
      <w:sz w:val="18"/>
      <w:szCs w:val="18"/>
      <w:lang w:val="en-US" w:eastAsia="zh-CN" w:bidi="ar-SA"/>
    </w:rPr>
  </w:style>
  <w:style w:type="character" w:customStyle="1" w:styleId="202">
    <w:name w:val="页眉 字符1"/>
    <w:link w:val="36"/>
    <w:qFormat/>
    <w:uiPriority w:val="0"/>
    <w:rPr>
      <w:rFonts w:eastAsia="宋体"/>
      <w:kern w:val="2"/>
      <w:sz w:val="18"/>
      <w:szCs w:val="18"/>
      <w:lang w:val="en-US" w:eastAsia="zh-CN" w:bidi="ar-SA"/>
    </w:rPr>
  </w:style>
  <w:style w:type="character" w:customStyle="1" w:styleId="203">
    <w:name w:val="标题 4 Char1"/>
    <w:qFormat/>
    <w:uiPriority w:val="0"/>
    <w:rPr>
      <w:rFonts w:ascii="Arial" w:hAnsi="Arial" w:eastAsia="黑体"/>
      <w:b/>
      <w:bCs/>
      <w:kern w:val="2"/>
      <w:sz w:val="28"/>
      <w:szCs w:val="28"/>
    </w:rPr>
  </w:style>
  <w:style w:type="character" w:customStyle="1" w:styleId="204">
    <w:name w:val="077-正文格式 Char1"/>
    <w:link w:val="205"/>
    <w:qFormat/>
    <w:uiPriority w:val="0"/>
    <w:rPr>
      <w:rFonts w:ascii="宋体"/>
      <w:kern w:val="2"/>
      <w:sz w:val="24"/>
      <w:lang w:bidi="ar-SA"/>
    </w:rPr>
  </w:style>
  <w:style w:type="paragraph" w:customStyle="1" w:styleId="205">
    <w:name w:val="077-正文格式"/>
    <w:basedOn w:val="1"/>
    <w:link w:val="204"/>
    <w:qFormat/>
    <w:uiPriority w:val="0"/>
    <w:pPr>
      <w:adjustRightInd w:val="0"/>
      <w:snapToGrid w:val="0"/>
      <w:spacing w:line="360" w:lineRule="auto"/>
      <w:ind w:firstLine="480" w:firstLineChars="200"/>
    </w:pPr>
    <w:rPr>
      <w:rFonts w:ascii="宋体"/>
      <w:kern w:val="2"/>
      <w:szCs w:val="20"/>
    </w:rPr>
  </w:style>
  <w:style w:type="character" w:customStyle="1" w:styleId="206">
    <w:name w:val="正文文本 Char"/>
    <w:qFormat/>
    <w:uiPriority w:val="0"/>
    <w:rPr>
      <w:rFonts w:ascii="宋体" w:hAnsi="宋体"/>
      <w:b/>
      <w:bCs/>
      <w:color w:val="000000"/>
      <w:kern w:val="2"/>
      <w:sz w:val="72"/>
    </w:rPr>
  </w:style>
  <w:style w:type="character" w:customStyle="1" w:styleId="207">
    <w:name w:val="无间隔 字符"/>
    <w:link w:val="208"/>
    <w:qFormat/>
    <w:uiPriority w:val="0"/>
    <w:rPr>
      <w:rFonts w:ascii="Dutch801 Rm BT" w:hAnsi="Dutch801 Rm BT" w:eastAsia="Times New Roman" w:cs="Dutch801 Rm BT"/>
      <w:kern w:val="2"/>
      <w:sz w:val="21"/>
      <w:szCs w:val="24"/>
      <w:lang w:val="en-US" w:eastAsia="zh-CN" w:bidi="ar-SA"/>
    </w:rPr>
  </w:style>
  <w:style w:type="paragraph" w:styleId="208">
    <w:name w:val="No Spacing"/>
    <w:link w:val="207"/>
    <w:qFormat/>
    <w:uiPriority w:val="0"/>
    <w:pPr>
      <w:widowControl w:val="0"/>
      <w:spacing w:after="160" w:line="259" w:lineRule="auto"/>
      <w:jc w:val="both"/>
    </w:pPr>
    <w:rPr>
      <w:rFonts w:ascii="Dutch801 Rm BT" w:hAnsi="Dutch801 Rm BT" w:eastAsia="Times New Roman" w:cs="Dutch801 Rm BT"/>
      <w:kern w:val="2"/>
      <w:sz w:val="21"/>
      <w:szCs w:val="24"/>
      <w:lang w:val="en-US" w:eastAsia="zh-CN" w:bidi="ar-SA"/>
    </w:rPr>
  </w:style>
  <w:style w:type="character" w:customStyle="1" w:styleId="209">
    <w:name w:val="标题 2 Char1"/>
    <w:qFormat/>
    <w:uiPriority w:val="0"/>
    <w:rPr>
      <w:rFonts w:ascii="Arial" w:hAnsi="Arial" w:eastAsia="黑体"/>
      <w:b/>
      <w:bCs/>
      <w:kern w:val="2"/>
      <w:sz w:val="32"/>
      <w:szCs w:val="32"/>
    </w:rPr>
  </w:style>
  <w:style w:type="character" w:customStyle="1" w:styleId="210">
    <w:name w:val="样式2 Char Char"/>
    <w:link w:val="211"/>
    <w:qFormat/>
    <w:uiPriority w:val="0"/>
    <w:rPr>
      <w:rFonts w:eastAsia="宋体"/>
      <w:b/>
      <w:bCs/>
      <w:kern w:val="2"/>
      <w:sz w:val="36"/>
      <w:szCs w:val="36"/>
      <w:lang w:val="en-US" w:eastAsia="zh-CN" w:bidi="ar-SA"/>
    </w:rPr>
  </w:style>
  <w:style w:type="paragraph" w:customStyle="1" w:styleId="211">
    <w:name w:val="样式2"/>
    <w:basedOn w:val="5"/>
    <w:link w:val="210"/>
    <w:qFormat/>
    <w:uiPriority w:val="0"/>
    <w:pPr>
      <w:keepNext w:val="0"/>
      <w:keepLines w:val="0"/>
      <w:numPr>
        <w:ilvl w:val="0"/>
        <w:numId w:val="0"/>
      </w:numPr>
      <w:spacing w:before="60" w:after="60" w:line="360" w:lineRule="auto"/>
      <w:ind w:left="142"/>
    </w:pPr>
    <w:rPr>
      <w:rFonts w:ascii="Times New Roman" w:hAnsi="Times New Roman" w:eastAsia="宋体"/>
      <w:kern w:val="2"/>
      <w:sz w:val="36"/>
      <w:szCs w:val="36"/>
    </w:rPr>
  </w:style>
  <w:style w:type="character" w:customStyle="1" w:styleId="212">
    <w:name w:val="标题 5 字符"/>
    <w:link w:val="8"/>
    <w:qFormat/>
    <w:uiPriority w:val="0"/>
    <w:rPr>
      <w:b/>
      <w:bCs/>
      <w:kern w:val="2"/>
      <w:sz w:val="28"/>
      <w:szCs w:val="28"/>
    </w:rPr>
  </w:style>
  <w:style w:type="character" w:customStyle="1" w:styleId="213">
    <w:name w:val="批注主题 字符1"/>
    <w:link w:val="54"/>
    <w:qFormat/>
    <w:uiPriority w:val="0"/>
    <w:rPr>
      <w:rFonts w:ascii="Calibri" w:hAnsi="Calibri" w:eastAsia="宋体" w:cs="Calibri"/>
      <w:b/>
      <w:bCs/>
      <w:sz w:val="24"/>
      <w:szCs w:val="24"/>
      <w:lang w:val="en-US" w:eastAsia="zh-CN" w:bidi="ar-SA"/>
    </w:rPr>
  </w:style>
  <w:style w:type="character" w:customStyle="1" w:styleId="214">
    <w:name w:val="表格非标题文字 Char Char"/>
    <w:link w:val="215"/>
    <w:qFormat/>
    <w:uiPriority w:val="0"/>
    <w:rPr>
      <w:rFonts w:ascii="Arial" w:hAnsi="Arial" w:eastAsia="华文细黑"/>
      <w:color w:val="505050"/>
      <w:sz w:val="13"/>
      <w:szCs w:val="13"/>
      <w:lang w:bidi="ar-SA"/>
    </w:rPr>
  </w:style>
  <w:style w:type="paragraph" w:customStyle="1" w:styleId="215">
    <w:name w:val="表格非标题文字"/>
    <w:basedOn w:val="1"/>
    <w:link w:val="214"/>
    <w:qFormat/>
    <w:uiPriority w:val="0"/>
    <w:pPr>
      <w:spacing w:before="40" w:after="40" w:line="220" w:lineRule="exact"/>
    </w:pPr>
    <w:rPr>
      <w:rFonts w:ascii="Arial" w:hAnsi="Arial" w:eastAsia="华文细黑"/>
      <w:color w:val="505050"/>
      <w:sz w:val="13"/>
      <w:szCs w:val="13"/>
    </w:rPr>
  </w:style>
  <w:style w:type="character" w:customStyle="1" w:styleId="216">
    <w:name w:val="ces正文 Char"/>
    <w:link w:val="217"/>
    <w:qFormat/>
    <w:uiPriority w:val="0"/>
    <w:rPr>
      <w:rFonts w:ascii="Calibri" w:hAnsi="Calibri"/>
      <w:sz w:val="24"/>
      <w:szCs w:val="24"/>
      <w:lang w:bidi="ar-SA"/>
    </w:rPr>
  </w:style>
  <w:style w:type="paragraph" w:customStyle="1" w:styleId="217">
    <w:name w:val="ces正文"/>
    <w:basedOn w:val="1"/>
    <w:link w:val="216"/>
    <w:qFormat/>
    <w:uiPriority w:val="0"/>
    <w:pPr>
      <w:spacing w:line="360" w:lineRule="auto"/>
      <w:ind w:firstLine="480" w:firstLineChars="200"/>
    </w:pPr>
    <w:rPr>
      <w:rFonts w:ascii="Calibri" w:hAnsi="Calibri"/>
    </w:rPr>
  </w:style>
  <w:style w:type="character" w:customStyle="1" w:styleId="218">
    <w:name w:val="样式6 Char Char"/>
    <w:link w:val="219"/>
    <w:qFormat/>
    <w:uiPriority w:val="0"/>
    <w:rPr>
      <w:rFonts w:ascii="宋体" w:hAnsi="宋体"/>
      <w:b/>
      <w:color w:val="CC3399"/>
      <w:kern w:val="24"/>
      <w:sz w:val="24"/>
      <w:szCs w:val="24"/>
      <w:u w:val="wavyHeavy" w:color="00B0F0"/>
      <w:lang w:bidi="ar-SA"/>
    </w:rPr>
  </w:style>
  <w:style w:type="paragraph" w:customStyle="1" w:styleId="219">
    <w:name w:val="样式6"/>
    <w:basedOn w:val="1"/>
    <w:link w:val="218"/>
    <w:qFormat/>
    <w:uiPriority w:val="0"/>
    <w:pPr>
      <w:adjustRightInd w:val="0"/>
      <w:snapToGrid w:val="0"/>
      <w:spacing w:before="120" w:after="120" w:line="312" w:lineRule="auto"/>
      <w:ind w:firstLine="200" w:firstLineChars="200"/>
    </w:pPr>
    <w:rPr>
      <w:rFonts w:ascii="宋体" w:hAnsi="宋体"/>
      <w:b/>
      <w:color w:val="CC3399"/>
      <w:kern w:val="24"/>
      <w:u w:val="wavyHeavy" w:color="00B0F0"/>
    </w:rPr>
  </w:style>
  <w:style w:type="character" w:customStyle="1" w:styleId="220">
    <w:name w:val="Table Heading Char"/>
    <w:link w:val="221"/>
    <w:qFormat/>
    <w:locked/>
    <w:uiPriority w:val="0"/>
    <w:rPr>
      <w:rFonts w:ascii="Arial" w:hAnsi="Arial" w:eastAsia="微软雅黑" w:cs="Arial Narrow"/>
      <w:bCs/>
      <w:sz w:val="18"/>
      <w:lang w:val="en-US" w:eastAsia="zh-CN" w:bidi="ar-SA"/>
    </w:rPr>
  </w:style>
  <w:style w:type="paragraph" w:customStyle="1" w:styleId="221">
    <w:name w:val="Table Heading"/>
    <w:link w:val="220"/>
    <w:qFormat/>
    <w:uiPriority w:val="0"/>
    <w:pPr>
      <w:keepNext/>
      <w:spacing w:before="80" w:after="80" w:line="240" w:lineRule="exact"/>
      <w:jc w:val="center"/>
    </w:pPr>
    <w:rPr>
      <w:rFonts w:ascii="Arial" w:hAnsi="Arial" w:eastAsia="微软雅黑" w:cs="Arial Narrow"/>
      <w:bCs/>
      <w:sz w:val="18"/>
      <w:lang w:val="en-US" w:eastAsia="zh-CN" w:bidi="ar-SA"/>
    </w:rPr>
  </w:style>
  <w:style w:type="character" w:customStyle="1" w:styleId="222">
    <w:name w:val="List Paragraph Char"/>
    <w:link w:val="196"/>
    <w:qFormat/>
    <w:locked/>
    <w:uiPriority w:val="0"/>
    <w:rPr>
      <w:rFonts w:ascii="Calibri" w:hAnsi="Calibri" w:eastAsia="宋体"/>
      <w:kern w:val="2"/>
      <w:sz w:val="21"/>
      <w:szCs w:val="21"/>
      <w:lang w:val="en-US" w:eastAsia="zh-CN" w:bidi="ar-SA"/>
    </w:rPr>
  </w:style>
  <w:style w:type="character" w:customStyle="1" w:styleId="223">
    <w:name w:val="文档结构图 字符1"/>
    <w:link w:val="19"/>
    <w:qFormat/>
    <w:uiPriority w:val="0"/>
    <w:rPr>
      <w:rFonts w:eastAsia="宋体"/>
      <w:kern w:val="2"/>
      <w:sz w:val="21"/>
      <w:szCs w:val="24"/>
      <w:lang w:val="en-US" w:eastAsia="zh-CN" w:bidi="ar-SA"/>
    </w:rPr>
  </w:style>
  <w:style w:type="character" w:customStyle="1" w:styleId="224">
    <w:name w:val="投标正文 Char"/>
    <w:link w:val="225"/>
    <w:qFormat/>
    <w:uiPriority w:val="0"/>
    <w:rPr>
      <w:rFonts w:ascii="Calibri" w:hAnsi="Calibri" w:eastAsia="宋体"/>
      <w:sz w:val="24"/>
      <w:szCs w:val="24"/>
      <w:lang w:val="zh-CN" w:bidi="ar-SA"/>
    </w:rPr>
  </w:style>
  <w:style w:type="paragraph" w:customStyle="1" w:styleId="225">
    <w:name w:val="投标正文"/>
    <w:basedOn w:val="1"/>
    <w:link w:val="224"/>
    <w:qFormat/>
    <w:uiPriority w:val="0"/>
    <w:pPr>
      <w:spacing w:line="360" w:lineRule="auto"/>
      <w:ind w:left="100" w:firstLine="480" w:firstLineChars="200"/>
    </w:pPr>
    <w:rPr>
      <w:rFonts w:ascii="Calibri" w:hAnsi="Calibri"/>
      <w:lang w:val="zh-CN"/>
    </w:rPr>
  </w:style>
  <w:style w:type="character" w:customStyle="1" w:styleId="226">
    <w:name w:val="纯文本 Char3"/>
    <w:qFormat/>
    <w:uiPriority w:val="0"/>
    <w:rPr>
      <w:rFonts w:hint="eastAsia" w:ascii="宋体" w:hAnsi="Courier New" w:eastAsia="宋体" w:cs="Courier New"/>
      <w:kern w:val="2"/>
      <w:sz w:val="21"/>
      <w:szCs w:val="21"/>
    </w:rPr>
  </w:style>
  <w:style w:type="character" w:customStyle="1" w:styleId="227">
    <w:name w:val="投标书正文 Char"/>
    <w:link w:val="193"/>
    <w:qFormat/>
    <w:locked/>
    <w:uiPriority w:val="0"/>
    <w:rPr>
      <w:rFonts w:eastAsia="Times New Roman"/>
      <w:sz w:val="24"/>
      <w:szCs w:val="24"/>
      <w:lang w:val="en-US" w:eastAsia="zh-CN" w:bidi="ar-SA"/>
    </w:rPr>
  </w:style>
  <w:style w:type="character" w:customStyle="1" w:styleId="228">
    <w:name w:val="级别1 Char"/>
    <w:link w:val="229"/>
    <w:qFormat/>
    <w:uiPriority w:val="0"/>
    <w:rPr>
      <w:rFonts w:ascii="宋体" w:hAnsi="宋体" w:eastAsia="宋体" w:cs="Times New Roman"/>
      <w:b/>
      <w:bCs/>
      <w:kern w:val="44"/>
      <w:sz w:val="32"/>
      <w:szCs w:val="28"/>
      <w:lang w:bidi="ar-SA"/>
    </w:rPr>
  </w:style>
  <w:style w:type="paragraph" w:customStyle="1" w:styleId="229">
    <w:name w:val="级别1"/>
    <w:basedOn w:val="4"/>
    <w:link w:val="228"/>
    <w:qFormat/>
    <w:uiPriority w:val="0"/>
    <w:pPr>
      <w:tabs>
        <w:tab w:val="left" w:pos="432"/>
      </w:tabs>
      <w:spacing w:beforeLines="100" w:afterLines="100" w:line="360" w:lineRule="auto"/>
      <w:ind w:left="432" w:hanging="432"/>
    </w:pPr>
    <w:rPr>
      <w:rFonts w:ascii="宋体" w:hAnsi="宋体"/>
      <w:sz w:val="32"/>
      <w:szCs w:val="28"/>
    </w:rPr>
  </w:style>
  <w:style w:type="character" w:customStyle="1" w:styleId="230">
    <w:name w:val="正文文本 字符1"/>
    <w:link w:val="23"/>
    <w:qFormat/>
    <w:uiPriority w:val="0"/>
    <w:rPr>
      <w:rFonts w:ascii="宋体" w:hAnsi="宋体" w:eastAsia="宋体"/>
      <w:b/>
      <w:bCs/>
      <w:color w:val="000000"/>
      <w:kern w:val="2"/>
      <w:sz w:val="72"/>
      <w:lang w:val="en-US" w:eastAsia="zh-CN" w:bidi="ar-SA"/>
    </w:rPr>
  </w:style>
  <w:style w:type="character" w:customStyle="1" w:styleId="231">
    <w:name w:val="正文文本 3 字符"/>
    <w:link w:val="22"/>
    <w:qFormat/>
    <w:uiPriority w:val="0"/>
    <w:rPr>
      <w:kern w:val="2"/>
      <w:sz w:val="16"/>
      <w:szCs w:val="16"/>
    </w:rPr>
  </w:style>
  <w:style w:type="character" w:customStyle="1" w:styleId="232">
    <w:name w:val="标题 6 字符"/>
    <w:link w:val="9"/>
    <w:qFormat/>
    <w:uiPriority w:val="0"/>
    <w:rPr>
      <w:rFonts w:ascii="Arial" w:hAnsi="Arial" w:eastAsia="黑体"/>
      <w:b/>
      <w:bCs/>
      <w:kern w:val="2"/>
      <w:sz w:val="24"/>
      <w:szCs w:val="24"/>
    </w:rPr>
  </w:style>
  <w:style w:type="character" w:customStyle="1" w:styleId="233">
    <w:name w:val="表格 Char Char"/>
    <w:link w:val="234"/>
    <w:qFormat/>
    <w:uiPriority w:val="0"/>
    <w:rPr>
      <w:rFonts w:ascii="FangSong_GB2312" w:hAnsi="宋体" w:eastAsia="FangSong_GB2312"/>
      <w:spacing w:val="28"/>
      <w:kern w:val="24"/>
      <w:sz w:val="24"/>
      <w:szCs w:val="28"/>
      <w:lang w:bidi="ar-SA"/>
    </w:rPr>
  </w:style>
  <w:style w:type="paragraph" w:customStyle="1" w:styleId="234">
    <w:name w:val="表格"/>
    <w:basedOn w:val="1"/>
    <w:link w:val="233"/>
    <w:qFormat/>
    <w:uiPriority w:val="0"/>
    <w:pPr>
      <w:adjustRightInd w:val="0"/>
      <w:snapToGrid w:val="0"/>
      <w:jc w:val="center"/>
    </w:pPr>
    <w:rPr>
      <w:rFonts w:ascii="FangSong_GB2312" w:hAnsi="宋体" w:eastAsia="FangSong_GB2312"/>
      <w:spacing w:val="28"/>
      <w:kern w:val="24"/>
      <w:szCs w:val="28"/>
    </w:rPr>
  </w:style>
  <w:style w:type="character" w:customStyle="1" w:styleId="235">
    <w:name w:val="正文缩进 Char"/>
    <w:qFormat/>
    <w:uiPriority w:val="0"/>
    <w:rPr>
      <w:rFonts w:eastAsia="宋体"/>
      <w:kern w:val="2"/>
      <w:sz w:val="28"/>
      <w:lang w:val="en-US" w:eastAsia="zh-CN" w:bidi="ar-SA"/>
    </w:rPr>
  </w:style>
  <w:style w:type="character" w:customStyle="1" w:styleId="236">
    <w:name w:val="标题 4 Char"/>
    <w:qFormat/>
    <w:uiPriority w:val="0"/>
    <w:rPr>
      <w:rFonts w:ascii="Arial" w:hAnsi="Arial" w:eastAsia="黑体" w:cs="Times New Roman"/>
      <w:bCs/>
      <w:sz w:val="24"/>
      <w:szCs w:val="28"/>
    </w:rPr>
  </w:style>
  <w:style w:type="character" w:customStyle="1" w:styleId="237">
    <w:name w:val="正文文本 3 Char Char"/>
    <w:link w:val="238"/>
    <w:qFormat/>
    <w:uiPriority w:val="0"/>
    <w:rPr>
      <w:rFonts w:ascii="Calibri" w:hAnsi="Calibri" w:eastAsia="FangSong_GB2312"/>
      <w:kern w:val="2"/>
      <w:sz w:val="16"/>
      <w:szCs w:val="16"/>
      <w:lang w:bidi="ar-SA"/>
    </w:rPr>
  </w:style>
  <w:style w:type="paragraph" w:customStyle="1" w:styleId="238">
    <w:name w:val="正文文本 31"/>
    <w:basedOn w:val="1"/>
    <w:link w:val="237"/>
    <w:qFormat/>
    <w:uiPriority w:val="0"/>
    <w:pPr>
      <w:spacing w:after="120" w:line="360" w:lineRule="auto"/>
      <w:ind w:firstLine="200" w:firstLineChars="200"/>
    </w:pPr>
    <w:rPr>
      <w:rFonts w:ascii="Calibri" w:hAnsi="Calibri" w:eastAsia="FangSong_GB2312"/>
      <w:kern w:val="2"/>
      <w:sz w:val="16"/>
      <w:szCs w:val="16"/>
    </w:rPr>
  </w:style>
  <w:style w:type="character" w:customStyle="1" w:styleId="239">
    <w:name w:val="标题 2 字符"/>
    <w:link w:val="5"/>
    <w:qFormat/>
    <w:uiPriority w:val="0"/>
    <w:rPr>
      <w:rFonts w:ascii="Arial" w:hAnsi="Arial" w:eastAsia="黑体"/>
      <w:b/>
      <w:bCs/>
      <w:sz w:val="32"/>
      <w:szCs w:val="32"/>
    </w:rPr>
  </w:style>
  <w:style w:type="character" w:customStyle="1" w:styleId="240">
    <w:name w:val="font61"/>
    <w:qFormat/>
    <w:uiPriority w:val="0"/>
    <w:rPr>
      <w:rFonts w:hint="eastAsia" w:ascii="宋体" w:hAnsi="宋体" w:eastAsia="宋体" w:cs="宋体"/>
      <w:color w:val="000000"/>
      <w:sz w:val="20"/>
      <w:szCs w:val="20"/>
      <w:u w:val="none"/>
    </w:rPr>
  </w:style>
  <w:style w:type="character" w:customStyle="1" w:styleId="241">
    <w:name w:val="Char Char6"/>
    <w:qFormat/>
    <w:uiPriority w:val="0"/>
    <w:rPr>
      <w:rFonts w:ascii="宋体" w:hAnsi="Courier New" w:eastAsia="宋体" w:cs="Courier New"/>
      <w:kern w:val="2"/>
      <w:sz w:val="21"/>
      <w:szCs w:val="21"/>
      <w:lang w:val="en-US" w:eastAsia="zh-CN" w:bidi="ar-SA"/>
    </w:rPr>
  </w:style>
  <w:style w:type="character" w:customStyle="1" w:styleId="242">
    <w:name w:val="标书正文格式 Char Char"/>
    <w:link w:val="243"/>
    <w:qFormat/>
    <w:uiPriority w:val="0"/>
    <w:rPr>
      <w:rFonts w:eastAsia="KaiTi_GB2312"/>
      <w:sz w:val="24"/>
      <w:szCs w:val="28"/>
      <w:lang w:val="en-US" w:eastAsia="zh-CN" w:bidi="ar-SA"/>
    </w:rPr>
  </w:style>
  <w:style w:type="paragraph" w:customStyle="1" w:styleId="243">
    <w:name w:val="标书正文格式"/>
    <w:link w:val="242"/>
    <w:qFormat/>
    <w:uiPriority w:val="0"/>
    <w:pPr>
      <w:spacing w:after="160" w:line="360" w:lineRule="auto"/>
      <w:ind w:firstLine="200" w:firstLineChars="200"/>
    </w:pPr>
    <w:rPr>
      <w:rFonts w:ascii="Times New Roman" w:hAnsi="Times New Roman" w:eastAsia="KaiTi_GB2312" w:cs="Times New Roman"/>
      <w:sz w:val="24"/>
      <w:szCs w:val="28"/>
      <w:lang w:val="en-US" w:eastAsia="zh-CN" w:bidi="ar-SA"/>
    </w:rPr>
  </w:style>
  <w:style w:type="character" w:customStyle="1" w:styleId="244">
    <w:name w:val="15"/>
    <w:qFormat/>
    <w:uiPriority w:val="0"/>
    <w:rPr>
      <w:rFonts w:hint="default" w:ascii="Times New Roman" w:hAnsi="Times New Roman" w:cs="Times New Roman"/>
      <w:color w:val="0000FF"/>
      <w:u w:val="single"/>
    </w:rPr>
  </w:style>
  <w:style w:type="character" w:customStyle="1" w:styleId="245">
    <w:name w:val="标题 7 Char"/>
    <w:qFormat/>
    <w:uiPriority w:val="0"/>
    <w:rPr>
      <w:rFonts w:ascii="Calibri" w:hAnsi="Calibri" w:eastAsia="宋体" w:cs="Times New Roman"/>
      <w:b/>
      <w:bCs/>
      <w:sz w:val="24"/>
      <w:szCs w:val="24"/>
    </w:rPr>
  </w:style>
  <w:style w:type="paragraph" w:customStyle="1" w:styleId="246">
    <w:name w:val="技术方案正文样式"/>
    <w:basedOn w:val="1"/>
    <w:qFormat/>
    <w:uiPriority w:val="0"/>
    <w:pPr>
      <w:autoSpaceDE w:val="0"/>
      <w:autoSpaceDN w:val="0"/>
      <w:spacing w:line="400" w:lineRule="exact"/>
      <w:ind w:firstLine="480"/>
    </w:pPr>
    <w:rPr>
      <w:rFonts w:ascii="宋体" w:hAnsi="宋体" w:cs="宋体"/>
    </w:rPr>
  </w:style>
  <w:style w:type="paragraph" w:customStyle="1" w:styleId="247">
    <w:name w:val="a0"/>
    <w:basedOn w:val="1"/>
    <w:qFormat/>
    <w:uiPriority w:val="0"/>
    <w:pPr>
      <w:spacing w:before="100" w:beforeAutospacing="1" w:after="100" w:afterAutospacing="1"/>
    </w:pPr>
    <w:rPr>
      <w:rFonts w:ascii="宋体" w:hAnsi="宋体" w:cs="宋体"/>
    </w:rPr>
  </w:style>
  <w:style w:type="paragraph" w:customStyle="1" w:styleId="248">
    <w:name w:val="标题 7 New"/>
    <w:basedOn w:val="1"/>
    <w:next w:val="1"/>
    <w:qFormat/>
    <w:uiPriority w:val="0"/>
    <w:pPr>
      <w:keepNext/>
      <w:keepLines/>
      <w:tabs>
        <w:tab w:val="left" w:pos="2520"/>
      </w:tabs>
      <w:spacing w:before="240" w:after="64" w:line="317" w:lineRule="auto"/>
      <w:ind w:left="1296" w:hanging="1296"/>
      <w:outlineLvl w:val="6"/>
    </w:pPr>
    <w:rPr>
      <w:b/>
      <w:szCs w:val="20"/>
    </w:rPr>
  </w:style>
  <w:style w:type="paragraph" w:customStyle="1" w:styleId="249">
    <w:name w:val="Char1"/>
    <w:basedOn w:val="1"/>
    <w:qFormat/>
    <w:uiPriority w:val="0"/>
  </w:style>
  <w:style w:type="paragraph" w:customStyle="1" w:styleId="250">
    <w:name w:val="Default"/>
    <w:basedOn w:val="1"/>
    <w:qFormat/>
    <w:uiPriority w:val="0"/>
    <w:pPr>
      <w:autoSpaceDE w:val="0"/>
      <w:autoSpaceDN w:val="0"/>
      <w:adjustRightInd w:val="0"/>
      <w:spacing w:before="96" w:after="96"/>
      <w:jc w:val="right"/>
    </w:pPr>
    <w:rPr>
      <w:rFonts w:ascii="宋体" w:hAnsi="Calibri" w:cs="宋体"/>
      <w:color w:val="000000"/>
    </w:rPr>
  </w:style>
  <w:style w:type="paragraph" w:customStyle="1" w:styleId="251">
    <w:name w:val="样式"/>
    <w:basedOn w:val="1"/>
    <w:qFormat/>
    <w:uiPriority w:val="0"/>
    <w:pPr>
      <w:autoSpaceDE w:val="0"/>
      <w:autoSpaceDN w:val="0"/>
      <w:snapToGrid w:val="0"/>
      <w:spacing w:before="120" w:after="120" w:line="360" w:lineRule="auto"/>
    </w:pPr>
    <w:rPr>
      <w:rFonts w:ascii="宋体"/>
      <w:szCs w:val="20"/>
    </w:rPr>
  </w:style>
  <w:style w:type="paragraph" w:customStyle="1" w:styleId="252">
    <w:name w:val="ÕýÎÄ"/>
    <w:qFormat/>
    <w:uiPriority w:val="0"/>
    <w:pPr>
      <w:widowControl w:val="0"/>
      <w:overflowPunct w:val="0"/>
      <w:autoSpaceDE w:val="0"/>
      <w:autoSpaceDN w:val="0"/>
      <w:adjustRightInd w:val="0"/>
      <w:spacing w:after="160"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53">
    <w:name w:val="图表批注"/>
    <w:basedOn w:val="1"/>
    <w:qFormat/>
    <w:uiPriority w:val="0"/>
    <w:pPr>
      <w:spacing w:line="360" w:lineRule="auto"/>
      <w:contextualSpacing/>
      <w:jc w:val="center"/>
    </w:pPr>
    <w:rPr>
      <w:rFonts w:ascii="宋体" w:hAnsi="宋体"/>
      <w:sz w:val="20"/>
      <w:szCs w:val="20"/>
    </w:rPr>
  </w:style>
  <w:style w:type="paragraph" w:customStyle="1" w:styleId="254">
    <w:name w:val="GW-正文"/>
    <w:qFormat/>
    <w:uiPriority w:val="0"/>
    <w:pPr>
      <w:spacing w:after="160" w:line="300" w:lineRule="auto"/>
      <w:ind w:firstLine="200" w:firstLineChars="200"/>
    </w:pPr>
    <w:rPr>
      <w:rFonts w:ascii="Times New Roman" w:hAnsi="Times New Roman" w:eastAsia="FangSong_GB2312" w:cs="Times New Roman"/>
      <w:kern w:val="2"/>
      <w:sz w:val="24"/>
      <w:szCs w:val="24"/>
      <w:lang w:val="en-US" w:eastAsia="zh-CN" w:bidi="ar-SA"/>
    </w:rPr>
  </w:style>
  <w:style w:type="paragraph" w:customStyle="1" w:styleId="255">
    <w:name w:val="标题1"/>
    <w:basedOn w:val="37"/>
    <w:qFormat/>
    <w:uiPriority w:val="0"/>
    <w:pPr>
      <w:overflowPunct w:val="0"/>
      <w:autoSpaceDE w:val="0"/>
      <w:autoSpaceDN w:val="0"/>
      <w:adjustRightInd w:val="0"/>
      <w:spacing w:before="120" w:after="120" w:line="420" w:lineRule="exact"/>
      <w:jc w:val="center"/>
      <w:textAlignment w:val="baseline"/>
    </w:pPr>
    <w:rPr>
      <w:b w:val="0"/>
      <w:bCs w:val="0"/>
      <w:sz w:val="44"/>
      <w:szCs w:val="20"/>
    </w:rPr>
  </w:style>
  <w:style w:type="paragraph" w:customStyle="1" w:styleId="256">
    <w:name w:val="前加菱形"/>
    <w:basedOn w:val="1"/>
    <w:qFormat/>
    <w:uiPriority w:val="0"/>
    <w:pPr>
      <w:spacing w:before="156" w:after="100" w:afterAutospacing="1"/>
      <w:ind w:left="1985" w:hanging="284"/>
    </w:pPr>
    <w:rPr>
      <w:rFonts w:ascii="Verdana" w:hAnsi="Verdana" w:cs="宋体"/>
      <w:spacing w:val="2"/>
      <w:kern w:val="21"/>
      <w:sz w:val="28"/>
      <w:szCs w:val="28"/>
    </w:rPr>
  </w:style>
  <w:style w:type="paragraph" w:customStyle="1" w:styleId="257">
    <w:name w:val="纯文本_0"/>
    <w:basedOn w:val="1"/>
    <w:unhideWhenUsed/>
    <w:qFormat/>
    <w:uiPriority w:val="0"/>
    <w:pPr>
      <w:widowControl w:val="0"/>
      <w:jc w:val="both"/>
    </w:pPr>
    <w:rPr>
      <w:rFonts w:ascii="宋体" w:hAnsi="Courier New"/>
      <w:sz w:val="20"/>
      <w:szCs w:val="20"/>
    </w:rPr>
  </w:style>
  <w:style w:type="paragraph" w:customStyle="1" w:styleId="258">
    <w:name w:val="_Style 50"/>
    <w:basedOn w:val="19"/>
    <w:qFormat/>
    <w:uiPriority w:val="0"/>
    <w:rPr>
      <w:rFonts w:ascii="Tahoma" w:hAnsi="Tahoma"/>
      <w:sz w:val="24"/>
    </w:rPr>
  </w:style>
  <w:style w:type="paragraph" w:customStyle="1" w:styleId="259">
    <w:name w:val="CM8"/>
    <w:basedOn w:val="1"/>
    <w:next w:val="1"/>
    <w:qFormat/>
    <w:uiPriority w:val="0"/>
    <w:pPr>
      <w:autoSpaceDE w:val="0"/>
      <w:autoSpaceDN w:val="0"/>
      <w:adjustRightInd w:val="0"/>
      <w:spacing w:line="313" w:lineRule="atLeast"/>
    </w:pPr>
  </w:style>
  <w:style w:type="paragraph" w:customStyle="1" w:styleId="260">
    <w:name w:val="_Style 2"/>
    <w:basedOn w:val="1"/>
    <w:qFormat/>
    <w:uiPriority w:val="34"/>
    <w:pPr>
      <w:ind w:firstLine="420" w:firstLineChars="200"/>
    </w:pPr>
    <w:rPr>
      <w:rFonts w:ascii="Calibri" w:hAnsi="Calibri"/>
      <w:szCs w:val="22"/>
    </w:rPr>
  </w:style>
  <w:style w:type="paragraph" w:customStyle="1" w:styleId="261">
    <w:name w:val="Char Char Char"/>
    <w:basedOn w:val="1"/>
    <w:qFormat/>
    <w:uiPriority w:val="0"/>
    <w:rPr>
      <w:rFonts w:ascii="Tahoma" w:hAnsi="Tahoma"/>
      <w:szCs w:val="20"/>
    </w:rPr>
  </w:style>
  <w:style w:type="paragraph" w:customStyle="1" w:styleId="262">
    <w:name w:val="舟式样--正文"/>
    <w:basedOn w:val="1"/>
    <w:qFormat/>
    <w:uiPriority w:val="0"/>
    <w:pPr>
      <w:ind w:firstLine="200" w:firstLineChars="200"/>
    </w:pPr>
    <w:rPr>
      <w:rFonts w:hint="eastAsia" w:ascii="FangSong_GB2312" w:eastAsia="FangSong_GB2312"/>
      <w:sz w:val="28"/>
      <w:szCs w:val="22"/>
    </w:rPr>
  </w:style>
  <w:style w:type="paragraph" w:customStyle="1" w:styleId="263">
    <w:name w:val="-标题4-"/>
    <w:basedOn w:val="6"/>
    <w:qFormat/>
    <w:uiPriority w:val="0"/>
    <w:pPr>
      <w:numPr>
        <w:ilvl w:val="0"/>
        <w:numId w:val="0"/>
      </w:numPr>
      <w:tabs>
        <w:tab w:val="left" w:pos="0"/>
      </w:tabs>
      <w:ind w:left="851" w:hanging="851"/>
      <w:outlineLvl w:val="3"/>
    </w:pPr>
    <w:rPr>
      <w:color w:val="800080"/>
      <w:sz w:val="24"/>
    </w:rPr>
  </w:style>
  <w:style w:type="paragraph" w:customStyle="1" w:styleId="264">
    <w:name w:val="a 正文"/>
    <w:basedOn w:val="1"/>
    <w:qFormat/>
    <w:uiPriority w:val="0"/>
    <w:pPr>
      <w:spacing w:line="360" w:lineRule="auto"/>
      <w:ind w:firstLine="480"/>
    </w:pPr>
    <w:rPr>
      <w:rFonts w:ascii="宋体" w:hAnsi="宋体"/>
    </w:rPr>
  </w:style>
  <w:style w:type="paragraph" w:customStyle="1" w:styleId="265">
    <w:name w:val="**正文"/>
    <w:basedOn w:val="1"/>
    <w:qFormat/>
    <w:uiPriority w:val="0"/>
    <w:pPr>
      <w:spacing w:line="360" w:lineRule="auto"/>
      <w:ind w:firstLine="480" w:firstLineChars="200"/>
    </w:pPr>
    <w:rPr>
      <w:rFonts w:eastAsia="FangSong_GB2312"/>
    </w:rPr>
  </w:style>
  <w:style w:type="paragraph" w:customStyle="1" w:styleId="266">
    <w:name w:val="图片居中"/>
    <w:basedOn w:val="267"/>
    <w:qFormat/>
    <w:uiPriority w:val="0"/>
    <w:pPr>
      <w:ind w:firstLine="0" w:firstLineChars="0"/>
      <w:jc w:val="center"/>
    </w:pPr>
  </w:style>
  <w:style w:type="paragraph" w:customStyle="1" w:styleId="267">
    <w:name w:val="哈哈正文"/>
    <w:basedOn w:val="1"/>
    <w:qFormat/>
    <w:uiPriority w:val="0"/>
    <w:pPr>
      <w:spacing w:line="360" w:lineRule="auto"/>
      <w:ind w:firstLine="200" w:firstLineChars="200"/>
    </w:pPr>
    <w:rPr>
      <w:rFonts w:ascii="宋体" w:hAnsi="宋体"/>
    </w:rPr>
  </w:style>
  <w:style w:type="paragraph" w:customStyle="1" w:styleId="268">
    <w:name w:val="_Style 10"/>
    <w:basedOn w:val="1"/>
    <w:qFormat/>
    <w:uiPriority w:val="0"/>
  </w:style>
  <w:style w:type="paragraph" w:customStyle="1" w:styleId="269">
    <w:name w:val="xl24"/>
    <w:basedOn w:val="1"/>
    <w:qFormat/>
    <w:uiPriority w:val="0"/>
    <w:pPr>
      <w:spacing w:before="100" w:beforeAutospacing="1" w:after="100" w:afterAutospacing="1"/>
      <w:jc w:val="right"/>
    </w:pPr>
    <w:rPr>
      <w:rFonts w:ascii="宋体" w:hAnsi="宋体"/>
    </w:rPr>
  </w:style>
  <w:style w:type="paragraph" w:customStyle="1" w:styleId="270">
    <w:name w:val="Byline"/>
    <w:basedOn w:val="1"/>
    <w:next w:val="1"/>
    <w:qFormat/>
    <w:uiPriority w:val="0"/>
    <w:pPr>
      <w:spacing w:line="360" w:lineRule="auto"/>
    </w:pPr>
    <w:rPr>
      <w:i/>
    </w:rPr>
  </w:style>
  <w:style w:type="paragraph" w:customStyle="1" w:styleId="271">
    <w:name w:val="批注主题 Char Char"/>
    <w:basedOn w:val="1"/>
    <w:qFormat/>
    <w:uiPriority w:val="99"/>
    <w:rPr>
      <w:szCs w:val="21"/>
    </w:rPr>
  </w:style>
  <w:style w:type="paragraph" w:customStyle="1" w:styleId="272">
    <w:name w:val="Char"/>
    <w:basedOn w:val="1"/>
    <w:qFormat/>
    <w:uiPriority w:val="0"/>
    <w:rPr>
      <w:szCs w:val="20"/>
    </w:rPr>
  </w:style>
  <w:style w:type="paragraph" w:customStyle="1" w:styleId="273">
    <w:name w:val="正文-王"/>
    <w:basedOn w:val="1"/>
    <w:qFormat/>
    <w:uiPriority w:val="0"/>
    <w:pPr>
      <w:spacing w:line="360" w:lineRule="auto"/>
      <w:ind w:firstLine="480" w:firstLineChars="200"/>
    </w:pPr>
    <w:rPr>
      <w:rFonts w:ascii="宋体" w:hAnsi="宋体"/>
    </w:rPr>
  </w:style>
  <w:style w:type="paragraph" w:customStyle="1" w:styleId="274">
    <w:name w:val="标准小四"/>
    <w:basedOn w:val="1"/>
    <w:qFormat/>
    <w:uiPriority w:val="0"/>
    <w:pPr>
      <w:spacing w:line="360" w:lineRule="auto"/>
      <w:ind w:firstLine="480" w:firstLineChars="200"/>
    </w:pPr>
    <w:rPr>
      <w:rFonts w:ascii="Arial" w:hAnsi="Arial"/>
    </w:rPr>
  </w:style>
  <w:style w:type="paragraph" w:customStyle="1" w:styleId="275">
    <w:name w:val="Char Char17 Char Char Char Char Char Char"/>
    <w:basedOn w:val="1"/>
    <w:qFormat/>
    <w:uiPriority w:val="0"/>
    <w:rPr>
      <w:szCs w:val="21"/>
    </w:rPr>
  </w:style>
  <w:style w:type="paragraph" w:customStyle="1" w:styleId="276">
    <w:name w:val="TOC 标题1"/>
    <w:basedOn w:val="4"/>
    <w:next w:val="1"/>
    <w:qFormat/>
    <w:uiPriority w:val="0"/>
    <w:pPr>
      <w:tabs>
        <w:tab w:val="left" w:pos="432"/>
      </w:tabs>
      <w:spacing w:beforeLines="100" w:afterLines="100" w:line="276" w:lineRule="auto"/>
      <w:outlineLvl w:val="9"/>
    </w:pPr>
    <w:rPr>
      <w:rFonts w:ascii="Cambria" w:hAnsi="Cambria"/>
      <w:color w:val="365F91"/>
      <w:kern w:val="0"/>
      <w:sz w:val="32"/>
      <w:szCs w:val="28"/>
    </w:rPr>
  </w:style>
  <w:style w:type="paragraph" w:customStyle="1" w:styleId="277">
    <w:name w:val="Notes Text List"/>
    <w:qFormat/>
    <w:uiPriority w:val="0"/>
    <w:pPr>
      <w:keepNext/>
      <w:keepLines/>
      <w:pBdr>
        <w:bottom w:val="single" w:color="auto" w:sz="8" w:space="5"/>
      </w:pBdr>
      <w:tabs>
        <w:tab w:val="left" w:pos="1418"/>
      </w:tabs>
      <w:spacing w:after="160" w:line="259" w:lineRule="auto"/>
      <w:ind w:left="360" w:hanging="360"/>
      <w:jc w:val="both"/>
    </w:pPr>
    <w:rPr>
      <w:rFonts w:ascii="Arial" w:hAnsi="Arial" w:eastAsia="KaiTi_GB2312" w:cs="Arial"/>
      <w:sz w:val="21"/>
      <w:szCs w:val="21"/>
      <w:lang w:val="en-US" w:eastAsia="zh-CN" w:bidi="ar-SA"/>
    </w:rPr>
  </w:style>
  <w:style w:type="paragraph" w:customStyle="1" w:styleId="278">
    <w:name w:val="正文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79">
    <w:name w:val="列出段落2"/>
    <w:basedOn w:val="1"/>
    <w:qFormat/>
    <w:uiPriority w:val="99"/>
    <w:pPr>
      <w:ind w:firstLine="420" w:firstLineChars="200"/>
    </w:pPr>
    <w:rPr>
      <w:rFonts w:ascii="Calibri" w:hAnsi="Calibri"/>
      <w:szCs w:val="22"/>
    </w:rPr>
  </w:style>
  <w:style w:type="paragraph" w:customStyle="1" w:styleId="280">
    <w:name w:val="正文4"/>
    <w:basedOn w:val="1"/>
    <w:qFormat/>
    <w:uiPriority w:val="0"/>
    <w:pPr>
      <w:spacing w:before="60" w:after="60" w:line="360" w:lineRule="auto"/>
      <w:ind w:left="820" w:leftChars="400" w:hanging="420"/>
    </w:pPr>
  </w:style>
  <w:style w:type="paragraph" w:customStyle="1" w:styleId="281">
    <w:name w:val="Abstract Text"/>
    <w:qFormat/>
    <w:uiPriority w:val="0"/>
    <w:pPr>
      <w:tabs>
        <w:tab w:val="left" w:pos="1680"/>
      </w:tabs>
      <w:spacing w:after="160" w:line="280" w:lineRule="exact"/>
    </w:pPr>
    <w:rPr>
      <w:rFonts w:ascii="Arial" w:hAnsi="Arial" w:eastAsia="宋体" w:cs="Times New Roman"/>
      <w:sz w:val="19"/>
      <w:lang w:val="en-US" w:eastAsia="en-US" w:bidi="ar-SA"/>
    </w:rPr>
  </w:style>
  <w:style w:type="paragraph" w:customStyle="1" w:styleId="282">
    <w:name w:val="正文对齐"/>
    <w:basedOn w:val="1"/>
    <w:qFormat/>
    <w:uiPriority w:val="0"/>
    <w:pPr>
      <w:spacing w:after="120" w:line="360" w:lineRule="auto"/>
      <w:ind w:left="400" w:leftChars="400"/>
    </w:pPr>
    <w:rPr>
      <w:szCs w:val="21"/>
    </w:rPr>
  </w:style>
  <w:style w:type="paragraph" w:customStyle="1" w:styleId="283">
    <w:name w:val="Char Char Char Char Char Char Char"/>
    <w:basedOn w:val="1"/>
    <w:qFormat/>
    <w:uiPriority w:val="0"/>
    <w:rPr>
      <w:szCs w:val="21"/>
    </w:rPr>
  </w:style>
  <w:style w:type="paragraph" w:customStyle="1" w:styleId="284">
    <w:name w:val="样式5"/>
    <w:basedOn w:val="8"/>
    <w:qFormat/>
    <w:uiPriority w:val="0"/>
    <w:pPr>
      <w:keepNext w:val="0"/>
      <w:keepLines w:val="0"/>
      <w:spacing w:before="60" w:after="60" w:line="360" w:lineRule="auto"/>
    </w:pPr>
    <w:rPr>
      <w:sz w:val="30"/>
      <w:szCs w:val="30"/>
    </w:rPr>
  </w:style>
  <w:style w:type="paragraph" w:customStyle="1" w:styleId="285">
    <w:name w:val="Char Char Char Char Char Char"/>
    <w:basedOn w:val="19"/>
    <w:qFormat/>
    <w:uiPriority w:val="0"/>
    <w:rPr>
      <w:rFonts w:ascii="Tahoma" w:hAnsi="Tahoma"/>
      <w:sz w:val="24"/>
    </w:rPr>
  </w:style>
  <w:style w:type="paragraph" w:customStyle="1" w:styleId="286">
    <w:name w:val="+正文"/>
    <w:basedOn w:val="1"/>
    <w:qFormat/>
    <w:uiPriority w:val="0"/>
    <w:pPr>
      <w:spacing w:line="360" w:lineRule="auto"/>
      <w:ind w:firstLine="200" w:firstLineChars="200"/>
    </w:pPr>
    <w:rPr>
      <w:szCs w:val="28"/>
    </w:rPr>
  </w:style>
  <w:style w:type="paragraph" w:customStyle="1" w:styleId="287">
    <w:name w:val="正文四号"/>
    <w:basedOn w:val="1"/>
    <w:qFormat/>
    <w:uiPriority w:val="0"/>
    <w:pPr>
      <w:spacing w:line="360" w:lineRule="auto"/>
    </w:pPr>
    <w:rPr>
      <w:rFonts w:eastAsia="仿宋"/>
      <w:sz w:val="28"/>
      <w:szCs w:val="20"/>
    </w:rPr>
  </w:style>
  <w:style w:type="paragraph" w:customStyle="1" w:styleId="288">
    <w:name w:val="样式 正文字缩1字 + 左侧:  1 字符 首行缩进:  2 字符"/>
    <w:basedOn w:val="289"/>
    <w:qFormat/>
    <w:uiPriority w:val="0"/>
    <w:pPr>
      <w:ind w:left="210" w:firstLine="480"/>
    </w:pPr>
    <w:rPr>
      <w:rFonts w:cs="宋体"/>
    </w:rPr>
  </w:style>
  <w:style w:type="paragraph" w:customStyle="1" w:styleId="289">
    <w:name w:val="正文字缩1字"/>
    <w:basedOn w:val="1"/>
    <w:qFormat/>
    <w:uiPriority w:val="0"/>
    <w:pPr>
      <w:spacing w:before="60" w:after="60" w:line="360" w:lineRule="auto"/>
      <w:ind w:left="100" w:leftChars="100" w:firstLine="200" w:firstLineChars="200"/>
    </w:pPr>
  </w:style>
  <w:style w:type="paragraph" w:customStyle="1" w:styleId="290">
    <w:name w:val="样式1"/>
    <w:basedOn w:val="4"/>
    <w:qFormat/>
    <w:uiPriority w:val="0"/>
    <w:pPr>
      <w:keepNext w:val="0"/>
      <w:keepLines w:val="0"/>
      <w:spacing w:before="240" w:after="120" w:line="360" w:lineRule="auto"/>
      <w:ind w:left="883" w:hanging="883" w:hangingChars="200"/>
    </w:pPr>
  </w:style>
  <w:style w:type="paragraph" w:customStyle="1" w:styleId="291">
    <w:name w:val="正文11"/>
    <w:basedOn w:val="1"/>
    <w:qFormat/>
    <w:uiPriority w:val="0"/>
    <w:pPr>
      <w:widowControl w:val="0"/>
      <w:adjustRightInd w:val="0"/>
      <w:spacing w:line="318" w:lineRule="atLeast"/>
      <w:ind w:left="369" w:firstLine="369"/>
      <w:jc w:val="both"/>
      <w:textAlignment w:val="baseline"/>
    </w:pPr>
    <w:rPr>
      <w:rFonts w:ascii="宋体" w:hAnsi="Calibri"/>
      <w:kern w:val="2"/>
      <w:sz w:val="21"/>
      <w:szCs w:val="20"/>
    </w:rPr>
  </w:style>
  <w:style w:type="paragraph" w:customStyle="1" w:styleId="292">
    <w:name w:val="Char Char Char Char Char Char1"/>
    <w:basedOn w:val="19"/>
    <w:qFormat/>
    <w:uiPriority w:val="0"/>
    <w:rPr>
      <w:rFonts w:ascii="Tahoma" w:hAnsi="Tahoma"/>
      <w:sz w:val="24"/>
    </w:rPr>
  </w:style>
  <w:style w:type="paragraph" w:customStyle="1" w:styleId="293">
    <w:name w:val="Abstract Title"/>
    <w:basedOn w:val="1"/>
    <w:next w:val="1"/>
    <w:qFormat/>
    <w:uiPriority w:val="0"/>
    <w:pPr>
      <w:pBdr>
        <w:top w:val="single" w:color="auto" w:sz="4" w:space="1"/>
      </w:pBdr>
      <w:spacing w:line="360" w:lineRule="auto"/>
    </w:pPr>
    <w:rPr>
      <w:b/>
    </w:rPr>
  </w:style>
  <w:style w:type="paragraph" w:customStyle="1" w:styleId="294">
    <w:name w:val="规划编号2"/>
    <w:basedOn w:val="1"/>
    <w:qFormat/>
    <w:uiPriority w:val="0"/>
    <w:pPr>
      <w:tabs>
        <w:tab w:val="left" w:pos="496"/>
        <w:tab w:val="left" w:pos="840"/>
      </w:tabs>
      <w:ind w:left="840" w:hanging="360"/>
    </w:pPr>
    <w:rPr>
      <w:rFonts w:ascii="宋体" w:hAnsi="宋体" w:cs="宋体"/>
    </w:rPr>
  </w:style>
  <w:style w:type="paragraph" w:customStyle="1" w:styleId="295">
    <w:name w:val="前加方框"/>
    <w:basedOn w:val="1"/>
    <w:qFormat/>
    <w:uiPriority w:val="0"/>
    <w:pPr>
      <w:spacing w:before="100" w:beforeAutospacing="1" w:after="100" w:afterAutospacing="1"/>
      <w:ind w:left="1134" w:hanging="567"/>
    </w:pPr>
    <w:rPr>
      <w:rFonts w:ascii="Verdana" w:hAnsi="Verdana" w:cs="宋体"/>
      <w:spacing w:val="2"/>
      <w:kern w:val="21"/>
      <w:sz w:val="28"/>
      <w:szCs w:val="28"/>
    </w:rPr>
  </w:style>
  <w:style w:type="paragraph" w:customStyle="1" w:styleId="296">
    <w:name w:val="此正文"/>
    <w:basedOn w:val="1"/>
    <w:qFormat/>
    <w:uiPriority w:val="0"/>
    <w:pPr>
      <w:spacing w:line="360" w:lineRule="auto"/>
      <w:ind w:firstLine="200" w:firstLineChars="200"/>
    </w:pPr>
  </w:style>
  <w:style w:type="paragraph" w:customStyle="1" w:styleId="297">
    <w:name w:val="_Style 52"/>
    <w:basedOn w:val="1"/>
    <w:qFormat/>
    <w:uiPriority w:val="0"/>
    <w:pPr>
      <w:widowControl w:val="0"/>
      <w:jc w:val="both"/>
    </w:pPr>
    <w:rPr>
      <w:kern w:val="2"/>
      <w:sz w:val="21"/>
    </w:rPr>
  </w:style>
  <w:style w:type="paragraph" w:customStyle="1" w:styleId="298">
    <w:name w:val="附录标题二"/>
    <w:basedOn w:val="5"/>
    <w:qFormat/>
    <w:uiPriority w:val="0"/>
    <w:pPr>
      <w:numPr>
        <w:ilvl w:val="0"/>
        <w:numId w:val="0"/>
      </w:numPr>
      <w:tabs>
        <w:tab w:val="left" w:pos="420"/>
        <w:tab w:val="left" w:pos="840"/>
      </w:tabs>
      <w:ind w:left="840" w:hanging="420"/>
    </w:pPr>
    <w:rPr>
      <w:rFonts w:ascii="宋体" w:hAnsi="宋体"/>
      <w:kern w:val="28"/>
      <w:lang w:eastAsia="en-US"/>
    </w:rPr>
  </w:style>
  <w:style w:type="paragraph" w:customStyle="1" w:styleId="299">
    <w:name w:val="Char3"/>
    <w:basedOn w:val="1"/>
    <w:qFormat/>
    <w:uiPriority w:val="0"/>
    <w:pPr>
      <w:tabs>
        <w:tab w:val="left" w:pos="360"/>
      </w:tabs>
    </w:pPr>
  </w:style>
  <w:style w:type="paragraph" w:customStyle="1" w:styleId="300">
    <w:name w:val="CM167"/>
    <w:basedOn w:val="250"/>
    <w:next w:val="250"/>
    <w:qFormat/>
    <w:uiPriority w:val="0"/>
    <w:pPr>
      <w:spacing w:before="0" w:after="120"/>
      <w:jc w:val="left"/>
    </w:pPr>
    <w:rPr>
      <w:rFonts w:ascii="黑体" w:eastAsia="黑体" w:cs="Times New Roman"/>
      <w:color w:val="auto"/>
    </w:rPr>
  </w:style>
  <w:style w:type="table" w:customStyle="1" w:styleId="301">
    <w:name w:val="表样式"/>
    <w:basedOn w:val="56"/>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vAlign w:val="center"/>
    </w:tcPr>
  </w:style>
  <w:style w:type="character" w:customStyle="1" w:styleId="302">
    <w:name w:val="纯文本字符1"/>
    <w:semiHidden/>
    <w:qFormat/>
    <w:uiPriority w:val="99"/>
    <w:rPr>
      <w:rFonts w:ascii="宋体" w:hAnsi="Courier" w:eastAsia="宋体"/>
    </w:rPr>
  </w:style>
  <w:style w:type="character" w:customStyle="1" w:styleId="303">
    <w:name w:val="标题 1 字符"/>
    <w:qFormat/>
    <w:uiPriority w:val="0"/>
    <w:rPr>
      <w:b/>
      <w:bCs/>
      <w:kern w:val="44"/>
      <w:sz w:val="44"/>
      <w:szCs w:val="44"/>
    </w:rPr>
  </w:style>
  <w:style w:type="character" w:customStyle="1" w:styleId="304">
    <w:name w:val="标题 3 字符"/>
    <w:qFormat/>
    <w:uiPriority w:val="0"/>
    <w:rPr>
      <w:b/>
      <w:bCs/>
      <w:kern w:val="2"/>
      <w:sz w:val="32"/>
      <w:szCs w:val="32"/>
    </w:rPr>
  </w:style>
  <w:style w:type="character" w:customStyle="1" w:styleId="305">
    <w:name w:val="标题 9 字符"/>
    <w:semiHidden/>
    <w:qFormat/>
    <w:uiPriority w:val="0"/>
    <w:rPr>
      <w:rFonts w:ascii="Calibri Light" w:hAnsi="Calibri Light" w:eastAsia="宋体" w:cs="Times New Roman"/>
      <w:kern w:val="2"/>
      <w:sz w:val="21"/>
      <w:szCs w:val="21"/>
    </w:rPr>
  </w:style>
  <w:style w:type="character" w:customStyle="1" w:styleId="306">
    <w:name w:val="批注框文本 字符"/>
    <w:qFormat/>
    <w:uiPriority w:val="0"/>
    <w:rPr>
      <w:kern w:val="2"/>
      <w:sz w:val="18"/>
      <w:szCs w:val="18"/>
    </w:rPr>
  </w:style>
  <w:style w:type="character" w:customStyle="1" w:styleId="307">
    <w:name w:val="文档结构图 字符"/>
    <w:qFormat/>
    <w:uiPriority w:val="0"/>
    <w:rPr>
      <w:rFonts w:ascii="宋体"/>
      <w:kern w:val="2"/>
      <w:sz w:val="18"/>
      <w:szCs w:val="18"/>
    </w:rPr>
  </w:style>
  <w:style w:type="character" w:customStyle="1" w:styleId="308">
    <w:name w:val="HTML 预设格式 字符"/>
    <w:link w:val="50"/>
    <w:qFormat/>
    <w:uiPriority w:val="99"/>
    <w:rPr>
      <w:rFonts w:ascii="宋体" w:hAnsi="宋体" w:cs="宋体"/>
      <w:sz w:val="24"/>
      <w:szCs w:val="24"/>
    </w:rPr>
  </w:style>
  <w:style w:type="character" w:customStyle="1" w:styleId="309">
    <w:name w:val="HTML 预设格式 Char"/>
    <w:basedOn w:val="58"/>
    <w:qFormat/>
    <w:uiPriority w:val="0"/>
    <w:rPr>
      <w:rFonts w:ascii="Courier New" w:hAnsi="Courier New" w:cs="Courier New"/>
    </w:rPr>
  </w:style>
  <w:style w:type="paragraph" w:customStyle="1" w:styleId="310">
    <w:name w:val="f1"/>
    <w:basedOn w:val="1"/>
    <w:qFormat/>
    <w:uiPriority w:val="0"/>
    <w:pPr>
      <w:spacing w:before="100" w:beforeAutospacing="1" w:after="100" w:afterAutospacing="1"/>
      <w:jc w:val="center"/>
    </w:pPr>
    <w:rPr>
      <w:rFonts w:ascii="Helvetica" w:hAnsi="Helvetica" w:cs="Helvetica"/>
      <w:b/>
      <w:bCs/>
      <w:color w:val="FF8080"/>
      <w:spacing w:val="160"/>
      <w:sz w:val="80"/>
      <w:szCs w:val="80"/>
    </w:rPr>
  </w:style>
  <w:style w:type="paragraph" w:customStyle="1" w:styleId="311">
    <w:name w:val="表内文字"/>
    <w:basedOn w:val="1"/>
    <w:qFormat/>
    <w:uiPriority w:val="0"/>
    <w:pPr>
      <w:widowControl w:val="0"/>
      <w:tabs>
        <w:tab w:val="left" w:pos="1418"/>
      </w:tabs>
      <w:spacing w:line="360" w:lineRule="auto"/>
      <w:jc w:val="center"/>
    </w:pPr>
    <w:rPr>
      <w:rFonts w:ascii="FangSong_GB2312" w:eastAsia="FangSong_GB2312"/>
      <w:spacing w:val="-20"/>
    </w:rPr>
  </w:style>
  <w:style w:type="paragraph" w:customStyle="1" w:styleId="312">
    <w:name w:val="默认段落字体 Para Char Char Char Char Char Char Char Char Char1 Char Char Char Char"/>
    <w:basedOn w:val="1"/>
    <w:qFormat/>
    <w:uiPriority w:val="0"/>
    <w:pPr>
      <w:widowControl w:val="0"/>
      <w:jc w:val="both"/>
    </w:pPr>
    <w:rPr>
      <w:rFonts w:ascii="Tahoma" w:hAnsi="Tahoma"/>
      <w:kern w:val="2"/>
      <w:szCs w:val="20"/>
    </w:rPr>
  </w:style>
  <w:style w:type="paragraph" w:customStyle="1" w:styleId="313">
    <w:name w:val="_Style 311"/>
    <w:basedOn w:val="1"/>
    <w:next w:val="74"/>
    <w:link w:val="331"/>
    <w:qFormat/>
    <w:uiPriority w:val="0"/>
    <w:pPr>
      <w:widowControl w:val="0"/>
      <w:autoSpaceDE w:val="0"/>
      <w:autoSpaceDN w:val="0"/>
      <w:adjustRightInd w:val="0"/>
      <w:ind w:firstLine="420" w:firstLineChars="200"/>
      <w:jc w:val="both"/>
    </w:pPr>
    <w:rPr>
      <w:color w:val="000000"/>
      <w:sz w:val="21"/>
      <w:szCs w:val="21"/>
    </w:rPr>
  </w:style>
  <w:style w:type="paragraph" w:customStyle="1" w:styleId="314">
    <w:name w:val="封面标题"/>
    <w:basedOn w:val="1"/>
    <w:qFormat/>
    <w:uiPriority w:val="0"/>
    <w:pPr>
      <w:widowControl w:val="0"/>
      <w:spacing w:line="360" w:lineRule="auto"/>
      <w:jc w:val="center"/>
    </w:pPr>
    <w:rPr>
      <w:rFonts w:ascii="仿宋" w:hAnsi="仿宋" w:eastAsia="仿宋" w:cs="宋体"/>
      <w:b/>
      <w:bCs/>
      <w:kern w:val="2"/>
      <w:sz w:val="30"/>
      <w:szCs w:val="30"/>
    </w:rPr>
  </w:style>
  <w:style w:type="paragraph" w:customStyle="1" w:styleId="315">
    <w:name w:val="需求标题1"/>
    <w:basedOn w:val="1"/>
    <w:next w:val="316"/>
    <w:qFormat/>
    <w:uiPriority w:val="0"/>
    <w:pPr>
      <w:widowControl w:val="0"/>
      <w:spacing w:before="60" w:after="20"/>
      <w:jc w:val="both"/>
      <w:outlineLvl w:val="1"/>
    </w:pPr>
    <w:rPr>
      <w:rFonts w:ascii="黑体" w:hAnsi="黑体" w:eastAsia="黑体"/>
      <w:kern w:val="2"/>
      <w:sz w:val="28"/>
      <w:szCs w:val="28"/>
    </w:rPr>
  </w:style>
  <w:style w:type="paragraph" w:customStyle="1" w:styleId="316">
    <w:name w:val="正文内容"/>
    <w:basedOn w:val="1"/>
    <w:qFormat/>
    <w:uiPriority w:val="0"/>
    <w:pPr>
      <w:widowControl w:val="0"/>
      <w:ind w:firstLine="420" w:firstLineChars="200"/>
    </w:pPr>
    <w:rPr>
      <w:rFonts w:ascii="宋体" w:hAnsi="Calibri"/>
      <w:kern w:val="2"/>
      <w:sz w:val="21"/>
      <w:szCs w:val="21"/>
    </w:rPr>
  </w:style>
  <w:style w:type="paragraph" w:customStyle="1" w:styleId="317">
    <w:name w:val="需求标题2"/>
    <w:basedOn w:val="1"/>
    <w:next w:val="316"/>
    <w:qFormat/>
    <w:uiPriority w:val="0"/>
    <w:pPr>
      <w:widowControl w:val="0"/>
      <w:spacing w:before="40"/>
      <w:ind w:firstLine="560" w:firstLineChars="200"/>
      <w:jc w:val="both"/>
      <w:outlineLvl w:val="2"/>
    </w:pPr>
    <w:rPr>
      <w:rFonts w:ascii="Calibri" w:hAnsi="Calibri" w:eastAsia="黑体"/>
      <w:kern w:val="2"/>
      <w:sz w:val="28"/>
    </w:rPr>
  </w:style>
  <w:style w:type="paragraph" w:customStyle="1" w:styleId="318">
    <w:name w:val="需求标题3"/>
    <w:basedOn w:val="1"/>
    <w:next w:val="1"/>
    <w:qFormat/>
    <w:uiPriority w:val="0"/>
    <w:pPr>
      <w:widowControl w:val="0"/>
      <w:ind w:firstLine="482"/>
      <w:jc w:val="both"/>
      <w:outlineLvl w:val="3"/>
    </w:pPr>
    <w:rPr>
      <w:rFonts w:ascii="宋体" w:hAnsi="宋体" w:cs="宋体"/>
      <w:b/>
      <w:kern w:val="2"/>
      <w:szCs w:val="20"/>
    </w:rPr>
  </w:style>
  <w:style w:type="paragraph" w:customStyle="1" w:styleId="319">
    <w:name w:val="样式 首行缩进:  0 字符"/>
    <w:basedOn w:val="1"/>
    <w:qFormat/>
    <w:uiPriority w:val="0"/>
    <w:pPr>
      <w:widowControl w:val="0"/>
      <w:spacing w:line="360" w:lineRule="auto"/>
      <w:ind w:firstLine="200" w:firstLineChars="200"/>
      <w:jc w:val="both"/>
    </w:pPr>
    <w:rPr>
      <w:kern w:val="2"/>
      <w:szCs w:val="20"/>
    </w:rPr>
  </w:style>
  <w:style w:type="paragraph" w:customStyle="1" w:styleId="320">
    <w:name w:val="Char Char Char Char Char Char Char Char Char"/>
    <w:basedOn w:val="1"/>
    <w:qFormat/>
    <w:uiPriority w:val="0"/>
    <w:pPr>
      <w:widowControl w:val="0"/>
      <w:jc w:val="both"/>
    </w:pPr>
    <w:rPr>
      <w:rFonts w:ascii="Calibri" w:hAnsi="Calibri"/>
      <w:kern w:val="2"/>
      <w:sz w:val="21"/>
      <w:szCs w:val="22"/>
    </w:rPr>
  </w:style>
  <w:style w:type="character" w:customStyle="1" w:styleId="321">
    <w:name w:val="Char Char2"/>
    <w:qFormat/>
    <w:uiPriority w:val="0"/>
    <w:rPr>
      <w:rFonts w:ascii="宋体" w:hAnsi="宋体" w:cs="宋体"/>
      <w:sz w:val="24"/>
      <w:szCs w:val="24"/>
    </w:rPr>
  </w:style>
  <w:style w:type="character" w:customStyle="1" w:styleId="322">
    <w:name w:val="正文表格内容 Char Char"/>
    <w:link w:val="323"/>
    <w:qFormat/>
    <w:locked/>
    <w:uiPriority w:val="0"/>
    <w:rPr>
      <w:rFonts w:ascii="Arial" w:hAnsi="Arial"/>
      <w:sz w:val="18"/>
    </w:rPr>
  </w:style>
  <w:style w:type="paragraph" w:customStyle="1" w:styleId="323">
    <w:name w:val="正文表格内容"/>
    <w:basedOn w:val="1"/>
    <w:link w:val="322"/>
    <w:qFormat/>
    <w:uiPriority w:val="0"/>
    <w:rPr>
      <w:rFonts w:ascii="Arial" w:hAnsi="Arial"/>
      <w:sz w:val="18"/>
      <w:szCs w:val="20"/>
    </w:rPr>
  </w:style>
  <w:style w:type="character" w:customStyle="1" w:styleId="324">
    <w:name w:val="HTML Preformatted Char"/>
    <w:semiHidden/>
    <w:qFormat/>
    <w:locked/>
    <w:uiPriority w:val="0"/>
    <w:rPr>
      <w:rFonts w:ascii="宋体" w:hAnsi="宋体" w:eastAsia="宋体" w:cs="宋体"/>
      <w:sz w:val="24"/>
      <w:szCs w:val="24"/>
      <w:lang w:val="en-US" w:eastAsia="zh-CN" w:bidi="ar-SA"/>
    </w:rPr>
  </w:style>
  <w:style w:type="paragraph" w:customStyle="1" w:styleId="325">
    <w:name w:val="列出段落11"/>
    <w:basedOn w:val="1"/>
    <w:qFormat/>
    <w:uiPriority w:val="34"/>
    <w:pPr>
      <w:widowControl w:val="0"/>
      <w:ind w:firstLine="420" w:firstLineChars="200"/>
      <w:jc w:val="both"/>
    </w:pPr>
    <w:rPr>
      <w:rFonts w:ascii="Calibri" w:hAnsi="Calibri" w:cs="黑体"/>
      <w:kern w:val="2"/>
      <w:sz w:val="21"/>
      <w:szCs w:val="22"/>
    </w:rPr>
  </w:style>
  <w:style w:type="paragraph" w:customStyle="1" w:styleId="326">
    <w:name w:val="列出段落5"/>
    <w:basedOn w:val="1"/>
    <w:qFormat/>
    <w:uiPriority w:val="0"/>
    <w:pPr>
      <w:widowControl w:val="0"/>
      <w:ind w:firstLine="420" w:firstLineChars="200"/>
      <w:jc w:val="both"/>
    </w:pPr>
    <w:rPr>
      <w:rFonts w:ascii="Calibri" w:hAnsi="Calibri" w:cs="Calibri"/>
      <w:kern w:val="2"/>
      <w:sz w:val="21"/>
      <w:szCs w:val="21"/>
    </w:rPr>
  </w:style>
  <w:style w:type="character" w:customStyle="1" w:styleId="327">
    <w:name w:val="正文文本 字符"/>
    <w:qFormat/>
    <w:uiPriority w:val="0"/>
    <w:rPr>
      <w:kern w:val="2"/>
      <w:sz w:val="28"/>
      <w:szCs w:val="24"/>
    </w:rPr>
  </w:style>
  <w:style w:type="character" w:customStyle="1" w:styleId="328">
    <w:name w:val="正文文本首行缩进 字符"/>
    <w:qFormat/>
    <w:uiPriority w:val="0"/>
    <w:rPr>
      <w:kern w:val="2"/>
      <w:sz w:val="21"/>
      <w:szCs w:val="24"/>
    </w:rPr>
  </w:style>
  <w:style w:type="character" w:customStyle="1" w:styleId="329">
    <w:name w:val="批注文字 字符"/>
    <w:qFormat/>
    <w:uiPriority w:val="0"/>
    <w:rPr>
      <w:kern w:val="2"/>
      <w:sz w:val="21"/>
      <w:szCs w:val="24"/>
    </w:rPr>
  </w:style>
  <w:style w:type="table" w:customStyle="1" w:styleId="330">
    <w:name w:val="TableGrid"/>
    <w:qFormat/>
    <w:uiPriority w:val="0"/>
    <w:rPr>
      <w:rFonts w:ascii="Calibri" w:hAnsi="Calibri"/>
      <w:kern w:val="2"/>
      <w:sz w:val="21"/>
      <w:szCs w:val="22"/>
    </w:rPr>
    <w:tblPr>
      <w:tblLayout w:type="fixed"/>
      <w:tblCellMar>
        <w:top w:w="0" w:type="dxa"/>
        <w:left w:w="0" w:type="dxa"/>
        <w:bottom w:w="0" w:type="dxa"/>
        <w:right w:w="0" w:type="dxa"/>
      </w:tblCellMar>
    </w:tblPr>
  </w:style>
  <w:style w:type="character" w:customStyle="1" w:styleId="331">
    <w:name w:val="列表段落 字符"/>
    <w:link w:val="313"/>
    <w:qFormat/>
    <w:uiPriority w:val="0"/>
    <w:rPr>
      <w:color w:val="000000"/>
      <w:sz w:val="21"/>
      <w:szCs w:val="21"/>
    </w:rPr>
  </w:style>
  <w:style w:type="paragraph" w:customStyle="1" w:styleId="332">
    <w:name w:val="无间隔1"/>
    <w:qFormat/>
    <w:uiPriority w:val="1"/>
    <w:pPr>
      <w:widowControl w:val="0"/>
      <w:spacing w:after="160" w:line="259" w:lineRule="auto"/>
      <w:jc w:val="both"/>
    </w:pPr>
    <w:rPr>
      <w:rFonts w:ascii="Times New Roman" w:hAnsi="Times New Roman" w:eastAsia="宋体" w:cs="Times New Roman"/>
      <w:kern w:val="2"/>
      <w:sz w:val="21"/>
      <w:szCs w:val="22"/>
      <w:lang w:val="en-US" w:eastAsia="zh-CN" w:bidi="ar-SA"/>
    </w:rPr>
  </w:style>
  <w:style w:type="paragraph" w:customStyle="1" w:styleId="333">
    <w:name w:val="TOC 标题2"/>
    <w:basedOn w:val="4"/>
    <w:next w:val="1"/>
    <w:semiHidden/>
    <w:unhideWhenUsed/>
    <w:qFormat/>
    <w:uiPriority w:val="39"/>
    <w:pPr>
      <w:spacing w:before="480" w:after="0" w:line="276" w:lineRule="auto"/>
      <w:outlineLvl w:val="9"/>
    </w:pPr>
    <w:rPr>
      <w:rFonts w:ascii="Cambria" w:hAnsi="Cambria"/>
      <w:color w:val="365F91"/>
      <w:kern w:val="0"/>
      <w:sz w:val="28"/>
      <w:szCs w:val="28"/>
    </w:rPr>
  </w:style>
  <w:style w:type="character" w:customStyle="1" w:styleId="334">
    <w:name w:val="页脚 字符"/>
    <w:qFormat/>
    <w:locked/>
    <w:uiPriority w:val="99"/>
    <w:rPr>
      <w:rFonts w:eastAsia="黑体"/>
      <w:sz w:val="18"/>
      <w:szCs w:val="18"/>
    </w:rPr>
  </w:style>
  <w:style w:type="character" w:customStyle="1" w:styleId="335">
    <w:name w:val="页眉 字符"/>
    <w:qFormat/>
    <w:locked/>
    <w:uiPriority w:val="99"/>
    <w:rPr>
      <w:rFonts w:eastAsia="FangSong_GB2312"/>
      <w:kern w:val="2"/>
      <w:sz w:val="18"/>
    </w:rPr>
  </w:style>
  <w:style w:type="character" w:customStyle="1" w:styleId="336">
    <w:name w:val="批注主题 字符"/>
    <w:qFormat/>
    <w:uiPriority w:val="0"/>
    <w:rPr>
      <w:b/>
      <w:bCs/>
      <w:kern w:val="2"/>
      <w:sz w:val="21"/>
      <w:szCs w:val="24"/>
    </w:rPr>
  </w:style>
  <w:style w:type="paragraph" w:customStyle="1" w:styleId="337">
    <w:name w:val="修订1"/>
    <w:hidden/>
    <w:unhideWhenUsed/>
    <w:qFormat/>
    <w:uiPriority w:val="99"/>
    <w:pPr>
      <w:spacing w:after="160" w:line="259" w:lineRule="auto"/>
    </w:pPr>
    <w:rPr>
      <w:rFonts w:ascii="Times New Roman" w:hAnsi="Times New Roman" w:eastAsia="宋体" w:cs="Times New Roman"/>
      <w:sz w:val="24"/>
      <w:szCs w:val="24"/>
      <w:lang w:val="en-US" w:eastAsia="zh-CN" w:bidi="ar-SA"/>
    </w:rPr>
  </w:style>
  <w:style w:type="character" w:customStyle="1" w:styleId="338">
    <w:name w:val="批注文字 Char3"/>
    <w:basedOn w:val="58"/>
    <w:semiHidden/>
    <w:qFormat/>
    <w:uiPriority w:val="99"/>
    <w:rPr>
      <w:rFonts w:ascii="Times New Roman" w:hAnsi="Times New Roman" w:eastAsia="宋体" w:cs="Times New Roman"/>
      <w:kern w:val="0"/>
      <w:sz w:val="24"/>
      <w:szCs w:val="24"/>
    </w:rPr>
  </w:style>
  <w:style w:type="character" w:customStyle="1" w:styleId="339">
    <w:name w:val="页脚 Char2"/>
    <w:basedOn w:val="58"/>
    <w:semiHidden/>
    <w:qFormat/>
    <w:uiPriority w:val="99"/>
    <w:rPr>
      <w:rFonts w:ascii="Times New Roman" w:hAnsi="Times New Roman" w:eastAsia="宋体" w:cs="Times New Roman"/>
      <w:kern w:val="0"/>
      <w:sz w:val="18"/>
      <w:szCs w:val="18"/>
    </w:rPr>
  </w:style>
  <w:style w:type="character" w:customStyle="1" w:styleId="340">
    <w:name w:val="正文文本 3 Char1"/>
    <w:basedOn w:val="58"/>
    <w:semiHidden/>
    <w:qFormat/>
    <w:uiPriority w:val="99"/>
    <w:rPr>
      <w:rFonts w:ascii="Times New Roman" w:hAnsi="Times New Roman" w:eastAsia="宋体" w:cs="Times New Roman"/>
      <w:kern w:val="0"/>
      <w:sz w:val="16"/>
      <w:szCs w:val="16"/>
    </w:rPr>
  </w:style>
  <w:style w:type="character" w:customStyle="1" w:styleId="341">
    <w:name w:val="正文文本缩进 Char2"/>
    <w:basedOn w:val="58"/>
    <w:semiHidden/>
    <w:qFormat/>
    <w:uiPriority w:val="99"/>
    <w:rPr>
      <w:rFonts w:ascii="Times New Roman" w:hAnsi="Times New Roman" w:eastAsia="宋体" w:cs="Times New Roman"/>
      <w:kern w:val="0"/>
      <w:sz w:val="24"/>
      <w:szCs w:val="24"/>
    </w:rPr>
  </w:style>
  <w:style w:type="character" w:customStyle="1" w:styleId="342">
    <w:name w:val="正文首行缩进 2 Char1"/>
    <w:basedOn w:val="341"/>
    <w:semiHidden/>
    <w:qFormat/>
    <w:uiPriority w:val="99"/>
    <w:rPr>
      <w:rFonts w:ascii="Times New Roman" w:hAnsi="Times New Roman" w:eastAsia="宋体" w:cs="Times New Roman"/>
      <w:kern w:val="0"/>
      <w:sz w:val="24"/>
      <w:szCs w:val="24"/>
    </w:rPr>
  </w:style>
  <w:style w:type="character" w:customStyle="1" w:styleId="343">
    <w:name w:val="正文文本 Char3"/>
    <w:basedOn w:val="58"/>
    <w:semiHidden/>
    <w:qFormat/>
    <w:uiPriority w:val="99"/>
    <w:rPr>
      <w:rFonts w:ascii="Times New Roman" w:hAnsi="Times New Roman" w:eastAsia="宋体" w:cs="Times New Roman"/>
      <w:kern w:val="0"/>
      <w:sz w:val="24"/>
      <w:szCs w:val="24"/>
    </w:rPr>
  </w:style>
  <w:style w:type="character" w:customStyle="1" w:styleId="344">
    <w:name w:val="正文首行缩进 Char2"/>
    <w:basedOn w:val="343"/>
    <w:semiHidden/>
    <w:qFormat/>
    <w:uiPriority w:val="99"/>
    <w:rPr>
      <w:rFonts w:ascii="Times New Roman" w:hAnsi="Times New Roman" w:eastAsia="宋体" w:cs="Times New Roman"/>
      <w:kern w:val="0"/>
      <w:sz w:val="24"/>
      <w:szCs w:val="24"/>
    </w:rPr>
  </w:style>
  <w:style w:type="character" w:customStyle="1" w:styleId="345">
    <w:name w:val="批注框文本 Char2"/>
    <w:basedOn w:val="58"/>
    <w:semiHidden/>
    <w:qFormat/>
    <w:uiPriority w:val="99"/>
    <w:rPr>
      <w:rFonts w:ascii="Times New Roman" w:hAnsi="Times New Roman" w:eastAsia="宋体" w:cs="Times New Roman"/>
      <w:kern w:val="0"/>
      <w:sz w:val="18"/>
      <w:szCs w:val="18"/>
    </w:rPr>
  </w:style>
  <w:style w:type="character" w:customStyle="1" w:styleId="346">
    <w:name w:val="批注主题 Char1"/>
    <w:basedOn w:val="338"/>
    <w:semiHidden/>
    <w:qFormat/>
    <w:uiPriority w:val="99"/>
    <w:rPr>
      <w:rFonts w:ascii="Times New Roman" w:hAnsi="Times New Roman" w:eastAsia="宋体" w:cs="Times New Roman"/>
      <w:b/>
      <w:bCs/>
      <w:kern w:val="0"/>
      <w:sz w:val="24"/>
      <w:szCs w:val="24"/>
    </w:rPr>
  </w:style>
  <w:style w:type="character" w:customStyle="1" w:styleId="347">
    <w:name w:val="正文文本缩进 3 字符"/>
    <w:basedOn w:val="58"/>
    <w:link w:val="43"/>
    <w:qFormat/>
    <w:uiPriority w:val="0"/>
    <w:rPr>
      <w:sz w:val="16"/>
      <w:szCs w:val="16"/>
    </w:rPr>
  </w:style>
  <w:style w:type="character" w:customStyle="1" w:styleId="348">
    <w:name w:val="纯文本 Char4"/>
    <w:basedOn w:val="58"/>
    <w:semiHidden/>
    <w:qFormat/>
    <w:uiPriority w:val="99"/>
    <w:rPr>
      <w:rFonts w:ascii="宋体" w:hAnsi="Courier New" w:eastAsia="宋体" w:cs="Courier New"/>
      <w:kern w:val="0"/>
      <w:szCs w:val="21"/>
    </w:rPr>
  </w:style>
  <w:style w:type="character" w:customStyle="1" w:styleId="349">
    <w:name w:val="标题 Char1"/>
    <w:basedOn w:val="58"/>
    <w:qFormat/>
    <w:uiPriority w:val="10"/>
    <w:rPr>
      <w:rFonts w:eastAsia="宋体" w:asciiTheme="majorHAnsi" w:hAnsiTheme="majorHAnsi" w:cstheme="majorBidi"/>
      <w:b/>
      <w:bCs/>
      <w:kern w:val="0"/>
      <w:sz w:val="32"/>
      <w:szCs w:val="32"/>
    </w:rPr>
  </w:style>
  <w:style w:type="character" w:customStyle="1" w:styleId="350">
    <w:name w:val="正文文本缩进 2 字符"/>
    <w:basedOn w:val="58"/>
    <w:link w:val="33"/>
    <w:qFormat/>
    <w:uiPriority w:val="0"/>
    <w:rPr>
      <w:rFonts w:ascii="宋体" w:eastAsia="新宋体"/>
      <w:sz w:val="24"/>
    </w:rPr>
  </w:style>
  <w:style w:type="character" w:customStyle="1" w:styleId="351">
    <w:name w:val="正文文本 2 字符"/>
    <w:basedOn w:val="58"/>
    <w:link w:val="49"/>
    <w:qFormat/>
    <w:uiPriority w:val="0"/>
    <w:rPr>
      <w:sz w:val="24"/>
      <w:szCs w:val="24"/>
    </w:rPr>
  </w:style>
  <w:style w:type="character" w:customStyle="1" w:styleId="352">
    <w:name w:val="页眉 Char2"/>
    <w:basedOn w:val="58"/>
    <w:semiHidden/>
    <w:qFormat/>
    <w:uiPriority w:val="99"/>
    <w:rPr>
      <w:rFonts w:ascii="Times New Roman" w:hAnsi="Times New Roman" w:eastAsia="宋体" w:cs="Times New Roman"/>
      <w:kern w:val="0"/>
      <w:sz w:val="18"/>
      <w:szCs w:val="18"/>
    </w:rPr>
  </w:style>
  <w:style w:type="character" w:customStyle="1" w:styleId="353">
    <w:name w:val="日期 字符"/>
    <w:basedOn w:val="58"/>
    <w:link w:val="32"/>
    <w:qFormat/>
    <w:uiPriority w:val="0"/>
    <w:rPr>
      <w:sz w:val="24"/>
      <w:szCs w:val="24"/>
    </w:rPr>
  </w:style>
  <w:style w:type="character" w:customStyle="1" w:styleId="354">
    <w:name w:val="文档结构图 Char1"/>
    <w:basedOn w:val="58"/>
    <w:semiHidden/>
    <w:qFormat/>
    <w:uiPriority w:val="99"/>
    <w:rPr>
      <w:rFonts w:ascii="宋体" w:hAnsi="Times New Roman" w:eastAsia="宋体" w:cs="Times New Roman"/>
      <w:kern w:val="0"/>
      <w:sz w:val="18"/>
      <w:szCs w:val="18"/>
    </w:rPr>
  </w:style>
  <w:style w:type="character" w:customStyle="1" w:styleId="355">
    <w:name w:val="bookmark-item"/>
    <w:basedOn w:val="58"/>
    <w:qFormat/>
    <w:uiPriority w:val="0"/>
  </w:style>
  <w:style w:type="paragraph" w:customStyle="1" w:styleId="356">
    <w:name w:val="WPSOffice手动目录 1"/>
    <w:qFormat/>
    <w:uiPriority w:val="0"/>
    <w:pPr>
      <w:spacing w:after="160" w:line="259" w:lineRule="auto"/>
    </w:pPr>
    <w:rPr>
      <w:rFonts w:ascii="Times New Roman" w:hAnsi="Times New Roman" w:eastAsia="宋体" w:cs="Times New Roman"/>
      <w:lang w:val="en-US" w:eastAsia="zh-CN" w:bidi="ar-SA"/>
    </w:rPr>
  </w:style>
  <w:style w:type="paragraph" w:customStyle="1" w:styleId="357">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358">
    <w:name w:val="首行缩进"/>
    <w:basedOn w:val="1"/>
    <w:qFormat/>
    <w:uiPriority w:val="0"/>
    <w:pPr>
      <w:spacing w:line="360" w:lineRule="auto"/>
      <w:ind w:firstLine="480" w:firstLineChars="200"/>
    </w:pPr>
    <w:rPr>
      <w:lang w:val="zh-CN"/>
    </w:rPr>
  </w:style>
  <w:style w:type="character" w:customStyle="1" w:styleId="359">
    <w:name w:val="font41"/>
    <w:basedOn w:val="58"/>
    <w:qFormat/>
    <w:uiPriority w:val="0"/>
    <w:rPr>
      <w:rFonts w:hint="eastAsia" w:ascii="宋体" w:hAnsi="宋体" w:eastAsia="宋体" w:cs="宋体"/>
      <w:color w:val="000000"/>
      <w:sz w:val="20"/>
      <w:szCs w:val="20"/>
      <w:u w:val="none"/>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customXml/item2.xml" Type="http://schemas.openxmlformats.org/officeDocument/2006/relationships/customXml"/><Relationship Id="rId9" Target="customizations.xml" Type="http://schemas.microsoft.com/office/2006/relationships/keyMapCustomizations"/></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8B0131-C7B6-4BBC-AF3A-AF96258F7CA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94</Pages>
  <Words>9968</Words>
  <Characters>56824</Characters>
  <Lines>473</Lines>
  <Paragraphs>133</Paragraphs>
  <TotalTime>133</TotalTime>
  <ScaleCrop>false</ScaleCrop>
  <LinksUpToDate>false</LinksUpToDate>
  <CharactersWithSpaces>66659</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2019-12-03T01:25:00Z</dcterms:created>
  <dc:creator>Administrator</dc:creator>
  <cp:lastModifiedBy>Administrator</cp:lastModifiedBy>
  <cp:lastPrinted>2020-11-12T02:31:00Z</cp:lastPrinted>
  <dcterms:modified xsi:type="dcterms:W3CDTF">2021-03-01T05:45:40Z</dcterms:modified>
  <cp:revision>720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