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53429">
      <w:pPr>
        <w:spacing w:before="31" w:beforeLines="10"/>
        <w:jc w:val="both"/>
        <w:rPr>
          <w:rFonts w:hint="eastAsia" w:ascii="宋体" w:hAnsi="宋体" w:eastAsia="宋体" w:cs="宋体"/>
          <w:b/>
          <w:bCs w:val="0"/>
          <w:i w:val="0"/>
          <w:iCs w:val="0"/>
          <w:color w:val="auto"/>
          <w:spacing w:val="-20"/>
          <w:sz w:val="48"/>
          <w:szCs w:val="48"/>
          <w:highlight w:val="none"/>
          <w:lang w:eastAsia="zh-CN"/>
          <w14:shadow w14:blurRad="50800" w14:dist="38100" w14:dir="2700000" w14:sx="100000" w14:sy="100000" w14:kx="0" w14:ky="0" w14:algn="tl">
            <w14:srgbClr w14:val="000000">
              <w14:alpha w14:val="60000"/>
            </w14:srgbClr>
          </w14:shadow>
        </w:rPr>
      </w:pPr>
      <w:bookmarkStart w:id="0" w:name="_Toc354996693"/>
      <w:bookmarkStart w:id="1" w:name="_Toc33194385"/>
    </w:p>
    <w:p w14:paraId="13E3C3E2">
      <w:pPr>
        <w:spacing w:before="31" w:beforeLines="10"/>
        <w:jc w:val="center"/>
        <w:rPr>
          <w:rFonts w:hint="eastAsia" w:ascii="宋体" w:hAnsi="宋体" w:cs="宋体"/>
          <w:b/>
          <w:i w:val="0"/>
          <w:iCs w:val="0"/>
          <w:color w:val="auto"/>
          <w:sz w:val="44"/>
          <w:szCs w:val="44"/>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bCs w:val="0"/>
          <w:i w:val="0"/>
          <w:iCs w:val="0"/>
          <w:color w:val="auto"/>
          <w:spacing w:val="-20"/>
          <w:sz w:val="48"/>
          <w:szCs w:val="48"/>
          <w:highlight w:val="none"/>
          <w:lang w:eastAsia="zh-CN"/>
          <w14:shadow w14:blurRad="50800" w14:dist="38100" w14:dir="2700000" w14:sx="100000" w14:sy="100000" w14:kx="0" w14:ky="0" w14:algn="tl">
            <w14:srgbClr w14:val="000000">
              <w14:alpha w14:val="60000"/>
            </w14:srgbClr>
          </w14:shadow>
        </w:rPr>
        <w:t xml:space="preserve"> </w:t>
      </w:r>
      <w:r>
        <w:rPr>
          <w:rFonts w:hint="eastAsia" w:ascii="宋体" w:hAnsi="宋体" w:eastAsia="宋体" w:cs="宋体"/>
          <w:b/>
          <w:bCs w:val="0"/>
          <w:i w:val="0"/>
          <w:iCs w:val="0"/>
          <w:color w:val="auto"/>
          <w:spacing w:val="-20"/>
          <w:sz w:val="44"/>
          <w:szCs w:val="44"/>
          <w:highlight w:val="none"/>
          <w:lang w:eastAsia="zh-CN"/>
          <w14:shadow w14:blurRad="50800" w14:dist="38100" w14:dir="2700000" w14:sx="100000" w14:sy="100000" w14:kx="0" w14:ky="0" w14:algn="tl">
            <w14:srgbClr w14:val="000000">
              <w14:alpha w14:val="60000"/>
            </w14:srgbClr>
          </w14:shadow>
        </w:rPr>
        <w:t>衢江区杜泽镇白水村历史文化</w:t>
      </w:r>
      <w:r>
        <w:rPr>
          <w:rFonts w:hint="eastAsia" w:ascii="宋体" w:hAnsi="宋体" w:eastAsia="宋体" w:cs="宋体"/>
          <w:b/>
          <w:bCs w:val="0"/>
          <w:i w:val="0"/>
          <w:iCs w:val="0"/>
          <w:color w:val="auto"/>
          <w:spacing w:val="-20"/>
          <w:sz w:val="44"/>
          <w:szCs w:val="44"/>
          <w:highlight w:val="none"/>
          <w:lang w:val="en-US" w:eastAsia="zh-CN"/>
          <w14:shadow w14:blurRad="50800" w14:dist="38100" w14:dir="2700000" w14:sx="100000" w14:sy="100000" w14:kx="0" w14:ky="0" w14:algn="tl">
            <w14:srgbClr w14:val="000000">
              <w14:alpha w14:val="60000"/>
            </w14:srgbClr>
          </w14:shadow>
        </w:rPr>
        <w:t>重点村规划编制项目</w:t>
      </w:r>
    </w:p>
    <w:p w14:paraId="7BC9AD33">
      <w:pPr>
        <w:spacing w:before="31" w:beforeLines="10"/>
        <w:jc w:val="cente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pPr>
    </w:p>
    <w:p w14:paraId="5D44C359">
      <w:pPr>
        <w:spacing w:before="31" w:beforeLines="10"/>
        <w:jc w:val="cente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pPr>
    </w:p>
    <w:p w14:paraId="12F56BA5">
      <w:pPr>
        <w:spacing w:before="31" w:beforeLines="10"/>
        <w:jc w:val="center"/>
        <w:rPr>
          <w:rFonts w:hint="default" w:ascii="宋体" w:hAnsi="宋体" w:eastAsia="宋体" w:cs="宋体"/>
          <w:b/>
          <w:i w:val="0"/>
          <w:iCs w:val="0"/>
          <w:color w:val="FF0000"/>
          <w:sz w:val="32"/>
          <w:szCs w:val="32"/>
          <w:highlight w:val="none"/>
          <w:lang w:val="en-US" w:eastAsia="zh-CN"/>
          <w14:shadow w14:blurRad="50800" w14:dist="38100" w14:dir="2700000" w14:sx="100000" w14:sy="100000" w14:kx="0" w14:ky="0" w14:algn="tl">
            <w14:srgbClr w14:val="000000">
              <w14:alpha w14:val="60000"/>
            </w14:srgbClr>
          </w14:shadow>
        </w:rPr>
      </w:pP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t>项目编号：（ZLQZ-2507110）</w:t>
      </w:r>
    </w:p>
    <w:p w14:paraId="5438A859">
      <w:pPr>
        <w:widowControl/>
        <w:spacing w:line="360" w:lineRule="auto"/>
        <w:ind w:right="-2"/>
        <w:jc w:val="center"/>
        <w:rPr>
          <w:rFonts w:hint="eastAsia" w:ascii="宋体" w:hAnsi="宋体" w:cs="宋体"/>
          <w:b/>
          <w:i w:val="0"/>
          <w:iCs w:val="0"/>
          <w:color w:val="auto"/>
          <w:sz w:val="36"/>
          <w:highlight w:val="none"/>
          <w14:shadow w14:blurRad="50800" w14:dist="38100" w14:dir="2700000" w14:sx="100000" w14:sy="100000" w14:kx="0" w14:ky="0" w14:algn="tl">
            <w14:srgbClr w14:val="000000">
              <w14:alpha w14:val="60000"/>
            </w14:srgbClr>
          </w14:shadow>
        </w:rPr>
      </w:pP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t>（线上电子标）</w:t>
      </w:r>
    </w:p>
    <w:p w14:paraId="5F6E9B47">
      <w:pPr>
        <w:tabs>
          <w:tab w:val="left" w:pos="0"/>
          <w:tab w:val="left" w:pos="2140"/>
          <w:tab w:val="center" w:pos="4753"/>
        </w:tabs>
        <w:spacing w:before="31" w:beforeLines="10"/>
        <w:rPr>
          <w:rFonts w:hint="eastAsia" w:ascii="宋体" w:hAnsi="宋体" w:cs="宋体"/>
          <w:b/>
          <w:i w:val="0"/>
          <w:iCs w:val="0"/>
          <w:color w:val="auto"/>
          <w:sz w:val="48"/>
          <w:szCs w:val="48"/>
          <w:highlight w:val="none"/>
          <w14:shadow w14:blurRad="50800" w14:dist="38100" w14:dir="2700000" w14:sx="100000" w14:sy="100000" w14:kx="0" w14:ky="0" w14:algn="tl">
            <w14:srgbClr w14:val="000000">
              <w14:alpha w14:val="60000"/>
            </w14:srgbClr>
          </w14:shadow>
        </w:rPr>
      </w:pPr>
    </w:p>
    <w:p w14:paraId="4D461FB8">
      <w:pPr>
        <w:tabs>
          <w:tab w:val="left" w:pos="4500"/>
        </w:tabs>
        <w:autoSpaceDE w:val="0"/>
        <w:autoSpaceDN w:val="0"/>
        <w:adjustRightInd w:val="0"/>
        <w:snapToGrid w:val="0"/>
        <w:jc w:val="center"/>
        <w:textAlignment w:val="bottom"/>
        <w:rPr>
          <w:rFonts w:hint="eastAsia" w:ascii="宋体" w:hAnsi="宋体" w:cs="宋体"/>
          <w:b/>
          <w:i w:val="0"/>
          <w:iCs w:val="0"/>
          <w:color w:val="auto"/>
          <w:sz w:val="80"/>
          <w:szCs w:val="80"/>
          <w:highlight w:val="none"/>
          <w14:shadow w14:blurRad="50800" w14:dist="38100" w14:dir="2700000" w14:sx="100000" w14:sy="100000" w14:kx="0" w14:ky="0" w14:algn="tl">
            <w14:srgbClr w14:val="000000">
              <w14:alpha w14:val="60000"/>
            </w14:srgbClr>
          </w14:shadow>
        </w:rPr>
      </w:pPr>
    </w:p>
    <w:p w14:paraId="6156F287">
      <w:pPr>
        <w:tabs>
          <w:tab w:val="left" w:pos="4500"/>
        </w:tabs>
        <w:autoSpaceDE w:val="0"/>
        <w:autoSpaceDN w:val="0"/>
        <w:adjustRightInd w:val="0"/>
        <w:snapToGrid w:val="0"/>
        <w:jc w:val="center"/>
        <w:textAlignment w:val="bottom"/>
        <w:rPr>
          <w:rFonts w:hint="eastAsia" w:ascii="宋体" w:hAnsi="宋体" w:cs="宋体"/>
          <w:b/>
          <w:i w:val="0"/>
          <w:iCs w:val="0"/>
          <w:color w:val="auto"/>
          <w:sz w:val="72"/>
          <w:szCs w:val="72"/>
          <w:highlight w:val="none"/>
          <w14:shadow w14:blurRad="50800" w14:dist="38100" w14:dir="2700000" w14:sx="100000" w14:sy="100000" w14:kx="0" w14:ky="0" w14:algn="tl">
            <w14:srgbClr w14:val="000000">
              <w14:alpha w14:val="60000"/>
            </w14:srgbClr>
          </w14:shadow>
        </w:rPr>
      </w:pPr>
      <w:r>
        <w:rPr>
          <w:rFonts w:hint="eastAsia" w:ascii="宋体" w:hAnsi="宋体" w:cs="宋体"/>
          <w:b/>
          <w:bCs w:val="0"/>
          <w:i w:val="0"/>
          <w:iCs w:val="0"/>
          <w:color w:val="auto"/>
          <w:spacing w:val="-20"/>
          <w:sz w:val="72"/>
          <w:szCs w:val="72"/>
          <w:highlight w:val="none"/>
          <w:lang w:val="en-US" w:eastAsia="zh-CN"/>
          <w14:shadow w14:blurRad="50800" w14:dist="38100" w14:dir="2700000" w14:sx="100000" w14:sy="100000" w14:kx="0" w14:ky="0" w14:algn="tl">
            <w14:srgbClr w14:val="000000">
              <w14:alpha w14:val="60000"/>
            </w14:srgbClr>
          </w14:shadow>
        </w:rPr>
        <w:t>采购</w:t>
      </w:r>
      <w:r>
        <w:rPr>
          <w:rFonts w:hint="eastAsia" w:ascii="宋体" w:hAnsi="宋体" w:eastAsia="宋体" w:cs="宋体"/>
          <w:b/>
          <w:bCs w:val="0"/>
          <w:i w:val="0"/>
          <w:iCs w:val="0"/>
          <w:color w:val="auto"/>
          <w:spacing w:val="-20"/>
          <w:sz w:val="72"/>
          <w:szCs w:val="72"/>
          <w:highlight w:val="none"/>
          <w:lang w:eastAsia="zh-CN"/>
          <w14:shadow w14:blurRad="50800" w14:dist="38100" w14:dir="2700000" w14:sx="100000" w14:sy="100000" w14:kx="0" w14:ky="0" w14:algn="tl">
            <w14:srgbClr w14:val="000000">
              <w14:alpha w14:val="60000"/>
            </w14:srgbClr>
          </w14:shadow>
        </w:rPr>
        <w:t>文件</w:t>
      </w:r>
    </w:p>
    <w:p w14:paraId="58865427">
      <w:pPr>
        <w:autoSpaceDE w:val="0"/>
        <w:autoSpaceDN w:val="0"/>
        <w:adjustRightInd w:val="0"/>
        <w:snapToGrid w:val="0"/>
        <w:spacing w:before="31" w:beforeLines="10"/>
        <w:jc w:val="center"/>
        <w:textAlignment w:val="bottom"/>
        <w:rPr>
          <w:rFonts w:hint="eastAsia" w:ascii="宋体" w:hAnsi="宋体" w:cs="宋体"/>
          <w:b/>
          <w:i w:val="0"/>
          <w:iCs w:val="0"/>
          <w:color w:val="auto"/>
          <w:highlight w:val="none"/>
          <w14:shadow w14:blurRad="50800" w14:dist="38100" w14:dir="2700000" w14:sx="100000" w14:sy="100000" w14:kx="0" w14:ky="0" w14:algn="tl">
            <w14:srgbClr w14:val="000000">
              <w14:alpha w14:val="60000"/>
            </w14:srgbClr>
          </w14:shadow>
        </w:rPr>
      </w:pPr>
    </w:p>
    <w:p w14:paraId="4AFF167D">
      <w:pPr>
        <w:autoSpaceDE w:val="0"/>
        <w:autoSpaceDN w:val="0"/>
        <w:adjustRightInd w:val="0"/>
        <w:snapToGrid w:val="0"/>
        <w:spacing w:before="31" w:beforeLines="10"/>
        <w:jc w:val="center"/>
        <w:textAlignment w:val="bottom"/>
        <w:rPr>
          <w:rFonts w:hint="eastAsia" w:ascii="宋体" w:hAnsi="宋体" w:cs="宋体"/>
          <w:b/>
          <w:i w:val="0"/>
          <w:iCs w:val="0"/>
          <w:color w:val="auto"/>
          <w:highlight w:val="none"/>
          <w14:shadow w14:blurRad="50800" w14:dist="38100" w14:dir="2700000" w14:sx="100000" w14:sy="100000" w14:kx="0" w14:ky="0" w14:algn="tl">
            <w14:srgbClr w14:val="000000">
              <w14:alpha w14:val="60000"/>
            </w14:srgbClr>
          </w14:shadow>
        </w:rPr>
      </w:pPr>
    </w:p>
    <w:p w14:paraId="61F8A34F">
      <w:pPr>
        <w:autoSpaceDE w:val="0"/>
        <w:autoSpaceDN w:val="0"/>
        <w:adjustRightInd w:val="0"/>
        <w:snapToGrid w:val="0"/>
        <w:spacing w:before="31" w:beforeLines="10"/>
        <w:jc w:val="center"/>
        <w:textAlignment w:val="bottom"/>
        <w:rPr>
          <w:rFonts w:hint="eastAsia" w:ascii="宋体" w:hAnsi="宋体" w:cs="宋体"/>
          <w:b/>
          <w:i w:val="0"/>
          <w:iCs w:val="0"/>
          <w:color w:val="auto"/>
          <w:highlight w:val="none"/>
          <w14:shadow w14:blurRad="50800" w14:dist="38100" w14:dir="2700000" w14:sx="100000" w14:sy="100000" w14:kx="0" w14:ky="0" w14:algn="tl">
            <w14:srgbClr w14:val="000000">
              <w14:alpha w14:val="60000"/>
            </w14:srgbClr>
          </w14:shadow>
        </w:rPr>
      </w:pPr>
    </w:p>
    <w:p w14:paraId="267EC931">
      <w:pPr>
        <w:wordWrap w:val="0"/>
        <w:topLinePunct/>
        <w:adjustRightInd w:val="0"/>
        <w:snapToGrid w:val="0"/>
        <w:spacing w:line="600" w:lineRule="exact"/>
        <w:jc w:val="center"/>
        <w:textAlignment w:val="bottom"/>
        <w:rPr>
          <w:rFonts w:hint="eastAsia" w:ascii="宋体" w:hAnsi="宋体" w:eastAsia="宋体" w:cs="宋体"/>
          <w:b/>
          <w:i w:val="0"/>
          <w:iCs w:val="0"/>
          <w:color w:val="auto"/>
          <w:sz w:val="32"/>
          <w:szCs w:val="32"/>
          <w:highlight w:val="none"/>
          <w14:shadow w14:blurRad="50800" w14:dist="38100" w14:dir="2700000" w14:sx="100000" w14:sy="100000" w14:kx="0" w14:ky="0" w14:algn="tl">
            <w14:srgbClr w14:val="000000">
              <w14:alpha w14:val="60000"/>
            </w14:srgbClr>
          </w14:shadow>
        </w:rPr>
      </w:pPr>
    </w:p>
    <w:p w14:paraId="7987D1A3">
      <w:pPr>
        <w:wordWrap w:val="0"/>
        <w:topLinePunct/>
        <w:adjustRightInd w:val="0"/>
        <w:snapToGrid w:val="0"/>
        <w:spacing w:line="600" w:lineRule="exact"/>
        <w:jc w:val="both"/>
        <w:textAlignment w:val="bottom"/>
        <w:rPr>
          <w:rFonts w:hint="eastAsia" w:ascii="宋体" w:hAnsi="宋体" w:eastAsia="宋体" w:cs="宋体"/>
          <w:b/>
          <w:i w:val="0"/>
          <w:iCs w:val="0"/>
          <w:color w:val="auto"/>
          <w:sz w:val="32"/>
          <w:szCs w:val="32"/>
          <w:highlight w:val="none"/>
          <w14:shadow w14:blurRad="50800" w14:dist="38100" w14:dir="2700000" w14:sx="100000" w14:sy="100000" w14:kx="0" w14:ky="0" w14:algn="tl">
            <w14:srgbClr w14:val="000000">
              <w14:alpha w14:val="60000"/>
            </w14:srgbClr>
          </w14:shadow>
        </w:rPr>
      </w:pPr>
    </w:p>
    <w:p w14:paraId="41E83B12">
      <w:pPr>
        <w:wordWrap w:val="0"/>
        <w:topLinePunct/>
        <w:adjustRightInd w:val="0"/>
        <w:snapToGrid w:val="0"/>
        <w:spacing w:line="600" w:lineRule="exact"/>
        <w:ind w:firstLine="1285" w:firstLineChars="400"/>
        <w:jc w:val="both"/>
        <w:textAlignment w:val="bottom"/>
        <w:rPr>
          <w:rFonts w:hint="eastAsia" w:ascii="宋体" w:hAnsi="宋体" w:eastAsia="宋体" w:cs="宋体"/>
          <w:b/>
          <w:i w:val="0"/>
          <w:iCs w:val="0"/>
          <w:color w:val="auto"/>
          <w:sz w:val="32"/>
          <w:szCs w:val="32"/>
          <w:highlight w:val="none"/>
          <w14:shadow w14:blurRad="50800" w14:dist="38100" w14:dir="2700000" w14:sx="100000" w14:sy="100000" w14:kx="0" w14:ky="0" w14:algn="tl">
            <w14:srgbClr w14:val="000000">
              <w14:alpha w14:val="60000"/>
            </w14:srgbClr>
          </w14:shadow>
        </w:rPr>
      </w:pPr>
    </w:p>
    <w:p w14:paraId="24E6192D">
      <w:pPr>
        <w:wordWrap w:val="0"/>
        <w:topLinePunct/>
        <w:adjustRightInd w:val="0"/>
        <w:snapToGrid w:val="0"/>
        <w:spacing w:line="600" w:lineRule="exact"/>
        <w:ind w:firstLine="1285" w:firstLineChars="400"/>
        <w:jc w:val="both"/>
        <w:textAlignment w:val="bottom"/>
        <w:rPr>
          <w:rFonts w:hint="eastAsia" w:ascii="宋体" w:hAnsi="宋体" w:eastAsia="宋体" w:cs="宋体"/>
          <w:b/>
          <w:i w:val="0"/>
          <w:iCs w:val="0"/>
          <w:color w:val="auto"/>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i w:val="0"/>
          <w:iCs w:val="0"/>
          <w:color w:val="auto"/>
          <w:sz w:val="32"/>
          <w:szCs w:val="32"/>
          <w:highlight w:val="none"/>
          <w14:shadow w14:blurRad="50800" w14:dist="38100" w14:dir="2700000" w14:sx="100000" w14:sy="100000" w14:kx="0" w14:ky="0" w14:algn="tl">
            <w14:srgbClr w14:val="000000">
              <w14:alpha w14:val="60000"/>
            </w14:srgbClr>
          </w14:shadow>
        </w:rPr>
        <w:t>采 购 人：</w:t>
      </w:r>
      <w:r>
        <w:rPr>
          <w:rFonts w:hint="eastAsia" w:ascii="宋体" w:hAnsi="宋体" w:eastAsia="宋体" w:cs="宋体"/>
          <w:b/>
          <w:i w:val="0"/>
          <w:iCs w:val="0"/>
          <w:color w:val="auto"/>
          <w:sz w:val="32"/>
          <w:szCs w:val="32"/>
          <w:highlight w:val="none"/>
          <w:lang w:eastAsia="zh-CN"/>
          <w14:shadow w14:blurRad="50800" w14:dist="38100" w14:dir="2700000" w14:sx="100000" w14:sy="100000" w14:kx="0" w14:ky="0" w14:algn="tl">
            <w14:srgbClr w14:val="000000">
              <w14:alpha w14:val="60000"/>
            </w14:srgbClr>
          </w14:shadow>
        </w:rPr>
        <w:t>衢州市衢江区</w:t>
      </w:r>
      <w:r>
        <w:rPr>
          <w:rFonts w:hint="eastAsia" w:ascii="宋体" w:hAnsi="宋体" w:eastAsia="宋体" w:cs="宋体"/>
          <w:b/>
          <w:i w:val="0"/>
          <w:iCs w:val="0"/>
          <w:color w:val="auto"/>
          <w:sz w:val="32"/>
          <w:szCs w:val="32"/>
          <w:highlight w:val="none"/>
          <w:lang w:val="en-US" w:eastAsia="zh-CN"/>
          <w14:shadow w14:blurRad="50800" w14:dist="38100" w14:dir="2700000" w14:sx="100000" w14:sy="100000" w14:kx="0" w14:ky="0" w14:algn="tl">
            <w14:srgbClr w14:val="000000">
              <w14:alpha w14:val="60000"/>
            </w14:srgbClr>
          </w14:shadow>
        </w:rPr>
        <w:t>杜泽</w:t>
      </w:r>
      <w:r>
        <w:rPr>
          <w:rFonts w:hint="eastAsia" w:ascii="宋体" w:hAnsi="宋体" w:eastAsia="宋体" w:cs="宋体"/>
          <w:b/>
          <w:i w:val="0"/>
          <w:iCs w:val="0"/>
          <w:color w:val="auto"/>
          <w:sz w:val="32"/>
          <w:szCs w:val="32"/>
          <w:highlight w:val="none"/>
          <w:lang w:eastAsia="zh-CN"/>
          <w14:shadow w14:blurRad="50800" w14:dist="38100" w14:dir="2700000" w14:sx="100000" w14:sy="100000" w14:kx="0" w14:ky="0" w14:algn="tl">
            <w14:srgbClr w14:val="000000">
              <w14:alpha w14:val="60000"/>
            </w14:srgbClr>
          </w14:shadow>
        </w:rPr>
        <w:t>镇人民政府</w:t>
      </w:r>
    </w:p>
    <w:p w14:paraId="26FDDA6A">
      <w:pPr>
        <w:autoSpaceDE w:val="0"/>
        <w:autoSpaceDN w:val="0"/>
        <w:adjustRightInd w:val="0"/>
        <w:snapToGrid w:val="0"/>
        <w:spacing w:line="600" w:lineRule="exact"/>
        <w:jc w:val="center"/>
        <w:textAlignment w:val="bottom"/>
        <w:rPr>
          <w:rFonts w:hint="eastAsia" w:ascii="宋体" w:hAnsi="宋体" w:eastAsia="宋体" w:cs="宋体"/>
          <w:b/>
          <w:i w:val="0"/>
          <w:iCs w:val="0"/>
          <w:color w:val="auto"/>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t>招标代理机构:</w:t>
      </w:r>
      <w:r>
        <w:rPr>
          <w:rFonts w:hint="eastAsia" w:ascii="宋体" w:hAnsi="宋体" w:cs="宋体"/>
          <w:b/>
          <w:i w:val="0"/>
          <w:iCs w:val="0"/>
          <w:color w:val="auto"/>
          <w:sz w:val="32"/>
          <w:szCs w:val="32"/>
          <w:highlight w:val="none"/>
          <w:lang w:eastAsia="zh-CN"/>
          <w14:shadow w14:blurRad="50800" w14:dist="38100" w14:dir="2700000" w14:sx="100000" w14:sy="100000" w14:kx="0" w14:ky="0" w14:algn="tl">
            <w14:srgbClr w14:val="000000">
              <w14:alpha w14:val="60000"/>
            </w14:srgbClr>
          </w14:shadow>
        </w:rPr>
        <w:t xml:space="preserve"> 浙江中兰工程项目管理有限公司</w:t>
      </w:r>
    </w:p>
    <w:p w14:paraId="55214BAA">
      <w:pPr>
        <w:autoSpaceDE w:val="0"/>
        <w:autoSpaceDN w:val="0"/>
        <w:adjustRightInd w:val="0"/>
        <w:snapToGrid w:val="0"/>
        <w:spacing w:line="600" w:lineRule="exact"/>
        <w:ind w:firstLine="3213" w:firstLineChars="1000"/>
        <w:textAlignment w:val="bottom"/>
        <w:rPr>
          <w:rFonts w:hint="eastAsia" w:ascii="宋体" w:hAnsi="宋体" w:cs="宋体"/>
          <w:b/>
          <w:i w:val="0"/>
          <w:iCs w:val="0"/>
          <w:color w:val="auto"/>
          <w:sz w:val="36"/>
          <w:highlight w:val="none"/>
        </w:rPr>
      </w:pP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t>二</w:t>
      </w:r>
      <w:r>
        <w:rPr>
          <w:rFonts w:hint="eastAsia" w:ascii="宋体" w:hAnsi="宋体" w:cs="宋体"/>
          <w:b/>
          <w:i w:val="0"/>
          <w:iCs w:val="0"/>
          <w:color w:val="auto"/>
          <w:sz w:val="32"/>
          <w:szCs w:val="32"/>
          <w:highlight w:val="none"/>
          <w:lang w:eastAsia="zh-CN"/>
          <w14:shadow w14:blurRad="50800" w14:dist="38100" w14:dir="2700000" w14:sx="100000" w14:sy="100000" w14:kx="0" w14:ky="0" w14:algn="tl">
            <w14:srgbClr w14:val="000000">
              <w14:alpha w14:val="60000"/>
            </w14:srgbClr>
          </w14:shadow>
        </w:rPr>
        <w:t>〇</w:t>
      </w: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t>二</w:t>
      </w:r>
      <w:r>
        <w:rPr>
          <w:rFonts w:hint="eastAsia" w:ascii="宋体" w:hAnsi="宋体" w:cs="宋体"/>
          <w:b/>
          <w:i w:val="0"/>
          <w:iCs w:val="0"/>
          <w:color w:val="auto"/>
          <w:sz w:val="32"/>
          <w:szCs w:val="32"/>
          <w:highlight w:val="none"/>
          <w:lang w:val="en-US" w:eastAsia="zh-CN"/>
          <w14:shadow w14:blurRad="50800" w14:dist="38100" w14:dir="2700000" w14:sx="100000" w14:sy="100000" w14:kx="0" w14:ky="0" w14:algn="tl">
            <w14:srgbClr w14:val="000000">
              <w14:alpha w14:val="60000"/>
            </w14:srgbClr>
          </w14:shadow>
        </w:rPr>
        <w:t>五</w:t>
      </w: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t>年</w:t>
      </w:r>
      <w:r>
        <w:rPr>
          <w:rFonts w:hint="eastAsia" w:ascii="宋体" w:hAnsi="宋体" w:cs="宋体"/>
          <w:b/>
          <w:i w:val="0"/>
          <w:iCs w:val="0"/>
          <w:color w:val="auto"/>
          <w:sz w:val="32"/>
          <w:szCs w:val="32"/>
          <w:highlight w:val="none"/>
          <w:lang w:val="en-US" w:eastAsia="zh-CN"/>
          <w14:shadow w14:blurRad="50800" w14:dist="38100" w14:dir="2700000" w14:sx="100000" w14:sy="100000" w14:kx="0" w14:ky="0" w14:algn="tl">
            <w14:srgbClr w14:val="000000">
              <w14:alpha w14:val="60000"/>
            </w14:srgbClr>
          </w14:shadow>
        </w:rPr>
        <w:t>七</w:t>
      </w: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t>月</w:t>
      </w:r>
    </w:p>
    <w:p w14:paraId="46F5A006">
      <w:pPr>
        <w:rPr>
          <w:rFonts w:hint="eastAsia"/>
          <w:i w:val="0"/>
          <w:iCs w:val="0"/>
          <w:color w:val="auto"/>
          <w:highlight w:val="none"/>
        </w:rPr>
      </w:pPr>
      <w:bookmarkStart w:id="2" w:name="_Toc453854704"/>
      <w:bookmarkStart w:id="3" w:name="_Toc233618969"/>
      <w:bookmarkStart w:id="4" w:name="_Toc91899869"/>
    </w:p>
    <w:p w14:paraId="5CF8D37C">
      <w:pPr>
        <w:pStyle w:val="5"/>
        <w:rPr>
          <w:rFonts w:hint="eastAsia" w:ascii="宋体" w:hAnsi="宋体" w:eastAsia="宋体" w:cs="宋体"/>
          <w:i w:val="0"/>
          <w:iCs w:val="0"/>
          <w:color w:val="auto"/>
          <w:szCs w:val="32"/>
          <w:highlight w:val="none"/>
        </w:rPr>
        <w:sectPr>
          <w:headerReference r:id="rId3" w:type="default"/>
          <w:footerReference r:id="rId4" w:type="default"/>
          <w:footerReference r:id="rId5" w:type="even"/>
          <w:pgSz w:w="11906" w:h="16838"/>
          <w:pgMar w:top="0" w:right="1192" w:bottom="1078" w:left="1474" w:header="680" w:footer="680" w:gutter="0"/>
          <w:pgBorders w:zOrder="back">
            <w:top w:val="none" w:sz="0" w:space="0"/>
            <w:left w:val="none" w:sz="0" w:space="0"/>
            <w:bottom w:val="none" w:sz="0" w:space="0"/>
            <w:right w:val="none" w:sz="0" w:space="0"/>
          </w:pgBorders>
          <w:pgNumType w:fmt="decimal" w:start="1"/>
          <w:cols w:space="720" w:num="1"/>
          <w:docGrid w:type="lines" w:linePitch="315" w:charSpace="0"/>
        </w:sectPr>
      </w:pPr>
    </w:p>
    <w:p w14:paraId="4CBBC45E">
      <w:pPr>
        <w:pStyle w:val="5"/>
        <w:rPr>
          <w:rFonts w:hint="eastAsia" w:ascii="宋体" w:hAnsi="宋体" w:eastAsia="宋体" w:cs="宋体"/>
          <w:i w:val="0"/>
          <w:iCs w:val="0"/>
          <w:color w:val="auto"/>
          <w:szCs w:val="32"/>
          <w:highlight w:val="none"/>
        </w:rPr>
      </w:pPr>
      <w:r>
        <w:rPr>
          <w:rFonts w:hint="eastAsia" w:ascii="宋体" w:hAnsi="宋体" w:eastAsia="宋体" w:cs="宋体"/>
          <w:i w:val="0"/>
          <w:iCs w:val="0"/>
          <w:color w:val="auto"/>
          <w:szCs w:val="32"/>
          <w:highlight w:val="none"/>
        </w:rPr>
        <w:t>目 录</w:t>
      </w:r>
    </w:p>
    <w:p w14:paraId="53EB11D7">
      <w:pPr>
        <w:rPr>
          <w:rFonts w:hint="eastAsia" w:ascii="宋体" w:hAnsi="宋体" w:cs="宋体"/>
          <w:i w:val="0"/>
          <w:iCs w:val="0"/>
          <w:color w:val="auto"/>
          <w:sz w:val="24"/>
          <w:highlight w:val="none"/>
        </w:rPr>
      </w:pPr>
    </w:p>
    <w:p w14:paraId="15D4456A">
      <w:pPr>
        <w:snapToGrid w:val="0"/>
        <w:spacing w:line="560" w:lineRule="exact"/>
        <w:jc w:val="left"/>
        <w:outlineLvl w:val="1"/>
        <w:rPr>
          <w:rFonts w:hint="default" w:ascii="宋体" w:hAnsi="宋体" w:eastAsia="宋体" w:cs="宋体"/>
          <w:bCs/>
          <w:i w:val="0"/>
          <w:iCs w:val="0"/>
          <w:color w:val="auto"/>
          <w:sz w:val="24"/>
          <w:highlight w:val="none"/>
          <w:lang w:val="en-US" w:eastAsia="zh-CN"/>
        </w:rPr>
      </w:pPr>
      <w:r>
        <w:rPr>
          <w:rFonts w:hint="eastAsia" w:ascii="宋体" w:hAnsi="宋体" w:cs="宋体"/>
          <w:bCs/>
          <w:i w:val="0"/>
          <w:iCs w:val="0"/>
          <w:color w:val="auto"/>
          <w:sz w:val="24"/>
          <w:highlight w:val="none"/>
        </w:rPr>
        <w:t>第一部分 招标公告...........................................................</w:t>
      </w:r>
      <w:r>
        <w:rPr>
          <w:rFonts w:hint="eastAsia" w:ascii="宋体" w:hAnsi="宋体" w:cs="宋体"/>
          <w:bCs/>
          <w:i w:val="0"/>
          <w:iCs w:val="0"/>
          <w:color w:val="auto"/>
          <w:sz w:val="24"/>
          <w:highlight w:val="none"/>
          <w:lang w:val="en-US" w:eastAsia="zh-CN"/>
        </w:rPr>
        <w:t>2</w:t>
      </w:r>
      <w:r>
        <w:rPr>
          <w:rFonts w:hint="eastAsia" w:ascii="宋体" w:hAnsi="宋体" w:eastAsia="宋体" w:cs="宋体"/>
          <w:bCs/>
          <w:i w:val="0"/>
          <w:iCs w:val="0"/>
          <w:color w:val="auto"/>
          <w:sz w:val="24"/>
          <w:highlight w:val="none"/>
        </w:rPr>
        <w:t>第二部分 编制和提交投标文件须知.............................................</w:t>
      </w:r>
      <w:r>
        <w:rPr>
          <w:rFonts w:hint="eastAsia" w:ascii="宋体" w:hAnsi="宋体" w:cs="宋体"/>
          <w:bCs/>
          <w:i w:val="0"/>
          <w:iCs w:val="0"/>
          <w:color w:val="auto"/>
          <w:sz w:val="24"/>
          <w:highlight w:val="none"/>
          <w:lang w:val="en-US" w:eastAsia="zh-CN"/>
        </w:rPr>
        <w:t>6</w:t>
      </w:r>
    </w:p>
    <w:p w14:paraId="4ABACDA0">
      <w:pPr>
        <w:snapToGrid w:val="0"/>
        <w:spacing w:line="560" w:lineRule="exact"/>
        <w:jc w:val="left"/>
        <w:outlineLvl w:val="1"/>
        <w:rPr>
          <w:rFonts w:hint="default" w:ascii="宋体" w:hAnsi="宋体" w:eastAsia="宋体" w:cs="宋体"/>
          <w:bCs/>
          <w:i w:val="0"/>
          <w:iCs w:val="0"/>
          <w:color w:val="auto"/>
          <w:sz w:val="24"/>
          <w:highlight w:val="none"/>
          <w:lang w:val="en-US" w:eastAsia="zh-CN"/>
        </w:rPr>
      </w:pPr>
      <w:r>
        <w:rPr>
          <w:rFonts w:hint="eastAsia" w:ascii="宋体" w:hAnsi="宋体" w:eastAsia="宋体" w:cs="宋体"/>
          <w:bCs/>
          <w:i w:val="0"/>
          <w:iCs w:val="0"/>
          <w:color w:val="auto"/>
          <w:sz w:val="24"/>
          <w:highlight w:val="none"/>
        </w:rPr>
        <w:t xml:space="preserve">第三部分 </w:t>
      </w:r>
      <w:r>
        <w:rPr>
          <w:rFonts w:hint="eastAsia" w:ascii="宋体" w:hAnsi="宋体" w:eastAsia="宋体" w:cs="宋体"/>
          <w:bCs/>
          <w:i w:val="0"/>
          <w:iCs w:val="0"/>
          <w:color w:val="auto"/>
          <w:sz w:val="24"/>
          <w:highlight w:val="none"/>
          <w:lang w:eastAsia="zh-CN"/>
        </w:rPr>
        <w:t>采购需求</w:t>
      </w:r>
      <w:r>
        <w:rPr>
          <w:rFonts w:hint="eastAsia" w:ascii="宋体" w:hAnsi="宋体" w:eastAsia="宋体" w:cs="宋体"/>
          <w:bCs/>
          <w:i w:val="0"/>
          <w:iCs w:val="0"/>
          <w:color w:val="auto"/>
          <w:sz w:val="24"/>
          <w:highlight w:val="none"/>
        </w:rPr>
        <w:t>......................................................... 2</w:t>
      </w:r>
      <w:r>
        <w:rPr>
          <w:rFonts w:hint="eastAsia" w:ascii="宋体" w:hAnsi="宋体" w:cs="宋体"/>
          <w:bCs/>
          <w:i w:val="0"/>
          <w:iCs w:val="0"/>
          <w:color w:val="auto"/>
          <w:sz w:val="24"/>
          <w:highlight w:val="none"/>
          <w:lang w:val="en-US" w:eastAsia="zh-CN"/>
        </w:rPr>
        <w:t>1</w:t>
      </w:r>
      <w:r>
        <w:rPr>
          <w:rFonts w:hint="eastAsia" w:ascii="宋体" w:hAnsi="宋体" w:eastAsia="宋体" w:cs="宋体"/>
          <w:bCs/>
          <w:i w:val="0"/>
          <w:iCs w:val="0"/>
          <w:color w:val="auto"/>
          <w:sz w:val="24"/>
          <w:highlight w:val="none"/>
        </w:rPr>
        <w:t>第</w:t>
      </w:r>
      <w:r>
        <w:rPr>
          <w:rFonts w:hint="eastAsia" w:ascii="宋体" w:hAnsi="宋体" w:eastAsia="宋体" w:cs="宋体"/>
          <w:bCs/>
          <w:i w:val="0"/>
          <w:iCs w:val="0"/>
          <w:color w:val="auto"/>
          <w:sz w:val="24"/>
          <w:highlight w:val="none"/>
          <w:lang w:eastAsia="zh-CN"/>
        </w:rPr>
        <w:t>四</w:t>
      </w:r>
      <w:r>
        <w:rPr>
          <w:rFonts w:hint="eastAsia" w:ascii="宋体" w:hAnsi="宋体" w:eastAsia="宋体" w:cs="宋体"/>
          <w:bCs/>
          <w:i w:val="0"/>
          <w:iCs w:val="0"/>
          <w:color w:val="auto"/>
          <w:sz w:val="24"/>
          <w:highlight w:val="none"/>
        </w:rPr>
        <w:t>部分</w:t>
      </w:r>
      <w:r>
        <w:rPr>
          <w:rFonts w:hint="eastAsia" w:ascii="宋体" w:hAnsi="宋体" w:eastAsia="宋体" w:cs="宋体"/>
          <w:bCs/>
          <w:i w:val="0"/>
          <w:iCs w:val="0"/>
          <w:color w:val="auto"/>
          <w:sz w:val="24"/>
          <w:highlight w:val="none"/>
          <w:lang w:eastAsia="zh-CN"/>
        </w:rPr>
        <w:t xml:space="preserve"> </w:t>
      </w:r>
      <w:r>
        <w:rPr>
          <w:rFonts w:hint="eastAsia" w:ascii="宋体" w:hAnsi="宋体" w:eastAsia="宋体" w:cs="宋体"/>
          <w:bCs/>
          <w:i w:val="0"/>
          <w:iCs w:val="0"/>
          <w:color w:val="auto"/>
          <w:sz w:val="24"/>
          <w:highlight w:val="none"/>
          <w:lang w:val="zh-CN" w:eastAsia="zh-CN"/>
        </w:rPr>
        <w:t>评标办法</w:t>
      </w:r>
      <w:r>
        <w:rPr>
          <w:rFonts w:hint="eastAsia" w:ascii="宋体" w:hAnsi="宋体" w:eastAsia="宋体" w:cs="宋体"/>
          <w:bCs/>
          <w:i w:val="0"/>
          <w:iCs w:val="0"/>
          <w:color w:val="auto"/>
          <w:sz w:val="24"/>
          <w:highlight w:val="none"/>
          <w:lang w:eastAsia="zh-CN"/>
        </w:rPr>
        <w:t>..</w:t>
      </w:r>
      <w:r>
        <w:rPr>
          <w:rFonts w:hint="eastAsia" w:ascii="宋体" w:hAnsi="宋体" w:eastAsia="宋体" w:cs="宋体"/>
          <w:bCs/>
          <w:i w:val="0"/>
          <w:iCs w:val="0"/>
          <w:color w:val="auto"/>
          <w:sz w:val="24"/>
          <w:highlight w:val="none"/>
        </w:rPr>
        <w:t>....................................................... 2</w:t>
      </w:r>
      <w:r>
        <w:rPr>
          <w:rFonts w:hint="eastAsia" w:ascii="宋体" w:hAnsi="宋体" w:cs="宋体"/>
          <w:bCs/>
          <w:i w:val="0"/>
          <w:iCs w:val="0"/>
          <w:color w:val="auto"/>
          <w:sz w:val="24"/>
          <w:highlight w:val="none"/>
          <w:lang w:val="en-US" w:eastAsia="zh-CN"/>
        </w:rPr>
        <w:t>4</w:t>
      </w:r>
      <w:r>
        <w:rPr>
          <w:rFonts w:hint="eastAsia" w:ascii="宋体" w:hAnsi="宋体" w:eastAsia="宋体" w:cs="宋体"/>
          <w:bCs/>
          <w:i w:val="0"/>
          <w:iCs w:val="0"/>
          <w:color w:val="auto"/>
          <w:sz w:val="24"/>
          <w:highlight w:val="none"/>
        </w:rPr>
        <w:t>第</w:t>
      </w:r>
      <w:r>
        <w:rPr>
          <w:rFonts w:hint="eastAsia" w:ascii="宋体" w:hAnsi="宋体" w:eastAsia="宋体" w:cs="宋体"/>
          <w:bCs/>
          <w:i w:val="0"/>
          <w:iCs w:val="0"/>
          <w:color w:val="auto"/>
          <w:sz w:val="24"/>
          <w:highlight w:val="none"/>
          <w:lang w:eastAsia="zh-CN"/>
        </w:rPr>
        <w:t>五</w:t>
      </w:r>
      <w:r>
        <w:rPr>
          <w:rFonts w:hint="eastAsia" w:ascii="宋体" w:hAnsi="宋体" w:eastAsia="宋体" w:cs="宋体"/>
          <w:bCs/>
          <w:i w:val="0"/>
          <w:iCs w:val="0"/>
          <w:color w:val="auto"/>
          <w:sz w:val="24"/>
          <w:highlight w:val="none"/>
        </w:rPr>
        <w:t>部分 合同主要条款......................................................</w:t>
      </w:r>
      <w:r>
        <w:rPr>
          <w:rFonts w:hint="eastAsia" w:ascii="宋体" w:hAnsi="宋体" w:eastAsia="宋体" w:cs="宋体"/>
          <w:bCs/>
          <w:i w:val="0"/>
          <w:iCs w:val="0"/>
          <w:color w:val="auto"/>
          <w:sz w:val="24"/>
          <w:highlight w:val="none"/>
          <w:lang w:val="en-US" w:eastAsia="zh-CN"/>
        </w:rPr>
        <w:t>2</w:t>
      </w:r>
      <w:r>
        <w:rPr>
          <w:rFonts w:hint="eastAsia" w:ascii="宋体" w:hAnsi="宋体" w:cs="宋体"/>
          <w:bCs/>
          <w:i w:val="0"/>
          <w:iCs w:val="0"/>
          <w:color w:val="auto"/>
          <w:sz w:val="24"/>
          <w:highlight w:val="none"/>
          <w:lang w:val="en-US" w:eastAsia="zh-CN"/>
        </w:rPr>
        <w:t>9</w:t>
      </w:r>
    </w:p>
    <w:p w14:paraId="00AACC76">
      <w:pPr>
        <w:snapToGrid w:val="0"/>
        <w:spacing w:line="560" w:lineRule="exact"/>
        <w:jc w:val="left"/>
        <w:outlineLvl w:val="1"/>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第</w:t>
      </w:r>
      <w:r>
        <w:rPr>
          <w:rFonts w:hint="eastAsia" w:ascii="宋体" w:hAnsi="宋体" w:eastAsia="宋体" w:cs="宋体"/>
          <w:bCs/>
          <w:i w:val="0"/>
          <w:iCs w:val="0"/>
          <w:color w:val="auto"/>
          <w:sz w:val="24"/>
          <w:highlight w:val="none"/>
          <w:lang w:eastAsia="zh-CN"/>
        </w:rPr>
        <w:t>六</w:t>
      </w:r>
      <w:r>
        <w:rPr>
          <w:rFonts w:hint="eastAsia" w:ascii="宋体" w:hAnsi="宋体" w:eastAsia="宋体" w:cs="宋体"/>
          <w:bCs/>
          <w:i w:val="0"/>
          <w:iCs w:val="0"/>
          <w:color w:val="auto"/>
          <w:sz w:val="24"/>
          <w:highlight w:val="none"/>
        </w:rPr>
        <w:t xml:space="preserve">部分 </w:t>
      </w:r>
      <w:r>
        <w:rPr>
          <w:rFonts w:hint="eastAsia" w:ascii="宋体" w:hAnsi="宋体" w:eastAsia="宋体" w:cs="宋体"/>
          <w:bCs/>
          <w:i w:val="0"/>
          <w:iCs w:val="0"/>
          <w:color w:val="auto"/>
          <w:sz w:val="24"/>
          <w:highlight w:val="none"/>
          <w:lang w:val="zh-CN"/>
        </w:rPr>
        <w:t>投标文件相关格式</w:t>
      </w:r>
      <w:r>
        <w:rPr>
          <w:rFonts w:hint="eastAsia" w:ascii="宋体" w:hAnsi="宋体" w:eastAsia="宋体" w:cs="宋体"/>
          <w:bCs/>
          <w:i w:val="0"/>
          <w:iCs w:val="0"/>
          <w:color w:val="auto"/>
          <w:sz w:val="24"/>
          <w:highlight w:val="none"/>
        </w:rPr>
        <w:t>..................................................3</w:t>
      </w:r>
      <w:r>
        <w:rPr>
          <w:rFonts w:hint="eastAsia" w:ascii="宋体" w:hAnsi="宋体" w:cs="宋体"/>
          <w:bCs/>
          <w:i w:val="0"/>
          <w:iCs w:val="0"/>
          <w:color w:val="auto"/>
          <w:sz w:val="24"/>
          <w:highlight w:val="none"/>
          <w:lang w:val="en-US" w:eastAsia="zh-CN"/>
        </w:rPr>
        <w:t>2</w:t>
      </w:r>
    </w:p>
    <w:p w14:paraId="28CC6261">
      <w:pPr>
        <w:snapToGrid w:val="0"/>
        <w:spacing w:line="560" w:lineRule="exact"/>
        <w:jc w:val="left"/>
        <w:outlineLvl w:val="1"/>
        <w:rPr>
          <w:rFonts w:hint="eastAsia" w:ascii="宋体" w:hAnsi="宋体" w:eastAsia="宋体" w:cs="宋体"/>
          <w:bCs/>
          <w:i w:val="0"/>
          <w:iCs w:val="0"/>
          <w:color w:val="auto"/>
          <w:sz w:val="24"/>
          <w:highlight w:val="none"/>
        </w:rPr>
      </w:pPr>
    </w:p>
    <w:p w14:paraId="37E5273A">
      <w:pPr>
        <w:adjustRightInd w:val="0"/>
        <w:snapToGrid w:val="0"/>
        <w:jc w:val="center"/>
        <w:outlineLvl w:val="0"/>
        <w:rPr>
          <w:rFonts w:hint="eastAsia" w:ascii="宋体" w:hAnsi="宋体" w:cs="宋体"/>
          <w:b/>
          <w:i w:val="0"/>
          <w:iCs w:val="0"/>
          <w:color w:val="auto"/>
          <w:sz w:val="36"/>
          <w:highlight w:val="none"/>
        </w:rPr>
      </w:pPr>
    </w:p>
    <w:p w14:paraId="3963B521">
      <w:pPr>
        <w:adjustRightInd w:val="0"/>
        <w:snapToGrid w:val="0"/>
        <w:jc w:val="center"/>
        <w:outlineLvl w:val="0"/>
        <w:rPr>
          <w:rFonts w:hint="eastAsia" w:ascii="宋体" w:hAnsi="宋体" w:cs="宋体"/>
          <w:b/>
          <w:i w:val="0"/>
          <w:iCs w:val="0"/>
          <w:color w:val="auto"/>
          <w:sz w:val="36"/>
          <w:highlight w:val="none"/>
        </w:rPr>
      </w:pPr>
    </w:p>
    <w:p w14:paraId="20E1B32D">
      <w:pPr>
        <w:adjustRightInd w:val="0"/>
        <w:snapToGrid w:val="0"/>
        <w:jc w:val="center"/>
        <w:outlineLvl w:val="0"/>
        <w:rPr>
          <w:rFonts w:hint="eastAsia" w:ascii="宋体" w:hAnsi="宋体" w:cs="宋体"/>
          <w:b/>
          <w:i w:val="0"/>
          <w:iCs w:val="0"/>
          <w:color w:val="auto"/>
          <w:sz w:val="36"/>
          <w:highlight w:val="none"/>
        </w:rPr>
      </w:pPr>
    </w:p>
    <w:p w14:paraId="59E50F42">
      <w:pPr>
        <w:adjustRightInd w:val="0"/>
        <w:snapToGrid w:val="0"/>
        <w:jc w:val="center"/>
        <w:outlineLvl w:val="0"/>
        <w:rPr>
          <w:rFonts w:hint="eastAsia" w:ascii="宋体" w:hAnsi="宋体" w:cs="宋体"/>
          <w:b/>
          <w:i w:val="0"/>
          <w:iCs w:val="0"/>
          <w:color w:val="auto"/>
          <w:sz w:val="36"/>
          <w:highlight w:val="none"/>
        </w:rPr>
        <w:sectPr>
          <w:footerReference r:id="rId6" w:type="default"/>
          <w:pgSz w:w="11906" w:h="16838"/>
          <w:pgMar w:top="0" w:right="1192" w:bottom="1078" w:left="1474" w:header="680" w:footer="794" w:gutter="0"/>
          <w:pgBorders w:zOrder="back">
            <w:top w:val="none" w:sz="0" w:space="0"/>
            <w:left w:val="none" w:sz="0" w:space="0"/>
            <w:bottom w:val="none" w:sz="0" w:space="0"/>
            <w:right w:val="none" w:sz="0" w:space="0"/>
          </w:pgBorders>
          <w:pgNumType w:fmt="decimal" w:start="1"/>
          <w:cols w:space="720" w:num="1"/>
          <w:docGrid w:type="lines" w:linePitch="315" w:charSpace="0"/>
        </w:sectPr>
      </w:pPr>
    </w:p>
    <w:p w14:paraId="4FE28F14">
      <w:pPr>
        <w:adjustRightInd w:val="0"/>
        <w:snapToGrid w:val="0"/>
        <w:spacing w:after="157" w:afterLines="50"/>
        <w:jc w:val="center"/>
        <w:outlineLvl w:val="0"/>
        <w:rPr>
          <w:rFonts w:hint="eastAsia" w:ascii="宋体" w:hAnsi="宋体" w:eastAsia="宋体" w:cs="宋体"/>
          <w:b/>
          <w:i w:val="0"/>
          <w:iCs w:val="0"/>
          <w:color w:val="auto"/>
          <w:sz w:val="22"/>
          <w:szCs w:val="22"/>
          <w:highlight w:val="none"/>
        </w:rPr>
      </w:pPr>
      <w:r>
        <w:rPr>
          <w:rFonts w:hint="eastAsia" w:ascii="宋体" w:hAnsi="宋体" w:cs="宋体"/>
          <w:b/>
          <w:i w:val="0"/>
          <w:iCs w:val="0"/>
          <w:color w:val="auto"/>
          <w:sz w:val="36"/>
          <w:highlight w:val="none"/>
        </w:rPr>
        <w:t xml:space="preserve">  第一部分 招标公告</w:t>
      </w:r>
      <w:bookmarkEnd w:id="2"/>
      <w:bookmarkEnd w:id="3"/>
      <w:bookmarkEnd w:id="4"/>
    </w:p>
    <w:p w14:paraId="68BB5311">
      <w:pPr>
        <w:pStyle w:val="21"/>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spacing w:before="0" w:beforeAutospacing="0" w:after="0" w:afterAutospacing="0" w:line="420" w:lineRule="exact"/>
        <w:ind w:right="0" w:rightChars="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项目概况</w:t>
      </w:r>
    </w:p>
    <w:p w14:paraId="50BF94C3">
      <w:pPr>
        <w:pStyle w:val="21"/>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snapToGrid/>
        <w:spacing w:before="0" w:beforeAutospacing="0" w:after="0" w:afterAutospacing="0" w:line="420" w:lineRule="exact"/>
        <w:ind w:left="0" w:leftChars="0" w:right="0" w:rightChars="0" w:firstLine="440" w:firstLineChars="200"/>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u w:val="single"/>
          <w:lang w:val="en-US" w:eastAsia="zh-CN" w:bidi="ar-SA"/>
        </w:rPr>
        <w:t>衢州市衢江区杜泽镇白水村浙江省历史文化（传统）村落保护利用重点村规划项目</w:t>
      </w:r>
      <w:r>
        <w:rPr>
          <w:rFonts w:hint="eastAsia" w:ascii="宋体" w:hAnsi="宋体" w:eastAsia="宋体" w:cs="宋体"/>
          <w:i w:val="0"/>
          <w:iCs w:val="0"/>
          <w:color w:val="auto"/>
          <w:kern w:val="2"/>
          <w:sz w:val="22"/>
          <w:szCs w:val="22"/>
          <w:highlight w:val="none"/>
          <w:lang w:val="en-US" w:eastAsia="zh-CN" w:bidi="ar-SA"/>
        </w:rPr>
        <w:t>的潜在供应商应在政府采购云平台（http://zfcg.czt.zj.gov.cn/）获取招标文件，并于2025年8月</w:t>
      </w:r>
      <w:r>
        <w:rPr>
          <w:rFonts w:hint="eastAsia" w:ascii="宋体" w:hAnsi="宋体" w:cs="宋体"/>
          <w:i w:val="0"/>
          <w:iCs w:val="0"/>
          <w:color w:val="auto"/>
          <w:kern w:val="2"/>
          <w:sz w:val="22"/>
          <w:szCs w:val="22"/>
          <w:highlight w:val="none"/>
          <w:lang w:val="en-US" w:eastAsia="zh-CN" w:bidi="ar-SA"/>
        </w:rPr>
        <w:t>7</w:t>
      </w:r>
      <w:r>
        <w:rPr>
          <w:rFonts w:hint="eastAsia" w:ascii="宋体" w:hAnsi="宋体" w:eastAsia="宋体" w:cs="宋体"/>
          <w:i w:val="0"/>
          <w:iCs w:val="0"/>
          <w:color w:val="auto"/>
          <w:kern w:val="2"/>
          <w:sz w:val="22"/>
          <w:szCs w:val="22"/>
          <w:highlight w:val="none"/>
          <w:lang w:val="en-US" w:eastAsia="zh-CN" w:bidi="ar-SA"/>
        </w:rPr>
        <w:t>日14:30 （北京时间）前递交投标文件。</w:t>
      </w:r>
    </w:p>
    <w:p w14:paraId="2E52E7F5">
      <w:pPr>
        <w:pStyle w:val="4"/>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i w:val="0"/>
          <w:iCs w:val="0"/>
          <w:color w:val="auto"/>
          <w:sz w:val="22"/>
          <w:szCs w:val="22"/>
          <w:highlight w:val="none"/>
          <w:lang w:val="en-US" w:eastAsia="zh-CN"/>
        </w:rPr>
      </w:pPr>
      <w:r>
        <w:rPr>
          <w:rFonts w:hint="eastAsia" w:ascii="宋体" w:hAnsi="宋体" w:eastAsia="宋体" w:cs="宋体"/>
          <w:bCs/>
          <w:i w:val="0"/>
          <w:iCs w:val="0"/>
          <w:color w:val="auto"/>
          <w:sz w:val="22"/>
          <w:szCs w:val="22"/>
          <w:highlight w:val="none"/>
          <w:lang w:val="en-US" w:eastAsia="zh-CN"/>
        </w:rPr>
        <w:t>一、项目基本情况</w:t>
      </w:r>
    </w:p>
    <w:p w14:paraId="1C507211">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cs="宋体"/>
          <w:i w:val="0"/>
          <w:iCs w:val="0"/>
          <w:color w:val="FF0000"/>
          <w:sz w:val="22"/>
          <w:szCs w:val="22"/>
          <w:highlight w:val="none"/>
          <w:lang w:eastAsia="zh-CN"/>
        </w:rPr>
      </w:pPr>
      <w:r>
        <w:rPr>
          <w:rFonts w:hint="eastAsia" w:ascii="宋体" w:hAnsi="宋体" w:eastAsia="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rPr>
        <w:t>项目编号：（ZLQZ-2507110）</w:t>
      </w:r>
    </w:p>
    <w:p w14:paraId="4586C2E3">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2.项目名称：</w:t>
      </w:r>
      <w:r>
        <w:rPr>
          <w:rFonts w:hint="eastAsia" w:ascii="宋体" w:hAnsi="宋体" w:cs="宋体"/>
          <w:i w:val="0"/>
          <w:iCs w:val="0"/>
          <w:color w:val="auto"/>
          <w:sz w:val="22"/>
          <w:szCs w:val="22"/>
          <w:highlight w:val="none"/>
          <w:lang w:val="en-US" w:eastAsia="zh-CN"/>
        </w:rPr>
        <w:t>衢州市衢江区杜泽镇白水村浙江省历史文化（传统）村落保护利用重点村规划项目</w:t>
      </w:r>
    </w:p>
    <w:p w14:paraId="305B25AA">
      <w:pPr>
        <w:keepNext w:val="0"/>
        <w:keepLines w:val="0"/>
        <w:pageBreakBefore w:val="0"/>
        <w:widowControl w:val="0"/>
        <w:kinsoku/>
        <w:wordWrap/>
        <w:overflowPunct/>
        <w:topLinePunct w:val="0"/>
        <w:autoSpaceDE w:val="0"/>
        <w:autoSpaceDN w:val="0"/>
        <w:bidi w:val="0"/>
        <w:spacing w:line="460" w:lineRule="exact"/>
        <w:ind w:left="437" w:leftChars="208" w:right="0" w:rightChars="0" w:firstLine="0" w:firstLineChars="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3.采购方式：公开招标</w:t>
      </w:r>
      <w:r>
        <w:rPr>
          <w:rFonts w:hint="eastAsia" w:ascii="宋体" w:hAnsi="宋体" w:eastAsia="宋体" w:cs="宋体"/>
          <w:i w:val="0"/>
          <w:iCs w:val="0"/>
          <w:color w:val="auto"/>
          <w:sz w:val="22"/>
          <w:szCs w:val="22"/>
          <w:highlight w:val="none"/>
          <w:lang w:val="en-US" w:eastAsia="zh-CN"/>
        </w:rPr>
        <w:br w:type="textWrapping"/>
      </w:r>
      <w:r>
        <w:rPr>
          <w:rFonts w:hint="eastAsia" w:ascii="宋体" w:hAnsi="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lang w:val="en-US" w:eastAsia="zh-CN"/>
        </w:rPr>
        <w:t>.预算金额：</w:t>
      </w:r>
      <w:r>
        <w:rPr>
          <w:rFonts w:hint="eastAsia" w:ascii="宋体" w:hAnsi="宋体" w:cs="宋体"/>
          <w:i w:val="0"/>
          <w:iCs w:val="0"/>
          <w:color w:val="auto"/>
          <w:sz w:val="22"/>
          <w:szCs w:val="22"/>
          <w:highlight w:val="none"/>
          <w:lang w:val="en-US" w:eastAsia="zh-CN"/>
        </w:rPr>
        <w:t>500000</w:t>
      </w:r>
      <w:r>
        <w:rPr>
          <w:rFonts w:hint="eastAsia" w:ascii="宋体" w:hAnsi="宋体" w:eastAsia="宋体" w:cs="宋体"/>
          <w:i w:val="0"/>
          <w:iCs w:val="0"/>
          <w:color w:val="auto"/>
          <w:sz w:val="22"/>
          <w:szCs w:val="22"/>
          <w:highlight w:val="none"/>
          <w:lang w:val="en-US" w:eastAsia="zh-CN"/>
        </w:rPr>
        <w:t>元</w:t>
      </w:r>
    </w:p>
    <w:p w14:paraId="252979A1">
      <w:pPr>
        <w:keepNext w:val="0"/>
        <w:keepLines w:val="0"/>
        <w:pageBreakBefore w:val="0"/>
        <w:widowControl w:val="0"/>
        <w:kinsoku/>
        <w:wordWrap/>
        <w:overflowPunct/>
        <w:topLinePunct w:val="0"/>
        <w:autoSpaceDE w:val="0"/>
        <w:autoSpaceDN w:val="0"/>
        <w:bidi w:val="0"/>
        <w:spacing w:line="460" w:lineRule="exact"/>
        <w:ind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5.最高限价：</w:t>
      </w:r>
      <w:r>
        <w:rPr>
          <w:rFonts w:hint="eastAsia" w:ascii="宋体" w:hAnsi="宋体" w:cs="宋体"/>
          <w:i w:val="0"/>
          <w:iCs w:val="0"/>
          <w:color w:val="auto"/>
          <w:sz w:val="22"/>
          <w:szCs w:val="22"/>
          <w:highlight w:val="none"/>
          <w:lang w:val="en-US" w:eastAsia="zh-CN"/>
        </w:rPr>
        <w:t>500000</w:t>
      </w:r>
      <w:r>
        <w:rPr>
          <w:rFonts w:hint="eastAsia" w:ascii="宋体" w:hAnsi="宋体" w:eastAsia="宋体" w:cs="宋体"/>
          <w:i w:val="0"/>
          <w:iCs w:val="0"/>
          <w:color w:val="auto"/>
          <w:sz w:val="22"/>
          <w:szCs w:val="22"/>
          <w:highlight w:val="none"/>
          <w:lang w:val="en-US" w:eastAsia="zh-CN"/>
        </w:rPr>
        <w:t>元</w:t>
      </w:r>
      <w:r>
        <w:rPr>
          <w:rFonts w:hint="eastAsia" w:ascii="宋体" w:hAnsi="宋体" w:eastAsia="宋体" w:cs="宋体"/>
          <w:i w:val="0"/>
          <w:iCs w:val="0"/>
          <w:color w:val="auto"/>
          <w:sz w:val="22"/>
          <w:szCs w:val="22"/>
          <w:highlight w:val="none"/>
          <w:lang w:val="en-US" w:eastAsia="zh-CN"/>
        </w:rPr>
        <w:br w:type="textWrapping"/>
      </w:r>
      <w:r>
        <w:rPr>
          <w:rFonts w:hint="eastAsia" w:ascii="宋体" w:hAnsi="宋体" w:cs="宋体"/>
          <w:i w:val="0"/>
          <w:iCs w:val="0"/>
          <w:color w:val="auto"/>
          <w:sz w:val="22"/>
          <w:szCs w:val="22"/>
          <w:highlight w:val="none"/>
          <w:lang w:val="en-US" w:eastAsia="zh-CN"/>
        </w:rPr>
        <w:t xml:space="preserve">    </w:t>
      </w:r>
      <w:r>
        <w:rPr>
          <w:rFonts w:hint="eastAsia" w:ascii="宋体" w:hAnsi="宋体" w:eastAsia="宋体" w:cs="宋体"/>
          <w:i w:val="0"/>
          <w:iCs w:val="0"/>
          <w:color w:val="auto"/>
          <w:sz w:val="22"/>
          <w:szCs w:val="22"/>
          <w:highlight w:val="none"/>
          <w:lang w:val="en-US" w:eastAsia="zh-CN"/>
        </w:rPr>
        <w:t>6.</w:t>
      </w:r>
      <w:r>
        <w:rPr>
          <w:rFonts w:hint="eastAsia" w:ascii="宋体" w:hAnsi="宋体" w:eastAsia="宋体" w:cs="宋体"/>
          <w:i w:val="0"/>
          <w:iCs w:val="0"/>
          <w:color w:val="auto"/>
          <w:sz w:val="22"/>
          <w:szCs w:val="22"/>
          <w:highlight w:val="none"/>
        </w:rPr>
        <w:t>采购需求：</w:t>
      </w:r>
      <w:r>
        <w:rPr>
          <w:rFonts w:hint="eastAsia" w:ascii="宋体" w:hAnsi="宋体" w:cs="宋体"/>
          <w:i w:val="0"/>
          <w:iCs w:val="0"/>
          <w:color w:val="auto"/>
          <w:sz w:val="22"/>
          <w:szCs w:val="22"/>
          <w:highlight w:val="none"/>
          <w:lang w:val="en-US" w:eastAsia="zh-CN"/>
        </w:rPr>
        <w:t>衢州市衢江区杜泽镇白水村浙江省历史文化（传统）村落保护利用重点村规划，</w:t>
      </w:r>
      <w:r>
        <w:rPr>
          <w:rFonts w:hint="eastAsia" w:ascii="宋体" w:hAnsi="宋体" w:eastAsia="宋体" w:cs="宋体"/>
          <w:i w:val="0"/>
          <w:iCs w:val="0"/>
          <w:color w:val="auto"/>
          <w:sz w:val="22"/>
          <w:szCs w:val="22"/>
          <w:highlight w:val="none"/>
        </w:rPr>
        <w:t>详见采购文件《第三部分 采购需求》</w:t>
      </w:r>
      <w:r>
        <w:rPr>
          <w:rFonts w:hint="eastAsia" w:ascii="宋体" w:hAnsi="宋体" w:eastAsia="宋体" w:cs="宋体"/>
          <w:i w:val="0"/>
          <w:iCs w:val="0"/>
          <w:color w:val="auto"/>
          <w:sz w:val="22"/>
          <w:szCs w:val="22"/>
          <w:highlight w:val="none"/>
          <w:lang w:val="en-US" w:eastAsia="zh-CN"/>
        </w:rPr>
        <w:t>。</w:t>
      </w:r>
    </w:p>
    <w:p w14:paraId="06770B6A">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7.服务期限</w:t>
      </w:r>
      <w:r>
        <w:rPr>
          <w:rFonts w:hint="eastAsia" w:ascii="宋体" w:hAnsi="宋体" w:eastAsia="宋体" w:cs="宋体"/>
          <w:i w:val="0"/>
          <w:iCs w:val="0"/>
          <w:color w:val="auto"/>
          <w:sz w:val="22"/>
          <w:szCs w:val="22"/>
          <w:highlight w:val="none"/>
        </w:rPr>
        <w:t>：</w:t>
      </w:r>
      <w:r>
        <w:rPr>
          <w:rFonts w:hint="eastAsia" w:ascii="宋体" w:hAnsi="宋体" w:eastAsia="宋体" w:cs="宋体"/>
          <w:i w:val="0"/>
          <w:iCs w:val="0"/>
          <w:color w:val="auto"/>
          <w:sz w:val="22"/>
          <w:szCs w:val="22"/>
          <w:highlight w:val="none"/>
          <w:lang w:eastAsia="zh-CN"/>
        </w:rPr>
        <w:t>从合同签订后至省级规划评审会通过提交最终成果。</w:t>
      </w:r>
    </w:p>
    <w:p w14:paraId="0EE744F7">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8.</w:t>
      </w:r>
      <w:r>
        <w:rPr>
          <w:rFonts w:hint="eastAsia" w:ascii="宋体" w:hAnsi="宋体" w:eastAsia="宋体" w:cs="宋体"/>
          <w:i w:val="0"/>
          <w:iCs w:val="0"/>
          <w:color w:val="auto"/>
          <w:sz w:val="22"/>
          <w:szCs w:val="22"/>
          <w:highlight w:val="none"/>
        </w:rPr>
        <w:t>本项目</w:t>
      </w:r>
      <w:r>
        <w:rPr>
          <w:rFonts w:hint="eastAsia" w:ascii="宋体" w:hAnsi="宋体" w:cs="宋体"/>
          <w:i w:val="0"/>
          <w:iCs w:val="0"/>
          <w:color w:val="auto"/>
          <w:sz w:val="22"/>
          <w:szCs w:val="22"/>
          <w:highlight w:val="none"/>
          <w:lang w:eastAsia="zh-CN"/>
        </w:rPr>
        <w:t>不</w:t>
      </w:r>
      <w:r>
        <w:rPr>
          <w:rFonts w:hint="eastAsia" w:ascii="宋体" w:hAnsi="宋体" w:eastAsia="宋体" w:cs="宋体"/>
          <w:i w:val="0"/>
          <w:iCs w:val="0"/>
          <w:color w:val="auto"/>
          <w:sz w:val="22"/>
          <w:szCs w:val="22"/>
          <w:highlight w:val="none"/>
        </w:rPr>
        <w:t>接受联合体投标。</w:t>
      </w:r>
    </w:p>
    <w:p w14:paraId="2FF15C78">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val="0"/>
          <w:i w:val="0"/>
          <w:iCs w:val="0"/>
          <w:color w:val="auto"/>
          <w:sz w:val="22"/>
          <w:szCs w:val="22"/>
          <w:highlight w:val="none"/>
          <w:lang w:val="en-US" w:eastAsia="zh-CN"/>
        </w:rPr>
      </w:pPr>
      <w:r>
        <w:rPr>
          <w:rFonts w:hint="eastAsia" w:ascii="宋体" w:hAnsi="宋体" w:eastAsia="宋体" w:cs="宋体"/>
          <w:b/>
          <w:bCs w:val="0"/>
          <w:i w:val="0"/>
          <w:iCs w:val="0"/>
          <w:color w:val="auto"/>
          <w:sz w:val="22"/>
          <w:szCs w:val="22"/>
          <w:highlight w:val="none"/>
          <w:lang w:val="en-US" w:eastAsia="zh-CN"/>
        </w:rPr>
        <w:t>二、申请人的资格要求</w:t>
      </w:r>
    </w:p>
    <w:p w14:paraId="418C5EE2">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1.满足《中华人民共和国政府采购法》第二十二条规定</w:t>
      </w:r>
      <w:r>
        <w:rPr>
          <w:rFonts w:hint="eastAsia" w:ascii="宋体" w:hAnsi="宋体" w:cs="宋体"/>
          <w:i w:val="0"/>
          <w:iCs w:val="0"/>
          <w:color w:val="auto"/>
          <w:sz w:val="22"/>
          <w:szCs w:val="22"/>
          <w:highlight w:val="none"/>
          <w:lang w:eastAsia="zh-CN"/>
        </w:rPr>
        <w:t>：</w:t>
      </w:r>
    </w:p>
    <w:p w14:paraId="185FBDD1">
      <w:pPr>
        <w:pStyle w:val="1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 具有独立承担民事责任的能力；</w:t>
      </w:r>
    </w:p>
    <w:p w14:paraId="1CB391D6">
      <w:pPr>
        <w:pStyle w:val="1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 具有良好的商业信誉和健全的财务会计制度；</w:t>
      </w:r>
    </w:p>
    <w:p w14:paraId="37976319">
      <w:pPr>
        <w:pStyle w:val="1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 具有履行合同所必需的设备和专业技术能力；</w:t>
      </w:r>
    </w:p>
    <w:p w14:paraId="278A27DD">
      <w:pPr>
        <w:pStyle w:val="1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 有依法缴纳税收和社会保障资金的良好记录；</w:t>
      </w:r>
    </w:p>
    <w:p w14:paraId="1BD319A2">
      <w:pPr>
        <w:pStyle w:val="1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 参加政府采购活动前三年内，在经营活动中没有重大违法记录；</w:t>
      </w:r>
    </w:p>
    <w:p w14:paraId="773CE876">
      <w:pPr>
        <w:pStyle w:val="1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6) 法律、行政法规规定的其他条件</w:t>
      </w:r>
      <w:r>
        <w:rPr>
          <w:rFonts w:hint="eastAsia" w:ascii="宋体" w:hAnsi="宋体" w:eastAsia="宋体" w:cs="宋体"/>
          <w:color w:val="000000"/>
          <w:sz w:val="24"/>
          <w:szCs w:val="24"/>
        </w:rPr>
        <w:t>。</w:t>
      </w:r>
    </w:p>
    <w:p w14:paraId="143BB3E1">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rPr>
        <w:t>未被“信用中国”（www.creditchina.gov.cn)、中国政府采购网（www.ccgp.gov.cn）列入失信被执行人、重大税收违法案件当事人名单、政府采购严重违法失信行为记录名单。</w:t>
      </w:r>
    </w:p>
    <w:p w14:paraId="053B4DE0">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lang w:val="en-US" w:eastAsia="zh-CN"/>
        </w:rPr>
        <w:t>3</w:t>
      </w:r>
      <w:r>
        <w:rPr>
          <w:rFonts w:hint="eastAsia" w:ascii="宋体" w:hAnsi="宋体" w:eastAsia="宋体" w:cs="宋体"/>
          <w:b/>
          <w:bCs/>
          <w:i w:val="0"/>
          <w:iCs w:val="0"/>
          <w:color w:val="auto"/>
          <w:sz w:val="22"/>
          <w:szCs w:val="22"/>
          <w:highlight w:val="none"/>
        </w:rPr>
        <w:t>.落实政府采购政策需满足的资格要求：</w:t>
      </w:r>
      <w:r>
        <w:rPr>
          <w:rFonts w:hint="eastAsia" w:ascii="宋体" w:hAnsi="宋体" w:eastAsia="宋体" w:cs="宋体"/>
          <w:b/>
          <w:bCs/>
          <w:color w:val="auto"/>
          <w:sz w:val="22"/>
          <w:szCs w:val="22"/>
          <w:highlight w:val="none"/>
          <w:lang w:val="zh-CN" w:eastAsia="zh-CN"/>
        </w:rPr>
        <w:t>本次招标专门面向中小企业。</w:t>
      </w:r>
      <w:r>
        <w:rPr>
          <w:rFonts w:hint="eastAsia" w:ascii="宋体" w:hAnsi="宋体" w:eastAsia="宋体" w:cs="宋体"/>
          <w:b/>
          <w:bCs/>
          <w:i w:val="0"/>
          <w:iCs w:val="0"/>
          <w:color w:val="auto"/>
          <w:sz w:val="22"/>
          <w:szCs w:val="22"/>
          <w:highlight w:val="none"/>
          <w:lang w:val="en-US" w:eastAsia="zh-CN"/>
        </w:rPr>
        <w:t>中小企业是指满足《政府采购促进中小企业发展管理办法》（财库〔2020〕46号）第二条规定的企业。监狱企业、残疾人福利性单位视为中小企业。</w:t>
      </w:r>
    </w:p>
    <w:p w14:paraId="533FF425">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eastAsia="zh-CN"/>
        </w:rPr>
      </w:pPr>
      <w:r>
        <w:rPr>
          <w:rFonts w:hint="eastAsia" w:ascii="宋体" w:hAnsi="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rPr>
        <w:t>.本项目的特定资格要求：</w:t>
      </w:r>
      <w:r>
        <w:rPr>
          <w:rFonts w:hint="eastAsia" w:ascii="宋体" w:hAnsi="宋体" w:eastAsia="宋体" w:cs="宋体"/>
          <w:i w:val="0"/>
          <w:iCs w:val="0"/>
          <w:color w:val="auto"/>
          <w:sz w:val="22"/>
          <w:szCs w:val="22"/>
          <w:highlight w:val="none"/>
          <w:lang w:val="en-US" w:eastAsia="zh-CN"/>
        </w:rPr>
        <w:t>具备国家自然资源部认定的城乡规划编制乙级及以上资质</w:t>
      </w:r>
      <w:r>
        <w:rPr>
          <w:rFonts w:hint="eastAsia" w:ascii="宋体" w:hAnsi="宋体" w:eastAsia="宋体" w:cs="宋体"/>
          <w:i w:val="0"/>
          <w:iCs w:val="0"/>
          <w:color w:val="auto"/>
          <w:sz w:val="22"/>
          <w:szCs w:val="22"/>
          <w:highlight w:val="none"/>
          <w:lang w:eastAsia="zh-CN"/>
        </w:rPr>
        <w:t>。</w:t>
      </w:r>
    </w:p>
    <w:p w14:paraId="4BAAFE71">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eastAsia="zh-CN"/>
        </w:rPr>
      </w:pP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rPr>
        <w:t>.单位负责人为同一人或者存在直接控股、管理关系的不同供应商，不得参加同一合同项下的政府采购活动</w:t>
      </w:r>
      <w:r>
        <w:rPr>
          <w:rFonts w:hint="eastAsia" w:ascii="宋体" w:hAnsi="宋体" w:eastAsia="宋体" w:cs="宋体"/>
          <w:i w:val="0"/>
          <w:iCs w:val="0"/>
          <w:color w:val="auto"/>
          <w:sz w:val="22"/>
          <w:szCs w:val="22"/>
          <w:highlight w:val="none"/>
          <w:lang w:eastAsia="zh-CN"/>
        </w:rPr>
        <w:t>。</w:t>
      </w:r>
    </w:p>
    <w:p w14:paraId="7844D68C">
      <w:pPr>
        <w:pStyle w:val="4"/>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i w:val="0"/>
          <w:iCs w:val="0"/>
          <w:color w:val="auto"/>
          <w:sz w:val="22"/>
          <w:szCs w:val="22"/>
          <w:highlight w:val="none"/>
          <w:lang w:val="en-US" w:eastAsia="zh-CN"/>
        </w:rPr>
      </w:pPr>
      <w:r>
        <w:rPr>
          <w:rFonts w:hint="eastAsia" w:ascii="宋体" w:hAnsi="宋体" w:eastAsia="宋体" w:cs="宋体"/>
          <w:bCs/>
          <w:i w:val="0"/>
          <w:iCs w:val="0"/>
          <w:color w:val="auto"/>
          <w:sz w:val="22"/>
          <w:szCs w:val="22"/>
          <w:highlight w:val="none"/>
          <w:lang w:val="en-US" w:eastAsia="zh-CN"/>
        </w:rPr>
        <w:t>三、获取（下载）招标文件</w:t>
      </w:r>
    </w:p>
    <w:p w14:paraId="332B2A21">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时间：</w:t>
      </w:r>
      <w:r>
        <w:rPr>
          <w:rFonts w:hint="eastAsia" w:ascii="宋体" w:hAnsi="宋体" w:cs="宋体"/>
          <w:i w:val="0"/>
          <w:iCs w:val="0"/>
          <w:color w:val="auto"/>
          <w:sz w:val="22"/>
          <w:szCs w:val="22"/>
          <w:highlight w:val="none"/>
          <w:lang w:val="en-US" w:eastAsia="zh-CN"/>
        </w:rPr>
        <w:t>/至</w:t>
      </w:r>
      <w:r>
        <w:rPr>
          <w:rFonts w:hint="eastAsia" w:ascii="宋体" w:hAnsi="宋体" w:eastAsia="宋体" w:cs="宋体"/>
          <w:i w:val="0"/>
          <w:iCs w:val="0"/>
          <w:color w:val="auto"/>
          <w:sz w:val="22"/>
          <w:szCs w:val="22"/>
          <w:highlight w:val="none"/>
          <w:lang w:eastAsia="zh-CN"/>
        </w:rPr>
        <w:t>202</w:t>
      </w: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rPr>
        <w:t>年</w:t>
      </w:r>
      <w:r>
        <w:rPr>
          <w:rFonts w:hint="eastAsia" w:ascii="宋体" w:hAnsi="宋体" w:cs="宋体"/>
          <w:i w:val="0"/>
          <w:iCs w:val="0"/>
          <w:color w:val="auto"/>
          <w:sz w:val="22"/>
          <w:szCs w:val="22"/>
          <w:highlight w:val="none"/>
          <w:lang w:val="en-US" w:eastAsia="zh-CN"/>
        </w:rPr>
        <w:t>8</w:t>
      </w:r>
      <w:r>
        <w:rPr>
          <w:rFonts w:hint="eastAsia" w:ascii="宋体" w:hAnsi="宋体" w:eastAsia="宋体" w:cs="宋体"/>
          <w:i w:val="0"/>
          <w:iCs w:val="0"/>
          <w:color w:val="auto"/>
          <w:sz w:val="22"/>
          <w:szCs w:val="22"/>
          <w:highlight w:val="none"/>
        </w:rPr>
        <w:t>月</w:t>
      </w:r>
      <w:r>
        <w:rPr>
          <w:rFonts w:hint="eastAsia" w:ascii="宋体" w:hAnsi="宋体" w:cs="宋体"/>
          <w:i w:val="0"/>
          <w:iCs w:val="0"/>
          <w:color w:val="auto"/>
          <w:sz w:val="22"/>
          <w:szCs w:val="22"/>
          <w:highlight w:val="none"/>
          <w:lang w:val="en-US" w:eastAsia="zh-CN"/>
        </w:rPr>
        <w:t>7</w:t>
      </w:r>
      <w:r>
        <w:rPr>
          <w:rFonts w:hint="eastAsia" w:ascii="宋体" w:hAnsi="宋体" w:eastAsia="宋体" w:cs="宋体"/>
          <w:i w:val="0"/>
          <w:iCs w:val="0"/>
          <w:color w:val="auto"/>
          <w:sz w:val="22"/>
          <w:szCs w:val="22"/>
          <w:highlight w:val="none"/>
        </w:rPr>
        <w:t>日，每天上午00:00至12:00，下午12:00至23:59（北京时间，线上获取法定节假日均可，线下获取文件法定节假日除外）</w:t>
      </w:r>
    </w:p>
    <w:p w14:paraId="77E8D906">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地点（网址）：政府采购云平台（http://zfcg.czt.zj.gov.cn） </w:t>
      </w:r>
    </w:p>
    <w:p w14:paraId="62B54417">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40" w:firstLineChars="200"/>
        <w:jc w:val="left"/>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sz w:val="22"/>
          <w:szCs w:val="22"/>
          <w:highlight w:val="none"/>
        </w:rPr>
        <w:t>方式：自行下载</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供应商通过“浙江政府采购网”在线获取（招标公告下方选取“潜在供应商”处“获取采购文件”），不提供纸制版招标文件；供应商只有在“浙江政府采购网”完成获取招标文件申请并下载了招标文件后才视作依法获取招标文件。</w:t>
      </w:r>
    </w:p>
    <w:p w14:paraId="12CE3970">
      <w:pPr>
        <w:pStyle w:val="4"/>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val="0"/>
          <w:i w:val="0"/>
          <w:iCs w:val="0"/>
          <w:color w:val="auto"/>
          <w:sz w:val="22"/>
          <w:szCs w:val="22"/>
          <w:highlight w:val="none"/>
        </w:rPr>
      </w:pPr>
      <w:bookmarkStart w:id="5" w:name="_Toc28359005"/>
      <w:bookmarkStart w:id="6" w:name="_Toc28359082"/>
      <w:bookmarkStart w:id="7" w:name="_Toc35393793"/>
      <w:bookmarkStart w:id="8" w:name="_Toc35393624"/>
      <w:r>
        <w:rPr>
          <w:rFonts w:hint="eastAsia" w:ascii="宋体" w:hAnsi="宋体" w:eastAsia="宋体" w:cs="宋体"/>
          <w:bCs w:val="0"/>
          <w:i w:val="0"/>
          <w:iCs w:val="0"/>
          <w:color w:val="auto"/>
          <w:sz w:val="22"/>
          <w:szCs w:val="22"/>
          <w:highlight w:val="none"/>
        </w:rPr>
        <w:t>四、提交投标文件</w:t>
      </w:r>
      <w:bookmarkEnd w:id="5"/>
      <w:bookmarkEnd w:id="6"/>
      <w:r>
        <w:rPr>
          <w:rFonts w:hint="eastAsia" w:ascii="宋体" w:hAnsi="宋体" w:eastAsia="宋体" w:cs="宋体"/>
          <w:bCs w:val="0"/>
          <w:i w:val="0"/>
          <w:iCs w:val="0"/>
          <w:color w:val="auto"/>
          <w:sz w:val="22"/>
          <w:szCs w:val="22"/>
          <w:highlight w:val="none"/>
        </w:rPr>
        <w:t>截止时间、开标时间和地点</w:t>
      </w:r>
      <w:bookmarkEnd w:id="7"/>
      <w:bookmarkEnd w:id="8"/>
    </w:p>
    <w:p w14:paraId="6685219E">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提交投标文件截止时间：</w:t>
      </w:r>
      <w:r>
        <w:rPr>
          <w:rFonts w:hint="eastAsia" w:ascii="宋体" w:hAnsi="宋体" w:cs="宋体"/>
          <w:i w:val="0"/>
          <w:iCs w:val="0"/>
          <w:color w:val="auto"/>
          <w:sz w:val="22"/>
          <w:szCs w:val="22"/>
          <w:highlight w:val="none"/>
          <w:lang w:eastAsia="zh-CN"/>
        </w:rPr>
        <w:t>2025年</w:t>
      </w:r>
      <w:r>
        <w:rPr>
          <w:rFonts w:hint="eastAsia" w:ascii="宋体" w:hAnsi="宋体" w:cs="宋体"/>
          <w:i w:val="0"/>
          <w:iCs w:val="0"/>
          <w:color w:val="auto"/>
          <w:sz w:val="22"/>
          <w:szCs w:val="22"/>
          <w:highlight w:val="none"/>
          <w:lang w:val="en-US" w:eastAsia="zh-CN"/>
        </w:rPr>
        <w:t>8</w:t>
      </w:r>
      <w:r>
        <w:rPr>
          <w:rFonts w:hint="eastAsia" w:ascii="宋体" w:hAnsi="宋体" w:cs="宋体"/>
          <w:i w:val="0"/>
          <w:iCs w:val="0"/>
          <w:color w:val="auto"/>
          <w:sz w:val="22"/>
          <w:szCs w:val="22"/>
          <w:highlight w:val="none"/>
          <w:lang w:eastAsia="zh-CN"/>
        </w:rPr>
        <w:t>月</w:t>
      </w:r>
      <w:r>
        <w:rPr>
          <w:rFonts w:hint="eastAsia" w:ascii="宋体" w:hAnsi="宋体" w:cs="宋体"/>
          <w:i w:val="0"/>
          <w:iCs w:val="0"/>
          <w:color w:val="auto"/>
          <w:sz w:val="22"/>
          <w:szCs w:val="22"/>
          <w:highlight w:val="none"/>
          <w:lang w:val="en-US" w:eastAsia="zh-CN"/>
        </w:rPr>
        <w:t>7</w:t>
      </w:r>
      <w:r>
        <w:rPr>
          <w:rFonts w:hint="eastAsia" w:ascii="宋体" w:hAnsi="宋体" w:cs="宋体"/>
          <w:i w:val="0"/>
          <w:iCs w:val="0"/>
          <w:color w:val="auto"/>
          <w:sz w:val="22"/>
          <w:szCs w:val="22"/>
          <w:highlight w:val="none"/>
          <w:lang w:eastAsia="zh-CN"/>
        </w:rPr>
        <w:t>日</w:t>
      </w:r>
      <w:r>
        <w:rPr>
          <w:rFonts w:hint="eastAsia" w:ascii="宋体" w:hAnsi="宋体" w:cs="宋体"/>
          <w:i w:val="0"/>
          <w:iCs w:val="0"/>
          <w:color w:val="auto"/>
          <w:sz w:val="22"/>
          <w:szCs w:val="22"/>
          <w:highlight w:val="none"/>
          <w:lang w:val="en-US" w:eastAsia="zh-CN"/>
        </w:rPr>
        <w:t>14</w:t>
      </w:r>
      <w:r>
        <w:rPr>
          <w:rFonts w:hint="eastAsia" w:ascii="宋体" w:hAnsi="宋体" w:cs="宋体"/>
          <w:i w:val="0"/>
          <w:iCs w:val="0"/>
          <w:color w:val="auto"/>
          <w:sz w:val="22"/>
          <w:szCs w:val="22"/>
          <w:highlight w:val="none"/>
          <w:lang w:eastAsia="zh-CN"/>
        </w:rPr>
        <w:t>时30分</w:t>
      </w:r>
      <w:r>
        <w:rPr>
          <w:rFonts w:hint="eastAsia" w:ascii="宋体" w:hAnsi="宋体" w:eastAsia="宋体" w:cs="宋体"/>
          <w:i w:val="0"/>
          <w:iCs w:val="0"/>
          <w:color w:val="auto"/>
          <w:sz w:val="22"/>
          <w:szCs w:val="22"/>
          <w:highlight w:val="none"/>
        </w:rPr>
        <w:t>（北京时间）</w:t>
      </w:r>
    </w:p>
    <w:p w14:paraId="6024F91C">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投标地点（网址）：</w:t>
      </w:r>
      <w:r>
        <w:rPr>
          <w:rFonts w:hint="eastAsia" w:ascii="宋体" w:hAnsi="宋体" w:eastAsia="宋体" w:cs="宋体"/>
          <w:i w:val="0"/>
          <w:iCs w:val="0"/>
          <w:color w:val="auto"/>
          <w:kern w:val="0"/>
          <w:sz w:val="22"/>
          <w:szCs w:val="22"/>
          <w:highlight w:val="none"/>
        </w:rPr>
        <w:t>政府采购云平台（http://zfcg.czt.zj.gov.cn）在线</w:t>
      </w:r>
      <w:r>
        <w:rPr>
          <w:rFonts w:hint="eastAsia" w:ascii="宋体" w:hAnsi="宋体" w:eastAsia="宋体" w:cs="宋体"/>
          <w:i w:val="0"/>
          <w:iCs w:val="0"/>
          <w:color w:val="auto"/>
          <w:kern w:val="0"/>
          <w:sz w:val="22"/>
          <w:szCs w:val="22"/>
          <w:highlight w:val="none"/>
          <w:lang w:eastAsia="zh-CN"/>
        </w:rPr>
        <w:t>提交</w:t>
      </w:r>
      <w:r>
        <w:rPr>
          <w:rFonts w:hint="eastAsia" w:ascii="宋体" w:hAnsi="宋体" w:eastAsia="宋体" w:cs="宋体"/>
          <w:i w:val="0"/>
          <w:iCs w:val="0"/>
          <w:color w:val="auto"/>
          <w:kern w:val="0"/>
          <w:sz w:val="22"/>
          <w:szCs w:val="22"/>
          <w:highlight w:val="none"/>
        </w:rPr>
        <w:t>。</w:t>
      </w:r>
      <w:r>
        <w:rPr>
          <w:rFonts w:hint="eastAsia" w:ascii="宋体" w:hAnsi="宋体" w:eastAsia="宋体" w:cs="宋体"/>
          <w:i w:val="0"/>
          <w:iCs w:val="0"/>
          <w:color w:val="auto"/>
          <w:sz w:val="22"/>
          <w:szCs w:val="22"/>
          <w:highlight w:val="none"/>
        </w:rPr>
        <w:t> </w:t>
      </w:r>
    </w:p>
    <w:p w14:paraId="4164F276">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开标时间：</w:t>
      </w:r>
      <w:r>
        <w:rPr>
          <w:rFonts w:hint="eastAsia" w:ascii="宋体" w:hAnsi="宋体" w:cs="宋体"/>
          <w:i w:val="0"/>
          <w:iCs w:val="0"/>
          <w:color w:val="auto"/>
          <w:sz w:val="22"/>
          <w:szCs w:val="22"/>
          <w:highlight w:val="none"/>
          <w:lang w:eastAsia="zh-CN"/>
        </w:rPr>
        <w:t>2025年</w:t>
      </w:r>
      <w:r>
        <w:rPr>
          <w:rFonts w:hint="eastAsia" w:ascii="宋体" w:hAnsi="宋体" w:cs="宋体"/>
          <w:i w:val="0"/>
          <w:iCs w:val="0"/>
          <w:color w:val="auto"/>
          <w:sz w:val="22"/>
          <w:szCs w:val="22"/>
          <w:highlight w:val="none"/>
          <w:lang w:val="en-US" w:eastAsia="zh-CN"/>
        </w:rPr>
        <w:t>8</w:t>
      </w:r>
      <w:r>
        <w:rPr>
          <w:rFonts w:hint="eastAsia" w:ascii="宋体" w:hAnsi="宋体" w:cs="宋体"/>
          <w:i w:val="0"/>
          <w:iCs w:val="0"/>
          <w:color w:val="auto"/>
          <w:sz w:val="22"/>
          <w:szCs w:val="22"/>
          <w:highlight w:val="none"/>
          <w:lang w:eastAsia="zh-CN"/>
        </w:rPr>
        <w:t>月</w:t>
      </w:r>
      <w:r>
        <w:rPr>
          <w:rFonts w:hint="eastAsia" w:ascii="宋体" w:hAnsi="宋体" w:cs="宋体"/>
          <w:i w:val="0"/>
          <w:iCs w:val="0"/>
          <w:color w:val="auto"/>
          <w:sz w:val="22"/>
          <w:szCs w:val="22"/>
          <w:highlight w:val="none"/>
          <w:lang w:val="en-US" w:eastAsia="zh-CN"/>
        </w:rPr>
        <w:t>7</w:t>
      </w:r>
      <w:r>
        <w:rPr>
          <w:rFonts w:hint="eastAsia" w:ascii="宋体" w:hAnsi="宋体" w:cs="宋体"/>
          <w:i w:val="0"/>
          <w:iCs w:val="0"/>
          <w:color w:val="auto"/>
          <w:sz w:val="22"/>
          <w:szCs w:val="22"/>
          <w:highlight w:val="none"/>
          <w:lang w:eastAsia="zh-CN"/>
        </w:rPr>
        <w:t>日</w:t>
      </w:r>
      <w:r>
        <w:rPr>
          <w:rFonts w:hint="eastAsia" w:ascii="宋体" w:hAnsi="宋体" w:cs="宋体"/>
          <w:i w:val="0"/>
          <w:iCs w:val="0"/>
          <w:color w:val="auto"/>
          <w:sz w:val="22"/>
          <w:szCs w:val="22"/>
          <w:highlight w:val="none"/>
          <w:lang w:val="en-US" w:eastAsia="zh-CN"/>
        </w:rPr>
        <w:t>14</w:t>
      </w:r>
      <w:r>
        <w:rPr>
          <w:rFonts w:hint="eastAsia" w:ascii="宋体" w:hAnsi="宋体" w:cs="宋体"/>
          <w:i w:val="0"/>
          <w:iCs w:val="0"/>
          <w:color w:val="auto"/>
          <w:sz w:val="22"/>
          <w:szCs w:val="22"/>
          <w:highlight w:val="none"/>
          <w:lang w:eastAsia="zh-CN"/>
        </w:rPr>
        <w:t>时30分</w:t>
      </w:r>
      <w:r>
        <w:rPr>
          <w:rFonts w:hint="eastAsia" w:ascii="宋体" w:hAnsi="宋体" w:eastAsia="宋体" w:cs="宋体"/>
          <w:i w:val="0"/>
          <w:iCs w:val="0"/>
          <w:color w:val="auto"/>
          <w:sz w:val="22"/>
          <w:szCs w:val="22"/>
          <w:highlight w:val="none"/>
        </w:rPr>
        <w:t>（北京时间）</w:t>
      </w:r>
      <w:r>
        <w:rPr>
          <w:rFonts w:hint="eastAsia" w:ascii="宋体" w:hAnsi="宋体" w:eastAsia="宋体" w:cs="宋体"/>
          <w:i w:val="0"/>
          <w:iCs w:val="0"/>
          <w:color w:val="auto"/>
          <w:sz w:val="22"/>
          <w:szCs w:val="22"/>
          <w:highlight w:val="none"/>
          <w:lang w:val="en-US" w:eastAsia="zh-CN"/>
        </w:rPr>
        <w:t xml:space="preserve">  </w:t>
      </w:r>
      <w:r>
        <w:rPr>
          <w:rFonts w:hint="eastAsia" w:ascii="宋体" w:hAnsi="宋体" w:eastAsia="宋体" w:cs="宋体"/>
          <w:i w:val="0"/>
          <w:iCs w:val="0"/>
          <w:color w:val="auto"/>
          <w:sz w:val="22"/>
          <w:szCs w:val="22"/>
          <w:highlight w:val="none"/>
        </w:rPr>
        <w:t> </w:t>
      </w:r>
    </w:p>
    <w:p w14:paraId="35EC1A71">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rPr>
        <w:t>开标地点：政采云平台（http://zfcg.czt.zj.gov.cn）/衢州市衢江区公共资源交易中心（振兴东路268号6楼）</w:t>
      </w:r>
      <w:r>
        <w:rPr>
          <w:rFonts w:hint="eastAsia" w:ascii="宋体" w:hAnsi="宋体" w:cs="宋体"/>
          <w:i w:val="0"/>
          <w:iCs w:val="0"/>
          <w:color w:val="auto"/>
          <w:sz w:val="22"/>
          <w:szCs w:val="22"/>
          <w:highlight w:val="none"/>
          <w:lang w:val="en-US" w:eastAsia="zh-CN"/>
        </w:rPr>
        <w:t>3</w:t>
      </w:r>
      <w:r>
        <w:rPr>
          <w:rFonts w:hint="eastAsia" w:ascii="宋体" w:hAnsi="宋体" w:eastAsia="宋体" w:cs="宋体"/>
          <w:i w:val="0"/>
          <w:iCs w:val="0"/>
          <w:color w:val="auto"/>
          <w:sz w:val="22"/>
          <w:szCs w:val="22"/>
          <w:highlight w:val="none"/>
        </w:rPr>
        <w:t>号开标厅</w:t>
      </w:r>
      <w:r>
        <w:rPr>
          <w:rFonts w:hint="eastAsia" w:ascii="宋体" w:hAnsi="宋体" w:eastAsia="宋体" w:cs="宋体"/>
          <w:i w:val="0"/>
          <w:iCs w:val="0"/>
          <w:color w:val="auto"/>
          <w:sz w:val="22"/>
          <w:szCs w:val="22"/>
          <w:highlight w:val="none"/>
          <w:lang w:val="en-US" w:eastAsia="zh-CN"/>
        </w:rPr>
        <w:t>在线开标。</w:t>
      </w:r>
    </w:p>
    <w:p w14:paraId="23291F10">
      <w:pPr>
        <w:pStyle w:val="4"/>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val="0"/>
          <w:i w:val="0"/>
          <w:iCs w:val="0"/>
          <w:color w:val="auto"/>
          <w:sz w:val="22"/>
          <w:szCs w:val="22"/>
          <w:highlight w:val="none"/>
        </w:rPr>
      </w:pPr>
      <w:bookmarkStart w:id="9" w:name="_Toc35393794"/>
      <w:bookmarkStart w:id="10" w:name="_Toc28359007"/>
      <w:bookmarkStart w:id="11" w:name="_Toc28359084"/>
      <w:bookmarkStart w:id="12" w:name="_Toc35393625"/>
      <w:r>
        <w:rPr>
          <w:rFonts w:hint="eastAsia" w:ascii="宋体" w:hAnsi="宋体" w:eastAsia="宋体" w:cs="宋体"/>
          <w:bCs w:val="0"/>
          <w:i w:val="0"/>
          <w:iCs w:val="0"/>
          <w:color w:val="auto"/>
          <w:sz w:val="22"/>
          <w:szCs w:val="22"/>
          <w:highlight w:val="none"/>
        </w:rPr>
        <w:t>五、公告期限</w:t>
      </w:r>
      <w:bookmarkEnd w:id="9"/>
      <w:bookmarkEnd w:id="10"/>
      <w:bookmarkEnd w:id="11"/>
      <w:bookmarkEnd w:id="12"/>
    </w:p>
    <w:p w14:paraId="074FD031">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bCs/>
          <w:i w:val="0"/>
          <w:iCs w:val="0"/>
          <w:color w:val="auto"/>
          <w:sz w:val="22"/>
          <w:szCs w:val="22"/>
          <w:highlight w:val="none"/>
        </w:rPr>
      </w:pPr>
      <w:r>
        <w:rPr>
          <w:rFonts w:hint="eastAsia" w:ascii="宋体" w:hAnsi="宋体" w:eastAsia="宋体" w:cs="宋体"/>
          <w:i w:val="0"/>
          <w:iCs w:val="0"/>
          <w:color w:val="auto"/>
          <w:kern w:val="0"/>
          <w:sz w:val="22"/>
          <w:szCs w:val="22"/>
          <w:highlight w:val="none"/>
        </w:rPr>
        <w:t>自本公告发布之日起5个工作日。</w:t>
      </w:r>
      <w:bookmarkStart w:id="13" w:name="_Toc35393795"/>
      <w:bookmarkStart w:id="14" w:name="_Toc35393626"/>
    </w:p>
    <w:p w14:paraId="41BB4B34">
      <w:pPr>
        <w:pStyle w:val="4"/>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val="0"/>
          <w:i w:val="0"/>
          <w:iCs w:val="0"/>
          <w:color w:val="auto"/>
          <w:sz w:val="22"/>
          <w:szCs w:val="22"/>
          <w:highlight w:val="none"/>
        </w:rPr>
      </w:pPr>
      <w:r>
        <w:rPr>
          <w:rFonts w:hint="eastAsia" w:ascii="宋体" w:hAnsi="宋体" w:eastAsia="宋体" w:cs="宋体"/>
          <w:bCs w:val="0"/>
          <w:i w:val="0"/>
          <w:iCs w:val="0"/>
          <w:color w:val="auto"/>
          <w:sz w:val="22"/>
          <w:szCs w:val="22"/>
          <w:highlight w:val="none"/>
        </w:rPr>
        <w:t>六、其他补充事宜</w:t>
      </w:r>
      <w:bookmarkEnd w:id="13"/>
      <w:bookmarkEnd w:id="14"/>
    </w:p>
    <w:p w14:paraId="13C5D193">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 xml:space="preserve"> </w:t>
      </w:r>
      <w:r>
        <w:rPr>
          <w:rFonts w:hint="eastAsia" w:ascii="宋体" w:hAnsi="宋体" w:eastAsia="宋体" w:cs="宋体"/>
          <w:i w:val="0"/>
          <w:iCs w:val="0"/>
          <w:color w:val="auto"/>
          <w:sz w:val="22"/>
          <w:szCs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F011D64">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2088B8">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14:paraId="53D5556B">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4.在线投标文件（电子投标）说明</w:t>
      </w:r>
    </w:p>
    <w:p w14:paraId="7F98BB1B">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（1）本项目通过“政府采购云平台（www.zcygov.cn）”实行在线投标响应（电子投标），供应商应先安装“政采云电子交易客户端”，并按照本</w:t>
      </w:r>
      <w:r>
        <w:rPr>
          <w:rFonts w:hint="eastAsia" w:ascii="宋体" w:hAnsi="宋体" w:eastAsia="宋体" w:cs="宋体"/>
          <w:b/>
          <w:bCs/>
          <w:color w:val="auto"/>
          <w:sz w:val="22"/>
          <w:szCs w:val="22"/>
          <w:highlight w:val="none"/>
          <w:lang w:eastAsia="zh-CN"/>
        </w:rPr>
        <w:t>招标</w:t>
      </w:r>
      <w:r>
        <w:rPr>
          <w:rFonts w:hint="eastAsia" w:ascii="宋体" w:hAnsi="宋体" w:eastAsia="宋体" w:cs="宋体"/>
          <w:b/>
          <w:bCs/>
          <w:color w:val="auto"/>
          <w:sz w:val="22"/>
          <w:szCs w:val="22"/>
          <w:highlight w:val="none"/>
        </w:rPr>
        <w:t>文件和“政府采购云平台”的要求，通过“政采云电子交易客户端”编制并加密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。供应商未按规定加密的</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，“政府采购云平台”将予以拒收。</w:t>
      </w:r>
    </w:p>
    <w:p w14:paraId="19B30058">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政采云电子交易客户端”请自行前往“浙江政府采购网-下载专区-电子交易客户端”进行下载；电子投标具体操作流程详见政采云《供应商项目采购-电子招投标操作指南》；通过“政府采购云平台”参与在线投标时如遇平台技术问题详询</w:t>
      </w:r>
      <w:r>
        <w:rPr>
          <w:rFonts w:hint="eastAsia" w:ascii="宋体" w:hAnsi="宋体" w:eastAsia="宋体" w:cs="宋体"/>
          <w:b/>
          <w:bCs/>
          <w:color w:val="auto"/>
          <w:sz w:val="22"/>
          <w:szCs w:val="22"/>
          <w:highlight w:val="none"/>
          <w:lang w:val="en-US" w:eastAsia="zh-CN"/>
        </w:rPr>
        <w:t>95763</w:t>
      </w:r>
      <w:r>
        <w:rPr>
          <w:rFonts w:hint="eastAsia" w:ascii="宋体" w:hAnsi="宋体" w:eastAsia="宋体" w:cs="宋体"/>
          <w:b/>
          <w:bCs/>
          <w:color w:val="auto"/>
          <w:sz w:val="22"/>
          <w:szCs w:val="22"/>
          <w:highlight w:val="none"/>
        </w:rPr>
        <w:t>。</w:t>
      </w:r>
    </w:p>
    <w:p w14:paraId="63A45858">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"http://www.zjzfcg.gov.cn/bidClientTemplate/2019-05-27/12945.html" \t "_blank" \o "CA驱动和申领流程"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CA驱动和申领流程</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t>”进行查阅；</w:t>
      </w:r>
    </w:p>
    <w:p w14:paraId="37BEC713">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（3）供应商应当在投标截止时间前，将生成的“电子加密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”上传递交至“政府采购云平台”。投标截止时间以后上传递交的</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将被“政府采购云平台”拒收。</w:t>
      </w:r>
    </w:p>
    <w:p w14:paraId="1F3833C4">
      <w:pPr>
        <w:keepNext w:val="0"/>
        <w:keepLines w:val="0"/>
        <w:pageBreakBefore w:val="0"/>
        <w:widowControl w:val="0"/>
        <w:kinsoku/>
        <w:wordWrap/>
        <w:overflowPunct/>
        <w:topLinePunct w:val="0"/>
        <w:autoSpaceDE w:val="0"/>
        <w:autoSpaceDN w:val="0"/>
        <w:bidi w:val="0"/>
        <w:adjustRightInd/>
        <w:snapToGrid w:val="0"/>
        <w:spacing w:beforeAutospacing="0" w:afterAutospacing="0" w:line="40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）供应商在“政府采购云平台”完成“电子加密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”的上传递交后，“备份</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”（后缀格式为.bfbs）：以电子邮件方式递交</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本项目指定接收邮箱（邮箱：</w:t>
      </w:r>
      <w:r>
        <w:rPr>
          <w:rFonts w:hint="eastAsia" w:ascii="宋体" w:hAnsi="宋体" w:cs="宋体"/>
          <w:b/>
          <w:bCs/>
          <w:sz w:val="24"/>
          <w:highlight w:val="none"/>
          <w:lang w:val="en-US" w:eastAsia="zh-CN"/>
        </w:rPr>
        <w:t>2513628668</w:t>
      </w:r>
      <w:r>
        <w:rPr>
          <w:rFonts w:hint="eastAsia" w:ascii="宋体" w:hAnsi="宋体" w:eastAsia="宋体" w:cs="宋体"/>
          <w:b/>
          <w:bCs/>
          <w:sz w:val="24"/>
          <w:highlight w:val="none"/>
        </w:rPr>
        <w:t>@qq.com</w:t>
      </w:r>
      <w:r>
        <w:rPr>
          <w:rFonts w:hint="eastAsia" w:ascii="宋体" w:hAnsi="宋体" w:eastAsia="宋体" w:cs="宋体"/>
          <w:b/>
          <w:bCs/>
          <w:color w:val="auto"/>
          <w:sz w:val="22"/>
          <w:szCs w:val="22"/>
          <w:highlight w:val="none"/>
        </w:rPr>
        <w:t>联系人：</w:t>
      </w:r>
      <w:r>
        <w:rPr>
          <w:rFonts w:hint="eastAsia" w:ascii="宋体" w:hAnsi="宋体" w:cs="宋体"/>
          <w:b/>
          <w:bCs/>
          <w:color w:val="auto"/>
          <w:sz w:val="22"/>
          <w:szCs w:val="22"/>
          <w:highlight w:val="none"/>
          <w:lang w:val="en-US" w:eastAsia="zh-CN"/>
        </w:rPr>
        <w:t>郑女士/余先生</w:t>
      </w:r>
      <w:bookmarkStart w:id="134" w:name="_GoBack"/>
      <w:bookmarkEnd w:id="134"/>
      <w:r>
        <w:rPr>
          <w:rFonts w:hint="eastAsia" w:ascii="宋体" w:hAnsi="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电话：</w:t>
      </w:r>
      <w:r>
        <w:rPr>
          <w:rFonts w:hint="eastAsia" w:ascii="宋体" w:hAnsi="宋体" w:cs="宋体"/>
          <w:b/>
          <w:bCs/>
          <w:color w:val="auto"/>
          <w:sz w:val="22"/>
          <w:szCs w:val="22"/>
          <w:highlight w:val="none"/>
          <w:lang w:val="en-US" w:eastAsia="zh-CN"/>
        </w:rPr>
        <w:t>0570-3380568</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w:t>
      </w:r>
    </w:p>
    <w:p w14:paraId="407961CC">
      <w:pPr>
        <w:keepNext w:val="0"/>
        <w:keepLines w:val="0"/>
        <w:pageBreakBefore w:val="0"/>
        <w:widowControl w:val="0"/>
        <w:kinsoku/>
        <w:wordWrap/>
        <w:overflowPunct/>
        <w:topLinePunct w:val="0"/>
        <w:autoSpaceDE w:val="0"/>
        <w:autoSpaceDN w:val="0"/>
        <w:bidi w:val="0"/>
        <w:adjustRightInd/>
        <w:snapToGrid w:val="0"/>
        <w:spacing w:beforeAutospacing="0" w:afterAutospacing="0" w:line="40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）通过“政府采购云平台”上传递交的“电子加密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”无法按时解密，供应商递交了备份</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的，以备份</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为依据，否则视为</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撤回。通过“政府采购云平台”上传递交的“电子加密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”已按时解密的，“备份</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”自动失效。供应商仅递交备份</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的，投标无效。</w:t>
      </w:r>
    </w:p>
    <w:p w14:paraId="4AE4CB54">
      <w:pPr>
        <w:pStyle w:val="49"/>
        <w:keepNext w:val="0"/>
        <w:keepLines w:val="0"/>
        <w:pageBreakBefore w:val="0"/>
        <w:widowControl w:val="0"/>
        <w:kinsoku/>
        <w:wordWrap/>
        <w:overflowPunct/>
        <w:topLinePunct w:val="0"/>
        <w:autoSpaceDE w:val="0"/>
        <w:autoSpaceDN w:val="0"/>
        <w:bidi w:val="0"/>
        <w:adjustRightInd/>
        <w:snapToGrid/>
        <w:spacing w:beforeAutospacing="0" w:afterAutospacing="0" w:line="420" w:lineRule="exact"/>
        <w:ind w:left="0" w:leftChars="0" w:right="0" w:righ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lang w:val="en-US" w:eastAsia="zh-CN"/>
        </w:rPr>
        <w:t>5.</w:t>
      </w:r>
      <w:r>
        <w:rPr>
          <w:rFonts w:hint="eastAsia" w:ascii="宋体" w:hAnsi="宋体" w:eastAsia="宋体" w:cs="宋体"/>
          <w:b/>
          <w:bCs/>
          <w:i w:val="0"/>
          <w:iCs w:val="0"/>
          <w:color w:val="auto"/>
          <w:sz w:val="22"/>
          <w:szCs w:val="22"/>
          <w:highlight w:val="none"/>
        </w:rPr>
        <w:t>参与同一标段的供应商，存在以下几种情形认定为串标围标：MAC地址相同、计算机硬盘序列号相同、响应文件</w:t>
      </w:r>
      <w:r>
        <w:rPr>
          <w:rFonts w:hint="eastAsia" w:ascii="宋体" w:hAnsi="宋体" w:eastAsia="宋体" w:cs="宋体"/>
          <w:b/>
          <w:bCs/>
          <w:i w:val="0"/>
          <w:iCs w:val="0"/>
          <w:color w:val="auto"/>
          <w:sz w:val="22"/>
          <w:szCs w:val="22"/>
          <w:highlight w:val="none"/>
          <w:lang w:eastAsia="zh-CN"/>
        </w:rPr>
        <w:t>（投标文件）</w:t>
      </w:r>
      <w:r>
        <w:rPr>
          <w:rFonts w:hint="eastAsia" w:ascii="宋体" w:hAnsi="宋体" w:eastAsia="宋体" w:cs="宋体"/>
          <w:b/>
          <w:bCs/>
          <w:i w:val="0"/>
          <w:iCs w:val="0"/>
          <w:color w:val="auto"/>
          <w:sz w:val="22"/>
          <w:szCs w:val="22"/>
          <w:highlight w:val="none"/>
        </w:rPr>
        <w:t xml:space="preserve">细节错误一致且无合理解释等情形。 </w:t>
      </w:r>
    </w:p>
    <w:p w14:paraId="4EA29CB3">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437" w:leftChars="208" w:right="0" w:rightChars="0" w:firstLine="0" w:firstLineChars="0"/>
        <w:textAlignment w:val="auto"/>
        <w:rPr>
          <w:rFonts w:hint="eastAsia" w:ascii="宋体" w:hAnsi="宋体" w:eastAsia="宋体" w:cs="宋体"/>
          <w:i w:val="0"/>
          <w:iCs w:val="0"/>
          <w:color w:val="auto"/>
          <w:sz w:val="22"/>
          <w:szCs w:val="22"/>
          <w:highlight w:val="none"/>
        </w:rPr>
      </w:pPr>
      <w:r>
        <w:rPr>
          <w:rFonts w:hint="eastAsia" w:ascii="宋体" w:hAnsi="宋体" w:cs="宋体"/>
          <w:b/>
          <w:bCs/>
          <w:i w:val="0"/>
          <w:iCs w:val="0"/>
          <w:color w:val="auto"/>
          <w:sz w:val="22"/>
          <w:szCs w:val="22"/>
          <w:highlight w:val="none"/>
          <w:lang w:val="en-US" w:eastAsia="zh-CN"/>
        </w:rPr>
        <w:t>6.</w:t>
      </w:r>
      <w:r>
        <w:rPr>
          <w:rFonts w:hint="eastAsia" w:ascii="宋体" w:hAnsi="宋体" w:eastAsia="宋体" w:cs="宋体"/>
          <w:b/>
          <w:bCs/>
          <w:i w:val="0"/>
          <w:iCs w:val="0"/>
          <w:color w:val="auto"/>
          <w:sz w:val="22"/>
          <w:szCs w:val="22"/>
          <w:highlight w:val="none"/>
        </w:rPr>
        <w:t>投标保证金：</w:t>
      </w:r>
      <w:r>
        <w:rPr>
          <w:rFonts w:hint="eastAsia" w:ascii="宋体" w:hAnsi="宋体" w:eastAsia="宋体" w:cs="宋体"/>
          <w:i w:val="0"/>
          <w:iCs w:val="0"/>
          <w:color w:val="auto"/>
          <w:sz w:val="22"/>
          <w:szCs w:val="22"/>
          <w:highlight w:val="none"/>
        </w:rPr>
        <w:t>不需交纳投标保证金。</w:t>
      </w:r>
      <w:r>
        <w:rPr>
          <w:rFonts w:hint="eastAsia" w:ascii="宋体" w:hAnsi="宋体" w:eastAsia="宋体" w:cs="宋体"/>
          <w:b/>
          <w:bCs/>
          <w:i w:val="0"/>
          <w:iCs w:val="0"/>
          <w:color w:val="auto"/>
          <w:sz w:val="22"/>
          <w:szCs w:val="22"/>
          <w:highlight w:val="none"/>
          <w:lang w:val="en-US" w:eastAsia="zh-CN"/>
        </w:rPr>
        <w:br w:type="textWrapping"/>
      </w:r>
      <w:r>
        <w:rPr>
          <w:rFonts w:hint="eastAsia" w:ascii="宋体" w:hAnsi="宋体" w:cs="宋体"/>
          <w:b/>
          <w:bCs/>
          <w:i w:val="0"/>
          <w:iCs w:val="0"/>
          <w:color w:val="auto"/>
          <w:sz w:val="22"/>
          <w:szCs w:val="22"/>
          <w:highlight w:val="none"/>
          <w:lang w:val="en-US" w:eastAsia="zh-CN"/>
        </w:rPr>
        <w:t>7.</w:t>
      </w:r>
      <w:r>
        <w:rPr>
          <w:rFonts w:hint="eastAsia" w:ascii="宋体" w:hAnsi="宋体" w:eastAsia="宋体" w:cs="宋体"/>
          <w:b/>
          <w:i w:val="0"/>
          <w:iCs w:val="0"/>
          <w:color w:val="auto"/>
          <w:kern w:val="0"/>
          <w:sz w:val="22"/>
          <w:szCs w:val="22"/>
          <w:highlight w:val="none"/>
        </w:rPr>
        <w:t>采购项目需要落实的政府采购政策：</w:t>
      </w:r>
    </w:p>
    <w:p w14:paraId="49C67917">
      <w:pPr>
        <w:pStyle w:val="49"/>
        <w:keepNext w:val="0"/>
        <w:keepLines w:val="0"/>
        <w:pageBreakBefore w:val="0"/>
        <w:widowControl w:val="0"/>
        <w:kinsoku/>
        <w:wordWrap/>
        <w:overflowPunct/>
        <w:topLinePunct w:val="0"/>
        <w:autoSpaceDE w:val="0"/>
        <w:autoSpaceDN w:val="0"/>
        <w:bidi w:val="0"/>
        <w:adjustRightInd/>
        <w:snapToGrid/>
        <w:spacing w:beforeAutospacing="0" w:afterAutospacing="0" w:line="42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7</w:t>
      </w:r>
      <w:r>
        <w:rPr>
          <w:rFonts w:hint="eastAsia" w:ascii="宋体" w:hAnsi="宋体" w:eastAsia="宋体" w:cs="宋体"/>
          <w:i w:val="0"/>
          <w:iCs w:val="0"/>
          <w:color w:val="auto"/>
          <w:sz w:val="22"/>
          <w:szCs w:val="22"/>
          <w:highlight w:val="none"/>
        </w:rPr>
        <w:t>.1政府采购金融服务：鼓励供应商开展政采贷、履约保函等政府采购金融服务，供应商可通过浙江政府采购网（https://zfcg.czt.zj.gov.cn/）首页的“浙江政采贷”模块进入申请，还可以通过政府采购云平台（https://www.zcygov.cn/）首页的“金融服务”模块进入申请。  </w:t>
      </w:r>
    </w:p>
    <w:p w14:paraId="38648B5F">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7</w:t>
      </w:r>
      <w:r>
        <w:rPr>
          <w:rFonts w:hint="eastAsia" w:ascii="宋体" w:hAnsi="宋体" w:eastAsia="宋体" w:cs="宋体"/>
          <w:i w:val="0"/>
          <w:iCs w:val="0"/>
          <w:color w:val="auto"/>
          <w:kern w:val="0"/>
          <w:sz w:val="22"/>
          <w:szCs w:val="22"/>
          <w:highlight w:val="none"/>
        </w:rPr>
        <w:t>.</w:t>
      </w: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采购信息发布媒介：浙江政府采购网（www.zjzfcg.gov.cn）。</w:t>
      </w:r>
    </w:p>
    <w:p w14:paraId="049562D8">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7</w:t>
      </w:r>
      <w:r>
        <w:rPr>
          <w:rFonts w:hint="eastAsia" w:ascii="宋体" w:hAnsi="宋体" w:eastAsia="宋体" w:cs="宋体"/>
          <w:i w:val="0"/>
          <w:iCs w:val="0"/>
          <w:color w:val="auto"/>
          <w:kern w:val="0"/>
          <w:sz w:val="22"/>
          <w:szCs w:val="22"/>
          <w:highlight w:val="none"/>
        </w:rPr>
        <w:t>.</w:t>
      </w:r>
      <w:r>
        <w:rPr>
          <w:rFonts w:hint="eastAsia" w:ascii="宋体" w:hAnsi="宋体" w:eastAsia="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rPr>
        <w:t>在公告期限之后潜在供应商仍然可以获取招标文件，但该供应商如对招标文件有疑问应按招标文件规定的询疑时间前提出，逾期提出的，采购组织机构可以不予受理、答复。</w:t>
      </w:r>
    </w:p>
    <w:p w14:paraId="70E17A4F">
      <w:pPr>
        <w:pStyle w:val="4"/>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val="0"/>
          <w:i w:val="0"/>
          <w:iCs w:val="0"/>
          <w:color w:val="auto"/>
          <w:sz w:val="22"/>
          <w:szCs w:val="22"/>
          <w:highlight w:val="none"/>
        </w:rPr>
      </w:pPr>
      <w:bookmarkStart w:id="15" w:name="_Toc28359085"/>
      <w:bookmarkStart w:id="16" w:name="_Toc35393796"/>
      <w:bookmarkStart w:id="17" w:name="_Toc28359008"/>
      <w:bookmarkStart w:id="18" w:name="_Toc35393627"/>
      <w:r>
        <w:rPr>
          <w:rFonts w:hint="eastAsia" w:ascii="宋体" w:hAnsi="宋体" w:eastAsia="宋体" w:cs="宋体"/>
          <w:bCs w:val="0"/>
          <w:i w:val="0"/>
          <w:iCs w:val="0"/>
          <w:color w:val="auto"/>
          <w:sz w:val="22"/>
          <w:szCs w:val="22"/>
          <w:highlight w:val="none"/>
        </w:rPr>
        <w:t>七、对本次招标提出询问，请按以下方式联系</w:t>
      </w:r>
      <w:bookmarkEnd w:id="15"/>
      <w:bookmarkEnd w:id="16"/>
      <w:bookmarkEnd w:id="17"/>
      <w:bookmarkEnd w:id="18"/>
    </w:p>
    <w:p w14:paraId="6F752F1B">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40" w:firstLineChars="200"/>
        <w:jc w:val="left"/>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采购人信息</w:t>
      </w:r>
    </w:p>
    <w:p w14:paraId="0D352A89">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default" w:ascii="宋体" w:hAnsi="宋体" w:eastAsia="宋体" w:cs="宋体"/>
          <w:b w:val="0"/>
          <w:bCs w:val="0"/>
          <w:color w:val="auto"/>
          <w:sz w:val="22"/>
          <w:szCs w:val="22"/>
          <w:highlight w:val="none"/>
          <w:lang w:val="en-US" w:eastAsia="zh-CN"/>
        </w:rPr>
      </w:pPr>
      <w:bookmarkStart w:id="19" w:name="_Toc28359086"/>
      <w:bookmarkStart w:id="20" w:name="_Toc28359009"/>
      <w:r>
        <w:rPr>
          <w:rFonts w:hint="eastAsia" w:ascii="宋体" w:hAnsi="宋体" w:eastAsia="宋体" w:cs="宋体"/>
          <w:b w:val="0"/>
          <w:bCs w:val="0"/>
          <w:color w:val="auto"/>
          <w:sz w:val="22"/>
          <w:szCs w:val="22"/>
          <w:highlight w:val="none"/>
        </w:rPr>
        <w:t>名    称：</w:t>
      </w:r>
      <w:r>
        <w:rPr>
          <w:rFonts w:hint="eastAsia" w:ascii="宋体" w:hAnsi="宋体" w:eastAsia="宋体" w:cs="宋体"/>
          <w:b w:val="0"/>
          <w:bCs w:val="0"/>
          <w:color w:val="auto"/>
          <w:sz w:val="22"/>
          <w:szCs w:val="22"/>
          <w:highlight w:val="none"/>
          <w:lang w:eastAsia="zh-CN"/>
        </w:rPr>
        <w:t>衢州市衢江区</w:t>
      </w:r>
      <w:r>
        <w:rPr>
          <w:rFonts w:hint="eastAsia" w:ascii="宋体" w:hAnsi="宋体" w:eastAsia="宋体" w:cs="宋体"/>
          <w:b w:val="0"/>
          <w:bCs w:val="0"/>
          <w:color w:val="auto"/>
          <w:sz w:val="22"/>
          <w:szCs w:val="22"/>
          <w:highlight w:val="none"/>
          <w:lang w:val="en-US" w:eastAsia="zh-CN"/>
        </w:rPr>
        <w:t>杜泽</w:t>
      </w:r>
      <w:r>
        <w:rPr>
          <w:rFonts w:hint="eastAsia" w:ascii="宋体" w:hAnsi="宋体" w:eastAsia="宋体" w:cs="宋体"/>
          <w:b w:val="0"/>
          <w:bCs w:val="0"/>
          <w:color w:val="auto"/>
          <w:sz w:val="22"/>
          <w:szCs w:val="22"/>
          <w:highlight w:val="none"/>
          <w:lang w:eastAsia="zh-CN"/>
        </w:rPr>
        <w:t>镇</w:t>
      </w:r>
      <w:r>
        <w:rPr>
          <w:rFonts w:hint="eastAsia" w:ascii="宋体" w:hAnsi="宋体" w:cs="宋体"/>
          <w:b w:val="0"/>
          <w:bCs w:val="0"/>
          <w:color w:val="auto"/>
          <w:sz w:val="22"/>
          <w:szCs w:val="22"/>
          <w:highlight w:val="none"/>
          <w:lang w:val="en-US" w:eastAsia="zh-CN"/>
        </w:rPr>
        <w:t>人民政府</w:t>
      </w:r>
    </w:p>
    <w:p w14:paraId="49D67920">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地    址：</w:t>
      </w:r>
      <w:r>
        <w:rPr>
          <w:rFonts w:hint="eastAsia" w:ascii="宋体" w:hAnsi="宋体" w:eastAsia="宋体" w:cs="宋体"/>
          <w:b w:val="0"/>
          <w:bCs w:val="0"/>
          <w:color w:val="auto"/>
          <w:sz w:val="22"/>
          <w:szCs w:val="22"/>
          <w:highlight w:val="none"/>
          <w:lang w:eastAsia="zh-CN"/>
        </w:rPr>
        <w:t>衢州市衢江区</w:t>
      </w:r>
      <w:r>
        <w:rPr>
          <w:rFonts w:hint="eastAsia" w:ascii="宋体" w:hAnsi="宋体" w:eastAsia="宋体" w:cs="宋体"/>
          <w:b w:val="0"/>
          <w:bCs w:val="0"/>
          <w:color w:val="auto"/>
          <w:sz w:val="22"/>
          <w:szCs w:val="22"/>
          <w:highlight w:val="none"/>
          <w:lang w:val="en-US" w:eastAsia="zh-CN"/>
        </w:rPr>
        <w:t>杜泽</w:t>
      </w:r>
      <w:r>
        <w:rPr>
          <w:rFonts w:hint="eastAsia" w:ascii="宋体" w:hAnsi="宋体" w:eastAsia="宋体" w:cs="宋体"/>
          <w:b w:val="0"/>
          <w:bCs w:val="0"/>
          <w:color w:val="auto"/>
          <w:sz w:val="22"/>
          <w:szCs w:val="22"/>
          <w:highlight w:val="none"/>
          <w:lang w:eastAsia="zh-CN"/>
        </w:rPr>
        <w:t>镇</w:t>
      </w:r>
    </w:p>
    <w:p w14:paraId="1062B56F">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项目联系人（询问）：</w:t>
      </w:r>
      <w:r>
        <w:rPr>
          <w:rFonts w:hint="eastAsia" w:ascii="宋体" w:hAnsi="宋体" w:cs="宋体"/>
          <w:b w:val="0"/>
          <w:bCs w:val="0"/>
          <w:color w:val="auto"/>
          <w:sz w:val="22"/>
          <w:szCs w:val="22"/>
          <w:highlight w:val="none"/>
          <w:lang w:val="en-US" w:eastAsia="zh-CN"/>
        </w:rPr>
        <w:t>舒</w:t>
      </w:r>
      <w:r>
        <w:rPr>
          <w:rFonts w:hint="eastAsia" w:ascii="宋体" w:hAnsi="宋体" w:eastAsia="宋体" w:cs="宋体"/>
          <w:b w:val="0"/>
          <w:bCs w:val="0"/>
          <w:color w:val="auto"/>
          <w:sz w:val="22"/>
          <w:szCs w:val="22"/>
          <w:highlight w:val="none"/>
        </w:rPr>
        <w:t>女士</w:t>
      </w:r>
    </w:p>
    <w:p w14:paraId="0B7BBABB">
      <w:pPr>
        <w:keepNext w:val="0"/>
        <w:keepLines w:val="0"/>
        <w:pageBreakBefore w:val="0"/>
        <w:widowControl w:val="0"/>
        <w:kinsoku/>
        <w:wordWrap/>
        <w:overflowPunct/>
        <w:topLinePunct w:val="0"/>
        <w:autoSpaceDE w:val="0"/>
        <w:autoSpaceDN w:val="0"/>
        <w:bidi w:val="0"/>
        <w:snapToGrid w:val="0"/>
        <w:spacing w:line="460" w:lineRule="exact"/>
        <w:ind w:left="437" w:leftChars="208" w:right="0" w:rightChars="0" w:firstLine="0" w:firstLineChars="0"/>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项目联系方式（询问）：</w:t>
      </w:r>
      <w:r>
        <w:rPr>
          <w:rFonts w:hint="eastAsia" w:ascii="宋体" w:hAnsi="宋体" w:eastAsia="宋体" w:cs="宋体"/>
          <w:b w:val="0"/>
          <w:bCs w:val="0"/>
          <w:color w:val="auto"/>
          <w:sz w:val="22"/>
          <w:szCs w:val="22"/>
          <w:highlight w:val="none"/>
          <w:lang w:val="en-US" w:eastAsia="zh-CN"/>
        </w:rPr>
        <w:t>0570-2298966</w:t>
      </w:r>
      <w:r>
        <w:rPr>
          <w:rFonts w:hint="eastAsia" w:ascii="宋体" w:hAnsi="宋体" w:cs="宋体"/>
          <w:b w:val="0"/>
          <w:bCs w:val="0"/>
          <w:color w:val="auto"/>
          <w:sz w:val="22"/>
          <w:szCs w:val="22"/>
          <w:highlight w:val="none"/>
          <w:lang w:val="en-US" w:eastAsia="zh-CN"/>
        </w:rPr>
        <w:br w:type="textWrapping"/>
      </w:r>
      <w:r>
        <w:rPr>
          <w:rFonts w:hint="eastAsia" w:ascii="宋体" w:hAnsi="宋体" w:eastAsia="宋体" w:cs="宋体"/>
          <w:b w:val="0"/>
          <w:bCs w:val="0"/>
          <w:color w:val="auto"/>
          <w:sz w:val="22"/>
          <w:szCs w:val="22"/>
          <w:highlight w:val="none"/>
        </w:rPr>
        <w:t>质疑联系人：</w:t>
      </w:r>
      <w:r>
        <w:rPr>
          <w:rFonts w:hint="eastAsia" w:ascii="宋体" w:hAnsi="宋体" w:cs="宋体"/>
          <w:b w:val="0"/>
          <w:bCs w:val="0"/>
          <w:color w:val="auto"/>
          <w:sz w:val="22"/>
          <w:szCs w:val="22"/>
          <w:highlight w:val="none"/>
          <w:lang w:val="en-US" w:eastAsia="zh-CN"/>
        </w:rPr>
        <w:t>徐先生</w:t>
      </w:r>
    </w:p>
    <w:p w14:paraId="53BF93ED">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val="0"/>
          <w:bCs w:val="0"/>
          <w:color w:val="auto"/>
          <w:sz w:val="22"/>
          <w:szCs w:val="22"/>
          <w:highlight w:val="none"/>
        </w:rPr>
        <w:t>质疑联系方式：</w:t>
      </w:r>
      <w:r>
        <w:rPr>
          <w:rFonts w:hint="eastAsia" w:ascii="宋体" w:hAnsi="宋体" w:eastAsia="宋体" w:cs="宋体"/>
          <w:b w:val="0"/>
          <w:bCs w:val="0"/>
          <w:color w:val="auto"/>
          <w:sz w:val="22"/>
          <w:szCs w:val="22"/>
          <w:highlight w:val="none"/>
          <w:lang w:val="en-US" w:eastAsia="zh-CN"/>
        </w:rPr>
        <w:t>0570-2298966</w:t>
      </w:r>
    </w:p>
    <w:p w14:paraId="32B239A1">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40" w:firstLineChars="200"/>
        <w:jc w:val="left"/>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采购代理机构信息</w:t>
      </w:r>
      <w:bookmarkEnd w:id="19"/>
      <w:bookmarkEnd w:id="20"/>
      <w:r>
        <w:rPr>
          <w:rFonts w:hint="eastAsia" w:ascii="宋体" w:hAnsi="宋体" w:eastAsia="宋体" w:cs="宋体"/>
          <w:i w:val="0"/>
          <w:iCs w:val="0"/>
          <w:color w:val="auto"/>
          <w:sz w:val="22"/>
          <w:szCs w:val="22"/>
          <w:highlight w:val="none"/>
        </w:rPr>
        <w:t xml:space="preserve">                                </w:t>
      </w:r>
    </w:p>
    <w:p w14:paraId="65D84F32">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bookmarkStart w:id="21" w:name="_Toc28359077"/>
      <w:bookmarkStart w:id="22" w:name="_Toc28359000"/>
      <w:bookmarkStart w:id="23" w:name="_Toc35393788"/>
      <w:bookmarkStart w:id="24" w:name="_Toc35393619"/>
      <w:r>
        <w:rPr>
          <w:rFonts w:hint="eastAsia" w:ascii="宋体" w:hAnsi="宋体" w:eastAsia="宋体" w:cs="宋体"/>
          <w:b w:val="0"/>
          <w:bCs w:val="0"/>
          <w:color w:val="auto"/>
          <w:sz w:val="22"/>
          <w:szCs w:val="22"/>
          <w:highlight w:val="none"/>
        </w:rPr>
        <w:t>名    称：</w:t>
      </w:r>
      <w:r>
        <w:rPr>
          <w:rFonts w:hint="eastAsia" w:ascii="宋体" w:hAnsi="宋体" w:eastAsia="宋体" w:cs="宋体"/>
          <w:b w:val="0"/>
          <w:bCs w:val="0"/>
          <w:color w:val="auto"/>
          <w:sz w:val="22"/>
          <w:szCs w:val="22"/>
          <w:highlight w:val="none"/>
          <w:lang w:eastAsia="zh-CN"/>
        </w:rPr>
        <w:t>浙江中兰工程项目管理有限公司</w:t>
      </w:r>
    </w:p>
    <w:p w14:paraId="71E8C0DA">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地    址：</w:t>
      </w:r>
      <w:r>
        <w:rPr>
          <w:rFonts w:hint="eastAsia" w:ascii="宋体" w:hAnsi="宋体" w:eastAsia="宋体" w:cs="宋体"/>
          <w:b w:val="0"/>
          <w:bCs w:val="0"/>
          <w:color w:val="auto"/>
          <w:sz w:val="22"/>
          <w:szCs w:val="22"/>
          <w:highlight w:val="none"/>
          <w:lang w:eastAsia="zh-CN"/>
        </w:rPr>
        <w:t>衢州市衢江区港汇商务广场</w:t>
      </w:r>
      <w:r>
        <w:rPr>
          <w:rFonts w:hint="eastAsia" w:ascii="宋体" w:hAnsi="宋体" w:cs="宋体"/>
          <w:b w:val="0"/>
          <w:bCs w:val="0"/>
          <w:color w:val="auto"/>
          <w:sz w:val="22"/>
          <w:szCs w:val="22"/>
          <w:highlight w:val="none"/>
          <w:lang w:eastAsia="zh-CN"/>
        </w:rPr>
        <w:t>2号楼6楼</w:t>
      </w:r>
    </w:p>
    <w:p w14:paraId="32E03280">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default" w:ascii="宋体" w:hAnsi="宋体" w:eastAsia="宋体" w:cs="宋体"/>
          <w:b w:val="0"/>
          <w:bCs w:val="0"/>
          <w:color w:val="auto"/>
          <w:sz w:val="22"/>
          <w:szCs w:val="22"/>
          <w:highlight w:val="none"/>
          <w:lang w:val="en-US"/>
        </w:rPr>
      </w:pPr>
      <w:r>
        <w:rPr>
          <w:rFonts w:hint="eastAsia" w:ascii="宋体" w:hAnsi="宋体" w:eastAsia="宋体" w:cs="宋体"/>
          <w:b w:val="0"/>
          <w:bCs w:val="0"/>
          <w:color w:val="auto"/>
          <w:sz w:val="22"/>
          <w:szCs w:val="22"/>
          <w:highlight w:val="none"/>
        </w:rPr>
        <w:t>项目联系人（询问）：</w:t>
      </w:r>
      <w:r>
        <w:rPr>
          <w:rFonts w:hint="eastAsia" w:ascii="宋体" w:hAnsi="宋体" w:cs="宋体"/>
          <w:b w:val="0"/>
          <w:bCs w:val="0"/>
          <w:color w:val="auto"/>
          <w:sz w:val="22"/>
          <w:szCs w:val="22"/>
          <w:highlight w:val="none"/>
          <w:lang w:eastAsia="zh-CN"/>
        </w:rPr>
        <w:t>郑女士</w:t>
      </w:r>
      <w:r>
        <w:rPr>
          <w:rFonts w:hint="eastAsia" w:ascii="宋体" w:hAnsi="宋体" w:cs="宋体"/>
          <w:b w:val="0"/>
          <w:bCs w:val="0"/>
          <w:color w:val="auto"/>
          <w:sz w:val="22"/>
          <w:szCs w:val="22"/>
          <w:highlight w:val="none"/>
          <w:lang w:val="en-US" w:eastAsia="zh-CN"/>
        </w:rPr>
        <w:t>/余先生</w:t>
      </w:r>
    </w:p>
    <w:p w14:paraId="23EF640C">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项目联系方式（询问）：</w:t>
      </w:r>
      <w:r>
        <w:rPr>
          <w:rFonts w:hint="eastAsia" w:ascii="宋体" w:hAnsi="宋体" w:eastAsia="宋体" w:cs="宋体"/>
          <w:b w:val="0"/>
          <w:bCs w:val="0"/>
          <w:color w:val="auto"/>
          <w:sz w:val="22"/>
          <w:szCs w:val="22"/>
          <w:highlight w:val="none"/>
          <w:lang w:val="en-US" w:eastAsia="zh-CN"/>
        </w:rPr>
        <w:t>0570-3380568</w:t>
      </w:r>
    </w:p>
    <w:p w14:paraId="6597BFFA">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质疑联系人：</w:t>
      </w:r>
      <w:r>
        <w:rPr>
          <w:rFonts w:hint="eastAsia" w:ascii="宋体" w:hAnsi="宋体" w:eastAsia="宋体" w:cs="宋体"/>
          <w:b w:val="0"/>
          <w:bCs w:val="0"/>
          <w:color w:val="auto"/>
          <w:sz w:val="22"/>
          <w:szCs w:val="22"/>
          <w:highlight w:val="none"/>
          <w:lang w:eastAsia="zh-CN"/>
        </w:rPr>
        <w:t>郑女士</w:t>
      </w:r>
    </w:p>
    <w:p w14:paraId="5CB721C3">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val="0"/>
          <w:bCs w:val="0"/>
          <w:color w:val="auto"/>
          <w:sz w:val="22"/>
          <w:szCs w:val="22"/>
          <w:highlight w:val="none"/>
        </w:rPr>
        <w:t>质疑联系方式：</w:t>
      </w:r>
      <w:r>
        <w:rPr>
          <w:rFonts w:hint="eastAsia" w:ascii="宋体" w:hAnsi="宋体" w:eastAsia="宋体" w:cs="宋体"/>
          <w:b w:val="0"/>
          <w:bCs w:val="0"/>
          <w:color w:val="auto"/>
          <w:sz w:val="22"/>
          <w:szCs w:val="22"/>
          <w:highlight w:val="none"/>
          <w:lang w:val="en-US" w:eastAsia="zh-CN"/>
        </w:rPr>
        <w:t>0570-33805</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8</w:t>
      </w:r>
    </w:p>
    <w:bookmarkEnd w:id="21"/>
    <w:bookmarkEnd w:id="22"/>
    <w:bookmarkEnd w:id="23"/>
    <w:bookmarkEnd w:id="24"/>
    <w:p w14:paraId="28050FE6">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3.同级政府采购监督管理部门</w:t>
      </w:r>
    </w:p>
    <w:p w14:paraId="3E1A5108">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名    称：</w:t>
      </w:r>
      <w:r>
        <w:rPr>
          <w:rFonts w:hint="eastAsia" w:ascii="宋体" w:hAnsi="宋体" w:eastAsia="宋体" w:cs="宋体"/>
          <w:b w:val="0"/>
          <w:bCs w:val="0"/>
          <w:color w:val="auto"/>
          <w:sz w:val="22"/>
          <w:szCs w:val="22"/>
          <w:highlight w:val="none"/>
          <w:lang w:eastAsia="zh-CN"/>
        </w:rPr>
        <w:t>衢州市衢江区财政局</w:t>
      </w:r>
    </w:p>
    <w:p w14:paraId="5C54E183">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地    址：</w:t>
      </w:r>
      <w:r>
        <w:rPr>
          <w:rFonts w:hint="eastAsia" w:ascii="宋体" w:hAnsi="宋体" w:eastAsia="宋体" w:cs="宋体"/>
          <w:b w:val="0"/>
          <w:bCs w:val="0"/>
          <w:color w:val="auto"/>
          <w:sz w:val="22"/>
          <w:szCs w:val="22"/>
          <w:highlight w:val="none"/>
          <w:lang w:eastAsia="zh-CN"/>
        </w:rPr>
        <w:t>衢州市衢江区政和路6号</w:t>
      </w:r>
    </w:p>
    <w:p w14:paraId="7114B30B">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联系人 ：</w:t>
      </w:r>
      <w:r>
        <w:rPr>
          <w:rFonts w:hint="eastAsia" w:ascii="宋体" w:hAnsi="宋体" w:cs="宋体"/>
          <w:b w:val="0"/>
          <w:bCs w:val="0"/>
          <w:color w:val="auto"/>
          <w:sz w:val="22"/>
          <w:szCs w:val="22"/>
          <w:highlight w:val="none"/>
          <w:lang w:val="en-US" w:eastAsia="zh-CN"/>
        </w:rPr>
        <w:t>杨</w:t>
      </w:r>
      <w:r>
        <w:rPr>
          <w:rFonts w:hint="eastAsia" w:ascii="宋体" w:hAnsi="宋体" w:eastAsia="宋体" w:cs="宋体"/>
          <w:b w:val="0"/>
          <w:bCs w:val="0"/>
          <w:color w:val="auto"/>
          <w:sz w:val="22"/>
          <w:szCs w:val="22"/>
          <w:highlight w:val="none"/>
        </w:rPr>
        <w:t>女士</w:t>
      </w:r>
    </w:p>
    <w:p w14:paraId="0BFE798D">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监督投诉电话：</w:t>
      </w:r>
      <w:r>
        <w:rPr>
          <w:rFonts w:hint="eastAsia" w:ascii="宋体" w:hAnsi="宋体" w:eastAsia="宋体" w:cs="宋体"/>
          <w:b w:val="0"/>
          <w:bCs w:val="0"/>
          <w:color w:val="auto"/>
          <w:sz w:val="22"/>
          <w:szCs w:val="22"/>
          <w:highlight w:val="none"/>
          <w:lang w:eastAsia="zh-CN"/>
        </w:rPr>
        <w:t>0570-8762709</w:t>
      </w:r>
    </w:p>
    <w:p w14:paraId="39013422">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p>
    <w:p w14:paraId="48549E2E">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40"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i w:val="0"/>
          <w:iCs w:val="0"/>
          <w:color w:val="auto"/>
          <w:sz w:val="22"/>
          <w:szCs w:val="22"/>
          <w:highlight w:val="none"/>
          <w:lang w:eastAsia="zh-CN"/>
        </w:rPr>
        <w:t>95763</w:t>
      </w:r>
      <w:r>
        <w:rPr>
          <w:rFonts w:hint="eastAsia" w:ascii="宋体" w:hAnsi="宋体" w:eastAsia="宋体" w:cs="宋体"/>
          <w:i w:val="0"/>
          <w:iCs w:val="0"/>
          <w:color w:val="auto"/>
          <w:sz w:val="22"/>
          <w:szCs w:val="22"/>
          <w:highlight w:val="none"/>
        </w:rPr>
        <w:t>获取热线服务帮助。       </w:t>
      </w:r>
    </w:p>
    <w:p w14:paraId="5F28D775">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40" w:firstLineChars="200"/>
        <w:jc w:val="left"/>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CA问题联系电话（人工）：汇信CA 400-888-4636；天谷CA 400-087-8198。</w:t>
      </w:r>
    </w:p>
    <w:p w14:paraId="27CA80E5">
      <w:pPr>
        <w:keepNext w:val="0"/>
        <w:keepLines w:val="0"/>
        <w:pageBreakBefore w:val="0"/>
        <w:widowControl w:val="0"/>
        <w:kinsoku/>
        <w:wordWrap/>
        <w:overflowPunct/>
        <w:topLinePunct w:val="0"/>
        <w:autoSpaceDE w:val="0"/>
        <w:autoSpaceDN w:val="0"/>
        <w:bidi w:val="0"/>
        <w:adjustRightInd/>
        <w:snapToGrid/>
        <w:spacing w:line="420" w:lineRule="exact"/>
        <w:ind w:left="0" w:leftChars="0" w:right="0" w:rightChars="0" w:firstLine="440" w:firstLineChars="200"/>
        <w:jc w:val="left"/>
        <w:textAlignment w:val="auto"/>
        <w:rPr>
          <w:rFonts w:hint="eastAsia" w:ascii="宋体" w:hAnsi="宋体" w:eastAsia="宋体" w:cs="宋体"/>
          <w:i w:val="0"/>
          <w:iCs w:val="0"/>
          <w:color w:val="auto"/>
          <w:sz w:val="22"/>
          <w:szCs w:val="22"/>
          <w:highlight w:val="none"/>
        </w:rPr>
      </w:pPr>
    </w:p>
    <w:p w14:paraId="1D92AE0D">
      <w:pPr>
        <w:pageBreakBefore w:val="0"/>
        <w:kinsoku/>
        <w:overflowPunct/>
        <w:bidi w:val="0"/>
        <w:spacing w:line="380" w:lineRule="exact"/>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 xml:space="preserve">                                    </w:t>
      </w:r>
    </w:p>
    <w:p w14:paraId="410D8E7B">
      <w:pPr>
        <w:pStyle w:val="12"/>
        <w:pageBreakBefore w:val="0"/>
        <w:kinsoku/>
        <w:overflowPunct/>
        <w:bidi w:val="0"/>
        <w:adjustRightInd w:val="0"/>
        <w:snapToGrid w:val="0"/>
        <w:spacing w:line="380" w:lineRule="exact"/>
        <w:ind w:firstLine="440" w:firstLineChars="20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 xml:space="preserve">                            </w:t>
      </w:r>
    </w:p>
    <w:p w14:paraId="6DD63503">
      <w:pPr>
        <w:pStyle w:val="12"/>
        <w:pageBreakBefore w:val="0"/>
        <w:kinsoku/>
        <w:overflowPunct/>
        <w:bidi w:val="0"/>
        <w:adjustRightInd w:val="0"/>
        <w:snapToGrid w:val="0"/>
        <w:spacing w:line="380" w:lineRule="exact"/>
        <w:ind w:right="440" w:firstLine="440" w:firstLineChars="20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 xml:space="preserve">                                     </w:t>
      </w:r>
    </w:p>
    <w:bookmarkEnd w:id="0"/>
    <w:bookmarkEnd w:id="1"/>
    <w:p w14:paraId="6E7F9D31">
      <w:pPr>
        <w:adjustRightInd w:val="0"/>
        <w:snapToGrid w:val="0"/>
        <w:spacing w:after="157" w:afterLines="50"/>
        <w:jc w:val="center"/>
        <w:outlineLvl w:val="0"/>
        <w:rPr>
          <w:rFonts w:hint="eastAsia" w:ascii="宋体" w:hAnsi="宋体" w:cs="宋体"/>
          <w:b/>
          <w:i w:val="0"/>
          <w:iCs w:val="0"/>
          <w:color w:val="auto"/>
          <w:sz w:val="36"/>
          <w:highlight w:val="none"/>
        </w:rPr>
      </w:pPr>
      <w:bookmarkStart w:id="25" w:name="_Hlt74649545"/>
      <w:bookmarkEnd w:id="25"/>
      <w:bookmarkStart w:id="26" w:name="_Hlt74729822"/>
      <w:bookmarkEnd w:id="26"/>
      <w:bookmarkStart w:id="27" w:name="_Hlt74728647"/>
      <w:bookmarkEnd w:id="27"/>
      <w:bookmarkStart w:id="28" w:name="_Hlt74707423"/>
      <w:bookmarkEnd w:id="28"/>
      <w:bookmarkStart w:id="29" w:name="_Toc354996694"/>
      <w:bookmarkStart w:id="30" w:name="_Toc33194386"/>
      <w:bookmarkStart w:id="31" w:name="_Toc225840107"/>
    </w:p>
    <w:p w14:paraId="36A1A76F">
      <w:pPr>
        <w:jc w:val="center"/>
        <w:rPr>
          <w:rFonts w:hint="eastAsia" w:ascii="宋体" w:hAnsi="宋体" w:cs="宋体"/>
          <w:b/>
          <w:i w:val="0"/>
          <w:iCs w:val="0"/>
          <w:color w:val="auto"/>
          <w:sz w:val="32"/>
          <w:szCs w:val="22"/>
          <w:highlight w:val="none"/>
        </w:rPr>
      </w:pPr>
      <w:r>
        <w:rPr>
          <w:rFonts w:hint="eastAsia" w:ascii="宋体" w:hAnsi="宋体" w:cs="宋体"/>
          <w:b/>
          <w:i w:val="0"/>
          <w:iCs w:val="0"/>
          <w:color w:val="auto"/>
          <w:sz w:val="36"/>
          <w:highlight w:val="none"/>
        </w:rPr>
        <w:br w:type="page"/>
      </w:r>
      <w:r>
        <w:rPr>
          <w:rFonts w:hint="eastAsia" w:ascii="宋体" w:hAnsi="宋体" w:cs="宋体"/>
          <w:b/>
          <w:i w:val="0"/>
          <w:iCs w:val="0"/>
          <w:color w:val="auto"/>
          <w:sz w:val="32"/>
          <w:szCs w:val="22"/>
          <w:highlight w:val="none"/>
        </w:rPr>
        <w:t>第二部分  编制和提交投标文件须知</w:t>
      </w:r>
      <w:bookmarkEnd w:id="29"/>
      <w:bookmarkEnd w:id="30"/>
    </w:p>
    <w:p w14:paraId="7B76BD98">
      <w:pPr>
        <w:keepNext/>
        <w:keepLines/>
        <w:shd w:val="clear" w:color="auto" w:fill="FFFFFF"/>
        <w:tabs>
          <w:tab w:val="left" w:pos="706"/>
        </w:tabs>
        <w:snapToGrid w:val="0"/>
        <w:spacing w:line="360" w:lineRule="auto"/>
        <w:jc w:val="center"/>
        <w:outlineLvl w:val="1"/>
        <w:rPr>
          <w:rFonts w:hint="eastAsia" w:ascii="宋体" w:hAnsi="宋体" w:eastAsia="宋体" w:cs="宋体"/>
          <w:b/>
          <w:bCs/>
          <w:i w:val="0"/>
          <w:iCs w:val="0"/>
          <w:color w:val="auto"/>
          <w:sz w:val="21"/>
          <w:szCs w:val="21"/>
          <w:highlight w:val="none"/>
        </w:rPr>
      </w:pPr>
      <w:bookmarkStart w:id="32" w:name="_Toc33194387"/>
      <w:bookmarkStart w:id="33" w:name="_Toc233618971"/>
      <w:bookmarkStart w:id="34" w:name="_Toc354996695"/>
      <w:r>
        <w:rPr>
          <w:rFonts w:hint="eastAsia" w:ascii="宋体" w:hAnsi="宋体" w:cs="宋体"/>
          <w:b/>
          <w:bCs/>
          <w:i w:val="0"/>
          <w:iCs w:val="0"/>
          <w:color w:val="auto"/>
          <w:sz w:val="28"/>
          <w:szCs w:val="28"/>
          <w:highlight w:val="none"/>
        </w:rPr>
        <w:t>前 附 表</w:t>
      </w:r>
      <w:bookmarkEnd w:id="32"/>
      <w:bookmarkEnd w:id="33"/>
      <w:bookmarkEnd w:id="34"/>
    </w:p>
    <w:tbl>
      <w:tblPr>
        <w:tblStyle w:val="25"/>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125"/>
        <w:gridCol w:w="7073"/>
      </w:tblGrid>
      <w:tr w14:paraId="1E97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6" w:type="dxa"/>
            <w:noWrap w:val="0"/>
            <w:vAlign w:val="center"/>
          </w:tcPr>
          <w:p w14:paraId="37FBDFFD">
            <w:pPr>
              <w:pStyle w:val="12"/>
              <w:keepNext w:val="0"/>
              <w:keepLines w:val="0"/>
              <w:pageBreakBefore w:val="0"/>
              <w:kinsoku/>
              <w:wordWrap/>
              <w:overflowPunct/>
              <w:topLinePunct w:val="0"/>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125" w:type="dxa"/>
            <w:noWrap w:val="0"/>
            <w:vAlign w:val="center"/>
          </w:tcPr>
          <w:p w14:paraId="0C9B886D">
            <w:pPr>
              <w:pStyle w:val="12"/>
              <w:keepNext w:val="0"/>
              <w:keepLines w:val="0"/>
              <w:pageBreakBefore w:val="0"/>
              <w:kinsoku/>
              <w:wordWrap/>
              <w:overflowPunct/>
              <w:topLinePunct w:val="0"/>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7073" w:type="dxa"/>
            <w:noWrap w:val="0"/>
            <w:vAlign w:val="center"/>
          </w:tcPr>
          <w:p w14:paraId="151A3CD6">
            <w:pPr>
              <w:pStyle w:val="12"/>
              <w:keepNext w:val="0"/>
              <w:keepLines w:val="0"/>
              <w:pageBreakBefore w:val="0"/>
              <w:kinsoku/>
              <w:wordWrap/>
              <w:overflowPunct/>
              <w:topLinePunct w:val="0"/>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说明与要求</w:t>
            </w:r>
          </w:p>
        </w:tc>
      </w:tr>
      <w:tr w14:paraId="409C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66" w:type="dxa"/>
            <w:noWrap w:val="0"/>
            <w:vAlign w:val="center"/>
          </w:tcPr>
          <w:p w14:paraId="59E39680">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w:t>
            </w:r>
          </w:p>
        </w:tc>
        <w:tc>
          <w:tcPr>
            <w:tcW w:w="2125" w:type="dxa"/>
            <w:noWrap w:val="0"/>
            <w:vAlign w:val="center"/>
          </w:tcPr>
          <w:p w14:paraId="16B5EBB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采购人</w:t>
            </w:r>
          </w:p>
        </w:tc>
        <w:tc>
          <w:tcPr>
            <w:tcW w:w="7073" w:type="dxa"/>
            <w:noWrap w:val="0"/>
            <w:vAlign w:val="center"/>
          </w:tcPr>
          <w:p w14:paraId="5ED862FC">
            <w:pPr>
              <w:pStyle w:val="12"/>
              <w:keepNext w:val="0"/>
              <w:keepLines w:val="0"/>
              <w:pageBreakBefore w:val="0"/>
              <w:kinsoku/>
              <w:wordWrap/>
              <w:overflowPunct/>
              <w:topLinePunct w:val="0"/>
              <w:bidi w:val="0"/>
              <w:spacing w:line="360" w:lineRule="exact"/>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衢州市衢江区杜泽镇人民政</w:t>
            </w:r>
          </w:p>
        </w:tc>
      </w:tr>
      <w:tr w14:paraId="6D67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66" w:type="dxa"/>
            <w:noWrap w:val="0"/>
            <w:vAlign w:val="center"/>
          </w:tcPr>
          <w:p w14:paraId="2D832FBE">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w:t>
            </w:r>
          </w:p>
        </w:tc>
        <w:tc>
          <w:tcPr>
            <w:tcW w:w="2125" w:type="dxa"/>
            <w:noWrap w:val="0"/>
            <w:vAlign w:val="center"/>
          </w:tcPr>
          <w:p w14:paraId="3C670DD1">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采购代理机构</w:t>
            </w:r>
          </w:p>
        </w:tc>
        <w:tc>
          <w:tcPr>
            <w:tcW w:w="7073" w:type="dxa"/>
            <w:noWrap w:val="0"/>
            <w:vAlign w:val="center"/>
          </w:tcPr>
          <w:p w14:paraId="4BDF9825">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采购代理机构名称：浙江中兰工程项目管理有限公司</w:t>
            </w:r>
          </w:p>
          <w:p w14:paraId="73395702">
            <w:pPr>
              <w:keepNext w:val="0"/>
              <w:keepLines w:val="0"/>
              <w:pageBreakBefore w:val="0"/>
              <w:kinsoku/>
              <w:wordWrap/>
              <w:overflowPunct/>
              <w:topLinePunct w:val="0"/>
              <w:bidi w:val="0"/>
              <w:spacing w:before="31" w:beforeLines="10" w:line="360" w:lineRule="exact"/>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项目联系人：</w:t>
            </w:r>
            <w:r>
              <w:rPr>
                <w:rFonts w:hint="eastAsia" w:ascii="宋体" w:hAnsi="宋体" w:cs="宋体"/>
                <w:i w:val="0"/>
                <w:iCs w:val="0"/>
                <w:color w:val="auto"/>
                <w:kern w:val="2"/>
                <w:sz w:val="22"/>
                <w:szCs w:val="22"/>
                <w:highlight w:val="none"/>
                <w:lang w:val="en-US" w:eastAsia="zh-CN" w:bidi="ar-SA"/>
              </w:rPr>
              <w:t>郑女士/余先生</w:t>
            </w:r>
          </w:p>
          <w:p w14:paraId="56B4DEAF">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联系电话：0570-3380568</w:t>
            </w:r>
          </w:p>
          <w:p w14:paraId="25740545">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地址：衢州市衢江区港汇商务广场</w:t>
            </w:r>
            <w:r>
              <w:rPr>
                <w:rFonts w:hint="eastAsia" w:ascii="宋体" w:hAnsi="宋体" w:cs="宋体"/>
                <w:i w:val="0"/>
                <w:iCs w:val="0"/>
                <w:color w:val="auto"/>
                <w:kern w:val="2"/>
                <w:sz w:val="22"/>
                <w:szCs w:val="22"/>
                <w:highlight w:val="none"/>
                <w:lang w:val="en-US" w:eastAsia="zh-CN" w:bidi="ar-SA"/>
              </w:rPr>
              <w:t>2号楼6楼</w:t>
            </w:r>
          </w:p>
        </w:tc>
      </w:tr>
      <w:tr w14:paraId="5B82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6" w:type="dxa"/>
            <w:noWrap w:val="0"/>
            <w:vAlign w:val="center"/>
          </w:tcPr>
          <w:p w14:paraId="28ECE00A">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w:t>
            </w:r>
          </w:p>
        </w:tc>
        <w:tc>
          <w:tcPr>
            <w:tcW w:w="2125" w:type="dxa"/>
            <w:noWrap w:val="0"/>
            <w:vAlign w:val="center"/>
          </w:tcPr>
          <w:p w14:paraId="3406C339">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项目名称</w:t>
            </w:r>
          </w:p>
        </w:tc>
        <w:tc>
          <w:tcPr>
            <w:tcW w:w="7073" w:type="dxa"/>
            <w:noWrap w:val="0"/>
            <w:vAlign w:val="center"/>
          </w:tcPr>
          <w:p w14:paraId="7CC818A6">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衢州市衢江区杜泽镇白水村浙江省历史文化（传统）村落保护利用重点村规划项目</w:t>
            </w:r>
          </w:p>
        </w:tc>
      </w:tr>
      <w:tr w14:paraId="69FD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66" w:type="dxa"/>
            <w:noWrap w:val="0"/>
            <w:vAlign w:val="center"/>
          </w:tcPr>
          <w:p w14:paraId="2C4303B5">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4</w:t>
            </w:r>
          </w:p>
        </w:tc>
        <w:tc>
          <w:tcPr>
            <w:tcW w:w="2125" w:type="dxa"/>
            <w:noWrap w:val="0"/>
            <w:vAlign w:val="center"/>
          </w:tcPr>
          <w:p w14:paraId="257ED31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预算金额及最高</w:t>
            </w:r>
          </w:p>
          <w:p w14:paraId="096EC0EF">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限价</w:t>
            </w:r>
          </w:p>
        </w:tc>
        <w:tc>
          <w:tcPr>
            <w:tcW w:w="7073" w:type="dxa"/>
            <w:noWrap w:val="0"/>
            <w:vAlign w:val="center"/>
          </w:tcPr>
          <w:p w14:paraId="183AC89D">
            <w:pPr>
              <w:pStyle w:val="12"/>
              <w:keepNext w:val="0"/>
              <w:keepLines w:val="0"/>
              <w:pageBreakBefore w:val="0"/>
              <w:kinsoku/>
              <w:wordWrap/>
              <w:overflowPunct/>
              <w:topLinePunct w:val="0"/>
              <w:bidi w:val="0"/>
              <w:spacing w:line="360" w:lineRule="exact"/>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预算金额：500000元</w:t>
            </w:r>
            <w:r>
              <w:rPr>
                <w:rFonts w:hint="eastAsia" w:ascii="宋体" w:hAnsi="宋体" w:eastAsia="宋体" w:cs="宋体"/>
                <w:i w:val="0"/>
                <w:iCs w:val="0"/>
                <w:color w:val="auto"/>
                <w:kern w:val="2"/>
                <w:sz w:val="22"/>
                <w:szCs w:val="22"/>
                <w:highlight w:val="none"/>
                <w:lang w:val="en-US" w:eastAsia="zh-CN" w:bidi="ar-SA"/>
              </w:rPr>
              <w:br w:type="textWrapping"/>
            </w:r>
            <w:r>
              <w:rPr>
                <w:rFonts w:hint="eastAsia" w:ascii="宋体" w:hAnsi="宋体" w:eastAsia="宋体" w:cs="宋体"/>
                <w:i w:val="0"/>
                <w:iCs w:val="0"/>
                <w:color w:val="auto"/>
                <w:kern w:val="2"/>
                <w:sz w:val="22"/>
                <w:szCs w:val="22"/>
                <w:highlight w:val="none"/>
                <w:lang w:val="en-US" w:eastAsia="zh-CN" w:bidi="ar-SA"/>
              </w:rPr>
              <w:t>最高限价：500000元</w:t>
            </w:r>
          </w:p>
          <w:p w14:paraId="3A68D939">
            <w:pPr>
              <w:pStyle w:val="12"/>
              <w:keepNext w:val="0"/>
              <w:keepLines w:val="0"/>
              <w:pageBreakBefore w:val="0"/>
              <w:kinsoku/>
              <w:wordWrap/>
              <w:overflowPunct/>
              <w:topLinePunct w:val="0"/>
              <w:bidi w:val="0"/>
              <w:spacing w:line="360" w:lineRule="exact"/>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超过预算金额或最高限价或最高限单价作无效标处理。</w:t>
            </w:r>
          </w:p>
        </w:tc>
      </w:tr>
      <w:tr w14:paraId="76AB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6" w:type="dxa"/>
            <w:noWrap w:val="0"/>
            <w:vAlign w:val="center"/>
          </w:tcPr>
          <w:p w14:paraId="667AC45A">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5</w:t>
            </w:r>
          </w:p>
        </w:tc>
        <w:tc>
          <w:tcPr>
            <w:tcW w:w="2125" w:type="dxa"/>
            <w:noWrap w:val="0"/>
            <w:vAlign w:val="center"/>
          </w:tcPr>
          <w:p w14:paraId="6F8B23E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服务期限</w:t>
            </w:r>
          </w:p>
        </w:tc>
        <w:tc>
          <w:tcPr>
            <w:tcW w:w="7073" w:type="dxa"/>
            <w:noWrap w:val="0"/>
            <w:vAlign w:val="center"/>
          </w:tcPr>
          <w:p w14:paraId="3B31C60D">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从合同签订后至省级规划评审会通过提交最终成果</w:t>
            </w:r>
          </w:p>
        </w:tc>
      </w:tr>
      <w:tr w14:paraId="5699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66" w:type="dxa"/>
            <w:noWrap w:val="0"/>
            <w:vAlign w:val="center"/>
          </w:tcPr>
          <w:p w14:paraId="58E528DE">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6</w:t>
            </w:r>
          </w:p>
        </w:tc>
        <w:tc>
          <w:tcPr>
            <w:tcW w:w="2125" w:type="dxa"/>
            <w:noWrap w:val="0"/>
            <w:vAlign w:val="center"/>
          </w:tcPr>
          <w:p w14:paraId="29EFF701">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供应商的资格要求</w:t>
            </w:r>
          </w:p>
        </w:tc>
        <w:tc>
          <w:tcPr>
            <w:tcW w:w="7073" w:type="dxa"/>
            <w:noWrap w:val="0"/>
            <w:vAlign w:val="center"/>
          </w:tcPr>
          <w:p w14:paraId="49AD702D">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详见招标公告。</w:t>
            </w:r>
          </w:p>
        </w:tc>
      </w:tr>
      <w:tr w14:paraId="021B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66" w:type="dxa"/>
            <w:noWrap w:val="0"/>
            <w:vAlign w:val="center"/>
          </w:tcPr>
          <w:p w14:paraId="4CD67D76">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7</w:t>
            </w:r>
          </w:p>
        </w:tc>
        <w:tc>
          <w:tcPr>
            <w:tcW w:w="2125" w:type="dxa"/>
            <w:noWrap w:val="0"/>
            <w:vAlign w:val="center"/>
          </w:tcPr>
          <w:p w14:paraId="06705AA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投标文件份数</w:t>
            </w:r>
          </w:p>
        </w:tc>
        <w:tc>
          <w:tcPr>
            <w:tcW w:w="7073" w:type="dxa"/>
            <w:noWrap w:val="0"/>
            <w:vAlign w:val="center"/>
          </w:tcPr>
          <w:p w14:paraId="2F873403">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1.“电子加密投标文件”（后缀格式为.jmbs）：在线上传递交一份；</w:t>
            </w:r>
          </w:p>
          <w:p w14:paraId="738F9AD2">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2.“备份投标文件”（后缀格式为.bfbs）：以电子邮件方式递交，本项目指定接收邮箱（邮箱：</w:t>
            </w:r>
            <w:r>
              <w:rPr>
                <w:rFonts w:hint="eastAsia" w:ascii="宋体" w:hAnsi="宋体" w:cs="宋体"/>
                <w:b/>
                <w:bCs/>
                <w:color w:val="auto"/>
                <w:sz w:val="24"/>
                <w:highlight w:val="none"/>
                <w:lang w:val="en-US" w:eastAsia="zh-CN"/>
              </w:rPr>
              <w:t>2513628668</w:t>
            </w:r>
            <w:r>
              <w:rPr>
                <w:rFonts w:hint="eastAsia" w:ascii="宋体" w:hAnsi="宋体" w:eastAsia="宋体" w:cs="宋体"/>
                <w:b/>
                <w:bCs/>
                <w:color w:val="auto"/>
                <w:sz w:val="24"/>
                <w:highlight w:val="none"/>
              </w:rPr>
              <w:t>@qq.com</w:t>
            </w:r>
            <w:r>
              <w:rPr>
                <w:rFonts w:hint="eastAsia" w:ascii="宋体" w:hAnsi="宋体" w:eastAsia="宋体" w:cs="宋体"/>
                <w:i w:val="0"/>
                <w:iCs w:val="0"/>
                <w:color w:val="auto"/>
                <w:kern w:val="2"/>
                <w:sz w:val="22"/>
                <w:szCs w:val="22"/>
                <w:highlight w:val="none"/>
                <w:lang w:val="en-US" w:eastAsia="zh-CN" w:bidi="ar-SA"/>
              </w:rPr>
              <w:t>联系人：</w:t>
            </w:r>
            <w:r>
              <w:rPr>
                <w:rFonts w:hint="eastAsia" w:ascii="宋体" w:hAnsi="宋体" w:cs="宋体"/>
                <w:i w:val="0"/>
                <w:iCs w:val="0"/>
                <w:color w:val="auto"/>
                <w:kern w:val="2"/>
                <w:sz w:val="22"/>
                <w:szCs w:val="22"/>
                <w:highlight w:val="none"/>
                <w:lang w:val="en-US" w:eastAsia="zh-CN" w:bidi="ar-SA"/>
              </w:rPr>
              <w:t xml:space="preserve">郑女士/余先生  </w:t>
            </w:r>
            <w:r>
              <w:rPr>
                <w:rFonts w:hint="eastAsia" w:ascii="宋体" w:hAnsi="宋体" w:eastAsia="宋体" w:cs="宋体"/>
                <w:i w:val="0"/>
                <w:iCs w:val="0"/>
                <w:color w:val="auto"/>
                <w:kern w:val="2"/>
                <w:sz w:val="22"/>
                <w:szCs w:val="22"/>
                <w:highlight w:val="none"/>
                <w:lang w:val="en-US" w:eastAsia="zh-CN" w:bidi="ar-SA"/>
              </w:rPr>
              <w:t>电话：</w:t>
            </w:r>
            <w:r>
              <w:rPr>
                <w:rFonts w:hint="eastAsia" w:ascii="宋体" w:hAnsi="宋体" w:cs="宋体"/>
                <w:i w:val="0"/>
                <w:iCs w:val="0"/>
                <w:color w:val="auto"/>
                <w:kern w:val="2"/>
                <w:sz w:val="22"/>
                <w:szCs w:val="22"/>
                <w:highlight w:val="none"/>
                <w:lang w:val="en-US" w:eastAsia="zh-CN" w:bidi="ar-SA"/>
              </w:rPr>
              <w:t>0570-3380568</w:t>
            </w:r>
            <w:r>
              <w:rPr>
                <w:rFonts w:hint="eastAsia" w:ascii="宋体" w:hAnsi="宋体" w:eastAsia="宋体" w:cs="宋体"/>
                <w:i w:val="0"/>
                <w:iCs w:val="0"/>
                <w:color w:val="auto"/>
                <w:kern w:val="2"/>
                <w:sz w:val="22"/>
                <w:szCs w:val="22"/>
                <w:highlight w:val="none"/>
                <w:lang w:val="en-US" w:eastAsia="zh-CN" w:bidi="ar-SA"/>
              </w:rPr>
              <w:t>）；</w:t>
            </w:r>
          </w:p>
          <w:p w14:paraId="33575055">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3.中标后，中标供应商在领取中标通知书前须向采购代理机构提供与电子投标文件内容一致的纸质投标文件叁份，装订成册（软封面）。</w:t>
            </w:r>
          </w:p>
        </w:tc>
      </w:tr>
      <w:tr w14:paraId="108C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noWrap w:val="0"/>
            <w:vAlign w:val="center"/>
          </w:tcPr>
          <w:p w14:paraId="51096BF9">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8</w:t>
            </w:r>
          </w:p>
        </w:tc>
        <w:tc>
          <w:tcPr>
            <w:tcW w:w="2125" w:type="dxa"/>
            <w:noWrap w:val="0"/>
            <w:vAlign w:val="center"/>
          </w:tcPr>
          <w:p w14:paraId="1799E923">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投标文件的组成和编制</w:t>
            </w:r>
          </w:p>
        </w:tc>
        <w:tc>
          <w:tcPr>
            <w:tcW w:w="7073" w:type="dxa"/>
            <w:noWrap w:val="0"/>
            <w:vAlign w:val="center"/>
          </w:tcPr>
          <w:p w14:paraId="2B6AC24A">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完整的《投标文件》由“资格审查文件”、“商务技术文件”和“报价文件”三个部分组成。</w:t>
            </w:r>
          </w:p>
          <w:p w14:paraId="04065821">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供应商应先安装“政采云电子交易客户端”，并按照本采购文件和“政府采购云平台”的要求，通过“政采云电子交易客户端”编制并加密投标文件。</w:t>
            </w:r>
          </w:p>
        </w:tc>
      </w:tr>
      <w:tr w14:paraId="42F6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6" w:type="dxa"/>
            <w:noWrap w:val="0"/>
            <w:vAlign w:val="center"/>
          </w:tcPr>
          <w:p w14:paraId="670A932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9</w:t>
            </w:r>
          </w:p>
        </w:tc>
        <w:tc>
          <w:tcPr>
            <w:tcW w:w="2125" w:type="dxa"/>
            <w:noWrap w:val="0"/>
            <w:vAlign w:val="center"/>
          </w:tcPr>
          <w:p w14:paraId="190CD436">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投标文件的签章</w:t>
            </w:r>
          </w:p>
        </w:tc>
        <w:tc>
          <w:tcPr>
            <w:tcW w:w="7073" w:type="dxa"/>
            <w:noWrap w:val="0"/>
            <w:vAlign w:val="center"/>
          </w:tcPr>
          <w:p w14:paraId="4DDD0B0D">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电子签章</w:t>
            </w:r>
          </w:p>
        </w:tc>
      </w:tr>
      <w:tr w14:paraId="16B4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66" w:type="dxa"/>
            <w:noWrap w:val="0"/>
            <w:vAlign w:val="center"/>
          </w:tcPr>
          <w:p w14:paraId="157EEFC9">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10</w:t>
            </w:r>
          </w:p>
        </w:tc>
        <w:tc>
          <w:tcPr>
            <w:tcW w:w="2125" w:type="dxa"/>
            <w:noWrap w:val="0"/>
            <w:vAlign w:val="center"/>
          </w:tcPr>
          <w:p w14:paraId="7254A6E0">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投标文件的形式</w:t>
            </w:r>
          </w:p>
        </w:tc>
        <w:tc>
          <w:tcPr>
            <w:tcW w:w="7073" w:type="dxa"/>
            <w:noWrap w:val="0"/>
            <w:vAlign w:val="center"/>
          </w:tcPr>
          <w:p w14:paraId="6EC81B50">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电子投标文件即本文件所述投标文件（包括“电子加密投标文件”和“备份投标文件”，在投标文件编制完成后同时生成）；</w:t>
            </w:r>
          </w:p>
          <w:p w14:paraId="0D59E590">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（1）“电子加密投标文件”是指通过“政采云电子交易客户端”完成投标文件编制后生成并加密的数据电文形式的投标文件。</w:t>
            </w:r>
          </w:p>
          <w:p w14:paraId="6D582911">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（2）“备份投标文件”是指与“电子加密投标文件”同时生成的数据电文形式的电子文件（备份标书，用于供应商标书解密异常时应急使用），其他方式编制的备份投标文件视为无效备份投标文件。</w:t>
            </w:r>
          </w:p>
        </w:tc>
      </w:tr>
      <w:tr w14:paraId="69E7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noWrap w:val="0"/>
            <w:vAlign w:val="center"/>
          </w:tcPr>
          <w:p w14:paraId="4263FEFE">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11</w:t>
            </w:r>
          </w:p>
        </w:tc>
        <w:tc>
          <w:tcPr>
            <w:tcW w:w="2125" w:type="dxa"/>
            <w:noWrap w:val="0"/>
            <w:vAlign w:val="center"/>
          </w:tcPr>
          <w:p w14:paraId="7DE35AAD">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投标文件的上传和递交</w:t>
            </w:r>
          </w:p>
        </w:tc>
        <w:tc>
          <w:tcPr>
            <w:tcW w:w="7073" w:type="dxa"/>
            <w:noWrap w:val="0"/>
            <w:vAlign w:val="center"/>
          </w:tcPr>
          <w:p w14:paraId="75998F7D">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1.“电子加密投标文件”的上传、递交：</w:t>
            </w:r>
          </w:p>
          <w:p w14:paraId="4BCBE958">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投标文件制作完成并生成电子加密投标文件，在投标截止时间前，供应商需将加密的投标文件上传至政采云平台，到达开标时间后，在线解密投标文件。</w:t>
            </w:r>
          </w:p>
          <w:p w14:paraId="34270FD4">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a.供应商应未能在投标截止时间前成功上传电子加密投标文件的投标无效。</w:t>
            </w:r>
          </w:p>
          <w:p w14:paraId="4694C920">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b.供应商成功上传电子加密投标文件后，可自行打印投标文件接收回执。</w:t>
            </w:r>
          </w:p>
          <w:p w14:paraId="2D148AD6">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2.“备份投标文件”的上传、递交：</w:t>
            </w:r>
          </w:p>
          <w:p w14:paraId="2819AF92">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供应商在投标截止时间前将“备份投标文件”（允许加密）以“XX单位备份投标文件”的邮件主题发送至指定接收邮箱</w:t>
            </w:r>
            <w:r>
              <w:rPr>
                <w:rFonts w:hint="eastAsia" w:ascii="宋体" w:hAnsi="宋体" w:cs="宋体"/>
                <w:b/>
                <w:bCs/>
                <w:color w:val="auto"/>
                <w:sz w:val="24"/>
                <w:highlight w:val="none"/>
                <w:lang w:val="en-US" w:eastAsia="zh-CN"/>
              </w:rPr>
              <w:t>2513628668</w:t>
            </w:r>
            <w:r>
              <w:rPr>
                <w:rFonts w:hint="eastAsia" w:ascii="宋体" w:hAnsi="宋体" w:eastAsia="宋体" w:cs="宋体"/>
                <w:b/>
                <w:bCs/>
                <w:color w:val="auto"/>
                <w:sz w:val="24"/>
                <w:highlight w:val="none"/>
              </w:rPr>
              <w:t>@qq.com</w:t>
            </w:r>
            <w:r>
              <w:rPr>
                <w:rFonts w:hint="eastAsia" w:ascii="宋体" w:hAnsi="宋体" w:eastAsia="宋体" w:cs="宋体"/>
                <w:i w:val="0"/>
                <w:iCs w:val="0"/>
                <w:color w:val="auto"/>
                <w:kern w:val="2"/>
                <w:sz w:val="22"/>
                <w:szCs w:val="22"/>
                <w:highlight w:val="none"/>
                <w:lang w:val="en-US" w:eastAsia="zh-CN" w:bidi="ar-SA"/>
              </w:rPr>
              <w:t>，送达时间以采购代理机构实际接收邮件时间为准。“备份投标文件”逾期或未按要求提供的视为未提供。</w:t>
            </w:r>
          </w:p>
          <w:p w14:paraId="6EFCCDA7">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3.投标文件启用顺序和效力：</w:t>
            </w:r>
          </w:p>
          <w:p w14:paraId="30ED87C3">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投标文件的启用，按先后顺位分别为“电子加密投标文件”、“备份投标文件”。在下一顺位的投标文件启用时，前一顺位的投标文件自动失效。所有投标文件逾期解密的视作无效标。</w:t>
            </w:r>
          </w:p>
        </w:tc>
      </w:tr>
      <w:tr w14:paraId="59FC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noWrap w:val="0"/>
            <w:vAlign w:val="center"/>
          </w:tcPr>
          <w:p w14:paraId="69E5C447">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12</w:t>
            </w:r>
          </w:p>
        </w:tc>
        <w:tc>
          <w:tcPr>
            <w:tcW w:w="2125" w:type="dxa"/>
            <w:noWrap w:val="0"/>
            <w:vAlign w:val="center"/>
          </w:tcPr>
          <w:p w14:paraId="4266331A">
            <w:pPr>
              <w:keepNext w:val="0"/>
              <w:keepLines w:val="0"/>
              <w:pageBreakBefore w:val="0"/>
              <w:kinsoku/>
              <w:wordWrap/>
              <w:overflowPunct/>
              <w:topLinePunct w:val="0"/>
              <w:bidi w:val="0"/>
              <w:snapToGrid w:val="0"/>
              <w:spacing w:line="360" w:lineRule="exact"/>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评标办法</w:t>
            </w:r>
          </w:p>
        </w:tc>
        <w:tc>
          <w:tcPr>
            <w:tcW w:w="7073" w:type="dxa"/>
            <w:noWrap w:val="0"/>
            <w:vAlign w:val="center"/>
          </w:tcPr>
          <w:p w14:paraId="2767554D">
            <w:pPr>
              <w:keepNext w:val="0"/>
              <w:keepLines w:val="0"/>
              <w:pageBreakBefore w:val="0"/>
              <w:kinsoku/>
              <w:wordWrap/>
              <w:overflowPunct/>
              <w:topLinePunct w:val="0"/>
              <w:autoSpaceDE w:val="0"/>
              <w:autoSpaceDN w:val="0"/>
              <w:bidi w:val="0"/>
              <w:snapToGrid w:val="0"/>
              <w:spacing w:line="360" w:lineRule="exact"/>
              <w:jc w:val="left"/>
              <w:textAlignment w:val="bottom"/>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综合评分法</w:t>
            </w:r>
          </w:p>
        </w:tc>
      </w:tr>
      <w:tr w14:paraId="01FD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6" w:type="dxa"/>
            <w:noWrap w:val="0"/>
            <w:vAlign w:val="center"/>
          </w:tcPr>
          <w:p w14:paraId="0ECE8720">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13</w:t>
            </w:r>
          </w:p>
        </w:tc>
        <w:tc>
          <w:tcPr>
            <w:tcW w:w="2125" w:type="dxa"/>
            <w:noWrap w:val="0"/>
            <w:vAlign w:val="center"/>
          </w:tcPr>
          <w:p w14:paraId="746A7AFB">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投标文件递交截止时间</w:t>
            </w:r>
          </w:p>
        </w:tc>
        <w:tc>
          <w:tcPr>
            <w:tcW w:w="7073" w:type="dxa"/>
            <w:noWrap w:val="0"/>
            <w:vAlign w:val="center"/>
          </w:tcPr>
          <w:p w14:paraId="7A85CBDC">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sz w:val="22"/>
                <w:szCs w:val="22"/>
                <w:highlight w:val="none"/>
                <w:lang w:eastAsia="zh-CN"/>
              </w:rPr>
              <w:t>2025年</w:t>
            </w:r>
            <w:r>
              <w:rPr>
                <w:rFonts w:hint="eastAsia" w:ascii="宋体" w:hAnsi="宋体" w:cs="宋体"/>
                <w:i w:val="0"/>
                <w:iCs w:val="0"/>
                <w:color w:val="auto"/>
                <w:sz w:val="22"/>
                <w:szCs w:val="22"/>
                <w:highlight w:val="none"/>
                <w:lang w:val="en-US" w:eastAsia="zh-CN"/>
              </w:rPr>
              <w:t>8</w:t>
            </w:r>
            <w:r>
              <w:rPr>
                <w:rFonts w:hint="eastAsia" w:ascii="宋体" w:hAnsi="宋体" w:cs="宋体"/>
                <w:i w:val="0"/>
                <w:iCs w:val="0"/>
                <w:color w:val="auto"/>
                <w:sz w:val="22"/>
                <w:szCs w:val="22"/>
                <w:highlight w:val="none"/>
                <w:lang w:eastAsia="zh-CN"/>
              </w:rPr>
              <w:t>月</w:t>
            </w:r>
            <w:r>
              <w:rPr>
                <w:rFonts w:hint="eastAsia" w:ascii="宋体" w:hAnsi="宋体" w:cs="宋体"/>
                <w:i w:val="0"/>
                <w:iCs w:val="0"/>
                <w:color w:val="auto"/>
                <w:sz w:val="22"/>
                <w:szCs w:val="22"/>
                <w:highlight w:val="none"/>
                <w:lang w:val="en-US" w:eastAsia="zh-CN"/>
              </w:rPr>
              <w:t>7</w:t>
            </w:r>
            <w:r>
              <w:rPr>
                <w:rFonts w:hint="eastAsia" w:ascii="宋体" w:hAnsi="宋体" w:cs="宋体"/>
                <w:i w:val="0"/>
                <w:iCs w:val="0"/>
                <w:color w:val="auto"/>
                <w:sz w:val="22"/>
                <w:szCs w:val="22"/>
                <w:highlight w:val="none"/>
                <w:lang w:eastAsia="zh-CN"/>
              </w:rPr>
              <w:t>日</w:t>
            </w:r>
            <w:r>
              <w:rPr>
                <w:rFonts w:hint="eastAsia" w:ascii="宋体" w:hAnsi="宋体" w:cs="宋体"/>
                <w:i w:val="0"/>
                <w:iCs w:val="0"/>
                <w:color w:val="auto"/>
                <w:sz w:val="22"/>
                <w:szCs w:val="22"/>
                <w:highlight w:val="none"/>
                <w:lang w:val="en-US" w:eastAsia="zh-CN"/>
              </w:rPr>
              <w:t>14</w:t>
            </w:r>
            <w:r>
              <w:rPr>
                <w:rFonts w:hint="eastAsia" w:ascii="宋体" w:hAnsi="宋体" w:cs="宋体"/>
                <w:i w:val="0"/>
                <w:iCs w:val="0"/>
                <w:color w:val="auto"/>
                <w:sz w:val="22"/>
                <w:szCs w:val="22"/>
                <w:highlight w:val="none"/>
                <w:lang w:eastAsia="zh-CN"/>
              </w:rPr>
              <w:t>时30分</w:t>
            </w:r>
            <w:r>
              <w:rPr>
                <w:rFonts w:hint="eastAsia" w:ascii="宋体" w:hAnsi="宋体" w:eastAsia="宋体" w:cs="宋体"/>
                <w:i w:val="0"/>
                <w:iCs w:val="0"/>
                <w:color w:val="auto"/>
                <w:sz w:val="22"/>
                <w:szCs w:val="22"/>
                <w:highlight w:val="none"/>
              </w:rPr>
              <w:t>（北京时间）</w:t>
            </w:r>
          </w:p>
        </w:tc>
      </w:tr>
      <w:tr w14:paraId="1BD1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6" w:type="dxa"/>
            <w:noWrap w:val="0"/>
            <w:vAlign w:val="center"/>
          </w:tcPr>
          <w:p w14:paraId="62018409">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14</w:t>
            </w:r>
          </w:p>
        </w:tc>
        <w:tc>
          <w:tcPr>
            <w:tcW w:w="2125" w:type="dxa"/>
            <w:noWrap w:val="0"/>
            <w:vAlign w:val="center"/>
          </w:tcPr>
          <w:p w14:paraId="4B4D923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开标时间</w:t>
            </w:r>
          </w:p>
        </w:tc>
        <w:tc>
          <w:tcPr>
            <w:tcW w:w="7073" w:type="dxa"/>
            <w:noWrap w:val="0"/>
            <w:vAlign w:val="center"/>
          </w:tcPr>
          <w:p w14:paraId="7DFD0D46">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sz w:val="22"/>
                <w:szCs w:val="22"/>
                <w:highlight w:val="none"/>
                <w:lang w:eastAsia="zh-CN"/>
              </w:rPr>
              <w:t>2025年</w:t>
            </w:r>
            <w:r>
              <w:rPr>
                <w:rFonts w:hint="eastAsia" w:ascii="宋体" w:hAnsi="宋体" w:cs="宋体"/>
                <w:i w:val="0"/>
                <w:iCs w:val="0"/>
                <w:color w:val="auto"/>
                <w:sz w:val="22"/>
                <w:szCs w:val="22"/>
                <w:highlight w:val="none"/>
                <w:lang w:val="en-US" w:eastAsia="zh-CN"/>
              </w:rPr>
              <w:t>8</w:t>
            </w:r>
            <w:r>
              <w:rPr>
                <w:rFonts w:hint="eastAsia" w:ascii="宋体" w:hAnsi="宋体" w:cs="宋体"/>
                <w:i w:val="0"/>
                <w:iCs w:val="0"/>
                <w:color w:val="auto"/>
                <w:sz w:val="22"/>
                <w:szCs w:val="22"/>
                <w:highlight w:val="none"/>
                <w:lang w:eastAsia="zh-CN"/>
              </w:rPr>
              <w:t>月</w:t>
            </w:r>
            <w:r>
              <w:rPr>
                <w:rFonts w:hint="eastAsia" w:ascii="宋体" w:hAnsi="宋体" w:cs="宋体"/>
                <w:i w:val="0"/>
                <w:iCs w:val="0"/>
                <w:color w:val="auto"/>
                <w:sz w:val="22"/>
                <w:szCs w:val="22"/>
                <w:highlight w:val="none"/>
                <w:lang w:val="en-US" w:eastAsia="zh-CN"/>
              </w:rPr>
              <w:t>7</w:t>
            </w:r>
            <w:r>
              <w:rPr>
                <w:rFonts w:hint="eastAsia" w:ascii="宋体" w:hAnsi="宋体" w:cs="宋体"/>
                <w:i w:val="0"/>
                <w:iCs w:val="0"/>
                <w:color w:val="auto"/>
                <w:sz w:val="22"/>
                <w:szCs w:val="22"/>
                <w:highlight w:val="none"/>
                <w:lang w:eastAsia="zh-CN"/>
              </w:rPr>
              <w:t>日</w:t>
            </w:r>
            <w:r>
              <w:rPr>
                <w:rFonts w:hint="eastAsia" w:ascii="宋体" w:hAnsi="宋体" w:cs="宋体"/>
                <w:i w:val="0"/>
                <w:iCs w:val="0"/>
                <w:color w:val="auto"/>
                <w:sz w:val="22"/>
                <w:szCs w:val="22"/>
                <w:highlight w:val="none"/>
                <w:lang w:val="en-US" w:eastAsia="zh-CN"/>
              </w:rPr>
              <w:t>14</w:t>
            </w:r>
            <w:r>
              <w:rPr>
                <w:rFonts w:hint="eastAsia" w:ascii="宋体" w:hAnsi="宋体" w:cs="宋体"/>
                <w:i w:val="0"/>
                <w:iCs w:val="0"/>
                <w:color w:val="auto"/>
                <w:sz w:val="22"/>
                <w:szCs w:val="22"/>
                <w:highlight w:val="none"/>
                <w:lang w:eastAsia="zh-CN"/>
              </w:rPr>
              <w:t>时30分</w:t>
            </w:r>
            <w:r>
              <w:rPr>
                <w:rFonts w:hint="eastAsia" w:ascii="宋体" w:hAnsi="宋体" w:eastAsia="宋体" w:cs="宋体"/>
                <w:i w:val="0"/>
                <w:iCs w:val="0"/>
                <w:color w:val="auto"/>
                <w:sz w:val="22"/>
                <w:szCs w:val="22"/>
                <w:highlight w:val="none"/>
              </w:rPr>
              <w:t>（北京时间）</w:t>
            </w:r>
          </w:p>
        </w:tc>
      </w:tr>
      <w:tr w14:paraId="2F25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6" w:type="dxa"/>
            <w:noWrap w:val="0"/>
            <w:vAlign w:val="center"/>
          </w:tcPr>
          <w:p w14:paraId="75C7C9D6">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15</w:t>
            </w:r>
          </w:p>
        </w:tc>
        <w:tc>
          <w:tcPr>
            <w:tcW w:w="2125" w:type="dxa"/>
            <w:noWrap w:val="0"/>
            <w:vAlign w:val="center"/>
          </w:tcPr>
          <w:p w14:paraId="4172D85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开标地点</w:t>
            </w:r>
          </w:p>
        </w:tc>
        <w:tc>
          <w:tcPr>
            <w:tcW w:w="7073" w:type="dxa"/>
            <w:noWrap w:val="0"/>
            <w:vAlign w:val="center"/>
          </w:tcPr>
          <w:p w14:paraId="275D3FEF">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bCs/>
                <w:i w:val="0"/>
                <w:iCs w:val="0"/>
                <w:color w:val="auto"/>
                <w:sz w:val="22"/>
                <w:szCs w:val="22"/>
                <w:highlight w:val="none"/>
              </w:rPr>
              <w:t>见公告。</w:t>
            </w:r>
          </w:p>
        </w:tc>
      </w:tr>
      <w:tr w14:paraId="2A46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6" w:type="dxa"/>
            <w:noWrap w:val="0"/>
            <w:vAlign w:val="center"/>
          </w:tcPr>
          <w:p w14:paraId="7FBFDB88">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16</w:t>
            </w:r>
          </w:p>
        </w:tc>
        <w:tc>
          <w:tcPr>
            <w:tcW w:w="2125" w:type="dxa"/>
            <w:noWrap w:val="0"/>
            <w:vAlign w:val="center"/>
          </w:tcPr>
          <w:p w14:paraId="626EE0BB">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投标文件开启程序</w:t>
            </w:r>
          </w:p>
        </w:tc>
        <w:tc>
          <w:tcPr>
            <w:tcW w:w="7073" w:type="dxa"/>
            <w:noWrap w:val="0"/>
            <w:vAlign w:val="center"/>
          </w:tcPr>
          <w:p w14:paraId="16B30B06">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投标文件开启时间到后，采购代理机构点击【开始解密】，供应商应在30分钟内已完成解密，供应商在规定的时间内都已完成解密，则系统自动结束解密；供应商超过解密时限，默认自动放弃；</w:t>
            </w:r>
          </w:p>
          <w:p w14:paraId="0A458932">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解密不成功时，如供应商已按规定递交了“备份投标文件”的，采购代理机构通过【异常处理】端口对备份投标文件上传、解密；</w:t>
            </w:r>
          </w:p>
          <w:p w14:paraId="22C2283E">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采购组织机构点击【开启标书信息】，开启标书成功后进入开标流程。</w:t>
            </w:r>
          </w:p>
        </w:tc>
      </w:tr>
      <w:tr w14:paraId="796B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 w:type="dxa"/>
            <w:noWrap w:val="0"/>
            <w:vAlign w:val="center"/>
          </w:tcPr>
          <w:p w14:paraId="276DA81B">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17</w:t>
            </w:r>
          </w:p>
        </w:tc>
        <w:tc>
          <w:tcPr>
            <w:tcW w:w="2125" w:type="dxa"/>
            <w:noWrap w:val="0"/>
            <w:vAlign w:val="center"/>
          </w:tcPr>
          <w:p w14:paraId="266A3F6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采购结果公告期限</w:t>
            </w:r>
          </w:p>
        </w:tc>
        <w:tc>
          <w:tcPr>
            <w:tcW w:w="7073" w:type="dxa"/>
            <w:noWrap w:val="0"/>
            <w:vAlign w:val="center"/>
          </w:tcPr>
          <w:p w14:paraId="29E16FB0">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1个工作日</w:t>
            </w:r>
          </w:p>
        </w:tc>
      </w:tr>
      <w:tr w14:paraId="5CC5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66" w:type="dxa"/>
            <w:noWrap w:val="0"/>
            <w:vAlign w:val="center"/>
          </w:tcPr>
          <w:p w14:paraId="0F40FF4D">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18</w:t>
            </w:r>
          </w:p>
        </w:tc>
        <w:tc>
          <w:tcPr>
            <w:tcW w:w="2125" w:type="dxa"/>
            <w:noWrap w:val="0"/>
            <w:vAlign w:val="center"/>
          </w:tcPr>
          <w:p w14:paraId="2088BF9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签订合同</w:t>
            </w:r>
          </w:p>
        </w:tc>
        <w:tc>
          <w:tcPr>
            <w:tcW w:w="7073" w:type="dxa"/>
            <w:noWrap w:val="0"/>
            <w:vAlign w:val="center"/>
          </w:tcPr>
          <w:p w14:paraId="75359659">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 xml:space="preserve">发出中标通知书30天内。 </w:t>
            </w:r>
          </w:p>
        </w:tc>
      </w:tr>
      <w:tr w14:paraId="27CD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66" w:type="dxa"/>
            <w:noWrap w:val="0"/>
            <w:vAlign w:val="center"/>
          </w:tcPr>
          <w:p w14:paraId="243C9154">
            <w:pPr>
              <w:keepNext w:val="0"/>
              <w:keepLines w:val="0"/>
              <w:pageBreakBefore w:val="0"/>
              <w:kinsoku/>
              <w:wordWrap/>
              <w:overflowPunct/>
              <w:topLinePunct w:val="0"/>
              <w:bidi w:val="0"/>
              <w:spacing w:before="31" w:beforeLines="10" w:line="360" w:lineRule="exact"/>
              <w:jc w:val="center"/>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19</w:t>
            </w:r>
          </w:p>
        </w:tc>
        <w:tc>
          <w:tcPr>
            <w:tcW w:w="2125" w:type="dxa"/>
            <w:noWrap w:val="0"/>
            <w:vAlign w:val="center"/>
          </w:tcPr>
          <w:p w14:paraId="2A18A75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合同备案</w:t>
            </w:r>
          </w:p>
        </w:tc>
        <w:tc>
          <w:tcPr>
            <w:tcW w:w="7073" w:type="dxa"/>
            <w:noWrap w:val="0"/>
            <w:vAlign w:val="center"/>
          </w:tcPr>
          <w:p w14:paraId="0E5DA1AA">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成交人与采购人签订合同后，2日历天内将合同扫描件电子版发送至邮箱：2513628668@qq.com；本项目政府采购合同按规定在浙江政府采购网（http://zfcg.czt.zj.gov.cn/）予以公告。</w:t>
            </w:r>
          </w:p>
        </w:tc>
      </w:tr>
      <w:tr w14:paraId="659E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66" w:type="dxa"/>
            <w:tcBorders>
              <w:bottom w:val="single" w:color="auto" w:sz="4" w:space="0"/>
            </w:tcBorders>
            <w:noWrap w:val="0"/>
            <w:vAlign w:val="center"/>
          </w:tcPr>
          <w:p w14:paraId="1DD1055E">
            <w:pPr>
              <w:keepNext w:val="0"/>
              <w:keepLines w:val="0"/>
              <w:pageBreakBefore w:val="0"/>
              <w:kinsoku/>
              <w:wordWrap/>
              <w:overflowPunct/>
              <w:topLinePunct w:val="0"/>
              <w:bidi w:val="0"/>
              <w:spacing w:before="31" w:beforeLines="10" w:line="360" w:lineRule="exact"/>
              <w:jc w:val="center"/>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20</w:t>
            </w:r>
          </w:p>
        </w:tc>
        <w:tc>
          <w:tcPr>
            <w:tcW w:w="2125" w:type="dxa"/>
            <w:tcBorders>
              <w:bottom w:val="single" w:color="auto" w:sz="4" w:space="0"/>
            </w:tcBorders>
            <w:noWrap w:val="0"/>
            <w:vAlign w:val="center"/>
          </w:tcPr>
          <w:p w14:paraId="224FD0FD">
            <w:pPr>
              <w:keepNext w:val="0"/>
              <w:keepLines w:val="0"/>
              <w:pageBreakBefore w:val="0"/>
              <w:kinsoku/>
              <w:wordWrap/>
              <w:overflowPunct/>
              <w:topLinePunct w:val="0"/>
              <w:bidi w:val="0"/>
              <w:snapToGrid w:val="0"/>
              <w:spacing w:line="360" w:lineRule="exact"/>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履约保证金</w:t>
            </w:r>
          </w:p>
        </w:tc>
        <w:tc>
          <w:tcPr>
            <w:tcW w:w="7073" w:type="dxa"/>
            <w:tcBorders>
              <w:bottom w:val="single" w:color="auto" w:sz="4" w:space="0"/>
            </w:tcBorders>
            <w:noWrap w:val="0"/>
            <w:vAlign w:val="center"/>
          </w:tcPr>
          <w:p w14:paraId="7C0B0CF5">
            <w:pPr>
              <w:keepNext w:val="0"/>
              <w:keepLines w:val="0"/>
              <w:pageBreakBefore w:val="0"/>
              <w:widowControl/>
              <w:kinsoku/>
              <w:wordWrap/>
              <w:overflowPunct/>
              <w:topLinePunct w:val="0"/>
              <w:bidi w:val="0"/>
              <w:spacing w:line="360" w:lineRule="exact"/>
              <w:jc w:val="left"/>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无需缴纳</w:t>
            </w:r>
          </w:p>
        </w:tc>
      </w:tr>
      <w:tr w14:paraId="3037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66" w:type="dxa"/>
            <w:noWrap w:val="0"/>
            <w:vAlign w:val="center"/>
          </w:tcPr>
          <w:p w14:paraId="157D1E89">
            <w:pPr>
              <w:keepNext w:val="0"/>
              <w:keepLines w:val="0"/>
              <w:pageBreakBefore w:val="0"/>
              <w:kinsoku/>
              <w:wordWrap/>
              <w:overflowPunct/>
              <w:topLinePunct w:val="0"/>
              <w:bidi w:val="0"/>
              <w:spacing w:before="31" w:beforeLines="10" w:line="360" w:lineRule="exact"/>
              <w:jc w:val="center"/>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21</w:t>
            </w:r>
          </w:p>
        </w:tc>
        <w:tc>
          <w:tcPr>
            <w:tcW w:w="2125" w:type="dxa"/>
            <w:noWrap w:val="0"/>
            <w:vAlign w:val="center"/>
          </w:tcPr>
          <w:p w14:paraId="70266A8C">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投标有效期</w:t>
            </w:r>
          </w:p>
        </w:tc>
        <w:tc>
          <w:tcPr>
            <w:tcW w:w="7073" w:type="dxa"/>
            <w:noWrap w:val="0"/>
            <w:vAlign w:val="center"/>
          </w:tcPr>
          <w:p w14:paraId="6E553CB8">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投标文件递交截止之日起90天</w:t>
            </w:r>
          </w:p>
        </w:tc>
      </w:tr>
      <w:tr w14:paraId="35AF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14:paraId="1917DFE8">
            <w:pPr>
              <w:keepNext w:val="0"/>
              <w:keepLines w:val="0"/>
              <w:pageBreakBefore w:val="0"/>
              <w:kinsoku/>
              <w:wordWrap/>
              <w:overflowPunct/>
              <w:topLinePunct w:val="0"/>
              <w:bidi w:val="0"/>
              <w:spacing w:before="31" w:beforeLines="10" w:line="360" w:lineRule="exact"/>
              <w:jc w:val="center"/>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w:t>
            </w:r>
            <w:r>
              <w:rPr>
                <w:rFonts w:hint="eastAsia" w:ascii="宋体" w:hAnsi="宋体" w:cs="宋体"/>
                <w:i w:val="0"/>
                <w:iCs w:val="0"/>
                <w:color w:val="auto"/>
                <w:kern w:val="2"/>
                <w:sz w:val="22"/>
                <w:szCs w:val="22"/>
                <w:highlight w:val="none"/>
                <w:lang w:val="en-US" w:eastAsia="zh-CN" w:bidi="ar-SA"/>
              </w:rPr>
              <w:t>2</w:t>
            </w:r>
          </w:p>
        </w:tc>
        <w:tc>
          <w:tcPr>
            <w:tcW w:w="2125" w:type="dxa"/>
            <w:noWrap w:val="0"/>
            <w:vAlign w:val="center"/>
          </w:tcPr>
          <w:p w14:paraId="5F4E9723">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信用查询</w:t>
            </w:r>
          </w:p>
        </w:tc>
        <w:tc>
          <w:tcPr>
            <w:tcW w:w="7073" w:type="dxa"/>
            <w:noWrap w:val="0"/>
            <w:vAlign w:val="center"/>
          </w:tcPr>
          <w:p w14:paraId="3D7BC547">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根据《关于在政府采购活动中查询及使用信用记录有关问题的通知》财库[2016]125号的规定：</w:t>
            </w:r>
          </w:p>
          <w:p w14:paraId="5DC1ED7A">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（1）采购人或采购代理机构将对本项目供应商的信用记录进行查询。查询渠道为信用中国网站（www.creditchina.gov.cn）、中国政府采购网（www.ccgp.gov.cn）</w:t>
            </w:r>
            <w:r>
              <w:rPr>
                <w:rFonts w:hint="eastAsia" w:ascii="宋体" w:hAnsi="宋体" w:cs="宋体"/>
                <w:i w:val="0"/>
                <w:iCs w:val="0"/>
                <w:color w:val="auto"/>
                <w:kern w:val="2"/>
                <w:sz w:val="22"/>
                <w:szCs w:val="22"/>
                <w:highlight w:val="none"/>
                <w:lang w:val="en-US" w:eastAsia="zh-CN" w:bidi="ar-SA"/>
              </w:rPr>
              <w:t>。</w:t>
            </w:r>
          </w:p>
          <w:p w14:paraId="4A8E90E1">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（2）截止时点：提交投标文件截止时间前3年内</w:t>
            </w:r>
            <w:r>
              <w:rPr>
                <w:rFonts w:hint="eastAsia" w:ascii="宋体" w:hAnsi="宋体" w:cs="宋体"/>
                <w:i w:val="0"/>
                <w:iCs w:val="0"/>
                <w:color w:val="auto"/>
                <w:kern w:val="2"/>
                <w:sz w:val="22"/>
                <w:szCs w:val="22"/>
                <w:highlight w:val="none"/>
                <w:lang w:val="en-US" w:eastAsia="zh-CN" w:bidi="ar-SA"/>
              </w:rPr>
              <w:t>。</w:t>
            </w:r>
          </w:p>
          <w:p w14:paraId="5CD754CD">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（3）查询记录和证据的留存：信用信息查询记录和证据以网页截图等方式留存。</w:t>
            </w:r>
          </w:p>
          <w:p w14:paraId="1DE25BA1">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（4）使用规则：被列入失信被执行人、重大税收违法案件当事人名单、政府采购严重违法失信行为记录名单及其它不符合《中华人民共和国政府采购法》第二十二条规定条件的，其投标将被拒绝。</w:t>
            </w:r>
          </w:p>
        </w:tc>
      </w:tr>
      <w:tr w14:paraId="7B15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14:paraId="2360CE7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w:t>
            </w:r>
            <w:r>
              <w:rPr>
                <w:rFonts w:hint="eastAsia" w:ascii="宋体" w:hAnsi="宋体" w:cs="宋体"/>
                <w:i w:val="0"/>
                <w:iCs w:val="0"/>
                <w:color w:val="auto"/>
                <w:kern w:val="2"/>
                <w:sz w:val="22"/>
                <w:szCs w:val="22"/>
                <w:highlight w:val="none"/>
                <w:lang w:val="en-US" w:eastAsia="zh-CN" w:bidi="ar-SA"/>
              </w:rPr>
              <w:t>3</w:t>
            </w:r>
          </w:p>
        </w:tc>
        <w:tc>
          <w:tcPr>
            <w:tcW w:w="2125" w:type="dxa"/>
            <w:noWrap w:val="0"/>
            <w:vAlign w:val="center"/>
          </w:tcPr>
          <w:p w14:paraId="399954FA">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采购公告，更正公告，中标公示发布网址</w:t>
            </w:r>
          </w:p>
        </w:tc>
        <w:tc>
          <w:tcPr>
            <w:tcW w:w="7073" w:type="dxa"/>
            <w:noWrap w:val="0"/>
            <w:vAlign w:val="center"/>
          </w:tcPr>
          <w:p w14:paraId="63844A17">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浙江政府采购网（http://zfcg.czt.zj.gov.cn/）</w:t>
            </w:r>
          </w:p>
        </w:tc>
      </w:tr>
      <w:tr w14:paraId="5E47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14:paraId="699EA222">
            <w:pPr>
              <w:keepNext w:val="0"/>
              <w:keepLines w:val="0"/>
              <w:pageBreakBefore w:val="0"/>
              <w:kinsoku/>
              <w:wordWrap/>
              <w:overflowPunct/>
              <w:topLinePunct w:val="0"/>
              <w:bidi w:val="0"/>
              <w:spacing w:before="31" w:beforeLines="10" w:line="360" w:lineRule="exact"/>
              <w:jc w:val="center"/>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w:t>
            </w:r>
            <w:r>
              <w:rPr>
                <w:rFonts w:hint="eastAsia" w:ascii="宋体" w:hAnsi="宋体" w:cs="宋体"/>
                <w:i w:val="0"/>
                <w:iCs w:val="0"/>
                <w:color w:val="auto"/>
                <w:kern w:val="2"/>
                <w:sz w:val="22"/>
                <w:szCs w:val="22"/>
                <w:highlight w:val="none"/>
                <w:lang w:val="en-US" w:eastAsia="zh-CN" w:bidi="ar-SA"/>
              </w:rPr>
              <w:t>4</w:t>
            </w:r>
          </w:p>
        </w:tc>
        <w:tc>
          <w:tcPr>
            <w:tcW w:w="2125" w:type="dxa"/>
            <w:noWrap w:val="0"/>
            <w:vAlign w:val="center"/>
          </w:tcPr>
          <w:p w14:paraId="5EFD65AB">
            <w:pPr>
              <w:keepNext w:val="0"/>
              <w:keepLines w:val="0"/>
              <w:pageBreakBefore w:val="0"/>
              <w:kinsoku/>
              <w:wordWrap/>
              <w:overflowPunct/>
              <w:topLinePunct w:val="0"/>
              <w:bidi w:val="0"/>
              <w:snapToGrid w:val="0"/>
              <w:spacing w:line="360" w:lineRule="exact"/>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lang w:val="zh-TW" w:eastAsia="zh-TW"/>
              </w:rPr>
              <w:t>采购标的对应的中小企业划分标准所属行业</w:t>
            </w:r>
          </w:p>
        </w:tc>
        <w:tc>
          <w:tcPr>
            <w:tcW w:w="7073" w:type="dxa"/>
            <w:noWrap w:val="0"/>
            <w:vAlign w:val="center"/>
          </w:tcPr>
          <w:p w14:paraId="4C6667B3">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中小企业优惠措施</w:t>
            </w:r>
          </w:p>
          <w:p w14:paraId="56BF9B8F">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项目属性：</w:t>
            </w:r>
            <w:r>
              <w:rPr>
                <w:rFonts w:hint="eastAsia" w:ascii="宋体" w:hAnsi="宋体" w:eastAsia="宋体" w:cs="宋体"/>
                <w:i w:val="0"/>
                <w:iCs w:val="0"/>
                <w:color w:val="auto"/>
                <w:kern w:val="0"/>
                <w:sz w:val="22"/>
                <w:szCs w:val="22"/>
                <w:highlight w:val="none"/>
              </w:rPr>
              <w:sym w:font="Wingdings" w:char="00A8"/>
            </w:r>
            <w:r>
              <w:rPr>
                <w:rFonts w:hint="eastAsia" w:ascii="宋体" w:hAnsi="宋体" w:eastAsia="宋体" w:cs="宋体"/>
                <w:i w:val="0"/>
                <w:iCs w:val="0"/>
                <w:color w:val="auto"/>
                <w:kern w:val="0"/>
                <w:sz w:val="22"/>
                <w:szCs w:val="22"/>
                <w:highlight w:val="none"/>
              </w:rPr>
              <w:t>货物类</w:t>
            </w:r>
            <w:r>
              <w:rPr>
                <w:rFonts w:hint="eastAsia" w:ascii="宋体" w:hAnsi="宋体" w:eastAsia="宋体" w:cs="宋体"/>
                <w:i w:val="0"/>
                <w:iCs w:val="0"/>
                <w:color w:val="auto"/>
                <w:kern w:val="0"/>
                <w:sz w:val="22"/>
                <w:szCs w:val="22"/>
                <w:highlight w:val="none"/>
              </w:rPr>
              <w:sym w:font="Wingdings" w:char="00FE"/>
            </w:r>
            <w:r>
              <w:rPr>
                <w:rFonts w:hint="eastAsia" w:ascii="宋体" w:hAnsi="宋体" w:eastAsia="宋体" w:cs="宋体"/>
                <w:i w:val="0"/>
                <w:iCs w:val="0"/>
                <w:color w:val="auto"/>
                <w:kern w:val="0"/>
                <w:sz w:val="22"/>
                <w:szCs w:val="22"/>
                <w:highlight w:val="none"/>
              </w:rPr>
              <w:t>服务类</w:t>
            </w:r>
            <w:r>
              <w:rPr>
                <w:rFonts w:hint="eastAsia" w:ascii="宋体" w:hAnsi="宋体" w:eastAsia="宋体" w:cs="宋体"/>
                <w:i w:val="0"/>
                <w:iCs w:val="0"/>
                <w:color w:val="auto"/>
                <w:kern w:val="0"/>
                <w:sz w:val="22"/>
                <w:szCs w:val="22"/>
                <w:highlight w:val="none"/>
              </w:rPr>
              <w:sym w:font="Wingdings" w:char="00A8"/>
            </w:r>
            <w:r>
              <w:rPr>
                <w:rFonts w:hint="eastAsia" w:ascii="宋体" w:hAnsi="宋体" w:eastAsia="宋体" w:cs="宋体"/>
                <w:i w:val="0"/>
                <w:iCs w:val="0"/>
                <w:color w:val="auto"/>
                <w:kern w:val="0"/>
                <w:sz w:val="22"/>
                <w:szCs w:val="22"/>
                <w:highlight w:val="none"/>
              </w:rPr>
              <w:t>工程类</w:t>
            </w:r>
          </w:p>
          <w:p w14:paraId="2AFB3D20">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中小企业划分标准所属行业根据《中小企业划型标准规定》执行。</w:t>
            </w:r>
          </w:p>
          <w:p w14:paraId="4556953E">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rPr>
              <w:t>采购标的名称：</w:t>
            </w:r>
            <w:r>
              <w:rPr>
                <w:rFonts w:hint="eastAsia" w:ascii="宋体" w:hAnsi="宋体" w:eastAsia="宋体" w:cs="宋体"/>
                <w:i w:val="0"/>
                <w:iCs w:val="0"/>
                <w:color w:val="auto"/>
                <w:kern w:val="0"/>
                <w:sz w:val="22"/>
                <w:szCs w:val="22"/>
                <w:highlight w:val="none"/>
                <w:u w:val="single"/>
                <w:lang w:val="en-US" w:eastAsia="zh-CN"/>
              </w:rPr>
              <w:t xml:space="preserve"> </w:t>
            </w:r>
            <w:r>
              <w:rPr>
                <w:rFonts w:hint="eastAsia" w:ascii="宋体" w:hAnsi="宋体" w:cs="宋体"/>
                <w:i w:val="0"/>
                <w:iCs w:val="0"/>
                <w:color w:val="auto"/>
                <w:kern w:val="0"/>
                <w:sz w:val="22"/>
                <w:szCs w:val="22"/>
                <w:highlight w:val="none"/>
                <w:u w:val="single"/>
                <w:lang w:val="en-US" w:eastAsia="zh-CN"/>
              </w:rPr>
              <w:t>衢州市衢江区杜泽镇白水村浙江省历史文化（传统）村落保护利用重点村规划项目</w:t>
            </w:r>
            <w:r>
              <w:rPr>
                <w:rFonts w:hint="eastAsia" w:ascii="宋体" w:hAnsi="宋体" w:eastAsia="宋体" w:cs="宋体"/>
                <w:i w:val="0"/>
                <w:iCs w:val="0"/>
                <w:color w:val="auto"/>
                <w:kern w:val="0"/>
                <w:sz w:val="22"/>
                <w:szCs w:val="22"/>
                <w:highlight w:val="none"/>
              </w:rPr>
              <w:t>，</w:t>
            </w:r>
            <w:r>
              <w:rPr>
                <w:rFonts w:hint="eastAsia" w:ascii="宋体" w:hAnsi="宋体" w:eastAsia="宋体" w:cs="宋体"/>
                <w:i w:val="0"/>
                <w:iCs w:val="0"/>
                <w:color w:val="auto"/>
                <w:kern w:val="0"/>
                <w:sz w:val="22"/>
                <w:szCs w:val="22"/>
                <w:highlight w:val="none"/>
                <w:lang w:val="zh-TW" w:eastAsia="zh-TW"/>
              </w:rPr>
              <w:t>本项目属于</w:t>
            </w:r>
            <w:r>
              <w:rPr>
                <w:rFonts w:hint="eastAsia" w:ascii="宋体" w:hAnsi="宋体" w:eastAsia="宋体" w:cs="宋体"/>
                <w:i w:val="0"/>
                <w:iCs w:val="0"/>
                <w:color w:val="auto"/>
                <w:kern w:val="0"/>
                <w:sz w:val="22"/>
                <w:szCs w:val="22"/>
                <w:highlight w:val="none"/>
                <w:u w:val="single"/>
                <w:lang w:val="zh-TW" w:eastAsia="zh-TW"/>
              </w:rPr>
              <w:t>其他未列明行业</w:t>
            </w:r>
            <w:r>
              <w:rPr>
                <w:rFonts w:hint="eastAsia" w:ascii="宋体" w:hAnsi="宋体" w:eastAsia="宋体" w:cs="宋体"/>
                <w:i w:val="0"/>
                <w:iCs w:val="0"/>
                <w:color w:val="auto"/>
                <w:kern w:val="0"/>
                <w:sz w:val="22"/>
                <w:szCs w:val="22"/>
                <w:highlight w:val="none"/>
                <w:lang w:val="zh-TW" w:eastAsia="zh-TW"/>
              </w:rPr>
              <w:t>。</w:t>
            </w:r>
          </w:p>
        </w:tc>
      </w:tr>
      <w:tr w14:paraId="3DA5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shd w:val="clear" w:color="auto" w:fill="auto"/>
            <w:noWrap w:val="0"/>
            <w:vAlign w:val="center"/>
          </w:tcPr>
          <w:p w14:paraId="2F522033">
            <w:pPr>
              <w:keepNext w:val="0"/>
              <w:keepLines w:val="0"/>
              <w:pageBreakBefore w:val="0"/>
              <w:kinsoku/>
              <w:wordWrap/>
              <w:overflowPunct/>
              <w:topLinePunct w:val="0"/>
              <w:bidi w:val="0"/>
              <w:spacing w:before="31" w:beforeLines="10" w:line="360" w:lineRule="exact"/>
              <w:jc w:val="center"/>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w:t>
            </w:r>
            <w:r>
              <w:rPr>
                <w:rFonts w:hint="eastAsia" w:ascii="宋体" w:hAnsi="宋体" w:cs="宋体"/>
                <w:i w:val="0"/>
                <w:iCs w:val="0"/>
                <w:color w:val="auto"/>
                <w:kern w:val="2"/>
                <w:sz w:val="22"/>
                <w:szCs w:val="22"/>
                <w:highlight w:val="none"/>
                <w:lang w:val="en-US" w:eastAsia="zh-CN" w:bidi="ar-SA"/>
              </w:rPr>
              <w:t>5</w:t>
            </w:r>
          </w:p>
        </w:tc>
        <w:tc>
          <w:tcPr>
            <w:tcW w:w="2125" w:type="dxa"/>
            <w:noWrap w:val="0"/>
            <w:vAlign w:val="center"/>
          </w:tcPr>
          <w:p w14:paraId="619FC6F7">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 w:val="22"/>
                <w:szCs w:val="22"/>
                <w:highlight w:val="none"/>
                <w:lang w:val="zh-TW" w:eastAsia="zh-CN"/>
              </w:rPr>
            </w:pPr>
            <w:r>
              <w:rPr>
                <w:rFonts w:hint="eastAsia" w:ascii="宋体" w:hAnsi="宋体" w:cs="宋体"/>
                <w:color w:val="auto"/>
                <w:sz w:val="22"/>
                <w:szCs w:val="22"/>
                <w:highlight w:val="none"/>
                <w:lang w:val="zh-TW" w:eastAsia="zh-CN"/>
              </w:rPr>
              <w:t>履约担保</w:t>
            </w:r>
          </w:p>
        </w:tc>
        <w:tc>
          <w:tcPr>
            <w:tcW w:w="7073" w:type="dxa"/>
            <w:noWrap w:val="0"/>
            <w:vAlign w:val="center"/>
          </w:tcPr>
          <w:p w14:paraId="0422F7DC">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i w:val="0"/>
                <w:iCs w:val="0"/>
                <w:color w:val="auto"/>
                <w:kern w:val="0"/>
                <w:sz w:val="22"/>
                <w:szCs w:val="22"/>
                <w:highlight w:val="none"/>
              </w:rPr>
            </w:pPr>
            <w:r>
              <w:rPr>
                <w:rFonts w:hint="eastAsia" w:ascii="宋体" w:hAnsi="宋体" w:eastAsia="宋体" w:cs="宋体"/>
                <w:color w:val="auto"/>
                <w:kern w:val="0"/>
                <w:sz w:val="22"/>
                <w:szCs w:val="22"/>
                <w:highlight w:val="none"/>
                <w:lang w:val="en-US" w:eastAsia="zh-CN"/>
              </w:rPr>
              <w:t>参考浙财采监〔2019〕5号文件《浙江省财政厅关于明确政府采购保证金管理工作的通知》要求，为切实减轻单位负担，降低制度性交易成本，加快推动单位诚信体系建设，创造良好的营商环境，本项目不要求供应商缴纳履约保证金。供应商应按时保量的完成本项目的招标内容。</w:t>
            </w:r>
          </w:p>
        </w:tc>
      </w:tr>
      <w:tr w14:paraId="0F2E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shd w:val="clear" w:color="auto" w:fill="auto"/>
            <w:noWrap w:val="0"/>
            <w:vAlign w:val="center"/>
          </w:tcPr>
          <w:p w14:paraId="4BBBE442">
            <w:pPr>
              <w:keepNext w:val="0"/>
              <w:keepLines w:val="0"/>
              <w:pageBreakBefore w:val="0"/>
              <w:kinsoku/>
              <w:wordWrap/>
              <w:overflowPunct/>
              <w:topLinePunct w:val="0"/>
              <w:bidi w:val="0"/>
              <w:spacing w:before="31" w:beforeLines="10" w:line="360" w:lineRule="exact"/>
              <w:jc w:val="center"/>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w:t>
            </w:r>
            <w:r>
              <w:rPr>
                <w:rFonts w:hint="eastAsia" w:ascii="宋体" w:hAnsi="宋体" w:cs="宋体"/>
                <w:i w:val="0"/>
                <w:iCs w:val="0"/>
                <w:color w:val="auto"/>
                <w:kern w:val="2"/>
                <w:sz w:val="22"/>
                <w:szCs w:val="22"/>
                <w:highlight w:val="none"/>
                <w:lang w:val="en-US" w:eastAsia="zh-CN" w:bidi="ar-SA"/>
              </w:rPr>
              <w:t>6</w:t>
            </w:r>
          </w:p>
        </w:tc>
        <w:tc>
          <w:tcPr>
            <w:tcW w:w="2125" w:type="dxa"/>
            <w:noWrap w:val="0"/>
            <w:vAlign w:val="center"/>
          </w:tcPr>
          <w:p w14:paraId="6A06049D">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其他注意事项</w:t>
            </w:r>
          </w:p>
        </w:tc>
        <w:tc>
          <w:tcPr>
            <w:tcW w:w="7073" w:type="dxa"/>
            <w:noWrap w:val="0"/>
            <w:vAlign w:val="center"/>
          </w:tcPr>
          <w:p w14:paraId="3788ECF0">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招标文件中部分加“▲”的条款，属于招标文件的实质性要求和条件，着重提醒各招标响应供应商注意，并认真查看招标文件中的每一个条款及要求，因误读招标文件而造成的后果，采购人概不负责。</w:t>
            </w:r>
          </w:p>
          <w:p w14:paraId="205799CC">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本项目招标过程中经采购人代表同意，可能实质性变动采购需求中的技术、服务要求以及合同草案条款。</w:t>
            </w:r>
          </w:p>
          <w:p w14:paraId="063FB277">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以上内容如有变化将另行通知，如通知其中某一项内容发生变化，其余未提及的内容将不作变动。</w:t>
            </w:r>
            <w:r>
              <w:rPr>
                <w:rFonts w:hint="eastAsia" w:ascii="宋体" w:hAnsi="宋体" w:eastAsia="宋体" w:cs="宋体"/>
                <w:i w:val="0"/>
                <w:iCs w:val="0"/>
                <w:color w:val="auto"/>
                <w:kern w:val="2"/>
                <w:sz w:val="22"/>
                <w:szCs w:val="22"/>
                <w:highlight w:val="none"/>
                <w:lang w:val="en-US" w:eastAsia="zh-CN" w:bidi="ar-SA"/>
              </w:rPr>
              <w:br w:type="textWrapping"/>
            </w:r>
            <w:r>
              <w:rPr>
                <w:rFonts w:hint="eastAsia" w:ascii="宋体" w:hAnsi="宋体" w:eastAsia="宋体" w:cs="宋体"/>
                <w:b/>
                <w:bCs/>
                <w:i w:val="0"/>
                <w:iCs w:val="0"/>
                <w:color w:val="auto"/>
                <w:sz w:val="22"/>
                <w:szCs w:val="22"/>
                <w:highlight w:val="none"/>
                <w:lang w:val="en-US" w:eastAsia="zh-CN"/>
              </w:rPr>
              <w:t>▲5.为保证项目环境影响评价技术评估的公平性。中标方同期限内不得承接衢州地区建设项目的环境影响评价业务。投标人需提供承诺书，承诺如本项目中标,同期限内不承接衢州地区任何建设项目的环境影响评价业务。</w:t>
            </w:r>
            <w:r>
              <w:rPr>
                <w:rFonts w:hint="eastAsia" w:ascii="宋体" w:hAnsi="宋体" w:cs="宋体"/>
                <w:b/>
                <w:bCs/>
                <w:i w:val="0"/>
                <w:iCs w:val="0"/>
                <w:color w:val="auto"/>
                <w:sz w:val="22"/>
                <w:szCs w:val="22"/>
                <w:highlight w:val="none"/>
                <w:lang w:val="en-US" w:eastAsia="zh-CN"/>
              </w:rPr>
              <w:t>（</w:t>
            </w:r>
            <w:r>
              <w:rPr>
                <w:rFonts w:hint="eastAsia" w:ascii="宋体" w:hAnsi="宋体" w:eastAsia="宋体" w:cs="宋体"/>
                <w:b/>
                <w:bCs/>
                <w:i w:val="0"/>
                <w:iCs w:val="0"/>
                <w:color w:val="auto"/>
                <w:sz w:val="22"/>
                <w:szCs w:val="22"/>
                <w:highlight w:val="none"/>
                <w:lang w:val="en-US" w:eastAsia="zh-CN"/>
              </w:rPr>
              <w:t>承诺书</w:t>
            </w:r>
            <w:r>
              <w:rPr>
                <w:rFonts w:hint="eastAsia" w:ascii="宋体" w:hAnsi="宋体" w:cs="宋体"/>
                <w:b/>
                <w:bCs/>
                <w:i w:val="0"/>
                <w:iCs w:val="0"/>
                <w:color w:val="auto"/>
                <w:sz w:val="22"/>
                <w:szCs w:val="22"/>
                <w:highlight w:val="none"/>
                <w:lang w:val="en-US" w:eastAsia="zh-CN"/>
              </w:rPr>
              <w:t>格式自拟）</w:t>
            </w:r>
          </w:p>
        </w:tc>
      </w:tr>
      <w:tr w14:paraId="4999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66" w:type="dxa"/>
            <w:noWrap w:val="0"/>
            <w:vAlign w:val="center"/>
          </w:tcPr>
          <w:p w14:paraId="75A3E87A">
            <w:pPr>
              <w:keepNext w:val="0"/>
              <w:keepLines w:val="0"/>
              <w:pageBreakBefore w:val="0"/>
              <w:kinsoku/>
              <w:wordWrap/>
              <w:overflowPunct/>
              <w:topLinePunct w:val="0"/>
              <w:bidi w:val="0"/>
              <w:spacing w:before="31" w:beforeLines="10" w:line="360" w:lineRule="exact"/>
              <w:jc w:val="center"/>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27</w:t>
            </w:r>
          </w:p>
        </w:tc>
        <w:tc>
          <w:tcPr>
            <w:tcW w:w="2125" w:type="dxa"/>
            <w:noWrap w:val="0"/>
            <w:vAlign w:val="center"/>
          </w:tcPr>
          <w:p w14:paraId="64E8CC6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解释</w:t>
            </w:r>
          </w:p>
        </w:tc>
        <w:tc>
          <w:tcPr>
            <w:tcW w:w="7073" w:type="dxa"/>
            <w:noWrap w:val="0"/>
            <w:vAlign w:val="center"/>
          </w:tcPr>
          <w:p w14:paraId="22D9DABA">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本招标文件的解释权属于采购人和采购代理机构所有。</w:t>
            </w:r>
          </w:p>
        </w:tc>
      </w:tr>
      <w:bookmarkEnd w:id="31"/>
    </w:tbl>
    <w:p w14:paraId="0F7568F1">
      <w:pPr>
        <w:rPr>
          <w:rFonts w:hint="eastAsia" w:ascii="宋体" w:hAnsi="宋体" w:eastAsia="宋体" w:cs="宋体"/>
          <w:b/>
          <w:bCs/>
          <w:color w:val="auto"/>
          <w:sz w:val="22"/>
          <w:szCs w:val="22"/>
          <w:highlight w:val="none"/>
          <w:lang w:val="en-US" w:eastAsia="zh-CN"/>
        </w:rPr>
      </w:pPr>
      <w:bookmarkStart w:id="35" w:name="_Toc33194389"/>
      <w:bookmarkStart w:id="36" w:name="_Toc354996697"/>
      <w:bookmarkStart w:id="37" w:name="_Toc233618973"/>
      <w:bookmarkStart w:id="38" w:name="_Toc226521904"/>
      <w:bookmarkStart w:id="39" w:name="_Toc226106467"/>
      <w:bookmarkStart w:id="40" w:name="_Toc226106516"/>
      <w:bookmarkStart w:id="41" w:name="_Toc225840109"/>
      <w:r>
        <w:rPr>
          <w:rFonts w:hint="eastAsia" w:ascii="宋体" w:hAnsi="宋体" w:eastAsia="宋体" w:cs="宋体"/>
          <w:b/>
          <w:bCs/>
          <w:color w:val="auto"/>
          <w:sz w:val="22"/>
          <w:szCs w:val="22"/>
          <w:highlight w:val="none"/>
          <w:lang w:val="en-US" w:eastAsia="zh-CN"/>
        </w:rPr>
        <w:br w:type="page"/>
      </w:r>
    </w:p>
    <w:p w14:paraId="3EA8F6F0">
      <w:pPr>
        <w:pStyle w:val="24"/>
        <w:pageBreakBefore w:val="0"/>
        <w:tabs>
          <w:tab w:val="left" w:pos="900"/>
        </w:tabs>
        <w:kinsoku/>
        <w:overflowPunct/>
        <w:topLinePunct w:val="0"/>
        <w:bidi w:val="0"/>
        <w:spacing w:line="420" w:lineRule="exact"/>
        <w:ind w:left="0" w:leftChars="0" w:firstLine="482" w:firstLineChars="200"/>
        <w:jc w:val="center"/>
        <w:textAlignment w:val="auto"/>
        <w:rPr>
          <w:rFonts w:hint="eastAsia" w:ascii="宋体" w:hAnsi="宋体" w:eastAsia="宋体" w:cs="宋体"/>
          <w:b/>
          <w:color w:val="auto"/>
          <w:sz w:val="22"/>
          <w:szCs w:val="22"/>
          <w:highlight w:val="none"/>
          <w:lang w:val="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rPr>
        <w:t>、供应商须知正文</w:t>
      </w:r>
    </w:p>
    <w:p w14:paraId="4480D140">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（一）适用范围</w:t>
      </w:r>
    </w:p>
    <w:p w14:paraId="1C7078F3">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本招标文件仅适用于</w:t>
      </w:r>
      <w:r>
        <w:rPr>
          <w:rFonts w:hint="eastAsia" w:ascii="宋体" w:hAnsi="宋体" w:eastAsia="宋体" w:cs="宋体"/>
          <w:color w:val="auto"/>
          <w:sz w:val="22"/>
          <w:szCs w:val="22"/>
          <w:highlight w:val="none"/>
        </w:rPr>
        <w:t>本项目投标、评标、定标、验收、合同履约、付款等行为（法律、法规另有规定的，从其规定）。</w:t>
      </w:r>
    </w:p>
    <w:p w14:paraId="0ED4B1E7">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（二）定义</w:t>
      </w:r>
    </w:p>
    <w:p w14:paraId="6D18871D">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1.“采购人”系指</w:t>
      </w:r>
      <w:r>
        <w:rPr>
          <w:rFonts w:hint="eastAsia" w:ascii="宋体" w:hAnsi="宋体" w:eastAsia="宋体" w:cs="宋体"/>
          <w:color w:val="auto"/>
          <w:sz w:val="22"/>
          <w:szCs w:val="22"/>
          <w:highlight w:val="none"/>
          <w:lang w:val="zh-CN" w:eastAsia="zh-CN"/>
        </w:rPr>
        <w:t>衢州市衢江区杜泽镇人民政府</w:t>
      </w:r>
      <w:r>
        <w:rPr>
          <w:rFonts w:hint="eastAsia" w:ascii="宋体" w:hAnsi="宋体" w:eastAsia="宋体" w:cs="宋体"/>
          <w:color w:val="auto"/>
          <w:sz w:val="22"/>
          <w:szCs w:val="22"/>
          <w:highlight w:val="none"/>
          <w:lang w:val="zh-CN"/>
        </w:rPr>
        <w:t>。</w:t>
      </w:r>
    </w:p>
    <w:p w14:paraId="6E92E1B9">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2.“供应商”系指是指响应招标、参加投标竞争的法人、其他组织或者自然人。</w:t>
      </w:r>
    </w:p>
    <w:p w14:paraId="1565FB5D">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3.“货物”系指按招标文件要求配置的设备、技术资料、相关使用手册等。</w:t>
      </w:r>
    </w:p>
    <w:p w14:paraId="7968F1D0">
      <w:pPr>
        <w:pStyle w:val="10"/>
        <w:pageBreakBefore w:val="0"/>
        <w:numPr>
          <w:ilvl w:val="0"/>
          <w:numId w:val="0"/>
        </w:numPr>
        <w:kinsoku/>
        <w:overflowPunct/>
        <w:topLinePunct w:val="0"/>
        <w:bidi w:val="0"/>
        <w:spacing w:after="0" w:afterLines="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“服务”系指招标文件规定中标人向采购人提供的相关服务等。</w:t>
      </w:r>
    </w:p>
    <w:p w14:paraId="33D89329">
      <w:pPr>
        <w:pStyle w:val="10"/>
        <w:pageBreakBefore w:val="0"/>
        <w:numPr>
          <w:ilvl w:val="0"/>
          <w:numId w:val="0"/>
        </w:numPr>
        <w:kinsoku/>
        <w:overflowPunct/>
        <w:topLinePunct w:val="0"/>
        <w:bidi w:val="0"/>
        <w:spacing w:after="0" w:afterLines="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“书面形式”包括信函、传真、电子邮件等。</w:t>
      </w:r>
    </w:p>
    <w:p w14:paraId="0FC2B390">
      <w:pPr>
        <w:pageBreakBefore w:val="0"/>
        <w:numPr>
          <w:ilvl w:val="0"/>
          <w:numId w:val="0"/>
        </w:numPr>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 系指实质性要求条款。</w:t>
      </w:r>
    </w:p>
    <w:p w14:paraId="00EB550A">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（三）采购方式</w:t>
      </w:r>
    </w:p>
    <w:p w14:paraId="7CDC9000">
      <w:pPr>
        <w:pageBreakBefore w:val="0"/>
        <w:kinsoku/>
        <w:overflowPunct/>
        <w:topLinePunct w:val="0"/>
        <w:bidi w:val="0"/>
        <w:snapToGrid w:val="0"/>
        <w:spacing w:line="42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本次采购采用公开招标方式进行。</w:t>
      </w:r>
    </w:p>
    <w:p w14:paraId="43749740">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（四）投标费用</w:t>
      </w:r>
    </w:p>
    <w:p w14:paraId="7A17F8DC">
      <w:pPr>
        <w:pageBreakBefore w:val="0"/>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1.中标人需自行承担涉及投标的一切费用。</w:t>
      </w:r>
    </w:p>
    <w:p w14:paraId="6210F5B4">
      <w:pPr>
        <w:pageBreakBefore w:val="0"/>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2.本项目代理服务费按计价格【2002】1980号文件标准计取，</w:t>
      </w:r>
      <w:r>
        <w:rPr>
          <w:rFonts w:hint="eastAsia" w:ascii="宋体" w:hAnsi="宋体" w:cs="宋体"/>
          <w:color w:val="auto"/>
          <w:sz w:val="22"/>
          <w:szCs w:val="22"/>
          <w:highlight w:val="none"/>
          <w:lang w:eastAsia="zh-CN"/>
        </w:rPr>
        <w:t>不足</w:t>
      </w:r>
      <w:r>
        <w:rPr>
          <w:rFonts w:hint="eastAsia" w:ascii="宋体" w:hAnsi="宋体" w:cs="宋体"/>
          <w:color w:val="auto"/>
          <w:sz w:val="22"/>
          <w:szCs w:val="22"/>
          <w:highlight w:val="none"/>
          <w:lang w:val="en-US" w:eastAsia="zh-CN"/>
        </w:rPr>
        <w:t>2000元</w:t>
      </w:r>
      <w:r>
        <w:rPr>
          <w:rFonts w:hint="eastAsia" w:ascii="宋体" w:hAnsi="宋体" w:cs="宋体"/>
          <w:color w:val="auto"/>
          <w:sz w:val="22"/>
          <w:szCs w:val="22"/>
          <w:highlight w:val="none"/>
          <w:lang w:eastAsia="zh-CN"/>
        </w:rPr>
        <w:t>按</w:t>
      </w:r>
      <w:r>
        <w:rPr>
          <w:rFonts w:hint="eastAsia" w:ascii="宋体" w:hAnsi="宋体" w:cs="宋体"/>
          <w:color w:val="auto"/>
          <w:sz w:val="22"/>
          <w:szCs w:val="22"/>
          <w:highlight w:val="none"/>
          <w:lang w:val="en-US" w:eastAsia="zh-CN"/>
        </w:rPr>
        <w:t>2000元</w:t>
      </w:r>
      <w:r>
        <w:rPr>
          <w:rFonts w:hint="eastAsia" w:ascii="宋体" w:hAnsi="宋体" w:cs="宋体"/>
          <w:color w:val="auto"/>
          <w:sz w:val="22"/>
          <w:szCs w:val="22"/>
          <w:highlight w:val="none"/>
          <w:lang w:eastAsia="zh-CN"/>
        </w:rPr>
        <w:t>计取。</w:t>
      </w:r>
    </w:p>
    <w:p w14:paraId="4B9636F5">
      <w:pPr>
        <w:pageBreakBefore w:val="0"/>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3.以上费用由中标供应商在领取成交通知书时向招标代理机构支付。</w:t>
      </w:r>
    </w:p>
    <w:p w14:paraId="3023BAAC">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（五）</w:t>
      </w:r>
      <w:r>
        <w:rPr>
          <w:rFonts w:hint="eastAsia" w:ascii="宋体" w:hAnsi="宋体" w:eastAsia="宋体" w:cs="宋体"/>
          <w:b/>
          <w:color w:val="auto"/>
          <w:sz w:val="22"/>
          <w:szCs w:val="22"/>
          <w:highlight w:val="none"/>
        </w:rPr>
        <w:t>联合体投标</w:t>
      </w:r>
    </w:p>
    <w:p w14:paraId="2088416E">
      <w:pPr>
        <w:pageBreakBefore w:val="0"/>
        <w:numPr>
          <w:ilvl w:val="0"/>
          <w:numId w:val="0"/>
        </w:numPr>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本项目不接受联合体参加投标。</w:t>
      </w:r>
    </w:p>
    <w:p w14:paraId="67A2A8FA">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（六）转包与分包</w:t>
      </w:r>
    </w:p>
    <w:p w14:paraId="242D11AF">
      <w:pPr>
        <w:pageBreakBefore w:val="0"/>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本项目不允许转包、分包。一经发现有转包、分包现象，采购人可无条件终止取消与供应商合同。</w:t>
      </w:r>
    </w:p>
    <w:p w14:paraId="36643189">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（七）特别说明：</w:t>
      </w:r>
    </w:p>
    <w:p w14:paraId="5F9C61AA">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1.多家供应商参加投标，单位负责人为同一人或者存在直接控股、管理关系的不同供应商，不得参加同一合同项下的政府采购活动。</w:t>
      </w:r>
    </w:p>
    <w:p w14:paraId="532BFDF7">
      <w:pPr>
        <w:pageBreakBefore w:val="0"/>
        <w:shd w:val="clear" w:color="auto" w:fill="FFFFFF"/>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提供相同品牌产品且通过资格审查、符合性审查的不同供应商参加同一合同项下投标的，按一家供应商计算，评审后得分最高的同品牌供应商获得中标人推荐资格；评审得分相同时，以报价低者获得中标人推荐资格。</w:t>
      </w:r>
    </w:p>
    <w:p w14:paraId="23ADDC81">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▲2.供应商投标所使用的资格、信誉、荣誉、业绩与企业认证必须为本法人所拥有。</w:t>
      </w:r>
    </w:p>
    <w:p w14:paraId="7A8E0041">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▲3.供应商应仔细阅读招标文件的所有内容，按照招标文件的要求提交投标文件，并对所提供的全部资料的真实性承担法律责任。</w:t>
      </w:r>
    </w:p>
    <w:p w14:paraId="421A2C02">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2B184B15">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5.关于中小企业参与政府采购活动的规定</w:t>
      </w:r>
    </w:p>
    <w:p w14:paraId="47ECCF73">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4795FA2B">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符合中小企业划分标准；</w:t>
      </w:r>
    </w:p>
    <w:p w14:paraId="7682BD8B">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提供本企业制造的货物、承担的工程或者服务，或者提供其他中小企业制造的货物。本项所称货物不包括使用大型企业注册商标的货物。</w:t>
      </w:r>
    </w:p>
    <w:p w14:paraId="22D656AB">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本办法所称中小企业划分标准，是指国务院有关部门根据企业从业人员、营业收入、资产总额等指标制定的中小企业划型标准。</w:t>
      </w:r>
    </w:p>
    <w:p w14:paraId="25D7B226">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小型、微型企业提供中型企业制造的货物的，视同为中型企业。</w:t>
      </w:r>
    </w:p>
    <w:p w14:paraId="5FAF2EA9">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5.2根据财政部《司法部关于政府采购支持监狱企业发展有关问题》的通知（财库〔2014〕68号）的有关规定，监狱和戒毒企业参与政府采购活动的视同小型、微型企业。</w:t>
      </w:r>
    </w:p>
    <w:p w14:paraId="5DBAA4B2">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5.3根据财库[2017]141号的相关规定，在政府采购活动中，残疾人福利性单位视同小型、微型企业。</w:t>
      </w:r>
    </w:p>
    <w:p w14:paraId="29B05F9B">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5.4小型、微型企业参加投标时，应提供《中小企业声明函》；监狱或戒毒企业参加投标时应提供监狱或戒毒企业声明函；残疾人福利性单位参加投标时应提供残疾人福利性单位声明函。</w:t>
      </w:r>
    </w:p>
    <w:p w14:paraId="09F23C4B">
      <w:pPr>
        <w:pageBreakBefore w:val="0"/>
        <w:kinsoku/>
        <w:overflowPunct/>
        <w:topLinePunct w:val="0"/>
        <w:bidi w:val="0"/>
        <w:spacing w:line="420" w:lineRule="exact"/>
        <w:ind w:left="0" w:leftChars="0"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6.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(tp:/www zizfcg gov.cn)的中小企业信用融资栏目了解相关信息。 供应商可以通过浙江政府采购网(https://zfcg. czt.zj. gov.cn/)首页的“浙江政采贷”模块进入申请，还可以通过政府采购云平台(https://www. zcygov.cn/)首页的“金融服务”模块进入申请。</w:t>
      </w:r>
    </w:p>
    <w:p w14:paraId="4D451652">
      <w:pPr>
        <w:pStyle w:val="12"/>
        <w:pageBreakBefore w:val="0"/>
        <w:kinsoku/>
        <w:overflowPunct/>
        <w:topLinePunct w:val="0"/>
        <w:bidi w:val="0"/>
        <w:snapToGrid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（八）质疑和投诉</w:t>
      </w:r>
    </w:p>
    <w:p w14:paraId="3140829A">
      <w:pPr>
        <w:pStyle w:val="12"/>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1.供应商认为招标文件、采购过程或中标结果使自己的合法权益受到损害的，可以在知道或者应知其权益受到损害之日起七个工作日内，以书面形式向采购人、采购代理机构提出质疑。供应商对采购人的质疑答复不满意或者采购人未在规定时间内做出答复的，可以在答复期满后十五个工作日内向同级采购监管部门投诉。</w:t>
      </w:r>
    </w:p>
    <w:p w14:paraId="1055A9A5">
      <w:pPr>
        <w:pStyle w:val="12"/>
        <w:pageBreakBefore w:val="0"/>
        <w:kinsoku/>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2.质疑书应明确阐述招标文件、投标过程或中标结果中使自己合法权益受到损害的实质性内容，提供相关事实、依据和证据及其来源或线索，便于有关单位调查、答复和处理。</w:t>
      </w:r>
    </w:p>
    <w:p w14:paraId="24AD496B">
      <w:pPr>
        <w:pStyle w:val="12"/>
        <w:pageBreakBefore w:val="0"/>
        <w:kinsoku/>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3.供应商须在法定质疑期内一次性提出针对同一采购程序环节的质疑，否则采购代理机构有权拒绝第一次质疑以外其他所有质疑。</w:t>
      </w:r>
    </w:p>
    <w:p w14:paraId="0AEAB5A7">
      <w:pPr>
        <w:pStyle w:val="12"/>
        <w:pageBreakBefore w:val="0"/>
        <w:kinsoku/>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4.质疑函须采用财政部发布的政府采购供应商质疑函范本（参考样式可从浙江政府采购网下载专区下载），否则采购代理机构有权要求质疑供应商改正后重新提出。</w:t>
      </w:r>
    </w:p>
    <w:p w14:paraId="07600041">
      <w:pPr>
        <w:pStyle w:val="12"/>
        <w:pageBreakBefore w:val="0"/>
        <w:kinsoku/>
        <w:wordWrap w:val="0"/>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5.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42BD774D">
      <w:pPr>
        <w:pStyle w:val="12"/>
        <w:pageBreakBefore w:val="0"/>
        <w:kinsoku/>
        <w:wordWrap w:val="0"/>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6.在线或者邮寄政府采购投诉材料当日下班时间点后收到的视为下一个工作日收到。</w:t>
      </w:r>
    </w:p>
    <w:p w14:paraId="7B58E9E6">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i w:val="0"/>
          <w:iCs w:val="0"/>
          <w:color w:val="auto"/>
          <w:sz w:val="22"/>
          <w:szCs w:val="22"/>
          <w:highlight w:val="none"/>
        </w:rPr>
      </w:pPr>
    </w:p>
    <w:p w14:paraId="47429009">
      <w:pPr>
        <w:pageBreakBefore w:val="0"/>
        <w:shd w:val="clear" w:color="auto" w:fill="FFFFFF"/>
        <w:kinsoku/>
        <w:overflowPunct/>
        <w:topLinePunct w:val="0"/>
        <w:bidi w:val="0"/>
        <w:snapToGrid w:val="0"/>
        <w:spacing w:line="420" w:lineRule="exact"/>
        <w:ind w:left="0" w:leftChars="0" w:firstLine="562" w:firstLineChars="200"/>
        <w:jc w:val="center"/>
        <w:textAlignment w:val="auto"/>
        <w:outlineLvl w:val="1"/>
        <w:rPr>
          <w:rFonts w:hint="eastAsia" w:ascii="宋体" w:hAnsi="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二、招标文件</w:t>
      </w:r>
      <w:bookmarkEnd w:id="35"/>
      <w:bookmarkEnd w:id="36"/>
      <w:bookmarkEnd w:id="37"/>
    </w:p>
    <w:p w14:paraId="57974C01">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bookmarkStart w:id="42" w:name="_Toc91899880"/>
      <w:bookmarkStart w:id="43" w:name="_Hlt74730307"/>
    </w:p>
    <w:p w14:paraId="7DCC060B">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（一）招标文件的构成</w:t>
      </w:r>
      <w:bookmarkEnd w:id="42"/>
    </w:p>
    <w:bookmarkEnd w:id="43"/>
    <w:p w14:paraId="7C9CD825">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招标文件包括下列文件及附件</w:t>
      </w:r>
    </w:p>
    <w:p w14:paraId="372CBA11">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第一部分  招标公告</w:t>
      </w:r>
    </w:p>
    <w:p w14:paraId="16F8BE22">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第二部分  编制和提交投标文件须知</w:t>
      </w:r>
    </w:p>
    <w:p w14:paraId="42DB63CC">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第三部分  项目技术规范和服务要求</w:t>
      </w:r>
    </w:p>
    <w:p w14:paraId="45768702">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第四部分  合同主要条款</w:t>
      </w:r>
    </w:p>
    <w:p w14:paraId="254C7F70">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第五部分  应提交的有关格式范例</w:t>
      </w:r>
    </w:p>
    <w:p w14:paraId="1659AFCA">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14:paraId="33C8DABC">
      <w:pPr>
        <w:pStyle w:val="6"/>
        <w:pageBreakBefore w:val="0"/>
        <w:numPr>
          <w:ilvl w:val="0"/>
          <w:numId w:val="0"/>
        </w:numPr>
        <w:tabs>
          <w:tab w:val="left" w:pos="1004"/>
          <w:tab w:val="clear" w:pos="390"/>
          <w:tab w:val="clear" w:pos="454"/>
        </w:tabs>
        <w:kinsoku/>
        <w:overflowPunct/>
        <w:topLinePunct w:val="0"/>
        <w:bidi w:val="0"/>
        <w:snapToGrid w:val="0"/>
        <w:spacing w:after="0" w:afterLines="0" w:line="420" w:lineRule="exact"/>
        <w:ind w:left="0" w:leftChars="0" w:firstLine="442" w:firstLineChars="200"/>
        <w:textAlignment w:val="auto"/>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2"/>
          <w:sz w:val="22"/>
          <w:szCs w:val="22"/>
          <w:highlight w:val="none"/>
          <w:lang w:val="en-US" w:eastAsia="zh-CN" w:bidi="ar-SA"/>
        </w:rPr>
        <w:t xml:space="preserve">（二）招标文件的澄清与修改 </w:t>
      </w:r>
    </w:p>
    <w:p w14:paraId="17FCC321">
      <w:pPr>
        <w:pStyle w:val="3"/>
        <w:pageBreakBefore w:val="0"/>
        <w:kinsoku/>
        <w:overflowPunct/>
        <w:topLinePunct w:val="0"/>
        <w:bidi w:val="0"/>
        <w:spacing w:line="420" w:lineRule="exact"/>
        <w:ind w:left="0" w:leftChars="0" w:firstLine="440" w:firstLineChars="200"/>
        <w:jc w:val="left"/>
        <w:textAlignment w:val="auto"/>
        <w:rPr>
          <w:rFonts w:hint="eastAsia" w:ascii="宋体" w:hAnsi="宋体" w:eastAsia="宋体" w:cs="宋体"/>
          <w:b w:val="0"/>
          <w:i w:val="0"/>
          <w:iCs w:val="0"/>
          <w:color w:val="auto"/>
          <w:kern w:val="2"/>
          <w:sz w:val="22"/>
          <w:szCs w:val="22"/>
          <w:highlight w:val="none"/>
          <w:lang w:val="en-US" w:eastAsia="zh-CN" w:bidi="ar-SA"/>
        </w:rPr>
      </w:pPr>
      <w:bookmarkStart w:id="44" w:name="_Toc13589"/>
      <w:r>
        <w:rPr>
          <w:rFonts w:hint="eastAsia" w:ascii="宋体" w:hAnsi="宋体" w:eastAsia="宋体" w:cs="宋体"/>
          <w:b w:val="0"/>
          <w:i w:val="0"/>
          <w:iCs w:val="0"/>
          <w:color w:val="auto"/>
          <w:kern w:val="2"/>
          <w:sz w:val="22"/>
          <w:szCs w:val="22"/>
          <w:highlight w:val="none"/>
          <w:lang w:val="en-US" w:eastAsia="zh-CN" w:bidi="ar-SA"/>
        </w:rPr>
        <w:t>1.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bookmarkEnd w:id="44"/>
    </w:p>
    <w:p w14:paraId="036C131B">
      <w:pPr>
        <w:pStyle w:val="3"/>
        <w:pageBreakBefore w:val="0"/>
        <w:kinsoku/>
        <w:overflowPunct/>
        <w:topLinePunct w:val="0"/>
        <w:bidi w:val="0"/>
        <w:spacing w:line="420" w:lineRule="exact"/>
        <w:ind w:left="0" w:leftChars="0" w:firstLine="440" w:firstLineChars="200"/>
        <w:jc w:val="both"/>
        <w:textAlignment w:val="auto"/>
        <w:rPr>
          <w:rFonts w:hint="eastAsia" w:ascii="宋体" w:hAnsi="宋体" w:eastAsia="宋体" w:cs="宋体"/>
          <w:b w:val="0"/>
          <w:i w:val="0"/>
          <w:iCs w:val="0"/>
          <w:color w:val="auto"/>
          <w:kern w:val="2"/>
          <w:sz w:val="22"/>
          <w:szCs w:val="22"/>
          <w:highlight w:val="none"/>
          <w:lang w:val="zh-CN" w:eastAsia="zh-CN" w:bidi="ar-SA"/>
        </w:rPr>
      </w:pPr>
      <w:bookmarkStart w:id="45" w:name="_Toc32349"/>
      <w:r>
        <w:rPr>
          <w:rFonts w:hint="eastAsia" w:ascii="宋体" w:hAnsi="宋体" w:eastAsia="宋体" w:cs="宋体"/>
          <w:b w:val="0"/>
          <w:i w:val="0"/>
          <w:iCs w:val="0"/>
          <w:color w:val="auto"/>
          <w:kern w:val="2"/>
          <w:sz w:val="22"/>
          <w:szCs w:val="22"/>
          <w:highlight w:val="none"/>
          <w:lang w:val="en-US" w:eastAsia="zh-CN" w:bidi="ar-SA"/>
        </w:rPr>
        <w:t>2.</w:t>
      </w:r>
      <w:r>
        <w:rPr>
          <w:rFonts w:hint="eastAsia" w:ascii="宋体" w:hAnsi="宋体" w:eastAsia="宋体" w:cs="宋体"/>
          <w:b w:val="0"/>
          <w:i w:val="0"/>
          <w:iCs w:val="0"/>
          <w:color w:val="auto"/>
          <w:kern w:val="2"/>
          <w:sz w:val="22"/>
          <w:szCs w:val="22"/>
          <w:highlight w:val="none"/>
          <w:lang w:val="zh-CN" w:eastAsia="zh-CN" w:bidi="ar-SA"/>
        </w:rPr>
        <w:t>不论</w:t>
      </w:r>
      <w:r>
        <w:rPr>
          <w:rFonts w:hint="eastAsia" w:ascii="宋体" w:hAnsi="宋体" w:eastAsia="宋体" w:cs="宋体"/>
          <w:b w:val="0"/>
          <w:i w:val="0"/>
          <w:iCs w:val="0"/>
          <w:color w:val="auto"/>
          <w:kern w:val="2"/>
          <w:sz w:val="22"/>
          <w:szCs w:val="22"/>
          <w:highlight w:val="none"/>
          <w:lang w:val="en-US" w:eastAsia="zh-CN" w:bidi="ar-SA"/>
        </w:rPr>
        <w:t>采购人、采购代理机构</w:t>
      </w:r>
      <w:r>
        <w:rPr>
          <w:rFonts w:hint="eastAsia" w:ascii="宋体" w:hAnsi="宋体" w:eastAsia="宋体" w:cs="宋体"/>
          <w:b w:val="0"/>
          <w:i w:val="0"/>
          <w:iCs w:val="0"/>
          <w:color w:val="auto"/>
          <w:kern w:val="2"/>
          <w:sz w:val="22"/>
          <w:szCs w:val="22"/>
          <w:highlight w:val="none"/>
          <w:lang w:val="zh-CN" w:eastAsia="zh-CN" w:bidi="ar-SA"/>
        </w:rPr>
        <w:t>向供应商发送的资料文件，还是供应商提出的问题，均采用书面形式，任何口头提问及答复一律无效。</w:t>
      </w:r>
      <w:bookmarkEnd w:id="45"/>
    </w:p>
    <w:p w14:paraId="2C9A177C">
      <w:pPr>
        <w:pStyle w:val="12"/>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i w:val="0"/>
          <w:iCs w:val="0"/>
          <w:color w:val="auto"/>
          <w:kern w:val="2"/>
          <w:sz w:val="22"/>
          <w:szCs w:val="22"/>
          <w:highlight w:val="none"/>
          <w:lang w:val="en-US" w:eastAsia="zh-CN" w:bidi="ar-SA"/>
        </w:rPr>
      </w:pPr>
      <w:r>
        <w:rPr>
          <w:rFonts w:hint="eastAsia" w:ascii="宋体" w:hAnsi="宋体" w:eastAsia="宋体" w:cs="宋体"/>
          <w:b w:val="0"/>
          <w:i w:val="0"/>
          <w:iCs w:val="0"/>
          <w:color w:val="auto"/>
          <w:kern w:val="2"/>
          <w:sz w:val="22"/>
          <w:szCs w:val="22"/>
          <w:highlight w:val="none"/>
          <w:lang w:val="en-US" w:eastAsia="zh-CN" w:bidi="ar-SA"/>
        </w:rPr>
        <w:t>3.各供应商自行在浙江政府采购网下载或查阅采购文件和相关更正公告等，不另行通知，如有遗漏采购人、采购代理机构概不负责。</w:t>
      </w:r>
    </w:p>
    <w:p w14:paraId="3F233DB1">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w:t>
      </w:r>
      <w:r>
        <w:rPr>
          <w:rFonts w:hint="eastAsia" w:ascii="宋体" w:hAnsi="宋体" w:eastAsia="宋体" w:cs="宋体"/>
          <w:b/>
          <w:bCs/>
          <w:i w:val="0"/>
          <w:iCs w:val="0"/>
          <w:color w:val="auto"/>
          <w:sz w:val="22"/>
          <w:szCs w:val="22"/>
          <w:highlight w:val="none"/>
          <w:lang w:eastAsia="zh-CN"/>
        </w:rPr>
        <w:t>三</w:t>
      </w:r>
      <w:r>
        <w:rPr>
          <w:rFonts w:hint="eastAsia" w:ascii="宋体" w:hAnsi="宋体" w:eastAsia="宋体" w:cs="宋体"/>
          <w:b/>
          <w:bCs/>
          <w:i w:val="0"/>
          <w:iCs w:val="0"/>
          <w:color w:val="auto"/>
          <w:sz w:val="22"/>
          <w:szCs w:val="22"/>
          <w:highlight w:val="none"/>
        </w:rPr>
        <w:t>）投标报价</w:t>
      </w:r>
    </w:p>
    <w:p w14:paraId="08E68D32">
      <w:pPr>
        <w:pStyle w:val="12"/>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val="0"/>
          <w:i w:val="0"/>
          <w:iCs w:val="0"/>
          <w:color w:val="auto"/>
          <w:kern w:val="2"/>
          <w:sz w:val="22"/>
          <w:szCs w:val="22"/>
          <w:highlight w:val="none"/>
          <w:lang w:val="en-US" w:eastAsia="zh-CN" w:bidi="ar-SA"/>
        </w:rPr>
      </w:pPr>
      <w:r>
        <w:rPr>
          <w:rFonts w:hint="eastAsia" w:ascii="宋体" w:hAnsi="宋体" w:eastAsia="宋体" w:cs="宋体"/>
          <w:b w:val="0"/>
          <w:bCs w:val="0"/>
          <w:i w:val="0"/>
          <w:iCs w:val="0"/>
          <w:color w:val="auto"/>
          <w:kern w:val="2"/>
          <w:sz w:val="22"/>
          <w:szCs w:val="22"/>
          <w:highlight w:val="none"/>
          <w:lang w:val="en-US" w:eastAsia="zh-CN" w:bidi="ar-SA"/>
        </w:rPr>
        <w:t>1.本项目最高限价：500000元，供应商报价超过</w:t>
      </w:r>
      <w:r>
        <w:rPr>
          <w:rFonts w:hint="eastAsia" w:ascii="宋体" w:hAnsi="宋体" w:eastAsia="宋体" w:cs="宋体"/>
          <w:i w:val="0"/>
          <w:iCs w:val="0"/>
          <w:color w:val="auto"/>
          <w:kern w:val="2"/>
          <w:sz w:val="22"/>
          <w:szCs w:val="22"/>
          <w:highlight w:val="none"/>
          <w:lang w:val="en-US" w:eastAsia="zh-CN" w:bidi="ar-SA"/>
        </w:rPr>
        <w:t>预算金额或最高限价或最高限单价</w:t>
      </w:r>
      <w:r>
        <w:rPr>
          <w:rFonts w:hint="eastAsia" w:ascii="宋体" w:hAnsi="宋体" w:eastAsia="宋体" w:cs="宋体"/>
          <w:b w:val="0"/>
          <w:bCs w:val="0"/>
          <w:i w:val="0"/>
          <w:iCs w:val="0"/>
          <w:color w:val="auto"/>
          <w:kern w:val="2"/>
          <w:sz w:val="22"/>
          <w:szCs w:val="22"/>
          <w:highlight w:val="none"/>
          <w:lang w:val="en-US" w:eastAsia="zh-CN" w:bidi="ar-SA"/>
        </w:rPr>
        <w:t>的作无效报价处理，取消其投标资格。</w:t>
      </w:r>
    </w:p>
    <w:p w14:paraId="7F142C69">
      <w:pPr>
        <w:pStyle w:val="12"/>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val="0"/>
          <w:i w:val="0"/>
          <w:iCs w:val="0"/>
          <w:color w:val="auto"/>
          <w:kern w:val="2"/>
          <w:sz w:val="22"/>
          <w:szCs w:val="22"/>
          <w:highlight w:val="none"/>
          <w:lang w:val="en-US" w:eastAsia="zh-CN" w:bidi="ar-SA"/>
        </w:rPr>
      </w:pPr>
      <w:r>
        <w:rPr>
          <w:rFonts w:hint="eastAsia" w:ascii="宋体" w:hAnsi="宋体" w:eastAsia="宋体" w:cs="宋体"/>
          <w:b w:val="0"/>
          <w:bCs w:val="0"/>
          <w:i w:val="0"/>
          <w:iCs w:val="0"/>
          <w:color w:val="auto"/>
          <w:kern w:val="2"/>
          <w:sz w:val="22"/>
          <w:szCs w:val="22"/>
          <w:highlight w:val="none"/>
          <w:lang w:val="en-US" w:eastAsia="zh-CN" w:bidi="ar-SA"/>
        </w:rPr>
        <w:t>2.投标报价是履行合同的最终价格，包括但不限于人工（工资、加班费、福利、社会保险、医疗保险、工伤保险、失业保险、意外保险金、培训等）、管理费、利润、税、设备租赁、保险、验收、技术支持与培训、政策性文件规定即合同包含的所有风险、责任等各项全部费用。投标人应根据自身实际报价时予以考虑，如有漏项，视同已包含在其它项目中，价格不作调整，成交后不允许擅自改变服务内容、质量标准、期限和追加项目费用。</w:t>
      </w:r>
    </w:p>
    <w:p w14:paraId="58A18789">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4</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投标货币</w:t>
      </w:r>
    </w:p>
    <w:p w14:paraId="782E2893">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i w:val="0"/>
          <w:iCs w:val="0"/>
          <w:color w:val="auto"/>
          <w:sz w:val="22"/>
          <w:szCs w:val="22"/>
          <w:highlight w:val="none"/>
        </w:rPr>
        <w:t>投标文件中价格全部采用人民币报价。报价应是唯一的，不接受有选择的报价。</w:t>
      </w:r>
      <w:bookmarkStart w:id="46" w:name="_Toc33194390"/>
    </w:p>
    <w:p w14:paraId="4ED759DB">
      <w:pPr>
        <w:pageBreakBefore w:val="0"/>
        <w:shd w:val="clear" w:color="auto" w:fill="FFFFFF"/>
        <w:kinsoku/>
        <w:overflowPunct/>
        <w:topLinePunct w:val="0"/>
        <w:bidi w:val="0"/>
        <w:snapToGrid w:val="0"/>
        <w:spacing w:line="420" w:lineRule="exact"/>
        <w:ind w:left="0" w:leftChars="0" w:firstLine="442" w:firstLineChars="200"/>
        <w:jc w:val="center"/>
        <w:textAlignment w:val="auto"/>
        <w:outlineLvl w:val="1"/>
        <w:rPr>
          <w:rFonts w:hint="eastAsia" w:ascii="宋体" w:hAnsi="宋体" w:eastAsia="宋体" w:cs="宋体"/>
          <w:b/>
          <w:bCs/>
          <w:i w:val="0"/>
          <w:iCs w:val="0"/>
          <w:color w:val="auto"/>
          <w:sz w:val="22"/>
          <w:szCs w:val="22"/>
          <w:highlight w:val="none"/>
        </w:rPr>
      </w:pPr>
    </w:p>
    <w:p w14:paraId="22BE6123">
      <w:pPr>
        <w:pageBreakBefore w:val="0"/>
        <w:shd w:val="clear" w:color="auto" w:fill="FFFFFF"/>
        <w:kinsoku/>
        <w:overflowPunct/>
        <w:topLinePunct w:val="0"/>
        <w:bidi w:val="0"/>
        <w:snapToGrid w:val="0"/>
        <w:spacing w:line="420" w:lineRule="exact"/>
        <w:ind w:left="0" w:leftChars="0" w:firstLine="482" w:firstLineChars="200"/>
        <w:jc w:val="center"/>
        <w:textAlignment w:val="auto"/>
        <w:outlineLvl w:val="1"/>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三、</w:t>
      </w:r>
      <w:bookmarkStart w:id="47" w:name="_Hlt75236011"/>
      <w:bookmarkEnd w:id="47"/>
      <w:bookmarkStart w:id="48" w:name="_Toc233618974"/>
      <w:bookmarkStart w:id="49" w:name="_Toc91899884"/>
      <w:bookmarkStart w:id="50" w:name="_Toc354996698"/>
      <w:r>
        <w:rPr>
          <w:rFonts w:hint="eastAsia" w:ascii="宋体" w:hAnsi="宋体" w:eastAsia="宋体" w:cs="宋体"/>
          <w:b/>
          <w:bCs/>
          <w:i w:val="0"/>
          <w:iCs w:val="0"/>
          <w:color w:val="auto"/>
          <w:sz w:val="24"/>
          <w:szCs w:val="24"/>
          <w:highlight w:val="none"/>
        </w:rPr>
        <w:t>投标文件</w:t>
      </w:r>
      <w:bookmarkEnd w:id="46"/>
      <w:bookmarkEnd w:id="48"/>
      <w:bookmarkEnd w:id="49"/>
      <w:bookmarkEnd w:id="50"/>
      <w:r>
        <w:rPr>
          <w:rFonts w:hint="eastAsia" w:ascii="宋体" w:hAnsi="宋体" w:eastAsia="宋体" w:cs="宋体"/>
          <w:b/>
          <w:bCs/>
          <w:i w:val="0"/>
          <w:iCs w:val="0"/>
          <w:color w:val="auto"/>
          <w:sz w:val="24"/>
          <w:szCs w:val="24"/>
          <w:highlight w:val="none"/>
        </w:rPr>
        <w:t>的编制、递交</w:t>
      </w:r>
    </w:p>
    <w:p w14:paraId="3215AE74">
      <w:pPr>
        <w:pageBreakBefore w:val="0"/>
        <w:shd w:val="clear" w:color="auto" w:fill="FFFFFF"/>
        <w:kinsoku/>
        <w:overflowPunct/>
        <w:topLinePunct w:val="0"/>
        <w:bidi w:val="0"/>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p>
    <w:p w14:paraId="414798FF">
      <w:pPr>
        <w:pageBreakBefore w:val="0"/>
        <w:shd w:val="clear" w:color="auto" w:fill="FFFFFF"/>
        <w:kinsoku/>
        <w:overflowPunct/>
        <w:topLinePunct w:val="0"/>
        <w:bidi w:val="0"/>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（一）投标文件的语言</w:t>
      </w:r>
    </w:p>
    <w:p w14:paraId="7D7BA4AC">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rPr>
        <w:t>投标文件及投标人与采购有关的来往通知、函件和文件均应使用中文。</w:t>
      </w:r>
    </w:p>
    <w:p w14:paraId="1AA59B94">
      <w:pPr>
        <w:pStyle w:val="41"/>
        <w:pageBreakBefore w:val="0"/>
        <w:kinsoku/>
        <w:overflowPunct/>
        <w:topLinePunct w:val="0"/>
        <w:bidi w:val="0"/>
        <w:snapToGrid w:val="0"/>
        <w:spacing w:before="0" w:line="420" w:lineRule="exact"/>
        <w:ind w:left="0" w:leftChars="0" w:firstLine="442" w:firstLineChars="200"/>
        <w:textAlignment w:val="auto"/>
        <w:rPr>
          <w:rFonts w:hint="eastAsia" w:ascii="宋体" w:hAnsi="宋体" w:eastAsia="宋体" w:cs="宋体"/>
          <w:b/>
          <w:i w:val="0"/>
          <w:iCs w:val="0"/>
          <w:color w:val="auto"/>
          <w:sz w:val="22"/>
          <w:szCs w:val="22"/>
          <w:highlight w:val="none"/>
        </w:rPr>
      </w:pPr>
      <w:bookmarkStart w:id="51" w:name="_Toc91899887"/>
      <w:r>
        <w:rPr>
          <w:rFonts w:hint="eastAsia" w:ascii="宋体" w:hAnsi="宋体" w:eastAsia="宋体" w:cs="宋体"/>
          <w:b/>
          <w:i w:val="0"/>
          <w:iCs w:val="0"/>
          <w:color w:val="auto"/>
          <w:sz w:val="22"/>
          <w:szCs w:val="22"/>
          <w:highlight w:val="none"/>
        </w:rPr>
        <w:t>（二）投标文件的组成</w:t>
      </w:r>
    </w:p>
    <w:p w14:paraId="0D13FF33">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rPr>
        <w:t>投标</w:t>
      </w:r>
      <w:r>
        <w:rPr>
          <w:rFonts w:hint="eastAsia" w:ascii="宋体" w:hAnsi="宋体" w:eastAsia="宋体" w:cs="宋体"/>
          <w:i w:val="0"/>
          <w:iCs w:val="0"/>
          <w:color w:val="auto"/>
          <w:kern w:val="0"/>
          <w:sz w:val="22"/>
          <w:szCs w:val="22"/>
          <w:highlight w:val="none"/>
          <w:lang w:val="zh-CN"/>
        </w:rPr>
        <w:t>文件应当包括以下主要内容：</w:t>
      </w:r>
      <w:r>
        <w:rPr>
          <w:rFonts w:hint="eastAsia" w:ascii="宋体" w:hAnsi="宋体" w:eastAsia="宋体" w:cs="宋体"/>
          <w:b/>
          <w:bCs/>
          <w:i w:val="0"/>
          <w:iCs w:val="0"/>
          <w:color w:val="auto"/>
          <w:kern w:val="0"/>
          <w:sz w:val="22"/>
          <w:szCs w:val="22"/>
          <w:highlight w:val="none"/>
          <w:lang w:val="zh-CN"/>
        </w:rPr>
        <w:t>资格文件、商务技术文件、报价文件</w:t>
      </w:r>
      <w:r>
        <w:rPr>
          <w:rFonts w:hint="eastAsia" w:ascii="宋体" w:hAnsi="宋体" w:eastAsia="宋体" w:cs="宋体"/>
          <w:i w:val="0"/>
          <w:iCs w:val="0"/>
          <w:color w:val="auto"/>
          <w:kern w:val="0"/>
          <w:sz w:val="22"/>
          <w:szCs w:val="22"/>
          <w:highlight w:val="none"/>
          <w:lang w:val="zh-CN"/>
        </w:rPr>
        <w:t>。</w:t>
      </w:r>
    </w:p>
    <w:p w14:paraId="672E3601">
      <w:pPr>
        <w:snapToGrid w:val="0"/>
        <w:spacing w:line="420" w:lineRule="exact"/>
        <w:ind w:firstLine="442" w:firstLineChars="200"/>
        <w:rPr>
          <w:rFonts w:hint="eastAsia" w:ascii="宋体" w:hAnsi="宋体" w:cs="宋体"/>
          <w:color w:val="auto"/>
          <w:sz w:val="22"/>
          <w:szCs w:val="22"/>
          <w:highlight w:val="none"/>
        </w:rPr>
      </w:pPr>
      <w:bookmarkStart w:id="52" w:name="_Toc500208478"/>
      <w:r>
        <w:rPr>
          <w:rFonts w:hint="eastAsia" w:ascii="宋体" w:hAnsi="宋体" w:cs="宋体"/>
          <w:b/>
          <w:bCs/>
          <w:color w:val="auto"/>
          <w:sz w:val="22"/>
          <w:szCs w:val="22"/>
          <w:highlight w:val="none"/>
          <w:lang w:val="en-US" w:eastAsia="zh-CN"/>
        </w:rPr>
        <w:t>1.</w:t>
      </w:r>
      <w:r>
        <w:rPr>
          <w:rFonts w:hint="eastAsia" w:ascii="宋体" w:hAnsi="宋体" w:cs="宋体"/>
          <w:b/>
          <w:bCs/>
          <w:color w:val="auto"/>
          <w:sz w:val="22"/>
          <w:szCs w:val="22"/>
          <w:highlight w:val="none"/>
        </w:rPr>
        <w:t>基本资格条件审查材料：</w:t>
      </w:r>
    </w:p>
    <w:p w14:paraId="16A39BB6">
      <w:pPr>
        <w:snapToGrid w:val="0"/>
        <w:spacing w:line="420" w:lineRule="exact"/>
        <w:ind w:firstLine="440" w:firstLineChars="200"/>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w:t>
      </w:r>
      <w:r>
        <w:rPr>
          <w:rFonts w:hint="eastAsia" w:ascii="宋体" w:hAnsi="宋体" w:cs="宋体"/>
          <w:color w:val="auto"/>
          <w:spacing w:val="-6"/>
          <w:sz w:val="22"/>
          <w:szCs w:val="22"/>
          <w:highlight w:val="none"/>
        </w:rPr>
        <w:t>即证明其符合《中华人民共和国政府采购法》规定的供应商基本条件的有关资格证明文件。】包括：</w:t>
      </w:r>
    </w:p>
    <w:p w14:paraId="3487DDFE">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bCs/>
          <w:color w:val="auto"/>
          <w:sz w:val="22"/>
          <w:szCs w:val="22"/>
          <w:highlight w:val="none"/>
        </w:rPr>
        <w:t>营业执照</w:t>
      </w:r>
      <w:r>
        <w:rPr>
          <w:rFonts w:hint="eastAsia" w:ascii="宋体" w:hAnsi="宋体" w:cs="宋体"/>
          <w:color w:val="auto"/>
          <w:sz w:val="22"/>
          <w:szCs w:val="22"/>
          <w:highlight w:val="none"/>
        </w:rPr>
        <w:t xml:space="preserve">(或事业法人登记证书)复印件； </w:t>
      </w:r>
    </w:p>
    <w:p w14:paraId="739B2D43">
      <w:pPr>
        <w:snapToGrid w:val="0"/>
        <w:spacing w:line="420" w:lineRule="exact"/>
        <w:ind w:firstLine="440" w:firstLineChars="20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资质证书；</w:t>
      </w:r>
    </w:p>
    <w:p w14:paraId="5D6EBA20">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（3）具有完善的财务制度的承诺函；</w:t>
      </w:r>
    </w:p>
    <w:p w14:paraId="36CC92C4">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）具有履行合同所必需的场地、设备和专业技术能力的承诺函；</w:t>
      </w:r>
    </w:p>
    <w:p w14:paraId="7ED27DFA">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）依法缴纳税收和社会保障资金的承诺函；</w:t>
      </w:r>
    </w:p>
    <w:p w14:paraId="19A3EC2D">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）参加政府采购活动前3年内在经营活动中没有重大违法记录的声明函；</w:t>
      </w:r>
    </w:p>
    <w:p w14:paraId="1720B522">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）单位负责人为同一人或者存在直接控股、管理关系的不同供应商，不得参加同一合同项下的政府采购活动承诺函；</w:t>
      </w:r>
    </w:p>
    <w:p w14:paraId="12064EE2">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）投标供应商没有失信记录承诺函；</w:t>
      </w:r>
    </w:p>
    <w:p w14:paraId="5DED1EAF">
      <w:pPr>
        <w:shd w:val="clear" w:color="auto" w:fill="FFFFFF"/>
        <w:snapToGrid w:val="0"/>
        <w:spacing w:line="42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9</w:t>
      </w:r>
      <w:r>
        <w:rPr>
          <w:rFonts w:hint="eastAsia" w:ascii="宋体" w:hAnsi="宋体" w:cs="宋体"/>
          <w:b/>
          <w:bCs/>
          <w:color w:val="auto"/>
          <w:kern w:val="0"/>
          <w:sz w:val="22"/>
          <w:szCs w:val="22"/>
          <w:highlight w:val="none"/>
        </w:rPr>
        <w:t>）中小企业声明函、监狱企业、残疾人福利性单位及其他相关的充分的证明材料。</w:t>
      </w:r>
      <w:r>
        <w:rPr>
          <w:rFonts w:hint="eastAsia" w:ascii="宋体" w:hAnsi="宋体" w:cs="宋体"/>
          <w:b/>
          <w:bCs/>
          <w:color w:val="auto"/>
          <w:sz w:val="22"/>
          <w:szCs w:val="22"/>
          <w:highlight w:val="none"/>
        </w:rPr>
        <w:t xml:space="preserve"> </w:t>
      </w:r>
    </w:p>
    <w:p w14:paraId="08C66BAE">
      <w:pPr>
        <w:snapToGrid w:val="0"/>
        <w:spacing w:line="42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10</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rPr>
        <w:t>根据招标公告要求，证明投标人具备资格所必须提交的资料。</w:t>
      </w:r>
    </w:p>
    <w:p w14:paraId="5095583F">
      <w:pPr>
        <w:numPr>
          <w:ilvl w:val="0"/>
          <w:numId w:val="0"/>
        </w:numPr>
        <w:snapToGrid w:val="0"/>
        <w:spacing w:line="42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上述资格条件审查材料有一项不提供的，视为资格审查不通过。</w:t>
      </w:r>
    </w:p>
    <w:p w14:paraId="137C2CDF">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lang w:val="zh-CN"/>
        </w:rPr>
        <w:t>投标人的</w:t>
      </w:r>
      <w:r>
        <w:rPr>
          <w:rFonts w:hint="eastAsia" w:ascii="宋体" w:hAnsi="宋体" w:eastAsia="宋体" w:cs="宋体"/>
          <w:b/>
          <w:bCs/>
          <w:i w:val="0"/>
          <w:iCs w:val="0"/>
          <w:color w:val="auto"/>
          <w:kern w:val="0"/>
          <w:sz w:val="22"/>
          <w:szCs w:val="22"/>
          <w:highlight w:val="none"/>
          <w:lang w:val="zh-CN"/>
        </w:rPr>
        <w:t>商务技术文件</w:t>
      </w:r>
      <w:r>
        <w:rPr>
          <w:rFonts w:hint="eastAsia" w:ascii="宋体" w:hAnsi="宋体" w:eastAsia="宋体" w:cs="宋体"/>
          <w:i w:val="0"/>
          <w:iCs w:val="0"/>
          <w:color w:val="auto"/>
          <w:kern w:val="0"/>
          <w:sz w:val="22"/>
          <w:szCs w:val="22"/>
          <w:highlight w:val="none"/>
          <w:lang w:val="zh-CN"/>
        </w:rPr>
        <w:t>至少应包括以下内容：</w:t>
      </w:r>
    </w:p>
    <w:bookmarkEnd w:id="52"/>
    <w:p w14:paraId="0D11B50B">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（1）供应商</w:t>
      </w:r>
      <w:r>
        <w:rPr>
          <w:rFonts w:hint="eastAsia" w:ascii="宋体" w:hAnsi="宋体" w:cs="宋体"/>
          <w:i w:val="0"/>
          <w:iCs w:val="0"/>
          <w:color w:val="auto"/>
          <w:kern w:val="0"/>
          <w:sz w:val="22"/>
          <w:szCs w:val="22"/>
          <w:highlight w:val="none"/>
          <w:lang w:val="zh-CN"/>
        </w:rPr>
        <w:t>商务部分</w:t>
      </w:r>
      <w:r>
        <w:rPr>
          <w:rFonts w:hint="eastAsia" w:ascii="宋体" w:hAnsi="宋体" w:eastAsia="宋体" w:cs="宋体"/>
          <w:i w:val="0"/>
          <w:iCs w:val="0"/>
          <w:color w:val="auto"/>
          <w:kern w:val="0"/>
          <w:sz w:val="22"/>
          <w:szCs w:val="22"/>
          <w:highlight w:val="none"/>
          <w:lang w:val="zh-CN"/>
        </w:rPr>
        <w:t>自评表；</w:t>
      </w:r>
    </w:p>
    <w:p w14:paraId="7F70DF6D">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lang w:val="zh-CN"/>
        </w:rPr>
        <w:t>）法定代表人资格证明书或法定代表人授权委托书；</w:t>
      </w:r>
    </w:p>
    <w:p w14:paraId="74C13125">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lang w:val="zh-CN"/>
        </w:rPr>
        <w:t>）供应商基本情况表；</w:t>
      </w:r>
    </w:p>
    <w:p w14:paraId="4810F3DE">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en-US" w:eastAsia="zh-CN"/>
        </w:rPr>
        <w:t>4</w:t>
      </w: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zh-CN"/>
        </w:rPr>
        <w:t>类似</w:t>
      </w:r>
      <w:r>
        <w:rPr>
          <w:rFonts w:hint="eastAsia" w:ascii="宋体" w:hAnsi="宋体" w:eastAsia="宋体" w:cs="宋体"/>
          <w:i w:val="0"/>
          <w:iCs w:val="0"/>
          <w:color w:val="auto"/>
          <w:kern w:val="0"/>
          <w:sz w:val="22"/>
          <w:szCs w:val="22"/>
          <w:highlight w:val="none"/>
          <w:lang w:val="zh-CN" w:eastAsia="zh-CN"/>
        </w:rPr>
        <w:t>业绩</w:t>
      </w:r>
      <w:r>
        <w:rPr>
          <w:rFonts w:hint="eastAsia" w:ascii="宋体" w:hAnsi="宋体" w:eastAsia="宋体" w:cs="宋体"/>
          <w:i w:val="0"/>
          <w:iCs w:val="0"/>
          <w:color w:val="auto"/>
          <w:kern w:val="0"/>
          <w:sz w:val="22"/>
          <w:szCs w:val="22"/>
          <w:highlight w:val="none"/>
          <w:lang w:val="zh-CN"/>
        </w:rPr>
        <w:t>；</w:t>
      </w:r>
    </w:p>
    <w:p w14:paraId="2256ECDE">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en-US" w:eastAsia="zh-CN"/>
        </w:rPr>
        <w:t>5</w:t>
      </w:r>
      <w:r>
        <w:rPr>
          <w:rFonts w:hint="eastAsia" w:ascii="宋体" w:hAnsi="宋体" w:eastAsia="宋体" w:cs="宋体"/>
          <w:i w:val="0"/>
          <w:iCs w:val="0"/>
          <w:color w:val="auto"/>
          <w:kern w:val="0"/>
          <w:sz w:val="22"/>
          <w:szCs w:val="22"/>
          <w:highlight w:val="none"/>
          <w:lang w:val="zh-CN"/>
        </w:rPr>
        <w:t>）项目实施人员情况；</w:t>
      </w:r>
    </w:p>
    <w:p w14:paraId="6A438BA8">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en-US" w:eastAsia="zh-CN"/>
        </w:rPr>
        <w:t>6</w:t>
      </w: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zh-CN" w:eastAsia="zh-CN"/>
        </w:rPr>
        <w:t>服务方案</w:t>
      </w:r>
      <w:r>
        <w:rPr>
          <w:rFonts w:hint="eastAsia" w:ascii="宋体" w:hAnsi="宋体" w:cs="宋体"/>
          <w:i w:val="0"/>
          <w:iCs w:val="0"/>
          <w:color w:val="auto"/>
          <w:kern w:val="0"/>
          <w:sz w:val="22"/>
          <w:szCs w:val="22"/>
          <w:highlight w:val="none"/>
          <w:lang w:val="zh-CN" w:eastAsia="zh-CN"/>
        </w:rPr>
        <w:t>、</w:t>
      </w:r>
      <w:r>
        <w:rPr>
          <w:rFonts w:hint="eastAsia" w:ascii="宋体" w:hAnsi="宋体" w:eastAsia="宋体" w:cs="宋体"/>
          <w:i w:val="0"/>
          <w:iCs w:val="0"/>
          <w:color w:val="auto"/>
          <w:kern w:val="0"/>
          <w:sz w:val="22"/>
          <w:szCs w:val="22"/>
          <w:highlight w:val="none"/>
          <w:lang w:val="en-US" w:eastAsia="zh-CN"/>
        </w:rPr>
        <w:t>技术方案</w:t>
      </w:r>
      <w:r>
        <w:rPr>
          <w:rFonts w:hint="eastAsia" w:ascii="宋体" w:hAnsi="宋体" w:cs="宋体"/>
          <w:i w:val="0"/>
          <w:iCs w:val="0"/>
          <w:color w:val="auto"/>
          <w:kern w:val="0"/>
          <w:sz w:val="22"/>
          <w:szCs w:val="22"/>
          <w:highlight w:val="none"/>
          <w:lang w:val="en-US" w:eastAsia="zh-CN"/>
        </w:rPr>
        <w:t>、</w:t>
      </w:r>
      <w:r>
        <w:rPr>
          <w:rFonts w:hint="eastAsia" w:ascii="宋体" w:hAnsi="宋体" w:eastAsia="宋体" w:cs="宋体"/>
          <w:i w:val="0"/>
          <w:iCs w:val="0"/>
          <w:color w:val="auto"/>
          <w:kern w:val="0"/>
          <w:sz w:val="22"/>
          <w:szCs w:val="22"/>
          <w:highlight w:val="none"/>
          <w:lang w:val="zh-CN" w:eastAsia="zh-CN"/>
        </w:rPr>
        <w:t>服务承诺</w:t>
      </w:r>
      <w:r>
        <w:rPr>
          <w:rFonts w:hint="eastAsia" w:ascii="宋体" w:hAnsi="宋体" w:cs="宋体"/>
          <w:i w:val="0"/>
          <w:iCs w:val="0"/>
          <w:color w:val="auto"/>
          <w:kern w:val="0"/>
          <w:sz w:val="22"/>
          <w:szCs w:val="22"/>
          <w:highlight w:val="none"/>
          <w:lang w:val="zh-CN" w:eastAsia="zh-CN"/>
        </w:rPr>
        <w:t>等由投标人根据技术部分评分细则并结合自身情况编制</w:t>
      </w:r>
      <w:r>
        <w:rPr>
          <w:rFonts w:hint="eastAsia" w:ascii="宋体" w:hAnsi="宋体" w:eastAsia="宋体" w:cs="宋体"/>
          <w:i w:val="0"/>
          <w:iCs w:val="0"/>
          <w:color w:val="auto"/>
          <w:kern w:val="0"/>
          <w:sz w:val="22"/>
          <w:szCs w:val="22"/>
          <w:highlight w:val="none"/>
          <w:lang w:val="zh-CN"/>
        </w:rPr>
        <w:t>；</w:t>
      </w:r>
    </w:p>
    <w:p w14:paraId="07121066">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en-US" w:eastAsia="zh-CN"/>
        </w:rPr>
        <w:t>7</w:t>
      </w:r>
      <w:r>
        <w:rPr>
          <w:rFonts w:hint="eastAsia" w:ascii="宋体" w:hAnsi="宋体" w:eastAsia="宋体" w:cs="宋体"/>
          <w:i w:val="0"/>
          <w:iCs w:val="0"/>
          <w:color w:val="auto"/>
          <w:kern w:val="0"/>
          <w:sz w:val="22"/>
          <w:szCs w:val="22"/>
          <w:highlight w:val="none"/>
          <w:lang w:val="zh-CN"/>
        </w:rPr>
        <w:t>）供应商认为需要提供的其他相关资料（如有）。</w:t>
      </w:r>
    </w:p>
    <w:p w14:paraId="0B9ECE35">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lang w:val="zh-CN"/>
        </w:rPr>
        <w:t>投标人的</w:t>
      </w:r>
      <w:r>
        <w:rPr>
          <w:rFonts w:hint="eastAsia" w:ascii="宋体" w:hAnsi="宋体" w:eastAsia="宋体" w:cs="宋体"/>
          <w:b/>
          <w:bCs/>
          <w:i w:val="0"/>
          <w:iCs w:val="0"/>
          <w:color w:val="auto"/>
          <w:kern w:val="0"/>
          <w:sz w:val="22"/>
          <w:szCs w:val="22"/>
          <w:highlight w:val="none"/>
          <w:lang w:val="zh-CN"/>
        </w:rPr>
        <w:t>报价文件</w:t>
      </w:r>
      <w:r>
        <w:rPr>
          <w:rFonts w:hint="eastAsia" w:ascii="宋体" w:hAnsi="宋体" w:eastAsia="宋体" w:cs="宋体"/>
          <w:i w:val="0"/>
          <w:iCs w:val="0"/>
          <w:color w:val="auto"/>
          <w:kern w:val="0"/>
          <w:sz w:val="22"/>
          <w:szCs w:val="22"/>
          <w:highlight w:val="none"/>
          <w:lang w:val="zh-CN"/>
        </w:rPr>
        <w:t xml:space="preserve">至少应包括以下内容： </w:t>
      </w:r>
    </w:p>
    <w:p w14:paraId="467FB4B7">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1</w:t>
      </w:r>
      <w:r>
        <w:rPr>
          <w:rFonts w:hint="eastAsia" w:ascii="宋体" w:hAnsi="宋体" w:eastAsia="宋体" w:cs="宋体"/>
          <w:i w:val="0"/>
          <w:iCs w:val="0"/>
          <w:color w:val="auto"/>
          <w:kern w:val="0"/>
          <w:sz w:val="22"/>
          <w:szCs w:val="22"/>
          <w:highlight w:val="none"/>
          <w:lang w:val="zh-CN"/>
        </w:rPr>
        <w:t>）投标响应函；</w:t>
      </w:r>
    </w:p>
    <w:p w14:paraId="07AE452D">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eastAsia="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lang w:val="zh-CN"/>
        </w:rPr>
        <w:t>）开标一览表</w:t>
      </w:r>
      <w:r>
        <w:rPr>
          <w:rFonts w:hint="eastAsia" w:ascii="宋体" w:hAnsi="宋体" w:cs="宋体"/>
          <w:i w:val="0"/>
          <w:iCs w:val="0"/>
          <w:color w:val="auto"/>
          <w:kern w:val="0"/>
          <w:sz w:val="22"/>
          <w:szCs w:val="22"/>
          <w:highlight w:val="none"/>
          <w:lang w:val="zh-CN"/>
        </w:rPr>
        <w:t>。</w:t>
      </w:r>
    </w:p>
    <w:p w14:paraId="6BBD5E49">
      <w:pPr>
        <w:pageBreakBefore w:val="0"/>
        <w:kinsoku/>
        <w:overflowPunct/>
        <w:topLinePunct w:val="0"/>
        <w:bidi w:val="0"/>
        <w:snapToGrid w:val="0"/>
        <w:spacing w:line="42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highlight w:val="none"/>
          <w:lang w:val="zh-CN"/>
        </w:rPr>
        <w:t>注：</w:t>
      </w:r>
      <w:r>
        <w:rPr>
          <w:rFonts w:hint="eastAsia" w:ascii="宋体" w:hAnsi="宋体" w:eastAsia="宋体" w:cs="宋体"/>
          <w:b/>
          <w:bCs/>
          <w:i w:val="0"/>
          <w:iCs w:val="0"/>
          <w:color w:val="auto"/>
          <w:kern w:val="0"/>
          <w:sz w:val="22"/>
          <w:szCs w:val="22"/>
          <w:highlight w:val="none"/>
          <w:lang w:val="zh-CN" w:eastAsia="zh-CN"/>
        </w:rPr>
        <w:t>①</w:t>
      </w:r>
      <w:r>
        <w:rPr>
          <w:rFonts w:hint="eastAsia" w:ascii="宋体" w:hAnsi="宋体" w:eastAsia="宋体" w:cs="宋体"/>
          <w:b/>
          <w:bCs/>
          <w:i w:val="0"/>
          <w:iCs w:val="0"/>
          <w:color w:val="auto"/>
          <w:kern w:val="0"/>
          <w:sz w:val="22"/>
          <w:szCs w:val="22"/>
          <w:highlight w:val="none"/>
          <w:lang w:val="zh-CN"/>
        </w:rPr>
        <w:t>上述内容所涉及</w:t>
      </w:r>
      <w:r>
        <w:rPr>
          <w:rFonts w:hint="eastAsia" w:ascii="宋体" w:hAnsi="宋体" w:eastAsia="宋体" w:cs="宋体"/>
          <w:b/>
          <w:bCs/>
          <w:color w:val="auto"/>
          <w:sz w:val="22"/>
          <w:szCs w:val="22"/>
          <w:highlight w:val="none"/>
        </w:rPr>
        <w:t>到的证书及相关证明材料，要求供应商提供的材料必须真实可信，所有证书及证明材料原件扫描件加盖</w:t>
      </w:r>
      <w:r>
        <w:rPr>
          <w:rFonts w:hint="eastAsia" w:ascii="宋体" w:hAnsi="宋体" w:cs="宋体"/>
          <w:b/>
          <w:bCs/>
          <w:color w:val="auto"/>
          <w:sz w:val="22"/>
          <w:szCs w:val="22"/>
          <w:highlight w:val="none"/>
          <w:lang w:val="en-US" w:eastAsia="zh-CN"/>
        </w:rPr>
        <w:t>供应商</w:t>
      </w:r>
      <w:r>
        <w:rPr>
          <w:rFonts w:hint="eastAsia" w:ascii="宋体" w:hAnsi="宋体" w:eastAsia="宋体" w:cs="宋体"/>
          <w:b/>
          <w:bCs/>
          <w:color w:val="auto"/>
          <w:sz w:val="22"/>
          <w:szCs w:val="22"/>
          <w:highlight w:val="none"/>
        </w:rPr>
        <w:t>公章，造成的废标、不得分等后果自负。</w:t>
      </w:r>
    </w:p>
    <w:p w14:paraId="7540092F">
      <w:pPr>
        <w:keepNext w:val="0"/>
        <w:keepLines w:val="0"/>
        <w:pageBreakBefore w:val="0"/>
        <w:widowControl w:val="0"/>
        <w:kinsoku/>
        <w:wordWrap w:val="0"/>
        <w:overflowPunct/>
        <w:topLinePunct w:val="0"/>
        <w:autoSpaceDE/>
        <w:autoSpaceDN/>
        <w:bidi w:val="0"/>
        <w:adjustRightInd/>
        <w:snapToGrid w:val="0"/>
        <w:spacing w:line="42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②</w:t>
      </w:r>
      <w:r>
        <w:rPr>
          <w:rFonts w:hint="eastAsia" w:ascii="宋体" w:hAnsi="宋体" w:eastAsia="宋体" w:cs="宋体"/>
          <w:b/>
          <w:bCs/>
          <w:color w:val="auto"/>
          <w:sz w:val="22"/>
          <w:szCs w:val="22"/>
          <w:highlight w:val="none"/>
        </w:rPr>
        <w:t>请各供应商严格按照文件内容顺序编写投标文件（并根据评分标准进行编写），因内容不齐混乱造成的废标、不得分等后果自负</w:t>
      </w:r>
      <w:bookmarkStart w:id="53" w:name="OLE_LINK35"/>
      <w:r>
        <w:rPr>
          <w:rFonts w:hint="eastAsia" w:ascii="宋体" w:hAnsi="宋体" w:eastAsia="宋体" w:cs="宋体"/>
          <w:b/>
          <w:bCs/>
          <w:color w:val="auto"/>
          <w:sz w:val="22"/>
          <w:szCs w:val="22"/>
          <w:highlight w:val="none"/>
        </w:rPr>
        <w:t>。</w:t>
      </w:r>
      <w:bookmarkEnd w:id="53"/>
      <w:r>
        <w:rPr>
          <w:rFonts w:hint="eastAsia" w:ascii="宋体" w:hAnsi="宋体" w:eastAsia="宋体" w:cs="宋体"/>
          <w:b/>
          <w:bCs/>
          <w:color w:val="auto"/>
          <w:sz w:val="22"/>
          <w:szCs w:val="22"/>
          <w:highlight w:val="none"/>
        </w:rPr>
        <w:t>以上内容未提供格式的,请各供应商格式自拟。</w:t>
      </w:r>
    </w:p>
    <w:p w14:paraId="3AB8EDCC">
      <w:pPr>
        <w:keepNext w:val="0"/>
        <w:keepLines w:val="0"/>
        <w:pageBreakBefore w:val="0"/>
        <w:widowControl w:val="0"/>
        <w:kinsoku/>
        <w:wordWrap w:val="0"/>
        <w:overflowPunct/>
        <w:topLinePunct w:val="0"/>
        <w:autoSpaceDE/>
        <w:autoSpaceDN/>
        <w:bidi w:val="0"/>
        <w:adjustRightInd/>
        <w:snapToGrid w:val="0"/>
        <w:spacing w:line="42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Hans"/>
        </w:rPr>
        <w:t>③★</w:t>
      </w:r>
      <w:r>
        <w:rPr>
          <w:rFonts w:hint="eastAsia" w:ascii="宋体" w:hAnsi="宋体" w:eastAsia="宋体" w:cs="宋体"/>
          <w:b/>
          <w:bCs/>
          <w:color w:val="auto"/>
          <w:sz w:val="22"/>
          <w:szCs w:val="22"/>
          <w:highlight w:val="none"/>
          <w:lang w:val="en-US" w:eastAsia="zh-CN"/>
        </w:rPr>
        <w:t>《商务技术评分汇总表</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得分低于商务技术总分60%的供应商的报价将被拒绝。</w:t>
      </w:r>
    </w:p>
    <w:p w14:paraId="0CD08C05">
      <w:pPr>
        <w:pageBreakBefore w:val="0"/>
        <w:shd w:val="clear" w:color="auto" w:fill="FFFFFF"/>
        <w:kinsoku/>
        <w:overflowPunct/>
        <w:topLinePunct w:val="0"/>
        <w:bidi w:val="0"/>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（三）投标有效期</w:t>
      </w:r>
    </w:p>
    <w:p w14:paraId="59F89C46">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投标文件合格投递后，自投标截止日期起，至前附表所列的日期内有效。</w:t>
      </w:r>
    </w:p>
    <w:p w14:paraId="319E1C8F">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在原定投标有效期之前，如果出现特殊情况，招标代理机构可以以书面形式通知投标人延长投标有效期。</w:t>
      </w:r>
    </w:p>
    <w:p w14:paraId="1F1A0F87">
      <w:pPr>
        <w:pageBreakBefore w:val="0"/>
        <w:shd w:val="clear" w:color="auto" w:fill="FFFFFF"/>
        <w:kinsoku/>
        <w:overflowPunct/>
        <w:topLinePunct w:val="0"/>
        <w:bidi w:val="0"/>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（四）投标保证金</w:t>
      </w:r>
    </w:p>
    <w:p w14:paraId="0F3EB68F">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根据《浙江省财政厅关于明确政府采购保证金管理工作的通知》（浙财采监〔2019〕5号）规定，本项目无需缴纳投标保证金。</w:t>
      </w:r>
    </w:p>
    <w:p w14:paraId="190B76CA">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（五）</w:t>
      </w:r>
      <w:bookmarkEnd w:id="51"/>
      <w:bookmarkStart w:id="54" w:name="_Hlt68403820"/>
      <w:bookmarkEnd w:id="54"/>
      <w:bookmarkStart w:id="55" w:name="_Hlt68073093"/>
      <w:bookmarkEnd w:id="55"/>
      <w:bookmarkStart w:id="56" w:name="_Hlt68072998"/>
      <w:bookmarkEnd w:id="56"/>
      <w:bookmarkStart w:id="57" w:name="_Toc86216991"/>
      <w:bookmarkStart w:id="58" w:name="_Toc91899892"/>
      <w:bookmarkStart w:id="59" w:name="_Toc233618975"/>
      <w:r>
        <w:rPr>
          <w:rFonts w:hint="eastAsia" w:ascii="宋体" w:hAnsi="宋体" w:eastAsia="宋体" w:cs="宋体"/>
          <w:b/>
          <w:bCs/>
          <w:i w:val="0"/>
          <w:iCs w:val="0"/>
          <w:color w:val="auto"/>
          <w:sz w:val="22"/>
          <w:szCs w:val="22"/>
          <w:highlight w:val="none"/>
        </w:rPr>
        <w:t>投标文件编制</w:t>
      </w:r>
    </w:p>
    <w:p w14:paraId="4EF428E7">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cs="宋体"/>
          <w:b/>
          <w:i w:val="0"/>
          <w:iCs w:val="0"/>
          <w:color w:val="auto"/>
          <w:kern w:val="0"/>
          <w:sz w:val="22"/>
          <w:szCs w:val="22"/>
          <w:highlight w:val="none"/>
          <w:lang w:val="en-US" w:eastAsia="zh-CN"/>
        </w:rPr>
        <w:t>1.</w:t>
      </w:r>
      <w:r>
        <w:rPr>
          <w:rFonts w:hint="eastAsia" w:ascii="宋体" w:hAnsi="宋体" w:eastAsia="宋体" w:cs="宋体"/>
          <w:b/>
          <w:i w:val="0"/>
          <w:iCs w:val="0"/>
          <w:color w:val="auto"/>
          <w:sz w:val="22"/>
          <w:szCs w:val="22"/>
          <w:highlight w:val="none"/>
        </w:rPr>
        <w:t>本项目通过“政府采购云平台（www.zcygov.cn）”实行在线投标响应（电子投标）。供应商应通过“政采云电子交易客户端”，并按照本招标文件和“政府采购云平台”的要求编制并加密投标文件。</w:t>
      </w:r>
    </w:p>
    <w:p w14:paraId="7D96C6AC">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cs="宋体"/>
          <w:b/>
          <w:i w:val="0"/>
          <w:iCs w:val="0"/>
          <w:color w:val="auto"/>
          <w:kern w:val="0"/>
          <w:sz w:val="22"/>
          <w:szCs w:val="22"/>
          <w:highlight w:val="none"/>
          <w:lang w:val="en-US" w:eastAsia="zh-CN"/>
        </w:rPr>
        <w:t>2.</w:t>
      </w:r>
      <w:r>
        <w:rPr>
          <w:rFonts w:hint="eastAsia" w:ascii="宋体" w:hAnsi="宋体" w:eastAsia="宋体" w:cs="宋体"/>
          <w:b/>
          <w:i w:val="0"/>
          <w:iCs w:val="0"/>
          <w:color w:val="auto"/>
          <w:kern w:val="0"/>
          <w:sz w:val="22"/>
          <w:szCs w:val="22"/>
          <w:highlight w:val="none"/>
        </w:rPr>
        <w:t>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14:paraId="66FB396B">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cs="宋体"/>
          <w:b/>
          <w:i w:val="0"/>
          <w:iCs w:val="0"/>
          <w:color w:val="auto"/>
          <w:sz w:val="22"/>
          <w:szCs w:val="22"/>
          <w:highlight w:val="none"/>
          <w:lang w:val="en-US" w:eastAsia="zh-CN"/>
        </w:rPr>
        <w:t>3.</w:t>
      </w:r>
      <w:r>
        <w:rPr>
          <w:rFonts w:hint="eastAsia" w:ascii="宋体" w:hAnsi="宋体" w:eastAsia="宋体" w:cs="宋体"/>
          <w:b/>
          <w:i w:val="0"/>
          <w:iCs w:val="0"/>
          <w:color w:val="auto"/>
          <w:sz w:val="22"/>
          <w:szCs w:val="22"/>
          <w:highlight w:val="none"/>
        </w:rPr>
        <w:t>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w:t>
      </w:r>
      <w:r>
        <w:rPr>
          <w:rFonts w:hint="eastAsia" w:ascii="宋体" w:hAnsi="宋体" w:eastAsia="宋体" w:cs="宋体"/>
          <w:b/>
          <w:i w:val="0"/>
          <w:iCs w:val="0"/>
          <w:color w:val="auto"/>
          <w:sz w:val="22"/>
          <w:szCs w:val="22"/>
          <w:highlight w:val="none"/>
          <w:lang w:eastAsia="zh-CN"/>
        </w:rPr>
        <w:t>委托代理人</w:t>
      </w:r>
      <w:r>
        <w:rPr>
          <w:rFonts w:hint="eastAsia" w:ascii="宋体" w:hAnsi="宋体" w:eastAsia="宋体" w:cs="宋体"/>
          <w:b/>
          <w:i w:val="0"/>
          <w:iCs w:val="0"/>
          <w:color w:val="auto"/>
          <w:sz w:val="22"/>
          <w:szCs w:val="22"/>
          <w:highlight w:val="none"/>
        </w:rPr>
        <w:t>签署（签字或盖章），否则视为未提供。</w:t>
      </w:r>
    </w:p>
    <w:p w14:paraId="566A16D5">
      <w:pPr>
        <w:pageBreakBefore w:val="0"/>
        <w:kinsoku/>
        <w:wordWrap/>
        <w:overflowPunct/>
        <w:topLinePunct w:val="0"/>
        <w:autoSpaceDE/>
        <w:autoSpaceDN/>
        <w:bidi w:val="0"/>
        <w:adjustRightInd/>
        <w:snapToGrid/>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4.</w:t>
      </w:r>
      <w:r>
        <w:rPr>
          <w:rFonts w:hint="eastAsia" w:ascii="宋体" w:hAnsi="宋体" w:eastAsia="宋体" w:cs="宋体"/>
          <w:i w:val="0"/>
          <w:iCs w:val="0"/>
          <w:color w:val="auto"/>
          <w:kern w:val="0"/>
          <w:sz w:val="22"/>
          <w:szCs w:val="22"/>
          <w:highlight w:val="none"/>
        </w:rPr>
        <w:t>《投标文件》内容不完整、编排混乱导致《投标文件》被误读、漏读或者查找不到相关内容的，是投标供应商的责任。</w:t>
      </w:r>
    </w:p>
    <w:p w14:paraId="688F0564">
      <w:pPr>
        <w:pageBreakBefore w:val="0"/>
        <w:kinsoku/>
        <w:wordWrap/>
        <w:overflowPunct/>
        <w:topLinePunct w:val="0"/>
        <w:autoSpaceDE/>
        <w:autoSpaceDN/>
        <w:bidi w:val="0"/>
        <w:adjustRightInd/>
        <w:snapToGrid/>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5.</w:t>
      </w:r>
      <w:r>
        <w:rPr>
          <w:rFonts w:hint="eastAsia" w:ascii="宋体" w:hAnsi="宋体" w:eastAsia="宋体" w:cs="宋体"/>
          <w:i w:val="0"/>
          <w:iCs w:val="0"/>
          <w:color w:val="auto"/>
          <w:kern w:val="0"/>
          <w:sz w:val="22"/>
          <w:szCs w:val="22"/>
          <w:highlight w:val="none"/>
        </w:rPr>
        <w:t>《投标文件》因字迹潦草或表达不清所引起的后果由投标供应商负责。</w:t>
      </w:r>
    </w:p>
    <w:p w14:paraId="6D026CB6">
      <w:pPr>
        <w:pageBreakBefore w:val="0"/>
        <w:kinsoku/>
        <w:wordWrap/>
        <w:overflowPunct/>
        <w:topLinePunct w:val="0"/>
        <w:autoSpaceDE/>
        <w:autoSpaceDN/>
        <w:bidi w:val="0"/>
        <w:adjustRightInd/>
        <w:snapToGrid/>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6.</w:t>
      </w:r>
      <w:r>
        <w:rPr>
          <w:rFonts w:hint="eastAsia" w:ascii="宋体" w:hAnsi="宋体" w:eastAsia="宋体" w:cs="宋体"/>
          <w:i w:val="0"/>
          <w:iCs w:val="0"/>
          <w:color w:val="auto"/>
          <w:kern w:val="0"/>
          <w:sz w:val="22"/>
          <w:szCs w:val="22"/>
          <w:highlight w:val="none"/>
        </w:rPr>
        <w:t>投标供应商没有按照本章节 “投标文件组成”要求提供全部资料，或者没有仔细阅读招标文件，或者没有对招标文件在各方面的要求</w:t>
      </w:r>
      <w:r>
        <w:rPr>
          <w:rFonts w:hint="eastAsia" w:ascii="宋体" w:hAnsi="宋体" w:eastAsia="宋体" w:cs="宋体"/>
          <w:i w:val="0"/>
          <w:iCs w:val="0"/>
          <w:color w:val="auto"/>
          <w:kern w:val="0"/>
          <w:sz w:val="22"/>
          <w:szCs w:val="22"/>
          <w:highlight w:val="none"/>
          <w:lang w:eastAsia="zh-CN"/>
        </w:rPr>
        <w:t>做</w:t>
      </w:r>
      <w:r>
        <w:rPr>
          <w:rFonts w:hint="eastAsia" w:ascii="宋体" w:hAnsi="宋体" w:eastAsia="宋体" w:cs="宋体"/>
          <w:i w:val="0"/>
          <w:iCs w:val="0"/>
          <w:color w:val="auto"/>
          <w:kern w:val="0"/>
          <w:sz w:val="22"/>
          <w:szCs w:val="22"/>
          <w:highlight w:val="none"/>
        </w:rPr>
        <w:t>出实质性响应是投标供应商的风险，由此造成的一切后果由投标供应商自行承担。</w:t>
      </w:r>
    </w:p>
    <w:p w14:paraId="1911E0BB">
      <w:pPr>
        <w:pStyle w:val="5"/>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（六）投标文件的签章</w:t>
      </w:r>
    </w:p>
    <w:p w14:paraId="6720F328">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cs="宋体"/>
          <w:b/>
          <w:i w:val="0"/>
          <w:iCs w:val="0"/>
          <w:color w:val="auto"/>
          <w:kern w:val="0"/>
          <w:sz w:val="22"/>
          <w:szCs w:val="22"/>
          <w:highlight w:val="none"/>
          <w:lang w:val="en-US" w:eastAsia="zh-CN"/>
        </w:rPr>
        <w:t>1.</w:t>
      </w:r>
      <w:r>
        <w:rPr>
          <w:rFonts w:hint="eastAsia" w:ascii="宋体" w:hAnsi="宋体" w:eastAsia="宋体" w:cs="宋体"/>
          <w:b/>
          <w:i w:val="0"/>
          <w:iCs w:val="0"/>
          <w:color w:val="auto"/>
          <w:kern w:val="0"/>
          <w:sz w:val="22"/>
          <w:szCs w:val="22"/>
          <w:highlight w:val="none"/>
        </w:rPr>
        <w:t>《投标文件》的签章：</w:t>
      </w:r>
      <w:r>
        <w:rPr>
          <w:rFonts w:hint="eastAsia" w:ascii="宋体" w:hAnsi="宋体" w:eastAsia="宋体" w:cs="宋体"/>
          <w:b/>
          <w:i w:val="0"/>
          <w:iCs w:val="0"/>
          <w:color w:val="auto"/>
          <w:sz w:val="22"/>
          <w:szCs w:val="22"/>
          <w:highlight w:val="none"/>
        </w:rPr>
        <w:t>见《前附表》；</w:t>
      </w:r>
    </w:p>
    <w:p w14:paraId="53B2ED0D">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cs="宋体"/>
          <w:b/>
          <w:i w:val="0"/>
          <w:iCs w:val="0"/>
          <w:color w:val="auto"/>
          <w:kern w:val="0"/>
          <w:sz w:val="22"/>
          <w:szCs w:val="22"/>
          <w:highlight w:val="none"/>
          <w:lang w:val="en-US" w:eastAsia="zh-CN"/>
        </w:rPr>
        <w:t>2.</w:t>
      </w:r>
      <w:r>
        <w:rPr>
          <w:rFonts w:hint="eastAsia" w:ascii="宋体" w:hAnsi="宋体" w:eastAsia="宋体" w:cs="宋体"/>
          <w:b/>
          <w:i w:val="0"/>
          <w:iCs w:val="0"/>
          <w:color w:val="auto"/>
          <w:kern w:val="0"/>
          <w:sz w:val="22"/>
          <w:szCs w:val="22"/>
          <w:highlight w:val="none"/>
        </w:rPr>
        <w:t>《投标文件》应由投标供应商法定代表人或</w:t>
      </w:r>
      <w:r>
        <w:rPr>
          <w:rFonts w:hint="eastAsia" w:ascii="宋体" w:hAnsi="宋体" w:eastAsia="宋体" w:cs="宋体"/>
          <w:b/>
          <w:i w:val="0"/>
          <w:iCs w:val="0"/>
          <w:color w:val="auto"/>
          <w:kern w:val="0"/>
          <w:sz w:val="22"/>
          <w:szCs w:val="22"/>
          <w:highlight w:val="none"/>
          <w:lang w:eastAsia="zh-CN"/>
        </w:rPr>
        <w:t>委托代理人</w:t>
      </w:r>
      <w:r>
        <w:rPr>
          <w:rFonts w:hint="eastAsia" w:ascii="宋体" w:hAnsi="宋体" w:eastAsia="宋体" w:cs="宋体"/>
          <w:b/>
          <w:i w:val="0"/>
          <w:iCs w:val="0"/>
          <w:color w:val="auto"/>
          <w:kern w:val="0"/>
          <w:sz w:val="22"/>
          <w:szCs w:val="22"/>
          <w:highlight w:val="none"/>
        </w:rPr>
        <w:t>签字（或盖章），并时加盖投标供应商公章。</w:t>
      </w:r>
    </w:p>
    <w:p w14:paraId="1084CD33">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b/>
          <w:i w:val="0"/>
          <w:iCs w:val="0"/>
          <w:color w:val="auto"/>
          <w:kern w:val="0"/>
          <w:sz w:val="22"/>
          <w:szCs w:val="22"/>
          <w:highlight w:val="none"/>
          <w:lang w:val="en-US" w:eastAsia="zh-CN"/>
        </w:rPr>
        <w:t>3.</w:t>
      </w:r>
      <w:r>
        <w:rPr>
          <w:rFonts w:hint="eastAsia" w:ascii="宋体" w:hAnsi="宋体" w:eastAsia="宋体" w:cs="宋体"/>
          <w:b/>
          <w:i w:val="0"/>
          <w:iCs w:val="0"/>
          <w:color w:val="auto"/>
          <w:kern w:val="0"/>
          <w:sz w:val="22"/>
          <w:szCs w:val="22"/>
          <w:highlight w:val="none"/>
        </w:rPr>
        <w:t>电子签章操作指南详见采购公告附件</w:t>
      </w:r>
      <w:r>
        <w:rPr>
          <w:rFonts w:hint="eastAsia" w:ascii="宋体" w:hAnsi="宋体" w:eastAsia="宋体" w:cs="宋体"/>
          <w:b/>
          <w:i w:val="0"/>
          <w:iCs w:val="0"/>
          <w:color w:val="auto"/>
          <w:sz w:val="22"/>
          <w:szCs w:val="22"/>
          <w:highlight w:val="none"/>
        </w:rPr>
        <w:t>《供应商项目采购-电子招投标操作指南》</w:t>
      </w:r>
      <w:r>
        <w:rPr>
          <w:rFonts w:hint="eastAsia" w:ascii="宋体" w:hAnsi="宋体" w:eastAsia="宋体" w:cs="宋体"/>
          <w:i w:val="0"/>
          <w:iCs w:val="0"/>
          <w:color w:val="auto"/>
          <w:sz w:val="22"/>
          <w:szCs w:val="22"/>
          <w:highlight w:val="none"/>
        </w:rPr>
        <w:t>。</w:t>
      </w:r>
    </w:p>
    <w:p w14:paraId="752F4F99">
      <w:pPr>
        <w:pStyle w:val="5"/>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（七）投标文件的形式</w:t>
      </w:r>
    </w:p>
    <w:p w14:paraId="3D3BD24A">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b/>
          <w:i w:val="0"/>
          <w:iCs w:val="0"/>
          <w:color w:val="auto"/>
          <w:sz w:val="22"/>
          <w:szCs w:val="22"/>
          <w:highlight w:val="none"/>
          <w:lang w:val="en-US" w:eastAsia="zh-CN"/>
        </w:rPr>
        <w:t>1.</w:t>
      </w:r>
      <w:r>
        <w:rPr>
          <w:rFonts w:hint="eastAsia" w:ascii="宋体" w:hAnsi="宋体" w:eastAsia="宋体" w:cs="宋体"/>
          <w:b/>
          <w:i w:val="0"/>
          <w:iCs w:val="0"/>
          <w:color w:val="auto"/>
          <w:sz w:val="22"/>
          <w:szCs w:val="22"/>
          <w:highlight w:val="none"/>
        </w:rPr>
        <w:t>投标文件的形式：见《前附表》；</w:t>
      </w:r>
    </w:p>
    <w:p w14:paraId="75F93E61">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cs="宋体"/>
          <w:b/>
          <w:i w:val="0"/>
          <w:iCs w:val="0"/>
          <w:color w:val="auto"/>
          <w:sz w:val="22"/>
          <w:szCs w:val="22"/>
          <w:highlight w:val="none"/>
          <w:lang w:val="en-US" w:eastAsia="zh-CN"/>
        </w:rPr>
        <w:t>2.</w:t>
      </w:r>
      <w:r>
        <w:rPr>
          <w:rFonts w:hint="eastAsia" w:ascii="宋体" w:hAnsi="宋体" w:eastAsia="宋体" w:cs="宋体"/>
          <w:b/>
          <w:i w:val="0"/>
          <w:iCs w:val="0"/>
          <w:color w:val="auto"/>
          <w:sz w:val="22"/>
          <w:szCs w:val="22"/>
          <w:highlight w:val="none"/>
        </w:rPr>
        <w:t>“电子加密投标文件”：“电子加密投标文件”是指通过“政采云电子交易客户端”完成投标文件编制后生成并加密的数据电文形式的投标文件。</w:t>
      </w:r>
    </w:p>
    <w:p w14:paraId="5FF6E484">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spacing w:val="-6"/>
          <w:sz w:val="22"/>
          <w:szCs w:val="22"/>
          <w:highlight w:val="none"/>
        </w:rPr>
      </w:pPr>
      <w:r>
        <w:rPr>
          <w:rFonts w:hint="eastAsia" w:ascii="宋体" w:hAnsi="宋体" w:cs="宋体"/>
          <w:b/>
          <w:i w:val="0"/>
          <w:iCs w:val="0"/>
          <w:color w:val="auto"/>
          <w:sz w:val="22"/>
          <w:szCs w:val="22"/>
          <w:highlight w:val="none"/>
          <w:lang w:val="en-US" w:eastAsia="zh-CN"/>
        </w:rPr>
        <w:t>3.</w:t>
      </w:r>
      <w:r>
        <w:rPr>
          <w:rFonts w:hint="eastAsia" w:ascii="宋体" w:hAnsi="宋体" w:eastAsia="宋体" w:cs="宋体"/>
          <w:b/>
          <w:i w:val="0"/>
          <w:iCs w:val="0"/>
          <w:color w:val="auto"/>
          <w:spacing w:val="-6"/>
          <w:sz w:val="22"/>
          <w:szCs w:val="22"/>
          <w:highlight w:val="none"/>
        </w:rPr>
        <w:t>“备份投标文件”：“备份投标文件”是指与“电子加密投标文件”同时生成的数据</w:t>
      </w:r>
    </w:p>
    <w:p w14:paraId="6F6D36F0">
      <w:pPr>
        <w:pageBreakBefore w:val="0"/>
        <w:kinsoku/>
        <w:wordWrap/>
        <w:overflowPunct/>
        <w:topLinePunct w:val="0"/>
        <w:autoSpaceDE/>
        <w:autoSpaceDN/>
        <w:bidi w:val="0"/>
        <w:adjustRightInd/>
        <w:snapToGrid/>
        <w:spacing w:line="420" w:lineRule="exact"/>
        <w:ind w:left="0" w:leftChars="0" w:firstLine="418" w:firstLineChars="200"/>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pacing w:val="-6"/>
          <w:sz w:val="22"/>
          <w:szCs w:val="22"/>
          <w:highlight w:val="none"/>
        </w:rPr>
        <w:t>电文形式的电子文件（备份标书），其他方式编制的“备份投标文件”视为无效的“备份投标文件”。</w:t>
      </w:r>
    </w:p>
    <w:p w14:paraId="19BB676B">
      <w:pPr>
        <w:pStyle w:val="5"/>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（八）投标文件的份数</w:t>
      </w:r>
    </w:p>
    <w:p w14:paraId="044371D6">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cs="宋体"/>
          <w:b/>
          <w:i w:val="0"/>
          <w:iCs w:val="0"/>
          <w:color w:val="auto"/>
          <w:sz w:val="22"/>
          <w:szCs w:val="22"/>
          <w:highlight w:val="none"/>
        </w:rPr>
      </w:pPr>
      <w:r>
        <w:rPr>
          <w:rFonts w:hint="eastAsia" w:ascii="宋体" w:hAnsi="宋体" w:cs="宋体"/>
          <w:b/>
          <w:i w:val="0"/>
          <w:iCs w:val="0"/>
          <w:color w:val="auto"/>
          <w:sz w:val="22"/>
          <w:szCs w:val="22"/>
          <w:highlight w:val="none"/>
          <w:lang w:val="en-US" w:eastAsia="zh-CN"/>
        </w:rPr>
        <w:t>1.</w:t>
      </w:r>
      <w:r>
        <w:rPr>
          <w:rFonts w:hint="eastAsia" w:ascii="宋体" w:hAnsi="宋体" w:eastAsia="宋体" w:cs="宋体"/>
          <w:b/>
          <w:i w:val="0"/>
          <w:iCs w:val="0"/>
          <w:color w:val="auto"/>
          <w:sz w:val="22"/>
          <w:szCs w:val="22"/>
          <w:highlight w:val="none"/>
        </w:rPr>
        <w:t>投标文件的份数：见《前附表》。</w:t>
      </w:r>
      <w:bookmarkStart w:id="60" w:name="_Toc33194391"/>
      <w:bookmarkStart w:id="61" w:name="_Toc462229099"/>
      <w:bookmarkStart w:id="62" w:name="_Toc412730341"/>
      <w:bookmarkStart w:id="63" w:name="_Toc354996699"/>
    </w:p>
    <w:p w14:paraId="097BAACA">
      <w:pPr>
        <w:pageBreakBefore w:val="0"/>
        <w:kinsoku/>
        <w:wordWrap/>
        <w:overflowPunct/>
        <w:topLinePunct w:val="0"/>
        <w:autoSpaceDE/>
        <w:autoSpaceDN/>
        <w:bidi w:val="0"/>
        <w:adjustRightInd/>
        <w:snapToGrid w:val="0"/>
        <w:spacing w:line="420" w:lineRule="exact"/>
        <w:ind w:left="0" w:leftChars="0" w:firstLine="562" w:firstLineChars="200"/>
        <w:jc w:val="center"/>
        <w:textAlignment w:val="auto"/>
        <w:outlineLvl w:val="1"/>
        <w:rPr>
          <w:rFonts w:hint="eastAsia" w:ascii="宋体" w:hAnsi="宋体" w:eastAsia="宋体" w:cs="宋体"/>
          <w:i w:val="0"/>
          <w:iCs w:val="0"/>
          <w:color w:val="auto"/>
          <w:sz w:val="22"/>
          <w:szCs w:val="22"/>
          <w:highlight w:val="none"/>
        </w:rPr>
      </w:pPr>
      <w:r>
        <w:rPr>
          <w:rFonts w:hint="eastAsia" w:ascii="宋体" w:hAnsi="宋体" w:cs="宋体"/>
          <w:b/>
          <w:i w:val="0"/>
          <w:iCs w:val="0"/>
          <w:color w:val="auto"/>
          <w:sz w:val="28"/>
          <w:szCs w:val="28"/>
          <w:highlight w:val="none"/>
        </w:rPr>
        <w:t>四、投标</w:t>
      </w:r>
      <w:bookmarkEnd w:id="60"/>
      <w:bookmarkEnd w:id="61"/>
      <w:bookmarkEnd w:id="62"/>
    </w:p>
    <w:p w14:paraId="449E8E43">
      <w:pPr>
        <w:pStyle w:val="5"/>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p>
    <w:p w14:paraId="5CD95F08">
      <w:pPr>
        <w:pStyle w:val="5"/>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（一）投标文件的上传和递交</w:t>
      </w:r>
    </w:p>
    <w:p w14:paraId="2FBB09FF">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kern w:val="0"/>
          <w:sz w:val="22"/>
          <w:szCs w:val="22"/>
          <w:highlight w:val="none"/>
        </w:rPr>
        <w:t>1.1“投标文件”的上传、递交：</w:t>
      </w:r>
      <w:r>
        <w:rPr>
          <w:rFonts w:hint="eastAsia" w:ascii="宋体" w:hAnsi="宋体" w:eastAsia="宋体" w:cs="宋体"/>
          <w:b/>
          <w:i w:val="0"/>
          <w:iCs w:val="0"/>
          <w:color w:val="auto"/>
          <w:sz w:val="22"/>
          <w:szCs w:val="22"/>
          <w:highlight w:val="none"/>
        </w:rPr>
        <w:t>见《前附表》。</w:t>
      </w:r>
    </w:p>
    <w:p w14:paraId="783137D9">
      <w:pPr>
        <w:pStyle w:val="5"/>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（二）“电子加密投标文件”解密和异常情况处理</w:t>
      </w:r>
    </w:p>
    <w:p w14:paraId="42F10C4C">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2.1“电子加密投标文件”解密：见《前附表》。</w:t>
      </w:r>
    </w:p>
    <w:p w14:paraId="529511B5">
      <w:pPr>
        <w:pStyle w:val="5"/>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（三）投标文件的补充、修改或撤回</w:t>
      </w:r>
    </w:p>
    <w:p w14:paraId="1C212883">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6287CC7">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3.2投标截止时间后，投标供应商不得撤回、修改《投标文件》。</w:t>
      </w:r>
    </w:p>
    <w:p w14:paraId="7CB8585B">
      <w:pPr>
        <w:pStyle w:val="5"/>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（四）投标文件的备选方案</w:t>
      </w:r>
    </w:p>
    <w:p w14:paraId="3D77ED2B">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4.1投标供应商不得递交任何的投标备选（替代）方案，否则其投标文件将作无效标处理。与“电子加密投标文件”同时生成的“备份投标文件”不是投标备选（替代）方案。</w:t>
      </w:r>
    </w:p>
    <w:p w14:paraId="50FBCBD0">
      <w:pPr>
        <w:rPr>
          <w:rFonts w:hint="eastAsia" w:ascii="宋体" w:hAnsi="宋体" w:eastAsia="宋体" w:cs="宋体"/>
          <w:b/>
          <w:i w:val="0"/>
          <w:iCs w:val="0"/>
          <w:color w:val="auto"/>
          <w:sz w:val="28"/>
          <w:szCs w:val="28"/>
          <w:highlight w:val="none"/>
        </w:rPr>
      </w:pPr>
      <w:bookmarkStart w:id="64" w:name="_Toc33194392"/>
      <w:bookmarkStart w:id="65" w:name="_Toc462229100"/>
      <w:r>
        <w:rPr>
          <w:rFonts w:hint="eastAsia" w:ascii="宋体" w:hAnsi="宋体" w:eastAsia="宋体" w:cs="宋体"/>
          <w:b/>
          <w:i w:val="0"/>
          <w:iCs w:val="0"/>
          <w:color w:val="auto"/>
          <w:sz w:val="28"/>
          <w:szCs w:val="28"/>
          <w:highlight w:val="none"/>
        </w:rPr>
        <w:br w:type="page"/>
      </w:r>
    </w:p>
    <w:p w14:paraId="7BFCD82D">
      <w:pPr>
        <w:pageBreakBefore w:val="0"/>
        <w:kinsoku/>
        <w:wordWrap/>
        <w:overflowPunct/>
        <w:topLinePunct w:val="0"/>
        <w:autoSpaceDE/>
        <w:autoSpaceDN/>
        <w:bidi w:val="0"/>
        <w:adjustRightInd/>
        <w:snapToGrid w:val="0"/>
        <w:spacing w:line="420" w:lineRule="exact"/>
        <w:ind w:left="0" w:leftChars="0" w:firstLine="562" w:firstLineChars="200"/>
        <w:jc w:val="center"/>
        <w:textAlignment w:val="auto"/>
        <w:outlineLvl w:val="1"/>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28"/>
          <w:szCs w:val="28"/>
          <w:highlight w:val="none"/>
        </w:rPr>
        <w:t>五、开 标</w:t>
      </w:r>
      <w:bookmarkEnd w:id="64"/>
      <w:bookmarkEnd w:id="65"/>
    </w:p>
    <w:bookmarkEnd w:id="57"/>
    <w:bookmarkEnd w:id="58"/>
    <w:bookmarkEnd w:id="59"/>
    <w:bookmarkEnd w:id="63"/>
    <w:p w14:paraId="532CC540">
      <w:pPr>
        <w:pageBreakBefore w:val="0"/>
        <w:tabs>
          <w:tab w:val="center" w:pos="4156"/>
        </w:tabs>
        <w:kinsoku/>
        <w:overflowPunct/>
        <w:topLinePunct w:val="0"/>
        <w:autoSpaceDE w:val="0"/>
        <w:autoSpaceDN w:val="0"/>
        <w:bidi w:val="0"/>
        <w:adjustRightInd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bookmarkStart w:id="66" w:name="_Toc91899903"/>
      <w:bookmarkStart w:id="67" w:name="_Toc86216994"/>
      <w:bookmarkStart w:id="68" w:name="_Toc354996702"/>
      <w:bookmarkStart w:id="69" w:name="_Toc233618978"/>
      <w:r>
        <w:rPr>
          <w:rFonts w:hint="eastAsia" w:ascii="宋体" w:hAnsi="宋体" w:eastAsia="宋体" w:cs="宋体"/>
          <w:b/>
          <w:color w:val="auto"/>
          <w:sz w:val="22"/>
          <w:szCs w:val="22"/>
          <w:highlight w:val="none"/>
          <w:lang w:val="zh-CN"/>
        </w:rPr>
        <w:t>（一）开标准备</w:t>
      </w:r>
    </w:p>
    <w:p w14:paraId="296C5E40">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 xml:space="preserve">招标人在规定的日期、时间和地点组织开标会议，所有参加开标会的投标人法定代表或委托代理人应准时参加开标会议。 </w:t>
      </w:r>
    </w:p>
    <w:p w14:paraId="71AB4943">
      <w:pPr>
        <w:pageBreakBefore w:val="0"/>
        <w:tabs>
          <w:tab w:val="center" w:pos="4156"/>
        </w:tabs>
        <w:kinsoku/>
        <w:overflowPunct/>
        <w:topLinePunct w:val="0"/>
        <w:autoSpaceDE w:val="0"/>
        <w:autoSpaceDN w:val="0"/>
        <w:bidi w:val="0"/>
        <w:adjustRightInd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（二）开标程序</w:t>
      </w:r>
    </w:p>
    <w:p w14:paraId="5FB78A9E">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1.开标会由招标人主持。主持人宣布投标截止时间，截止时间以国家授时中心标准时间为准，宣布招标会议开始。</w:t>
      </w:r>
    </w:p>
    <w:p w14:paraId="0020F636">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2.开标会议开始：采购人按“投标人须知前附表”规定的时间、地点公开开标，并邀请所有投标人代表准时在线参加。</w:t>
      </w:r>
    </w:p>
    <w:p w14:paraId="143966E8">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3.投标人代表应在线参加开标活动：开标活动组织人员告知投标人开标活动组织人员情况，已提交投标文件的投标人名单、应当回避的情形、开启报价文件的预计时间等。</w:t>
      </w:r>
    </w:p>
    <w:p w14:paraId="5E37B0A2">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4.在线解密</w:t>
      </w:r>
    </w:p>
    <w:p w14:paraId="12E32CF2">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①开始在线解密：至投标截止时间，开标活动组织人员启动在线解密程序，投标人应登录政府采购云平台在在线解密时间内对已提交的电子投标文件进行解密。</w:t>
      </w:r>
    </w:p>
    <w:p w14:paraId="59770C31">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②解密异常处理：如在线解密失败，开标活动组织人员将启动异常处理，上传投标人在投标截止时间前提交的备份电子投标文件进行再次解密，如未提供备份电子投标文件，将不进行再次解密程序。无法在线解密视为供应商放弃投标。</w:t>
      </w:r>
    </w:p>
    <w:p w14:paraId="79E33471">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③在线解密时间：在线解密时间为30分钟。</w:t>
      </w:r>
    </w:p>
    <w:p w14:paraId="7B455489">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b/>
          <w:color w:val="auto"/>
          <w:sz w:val="22"/>
          <w:szCs w:val="22"/>
          <w:highlight w:val="none"/>
          <w:lang w:val="zh-CN"/>
        </w:rPr>
        <w:t>5.在线开启投标文件：</w:t>
      </w:r>
      <w:r>
        <w:rPr>
          <w:rFonts w:hint="eastAsia" w:ascii="宋体" w:hAnsi="宋体" w:eastAsia="宋体" w:cs="宋体"/>
          <w:i w:val="0"/>
          <w:iCs w:val="0"/>
          <w:color w:val="auto"/>
          <w:sz w:val="22"/>
          <w:szCs w:val="22"/>
          <w:highlight w:val="none"/>
          <w:lang w:val="zh-CN"/>
        </w:rPr>
        <w:t>待所有投标人在线解密结束后，开标活动组织人员在线开启投标文件。</w:t>
      </w:r>
    </w:p>
    <w:p w14:paraId="61156985">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b/>
          <w:color w:val="auto"/>
          <w:sz w:val="22"/>
          <w:szCs w:val="22"/>
          <w:highlight w:val="none"/>
          <w:lang w:val="zh-CN"/>
        </w:rPr>
        <w:t>6.公布资格审查评审情况：</w:t>
      </w:r>
      <w:r>
        <w:rPr>
          <w:rFonts w:hint="eastAsia" w:ascii="宋体" w:hAnsi="宋体" w:eastAsia="宋体" w:cs="宋体"/>
          <w:i w:val="0"/>
          <w:iCs w:val="0"/>
          <w:color w:val="auto"/>
          <w:sz w:val="22"/>
          <w:szCs w:val="22"/>
          <w:highlight w:val="none"/>
          <w:lang w:val="zh-CN"/>
        </w:rPr>
        <w:t>资格审查评审结束后，开标活动组织人员在线、开标现场公布资格评审有效的供应商名单及无效供应商名称及理由。</w:t>
      </w:r>
    </w:p>
    <w:p w14:paraId="4E21D5A7">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b/>
          <w:color w:val="auto"/>
          <w:sz w:val="22"/>
          <w:szCs w:val="22"/>
          <w:highlight w:val="none"/>
          <w:lang w:val="zh-CN"/>
        </w:rPr>
        <w:t>7.公布技术资信评审情况：</w:t>
      </w:r>
      <w:r>
        <w:rPr>
          <w:rFonts w:hint="eastAsia" w:ascii="宋体" w:hAnsi="宋体" w:eastAsia="宋体" w:cs="宋体"/>
          <w:i w:val="0"/>
          <w:iCs w:val="0"/>
          <w:color w:val="auto"/>
          <w:sz w:val="22"/>
          <w:szCs w:val="22"/>
          <w:highlight w:val="none"/>
          <w:lang w:val="zh-CN"/>
        </w:rPr>
        <w:t>技术资信评审结束后，开标活动组织人员在线、开标现场公布技术资信评审有效的供应商名单及无效供应商名称及理由、得分情况。</w:t>
      </w:r>
    </w:p>
    <w:p w14:paraId="41FED899">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8.在线开启报价文件</w:t>
      </w:r>
    </w:p>
    <w:p w14:paraId="39AB1BC4">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开启供应商报价文件，开标活动组织人员宣读开标（报价）一览表有关内容，同时当场制作并打印开标记录表。</w:t>
      </w:r>
    </w:p>
    <w:p w14:paraId="711A2D78">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如投标人代表拒绝签字，应说明理由，如不说明理由，视为无异议。</w:t>
      </w:r>
    </w:p>
    <w:p w14:paraId="1DAA750D">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开标结束后，如发现开标结果与报价文件不一致者，由评标委员会根据报价文件内容进行纠正。</w:t>
      </w:r>
    </w:p>
    <w:p w14:paraId="72189989">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b/>
          <w:color w:val="auto"/>
          <w:sz w:val="22"/>
          <w:szCs w:val="22"/>
          <w:highlight w:val="none"/>
          <w:lang w:val="zh-CN"/>
        </w:rPr>
        <w:t>9.公布评审结果：</w:t>
      </w:r>
      <w:r>
        <w:rPr>
          <w:rFonts w:hint="eastAsia" w:ascii="宋体" w:hAnsi="宋体" w:eastAsia="宋体" w:cs="宋体"/>
          <w:i w:val="0"/>
          <w:iCs w:val="0"/>
          <w:color w:val="auto"/>
          <w:sz w:val="22"/>
          <w:szCs w:val="22"/>
          <w:highlight w:val="none"/>
          <w:lang w:val="zh-CN"/>
        </w:rPr>
        <w:t>评审结束后，开标活动组织人员公布各投标人得分、中标候选人名单。</w:t>
      </w:r>
    </w:p>
    <w:p w14:paraId="6E95688D">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10.开标会议结束。</w:t>
      </w:r>
    </w:p>
    <w:bookmarkEnd w:id="66"/>
    <w:p w14:paraId="58112C7B">
      <w:pPr>
        <w:pageBreakBefore w:val="0"/>
        <w:kinsoku/>
        <w:wordWrap/>
        <w:overflowPunct/>
        <w:topLinePunct w:val="0"/>
        <w:autoSpaceDE/>
        <w:autoSpaceDN/>
        <w:bidi w:val="0"/>
        <w:adjustRightInd/>
        <w:snapToGrid w:val="0"/>
        <w:spacing w:line="420" w:lineRule="exact"/>
        <w:ind w:left="0" w:leftChars="0" w:firstLine="562" w:firstLineChars="200"/>
        <w:jc w:val="center"/>
        <w:textAlignment w:val="auto"/>
        <w:outlineLvl w:val="1"/>
        <w:rPr>
          <w:rFonts w:hint="eastAsia" w:ascii="宋体" w:hAnsi="宋体" w:eastAsia="宋体" w:cs="宋体"/>
          <w:b/>
          <w:i w:val="0"/>
          <w:iCs w:val="0"/>
          <w:color w:val="auto"/>
          <w:sz w:val="28"/>
          <w:szCs w:val="28"/>
          <w:highlight w:val="none"/>
          <w:lang w:val="zh-CN"/>
        </w:rPr>
      </w:pPr>
      <w:r>
        <w:rPr>
          <w:rFonts w:hint="eastAsia" w:ascii="宋体" w:hAnsi="宋体" w:eastAsia="宋体" w:cs="宋体"/>
          <w:b/>
          <w:i w:val="0"/>
          <w:iCs w:val="0"/>
          <w:color w:val="auto"/>
          <w:sz w:val="28"/>
          <w:szCs w:val="28"/>
          <w:highlight w:val="none"/>
          <w:lang w:val="zh-CN"/>
        </w:rPr>
        <w:t>六、评标</w:t>
      </w:r>
    </w:p>
    <w:p w14:paraId="5F8F85FF">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p>
    <w:p w14:paraId="1C5A2B39">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（一）组建评标委员会</w:t>
      </w:r>
    </w:p>
    <w:p w14:paraId="1CD1ED8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本项目评标委员会由</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zh-CN"/>
        </w:rPr>
        <w:t>人组成，其中采购咨询专家人数不少于成员总数的三分之二。</w:t>
      </w:r>
    </w:p>
    <w:p w14:paraId="3DD73088">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（二）评标的方式</w:t>
      </w:r>
    </w:p>
    <w:p w14:paraId="6C1C53E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本项目采用不公开方式评标，评标的依据为招标文件和投标文件。</w:t>
      </w:r>
    </w:p>
    <w:p w14:paraId="044A069B">
      <w:pPr>
        <w:pageBreakBefore w:val="0"/>
        <w:kinsoku/>
        <w:overflowPunct/>
        <w:topLinePunct w:val="0"/>
        <w:bidi w:val="0"/>
        <w:spacing w:line="420" w:lineRule="exact"/>
        <w:ind w:left="0" w:leftChars="0" w:firstLine="442"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b/>
          <w:color w:val="auto"/>
          <w:sz w:val="22"/>
          <w:szCs w:val="22"/>
          <w:highlight w:val="none"/>
          <w:lang w:val="zh-CN"/>
        </w:rPr>
        <w:t>（三）评标程序</w:t>
      </w:r>
      <w:r>
        <w:rPr>
          <w:rFonts w:hint="eastAsia" w:ascii="宋体" w:hAnsi="宋体" w:eastAsia="宋体" w:cs="宋体"/>
          <w:color w:val="auto"/>
          <w:sz w:val="22"/>
          <w:szCs w:val="22"/>
          <w:highlight w:val="none"/>
          <w:lang w:val="zh-CN"/>
        </w:rPr>
        <w:tab/>
      </w:r>
    </w:p>
    <w:p w14:paraId="4C836FBD">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1.形式审查</w:t>
      </w:r>
    </w:p>
    <w:p w14:paraId="772E72F0">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招标代理机构或采购人代表对投标人的资格进行审查，评标委员会对投标文件的完整性、合法性等进行审查。</w:t>
      </w:r>
    </w:p>
    <w:p w14:paraId="7F3F9CDB">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2.实质审查与比较</w:t>
      </w:r>
    </w:p>
    <w:p w14:paraId="2FAFEF13">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（1）评标委员会审查每份投标文件实质性内容是否符合招标文件的实质性要求。</w:t>
      </w:r>
    </w:p>
    <w:p w14:paraId="6F53F9D4">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2）评标委员会将根据投标人的现场演示和投标文件进行审查、核对,如有疑问,将对投标人进行询标,投标人要向评标委员会澄清有关问题,并最终以书面形式进行答复。投标人代表未到场或者拒绝澄清或者澄清的内容改变了投标文件的实质性内容的，评标委员会可以否决其投标。</w:t>
      </w:r>
    </w:p>
    <w:p w14:paraId="4748C9DD">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（3）各投标人的技术资信得分为所有评委的有效评分的算术平均数，并由工作人员进行计算复核。</w:t>
      </w:r>
    </w:p>
    <w:p w14:paraId="14CFF16F">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（4）代理机构工作人员协助评标委员会根据本项目的评分标准计算各投标人的商务报价得分。</w:t>
      </w:r>
    </w:p>
    <w:p w14:paraId="7BED3B46">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（5）评标委员会完成评标后,评委对各部分得分汇总，计算出本项目最终得分。评标委员会按评标原则推荐中标候选人，同时起草评标报告。</w:t>
      </w:r>
    </w:p>
    <w:p w14:paraId="1CC5816F">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（四）澄清问题的形式</w:t>
      </w:r>
    </w:p>
    <w:p w14:paraId="508BC947">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对投标文件中含义不明确、同类问题表述不一致或者有明显文字和计算错误的内容，评标委员会可要求投标人做出必要的澄清、说明或者纠正。投标人的澄清、说明或者补正应当采用书面形式，由委托代理人签字或盖章确认，并不得超出投标文件的范围或者改变投标文件的实质性内容。</w:t>
      </w:r>
    </w:p>
    <w:p w14:paraId="3C365894">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（五）错误修正</w:t>
      </w:r>
    </w:p>
    <w:p w14:paraId="5248A518">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投标文件如果出现计算或表达上的错误，修正错误的原则如下：</w:t>
      </w:r>
    </w:p>
    <w:p w14:paraId="23C0FC3D">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1.投标文件中报价一览表内容与投标文件中投标报价明细表内容不一致的，以报价一览表为准；</w:t>
      </w:r>
    </w:p>
    <w:p w14:paraId="5546E7E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2.投标文件的大写金额和小写金额不一致的，以大写金额为准；</w:t>
      </w:r>
    </w:p>
    <w:p w14:paraId="25965E42">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 xml:space="preserve">3.单价金额小数点或者百分比有明显错位的，以报价一览表的总价为准，并修改单价； </w:t>
      </w:r>
    </w:p>
    <w:p w14:paraId="45CA7D1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4.总价金额与按单价汇总金额不一致的，以单价金额计算结果为准；</w:t>
      </w:r>
    </w:p>
    <w:p w14:paraId="5A59C9BB">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同时出现两种以上不一致的，按照前款规定的顺序修正。修正后的报价经投标人确认后产生约束力，投标人不确认的，其投标无效。</w:t>
      </w:r>
    </w:p>
    <w:p w14:paraId="34D6B7D5">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（六）评标原则和评标办法</w:t>
      </w:r>
    </w:p>
    <w:p w14:paraId="3BE7AB1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68F7CB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2.评标办法。本项目评标办法是综合评分，具体评标内容及评分标准等详见《第六章：评标办法及评分标准》。</w:t>
      </w:r>
    </w:p>
    <w:p w14:paraId="22E73DE9">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（七）无效标</w:t>
      </w:r>
    </w:p>
    <w:p w14:paraId="5E2E9563">
      <w:pPr>
        <w:pageBreakBefore w:val="0"/>
        <w:kinsoku/>
        <w:overflowPunct/>
        <w:topLinePunct w:val="0"/>
        <w:bidi w:val="0"/>
        <w:snapToGrid w:val="0"/>
        <w:spacing w:line="420" w:lineRule="exact"/>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有下列情形之一的投标文件，由评标委员会按少数服从多数原则进行认定，经认定属实后将该投标文件作无效标处理：</w:t>
      </w:r>
    </w:p>
    <w:p w14:paraId="24503348">
      <w:pPr>
        <w:pageBreakBefore w:val="0"/>
        <w:kinsoku/>
        <w:overflowPunct/>
        <w:topLinePunct w:val="0"/>
        <w:bidi w:val="0"/>
        <w:snapToGrid w:val="0"/>
        <w:spacing w:line="42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资质和商务及技术文件阶段：</w:t>
      </w:r>
    </w:p>
    <w:p w14:paraId="423F5AE7">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zh-CN"/>
        </w:rPr>
        <w:t>资格证明审核：</w:t>
      </w:r>
    </w:p>
    <w:p w14:paraId="5650C5F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1.1</w:t>
      </w:r>
      <w:r>
        <w:rPr>
          <w:rFonts w:hint="eastAsia" w:ascii="宋体" w:hAnsi="宋体" w:eastAsia="宋体" w:cs="宋体"/>
          <w:i w:val="0"/>
          <w:iCs w:val="0"/>
          <w:color w:val="auto"/>
          <w:sz w:val="22"/>
          <w:szCs w:val="22"/>
          <w:highlight w:val="none"/>
          <w:lang w:val="zh-CN"/>
        </w:rPr>
        <w:t>投标文件内容不能充分证明供应商符合投标资格条件的；</w:t>
      </w:r>
    </w:p>
    <w:p w14:paraId="283CF199">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zh-CN"/>
        </w:rPr>
        <w:t>商务技术审核：</w:t>
      </w:r>
    </w:p>
    <w:p w14:paraId="42BC4ADF">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2.1</w:t>
      </w:r>
      <w:r>
        <w:rPr>
          <w:rFonts w:hint="eastAsia" w:ascii="宋体" w:hAnsi="宋体" w:eastAsia="宋体" w:cs="宋体"/>
          <w:i w:val="0"/>
          <w:iCs w:val="0"/>
          <w:color w:val="auto"/>
          <w:sz w:val="22"/>
          <w:szCs w:val="22"/>
          <w:highlight w:val="none"/>
          <w:lang w:val="zh-CN"/>
        </w:rPr>
        <w:t>供应商提交两份或两份以上内容不同的投标方案，未声明哪一份有效的；</w:t>
      </w:r>
    </w:p>
    <w:p w14:paraId="0ED5B80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2.2</w:t>
      </w:r>
      <w:r>
        <w:rPr>
          <w:rFonts w:hint="eastAsia" w:ascii="宋体" w:hAnsi="宋体" w:eastAsia="宋体" w:cs="宋体"/>
          <w:i w:val="0"/>
          <w:iCs w:val="0"/>
          <w:color w:val="auto"/>
          <w:sz w:val="22"/>
          <w:szCs w:val="22"/>
          <w:highlight w:val="none"/>
          <w:lang w:val="zh-CN"/>
        </w:rPr>
        <w:t>投标文件非供应商法定代表人签署的，未提供或提供无效的法定代表人授权书；</w:t>
      </w:r>
    </w:p>
    <w:p w14:paraId="176621C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2.3</w:t>
      </w:r>
      <w:r>
        <w:rPr>
          <w:rFonts w:hint="eastAsia" w:ascii="宋体" w:hAnsi="宋体" w:eastAsia="宋体" w:cs="宋体"/>
          <w:i w:val="0"/>
          <w:iCs w:val="0"/>
          <w:color w:val="auto"/>
          <w:sz w:val="22"/>
          <w:szCs w:val="22"/>
          <w:highlight w:val="none"/>
          <w:lang w:val="zh-CN"/>
        </w:rPr>
        <w:t>投标文件中法定代表人和授权代表身份证复印件不齐全的；</w:t>
      </w:r>
    </w:p>
    <w:p w14:paraId="1A4E69C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2.4</w:t>
      </w:r>
      <w:r>
        <w:rPr>
          <w:rFonts w:hint="eastAsia" w:ascii="宋体" w:hAnsi="宋体" w:eastAsia="宋体" w:cs="宋体"/>
          <w:i w:val="0"/>
          <w:iCs w:val="0"/>
          <w:color w:val="auto"/>
          <w:sz w:val="22"/>
          <w:szCs w:val="22"/>
          <w:highlight w:val="none"/>
          <w:lang w:val="zh-CN"/>
        </w:rPr>
        <w:t>投标文件内容未按采购文件规定签字或盖章的；</w:t>
      </w:r>
    </w:p>
    <w:p w14:paraId="63F66248">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2.5</w:t>
      </w:r>
      <w:r>
        <w:rPr>
          <w:rFonts w:hint="eastAsia" w:ascii="宋体" w:hAnsi="宋体" w:eastAsia="宋体" w:cs="宋体"/>
          <w:i w:val="0"/>
          <w:iCs w:val="0"/>
          <w:color w:val="auto"/>
          <w:sz w:val="22"/>
          <w:szCs w:val="22"/>
          <w:highlight w:val="none"/>
          <w:lang w:val="zh-CN"/>
        </w:rPr>
        <w:t>投标文件内容不全或内容字迹模糊辨认不清的等而导致评标活动无法正常进行；</w:t>
      </w:r>
    </w:p>
    <w:p w14:paraId="2F5FA4F7">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2.6</w:t>
      </w:r>
      <w:r>
        <w:rPr>
          <w:rFonts w:hint="eastAsia" w:ascii="宋体" w:hAnsi="宋体" w:eastAsia="宋体" w:cs="宋体"/>
          <w:i w:val="0"/>
          <w:iCs w:val="0"/>
          <w:color w:val="auto"/>
          <w:sz w:val="22"/>
          <w:szCs w:val="22"/>
          <w:highlight w:val="none"/>
          <w:lang w:val="zh-CN"/>
        </w:rPr>
        <w:t>供应商未按采购文件变更通知更改投标文件的；</w:t>
      </w:r>
    </w:p>
    <w:p w14:paraId="79E2871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2.7</w:t>
      </w:r>
      <w:r>
        <w:rPr>
          <w:rFonts w:hint="eastAsia" w:ascii="宋体" w:hAnsi="宋体" w:eastAsia="宋体" w:cs="宋体"/>
          <w:i w:val="0"/>
          <w:iCs w:val="0"/>
          <w:color w:val="auto"/>
          <w:sz w:val="22"/>
          <w:szCs w:val="22"/>
          <w:highlight w:val="none"/>
          <w:lang w:val="zh-CN"/>
        </w:rPr>
        <w:t>未实质性响应采购文件中带“▲”条款要求的投标文件；</w:t>
      </w:r>
    </w:p>
    <w:p w14:paraId="4BDF2E5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2.8</w:t>
      </w:r>
      <w:r>
        <w:rPr>
          <w:rFonts w:hint="eastAsia" w:ascii="宋体" w:hAnsi="宋体" w:eastAsia="宋体" w:cs="宋体"/>
          <w:i w:val="0"/>
          <w:iCs w:val="0"/>
          <w:color w:val="auto"/>
          <w:sz w:val="22"/>
          <w:szCs w:val="22"/>
          <w:highlight w:val="none"/>
          <w:lang w:val="zh-CN"/>
        </w:rPr>
        <w:t>投标有效期、交货期、质保期等商务条款不能满足采购文件要求的；</w:t>
      </w:r>
    </w:p>
    <w:p w14:paraId="55B3887A">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2.9</w:t>
      </w:r>
      <w:r>
        <w:rPr>
          <w:rFonts w:hint="eastAsia" w:ascii="宋体" w:hAnsi="宋体" w:eastAsia="宋体" w:cs="宋体"/>
          <w:i w:val="0"/>
          <w:iCs w:val="0"/>
          <w:color w:val="auto"/>
          <w:sz w:val="22"/>
          <w:szCs w:val="22"/>
          <w:highlight w:val="none"/>
          <w:lang w:val="zh-CN"/>
        </w:rPr>
        <w:t>违反国家及政府部门相关法律、法规、文件规定或经评标委员会认定的其他属于重大偏离。</w:t>
      </w:r>
    </w:p>
    <w:p w14:paraId="13A7C9B4">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2.10</w:t>
      </w:r>
      <w:r>
        <w:rPr>
          <w:rFonts w:hint="eastAsia" w:ascii="宋体" w:hAnsi="宋体" w:eastAsia="宋体" w:cs="宋体"/>
          <w:i w:val="0"/>
          <w:iCs w:val="0"/>
          <w:color w:val="auto"/>
          <w:sz w:val="22"/>
          <w:szCs w:val="22"/>
          <w:highlight w:val="none"/>
          <w:lang w:val="zh-CN"/>
        </w:rPr>
        <w:t>投标文件附有采购人不能接受的条款；</w:t>
      </w:r>
    </w:p>
    <w:p w14:paraId="43A7C229">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2.11</w:t>
      </w:r>
      <w:r>
        <w:rPr>
          <w:rFonts w:hint="eastAsia" w:ascii="宋体" w:hAnsi="宋体" w:eastAsia="宋体" w:cs="宋体"/>
          <w:i w:val="0"/>
          <w:iCs w:val="0"/>
          <w:color w:val="auto"/>
          <w:sz w:val="22"/>
          <w:szCs w:val="22"/>
          <w:highlight w:val="none"/>
          <w:lang w:val="zh-CN"/>
        </w:rPr>
        <w:t>投标文件中提供了与采购无关的赠品、回扣或者其他商品、服务；</w:t>
      </w:r>
    </w:p>
    <w:p w14:paraId="53193472">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2.12</w:t>
      </w:r>
      <w:r>
        <w:rPr>
          <w:rFonts w:hint="eastAsia" w:ascii="宋体" w:hAnsi="宋体" w:eastAsia="宋体" w:cs="宋体"/>
          <w:i w:val="0"/>
          <w:iCs w:val="0"/>
          <w:color w:val="auto"/>
          <w:sz w:val="22"/>
          <w:szCs w:val="22"/>
          <w:highlight w:val="none"/>
          <w:lang w:val="zh-CN"/>
        </w:rPr>
        <w:t>供应商串通投标，妨碍其他供应商的竞争行为，损害采购人或者其他供应商的合法权益；</w:t>
      </w:r>
    </w:p>
    <w:p w14:paraId="2C195F03">
      <w:pPr>
        <w:pageBreakBefore w:val="0"/>
        <w:kinsoku/>
        <w:overflowPunct/>
        <w:topLinePunct w:val="0"/>
        <w:bidi w:val="0"/>
        <w:snapToGrid w:val="0"/>
        <w:spacing w:line="42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报价文件评审阶段：</w:t>
      </w:r>
    </w:p>
    <w:p w14:paraId="7A03F9B3">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3.1</w:t>
      </w:r>
      <w:r>
        <w:rPr>
          <w:rFonts w:hint="eastAsia" w:ascii="宋体" w:hAnsi="宋体" w:eastAsia="宋体" w:cs="宋体"/>
          <w:i w:val="0"/>
          <w:iCs w:val="0"/>
          <w:color w:val="auto"/>
          <w:sz w:val="22"/>
          <w:szCs w:val="22"/>
          <w:highlight w:val="none"/>
          <w:lang w:val="zh-CN"/>
        </w:rPr>
        <w:t>供应商提交两份或两份以上内容不同的投标报价，未声明哪一份有效的；</w:t>
      </w:r>
    </w:p>
    <w:p w14:paraId="01715B0A">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3.2</w:t>
      </w:r>
      <w:r>
        <w:rPr>
          <w:rFonts w:hint="eastAsia" w:ascii="宋体" w:hAnsi="宋体" w:eastAsia="宋体" w:cs="宋体"/>
          <w:i w:val="0"/>
          <w:iCs w:val="0"/>
          <w:color w:val="auto"/>
          <w:sz w:val="22"/>
          <w:szCs w:val="22"/>
          <w:highlight w:val="none"/>
          <w:lang w:val="zh-CN"/>
        </w:rPr>
        <w:t>投标文件内容未按采购文件规定签字或盖章的；</w:t>
      </w:r>
    </w:p>
    <w:p w14:paraId="7BCD17D3">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3.3</w:t>
      </w:r>
      <w:r>
        <w:rPr>
          <w:rFonts w:hint="eastAsia" w:ascii="宋体" w:hAnsi="宋体" w:eastAsia="宋体" w:cs="宋体"/>
          <w:i w:val="0"/>
          <w:iCs w:val="0"/>
          <w:color w:val="auto"/>
          <w:sz w:val="22"/>
          <w:szCs w:val="22"/>
          <w:highlight w:val="none"/>
          <w:lang w:val="zh-CN"/>
        </w:rPr>
        <w:t>《开标一览表》和《分项报价表》内容不完整且不接受修正意见或字迹不能辨认的或未提供；</w:t>
      </w:r>
    </w:p>
    <w:p w14:paraId="3ADD4F50">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3.4</w:t>
      </w:r>
      <w:r>
        <w:rPr>
          <w:rFonts w:hint="eastAsia" w:ascii="宋体" w:hAnsi="宋体" w:eastAsia="宋体" w:cs="宋体"/>
          <w:i w:val="0"/>
          <w:iCs w:val="0"/>
          <w:color w:val="auto"/>
          <w:sz w:val="22"/>
          <w:szCs w:val="22"/>
          <w:highlight w:val="none"/>
          <w:lang w:val="zh-CN"/>
        </w:rPr>
        <w:t>所投项目的投标报价超过采购文件规定的预算金额或最高限价；</w:t>
      </w:r>
    </w:p>
    <w:p w14:paraId="201758A9">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3.5</w:t>
      </w:r>
      <w:r>
        <w:rPr>
          <w:rFonts w:hint="eastAsia" w:ascii="宋体" w:hAnsi="宋体" w:eastAsia="宋体" w:cs="宋体"/>
          <w:i w:val="0"/>
          <w:iCs w:val="0"/>
          <w:color w:val="auto"/>
          <w:sz w:val="22"/>
          <w:szCs w:val="22"/>
          <w:highlight w:val="none"/>
          <w:lang w:val="zh-CN"/>
        </w:rPr>
        <w:t>《开标一览表》投标报价为零的，或其报价（大写）无法按正常书写方式进行报价唱标的或无投标报价的；</w:t>
      </w:r>
    </w:p>
    <w:p w14:paraId="4230A8C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3.6</w:t>
      </w:r>
      <w:r>
        <w:rPr>
          <w:rFonts w:hint="eastAsia" w:ascii="宋体" w:hAnsi="宋体" w:eastAsia="宋体" w:cs="宋体"/>
          <w:i w:val="0"/>
          <w:iCs w:val="0"/>
          <w:color w:val="auto"/>
          <w:sz w:val="22"/>
          <w:szCs w:val="22"/>
          <w:highlight w:val="none"/>
          <w:lang w:val="zh-CN"/>
        </w:rPr>
        <w:t>投标报价明显高于其市场报价或报价明显不合理或者低于成本，且在规定时间内不能合理说明原因并提供证明材料的；</w:t>
      </w:r>
    </w:p>
    <w:p w14:paraId="7EBDD06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3.7</w:t>
      </w:r>
      <w:r>
        <w:rPr>
          <w:rFonts w:hint="eastAsia" w:ascii="宋体" w:hAnsi="宋体" w:eastAsia="宋体" w:cs="宋体"/>
          <w:i w:val="0"/>
          <w:iCs w:val="0"/>
          <w:color w:val="auto"/>
          <w:sz w:val="22"/>
          <w:szCs w:val="22"/>
          <w:highlight w:val="none"/>
          <w:lang w:val="zh-CN"/>
        </w:rPr>
        <w:t>投标文件内容不全或内容字迹模糊辨认不清的等而导致评标活动无法正常进行；</w:t>
      </w:r>
    </w:p>
    <w:p w14:paraId="16CE2B84">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3.8</w:t>
      </w:r>
      <w:r>
        <w:rPr>
          <w:rFonts w:hint="eastAsia" w:ascii="宋体" w:hAnsi="宋体" w:eastAsia="宋体" w:cs="宋体"/>
          <w:i w:val="0"/>
          <w:iCs w:val="0"/>
          <w:color w:val="auto"/>
          <w:sz w:val="22"/>
          <w:szCs w:val="22"/>
          <w:highlight w:val="none"/>
          <w:lang w:val="zh-CN"/>
        </w:rPr>
        <w:t>供应商未按采购文件变更通知更改投标文件的；</w:t>
      </w:r>
    </w:p>
    <w:p w14:paraId="257FF558">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3.9</w:t>
      </w:r>
      <w:r>
        <w:rPr>
          <w:rFonts w:hint="eastAsia" w:ascii="宋体" w:hAnsi="宋体" w:eastAsia="宋体" w:cs="宋体"/>
          <w:i w:val="0"/>
          <w:iCs w:val="0"/>
          <w:color w:val="auto"/>
          <w:sz w:val="22"/>
          <w:szCs w:val="22"/>
          <w:highlight w:val="none"/>
          <w:lang w:val="zh-CN"/>
        </w:rPr>
        <w:t>未实质性响应采购文件中带“▲”条款要求的投标文件；</w:t>
      </w:r>
    </w:p>
    <w:p w14:paraId="308F6C70">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3.10</w:t>
      </w:r>
      <w:r>
        <w:rPr>
          <w:rFonts w:hint="eastAsia" w:ascii="宋体" w:hAnsi="宋体" w:eastAsia="宋体" w:cs="宋体"/>
          <w:i w:val="0"/>
          <w:iCs w:val="0"/>
          <w:color w:val="auto"/>
          <w:sz w:val="22"/>
          <w:szCs w:val="22"/>
          <w:highlight w:val="none"/>
          <w:lang w:val="zh-CN"/>
        </w:rPr>
        <w:t>投标文件附有采购人不能接受的条款；</w:t>
      </w:r>
    </w:p>
    <w:p w14:paraId="2B5CADB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3.11</w:t>
      </w:r>
      <w:r>
        <w:rPr>
          <w:rFonts w:hint="eastAsia" w:ascii="宋体" w:hAnsi="宋体" w:eastAsia="宋体" w:cs="宋体"/>
          <w:i w:val="0"/>
          <w:iCs w:val="0"/>
          <w:color w:val="auto"/>
          <w:sz w:val="22"/>
          <w:szCs w:val="22"/>
          <w:highlight w:val="none"/>
          <w:lang w:val="zh-CN"/>
        </w:rPr>
        <w:t>投标文件中提供了与采购无关的赠品、回扣或者其他商品、服务；</w:t>
      </w:r>
    </w:p>
    <w:p w14:paraId="0BBC6AFA">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3.12</w:t>
      </w:r>
      <w:r>
        <w:rPr>
          <w:rFonts w:hint="eastAsia" w:ascii="宋体" w:hAnsi="宋体" w:eastAsia="宋体" w:cs="宋体"/>
          <w:i w:val="0"/>
          <w:iCs w:val="0"/>
          <w:color w:val="auto"/>
          <w:sz w:val="22"/>
          <w:szCs w:val="22"/>
          <w:highlight w:val="none"/>
          <w:lang w:val="zh-CN"/>
        </w:rPr>
        <w:t>供应商串通投标，妨碍其他供应商的竞争行为，损害采购人或者其他供应商的合法权益；</w:t>
      </w:r>
    </w:p>
    <w:p w14:paraId="32782DFD">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3.13</w:t>
      </w:r>
      <w:r>
        <w:rPr>
          <w:rFonts w:hint="eastAsia" w:ascii="宋体" w:hAnsi="宋体" w:eastAsia="宋体" w:cs="宋体"/>
          <w:i w:val="0"/>
          <w:iCs w:val="0"/>
          <w:color w:val="auto"/>
          <w:sz w:val="22"/>
          <w:szCs w:val="22"/>
          <w:highlight w:val="none"/>
          <w:lang w:val="zh-CN"/>
        </w:rPr>
        <w:t>违反国家及政府部门相关法律、法规、文件规定或经评标委员会认定的其他属于重大偏离。</w:t>
      </w:r>
    </w:p>
    <w:p w14:paraId="56F00E9C">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cs="宋体"/>
          <w:b/>
          <w:color w:val="auto"/>
          <w:sz w:val="22"/>
          <w:szCs w:val="22"/>
          <w:highlight w:val="none"/>
          <w:lang w:val="zh-CN"/>
        </w:rPr>
        <w:t>八</w:t>
      </w:r>
      <w:r>
        <w:rPr>
          <w:rFonts w:hint="eastAsia" w:ascii="宋体" w:hAnsi="宋体" w:eastAsia="宋体" w:cs="宋体"/>
          <w:b/>
          <w:color w:val="auto"/>
          <w:sz w:val="22"/>
          <w:szCs w:val="22"/>
          <w:highlight w:val="none"/>
          <w:lang w:val="zh-CN"/>
        </w:rPr>
        <w:t>）串通投标</w:t>
      </w:r>
    </w:p>
    <w:p w14:paraId="21484DA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有下列情形之一的，视为供应商串通投标：</w:t>
      </w:r>
    </w:p>
    <w:p w14:paraId="756034E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zh-CN"/>
        </w:rPr>
        <w:t>不同供应商的投标文件由同一单位或者个人编制；</w:t>
      </w:r>
    </w:p>
    <w:p w14:paraId="67EA9B4A">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zh-CN"/>
        </w:rPr>
        <w:t>不同供应商委托同一单位或者个人办理投标事宜；</w:t>
      </w:r>
    </w:p>
    <w:p w14:paraId="1ACB56F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w:t>
      </w:r>
      <w:r>
        <w:rPr>
          <w:rFonts w:hint="eastAsia" w:ascii="宋体" w:hAnsi="宋体" w:eastAsia="宋体" w:cs="宋体"/>
          <w:i w:val="0"/>
          <w:iCs w:val="0"/>
          <w:color w:val="auto"/>
          <w:sz w:val="22"/>
          <w:szCs w:val="22"/>
          <w:highlight w:val="none"/>
          <w:lang w:val="zh-CN"/>
        </w:rPr>
        <w:t>不同供应商的投标文件载明的项目管理成员或者联系人员为同一人；</w:t>
      </w:r>
    </w:p>
    <w:p w14:paraId="4598BCF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lang w:val="zh-CN"/>
        </w:rPr>
        <w:t>不同供应商的投标文件异常一致或者投标报价呈规律性差异；</w:t>
      </w:r>
    </w:p>
    <w:p w14:paraId="4344DE86">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cs="宋体"/>
          <w:i w:val="0"/>
          <w:iCs w:val="0"/>
          <w:color w:val="auto"/>
          <w:sz w:val="22"/>
          <w:szCs w:val="22"/>
          <w:highlight w:val="none"/>
          <w:lang w:val="zh-CN" w:eastAsia="zh-CN"/>
        </w:rPr>
      </w:pP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lang w:val="zh-CN" w:eastAsia="zh-CN"/>
        </w:rPr>
        <w:t>不同供应商的投标（响应）文件的内容存在三处（含）以上错误一致的</w:t>
      </w:r>
      <w:r>
        <w:rPr>
          <w:rFonts w:hint="eastAsia" w:ascii="宋体" w:hAnsi="宋体" w:cs="宋体"/>
          <w:i w:val="0"/>
          <w:iCs w:val="0"/>
          <w:color w:val="auto"/>
          <w:sz w:val="22"/>
          <w:szCs w:val="22"/>
          <w:highlight w:val="none"/>
          <w:lang w:val="zh-CN" w:eastAsia="zh-CN"/>
        </w:rPr>
        <w:t>；</w:t>
      </w:r>
    </w:p>
    <w:p w14:paraId="2E6A1737">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cs="宋体"/>
          <w:i w:val="0"/>
          <w:iCs w:val="0"/>
          <w:color w:val="auto"/>
          <w:sz w:val="22"/>
          <w:szCs w:val="22"/>
          <w:highlight w:val="none"/>
          <w:lang w:val="zh-CN" w:eastAsia="zh-CN"/>
        </w:rPr>
      </w:pPr>
      <w:r>
        <w:rPr>
          <w:rFonts w:hint="eastAsia" w:ascii="宋体" w:hAnsi="宋体" w:cs="宋体"/>
          <w:i w:val="0"/>
          <w:iCs w:val="0"/>
          <w:color w:val="auto"/>
          <w:sz w:val="22"/>
          <w:szCs w:val="22"/>
          <w:highlight w:val="none"/>
          <w:lang w:val="en-US" w:eastAsia="zh-CN"/>
        </w:rPr>
        <w:t>6.</w:t>
      </w:r>
      <w:r>
        <w:rPr>
          <w:rFonts w:hint="eastAsia" w:ascii="宋体" w:hAnsi="宋体" w:cs="宋体"/>
          <w:i w:val="0"/>
          <w:iCs w:val="0"/>
          <w:color w:val="auto"/>
          <w:sz w:val="22"/>
          <w:szCs w:val="22"/>
          <w:highlight w:val="none"/>
          <w:lang w:val="zh-CN" w:eastAsia="zh-CN"/>
        </w:rPr>
        <w:t>参与同一标段(包)的供应商MAC 地址相同、计算机硬盘序列号相同，响应文件细节错误一致且无法合理解释的情况；</w:t>
      </w:r>
    </w:p>
    <w:p w14:paraId="65F6312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cs="宋体"/>
          <w:i w:val="0"/>
          <w:iCs w:val="0"/>
          <w:color w:val="auto"/>
          <w:sz w:val="22"/>
          <w:szCs w:val="22"/>
          <w:highlight w:val="none"/>
          <w:lang w:val="zh-CN" w:eastAsia="zh-CN"/>
        </w:rPr>
      </w:pPr>
      <w:r>
        <w:rPr>
          <w:rFonts w:hint="eastAsia" w:ascii="宋体" w:hAnsi="宋体" w:cs="宋体"/>
          <w:i w:val="0"/>
          <w:iCs w:val="0"/>
          <w:color w:val="auto"/>
          <w:sz w:val="22"/>
          <w:szCs w:val="22"/>
          <w:highlight w:val="none"/>
          <w:lang w:val="en-US" w:eastAsia="zh-CN"/>
        </w:rPr>
        <w:t>7.</w:t>
      </w:r>
      <w:r>
        <w:rPr>
          <w:rFonts w:hint="eastAsia" w:ascii="宋体" w:hAnsi="宋体" w:cs="宋体"/>
          <w:i w:val="0"/>
          <w:iCs w:val="0"/>
          <w:color w:val="auto"/>
          <w:sz w:val="22"/>
          <w:szCs w:val="22"/>
          <w:highlight w:val="none"/>
          <w:lang w:val="zh-CN" w:eastAsia="zh-CN"/>
        </w:rPr>
        <w:t>上传的电子投标（响应）文件若出现使用本项目其他投标（响应）供应商的数字证书加密的，或者加盖本项目其他投标（响应）供应商的电子印章的。</w:t>
      </w:r>
    </w:p>
    <w:p w14:paraId="715371C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8.</w:t>
      </w:r>
      <w:r>
        <w:rPr>
          <w:rFonts w:hint="eastAsia" w:ascii="宋体" w:hAnsi="宋体" w:eastAsia="宋体" w:cs="宋体"/>
          <w:i w:val="0"/>
          <w:iCs w:val="0"/>
          <w:color w:val="auto"/>
          <w:sz w:val="22"/>
          <w:szCs w:val="22"/>
          <w:highlight w:val="none"/>
          <w:lang w:val="zh-CN"/>
        </w:rPr>
        <w:t>不同供应商的投标文件相互混装。</w:t>
      </w:r>
    </w:p>
    <w:p w14:paraId="456B97BF">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cs="宋体"/>
          <w:b/>
          <w:color w:val="auto"/>
          <w:sz w:val="22"/>
          <w:szCs w:val="22"/>
          <w:highlight w:val="none"/>
          <w:lang w:val="en-US" w:eastAsia="zh-CN"/>
        </w:rPr>
        <w:t>九</w:t>
      </w:r>
      <w:r>
        <w:rPr>
          <w:rFonts w:hint="eastAsia" w:ascii="宋体" w:hAnsi="宋体" w:eastAsia="宋体" w:cs="宋体"/>
          <w:b/>
          <w:color w:val="auto"/>
          <w:sz w:val="22"/>
          <w:szCs w:val="22"/>
          <w:highlight w:val="none"/>
          <w:lang w:val="zh-CN"/>
        </w:rPr>
        <w:t>）评标</w:t>
      </w:r>
    </w:p>
    <w:p w14:paraId="28C07D0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zh-CN"/>
        </w:rPr>
        <w:t>采购人将按相关规定组织评标委员会，对投标文件进行审查、比较和评价。</w:t>
      </w:r>
    </w:p>
    <w:p w14:paraId="16B607B0">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zh-CN"/>
        </w:rPr>
        <w:t>评标办法</w:t>
      </w:r>
    </w:p>
    <w:p w14:paraId="7F3B75E9">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评标办法详见第五章。</w:t>
      </w:r>
    </w:p>
    <w:p w14:paraId="62C83C66">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cs="宋体"/>
          <w:b/>
          <w:color w:val="auto"/>
          <w:sz w:val="22"/>
          <w:szCs w:val="22"/>
          <w:highlight w:val="none"/>
          <w:lang w:val="zh-CN"/>
        </w:rPr>
        <w:t>十</w:t>
      </w:r>
      <w:r>
        <w:rPr>
          <w:rFonts w:hint="eastAsia" w:ascii="宋体" w:hAnsi="宋体" w:eastAsia="宋体" w:cs="宋体"/>
          <w:b/>
          <w:color w:val="auto"/>
          <w:sz w:val="22"/>
          <w:szCs w:val="22"/>
          <w:highlight w:val="none"/>
          <w:lang w:val="zh-CN"/>
        </w:rPr>
        <w:t>）有效供应商少于三家的情况处理</w:t>
      </w:r>
    </w:p>
    <w:p w14:paraId="261A955F">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评审期间，出现符合资格条件的供应商或者对采购文件做出实质响应的供应商不足三家，采购人可选择以下方式之一处理：</w:t>
      </w:r>
    </w:p>
    <w:p w14:paraId="1CD2633D">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zh-CN"/>
        </w:rPr>
        <w:t>可将本标项作废标处理，重新组织采购；</w:t>
      </w:r>
    </w:p>
    <w:p w14:paraId="3AABC98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zh-CN"/>
        </w:rPr>
        <w:t>可按财政部门的审批意见采用其他采购方式组织采购；</w:t>
      </w:r>
    </w:p>
    <w:p w14:paraId="0A0F4852">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cs="宋体"/>
          <w:b/>
          <w:color w:val="auto"/>
          <w:sz w:val="22"/>
          <w:szCs w:val="22"/>
          <w:highlight w:val="none"/>
          <w:lang w:val="zh-CN"/>
        </w:rPr>
        <w:t>十一</w:t>
      </w:r>
      <w:r>
        <w:rPr>
          <w:rFonts w:hint="eastAsia" w:ascii="宋体" w:hAnsi="宋体" w:eastAsia="宋体" w:cs="宋体"/>
          <w:b/>
          <w:color w:val="auto"/>
          <w:sz w:val="22"/>
          <w:szCs w:val="22"/>
          <w:highlight w:val="none"/>
          <w:lang w:val="zh-CN"/>
        </w:rPr>
        <w:t>） 废标</w:t>
      </w:r>
    </w:p>
    <w:p w14:paraId="7D5E1012">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在招标采购中，出现下列情形之一的，应予废标：</w:t>
      </w:r>
    </w:p>
    <w:p w14:paraId="4C46FF36">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zh-CN"/>
        </w:rPr>
        <w:t>符合采购文件规定废标情形的；</w:t>
      </w:r>
    </w:p>
    <w:p w14:paraId="05F4BD92">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zh-CN"/>
        </w:rPr>
        <w:t>出现影响采购公正的违法、违规行为的；</w:t>
      </w:r>
    </w:p>
    <w:p w14:paraId="49D91154">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w:t>
      </w:r>
      <w:r>
        <w:rPr>
          <w:rFonts w:hint="eastAsia" w:ascii="宋体" w:hAnsi="宋体" w:eastAsia="宋体" w:cs="宋体"/>
          <w:i w:val="0"/>
          <w:iCs w:val="0"/>
          <w:color w:val="auto"/>
          <w:sz w:val="22"/>
          <w:szCs w:val="22"/>
          <w:highlight w:val="none"/>
          <w:lang w:val="zh-CN"/>
        </w:rPr>
        <w:t>供应商的报价均超过了采购预算，采购人不能支付的；</w:t>
      </w:r>
    </w:p>
    <w:p w14:paraId="6974381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lang w:val="zh-CN"/>
        </w:rPr>
        <w:t>因重大变故，采购任务取消的；</w:t>
      </w:r>
    </w:p>
    <w:p w14:paraId="71D5E99A">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废标后，废标公告将在原招标公告发布媒体上发布。</w:t>
      </w:r>
    </w:p>
    <w:p w14:paraId="50F3B9CF">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cs="宋体"/>
          <w:b/>
          <w:color w:val="auto"/>
          <w:sz w:val="22"/>
          <w:szCs w:val="22"/>
          <w:highlight w:val="none"/>
          <w:lang w:val="en-US" w:eastAsia="zh-CN"/>
        </w:rPr>
        <w:t>十二</w:t>
      </w:r>
      <w:r>
        <w:rPr>
          <w:rFonts w:hint="eastAsia" w:ascii="宋体" w:hAnsi="宋体" w:eastAsia="宋体" w:cs="宋体"/>
          <w:b/>
          <w:color w:val="auto"/>
          <w:sz w:val="22"/>
          <w:szCs w:val="22"/>
          <w:highlight w:val="none"/>
          <w:lang w:val="zh-CN"/>
        </w:rPr>
        <w:t>）评标过程的监控</w:t>
      </w:r>
    </w:p>
    <w:p w14:paraId="3AF6CF8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本项目评标过程全程进行监控，投标人在评标过程中所进行的试图影响评标结果的不公正活动，可能导致其投标被拒绝。</w:t>
      </w:r>
    </w:p>
    <w:p w14:paraId="1D23940B">
      <w:pPr>
        <w:pageBreakBefore w:val="0"/>
        <w:kinsoku/>
        <w:wordWrap/>
        <w:overflowPunct/>
        <w:topLinePunct w:val="0"/>
        <w:autoSpaceDE/>
        <w:autoSpaceDN/>
        <w:bidi w:val="0"/>
        <w:adjustRightInd/>
        <w:snapToGrid w:val="0"/>
        <w:spacing w:line="420" w:lineRule="exact"/>
        <w:ind w:left="0" w:leftChars="0" w:firstLine="562" w:firstLineChars="200"/>
        <w:jc w:val="center"/>
        <w:textAlignment w:val="auto"/>
        <w:outlineLvl w:val="1"/>
        <w:rPr>
          <w:rFonts w:hint="eastAsia" w:ascii="宋体" w:hAnsi="宋体" w:eastAsia="宋体" w:cs="宋体"/>
          <w:b/>
          <w:i w:val="0"/>
          <w:iCs w:val="0"/>
          <w:color w:val="auto"/>
          <w:sz w:val="22"/>
          <w:szCs w:val="22"/>
          <w:highlight w:val="none"/>
          <w:lang w:val="zh-CN"/>
        </w:rPr>
      </w:pPr>
      <w:r>
        <w:rPr>
          <w:rFonts w:hint="eastAsia" w:ascii="宋体" w:hAnsi="宋体" w:eastAsia="宋体" w:cs="宋体"/>
          <w:b/>
          <w:i w:val="0"/>
          <w:iCs w:val="0"/>
          <w:color w:val="auto"/>
          <w:sz w:val="28"/>
          <w:szCs w:val="28"/>
          <w:highlight w:val="none"/>
          <w:lang w:val="zh-CN"/>
        </w:rPr>
        <w:t>七、定标</w:t>
      </w:r>
    </w:p>
    <w:p w14:paraId="189D579E">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p>
    <w:p w14:paraId="4C2D96C1">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（一）确定中标人。</w:t>
      </w:r>
    </w:p>
    <w:p w14:paraId="29A0D5B5">
      <w:pPr>
        <w:pStyle w:val="24"/>
        <w:pageBreakBefore w:val="0"/>
        <w:tabs>
          <w:tab w:val="left" w:pos="900"/>
        </w:tabs>
        <w:kinsoku/>
        <w:overflowPunct/>
        <w:topLinePunct w:val="0"/>
        <w:bidi w:val="0"/>
        <w:spacing w:line="420" w:lineRule="exact"/>
        <w:ind w:left="0" w:leftChars="0" w:firstLine="442" w:firstLineChars="200"/>
        <w:textAlignment w:val="auto"/>
        <w:rPr>
          <w:rFonts w:hint="eastAsia" w:ascii="宋体" w:hAnsi="宋体" w:eastAsia="宋体" w:cs="宋体"/>
          <w:b/>
          <w:i w:val="0"/>
          <w:iCs w:val="0"/>
          <w:color w:val="auto"/>
          <w:kern w:val="2"/>
          <w:sz w:val="22"/>
          <w:szCs w:val="22"/>
          <w:highlight w:val="none"/>
          <w:lang w:val="en-US" w:eastAsia="zh-CN" w:bidi="ar-SA"/>
        </w:rPr>
      </w:pPr>
      <w:r>
        <w:rPr>
          <w:rFonts w:hint="eastAsia" w:ascii="宋体" w:hAnsi="宋体" w:eastAsia="宋体" w:cs="宋体"/>
          <w:b/>
          <w:i w:val="0"/>
          <w:iCs w:val="0"/>
          <w:color w:val="auto"/>
          <w:kern w:val="2"/>
          <w:sz w:val="22"/>
          <w:szCs w:val="22"/>
          <w:highlight w:val="none"/>
          <w:lang w:val="en-US" w:eastAsia="zh-CN" w:bidi="ar-SA"/>
        </w:rPr>
        <w:t>1.采购代理机构在评标结束后2个工作日内将评标报告交采购人确认.</w:t>
      </w:r>
    </w:p>
    <w:p w14:paraId="77332AD8">
      <w:pPr>
        <w:pStyle w:val="24"/>
        <w:pageBreakBefore w:val="0"/>
        <w:tabs>
          <w:tab w:val="left" w:pos="900"/>
        </w:tabs>
        <w:kinsoku/>
        <w:overflowPunct/>
        <w:topLinePunct w:val="0"/>
        <w:bidi w:val="0"/>
        <w:spacing w:line="420" w:lineRule="exact"/>
        <w:ind w:left="0" w:leftChars="0" w:firstLine="442" w:firstLineChars="200"/>
        <w:textAlignment w:val="auto"/>
        <w:rPr>
          <w:rFonts w:hint="eastAsia" w:ascii="宋体" w:hAnsi="宋体" w:eastAsia="宋体" w:cs="宋体"/>
          <w:b/>
          <w:i w:val="0"/>
          <w:iCs w:val="0"/>
          <w:color w:val="auto"/>
          <w:kern w:val="2"/>
          <w:sz w:val="22"/>
          <w:szCs w:val="22"/>
          <w:highlight w:val="none"/>
          <w:lang w:val="en-US" w:eastAsia="zh-CN" w:bidi="ar-SA"/>
        </w:rPr>
      </w:pPr>
      <w:r>
        <w:rPr>
          <w:rFonts w:hint="eastAsia" w:ascii="宋体" w:hAnsi="宋体" w:eastAsia="宋体" w:cs="宋体"/>
          <w:b/>
          <w:i w:val="0"/>
          <w:iCs w:val="0"/>
          <w:color w:val="auto"/>
          <w:kern w:val="2"/>
          <w:sz w:val="22"/>
          <w:szCs w:val="22"/>
          <w:highlight w:val="none"/>
          <w:lang w:val="en-US" w:eastAsia="zh-CN" w:bidi="ar-SA"/>
        </w:rPr>
        <w:t>2.供应商对评标结果无异议的，采购人应在收到评标报告后5个工作日内对评标结果进行确认。</w:t>
      </w:r>
    </w:p>
    <w:p w14:paraId="7646F993">
      <w:pPr>
        <w:pStyle w:val="24"/>
        <w:pageBreakBefore w:val="0"/>
        <w:tabs>
          <w:tab w:val="left" w:pos="900"/>
        </w:tabs>
        <w:kinsoku/>
        <w:overflowPunct/>
        <w:topLinePunct w:val="0"/>
        <w:bidi w:val="0"/>
        <w:spacing w:line="420" w:lineRule="exact"/>
        <w:ind w:left="0" w:leftChars="0" w:firstLine="442" w:firstLineChars="200"/>
        <w:textAlignment w:val="auto"/>
        <w:rPr>
          <w:rFonts w:hint="eastAsia" w:ascii="宋体" w:hAnsi="宋体" w:eastAsia="宋体" w:cs="宋体"/>
          <w:b/>
          <w:i w:val="0"/>
          <w:iCs w:val="0"/>
          <w:color w:val="auto"/>
          <w:kern w:val="2"/>
          <w:sz w:val="22"/>
          <w:szCs w:val="22"/>
          <w:highlight w:val="none"/>
          <w:lang w:val="en-US" w:eastAsia="zh-CN" w:bidi="ar-SA"/>
        </w:rPr>
      </w:pPr>
      <w:r>
        <w:rPr>
          <w:rFonts w:hint="eastAsia" w:ascii="宋体" w:hAnsi="宋体" w:eastAsia="宋体" w:cs="宋体"/>
          <w:b/>
          <w:i w:val="0"/>
          <w:iCs w:val="0"/>
          <w:color w:val="auto"/>
          <w:kern w:val="2"/>
          <w:sz w:val="22"/>
          <w:szCs w:val="22"/>
          <w:highlight w:val="none"/>
          <w:lang w:val="en-US" w:eastAsia="zh-CN" w:bidi="ar-SA"/>
        </w:rPr>
        <w:t>3.采购人依法确定中标人后，采购代理机构向中标人发出《中标通知书》。</w:t>
      </w:r>
    </w:p>
    <w:p w14:paraId="20514B72">
      <w:pPr>
        <w:pageBreakBefore w:val="0"/>
        <w:kinsoku/>
        <w:wordWrap/>
        <w:overflowPunct/>
        <w:topLinePunct w:val="0"/>
        <w:autoSpaceDE/>
        <w:autoSpaceDN/>
        <w:bidi w:val="0"/>
        <w:adjustRightInd/>
        <w:snapToGrid w:val="0"/>
        <w:spacing w:line="420" w:lineRule="exact"/>
        <w:ind w:left="0" w:leftChars="0" w:firstLine="562" w:firstLineChars="200"/>
        <w:jc w:val="center"/>
        <w:textAlignment w:val="auto"/>
        <w:outlineLvl w:val="1"/>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8"/>
          <w:szCs w:val="28"/>
          <w:highlight w:val="none"/>
          <w:lang w:val="zh-CN"/>
        </w:rPr>
        <w:t>八、可中止电子交易活动的情形</w:t>
      </w:r>
    </w:p>
    <w:p w14:paraId="3F75DD74">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i w:val="0"/>
          <w:iCs w:val="0"/>
          <w:color w:val="auto"/>
          <w:sz w:val="22"/>
          <w:szCs w:val="22"/>
          <w:highlight w:val="none"/>
        </w:rPr>
        <w:t>采购过程中出现以下情形，导致电子交易平台无法正常运行，或者无法保证电子交易的公平、公正和安全时，采购组织机构可中止电子交易活动：</w:t>
      </w:r>
    </w:p>
    <w:p w14:paraId="581ACA90">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电子交易平台发生故障而无法登录访问的；</w:t>
      </w:r>
    </w:p>
    <w:p w14:paraId="70E2CAE6">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电子交易平台应用或数据库出现错误，不能进行正常操作的；</w:t>
      </w:r>
    </w:p>
    <w:p w14:paraId="34961F92">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电子交易平台发现严重安全漏洞，有潜在泄密危险的；</w:t>
      </w:r>
    </w:p>
    <w:p w14:paraId="0669E5A3">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4</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病毒发作导致不能进行正常操作的；</w:t>
      </w:r>
    </w:p>
    <w:p w14:paraId="5BC42F36">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5</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其他无法保证电子交易的公平、公正和安全的情况。</w:t>
      </w:r>
    </w:p>
    <w:p w14:paraId="576B2281">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cs="宋体"/>
          <w:b/>
          <w:bCs/>
          <w:i w:val="0"/>
          <w:iCs w:val="0"/>
          <w:color w:val="auto"/>
          <w:sz w:val="22"/>
          <w:szCs w:val="22"/>
          <w:highlight w:val="none"/>
        </w:rPr>
      </w:pPr>
      <w:r>
        <w:rPr>
          <w:rFonts w:hint="eastAsia" w:ascii="宋体" w:hAnsi="宋体" w:eastAsia="宋体" w:cs="宋体"/>
          <w:b/>
          <w:i w:val="0"/>
          <w:iCs w:val="0"/>
          <w:color w:val="auto"/>
          <w:sz w:val="22"/>
          <w:szCs w:val="22"/>
          <w:highlight w:val="none"/>
        </w:rPr>
        <w:t>出现前款规定情形，不影响采购公平、公正性的，采购组织机构可以待上述情形消除后继续组织电子交易活动；影响或可能影响采购公平、公正性的，应当重新采购。</w:t>
      </w:r>
      <w:bookmarkEnd w:id="67"/>
      <w:bookmarkEnd w:id="68"/>
      <w:bookmarkEnd w:id="69"/>
      <w:bookmarkStart w:id="70" w:name="_Toc86216995"/>
      <w:bookmarkStart w:id="71" w:name="_Toc33194399"/>
      <w:bookmarkStart w:id="72" w:name="_Toc354996703"/>
      <w:bookmarkStart w:id="73" w:name="_Toc91899910"/>
      <w:bookmarkStart w:id="74" w:name="_Toc233618979"/>
    </w:p>
    <w:p w14:paraId="043C823B">
      <w:pPr>
        <w:pageBreakBefore w:val="0"/>
        <w:shd w:val="clear" w:color="auto" w:fill="FFFFFF"/>
        <w:kinsoku/>
        <w:wordWrap/>
        <w:overflowPunct/>
        <w:topLinePunct w:val="0"/>
        <w:bidi w:val="0"/>
        <w:snapToGrid w:val="0"/>
        <w:spacing w:line="420" w:lineRule="exact"/>
        <w:ind w:left="0" w:leftChars="0" w:firstLine="3092" w:firstLineChars="1100"/>
        <w:jc w:val="both"/>
        <w:textAlignment w:val="auto"/>
        <w:outlineLvl w:val="1"/>
        <w:rPr>
          <w:rFonts w:hint="eastAsia" w:ascii="宋体" w:hAnsi="宋体" w:eastAsia="宋体" w:cs="宋体"/>
          <w:b/>
          <w:bCs/>
          <w:i w:val="0"/>
          <w:iCs w:val="0"/>
          <w:color w:val="auto"/>
          <w:sz w:val="22"/>
          <w:szCs w:val="22"/>
          <w:highlight w:val="none"/>
        </w:rPr>
      </w:pPr>
      <w:r>
        <w:rPr>
          <w:rFonts w:hint="eastAsia" w:ascii="宋体" w:hAnsi="宋体" w:cs="宋体"/>
          <w:b/>
          <w:bCs/>
          <w:i w:val="0"/>
          <w:iCs w:val="0"/>
          <w:color w:val="auto"/>
          <w:sz w:val="28"/>
          <w:szCs w:val="28"/>
          <w:highlight w:val="none"/>
          <w:lang w:eastAsia="zh-CN"/>
        </w:rPr>
        <w:t>九</w:t>
      </w:r>
      <w:r>
        <w:rPr>
          <w:rFonts w:hint="eastAsia" w:ascii="宋体" w:hAnsi="宋体" w:cs="宋体"/>
          <w:b/>
          <w:bCs/>
          <w:i w:val="0"/>
          <w:iCs w:val="0"/>
          <w:color w:val="auto"/>
          <w:sz w:val="28"/>
          <w:szCs w:val="28"/>
          <w:highlight w:val="none"/>
        </w:rPr>
        <w:t>、</w:t>
      </w:r>
      <w:bookmarkEnd w:id="70"/>
      <w:r>
        <w:rPr>
          <w:rFonts w:hint="eastAsia" w:ascii="宋体" w:hAnsi="宋体" w:cs="宋体"/>
          <w:b/>
          <w:bCs/>
          <w:i w:val="0"/>
          <w:iCs w:val="0"/>
          <w:color w:val="auto"/>
          <w:sz w:val="28"/>
          <w:szCs w:val="28"/>
          <w:highlight w:val="none"/>
        </w:rPr>
        <w:t>合同签订及其他</w:t>
      </w:r>
      <w:bookmarkEnd w:id="71"/>
      <w:bookmarkEnd w:id="72"/>
      <w:bookmarkEnd w:id="73"/>
      <w:bookmarkEnd w:id="74"/>
    </w:p>
    <w:p w14:paraId="40B9FF21">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eastAsia="zh-CN"/>
        </w:rPr>
        <w:t>（</w:t>
      </w:r>
      <w:r>
        <w:rPr>
          <w:rFonts w:hint="eastAsia" w:ascii="宋体" w:hAnsi="宋体" w:eastAsia="宋体" w:cs="宋体"/>
          <w:b w:val="0"/>
          <w:bCs w:val="0"/>
          <w:i w:val="0"/>
          <w:iCs w:val="0"/>
          <w:color w:val="auto"/>
          <w:sz w:val="22"/>
          <w:szCs w:val="22"/>
          <w:highlight w:val="none"/>
          <w:lang w:val="en-US" w:eastAsia="zh-CN"/>
        </w:rPr>
        <w:t>1</w:t>
      </w:r>
      <w:r>
        <w:rPr>
          <w:rFonts w:hint="eastAsia" w:ascii="宋体" w:hAnsi="宋体" w:eastAsia="宋体" w:cs="宋体"/>
          <w:b w:val="0"/>
          <w:bCs w:val="0"/>
          <w:i w:val="0"/>
          <w:iCs w:val="0"/>
          <w:color w:val="auto"/>
          <w:sz w:val="22"/>
          <w:szCs w:val="22"/>
          <w:highlight w:val="none"/>
          <w:lang w:eastAsia="zh-CN"/>
        </w:rPr>
        <w:t>）</w:t>
      </w:r>
      <w:r>
        <w:rPr>
          <w:rFonts w:hint="eastAsia" w:ascii="宋体" w:hAnsi="宋体" w:eastAsia="宋体" w:cs="宋体"/>
          <w:b w:val="0"/>
          <w:bCs w:val="0"/>
          <w:i w:val="0"/>
          <w:iCs w:val="0"/>
          <w:color w:val="auto"/>
          <w:sz w:val="22"/>
          <w:szCs w:val="22"/>
          <w:highlight w:val="none"/>
        </w:rPr>
        <w:t>中标通知和合同</w:t>
      </w:r>
      <w:r>
        <w:rPr>
          <w:rFonts w:hint="eastAsia" w:ascii="宋体" w:hAnsi="宋体" w:cs="宋体"/>
          <w:b w:val="0"/>
          <w:bCs w:val="0"/>
          <w:i w:val="0"/>
          <w:iCs w:val="0"/>
          <w:color w:val="auto"/>
          <w:sz w:val="22"/>
          <w:szCs w:val="22"/>
          <w:highlight w:val="none"/>
          <w:lang w:val="en-US" w:eastAsia="zh-CN"/>
        </w:rPr>
        <w:t>签订</w:t>
      </w:r>
    </w:p>
    <w:p w14:paraId="2D100A9D">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b w:val="0"/>
          <w:bCs w:val="0"/>
          <w:i w:val="0"/>
          <w:iCs w:val="0"/>
          <w:color w:val="auto"/>
          <w:sz w:val="22"/>
          <w:szCs w:val="22"/>
          <w:highlight w:val="none"/>
        </w:rPr>
      </w:pPr>
      <w:r>
        <w:rPr>
          <w:rFonts w:hint="eastAsia" w:ascii="宋体" w:hAnsi="宋体" w:eastAsia="宋体" w:cs="宋体"/>
          <w:b w:val="0"/>
          <w:bCs w:val="0"/>
          <w:i w:val="0"/>
          <w:iCs w:val="0"/>
          <w:color w:val="auto"/>
          <w:sz w:val="22"/>
          <w:szCs w:val="22"/>
          <w:highlight w:val="none"/>
          <w:lang w:eastAsia="zh-CN"/>
        </w:rPr>
        <w:t>（</w:t>
      </w:r>
      <w:r>
        <w:rPr>
          <w:rFonts w:hint="eastAsia" w:ascii="宋体" w:hAnsi="宋体" w:eastAsia="宋体" w:cs="宋体"/>
          <w:b w:val="0"/>
          <w:bCs w:val="0"/>
          <w:i w:val="0"/>
          <w:iCs w:val="0"/>
          <w:color w:val="auto"/>
          <w:sz w:val="22"/>
          <w:szCs w:val="22"/>
          <w:highlight w:val="none"/>
          <w:lang w:val="en-US" w:eastAsia="zh-CN"/>
        </w:rPr>
        <w:t>2</w:t>
      </w:r>
      <w:r>
        <w:rPr>
          <w:rFonts w:hint="eastAsia" w:ascii="宋体" w:hAnsi="宋体" w:eastAsia="宋体" w:cs="宋体"/>
          <w:b w:val="0"/>
          <w:bCs w:val="0"/>
          <w:i w:val="0"/>
          <w:iCs w:val="0"/>
          <w:color w:val="auto"/>
          <w:sz w:val="22"/>
          <w:szCs w:val="22"/>
          <w:highlight w:val="none"/>
          <w:lang w:eastAsia="zh-CN"/>
        </w:rPr>
        <w:t>）</w:t>
      </w:r>
      <w:r>
        <w:rPr>
          <w:rFonts w:hint="eastAsia" w:ascii="宋体" w:hAnsi="宋体" w:eastAsia="宋体" w:cs="宋体"/>
          <w:b w:val="0"/>
          <w:bCs w:val="0"/>
          <w:i w:val="0"/>
          <w:iCs w:val="0"/>
          <w:color w:val="auto"/>
          <w:sz w:val="22"/>
          <w:szCs w:val="22"/>
          <w:highlight w:val="none"/>
        </w:rPr>
        <w:t>评定结果经采购人确定后，招标代理机构在</w:t>
      </w:r>
      <w:r>
        <w:rPr>
          <w:rFonts w:hint="eastAsia" w:ascii="宋体" w:hAnsi="宋体" w:eastAsia="宋体" w:cs="宋体"/>
          <w:b w:val="0"/>
          <w:bCs w:val="0"/>
          <w:i w:val="0"/>
          <w:iCs w:val="0"/>
          <w:color w:val="auto"/>
          <w:sz w:val="22"/>
          <w:szCs w:val="22"/>
          <w:highlight w:val="none"/>
          <w:lang w:eastAsia="zh-CN"/>
        </w:rPr>
        <w:t>成交人</w:t>
      </w:r>
      <w:r>
        <w:rPr>
          <w:rFonts w:hint="eastAsia" w:ascii="宋体" w:hAnsi="宋体" w:eastAsia="宋体" w:cs="宋体"/>
          <w:b w:val="0"/>
          <w:bCs w:val="0"/>
          <w:i w:val="0"/>
          <w:iCs w:val="0"/>
          <w:color w:val="auto"/>
          <w:sz w:val="22"/>
          <w:szCs w:val="22"/>
          <w:highlight w:val="none"/>
        </w:rPr>
        <w:t>确定之日起2个工作日内以书面形式发出《中标通知书》。</w:t>
      </w:r>
    </w:p>
    <w:p w14:paraId="118035FD">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b w:val="0"/>
          <w:bCs w:val="0"/>
          <w:i w:val="0"/>
          <w:iCs w:val="0"/>
          <w:color w:val="auto"/>
          <w:sz w:val="22"/>
          <w:szCs w:val="22"/>
          <w:highlight w:val="none"/>
        </w:rPr>
      </w:pPr>
      <w:r>
        <w:rPr>
          <w:rFonts w:hint="eastAsia" w:ascii="宋体" w:hAnsi="宋体" w:eastAsia="宋体" w:cs="宋体"/>
          <w:b w:val="0"/>
          <w:bCs w:val="0"/>
          <w:i w:val="0"/>
          <w:iCs w:val="0"/>
          <w:color w:val="auto"/>
          <w:sz w:val="22"/>
          <w:szCs w:val="22"/>
          <w:highlight w:val="none"/>
          <w:lang w:eastAsia="zh-CN"/>
        </w:rPr>
        <w:t>（</w:t>
      </w:r>
      <w:r>
        <w:rPr>
          <w:rFonts w:hint="eastAsia" w:ascii="宋体" w:hAnsi="宋体" w:eastAsia="宋体" w:cs="宋体"/>
          <w:b w:val="0"/>
          <w:bCs w:val="0"/>
          <w:i w:val="0"/>
          <w:iCs w:val="0"/>
          <w:color w:val="auto"/>
          <w:sz w:val="22"/>
          <w:szCs w:val="22"/>
          <w:highlight w:val="none"/>
          <w:lang w:val="en-US" w:eastAsia="zh-CN"/>
        </w:rPr>
        <w:t>3</w:t>
      </w:r>
      <w:r>
        <w:rPr>
          <w:rFonts w:hint="eastAsia" w:ascii="宋体" w:hAnsi="宋体" w:eastAsia="宋体" w:cs="宋体"/>
          <w:b w:val="0"/>
          <w:bCs w:val="0"/>
          <w:i w:val="0"/>
          <w:iCs w:val="0"/>
          <w:color w:val="auto"/>
          <w:sz w:val="22"/>
          <w:szCs w:val="22"/>
          <w:highlight w:val="none"/>
          <w:lang w:eastAsia="zh-CN"/>
        </w:rPr>
        <w:t>）</w:t>
      </w:r>
      <w:r>
        <w:rPr>
          <w:rFonts w:hint="eastAsia" w:ascii="宋体" w:hAnsi="宋体" w:eastAsia="宋体" w:cs="宋体"/>
          <w:b w:val="0"/>
          <w:bCs w:val="0"/>
          <w:i w:val="0"/>
          <w:iCs w:val="0"/>
          <w:color w:val="auto"/>
          <w:sz w:val="22"/>
          <w:szCs w:val="22"/>
          <w:highlight w:val="none"/>
        </w:rPr>
        <w:t>《中标通知书》一经发出即发生法律效力。招标人无义务向未</w:t>
      </w:r>
      <w:r>
        <w:rPr>
          <w:rFonts w:hint="eastAsia" w:ascii="宋体" w:hAnsi="宋体" w:eastAsia="宋体" w:cs="宋体"/>
          <w:b w:val="0"/>
          <w:bCs w:val="0"/>
          <w:i w:val="0"/>
          <w:iCs w:val="0"/>
          <w:color w:val="auto"/>
          <w:sz w:val="22"/>
          <w:szCs w:val="22"/>
          <w:highlight w:val="none"/>
          <w:lang w:eastAsia="zh-CN"/>
        </w:rPr>
        <w:t>成交人</w:t>
      </w:r>
      <w:r>
        <w:rPr>
          <w:rFonts w:hint="eastAsia" w:ascii="宋体" w:hAnsi="宋体" w:eastAsia="宋体" w:cs="宋体"/>
          <w:b w:val="0"/>
          <w:bCs w:val="0"/>
          <w:i w:val="0"/>
          <w:iCs w:val="0"/>
          <w:color w:val="auto"/>
          <w:sz w:val="22"/>
          <w:szCs w:val="22"/>
          <w:highlight w:val="none"/>
        </w:rPr>
        <w:t>解释落选原因，不退回投标文件。《中标通知书》将作为签订合同的依据。</w:t>
      </w:r>
    </w:p>
    <w:p w14:paraId="2C3A76A6">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b w:val="0"/>
          <w:bCs w:val="0"/>
          <w:i w:val="0"/>
          <w:iCs w:val="0"/>
          <w:color w:val="auto"/>
          <w:sz w:val="22"/>
          <w:szCs w:val="22"/>
          <w:highlight w:val="none"/>
        </w:rPr>
      </w:pPr>
      <w:r>
        <w:rPr>
          <w:rFonts w:hint="eastAsia" w:ascii="宋体" w:hAnsi="宋体" w:eastAsia="宋体" w:cs="宋体"/>
          <w:b w:val="0"/>
          <w:bCs w:val="0"/>
          <w:i w:val="0"/>
          <w:iCs w:val="0"/>
          <w:color w:val="auto"/>
          <w:sz w:val="22"/>
          <w:szCs w:val="22"/>
          <w:highlight w:val="none"/>
          <w:lang w:eastAsia="zh-CN"/>
        </w:rPr>
        <w:t>（</w:t>
      </w:r>
      <w:r>
        <w:rPr>
          <w:rFonts w:hint="eastAsia" w:ascii="宋体" w:hAnsi="宋体" w:eastAsia="宋体" w:cs="宋体"/>
          <w:b w:val="0"/>
          <w:bCs w:val="0"/>
          <w:i w:val="0"/>
          <w:iCs w:val="0"/>
          <w:color w:val="auto"/>
          <w:sz w:val="22"/>
          <w:szCs w:val="22"/>
          <w:highlight w:val="none"/>
          <w:lang w:val="en-US" w:eastAsia="zh-CN"/>
        </w:rPr>
        <w:t>4</w:t>
      </w:r>
      <w:r>
        <w:rPr>
          <w:rFonts w:hint="eastAsia" w:ascii="宋体" w:hAnsi="宋体" w:eastAsia="宋体" w:cs="宋体"/>
          <w:b w:val="0"/>
          <w:bCs w:val="0"/>
          <w:i w:val="0"/>
          <w:iCs w:val="0"/>
          <w:color w:val="auto"/>
          <w:sz w:val="22"/>
          <w:szCs w:val="22"/>
          <w:highlight w:val="none"/>
          <w:lang w:eastAsia="zh-CN"/>
        </w:rPr>
        <w:t>）</w:t>
      </w:r>
      <w:r>
        <w:rPr>
          <w:rFonts w:hint="eastAsia" w:ascii="宋体" w:hAnsi="宋体" w:eastAsia="宋体" w:cs="宋体"/>
          <w:b w:val="0"/>
          <w:bCs w:val="0"/>
          <w:i w:val="0"/>
          <w:iCs w:val="0"/>
          <w:color w:val="auto"/>
          <w:sz w:val="22"/>
          <w:szCs w:val="22"/>
          <w:highlight w:val="none"/>
        </w:rPr>
        <w:t>签订合同：</w:t>
      </w:r>
      <w:r>
        <w:rPr>
          <w:rFonts w:hint="eastAsia" w:ascii="宋体" w:hAnsi="宋体" w:eastAsia="宋体" w:cs="宋体"/>
          <w:b w:val="0"/>
          <w:bCs w:val="0"/>
          <w:i w:val="0"/>
          <w:iCs w:val="0"/>
          <w:color w:val="auto"/>
          <w:sz w:val="22"/>
          <w:szCs w:val="22"/>
          <w:highlight w:val="none"/>
          <w:lang w:eastAsia="zh-CN"/>
        </w:rPr>
        <w:t>成交人</w:t>
      </w:r>
      <w:r>
        <w:rPr>
          <w:rFonts w:hint="eastAsia" w:ascii="宋体" w:hAnsi="宋体" w:eastAsia="宋体" w:cs="宋体"/>
          <w:b w:val="0"/>
          <w:bCs w:val="0"/>
          <w:i w:val="0"/>
          <w:iCs w:val="0"/>
          <w:color w:val="auto"/>
          <w:sz w:val="22"/>
          <w:szCs w:val="22"/>
          <w:highlight w:val="none"/>
        </w:rPr>
        <w:t>按《中标通知书》指定的时间、地点与采购人直接签订合同后生效。在有合理证据证明</w:t>
      </w:r>
      <w:r>
        <w:rPr>
          <w:rFonts w:hint="eastAsia" w:ascii="宋体" w:hAnsi="宋体" w:eastAsia="宋体" w:cs="宋体"/>
          <w:b w:val="0"/>
          <w:bCs w:val="0"/>
          <w:i w:val="0"/>
          <w:iCs w:val="0"/>
          <w:color w:val="auto"/>
          <w:sz w:val="22"/>
          <w:szCs w:val="22"/>
          <w:highlight w:val="none"/>
          <w:lang w:eastAsia="zh-CN"/>
        </w:rPr>
        <w:t>成交人</w:t>
      </w:r>
      <w:r>
        <w:rPr>
          <w:rFonts w:hint="eastAsia" w:ascii="宋体" w:hAnsi="宋体" w:eastAsia="宋体" w:cs="宋体"/>
          <w:b w:val="0"/>
          <w:bCs w:val="0"/>
          <w:i w:val="0"/>
          <w:iCs w:val="0"/>
          <w:color w:val="auto"/>
          <w:sz w:val="22"/>
          <w:szCs w:val="22"/>
          <w:highlight w:val="none"/>
        </w:rPr>
        <w:t>在投标过程中承诺的内容不能实质响应的，采购人有权拒签合同。</w:t>
      </w:r>
    </w:p>
    <w:p w14:paraId="5D5B9786">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b w:val="0"/>
          <w:bCs w:val="0"/>
          <w:i w:val="0"/>
          <w:iCs w:val="0"/>
          <w:color w:val="auto"/>
          <w:sz w:val="22"/>
          <w:szCs w:val="22"/>
          <w:highlight w:val="none"/>
        </w:rPr>
      </w:pPr>
      <w:r>
        <w:rPr>
          <w:rFonts w:hint="eastAsia" w:ascii="宋体" w:hAnsi="宋体" w:eastAsia="宋体" w:cs="宋体"/>
          <w:b w:val="0"/>
          <w:bCs w:val="0"/>
          <w:i w:val="0"/>
          <w:iCs w:val="0"/>
          <w:color w:val="auto"/>
          <w:sz w:val="22"/>
          <w:szCs w:val="22"/>
          <w:highlight w:val="none"/>
          <w:lang w:eastAsia="zh-CN"/>
        </w:rPr>
        <w:t>（</w:t>
      </w:r>
      <w:r>
        <w:rPr>
          <w:rFonts w:hint="eastAsia" w:ascii="宋体" w:hAnsi="宋体" w:eastAsia="宋体" w:cs="宋体"/>
          <w:b w:val="0"/>
          <w:bCs w:val="0"/>
          <w:i w:val="0"/>
          <w:iCs w:val="0"/>
          <w:color w:val="auto"/>
          <w:sz w:val="22"/>
          <w:szCs w:val="22"/>
          <w:highlight w:val="none"/>
          <w:lang w:val="en-US" w:eastAsia="zh-CN"/>
        </w:rPr>
        <w:t>5</w:t>
      </w:r>
      <w:r>
        <w:rPr>
          <w:rFonts w:hint="eastAsia" w:ascii="宋体" w:hAnsi="宋体" w:eastAsia="宋体" w:cs="宋体"/>
          <w:b w:val="0"/>
          <w:bCs w:val="0"/>
          <w:i w:val="0"/>
          <w:iCs w:val="0"/>
          <w:color w:val="auto"/>
          <w:sz w:val="22"/>
          <w:szCs w:val="22"/>
          <w:highlight w:val="none"/>
          <w:lang w:eastAsia="zh-CN"/>
        </w:rPr>
        <w:t>）采购文件</w:t>
      </w:r>
      <w:r>
        <w:rPr>
          <w:rFonts w:hint="eastAsia" w:ascii="宋体" w:hAnsi="宋体" w:eastAsia="宋体" w:cs="宋体"/>
          <w:b w:val="0"/>
          <w:bCs w:val="0"/>
          <w:i w:val="0"/>
          <w:iCs w:val="0"/>
          <w:color w:val="auto"/>
          <w:sz w:val="22"/>
          <w:szCs w:val="22"/>
          <w:highlight w:val="none"/>
        </w:rPr>
        <w:t>、澄清文件、投标文件等，均为签订合同的依据。</w:t>
      </w:r>
      <w:r>
        <w:rPr>
          <w:rFonts w:hint="eastAsia" w:ascii="宋体" w:hAnsi="宋体" w:eastAsia="宋体" w:cs="宋体"/>
          <w:b w:val="0"/>
          <w:bCs w:val="0"/>
          <w:i w:val="0"/>
          <w:iCs w:val="0"/>
          <w:color w:val="auto"/>
          <w:sz w:val="22"/>
          <w:szCs w:val="22"/>
          <w:highlight w:val="none"/>
          <w:lang w:eastAsia="zh-CN"/>
        </w:rPr>
        <w:t>成交人</w:t>
      </w:r>
      <w:r>
        <w:rPr>
          <w:rFonts w:hint="eastAsia" w:ascii="宋体" w:hAnsi="宋体" w:eastAsia="宋体" w:cs="宋体"/>
          <w:b w:val="0"/>
          <w:bCs w:val="0"/>
          <w:i w:val="0"/>
          <w:iCs w:val="0"/>
          <w:color w:val="auto"/>
          <w:sz w:val="22"/>
          <w:szCs w:val="22"/>
          <w:highlight w:val="none"/>
        </w:rPr>
        <w:t>接到中标通知书后在规定的时间内与采购人签订合同。</w:t>
      </w:r>
    </w:p>
    <w:p w14:paraId="0E256002">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b w:val="0"/>
          <w:bCs w:val="0"/>
          <w:i w:val="0"/>
          <w:iCs w:val="0"/>
          <w:color w:val="auto"/>
          <w:sz w:val="22"/>
          <w:szCs w:val="22"/>
          <w:highlight w:val="none"/>
        </w:rPr>
      </w:pPr>
      <w:r>
        <w:rPr>
          <w:rFonts w:hint="eastAsia" w:ascii="宋体" w:hAnsi="宋体" w:eastAsia="宋体" w:cs="宋体"/>
          <w:b w:val="0"/>
          <w:bCs w:val="0"/>
          <w:i w:val="0"/>
          <w:iCs w:val="0"/>
          <w:color w:val="auto"/>
          <w:sz w:val="22"/>
          <w:szCs w:val="22"/>
          <w:highlight w:val="none"/>
          <w:lang w:eastAsia="zh-CN"/>
        </w:rPr>
        <w:t>（</w:t>
      </w:r>
      <w:r>
        <w:rPr>
          <w:rFonts w:hint="eastAsia" w:ascii="宋体" w:hAnsi="宋体" w:eastAsia="宋体" w:cs="宋体"/>
          <w:b w:val="0"/>
          <w:bCs w:val="0"/>
          <w:i w:val="0"/>
          <w:iCs w:val="0"/>
          <w:color w:val="auto"/>
          <w:sz w:val="22"/>
          <w:szCs w:val="22"/>
          <w:highlight w:val="none"/>
          <w:lang w:val="en-US" w:eastAsia="zh-CN"/>
        </w:rPr>
        <w:t>6</w:t>
      </w:r>
      <w:r>
        <w:rPr>
          <w:rFonts w:hint="eastAsia" w:ascii="宋体" w:hAnsi="宋体" w:eastAsia="宋体" w:cs="宋体"/>
          <w:b w:val="0"/>
          <w:bCs w:val="0"/>
          <w:i w:val="0"/>
          <w:iCs w:val="0"/>
          <w:color w:val="auto"/>
          <w:sz w:val="22"/>
          <w:szCs w:val="22"/>
          <w:highlight w:val="none"/>
          <w:lang w:eastAsia="zh-CN"/>
        </w:rPr>
        <w:t>）</w:t>
      </w:r>
      <w:r>
        <w:rPr>
          <w:rFonts w:hint="eastAsia" w:ascii="宋体" w:hAnsi="宋体" w:eastAsia="宋体" w:cs="宋体"/>
          <w:b w:val="0"/>
          <w:bCs w:val="0"/>
          <w:i w:val="0"/>
          <w:iCs w:val="0"/>
          <w:color w:val="auto"/>
          <w:sz w:val="22"/>
          <w:szCs w:val="22"/>
          <w:highlight w:val="none"/>
        </w:rPr>
        <w:t>排名第一的中标候选人放弃中标、因不可抗力不能履行合同、不按照</w:t>
      </w:r>
      <w:r>
        <w:rPr>
          <w:rFonts w:hint="eastAsia" w:ascii="宋体" w:hAnsi="宋体" w:eastAsia="宋体" w:cs="宋体"/>
          <w:b w:val="0"/>
          <w:bCs w:val="0"/>
          <w:i w:val="0"/>
          <w:iCs w:val="0"/>
          <w:color w:val="auto"/>
          <w:sz w:val="22"/>
          <w:szCs w:val="22"/>
          <w:highlight w:val="none"/>
          <w:lang w:eastAsia="zh-CN"/>
        </w:rPr>
        <w:t>采购文件</w:t>
      </w:r>
      <w:r>
        <w:rPr>
          <w:rFonts w:hint="eastAsia" w:ascii="宋体" w:hAnsi="宋体" w:eastAsia="宋体" w:cs="宋体"/>
          <w:b w:val="0"/>
          <w:bCs w:val="0"/>
          <w:i w:val="0"/>
          <w:iCs w:val="0"/>
          <w:color w:val="auto"/>
          <w:sz w:val="22"/>
          <w:szCs w:val="22"/>
          <w:highlight w:val="none"/>
        </w:rPr>
        <w:t>要求提供服务或未按要求交纳履约保证金的，或者被查实存在影响中标结果的违法行为等情形，不符合中标条件的，招标人可以按照评标委员会提出的中标候选人名单排序依次确定其他中标候选人为</w:t>
      </w:r>
      <w:r>
        <w:rPr>
          <w:rFonts w:hint="eastAsia" w:ascii="宋体" w:hAnsi="宋体" w:eastAsia="宋体" w:cs="宋体"/>
          <w:b w:val="0"/>
          <w:bCs w:val="0"/>
          <w:i w:val="0"/>
          <w:iCs w:val="0"/>
          <w:color w:val="auto"/>
          <w:sz w:val="22"/>
          <w:szCs w:val="22"/>
          <w:highlight w:val="none"/>
          <w:lang w:eastAsia="zh-CN"/>
        </w:rPr>
        <w:t>成交人</w:t>
      </w:r>
      <w:r>
        <w:rPr>
          <w:rFonts w:hint="eastAsia" w:ascii="宋体" w:hAnsi="宋体" w:eastAsia="宋体" w:cs="宋体"/>
          <w:b w:val="0"/>
          <w:bCs w:val="0"/>
          <w:i w:val="0"/>
          <w:iCs w:val="0"/>
          <w:color w:val="auto"/>
          <w:sz w:val="22"/>
          <w:szCs w:val="22"/>
          <w:highlight w:val="none"/>
        </w:rPr>
        <w:t>，也可以重新招标。</w:t>
      </w:r>
    </w:p>
    <w:p w14:paraId="6C7D5ED6">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b w:val="0"/>
          <w:bCs w:val="0"/>
          <w:i w:val="0"/>
          <w:iCs w:val="0"/>
          <w:color w:val="auto"/>
          <w:sz w:val="22"/>
          <w:szCs w:val="22"/>
          <w:highlight w:val="none"/>
        </w:rPr>
      </w:pPr>
      <w:r>
        <w:rPr>
          <w:rFonts w:hint="eastAsia" w:ascii="宋体" w:hAnsi="宋体" w:eastAsia="宋体" w:cs="宋体"/>
          <w:b w:val="0"/>
          <w:bCs w:val="0"/>
          <w:i w:val="0"/>
          <w:iCs w:val="0"/>
          <w:color w:val="auto"/>
          <w:sz w:val="22"/>
          <w:szCs w:val="22"/>
          <w:highlight w:val="none"/>
          <w:lang w:eastAsia="zh-CN"/>
        </w:rPr>
        <w:t>（</w:t>
      </w:r>
      <w:r>
        <w:rPr>
          <w:rFonts w:hint="eastAsia" w:ascii="宋体" w:hAnsi="宋体" w:eastAsia="宋体" w:cs="宋体"/>
          <w:b w:val="0"/>
          <w:bCs w:val="0"/>
          <w:i w:val="0"/>
          <w:iCs w:val="0"/>
          <w:color w:val="auto"/>
          <w:sz w:val="22"/>
          <w:szCs w:val="22"/>
          <w:highlight w:val="none"/>
          <w:lang w:val="en-US" w:eastAsia="zh-CN"/>
        </w:rPr>
        <w:t>7</w:t>
      </w:r>
      <w:r>
        <w:rPr>
          <w:rFonts w:hint="eastAsia" w:ascii="宋体" w:hAnsi="宋体" w:eastAsia="宋体" w:cs="宋体"/>
          <w:b w:val="0"/>
          <w:bCs w:val="0"/>
          <w:i w:val="0"/>
          <w:iCs w:val="0"/>
          <w:color w:val="auto"/>
          <w:sz w:val="22"/>
          <w:szCs w:val="22"/>
          <w:highlight w:val="none"/>
          <w:lang w:eastAsia="zh-CN"/>
        </w:rPr>
        <w:t>）成交人</w:t>
      </w:r>
      <w:r>
        <w:rPr>
          <w:rFonts w:hint="eastAsia" w:ascii="宋体" w:hAnsi="宋体" w:eastAsia="宋体" w:cs="宋体"/>
          <w:b w:val="0"/>
          <w:bCs w:val="0"/>
          <w:i w:val="0"/>
          <w:iCs w:val="0"/>
          <w:color w:val="auto"/>
          <w:sz w:val="22"/>
          <w:szCs w:val="22"/>
          <w:highlight w:val="none"/>
        </w:rPr>
        <w:t>不遵守投标文件的要约、承诺，擅自修改投标文件的内容或在接到中标通知书规定的时间内，借故拖延、拒签合同者，采购人将取消该</w:t>
      </w:r>
      <w:r>
        <w:rPr>
          <w:rFonts w:hint="eastAsia" w:ascii="宋体" w:hAnsi="宋体" w:eastAsia="宋体" w:cs="宋体"/>
          <w:b w:val="0"/>
          <w:bCs w:val="0"/>
          <w:i w:val="0"/>
          <w:iCs w:val="0"/>
          <w:color w:val="auto"/>
          <w:sz w:val="22"/>
          <w:szCs w:val="22"/>
          <w:highlight w:val="none"/>
          <w:lang w:eastAsia="zh-CN"/>
        </w:rPr>
        <w:t>供应商</w:t>
      </w:r>
      <w:r>
        <w:rPr>
          <w:rFonts w:hint="eastAsia" w:ascii="宋体" w:hAnsi="宋体" w:eastAsia="宋体" w:cs="宋体"/>
          <w:b w:val="0"/>
          <w:bCs w:val="0"/>
          <w:i w:val="0"/>
          <w:iCs w:val="0"/>
          <w:color w:val="auto"/>
          <w:sz w:val="22"/>
          <w:szCs w:val="22"/>
          <w:highlight w:val="none"/>
        </w:rPr>
        <w:t>的中标资格</w:t>
      </w:r>
      <w:r>
        <w:rPr>
          <w:rFonts w:hint="eastAsia" w:ascii="宋体" w:hAnsi="宋体" w:eastAsia="宋体" w:cs="宋体"/>
          <w:b w:val="0"/>
          <w:bCs w:val="0"/>
          <w:i w:val="0"/>
          <w:iCs w:val="0"/>
          <w:color w:val="auto"/>
          <w:sz w:val="22"/>
          <w:szCs w:val="22"/>
          <w:highlight w:val="none"/>
          <w:lang w:eastAsia="zh-CN"/>
        </w:rPr>
        <w:t>，并按</w:t>
      </w:r>
      <w:r>
        <w:rPr>
          <w:rFonts w:hint="eastAsia" w:ascii="宋体" w:hAnsi="宋体" w:eastAsia="宋体" w:cs="宋体"/>
          <w:b w:val="0"/>
          <w:bCs w:val="0"/>
          <w:i w:val="0"/>
          <w:iCs w:val="0"/>
          <w:color w:val="auto"/>
          <w:sz w:val="22"/>
          <w:szCs w:val="22"/>
          <w:highlight w:val="none"/>
        </w:rPr>
        <w:t>采购预算金额的2%对采购人进行赔偿；赔偿金额不足以弥补采购人损失的，投标人应继续承担超过部分的损失。</w:t>
      </w:r>
    </w:p>
    <w:p w14:paraId="452D0382">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eastAsia="zh-CN"/>
        </w:rPr>
        <w:t>（</w:t>
      </w:r>
      <w:r>
        <w:rPr>
          <w:rFonts w:hint="eastAsia" w:ascii="宋体" w:hAnsi="宋体" w:eastAsia="宋体" w:cs="宋体"/>
          <w:b w:val="0"/>
          <w:bCs w:val="0"/>
          <w:i w:val="0"/>
          <w:iCs w:val="0"/>
          <w:color w:val="auto"/>
          <w:sz w:val="22"/>
          <w:szCs w:val="22"/>
          <w:highlight w:val="none"/>
          <w:lang w:val="en-US" w:eastAsia="zh-CN"/>
        </w:rPr>
        <w:t>8</w:t>
      </w:r>
      <w:r>
        <w:rPr>
          <w:rFonts w:hint="eastAsia" w:ascii="宋体" w:hAnsi="宋体" w:eastAsia="宋体" w:cs="宋体"/>
          <w:b w:val="0"/>
          <w:bCs w:val="0"/>
          <w:i w:val="0"/>
          <w:iCs w:val="0"/>
          <w:color w:val="auto"/>
          <w:sz w:val="22"/>
          <w:szCs w:val="22"/>
          <w:highlight w:val="none"/>
          <w:lang w:eastAsia="zh-CN"/>
        </w:rPr>
        <w:t>）存在下列行为的，采购代理机构将其失信行为上报政府采购主管部门，由主管部门按有关规定对其违法失信行为记录进行公开：</w:t>
      </w:r>
    </w:p>
    <w:p w14:paraId="55516130">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eastAsia="zh-CN"/>
        </w:rPr>
        <w:t>（1）中标或者成交后，拒绝签订政府采购合同的；</w:t>
      </w:r>
    </w:p>
    <w:p w14:paraId="5D2CD269">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eastAsia="zh-CN"/>
        </w:rPr>
        <w:t>（2）投标有效期内撤销投标文件的。</w:t>
      </w:r>
    </w:p>
    <w:p w14:paraId="406F85B0">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eastAsia="zh-CN"/>
        </w:rPr>
        <w:t>如签订合同并生效后，投标人无故拒绝或延期合格交货的，除按照合同条款处罚外，列入不良行为记录一次，并给予通报。</w:t>
      </w:r>
    </w:p>
    <w:p w14:paraId="109586F5">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（二）履约保证金</w:t>
      </w:r>
    </w:p>
    <w:p w14:paraId="10F3DDBF">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无需缴纳</w:t>
      </w:r>
    </w:p>
    <w:p w14:paraId="01BFEAFA">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lang w:eastAsia="zh-CN"/>
        </w:rPr>
        <w:t>（三）服务期限</w:t>
      </w:r>
      <w:r>
        <w:rPr>
          <w:rFonts w:hint="eastAsia" w:ascii="宋体" w:hAnsi="宋体" w:eastAsia="宋体" w:cs="宋体"/>
          <w:b/>
          <w:bCs/>
          <w:i w:val="0"/>
          <w:iCs w:val="0"/>
          <w:color w:val="auto"/>
          <w:sz w:val="22"/>
          <w:szCs w:val="22"/>
          <w:highlight w:val="none"/>
        </w:rPr>
        <w:t>：</w:t>
      </w:r>
    </w:p>
    <w:p w14:paraId="044E6E5A">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b/>
          <w:bCs/>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val="en-US" w:eastAsia="zh-CN"/>
        </w:rPr>
        <w:t>从合同签订后至省级规划评审会通过提交最终成果。</w:t>
      </w:r>
    </w:p>
    <w:p w14:paraId="537A082A">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lang w:val="zh-CN" w:eastAsia="zh-CN"/>
        </w:rPr>
      </w:pPr>
      <w:r>
        <w:rPr>
          <w:rFonts w:hint="eastAsia" w:ascii="宋体" w:hAnsi="宋体" w:eastAsia="宋体" w:cs="宋体"/>
          <w:b/>
          <w:bCs/>
          <w:i w:val="0"/>
          <w:iCs w:val="0"/>
          <w:color w:val="auto"/>
          <w:sz w:val="22"/>
          <w:szCs w:val="22"/>
          <w:highlight w:val="none"/>
          <w:lang w:eastAsia="zh-CN"/>
        </w:rPr>
        <w:t>（四）采购方式改变</w:t>
      </w:r>
    </w:p>
    <w:p w14:paraId="585EB220">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在符合资格的投标人不足规定数量或投标人提供的服务及其报价、服务承诺等不能满足采购人要求，以及招标过程中出现其他不正常情况时，经批准，招标代理机构</w:t>
      </w:r>
      <w:r>
        <w:rPr>
          <w:rFonts w:hint="eastAsia" w:ascii="宋体" w:hAnsi="宋体" w:eastAsia="宋体" w:cs="宋体"/>
          <w:i w:val="0"/>
          <w:iCs w:val="0"/>
          <w:color w:val="auto"/>
          <w:sz w:val="22"/>
          <w:szCs w:val="22"/>
          <w:highlight w:val="none"/>
          <w:lang w:val="zh-CN"/>
        </w:rPr>
        <w:t>将根据《政府采购货物和服务招标投标管理办法》(财政部第</w:t>
      </w:r>
      <w:r>
        <w:rPr>
          <w:rFonts w:hint="eastAsia" w:ascii="宋体" w:hAnsi="宋体" w:eastAsia="宋体" w:cs="宋体"/>
          <w:i w:val="0"/>
          <w:iCs w:val="0"/>
          <w:color w:val="auto"/>
          <w:sz w:val="22"/>
          <w:szCs w:val="22"/>
          <w:highlight w:val="none"/>
        </w:rPr>
        <w:t>87</w:t>
      </w:r>
      <w:r>
        <w:rPr>
          <w:rFonts w:hint="eastAsia" w:ascii="宋体" w:hAnsi="宋体" w:eastAsia="宋体" w:cs="宋体"/>
          <w:i w:val="0"/>
          <w:iCs w:val="0"/>
          <w:color w:val="auto"/>
          <w:sz w:val="22"/>
          <w:szCs w:val="22"/>
          <w:highlight w:val="none"/>
          <w:lang w:val="zh-CN"/>
        </w:rPr>
        <w:t>号令)，</w:t>
      </w:r>
      <w:r>
        <w:rPr>
          <w:rFonts w:hint="eastAsia" w:ascii="宋体" w:hAnsi="宋体" w:eastAsia="宋体" w:cs="宋体"/>
          <w:i w:val="0"/>
          <w:iCs w:val="0"/>
          <w:color w:val="auto"/>
          <w:sz w:val="22"/>
          <w:szCs w:val="22"/>
          <w:highlight w:val="none"/>
        </w:rPr>
        <w:t>重新选择合适的方式进行采购。</w:t>
      </w:r>
    </w:p>
    <w:p w14:paraId="412E632B">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lang w:eastAsia="zh-CN"/>
        </w:rPr>
      </w:pPr>
      <w:r>
        <w:rPr>
          <w:rFonts w:hint="eastAsia" w:ascii="宋体" w:hAnsi="宋体" w:eastAsia="宋体" w:cs="宋体"/>
          <w:b/>
          <w:bCs/>
          <w:i w:val="0"/>
          <w:iCs w:val="0"/>
          <w:color w:val="auto"/>
          <w:sz w:val="22"/>
          <w:szCs w:val="22"/>
          <w:highlight w:val="none"/>
          <w:lang w:eastAsia="zh-CN"/>
        </w:rPr>
        <w:t>（五）售后服务考核</w:t>
      </w:r>
    </w:p>
    <w:p w14:paraId="6B4155FC">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采购单位将依据政府采购相关法律法规不定期对合同的履约情况进行检查，发现弄虚作假，达不到国家、行业有关标准和技术文件规定的，给采购人造成损失的，服务商须承担赔偿责任，采购人有权终止合同，并上报政府采购管理办公室。采购人如果认为有必要邀请专家参与考核，中标单位应配合，考核标准另行制定和发布。</w:t>
      </w:r>
    </w:p>
    <w:p w14:paraId="6CDA3D16">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lang w:eastAsia="zh-CN"/>
        </w:rPr>
      </w:pPr>
      <w:r>
        <w:rPr>
          <w:rFonts w:hint="eastAsia" w:ascii="宋体" w:hAnsi="宋体" w:eastAsia="宋体" w:cs="宋体"/>
          <w:b/>
          <w:bCs/>
          <w:i w:val="0"/>
          <w:iCs w:val="0"/>
          <w:color w:val="auto"/>
          <w:sz w:val="22"/>
          <w:szCs w:val="22"/>
          <w:highlight w:val="none"/>
          <w:lang w:eastAsia="zh-CN"/>
        </w:rPr>
        <w:t>（六）</w:t>
      </w:r>
      <w:r>
        <w:rPr>
          <w:rFonts w:hint="eastAsia" w:ascii="宋体" w:hAnsi="宋体" w:cs="宋体"/>
          <w:b/>
          <w:bCs/>
          <w:i w:val="0"/>
          <w:iCs w:val="0"/>
          <w:color w:val="auto"/>
          <w:sz w:val="22"/>
          <w:szCs w:val="22"/>
          <w:highlight w:val="none"/>
          <w:lang w:val="en-US" w:eastAsia="zh-CN"/>
        </w:rPr>
        <w:t>供应商</w:t>
      </w:r>
      <w:r>
        <w:rPr>
          <w:rFonts w:hint="eastAsia" w:ascii="宋体" w:hAnsi="宋体" w:eastAsia="宋体" w:cs="宋体"/>
          <w:b/>
          <w:bCs/>
          <w:i w:val="0"/>
          <w:iCs w:val="0"/>
          <w:color w:val="auto"/>
          <w:sz w:val="22"/>
          <w:szCs w:val="22"/>
          <w:highlight w:val="none"/>
          <w:lang w:eastAsia="zh-CN"/>
        </w:rPr>
        <w:t>质疑</w:t>
      </w:r>
    </w:p>
    <w:p w14:paraId="5B383F0F">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根据《中华人民共和国政府采购法》和《政府采购质疑和投诉办法》(财政部令第94号)的规定，投标人对政府采购活动事项有疑问的，可以向招标人和招标代理机构提出询问，招标人和招标代理机构应当及时</w:t>
      </w:r>
      <w:r>
        <w:rPr>
          <w:rFonts w:hint="eastAsia" w:ascii="宋体" w:hAnsi="宋体" w:eastAsia="宋体" w:cs="宋体"/>
          <w:i w:val="0"/>
          <w:iCs w:val="0"/>
          <w:color w:val="auto"/>
          <w:sz w:val="22"/>
          <w:szCs w:val="22"/>
          <w:highlight w:val="none"/>
          <w:lang w:eastAsia="zh-CN"/>
        </w:rPr>
        <w:t>做</w:t>
      </w:r>
      <w:r>
        <w:rPr>
          <w:rFonts w:hint="eastAsia" w:ascii="宋体" w:hAnsi="宋体" w:eastAsia="宋体" w:cs="宋体"/>
          <w:i w:val="0"/>
          <w:iCs w:val="0"/>
          <w:color w:val="auto"/>
          <w:sz w:val="22"/>
          <w:szCs w:val="22"/>
          <w:highlight w:val="none"/>
        </w:rPr>
        <w:t xml:space="preserve">出答复，但答复的内容不得涉及商业秘密。  </w:t>
      </w:r>
    </w:p>
    <w:p w14:paraId="2CC14071">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供应商认为招标文件、采购过程和成交、成交结果使自己的权益受到损害的，可以在知道或者应知其权益受到损害之日起七个工作日内，以书面形式向采购人、采购代理机构提出质疑。</w:t>
      </w:r>
    </w:p>
    <w:p w14:paraId="5FA4ACB2">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（1）对可以质疑的招标文件提出质疑的，为收到招标文件之日或者招标文件公告期限届满之日；</w:t>
      </w:r>
    </w:p>
    <w:p w14:paraId="49A05420">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（2）对采购过程提出质疑的，为各采购程序环节结束之日；</w:t>
      </w:r>
    </w:p>
    <w:p w14:paraId="4B5F8E86">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（3）对成交结果提出质疑的，为成交结果公告期限届满之日。</w:t>
      </w:r>
    </w:p>
    <w:p w14:paraId="47D672F2">
      <w:pPr>
        <w:pStyle w:val="41"/>
        <w:keepNext w:val="0"/>
        <w:keepLines w:val="0"/>
        <w:pageBreakBefore w:val="0"/>
        <w:kinsoku/>
        <w:overflowPunct/>
        <w:topLinePunct w:val="0"/>
        <w:bidi w:val="0"/>
        <w:snapToGrid w:val="0"/>
        <w:spacing w:before="0" w:line="440" w:lineRule="exact"/>
        <w:ind w:firstLine="56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供应商质疑应当有明确的请求和必要的证明材料。供应商提交的质疑书需一式三份，由法定代表人（负责人）签字（或盖章）并加盖单位公章。质疑书至少应包括下列主要内容：</w:t>
      </w:r>
    </w:p>
    <w:p w14:paraId="4F4F7B2B">
      <w:pPr>
        <w:pStyle w:val="41"/>
        <w:keepNext w:val="0"/>
        <w:keepLines w:val="0"/>
        <w:pageBreakBefore w:val="0"/>
        <w:kinsoku/>
        <w:overflowPunct/>
        <w:topLinePunct w:val="0"/>
        <w:bidi w:val="0"/>
        <w:snapToGrid w:val="0"/>
        <w:spacing w:before="0" w:line="440" w:lineRule="exact"/>
        <w:ind w:firstLine="56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（1）质疑人的名称、地址、邮政编码、联系人、联系电话，以及被质疑人名称及联系方式；</w:t>
      </w:r>
    </w:p>
    <w:p w14:paraId="35AD1E75">
      <w:pPr>
        <w:pStyle w:val="41"/>
        <w:keepNext w:val="0"/>
        <w:keepLines w:val="0"/>
        <w:pageBreakBefore w:val="0"/>
        <w:kinsoku/>
        <w:overflowPunct/>
        <w:topLinePunct w:val="0"/>
        <w:bidi w:val="0"/>
        <w:snapToGrid w:val="0"/>
        <w:spacing w:before="0" w:line="440" w:lineRule="exact"/>
        <w:ind w:firstLine="56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（2）被质疑采购项目名称、编号及采购内容；</w:t>
      </w:r>
    </w:p>
    <w:p w14:paraId="54A6A0B5">
      <w:pPr>
        <w:pStyle w:val="41"/>
        <w:keepNext w:val="0"/>
        <w:keepLines w:val="0"/>
        <w:pageBreakBefore w:val="0"/>
        <w:kinsoku/>
        <w:overflowPunct/>
        <w:topLinePunct w:val="0"/>
        <w:bidi w:val="0"/>
        <w:snapToGrid w:val="0"/>
        <w:spacing w:before="0" w:line="440" w:lineRule="exact"/>
        <w:ind w:firstLine="56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（3）具体的质疑事项及事实依据；</w:t>
      </w:r>
    </w:p>
    <w:p w14:paraId="1134AE36">
      <w:pPr>
        <w:pStyle w:val="41"/>
        <w:keepNext w:val="0"/>
        <w:keepLines w:val="0"/>
        <w:pageBreakBefore w:val="0"/>
        <w:numPr>
          <w:ilvl w:val="0"/>
          <w:numId w:val="4"/>
        </w:numPr>
        <w:kinsoku/>
        <w:overflowPunct/>
        <w:topLinePunct w:val="0"/>
        <w:bidi w:val="0"/>
        <w:snapToGrid w:val="0"/>
        <w:spacing w:before="0" w:line="440" w:lineRule="exact"/>
        <w:ind w:firstLine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认为自己合法权益受到损害或可能受到损害的相关证据材料；</w:t>
      </w:r>
    </w:p>
    <w:p w14:paraId="68E4BEE5">
      <w:pPr>
        <w:keepNext w:val="0"/>
        <w:keepLines w:val="0"/>
        <w:pageBreakBefore w:val="0"/>
        <w:numPr>
          <w:ilvl w:val="0"/>
          <w:numId w:val="4"/>
        </w:numPr>
        <w:kinsoku/>
        <w:overflowPunct/>
        <w:topLinePunct w:val="0"/>
        <w:bidi w:val="0"/>
        <w:snapToGrid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提出质疑的日期。</w:t>
      </w:r>
    </w:p>
    <w:p w14:paraId="31722119">
      <w:pPr>
        <w:keepNext w:val="0"/>
        <w:keepLines w:val="0"/>
        <w:pageBreakBefore w:val="0"/>
        <w:numPr>
          <w:ilvl w:val="0"/>
          <w:numId w:val="5"/>
        </w:numPr>
        <w:kinsoku/>
        <w:overflowPunct/>
        <w:topLinePunct w:val="0"/>
        <w:bidi w:val="0"/>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采购机构应当在收到供应商的书面质疑后七个工作日内作出答复，并以书面形式通知质疑供应商和其他与质疑处理结果有利害关系的政府采购当事人，但答复的内容不得涉及商业秘密。</w:t>
      </w:r>
    </w:p>
    <w:p w14:paraId="727CDBBE">
      <w:pPr>
        <w:keepNext w:val="0"/>
        <w:keepLines w:val="0"/>
        <w:pageBreakBefore w:val="0"/>
        <w:kinsoku/>
        <w:overflowPunct/>
        <w:topLinePunct w:val="0"/>
        <w:bidi w:val="0"/>
        <w:snapToGrid w:val="0"/>
        <w:spacing w:line="44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七</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供应商投诉</w:t>
      </w:r>
    </w:p>
    <w:p w14:paraId="4312AF5A">
      <w:pPr>
        <w:keepNext w:val="0"/>
        <w:keepLines w:val="0"/>
        <w:pageBreakBefore w:val="0"/>
        <w:kinsoku/>
        <w:overflowPunct/>
        <w:topLinePunct w:val="0"/>
        <w:bidi w:val="0"/>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质疑供应商对采购机构的答复不满意或者采购机构未在规定的时间内作出答复的，可以在答复期满后十五个工作日内向</w:t>
      </w:r>
      <w:r>
        <w:rPr>
          <w:rFonts w:hint="eastAsia" w:ascii="宋体" w:hAnsi="宋体" w:eastAsia="宋体" w:cs="宋体"/>
          <w:bCs/>
          <w:color w:val="auto"/>
          <w:sz w:val="22"/>
          <w:szCs w:val="22"/>
          <w:highlight w:val="none"/>
        </w:rPr>
        <w:t>同级政府采购监督管理部门</w:t>
      </w:r>
      <w:r>
        <w:rPr>
          <w:rFonts w:hint="eastAsia" w:ascii="宋体" w:hAnsi="宋体" w:eastAsia="宋体" w:cs="宋体"/>
          <w:color w:val="auto"/>
          <w:sz w:val="22"/>
          <w:szCs w:val="22"/>
          <w:highlight w:val="none"/>
        </w:rPr>
        <w:t>提出投诉。</w:t>
      </w:r>
    </w:p>
    <w:p w14:paraId="3ED671BD">
      <w:pPr>
        <w:keepNext w:val="0"/>
        <w:keepLines w:val="0"/>
        <w:pageBreakBefore w:val="0"/>
        <w:numPr>
          <w:ilvl w:val="0"/>
          <w:numId w:val="0"/>
        </w:numPr>
        <w:kinsoku/>
        <w:overflowPunct/>
        <w:topLinePunct w:val="0"/>
        <w:bidi w:val="0"/>
        <w:snapToGrid w:val="0"/>
        <w:spacing w:line="440" w:lineRule="exact"/>
        <w:ind w:left="567" w:leftChars="0"/>
        <w:textAlignment w:val="auto"/>
        <w:outlineLvl w:val="1"/>
        <w:rPr>
          <w:rFonts w:hint="eastAsia" w:ascii="宋体" w:hAnsi="宋体" w:eastAsia="宋体" w:cs="宋体"/>
          <w:b/>
          <w:color w:val="auto"/>
          <w:sz w:val="22"/>
          <w:szCs w:val="22"/>
          <w:highlight w:val="none"/>
        </w:rPr>
      </w:pPr>
      <w:bookmarkStart w:id="75" w:name="法律责任"/>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八</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法律责任</w:t>
      </w:r>
      <w:bookmarkEnd w:id="75"/>
    </w:p>
    <w:p w14:paraId="3038DFB6">
      <w:pPr>
        <w:pStyle w:val="46"/>
        <w:keepNext w:val="0"/>
        <w:keepLines w:val="0"/>
        <w:pageBreakBefore w:val="0"/>
        <w:numPr>
          <w:ilvl w:val="0"/>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5DCF9A0A">
      <w:pPr>
        <w:pStyle w:val="46"/>
        <w:keepNext w:val="0"/>
        <w:keepLines w:val="0"/>
        <w:pageBreakBefore w:val="0"/>
        <w:numPr>
          <w:ilvl w:val="0"/>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6CA97B3F">
      <w:pPr>
        <w:pStyle w:val="46"/>
        <w:keepNext w:val="0"/>
        <w:keepLines w:val="0"/>
        <w:pageBreakBefore w:val="0"/>
        <w:numPr>
          <w:ilvl w:val="0"/>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3261E7C6">
      <w:pPr>
        <w:pStyle w:val="46"/>
        <w:keepNext w:val="0"/>
        <w:keepLines w:val="0"/>
        <w:pageBreakBefore w:val="0"/>
        <w:numPr>
          <w:ilvl w:val="0"/>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3EC6AD51">
      <w:pPr>
        <w:pStyle w:val="46"/>
        <w:keepNext w:val="0"/>
        <w:keepLines w:val="0"/>
        <w:pageBreakBefore w:val="0"/>
        <w:numPr>
          <w:ilvl w:val="0"/>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523CF8E8">
      <w:pPr>
        <w:pStyle w:val="46"/>
        <w:keepNext w:val="0"/>
        <w:keepLines w:val="0"/>
        <w:pageBreakBefore w:val="0"/>
        <w:numPr>
          <w:ilvl w:val="0"/>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2A3652EE">
      <w:pPr>
        <w:pStyle w:val="46"/>
        <w:keepNext w:val="0"/>
        <w:keepLines w:val="0"/>
        <w:pageBreakBefore w:val="0"/>
        <w:numPr>
          <w:ilvl w:val="1"/>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51F69DEB">
      <w:pPr>
        <w:pStyle w:val="46"/>
        <w:keepNext w:val="0"/>
        <w:keepLines w:val="0"/>
        <w:pageBreakBefore w:val="0"/>
        <w:numPr>
          <w:ilvl w:val="1"/>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21135081">
      <w:pPr>
        <w:pStyle w:val="46"/>
        <w:keepNext w:val="0"/>
        <w:keepLines w:val="0"/>
        <w:pageBreakBefore w:val="0"/>
        <w:numPr>
          <w:ilvl w:val="1"/>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06D6917D">
      <w:pPr>
        <w:pStyle w:val="46"/>
        <w:keepNext w:val="0"/>
        <w:keepLines w:val="0"/>
        <w:pageBreakBefore w:val="0"/>
        <w:numPr>
          <w:ilvl w:val="1"/>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14C480C3">
      <w:pPr>
        <w:pStyle w:val="46"/>
        <w:keepNext w:val="0"/>
        <w:keepLines w:val="0"/>
        <w:pageBreakBefore w:val="0"/>
        <w:numPr>
          <w:ilvl w:val="1"/>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77FE8198">
      <w:pPr>
        <w:pStyle w:val="46"/>
        <w:keepNext w:val="0"/>
        <w:keepLines w:val="0"/>
        <w:pageBreakBefore w:val="0"/>
        <w:numPr>
          <w:ilvl w:val="1"/>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314284B9">
      <w:pPr>
        <w:pStyle w:val="46"/>
        <w:keepNext w:val="0"/>
        <w:keepLines w:val="0"/>
        <w:pageBreakBefore w:val="0"/>
        <w:numPr>
          <w:ilvl w:val="1"/>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327C1B1E">
      <w:pPr>
        <w:pStyle w:val="46"/>
        <w:keepNext w:val="0"/>
        <w:keepLines w:val="0"/>
        <w:pageBreakBefore w:val="0"/>
        <w:numPr>
          <w:ilvl w:val="1"/>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3ACDB18B">
      <w:pPr>
        <w:pStyle w:val="46"/>
        <w:keepNext w:val="0"/>
        <w:keepLines w:val="0"/>
        <w:pageBreakBefore w:val="0"/>
        <w:numPr>
          <w:ilvl w:val="1"/>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3165CE2F">
      <w:pPr>
        <w:pStyle w:val="46"/>
        <w:keepNext w:val="0"/>
        <w:keepLines w:val="0"/>
        <w:pageBreakBefore w:val="0"/>
        <w:numPr>
          <w:ilvl w:val="1"/>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186AAB98">
      <w:pPr>
        <w:pStyle w:val="46"/>
        <w:keepNext w:val="0"/>
        <w:keepLines w:val="0"/>
        <w:pageBreakBefore w:val="0"/>
        <w:numPr>
          <w:ilvl w:val="1"/>
          <w:numId w:val="6"/>
        </w:numPr>
        <w:kinsoku/>
        <w:overflowPunct/>
        <w:topLinePunct w:val="0"/>
        <w:bidi w:val="0"/>
        <w:snapToGrid w:val="0"/>
        <w:spacing w:line="440" w:lineRule="exact"/>
        <w:ind w:firstLineChars="0"/>
        <w:textAlignment w:val="auto"/>
        <w:rPr>
          <w:rFonts w:hint="eastAsia" w:ascii="宋体" w:hAnsi="宋体" w:eastAsia="宋体" w:cs="宋体"/>
          <w:vanish/>
          <w:color w:val="auto"/>
          <w:sz w:val="22"/>
          <w:szCs w:val="22"/>
          <w:highlight w:val="none"/>
        </w:rPr>
      </w:pPr>
    </w:p>
    <w:p w14:paraId="4616E2FF">
      <w:pPr>
        <w:keepNext w:val="0"/>
        <w:keepLines w:val="0"/>
        <w:pageBreakBefore w:val="0"/>
        <w:kinsoku/>
        <w:overflowPunct/>
        <w:topLinePunct w:val="0"/>
        <w:bidi w:val="0"/>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0072A8FB">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提供虚假材料谋取中</w:t>
      </w:r>
      <w:r>
        <w:rPr>
          <w:rFonts w:hint="eastAsia" w:ascii="宋体" w:hAnsi="宋体" w:eastAsia="宋体" w:cs="宋体"/>
          <w:color w:val="auto"/>
          <w:sz w:val="22"/>
          <w:szCs w:val="22"/>
          <w:highlight w:val="none"/>
          <w:lang w:val="en-US" w:eastAsia="zh-CN"/>
        </w:rPr>
        <w:t>标的；</w:t>
      </w:r>
    </w:p>
    <w:p w14:paraId="6DC690AC">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（2）采取不正当手段诋毁、排挤其他供应商的；</w:t>
      </w:r>
    </w:p>
    <w:p w14:paraId="7055E37E">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（3）与采购人、招标代理机构、其他供应商恶意串通的；</w:t>
      </w:r>
    </w:p>
    <w:p w14:paraId="2BFD2025">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（4）向采购人、招标代理机构行贿或者提供其他不正当利益的；</w:t>
      </w:r>
    </w:p>
    <w:p w14:paraId="44A2A359">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（5）在招标过程中与采购人进行协商谈判、不按照采购文件和成交人的投标文件订立合同,或者与采购人另行订立背离合同实质性内容的协议的；</w:t>
      </w:r>
    </w:p>
    <w:p w14:paraId="521C7BCE">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sz w:val="22"/>
          <w:szCs w:val="22"/>
        </w:rPr>
      </w:pPr>
      <w:r>
        <w:rPr>
          <w:rFonts w:hint="eastAsia" w:ascii="宋体" w:hAnsi="宋体" w:eastAsia="宋体" w:cs="宋体"/>
          <w:color w:val="auto"/>
          <w:sz w:val="22"/>
          <w:szCs w:val="22"/>
          <w:highlight w:val="none"/>
          <w:lang w:val="en-US" w:eastAsia="zh-CN"/>
        </w:rPr>
        <w:t>（6）拒绝有关部门监督检查或者提供虚假情况的。</w:t>
      </w:r>
    </w:p>
    <w:p w14:paraId="20D80337">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lang w:eastAsia="zh-CN"/>
        </w:rPr>
      </w:pPr>
      <w:r>
        <w:rPr>
          <w:rFonts w:hint="eastAsia" w:ascii="宋体" w:hAnsi="宋体" w:eastAsia="宋体" w:cs="宋体"/>
          <w:b/>
          <w:bCs/>
          <w:i w:val="0"/>
          <w:iCs w:val="0"/>
          <w:color w:val="auto"/>
          <w:sz w:val="22"/>
          <w:szCs w:val="22"/>
          <w:highlight w:val="none"/>
          <w:lang w:val="zh-CN" w:eastAsia="zh-CN"/>
        </w:rPr>
        <w:t>（</w:t>
      </w:r>
      <w:r>
        <w:rPr>
          <w:rFonts w:hint="eastAsia" w:ascii="宋体" w:hAnsi="宋体" w:cs="宋体"/>
          <w:b/>
          <w:bCs/>
          <w:i w:val="0"/>
          <w:iCs w:val="0"/>
          <w:color w:val="auto"/>
          <w:sz w:val="22"/>
          <w:szCs w:val="22"/>
          <w:highlight w:val="none"/>
          <w:lang w:val="en-US" w:eastAsia="zh-CN"/>
        </w:rPr>
        <w:t>九</w:t>
      </w:r>
      <w:r>
        <w:rPr>
          <w:rFonts w:hint="eastAsia" w:ascii="宋体" w:hAnsi="宋体" w:eastAsia="宋体" w:cs="宋体"/>
          <w:b/>
          <w:bCs/>
          <w:i w:val="0"/>
          <w:iCs w:val="0"/>
          <w:color w:val="auto"/>
          <w:sz w:val="22"/>
          <w:szCs w:val="22"/>
          <w:highlight w:val="none"/>
          <w:lang w:val="zh-CN" w:eastAsia="zh-CN"/>
        </w:rPr>
        <w:t>）</w:t>
      </w:r>
      <w:r>
        <w:rPr>
          <w:rFonts w:hint="eastAsia" w:ascii="宋体" w:hAnsi="宋体" w:eastAsia="宋体" w:cs="宋体"/>
          <w:b/>
          <w:bCs/>
          <w:i w:val="0"/>
          <w:iCs w:val="0"/>
          <w:color w:val="auto"/>
          <w:sz w:val="22"/>
          <w:szCs w:val="22"/>
          <w:highlight w:val="none"/>
          <w:lang w:eastAsia="zh-CN"/>
        </w:rPr>
        <w:t>解释权</w:t>
      </w:r>
    </w:p>
    <w:p w14:paraId="0EEC45F7">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pacing w:val="-11"/>
          <w:sz w:val="22"/>
          <w:szCs w:val="22"/>
          <w:highlight w:val="none"/>
        </w:rPr>
      </w:pPr>
      <w:r>
        <w:rPr>
          <w:rFonts w:hint="eastAsia" w:ascii="宋体" w:hAnsi="宋体" w:eastAsia="宋体" w:cs="宋体"/>
          <w:i w:val="0"/>
          <w:iCs w:val="0"/>
          <w:color w:val="auto"/>
          <w:sz w:val="22"/>
          <w:szCs w:val="22"/>
          <w:highlight w:val="none"/>
        </w:rPr>
        <w:t>招标文件的解释权均属于</w:t>
      </w:r>
      <w:r>
        <w:rPr>
          <w:rFonts w:hint="eastAsia" w:ascii="宋体" w:hAnsi="宋体" w:eastAsia="宋体" w:cs="宋体"/>
          <w:i w:val="0"/>
          <w:iCs w:val="0"/>
          <w:color w:val="auto"/>
          <w:sz w:val="22"/>
          <w:szCs w:val="22"/>
          <w:highlight w:val="none"/>
          <w:lang w:eastAsia="zh-CN"/>
        </w:rPr>
        <w:t>衢州市衢江区</w:t>
      </w:r>
      <w:r>
        <w:rPr>
          <w:rFonts w:hint="eastAsia" w:ascii="宋体" w:hAnsi="宋体" w:eastAsia="宋体" w:cs="宋体"/>
          <w:i w:val="0"/>
          <w:iCs w:val="0"/>
          <w:color w:val="auto"/>
          <w:sz w:val="22"/>
          <w:szCs w:val="22"/>
          <w:highlight w:val="none"/>
          <w:lang w:val="en-US" w:eastAsia="zh-CN"/>
        </w:rPr>
        <w:t>杜泽</w:t>
      </w:r>
      <w:r>
        <w:rPr>
          <w:rFonts w:hint="eastAsia" w:ascii="宋体" w:hAnsi="宋体" w:eastAsia="宋体" w:cs="宋体"/>
          <w:i w:val="0"/>
          <w:iCs w:val="0"/>
          <w:color w:val="auto"/>
          <w:sz w:val="22"/>
          <w:szCs w:val="22"/>
          <w:highlight w:val="none"/>
          <w:lang w:eastAsia="zh-CN"/>
        </w:rPr>
        <w:t>镇人民政府</w:t>
      </w:r>
      <w:r>
        <w:rPr>
          <w:rFonts w:hint="eastAsia" w:ascii="宋体" w:hAnsi="宋体" w:eastAsia="宋体" w:cs="宋体"/>
          <w:i w:val="0"/>
          <w:iCs w:val="0"/>
          <w:color w:val="auto"/>
          <w:sz w:val="22"/>
          <w:szCs w:val="22"/>
          <w:highlight w:val="none"/>
        </w:rPr>
        <w:t>和</w:t>
      </w:r>
      <w:r>
        <w:rPr>
          <w:rFonts w:hint="eastAsia" w:ascii="宋体" w:hAnsi="宋体" w:eastAsia="宋体" w:cs="宋体"/>
          <w:i w:val="0"/>
          <w:iCs w:val="0"/>
          <w:color w:val="auto"/>
          <w:sz w:val="22"/>
          <w:szCs w:val="22"/>
          <w:highlight w:val="none"/>
          <w:lang w:eastAsia="zh-CN"/>
        </w:rPr>
        <w:t>浙江中兰工程项目管理有限公司</w:t>
      </w:r>
      <w:r>
        <w:rPr>
          <w:rFonts w:hint="eastAsia" w:ascii="宋体" w:hAnsi="宋体" w:eastAsia="宋体" w:cs="宋体"/>
          <w:i w:val="0"/>
          <w:iCs w:val="0"/>
          <w:color w:val="auto"/>
          <w:spacing w:val="-11"/>
          <w:sz w:val="22"/>
          <w:szCs w:val="22"/>
          <w:highlight w:val="none"/>
        </w:rPr>
        <w:t>。</w:t>
      </w:r>
    </w:p>
    <w:p w14:paraId="367782BD">
      <w:pPr>
        <w:keepNext w:val="0"/>
        <w:keepLines w:val="0"/>
        <w:pageBreakBefore/>
        <w:shd w:val="clear" w:color="auto" w:fill="FFFFFF"/>
        <w:kinsoku/>
        <w:wordWrap/>
        <w:overflowPunct/>
        <w:topLinePunct w:val="0"/>
        <w:autoSpaceDE/>
        <w:autoSpaceDN/>
        <w:bidi w:val="0"/>
        <w:adjustRightInd/>
        <w:snapToGrid w:val="0"/>
        <w:spacing w:line="420" w:lineRule="exact"/>
        <w:jc w:val="center"/>
        <w:textAlignment w:val="auto"/>
        <w:outlineLvl w:val="0"/>
        <w:rPr>
          <w:rFonts w:hint="eastAsia" w:ascii="宋体" w:hAnsi="宋体" w:eastAsia="宋体" w:cs="宋体"/>
          <w:b/>
          <w:bCs w:val="0"/>
          <w:i w:val="0"/>
          <w:iCs w:val="0"/>
          <w:color w:val="auto"/>
          <w:kern w:val="2"/>
          <w:sz w:val="36"/>
          <w:szCs w:val="36"/>
          <w:highlight w:val="none"/>
          <w:lang w:eastAsia="zh-CN"/>
        </w:rPr>
      </w:pPr>
      <w:bookmarkStart w:id="76" w:name="_Toc33194400"/>
      <w:bookmarkStart w:id="77" w:name="_Toc33194401"/>
      <w:bookmarkStart w:id="78" w:name="_Toc354996706"/>
      <w:bookmarkStart w:id="79" w:name="_Toc233618986"/>
      <w:bookmarkStart w:id="80" w:name="_Toc86217003"/>
      <w:r>
        <w:rPr>
          <w:rFonts w:hint="eastAsia" w:ascii="宋体" w:hAnsi="宋体" w:cs="宋体"/>
          <w:b/>
          <w:bCs/>
          <w:i w:val="0"/>
          <w:iCs w:val="0"/>
          <w:color w:val="auto"/>
          <w:sz w:val="36"/>
          <w:szCs w:val="36"/>
          <w:highlight w:val="none"/>
        </w:rPr>
        <w:t xml:space="preserve">第三部分  </w:t>
      </w:r>
      <w:bookmarkEnd w:id="76"/>
      <w:r>
        <w:rPr>
          <w:rFonts w:hint="eastAsia" w:ascii="宋体" w:hAnsi="宋体" w:cs="宋体"/>
          <w:b/>
          <w:bCs/>
          <w:i w:val="0"/>
          <w:iCs w:val="0"/>
          <w:color w:val="auto"/>
          <w:sz w:val="36"/>
          <w:szCs w:val="36"/>
          <w:highlight w:val="none"/>
          <w:lang w:eastAsia="zh-CN"/>
        </w:rPr>
        <w:t>采购需求</w:t>
      </w:r>
      <w:bookmarkEnd w:id="77"/>
    </w:p>
    <w:p w14:paraId="0FF0EDF2">
      <w:pPr>
        <w:keepNext w:val="0"/>
        <w:keepLines w:val="0"/>
        <w:kinsoku/>
        <w:wordWrap/>
        <w:overflowPunct/>
        <w:topLinePunct w:val="0"/>
        <w:autoSpaceDE/>
        <w:autoSpaceDN/>
        <w:bidi w:val="0"/>
        <w:adjustRightInd/>
        <w:spacing w:line="4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14:paraId="1186B20E">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更好地保护、传承和利用好我省历史文化村落的建筑风貌、人文环境和自然生态，彰显我省美丽乡村建设的地方特色，提升城乡居民的生活品质，根据《关于加强历史文化村落保护利用的若干意见》（浙委办〔2012〕38号）所确定的指导思想、目标任务和工作要求，制定本</w:t>
      </w:r>
      <w:r>
        <w:rPr>
          <w:rFonts w:hint="eastAsia" w:ascii="宋体" w:hAnsi="宋体" w:eastAsia="宋体" w:cs="宋体"/>
          <w:color w:val="auto"/>
          <w:sz w:val="21"/>
          <w:szCs w:val="21"/>
          <w:highlight w:val="none"/>
          <w:lang w:val="en-US" w:eastAsia="zh-CN"/>
        </w:rPr>
        <w:t>规划项目</w:t>
      </w:r>
      <w:r>
        <w:rPr>
          <w:rFonts w:hint="eastAsia" w:ascii="宋体" w:hAnsi="宋体" w:eastAsia="宋体" w:cs="宋体"/>
          <w:color w:val="auto"/>
          <w:sz w:val="21"/>
          <w:szCs w:val="21"/>
          <w:highlight w:val="none"/>
        </w:rPr>
        <w:t>。</w:t>
      </w:r>
    </w:p>
    <w:p w14:paraId="66DBFA76">
      <w:pPr>
        <w:keepNext w:val="0"/>
        <w:keepLines w:val="0"/>
        <w:kinsoku/>
        <w:wordWrap/>
        <w:overflowPunct/>
        <w:topLinePunct w:val="0"/>
        <w:autoSpaceDE/>
        <w:autoSpaceDN/>
        <w:bidi w:val="0"/>
        <w:adjustRightInd/>
        <w:spacing w:line="420" w:lineRule="exact"/>
        <w:jc w:val="left"/>
        <w:textAlignment w:val="auto"/>
        <w:rPr>
          <w:rFonts w:hint="eastAsia" w:ascii="宋体" w:hAnsi="宋体" w:eastAsia="宋体" w:cs="宋体"/>
          <w:b/>
          <w:color w:val="auto"/>
          <w:sz w:val="21"/>
          <w:szCs w:val="21"/>
          <w:highlight w:val="none"/>
        </w:rPr>
      </w:pPr>
      <w:bookmarkStart w:id="81" w:name="_Toc32205"/>
      <w:bookmarkStart w:id="82" w:name="_Toc17453"/>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、目标与任务</w:t>
      </w:r>
      <w:bookmarkEnd w:id="81"/>
      <w:bookmarkEnd w:id="82"/>
    </w:p>
    <w:p w14:paraId="1DB77A9D">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历史文化村落保护利用重点村应围绕“修复优雅传统建筑、弘扬悠久传统文化、打造优美人居环境、营造悠闲生活方式”的目标要求，通过古建保护、文化挖掘、环境修复、村庄整治、旅游拓展等综合措施，全面保护浙江历史文化村落的建筑形制、整体风貌、民俗文化以及自然环境，体现出具有浙江农村乡土特色的风情韵味，使之成为“宜居、宜业、宜游”的美丽乡村，成为农民群众幸福生活的家园和广大市民休闲旅游的乐园。</w:t>
      </w:r>
    </w:p>
    <w:p w14:paraId="4D739780">
      <w:pPr>
        <w:keepNext w:val="0"/>
        <w:keepLines w:val="0"/>
        <w:kinsoku/>
        <w:wordWrap/>
        <w:overflowPunct/>
        <w:topLinePunct w:val="0"/>
        <w:autoSpaceDE/>
        <w:autoSpaceDN/>
        <w:bidi w:val="0"/>
        <w:adjustRightInd/>
        <w:spacing w:line="420" w:lineRule="exact"/>
        <w:jc w:val="left"/>
        <w:textAlignment w:val="auto"/>
        <w:rPr>
          <w:rFonts w:hint="eastAsia" w:ascii="宋体" w:hAnsi="宋体" w:eastAsia="宋体" w:cs="宋体"/>
          <w:b/>
          <w:color w:val="auto"/>
          <w:sz w:val="21"/>
          <w:szCs w:val="21"/>
          <w:highlight w:val="none"/>
          <w:lang w:val="en-US" w:eastAsia="zh-CN"/>
        </w:rPr>
      </w:pPr>
      <w:bookmarkStart w:id="83" w:name="_Toc20083"/>
      <w:bookmarkStart w:id="84" w:name="_Toc24142"/>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bookmarkEnd w:id="83"/>
      <w:bookmarkEnd w:id="84"/>
      <w:r>
        <w:rPr>
          <w:rFonts w:hint="eastAsia" w:ascii="宋体" w:hAnsi="宋体" w:eastAsia="宋体" w:cs="宋体"/>
          <w:b/>
          <w:color w:val="auto"/>
          <w:sz w:val="21"/>
          <w:szCs w:val="21"/>
          <w:highlight w:val="none"/>
          <w:lang w:val="en-US" w:eastAsia="zh-CN"/>
        </w:rPr>
        <w:t>基本原则</w:t>
      </w:r>
    </w:p>
    <w:p w14:paraId="03126D53">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保护优先原则。坚持把“保存修护”放在首要前提，保留历史的真实性，凸显风貌的完整性，呈现生活的延续性，展现人与自然的和谐性，确保旅游开发的科学性。</w:t>
      </w:r>
    </w:p>
    <w:p w14:paraId="1CCB289F">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整体性原则。在保护优先的前提下，注重规划的全面性和整体性，统筹兼顾建筑单体、村落自然地理环境、村落传统格局、风土人情、文化遗产等的保护、发掘和修复。</w:t>
      </w:r>
    </w:p>
    <w:p w14:paraId="5CE9075F">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彰显特色原则。在建筑、环境与景观营造上应突出乡土特色、地域特色，尊重和延续村落特有的习俗，塑造村落个性，彰显具有独特吸引力的特色风貌。</w:t>
      </w:r>
    </w:p>
    <w:p w14:paraId="4DDD4BF2">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以人为本原则。处理好历史文化保护与改善农民群众居住条件和生活环境的关系，合理安排村民住房条件改善、基础设施和环境综合整治等项目，使生活在历史文化村落中的农民群众同样能享受现代文明的生活。</w:t>
      </w:r>
    </w:p>
    <w:p w14:paraId="3D0468CD">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科学利用原则。在保护的基础上，按照“保护促利用、利用强保护”的要求，合理谋划乡村休闲旅游、民间工艺作坊、乡土文化体验、传统农事参与等历史文化休闲旅游项目，促进历史文化村落保护利用的可持续发展。</w:t>
      </w:r>
    </w:p>
    <w:p w14:paraId="14F97999">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规划衔接原则。历史文化村落保护利用重点村规划应与县（市）域总体规划、土地利用总体规划、村庄建设规划以及交通、旅游、水利、环保、文化等相关规划衔接，根据自身的特点和有关法律法规政策的要求，制定与当地经济社会发展水平相适应的规划，做到一次规划，分步实施。</w:t>
      </w:r>
    </w:p>
    <w:p w14:paraId="064D09CF">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经济化原则。要求在“修复传统建筑、弘扬传统文化、优化人居环境”的同时，做到经济合理、高效集约，避免不必要的浪费。</w:t>
      </w:r>
    </w:p>
    <w:p w14:paraId="00F52D7C">
      <w:pPr>
        <w:keepNext w:val="0"/>
        <w:keepLines w:val="0"/>
        <w:kinsoku/>
        <w:wordWrap/>
        <w:overflowPunct/>
        <w:topLinePunct w:val="0"/>
        <w:autoSpaceDE/>
        <w:autoSpaceDN/>
        <w:bidi w:val="0"/>
        <w:adjustRightInd/>
        <w:spacing w:line="420" w:lineRule="exact"/>
        <w:jc w:val="left"/>
        <w:textAlignment w:val="auto"/>
        <w:rPr>
          <w:rFonts w:hint="eastAsia" w:ascii="宋体" w:hAnsi="宋体" w:eastAsia="宋体" w:cs="宋体"/>
          <w:b/>
          <w:color w:val="auto"/>
          <w:sz w:val="21"/>
          <w:szCs w:val="21"/>
          <w:highlight w:val="none"/>
        </w:rPr>
      </w:pPr>
      <w:bookmarkStart w:id="85" w:name="_Toc10401"/>
      <w:r>
        <w:rPr>
          <w:rFonts w:hint="eastAsia" w:ascii="宋体" w:hAnsi="宋体" w:eastAsia="宋体" w:cs="宋体"/>
          <w:b/>
          <w:color w:val="auto"/>
          <w:sz w:val="21"/>
          <w:szCs w:val="21"/>
          <w:highlight w:val="none"/>
        </w:rPr>
        <w:t>四、实施内容和范围</w:t>
      </w:r>
      <w:bookmarkEnd w:id="85"/>
    </w:p>
    <w:p w14:paraId="6FB943F2">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编制杜泽镇白水村历史文化保护和利用重点村规划。根据《关于加强历史文化村落保护利用的若干意见》所确定的指导思想、目标任务和工作要求。本次规划范围包括杜泽镇白水村及周边相关环境，规划按照“修复优雅传统建筑、弘扬悠久传统文化、打造优美人居环境、营造悠闲生活方式”的要求，重点实施古建筑修复、村内古道修复与改造项目、与历史风貌有冲突的建（构）筑物整修改造等项目建设。</w:t>
      </w:r>
    </w:p>
    <w:p w14:paraId="67013370">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2、规划内容、深度按国家、省和市有关规范执行；编制规划要符合《城市规划编制办法》（2006年4月）的深度要求。 </w:t>
      </w:r>
    </w:p>
    <w:p w14:paraId="2E06DD45">
      <w:pPr>
        <w:keepNext w:val="0"/>
        <w:keepLines w:val="0"/>
        <w:kinsoku/>
        <w:wordWrap/>
        <w:overflowPunct/>
        <w:topLinePunct w:val="0"/>
        <w:autoSpaceDE/>
        <w:autoSpaceDN/>
        <w:bidi w:val="0"/>
        <w:adjustRightInd/>
        <w:spacing w:line="420" w:lineRule="exact"/>
        <w:jc w:val="left"/>
        <w:textAlignment w:val="auto"/>
        <w:rPr>
          <w:rFonts w:hint="eastAsia" w:ascii="宋体" w:hAnsi="宋体" w:eastAsia="宋体" w:cs="宋体"/>
          <w:b/>
          <w:color w:val="auto"/>
          <w:sz w:val="21"/>
          <w:szCs w:val="21"/>
          <w:highlight w:val="none"/>
        </w:rPr>
      </w:pPr>
      <w:bookmarkStart w:id="86" w:name="_Toc23699"/>
      <w:bookmarkStart w:id="87" w:name="_Toc16862"/>
      <w:r>
        <w:rPr>
          <w:rFonts w:hint="eastAsia" w:ascii="宋体" w:hAnsi="宋体" w:eastAsia="宋体" w:cs="宋体"/>
          <w:b/>
          <w:color w:val="auto"/>
          <w:sz w:val="21"/>
          <w:szCs w:val="21"/>
          <w:highlight w:val="none"/>
        </w:rPr>
        <w:t>五、编制依据</w:t>
      </w:r>
      <w:bookmarkEnd w:id="86"/>
      <w:bookmarkEnd w:id="87"/>
    </w:p>
    <w:p w14:paraId="60FA9281">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以《中华人民共和国文物保护法》(</w:t>
      </w:r>
      <w:r>
        <w:rPr>
          <w:rFonts w:hint="eastAsia" w:ascii="宋体" w:hAnsi="宋体" w:cs="宋体"/>
          <w:color w:val="auto"/>
          <w:sz w:val="21"/>
          <w:szCs w:val="21"/>
          <w:highlight w:val="none"/>
          <w:lang w:val="en-US" w:eastAsia="zh-CN"/>
        </w:rPr>
        <w:t>2024</w:t>
      </w:r>
      <w:r>
        <w:rPr>
          <w:rFonts w:hint="eastAsia" w:ascii="宋体" w:hAnsi="宋体" w:eastAsia="宋体" w:cs="宋体"/>
          <w:color w:val="auto"/>
          <w:sz w:val="21"/>
          <w:szCs w:val="21"/>
          <w:highlight w:val="none"/>
        </w:rPr>
        <w:t>年修订 )</w:t>
      </w:r>
      <w:r>
        <w:rPr>
          <w:rFonts w:hint="eastAsia" w:ascii="宋体" w:hAnsi="宋体" w:cs="宋体"/>
          <w:color w:val="auto"/>
          <w:sz w:val="21"/>
          <w:szCs w:val="21"/>
          <w:highlight w:val="none"/>
          <w:lang w:eastAsia="zh-CN"/>
        </w:rPr>
        <w:t>；</w:t>
      </w:r>
    </w:p>
    <w:p w14:paraId="1275FFB8">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《中华人民共和国城乡规划法》(2019 年 )</w:t>
      </w:r>
      <w:r>
        <w:rPr>
          <w:rFonts w:hint="eastAsia" w:ascii="宋体" w:hAnsi="宋体" w:cs="宋体"/>
          <w:color w:val="auto"/>
          <w:sz w:val="21"/>
          <w:szCs w:val="21"/>
          <w:highlight w:val="none"/>
          <w:lang w:eastAsia="zh-CN"/>
        </w:rPr>
        <w:t>；</w:t>
      </w:r>
    </w:p>
    <w:p w14:paraId="2B74276A">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《中华人民共和国土地管理法》(2020 年修订 )</w:t>
      </w:r>
      <w:r>
        <w:rPr>
          <w:rFonts w:hint="eastAsia" w:ascii="宋体" w:hAnsi="宋体" w:cs="宋体"/>
          <w:color w:val="auto"/>
          <w:sz w:val="21"/>
          <w:szCs w:val="21"/>
          <w:highlight w:val="none"/>
          <w:lang w:eastAsia="zh-CN"/>
        </w:rPr>
        <w:t>；</w:t>
      </w:r>
    </w:p>
    <w:p w14:paraId="7E5363B1">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《中华人民共和国环境保护法》(2014 年修订 )</w:t>
      </w:r>
      <w:r>
        <w:rPr>
          <w:rFonts w:hint="eastAsia" w:ascii="宋体" w:hAnsi="宋体" w:cs="宋体"/>
          <w:color w:val="auto"/>
          <w:sz w:val="21"/>
          <w:szCs w:val="21"/>
          <w:highlight w:val="none"/>
          <w:lang w:eastAsia="zh-CN"/>
        </w:rPr>
        <w:t>；</w:t>
      </w:r>
    </w:p>
    <w:p w14:paraId="2D78A531">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《历史文化名城名镇名村保护条例》(2017 年修订 )</w:t>
      </w:r>
      <w:r>
        <w:rPr>
          <w:rFonts w:hint="eastAsia" w:ascii="宋体" w:hAnsi="宋体" w:cs="宋体"/>
          <w:color w:val="auto"/>
          <w:sz w:val="21"/>
          <w:szCs w:val="21"/>
          <w:highlight w:val="none"/>
          <w:lang w:eastAsia="zh-CN"/>
        </w:rPr>
        <w:t>；</w:t>
      </w:r>
    </w:p>
    <w:p w14:paraId="4EB7C6AB">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《中国文物古迹保护准则》(2015 年修订 )</w:t>
      </w:r>
      <w:r>
        <w:rPr>
          <w:rFonts w:hint="eastAsia" w:ascii="宋体" w:hAnsi="宋体" w:cs="宋体"/>
          <w:color w:val="auto"/>
          <w:sz w:val="21"/>
          <w:szCs w:val="21"/>
          <w:highlight w:val="none"/>
          <w:lang w:eastAsia="zh-CN"/>
        </w:rPr>
        <w:t>；</w:t>
      </w:r>
    </w:p>
    <w:p w14:paraId="04F7E212">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《中华人民共和国文物保护法实施条例》(2017 年修订 )</w:t>
      </w:r>
      <w:r>
        <w:rPr>
          <w:rFonts w:hint="eastAsia" w:ascii="宋体" w:hAnsi="宋体" w:cs="宋体"/>
          <w:color w:val="auto"/>
          <w:sz w:val="21"/>
          <w:szCs w:val="21"/>
          <w:highlight w:val="none"/>
          <w:lang w:eastAsia="zh-CN"/>
        </w:rPr>
        <w:t>；</w:t>
      </w:r>
    </w:p>
    <w:p w14:paraId="79606A61">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《历史文化名城名镇名村保护规划编制要求（试行）》(2013)</w:t>
      </w:r>
      <w:r>
        <w:rPr>
          <w:rFonts w:hint="eastAsia" w:ascii="宋体" w:hAnsi="宋体" w:cs="宋体"/>
          <w:color w:val="auto"/>
          <w:sz w:val="21"/>
          <w:szCs w:val="21"/>
          <w:highlight w:val="none"/>
          <w:lang w:eastAsia="zh-CN"/>
        </w:rPr>
        <w:t>；</w:t>
      </w:r>
    </w:p>
    <w:p w14:paraId="7704FDBD">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《浙江省文物保护管理条例》(2014 年第二次修订 )</w:t>
      </w:r>
      <w:r>
        <w:rPr>
          <w:rFonts w:hint="eastAsia" w:ascii="宋体" w:hAnsi="宋体" w:cs="宋体"/>
          <w:color w:val="auto"/>
          <w:sz w:val="21"/>
          <w:szCs w:val="21"/>
          <w:highlight w:val="none"/>
          <w:lang w:eastAsia="zh-CN"/>
        </w:rPr>
        <w:t>；</w:t>
      </w:r>
    </w:p>
    <w:p w14:paraId="3002507E">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《浙江省历史文化名城名镇名村保护条例》(2020 年修订 )</w:t>
      </w:r>
      <w:r>
        <w:rPr>
          <w:rFonts w:hint="eastAsia" w:ascii="宋体" w:hAnsi="宋体" w:cs="宋体"/>
          <w:color w:val="auto"/>
          <w:sz w:val="21"/>
          <w:szCs w:val="21"/>
          <w:highlight w:val="none"/>
          <w:lang w:eastAsia="zh-CN"/>
        </w:rPr>
        <w:t>；</w:t>
      </w:r>
    </w:p>
    <w:p w14:paraId="5FD49CB1">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《浙江省历史文化（传统）村落保护利用重点村规划设计参照要求》( 修订版 )</w:t>
      </w:r>
      <w:r>
        <w:rPr>
          <w:rFonts w:hint="eastAsia" w:ascii="宋体" w:hAnsi="宋体" w:cs="宋体"/>
          <w:color w:val="auto"/>
          <w:sz w:val="21"/>
          <w:szCs w:val="21"/>
          <w:highlight w:val="none"/>
          <w:lang w:eastAsia="zh-CN"/>
        </w:rPr>
        <w:t>；</w:t>
      </w:r>
    </w:p>
    <w:p w14:paraId="2D705888">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中共浙江省委办公厅、浙江省人民政府办公厅《关于进一步加强历史文化（传统）村落保护利用工作的意见》（浙委办发 [2020]66 号）</w:t>
      </w:r>
      <w:r>
        <w:rPr>
          <w:rFonts w:hint="eastAsia" w:ascii="宋体" w:hAnsi="宋体" w:cs="宋体"/>
          <w:color w:val="auto"/>
          <w:sz w:val="21"/>
          <w:szCs w:val="21"/>
          <w:highlight w:val="none"/>
          <w:lang w:eastAsia="zh-CN"/>
        </w:rPr>
        <w:t>；</w:t>
      </w:r>
    </w:p>
    <w:p w14:paraId="0561CA46">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《浙江省历史文化（传统）村落保护利用项目管理办法》（浙农社发 [2022]4 号）</w:t>
      </w:r>
      <w:r>
        <w:rPr>
          <w:rFonts w:hint="eastAsia" w:ascii="宋体" w:hAnsi="宋体" w:cs="宋体"/>
          <w:color w:val="auto"/>
          <w:sz w:val="21"/>
          <w:szCs w:val="21"/>
          <w:highlight w:val="none"/>
          <w:lang w:eastAsia="zh-CN"/>
        </w:rPr>
        <w:t>；</w:t>
      </w:r>
    </w:p>
    <w:p w14:paraId="4C953383">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《关于加强历史文化村落保护的若干意见》（浙委办发 [2012]38 号）</w:t>
      </w:r>
      <w:r>
        <w:rPr>
          <w:rFonts w:hint="eastAsia" w:ascii="宋体" w:hAnsi="宋体" w:cs="宋体"/>
          <w:color w:val="auto"/>
          <w:sz w:val="21"/>
          <w:szCs w:val="21"/>
          <w:highlight w:val="none"/>
          <w:lang w:eastAsia="zh-CN"/>
        </w:rPr>
        <w:t>；</w:t>
      </w:r>
    </w:p>
    <w:p w14:paraId="480506B9">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《浙江省古树名木保护办法》(2017年7月7日浙江省人民政府令第356号)</w:t>
      </w:r>
      <w:r>
        <w:rPr>
          <w:rFonts w:hint="eastAsia" w:ascii="宋体" w:hAnsi="宋体" w:cs="宋体"/>
          <w:color w:val="auto"/>
          <w:sz w:val="21"/>
          <w:szCs w:val="21"/>
          <w:highlight w:val="none"/>
          <w:lang w:eastAsia="zh-CN"/>
        </w:rPr>
        <w:t>；</w:t>
      </w:r>
    </w:p>
    <w:p w14:paraId="3D177062">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《浙江省村庄规划编制导则等有关法律、法规、规章制度和指导性文件为依据</w:t>
      </w:r>
      <w:r>
        <w:rPr>
          <w:rFonts w:hint="eastAsia" w:ascii="宋体" w:hAnsi="宋体" w:eastAsia="宋体" w:cs="宋体"/>
          <w:color w:val="auto"/>
          <w:sz w:val="21"/>
          <w:szCs w:val="21"/>
          <w:highlight w:val="none"/>
          <w:lang w:eastAsia="zh-CN"/>
        </w:rPr>
        <w:t>。</w:t>
      </w:r>
    </w:p>
    <w:p w14:paraId="06593CE1">
      <w:pPr>
        <w:pStyle w:val="2"/>
        <w:ind w:left="0" w:leftChars="0" w:firstLine="422" w:firstLineChars="20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注：以上编制依据引用的规范、标准、条例等文件有最新的，则按最新的要求执行。</w:t>
      </w:r>
    </w:p>
    <w:p w14:paraId="36A8365A">
      <w:pPr>
        <w:keepNext w:val="0"/>
        <w:keepLines w:val="0"/>
        <w:kinsoku/>
        <w:wordWrap/>
        <w:overflowPunct/>
        <w:topLinePunct w:val="0"/>
        <w:autoSpaceDE/>
        <w:autoSpaceDN/>
        <w:bidi w:val="0"/>
        <w:adjustRightInd/>
        <w:spacing w:line="420" w:lineRule="exact"/>
        <w:jc w:val="left"/>
        <w:textAlignment w:val="auto"/>
        <w:rPr>
          <w:rFonts w:hint="eastAsia" w:ascii="宋体" w:hAnsi="宋体" w:eastAsia="宋体" w:cs="宋体"/>
          <w:b/>
          <w:color w:val="auto"/>
          <w:sz w:val="21"/>
          <w:szCs w:val="21"/>
          <w:highlight w:val="none"/>
        </w:rPr>
      </w:pPr>
      <w:bookmarkStart w:id="88" w:name="_Toc18408"/>
      <w:bookmarkStart w:id="89" w:name="_Toc31737"/>
      <w:r>
        <w:rPr>
          <w:rFonts w:hint="eastAsia" w:ascii="宋体" w:hAnsi="宋体" w:eastAsia="宋体" w:cs="宋体"/>
          <w:b/>
          <w:color w:val="auto"/>
          <w:sz w:val="21"/>
          <w:szCs w:val="21"/>
          <w:highlight w:val="none"/>
        </w:rPr>
        <w:t>六、主要成果要求</w:t>
      </w:r>
      <w:bookmarkEnd w:id="88"/>
      <w:bookmarkEnd w:id="89"/>
    </w:p>
    <w:p w14:paraId="7F05B522">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浙江省历史文化村落保护利用重点村规划设计成果应包含说明书和图纸两方面内容</w:t>
      </w:r>
    </w:p>
    <w:p w14:paraId="7BDE83C1">
      <w:pPr>
        <w:keepNext w:val="0"/>
        <w:keepLines w:val="0"/>
        <w:numPr>
          <w:ilvl w:val="0"/>
          <w:numId w:val="7"/>
        </w:numPr>
        <w:kinsoku/>
        <w:wordWrap/>
        <w:overflowPunct/>
        <w:topLinePunct w:val="0"/>
        <w:autoSpaceDE/>
        <w:autoSpaceDN/>
        <w:bidi w:val="0"/>
        <w:adjustRightInd/>
        <w:spacing w:line="420" w:lineRule="exact"/>
        <w:ind w:firstLine="422" w:firstLineChars="200"/>
        <w:jc w:val="lef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规划说明书</w:t>
      </w:r>
    </w:p>
    <w:p w14:paraId="3E65D2F0">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规划说明书是对历史文化村落保护利用重点村规划设计的总体表述，要求文字简洁、表述清晰、内容精炼，具体包括但不限于以下几方面内容：</w:t>
      </w:r>
    </w:p>
    <w:p w14:paraId="63640F37">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（一）概述。包括规划背景、规划范围、相关规划指导与衔接等。</w:t>
      </w:r>
    </w:p>
    <w:p w14:paraId="20F960F0">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（二）现状分析。包括自然生态环境、地形地貌现状分析，传统建筑及民俗风情等历史人文资源现状调查与评价，村落现有人口、经济、社会文化发展现状，土地利用现状，道路交通和市政设施现状等。</w:t>
      </w:r>
    </w:p>
    <w:p w14:paraId="4EAEBC38">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（三）规划总则。包括规划依据，规划指导思想，规划原则和目标，规划定位等。</w:t>
      </w:r>
    </w:p>
    <w:p w14:paraId="51C3F18E">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四）专项规划内容说明。对空间布局、建（构）筑与历史环境要素整治、古道修复与道路交通、公共服务设施、市政工程、防灾和环境保护、绿化与景观、文化发展、旅游发展、要素保障等方面规划内容进行具体说明。</w:t>
      </w:r>
    </w:p>
    <w:p w14:paraId="49543903">
      <w:pPr>
        <w:keepNext w:val="0"/>
        <w:keepLines w:val="0"/>
        <w:kinsoku/>
        <w:wordWrap/>
        <w:overflowPunct/>
        <w:topLinePunct w:val="0"/>
        <w:autoSpaceDE/>
        <w:autoSpaceDN/>
        <w:bidi w:val="0"/>
        <w:adjustRightInd/>
        <w:spacing w:line="420" w:lineRule="exact"/>
        <w:ind w:firstLine="422"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规划图纸</w:t>
      </w:r>
    </w:p>
    <w:p w14:paraId="523B5484">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bookmarkStart w:id="90" w:name="_Toc17882"/>
      <w:bookmarkStart w:id="91" w:name="_Toc9038"/>
      <w:bookmarkStart w:id="92" w:name="_Toc1095"/>
      <w:bookmarkStart w:id="93" w:name="_Toc3748"/>
      <w:bookmarkStart w:id="94" w:name="_Toc23764"/>
      <w:r>
        <w:rPr>
          <w:rFonts w:hint="eastAsia" w:ascii="宋体" w:hAnsi="宋体" w:eastAsia="宋体" w:cs="宋体"/>
          <w:color w:val="auto"/>
          <w:sz w:val="21"/>
          <w:szCs w:val="21"/>
          <w:highlight w:val="none"/>
        </w:rPr>
        <w:t>规划图纸是对规划设计意图的表达，历史文化村落保护利用重点村规划应包括但不限于以下图纸内容：</w:t>
      </w:r>
    </w:p>
    <w:p w14:paraId="7B743515">
      <w:pPr>
        <w:keepNext w:val="0"/>
        <w:keepLines w:val="0"/>
        <w:numPr>
          <w:ilvl w:val="0"/>
          <w:numId w:val="8"/>
        </w:numPr>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区位分析图。</w:t>
      </w:r>
    </w:p>
    <w:p w14:paraId="365F3B56">
      <w:pPr>
        <w:keepNext w:val="0"/>
        <w:keepLines w:val="0"/>
        <w:numPr>
          <w:ilvl w:val="0"/>
          <w:numId w:val="8"/>
        </w:numPr>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现状分析图。包括土地利用现状图，自然与历史人文资源分布图，现状建筑分析图，道路交通现状图等。</w:t>
      </w:r>
    </w:p>
    <w:p w14:paraId="53DA5395">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（三）规划总平面图。</w:t>
      </w:r>
    </w:p>
    <w:p w14:paraId="23B4EED0">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（四）道路交通规划图。包括道路骨架与结构图、道路断面图、旅游交通组织分析图等。</w:t>
      </w:r>
    </w:p>
    <w:p w14:paraId="0920FEED">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（五）单项或综合工程管网规划图。包括给水、排水、电力、电信等各类市政公用设施管线规划图。</w:t>
      </w:r>
    </w:p>
    <w:p w14:paraId="734404E5">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（六）竖向规划图。</w:t>
      </w:r>
    </w:p>
    <w:p w14:paraId="5AE1C199">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（七）景观节点设计图。</w:t>
      </w:r>
    </w:p>
    <w:p w14:paraId="7909785A">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（八）发展分析图。根据历史文化村落的主题定位和发展方向，编制旅游发展、文化发展、产业发展的相关分析图。</w:t>
      </w:r>
    </w:p>
    <w:p w14:paraId="3AA30D96">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（九）其他反映规划设计意图的分析图、效果图等。</w:t>
      </w:r>
    </w:p>
    <w:p w14:paraId="7A06EF35">
      <w:pPr>
        <w:keepNext w:val="0"/>
        <w:keepLines w:val="0"/>
        <w:kinsoku/>
        <w:wordWrap/>
        <w:overflowPunct/>
        <w:topLinePunct w:val="0"/>
        <w:autoSpaceDE/>
        <w:autoSpaceDN/>
        <w:bidi w:val="0"/>
        <w:adjustRightInd/>
        <w:spacing w:line="42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w:t>
      </w:r>
      <w:bookmarkEnd w:id="90"/>
      <w:bookmarkEnd w:id="91"/>
      <w:bookmarkEnd w:id="92"/>
      <w:r>
        <w:rPr>
          <w:rFonts w:hint="eastAsia" w:ascii="宋体" w:hAnsi="宋体" w:eastAsia="宋体" w:cs="宋体"/>
          <w:b/>
          <w:color w:val="auto"/>
          <w:sz w:val="21"/>
          <w:szCs w:val="21"/>
          <w:highlight w:val="none"/>
        </w:rPr>
        <w:t>商务要求</w:t>
      </w:r>
      <w:bookmarkEnd w:id="93"/>
      <w:bookmarkEnd w:id="94"/>
    </w:p>
    <w:p w14:paraId="01D67405">
      <w:pPr>
        <w:keepNext w:val="0"/>
        <w:keepLines w:val="0"/>
        <w:kinsoku/>
        <w:wordWrap/>
        <w:overflowPunct/>
        <w:topLinePunct w:val="0"/>
        <w:autoSpaceDE/>
        <w:autoSpaceDN/>
        <w:bidi w:val="0"/>
        <w:adjustRightInd/>
        <w:spacing w:line="42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1、时间进度要求</w:t>
      </w:r>
    </w:p>
    <w:p w14:paraId="5385DF2B">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中标方</w:t>
      </w:r>
      <w:r>
        <w:rPr>
          <w:rFonts w:hint="eastAsia" w:ascii="宋体" w:hAnsi="宋体" w:eastAsia="宋体" w:cs="宋体"/>
          <w:color w:val="auto"/>
          <w:sz w:val="21"/>
          <w:szCs w:val="21"/>
          <w:highlight w:val="none"/>
        </w:rPr>
        <w:t>应在合同签订后30日历天内提交规划设计方案；方案需通过省、</w:t>
      </w:r>
      <w:r>
        <w:rPr>
          <w:rFonts w:hint="eastAsia" w:ascii="宋体" w:hAnsi="宋体" w:eastAsia="宋体" w:cs="宋体"/>
          <w:color w:val="auto"/>
          <w:sz w:val="21"/>
          <w:szCs w:val="21"/>
          <w:highlight w:val="none"/>
          <w:lang w:val="en-US" w:eastAsia="zh-CN"/>
        </w:rPr>
        <w:t>区</w:t>
      </w:r>
      <w:r>
        <w:rPr>
          <w:rFonts w:hint="eastAsia" w:ascii="宋体" w:hAnsi="宋体" w:eastAsia="宋体" w:cs="宋体"/>
          <w:color w:val="auto"/>
          <w:sz w:val="21"/>
          <w:szCs w:val="21"/>
          <w:highlight w:val="none"/>
        </w:rPr>
        <w:t>两级评审，省级规划评审会后30日历天内提交最终成果稿，提供成果稿</w:t>
      </w:r>
      <w:r>
        <w:rPr>
          <w:rFonts w:hint="eastAsia" w:ascii="宋体" w:hAnsi="宋体" w:eastAsia="宋体" w:cs="宋体"/>
          <w:color w:val="auto"/>
          <w:sz w:val="21"/>
          <w:szCs w:val="21"/>
          <w:highlight w:val="none"/>
          <w:lang w:val="en-US" w:eastAsia="zh-CN"/>
        </w:rPr>
        <w:t>陆</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p>
    <w:p w14:paraId="21F1E8C4">
      <w:pPr>
        <w:keepNext w:val="0"/>
        <w:keepLines w:val="0"/>
        <w:kinsoku/>
        <w:wordWrap/>
        <w:overflowPunct/>
        <w:topLinePunct w:val="0"/>
        <w:autoSpaceDE/>
        <w:autoSpaceDN/>
        <w:bidi w:val="0"/>
        <w:adjustRightInd/>
        <w:spacing w:line="42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2、服务期限：</w:t>
      </w:r>
      <w:r>
        <w:rPr>
          <w:rFonts w:hint="eastAsia" w:ascii="宋体" w:hAnsi="宋体" w:eastAsia="宋体" w:cs="宋体"/>
          <w:color w:val="auto"/>
          <w:sz w:val="21"/>
          <w:szCs w:val="21"/>
          <w:highlight w:val="none"/>
        </w:rPr>
        <w:t>从合同签订后至省级规划评审会</w:t>
      </w:r>
      <w:r>
        <w:rPr>
          <w:rFonts w:hint="eastAsia" w:ascii="宋体" w:hAnsi="宋体" w:eastAsia="宋体" w:cs="宋体"/>
          <w:color w:val="auto"/>
          <w:sz w:val="21"/>
          <w:szCs w:val="21"/>
          <w:highlight w:val="none"/>
          <w:lang w:val="en-US" w:eastAsia="zh-CN"/>
        </w:rPr>
        <w:t>通过提交最终成果</w:t>
      </w:r>
      <w:r>
        <w:rPr>
          <w:rFonts w:hint="eastAsia" w:ascii="宋体" w:hAnsi="宋体" w:eastAsia="宋体" w:cs="宋体"/>
          <w:color w:val="auto"/>
          <w:sz w:val="21"/>
          <w:szCs w:val="21"/>
          <w:highlight w:val="none"/>
        </w:rPr>
        <w:t>。</w:t>
      </w:r>
    </w:p>
    <w:p w14:paraId="194C25DE">
      <w:pPr>
        <w:keepNext w:val="0"/>
        <w:keepLines w:val="0"/>
        <w:kinsoku/>
        <w:wordWrap/>
        <w:overflowPunct/>
        <w:topLinePunct w:val="0"/>
        <w:autoSpaceDE/>
        <w:autoSpaceDN/>
        <w:bidi w:val="0"/>
        <w:adjustRightInd/>
        <w:spacing w:line="42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3、付款方式：</w:t>
      </w:r>
    </w:p>
    <w:p w14:paraId="735400DD">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第一期：合同生效以及具备实施条件后7个工作日内支付合同总额的30%。</w:t>
      </w:r>
    </w:p>
    <w:p w14:paraId="71EA9E15">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第二期：通过评审后支付合同价款的50%。</w:t>
      </w:r>
    </w:p>
    <w:p w14:paraId="4751C399">
      <w:pPr>
        <w:keepNext w:val="0"/>
        <w:keepLines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第三期：提交最终成果后一次性支付余款。</w:t>
      </w:r>
    </w:p>
    <w:p w14:paraId="4B24EDB6">
      <w:pPr>
        <w:autoSpaceDE w:val="0"/>
        <w:autoSpaceDN w:val="0"/>
        <w:spacing w:line="460" w:lineRule="exact"/>
        <w:ind w:firstLine="3253" w:firstLineChars="900"/>
        <w:outlineLvl w:val="0"/>
        <w:rPr>
          <w:rFonts w:hint="eastAsia" w:ascii="宋体" w:hAnsi="宋体" w:cs="宋体"/>
          <w:b/>
          <w:bCs/>
          <w:i w:val="0"/>
          <w:iCs w:val="0"/>
          <w:color w:val="auto"/>
          <w:sz w:val="36"/>
          <w:szCs w:val="36"/>
          <w:highlight w:val="none"/>
        </w:rPr>
      </w:pPr>
    </w:p>
    <w:p w14:paraId="1254ADA0">
      <w:pPr>
        <w:autoSpaceDE w:val="0"/>
        <w:autoSpaceDN w:val="0"/>
        <w:spacing w:line="460" w:lineRule="exact"/>
        <w:ind w:firstLine="3253" w:firstLineChars="900"/>
        <w:outlineLvl w:val="0"/>
        <w:rPr>
          <w:rFonts w:hint="eastAsia" w:ascii="宋体" w:hAnsi="宋体" w:cs="宋体"/>
          <w:b/>
          <w:bCs/>
          <w:i w:val="0"/>
          <w:iCs w:val="0"/>
          <w:color w:val="auto"/>
          <w:sz w:val="36"/>
          <w:szCs w:val="36"/>
          <w:highlight w:val="none"/>
        </w:rPr>
      </w:pPr>
    </w:p>
    <w:p w14:paraId="1995D472">
      <w:pPr>
        <w:jc w:val="center"/>
        <w:rPr>
          <w:rFonts w:hint="eastAsia" w:ascii="宋体" w:hAnsi="宋体" w:cs="宋体"/>
          <w:b/>
          <w:bCs/>
          <w:i w:val="0"/>
          <w:iCs w:val="0"/>
          <w:color w:val="auto"/>
          <w:sz w:val="36"/>
          <w:szCs w:val="36"/>
          <w:highlight w:val="none"/>
        </w:rPr>
      </w:pPr>
    </w:p>
    <w:p w14:paraId="5EA737AE">
      <w:pPr>
        <w:jc w:val="center"/>
        <w:rPr>
          <w:rFonts w:hint="eastAsia" w:ascii="宋体" w:hAnsi="宋体" w:cs="宋体"/>
          <w:b/>
          <w:bCs/>
          <w:i w:val="0"/>
          <w:iCs w:val="0"/>
          <w:color w:val="auto"/>
          <w:sz w:val="36"/>
          <w:szCs w:val="36"/>
          <w:highlight w:val="none"/>
        </w:rPr>
      </w:pPr>
    </w:p>
    <w:p w14:paraId="08E9543D">
      <w:pPr>
        <w:jc w:val="center"/>
        <w:rPr>
          <w:rFonts w:hint="eastAsia" w:ascii="宋体" w:hAnsi="宋体" w:cs="宋体"/>
          <w:b/>
          <w:bCs/>
          <w:i w:val="0"/>
          <w:iCs w:val="0"/>
          <w:color w:val="auto"/>
          <w:sz w:val="36"/>
          <w:szCs w:val="36"/>
          <w:highlight w:val="none"/>
        </w:rPr>
      </w:pPr>
    </w:p>
    <w:p w14:paraId="1EBC7EDF">
      <w:pPr>
        <w:jc w:val="center"/>
        <w:rPr>
          <w:rFonts w:hint="eastAsia" w:ascii="宋体" w:hAnsi="宋体" w:cs="宋体"/>
          <w:b/>
          <w:bCs/>
          <w:i w:val="0"/>
          <w:iCs w:val="0"/>
          <w:color w:val="auto"/>
          <w:sz w:val="36"/>
          <w:szCs w:val="36"/>
          <w:highlight w:val="none"/>
        </w:rPr>
      </w:pPr>
    </w:p>
    <w:p w14:paraId="1B515039">
      <w:pPr>
        <w:jc w:val="center"/>
        <w:rPr>
          <w:rFonts w:hint="eastAsia" w:ascii="宋体" w:hAnsi="宋体" w:cs="宋体"/>
          <w:b/>
          <w:bCs/>
          <w:i w:val="0"/>
          <w:iCs w:val="0"/>
          <w:color w:val="auto"/>
          <w:sz w:val="36"/>
          <w:szCs w:val="36"/>
          <w:highlight w:val="none"/>
        </w:rPr>
      </w:pPr>
    </w:p>
    <w:p w14:paraId="7DB1F55B">
      <w:pPr>
        <w:jc w:val="center"/>
        <w:rPr>
          <w:rFonts w:hint="eastAsia" w:ascii="宋体" w:hAnsi="宋体" w:cs="宋体"/>
          <w:b/>
          <w:bCs/>
          <w:i w:val="0"/>
          <w:iCs w:val="0"/>
          <w:color w:val="auto"/>
          <w:sz w:val="36"/>
          <w:szCs w:val="36"/>
          <w:highlight w:val="none"/>
        </w:rPr>
      </w:pPr>
    </w:p>
    <w:p w14:paraId="542F2F31">
      <w:pPr>
        <w:jc w:val="center"/>
        <w:rPr>
          <w:rFonts w:hint="eastAsia" w:ascii="宋体" w:hAnsi="宋体" w:cs="宋体"/>
          <w:b/>
          <w:bCs/>
          <w:i w:val="0"/>
          <w:iCs w:val="0"/>
          <w:color w:val="auto"/>
          <w:sz w:val="36"/>
          <w:szCs w:val="36"/>
          <w:highlight w:val="none"/>
        </w:rPr>
      </w:pPr>
    </w:p>
    <w:p w14:paraId="1B6DDB56">
      <w:pPr>
        <w:jc w:val="center"/>
        <w:rPr>
          <w:rFonts w:hint="eastAsia" w:ascii="宋体" w:hAnsi="宋体" w:cs="宋体"/>
          <w:color w:val="auto"/>
          <w:sz w:val="36"/>
          <w:szCs w:val="36"/>
          <w:highlight w:val="none"/>
        </w:rPr>
      </w:pPr>
      <w:r>
        <w:rPr>
          <w:rFonts w:hint="eastAsia" w:ascii="宋体" w:hAnsi="宋体" w:cs="宋体"/>
          <w:b/>
          <w:bCs/>
          <w:i w:val="0"/>
          <w:iCs w:val="0"/>
          <w:color w:val="auto"/>
          <w:sz w:val="36"/>
          <w:szCs w:val="36"/>
          <w:highlight w:val="none"/>
        </w:rPr>
        <w:t>第</w:t>
      </w:r>
      <w:r>
        <w:rPr>
          <w:rFonts w:hint="eastAsia" w:ascii="宋体" w:hAnsi="宋体" w:cs="宋体"/>
          <w:b/>
          <w:bCs/>
          <w:i w:val="0"/>
          <w:iCs w:val="0"/>
          <w:color w:val="auto"/>
          <w:sz w:val="36"/>
          <w:szCs w:val="36"/>
          <w:highlight w:val="none"/>
          <w:lang w:eastAsia="zh-CN"/>
        </w:rPr>
        <w:t>四</w:t>
      </w:r>
      <w:r>
        <w:rPr>
          <w:rFonts w:hint="eastAsia" w:ascii="宋体" w:hAnsi="宋体" w:cs="宋体"/>
          <w:b/>
          <w:bCs/>
          <w:i w:val="0"/>
          <w:iCs w:val="0"/>
          <w:color w:val="auto"/>
          <w:sz w:val="36"/>
          <w:szCs w:val="36"/>
          <w:highlight w:val="none"/>
        </w:rPr>
        <w:t>部分</w:t>
      </w:r>
      <w:r>
        <w:rPr>
          <w:rFonts w:hint="eastAsia" w:ascii="宋体" w:hAnsi="宋体" w:cs="宋体"/>
          <w:b/>
          <w:bCs/>
          <w:i w:val="0"/>
          <w:iCs w:val="0"/>
          <w:color w:val="auto"/>
          <w:sz w:val="36"/>
          <w:szCs w:val="36"/>
          <w:highlight w:val="none"/>
          <w:lang w:val="en-US" w:eastAsia="zh-CN"/>
        </w:rPr>
        <w:t xml:space="preserve"> </w:t>
      </w:r>
      <w:r>
        <w:rPr>
          <w:rFonts w:hint="eastAsia" w:ascii="宋体" w:hAnsi="宋体" w:cs="宋体"/>
          <w:b/>
          <w:color w:val="auto"/>
          <w:sz w:val="36"/>
          <w:szCs w:val="36"/>
          <w:highlight w:val="none"/>
          <w:lang w:val="zh-CN"/>
        </w:rPr>
        <w:t>评标办法</w:t>
      </w:r>
    </w:p>
    <w:p w14:paraId="251FA69C">
      <w:pPr>
        <w:pStyle w:val="5"/>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一</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评审工作的组织</w:t>
      </w:r>
    </w:p>
    <w:p w14:paraId="37C735DD">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1.</w:t>
      </w:r>
      <w:r>
        <w:rPr>
          <w:rFonts w:hint="eastAsia" w:ascii="宋体" w:hAnsi="宋体" w:eastAsia="宋体" w:cs="宋体"/>
          <w:i w:val="0"/>
          <w:iCs w:val="0"/>
          <w:color w:val="auto"/>
          <w:kern w:val="0"/>
          <w:sz w:val="22"/>
          <w:szCs w:val="22"/>
          <w:highlight w:val="none"/>
        </w:rPr>
        <w:t>采购人或采购代理机构负责组织本项目的评审工作，并依据《政府采购货物和服务招标投标管理办法（财政部第87号令）》第四十五条的相关规定履行职责。</w:t>
      </w:r>
    </w:p>
    <w:p w14:paraId="526671B1">
      <w:pPr>
        <w:pStyle w:val="5"/>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eastAsia="zh-CN"/>
        </w:rPr>
        <w:t>二、</w:t>
      </w:r>
      <w:r>
        <w:rPr>
          <w:rFonts w:hint="eastAsia" w:ascii="宋体" w:hAnsi="宋体" w:eastAsia="宋体" w:cs="宋体"/>
          <w:i w:val="0"/>
          <w:iCs w:val="0"/>
          <w:color w:val="auto"/>
          <w:sz w:val="22"/>
          <w:szCs w:val="22"/>
          <w:highlight w:val="none"/>
        </w:rPr>
        <w:t>评标委员会的组建</w:t>
      </w:r>
    </w:p>
    <w:p w14:paraId="11274261">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bCs/>
          <w:color w:val="auto"/>
          <w:sz w:val="22"/>
          <w:szCs w:val="22"/>
          <w:highlight w:val="none"/>
          <w:lang w:val="zh-CN"/>
        </w:rPr>
      </w:pP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评标委员会由</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zh-CN"/>
        </w:rPr>
        <w:t>人组成，其中</w:t>
      </w:r>
      <w:r>
        <w:rPr>
          <w:rFonts w:hint="eastAsia" w:ascii="宋体" w:hAnsi="宋体" w:cs="宋体"/>
          <w:bCs/>
          <w:color w:val="auto"/>
          <w:sz w:val="22"/>
          <w:szCs w:val="22"/>
          <w:highlight w:val="none"/>
          <w:lang w:val="zh-CN"/>
        </w:rPr>
        <w:t>评审</w:t>
      </w:r>
      <w:r>
        <w:rPr>
          <w:rFonts w:hint="eastAsia" w:ascii="宋体" w:hAnsi="宋体" w:eastAsia="宋体" w:cs="宋体"/>
          <w:bCs/>
          <w:color w:val="auto"/>
          <w:sz w:val="22"/>
          <w:szCs w:val="22"/>
          <w:highlight w:val="none"/>
          <w:lang w:val="zh-CN"/>
        </w:rPr>
        <w:t>专家人数不少于成员总数的三分之二，从政采云系统中抽取。</w:t>
      </w:r>
    </w:p>
    <w:p w14:paraId="30E59456">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询标期间，投标人法人代表或</w:t>
      </w:r>
      <w:r>
        <w:rPr>
          <w:rFonts w:hint="eastAsia" w:ascii="宋体" w:hAnsi="宋体" w:eastAsia="宋体" w:cs="宋体"/>
          <w:i w:val="0"/>
          <w:iCs w:val="0"/>
          <w:color w:val="auto"/>
          <w:kern w:val="0"/>
          <w:sz w:val="22"/>
          <w:szCs w:val="22"/>
          <w:highlight w:val="none"/>
          <w:lang w:eastAsia="zh-CN"/>
        </w:rPr>
        <w:t>委托代理人</w:t>
      </w:r>
      <w:r>
        <w:rPr>
          <w:rFonts w:hint="eastAsia" w:ascii="宋体" w:hAnsi="宋体" w:eastAsia="宋体" w:cs="宋体"/>
          <w:i w:val="0"/>
          <w:iCs w:val="0"/>
          <w:color w:val="auto"/>
          <w:kern w:val="0"/>
          <w:sz w:val="22"/>
          <w:szCs w:val="22"/>
          <w:highlight w:val="none"/>
        </w:rPr>
        <w:t>必须在线，负责解答有关事宜。如不在场，则事后不得对采购过程及结果提出异议。</w:t>
      </w:r>
    </w:p>
    <w:p w14:paraId="4C5B5B91">
      <w:pPr>
        <w:pStyle w:val="5"/>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eastAsia="zh-CN"/>
        </w:rPr>
        <w:t>三、</w:t>
      </w:r>
      <w:r>
        <w:rPr>
          <w:rFonts w:hint="eastAsia" w:ascii="宋体" w:hAnsi="宋体" w:eastAsia="宋体" w:cs="宋体"/>
          <w:i w:val="0"/>
          <w:iCs w:val="0"/>
          <w:color w:val="auto"/>
          <w:sz w:val="22"/>
          <w:szCs w:val="22"/>
          <w:highlight w:val="none"/>
        </w:rPr>
        <w:t>评标委员会的职责</w:t>
      </w:r>
    </w:p>
    <w:p w14:paraId="50831A39">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评标委员会负责具体评审事务，并独立履行下列职责：</w:t>
      </w:r>
    </w:p>
    <w:p w14:paraId="54BF8386">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1.</w:t>
      </w:r>
      <w:r>
        <w:rPr>
          <w:rFonts w:hint="eastAsia" w:ascii="宋体" w:hAnsi="宋体" w:eastAsia="宋体" w:cs="宋体"/>
          <w:i w:val="0"/>
          <w:iCs w:val="0"/>
          <w:color w:val="auto"/>
          <w:kern w:val="0"/>
          <w:sz w:val="22"/>
          <w:szCs w:val="22"/>
          <w:highlight w:val="none"/>
        </w:rPr>
        <w:t>审查、评价投标文件是否符合招标文件的商务、技术等实质性要求；</w:t>
      </w:r>
    </w:p>
    <w:p w14:paraId="6E28CA61">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要求投标人对投标文件有关事项</w:t>
      </w:r>
      <w:r>
        <w:rPr>
          <w:rFonts w:hint="eastAsia" w:ascii="宋体" w:hAnsi="宋体" w:eastAsia="宋体" w:cs="宋体"/>
          <w:i w:val="0"/>
          <w:iCs w:val="0"/>
          <w:color w:val="auto"/>
          <w:kern w:val="0"/>
          <w:sz w:val="22"/>
          <w:szCs w:val="22"/>
          <w:highlight w:val="none"/>
          <w:lang w:eastAsia="zh-CN"/>
        </w:rPr>
        <w:t>做</w:t>
      </w:r>
      <w:r>
        <w:rPr>
          <w:rFonts w:hint="eastAsia" w:ascii="宋体" w:hAnsi="宋体" w:eastAsia="宋体" w:cs="宋体"/>
          <w:i w:val="0"/>
          <w:iCs w:val="0"/>
          <w:color w:val="auto"/>
          <w:kern w:val="0"/>
          <w:sz w:val="22"/>
          <w:szCs w:val="22"/>
          <w:highlight w:val="none"/>
        </w:rPr>
        <w:t>出澄清或者说明；</w:t>
      </w:r>
    </w:p>
    <w:p w14:paraId="0C4B0313">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rPr>
        <w:t>对投标文件进行比较和评价；</w:t>
      </w:r>
    </w:p>
    <w:p w14:paraId="0CAA699A">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4.</w:t>
      </w:r>
      <w:r>
        <w:rPr>
          <w:rFonts w:hint="eastAsia" w:ascii="宋体" w:hAnsi="宋体" w:eastAsia="宋体" w:cs="宋体"/>
          <w:i w:val="0"/>
          <w:iCs w:val="0"/>
          <w:color w:val="auto"/>
          <w:kern w:val="0"/>
          <w:sz w:val="22"/>
          <w:szCs w:val="22"/>
          <w:highlight w:val="none"/>
        </w:rPr>
        <w:t>确定中标候选人名单，以及根据采购人委托直接确定中标人；</w:t>
      </w:r>
    </w:p>
    <w:p w14:paraId="3DB7CEB9">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5.</w:t>
      </w:r>
      <w:r>
        <w:rPr>
          <w:rFonts w:hint="eastAsia" w:ascii="宋体" w:hAnsi="宋体" w:eastAsia="宋体" w:cs="宋体"/>
          <w:i w:val="0"/>
          <w:iCs w:val="0"/>
          <w:color w:val="auto"/>
          <w:kern w:val="0"/>
          <w:sz w:val="22"/>
          <w:szCs w:val="22"/>
          <w:highlight w:val="none"/>
        </w:rPr>
        <w:t>向采购人、采购代理机构或者有关部门报告评审中发现的违法行为。</w:t>
      </w:r>
    </w:p>
    <w:p w14:paraId="3BFECC23">
      <w:pPr>
        <w:pStyle w:val="5"/>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四</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评审原则</w:t>
      </w:r>
    </w:p>
    <w:p w14:paraId="648AF2C8">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rPr>
        <w:t>评审原则：</w:t>
      </w:r>
      <w:r>
        <w:rPr>
          <w:rFonts w:hint="eastAsia" w:ascii="宋体" w:hAnsi="宋体" w:eastAsia="宋体" w:cs="宋体"/>
          <w:i w:val="0"/>
          <w:iCs w:val="0"/>
          <w:color w:val="auto"/>
          <w:kern w:val="0"/>
          <w:sz w:val="22"/>
          <w:szCs w:val="22"/>
          <w:highlight w:val="none"/>
        </w:rPr>
        <w:t>评标委员会</w:t>
      </w:r>
      <w:r>
        <w:rPr>
          <w:rFonts w:hint="eastAsia" w:ascii="宋体" w:hAnsi="宋体" w:eastAsia="宋体" w:cs="宋体"/>
          <w:i w:val="0"/>
          <w:iCs w:val="0"/>
          <w:color w:val="auto"/>
          <w:sz w:val="22"/>
          <w:szCs w:val="22"/>
          <w:highlight w:val="none"/>
        </w:rPr>
        <w:t>按照客观、公正、审慎、择优的原则，根据招标文件规定的评审程序、评审方法和评审标准进行独立评审。</w:t>
      </w:r>
    </w:p>
    <w:p w14:paraId="67BAC7F1">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rPr>
        <w:t>评审工作将依据</w:t>
      </w:r>
      <w:r>
        <w:rPr>
          <w:rFonts w:hint="eastAsia" w:ascii="宋体" w:hAnsi="宋体" w:eastAsia="宋体" w:cs="宋体"/>
          <w:i w:val="0"/>
          <w:iCs w:val="0"/>
          <w:color w:val="auto"/>
          <w:kern w:val="0"/>
          <w:sz w:val="22"/>
          <w:szCs w:val="22"/>
          <w:highlight w:val="none"/>
        </w:rPr>
        <w:t>招标文件、投标文件及招标文件中事先已列明的内容进行。</w:t>
      </w:r>
    </w:p>
    <w:p w14:paraId="24519843">
      <w:pPr>
        <w:pStyle w:val="5"/>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五</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评审意见的争议处理</w:t>
      </w:r>
    </w:p>
    <w:p w14:paraId="0963E48D">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bCs/>
          <w:i w:val="0"/>
          <w:iCs w:val="0"/>
          <w:color w:val="auto"/>
          <w:sz w:val="22"/>
          <w:szCs w:val="22"/>
          <w:highlight w:val="none"/>
        </w:rPr>
      </w:pPr>
      <w:r>
        <w:rPr>
          <w:rFonts w:hint="eastAsia" w:ascii="宋体" w:hAnsi="宋体" w:cs="宋体"/>
          <w:bCs/>
          <w:i w:val="0"/>
          <w:iCs w:val="0"/>
          <w:color w:val="auto"/>
          <w:sz w:val="22"/>
          <w:szCs w:val="22"/>
          <w:highlight w:val="none"/>
          <w:lang w:val="en-US" w:eastAsia="zh-CN"/>
        </w:rPr>
        <w:t>1.</w:t>
      </w:r>
      <w:r>
        <w:rPr>
          <w:rFonts w:hint="eastAsia" w:ascii="宋体" w:hAnsi="宋体" w:eastAsia="宋体" w:cs="宋体"/>
          <w:bCs/>
          <w:i w:val="0"/>
          <w:iCs w:val="0"/>
          <w:color w:val="auto"/>
          <w:sz w:val="22"/>
          <w:szCs w:val="22"/>
          <w:highlight w:val="none"/>
        </w:rPr>
        <w:t>评标委员会成员对需要共同认定的事项存在争议的，按照少数服从多数的原则</w:t>
      </w:r>
      <w:r>
        <w:rPr>
          <w:rFonts w:hint="eastAsia" w:ascii="宋体" w:hAnsi="宋体" w:eastAsia="宋体" w:cs="宋体"/>
          <w:bCs/>
          <w:i w:val="0"/>
          <w:iCs w:val="0"/>
          <w:color w:val="auto"/>
          <w:sz w:val="22"/>
          <w:szCs w:val="22"/>
          <w:highlight w:val="none"/>
          <w:lang w:eastAsia="zh-CN"/>
        </w:rPr>
        <w:t>做</w:t>
      </w:r>
      <w:r>
        <w:rPr>
          <w:rFonts w:hint="eastAsia" w:ascii="宋体" w:hAnsi="宋体" w:eastAsia="宋体" w:cs="宋体"/>
          <w:bCs/>
          <w:i w:val="0"/>
          <w:iCs w:val="0"/>
          <w:color w:val="auto"/>
          <w:sz w:val="22"/>
          <w:szCs w:val="22"/>
          <w:highlight w:val="none"/>
        </w:rPr>
        <w:t>出结论。持不同意见的评标委员会成员应当在评审报告上签署不同意见及理由，否则视为同意评审报告。</w:t>
      </w:r>
    </w:p>
    <w:p w14:paraId="74D98AB5">
      <w:pPr>
        <w:pStyle w:val="5"/>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六</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评委纪律</w:t>
      </w:r>
    </w:p>
    <w:p w14:paraId="7589D62A">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rPr>
        <w:t>评标委员会成员必须严格遵守保密规定，不得泄露评审的有关情况</w:t>
      </w:r>
      <w:r>
        <w:rPr>
          <w:rFonts w:hint="eastAsia" w:ascii="宋体" w:hAnsi="宋体" w:eastAsia="宋体" w:cs="宋体"/>
          <w:i w:val="0"/>
          <w:iCs w:val="0"/>
          <w:color w:val="auto"/>
          <w:kern w:val="0"/>
          <w:sz w:val="22"/>
          <w:szCs w:val="22"/>
          <w:highlight w:val="none"/>
        </w:rPr>
        <w:t>，任何单位和个人不得干扰、影响评标的正常进行，评标委员会成员不得私下与投标供应商接触，不得出现浙江省政府采购活动现场组织管理办法中规定的其他禁止行为。</w:t>
      </w:r>
    </w:p>
    <w:p w14:paraId="1E2D73F6">
      <w:pPr>
        <w:pStyle w:val="4"/>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i w:val="0"/>
          <w:iCs w:val="0"/>
          <w:color w:val="auto"/>
          <w:sz w:val="22"/>
          <w:szCs w:val="22"/>
          <w:highlight w:val="none"/>
        </w:rPr>
      </w:pPr>
      <w:bookmarkStart w:id="95" w:name="_Toc24550043"/>
      <w:bookmarkStart w:id="96" w:name="_Toc33194395"/>
      <w:r>
        <w:rPr>
          <w:rFonts w:hint="eastAsia" w:ascii="宋体" w:hAnsi="宋体" w:eastAsia="宋体" w:cs="宋体"/>
          <w:i w:val="0"/>
          <w:iCs w:val="0"/>
          <w:color w:val="auto"/>
          <w:sz w:val="22"/>
          <w:szCs w:val="22"/>
          <w:highlight w:val="none"/>
        </w:rPr>
        <w:t>七</w:t>
      </w:r>
      <w:bookmarkEnd w:id="95"/>
      <w:bookmarkStart w:id="97" w:name="_Toc24550044"/>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评审流程及内容</w:t>
      </w:r>
      <w:bookmarkEnd w:id="96"/>
      <w:bookmarkEnd w:id="97"/>
    </w:p>
    <w:p w14:paraId="6A2ACBB8">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i w:val="0"/>
          <w:iCs w:val="0"/>
          <w:color w:val="auto"/>
          <w:kern w:val="0"/>
          <w:sz w:val="22"/>
          <w:szCs w:val="22"/>
          <w:highlight w:val="none"/>
        </w:rPr>
        <w:t>本项目具体的评审事务由评标委员会负责，评审流程及内容如下：</w:t>
      </w:r>
    </w:p>
    <w:p w14:paraId="21F70919">
      <w:pPr>
        <w:pStyle w:val="5"/>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rPr>
        <w:t>评审前准备</w:t>
      </w:r>
    </w:p>
    <w:p w14:paraId="35330C44">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1.1</w:t>
      </w:r>
      <w:r>
        <w:rPr>
          <w:rFonts w:hint="eastAsia" w:ascii="宋体" w:hAnsi="宋体" w:eastAsia="宋体" w:cs="宋体"/>
          <w:i w:val="0"/>
          <w:iCs w:val="0"/>
          <w:color w:val="auto"/>
          <w:kern w:val="0"/>
          <w:sz w:val="22"/>
          <w:szCs w:val="22"/>
          <w:highlight w:val="none"/>
        </w:rPr>
        <w:t>由评审专家推选评审小组组长，采购人代表不得担任评审小组组长。</w:t>
      </w:r>
    </w:p>
    <w:p w14:paraId="7FB30A30">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1.2</w:t>
      </w:r>
      <w:r>
        <w:rPr>
          <w:rFonts w:hint="eastAsia" w:ascii="宋体" w:hAnsi="宋体" w:eastAsia="宋体" w:cs="宋体"/>
          <w:i w:val="0"/>
          <w:iCs w:val="0"/>
          <w:color w:val="auto"/>
          <w:kern w:val="0"/>
          <w:sz w:val="22"/>
          <w:szCs w:val="22"/>
          <w:highlight w:val="none"/>
        </w:rPr>
        <w:t>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1BD01A12">
      <w:pPr>
        <w:pStyle w:val="5"/>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rPr>
        <w:t>投标文件的初步审查、符合性审查</w:t>
      </w:r>
    </w:p>
    <w:p w14:paraId="082016E5">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对所有通过资格审查的投标供应商的投标文件进行初步审查，审查、评价投标文件是否符合招标文件的商务、技术、服务等实质性要求。</w:t>
      </w:r>
    </w:p>
    <w:p w14:paraId="4AA7F2EA">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2.1</w:t>
      </w:r>
      <w:r>
        <w:rPr>
          <w:rFonts w:hint="eastAsia" w:ascii="宋体" w:hAnsi="宋体" w:eastAsia="宋体" w:cs="宋体"/>
          <w:i w:val="0"/>
          <w:iCs w:val="0"/>
          <w:color w:val="auto"/>
          <w:kern w:val="0"/>
          <w:sz w:val="22"/>
          <w:szCs w:val="22"/>
          <w:highlight w:val="none"/>
        </w:rPr>
        <w:t>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432AEDF7">
      <w:pPr>
        <w:pStyle w:val="5"/>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3.</w:t>
      </w:r>
      <w:r>
        <w:rPr>
          <w:rFonts w:hint="eastAsia" w:ascii="宋体" w:hAnsi="宋体" w:eastAsia="宋体" w:cs="宋体"/>
          <w:i w:val="0"/>
          <w:iCs w:val="0"/>
          <w:color w:val="auto"/>
          <w:sz w:val="22"/>
          <w:szCs w:val="22"/>
          <w:highlight w:val="none"/>
        </w:rPr>
        <w:t>投标文件的澄清、说明或补正</w:t>
      </w:r>
    </w:p>
    <w:p w14:paraId="659471B4">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w:t>
      </w:r>
      <w:r>
        <w:rPr>
          <w:rFonts w:hint="eastAsia" w:ascii="宋体" w:hAnsi="宋体" w:eastAsia="宋体" w:cs="宋体"/>
          <w:i w:val="0"/>
          <w:iCs w:val="0"/>
          <w:color w:val="auto"/>
          <w:kern w:val="0"/>
          <w:sz w:val="22"/>
          <w:szCs w:val="22"/>
          <w:highlight w:val="none"/>
          <w:lang w:eastAsia="zh-CN"/>
        </w:rPr>
        <w:t>做</w:t>
      </w:r>
      <w:r>
        <w:rPr>
          <w:rFonts w:hint="eastAsia" w:ascii="宋体" w:hAnsi="宋体" w:eastAsia="宋体" w:cs="宋体"/>
          <w:i w:val="0"/>
          <w:iCs w:val="0"/>
          <w:color w:val="auto"/>
          <w:kern w:val="0"/>
          <w:sz w:val="22"/>
          <w:szCs w:val="22"/>
          <w:highlight w:val="none"/>
        </w:rPr>
        <w:t>出必要的澄清、说明或者补正，投标供应商澄清、说明或补正时间为30分钟。</w:t>
      </w:r>
    </w:p>
    <w:p w14:paraId="1FB70246">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2F7CA58B">
      <w:pPr>
        <w:pStyle w:val="5"/>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rPr>
        <w:t>投标文件的错误修正</w:t>
      </w:r>
    </w:p>
    <w:p w14:paraId="494F05B9">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b/>
          <w:bCs/>
          <w:i w:val="0"/>
          <w:iCs w:val="0"/>
          <w:color w:val="auto"/>
          <w:kern w:val="0"/>
          <w:sz w:val="22"/>
          <w:szCs w:val="22"/>
          <w:highlight w:val="none"/>
        </w:rPr>
        <w:t>4.1《投标文件》如果出现计算或表达上的错误，修正错误的原则如下：</w:t>
      </w:r>
    </w:p>
    <w:p w14:paraId="27C1F378">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（1）投标文件中开标一览表（报价表）内容与投标文件中相应内容不一致的，以开标一览表（报价表）为准。</w:t>
      </w:r>
    </w:p>
    <w:p w14:paraId="27871D4E">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（2）《投标文件》的大写金额和小写金额不一致的，以大写金额为准；</w:t>
      </w:r>
    </w:p>
    <w:p w14:paraId="246A8C9D">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（3）单价金额小数点或者百分比有明显错位的，应以开标一览表（报价表）的总价为准，</w:t>
      </w:r>
      <w:r>
        <w:rPr>
          <w:rFonts w:hint="eastAsia" w:ascii="宋体" w:hAnsi="宋体" w:eastAsia="宋体" w:cs="宋体"/>
          <w:i w:val="0"/>
          <w:iCs w:val="0"/>
          <w:color w:val="auto"/>
          <w:kern w:val="0"/>
          <w:sz w:val="22"/>
          <w:szCs w:val="22"/>
          <w:highlight w:val="none"/>
          <w:lang w:val="en-US" w:eastAsia="zh-CN"/>
        </w:rPr>
        <w:t>进行计算并修改</w:t>
      </w:r>
      <w:r>
        <w:rPr>
          <w:rFonts w:hint="eastAsia" w:ascii="宋体" w:hAnsi="宋体" w:eastAsia="宋体" w:cs="宋体"/>
          <w:i w:val="0"/>
          <w:iCs w:val="0"/>
          <w:color w:val="auto"/>
          <w:kern w:val="0"/>
          <w:sz w:val="22"/>
          <w:szCs w:val="22"/>
          <w:highlight w:val="none"/>
        </w:rPr>
        <w:t>；</w:t>
      </w:r>
    </w:p>
    <w:p w14:paraId="6A7C1B3A">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（4）总价金额与按单价汇总金额不一致的，以单价金额计算结果为准。</w:t>
      </w:r>
    </w:p>
    <w:p w14:paraId="263BCC25">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lang w:val="en-US" w:eastAsia="zh-CN"/>
        </w:rPr>
        <w:t>4.2</w:t>
      </w:r>
      <w:r>
        <w:rPr>
          <w:rFonts w:hint="eastAsia" w:ascii="宋体" w:hAnsi="宋体" w:eastAsia="宋体" w:cs="宋体"/>
          <w:i w:val="0"/>
          <w:iCs w:val="0"/>
          <w:color w:val="auto"/>
          <w:kern w:val="0"/>
          <w:sz w:val="22"/>
          <w:szCs w:val="22"/>
          <w:highlight w:val="none"/>
        </w:rPr>
        <w:t>对不同文字文本《投标文件》的解释发生异议的，以中文文本为准。</w:t>
      </w:r>
    </w:p>
    <w:p w14:paraId="0619F4D7">
      <w:pPr>
        <w:pStyle w:val="5"/>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eastAsia="zh-CN"/>
        </w:rPr>
        <w:t>八、</w:t>
      </w:r>
      <w:r>
        <w:rPr>
          <w:rFonts w:hint="eastAsia" w:ascii="宋体" w:hAnsi="宋体" w:eastAsia="宋体" w:cs="宋体"/>
          <w:i w:val="0"/>
          <w:iCs w:val="0"/>
          <w:color w:val="auto"/>
          <w:sz w:val="22"/>
          <w:szCs w:val="22"/>
          <w:highlight w:val="none"/>
        </w:rPr>
        <w:t>修改评审结果</w:t>
      </w:r>
    </w:p>
    <w:p w14:paraId="27ACFDA6">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bCs/>
          <w:i w:val="0"/>
          <w:iCs w:val="0"/>
          <w:color w:val="auto"/>
          <w:kern w:val="0"/>
          <w:sz w:val="22"/>
          <w:szCs w:val="22"/>
          <w:highlight w:val="none"/>
        </w:rPr>
      </w:pPr>
      <w:r>
        <w:rPr>
          <w:rFonts w:hint="eastAsia" w:ascii="宋体" w:hAnsi="宋体" w:cs="宋体"/>
          <w:b/>
          <w:bCs/>
          <w:i w:val="0"/>
          <w:iCs w:val="0"/>
          <w:color w:val="auto"/>
          <w:kern w:val="0"/>
          <w:sz w:val="22"/>
          <w:szCs w:val="22"/>
          <w:highlight w:val="none"/>
          <w:lang w:val="en-US" w:eastAsia="zh-CN"/>
        </w:rPr>
        <w:t>1.</w:t>
      </w:r>
      <w:r>
        <w:rPr>
          <w:rFonts w:hint="eastAsia" w:ascii="宋体" w:hAnsi="宋体" w:eastAsia="宋体" w:cs="宋体"/>
          <w:b/>
          <w:bCs/>
          <w:i w:val="0"/>
          <w:iCs w:val="0"/>
          <w:color w:val="auto"/>
          <w:kern w:val="0"/>
          <w:sz w:val="22"/>
          <w:szCs w:val="22"/>
          <w:highlight w:val="none"/>
        </w:rPr>
        <w:t>评标结果汇总完成后，除下列情形外，任何人不得修改评标结果：</w:t>
      </w:r>
    </w:p>
    <w:p w14:paraId="3E006001">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（1）分值汇总计算错误的；</w:t>
      </w:r>
    </w:p>
    <w:p w14:paraId="3808EEF6">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（2）分项评分超出评分标准范围的；</w:t>
      </w:r>
    </w:p>
    <w:p w14:paraId="565C0B05">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（3）评标委员会成员对客观评审因素评分不一致的；</w:t>
      </w:r>
    </w:p>
    <w:p w14:paraId="544C22AC">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（4）经评标委员会认定评分畸高、畸低的。</w:t>
      </w:r>
    </w:p>
    <w:p w14:paraId="18C4E4EE">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bCs/>
          <w:i w:val="0"/>
          <w:iCs w:val="0"/>
          <w:color w:val="auto"/>
          <w:kern w:val="0"/>
          <w:sz w:val="22"/>
          <w:szCs w:val="22"/>
          <w:highlight w:val="none"/>
          <w:lang w:val="en-US" w:eastAsia="zh-CN"/>
        </w:rPr>
      </w:pPr>
      <w:r>
        <w:rPr>
          <w:rFonts w:hint="eastAsia" w:ascii="宋体" w:hAnsi="宋体" w:cs="宋体"/>
          <w:b/>
          <w:bCs/>
          <w:i w:val="0"/>
          <w:iCs w:val="0"/>
          <w:color w:val="auto"/>
          <w:kern w:val="0"/>
          <w:sz w:val="22"/>
          <w:szCs w:val="22"/>
          <w:highlight w:val="none"/>
          <w:lang w:val="en-US" w:eastAsia="zh-CN"/>
        </w:rPr>
        <w:t>2.</w:t>
      </w:r>
      <w:r>
        <w:rPr>
          <w:rFonts w:hint="eastAsia" w:ascii="宋体" w:hAnsi="宋体" w:eastAsia="宋体" w:cs="宋体"/>
          <w:b/>
          <w:bCs/>
          <w:i w:val="0"/>
          <w:iCs w:val="0"/>
          <w:color w:val="auto"/>
          <w:kern w:val="0"/>
          <w:sz w:val="22"/>
          <w:szCs w:val="22"/>
          <w:highlight w:val="none"/>
          <w:lang w:val="en-US" w:eastAsia="zh-CN"/>
        </w:rPr>
        <w:t>评标报告签署前，经复核发现存在以上情形之一的，评标委员会将当场修改评标结果，并在评标报告中记载。</w:t>
      </w:r>
    </w:p>
    <w:p w14:paraId="4DEFC6EA">
      <w:pPr>
        <w:pStyle w:val="5"/>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eastAsia="zh-CN"/>
        </w:rPr>
        <w:t>九、</w:t>
      </w:r>
      <w:r>
        <w:rPr>
          <w:rFonts w:hint="eastAsia" w:ascii="宋体" w:hAnsi="宋体" w:eastAsia="宋体" w:cs="宋体"/>
          <w:i w:val="0"/>
          <w:iCs w:val="0"/>
          <w:color w:val="auto"/>
          <w:sz w:val="22"/>
          <w:szCs w:val="22"/>
          <w:highlight w:val="none"/>
        </w:rPr>
        <w:t>供应商排序及推荐中标（成交）候选供应商</w:t>
      </w:r>
    </w:p>
    <w:p w14:paraId="5DF4C61E">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评标委员会根据以下规定确定供应商排名并推荐中标（成交）候选供应商。</w:t>
      </w:r>
    </w:p>
    <w:p w14:paraId="5B0D4C95">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bCs/>
          <w:i w:val="0"/>
          <w:iCs w:val="0"/>
          <w:color w:val="auto"/>
          <w:kern w:val="0"/>
          <w:sz w:val="22"/>
          <w:szCs w:val="22"/>
          <w:highlight w:val="none"/>
          <w:lang w:val="en-US" w:eastAsia="zh-CN"/>
        </w:rPr>
      </w:pPr>
      <w:r>
        <w:rPr>
          <w:rFonts w:hint="eastAsia" w:ascii="宋体" w:hAnsi="宋体" w:cs="宋体"/>
          <w:b/>
          <w:bCs/>
          <w:i w:val="0"/>
          <w:iCs w:val="0"/>
          <w:color w:val="auto"/>
          <w:kern w:val="0"/>
          <w:sz w:val="22"/>
          <w:szCs w:val="22"/>
          <w:highlight w:val="none"/>
          <w:lang w:val="en-US" w:eastAsia="zh-CN"/>
        </w:rPr>
        <w:t>1.</w:t>
      </w:r>
      <w:r>
        <w:rPr>
          <w:rFonts w:hint="eastAsia" w:ascii="宋体" w:hAnsi="宋体" w:eastAsia="宋体" w:cs="宋体"/>
          <w:b/>
          <w:bCs/>
          <w:i w:val="0"/>
          <w:iCs w:val="0"/>
          <w:color w:val="auto"/>
          <w:kern w:val="0"/>
          <w:sz w:val="22"/>
          <w:szCs w:val="22"/>
          <w:highlight w:val="none"/>
          <w:lang w:val="en-US" w:eastAsia="zh-CN"/>
        </w:rPr>
        <w:t>评标委员会根据各投标供应商的综合得分（商务技术分与报价得分之和）从高到低依次进行排名排序。特殊情形按以下原则处理：</w:t>
      </w:r>
    </w:p>
    <w:p w14:paraId="0D4311AE">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（1）综合得分相同的，按投标报价低的优先原则确定排名；</w:t>
      </w:r>
    </w:p>
    <w:p w14:paraId="22F98994">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（2）综合得分和投标报价均相同的，按商务技术得分从高到低确定排名；</w:t>
      </w:r>
    </w:p>
    <w:p w14:paraId="5FD9182E">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（3）综合得分、投标报价和商务技术得分均相同的由评标委员会全体成员记名投票按少数服从多数的原则确定排名。</w:t>
      </w:r>
    </w:p>
    <w:p w14:paraId="722D97A3">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bCs/>
          <w:i w:val="0"/>
          <w:iCs w:val="0"/>
          <w:color w:val="auto"/>
          <w:kern w:val="0"/>
          <w:sz w:val="22"/>
          <w:szCs w:val="22"/>
          <w:highlight w:val="none"/>
          <w:lang w:val="en-US" w:eastAsia="zh-CN"/>
        </w:rPr>
      </w:pPr>
      <w:r>
        <w:rPr>
          <w:rFonts w:hint="eastAsia" w:ascii="宋体" w:hAnsi="宋体" w:cs="宋体"/>
          <w:b/>
          <w:bCs/>
          <w:i w:val="0"/>
          <w:iCs w:val="0"/>
          <w:color w:val="auto"/>
          <w:kern w:val="0"/>
          <w:sz w:val="22"/>
          <w:szCs w:val="22"/>
          <w:highlight w:val="none"/>
          <w:lang w:val="en-US" w:eastAsia="zh-CN"/>
        </w:rPr>
        <w:t>2.</w:t>
      </w:r>
      <w:r>
        <w:rPr>
          <w:rFonts w:hint="eastAsia" w:ascii="宋体" w:hAnsi="宋体" w:eastAsia="宋体" w:cs="宋体"/>
          <w:b/>
          <w:bCs/>
          <w:i w:val="0"/>
          <w:iCs w:val="0"/>
          <w:color w:val="auto"/>
          <w:kern w:val="0"/>
          <w:sz w:val="22"/>
          <w:szCs w:val="22"/>
          <w:highlight w:val="none"/>
          <w:lang w:val="en-US" w:eastAsia="zh-CN"/>
        </w:rPr>
        <w:t>根据最终得分排序，通过书面评审报告的形式，向采购人推荐排名第一的投标供应商为中标（成交）候选供应商。</w:t>
      </w:r>
    </w:p>
    <w:p w14:paraId="645AE3FC">
      <w:pPr>
        <w:pStyle w:val="5"/>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十</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起草、签署评审报告</w:t>
      </w:r>
    </w:p>
    <w:p w14:paraId="15D93C02">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523E1BB0">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十</w:t>
      </w:r>
      <w:r>
        <w:rPr>
          <w:rFonts w:hint="eastAsia" w:ascii="宋体" w:hAnsi="宋体" w:eastAsia="宋体" w:cs="宋体"/>
          <w:b/>
          <w:i w:val="0"/>
          <w:iCs w:val="0"/>
          <w:color w:val="auto"/>
          <w:sz w:val="22"/>
          <w:szCs w:val="22"/>
          <w:highlight w:val="none"/>
          <w:lang w:eastAsia="zh-CN"/>
        </w:rPr>
        <w:t>一、</w:t>
      </w:r>
      <w:r>
        <w:rPr>
          <w:rFonts w:hint="eastAsia" w:ascii="宋体" w:hAnsi="宋体" w:eastAsia="宋体" w:cs="宋体"/>
          <w:b/>
          <w:i w:val="0"/>
          <w:iCs w:val="0"/>
          <w:color w:val="auto"/>
          <w:sz w:val="22"/>
          <w:szCs w:val="22"/>
          <w:highlight w:val="none"/>
        </w:rPr>
        <w:t>评标办法</w:t>
      </w:r>
    </w:p>
    <w:p w14:paraId="02A3583C">
      <w:pPr>
        <w:keepNext w:val="0"/>
        <w:keepLines w:val="0"/>
        <w:pageBreakBefore w:val="0"/>
        <w:widowControl w:val="0"/>
        <w:kinsoku/>
        <w:wordWrap/>
        <w:overflowPunct/>
        <w:topLinePunct w:val="0"/>
        <w:autoSpaceDE/>
        <w:autoSpaceDN/>
        <w:bidi w:val="0"/>
        <w:adjustRightInd/>
        <w:snapToGrid w:val="0"/>
        <w:spacing w:line="40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1</w:t>
      </w:r>
      <w:r>
        <w:rPr>
          <w:rFonts w:hint="eastAsia" w:ascii="宋体" w:hAnsi="宋体" w:cs="宋体"/>
          <w:b/>
          <w:bCs/>
          <w:i w:val="0"/>
          <w:iCs w:val="0"/>
          <w:color w:val="auto"/>
          <w:sz w:val="22"/>
          <w:szCs w:val="22"/>
          <w:highlight w:val="none"/>
          <w:lang w:val="en-US" w:eastAsia="zh-CN"/>
        </w:rPr>
        <w:t>.</w:t>
      </w:r>
      <w:r>
        <w:rPr>
          <w:rFonts w:hint="eastAsia" w:ascii="宋体" w:hAnsi="宋体" w:eastAsia="宋体" w:cs="宋体"/>
          <w:b/>
          <w:bCs/>
          <w:i w:val="0"/>
          <w:iCs w:val="0"/>
          <w:color w:val="auto"/>
          <w:sz w:val="22"/>
          <w:szCs w:val="22"/>
          <w:highlight w:val="none"/>
        </w:rPr>
        <w:t>本项目采用综合评分法，总分为100分，其中商务、技术</w:t>
      </w:r>
      <w:r>
        <w:rPr>
          <w:rFonts w:hint="eastAsia" w:ascii="宋体" w:hAnsi="宋体" w:eastAsia="宋体" w:cs="宋体"/>
          <w:b/>
          <w:bCs/>
          <w:i w:val="0"/>
          <w:iCs w:val="0"/>
          <w:color w:val="auto"/>
          <w:sz w:val="22"/>
          <w:szCs w:val="22"/>
          <w:highlight w:val="none"/>
          <w:lang w:val="en-US" w:eastAsia="zh-CN"/>
        </w:rPr>
        <w:t>90</w:t>
      </w:r>
      <w:r>
        <w:rPr>
          <w:rFonts w:hint="eastAsia" w:ascii="宋体" w:hAnsi="宋体" w:eastAsia="宋体" w:cs="宋体"/>
          <w:b/>
          <w:bCs/>
          <w:i w:val="0"/>
          <w:iCs w:val="0"/>
          <w:color w:val="auto"/>
          <w:sz w:val="22"/>
          <w:szCs w:val="22"/>
          <w:highlight w:val="none"/>
        </w:rPr>
        <w:t>分，价格分</w:t>
      </w:r>
      <w:r>
        <w:rPr>
          <w:rFonts w:hint="eastAsia" w:ascii="宋体" w:hAnsi="宋体" w:eastAsia="宋体" w:cs="宋体"/>
          <w:b/>
          <w:bCs/>
          <w:i w:val="0"/>
          <w:iCs w:val="0"/>
          <w:color w:val="auto"/>
          <w:sz w:val="22"/>
          <w:szCs w:val="22"/>
          <w:highlight w:val="none"/>
          <w:lang w:val="en-US" w:eastAsia="zh-CN"/>
        </w:rPr>
        <w:t>10</w:t>
      </w:r>
      <w:r>
        <w:rPr>
          <w:rFonts w:hint="eastAsia" w:ascii="宋体" w:hAnsi="宋体" w:eastAsia="宋体" w:cs="宋体"/>
          <w:b/>
          <w:bCs/>
          <w:i w:val="0"/>
          <w:iCs w:val="0"/>
          <w:color w:val="auto"/>
          <w:sz w:val="22"/>
          <w:szCs w:val="22"/>
          <w:highlight w:val="none"/>
        </w:rPr>
        <w:t>分。</w:t>
      </w:r>
    </w:p>
    <w:p w14:paraId="661391ED">
      <w:pPr>
        <w:keepNext w:val="0"/>
        <w:keepLines w:val="0"/>
        <w:pageBreakBefore w:val="0"/>
        <w:widowControl w:val="0"/>
        <w:kinsoku/>
        <w:wordWrap/>
        <w:overflowPunct/>
        <w:topLinePunct w:val="0"/>
        <w:autoSpaceDE/>
        <w:autoSpaceDN/>
        <w:bidi w:val="0"/>
        <w:adjustRightInd/>
        <w:snapToGrid w:val="0"/>
        <w:spacing w:line="400" w:lineRule="exact"/>
        <w:ind w:left="0" w:leftChars="0" w:firstLine="442" w:firstLineChars="200"/>
        <w:textAlignment w:val="auto"/>
        <w:rPr>
          <w:rFonts w:hint="eastAsia" w:ascii="宋体" w:hAnsi="宋体" w:eastAsia="宋体" w:cs="宋体"/>
          <w:b/>
          <w:bCs w:val="0"/>
          <w:i w:val="0"/>
          <w:iCs w:val="0"/>
          <w:color w:val="auto"/>
          <w:sz w:val="22"/>
          <w:szCs w:val="22"/>
          <w:highlight w:val="none"/>
        </w:rPr>
      </w:pPr>
      <w:r>
        <w:rPr>
          <w:rFonts w:hint="eastAsia" w:ascii="宋体" w:hAnsi="宋体" w:eastAsia="宋体" w:cs="宋体"/>
          <w:b/>
          <w:bCs w:val="0"/>
          <w:i w:val="0"/>
          <w:iCs w:val="0"/>
          <w:color w:val="auto"/>
          <w:sz w:val="22"/>
          <w:szCs w:val="22"/>
          <w:highlight w:val="none"/>
        </w:rPr>
        <w:t>2</w:t>
      </w:r>
      <w:r>
        <w:rPr>
          <w:rFonts w:hint="eastAsia" w:ascii="宋体" w:hAnsi="宋体" w:cs="宋体"/>
          <w:b/>
          <w:bCs w:val="0"/>
          <w:i w:val="0"/>
          <w:iCs w:val="0"/>
          <w:color w:val="auto"/>
          <w:sz w:val="22"/>
          <w:szCs w:val="22"/>
          <w:highlight w:val="none"/>
          <w:lang w:val="en-US" w:eastAsia="zh-CN"/>
        </w:rPr>
        <w:t>.</w:t>
      </w:r>
      <w:r>
        <w:rPr>
          <w:rFonts w:hint="eastAsia" w:ascii="宋体" w:hAnsi="宋体" w:eastAsia="宋体" w:cs="宋体"/>
          <w:b/>
          <w:bCs w:val="0"/>
          <w:i w:val="0"/>
          <w:iCs w:val="0"/>
          <w:color w:val="auto"/>
          <w:sz w:val="22"/>
          <w:szCs w:val="22"/>
          <w:highlight w:val="none"/>
        </w:rPr>
        <w:t>商务、技术评标细则（</w:t>
      </w:r>
      <w:r>
        <w:rPr>
          <w:rFonts w:hint="eastAsia" w:ascii="宋体" w:hAnsi="宋体" w:eastAsia="宋体" w:cs="宋体"/>
          <w:b/>
          <w:bCs w:val="0"/>
          <w:i w:val="0"/>
          <w:iCs w:val="0"/>
          <w:color w:val="auto"/>
          <w:sz w:val="22"/>
          <w:szCs w:val="22"/>
          <w:highlight w:val="none"/>
          <w:lang w:val="en-US" w:eastAsia="zh-CN"/>
        </w:rPr>
        <w:t>90</w:t>
      </w:r>
      <w:r>
        <w:rPr>
          <w:rFonts w:hint="eastAsia" w:ascii="宋体" w:hAnsi="宋体" w:eastAsia="宋体" w:cs="宋体"/>
          <w:b/>
          <w:bCs w:val="0"/>
          <w:i w:val="0"/>
          <w:iCs w:val="0"/>
          <w:color w:val="auto"/>
          <w:sz w:val="22"/>
          <w:szCs w:val="22"/>
          <w:highlight w:val="none"/>
        </w:rPr>
        <w:t>分）</w:t>
      </w:r>
    </w:p>
    <w:tbl>
      <w:tblPr>
        <w:tblStyle w:val="25"/>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141"/>
        <w:gridCol w:w="7128"/>
        <w:gridCol w:w="965"/>
      </w:tblGrid>
      <w:tr w14:paraId="4BCE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80" w:type="pct"/>
            <w:noWrap w:val="0"/>
            <w:vAlign w:val="center"/>
          </w:tcPr>
          <w:p w14:paraId="6A8A531D">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583" w:type="pct"/>
            <w:noWrap w:val="0"/>
            <w:vAlign w:val="center"/>
          </w:tcPr>
          <w:p w14:paraId="7B0CD435">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w:t>
            </w:r>
          </w:p>
          <w:p w14:paraId="4D1873F1">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w:t>
            </w:r>
          </w:p>
        </w:tc>
        <w:tc>
          <w:tcPr>
            <w:tcW w:w="3643" w:type="pct"/>
            <w:noWrap w:val="0"/>
            <w:vAlign w:val="center"/>
          </w:tcPr>
          <w:p w14:paraId="16B2AB90">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评分细则</w:t>
            </w:r>
          </w:p>
        </w:tc>
        <w:tc>
          <w:tcPr>
            <w:tcW w:w="493" w:type="pct"/>
            <w:noWrap w:val="0"/>
            <w:vAlign w:val="center"/>
          </w:tcPr>
          <w:p w14:paraId="4AEAD7E8">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r>
      <w:tr w14:paraId="07DB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0" w:type="pct"/>
            <w:noWrap w:val="0"/>
            <w:vAlign w:val="center"/>
          </w:tcPr>
          <w:p w14:paraId="2A547574">
            <w:pPr>
              <w:spacing w:line="40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一</w:t>
            </w:r>
          </w:p>
        </w:tc>
        <w:tc>
          <w:tcPr>
            <w:tcW w:w="4226" w:type="pct"/>
            <w:gridSpan w:val="2"/>
            <w:noWrap w:val="0"/>
            <w:vAlign w:val="center"/>
          </w:tcPr>
          <w:p w14:paraId="27E3F55E">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商务部分</w:t>
            </w:r>
          </w:p>
        </w:tc>
        <w:tc>
          <w:tcPr>
            <w:tcW w:w="493" w:type="pct"/>
            <w:noWrap w:val="0"/>
            <w:vAlign w:val="center"/>
          </w:tcPr>
          <w:p w14:paraId="37F31DD4">
            <w:pPr>
              <w:spacing w:line="400" w:lineRule="exact"/>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3</w:t>
            </w:r>
            <w:r>
              <w:rPr>
                <w:rFonts w:hint="eastAsia" w:ascii="宋体" w:hAnsi="宋体" w:eastAsia="宋体" w:cs="宋体"/>
                <w:b/>
                <w:bCs/>
                <w:color w:val="auto"/>
                <w:kern w:val="2"/>
                <w:sz w:val="21"/>
                <w:szCs w:val="21"/>
                <w:highlight w:val="none"/>
              </w:rPr>
              <w:t>分</w:t>
            </w:r>
          </w:p>
        </w:tc>
      </w:tr>
      <w:tr w14:paraId="4982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0" w:type="pct"/>
            <w:noWrap w:val="0"/>
            <w:vAlign w:val="center"/>
          </w:tcPr>
          <w:p w14:paraId="4C95F73B">
            <w:pPr>
              <w:spacing w:line="400" w:lineRule="exact"/>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583" w:type="pct"/>
            <w:noWrap w:val="0"/>
            <w:vAlign w:val="center"/>
          </w:tcPr>
          <w:p w14:paraId="6C92995F">
            <w:pPr>
              <w:widowControl w:val="0"/>
              <w:adjustRightInd/>
              <w:snapToGrid/>
              <w:spacing w:after="0" w:line="400" w:lineRule="exact"/>
              <w:jc w:val="center"/>
              <w:rPr>
                <w:rFonts w:hint="eastAsia" w:ascii="宋体" w:hAnsi="宋体" w:eastAsia="宋体" w:cs="宋体"/>
                <w:b/>
                <w:bCs/>
                <w:color w:val="auto"/>
                <w:szCs w:val="21"/>
                <w:highlight w:val="none"/>
              </w:rPr>
            </w:pPr>
            <w:r>
              <w:rPr>
                <w:rFonts w:hint="eastAsia" w:ascii="宋体" w:hAnsi="宋体" w:eastAsia="宋体" w:cs="宋体"/>
                <w:i w:val="0"/>
                <w:iCs w:val="0"/>
                <w:color w:val="auto"/>
                <w:sz w:val="21"/>
                <w:szCs w:val="21"/>
                <w:highlight w:val="none"/>
                <w:lang w:eastAsia="zh-CN"/>
              </w:rPr>
              <w:t>荣誉奖项</w:t>
            </w:r>
          </w:p>
        </w:tc>
        <w:tc>
          <w:tcPr>
            <w:tcW w:w="3643" w:type="pct"/>
            <w:noWrap w:val="0"/>
            <w:vAlign w:val="center"/>
          </w:tcPr>
          <w:p w14:paraId="0CFAD615">
            <w:pPr>
              <w:spacing w:line="400" w:lineRule="exact"/>
              <w:ind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自20</w:t>
            </w:r>
            <w:r>
              <w:rPr>
                <w:rFonts w:hint="eastAsia" w:ascii="宋体" w:hAnsi="宋体" w:eastAsia="宋体" w:cs="宋体"/>
                <w:b w:val="0"/>
                <w:bCs w:val="0"/>
                <w:color w:val="auto"/>
                <w:szCs w:val="21"/>
                <w:highlight w:val="none"/>
                <w:lang w:val="en-US" w:eastAsia="zh-CN"/>
              </w:rPr>
              <w:t>2</w:t>
            </w:r>
            <w:r>
              <w:rPr>
                <w:rFonts w:hint="eastAsia" w:ascii="宋体" w:hAnsi="宋体" w:cs="宋体"/>
                <w:b w:val="0"/>
                <w:bCs w:val="0"/>
                <w:color w:val="auto"/>
                <w:szCs w:val="21"/>
                <w:highlight w:val="none"/>
                <w:lang w:val="en-US" w:eastAsia="zh-CN"/>
              </w:rPr>
              <w:t>0</w:t>
            </w:r>
            <w:r>
              <w:rPr>
                <w:rFonts w:hint="eastAsia" w:ascii="宋体" w:hAnsi="宋体" w:eastAsia="宋体" w:cs="宋体"/>
                <w:b w:val="0"/>
                <w:bCs w:val="0"/>
                <w:color w:val="auto"/>
                <w:szCs w:val="21"/>
                <w:highlight w:val="none"/>
              </w:rPr>
              <w:t>年1月1日至投标截止时间止（以证书颁发时间为准）</w:t>
            </w:r>
            <w:r>
              <w:rPr>
                <w:rFonts w:hint="eastAsia" w:ascii="宋体" w:hAnsi="宋体" w:eastAsia="宋体" w:cs="宋体"/>
                <w:color w:val="auto"/>
                <w:kern w:val="2"/>
                <w:sz w:val="21"/>
                <w:szCs w:val="21"/>
                <w:highlight w:val="none"/>
              </w:rPr>
              <w:t>供应商</w:t>
            </w:r>
            <w:r>
              <w:rPr>
                <w:rFonts w:hint="eastAsia" w:ascii="宋体" w:hAnsi="宋体" w:eastAsia="宋体" w:cs="宋体"/>
                <w:b w:val="0"/>
                <w:bCs w:val="0"/>
                <w:color w:val="auto"/>
                <w:szCs w:val="21"/>
                <w:highlight w:val="none"/>
              </w:rPr>
              <w:t>获得规划设计类奖项的，每个得</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分，最高得</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eastAsia="zh-CN"/>
              </w:rPr>
              <w:t>。</w:t>
            </w:r>
          </w:p>
          <w:p w14:paraId="61E5B13A">
            <w:pPr>
              <w:pStyle w:val="10"/>
              <w:spacing w:line="400" w:lineRule="exact"/>
              <w:jc w:val="left"/>
              <w:rPr>
                <w:rFonts w:hint="eastAsia" w:ascii="宋体" w:hAnsi="宋体" w:eastAsia="宋体" w:cs="宋体"/>
                <w:color w:val="auto"/>
                <w:sz w:val="21"/>
                <w:highlight w:val="none"/>
                <w:lang w:eastAsia="zh-CN"/>
              </w:rPr>
            </w:pPr>
            <w:r>
              <w:rPr>
                <w:rFonts w:hint="eastAsia" w:ascii="宋体" w:hAnsi="宋体" w:eastAsia="宋体" w:cs="宋体"/>
                <w:b w:val="0"/>
                <w:bCs w:val="0"/>
                <w:color w:val="auto"/>
                <w:sz w:val="21"/>
                <w:szCs w:val="21"/>
                <w:highlight w:val="none"/>
                <w:lang w:eastAsia="zh-CN"/>
              </w:rPr>
              <w:t>注：提供获奖证书或获奖文件原件扫描件编入商务技术文件中，</w:t>
            </w:r>
            <w:r>
              <w:rPr>
                <w:rFonts w:hint="eastAsia" w:ascii="宋体" w:hAnsi="宋体" w:eastAsia="宋体" w:cs="宋体"/>
                <w:bCs w:val="0"/>
                <w:color w:val="auto"/>
                <w:sz w:val="21"/>
                <w:szCs w:val="21"/>
                <w:highlight w:val="none"/>
              </w:rPr>
              <w:t>否则不得分。时间以</w:t>
            </w:r>
            <w:r>
              <w:rPr>
                <w:rFonts w:hint="eastAsia" w:ascii="宋体" w:hAnsi="宋体" w:eastAsia="宋体" w:cs="宋体"/>
                <w:b w:val="0"/>
                <w:bCs w:val="0"/>
                <w:color w:val="auto"/>
                <w:sz w:val="21"/>
                <w:szCs w:val="21"/>
                <w:highlight w:val="none"/>
                <w:lang w:eastAsia="zh-CN"/>
              </w:rPr>
              <w:t>获奖证书或获奖文件的落款</w:t>
            </w:r>
            <w:r>
              <w:rPr>
                <w:rFonts w:hint="eastAsia" w:ascii="宋体" w:hAnsi="宋体" w:eastAsia="宋体" w:cs="宋体"/>
                <w:bCs w:val="0"/>
                <w:color w:val="auto"/>
                <w:sz w:val="21"/>
                <w:szCs w:val="21"/>
                <w:highlight w:val="none"/>
              </w:rPr>
              <w:t>时间为准。</w:t>
            </w:r>
          </w:p>
        </w:tc>
        <w:tc>
          <w:tcPr>
            <w:tcW w:w="493" w:type="pct"/>
            <w:noWrap w:val="0"/>
            <w:vAlign w:val="center"/>
          </w:tcPr>
          <w:p w14:paraId="5922CABC">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Cs/>
                <w:color w:val="auto"/>
                <w:kern w:val="2"/>
                <w:sz w:val="21"/>
                <w:szCs w:val="21"/>
                <w:highlight w:val="none"/>
                <w:lang w:val="en-US" w:eastAsia="zh-CN"/>
              </w:rPr>
              <w:t>0-3</w:t>
            </w:r>
            <w:r>
              <w:rPr>
                <w:rFonts w:hint="eastAsia" w:ascii="宋体" w:hAnsi="宋体" w:eastAsia="宋体" w:cs="宋体"/>
                <w:bCs/>
                <w:color w:val="auto"/>
                <w:kern w:val="2"/>
                <w:sz w:val="21"/>
                <w:szCs w:val="21"/>
                <w:highlight w:val="none"/>
              </w:rPr>
              <w:t>分</w:t>
            </w:r>
          </w:p>
        </w:tc>
      </w:tr>
      <w:tr w14:paraId="48D2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0" w:type="pct"/>
            <w:noWrap w:val="0"/>
            <w:vAlign w:val="center"/>
          </w:tcPr>
          <w:p w14:paraId="16D0C50A">
            <w:pPr>
              <w:spacing w:line="400" w:lineRule="exact"/>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p>
        </w:tc>
        <w:tc>
          <w:tcPr>
            <w:tcW w:w="583" w:type="pct"/>
            <w:noWrap w:val="0"/>
            <w:vAlign w:val="center"/>
          </w:tcPr>
          <w:p w14:paraId="581B7717">
            <w:pPr>
              <w:widowControl w:val="0"/>
              <w:adjustRightInd/>
              <w:snapToGrid/>
              <w:spacing w:after="0" w:line="400" w:lineRule="exact"/>
              <w:jc w:val="center"/>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rPr>
              <w:t>项目业绩</w:t>
            </w:r>
          </w:p>
        </w:tc>
        <w:tc>
          <w:tcPr>
            <w:tcW w:w="3643" w:type="pct"/>
            <w:noWrap w:val="0"/>
            <w:vAlign w:val="center"/>
          </w:tcPr>
          <w:p w14:paraId="2C75F982">
            <w:pPr>
              <w:widowControl w:val="0"/>
              <w:spacing w:after="0" w:line="400" w:lineRule="exact"/>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供应商提供自20</w:t>
            </w:r>
            <w:r>
              <w:rPr>
                <w:rFonts w:hint="eastAsia" w:ascii="宋体" w:hAnsi="宋体" w:eastAsia="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年1月1日以来承接过类似项目的，每提供一个得</w:t>
            </w:r>
            <w:r>
              <w:rPr>
                <w:rFonts w:hint="eastAsia" w:ascii="宋体" w:hAnsi="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rPr>
              <w:t>分，最高得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14:paraId="62F7BD6C">
            <w:pPr>
              <w:spacing w:line="400" w:lineRule="exact"/>
              <w:jc w:val="left"/>
              <w:rPr>
                <w:rFonts w:hint="eastAsia" w:ascii="宋体" w:hAnsi="宋体" w:eastAsia="宋体" w:cs="宋体"/>
                <w:b w:val="0"/>
                <w:bCs w:val="0"/>
                <w:color w:val="auto"/>
                <w:szCs w:val="21"/>
                <w:highlight w:val="none"/>
              </w:rPr>
            </w:pPr>
            <w:r>
              <w:rPr>
                <w:rFonts w:hint="eastAsia" w:ascii="宋体" w:hAnsi="宋体" w:eastAsia="宋体" w:cs="宋体"/>
                <w:bCs w:val="0"/>
                <w:color w:val="auto"/>
                <w:sz w:val="21"/>
                <w:szCs w:val="21"/>
                <w:highlight w:val="none"/>
              </w:rPr>
              <w:t>注：提供合同原件扫描件，否则不得分。时间以合同签订时间为准。</w:t>
            </w:r>
          </w:p>
        </w:tc>
        <w:tc>
          <w:tcPr>
            <w:tcW w:w="493" w:type="pct"/>
            <w:noWrap w:val="0"/>
            <w:vAlign w:val="center"/>
          </w:tcPr>
          <w:p w14:paraId="4D4E00FD">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Cs/>
                <w:color w:val="auto"/>
                <w:kern w:val="2"/>
                <w:sz w:val="21"/>
                <w:szCs w:val="21"/>
                <w:highlight w:val="none"/>
                <w:lang w:val="en-US" w:eastAsia="zh-CN"/>
              </w:rPr>
              <w:t>0-</w:t>
            </w:r>
            <w:r>
              <w:rPr>
                <w:rFonts w:hint="eastAsia" w:ascii="宋体" w:hAnsi="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分</w:t>
            </w:r>
          </w:p>
        </w:tc>
      </w:tr>
      <w:tr w14:paraId="6D4E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0" w:type="pct"/>
            <w:vMerge w:val="restart"/>
            <w:noWrap w:val="0"/>
            <w:vAlign w:val="center"/>
          </w:tcPr>
          <w:p w14:paraId="5A9D2AE8">
            <w:pPr>
              <w:spacing w:line="400" w:lineRule="exact"/>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583" w:type="pct"/>
            <w:vMerge w:val="restart"/>
            <w:noWrap w:val="0"/>
            <w:vAlign w:val="center"/>
          </w:tcPr>
          <w:p w14:paraId="48C106F0">
            <w:pPr>
              <w:widowControl w:val="0"/>
              <w:adjustRightInd/>
              <w:snapToGrid/>
              <w:spacing w:after="0" w:line="400" w:lineRule="exact"/>
              <w:jc w:val="center"/>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rPr>
              <w:t>项目实施人员情况</w:t>
            </w:r>
          </w:p>
        </w:tc>
        <w:tc>
          <w:tcPr>
            <w:tcW w:w="3643" w:type="pct"/>
            <w:noWrap w:val="0"/>
            <w:vAlign w:val="center"/>
          </w:tcPr>
          <w:p w14:paraId="4B3EF6DB">
            <w:pPr>
              <w:adjustRightInd/>
              <w:snapToGrid/>
              <w:spacing w:after="0" w:line="40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项目负责人具有</w:t>
            </w:r>
            <w:r>
              <w:rPr>
                <w:rFonts w:hint="eastAsia" w:ascii="宋体" w:hAnsi="宋体" w:eastAsia="宋体" w:cs="宋体"/>
                <w:color w:val="auto"/>
                <w:kern w:val="2"/>
                <w:sz w:val="21"/>
                <w:szCs w:val="21"/>
                <w:highlight w:val="none"/>
                <w:lang w:eastAsia="zh-CN"/>
              </w:rPr>
              <w:t>城乡规划</w:t>
            </w:r>
            <w:r>
              <w:rPr>
                <w:rFonts w:hint="eastAsia" w:ascii="宋体" w:hAnsi="宋体" w:eastAsia="宋体" w:cs="宋体"/>
                <w:color w:val="auto"/>
                <w:kern w:val="2"/>
                <w:sz w:val="21"/>
                <w:szCs w:val="21"/>
                <w:highlight w:val="none"/>
              </w:rPr>
              <w:t>高级工程师及以上职称的得2分</w:t>
            </w:r>
            <w:r>
              <w:rPr>
                <w:rFonts w:hint="eastAsia" w:ascii="宋体" w:hAnsi="宋体" w:eastAsia="宋体" w:cs="宋体"/>
                <w:color w:val="auto"/>
                <w:kern w:val="2"/>
                <w:sz w:val="21"/>
                <w:szCs w:val="21"/>
                <w:highlight w:val="none"/>
                <w:lang w:eastAsia="zh-CN"/>
              </w:rPr>
              <w:t>；具有注册城乡规划师资格的，得</w:t>
            </w:r>
            <w:r>
              <w:rPr>
                <w:rFonts w:hint="eastAsia" w:ascii="宋体" w:hAnsi="宋体" w:eastAsia="宋体" w:cs="宋体"/>
                <w:color w:val="auto"/>
                <w:kern w:val="2"/>
                <w:sz w:val="21"/>
                <w:szCs w:val="21"/>
                <w:highlight w:val="none"/>
                <w:lang w:val="en-US" w:eastAsia="zh-CN"/>
              </w:rPr>
              <w:t>3分，</w:t>
            </w:r>
            <w:r>
              <w:rPr>
                <w:rFonts w:hint="eastAsia" w:ascii="宋体" w:hAnsi="宋体" w:eastAsia="宋体" w:cs="宋体"/>
                <w:i w:val="0"/>
                <w:iCs w:val="0"/>
                <w:color w:val="auto"/>
                <w:sz w:val="21"/>
                <w:szCs w:val="21"/>
                <w:highlight w:val="none"/>
                <w:lang w:val="en-US" w:eastAsia="zh-CN"/>
              </w:rPr>
              <w:t>本项最高5分。</w:t>
            </w:r>
          </w:p>
          <w:p w14:paraId="4B6D45DF">
            <w:pPr>
              <w:spacing w:line="400" w:lineRule="exact"/>
              <w:jc w:val="left"/>
              <w:rPr>
                <w:rFonts w:hint="eastAsia" w:ascii="宋体" w:hAnsi="宋体" w:eastAsia="宋体" w:cs="宋体"/>
                <w:b w:val="0"/>
                <w:bCs w:val="0"/>
                <w:color w:val="auto"/>
                <w:szCs w:val="21"/>
                <w:highlight w:val="none"/>
              </w:rPr>
            </w:pPr>
            <w:r>
              <w:rPr>
                <w:rFonts w:hint="eastAsia" w:ascii="宋体" w:hAnsi="宋体" w:eastAsia="宋体" w:cs="宋体"/>
                <w:color w:val="auto"/>
                <w:kern w:val="2"/>
                <w:sz w:val="21"/>
                <w:szCs w:val="21"/>
                <w:highlight w:val="none"/>
              </w:rPr>
              <w:t>注：提供相关证书扫描件及</w:t>
            </w:r>
            <w:r>
              <w:rPr>
                <w:rFonts w:hint="eastAsia" w:ascii="宋体" w:hAnsi="宋体" w:eastAsia="宋体" w:cs="宋体"/>
                <w:color w:val="auto"/>
                <w:sz w:val="21"/>
                <w:szCs w:val="21"/>
                <w:highlight w:val="none"/>
              </w:rPr>
              <w:t>投标单位为其交纳的</w:t>
            </w:r>
            <w:r>
              <w:rPr>
                <w:rFonts w:hint="eastAsia" w:ascii="宋体" w:hAnsi="宋体" w:eastAsia="宋体" w:cs="宋体"/>
                <w:color w:val="auto"/>
                <w:sz w:val="21"/>
                <w:szCs w:val="21"/>
                <w:highlight w:val="none"/>
                <w:lang w:eastAsia="zh-CN"/>
              </w:rPr>
              <w:t>截止投标前三</w:t>
            </w:r>
            <w:r>
              <w:rPr>
                <w:rFonts w:hint="eastAsia" w:ascii="宋体" w:hAnsi="宋体" w:eastAsia="宋体" w:cs="宋体"/>
                <w:color w:val="auto"/>
                <w:sz w:val="21"/>
                <w:szCs w:val="21"/>
                <w:highlight w:val="none"/>
              </w:rPr>
              <w:t>个月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社保证明</w:t>
            </w:r>
            <w:r>
              <w:rPr>
                <w:rFonts w:hint="eastAsia" w:ascii="宋体" w:hAnsi="宋体" w:eastAsia="宋体" w:cs="宋体"/>
                <w:color w:val="auto"/>
                <w:kern w:val="2"/>
                <w:sz w:val="21"/>
                <w:szCs w:val="21"/>
                <w:highlight w:val="none"/>
              </w:rPr>
              <w:t>，否则不得分。</w:t>
            </w:r>
          </w:p>
        </w:tc>
        <w:tc>
          <w:tcPr>
            <w:tcW w:w="493" w:type="pct"/>
            <w:noWrap w:val="0"/>
            <w:vAlign w:val="center"/>
          </w:tcPr>
          <w:p w14:paraId="6459D04F">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Cs/>
                <w:color w:val="auto"/>
                <w:kern w:val="2"/>
                <w:sz w:val="21"/>
                <w:szCs w:val="21"/>
                <w:highlight w:val="none"/>
                <w:lang w:val="en-US" w:eastAsia="zh-CN"/>
              </w:rPr>
              <w:t>0-5</w:t>
            </w:r>
            <w:r>
              <w:rPr>
                <w:rFonts w:hint="eastAsia" w:ascii="宋体" w:hAnsi="宋体" w:eastAsia="宋体" w:cs="宋体"/>
                <w:bCs/>
                <w:color w:val="auto"/>
                <w:kern w:val="2"/>
                <w:sz w:val="21"/>
                <w:szCs w:val="21"/>
                <w:highlight w:val="none"/>
              </w:rPr>
              <w:t>分</w:t>
            </w:r>
          </w:p>
        </w:tc>
      </w:tr>
      <w:tr w14:paraId="4F13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280" w:type="pct"/>
            <w:vMerge w:val="continue"/>
            <w:noWrap w:val="0"/>
            <w:vAlign w:val="center"/>
          </w:tcPr>
          <w:p w14:paraId="672EEE31">
            <w:pPr>
              <w:spacing w:line="400" w:lineRule="exact"/>
              <w:jc w:val="center"/>
              <w:rPr>
                <w:rFonts w:hint="eastAsia" w:ascii="宋体" w:hAnsi="宋体" w:eastAsia="宋体" w:cs="宋体"/>
                <w:b/>
                <w:bCs/>
                <w:color w:val="auto"/>
                <w:szCs w:val="21"/>
                <w:highlight w:val="none"/>
                <w:lang w:val="en-US" w:eastAsia="zh-CN"/>
              </w:rPr>
            </w:pPr>
          </w:p>
        </w:tc>
        <w:tc>
          <w:tcPr>
            <w:tcW w:w="583" w:type="pct"/>
            <w:vMerge w:val="continue"/>
            <w:noWrap w:val="0"/>
            <w:vAlign w:val="center"/>
          </w:tcPr>
          <w:p w14:paraId="5CB0332F">
            <w:pPr>
              <w:spacing w:line="400" w:lineRule="exact"/>
              <w:jc w:val="center"/>
              <w:rPr>
                <w:rFonts w:hint="eastAsia" w:ascii="宋体" w:hAnsi="宋体" w:eastAsia="宋体" w:cs="宋体"/>
                <w:b/>
                <w:bCs/>
                <w:color w:val="auto"/>
                <w:szCs w:val="21"/>
                <w:highlight w:val="none"/>
              </w:rPr>
            </w:pPr>
          </w:p>
        </w:tc>
        <w:tc>
          <w:tcPr>
            <w:tcW w:w="3643" w:type="pct"/>
            <w:noWrap w:val="0"/>
            <w:vAlign w:val="center"/>
          </w:tcPr>
          <w:p w14:paraId="11E7E8F4">
            <w:pPr>
              <w:widowControl w:val="0"/>
              <w:kinsoku/>
              <w:overflowPunct/>
              <w:autoSpaceDE/>
              <w:autoSpaceDN/>
              <w:adjustRightInd/>
              <w:snapToGrid/>
              <w:spacing w:after="0" w:line="400" w:lineRule="exact"/>
              <w:ind w:firstLine="420" w:firstLineChars="200"/>
              <w:jc w:val="lef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投标人拟派的成员中有建筑、城乡规划、园林、林业调查规划相关专业高级或以上工程师的，</w:t>
            </w:r>
            <w:r>
              <w:rPr>
                <w:rFonts w:hint="eastAsia" w:ascii="宋体" w:hAnsi="宋体" w:eastAsia="宋体" w:cs="宋体"/>
                <w:i w:val="0"/>
                <w:iCs w:val="0"/>
                <w:color w:val="auto"/>
                <w:sz w:val="21"/>
                <w:szCs w:val="21"/>
                <w:highlight w:val="none"/>
                <w:lang w:eastAsia="zh-CN"/>
              </w:rPr>
              <w:t>每个得</w:t>
            </w:r>
            <w:r>
              <w:rPr>
                <w:rFonts w:hint="eastAsia" w:ascii="宋体" w:hAnsi="宋体" w:eastAsia="宋体" w:cs="宋体"/>
                <w:i w:val="0"/>
                <w:iCs w:val="0"/>
                <w:color w:val="auto"/>
                <w:sz w:val="21"/>
                <w:szCs w:val="21"/>
                <w:highlight w:val="none"/>
                <w:lang w:val="en-US" w:eastAsia="zh-CN"/>
              </w:rPr>
              <w:t>1分，本项最高4分。</w:t>
            </w:r>
          </w:p>
          <w:p w14:paraId="60D92C17">
            <w:pPr>
              <w:spacing w:line="400" w:lineRule="exact"/>
              <w:jc w:val="left"/>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rPr>
              <w:t>注：提供相关资格（职称）证书或证明材料扫描件及</w:t>
            </w:r>
            <w:r>
              <w:rPr>
                <w:rFonts w:hint="eastAsia" w:ascii="宋体" w:hAnsi="宋体" w:eastAsia="宋体" w:cs="宋体"/>
                <w:color w:val="auto"/>
                <w:sz w:val="21"/>
                <w:szCs w:val="21"/>
                <w:highlight w:val="none"/>
              </w:rPr>
              <w:t>投标单位为其交纳的近</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个月社保证明</w:t>
            </w:r>
            <w:r>
              <w:rPr>
                <w:rFonts w:hint="eastAsia" w:ascii="宋体" w:hAnsi="宋体" w:eastAsia="宋体" w:cs="宋体"/>
                <w:color w:val="auto"/>
                <w:kern w:val="2"/>
                <w:sz w:val="21"/>
                <w:szCs w:val="21"/>
                <w:highlight w:val="none"/>
              </w:rPr>
              <w:t>，否则不得分。</w:t>
            </w:r>
            <w:r>
              <w:rPr>
                <w:rFonts w:hint="eastAsia" w:ascii="宋体" w:hAnsi="宋体" w:eastAsia="宋体" w:cs="宋体"/>
                <w:i w:val="0"/>
                <w:iCs w:val="0"/>
                <w:color w:val="auto"/>
                <w:sz w:val="21"/>
                <w:szCs w:val="21"/>
                <w:highlight w:val="none"/>
              </w:rPr>
              <w:t>（同一人员具有多个证书的只计1</w:t>
            </w:r>
            <w:r>
              <w:rPr>
                <w:rFonts w:hint="eastAsia" w:ascii="宋体" w:hAnsi="宋体" w:eastAsia="宋体" w:cs="宋体"/>
                <w:i w:val="0"/>
                <w:iCs w:val="0"/>
                <w:color w:val="auto"/>
                <w:sz w:val="21"/>
                <w:szCs w:val="21"/>
                <w:highlight w:val="none"/>
                <w:lang w:eastAsia="zh-CN"/>
              </w:rPr>
              <w:t>次</w:t>
            </w:r>
            <w:r>
              <w:rPr>
                <w:rFonts w:hint="eastAsia" w:ascii="宋体" w:hAnsi="宋体" w:eastAsia="宋体" w:cs="宋体"/>
                <w:i w:val="0"/>
                <w:iCs w:val="0"/>
                <w:color w:val="auto"/>
                <w:sz w:val="21"/>
                <w:szCs w:val="21"/>
                <w:highlight w:val="none"/>
              </w:rPr>
              <w:t>）</w:t>
            </w:r>
          </w:p>
        </w:tc>
        <w:tc>
          <w:tcPr>
            <w:tcW w:w="493" w:type="pct"/>
            <w:noWrap w:val="0"/>
            <w:vAlign w:val="center"/>
          </w:tcPr>
          <w:p w14:paraId="608A8071">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Cs/>
                <w:color w:val="auto"/>
                <w:kern w:val="2"/>
                <w:sz w:val="21"/>
                <w:szCs w:val="21"/>
                <w:highlight w:val="none"/>
                <w:lang w:val="en-US" w:eastAsia="zh-CN"/>
              </w:rPr>
              <w:t>0-4</w:t>
            </w:r>
            <w:r>
              <w:rPr>
                <w:rFonts w:hint="eastAsia" w:ascii="宋体" w:hAnsi="宋体" w:eastAsia="宋体" w:cs="宋体"/>
                <w:bCs/>
                <w:color w:val="auto"/>
                <w:kern w:val="2"/>
                <w:sz w:val="21"/>
                <w:szCs w:val="21"/>
                <w:highlight w:val="none"/>
              </w:rPr>
              <w:t>分</w:t>
            </w:r>
          </w:p>
        </w:tc>
      </w:tr>
      <w:tr w14:paraId="620D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80" w:type="pct"/>
            <w:noWrap w:val="0"/>
            <w:vAlign w:val="center"/>
          </w:tcPr>
          <w:p w14:paraId="6A4E0EC5">
            <w:pPr>
              <w:spacing w:line="40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二</w:t>
            </w:r>
          </w:p>
        </w:tc>
        <w:tc>
          <w:tcPr>
            <w:tcW w:w="4226" w:type="pct"/>
            <w:gridSpan w:val="2"/>
            <w:noWrap w:val="0"/>
            <w:vAlign w:val="center"/>
          </w:tcPr>
          <w:p w14:paraId="3449061C">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技术部分</w:t>
            </w:r>
          </w:p>
        </w:tc>
        <w:tc>
          <w:tcPr>
            <w:tcW w:w="493" w:type="pct"/>
            <w:noWrap w:val="0"/>
            <w:vAlign w:val="center"/>
          </w:tcPr>
          <w:p w14:paraId="4F45F260">
            <w:pPr>
              <w:spacing w:line="40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7</w:t>
            </w:r>
            <w:r>
              <w:rPr>
                <w:rFonts w:hint="eastAsia" w:ascii="宋体" w:hAnsi="宋体" w:cs="宋体"/>
                <w:b/>
                <w:bCs/>
                <w:color w:val="auto"/>
                <w:szCs w:val="21"/>
                <w:highlight w:val="none"/>
                <w:lang w:val="en-US" w:eastAsia="zh-CN"/>
              </w:rPr>
              <w:t>7</w:t>
            </w:r>
            <w:r>
              <w:rPr>
                <w:rFonts w:hint="eastAsia" w:ascii="宋体" w:hAnsi="宋体" w:eastAsia="宋体" w:cs="宋体"/>
                <w:b/>
                <w:bCs/>
                <w:color w:val="auto"/>
                <w:kern w:val="2"/>
                <w:sz w:val="21"/>
                <w:szCs w:val="21"/>
                <w:highlight w:val="none"/>
              </w:rPr>
              <w:t>分</w:t>
            </w:r>
          </w:p>
        </w:tc>
      </w:tr>
      <w:tr w14:paraId="2685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280" w:type="pct"/>
            <w:noWrap w:val="0"/>
            <w:vAlign w:val="center"/>
          </w:tcPr>
          <w:p w14:paraId="40E59E5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83" w:type="pct"/>
            <w:noWrap w:val="0"/>
            <w:vAlign w:val="center"/>
          </w:tcPr>
          <w:p w14:paraId="7F59A1A9">
            <w:pPr>
              <w:widowControl w:val="0"/>
              <w:adjustRightInd/>
              <w:snapToGrid/>
              <w:spacing w:after="0" w:line="400" w:lineRule="exact"/>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2"/>
                <w:sz w:val="21"/>
                <w:szCs w:val="21"/>
                <w:highlight w:val="none"/>
              </w:rPr>
              <w:t>对本项目的总体理解</w:t>
            </w:r>
          </w:p>
        </w:tc>
        <w:tc>
          <w:tcPr>
            <w:tcW w:w="3643" w:type="pct"/>
            <w:noWrap w:val="0"/>
            <w:vAlign w:val="center"/>
          </w:tcPr>
          <w:p w14:paraId="0895E211">
            <w:pPr>
              <w:widowControl w:val="0"/>
              <w:kinsoku/>
              <w:overflowPunct/>
              <w:autoSpaceDE/>
              <w:autoSpaceDN/>
              <w:adjustRightInd/>
              <w:snapToGrid/>
              <w:spacing w:after="0" w:line="400" w:lineRule="exact"/>
              <w:ind w:firstLine="420" w:firstLineChars="200"/>
              <w:jc w:val="left"/>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主要包括对本项目的理解与解读，根据供应商对项目背景、现状认知、项目的意义和必要性及存在问题分析的方案，</w:t>
            </w:r>
            <w:r>
              <w:rPr>
                <w:rFonts w:hint="eastAsia" w:ascii="宋体" w:hAnsi="宋体" w:eastAsia="宋体" w:cs="宋体"/>
                <w:i w:val="0"/>
                <w:iCs w:val="0"/>
                <w:color w:val="auto"/>
                <w:sz w:val="21"/>
                <w:szCs w:val="21"/>
                <w:highlight w:val="none"/>
                <w:lang w:eastAsia="zh-CN"/>
              </w:rPr>
              <w:t>由评委</w:t>
            </w:r>
            <w:r>
              <w:rPr>
                <w:rFonts w:hint="eastAsia" w:ascii="宋体" w:hAnsi="宋体" w:eastAsia="宋体" w:cs="宋体"/>
                <w:b w:val="0"/>
                <w:bCs w:val="0"/>
                <w:color w:val="auto"/>
                <w:spacing w:val="0"/>
                <w:w w:val="100"/>
                <w:kern w:val="0"/>
                <w:position w:val="0"/>
                <w:sz w:val="22"/>
                <w:szCs w:val="22"/>
                <w:highlight w:val="none"/>
                <w:lang w:val="en-US" w:eastAsia="zh-CN" w:bidi="ar-SA"/>
              </w:rPr>
              <w:t>根据投标人提供对本项目的总体理解方案内容全面完整性、合理性、可行性进行综合打分（评分范围：5分，4分，3分，2分，1分，0.5分）。未提供不得分。</w:t>
            </w:r>
          </w:p>
        </w:tc>
        <w:tc>
          <w:tcPr>
            <w:tcW w:w="493" w:type="pct"/>
            <w:noWrap w:val="0"/>
            <w:vAlign w:val="center"/>
          </w:tcPr>
          <w:p w14:paraId="78B8C524">
            <w:pPr>
              <w:widowControl w:val="0"/>
              <w:tabs>
                <w:tab w:val="left" w:pos="1154"/>
              </w:tabs>
              <w:adjustRightInd/>
              <w:snapToGrid/>
              <w:spacing w:after="0"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rPr>
              <w:t>0-</w:t>
            </w: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分</w:t>
            </w:r>
          </w:p>
        </w:tc>
      </w:tr>
      <w:tr w14:paraId="3D6A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80" w:type="pct"/>
            <w:noWrap w:val="0"/>
            <w:vAlign w:val="center"/>
          </w:tcPr>
          <w:p w14:paraId="1D92FA9E">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583" w:type="pct"/>
            <w:noWrap w:val="0"/>
            <w:vAlign w:val="center"/>
          </w:tcPr>
          <w:p w14:paraId="40A7A298">
            <w:pPr>
              <w:widowControl w:val="0"/>
              <w:adjustRightInd/>
              <w:snapToGrid/>
              <w:spacing w:after="0" w:line="400" w:lineRule="exact"/>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现状调查水平</w:t>
            </w:r>
          </w:p>
        </w:tc>
        <w:tc>
          <w:tcPr>
            <w:tcW w:w="3643" w:type="pct"/>
            <w:noWrap w:val="0"/>
            <w:vAlign w:val="center"/>
          </w:tcPr>
          <w:p w14:paraId="167BB697">
            <w:pPr>
              <w:widowControl w:val="0"/>
              <w:numPr>
                <w:ilvl w:val="0"/>
                <w:numId w:val="0"/>
              </w:numPr>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现状调查详实、三调用地分析准确，对资料分析细致详实</w:t>
            </w:r>
            <w:r>
              <w:rPr>
                <w:rFonts w:hint="eastAsia" w:ascii="宋体" w:hAnsi="宋体" w:cs="宋体"/>
                <w:color w:val="auto"/>
                <w:kern w:val="2"/>
                <w:sz w:val="21"/>
                <w:szCs w:val="21"/>
                <w:highlight w:val="none"/>
                <w:lang w:eastAsia="zh-CN"/>
              </w:rPr>
              <w:t>，</w:t>
            </w:r>
            <w:r>
              <w:rPr>
                <w:rFonts w:hint="eastAsia" w:ascii="宋体" w:hAnsi="宋体" w:eastAsia="宋体" w:cs="宋体"/>
                <w:i w:val="0"/>
                <w:iCs w:val="0"/>
                <w:color w:val="auto"/>
                <w:sz w:val="21"/>
                <w:szCs w:val="21"/>
                <w:highlight w:val="none"/>
                <w:lang w:eastAsia="zh-CN"/>
              </w:rPr>
              <w:t>由评委</w:t>
            </w:r>
            <w:r>
              <w:rPr>
                <w:rFonts w:hint="eastAsia" w:ascii="宋体" w:hAnsi="宋体" w:eastAsia="宋体" w:cs="宋体"/>
                <w:b w:val="0"/>
                <w:bCs w:val="0"/>
                <w:color w:val="auto"/>
                <w:spacing w:val="0"/>
                <w:w w:val="100"/>
                <w:kern w:val="0"/>
                <w:position w:val="0"/>
                <w:sz w:val="22"/>
                <w:szCs w:val="22"/>
                <w:highlight w:val="none"/>
                <w:lang w:val="en-US" w:eastAsia="zh-CN" w:bidi="ar-SA"/>
              </w:rPr>
              <w:t>根据投标人提供对本项目的现状调查方案内容全面完整性、合理性、可行性进行综合打分（评分范围：4分，3分，2分，1分，0.5分）。未提供不得分。</w:t>
            </w:r>
          </w:p>
          <w:p w14:paraId="27B69A6E">
            <w:pPr>
              <w:widowControl w:val="0"/>
              <w:numPr>
                <w:ilvl w:val="0"/>
                <w:numId w:val="0"/>
              </w:numPr>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对</w:t>
            </w:r>
            <w:r>
              <w:rPr>
                <w:rFonts w:hint="eastAsia" w:ascii="宋体" w:hAnsi="宋体" w:eastAsia="宋体" w:cs="宋体"/>
                <w:color w:val="auto"/>
                <w:kern w:val="2"/>
                <w:sz w:val="21"/>
                <w:szCs w:val="21"/>
                <w:highlight w:val="none"/>
              </w:rPr>
              <w:t>村落内需保护的建（构）筑物根据各自的保护价值进行定点定位，相应的保护措施和整治方式情况</w:t>
            </w:r>
            <w:r>
              <w:rPr>
                <w:rFonts w:hint="eastAsia" w:ascii="宋体" w:hAnsi="宋体" w:eastAsia="宋体" w:cs="宋体"/>
                <w:color w:val="auto"/>
                <w:kern w:val="2"/>
                <w:sz w:val="21"/>
                <w:szCs w:val="21"/>
                <w:highlight w:val="none"/>
                <w:lang w:eastAsia="zh-CN"/>
              </w:rPr>
              <w:t>，</w:t>
            </w:r>
            <w:r>
              <w:rPr>
                <w:rFonts w:hint="eastAsia" w:ascii="宋体" w:hAnsi="宋体" w:eastAsia="宋体" w:cs="宋体"/>
                <w:i w:val="0"/>
                <w:iCs w:val="0"/>
                <w:color w:val="auto"/>
                <w:sz w:val="21"/>
                <w:szCs w:val="21"/>
                <w:highlight w:val="none"/>
                <w:lang w:eastAsia="zh-CN"/>
              </w:rPr>
              <w:t>由评委</w:t>
            </w:r>
            <w:r>
              <w:rPr>
                <w:rFonts w:hint="eastAsia" w:ascii="宋体" w:hAnsi="宋体" w:eastAsia="宋体" w:cs="宋体"/>
                <w:b w:val="0"/>
                <w:bCs w:val="0"/>
                <w:color w:val="auto"/>
                <w:spacing w:val="0"/>
                <w:w w:val="100"/>
                <w:kern w:val="0"/>
                <w:position w:val="0"/>
                <w:sz w:val="22"/>
                <w:szCs w:val="22"/>
                <w:highlight w:val="none"/>
                <w:lang w:val="en-US" w:eastAsia="zh-CN" w:bidi="ar-SA"/>
              </w:rPr>
              <w:t>根据投标人提供对本项目的现状调查方案内容全面完整性、合理性、可行性进行综合打分（评分范围：</w:t>
            </w:r>
          </w:p>
          <w:p w14:paraId="6D4335F1">
            <w:pPr>
              <w:widowControl w:val="0"/>
              <w:numPr>
                <w:ilvl w:val="0"/>
                <w:numId w:val="0"/>
              </w:numPr>
              <w:adjustRightInd/>
              <w:snapToGrid/>
              <w:spacing w:after="0" w:line="400" w:lineRule="exact"/>
              <w:jc w:val="left"/>
              <w:rPr>
                <w:rFonts w:hint="eastAsia" w:ascii="宋体" w:hAnsi="宋体" w:eastAsia="宋体" w:cs="宋体"/>
                <w:color w:val="auto"/>
                <w:szCs w:val="21"/>
                <w:highlight w:val="none"/>
                <w:lang w:eastAsia="zh-CN"/>
              </w:rPr>
            </w:pPr>
            <w:r>
              <w:rPr>
                <w:rFonts w:hint="eastAsia" w:ascii="宋体" w:hAnsi="宋体" w:eastAsia="宋体" w:cs="宋体"/>
                <w:b w:val="0"/>
                <w:bCs w:val="0"/>
                <w:color w:val="auto"/>
                <w:spacing w:val="0"/>
                <w:w w:val="100"/>
                <w:kern w:val="0"/>
                <w:position w:val="0"/>
                <w:sz w:val="22"/>
                <w:szCs w:val="22"/>
                <w:highlight w:val="none"/>
                <w:lang w:val="en-US" w:eastAsia="zh-CN" w:bidi="ar-SA"/>
              </w:rPr>
              <w:t>4分，3分，2分，1分，0.5分）。未提供不得分。</w:t>
            </w:r>
          </w:p>
        </w:tc>
        <w:tc>
          <w:tcPr>
            <w:tcW w:w="493" w:type="pct"/>
            <w:noWrap w:val="0"/>
            <w:vAlign w:val="center"/>
          </w:tcPr>
          <w:p w14:paraId="7E0E4D66">
            <w:pPr>
              <w:widowControl w:val="0"/>
              <w:tabs>
                <w:tab w:val="left" w:pos="1154"/>
              </w:tabs>
              <w:adjustRightInd/>
              <w:snapToGrid/>
              <w:spacing w:after="0"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rPr>
              <w:t>0-</w:t>
            </w:r>
            <w:r>
              <w:rPr>
                <w:rFonts w:hint="eastAsia" w:ascii="宋体" w:hAnsi="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rPr>
              <w:t>分</w:t>
            </w:r>
          </w:p>
        </w:tc>
      </w:tr>
      <w:tr w14:paraId="491C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80" w:type="pct"/>
            <w:noWrap w:val="0"/>
            <w:vAlign w:val="center"/>
          </w:tcPr>
          <w:p w14:paraId="388509A4">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3</w:t>
            </w:r>
          </w:p>
        </w:tc>
        <w:tc>
          <w:tcPr>
            <w:tcW w:w="583" w:type="pct"/>
            <w:noWrap w:val="0"/>
            <w:vAlign w:val="center"/>
          </w:tcPr>
          <w:p w14:paraId="1DA9964F">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发展定位</w:t>
            </w:r>
          </w:p>
        </w:tc>
        <w:tc>
          <w:tcPr>
            <w:tcW w:w="3643" w:type="pct"/>
            <w:noWrap w:val="0"/>
            <w:vAlign w:val="center"/>
          </w:tcPr>
          <w:p w14:paraId="541AB0D5">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1）发展定位能深度挖掘村庄文化底蕴并有较强识别度，与整个村庄文化、环境布局等和谐协调，与乡村振兴发展相符，由评委根据投标人提供对本项目的发展方案内容全面完整性、合理性、可行性进行综合打分（评分范围：5分，4分，3分，2分，1分，0.5分）。未提供不得分。</w:t>
            </w:r>
          </w:p>
          <w:p w14:paraId="523DA14E">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2）定位能深度挖掘村庄文化底蕴并有较强识别度，与整个村庄文化、环境布局等和谐协调，与乡村振兴发展相符，由评委根据投标人提供对本项目的定位方案内容全面完整性、合理性、可行性进行综合打分（评分范围：5分，4分，3分，2分，1分，0.5分）。未提供不得分。</w:t>
            </w:r>
          </w:p>
        </w:tc>
        <w:tc>
          <w:tcPr>
            <w:tcW w:w="493" w:type="pct"/>
            <w:noWrap w:val="0"/>
            <w:vAlign w:val="center"/>
          </w:tcPr>
          <w:p w14:paraId="28EAABFE">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0-10分</w:t>
            </w:r>
          </w:p>
        </w:tc>
      </w:tr>
      <w:tr w14:paraId="4F18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80" w:type="pct"/>
            <w:noWrap w:val="0"/>
            <w:vAlign w:val="center"/>
          </w:tcPr>
          <w:p w14:paraId="527FB7B6">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4</w:t>
            </w:r>
          </w:p>
        </w:tc>
        <w:tc>
          <w:tcPr>
            <w:tcW w:w="583" w:type="pct"/>
            <w:noWrap w:val="0"/>
            <w:vAlign w:val="center"/>
          </w:tcPr>
          <w:p w14:paraId="7FAAE3F2">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村落保护规划</w:t>
            </w:r>
          </w:p>
        </w:tc>
        <w:tc>
          <w:tcPr>
            <w:tcW w:w="3643" w:type="pct"/>
            <w:noWrap w:val="0"/>
            <w:vAlign w:val="center"/>
          </w:tcPr>
          <w:p w14:paraId="4964D111">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1）保护利用的核心保护区、建设控制区和存有环境风貌保持区等功能分区布局合理，由评委根据投标人提供对本项目村落核心保护区方案内容全面完整性、合理性、可行性进行综合打分（评分范围：5分，4分，3分，2分，1分，0.5分）。未提供不得分。</w:t>
            </w:r>
          </w:p>
          <w:p w14:paraId="78E09FAF">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2）对保护区和建设控制区建（构）筑物的性质、高度、体量、色彩及形制等进行管控的措施明确，对与历史风貌有冲突的建（构）筑物进行定点定位，整治措施等方案明确，由评委根据投标人提供对本项目的村落保护建设控制区方案内容全面完整性、合理性、可行性进行综合打分（评分范围：5分，4分，3分，2分，1分，0.5分）。未提供不得分。</w:t>
            </w:r>
          </w:p>
        </w:tc>
        <w:tc>
          <w:tcPr>
            <w:tcW w:w="493" w:type="pct"/>
            <w:noWrap w:val="0"/>
            <w:vAlign w:val="center"/>
          </w:tcPr>
          <w:p w14:paraId="1A291EB2">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0-10分</w:t>
            </w:r>
          </w:p>
        </w:tc>
      </w:tr>
      <w:tr w14:paraId="09A2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80" w:type="pct"/>
            <w:noWrap w:val="0"/>
            <w:vAlign w:val="center"/>
          </w:tcPr>
          <w:p w14:paraId="34C82582">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583" w:type="pct"/>
            <w:noWrap w:val="0"/>
            <w:vAlign w:val="center"/>
          </w:tcPr>
          <w:p w14:paraId="06E68B7F">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村落利用规划</w:t>
            </w:r>
          </w:p>
        </w:tc>
        <w:tc>
          <w:tcPr>
            <w:tcW w:w="3643" w:type="pct"/>
            <w:noWrap w:val="0"/>
            <w:vAlign w:val="center"/>
          </w:tcPr>
          <w:p w14:paraId="43253F27">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1）对村庄土地利用规划、人口控制规划、展示与利用规划、旅游发展规划进行详细规划，由评委根据投标人提供对本项目村庄土地利用规划、入口控制规划内容全面完整性、合理性、可行性进行综合打分（评分范围：5分，4分，3分，2分，1分，0.5分）。未提供不得分。</w:t>
            </w:r>
          </w:p>
          <w:p w14:paraId="6F1DC894">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2）对村庄产业规划、文化发展规划、展示与利用规划、旅游发展规划进行详细规划，由评委根据投标人提供对本项目村庄产业规划、文化发展规划内容全面完整性、合理性、可行性进行综合打分（评分范围：5分，4分，3分，2分，1分，0.5分）。未提供不得分。</w:t>
            </w:r>
          </w:p>
        </w:tc>
        <w:tc>
          <w:tcPr>
            <w:tcW w:w="493" w:type="pct"/>
            <w:noWrap w:val="0"/>
            <w:vAlign w:val="center"/>
          </w:tcPr>
          <w:p w14:paraId="203D36C5">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0-10分</w:t>
            </w:r>
          </w:p>
        </w:tc>
      </w:tr>
      <w:tr w14:paraId="7D96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80" w:type="pct"/>
            <w:noWrap w:val="0"/>
            <w:vAlign w:val="center"/>
          </w:tcPr>
          <w:p w14:paraId="1503F02B">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583" w:type="pct"/>
            <w:noWrap w:val="0"/>
            <w:vAlign w:val="center"/>
          </w:tcPr>
          <w:p w14:paraId="2D2D4B30">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村落专项规划</w:t>
            </w:r>
          </w:p>
        </w:tc>
        <w:tc>
          <w:tcPr>
            <w:tcW w:w="3643" w:type="pct"/>
            <w:noWrap w:val="0"/>
            <w:vAlign w:val="center"/>
          </w:tcPr>
          <w:p w14:paraId="561F0344">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1）对村庄空间布局规划、总平面布局、鸟瞰图、道路交通规划、公共服务设施规划、线网整治规划进行详细规划设计，由评委根据投标人提供对本项目村庄空间布局规划、总平面布局、鸟瞰图、道路交通规划、公共服务设施规划内容全面完整性、合理性、可行性进行综合打分（评分范围：5分，4分，3分，2分，1分，0.5分）。未提供不得分。</w:t>
            </w:r>
          </w:p>
          <w:p w14:paraId="186BE159">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2）对村庄市政工程规划、平面定位及竖向规划、环卫设施规划、绿化景观规划、消防规划、综合防灾规划、生态环境保护规划、线网整治规划进行详细规划设计，由评委根据投标人提供对本项目村庄市政工程规划、平面定位及竖向规划、环卫设施规划、绿化景观规划、消防规划、综合防灾规划、生态环境保护规划内容全面完整性、合理性、可行性进行综合打分（评分范围：5分，4分，3分，2分，1分，0.5分）。未提供不得分。</w:t>
            </w:r>
          </w:p>
        </w:tc>
        <w:tc>
          <w:tcPr>
            <w:tcW w:w="493" w:type="pct"/>
            <w:noWrap w:val="0"/>
            <w:vAlign w:val="center"/>
          </w:tcPr>
          <w:p w14:paraId="714614F2">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0-10分</w:t>
            </w:r>
          </w:p>
        </w:tc>
      </w:tr>
      <w:tr w14:paraId="5885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80" w:type="pct"/>
            <w:tcBorders>
              <w:left w:val="single" w:color="auto" w:sz="4" w:space="0"/>
              <w:bottom w:val="single" w:color="auto" w:sz="4" w:space="0"/>
            </w:tcBorders>
            <w:noWrap w:val="0"/>
            <w:vAlign w:val="center"/>
          </w:tcPr>
          <w:p w14:paraId="7BC8742B">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583" w:type="pct"/>
            <w:tcBorders>
              <w:bottom w:val="single" w:color="auto" w:sz="4" w:space="0"/>
            </w:tcBorders>
            <w:noWrap w:val="0"/>
            <w:vAlign w:val="center"/>
          </w:tcPr>
          <w:p w14:paraId="4C2FA224">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风貌管控与设计</w:t>
            </w:r>
          </w:p>
        </w:tc>
        <w:tc>
          <w:tcPr>
            <w:tcW w:w="3643" w:type="pct"/>
            <w:tcBorders>
              <w:bottom w:val="single" w:color="auto" w:sz="4" w:space="0"/>
            </w:tcBorders>
            <w:noWrap w:val="0"/>
            <w:vAlign w:val="center"/>
          </w:tcPr>
          <w:p w14:paraId="73DBF172">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建筑风貌、重要节点效果及重点部位设计效果，由评委根据投标人提供对本项目村庄风貌设计新颖、具有亮点、本土特色可行性进行综合打分（评分范围：5分，4分，3分，2分，1分，0.5分）。未提供不得分。</w:t>
            </w:r>
          </w:p>
        </w:tc>
        <w:tc>
          <w:tcPr>
            <w:tcW w:w="493" w:type="pct"/>
            <w:tcBorders>
              <w:bottom w:val="single" w:color="auto" w:sz="4" w:space="0"/>
              <w:right w:val="single" w:color="auto" w:sz="4" w:space="0"/>
            </w:tcBorders>
            <w:noWrap w:val="0"/>
            <w:vAlign w:val="center"/>
          </w:tcPr>
          <w:p w14:paraId="730248EF">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eastAsia="宋体" w:cs="宋体"/>
                <w:b w:val="0"/>
                <w:bCs w:val="0"/>
                <w:color w:val="auto"/>
                <w:spacing w:val="0"/>
                <w:w w:val="100"/>
                <w:kern w:val="0"/>
                <w:position w:val="0"/>
                <w:sz w:val="22"/>
                <w:szCs w:val="22"/>
                <w:highlight w:val="none"/>
                <w:lang w:val="en-US" w:eastAsia="zh-CN" w:bidi="ar-SA"/>
              </w:rPr>
              <w:t>0-5分</w:t>
            </w:r>
          </w:p>
        </w:tc>
      </w:tr>
      <w:tr w14:paraId="44D7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80" w:type="pct"/>
            <w:tcBorders>
              <w:top w:val="single" w:color="auto" w:sz="4" w:space="0"/>
              <w:left w:val="single" w:color="auto" w:sz="4" w:space="0"/>
              <w:bottom w:val="single" w:color="auto" w:sz="4" w:space="0"/>
            </w:tcBorders>
            <w:noWrap w:val="0"/>
            <w:vAlign w:val="center"/>
          </w:tcPr>
          <w:p w14:paraId="21509964">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583" w:type="pct"/>
            <w:tcBorders>
              <w:top w:val="single" w:color="auto" w:sz="4" w:space="0"/>
              <w:bottom w:val="single" w:color="auto" w:sz="4" w:space="0"/>
            </w:tcBorders>
            <w:noWrap w:val="0"/>
            <w:vAlign w:val="center"/>
          </w:tcPr>
          <w:p w14:paraId="667E65AD">
            <w:pPr>
              <w:widowControl w:val="0"/>
              <w:adjustRightInd/>
              <w:snapToGrid/>
              <w:spacing w:after="0" w:line="400" w:lineRule="exact"/>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2"/>
                <w:sz w:val="21"/>
                <w:szCs w:val="21"/>
                <w:highlight w:val="none"/>
              </w:rPr>
              <w:t>实施计划、对策措施</w:t>
            </w:r>
          </w:p>
        </w:tc>
        <w:tc>
          <w:tcPr>
            <w:tcW w:w="3643" w:type="pct"/>
            <w:tcBorders>
              <w:top w:val="single" w:color="auto" w:sz="4" w:space="0"/>
              <w:bottom w:val="single" w:color="auto" w:sz="4" w:space="0"/>
            </w:tcBorders>
            <w:noWrap w:val="0"/>
            <w:vAlign w:val="center"/>
          </w:tcPr>
          <w:p w14:paraId="23B902E9">
            <w:pPr>
              <w:widowControl w:val="0"/>
              <w:numPr>
                <w:ilvl w:val="0"/>
                <w:numId w:val="0"/>
              </w:numPr>
              <w:tabs>
                <w:tab w:val="left" w:pos="1154"/>
              </w:tabs>
              <w:adjustRightInd/>
              <w:snapToGrid/>
              <w:spacing w:after="0" w:line="400" w:lineRule="exact"/>
              <w:jc w:val="left"/>
              <w:rPr>
                <w:rFonts w:hint="eastAsia" w:ascii="宋体" w:hAnsi="宋体" w:eastAsia="宋体" w:cs="宋体"/>
                <w:b w:val="0"/>
                <w:bCs w:val="0"/>
                <w:color w:val="auto"/>
                <w:spacing w:val="0"/>
                <w:w w:val="100"/>
                <w:kern w:val="0"/>
                <w:position w:val="0"/>
                <w:sz w:val="22"/>
                <w:szCs w:val="22"/>
                <w:highlight w:val="none"/>
                <w:lang w:val="en-US" w:eastAsia="zh-CN" w:bidi="ar-SA"/>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规划研究既要解决当前村庄发展问题，又要考虑长远发展，</w:t>
            </w:r>
            <w:r>
              <w:rPr>
                <w:rFonts w:hint="eastAsia" w:ascii="宋体" w:hAnsi="宋体" w:eastAsia="宋体" w:cs="宋体"/>
                <w:i w:val="0"/>
                <w:iCs w:val="0"/>
                <w:color w:val="auto"/>
                <w:sz w:val="21"/>
                <w:szCs w:val="21"/>
                <w:highlight w:val="none"/>
                <w:lang w:eastAsia="zh-CN"/>
              </w:rPr>
              <w:t>由评委</w:t>
            </w:r>
            <w:r>
              <w:rPr>
                <w:rFonts w:hint="eastAsia" w:ascii="宋体" w:hAnsi="宋体" w:eastAsia="宋体" w:cs="宋体"/>
                <w:b w:val="0"/>
                <w:bCs w:val="0"/>
                <w:color w:val="auto"/>
                <w:spacing w:val="0"/>
                <w:w w:val="100"/>
                <w:kern w:val="0"/>
                <w:position w:val="0"/>
                <w:sz w:val="22"/>
                <w:szCs w:val="22"/>
                <w:highlight w:val="none"/>
                <w:lang w:val="en-US" w:eastAsia="zh-CN" w:bidi="ar-SA"/>
              </w:rPr>
              <w:t>根据投标人提供对本项目的实施计划方案内容全面完整性、合理性、可行性进行综合打分（评分范围：5分，4分，3分，2分，1分，0.5分）。未提供不得分。</w:t>
            </w:r>
          </w:p>
          <w:p w14:paraId="7AD70B53">
            <w:pPr>
              <w:widowControl w:val="0"/>
              <w:numPr>
                <w:ilvl w:val="0"/>
                <w:numId w:val="0"/>
              </w:numPr>
              <w:tabs>
                <w:tab w:val="left" w:pos="1154"/>
              </w:tabs>
              <w:adjustRightInd/>
              <w:snapToGrid/>
              <w:spacing w:after="0" w:line="400" w:lineRule="exact"/>
              <w:jc w:val="left"/>
              <w:rPr>
                <w:rFonts w:hint="eastAsia"/>
                <w:color w:val="auto"/>
              </w:rPr>
            </w:pPr>
            <w:r>
              <w:rPr>
                <w:rFonts w:hint="eastAsia" w:ascii="宋体" w:hAnsi="宋体" w:eastAsia="宋体" w:cs="宋体"/>
                <w:color w:val="auto"/>
                <w:kern w:val="2"/>
                <w:sz w:val="21"/>
                <w:szCs w:val="21"/>
                <w:highlight w:val="none"/>
                <w:lang w:val="en-US" w:eastAsia="zh-CN"/>
              </w:rPr>
              <w:t>（2）对</w:t>
            </w:r>
            <w:r>
              <w:rPr>
                <w:rFonts w:hint="eastAsia" w:ascii="宋体" w:hAnsi="宋体" w:eastAsia="宋体" w:cs="宋体"/>
                <w:color w:val="auto"/>
                <w:kern w:val="2"/>
                <w:sz w:val="21"/>
                <w:szCs w:val="21"/>
                <w:highlight w:val="none"/>
              </w:rPr>
              <w:t>相应的对策措施，具有较强的可操作性，</w:t>
            </w:r>
            <w:r>
              <w:rPr>
                <w:rFonts w:hint="eastAsia" w:ascii="宋体" w:hAnsi="宋体" w:eastAsia="宋体" w:cs="宋体"/>
                <w:i w:val="0"/>
                <w:iCs w:val="0"/>
                <w:color w:val="auto"/>
                <w:sz w:val="21"/>
                <w:szCs w:val="21"/>
                <w:highlight w:val="none"/>
                <w:lang w:eastAsia="zh-CN"/>
              </w:rPr>
              <w:t>由评委</w:t>
            </w:r>
            <w:r>
              <w:rPr>
                <w:rFonts w:hint="eastAsia" w:ascii="宋体" w:hAnsi="宋体" w:eastAsia="宋体" w:cs="宋体"/>
                <w:b w:val="0"/>
                <w:bCs w:val="0"/>
                <w:color w:val="auto"/>
                <w:spacing w:val="0"/>
                <w:w w:val="100"/>
                <w:kern w:val="0"/>
                <w:position w:val="0"/>
                <w:sz w:val="22"/>
                <w:szCs w:val="22"/>
                <w:highlight w:val="none"/>
                <w:lang w:val="en-US" w:eastAsia="zh-CN" w:bidi="ar-SA"/>
              </w:rPr>
              <w:t>根据投标人提供对本项目的实施计划方案内容全面完整性、合理性、可行性进行综合打分（评分范围：5分，4分，3分，2分，1分，0.5分）。未提供不得分。</w:t>
            </w:r>
          </w:p>
        </w:tc>
        <w:tc>
          <w:tcPr>
            <w:tcW w:w="493" w:type="pct"/>
            <w:tcBorders>
              <w:top w:val="single" w:color="auto" w:sz="4" w:space="0"/>
              <w:bottom w:val="single" w:color="auto" w:sz="4" w:space="0"/>
              <w:right w:val="single" w:color="auto" w:sz="4" w:space="0"/>
            </w:tcBorders>
            <w:noWrap w:val="0"/>
            <w:vAlign w:val="center"/>
          </w:tcPr>
          <w:p w14:paraId="4AE2C5ED">
            <w:pPr>
              <w:widowControl w:val="0"/>
              <w:tabs>
                <w:tab w:val="left" w:pos="1154"/>
              </w:tabs>
              <w:adjustRightInd/>
              <w:snapToGrid/>
              <w:spacing w:after="0"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rPr>
              <w:t>0-</w:t>
            </w:r>
            <w:r>
              <w:rPr>
                <w:rFonts w:hint="eastAsia" w:ascii="宋体" w:hAnsi="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rPr>
              <w:t>分</w:t>
            </w:r>
          </w:p>
        </w:tc>
      </w:tr>
      <w:tr w14:paraId="32B3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80" w:type="pct"/>
            <w:vMerge w:val="restart"/>
            <w:tcBorders>
              <w:top w:val="single" w:color="auto" w:sz="4" w:space="0"/>
              <w:bottom w:val="single" w:color="auto" w:sz="4" w:space="0"/>
            </w:tcBorders>
            <w:noWrap w:val="0"/>
            <w:vAlign w:val="center"/>
          </w:tcPr>
          <w:p w14:paraId="398634A4">
            <w:pPr>
              <w:spacing w:line="400" w:lineRule="exact"/>
              <w:jc w:val="center"/>
              <w:rPr>
                <w:rFonts w:hint="eastAsia" w:ascii="宋体" w:hAnsi="宋体" w:eastAsia="宋体" w:cs="宋体"/>
                <w:color w:val="FF0000"/>
                <w:szCs w:val="21"/>
                <w:highlight w:val="none"/>
                <w:lang w:val="en-US" w:eastAsia="zh-CN"/>
              </w:rPr>
            </w:pPr>
            <w:r>
              <w:rPr>
                <w:rFonts w:hint="eastAsia" w:ascii="宋体" w:hAnsi="宋体" w:eastAsia="宋体" w:cs="宋体"/>
                <w:b w:val="0"/>
                <w:bCs w:val="0"/>
                <w:color w:val="auto"/>
                <w:spacing w:val="0"/>
                <w:w w:val="100"/>
                <w:kern w:val="0"/>
                <w:position w:val="0"/>
                <w:sz w:val="22"/>
                <w:szCs w:val="22"/>
                <w:highlight w:val="none"/>
                <w:lang w:val="en-US" w:eastAsia="zh-CN" w:bidi="ar-SA"/>
              </w:rPr>
              <w:t>9</w:t>
            </w:r>
          </w:p>
        </w:tc>
        <w:tc>
          <w:tcPr>
            <w:tcW w:w="583" w:type="pct"/>
            <w:vMerge w:val="restart"/>
            <w:tcBorders>
              <w:top w:val="single" w:color="auto" w:sz="4" w:space="0"/>
            </w:tcBorders>
            <w:noWrap w:val="0"/>
            <w:vAlign w:val="center"/>
          </w:tcPr>
          <w:p w14:paraId="24BF6C63">
            <w:pPr>
              <w:widowControl w:val="0"/>
              <w:adjustRightInd/>
              <w:snapToGrid/>
              <w:spacing w:after="0" w:line="400" w:lineRule="exact"/>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服务承诺</w:t>
            </w:r>
          </w:p>
        </w:tc>
        <w:tc>
          <w:tcPr>
            <w:tcW w:w="3643" w:type="pct"/>
            <w:tcBorders>
              <w:top w:val="single" w:color="auto" w:sz="4" w:space="0"/>
            </w:tcBorders>
            <w:noWrap w:val="0"/>
            <w:vAlign w:val="center"/>
          </w:tcPr>
          <w:p w14:paraId="65854378">
            <w:pPr>
              <w:widowControl w:val="0"/>
              <w:numPr>
                <w:ilvl w:val="0"/>
                <w:numId w:val="0"/>
              </w:numPr>
              <w:tabs>
                <w:tab w:val="left" w:pos="1154"/>
              </w:tabs>
              <w:adjustRightInd/>
              <w:snapToGrid/>
              <w:spacing w:after="0" w:line="400" w:lineRule="exact"/>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根据供应商履行过程中所提供的服务承诺、响应度措施等是否有利于本项目的开展</w:t>
            </w:r>
            <w:r>
              <w:rPr>
                <w:rFonts w:hint="eastAsia" w:ascii="宋体" w:hAnsi="宋体" w:eastAsia="宋体" w:cs="宋体"/>
                <w:color w:val="auto"/>
                <w:kern w:val="2"/>
                <w:sz w:val="21"/>
                <w:szCs w:val="21"/>
                <w:highlight w:val="none"/>
                <w:lang w:eastAsia="zh-CN"/>
              </w:rPr>
              <w:t>，</w:t>
            </w:r>
            <w:r>
              <w:rPr>
                <w:rFonts w:hint="eastAsia" w:ascii="宋体" w:hAnsi="宋体" w:eastAsia="宋体" w:cs="宋体"/>
                <w:i w:val="0"/>
                <w:iCs w:val="0"/>
                <w:color w:val="auto"/>
                <w:sz w:val="21"/>
                <w:szCs w:val="21"/>
                <w:highlight w:val="none"/>
                <w:lang w:eastAsia="zh-CN"/>
              </w:rPr>
              <w:t>由评委</w:t>
            </w:r>
            <w:r>
              <w:rPr>
                <w:rFonts w:hint="eastAsia" w:ascii="宋体" w:hAnsi="宋体" w:eastAsia="宋体" w:cs="宋体"/>
                <w:b w:val="0"/>
                <w:bCs w:val="0"/>
                <w:color w:val="auto"/>
                <w:spacing w:val="0"/>
                <w:w w:val="100"/>
                <w:kern w:val="0"/>
                <w:position w:val="0"/>
                <w:sz w:val="22"/>
                <w:szCs w:val="22"/>
                <w:highlight w:val="none"/>
                <w:lang w:val="en-US" w:eastAsia="zh-CN" w:bidi="ar-SA"/>
              </w:rPr>
              <w:t>根据投标人提供对本项目的服务承诺内容全面完整性、考虑周到程度、可行性进行综合打分（评分范围：5分，4分，3分，2分，1分，0.5分）。未提供不得分。</w:t>
            </w:r>
          </w:p>
        </w:tc>
        <w:tc>
          <w:tcPr>
            <w:tcW w:w="493" w:type="pct"/>
            <w:tcBorders>
              <w:top w:val="single" w:color="auto" w:sz="4" w:space="0"/>
              <w:right w:val="single" w:color="auto" w:sz="4" w:space="0"/>
            </w:tcBorders>
            <w:noWrap w:val="0"/>
            <w:vAlign w:val="center"/>
          </w:tcPr>
          <w:p w14:paraId="2873AB28">
            <w:pPr>
              <w:widowControl w:val="0"/>
              <w:tabs>
                <w:tab w:val="left" w:pos="1154"/>
              </w:tabs>
              <w:adjustRightInd/>
              <w:snapToGrid/>
              <w:spacing w:after="0"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rPr>
              <w:t>0-</w:t>
            </w: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分</w:t>
            </w:r>
          </w:p>
        </w:tc>
      </w:tr>
      <w:tr w14:paraId="77DA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80" w:type="pct"/>
            <w:vMerge w:val="continue"/>
            <w:tcBorders>
              <w:top w:val="single" w:color="auto" w:sz="4" w:space="0"/>
              <w:bottom w:val="single" w:color="auto" w:sz="4" w:space="0"/>
            </w:tcBorders>
            <w:noWrap w:val="0"/>
            <w:vAlign w:val="center"/>
          </w:tcPr>
          <w:p w14:paraId="2C0C0A63">
            <w:pPr>
              <w:spacing w:line="400" w:lineRule="exact"/>
              <w:jc w:val="center"/>
              <w:rPr>
                <w:rFonts w:hint="eastAsia" w:ascii="宋体" w:hAnsi="宋体" w:eastAsia="宋体" w:cs="宋体"/>
                <w:color w:val="FF0000"/>
                <w:szCs w:val="21"/>
                <w:highlight w:val="none"/>
                <w:lang w:val="en-US" w:eastAsia="zh-CN"/>
              </w:rPr>
            </w:pPr>
          </w:p>
        </w:tc>
        <w:tc>
          <w:tcPr>
            <w:tcW w:w="583" w:type="pct"/>
            <w:vMerge w:val="continue"/>
            <w:noWrap w:val="0"/>
            <w:vAlign w:val="center"/>
          </w:tcPr>
          <w:p w14:paraId="015C2BCE">
            <w:pPr>
              <w:widowControl w:val="0"/>
              <w:adjustRightInd/>
              <w:snapToGrid/>
              <w:spacing w:after="0" w:line="400" w:lineRule="exact"/>
              <w:jc w:val="center"/>
              <w:rPr>
                <w:rFonts w:hint="eastAsia" w:ascii="宋体" w:hAnsi="宋体" w:eastAsia="宋体" w:cs="宋体"/>
                <w:color w:val="auto"/>
                <w:szCs w:val="21"/>
                <w:highlight w:val="none"/>
              </w:rPr>
            </w:pPr>
          </w:p>
        </w:tc>
        <w:tc>
          <w:tcPr>
            <w:tcW w:w="3643" w:type="pct"/>
            <w:noWrap w:val="0"/>
            <w:vAlign w:val="center"/>
          </w:tcPr>
          <w:p w14:paraId="28A2FD7A">
            <w:pPr>
              <w:widowControl w:val="0"/>
              <w:numPr>
                <w:ilvl w:val="0"/>
                <w:numId w:val="0"/>
              </w:numPr>
              <w:tabs>
                <w:tab w:val="left" w:pos="1154"/>
              </w:tabs>
              <w:adjustRightInd/>
              <w:snapToGrid/>
              <w:spacing w:after="0" w:line="400" w:lineRule="exact"/>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针对本项目编制深度承诺，编制内容系统性，内容是否丰富，是否具有深度，及合理化建议或改进措施等</w:t>
            </w:r>
            <w:r>
              <w:rPr>
                <w:rFonts w:hint="eastAsia" w:ascii="宋体" w:hAnsi="宋体" w:eastAsia="宋体" w:cs="宋体"/>
                <w:color w:val="auto"/>
                <w:kern w:val="2"/>
                <w:sz w:val="21"/>
                <w:szCs w:val="21"/>
                <w:highlight w:val="none"/>
                <w:lang w:eastAsia="zh-CN"/>
              </w:rPr>
              <w:t>，</w:t>
            </w:r>
            <w:r>
              <w:rPr>
                <w:rFonts w:hint="eastAsia" w:ascii="宋体" w:hAnsi="宋体" w:eastAsia="宋体" w:cs="宋体"/>
                <w:i w:val="0"/>
                <w:iCs w:val="0"/>
                <w:color w:val="auto"/>
                <w:sz w:val="21"/>
                <w:szCs w:val="21"/>
                <w:highlight w:val="none"/>
                <w:lang w:eastAsia="zh-CN"/>
              </w:rPr>
              <w:t>由评委</w:t>
            </w:r>
            <w:r>
              <w:rPr>
                <w:rFonts w:hint="eastAsia" w:ascii="宋体" w:hAnsi="宋体" w:eastAsia="宋体" w:cs="宋体"/>
                <w:b w:val="0"/>
                <w:bCs w:val="0"/>
                <w:color w:val="auto"/>
                <w:spacing w:val="0"/>
                <w:w w:val="100"/>
                <w:kern w:val="0"/>
                <w:position w:val="0"/>
                <w:sz w:val="22"/>
                <w:szCs w:val="22"/>
                <w:highlight w:val="none"/>
                <w:lang w:val="en-US" w:eastAsia="zh-CN" w:bidi="ar-SA"/>
              </w:rPr>
              <w:t>根据投标人提供对本项目的服务承诺内容全面完整性、合理性、可行性进行综合打分（评分范围：4分，3分，2分，1分，0.5分）。未提供不得分。</w:t>
            </w:r>
          </w:p>
        </w:tc>
        <w:tc>
          <w:tcPr>
            <w:tcW w:w="493" w:type="pct"/>
            <w:noWrap w:val="0"/>
            <w:vAlign w:val="center"/>
          </w:tcPr>
          <w:p w14:paraId="3F610944">
            <w:pPr>
              <w:widowControl w:val="0"/>
              <w:tabs>
                <w:tab w:val="left" w:pos="1154"/>
              </w:tabs>
              <w:adjustRightInd/>
              <w:snapToGrid/>
              <w:spacing w:after="0"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rPr>
              <w:t>0-</w:t>
            </w:r>
            <w:r>
              <w:rPr>
                <w:rFonts w:hint="eastAsia" w:ascii="宋体" w:hAnsi="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rPr>
              <w:t>分</w:t>
            </w:r>
          </w:p>
        </w:tc>
      </w:tr>
    </w:tbl>
    <w:p w14:paraId="14EB16D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2" w:firstLineChars="200"/>
        <w:textAlignment w:val="auto"/>
        <w:rPr>
          <w:rFonts w:hint="eastAsia"/>
          <w:b/>
          <w:bCs/>
          <w:color w:val="auto"/>
          <w:highlight w:val="none"/>
        </w:rPr>
      </w:pPr>
      <w:r>
        <w:rPr>
          <w:rFonts w:hint="eastAsia" w:ascii="宋体" w:hAnsi="宋体" w:cs="宋体"/>
          <w:b/>
          <w:bCs/>
          <w:i w:val="0"/>
          <w:iCs w:val="0"/>
          <w:color w:val="auto"/>
          <w:sz w:val="22"/>
          <w:szCs w:val="22"/>
          <w:highlight w:val="none"/>
          <w:lang w:val="en-US" w:eastAsia="zh-CN"/>
        </w:rPr>
        <w:t>3.</w:t>
      </w:r>
      <w:r>
        <w:rPr>
          <w:rFonts w:hint="eastAsia" w:ascii="宋体" w:hAnsi="宋体" w:eastAsia="宋体" w:cs="宋体"/>
          <w:b/>
          <w:bCs/>
          <w:i w:val="0"/>
          <w:iCs w:val="0"/>
          <w:color w:val="auto"/>
          <w:sz w:val="22"/>
          <w:szCs w:val="22"/>
          <w:highlight w:val="none"/>
        </w:rPr>
        <w:t>技术分+商务分=评标委员会所有成员评分合计数/评标委员会组成人员数</w:t>
      </w:r>
    </w:p>
    <w:p w14:paraId="07AF2095">
      <w:pPr>
        <w:pageBreakBefore w:val="0"/>
        <w:tabs>
          <w:tab w:val="left" w:pos="7280"/>
        </w:tabs>
        <w:kinsoku/>
        <w:wordWrap/>
        <w:overflowPunct/>
        <w:topLinePunct w:val="0"/>
        <w:autoSpaceDE/>
        <w:autoSpaceDN/>
        <w:bidi w:val="0"/>
        <w:adjustRightInd/>
        <w:spacing w:line="44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olor w:val="auto"/>
          <w:sz w:val="22"/>
          <w:szCs w:val="22"/>
          <w:highlight w:val="none"/>
        </w:rPr>
        <w:t>4</w:t>
      </w:r>
      <w:r>
        <w:rPr>
          <w:rFonts w:hint="eastAsia" w:ascii="宋体" w:hAnsi="宋体" w:cs="宋体"/>
          <w:b/>
          <w:bCs/>
          <w:i w:val="0"/>
          <w:iCs w:val="0"/>
          <w:color w:val="auto"/>
          <w:sz w:val="22"/>
          <w:szCs w:val="22"/>
          <w:highlight w:val="none"/>
          <w:lang w:val="en-US" w:eastAsia="zh-CN"/>
        </w:rPr>
        <w:t>.</w:t>
      </w:r>
      <w:r>
        <w:rPr>
          <w:rFonts w:hint="eastAsia" w:ascii="宋体" w:hAnsi="宋体" w:eastAsia="宋体" w:cs="宋体"/>
          <w:b/>
          <w:bCs/>
          <w:color w:val="auto"/>
          <w:sz w:val="22"/>
          <w:szCs w:val="22"/>
          <w:highlight w:val="none"/>
        </w:rPr>
        <w:t>价格分采用低价优先法计算，即满足最采购文件要求且招标价格最低报价为评标基准价，其他投标人价格分按照下列公式计算：</w:t>
      </w:r>
    </w:p>
    <w:p w14:paraId="7DF106D3">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color w:val="auto"/>
          <w:sz w:val="22"/>
          <w:szCs w:val="22"/>
          <w:highlight w:val="none"/>
        </w:rPr>
        <w:t>价格分=（评标基准价/投标报价）×</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0%×100</w:t>
      </w:r>
    </w:p>
    <w:p w14:paraId="4637BAE1">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5</w:t>
      </w:r>
      <w:r>
        <w:rPr>
          <w:rFonts w:hint="eastAsia" w:ascii="宋体" w:hAnsi="宋体" w:cs="宋体"/>
          <w:b/>
          <w:bCs/>
          <w:i w:val="0"/>
          <w:iCs w:val="0"/>
          <w:color w:val="auto"/>
          <w:sz w:val="22"/>
          <w:szCs w:val="22"/>
          <w:highlight w:val="none"/>
          <w:lang w:val="en-US" w:eastAsia="zh-CN"/>
        </w:rPr>
        <w:t>.</w:t>
      </w:r>
      <w:r>
        <w:rPr>
          <w:rFonts w:hint="eastAsia" w:ascii="宋体" w:hAnsi="宋体" w:eastAsia="宋体" w:cs="宋体"/>
          <w:b/>
          <w:bCs/>
          <w:i w:val="0"/>
          <w:iCs w:val="0"/>
          <w:color w:val="auto"/>
          <w:sz w:val="22"/>
          <w:szCs w:val="22"/>
          <w:highlight w:val="none"/>
        </w:rPr>
        <w:t>投标人评标综合得分=价格分+技术分+商务分</w:t>
      </w:r>
    </w:p>
    <w:p w14:paraId="32CF5BF6">
      <w:pPr>
        <w:keepNext w:val="0"/>
        <w:keepLines w:val="0"/>
        <w:pageBreakBefore w:val="0"/>
        <w:widowControl w:val="0"/>
        <w:kinsoku/>
        <w:wordWrap/>
        <w:overflowPunct/>
        <w:topLinePunct w:val="0"/>
        <w:autoSpaceDE/>
        <w:autoSpaceDN/>
        <w:bidi w:val="0"/>
        <w:adjustRightInd/>
        <w:snapToGrid w:val="0"/>
        <w:spacing w:line="440" w:lineRule="exact"/>
        <w:ind w:left="446" w:leftChars="208" w:hanging="9" w:hangingChars="4"/>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报价是中标的一个重要因素，但最低报价不是中标的唯一依据。</w:t>
      </w:r>
      <w:r>
        <w:rPr>
          <w:rFonts w:hint="eastAsia" w:ascii="宋体" w:hAnsi="宋体" w:eastAsia="宋体" w:cs="宋体"/>
          <w:b/>
          <w:i w:val="0"/>
          <w:iCs w:val="0"/>
          <w:color w:val="auto"/>
          <w:sz w:val="22"/>
          <w:szCs w:val="22"/>
          <w:highlight w:val="none"/>
        </w:rPr>
        <w:br w:type="textWrapping"/>
      </w:r>
      <w:r>
        <w:rPr>
          <w:rFonts w:hint="eastAsia" w:ascii="宋体" w:hAnsi="宋体" w:eastAsia="宋体" w:cs="宋体"/>
          <w:b/>
          <w:i w:val="0"/>
          <w:iCs w:val="0"/>
          <w:color w:val="auto"/>
          <w:sz w:val="22"/>
          <w:szCs w:val="22"/>
          <w:highlight w:val="none"/>
        </w:rPr>
        <w:t>评标委员会认为投标人的报价明显低于其他通过符合性审查投标人的报价，有可能影响产品质量</w:t>
      </w:r>
    </w:p>
    <w:p w14:paraId="1988944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i w:val="0"/>
          <w:iCs w:val="0"/>
          <w:color w:val="auto"/>
          <w:sz w:val="22"/>
          <w:szCs w:val="22"/>
          <w:highlight w:val="none"/>
        </w:rPr>
        <w:t>或者不能诚信履约的，应当要求其在评标现场合理的时间内提供书面说明,必要时提交相关证明材料;投标人不能证明其报价合理性的，评标委员会应当将其作为无效投标处理。</w:t>
      </w:r>
    </w:p>
    <w:p w14:paraId="305031F8">
      <w:pPr>
        <w:pageBreakBefore/>
        <w:numPr>
          <w:ilvl w:val="0"/>
          <w:numId w:val="0"/>
        </w:numPr>
        <w:snapToGrid w:val="0"/>
        <w:jc w:val="center"/>
        <w:outlineLvl w:val="0"/>
        <w:rPr>
          <w:rFonts w:hint="eastAsia" w:ascii="宋体" w:hAnsi="宋体" w:cs="宋体"/>
          <w:b/>
          <w:i w:val="0"/>
          <w:iCs w:val="0"/>
          <w:color w:val="auto"/>
          <w:sz w:val="32"/>
          <w:szCs w:val="32"/>
          <w:highlight w:val="none"/>
        </w:rPr>
      </w:pPr>
      <w:r>
        <w:rPr>
          <w:rFonts w:hint="eastAsia" w:ascii="宋体" w:hAnsi="宋体" w:eastAsia="宋体" w:cs="宋体"/>
          <w:b/>
          <w:i w:val="0"/>
          <w:iCs w:val="0"/>
          <w:color w:val="auto"/>
          <w:sz w:val="32"/>
          <w:szCs w:val="32"/>
          <w:highlight w:val="none"/>
          <w:lang w:eastAsia="zh-CN"/>
        </w:rPr>
        <w:t>第五部分</w:t>
      </w:r>
      <w:r>
        <w:rPr>
          <w:rFonts w:hint="eastAsia" w:ascii="宋体" w:hAnsi="宋体" w:eastAsia="宋体" w:cs="宋体"/>
          <w:b/>
          <w:i w:val="0"/>
          <w:iCs w:val="0"/>
          <w:color w:val="auto"/>
          <w:sz w:val="32"/>
          <w:szCs w:val="32"/>
          <w:highlight w:val="none"/>
          <w:lang w:val="en-US" w:eastAsia="zh-CN"/>
        </w:rPr>
        <w:t xml:space="preserve"> </w:t>
      </w:r>
      <w:r>
        <w:rPr>
          <w:rFonts w:hint="eastAsia" w:ascii="宋体" w:hAnsi="宋体" w:eastAsia="宋体" w:cs="宋体"/>
          <w:b/>
          <w:i w:val="0"/>
          <w:iCs w:val="0"/>
          <w:color w:val="auto"/>
          <w:sz w:val="32"/>
          <w:szCs w:val="32"/>
          <w:highlight w:val="none"/>
        </w:rPr>
        <w:t>合同主要条款</w:t>
      </w:r>
      <w:r>
        <w:rPr>
          <w:rFonts w:hint="eastAsia" w:ascii="宋体" w:hAnsi="宋体" w:cs="宋体"/>
          <w:b/>
          <w:i w:val="0"/>
          <w:iCs w:val="0"/>
          <w:color w:val="auto"/>
          <w:sz w:val="32"/>
          <w:szCs w:val="32"/>
          <w:highlight w:val="none"/>
        </w:rPr>
        <w:t>（参考样本）</w:t>
      </w:r>
    </w:p>
    <w:p w14:paraId="486C8474">
      <w:pPr>
        <w:snapToGrid w:val="0"/>
        <w:ind w:firstLine="1108" w:firstLineChars="345"/>
        <w:rPr>
          <w:rFonts w:hint="eastAsia" w:ascii="宋体" w:hAnsi="宋体" w:cs="宋体"/>
          <w:b/>
          <w:i w:val="0"/>
          <w:iCs w:val="0"/>
          <w:color w:val="auto"/>
          <w:sz w:val="32"/>
          <w:szCs w:val="32"/>
          <w:highlight w:val="none"/>
        </w:rPr>
      </w:pPr>
      <w:r>
        <w:rPr>
          <w:rFonts w:hint="eastAsia" w:ascii="宋体" w:hAnsi="宋体" w:cs="宋体"/>
          <w:b/>
          <w:i w:val="0"/>
          <w:iCs w:val="0"/>
          <w:color w:val="auto"/>
          <w:sz w:val="32"/>
          <w:szCs w:val="32"/>
          <w:highlight w:val="none"/>
        </w:rPr>
        <w:t xml:space="preserve">           （以最终</w:t>
      </w:r>
      <w:r>
        <w:rPr>
          <w:rFonts w:hint="eastAsia" w:ascii="宋体" w:hAnsi="宋体" w:cs="宋体"/>
          <w:b/>
          <w:i w:val="0"/>
          <w:iCs w:val="0"/>
          <w:color w:val="auto"/>
          <w:sz w:val="32"/>
          <w:szCs w:val="32"/>
          <w:highlight w:val="none"/>
          <w:lang w:eastAsia="zh-CN"/>
        </w:rPr>
        <w:t>签订</w:t>
      </w:r>
      <w:r>
        <w:rPr>
          <w:rFonts w:hint="eastAsia" w:ascii="宋体" w:hAnsi="宋体" w:cs="宋体"/>
          <w:b/>
          <w:i w:val="0"/>
          <w:iCs w:val="0"/>
          <w:color w:val="auto"/>
          <w:sz w:val="32"/>
          <w:szCs w:val="32"/>
          <w:highlight w:val="none"/>
        </w:rPr>
        <w:t>合同为准）</w:t>
      </w:r>
    </w:p>
    <w:p w14:paraId="21A24C76">
      <w:pPr>
        <w:pStyle w:val="10"/>
        <w:rPr>
          <w:rFonts w:hint="eastAsia"/>
          <w:i w:val="0"/>
          <w:iCs w:val="0"/>
          <w:color w:val="auto"/>
          <w:sz w:val="32"/>
          <w:szCs w:val="32"/>
          <w:highlight w:val="none"/>
        </w:rPr>
      </w:pPr>
    </w:p>
    <w:p w14:paraId="1E00A7CB">
      <w:pPr>
        <w:pStyle w:val="12"/>
        <w:snapToGrid w:val="0"/>
        <w:spacing w:before="120" w:after="120" w:line="340" w:lineRule="exact"/>
        <w:rPr>
          <w:rFonts w:hint="eastAsia" w:ascii="宋体" w:hAnsi="宋体" w:eastAsia="宋体" w:cs="宋体"/>
          <w:color w:val="auto"/>
          <w:sz w:val="32"/>
          <w:szCs w:val="32"/>
          <w:highlight w:val="none"/>
        </w:rPr>
      </w:pPr>
      <w:bookmarkStart w:id="98" w:name="_Toc33194402"/>
    </w:p>
    <w:p w14:paraId="33949CB0">
      <w:pPr>
        <w:pStyle w:val="12"/>
        <w:snapToGrid w:val="0"/>
        <w:spacing w:before="120" w:after="120" w:line="340" w:lineRule="exact"/>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项目编号：</w:t>
      </w:r>
    </w:p>
    <w:p w14:paraId="092A1F05">
      <w:pPr>
        <w:spacing w:line="340" w:lineRule="exact"/>
        <w:jc w:val="center"/>
        <w:rPr>
          <w:rFonts w:hint="eastAsia" w:ascii="宋体" w:hAnsi="宋体" w:eastAsia="宋体" w:cs="宋体"/>
          <w:color w:val="auto"/>
          <w:sz w:val="30"/>
          <w:szCs w:val="30"/>
          <w:highlight w:val="none"/>
        </w:rPr>
      </w:pPr>
    </w:p>
    <w:p w14:paraId="0C55E36F">
      <w:pPr>
        <w:spacing w:line="340" w:lineRule="exact"/>
        <w:jc w:val="both"/>
        <w:rPr>
          <w:rFonts w:hint="eastAsia" w:ascii="宋体" w:hAnsi="宋体" w:eastAsia="宋体" w:cs="宋体"/>
          <w:color w:val="auto"/>
          <w:sz w:val="30"/>
          <w:szCs w:val="30"/>
          <w:highlight w:val="none"/>
        </w:rPr>
      </w:pPr>
    </w:p>
    <w:p w14:paraId="27A77CCD">
      <w:pPr>
        <w:pStyle w:val="15"/>
        <w:rPr>
          <w:rFonts w:hint="eastAsia" w:ascii="宋体" w:hAnsi="宋体" w:eastAsia="宋体" w:cs="宋体"/>
          <w:color w:val="auto"/>
          <w:sz w:val="30"/>
          <w:szCs w:val="30"/>
          <w:highlight w:val="none"/>
        </w:rPr>
      </w:pPr>
    </w:p>
    <w:p w14:paraId="6CAE8D95">
      <w:pPr>
        <w:pStyle w:val="15"/>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合  同  书</w:t>
      </w:r>
    </w:p>
    <w:p w14:paraId="62788CA8">
      <w:pPr>
        <w:pStyle w:val="15"/>
        <w:rPr>
          <w:rFonts w:hint="eastAsia" w:ascii="宋体" w:hAnsi="宋体" w:eastAsia="宋体" w:cs="宋体"/>
          <w:color w:val="auto"/>
          <w:sz w:val="30"/>
          <w:szCs w:val="30"/>
          <w:highlight w:val="none"/>
        </w:rPr>
      </w:pPr>
    </w:p>
    <w:p w14:paraId="50DBDE63">
      <w:pPr>
        <w:pStyle w:val="15"/>
        <w:rPr>
          <w:rFonts w:hint="eastAsia" w:ascii="宋体" w:hAnsi="宋体" w:eastAsia="宋体" w:cs="宋体"/>
          <w:color w:val="auto"/>
          <w:sz w:val="30"/>
          <w:szCs w:val="30"/>
          <w:highlight w:val="none"/>
        </w:rPr>
      </w:pPr>
    </w:p>
    <w:p w14:paraId="74D5E0EA">
      <w:pPr>
        <w:pStyle w:val="15"/>
        <w:rPr>
          <w:rFonts w:hint="eastAsia" w:ascii="宋体" w:hAnsi="宋体" w:eastAsia="宋体" w:cs="宋体"/>
          <w:color w:val="auto"/>
          <w:sz w:val="30"/>
          <w:szCs w:val="30"/>
          <w:highlight w:val="none"/>
        </w:rPr>
      </w:pPr>
    </w:p>
    <w:p w14:paraId="382FAE29">
      <w:pPr>
        <w:pStyle w:val="15"/>
        <w:rPr>
          <w:rFonts w:hint="eastAsia" w:ascii="宋体" w:hAnsi="宋体" w:eastAsia="宋体" w:cs="宋体"/>
          <w:color w:val="auto"/>
          <w:sz w:val="30"/>
          <w:szCs w:val="30"/>
          <w:highlight w:val="none"/>
        </w:rPr>
      </w:pPr>
    </w:p>
    <w:p w14:paraId="15DDDF36">
      <w:pPr>
        <w:pStyle w:val="15"/>
        <w:rPr>
          <w:rFonts w:hint="eastAsia" w:ascii="宋体" w:hAnsi="宋体" w:eastAsia="宋体" w:cs="宋体"/>
          <w:color w:val="auto"/>
          <w:sz w:val="30"/>
          <w:szCs w:val="30"/>
          <w:highlight w:val="none"/>
        </w:rPr>
      </w:pPr>
    </w:p>
    <w:p w14:paraId="7EBD164D">
      <w:pPr>
        <w:pStyle w:val="15"/>
        <w:keepNext w:val="0"/>
        <w:keepLines w:val="0"/>
        <w:pageBreakBefore w:val="0"/>
        <w:widowControl w:val="0"/>
        <w:kinsoku/>
        <w:wordWrap/>
        <w:overflowPunct/>
        <w:topLinePunct w:val="0"/>
        <w:autoSpaceDE/>
        <w:autoSpaceDN/>
        <w:bidi w:val="0"/>
        <w:adjustRightInd/>
        <w:snapToGrid w:val="0"/>
        <w:spacing w:line="1000" w:lineRule="exact"/>
        <w:ind w:firstLine="300" w:firstLineChars="10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衢州市衢江区杜泽镇白水村浙江省历史文化（传统）村落保护利用重点村规划项目</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p>
    <w:p w14:paraId="0435246E">
      <w:pPr>
        <w:pStyle w:val="15"/>
        <w:keepNext w:val="0"/>
        <w:keepLines w:val="0"/>
        <w:pageBreakBefore w:val="0"/>
        <w:widowControl w:val="0"/>
        <w:kinsoku/>
        <w:wordWrap/>
        <w:overflowPunct/>
        <w:topLinePunct w:val="0"/>
        <w:autoSpaceDE/>
        <w:autoSpaceDN/>
        <w:bidi w:val="0"/>
        <w:adjustRightInd/>
        <w:snapToGrid w:val="0"/>
        <w:spacing w:line="1000" w:lineRule="exact"/>
        <w:ind w:firstLine="300" w:firstLineChars="100"/>
        <w:textAlignment w:val="auto"/>
        <w:rPr>
          <w:rFonts w:hint="eastAsia" w:ascii="宋体" w:hAnsi="宋体" w:eastAsia="宋体" w:cs="宋体"/>
          <w:color w:val="auto"/>
          <w:sz w:val="30"/>
          <w:szCs w:val="30"/>
          <w:highlight w:val="none"/>
          <w:u w:val="none"/>
        </w:rPr>
      </w:pPr>
      <w:r>
        <w:rPr>
          <w:rFonts w:hint="eastAsia" w:ascii="宋体" w:hAnsi="宋体" w:eastAsia="宋体" w:cs="宋体"/>
          <w:color w:val="auto"/>
          <w:sz w:val="30"/>
          <w:szCs w:val="30"/>
          <w:highlight w:val="none"/>
        </w:rPr>
        <w:t>委 托 方</w:t>
      </w:r>
      <w:r>
        <w:rPr>
          <w:rFonts w:hint="eastAsia" w:ascii="宋体" w:hAnsi="宋体" w:eastAsia="宋体" w:cs="宋体"/>
          <w:color w:val="auto"/>
          <w:sz w:val="30"/>
          <w:szCs w:val="30"/>
          <w:highlight w:val="none"/>
          <w:lang w:eastAsia="zh-CN"/>
        </w:rPr>
        <w:t>（甲方）</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eastAsia="zh-CN"/>
        </w:rPr>
        <w:t>衢州市衢江区杜泽镇人民政府</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none"/>
        </w:rPr>
        <w:t xml:space="preserve">     </w:t>
      </w:r>
      <w:r>
        <w:rPr>
          <w:rFonts w:hint="eastAsia" w:ascii="宋体" w:hAnsi="宋体" w:eastAsia="宋体" w:cs="宋体"/>
          <w:color w:val="auto"/>
          <w:sz w:val="30"/>
          <w:szCs w:val="30"/>
          <w:highlight w:val="none"/>
          <w:u w:val="none"/>
          <w:lang w:val="en-US" w:eastAsia="zh-CN"/>
        </w:rPr>
        <w:t xml:space="preserve"> </w:t>
      </w:r>
    </w:p>
    <w:p w14:paraId="6DFF2694">
      <w:pPr>
        <w:pStyle w:val="15"/>
        <w:keepNext w:val="0"/>
        <w:keepLines w:val="0"/>
        <w:pageBreakBefore w:val="0"/>
        <w:widowControl w:val="0"/>
        <w:kinsoku/>
        <w:wordWrap/>
        <w:overflowPunct/>
        <w:topLinePunct w:val="0"/>
        <w:autoSpaceDE/>
        <w:autoSpaceDN/>
        <w:bidi w:val="0"/>
        <w:adjustRightInd/>
        <w:snapToGrid w:val="0"/>
        <w:spacing w:line="1000" w:lineRule="exact"/>
        <w:ind w:firstLine="300" w:firstLineChars="10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受 托 方</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乙方</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rPr>
        <w:t xml:space="preserve">                                  </w:t>
      </w:r>
    </w:p>
    <w:p w14:paraId="544D85B2">
      <w:pPr>
        <w:pStyle w:val="15"/>
        <w:rPr>
          <w:rFonts w:hint="eastAsia" w:ascii="宋体" w:hAnsi="宋体" w:eastAsia="宋体" w:cs="宋体"/>
          <w:color w:val="auto"/>
          <w:sz w:val="30"/>
          <w:szCs w:val="30"/>
          <w:highlight w:val="none"/>
        </w:rPr>
      </w:pPr>
    </w:p>
    <w:p w14:paraId="2BB0E1CC">
      <w:pPr>
        <w:pStyle w:val="15"/>
        <w:rPr>
          <w:rFonts w:hint="eastAsia" w:ascii="宋体" w:hAnsi="宋体" w:eastAsia="宋体" w:cs="宋体"/>
          <w:color w:val="auto"/>
          <w:sz w:val="30"/>
          <w:szCs w:val="30"/>
          <w:highlight w:val="none"/>
        </w:rPr>
      </w:pPr>
    </w:p>
    <w:p w14:paraId="347A88AF">
      <w:pPr>
        <w:pStyle w:val="15"/>
        <w:jc w:val="center"/>
        <w:rPr>
          <w:rFonts w:hint="eastAsia" w:ascii="宋体" w:hAnsi="宋体" w:eastAsia="宋体" w:cs="宋体"/>
          <w:color w:val="auto"/>
          <w:sz w:val="30"/>
          <w:szCs w:val="30"/>
          <w:highlight w:val="none"/>
        </w:rPr>
      </w:pPr>
    </w:p>
    <w:p w14:paraId="5C10DB2E">
      <w:pPr>
        <w:pStyle w:val="15"/>
        <w:ind w:firstLine="1800" w:firstLineChars="600"/>
        <w:jc w:val="both"/>
        <w:rPr>
          <w:rFonts w:hint="eastAsia" w:ascii="宋体" w:hAnsi="宋体" w:eastAsia="宋体" w:cs="宋体"/>
          <w:color w:val="auto"/>
          <w:sz w:val="30"/>
          <w:szCs w:val="30"/>
          <w:highlight w:val="none"/>
        </w:rPr>
      </w:pPr>
    </w:p>
    <w:p w14:paraId="5258C8F3">
      <w:pPr>
        <w:pStyle w:val="15"/>
        <w:ind w:firstLine="1800" w:firstLineChars="600"/>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签订地址： </w:t>
      </w:r>
      <w:r>
        <w:rPr>
          <w:rFonts w:hint="eastAsia" w:ascii="宋体" w:hAnsi="宋体" w:eastAsia="宋体" w:cs="宋体"/>
          <w:color w:val="auto"/>
          <w:sz w:val="30"/>
          <w:szCs w:val="30"/>
          <w:highlight w:val="none"/>
          <w:lang w:eastAsia="zh-CN"/>
        </w:rPr>
        <w:t>衢州市衢江区杜泽镇</w:t>
      </w:r>
    </w:p>
    <w:p w14:paraId="7DC4D942">
      <w:pPr>
        <w:pStyle w:val="15"/>
        <w:jc w:val="center"/>
        <w:rPr>
          <w:rFonts w:hint="eastAsia" w:ascii="宋体" w:hAnsi="宋体" w:eastAsia="宋体" w:cs="宋体"/>
          <w:color w:val="auto"/>
          <w:sz w:val="30"/>
          <w:szCs w:val="30"/>
          <w:highlight w:val="none"/>
        </w:rPr>
      </w:pPr>
    </w:p>
    <w:p w14:paraId="4945EDFC">
      <w:pPr>
        <w:pStyle w:val="15"/>
        <w:ind w:firstLine="1800" w:firstLineChars="600"/>
        <w:jc w:val="both"/>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签订日期：</w:t>
      </w:r>
      <w:r>
        <w:rPr>
          <w:rFonts w:hint="eastAsia" w:ascii="宋体" w:hAnsi="宋体" w:eastAsia="宋体" w:cs="宋体"/>
          <w:color w:val="auto"/>
          <w:sz w:val="30"/>
          <w:szCs w:val="30"/>
          <w:highlight w:val="none"/>
          <w:lang w:eastAsia="zh-CN"/>
        </w:rPr>
        <w:t>202</w:t>
      </w: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lang w:eastAsia="zh-CN"/>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lang w:eastAsia="zh-CN"/>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lang w:eastAsia="zh-CN"/>
        </w:rPr>
        <w:t>日</w:t>
      </w:r>
    </w:p>
    <w:p w14:paraId="0E58D4A7">
      <w:pPr>
        <w:jc w:val="center"/>
        <w:rPr>
          <w:rFonts w:hint="eastAsia" w:ascii="宋体" w:hAnsi="宋体" w:cs="宋体"/>
          <w:b/>
          <w:bCs/>
          <w:i w:val="0"/>
          <w:iCs w:val="0"/>
          <w:color w:val="auto"/>
          <w:sz w:val="36"/>
          <w:szCs w:val="36"/>
          <w:highlight w:val="none"/>
          <w:lang w:eastAsia="zh-CN"/>
        </w:rPr>
      </w:pPr>
    </w:p>
    <w:p w14:paraId="37FA72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FF0000"/>
          <w:sz w:val="24"/>
          <w:szCs w:val="24"/>
          <w:highlight w:val="none"/>
        </w:rPr>
      </w:pPr>
    </w:p>
    <w:p w14:paraId="4D5939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FF0000"/>
          <w:sz w:val="24"/>
          <w:szCs w:val="24"/>
          <w:highlight w:val="none"/>
        </w:rPr>
      </w:pPr>
    </w:p>
    <w:p w14:paraId="52EC0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4B65F3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甲方： </w:t>
      </w:r>
      <w:r>
        <w:rPr>
          <w:rFonts w:hint="eastAsia" w:ascii="宋体" w:hAnsi="宋体" w:eastAsia="宋体" w:cs="宋体"/>
          <w:color w:val="auto"/>
          <w:sz w:val="21"/>
          <w:szCs w:val="21"/>
          <w:highlight w:val="none"/>
          <w:lang w:eastAsia="zh-CN"/>
        </w:rPr>
        <w:t>衢州市衢江区杜泽镇人民政府</w:t>
      </w:r>
    </w:p>
    <w:p w14:paraId="560F2CB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（提供服务方）</w:t>
      </w:r>
    </w:p>
    <w:p w14:paraId="7055D1F3">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color w:val="auto"/>
          <w:sz w:val="21"/>
          <w:szCs w:val="21"/>
          <w:highlight w:val="none"/>
        </w:rPr>
      </w:pPr>
    </w:p>
    <w:p w14:paraId="31AF9212">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甲乙双方根据 </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rPr>
        <w:t xml:space="preserve"> 年    月  日</w:t>
      </w:r>
      <w:r>
        <w:rPr>
          <w:rFonts w:hint="eastAsia" w:ascii="宋体" w:hAnsi="宋体" w:eastAsia="宋体" w:cs="宋体"/>
          <w:color w:val="auto"/>
          <w:sz w:val="21"/>
          <w:szCs w:val="21"/>
          <w:highlight w:val="none"/>
          <w:u w:val="single"/>
          <w:lang w:eastAsia="zh-CN"/>
        </w:rPr>
        <w:t>衢州市衢江区杜泽镇白水村浙江省历史文化（传统）村落保护利用重点村规划项目</w:t>
      </w:r>
      <w:r>
        <w:rPr>
          <w:rFonts w:hint="eastAsia" w:ascii="宋体" w:hAnsi="宋体" w:eastAsia="宋体" w:cs="宋体"/>
          <w:color w:val="auto"/>
          <w:sz w:val="21"/>
          <w:szCs w:val="21"/>
          <w:highlight w:val="none"/>
        </w:rPr>
        <w:t>（项目编号：       ），以及招标文件、投标文件的规定，并经双方协商一致，达成本采购合同（中标通知书、招标文件、投标文件以及甲、乙双方商定确认后的补充协议构成本合同不可分割的部分）。</w:t>
      </w:r>
    </w:p>
    <w:p w14:paraId="68DE4D8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一、服务内容</w:t>
      </w:r>
    </w:p>
    <w:p w14:paraId="76CDD6D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二、服务期限</w:t>
      </w:r>
      <w:r>
        <w:rPr>
          <w:rFonts w:hint="eastAsia" w:ascii="宋体" w:hAnsi="宋体" w:eastAsia="宋体" w:cs="宋体"/>
          <w:bCs/>
          <w:color w:val="auto"/>
          <w:sz w:val="21"/>
          <w:szCs w:val="21"/>
          <w:highlight w:val="none"/>
          <w:lang w:eastAsia="zh-CN"/>
        </w:rPr>
        <w:t>及时间进度要求</w:t>
      </w:r>
    </w:p>
    <w:p w14:paraId="7046CBB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服务期限</w:t>
      </w:r>
      <w:r>
        <w:rPr>
          <w:rFonts w:hint="eastAsia" w:ascii="宋体" w:hAnsi="宋体" w:eastAsia="宋体" w:cs="宋体"/>
          <w:bCs/>
          <w:color w:val="auto"/>
          <w:sz w:val="21"/>
          <w:szCs w:val="21"/>
          <w:highlight w:val="none"/>
          <w:lang w:eastAsia="zh-CN"/>
        </w:rPr>
        <w:t>：从合同签订后至省级规划评审会通过提交最终成果。</w:t>
      </w:r>
    </w:p>
    <w:p w14:paraId="71F6427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时间进度要求：</w:t>
      </w:r>
      <w:r>
        <w:rPr>
          <w:rFonts w:hint="eastAsia" w:ascii="宋体" w:hAnsi="宋体" w:eastAsia="宋体" w:cs="宋体"/>
          <w:bCs/>
          <w:color w:val="auto"/>
          <w:sz w:val="21"/>
          <w:szCs w:val="21"/>
          <w:highlight w:val="none"/>
          <w:lang w:val="en-US" w:eastAsia="zh-CN"/>
        </w:rPr>
        <w:t>乙方应在合同签订后30日历天内提交规划设计方案；方案需通过省、市两级评审，省级规划评审会后30日历天内提交最终成果稿，提供成果稿捌份。</w:t>
      </w:r>
    </w:p>
    <w:p w14:paraId="6C41AC7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三、合同金额 </w:t>
      </w:r>
    </w:p>
    <w:p w14:paraId="48007BC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本合同总价款(大写)：            元整（￥        元）。</w:t>
      </w:r>
    </w:p>
    <w:p w14:paraId="489950B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付款方式：</w:t>
      </w:r>
    </w:p>
    <w:p w14:paraId="096FC21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第一期：合同生效以及具备实施条件后7个工作日内支付合同总额的30%。</w:t>
      </w:r>
    </w:p>
    <w:p w14:paraId="6E82FEE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第二期：通过评审后支付合同价款的50%。</w:t>
      </w:r>
    </w:p>
    <w:p w14:paraId="012DB55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第三期：提交最终成果后一次性支付余款。</w:t>
      </w:r>
    </w:p>
    <w:p w14:paraId="52A72A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五、技术资料</w:t>
      </w:r>
    </w:p>
    <w:p w14:paraId="0BB762B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1.乙方应按采购文件规定的时间向甲方提供有关技术资料。</w:t>
      </w:r>
    </w:p>
    <w:p w14:paraId="1E19639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2.没有甲方事先书面同意，乙方不得将由甲方提供的有关计划、图纸、样品或资料提供给与履行本合同无关的任何其他人。即使向履行本合同有关的人员提供，也应注意保密并限于履行合同的必需范围。</w:t>
      </w:r>
    </w:p>
    <w:p w14:paraId="5244FC2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六</w:t>
      </w:r>
      <w:r>
        <w:rPr>
          <w:rFonts w:hint="eastAsia" w:ascii="宋体" w:hAnsi="宋体" w:eastAsia="宋体" w:cs="宋体"/>
          <w:bCs/>
          <w:color w:val="auto"/>
          <w:sz w:val="21"/>
          <w:szCs w:val="21"/>
          <w:highlight w:val="none"/>
        </w:rPr>
        <w:t>、知识产权</w:t>
      </w:r>
    </w:p>
    <w:p w14:paraId="7417CE9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乙方应保证提供服务过程中不会侵犯任何第三方的知识产权</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如果乙方对第三</w:t>
      </w:r>
      <w:r>
        <w:rPr>
          <w:rFonts w:hint="eastAsia" w:ascii="宋体" w:hAnsi="宋体" w:eastAsia="宋体" w:cs="宋体"/>
          <w:bCs/>
          <w:color w:val="auto"/>
          <w:sz w:val="21"/>
          <w:szCs w:val="21"/>
          <w:highlight w:val="none"/>
          <w:lang w:val="en-US" w:eastAsia="zh-CN"/>
        </w:rPr>
        <w:t>方</w:t>
      </w:r>
      <w:r>
        <w:rPr>
          <w:rFonts w:hint="eastAsia" w:ascii="宋体" w:hAnsi="宋体" w:eastAsia="宋体" w:cs="宋体"/>
          <w:bCs/>
          <w:color w:val="auto"/>
          <w:sz w:val="21"/>
          <w:szCs w:val="21"/>
          <w:highlight w:val="none"/>
        </w:rPr>
        <w:t>知识产权造成侵害的，由乙方自行处理并承担相应的法律责任。</w:t>
      </w:r>
    </w:p>
    <w:p w14:paraId="735951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2.</w:t>
      </w:r>
      <w:r>
        <w:rPr>
          <w:rFonts w:hint="eastAsia" w:ascii="宋体" w:hAnsi="宋体" w:eastAsia="宋体" w:cs="宋体"/>
          <w:bCs/>
          <w:color w:val="auto"/>
          <w:sz w:val="21"/>
          <w:szCs w:val="21"/>
          <w:highlight w:val="none"/>
        </w:rPr>
        <w:t>本项目所有成果的版权属甲方所有，乙方不得以任何形式向第三方提供，否则，按国家法律和有关规定追究乙方的一切责任。</w:t>
      </w:r>
    </w:p>
    <w:p w14:paraId="5CBA5A6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本项目作业过程中提供的或涉及的所有数据属甲方拥有，乙方无权在技术要求规定之外自行处置数据，不得自行删除、复制、调整完善、转移数据，不得以任何形式向第三方提供。</w:t>
      </w:r>
    </w:p>
    <w:p w14:paraId="703DA97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七</w:t>
      </w:r>
      <w:r>
        <w:rPr>
          <w:rFonts w:hint="eastAsia" w:ascii="宋体" w:hAnsi="宋体" w:eastAsia="宋体" w:cs="宋体"/>
          <w:bCs/>
          <w:color w:val="auto"/>
          <w:sz w:val="21"/>
          <w:szCs w:val="21"/>
          <w:highlight w:val="none"/>
        </w:rPr>
        <w:t>、成果及提交</w:t>
      </w:r>
    </w:p>
    <w:p w14:paraId="612A209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1、所有提交测量成果、检查报告等都必须提供电子文档。</w:t>
      </w:r>
    </w:p>
    <w:p w14:paraId="2E10BBE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2、每样成果报告提供一式            份。</w:t>
      </w:r>
    </w:p>
    <w:p w14:paraId="7B97CEE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3、中标方应无条件接受招标方对方案的修改和完善，并不得追加费用。</w:t>
      </w:r>
    </w:p>
    <w:p w14:paraId="15D48E5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八</w:t>
      </w:r>
      <w:r>
        <w:rPr>
          <w:rFonts w:hint="eastAsia" w:ascii="宋体" w:hAnsi="宋体" w:eastAsia="宋体" w:cs="宋体"/>
          <w:bCs/>
          <w:color w:val="auto"/>
          <w:sz w:val="21"/>
          <w:szCs w:val="21"/>
          <w:highlight w:val="none"/>
        </w:rPr>
        <w:t>、违约责任</w:t>
      </w:r>
    </w:p>
    <w:p w14:paraId="1456971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甲方无正当理由拒绝服务的，甲方向乙方偿付拒收款项总值的百分之五违约金。</w:t>
      </w:r>
    </w:p>
    <w:p w14:paraId="1499F92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甲方无故逾期验收和办理货款支付手续的,甲方应按逾期付款总额每日万分之五向乙方支付违约金。</w:t>
      </w:r>
    </w:p>
    <w:p w14:paraId="4AB3E10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3. 乙方逾期交付服务的，乙方应按逾期提交服务总额每日千分之六向甲方支付违约金，由甲方从待付款项中扣除。逾期超过约定日期10个工作日不能提交的，甲方可解除本合同。乙方因逾期提交服务或因其他违约行为导致甲方解除合同的，乙方应向甲方支付合同总值5%的违约金，如造成甲方损失超过违约金的，超出部分由乙方继续承担赔偿责任。 </w:t>
      </w:r>
    </w:p>
    <w:p w14:paraId="4B553A0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 乙方所交的服务成果质量不符合合同规定及招标文件规定标准的，甲方有权拒收该服务，乙方愿意更换服务但逾期提交的，按乙方逾期提交服务处理。乙方拒绝更换服务的，甲方可单方面解除合同。</w:t>
      </w:r>
    </w:p>
    <w:p w14:paraId="70DED2F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九</w:t>
      </w:r>
      <w:r>
        <w:rPr>
          <w:rFonts w:hint="eastAsia" w:ascii="宋体" w:hAnsi="宋体" w:eastAsia="宋体" w:cs="宋体"/>
          <w:bCs/>
          <w:color w:val="auto"/>
          <w:sz w:val="21"/>
          <w:szCs w:val="21"/>
          <w:highlight w:val="none"/>
        </w:rPr>
        <w:t>、不可抗力事件处理</w:t>
      </w:r>
    </w:p>
    <w:p w14:paraId="6E813A4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在合同有效期内，任何一方因不可抗力事件导致不能履行合同，则合同履行期可延长，其延长期与不可抗力影响期相同。</w:t>
      </w:r>
    </w:p>
    <w:p w14:paraId="1B0112F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不可抗力事件发生后，应立即通知对方，并寄送有关权威机构出具的证明。</w:t>
      </w:r>
    </w:p>
    <w:p w14:paraId="282A9A0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不可抗力事件延续120天以上，双方应通过友好协商，确定是否继续履行合同。</w:t>
      </w:r>
    </w:p>
    <w:p w14:paraId="738CB60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十</w:t>
      </w:r>
      <w:r>
        <w:rPr>
          <w:rFonts w:hint="eastAsia" w:ascii="宋体" w:hAnsi="宋体" w:eastAsia="宋体" w:cs="宋体"/>
          <w:bCs/>
          <w:color w:val="auto"/>
          <w:sz w:val="21"/>
          <w:szCs w:val="21"/>
          <w:highlight w:val="none"/>
        </w:rPr>
        <w:t>、诉讼</w:t>
      </w:r>
    </w:p>
    <w:p w14:paraId="5A3981D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双方在执行合同中所发生的一切争议，应通过协商解决。如协商不成，可向甲方所在地法院起诉。</w:t>
      </w:r>
    </w:p>
    <w:p w14:paraId="0623075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w:t>
      </w:r>
      <w:r>
        <w:rPr>
          <w:rFonts w:hint="eastAsia" w:ascii="宋体" w:hAnsi="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、合同生效及其它</w:t>
      </w:r>
    </w:p>
    <w:tbl>
      <w:tblPr>
        <w:tblStyle w:val="25"/>
        <w:tblpPr w:leftFromText="180" w:rightFromText="180" w:vertAnchor="text" w:horzAnchor="page" w:tblpX="1481" w:tblpY="1580"/>
        <w:tblOverlap w:val="never"/>
        <w:tblW w:w="9080" w:type="dxa"/>
        <w:tblInd w:w="0" w:type="dxa"/>
        <w:tblLayout w:type="fixed"/>
        <w:tblCellMar>
          <w:top w:w="0" w:type="dxa"/>
          <w:left w:w="108" w:type="dxa"/>
          <w:bottom w:w="0" w:type="dxa"/>
          <w:right w:w="108" w:type="dxa"/>
        </w:tblCellMar>
      </w:tblPr>
      <w:tblGrid>
        <w:gridCol w:w="4540"/>
        <w:gridCol w:w="4540"/>
      </w:tblGrid>
      <w:tr w14:paraId="0CFE6587">
        <w:tblPrEx>
          <w:tblCellMar>
            <w:top w:w="0" w:type="dxa"/>
            <w:left w:w="108" w:type="dxa"/>
            <w:bottom w:w="0" w:type="dxa"/>
            <w:right w:w="108" w:type="dxa"/>
          </w:tblCellMar>
        </w:tblPrEx>
        <w:trPr>
          <w:trHeight w:val="2600" w:hRule="atLeast"/>
        </w:trPr>
        <w:tc>
          <w:tcPr>
            <w:tcW w:w="4540" w:type="dxa"/>
            <w:tcBorders>
              <w:top w:val="nil"/>
              <w:left w:val="nil"/>
              <w:bottom w:val="nil"/>
              <w:right w:val="nil"/>
            </w:tcBorders>
            <w:noWrap w:val="0"/>
            <w:vAlign w:val="top"/>
          </w:tcPr>
          <w:p w14:paraId="1DF9F2A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w:t>
            </w:r>
          </w:p>
          <w:p w14:paraId="30441E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0AA8485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w:t>
            </w:r>
          </w:p>
          <w:p w14:paraId="378FBC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w:t>
            </w:r>
          </w:p>
        </w:tc>
        <w:tc>
          <w:tcPr>
            <w:tcW w:w="4540" w:type="dxa"/>
            <w:tcBorders>
              <w:top w:val="nil"/>
              <w:left w:val="nil"/>
              <w:bottom w:val="nil"/>
              <w:right w:val="nil"/>
            </w:tcBorders>
            <w:noWrap w:val="0"/>
            <w:vAlign w:val="top"/>
          </w:tcPr>
          <w:p w14:paraId="65F9C30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 </w:t>
            </w:r>
          </w:p>
          <w:p w14:paraId="7448ABC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p>
          <w:p w14:paraId="16D8CF7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w:t>
            </w:r>
          </w:p>
          <w:p w14:paraId="113F046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56320B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6EED835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w:t>
            </w:r>
          </w:p>
        </w:tc>
      </w:tr>
    </w:tbl>
    <w:p w14:paraId="1D94FB34">
      <w:pPr>
        <w:pageBreakBefore/>
        <w:shd w:val="clear" w:color="auto" w:fill="FFFFFF"/>
        <w:snapToGrid w:val="0"/>
        <w:spacing w:line="360" w:lineRule="auto"/>
        <w:jc w:val="center"/>
        <w:outlineLvl w:val="0"/>
        <w:rPr>
          <w:rFonts w:hint="eastAsia" w:ascii="宋体" w:hAnsi="宋体" w:cs="宋体"/>
          <w:b/>
          <w:bCs/>
          <w:i w:val="0"/>
          <w:iCs w:val="0"/>
          <w:color w:val="auto"/>
          <w:sz w:val="36"/>
          <w:szCs w:val="36"/>
          <w:highlight w:val="none"/>
        </w:rPr>
      </w:pPr>
      <w:r>
        <w:rPr>
          <w:rFonts w:hint="eastAsia" w:ascii="宋体" w:hAnsi="宋体" w:cs="宋体"/>
          <w:b/>
          <w:bCs/>
          <w:i w:val="0"/>
          <w:iCs w:val="0"/>
          <w:color w:val="auto"/>
          <w:sz w:val="36"/>
          <w:szCs w:val="36"/>
          <w:highlight w:val="none"/>
        </w:rPr>
        <w:t>第</w:t>
      </w:r>
      <w:r>
        <w:rPr>
          <w:rFonts w:hint="eastAsia" w:ascii="宋体" w:hAnsi="宋体" w:cs="宋体"/>
          <w:b/>
          <w:bCs/>
          <w:i w:val="0"/>
          <w:iCs w:val="0"/>
          <w:color w:val="auto"/>
          <w:sz w:val="36"/>
          <w:szCs w:val="36"/>
          <w:highlight w:val="none"/>
          <w:lang w:eastAsia="zh-CN"/>
        </w:rPr>
        <w:t>六</w:t>
      </w:r>
      <w:r>
        <w:rPr>
          <w:rFonts w:hint="eastAsia" w:ascii="宋体" w:hAnsi="宋体" w:cs="宋体"/>
          <w:b/>
          <w:bCs/>
          <w:i w:val="0"/>
          <w:iCs w:val="0"/>
          <w:color w:val="auto"/>
          <w:sz w:val="36"/>
          <w:szCs w:val="36"/>
          <w:highlight w:val="none"/>
        </w:rPr>
        <w:t xml:space="preserve">部分  </w:t>
      </w:r>
      <w:bookmarkEnd w:id="98"/>
      <w:r>
        <w:rPr>
          <w:rFonts w:hint="eastAsia" w:ascii="宋体" w:hAnsi="宋体" w:cs="宋体"/>
          <w:b/>
          <w:bCs/>
          <w:i w:val="0"/>
          <w:iCs w:val="0"/>
          <w:color w:val="auto"/>
          <w:sz w:val="36"/>
          <w:szCs w:val="36"/>
          <w:highlight w:val="none"/>
          <w:lang w:val="zh-CN"/>
        </w:rPr>
        <w:t>投标文件相关格式</w:t>
      </w:r>
    </w:p>
    <w:p w14:paraId="09FA8B9D">
      <w:pPr>
        <w:shd w:val="clear" w:color="auto" w:fill="FFFFFF"/>
        <w:snapToGrid w:val="0"/>
        <w:spacing w:line="360" w:lineRule="auto"/>
        <w:rPr>
          <w:rFonts w:hint="eastAsia" w:ascii="宋体" w:hAnsi="宋体" w:cs="宋体"/>
          <w:b/>
          <w:bCs/>
          <w:i w:val="0"/>
          <w:iCs w:val="0"/>
          <w:color w:val="auto"/>
          <w:sz w:val="32"/>
          <w:szCs w:val="32"/>
          <w:highlight w:val="none"/>
        </w:rPr>
      </w:pPr>
      <w:r>
        <w:rPr>
          <w:rFonts w:hint="eastAsia" w:ascii="宋体" w:hAnsi="宋体" w:cs="宋体"/>
          <w:b/>
          <w:bCs/>
          <w:i w:val="0"/>
          <w:iCs w:val="0"/>
          <w:color w:val="auto"/>
          <w:sz w:val="32"/>
          <w:szCs w:val="32"/>
          <w:highlight w:val="none"/>
        </w:rPr>
        <w:t> </w:t>
      </w:r>
    </w:p>
    <w:bookmarkEnd w:id="78"/>
    <w:bookmarkEnd w:id="79"/>
    <w:bookmarkEnd w:id="80"/>
    <w:p w14:paraId="715BC621">
      <w:pPr>
        <w:ind w:left="-41" w:leftChars="-85" w:hanging="137" w:hangingChars="57"/>
        <w:rPr>
          <w:rFonts w:ascii="宋体" w:hAnsi="宋体" w:cs="宋体"/>
          <w:b/>
          <w:bCs/>
          <w:color w:val="auto"/>
          <w:sz w:val="24"/>
          <w:highlight w:val="none"/>
        </w:rPr>
      </w:pPr>
      <w:r>
        <w:rPr>
          <w:rFonts w:hint="eastAsia" w:ascii="宋体" w:hAnsi="宋体" w:cs="宋体"/>
          <w:b/>
          <w:bCs/>
          <w:color w:val="auto"/>
          <w:sz w:val="24"/>
          <w:highlight w:val="none"/>
        </w:rPr>
        <w:t>一、响应文件封面样式</w:t>
      </w:r>
    </w:p>
    <w:p w14:paraId="514F37C0">
      <w:pPr>
        <w:spacing w:line="800" w:lineRule="exact"/>
        <w:ind w:left="-44" w:leftChars="-21" w:firstLine="640" w:firstLineChars="200"/>
        <w:rPr>
          <w:rFonts w:hint="eastAsia" w:ascii="宋体" w:hAnsi="宋体" w:cs="宋体"/>
          <w:bCs/>
          <w:color w:val="auto"/>
          <w:sz w:val="32"/>
          <w:szCs w:val="32"/>
          <w:highlight w:val="none"/>
          <w:u w:val="single"/>
        </w:rPr>
      </w:pPr>
    </w:p>
    <w:p w14:paraId="5064EDC3">
      <w:pPr>
        <w:ind w:left="5" w:leftChars="-85" w:hanging="183" w:hangingChars="57"/>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44"/>
          <w:szCs w:val="44"/>
          <w:highlight w:val="none"/>
          <w:lang w:eastAsia="zh-CN"/>
        </w:rPr>
        <w:t>衢州市衢江区杜泽镇白水村浙江省历史文化（传统）村落保护利用重点村规划项目</w:t>
      </w:r>
    </w:p>
    <w:p w14:paraId="53A9FC04">
      <w:pPr>
        <w:snapToGrid w:val="0"/>
        <w:spacing w:line="500" w:lineRule="exact"/>
        <w:ind w:firstLine="2249" w:firstLineChars="700"/>
        <w:rPr>
          <w:rFonts w:hint="eastAsia" w:ascii="宋体" w:hAnsi="宋体" w:cs="宋体"/>
          <w:b/>
          <w:bCs/>
          <w:color w:val="auto"/>
          <w:sz w:val="32"/>
          <w:szCs w:val="32"/>
          <w:highlight w:val="none"/>
        </w:rPr>
      </w:pPr>
    </w:p>
    <w:p w14:paraId="63AC069E">
      <w:pPr>
        <w:snapToGrid w:val="0"/>
        <w:spacing w:line="500" w:lineRule="exact"/>
        <w:ind w:firstLine="2570" w:firstLineChars="8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（项目编号：（ZLQZ-2507110））</w:t>
      </w:r>
    </w:p>
    <w:p w14:paraId="7E184616">
      <w:pPr>
        <w:ind w:left="5" w:leftChars="-85" w:hanging="183" w:hangingChars="57"/>
        <w:jc w:val="center"/>
        <w:rPr>
          <w:rFonts w:hint="eastAsia" w:ascii="宋体" w:hAnsi="宋体" w:cs="宋体"/>
          <w:b/>
          <w:bCs/>
          <w:color w:val="auto"/>
          <w:sz w:val="32"/>
          <w:szCs w:val="32"/>
          <w:highlight w:val="none"/>
        </w:rPr>
      </w:pPr>
    </w:p>
    <w:p w14:paraId="24988D3A">
      <w:pPr>
        <w:ind w:left="5" w:leftChars="-85" w:hanging="183" w:hangingChars="57"/>
        <w:jc w:val="center"/>
        <w:rPr>
          <w:rFonts w:hint="eastAsia" w:ascii="宋体" w:hAnsi="宋体" w:cs="宋体"/>
          <w:b/>
          <w:bCs/>
          <w:color w:val="auto"/>
          <w:sz w:val="32"/>
          <w:szCs w:val="32"/>
          <w:highlight w:val="none"/>
        </w:rPr>
      </w:pPr>
    </w:p>
    <w:p w14:paraId="4CD2ACE8">
      <w:pPr>
        <w:ind w:left="165" w:leftChars="-85" w:hanging="343" w:hangingChars="57"/>
        <w:jc w:val="center"/>
        <w:rPr>
          <w:rFonts w:hint="eastAsia" w:ascii="宋体" w:hAnsi="宋体" w:cs="宋体"/>
          <w:b/>
          <w:bCs/>
          <w:color w:val="auto"/>
          <w:sz w:val="60"/>
          <w:szCs w:val="60"/>
          <w:highlight w:val="none"/>
        </w:rPr>
      </w:pPr>
      <w:r>
        <w:rPr>
          <w:rFonts w:hint="eastAsia" w:ascii="宋体" w:hAnsi="宋体" w:cs="宋体"/>
          <w:b/>
          <w:bCs/>
          <w:color w:val="auto"/>
          <w:sz w:val="60"/>
          <w:szCs w:val="60"/>
          <w:highlight w:val="none"/>
          <w:lang w:eastAsia="zh-CN"/>
        </w:rPr>
        <w:t>投</w:t>
      </w:r>
      <w:r>
        <w:rPr>
          <w:rFonts w:hint="eastAsia" w:ascii="宋体" w:hAnsi="宋体" w:cs="宋体"/>
          <w:b/>
          <w:bCs/>
          <w:color w:val="auto"/>
          <w:sz w:val="60"/>
          <w:szCs w:val="60"/>
          <w:highlight w:val="none"/>
          <w:lang w:val="en-US" w:eastAsia="zh-CN"/>
        </w:rPr>
        <w:t xml:space="preserve"> </w:t>
      </w:r>
      <w:r>
        <w:rPr>
          <w:rFonts w:hint="eastAsia" w:ascii="宋体" w:hAnsi="宋体" w:cs="宋体"/>
          <w:b/>
          <w:bCs/>
          <w:color w:val="auto"/>
          <w:sz w:val="60"/>
          <w:szCs w:val="60"/>
          <w:highlight w:val="none"/>
          <w:lang w:eastAsia="zh-CN"/>
        </w:rPr>
        <w:t>标</w:t>
      </w:r>
      <w:r>
        <w:rPr>
          <w:rFonts w:hint="eastAsia" w:ascii="宋体" w:hAnsi="宋体" w:cs="宋体"/>
          <w:b/>
          <w:bCs/>
          <w:color w:val="auto"/>
          <w:sz w:val="60"/>
          <w:szCs w:val="60"/>
          <w:highlight w:val="none"/>
          <w:lang w:val="en-US" w:eastAsia="zh-CN"/>
        </w:rPr>
        <w:t xml:space="preserve"> </w:t>
      </w:r>
      <w:r>
        <w:rPr>
          <w:rFonts w:hint="eastAsia" w:ascii="宋体" w:hAnsi="宋体" w:cs="宋体"/>
          <w:b/>
          <w:bCs/>
          <w:color w:val="auto"/>
          <w:sz w:val="60"/>
          <w:szCs w:val="60"/>
          <w:highlight w:val="none"/>
        </w:rPr>
        <w:t>文</w:t>
      </w:r>
      <w:r>
        <w:rPr>
          <w:rFonts w:hint="eastAsia" w:ascii="宋体" w:hAnsi="宋体" w:cs="宋体"/>
          <w:b/>
          <w:bCs/>
          <w:color w:val="auto"/>
          <w:sz w:val="60"/>
          <w:szCs w:val="60"/>
          <w:highlight w:val="none"/>
          <w:lang w:val="en-US" w:eastAsia="zh-CN"/>
        </w:rPr>
        <w:t xml:space="preserve"> </w:t>
      </w:r>
      <w:r>
        <w:rPr>
          <w:rFonts w:hint="eastAsia" w:ascii="宋体" w:hAnsi="宋体" w:cs="宋体"/>
          <w:b/>
          <w:bCs/>
          <w:color w:val="auto"/>
          <w:sz w:val="60"/>
          <w:szCs w:val="60"/>
          <w:highlight w:val="none"/>
        </w:rPr>
        <w:t>件</w:t>
      </w:r>
    </w:p>
    <w:p w14:paraId="7F6F1362">
      <w:pPr>
        <w:ind w:left="5" w:leftChars="-85" w:hanging="183" w:hangingChars="57"/>
        <w:jc w:val="center"/>
        <w:rPr>
          <w:rFonts w:hint="eastAsia" w:ascii="宋体" w:hAnsi="宋体" w:cs="宋体"/>
          <w:b/>
          <w:bCs/>
          <w:color w:val="auto"/>
          <w:sz w:val="32"/>
          <w:szCs w:val="32"/>
          <w:highlight w:val="none"/>
        </w:rPr>
      </w:pPr>
    </w:p>
    <w:p w14:paraId="40791140">
      <w:pPr>
        <w:ind w:left="5" w:leftChars="-85" w:hanging="183" w:hangingChars="57"/>
        <w:jc w:val="center"/>
        <w:rPr>
          <w:rFonts w:hint="eastAsia" w:ascii="宋体" w:hAnsi="宋体" w:cs="宋体"/>
          <w:b/>
          <w:bCs/>
          <w:color w:val="auto"/>
          <w:sz w:val="32"/>
          <w:szCs w:val="32"/>
          <w:highlight w:val="none"/>
        </w:rPr>
      </w:pPr>
    </w:p>
    <w:p w14:paraId="471DD1B8">
      <w:pPr>
        <w:ind w:left="5" w:leftChars="-85" w:hanging="183" w:hangingChars="57"/>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内容：资格审查文件（或商务技术文件或报价文件）</w:t>
      </w:r>
    </w:p>
    <w:p w14:paraId="16BE8245">
      <w:pPr>
        <w:ind w:left="5" w:leftChars="-85" w:hanging="183" w:hangingChars="57"/>
        <w:jc w:val="center"/>
        <w:rPr>
          <w:rFonts w:hint="eastAsia" w:ascii="宋体" w:hAnsi="宋体" w:cs="宋体"/>
          <w:b/>
          <w:bCs/>
          <w:color w:val="auto"/>
          <w:sz w:val="32"/>
          <w:szCs w:val="32"/>
          <w:highlight w:val="none"/>
        </w:rPr>
      </w:pPr>
    </w:p>
    <w:p w14:paraId="3C486935">
      <w:pPr>
        <w:rPr>
          <w:rFonts w:hint="eastAsia" w:ascii="宋体" w:hAnsi="宋体" w:cs="宋体"/>
          <w:b/>
          <w:bCs/>
          <w:color w:val="auto"/>
          <w:sz w:val="32"/>
          <w:szCs w:val="32"/>
          <w:highlight w:val="none"/>
        </w:rPr>
      </w:pPr>
    </w:p>
    <w:p w14:paraId="61BF8DB5">
      <w:pPr>
        <w:spacing w:line="800" w:lineRule="exact"/>
        <w:ind w:left="4" w:leftChars="-85" w:hanging="182" w:hangingChars="57"/>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供应商名称：</w:t>
      </w:r>
      <w:r>
        <w:rPr>
          <w:rFonts w:hint="eastAsia" w:ascii="宋体" w:hAnsi="宋体" w:cs="宋体"/>
          <w:bCs/>
          <w:color w:val="auto"/>
          <w:sz w:val="32"/>
          <w:szCs w:val="32"/>
          <w:highlight w:val="none"/>
          <w:u w:val="single"/>
        </w:rPr>
        <w:t xml:space="preserve">                  （公章）             </w:t>
      </w:r>
    </w:p>
    <w:p w14:paraId="75497AF6">
      <w:pPr>
        <w:spacing w:line="400" w:lineRule="exact"/>
        <w:ind w:left="4" w:leftChars="-85" w:hanging="182" w:hangingChars="57"/>
        <w:jc w:val="center"/>
        <w:rPr>
          <w:rFonts w:hint="eastAsia" w:ascii="宋体" w:hAnsi="宋体" w:cs="宋体"/>
          <w:bCs/>
          <w:color w:val="auto"/>
          <w:sz w:val="32"/>
          <w:szCs w:val="32"/>
          <w:highlight w:val="none"/>
        </w:rPr>
      </w:pPr>
    </w:p>
    <w:p w14:paraId="0C471E84">
      <w:pPr>
        <w:spacing w:line="800" w:lineRule="exact"/>
        <w:ind w:left="4" w:leftChars="-85" w:hanging="182" w:hangingChars="57"/>
        <w:rPr>
          <w:rFonts w:hint="eastAsia" w:ascii="宋体" w:hAnsi="宋体" w:cs="宋体"/>
          <w:bCs/>
          <w:color w:val="auto"/>
          <w:sz w:val="32"/>
          <w:szCs w:val="32"/>
          <w:highlight w:val="none"/>
          <w:u w:val="single"/>
        </w:rPr>
      </w:pPr>
      <w:r>
        <w:rPr>
          <w:rFonts w:hint="eastAsia" w:ascii="宋体" w:hAnsi="宋体" w:cs="宋体"/>
          <w:bCs/>
          <w:color w:val="auto"/>
          <w:sz w:val="32"/>
          <w:szCs w:val="32"/>
          <w:highlight w:val="none"/>
        </w:rPr>
        <w:t xml:space="preserve">     法定代表人或委托代理人：</w:t>
      </w:r>
      <w:r>
        <w:rPr>
          <w:rFonts w:hint="eastAsia" w:ascii="宋体" w:hAnsi="宋体" w:cs="宋体"/>
          <w:bCs/>
          <w:color w:val="auto"/>
          <w:sz w:val="32"/>
          <w:szCs w:val="32"/>
          <w:highlight w:val="none"/>
          <w:u w:val="single"/>
        </w:rPr>
        <w:t xml:space="preserve">        （签字或盖章）     </w:t>
      </w:r>
    </w:p>
    <w:p w14:paraId="787A00B4">
      <w:pPr>
        <w:spacing w:line="800" w:lineRule="exact"/>
        <w:ind w:left="4" w:leftChars="-85" w:hanging="182" w:hangingChars="57"/>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1D0A95CB">
      <w:pPr>
        <w:spacing w:line="800" w:lineRule="exact"/>
        <w:ind w:left="4" w:leftChars="-85" w:hanging="182" w:hangingChars="57"/>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eastAsia="zh-CN"/>
        </w:rPr>
        <w:t>二〇二五</w:t>
      </w:r>
      <w:r>
        <w:rPr>
          <w:rFonts w:hint="eastAsia" w:ascii="宋体" w:hAnsi="宋体" w:cs="宋体"/>
          <w:bCs/>
          <w:color w:val="auto"/>
          <w:sz w:val="32"/>
          <w:szCs w:val="32"/>
          <w:highlight w:val="none"/>
        </w:rPr>
        <w:t>年   月    日</w:t>
      </w:r>
    </w:p>
    <w:p w14:paraId="4B14AACA">
      <w:pPr>
        <w:rPr>
          <w:rFonts w:hint="eastAsia" w:ascii="宋体" w:hAnsi="宋体" w:cs="宋体"/>
          <w:color w:val="auto"/>
          <w:sz w:val="32"/>
          <w:szCs w:val="32"/>
          <w:highlight w:val="none"/>
        </w:rPr>
      </w:pPr>
    </w:p>
    <w:p w14:paraId="787CF8AF">
      <w:pPr>
        <w:pStyle w:val="3"/>
        <w:snapToGrid w:val="0"/>
        <w:rPr>
          <w:rFonts w:hint="eastAsia" w:ascii="宋体" w:hAnsi="宋体" w:eastAsia="宋体"/>
          <w:i w:val="0"/>
          <w:iCs w:val="0"/>
          <w:color w:val="auto"/>
          <w:highlight w:val="none"/>
        </w:rPr>
      </w:pPr>
      <w:bookmarkStart w:id="99" w:name="_Toc33194403"/>
      <w:r>
        <w:rPr>
          <w:rFonts w:hint="eastAsia" w:ascii="宋体" w:hAnsi="宋体" w:eastAsia="宋体"/>
          <w:i w:val="0"/>
          <w:iCs w:val="0"/>
          <w:color w:val="auto"/>
          <w:highlight w:val="none"/>
        </w:rPr>
        <w:t>资格文件</w:t>
      </w:r>
      <w:bookmarkEnd w:id="99"/>
      <w:r>
        <w:rPr>
          <w:rFonts w:hint="eastAsia" w:ascii="宋体" w:hAnsi="宋体" w:eastAsia="宋体"/>
          <w:i w:val="0"/>
          <w:iCs w:val="0"/>
          <w:color w:val="auto"/>
          <w:highlight w:val="none"/>
        </w:rPr>
        <w:t> </w:t>
      </w:r>
    </w:p>
    <w:p w14:paraId="6DD11B5A">
      <w:pPr>
        <w:shd w:val="clear" w:color="auto" w:fill="FFFFFF"/>
        <w:snapToGrid w:val="0"/>
        <w:spacing w:line="360" w:lineRule="auto"/>
        <w:jc w:val="center"/>
        <w:rPr>
          <w:rFonts w:hint="eastAsia" w:ascii="宋体" w:hAnsi="宋体" w:cs="宋体"/>
          <w:b/>
          <w:bCs/>
          <w:i w:val="0"/>
          <w:iCs w:val="0"/>
          <w:color w:val="auto"/>
          <w:kern w:val="0"/>
          <w:sz w:val="24"/>
          <w:highlight w:val="none"/>
        </w:rPr>
      </w:pPr>
      <w:r>
        <w:rPr>
          <w:rFonts w:hint="eastAsia" w:ascii="宋体" w:hAnsi="宋体" w:cs="宋体"/>
          <w:b/>
          <w:bCs/>
          <w:i w:val="0"/>
          <w:iCs w:val="0"/>
          <w:color w:val="auto"/>
          <w:kern w:val="0"/>
          <w:sz w:val="24"/>
          <w:highlight w:val="none"/>
        </w:rPr>
        <w:t>目录</w:t>
      </w:r>
    </w:p>
    <w:p w14:paraId="71FEB50C">
      <w:pPr>
        <w:numPr>
          <w:ilvl w:val="0"/>
          <w:numId w:val="9"/>
        </w:numPr>
        <w:shd w:val="clear" w:color="auto" w:fill="FFFFFF"/>
        <w:snapToGrid w:val="0"/>
        <w:spacing w:line="360" w:lineRule="auto"/>
        <w:rPr>
          <w:rFonts w:hint="eastAsia" w:ascii="宋体" w:hAnsi="宋体" w:cs="宋体"/>
          <w:color w:val="auto"/>
          <w:kern w:val="0"/>
          <w:sz w:val="24"/>
          <w:highlight w:val="none"/>
        </w:rPr>
      </w:pPr>
      <w:bookmarkStart w:id="100" w:name="_Hlk33176655"/>
      <w:r>
        <w:rPr>
          <w:rFonts w:hint="eastAsia" w:ascii="宋体" w:hAnsi="宋体" w:cs="宋体"/>
          <w:color w:val="auto"/>
          <w:kern w:val="0"/>
          <w:sz w:val="24"/>
          <w:highlight w:val="none"/>
        </w:rPr>
        <w:t>营业执照………………………………………………………………………………（页码</w:t>
      </w:r>
    </w:p>
    <w:p w14:paraId="5A4F3847">
      <w:pPr>
        <w:numPr>
          <w:ilvl w:val="0"/>
          <w:numId w:val="9"/>
        </w:num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资质证书</w:t>
      </w:r>
      <w:r>
        <w:rPr>
          <w:rFonts w:hint="eastAsia" w:ascii="宋体" w:hAnsi="宋体" w:cs="宋体"/>
          <w:color w:val="auto"/>
          <w:kern w:val="0"/>
          <w:sz w:val="24"/>
          <w:highlight w:val="none"/>
        </w:rPr>
        <w:t>………………………………………………………………………………（页码）</w:t>
      </w:r>
    </w:p>
    <w:p w14:paraId="511327D2">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）具有完善的财务制度的承诺函………………………………………………………（页码）</w:t>
      </w:r>
    </w:p>
    <w:p w14:paraId="79898957">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）具有履行合同所必需的场地、设备和专业技术能力的承诺函……………………（页码）</w:t>
      </w:r>
    </w:p>
    <w:p w14:paraId="437DC02C">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）依法缴纳税收和社会保障资金的承诺函……………………………………………（页码）</w:t>
      </w:r>
    </w:p>
    <w:p w14:paraId="5CA839EF">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）参加政府采购活动前3年内在经营活动中没有重大违法记录的声明函…………（页码）</w:t>
      </w:r>
    </w:p>
    <w:p w14:paraId="651DF4F5">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）单位负责人为同一人或者存在直接控股、管理关系的不同供应商，不得参加同一合同项下的政府采购活动承诺函……………………………………………………………………（页码）</w:t>
      </w:r>
    </w:p>
    <w:p w14:paraId="01B9DC6C">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）投标供应商没有失信记录承诺函……………………………………………………（页码）</w:t>
      </w:r>
    </w:p>
    <w:bookmarkEnd w:id="100"/>
    <w:p w14:paraId="2EE57FE1">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）中小企业声明函、监狱企业、残疾人福利性单位及其他相关的充分的证明材料…（页码）</w:t>
      </w:r>
    </w:p>
    <w:p w14:paraId="07156ECE">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）根据招标公告要求，证明投标人具备资格所必须提交的资料……………………（页码）</w:t>
      </w:r>
    </w:p>
    <w:p w14:paraId="14A9B061">
      <w:pPr>
        <w:shd w:val="clear" w:color="auto" w:fill="FFFFFF"/>
        <w:snapToGrid w:val="0"/>
        <w:spacing w:line="360" w:lineRule="auto"/>
        <w:rPr>
          <w:rFonts w:hint="eastAsia" w:ascii="宋体" w:hAnsi="宋体" w:cs="宋体"/>
          <w:color w:val="auto"/>
          <w:kern w:val="0"/>
          <w:sz w:val="24"/>
          <w:highlight w:val="none"/>
        </w:rPr>
      </w:pPr>
    </w:p>
    <w:p w14:paraId="3825588D">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223C2A00">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766236E8">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431ECFAF">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51A21988">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4050CB8B">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25AB0081">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635B1BBD">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28152586">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35E3D44B">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54387EC0">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740734E2">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41FCE2FB">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59F53E86">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035B3980">
      <w:pPr>
        <w:pStyle w:val="32"/>
        <w:rPr>
          <w:rFonts w:hint="eastAsia"/>
          <w:color w:val="auto"/>
          <w:highlight w:val="none"/>
        </w:rPr>
      </w:pPr>
    </w:p>
    <w:p w14:paraId="447AB1BC">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79D3B4A">
      <w:pPr>
        <w:bidi w:val="0"/>
        <w:jc w:val="center"/>
        <w:rPr>
          <w:rFonts w:hint="eastAsia" w:ascii="宋体" w:hAnsi="宋体" w:eastAsia="宋体" w:cs="宋体"/>
          <w:b/>
          <w:i w:val="0"/>
          <w:iCs w:val="0"/>
          <w:color w:val="auto"/>
          <w:kern w:val="36"/>
          <w:sz w:val="32"/>
          <w:szCs w:val="28"/>
          <w:highlight w:val="none"/>
          <w:lang w:val="en-US" w:eastAsia="zh-CN" w:bidi="ar-SA"/>
        </w:rPr>
      </w:pPr>
      <w:bookmarkStart w:id="101" w:name="_Toc354996708"/>
      <w:bookmarkStart w:id="102" w:name="_Toc33194408"/>
    </w:p>
    <w:p w14:paraId="79D65C47">
      <w:pPr>
        <w:bidi w:val="0"/>
        <w:jc w:val="center"/>
        <w:rPr>
          <w:rFonts w:hint="eastAsia" w:ascii="宋体" w:hAnsi="宋体" w:eastAsia="宋体" w:cs="宋体"/>
          <w:b/>
          <w:i w:val="0"/>
          <w:iCs w:val="0"/>
          <w:color w:val="auto"/>
          <w:kern w:val="36"/>
          <w:sz w:val="32"/>
          <w:szCs w:val="28"/>
          <w:highlight w:val="none"/>
          <w:lang w:val="en-US" w:eastAsia="zh-CN" w:bidi="ar-SA"/>
        </w:rPr>
      </w:pPr>
    </w:p>
    <w:p w14:paraId="7C66AC3F">
      <w:pPr>
        <w:pStyle w:val="3"/>
        <w:numPr>
          <w:ilvl w:val="0"/>
          <w:numId w:val="10"/>
        </w:numPr>
        <w:snapToGrid w:val="0"/>
        <w:rPr>
          <w:rFonts w:hint="eastAsia"/>
        </w:rPr>
      </w:pPr>
      <w:r>
        <w:rPr>
          <w:rFonts w:hint="eastAsia" w:ascii="宋体" w:hAnsi="宋体" w:eastAsia="宋体"/>
          <w:color w:val="auto"/>
          <w:szCs w:val="32"/>
          <w:highlight w:val="none"/>
        </w:rPr>
        <w:t>营业执照</w:t>
      </w:r>
      <w:r>
        <w:rPr>
          <w:rFonts w:hint="eastAsia" w:ascii="宋体" w:hAnsi="宋体" w:eastAsia="宋体"/>
          <w:color w:val="auto"/>
          <w:szCs w:val="32"/>
          <w:highlight w:val="none"/>
          <w:lang w:eastAsia="zh-CN"/>
        </w:rPr>
        <w:t>、</w:t>
      </w:r>
      <w:r>
        <w:rPr>
          <w:rFonts w:hint="eastAsia" w:ascii="宋体" w:hAnsi="宋体" w:eastAsia="宋体"/>
          <w:color w:val="auto"/>
          <w:szCs w:val="32"/>
          <w:highlight w:val="none"/>
          <w:lang w:val="en-US" w:eastAsia="zh-CN"/>
        </w:rPr>
        <w:t>资质证书</w:t>
      </w:r>
      <w:r>
        <w:rPr>
          <w:rFonts w:hint="eastAsia" w:ascii="宋体" w:hAnsi="宋体" w:eastAsia="宋体"/>
          <w:color w:val="auto"/>
          <w:szCs w:val="32"/>
          <w:highlight w:val="none"/>
        </w:rPr>
        <w:t>（复印件）</w:t>
      </w:r>
    </w:p>
    <w:p w14:paraId="5921CE45">
      <w:pPr>
        <w:snapToGrid w:val="0"/>
        <w:spacing w:line="360" w:lineRule="auto"/>
        <w:rPr>
          <w:rFonts w:hint="eastAsia" w:ascii="宋体" w:hAnsi="宋体" w:cs="宋体"/>
          <w:color w:val="auto"/>
          <w:highlight w:val="none"/>
        </w:rPr>
      </w:pPr>
    </w:p>
    <w:p w14:paraId="1C41C955">
      <w:pPr>
        <w:snapToGrid w:val="0"/>
        <w:spacing w:line="360" w:lineRule="auto"/>
        <w:rPr>
          <w:rFonts w:hint="eastAsia" w:ascii="宋体" w:hAnsi="宋体" w:cs="宋体"/>
          <w:color w:val="auto"/>
          <w:highlight w:val="none"/>
        </w:rPr>
      </w:pPr>
    </w:p>
    <w:p w14:paraId="6E1D325A">
      <w:pPr>
        <w:shd w:val="clear" w:color="auto" w:fill="FFFFFF"/>
        <w:snapToGrid w:val="0"/>
        <w:spacing w:line="360" w:lineRule="auto"/>
        <w:jc w:val="center"/>
        <w:rPr>
          <w:rFonts w:hint="eastAsia" w:ascii="宋体" w:hAnsi="宋体" w:cs="宋体"/>
          <w:b/>
          <w:color w:val="auto"/>
          <w:kern w:val="36"/>
          <w:sz w:val="32"/>
          <w:szCs w:val="32"/>
          <w:highlight w:val="none"/>
        </w:rPr>
      </w:pPr>
      <w:r>
        <w:rPr>
          <w:rFonts w:hint="eastAsia" w:ascii="宋体" w:hAnsi="宋体" w:cs="宋体"/>
          <w:b/>
          <w:color w:val="auto"/>
          <w:kern w:val="36"/>
          <w:sz w:val="32"/>
          <w:szCs w:val="32"/>
          <w:highlight w:val="none"/>
        </w:rPr>
        <w:t>二、</w:t>
      </w:r>
      <w:r>
        <w:rPr>
          <w:rFonts w:hint="eastAsia" w:ascii="宋体" w:hAnsi="宋体" w:cs="宋体"/>
          <w:b/>
          <w:bCs/>
          <w:color w:val="auto"/>
          <w:sz w:val="32"/>
          <w:szCs w:val="32"/>
          <w:highlight w:val="none"/>
        </w:rPr>
        <w:t>具有完善的财务制度的承诺函</w:t>
      </w:r>
    </w:p>
    <w:p w14:paraId="6DC01557">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衢州市衢江区</w:t>
      </w:r>
      <w:r>
        <w:rPr>
          <w:rFonts w:hint="eastAsia" w:ascii="宋体" w:hAnsi="宋体" w:cs="宋体"/>
          <w:color w:val="auto"/>
          <w:sz w:val="22"/>
          <w:szCs w:val="22"/>
          <w:highlight w:val="none"/>
          <w:lang w:val="en-US" w:eastAsia="zh-CN"/>
        </w:rPr>
        <w:t>杜泽</w:t>
      </w:r>
      <w:r>
        <w:rPr>
          <w:rFonts w:hint="eastAsia" w:ascii="宋体" w:hAnsi="宋体" w:cs="宋体"/>
          <w:color w:val="auto"/>
          <w:sz w:val="22"/>
          <w:szCs w:val="22"/>
          <w:highlight w:val="none"/>
          <w:lang w:eastAsia="zh-CN"/>
        </w:rPr>
        <w:t>镇人民政府</w:t>
      </w:r>
      <w:r>
        <w:rPr>
          <w:rFonts w:hint="eastAsia" w:ascii="宋体" w:hAnsi="宋体" w:cs="宋体"/>
          <w:color w:val="auto"/>
          <w:sz w:val="22"/>
          <w:szCs w:val="22"/>
          <w:highlight w:val="none"/>
        </w:rPr>
        <w:t>、浙江中兰工程项目管理有限公司：</w:t>
      </w:r>
    </w:p>
    <w:p w14:paraId="7AB62D18">
      <w:pPr>
        <w:widowControl/>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我方</w:t>
      </w:r>
      <w:r>
        <w:rPr>
          <w:rFonts w:hint="eastAsia" w:ascii="宋体" w:hAnsi="宋体" w:cs="宋体"/>
          <w:color w:val="auto"/>
          <w:sz w:val="22"/>
          <w:szCs w:val="22"/>
          <w:highlight w:val="none"/>
          <w:u w:val="single"/>
        </w:rPr>
        <w:t xml:space="preserve"> （供应商）</w:t>
      </w:r>
      <w:r>
        <w:rPr>
          <w:rFonts w:hint="eastAsia" w:ascii="宋体" w:hAnsi="宋体" w:cs="宋体"/>
          <w:color w:val="auto"/>
          <w:sz w:val="22"/>
          <w:szCs w:val="22"/>
          <w:highlight w:val="none"/>
        </w:rPr>
        <w:t>承诺本单位具有完善的财务制度。如有虚假，采购人可取消我方任何资格（投标/中标/签订合同），我方对此无任何异议。</w:t>
      </w:r>
    </w:p>
    <w:p w14:paraId="3BA05FDB">
      <w:pPr>
        <w:widowControl/>
        <w:snapToGrid w:val="0"/>
        <w:spacing w:line="360" w:lineRule="auto"/>
        <w:ind w:firstLine="440" w:firstLineChars="200"/>
        <w:jc w:val="left"/>
        <w:rPr>
          <w:rFonts w:hint="eastAsia" w:ascii="宋体" w:hAnsi="宋体" w:cs="宋体"/>
          <w:color w:val="auto"/>
          <w:sz w:val="22"/>
          <w:szCs w:val="22"/>
          <w:highlight w:val="none"/>
        </w:rPr>
      </w:pPr>
    </w:p>
    <w:p w14:paraId="7074A22B">
      <w:pPr>
        <w:widowControl/>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特此承诺！</w:t>
      </w:r>
    </w:p>
    <w:p w14:paraId="34B694F2">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6166E689">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3F44EF38">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748711A1">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6332C25F">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375E0E44">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0D4E3AAD">
      <w:pPr>
        <w:snapToGrid w:val="0"/>
        <w:spacing w:line="360" w:lineRule="auto"/>
        <w:rPr>
          <w:rFonts w:hint="eastAsia" w:ascii="宋体" w:hAnsi="宋体" w:cs="宋体"/>
          <w:color w:val="auto"/>
          <w:highlight w:val="none"/>
        </w:rPr>
      </w:pPr>
    </w:p>
    <w:p w14:paraId="0D89659C">
      <w:pPr>
        <w:snapToGrid w:val="0"/>
        <w:spacing w:line="360" w:lineRule="auto"/>
        <w:rPr>
          <w:rFonts w:hint="eastAsia" w:ascii="宋体" w:hAnsi="宋体" w:cs="宋体"/>
          <w:color w:val="auto"/>
          <w:highlight w:val="none"/>
        </w:rPr>
      </w:pPr>
    </w:p>
    <w:p w14:paraId="2945D50A">
      <w:pPr>
        <w:pStyle w:val="3"/>
        <w:snapToGrid w:val="0"/>
        <w:rPr>
          <w:rFonts w:hint="eastAsia" w:ascii="宋体" w:hAnsi="宋体" w:eastAsia="宋体"/>
          <w:color w:val="auto"/>
          <w:highlight w:val="none"/>
        </w:rPr>
      </w:pPr>
      <w:bookmarkStart w:id="103" w:name="_Toc33194405"/>
      <w:bookmarkStart w:id="104" w:name="_Toc27119254"/>
      <w:r>
        <w:rPr>
          <w:rFonts w:hint="eastAsia" w:ascii="宋体" w:hAnsi="宋体" w:eastAsia="宋体"/>
          <w:color w:val="auto"/>
          <w:highlight w:val="none"/>
        </w:rPr>
        <w:t>三、具有履行合同所必需的场地、设备和专业技术能力的承诺函</w:t>
      </w:r>
      <w:bookmarkEnd w:id="103"/>
      <w:bookmarkEnd w:id="104"/>
    </w:p>
    <w:p w14:paraId="0D1E8764">
      <w:pPr>
        <w:snapToGrid w:val="0"/>
        <w:spacing w:line="360" w:lineRule="auto"/>
        <w:rPr>
          <w:rFonts w:hint="eastAsia" w:ascii="宋体" w:hAnsi="宋体" w:cs="宋体"/>
          <w:color w:val="auto"/>
          <w:highlight w:val="none"/>
        </w:rPr>
      </w:pPr>
    </w:p>
    <w:p w14:paraId="220D3D60">
      <w:pPr>
        <w:snapToGrid w:val="0"/>
        <w:spacing w:line="360" w:lineRule="auto"/>
        <w:rPr>
          <w:rFonts w:hint="eastAsia" w:ascii="宋体" w:hAnsi="宋体" w:cs="宋体"/>
          <w:color w:val="auto"/>
          <w:highlight w:val="none"/>
        </w:rPr>
      </w:pPr>
    </w:p>
    <w:p w14:paraId="49C1AE45">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衢州市衢江区</w:t>
      </w:r>
      <w:r>
        <w:rPr>
          <w:rFonts w:hint="eastAsia" w:ascii="宋体" w:hAnsi="宋体" w:cs="宋体"/>
          <w:color w:val="auto"/>
          <w:sz w:val="22"/>
          <w:szCs w:val="22"/>
          <w:highlight w:val="none"/>
          <w:lang w:val="en-US" w:eastAsia="zh-CN"/>
        </w:rPr>
        <w:t>杜泽</w:t>
      </w:r>
      <w:r>
        <w:rPr>
          <w:rFonts w:hint="eastAsia" w:ascii="宋体" w:hAnsi="宋体" w:cs="宋体"/>
          <w:color w:val="auto"/>
          <w:sz w:val="22"/>
          <w:szCs w:val="22"/>
          <w:highlight w:val="none"/>
          <w:lang w:eastAsia="zh-CN"/>
        </w:rPr>
        <w:t>镇人民政府</w:t>
      </w:r>
      <w:r>
        <w:rPr>
          <w:rFonts w:hint="eastAsia" w:ascii="宋体" w:hAnsi="宋体" w:cs="宋体"/>
          <w:color w:val="auto"/>
          <w:sz w:val="22"/>
          <w:szCs w:val="22"/>
          <w:highlight w:val="none"/>
        </w:rPr>
        <w:t>、浙江中兰工程项目管理有限公司</w:t>
      </w:r>
      <w:r>
        <w:rPr>
          <w:rFonts w:hint="eastAsia" w:ascii="宋体" w:hAnsi="宋体" w:cs="宋体"/>
          <w:color w:val="auto"/>
          <w:kern w:val="0"/>
          <w:sz w:val="22"/>
          <w:szCs w:val="22"/>
          <w:highlight w:val="none"/>
        </w:rPr>
        <w:t>：</w:t>
      </w:r>
    </w:p>
    <w:p w14:paraId="7B1E05A6">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（供应商）</w:t>
      </w:r>
      <w:r>
        <w:rPr>
          <w:rFonts w:hint="eastAsia" w:ascii="宋体" w:hAnsi="宋体" w:cs="宋体"/>
          <w:color w:val="auto"/>
          <w:kern w:val="0"/>
          <w:sz w:val="22"/>
          <w:szCs w:val="22"/>
          <w:highlight w:val="none"/>
        </w:rPr>
        <w:t>承诺具有履行合同所必需的场地、设备和专业技术能力。如有虚假，采购人可取消我方任何资格（投标/中标/签订合同），我方对此无任何异议。</w:t>
      </w:r>
    </w:p>
    <w:p w14:paraId="1BE67452">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1D8621E4">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309F62C0">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636EA367">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3930DC0A">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6930D806">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0C3C50C4">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108FFAA9">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67C3DBC3">
      <w:pPr>
        <w:spacing w:line="360" w:lineRule="auto"/>
        <w:jc w:val="center"/>
        <w:rPr>
          <w:rFonts w:hint="eastAsia" w:ascii="宋体" w:hAnsi="宋体" w:cs="宋体"/>
          <w:b/>
          <w:color w:val="auto"/>
          <w:kern w:val="36"/>
          <w:sz w:val="32"/>
          <w:szCs w:val="28"/>
          <w:highlight w:val="none"/>
        </w:rPr>
      </w:pPr>
      <w:r>
        <w:rPr>
          <w:rFonts w:hint="eastAsia" w:ascii="宋体" w:hAnsi="宋体" w:cs="宋体"/>
          <w:b/>
          <w:color w:val="auto"/>
          <w:kern w:val="36"/>
          <w:sz w:val="32"/>
          <w:szCs w:val="28"/>
          <w:highlight w:val="none"/>
        </w:rPr>
        <w:t>四、依法缴纳税收和社会保障资金的承诺函</w:t>
      </w:r>
    </w:p>
    <w:p w14:paraId="09524811">
      <w:pPr>
        <w:spacing w:line="360" w:lineRule="auto"/>
        <w:rPr>
          <w:rFonts w:hint="eastAsia" w:ascii="宋体" w:hAnsi="宋体" w:cs="宋体"/>
          <w:b/>
          <w:color w:val="auto"/>
          <w:kern w:val="0"/>
          <w:sz w:val="24"/>
          <w:szCs w:val="28"/>
          <w:highlight w:val="none"/>
          <w:u w:val="single"/>
        </w:rPr>
      </w:pPr>
    </w:p>
    <w:p w14:paraId="27812097">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衢州市衢江区</w:t>
      </w:r>
      <w:r>
        <w:rPr>
          <w:rFonts w:hint="eastAsia" w:ascii="宋体" w:hAnsi="宋体" w:cs="宋体"/>
          <w:color w:val="auto"/>
          <w:sz w:val="22"/>
          <w:szCs w:val="22"/>
          <w:highlight w:val="none"/>
          <w:lang w:val="en-US" w:eastAsia="zh-CN"/>
        </w:rPr>
        <w:t>杜泽</w:t>
      </w:r>
      <w:r>
        <w:rPr>
          <w:rFonts w:hint="eastAsia" w:ascii="宋体" w:hAnsi="宋体" w:cs="宋体"/>
          <w:color w:val="auto"/>
          <w:sz w:val="22"/>
          <w:szCs w:val="22"/>
          <w:highlight w:val="none"/>
          <w:lang w:eastAsia="zh-CN"/>
        </w:rPr>
        <w:t>镇人民政府</w:t>
      </w:r>
      <w:r>
        <w:rPr>
          <w:rFonts w:hint="eastAsia" w:ascii="宋体" w:hAnsi="宋体" w:cs="宋体"/>
          <w:color w:val="auto"/>
          <w:sz w:val="22"/>
          <w:szCs w:val="22"/>
          <w:highlight w:val="none"/>
        </w:rPr>
        <w:t>、浙江中兰工程项目管理有限公司</w:t>
      </w:r>
      <w:r>
        <w:rPr>
          <w:rFonts w:hint="eastAsia" w:ascii="宋体" w:hAnsi="宋体" w:cs="宋体"/>
          <w:color w:val="auto"/>
          <w:kern w:val="0"/>
          <w:sz w:val="22"/>
          <w:szCs w:val="22"/>
          <w:highlight w:val="none"/>
        </w:rPr>
        <w:t>：</w:t>
      </w:r>
    </w:p>
    <w:p w14:paraId="06E709E4">
      <w:pPr>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14:paraId="3F966E98">
      <w:pPr>
        <w:spacing w:line="360" w:lineRule="auto"/>
        <w:ind w:firstLine="440" w:firstLineChars="200"/>
        <w:rPr>
          <w:rFonts w:hint="eastAsia" w:ascii="宋体" w:hAnsi="宋体" w:cs="宋体"/>
          <w:color w:val="auto"/>
          <w:kern w:val="0"/>
          <w:sz w:val="22"/>
          <w:szCs w:val="22"/>
          <w:highlight w:val="none"/>
        </w:rPr>
      </w:pPr>
    </w:p>
    <w:p w14:paraId="6317B104">
      <w:pPr>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74D64C8D">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2DDBD017">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4400095A">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3FE9E949">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2D399DE8">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414FB7C1">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6606AF00">
      <w:pPr>
        <w:widowControl/>
        <w:snapToGrid w:val="0"/>
        <w:spacing w:line="360" w:lineRule="auto"/>
        <w:ind w:firstLine="480" w:firstLineChars="200"/>
        <w:jc w:val="left"/>
        <w:rPr>
          <w:rFonts w:hint="eastAsia" w:ascii="宋体" w:hAnsi="宋体" w:cs="宋体"/>
          <w:color w:val="auto"/>
          <w:kern w:val="0"/>
          <w:sz w:val="24"/>
          <w:highlight w:val="none"/>
        </w:rPr>
      </w:pPr>
    </w:p>
    <w:p w14:paraId="34C7BDC3">
      <w:pPr>
        <w:widowControl/>
        <w:snapToGrid w:val="0"/>
        <w:spacing w:line="360" w:lineRule="auto"/>
        <w:jc w:val="left"/>
        <w:rPr>
          <w:rFonts w:hint="eastAsia" w:ascii="宋体" w:hAnsi="宋体" w:cs="宋体"/>
          <w:color w:val="auto"/>
          <w:kern w:val="0"/>
          <w:szCs w:val="21"/>
          <w:highlight w:val="none"/>
        </w:rPr>
      </w:pPr>
    </w:p>
    <w:p w14:paraId="239436B9">
      <w:pPr>
        <w:pStyle w:val="3"/>
        <w:numPr>
          <w:ilvl w:val="0"/>
          <w:numId w:val="11"/>
        </w:numPr>
        <w:snapToGrid w:val="0"/>
        <w:rPr>
          <w:rFonts w:hint="eastAsia" w:ascii="宋体" w:hAnsi="宋体" w:eastAsia="宋体"/>
          <w:color w:val="auto"/>
          <w:highlight w:val="none"/>
        </w:rPr>
      </w:pPr>
      <w:bookmarkStart w:id="105" w:name="_Toc14589"/>
      <w:bookmarkStart w:id="106" w:name="_Toc33194406"/>
      <w:bookmarkStart w:id="107" w:name="_Toc31784"/>
      <w:bookmarkStart w:id="108" w:name="_Toc10630"/>
      <w:bookmarkStart w:id="109" w:name="_Toc6606"/>
      <w:bookmarkStart w:id="110" w:name="_Toc31544"/>
      <w:bookmarkStart w:id="111" w:name="_Toc18304"/>
      <w:bookmarkStart w:id="112" w:name="_Toc14988"/>
      <w:bookmarkStart w:id="113" w:name="_Toc27119255"/>
      <w:bookmarkStart w:id="114" w:name="_Toc13669"/>
      <w:bookmarkStart w:id="115" w:name="_Toc11360"/>
      <w:bookmarkStart w:id="116" w:name="_Toc28957"/>
      <w:r>
        <w:rPr>
          <w:rFonts w:hint="eastAsia" w:ascii="宋体" w:hAnsi="宋体" w:eastAsia="宋体"/>
          <w:color w:val="auto"/>
          <w:highlight w:val="none"/>
        </w:rPr>
        <w:t>参加政府采购活动前3年内在经营活动中没有重大违法记录的</w:t>
      </w:r>
    </w:p>
    <w:p w14:paraId="2693B074">
      <w:pPr>
        <w:pStyle w:val="3"/>
        <w:snapToGrid w:val="0"/>
        <w:rPr>
          <w:rFonts w:hint="eastAsia" w:ascii="宋体" w:hAnsi="宋体" w:eastAsia="宋体"/>
          <w:color w:val="auto"/>
          <w:highlight w:val="none"/>
        </w:rPr>
      </w:pPr>
      <w:r>
        <w:rPr>
          <w:rFonts w:hint="eastAsia" w:ascii="宋体" w:hAnsi="宋体" w:eastAsia="宋体"/>
          <w:color w:val="auto"/>
          <w:highlight w:val="none"/>
        </w:rPr>
        <w:t>声明函</w:t>
      </w:r>
      <w:bookmarkEnd w:id="105"/>
      <w:bookmarkEnd w:id="106"/>
      <w:bookmarkEnd w:id="107"/>
      <w:bookmarkEnd w:id="108"/>
      <w:bookmarkEnd w:id="109"/>
      <w:bookmarkEnd w:id="110"/>
      <w:bookmarkEnd w:id="111"/>
      <w:bookmarkEnd w:id="112"/>
      <w:bookmarkEnd w:id="113"/>
      <w:bookmarkEnd w:id="114"/>
      <w:bookmarkEnd w:id="115"/>
      <w:bookmarkEnd w:id="116"/>
    </w:p>
    <w:p w14:paraId="52EA2023">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衢州市衢江区</w:t>
      </w:r>
      <w:r>
        <w:rPr>
          <w:rFonts w:hint="eastAsia" w:ascii="宋体" w:hAnsi="宋体" w:cs="宋体"/>
          <w:color w:val="auto"/>
          <w:sz w:val="22"/>
          <w:szCs w:val="22"/>
          <w:highlight w:val="none"/>
          <w:lang w:val="en-US" w:eastAsia="zh-CN"/>
        </w:rPr>
        <w:t>杜泽</w:t>
      </w:r>
      <w:r>
        <w:rPr>
          <w:rFonts w:hint="eastAsia" w:ascii="宋体" w:hAnsi="宋体" w:cs="宋体"/>
          <w:color w:val="auto"/>
          <w:sz w:val="22"/>
          <w:szCs w:val="22"/>
          <w:highlight w:val="none"/>
          <w:lang w:eastAsia="zh-CN"/>
        </w:rPr>
        <w:t>镇人民政府</w:t>
      </w:r>
      <w:r>
        <w:rPr>
          <w:rFonts w:hint="eastAsia" w:ascii="宋体" w:hAnsi="宋体" w:cs="宋体"/>
          <w:color w:val="auto"/>
          <w:sz w:val="22"/>
          <w:szCs w:val="22"/>
          <w:highlight w:val="none"/>
        </w:rPr>
        <w:t>、浙江中兰工程项目管理有限公司</w:t>
      </w:r>
      <w:r>
        <w:rPr>
          <w:rFonts w:hint="eastAsia" w:ascii="宋体" w:hAnsi="宋体" w:cs="宋体"/>
          <w:color w:val="auto"/>
          <w:kern w:val="0"/>
          <w:sz w:val="22"/>
          <w:szCs w:val="22"/>
          <w:highlight w:val="none"/>
        </w:rPr>
        <w:t>：</w:t>
      </w:r>
    </w:p>
    <w:p w14:paraId="7000310E">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（供应商）</w:t>
      </w:r>
      <w:r>
        <w:rPr>
          <w:rFonts w:hint="eastAsia" w:ascii="宋体" w:hAnsi="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4F4D163E">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691BE41D">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23B9D144">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5F6DBFF9">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25C12A56">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5F5701D0">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1C758B9D">
      <w:pPr>
        <w:spacing w:line="360" w:lineRule="auto"/>
        <w:jc w:val="center"/>
        <w:rPr>
          <w:rFonts w:hint="eastAsia" w:ascii="宋体" w:hAnsi="宋体" w:cs="宋体"/>
          <w:b/>
          <w:color w:val="auto"/>
          <w:kern w:val="36"/>
          <w:sz w:val="32"/>
          <w:szCs w:val="28"/>
          <w:highlight w:val="none"/>
        </w:rPr>
      </w:pPr>
    </w:p>
    <w:p w14:paraId="3BE16EE0">
      <w:pPr>
        <w:spacing w:line="360" w:lineRule="auto"/>
        <w:jc w:val="center"/>
        <w:rPr>
          <w:rFonts w:hint="eastAsia" w:ascii="宋体" w:hAnsi="宋体" w:cs="宋体"/>
          <w:b/>
          <w:color w:val="auto"/>
          <w:w w:val="80"/>
          <w:kern w:val="0"/>
          <w:sz w:val="32"/>
          <w:szCs w:val="32"/>
          <w:highlight w:val="none"/>
        </w:rPr>
      </w:pPr>
      <w:r>
        <w:rPr>
          <w:rFonts w:hint="eastAsia" w:ascii="宋体" w:hAnsi="宋体" w:cs="宋体"/>
          <w:b/>
          <w:color w:val="auto"/>
          <w:kern w:val="36"/>
          <w:sz w:val="32"/>
          <w:szCs w:val="28"/>
          <w:highlight w:val="none"/>
        </w:rPr>
        <w:t>六、</w:t>
      </w:r>
      <w:r>
        <w:rPr>
          <w:rFonts w:hint="eastAsia" w:ascii="宋体" w:hAnsi="宋体" w:cs="宋体"/>
          <w:b/>
          <w:color w:val="auto"/>
          <w:kern w:val="0"/>
          <w:sz w:val="32"/>
          <w:szCs w:val="32"/>
          <w:highlight w:val="none"/>
        </w:rPr>
        <w:t>与参加本次项目同一合同项下政府采购活动的其他供应商不存在单位负责人为同一人或者直接控股、管理关系的承诺函</w:t>
      </w:r>
    </w:p>
    <w:p w14:paraId="1C89BFB2">
      <w:pPr>
        <w:shd w:val="clear" w:color="auto" w:fill="FFFFFF"/>
        <w:snapToGrid w:val="0"/>
        <w:spacing w:line="360" w:lineRule="auto"/>
        <w:rPr>
          <w:rFonts w:hint="eastAsia" w:ascii="宋体" w:hAnsi="宋体" w:cs="宋体"/>
          <w:color w:val="auto"/>
          <w:sz w:val="24"/>
          <w:highlight w:val="none"/>
        </w:rPr>
      </w:pPr>
    </w:p>
    <w:p w14:paraId="16434408">
      <w:pPr>
        <w:shd w:val="clear" w:color="auto" w:fill="FFFFFF"/>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衢州市衢江区</w:t>
      </w:r>
      <w:r>
        <w:rPr>
          <w:rFonts w:hint="eastAsia" w:ascii="宋体" w:hAnsi="宋体" w:cs="宋体"/>
          <w:color w:val="auto"/>
          <w:sz w:val="22"/>
          <w:szCs w:val="22"/>
          <w:highlight w:val="none"/>
          <w:lang w:val="en-US" w:eastAsia="zh-CN"/>
        </w:rPr>
        <w:t>杜泽</w:t>
      </w:r>
      <w:r>
        <w:rPr>
          <w:rFonts w:hint="eastAsia" w:ascii="宋体" w:hAnsi="宋体" w:cs="宋体"/>
          <w:color w:val="auto"/>
          <w:sz w:val="22"/>
          <w:szCs w:val="22"/>
          <w:highlight w:val="none"/>
          <w:lang w:eastAsia="zh-CN"/>
        </w:rPr>
        <w:t>镇人民政府</w:t>
      </w:r>
      <w:r>
        <w:rPr>
          <w:rFonts w:hint="eastAsia" w:ascii="宋体" w:hAnsi="宋体" w:cs="宋体"/>
          <w:color w:val="auto"/>
          <w:sz w:val="22"/>
          <w:szCs w:val="22"/>
          <w:highlight w:val="none"/>
        </w:rPr>
        <w:t>、浙江中兰工程项目管理有限公司</w:t>
      </w:r>
      <w:r>
        <w:rPr>
          <w:rFonts w:hint="eastAsia" w:ascii="宋体" w:hAnsi="宋体" w:cs="宋体"/>
          <w:color w:val="auto"/>
          <w:kern w:val="0"/>
          <w:sz w:val="22"/>
          <w:szCs w:val="22"/>
          <w:highlight w:val="none"/>
        </w:rPr>
        <w:t>：</w:t>
      </w:r>
    </w:p>
    <w:p w14:paraId="6F9238CD">
      <w:pPr>
        <w:spacing w:before="31" w:beforeLines="10"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我方郑重承诺，我方此次</w:t>
      </w:r>
      <w:r>
        <w:rPr>
          <w:rFonts w:hint="eastAsia" w:ascii="宋体" w:hAnsi="宋体" w:cs="宋体"/>
          <w:color w:val="auto"/>
          <w:kern w:val="0"/>
          <w:sz w:val="22"/>
          <w:szCs w:val="22"/>
          <w:highlight w:val="none"/>
          <w:u w:val="single"/>
        </w:rPr>
        <w:t xml:space="preserve">         （项目名称）              </w:t>
      </w:r>
      <w:r>
        <w:rPr>
          <w:rFonts w:hint="eastAsia" w:ascii="宋体" w:hAnsi="宋体" w:cs="宋体"/>
          <w:color w:val="auto"/>
          <w:kern w:val="0"/>
          <w:sz w:val="22"/>
          <w:szCs w:val="22"/>
          <w:highlight w:val="none"/>
        </w:rPr>
        <w:t>的投标，与参加本次项目同一合同项下政府采购活动的其他供应商不存在单位负责人为同一人或者直接控股、管理关系。如有虚假或隐瞒，愿意承担一切后果。</w:t>
      </w:r>
    </w:p>
    <w:p w14:paraId="0E4AC6F0">
      <w:pPr>
        <w:shd w:val="clear" w:color="auto" w:fill="FFFFFF"/>
        <w:snapToGrid w:val="0"/>
        <w:spacing w:line="400" w:lineRule="exact"/>
        <w:jc w:val="center"/>
        <w:rPr>
          <w:rFonts w:hint="eastAsia" w:ascii="宋体" w:hAnsi="宋体" w:cs="宋体"/>
          <w:b/>
          <w:color w:val="auto"/>
          <w:kern w:val="36"/>
          <w:sz w:val="22"/>
          <w:szCs w:val="22"/>
          <w:highlight w:val="none"/>
        </w:rPr>
      </w:pPr>
    </w:p>
    <w:p w14:paraId="05430E23">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34309A80">
      <w:pPr>
        <w:widowControl/>
        <w:snapToGrid w:val="0"/>
        <w:spacing w:line="400" w:lineRule="exact"/>
        <w:ind w:firstLine="440" w:firstLineChars="200"/>
        <w:jc w:val="left"/>
        <w:rPr>
          <w:rFonts w:hint="eastAsia" w:ascii="宋体" w:hAnsi="宋体" w:cs="宋体"/>
          <w:color w:val="auto"/>
          <w:kern w:val="0"/>
          <w:sz w:val="22"/>
          <w:szCs w:val="22"/>
          <w:highlight w:val="none"/>
        </w:rPr>
      </w:pPr>
    </w:p>
    <w:p w14:paraId="3F38016C">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6E59048C">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44E4B98A">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1D23BD7A">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49A55FDA">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71336305">
      <w:pPr>
        <w:spacing w:line="360" w:lineRule="auto"/>
        <w:rPr>
          <w:rFonts w:hint="eastAsia" w:ascii="宋体" w:hAnsi="宋体" w:cs="宋体"/>
          <w:b/>
          <w:color w:val="auto"/>
          <w:kern w:val="0"/>
          <w:sz w:val="32"/>
          <w:szCs w:val="32"/>
          <w:highlight w:val="none"/>
        </w:rPr>
      </w:pPr>
    </w:p>
    <w:p w14:paraId="030EA115">
      <w:pPr>
        <w:spacing w:line="360" w:lineRule="auto"/>
        <w:jc w:val="left"/>
        <w:rPr>
          <w:rFonts w:hint="eastAsia" w:ascii="宋体" w:hAnsi="宋体" w:cs="宋体"/>
          <w:b/>
          <w:color w:val="auto"/>
          <w:kern w:val="36"/>
          <w:sz w:val="32"/>
          <w:szCs w:val="28"/>
          <w:highlight w:val="none"/>
        </w:rPr>
      </w:pPr>
      <w:r>
        <w:rPr>
          <w:rFonts w:hint="eastAsia" w:ascii="宋体" w:hAnsi="宋体" w:cs="宋体"/>
          <w:b/>
          <w:color w:val="auto"/>
          <w:kern w:val="0"/>
          <w:sz w:val="32"/>
          <w:szCs w:val="32"/>
          <w:highlight w:val="none"/>
        </w:rPr>
        <w:t>七、</w:t>
      </w:r>
      <w:r>
        <w:rPr>
          <w:rFonts w:hint="eastAsia" w:ascii="宋体" w:hAnsi="宋体" w:cs="宋体"/>
          <w:b/>
          <w:color w:val="auto"/>
          <w:kern w:val="36"/>
          <w:sz w:val="32"/>
          <w:szCs w:val="28"/>
          <w:highlight w:val="none"/>
        </w:rPr>
        <w:t>投标供应商没有失信记录承诺函</w:t>
      </w:r>
    </w:p>
    <w:p w14:paraId="5DE4944C">
      <w:pPr>
        <w:shd w:val="clear" w:color="auto" w:fill="FFFFFF"/>
        <w:snapToGrid w:val="0"/>
        <w:spacing w:line="400" w:lineRule="exact"/>
        <w:rPr>
          <w:rFonts w:hint="eastAsia" w:ascii="宋体" w:hAnsi="宋体" w:cs="宋体"/>
          <w:color w:val="auto"/>
          <w:sz w:val="22"/>
          <w:szCs w:val="22"/>
          <w:highlight w:val="none"/>
        </w:rPr>
      </w:pPr>
    </w:p>
    <w:p w14:paraId="1D36E32E">
      <w:pPr>
        <w:shd w:val="clear" w:color="auto" w:fill="FFFFFF"/>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衢州市衢江区</w:t>
      </w:r>
      <w:r>
        <w:rPr>
          <w:rFonts w:hint="eastAsia" w:ascii="宋体" w:hAnsi="宋体" w:cs="宋体"/>
          <w:color w:val="auto"/>
          <w:sz w:val="22"/>
          <w:szCs w:val="22"/>
          <w:highlight w:val="none"/>
          <w:lang w:val="en-US" w:eastAsia="zh-CN"/>
        </w:rPr>
        <w:t>杜泽</w:t>
      </w:r>
      <w:r>
        <w:rPr>
          <w:rFonts w:hint="eastAsia" w:ascii="宋体" w:hAnsi="宋体" w:cs="宋体"/>
          <w:color w:val="auto"/>
          <w:sz w:val="22"/>
          <w:szCs w:val="22"/>
          <w:highlight w:val="none"/>
          <w:lang w:eastAsia="zh-CN"/>
        </w:rPr>
        <w:t>镇人民政府</w:t>
      </w:r>
      <w:r>
        <w:rPr>
          <w:rFonts w:hint="eastAsia" w:ascii="宋体" w:hAnsi="宋体" w:cs="宋体"/>
          <w:color w:val="auto"/>
          <w:sz w:val="22"/>
          <w:szCs w:val="22"/>
          <w:highlight w:val="none"/>
        </w:rPr>
        <w:t>、浙江中兰工程项目管理有限公司</w:t>
      </w:r>
      <w:r>
        <w:rPr>
          <w:rFonts w:hint="eastAsia" w:ascii="宋体" w:hAnsi="宋体" w:cs="宋体"/>
          <w:color w:val="auto"/>
          <w:kern w:val="0"/>
          <w:sz w:val="22"/>
          <w:szCs w:val="22"/>
          <w:highlight w:val="none"/>
        </w:rPr>
        <w:t>：</w:t>
      </w:r>
    </w:p>
    <w:p w14:paraId="1F47B0AF">
      <w:pPr>
        <w:spacing w:line="400" w:lineRule="exact"/>
        <w:ind w:firstLine="399" w:firstLineChars="202"/>
        <w:jc w:val="left"/>
        <w:rPr>
          <w:rFonts w:hint="eastAsia" w:ascii="宋体" w:hAnsi="宋体" w:cs="宋体"/>
          <w:color w:val="auto"/>
          <w:spacing w:val="-11"/>
          <w:kern w:val="0"/>
          <w:sz w:val="22"/>
          <w:szCs w:val="22"/>
          <w:highlight w:val="none"/>
        </w:rPr>
      </w:pPr>
      <w:r>
        <w:rPr>
          <w:rFonts w:hint="eastAsia" w:ascii="宋体" w:hAnsi="宋体" w:cs="宋体"/>
          <w:color w:val="auto"/>
          <w:spacing w:val="-11"/>
          <w:kern w:val="0"/>
          <w:sz w:val="22"/>
          <w:szCs w:val="22"/>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29314FE1">
      <w:pPr>
        <w:shd w:val="clear" w:color="auto" w:fill="FFFFFF"/>
        <w:snapToGrid w:val="0"/>
        <w:spacing w:line="400" w:lineRule="exact"/>
        <w:rPr>
          <w:rFonts w:hint="eastAsia" w:ascii="宋体" w:hAnsi="宋体" w:cs="宋体"/>
          <w:color w:val="auto"/>
          <w:sz w:val="22"/>
          <w:szCs w:val="22"/>
          <w:highlight w:val="none"/>
        </w:rPr>
      </w:pPr>
    </w:p>
    <w:p w14:paraId="168454DE">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1DEE66C9">
      <w:pPr>
        <w:widowControl/>
        <w:snapToGrid w:val="0"/>
        <w:spacing w:line="400" w:lineRule="exact"/>
        <w:ind w:firstLine="440" w:firstLineChars="200"/>
        <w:jc w:val="left"/>
        <w:rPr>
          <w:rFonts w:hint="eastAsia" w:ascii="宋体" w:hAnsi="宋体" w:cs="宋体"/>
          <w:color w:val="auto"/>
          <w:kern w:val="0"/>
          <w:sz w:val="22"/>
          <w:szCs w:val="22"/>
          <w:highlight w:val="none"/>
        </w:rPr>
      </w:pPr>
    </w:p>
    <w:p w14:paraId="61ACE47F">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4F56BFD2">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54D880BA">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21E859FA">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13F38D99">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56113B9B">
      <w:pPr>
        <w:spacing w:line="360" w:lineRule="auto"/>
        <w:jc w:val="center"/>
        <w:rPr>
          <w:rFonts w:hint="eastAsia" w:ascii="宋体" w:hAnsi="宋体" w:cs="宋体"/>
          <w:b/>
          <w:color w:val="auto"/>
          <w:kern w:val="36"/>
          <w:sz w:val="30"/>
          <w:szCs w:val="30"/>
          <w:highlight w:val="none"/>
        </w:rPr>
      </w:pPr>
    </w:p>
    <w:p w14:paraId="7BE107BF">
      <w:pPr>
        <w:pageBreakBefore/>
        <w:shd w:val="clear" w:color="auto" w:fill="FFFFFF"/>
        <w:snapToGrid w:val="0"/>
        <w:spacing w:line="360" w:lineRule="auto"/>
        <w:jc w:val="center"/>
        <w:outlineLvl w:val="2"/>
        <w:rPr>
          <w:rFonts w:hint="eastAsia" w:ascii="宋体" w:hAnsi="宋体" w:cs="宋体"/>
          <w:color w:val="auto"/>
          <w:spacing w:val="-11"/>
          <w:sz w:val="28"/>
          <w:szCs w:val="28"/>
          <w:highlight w:val="none"/>
        </w:rPr>
      </w:pPr>
      <w:r>
        <w:rPr>
          <w:rFonts w:hint="eastAsia" w:ascii="宋体" w:hAnsi="宋体" w:cs="宋体"/>
          <w:b/>
          <w:bCs/>
          <w:color w:val="auto"/>
          <w:spacing w:val="-11"/>
          <w:sz w:val="28"/>
          <w:szCs w:val="28"/>
          <w:highlight w:val="none"/>
        </w:rPr>
        <w:t>八、中小企业声明函、监狱企业、残疾人福利性单位及其他相关的充分的证明材料</w:t>
      </w:r>
    </w:p>
    <w:p w14:paraId="39776F0D">
      <w:pPr>
        <w:pStyle w:val="38"/>
        <w:spacing w:before="157" w:beforeLines="50" w:after="157" w:afterLines="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中小企业声明函（服务）</w:t>
      </w:r>
    </w:p>
    <w:p w14:paraId="3BF9314E">
      <w:pPr>
        <w:pStyle w:val="10"/>
        <w:autoSpaceDE w:val="0"/>
        <w:autoSpaceDN w:val="0"/>
        <w:spacing w:after="0" w:line="380" w:lineRule="exact"/>
        <w:ind w:right="-54" w:firstLine="480" w:firstLineChars="200"/>
        <w:rPr>
          <w:rFonts w:hint="eastAsia" w:ascii="宋体" w:hAnsi="宋体" w:cs="宋体"/>
          <w:color w:val="auto"/>
          <w:sz w:val="24"/>
          <w:highlight w:val="none"/>
        </w:rPr>
      </w:pPr>
    </w:p>
    <w:p w14:paraId="6C2E3045">
      <w:pPr>
        <w:pStyle w:val="10"/>
        <w:autoSpaceDE w:val="0"/>
        <w:autoSpaceDN w:val="0"/>
        <w:spacing w:after="0" w:line="380" w:lineRule="exact"/>
        <w:ind w:right="-54"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本公司（联合体）郑重声明，根据《政府采购促进中小企业发展管理办法》（财库﹝2020﹞46号）的规定，本公司（联合体）参加</w:t>
      </w:r>
      <w:r>
        <w:rPr>
          <w:rFonts w:hint="eastAsia" w:ascii="宋体" w:hAnsi="宋体" w:eastAsia="宋体" w:cs="宋体"/>
          <w:color w:val="auto"/>
          <w:sz w:val="22"/>
          <w:szCs w:val="22"/>
          <w:highlight w:val="none"/>
          <w:u w:val="single"/>
        </w:rPr>
        <w:t xml:space="preserve">  （单位名称）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（项目名称）  </w:t>
      </w:r>
      <w:r>
        <w:rPr>
          <w:rFonts w:hint="eastAsia" w:ascii="宋体" w:hAnsi="宋体" w:eastAsia="宋体" w:cs="宋体"/>
          <w:color w:val="auto"/>
          <w:sz w:val="22"/>
          <w:szCs w:val="22"/>
          <w:highlight w:val="none"/>
        </w:rPr>
        <w:t>采购活动，</w:t>
      </w:r>
      <w:r>
        <w:rPr>
          <w:rFonts w:hint="eastAsia" w:ascii="宋体" w:hAnsi="宋体" w:eastAsia="宋体" w:cs="宋体"/>
          <w:bCs/>
          <w:color w:val="auto"/>
          <w:sz w:val="22"/>
          <w:szCs w:val="22"/>
          <w:highlight w:val="none"/>
        </w:rPr>
        <w:t>服</w:t>
      </w:r>
      <w:r>
        <w:rPr>
          <w:rFonts w:hint="eastAsia" w:ascii="宋体" w:hAnsi="宋体" w:eastAsia="宋体" w:cs="宋体"/>
          <w:color w:val="auto"/>
          <w:sz w:val="22"/>
          <w:szCs w:val="22"/>
          <w:highlight w:val="none"/>
        </w:rPr>
        <w:t>务全部由符合政策要求的中小企业承接。相关企业（含联合体中的中小企业、签订分包意向协议的中小企业）的具体情况如下：</w:t>
      </w:r>
    </w:p>
    <w:p w14:paraId="59D7B15C">
      <w:pPr>
        <w:pStyle w:val="10"/>
        <w:autoSpaceDE w:val="0"/>
        <w:autoSpaceDN w:val="0"/>
        <w:spacing w:after="0" w:line="380" w:lineRule="exact"/>
        <w:ind w:right="-54" w:firstLine="440" w:firstLineChars="200"/>
        <w:rPr>
          <w:rFonts w:hint="eastAsia" w:ascii="宋体" w:hAnsi="宋体" w:eastAsia="宋体" w:cs="宋体"/>
          <w:color w:val="auto"/>
          <w:w w:val="99"/>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w w:val="96"/>
          <w:sz w:val="22"/>
          <w:szCs w:val="22"/>
          <w:highlight w:val="none"/>
          <w:u w:val="single"/>
        </w:rPr>
        <w:t>（标的名称）</w:t>
      </w:r>
      <w:r>
        <w:rPr>
          <w:rFonts w:hint="eastAsia" w:ascii="宋体" w:hAnsi="宋体" w:eastAsia="宋体" w:cs="宋体"/>
          <w:color w:val="auto"/>
          <w:w w:val="99"/>
          <w:sz w:val="22"/>
          <w:szCs w:val="22"/>
          <w:highlight w:val="none"/>
        </w:rPr>
        <w:t>，</w:t>
      </w:r>
      <w:r>
        <w:rPr>
          <w:rFonts w:hint="eastAsia" w:ascii="宋体" w:hAnsi="宋体" w:eastAsia="宋体" w:cs="宋体"/>
          <w:color w:val="auto"/>
          <w:sz w:val="22"/>
          <w:szCs w:val="22"/>
          <w:highlight w:val="none"/>
        </w:rPr>
        <w:t>属于</w:t>
      </w:r>
      <w:r>
        <w:rPr>
          <w:rFonts w:hint="eastAsia" w:ascii="宋体" w:hAnsi="宋体" w:eastAsia="宋体" w:cs="宋体"/>
          <w:color w:val="auto"/>
          <w:w w:val="96"/>
          <w:sz w:val="22"/>
          <w:szCs w:val="22"/>
          <w:highlight w:val="none"/>
        </w:rPr>
        <w:t>（</w:t>
      </w:r>
      <w:r>
        <w:rPr>
          <w:rFonts w:hint="eastAsia" w:ascii="宋体" w:hAnsi="宋体" w:eastAsia="宋体" w:cs="宋体"/>
          <w:color w:val="auto"/>
          <w:w w:val="96"/>
          <w:sz w:val="22"/>
          <w:szCs w:val="22"/>
          <w:highlight w:val="none"/>
          <w:u w:val="single"/>
        </w:rPr>
        <w:t>采购文件中明确的所属行业）</w:t>
      </w:r>
      <w:r>
        <w:rPr>
          <w:rFonts w:hint="eastAsia" w:ascii="宋体" w:hAnsi="宋体" w:eastAsia="宋体" w:cs="宋体"/>
          <w:color w:val="auto"/>
          <w:w w:val="99"/>
          <w:sz w:val="22"/>
          <w:szCs w:val="22"/>
          <w:highlight w:val="none"/>
        </w:rPr>
        <w:t>；</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w w:val="96"/>
          <w:sz w:val="22"/>
          <w:szCs w:val="22"/>
          <w:highlight w:val="none"/>
          <w:u w:val="single"/>
        </w:rPr>
        <w:t>（企业名称）</w:t>
      </w:r>
      <w:r>
        <w:rPr>
          <w:rFonts w:hint="eastAsia" w:ascii="宋体" w:hAnsi="宋体" w:eastAsia="宋体" w:cs="宋体"/>
          <w:color w:val="auto"/>
          <w:w w:val="99"/>
          <w:sz w:val="22"/>
          <w:szCs w:val="22"/>
          <w:highlight w:val="none"/>
        </w:rPr>
        <w:t>，</w:t>
      </w:r>
      <w:r>
        <w:rPr>
          <w:rFonts w:hint="eastAsia" w:ascii="宋体" w:hAnsi="宋体" w:eastAsia="宋体" w:cs="宋体"/>
          <w:color w:val="auto"/>
          <w:sz w:val="22"/>
          <w:szCs w:val="22"/>
          <w:highlight w:val="none"/>
        </w:rPr>
        <w:t>从业人员</w:t>
      </w:r>
      <w:r>
        <w:rPr>
          <w:rFonts w:hint="eastAsia" w:ascii="宋体" w:hAnsi="宋体" w:eastAsia="宋体" w:cs="宋体"/>
          <w:color w:val="auto"/>
          <w:w w:val="99"/>
          <w:sz w:val="22"/>
          <w:szCs w:val="22"/>
          <w:highlight w:val="none"/>
          <w:u w:val="single"/>
        </w:rPr>
        <w:t xml:space="preserve">  </w:t>
      </w:r>
      <w:r>
        <w:rPr>
          <w:rFonts w:hint="eastAsia" w:ascii="宋体" w:hAnsi="宋体" w:eastAsia="宋体" w:cs="宋体"/>
          <w:color w:val="auto"/>
          <w:sz w:val="22"/>
          <w:szCs w:val="22"/>
          <w:highlight w:val="none"/>
        </w:rPr>
        <w:t>人</w:t>
      </w:r>
      <w:r>
        <w:rPr>
          <w:rFonts w:hint="eastAsia" w:ascii="宋体" w:hAnsi="宋体" w:eastAsia="宋体" w:cs="宋体"/>
          <w:color w:val="auto"/>
          <w:w w:val="99"/>
          <w:sz w:val="22"/>
          <w:szCs w:val="22"/>
          <w:highlight w:val="none"/>
        </w:rPr>
        <w:t>，</w:t>
      </w:r>
      <w:r>
        <w:rPr>
          <w:rFonts w:hint="eastAsia" w:ascii="宋体" w:hAnsi="宋体" w:eastAsia="宋体" w:cs="宋体"/>
          <w:color w:val="auto"/>
          <w:sz w:val="22"/>
          <w:szCs w:val="22"/>
          <w:highlight w:val="none"/>
        </w:rPr>
        <w:t>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万元</w:t>
      </w:r>
      <w:r>
        <w:rPr>
          <w:rFonts w:hint="eastAsia" w:ascii="宋体" w:hAnsi="宋体" w:eastAsia="宋体" w:cs="宋体"/>
          <w:color w:val="auto"/>
          <w:sz w:val="22"/>
          <w:szCs w:val="22"/>
          <w:highlight w:val="none"/>
          <w:vertAlign w:val="superscript"/>
        </w:rPr>
        <w:t>1</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rPr>
        <w:t>（中型企业、</w:t>
      </w:r>
      <w:r>
        <w:rPr>
          <w:rFonts w:hint="eastAsia" w:ascii="宋体" w:hAnsi="宋体" w:eastAsia="宋体" w:cs="宋体"/>
          <w:color w:val="auto"/>
          <w:w w:val="96"/>
          <w:sz w:val="22"/>
          <w:szCs w:val="22"/>
          <w:highlight w:val="none"/>
          <w:u w:val="single"/>
        </w:rPr>
        <w:t>小型企业、微型企业）</w:t>
      </w:r>
      <w:r>
        <w:rPr>
          <w:rFonts w:hint="eastAsia" w:ascii="宋体" w:hAnsi="宋体" w:eastAsia="宋体" w:cs="宋体"/>
          <w:color w:val="auto"/>
          <w:w w:val="99"/>
          <w:sz w:val="22"/>
          <w:szCs w:val="22"/>
          <w:highlight w:val="none"/>
        </w:rPr>
        <w:t>；</w:t>
      </w:r>
    </w:p>
    <w:p w14:paraId="32322B81">
      <w:pPr>
        <w:pStyle w:val="10"/>
        <w:autoSpaceDE w:val="0"/>
        <w:autoSpaceDN w:val="0"/>
        <w:spacing w:after="0" w:line="380" w:lineRule="exact"/>
        <w:ind w:right="-54" w:firstLine="440" w:firstLineChars="200"/>
        <w:rPr>
          <w:rFonts w:hint="eastAsia" w:ascii="宋体" w:hAnsi="宋体" w:eastAsia="宋体" w:cs="宋体"/>
          <w:color w:val="auto"/>
          <w:w w:val="99"/>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w w:val="96"/>
          <w:sz w:val="22"/>
          <w:szCs w:val="22"/>
          <w:highlight w:val="none"/>
          <w:u w:val="single"/>
        </w:rPr>
        <w:t>（标的名称）</w:t>
      </w:r>
      <w:r>
        <w:rPr>
          <w:rFonts w:hint="eastAsia" w:ascii="宋体" w:hAnsi="宋体" w:eastAsia="宋体" w:cs="宋体"/>
          <w:color w:val="auto"/>
          <w:w w:val="99"/>
          <w:sz w:val="22"/>
          <w:szCs w:val="22"/>
          <w:highlight w:val="none"/>
        </w:rPr>
        <w:t>，</w:t>
      </w:r>
      <w:r>
        <w:rPr>
          <w:rFonts w:hint="eastAsia" w:ascii="宋体" w:hAnsi="宋体" w:eastAsia="宋体" w:cs="宋体"/>
          <w:color w:val="auto"/>
          <w:sz w:val="22"/>
          <w:szCs w:val="22"/>
          <w:highlight w:val="none"/>
        </w:rPr>
        <w:t>属于</w:t>
      </w:r>
      <w:r>
        <w:rPr>
          <w:rFonts w:hint="eastAsia" w:ascii="宋体" w:hAnsi="宋体" w:eastAsia="宋体" w:cs="宋体"/>
          <w:color w:val="auto"/>
          <w:w w:val="96"/>
          <w:sz w:val="22"/>
          <w:szCs w:val="22"/>
          <w:highlight w:val="none"/>
        </w:rPr>
        <w:t>（</w:t>
      </w:r>
      <w:r>
        <w:rPr>
          <w:rFonts w:hint="eastAsia" w:ascii="宋体" w:hAnsi="宋体" w:eastAsia="宋体" w:cs="宋体"/>
          <w:color w:val="auto"/>
          <w:w w:val="96"/>
          <w:sz w:val="22"/>
          <w:szCs w:val="22"/>
          <w:highlight w:val="none"/>
          <w:u w:val="single"/>
        </w:rPr>
        <w:t>采购文件中明确的所属行业）</w:t>
      </w:r>
      <w:r>
        <w:rPr>
          <w:rFonts w:hint="eastAsia" w:ascii="宋体" w:hAnsi="宋体" w:eastAsia="宋体" w:cs="宋体"/>
          <w:color w:val="auto"/>
          <w:w w:val="99"/>
          <w:sz w:val="22"/>
          <w:szCs w:val="22"/>
          <w:highlight w:val="none"/>
        </w:rPr>
        <w:t>；</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w w:val="96"/>
          <w:sz w:val="22"/>
          <w:szCs w:val="22"/>
          <w:highlight w:val="none"/>
          <w:u w:val="single"/>
        </w:rPr>
        <w:t>（企业名称）</w:t>
      </w:r>
      <w:r>
        <w:rPr>
          <w:rFonts w:hint="eastAsia" w:ascii="宋体" w:hAnsi="宋体" w:eastAsia="宋体" w:cs="宋体"/>
          <w:color w:val="auto"/>
          <w:w w:val="99"/>
          <w:sz w:val="22"/>
          <w:szCs w:val="22"/>
          <w:highlight w:val="none"/>
        </w:rPr>
        <w:t>，</w:t>
      </w:r>
      <w:r>
        <w:rPr>
          <w:rFonts w:hint="eastAsia" w:ascii="宋体" w:hAnsi="宋体" w:eastAsia="宋体" w:cs="宋体"/>
          <w:color w:val="auto"/>
          <w:sz w:val="22"/>
          <w:szCs w:val="22"/>
          <w:highlight w:val="none"/>
        </w:rPr>
        <w:t>从业人员</w:t>
      </w:r>
      <w:r>
        <w:rPr>
          <w:rFonts w:hint="eastAsia" w:ascii="宋体" w:hAnsi="宋体" w:eastAsia="宋体" w:cs="宋体"/>
          <w:color w:val="auto"/>
          <w:w w:val="99"/>
          <w:sz w:val="22"/>
          <w:szCs w:val="22"/>
          <w:highlight w:val="none"/>
          <w:u w:val="single"/>
        </w:rPr>
        <w:t xml:space="preserve">    </w:t>
      </w:r>
      <w:r>
        <w:rPr>
          <w:rFonts w:hint="eastAsia" w:ascii="宋体" w:hAnsi="宋体" w:eastAsia="宋体" w:cs="宋体"/>
          <w:color w:val="auto"/>
          <w:sz w:val="22"/>
          <w:szCs w:val="22"/>
          <w:highlight w:val="none"/>
        </w:rPr>
        <w:t>人</w:t>
      </w:r>
      <w:r>
        <w:rPr>
          <w:rFonts w:hint="eastAsia" w:ascii="宋体" w:hAnsi="宋体" w:eastAsia="宋体" w:cs="宋体"/>
          <w:color w:val="auto"/>
          <w:w w:val="99"/>
          <w:sz w:val="22"/>
          <w:szCs w:val="22"/>
          <w:highlight w:val="none"/>
        </w:rPr>
        <w:t>，</w:t>
      </w:r>
      <w:r>
        <w:rPr>
          <w:rFonts w:hint="eastAsia" w:ascii="宋体" w:hAnsi="宋体" w:eastAsia="宋体" w:cs="宋体"/>
          <w:color w:val="auto"/>
          <w:sz w:val="22"/>
          <w:szCs w:val="22"/>
          <w:highlight w:val="none"/>
        </w:rPr>
        <w:t>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万元</w:t>
      </w:r>
      <w:r>
        <w:rPr>
          <w:rFonts w:hint="eastAsia" w:ascii="宋体" w:hAnsi="宋体" w:eastAsia="宋体" w:cs="宋体"/>
          <w:color w:val="auto"/>
          <w:sz w:val="22"/>
          <w:szCs w:val="22"/>
          <w:highlight w:val="none"/>
          <w:vertAlign w:val="superscript"/>
        </w:rPr>
        <w:t>1</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rPr>
        <w:t>（</w:t>
      </w:r>
      <w:r>
        <w:rPr>
          <w:rFonts w:hint="eastAsia" w:ascii="宋体" w:hAnsi="宋体" w:eastAsia="宋体" w:cs="宋体"/>
          <w:i/>
          <w:color w:val="auto"/>
          <w:w w:val="96"/>
          <w:sz w:val="22"/>
          <w:szCs w:val="22"/>
          <w:highlight w:val="none"/>
          <w:u w:val="single"/>
        </w:rPr>
        <w:t>□中型企业、□小型企业、□微型企业</w:t>
      </w:r>
      <w:r>
        <w:rPr>
          <w:rFonts w:hint="eastAsia" w:ascii="宋体" w:hAnsi="宋体" w:eastAsia="宋体" w:cs="宋体"/>
          <w:color w:val="auto"/>
          <w:w w:val="96"/>
          <w:sz w:val="22"/>
          <w:szCs w:val="22"/>
          <w:highlight w:val="none"/>
          <w:u w:val="single"/>
        </w:rPr>
        <w:t>）</w:t>
      </w:r>
      <w:r>
        <w:rPr>
          <w:rFonts w:hint="eastAsia" w:ascii="宋体" w:hAnsi="宋体" w:eastAsia="宋体" w:cs="宋体"/>
          <w:color w:val="auto"/>
          <w:w w:val="99"/>
          <w:sz w:val="22"/>
          <w:szCs w:val="22"/>
          <w:highlight w:val="none"/>
        </w:rPr>
        <w:t>；</w:t>
      </w:r>
    </w:p>
    <w:p w14:paraId="50E673E0">
      <w:pPr>
        <w:pStyle w:val="10"/>
        <w:autoSpaceDE w:val="0"/>
        <w:autoSpaceDN w:val="0"/>
        <w:spacing w:after="0" w:line="380" w:lineRule="exact"/>
        <w:ind w:right="-54"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w:t>
      </w:r>
    </w:p>
    <w:p w14:paraId="5C8F6E9D">
      <w:pPr>
        <w:pStyle w:val="10"/>
        <w:autoSpaceDE w:val="0"/>
        <w:autoSpaceDN w:val="0"/>
        <w:spacing w:after="0" w:line="380" w:lineRule="exact"/>
        <w:ind w:right="-54" w:firstLine="440" w:firstLineChars="200"/>
        <w:rPr>
          <w:rFonts w:hint="eastAsia" w:ascii="宋体" w:hAnsi="宋体" w:cs="宋体"/>
          <w:color w:val="auto"/>
          <w:sz w:val="22"/>
          <w:szCs w:val="22"/>
          <w:highlight w:val="none"/>
        </w:rPr>
      </w:pPr>
    </w:p>
    <w:p w14:paraId="4EE485D1">
      <w:pPr>
        <w:pStyle w:val="10"/>
        <w:autoSpaceDE w:val="0"/>
        <w:autoSpaceDN w:val="0"/>
        <w:spacing w:after="0" w:line="380" w:lineRule="exact"/>
        <w:ind w:right="-54"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14:paraId="49EB0EE5">
      <w:pPr>
        <w:widowControl/>
        <w:snapToGrid w:val="0"/>
        <w:spacing w:line="38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14:paraId="16F49529">
      <w:pPr>
        <w:widowControl/>
        <w:snapToGrid w:val="0"/>
        <w:spacing w:line="380" w:lineRule="exact"/>
        <w:ind w:firstLine="440" w:firstLineChars="200"/>
        <w:jc w:val="left"/>
        <w:rPr>
          <w:rFonts w:hint="eastAsia" w:ascii="宋体" w:hAnsi="宋体" w:cs="宋体"/>
          <w:color w:val="auto"/>
          <w:kern w:val="0"/>
          <w:sz w:val="22"/>
          <w:szCs w:val="22"/>
          <w:highlight w:val="none"/>
        </w:rPr>
      </w:pPr>
    </w:p>
    <w:p w14:paraId="7D9A3921">
      <w:pPr>
        <w:widowControl/>
        <w:snapToGrid w:val="0"/>
        <w:spacing w:line="380" w:lineRule="exact"/>
        <w:ind w:firstLine="4400" w:firstLineChars="20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企业名称（盖章）：</w:t>
      </w:r>
    </w:p>
    <w:p w14:paraId="54B66295">
      <w:pPr>
        <w:widowControl/>
        <w:snapToGrid w:val="0"/>
        <w:spacing w:line="380" w:lineRule="exact"/>
        <w:ind w:firstLine="4400" w:firstLineChars="20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49889F95">
      <w:pPr>
        <w:pStyle w:val="21"/>
        <w:spacing w:before="0" w:beforeAutospacing="0" w:after="0" w:afterAutospacing="0" w:line="360" w:lineRule="auto"/>
        <w:ind w:firstLine="440" w:firstLineChars="200"/>
        <w:jc w:val="both"/>
        <w:rPr>
          <w:rFonts w:hint="eastAsia" w:cs="宋体"/>
          <w:color w:val="auto"/>
          <w:sz w:val="22"/>
          <w:szCs w:val="22"/>
          <w:highlight w:val="none"/>
        </w:rPr>
      </w:pPr>
    </w:p>
    <w:p w14:paraId="3754271B">
      <w:pPr>
        <w:pStyle w:val="21"/>
        <w:spacing w:before="0" w:beforeAutospacing="0" w:after="0" w:afterAutospacing="0" w:line="240" w:lineRule="atLeast"/>
        <w:ind w:firstLine="440" w:firstLineChars="200"/>
        <w:jc w:val="both"/>
        <w:rPr>
          <w:rFonts w:hint="eastAsia"/>
          <w:color w:val="auto"/>
          <w:sz w:val="22"/>
          <w:szCs w:val="22"/>
          <w:highlight w:val="none"/>
        </w:rPr>
      </w:pPr>
      <w:r>
        <w:rPr>
          <w:rFonts w:hint="eastAsia" w:ascii="宋体" w:hAnsi="宋体" w:cs="宋体"/>
          <w:color w:val="auto"/>
          <w:sz w:val="22"/>
          <w:szCs w:val="22"/>
          <w:highlight w:val="none"/>
          <w:vertAlign w:val="superscript"/>
        </w:rPr>
        <w:t>1</w:t>
      </w:r>
      <w:r>
        <w:rPr>
          <w:rFonts w:hint="eastAsia" w:ascii="宋体" w:hAnsi="宋体" w:cs="宋体"/>
          <w:color w:val="auto"/>
          <w:sz w:val="22"/>
          <w:szCs w:val="22"/>
          <w:highlight w:val="none"/>
        </w:rPr>
        <w:t>从业人员、营业收入、资产总额填报上一年度数据，无上一年度数据的新成立企业可不填报。</w:t>
      </w:r>
    </w:p>
    <w:p w14:paraId="3F2B8E47">
      <w:pPr>
        <w:widowControl/>
        <w:pBdr>
          <w:bottom w:val="single" w:color="auto" w:sz="6" w:space="1"/>
        </w:pBdr>
        <w:snapToGrid w:val="0"/>
        <w:spacing w:line="380" w:lineRule="exact"/>
        <w:jc w:val="left"/>
        <w:rPr>
          <w:rFonts w:hint="eastAsia" w:ascii="宋体" w:hAnsi="宋体" w:cs="宋体"/>
          <w:color w:val="auto"/>
          <w:kern w:val="0"/>
          <w:sz w:val="22"/>
          <w:szCs w:val="22"/>
          <w:highlight w:val="none"/>
        </w:rPr>
      </w:pPr>
    </w:p>
    <w:p w14:paraId="12DAF2DB">
      <w:pPr>
        <w:widowControl/>
        <w:snapToGrid w:val="0"/>
        <w:spacing w:line="38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填写说明：</w:t>
      </w:r>
    </w:p>
    <w:p w14:paraId="7F77E8A6">
      <w:pPr>
        <w:widowControl/>
        <w:snapToGrid w:val="0"/>
        <w:spacing w:line="38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1）投标人为中型、小型、微型企业的提供此函；</w:t>
      </w:r>
    </w:p>
    <w:p w14:paraId="494A1CDA">
      <w:pPr>
        <w:widowControl/>
        <w:snapToGrid w:val="0"/>
        <w:spacing w:line="38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中小企业应当按照《政府采购促进中小企业发展管理办法》规定和《中小企业划型标准规定》（工信部联企业〔2011〕300号），如实填写并提交《中小企业声明函》。未按要求出具声明函的，投标报价不予扣减，中型企业不享受价格扣除。</w:t>
      </w:r>
    </w:p>
    <w:p w14:paraId="571B6658">
      <w:pPr>
        <w:widowControl/>
        <w:snapToGrid w:val="0"/>
        <w:spacing w:line="380" w:lineRule="exact"/>
        <w:ind w:firstLine="440" w:firstLineChars="200"/>
        <w:jc w:val="left"/>
        <w:rPr>
          <w:rFonts w:hint="eastAsia" w:ascii="宋体" w:hAnsi="宋体" w:cs="宋体"/>
          <w:b/>
          <w:color w:val="auto"/>
          <w:kern w:val="0"/>
          <w:sz w:val="22"/>
          <w:szCs w:val="22"/>
          <w:highlight w:val="none"/>
        </w:rPr>
      </w:pPr>
      <w:r>
        <w:rPr>
          <w:rFonts w:hint="eastAsia" w:ascii="宋体" w:hAnsi="宋体" w:cs="宋体"/>
          <w:color w:val="auto"/>
          <w:kern w:val="0"/>
          <w:sz w:val="22"/>
          <w:szCs w:val="22"/>
          <w:highlight w:val="none"/>
        </w:rPr>
        <w:t>3）小型、微型企业参加政府采购活动时，应提供：a）《中小企业声明函》；上述证明材料提供不齐全的，不能享受价格扣除。</w:t>
      </w:r>
    </w:p>
    <w:p w14:paraId="7B207835">
      <w:pPr>
        <w:widowControl/>
        <w:snapToGrid w:val="0"/>
        <w:spacing w:line="360" w:lineRule="auto"/>
        <w:ind w:firstLine="442" w:firstLineChars="200"/>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▲投标人提供的中小企业声明函与实际情况不符的，视为投标人提供虚假材料投标的，投标无效。</w:t>
      </w:r>
    </w:p>
    <w:p w14:paraId="42DB8301">
      <w:pPr>
        <w:widowControl/>
        <w:snapToGrid w:val="0"/>
        <w:spacing w:line="520" w:lineRule="exact"/>
        <w:ind w:firstLine="827" w:firstLineChars="200"/>
        <w:jc w:val="center"/>
        <w:rPr>
          <w:rFonts w:hint="eastAsia" w:ascii="宋体" w:hAnsi="宋体" w:cs="宋体"/>
          <w:b/>
          <w:color w:val="auto"/>
          <w:spacing w:val="6"/>
          <w:sz w:val="40"/>
          <w:szCs w:val="40"/>
          <w:highlight w:val="none"/>
        </w:rPr>
      </w:pPr>
    </w:p>
    <w:p w14:paraId="3054036A">
      <w:pPr>
        <w:widowControl/>
        <w:snapToGrid w:val="0"/>
        <w:spacing w:line="520" w:lineRule="exact"/>
        <w:jc w:val="center"/>
        <w:rPr>
          <w:rFonts w:hint="eastAsia" w:ascii="宋体" w:hAnsi="宋体" w:cs="宋体"/>
          <w:b/>
          <w:color w:val="auto"/>
          <w:spacing w:val="6"/>
          <w:sz w:val="40"/>
          <w:szCs w:val="40"/>
          <w:highlight w:val="none"/>
        </w:rPr>
      </w:pPr>
    </w:p>
    <w:p w14:paraId="74ECA7E4">
      <w:pPr>
        <w:widowControl/>
        <w:snapToGrid w:val="0"/>
        <w:spacing w:line="520" w:lineRule="exact"/>
        <w:jc w:val="center"/>
        <w:rPr>
          <w:rFonts w:hint="eastAsia" w:ascii="宋体" w:hAnsi="宋体" w:cs="宋体"/>
          <w:b/>
          <w:color w:val="auto"/>
          <w:spacing w:val="6"/>
          <w:sz w:val="40"/>
          <w:szCs w:val="40"/>
          <w:highlight w:val="none"/>
        </w:rPr>
      </w:pPr>
    </w:p>
    <w:p w14:paraId="7B6EA875">
      <w:pPr>
        <w:widowControl/>
        <w:snapToGrid w:val="0"/>
        <w:spacing w:line="520" w:lineRule="exact"/>
        <w:jc w:val="center"/>
        <w:rPr>
          <w:rFonts w:hint="eastAsia" w:ascii="宋体" w:hAnsi="宋体" w:cs="宋体"/>
          <w:color w:val="auto"/>
          <w:kern w:val="0"/>
          <w:sz w:val="24"/>
          <w:highlight w:val="none"/>
        </w:rPr>
      </w:pPr>
      <w:r>
        <w:rPr>
          <w:rFonts w:hint="eastAsia" w:ascii="宋体" w:hAnsi="宋体" w:cs="宋体"/>
          <w:b/>
          <w:color w:val="auto"/>
          <w:spacing w:val="6"/>
          <w:sz w:val="40"/>
          <w:szCs w:val="40"/>
          <w:highlight w:val="none"/>
        </w:rPr>
        <w:t>监狱或戒毒企业声明函</w:t>
      </w:r>
    </w:p>
    <w:p w14:paraId="0F965C2B">
      <w:pPr>
        <w:widowControl/>
        <w:snapToGrid w:val="0"/>
        <w:spacing w:line="38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【不属于监狱或戒毒企业的无需填写、递交】</w:t>
      </w:r>
    </w:p>
    <w:p w14:paraId="5DF49DA9">
      <w:pPr>
        <w:pStyle w:val="3"/>
        <w:rPr>
          <w:rFonts w:hint="eastAsia"/>
          <w:color w:val="auto"/>
          <w:sz w:val="22"/>
          <w:szCs w:val="22"/>
          <w:highlight w:val="none"/>
        </w:rPr>
      </w:pPr>
    </w:p>
    <w:p w14:paraId="4293DE6B">
      <w:pPr>
        <w:spacing w:line="38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本企业郑重声明，本企业为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（省、自治区、直辖市）监狱管理局（戒毒所）所属企业。本企业参加</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项目采购活动提供本企业制造的货物，由本企业承担工程、提供服务，或者提供其他</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（省、自治区、直辖市）监狱管理局（戒毒所）所属企业制造的货物。</w:t>
      </w:r>
    </w:p>
    <w:p w14:paraId="51FBCB14">
      <w:pPr>
        <w:spacing w:line="380" w:lineRule="exact"/>
        <w:ind w:firstLine="464" w:firstLineChars="200"/>
        <w:rPr>
          <w:rFonts w:hint="eastAsia" w:ascii="宋体" w:hAnsi="宋体" w:cs="宋体"/>
          <w:color w:val="auto"/>
          <w:spacing w:val="6"/>
          <w:sz w:val="22"/>
          <w:szCs w:val="22"/>
          <w:highlight w:val="none"/>
        </w:rPr>
      </w:pPr>
    </w:p>
    <w:p w14:paraId="38F6C2C8">
      <w:pPr>
        <w:spacing w:line="380" w:lineRule="exact"/>
        <w:ind w:firstLine="696" w:firstLineChars="300"/>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本企业对上述</w:t>
      </w:r>
      <w:r>
        <w:rPr>
          <w:rFonts w:hint="eastAsia" w:ascii="宋体" w:hAnsi="宋体" w:cs="宋体"/>
          <w:color w:val="auto"/>
          <w:kern w:val="0"/>
          <w:sz w:val="22"/>
          <w:szCs w:val="22"/>
          <w:highlight w:val="none"/>
        </w:rPr>
        <w:t>声明</w:t>
      </w:r>
      <w:r>
        <w:rPr>
          <w:rFonts w:hint="eastAsia" w:ascii="宋体" w:hAnsi="宋体" w:cs="宋体"/>
          <w:color w:val="auto"/>
          <w:spacing w:val="6"/>
          <w:sz w:val="22"/>
          <w:szCs w:val="22"/>
          <w:highlight w:val="none"/>
        </w:rPr>
        <w:t>的真实性负责。如有虚假，将依法承担相应责任。</w:t>
      </w:r>
    </w:p>
    <w:p w14:paraId="3D249CC4">
      <w:pPr>
        <w:widowControl/>
        <w:snapToGrid w:val="0"/>
        <w:spacing w:line="380" w:lineRule="exact"/>
        <w:ind w:firstLine="440" w:firstLineChars="200"/>
        <w:jc w:val="left"/>
        <w:rPr>
          <w:rFonts w:hint="eastAsia" w:ascii="宋体" w:hAnsi="宋体" w:cs="宋体"/>
          <w:color w:val="auto"/>
          <w:kern w:val="0"/>
          <w:sz w:val="22"/>
          <w:szCs w:val="22"/>
          <w:highlight w:val="none"/>
        </w:rPr>
      </w:pPr>
    </w:p>
    <w:p w14:paraId="2120B98F">
      <w:pPr>
        <w:widowControl/>
        <w:snapToGrid w:val="0"/>
        <w:spacing w:line="380" w:lineRule="exact"/>
        <w:ind w:firstLine="5500" w:firstLineChars="25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单位名称（盖章）：</w:t>
      </w:r>
    </w:p>
    <w:p w14:paraId="12FA0ADE">
      <w:pPr>
        <w:widowControl/>
        <w:snapToGrid w:val="0"/>
        <w:spacing w:line="380" w:lineRule="exact"/>
        <w:ind w:firstLine="5280" w:firstLineChars="24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0CDFA9B0">
      <w:pPr>
        <w:widowControl/>
        <w:snapToGrid w:val="0"/>
        <w:spacing w:line="380" w:lineRule="exact"/>
        <w:ind w:firstLine="440" w:firstLineChars="200"/>
        <w:jc w:val="left"/>
        <w:rPr>
          <w:rFonts w:hint="eastAsia" w:ascii="宋体" w:hAnsi="宋体" w:cs="宋体"/>
          <w:color w:val="auto"/>
          <w:kern w:val="0"/>
          <w:sz w:val="22"/>
          <w:szCs w:val="22"/>
          <w:highlight w:val="none"/>
        </w:rPr>
      </w:pPr>
    </w:p>
    <w:p w14:paraId="35F153FD">
      <w:pPr>
        <w:widowControl/>
        <w:snapToGrid w:val="0"/>
        <w:spacing w:line="380" w:lineRule="exact"/>
        <w:jc w:val="left"/>
        <w:rPr>
          <w:rFonts w:hint="eastAsia" w:ascii="宋体" w:hAnsi="宋体" w:cs="宋体"/>
          <w:color w:val="auto"/>
          <w:kern w:val="0"/>
          <w:sz w:val="22"/>
          <w:szCs w:val="22"/>
          <w:highlight w:val="none"/>
        </w:rPr>
      </w:pPr>
    </w:p>
    <w:p w14:paraId="053DDFA7">
      <w:pPr>
        <w:pStyle w:val="46"/>
        <w:snapToGrid w:val="0"/>
        <w:spacing w:line="380" w:lineRule="exact"/>
        <w:ind w:firstLine="480"/>
        <w:jc w:val="left"/>
        <w:rPr>
          <w:rFonts w:hint="eastAsia" w:ascii="宋体" w:hAnsi="宋体" w:cs="宋体"/>
          <w:b/>
          <w:bCs/>
          <w:color w:val="auto"/>
          <w:sz w:val="22"/>
          <w:szCs w:val="22"/>
          <w:highlight w:val="none"/>
        </w:rPr>
      </w:pPr>
      <w:r>
        <w:rPr>
          <w:rFonts w:hint="eastAsia" w:ascii="宋体" w:hAnsi="宋体" w:cs="宋体"/>
          <w:color w:val="auto"/>
          <w:sz w:val="22"/>
          <w:szCs w:val="22"/>
          <w:highlight w:val="none"/>
        </w:rPr>
        <w:t>监狱企业视同小微企业，参加本项目投标的，视为小型、微型企业，享受小微企业政策扶持。</w:t>
      </w:r>
      <w:r>
        <w:rPr>
          <w:rFonts w:hint="eastAsia" w:ascii="宋体" w:hAnsi="宋体" w:cs="宋体"/>
          <w:b/>
          <w:bCs/>
          <w:color w:val="auto"/>
          <w:sz w:val="22"/>
          <w:szCs w:val="22"/>
          <w:highlight w:val="none"/>
        </w:rPr>
        <w:t>【注：提供《监狱企业声明函》及其相关的充分的证明材料（供应商为监狱企业的证明文件：省级以上监狱管理局、戒毒管理局（含新疆生产建设兵团）出具。）</w:t>
      </w:r>
    </w:p>
    <w:p w14:paraId="0D6204FF">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476DCF5E">
      <w:pPr>
        <w:pStyle w:val="3"/>
        <w:rPr>
          <w:rFonts w:hint="eastAsia" w:ascii="宋体" w:hAnsi="宋体"/>
          <w:color w:val="auto"/>
          <w:kern w:val="0"/>
          <w:sz w:val="24"/>
          <w:highlight w:val="none"/>
        </w:rPr>
      </w:pPr>
    </w:p>
    <w:p w14:paraId="53A42CB8">
      <w:pPr>
        <w:rPr>
          <w:rFonts w:hint="eastAsia"/>
          <w:b/>
          <w:bCs/>
          <w:color w:val="auto"/>
          <w:sz w:val="36"/>
          <w:szCs w:val="36"/>
          <w:highlight w:val="none"/>
        </w:rPr>
      </w:pPr>
    </w:p>
    <w:p w14:paraId="5FEAA03F">
      <w:pPr>
        <w:jc w:val="center"/>
        <w:rPr>
          <w:rFonts w:hint="eastAsia"/>
          <w:b/>
          <w:bCs/>
          <w:color w:val="auto"/>
          <w:sz w:val="36"/>
          <w:szCs w:val="36"/>
          <w:highlight w:val="none"/>
        </w:rPr>
      </w:pPr>
      <w:r>
        <w:rPr>
          <w:rFonts w:hint="eastAsia"/>
          <w:b/>
          <w:bCs/>
          <w:color w:val="auto"/>
          <w:sz w:val="36"/>
          <w:szCs w:val="36"/>
          <w:highlight w:val="none"/>
        </w:rPr>
        <w:br w:type="page"/>
      </w:r>
      <w:r>
        <w:rPr>
          <w:rFonts w:hint="eastAsia"/>
          <w:b/>
          <w:bCs/>
          <w:color w:val="auto"/>
          <w:sz w:val="36"/>
          <w:szCs w:val="36"/>
          <w:highlight w:val="none"/>
        </w:rPr>
        <w:t>残疾人福利性单位声明函</w:t>
      </w:r>
    </w:p>
    <w:p w14:paraId="072288D4">
      <w:pPr>
        <w:widowControl/>
        <w:snapToGrid w:val="0"/>
        <w:spacing w:line="380" w:lineRule="exact"/>
        <w:ind w:firstLine="440" w:firstLineChars="20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28FFA5C3">
      <w:pPr>
        <w:spacing w:line="380" w:lineRule="exact"/>
        <w:ind w:firstLine="440" w:firstLineChars="200"/>
        <w:rPr>
          <w:rFonts w:hint="eastAsia" w:ascii="宋体" w:hAnsi="宋体" w:cs="宋体"/>
          <w:color w:val="auto"/>
          <w:sz w:val="22"/>
          <w:szCs w:val="22"/>
          <w:highlight w:val="none"/>
        </w:rPr>
      </w:pPr>
    </w:p>
    <w:p w14:paraId="477FD645">
      <w:pPr>
        <w:spacing w:line="380" w:lineRule="exact"/>
        <w:ind w:firstLine="440" w:firstLineChars="200"/>
        <w:rPr>
          <w:rFonts w:hint="eastAsia" w:ascii="宋体" w:hAnsi="宋体" w:cs="宋体"/>
          <w:color w:val="auto"/>
          <w:spacing w:val="6"/>
          <w:sz w:val="22"/>
          <w:szCs w:val="22"/>
          <w:highlight w:val="none"/>
          <w:u w:val="single"/>
        </w:rPr>
      </w:pPr>
      <w:r>
        <w:rPr>
          <w:rFonts w:hint="eastAsia" w:ascii="宋体" w:hAnsi="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2"/>
          <w:szCs w:val="22"/>
          <w:highlight w:val="none"/>
          <w:u w:val="single"/>
        </w:rPr>
        <w:t xml:space="preserve">   </w:t>
      </w:r>
    </w:p>
    <w:p w14:paraId="68434A76">
      <w:pPr>
        <w:spacing w:line="380" w:lineRule="exact"/>
        <w:rPr>
          <w:rFonts w:hint="eastAsia" w:ascii="宋体" w:hAnsi="宋体" w:cs="宋体"/>
          <w:color w:val="auto"/>
          <w:sz w:val="22"/>
          <w:szCs w:val="22"/>
          <w:highlight w:val="none"/>
        </w:rPr>
      </w:pPr>
      <w:r>
        <w:rPr>
          <w:rFonts w:hint="eastAsia" w:ascii="宋体" w:hAnsi="宋体" w:cs="宋体"/>
          <w:color w:val="auto"/>
          <w:spacing w:val="6"/>
          <w:sz w:val="22"/>
          <w:szCs w:val="22"/>
          <w:highlight w:val="none"/>
          <w:u w:val="single"/>
        </w:rPr>
        <w:t xml:space="preserve">                </w:t>
      </w:r>
      <w:r>
        <w:rPr>
          <w:rFonts w:hint="eastAsia" w:ascii="宋体" w:hAnsi="宋体" w:cs="宋体"/>
          <w:color w:val="auto"/>
          <w:sz w:val="22"/>
          <w:szCs w:val="22"/>
          <w:highlight w:val="none"/>
        </w:rPr>
        <w:t>单位的</w:t>
      </w:r>
      <w:r>
        <w:rPr>
          <w:rFonts w:hint="eastAsia" w:ascii="宋体" w:hAnsi="宋体" w:cs="宋体"/>
          <w:color w:val="auto"/>
          <w:spacing w:val="6"/>
          <w:sz w:val="22"/>
          <w:szCs w:val="22"/>
          <w:highlight w:val="none"/>
          <w:u w:val="single"/>
        </w:rPr>
        <w:t xml:space="preserve">            </w:t>
      </w:r>
      <w:r>
        <w:rPr>
          <w:rFonts w:hint="eastAsia" w:ascii="宋体" w:hAnsi="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2FD68190">
      <w:pPr>
        <w:snapToGrid w:val="0"/>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1A918BDE">
      <w:pPr>
        <w:snapToGrid w:val="0"/>
        <w:spacing w:line="380" w:lineRule="exact"/>
        <w:ind w:firstLine="440" w:firstLineChars="200"/>
        <w:rPr>
          <w:rFonts w:hint="eastAsia" w:ascii="宋体" w:hAnsi="宋体" w:cs="宋体"/>
          <w:color w:val="auto"/>
          <w:sz w:val="22"/>
          <w:szCs w:val="22"/>
          <w:highlight w:val="none"/>
        </w:rPr>
      </w:pPr>
    </w:p>
    <w:p w14:paraId="56AF9019">
      <w:pPr>
        <w:tabs>
          <w:tab w:val="left" w:pos="4860"/>
        </w:tabs>
        <w:snapToGrid w:val="0"/>
        <w:spacing w:line="380" w:lineRule="exact"/>
        <w:ind w:right="1560"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单位名称（盖章）：</w:t>
      </w:r>
    </w:p>
    <w:p w14:paraId="117E4321">
      <w:pPr>
        <w:tabs>
          <w:tab w:val="left" w:pos="4860"/>
        </w:tabs>
        <w:snapToGrid w:val="0"/>
        <w:spacing w:line="380" w:lineRule="exact"/>
        <w:ind w:right="1560"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1EDBA945">
      <w:pPr>
        <w:tabs>
          <w:tab w:val="left" w:pos="4860"/>
        </w:tabs>
        <w:snapToGrid w:val="0"/>
        <w:spacing w:line="380" w:lineRule="exact"/>
        <w:ind w:right="1560" w:firstLine="5280" w:firstLineChars="24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4FF3E903">
      <w:pPr>
        <w:pStyle w:val="38"/>
        <w:spacing w:line="380" w:lineRule="exact"/>
        <w:ind w:firstLine="440" w:firstLineChars="200"/>
        <w:rPr>
          <w:rFonts w:hint="eastAsia"/>
          <w:color w:val="auto"/>
          <w:sz w:val="22"/>
          <w:szCs w:val="22"/>
          <w:highlight w:val="none"/>
        </w:rPr>
      </w:pPr>
      <w:r>
        <w:rPr>
          <w:rFonts w:hint="eastAsia" w:ascii="宋体" w:hAnsi="宋体" w:cs="宋体"/>
          <w:color w:val="auto"/>
          <w:sz w:val="22"/>
          <w:szCs w:val="22"/>
          <w:highlight w:val="none"/>
        </w:rPr>
        <w:t>残疾人福利性单位参加投标，</w:t>
      </w:r>
      <w:r>
        <w:rPr>
          <w:rFonts w:hint="eastAsia" w:ascii="宋体" w:hAnsi="宋体" w:cs="宋体"/>
          <w:b/>
          <w:bCs/>
          <w:color w:val="auto"/>
          <w:sz w:val="22"/>
          <w:szCs w:val="22"/>
          <w:highlight w:val="none"/>
        </w:rPr>
        <w:t>符合《财政部、民政部、中国残疾人联合会关于促进残疾人就业政府采购政策的通知》（财库〔2017〕141号）政策规定的，提供《残疾人福利性单位声明函》</w:t>
      </w:r>
      <w:r>
        <w:rPr>
          <w:rFonts w:hint="eastAsia" w:ascii="宋体" w:hAnsi="宋体" w:cs="宋体"/>
          <w:color w:val="auto"/>
          <w:sz w:val="22"/>
          <w:szCs w:val="22"/>
          <w:highlight w:val="none"/>
        </w:rPr>
        <w:t>，视为小型、微型企业，享受小微企业政策扶持。</w:t>
      </w:r>
    </w:p>
    <w:p w14:paraId="4F71FBED">
      <w:pPr>
        <w:pStyle w:val="46"/>
        <w:snapToGrid w:val="0"/>
        <w:spacing w:line="360" w:lineRule="auto"/>
        <w:ind w:left="360" w:firstLine="0" w:firstLineChars="0"/>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扶持政策说明：</w:t>
      </w:r>
    </w:p>
    <w:p w14:paraId="252C262B">
      <w:pPr>
        <w:snapToGrid w:val="0"/>
        <w:spacing w:line="40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1、监狱企业视同小微企业，参加本项目投标的，享受小微企业同等的价格扣除。【注：提供《监狱企业声明函》及其相关的充分的证明材料】。</w:t>
      </w:r>
    </w:p>
    <w:p w14:paraId="34FBCC70">
      <w:pPr>
        <w:bidi w:val="0"/>
        <w:jc w:val="center"/>
        <w:rPr>
          <w:rFonts w:hint="eastAsia" w:ascii="宋体" w:hAnsi="宋体" w:cs="宋体"/>
          <w:color w:val="auto"/>
          <w:sz w:val="22"/>
          <w:szCs w:val="22"/>
          <w:highlight w:val="none"/>
        </w:rPr>
      </w:pPr>
    </w:p>
    <w:p w14:paraId="67DFE573">
      <w:pPr>
        <w:bidi w:val="0"/>
        <w:ind w:firstLine="220" w:firstLineChars="100"/>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2、残疾人福利性单位参加投标【提供《残疾人福利性单位声明函》】，视为小型、微型企业，享受小微企业政策扶持。</w:t>
      </w:r>
    </w:p>
    <w:p w14:paraId="19C5A5F8">
      <w:pP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7A2A9A46">
      <w:pPr>
        <w:bidi w:val="0"/>
        <w:jc w:val="center"/>
        <w:rPr>
          <w:rFonts w:hint="eastAsia" w:ascii="宋体" w:hAnsi="宋体" w:eastAsia="宋体" w:cs="宋体"/>
          <w:b/>
          <w:i w:val="0"/>
          <w:iCs w:val="0"/>
          <w:color w:val="auto"/>
          <w:kern w:val="36"/>
          <w:sz w:val="32"/>
          <w:szCs w:val="28"/>
          <w:highlight w:val="none"/>
          <w:lang w:val="en-US" w:eastAsia="zh-CN" w:bidi="ar-SA"/>
        </w:rPr>
      </w:pPr>
      <w:r>
        <w:rPr>
          <w:rFonts w:hint="eastAsia" w:ascii="宋体" w:hAnsi="宋体" w:eastAsia="宋体" w:cs="宋体"/>
          <w:b/>
          <w:i w:val="0"/>
          <w:iCs w:val="0"/>
          <w:color w:val="auto"/>
          <w:kern w:val="36"/>
          <w:sz w:val="32"/>
          <w:szCs w:val="28"/>
          <w:highlight w:val="none"/>
          <w:lang w:val="en-US" w:eastAsia="zh-CN" w:bidi="ar-SA"/>
        </w:rPr>
        <w:t>商务</w:t>
      </w:r>
      <w:bookmarkEnd w:id="101"/>
      <w:bookmarkStart w:id="117" w:name="_Toc354996709"/>
      <w:r>
        <w:rPr>
          <w:rFonts w:hint="eastAsia" w:ascii="宋体" w:hAnsi="宋体" w:eastAsia="宋体" w:cs="宋体"/>
          <w:b/>
          <w:i w:val="0"/>
          <w:iCs w:val="0"/>
          <w:color w:val="auto"/>
          <w:kern w:val="36"/>
          <w:sz w:val="32"/>
          <w:szCs w:val="28"/>
          <w:highlight w:val="none"/>
          <w:lang w:val="en-US" w:eastAsia="zh-CN" w:bidi="ar-SA"/>
        </w:rPr>
        <w:t>技术文件</w:t>
      </w:r>
      <w:bookmarkEnd w:id="102"/>
    </w:p>
    <w:p w14:paraId="01973EB9">
      <w:pPr>
        <w:shd w:val="clear" w:color="auto" w:fill="FFFFFF"/>
        <w:snapToGrid w:val="0"/>
        <w:spacing w:line="360" w:lineRule="auto"/>
        <w:jc w:val="center"/>
        <w:rPr>
          <w:rFonts w:hint="eastAsia" w:ascii="宋体" w:hAnsi="宋体" w:cs="宋体"/>
          <w:b/>
          <w:i w:val="0"/>
          <w:iCs w:val="0"/>
          <w:color w:val="auto"/>
          <w:kern w:val="0"/>
          <w:sz w:val="28"/>
          <w:szCs w:val="28"/>
          <w:highlight w:val="none"/>
        </w:rPr>
      </w:pPr>
      <w:bookmarkStart w:id="118" w:name="_Toc13194"/>
      <w:bookmarkStart w:id="119" w:name="_Toc7803"/>
      <w:bookmarkStart w:id="120" w:name="_Toc10347"/>
      <w:bookmarkStart w:id="121" w:name="_Toc13349"/>
      <w:bookmarkStart w:id="122" w:name="_Toc25554"/>
      <w:bookmarkStart w:id="123" w:name="_Toc3604"/>
      <w:bookmarkStart w:id="124" w:name="_Toc27129"/>
      <w:bookmarkStart w:id="125" w:name="_Toc31837"/>
      <w:bookmarkStart w:id="126" w:name="_Toc20650"/>
      <w:bookmarkStart w:id="127" w:name="_Toc7049"/>
      <w:bookmarkStart w:id="128" w:name="_Toc20721"/>
      <w:r>
        <w:rPr>
          <w:rFonts w:hint="eastAsia" w:ascii="宋体" w:hAnsi="宋体" w:cs="宋体"/>
          <w:b/>
          <w:i w:val="0"/>
          <w:iCs w:val="0"/>
          <w:color w:val="auto"/>
          <w:kern w:val="0"/>
          <w:sz w:val="28"/>
          <w:szCs w:val="28"/>
          <w:highlight w:val="none"/>
        </w:rPr>
        <w:t>目录</w:t>
      </w:r>
      <w:bookmarkEnd w:id="118"/>
      <w:bookmarkEnd w:id="119"/>
      <w:bookmarkEnd w:id="120"/>
      <w:bookmarkEnd w:id="121"/>
      <w:bookmarkEnd w:id="122"/>
      <w:bookmarkEnd w:id="123"/>
      <w:bookmarkEnd w:id="124"/>
      <w:bookmarkEnd w:id="125"/>
      <w:bookmarkEnd w:id="126"/>
      <w:bookmarkEnd w:id="127"/>
      <w:bookmarkEnd w:id="128"/>
    </w:p>
    <w:p w14:paraId="472D5492">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（1）供应商自评表………………………………………………………………………………</w:t>
      </w:r>
      <w:r>
        <w:rPr>
          <w:rFonts w:hint="eastAsia" w:ascii="宋体" w:hAnsi="宋体" w:eastAsia="宋体" w:cs="宋体"/>
          <w:i w:val="0"/>
          <w:iCs w:val="0"/>
          <w:color w:val="auto"/>
          <w:kern w:val="0"/>
          <w:sz w:val="22"/>
          <w:szCs w:val="22"/>
          <w:highlight w:val="none"/>
          <w:lang w:val="zh-CN" w:eastAsia="zh-CN"/>
        </w:rPr>
        <w:t>（页码）</w:t>
      </w:r>
    </w:p>
    <w:p w14:paraId="22588C9E">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lang w:val="zh-CN"/>
        </w:rPr>
        <w:t>）法定代表人资格证明书或法定代表人授权委托书………………………………………</w:t>
      </w:r>
      <w:r>
        <w:rPr>
          <w:rFonts w:hint="eastAsia" w:ascii="宋体" w:hAnsi="宋体" w:eastAsia="宋体" w:cs="宋体"/>
          <w:i w:val="0"/>
          <w:iCs w:val="0"/>
          <w:color w:val="auto"/>
          <w:kern w:val="0"/>
          <w:sz w:val="22"/>
          <w:szCs w:val="22"/>
          <w:highlight w:val="none"/>
          <w:lang w:val="zh-CN" w:eastAsia="zh-CN"/>
        </w:rPr>
        <w:t>（页码）</w:t>
      </w:r>
    </w:p>
    <w:p w14:paraId="4E3A8D12">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lang w:val="zh-CN"/>
        </w:rPr>
        <w:t>）供应商基本情况表…………………………………………………………………………</w:t>
      </w:r>
      <w:r>
        <w:rPr>
          <w:rFonts w:hint="eastAsia" w:ascii="宋体" w:hAnsi="宋体" w:eastAsia="宋体" w:cs="宋体"/>
          <w:i w:val="0"/>
          <w:iCs w:val="0"/>
          <w:color w:val="auto"/>
          <w:kern w:val="0"/>
          <w:sz w:val="22"/>
          <w:szCs w:val="22"/>
          <w:highlight w:val="none"/>
          <w:lang w:val="zh-CN" w:eastAsia="zh-CN"/>
        </w:rPr>
        <w:t>（页码）</w:t>
      </w:r>
    </w:p>
    <w:p w14:paraId="42A811EF">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4</w:t>
      </w:r>
      <w:r>
        <w:rPr>
          <w:rFonts w:hint="eastAsia" w:ascii="宋体" w:hAnsi="宋体" w:eastAsia="宋体" w:cs="宋体"/>
          <w:i w:val="0"/>
          <w:iCs w:val="0"/>
          <w:color w:val="auto"/>
          <w:kern w:val="0"/>
          <w:sz w:val="22"/>
          <w:szCs w:val="22"/>
          <w:highlight w:val="none"/>
          <w:lang w:val="zh-CN"/>
        </w:rPr>
        <w:t>）类</w:t>
      </w:r>
      <w:r>
        <w:rPr>
          <w:rFonts w:hint="eastAsia" w:ascii="宋体" w:hAnsi="宋体" w:cs="宋体"/>
          <w:i w:val="0"/>
          <w:iCs w:val="0"/>
          <w:color w:val="auto"/>
          <w:kern w:val="0"/>
          <w:sz w:val="22"/>
          <w:szCs w:val="22"/>
          <w:highlight w:val="none"/>
          <w:lang w:val="zh-CN"/>
        </w:rPr>
        <w:t>似</w:t>
      </w:r>
      <w:r>
        <w:rPr>
          <w:rFonts w:hint="eastAsia" w:ascii="宋体" w:hAnsi="宋体" w:eastAsia="宋体" w:cs="宋体"/>
          <w:i w:val="0"/>
          <w:iCs w:val="0"/>
          <w:color w:val="auto"/>
          <w:kern w:val="0"/>
          <w:sz w:val="22"/>
          <w:szCs w:val="22"/>
          <w:highlight w:val="none"/>
          <w:lang w:val="zh-CN" w:eastAsia="zh-CN"/>
        </w:rPr>
        <w:t>业绩</w:t>
      </w:r>
      <w:r>
        <w:rPr>
          <w:rFonts w:hint="eastAsia" w:ascii="宋体" w:hAnsi="宋体" w:cs="宋体"/>
          <w:i w:val="0"/>
          <w:iCs w:val="0"/>
          <w:color w:val="auto"/>
          <w:kern w:val="0"/>
          <w:sz w:val="24"/>
          <w:highlight w:val="none"/>
        </w:rPr>
        <w:t>……………………………………………………………………………</w:t>
      </w:r>
      <w:r>
        <w:rPr>
          <w:rFonts w:hint="eastAsia" w:ascii="宋体" w:hAnsi="宋体" w:eastAsia="宋体" w:cs="宋体"/>
          <w:i w:val="0"/>
          <w:iCs w:val="0"/>
          <w:color w:val="auto"/>
          <w:kern w:val="0"/>
          <w:sz w:val="22"/>
          <w:szCs w:val="22"/>
          <w:highlight w:val="none"/>
          <w:lang w:val="zh-CN" w:eastAsia="zh-CN"/>
        </w:rPr>
        <w:t>（页码）</w:t>
      </w:r>
    </w:p>
    <w:p w14:paraId="380FB824">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5</w:t>
      </w: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zh-CN" w:eastAsia="zh-CN"/>
        </w:rPr>
        <w:t>项目实施人员情况</w:t>
      </w: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en-US" w:eastAsia="zh-CN"/>
        </w:rPr>
        <w:t xml:space="preserve"> </w:t>
      </w:r>
      <w:r>
        <w:rPr>
          <w:rFonts w:hint="eastAsia" w:ascii="宋体" w:hAnsi="宋体" w:eastAsia="宋体" w:cs="宋体"/>
          <w:i w:val="0"/>
          <w:iCs w:val="0"/>
          <w:color w:val="auto"/>
          <w:kern w:val="0"/>
          <w:sz w:val="22"/>
          <w:szCs w:val="22"/>
          <w:highlight w:val="none"/>
          <w:lang w:val="zh-CN" w:eastAsia="zh-CN"/>
        </w:rPr>
        <w:t>（页码）</w:t>
      </w:r>
    </w:p>
    <w:p w14:paraId="07F800DF">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en-US" w:eastAsia="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6</w:t>
      </w: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zh-CN" w:eastAsia="zh-CN"/>
        </w:rPr>
        <w:t>服务方案</w:t>
      </w:r>
      <w:r>
        <w:rPr>
          <w:rFonts w:hint="eastAsia" w:ascii="宋体" w:hAnsi="宋体" w:cs="宋体"/>
          <w:i w:val="0"/>
          <w:iCs w:val="0"/>
          <w:color w:val="auto"/>
          <w:kern w:val="0"/>
          <w:sz w:val="22"/>
          <w:szCs w:val="22"/>
          <w:highlight w:val="none"/>
          <w:lang w:val="zh-CN" w:eastAsia="zh-CN"/>
        </w:rPr>
        <w:t>、</w:t>
      </w:r>
      <w:r>
        <w:rPr>
          <w:rFonts w:hint="eastAsia" w:ascii="宋体" w:hAnsi="宋体" w:eastAsia="宋体" w:cs="宋体"/>
          <w:i w:val="0"/>
          <w:iCs w:val="0"/>
          <w:color w:val="auto"/>
          <w:kern w:val="0"/>
          <w:sz w:val="22"/>
          <w:szCs w:val="22"/>
          <w:highlight w:val="none"/>
          <w:lang w:val="en-US" w:eastAsia="zh-CN"/>
        </w:rPr>
        <w:t>技术方案</w:t>
      </w:r>
      <w:r>
        <w:rPr>
          <w:rFonts w:hint="eastAsia" w:ascii="宋体" w:hAnsi="宋体" w:cs="宋体"/>
          <w:i w:val="0"/>
          <w:iCs w:val="0"/>
          <w:color w:val="auto"/>
          <w:kern w:val="0"/>
          <w:sz w:val="22"/>
          <w:szCs w:val="22"/>
          <w:highlight w:val="none"/>
          <w:lang w:val="en-US" w:eastAsia="zh-CN"/>
        </w:rPr>
        <w:t>等</w:t>
      </w:r>
      <w:r>
        <w:rPr>
          <w:rFonts w:hint="eastAsia" w:ascii="宋体" w:hAnsi="宋体" w:cs="宋体"/>
          <w:i w:val="0"/>
          <w:iCs w:val="0"/>
          <w:color w:val="auto"/>
          <w:kern w:val="0"/>
          <w:sz w:val="22"/>
          <w:szCs w:val="22"/>
          <w:highlight w:val="none"/>
          <w:lang w:val="zh-CN" w:eastAsia="zh-CN"/>
        </w:rPr>
        <w:t>由投标人根据技术部分评分细则并结合自身情况编制</w:t>
      </w:r>
      <w:r>
        <w:rPr>
          <w:rFonts w:hint="eastAsia" w:ascii="宋体" w:hAnsi="宋体" w:cs="宋体"/>
          <w:i w:val="0"/>
          <w:iCs w:val="0"/>
          <w:color w:val="auto"/>
          <w:kern w:val="0"/>
          <w:sz w:val="24"/>
          <w:highlight w:val="none"/>
        </w:rPr>
        <w:t>……</w:t>
      </w:r>
      <w:r>
        <w:rPr>
          <w:rFonts w:hint="eastAsia" w:ascii="宋体" w:hAnsi="宋体" w:eastAsia="宋体" w:cs="宋体"/>
          <w:i w:val="0"/>
          <w:iCs w:val="0"/>
          <w:color w:val="auto"/>
          <w:kern w:val="0"/>
          <w:sz w:val="22"/>
          <w:szCs w:val="22"/>
          <w:highlight w:val="none"/>
          <w:lang w:val="zh-CN" w:eastAsia="zh-CN"/>
        </w:rPr>
        <w:t>（页码）</w:t>
      </w:r>
    </w:p>
    <w:p w14:paraId="42BE2D72">
      <w:pPr>
        <w:numPr>
          <w:ilvl w:val="0"/>
          <w:numId w:val="0"/>
        </w:numPr>
        <w:snapToGrid w:val="0"/>
        <w:spacing w:line="420" w:lineRule="exact"/>
        <w:ind w:leftChars="100"/>
        <w:rPr>
          <w:rFonts w:hint="eastAsia"/>
        </w:rPr>
      </w:pP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en-US" w:eastAsia="zh-CN"/>
        </w:rPr>
        <w:t>7</w:t>
      </w:r>
      <w:r>
        <w:rPr>
          <w:rFonts w:hint="eastAsia" w:ascii="宋体" w:hAnsi="宋体" w:eastAsia="宋体" w:cs="宋体"/>
          <w:i w:val="0"/>
          <w:iCs w:val="0"/>
          <w:color w:val="auto"/>
          <w:kern w:val="0"/>
          <w:sz w:val="22"/>
          <w:szCs w:val="22"/>
          <w:highlight w:val="none"/>
          <w:lang w:val="zh-CN"/>
        </w:rPr>
        <w:t>）供应商认为需要提供的其他相关资料（如有）</w:t>
      </w:r>
      <w:r>
        <w:rPr>
          <w:rFonts w:hint="eastAsia" w:ascii="宋体" w:hAnsi="宋体" w:cs="宋体"/>
          <w:i w:val="0"/>
          <w:iCs w:val="0"/>
          <w:color w:val="auto"/>
          <w:kern w:val="0"/>
          <w:sz w:val="24"/>
          <w:highlight w:val="none"/>
        </w:rPr>
        <w:t>………………………………………</w:t>
      </w:r>
      <w:r>
        <w:rPr>
          <w:rFonts w:hint="eastAsia" w:ascii="宋体" w:hAnsi="宋体" w:eastAsia="宋体" w:cs="宋体"/>
          <w:i w:val="0"/>
          <w:iCs w:val="0"/>
          <w:color w:val="auto"/>
          <w:kern w:val="0"/>
          <w:sz w:val="22"/>
          <w:szCs w:val="22"/>
          <w:highlight w:val="none"/>
          <w:lang w:val="zh-CN" w:eastAsia="zh-CN"/>
        </w:rPr>
        <w:t>（页码）</w:t>
      </w:r>
    </w:p>
    <w:p w14:paraId="48CECFD0">
      <w:pPr>
        <w:shd w:val="clear" w:color="auto" w:fill="FFFFFF"/>
        <w:snapToGrid w:val="0"/>
        <w:spacing w:line="360" w:lineRule="auto"/>
        <w:ind w:firstLine="440" w:firstLineChars="200"/>
        <w:jc w:val="left"/>
        <w:rPr>
          <w:rFonts w:hint="eastAsia" w:ascii="宋体" w:hAnsi="宋体" w:cs="宋体"/>
          <w:i w:val="0"/>
          <w:iCs w:val="0"/>
          <w:color w:val="auto"/>
          <w:sz w:val="22"/>
          <w:szCs w:val="22"/>
          <w:highlight w:val="none"/>
        </w:rPr>
      </w:pPr>
    </w:p>
    <w:p w14:paraId="2B062F45">
      <w:pPr>
        <w:shd w:val="clear" w:color="auto" w:fill="FFFFFF"/>
        <w:snapToGrid w:val="0"/>
        <w:spacing w:line="360" w:lineRule="auto"/>
        <w:ind w:firstLine="440" w:firstLineChars="200"/>
        <w:jc w:val="left"/>
        <w:rPr>
          <w:rFonts w:hint="eastAsia" w:ascii="宋体" w:hAnsi="宋体" w:cs="宋体"/>
          <w:i w:val="0"/>
          <w:iCs w:val="0"/>
          <w:color w:val="auto"/>
          <w:sz w:val="22"/>
          <w:szCs w:val="22"/>
          <w:highlight w:val="none"/>
        </w:rPr>
      </w:pPr>
      <w:r>
        <w:rPr>
          <w:rFonts w:hint="eastAsia" w:ascii="宋体" w:hAnsi="宋体" w:cs="宋体"/>
          <w:i w:val="0"/>
          <w:iCs w:val="0"/>
          <w:color w:val="auto"/>
          <w:sz w:val="22"/>
          <w:szCs w:val="22"/>
          <w:highlight w:val="none"/>
        </w:rPr>
        <w:t>注：以上目录是编制投标技术文件的基本格式要求，各投标人可根据自身情况进一步细化。</w:t>
      </w:r>
    </w:p>
    <w:p w14:paraId="7FF648BA">
      <w:pPr>
        <w:pStyle w:val="10"/>
        <w:rPr>
          <w:rFonts w:hint="eastAsia" w:ascii="宋体" w:hAnsi="宋体" w:cs="宋体"/>
          <w:b/>
          <w:bCs/>
          <w:color w:val="auto"/>
          <w:sz w:val="24"/>
          <w:highlight w:val="none"/>
        </w:rPr>
      </w:pPr>
    </w:p>
    <w:p w14:paraId="42B88321">
      <w:pPr>
        <w:pStyle w:val="11"/>
        <w:rPr>
          <w:rFonts w:hint="eastAsia"/>
        </w:rPr>
      </w:pPr>
    </w:p>
    <w:p w14:paraId="5F48CDDC">
      <w:pPr>
        <w:rPr>
          <w:rFonts w:hint="eastAsia" w:ascii="宋体" w:hAnsi="宋体" w:cs="宋体"/>
          <w:b/>
          <w:bCs/>
          <w:color w:val="auto"/>
          <w:sz w:val="24"/>
          <w:highlight w:val="none"/>
        </w:rPr>
      </w:pPr>
    </w:p>
    <w:p w14:paraId="60E49777">
      <w:pPr>
        <w:pStyle w:val="10"/>
        <w:rPr>
          <w:rFonts w:hint="eastAsia" w:ascii="宋体" w:hAnsi="宋体" w:cs="宋体"/>
          <w:b/>
          <w:bCs/>
          <w:color w:val="auto"/>
          <w:sz w:val="24"/>
          <w:highlight w:val="none"/>
        </w:rPr>
      </w:pPr>
    </w:p>
    <w:p w14:paraId="7851A891">
      <w:pPr>
        <w:pStyle w:val="11"/>
        <w:rPr>
          <w:rFonts w:hint="eastAsia" w:ascii="宋体" w:hAnsi="宋体" w:cs="宋体"/>
          <w:b/>
          <w:bCs/>
          <w:color w:val="auto"/>
          <w:sz w:val="24"/>
          <w:highlight w:val="none"/>
        </w:rPr>
      </w:pPr>
    </w:p>
    <w:p w14:paraId="3B56E3C1">
      <w:pPr>
        <w:rPr>
          <w:rFonts w:hint="eastAsia" w:ascii="宋体" w:hAnsi="宋体" w:cs="宋体"/>
          <w:b/>
          <w:bCs/>
          <w:color w:val="auto"/>
          <w:sz w:val="24"/>
          <w:highlight w:val="none"/>
        </w:rPr>
      </w:pPr>
    </w:p>
    <w:p w14:paraId="39847C68">
      <w:pPr>
        <w:pStyle w:val="10"/>
        <w:rPr>
          <w:rFonts w:hint="eastAsia" w:ascii="宋体" w:hAnsi="宋体" w:cs="宋体"/>
          <w:b/>
          <w:bCs/>
          <w:color w:val="auto"/>
          <w:sz w:val="24"/>
          <w:highlight w:val="none"/>
        </w:rPr>
      </w:pPr>
    </w:p>
    <w:p w14:paraId="71FDAE01">
      <w:pPr>
        <w:pStyle w:val="11"/>
        <w:rPr>
          <w:rFonts w:hint="eastAsia" w:ascii="宋体" w:hAnsi="宋体" w:cs="宋体"/>
          <w:b/>
          <w:bCs/>
          <w:color w:val="auto"/>
          <w:sz w:val="24"/>
          <w:highlight w:val="none"/>
        </w:rPr>
      </w:pPr>
    </w:p>
    <w:p w14:paraId="4B9ED5B5">
      <w:pPr>
        <w:rPr>
          <w:rFonts w:hint="eastAsia" w:ascii="宋体" w:hAnsi="宋体" w:cs="宋体"/>
          <w:b/>
          <w:bCs/>
          <w:color w:val="auto"/>
          <w:sz w:val="24"/>
          <w:highlight w:val="none"/>
        </w:rPr>
      </w:pPr>
    </w:p>
    <w:p w14:paraId="4096FE49">
      <w:pPr>
        <w:pStyle w:val="10"/>
        <w:rPr>
          <w:rFonts w:hint="eastAsia" w:ascii="宋体" w:hAnsi="宋体" w:cs="宋体"/>
          <w:b/>
          <w:bCs/>
          <w:color w:val="auto"/>
          <w:sz w:val="24"/>
          <w:highlight w:val="none"/>
        </w:rPr>
      </w:pPr>
    </w:p>
    <w:p w14:paraId="706DB02A">
      <w:pPr>
        <w:pStyle w:val="11"/>
        <w:rPr>
          <w:rFonts w:hint="eastAsia" w:ascii="宋体" w:hAnsi="宋体" w:cs="宋体"/>
          <w:b/>
          <w:bCs/>
          <w:color w:val="auto"/>
          <w:sz w:val="24"/>
          <w:highlight w:val="none"/>
        </w:rPr>
      </w:pPr>
    </w:p>
    <w:p w14:paraId="65A476B1">
      <w:pPr>
        <w:rPr>
          <w:rFonts w:hint="eastAsia" w:ascii="宋体" w:hAnsi="宋体" w:cs="宋体"/>
          <w:b/>
          <w:bCs/>
          <w:color w:val="auto"/>
          <w:sz w:val="24"/>
          <w:highlight w:val="none"/>
        </w:rPr>
      </w:pPr>
    </w:p>
    <w:p w14:paraId="214895F8">
      <w:pPr>
        <w:pStyle w:val="10"/>
        <w:rPr>
          <w:rFonts w:hint="eastAsia" w:ascii="宋体" w:hAnsi="宋体" w:cs="宋体"/>
          <w:b/>
          <w:bCs/>
          <w:color w:val="auto"/>
          <w:sz w:val="24"/>
          <w:highlight w:val="none"/>
        </w:rPr>
      </w:pPr>
    </w:p>
    <w:p w14:paraId="6414BD83">
      <w:pPr>
        <w:spacing w:line="340" w:lineRule="exact"/>
        <w:jc w:val="center"/>
        <w:rPr>
          <w:rFonts w:hint="eastAsia" w:ascii="宋体" w:hAnsi="宋体" w:cs="宋体"/>
          <w:b/>
          <w:color w:val="auto"/>
          <w:sz w:val="24"/>
          <w:highlight w:val="none"/>
          <w:lang w:val="en-US" w:eastAsia="zh-CN"/>
        </w:rPr>
      </w:pPr>
    </w:p>
    <w:p w14:paraId="75C88E7B">
      <w:pPr>
        <w:pStyle w:val="24"/>
        <w:rPr>
          <w:rFonts w:hint="eastAsia" w:ascii="宋体" w:hAnsi="宋体" w:cs="宋体"/>
          <w:b/>
          <w:color w:val="auto"/>
          <w:sz w:val="24"/>
          <w:highlight w:val="none"/>
          <w:lang w:val="en-US" w:eastAsia="zh-CN"/>
        </w:rPr>
      </w:pPr>
    </w:p>
    <w:p w14:paraId="4BDF35CC">
      <w:pPr>
        <w:pStyle w:val="11"/>
        <w:rPr>
          <w:rFonts w:hint="eastAsia"/>
          <w:color w:val="auto"/>
          <w:highlight w:val="none"/>
          <w:lang w:val="en-US" w:eastAsia="zh-CN"/>
        </w:rPr>
      </w:pPr>
    </w:p>
    <w:p w14:paraId="2B60A1E2">
      <w:pPr>
        <w:rPr>
          <w:rFonts w:hint="eastAsia"/>
          <w:color w:val="auto"/>
          <w:highlight w:val="none"/>
          <w:lang w:val="en-US" w:eastAsia="zh-CN"/>
        </w:rPr>
      </w:pPr>
    </w:p>
    <w:p w14:paraId="772E51D2">
      <w:pPr>
        <w:spacing w:line="340" w:lineRule="exact"/>
        <w:jc w:val="center"/>
        <w:rPr>
          <w:rFonts w:hint="eastAsia" w:ascii="宋体" w:hAnsi="宋体" w:cs="宋体"/>
          <w:b/>
          <w:color w:val="auto"/>
          <w:sz w:val="24"/>
          <w:highlight w:val="none"/>
          <w:lang w:val="en-US" w:eastAsia="zh-CN"/>
        </w:rPr>
      </w:pPr>
    </w:p>
    <w:p w14:paraId="0985C672">
      <w:pPr>
        <w:pStyle w:val="10"/>
        <w:rPr>
          <w:rFonts w:hint="eastAsia" w:ascii="宋体" w:hAnsi="宋体" w:cs="宋体"/>
          <w:b/>
          <w:color w:val="auto"/>
          <w:sz w:val="24"/>
          <w:highlight w:val="none"/>
          <w:lang w:val="en-US" w:eastAsia="zh-CN"/>
        </w:rPr>
      </w:pPr>
    </w:p>
    <w:p w14:paraId="14D983EA">
      <w:pPr>
        <w:pStyle w:val="11"/>
        <w:rPr>
          <w:rFonts w:hint="eastAsia" w:ascii="宋体" w:hAnsi="宋体" w:cs="宋体"/>
          <w:b/>
          <w:color w:val="auto"/>
          <w:sz w:val="24"/>
          <w:highlight w:val="none"/>
          <w:lang w:val="en-US" w:eastAsia="zh-CN"/>
        </w:rPr>
      </w:pPr>
    </w:p>
    <w:p w14:paraId="18AE1447">
      <w:pPr>
        <w:rPr>
          <w:rFonts w:hint="eastAsia" w:ascii="宋体" w:hAnsi="宋体" w:cs="宋体"/>
          <w:b/>
          <w:color w:val="auto"/>
          <w:sz w:val="24"/>
          <w:highlight w:val="none"/>
          <w:lang w:val="en-US" w:eastAsia="zh-CN"/>
        </w:rPr>
      </w:pPr>
    </w:p>
    <w:p w14:paraId="37EC7DC4">
      <w:pPr>
        <w:pStyle w:val="10"/>
        <w:rPr>
          <w:rFonts w:hint="eastAsia"/>
          <w:lang w:val="en-US" w:eastAsia="zh-CN"/>
        </w:rPr>
      </w:pPr>
    </w:p>
    <w:p w14:paraId="37F39E32">
      <w:pPr>
        <w:spacing w:line="340" w:lineRule="exact"/>
        <w:jc w:val="center"/>
        <w:rPr>
          <w:rFonts w:hint="eastAsia" w:ascii="宋体" w:hAnsi="宋体" w:cs="宋体"/>
          <w:b/>
          <w:color w:val="auto"/>
          <w:sz w:val="24"/>
          <w:highlight w:val="none"/>
          <w:lang w:val="en-US" w:eastAsia="zh-CN"/>
        </w:rPr>
      </w:pPr>
    </w:p>
    <w:p w14:paraId="1D89B2F6">
      <w:pPr>
        <w:spacing w:line="3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1.商务</w:t>
      </w:r>
      <w:r>
        <w:rPr>
          <w:rFonts w:hint="eastAsia" w:ascii="宋体" w:hAnsi="宋体" w:cs="宋体"/>
          <w:b/>
          <w:color w:val="auto"/>
          <w:sz w:val="28"/>
          <w:szCs w:val="28"/>
          <w:highlight w:val="none"/>
        </w:rPr>
        <w:t>自评分表</w:t>
      </w:r>
    </w:p>
    <w:p w14:paraId="11934E24">
      <w:pPr>
        <w:pStyle w:val="3"/>
        <w:rPr>
          <w:rFonts w:hint="eastAsia"/>
        </w:rPr>
      </w:pPr>
    </w:p>
    <w:tbl>
      <w:tblPr>
        <w:tblStyle w:val="25"/>
        <w:tblW w:w="9431" w:type="dxa"/>
        <w:jc w:val="center"/>
        <w:tblLayout w:type="fixed"/>
        <w:tblCellMar>
          <w:top w:w="0" w:type="dxa"/>
          <w:left w:w="108" w:type="dxa"/>
          <w:bottom w:w="0" w:type="dxa"/>
          <w:right w:w="108" w:type="dxa"/>
        </w:tblCellMar>
      </w:tblPr>
      <w:tblGrid>
        <w:gridCol w:w="1241"/>
        <w:gridCol w:w="5063"/>
        <w:gridCol w:w="1280"/>
        <w:gridCol w:w="1105"/>
        <w:gridCol w:w="742"/>
      </w:tblGrid>
      <w:tr w14:paraId="725A6D14">
        <w:tblPrEx>
          <w:tblCellMar>
            <w:top w:w="0" w:type="dxa"/>
            <w:left w:w="108" w:type="dxa"/>
            <w:bottom w:w="0" w:type="dxa"/>
            <w:right w:w="108" w:type="dxa"/>
          </w:tblCellMar>
        </w:tblPrEx>
        <w:trPr>
          <w:trHeight w:val="1132" w:hRule="atLeast"/>
          <w:jc w:val="center"/>
        </w:trPr>
        <w:tc>
          <w:tcPr>
            <w:tcW w:w="1241" w:type="dxa"/>
            <w:tcBorders>
              <w:top w:val="single" w:color="auto" w:sz="4" w:space="0"/>
              <w:left w:val="single" w:color="auto" w:sz="4" w:space="0"/>
              <w:bottom w:val="nil"/>
              <w:right w:val="single" w:color="auto" w:sz="4" w:space="0"/>
            </w:tcBorders>
            <w:shd w:val="clear" w:color="000000" w:fill="FFFFFF"/>
            <w:noWrap w:val="0"/>
            <w:vAlign w:val="center"/>
          </w:tcPr>
          <w:p w14:paraId="2168BD0A">
            <w:pPr>
              <w:jc w:val="center"/>
              <w:rPr>
                <w:rFonts w:ascii="宋体" w:hAnsi="宋体" w:cs="宋体"/>
                <w:b/>
                <w:color w:val="auto"/>
                <w:sz w:val="24"/>
                <w:highlight w:val="none"/>
              </w:rPr>
            </w:pPr>
            <w:r>
              <w:rPr>
                <w:rFonts w:ascii="宋体" w:hAnsi="宋体" w:cs="宋体"/>
                <w:b/>
                <w:color w:val="auto"/>
                <w:sz w:val="24"/>
                <w:highlight w:val="none"/>
              </w:rPr>
              <w:t>评分项目</w:t>
            </w:r>
          </w:p>
        </w:tc>
        <w:tc>
          <w:tcPr>
            <w:tcW w:w="5063" w:type="dxa"/>
            <w:tcBorders>
              <w:top w:val="single" w:color="auto" w:sz="4" w:space="0"/>
              <w:left w:val="nil"/>
              <w:bottom w:val="single" w:color="auto" w:sz="4" w:space="0"/>
              <w:right w:val="single" w:color="auto" w:sz="4" w:space="0"/>
            </w:tcBorders>
            <w:shd w:val="clear" w:color="000000" w:fill="FFFFFF"/>
            <w:noWrap w:val="0"/>
            <w:vAlign w:val="center"/>
          </w:tcPr>
          <w:p w14:paraId="11D58845">
            <w:pPr>
              <w:jc w:val="center"/>
              <w:rPr>
                <w:rFonts w:ascii="宋体" w:hAnsi="宋体" w:cs="宋体"/>
                <w:b/>
                <w:color w:val="auto"/>
                <w:sz w:val="24"/>
                <w:highlight w:val="none"/>
              </w:rPr>
            </w:pPr>
            <w:r>
              <w:rPr>
                <w:rFonts w:ascii="宋体" w:hAnsi="宋体" w:cs="宋体"/>
                <w:b/>
                <w:color w:val="auto"/>
                <w:sz w:val="24"/>
                <w:highlight w:val="none"/>
              </w:rPr>
              <w:t>评分内容</w:t>
            </w:r>
          </w:p>
        </w:tc>
        <w:tc>
          <w:tcPr>
            <w:tcW w:w="1280" w:type="dxa"/>
            <w:tcBorders>
              <w:top w:val="single" w:color="auto" w:sz="4" w:space="0"/>
              <w:left w:val="nil"/>
              <w:bottom w:val="single" w:color="auto" w:sz="4" w:space="0"/>
              <w:right w:val="single" w:color="auto" w:sz="4" w:space="0"/>
            </w:tcBorders>
            <w:shd w:val="clear" w:color="000000" w:fill="FFFFFF"/>
            <w:noWrap w:val="0"/>
            <w:vAlign w:val="center"/>
          </w:tcPr>
          <w:p w14:paraId="24E8A90A">
            <w:pPr>
              <w:jc w:val="center"/>
              <w:rPr>
                <w:rFonts w:ascii="宋体" w:hAnsi="宋体" w:cs="宋体"/>
                <w:b/>
                <w:color w:val="auto"/>
                <w:sz w:val="24"/>
                <w:highlight w:val="none"/>
              </w:rPr>
            </w:pPr>
            <w:r>
              <w:rPr>
                <w:rFonts w:ascii="宋体" w:hAnsi="宋体" w:cs="宋体"/>
                <w:b/>
                <w:color w:val="auto"/>
                <w:sz w:val="24"/>
                <w:highlight w:val="none"/>
              </w:rPr>
              <w:t>分范围值</w:t>
            </w:r>
          </w:p>
        </w:tc>
        <w:tc>
          <w:tcPr>
            <w:tcW w:w="1105" w:type="dxa"/>
            <w:tcBorders>
              <w:top w:val="single" w:color="auto" w:sz="4" w:space="0"/>
              <w:left w:val="nil"/>
              <w:bottom w:val="single" w:color="auto" w:sz="4" w:space="0"/>
              <w:right w:val="single" w:color="auto" w:sz="4" w:space="0"/>
            </w:tcBorders>
            <w:shd w:val="clear" w:color="000000" w:fill="FFFFFF"/>
            <w:noWrap w:val="0"/>
            <w:vAlign w:val="center"/>
          </w:tcPr>
          <w:p w14:paraId="6620B367">
            <w:pPr>
              <w:jc w:val="center"/>
              <w:rPr>
                <w:rFonts w:ascii="宋体" w:hAnsi="宋体" w:cs="宋体"/>
                <w:b/>
                <w:color w:val="auto"/>
                <w:sz w:val="24"/>
                <w:highlight w:val="none"/>
              </w:rPr>
            </w:pPr>
            <w:r>
              <w:rPr>
                <w:rFonts w:ascii="宋体" w:hAnsi="宋体" w:cs="宋体"/>
                <w:b/>
                <w:color w:val="auto"/>
                <w:sz w:val="24"/>
                <w:highlight w:val="none"/>
              </w:rPr>
              <w:t>资料所在页码</w:t>
            </w: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14:paraId="497A1FFA">
            <w:pPr>
              <w:jc w:val="center"/>
              <w:rPr>
                <w:rFonts w:ascii="宋体" w:hAnsi="宋体" w:cs="宋体"/>
                <w:b/>
                <w:color w:val="auto"/>
                <w:sz w:val="24"/>
                <w:highlight w:val="none"/>
              </w:rPr>
            </w:pPr>
            <w:r>
              <w:rPr>
                <w:rFonts w:ascii="宋体" w:hAnsi="宋体" w:cs="宋体"/>
                <w:b/>
                <w:color w:val="auto"/>
                <w:sz w:val="24"/>
                <w:highlight w:val="none"/>
              </w:rPr>
              <w:t>备注</w:t>
            </w:r>
          </w:p>
        </w:tc>
      </w:tr>
      <w:tr w14:paraId="461AB6E4">
        <w:tblPrEx>
          <w:tblCellMar>
            <w:top w:w="0" w:type="dxa"/>
            <w:left w:w="108" w:type="dxa"/>
            <w:bottom w:w="0" w:type="dxa"/>
            <w:right w:w="108" w:type="dxa"/>
          </w:tblCellMar>
        </w:tblPrEx>
        <w:trPr>
          <w:trHeight w:val="716" w:hRule="atLeast"/>
          <w:jc w:val="center"/>
        </w:trPr>
        <w:tc>
          <w:tcPr>
            <w:tcW w:w="1241" w:type="dxa"/>
            <w:tcBorders>
              <w:top w:val="single" w:color="auto" w:sz="4" w:space="0"/>
              <w:left w:val="single" w:color="auto" w:sz="4" w:space="0"/>
              <w:bottom w:val="nil"/>
              <w:right w:val="single" w:color="auto" w:sz="4" w:space="0"/>
            </w:tcBorders>
            <w:shd w:val="clear" w:color="000000" w:fill="FFFFFF"/>
            <w:noWrap w:val="0"/>
            <w:vAlign w:val="center"/>
          </w:tcPr>
          <w:p w14:paraId="206A6B30">
            <w:pPr>
              <w:jc w:val="left"/>
              <w:rPr>
                <w:rFonts w:ascii="宋体" w:hAnsi="宋体" w:cs="宋体"/>
                <w:color w:val="auto"/>
                <w:sz w:val="24"/>
                <w:highlight w:val="none"/>
              </w:rPr>
            </w:pPr>
          </w:p>
        </w:tc>
        <w:tc>
          <w:tcPr>
            <w:tcW w:w="5063" w:type="dxa"/>
            <w:tcBorders>
              <w:top w:val="single" w:color="auto" w:sz="4" w:space="0"/>
              <w:left w:val="nil"/>
              <w:bottom w:val="single" w:color="auto" w:sz="4" w:space="0"/>
              <w:right w:val="single" w:color="auto" w:sz="4" w:space="0"/>
            </w:tcBorders>
            <w:shd w:val="clear" w:color="000000" w:fill="FFFFFF"/>
            <w:noWrap w:val="0"/>
            <w:vAlign w:val="center"/>
          </w:tcPr>
          <w:p w14:paraId="6BA12A72">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noWrap w:val="0"/>
            <w:vAlign w:val="center"/>
          </w:tcPr>
          <w:p w14:paraId="2026AE5B">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noWrap w:val="0"/>
            <w:vAlign w:val="center"/>
          </w:tcPr>
          <w:p w14:paraId="7C484423">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14:paraId="5C7D8137">
            <w:pPr>
              <w:jc w:val="center"/>
              <w:rPr>
                <w:rFonts w:ascii="宋体" w:hAnsi="宋体" w:cs="宋体"/>
                <w:bCs/>
                <w:color w:val="auto"/>
                <w:sz w:val="24"/>
                <w:highlight w:val="none"/>
              </w:rPr>
            </w:pPr>
          </w:p>
        </w:tc>
      </w:tr>
      <w:tr w14:paraId="0B3B8093">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300623">
            <w:pPr>
              <w:jc w:val="left"/>
              <w:rPr>
                <w:rFonts w:ascii="宋体" w:hAnsi="宋体" w:cs="宋体"/>
                <w:color w:val="auto"/>
                <w:sz w:val="24"/>
                <w:highlight w:val="none"/>
              </w:rPr>
            </w:pPr>
          </w:p>
        </w:tc>
        <w:tc>
          <w:tcPr>
            <w:tcW w:w="5063" w:type="dxa"/>
            <w:tcBorders>
              <w:top w:val="single" w:color="auto" w:sz="4" w:space="0"/>
              <w:left w:val="nil"/>
              <w:bottom w:val="single" w:color="auto" w:sz="4" w:space="0"/>
              <w:right w:val="single" w:color="auto" w:sz="4" w:space="0"/>
            </w:tcBorders>
            <w:shd w:val="clear" w:color="000000" w:fill="FFFFFF"/>
            <w:noWrap w:val="0"/>
            <w:vAlign w:val="center"/>
          </w:tcPr>
          <w:p w14:paraId="64D3E9EA">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noWrap w:val="0"/>
            <w:vAlign w:val="center"/>
          </w:tcPr>
          <w:p w14:paraId="2334C5F8">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noWrap w:val="0"/>
            <w:vAlign w:val="center"/>
          </w:tcPr>
          <w:p w14:paraId="786F7568">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14:paraId="6EEF754A">
            <w:pPr>
              <w:jc w:val="center"/>
              <w:rPr>
                <w:rFonts w:ascii="宋体" w:hAnsi="宋体" w:cs="宋体"/>
                <w:bCs/>
                <w:color w:val="auto"/>
                <w:sz w:val="24"/>
                <w:highlight w:val="none"/>
              </w:rPr>
            </w:pPr>
          </w:p>
        </w:tc>
      </w:tr>
      <w:tr w14:paraId="6C027D1B">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A13531">
            <w:pPr>
              <w:jc w:val="left"/>
              <w:rPr>
                <w:rFonts w:ascii="宋体" w:hAnsi="宋体" w:cs="宋体"/>
                <w:color w:val="auto"/>
                <w:sz w:val="24"/>
                <w:highlight w:val="none"/>
              </w:rPr>
            </w:pPr>
          </w:p>
        </w:tc>
        <w:tc>
          <w:tcPr>
            <w:tcW w:w="5063" w:type="dxa"/>
            <w:tcBorders>
              <w:top w:val="single" w:color="auto" w:sz="4" w:space="0"/>
              <w:left w:val="nil"/>
              <w:bottom w:val="single" w:color="auto" w:sz="4" w:space="0"/>
              <w:right w:val="single" w:color="auto" w:sz="4" w:space="0"/>
            </w:tcBorders>
            <w:shd w:val="clear" w:color="000000" w:fill="FFFFFF"/>
            <w:noWrap w:val="0"/>
            <w:vAlign w:val="center"/>
          </w:tcPr>
          <w:p w14:paraId="7393D789">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noWrap w:val="0"/>
            <w:vAlign w:val="center"/>
          </w:tcPr>
          <w:p w14:paraId="232A6526">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noWrap w:val="0"/>
            <w:vAlign w:val="center"/>
          </w:tcPr>
          <w:p w14:paraId="6B55D194">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14:paraId="32420697">
            <w:pPr>
              <w:jc w:val="center"/>
              <w:rPr>
                <w:rFonts w:ascii="宋体" w:hAnsi="宋体" w:cs="宋体"/>
                <w:bCs/>
                <w:color w:val="auto"/>
                <w:sz w:val="24"/>
                <w:highlight w:val="none"/>
              </w:rPr>
            </w:pPr>
          </w:p>
        </w:tc>
      </w:tr>
      <w:tr w14:paraId="3B0A06AC">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24063C">
            <w:pPr>
              <w:jc w:val="left"/>
              <w:rPr>
                <w:rFonts w:ascii="宋体" w:hAnsi="宋体" w:cs="宋体"/>
                <w:color w:val="auto"/>
                <w:sz w:val="24"/>
                <w:highlight w:val="none"/>
              </w:rPr>
            </w:pPr>
          </w:p>
        </w:tc>
        <w:tc>
          <w:tcPr>
            <w:tcW w:w="5063" w:type="dxa"/>
            <w:tcBorders>
              <w:top w:val="single" w:color="auto" w:sz="4" w:space="0"/>
              <w:left w:val="nil"/>
              <w:bottom w:val="single" w:color="auto" w:sz="4" w:space="0"/>
              <w:right w:val="single" w:color="auto" w:sz="4" w:space="0"/>
            </w:tcBorders>
            <w:shd w:val="clear" w:color="000000" w:fill="FFFFFF"/>
            <w:noWrap w:val="0"/>
            <w:vAlign w:val="center"/>
          </w:tcPr>
          <w:p w14:paraId="397A740B">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noWrap w:val="0"/>
            <w:vAlign w:val="center"/>
          </w:tcPr>
          <w:p w14:paraId="2BDCD201">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noWrap w:val="0"/>
            <w:vAlign w:val="center"/>
          </w:tcPr>
          <w:p w14:paraId="7060482A">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14:paraId="7F0C1648">
            <w:pPr>
              <w:jc w:val="center"/>
              <w:rPr>
                <w:rFonts w:ascii="宋体" w:hAnsi="宋体" w:cs="宋体"/>
                <w:bCs/>
                <w:color w:val="auto"/>
                <w:sz w:val="24"/>
                <w:highlight w:val="none"/>
              </w:rPr>
            </w:pPr>
          </w:p>
        </w:tc>
      </w:tr>
      <w:tr w14:paraId="29D3E572">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02A427">
            <w:pPr>
              <w:jc w:val="left"/>
              <w:rPr>
                <w:rFonts w:ascii="宋体" w:hAnsi="宋体" w:cs="宋体"/>
                <w:color w:val="auto"/>
                <w:sz w:val="24"/>
                <w:highlight w:val="none"/>
              </w:rPr>
            </w:pPr>
          </w:p>
        </w:tc>
        <w:tc>
          <w:tcPr>
            <w:tcW w:w="5063" w:type="dxa"/>
            <w:tcBorders>
              <w:top w:val="single" w:color="auto" w:sz="4" w:space="0"/>
              <w:left w:val="nil"/>
              <w:bottom w:val="single" w:color="auto" w:sz="4" w:space="0"/>
              <w:right w:val="single" w:color="auto" w:sz="4" w:space="0"/>
            </w:tcBorders>
            <w:shd w:val="clear" w:color="000000" w:fill="FFFFFF"/>
            <w:noWrap w:val="0"/>
            <w:vAlign w:val="center"/>
          </w:tcPr>
          <w:p w14:paraId="705A9445">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noWrap w:val="0"/>
            <w:vAlign w:val="center"/>
          </w:tcPr>
          <w:p w14:paraId="72E11C2D">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noWrap w:val="0"/>
            <w:vAlign w:val="center"/>
          </w:tcPr>
          <w:p w14:paraId="24DEC0F0">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14:paraId="1F1B6C7D">
            <w:pPr>
              <w:jc w:val="center"/>
              <w:rPr>
                <w:rFonts w:ascii="宋体" w:hAnsi="宋体" w:cs="宋体"/>
                <w:bCs/>
                <w:color w:val="auto"/>
                <w:sz w:val="24"/>
                <w:highlight w:val="none"/>
              </w:rPr>
            </w:pPr>
          </w:p>
        </w:tc>
      </w:tr>
      <w:tr w14:paraId="54B4FB6A">
        <w:tblPrEx>
          <w:tblCellMar>
            <w:top w:w="0" w:type="dxa"/>
            <w:left w:w="108" w:type="dxa"/>
            <w:bottom w:w="0" w:type="dxa"/>
            <w:right w:w="108" w:type="dxa"/>
          </w:tblCellMar>
        </w:tblPrEx>
        <w:trPr>
          <w:trHeight w:val="612"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341155">
            <w:pPr>
              <w:jc w:val="left"/>
              <w:rPr>
                <w:rFonts w:ascii="宋体" w:hAnsi="宋体" w:cs="宋体"/>
                <w:color w:val="auto"/>
                <w:sz w:val="24"/>
                <w:highlight w:val="none"/>
              </w:rPr>
            </w:pPr>
          </w:p>
        </w:tc>
        <w:tc>
          <w:tcPr>
            <w:tcW w:w="50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AE90C0">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noWrap w:val="0"/>
            <w:vAlign w:val="center"/>
          </w:tcPr>
          <w:p w14:paraId="756901E3">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noWrap w:val="0"/>
            <w:vAlign w:val="center"/>
          </w:tcPr>
          <w:p w14:paraId="2FB6FABB">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14:paraId="4BA6E423">
            <w:pPr>
              <w:jc w:val="center"/>
              <w:rPr>
                <w:rFonts w:ascii="宋体" w:hAnsi="宋体" w:cs="宋体"/>
                <w:bCs/>
                <w:color w:val="auto"/>
                <w:sz w:val="24"/>
                <w:highlight w:val="none"/>
              </w:rPr>
            </w:pPr>
          </w:p>
        </w:tc>
      </w:tr>
    </w:tbl>
    <w:p w14:paraId="3713F26B">
      <w:pPr>
        <w:spacing w:line="300" w:lineRule="exact"/>
        <w:jc w:val="both"/>
        <w:rPr>
          <w:rFonts w:hint="eastAsia" w:hAnsi="宋体" w:eastAsia="宋体" w:cs="宋体"/>
          <w:color w:val="auto"/>
          <w:sz w:val="22"/>
          <w:szCs w:val="22"/>
          <w:highlight w:val="none"/>
        </w:rPr>
      </w:pPr>
      <w:r>
        <w:rPr>
          <w:rFonts w:ascii="宋体" w:hAnsi="宋体" w:cs="宋体"/>
          <w:color w:val="auto"/>
          <w:sz w:val="24"/>
          <w:highlight w:val="none"/>
        </w:rPr>
        <w:t>注：此表</w:t>
      </w:r>
      <w:r>
        <w:rPr>
          <w:rFonts w:hint="eastAsia" w:ascii="宋体" w:hAnsi="宋体" w:cs="宋体"/>
          <w:color w:val="auto"/>
          <w:sz w:val="24"/>
          <w:highlight w:val="none"/>
        </w:rPr>
        <w:t>附于</w:t>
      </w:r>
      <w:r>
        <w:rPr>
          <w:rFonts w:ascii="宋体" w:hAnsi="宋体" w:cs="宋体"/>
          <w:color w:val="auto"/>
          <w:sz w:val="24"/>
          <w:highlight w:val="none"/>
        </w:rPr>
        <w:t xml:space="preserve">商务技术文件目录之后。   </w:t>
      </w:r>
      <w:r>
        <w:rPr>
          <w:rFonts w:hint="eastAsia" w:ascii="宋体" w:hAnsi="宋体" w:cs="宋体"/>
          <w:color w:val="auto"/>
          <w:sz w:val="24"/>
          <w:szCs w:val="24"/>
          <w:highlight w:val="none"/>
          <w:lang w:val="en-US" w:eastAsia="zh-CN"/>
        </w:rPr>
        <w:t xml:space="preserve">         </w:t>
      </w:r>
      <w:r>
        <w:rPr>
          <w:rFonts w:hint="eastAsia" w:hAnsi="宋体" w:eastAsia="宋体" w:cs="宋体"/>
          <w:color w:val="auto"/>
          <w:sz w:val="22"/>
          <w:szCs w:val="22"/>
          <w:highlight w:val="none"/>
          <w:lang w:val="en-US" w:eastAsia="zh-CN"/>
        </w:rPr>
        <w:t xml:space="preserve"> </w:t>
      </w:r>
      <w:r>
        <w:rPr>
          <w:rFonts w:hint="eastAsia" w:hAnsi="宋体" w:eastAsia="宋体" w:cs="宋体"/>
          <w:color w:val="auto"/>
          <w:sz w:val="22"/>
          <w:szCs w:val="22"/>
          <w:highlight w:val="none"/>
        </w:rPr>
        <w:t xml:space="preserve"> </w:t>
      </w:r>
    </w:p>
    <w:p w14:paraId="4BDA7CE0">
      <w:pPr>
        <w:spacing w:line="300" w:lineRule="exact"/>
        <w:jc w:val="center"/>
        <w:rPr>
          <w:rFonts w:hint="eastAsia" w:hAnsi="宋体" w:eastAsia="宋体" w:cs="宋体"/>
          <w:color w:val="auto"/>
          <w:sz w:val="22"/>
          <w:szCs w:val="22"/>
          <w:highlight w:val="none"/>
        </w:rPr>
      </w:pPr>
    </w:p>
    <w:p w14:paraId="54AD39EF">
      <w:pPr>
        <w:spacing w:line="300" w:lineRule="exact"/>
        <w:jc w:val="center"/>
        <w:rPr>
          <w:rFonts w:hint="eastAsia" w:hAnsi="宋体" w:eastAsia="宋体" w:cs="宋体"/>
          <w:color w:val="auto"/>
          <w:sz w:val="22"/>
          <w:szCs w:val="22"/>
          <w:highlight w:val="none"/>
        </w:rPr>
      </w:pPr>
    </w:p>
    <w:p w14:paraId="1502DCD2">
      <w:pPr>
        <w:spacing w:line="300" w:lineRule="exact"/>
        <w:jc w:val="center"/>
        <w:rPr>
          <w:rFonts w:hint="eastAsia" w:hAnsi="宋体" w:eastAsia="宋体" w:cs="宋体"/>
          <w:color w:val="auto"/>
          <w:sz w:val="22"/>
          <w:szCs w:val="22"/>
          <w:highlight w:val="none"/>
        </w:rPr>
      </w:pPr>
    </w:p>
    <w:p w14:paraId="782089C3">
      <w:pPr>
        <w:keepNext w:val="0"/>
        <w:keepLines w:val="0"/>
        <w:pageBreakBefore w:val="0"/>
        <w:widowControl/>
        <w:shd w:val="clear" w:color="auto" w:fill="auto"/>
        <w:kinsoku/>
        <w:wordWrap/>
        <w:overflowPunct/>
        <w:topLinePunct w:val="0"/>
        <w:autoSpaceDE/>
        <w:autoSpaceDN/>
        <w:bidi w:val="0"/>
        <w:adjustRightInd/>
        <w:snapToGrid w:val="0"/>
        <w:spacing w:line="420" w:lineRule="exact"/>
        <w:ind w:firstLine="360" w:firstLineChars="15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投标人名称（盖章） ：</w:t>
      </w:r>
    </w:p>
    <w:p w14:paraId="02F3BB62">
      <w:pPr>
        <w:keepNext w:val="0"/>
        <w:keepLines w:val="0"/>
        <w:pageBreakBefore w:val="0"/>
        <w:widowControl/>
        <w:shd w:val="clear" w:color="auto" w:fill="auto"/>
        <w:kinsoku/>
        <w:wordWrap/>
        <w:overflowPunct/>
        <w:topLinePunct w:val="0"/>
        <w:autoSpaceDE/>
        <w:autoSpaceDN/>
        <w:bidi w:val="0"/>
        <w:adjustRightInd/>
        <w:snapToGrid w:val="0"/>
        <w:spacing w:line="420" w:lineRule="exact"/>
        <w:ind w:firstLine="360" w:firstLineChars="15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法定代表人或</w:t>
      </w: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lang w:val="zh-CN"/>
        </w:rPr>
        <w:t>：</w:t>
      </w:r>
    </w:p>
    <w:p w14:paraId="222E528D">
      <w:pPr>
        <w:keepNext w:val="0"/>
        <w:keepLines w:val="0"/>
        <w:pageBreakBefore w:val="0"/>
        <w:widowControl/>
        <w:shd w:val="clear" w:color="auto" w:fill="auto"/>
        <w:kinsoku/>
        <w:wordWrap/>
        <w:overflowPunct/>
        <w:topLinePunct w:val="0"/>
        <w:autoSpaceDE/>
        <w:autoSpaceDN/>
        <w:bidi w:val="0"/>
        <w:adjustRightInd/>
        <w:snapToGrid w:val="0"/>
        <w:spacing w:line="420" w:lineRule="exact"/>
        <w:ind w:firstLine="360" w:firstLineChars="150"/>
        <w:jc w:val="center"/>
        <w:textAlignment w:val="auto"/>
        <w:rPr>
          <w:rFonts w:ascii="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期：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年</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月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日</w:t>
      </w:r>
    </w:p>
    <w:p w14:paraId="7C286F06">
      <w:pPr>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br w:type="page"/>
      </w:r>
    </w:p>
    <w:p w14:paraId="49EC56C3">
      <w:pPr>
        <w:pStyle w:val="12"/>
        <w:snapToGrid w:val="0"/>
        <w:spacing w:line="360" w:lineRule="auto"/>
        <w:ind w:firstLine="643" w:firstLineChars="200"/>
        <w:jc w:val="center"/>
        <w:outlineLvl w:val="2"/>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lang w:val="zh-CN"/>
        </w:rPr>
        <w:t>、法定代表人资格证明书或法定代表人授权委托书</w:t>
      </w:r>
    </w:p>
    <w:p w14:paraId="712B5842">
      <w:pPr>
        <w:pStyle w:val="12"/>
        <w:snapToGrid w:val="0"/>
        <w:spacing w:line="360" w:lineRule="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.1法定代表人资格证明书</w:t>
      </w:r>
    </w:p>
    <w:p w14:paraId="5A1883CE">
      <w:pPr>
        <w:adjustRightInd w:val="0"/>
        <w:snapToGrid w:val="0"/>
        <w:spacing w:line="360" w:lineRule="auto"/>
        <w:rPr>
          <w:rFonts w:hint="eastAsia" w:ascii="宋体" w:hAnsi="宋体" w:cs="宋体"/>
          <w:color w:val="auto"/>
          <w:sz w:val="24"/>
          <w:highlight w:val="none"/>
        </w:rPr>
      </w:pPr>
    </w:p>
    <w:p w14:paraId="4E4934D2">
      <w:pPr>
        <w:adjustRightInd w:val="0"/>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 xml:space="preserve">                                 </w:t>
      </w:r>
    </w:p>
    <w:p w14:paraId="14EEEF94">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p>
    <w:p w14:paraId="13D05473">
      <w:pPr>
        <w:adjustRightInd w:val="0"/>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14:paraId="33340CD7">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14:paraId="70C5DFEB">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p>
    <w:p w14:paraId="04BA4154">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w:t>
      </w:r>
    </w:p>
    <w:p w14:paraId="5AD06138">
      <w:pPr>
        <w:tabs>
          <w:tab w:val="left" w:pos="8640"/>
        </w:tabs>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特此证明。</w:t>
      </w:r>
    </w:p>
    <w:p w14:paraId="467B8622">
      <w:pPr>
        <w:tabs>
          <w:tab w:val="left" w:pos="8640"/>
        </w:tabs>
        <w:adjustRightInd w:val="0"/>
        <w:snapToGrid w:val="0"/>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投标供应商：</w:t>
      </w:r>
      <w:r>
        <w:rPr>
          <w:rFonts w:hint="eastAsia" w:ascii="宋体" w:hAnsi="宋体" w:cs="宋体"/>
          <w:color w:val="auto"/>
          <w:sz w:val="24"/>
          <w:highlight w:val="none"/>
          <w:u w:val="single"/>
        </w:rPr>
        <w:t xml:space="preserve">           （公章）</w:t>
      </w:r>
    </w:p>
    <w:p w14:paraId="7F664877">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284DD68">
      <w:pPr>
        <w:spacing w:line="360" w:lineRule="auto"/>
        <w:rPr>
          <w:rFonts w:hint="eastAsia" w:ascii="宋体" w:hAnsi="宋体" w:cs="宋体"/>
          <w:b/>
          <w:color w:val="auto"/>
          <w:sz w:val="24"/>
          <w:highlight w:val="none"/>
        </w:rPr>
      </w:pPr>
    </w:p>
    <w:p w14:paraId="26110073">
      <w:pPr>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.2法定代表人授权委托书</w:t>
      </w:r>
    </w:p>
    <w:p w14:paraId="156D231B">
      <w:pPr>
        <w:tabs>
          <w:tab w:val="left" w:pos="8100"/>
          <w:tab w:val="left" w:pos="8280"/>
        </w:tabs>
        <w:adjustRightInd w:val="0"/>
        <w:snapToGrid w:val="0"/>
        <w:spacing w:line="360" w:lineRule="auto"/>
        <w:ind w:right="32" w:firstLine="480" w:firstLineChars="200"/>
        <w:rPr>
          <w:rFonts w:hint="eastAsia" w:ascii="宋体" w:hAnsi="宋体" w:cs="宋体"/>
          <w:color w:val="auto"/>
          <w:sz w:val="24"/>
          <w:highlight w:val="none"/>
        </w:rPr>
      </w:pPr>
    </w:p>
    <w:p w14:paraId="1ECCA5D2">
      <w:pPr>
        <w:tabs>
          <w:tab w:val="left" w:pos="8100"/>
          <w:tab w:val="left" w:pos="8280"/>
        </w:tabs>
        <w:adjustRightInd w:val="0"/>
        <w:snapToGrid w:val="0"/>
        <w:spacing w:line="360" w:lineRule="auto"/>
        <w:ind w:right="32" w:firstLine="720" w:firstLineChars="300"/>
        <w:rPr>
          <w:rFonts w:hint="eastAsia" w:ascii="宋体" w:hAnsi="宋体" w:cs="宋体"/>
          <w:color w:val="auto"/>
          <w:sz w:val="24"/>
          <w:highlight w:val="none"/>
        </w:rPr>
      </w:pPr>
      <w:r>
        <w:rPr>
          <w:rFonts w:hint="eastAsia" w:ascii="宋体" w:hAnsi="宋体" w:cs="宋体"/>
          <w:color w:val="auto"/>
          <w:sz w:val="24"/>
          <w:highlight w:val="none"/>
        </w:rPr>
        <w:t xml:space="preserve">本人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（姓名、身份证号）为我方代理人。代理人根据授权，以我方名义签署、签署、澄清、说明、补正、递交、撤回、修改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(项目名称)响应文件、签订合同和处理有关事宜，其法律后果由我方承担。</w:t>
      </w:r>
    </w:p>
    <w:p w14:paraId="19CBDFA8">
      <w:pPr>
        <w:adjustRightInd w:val="0"/>
        <w:snapToGrid w:val="0"/>
        <w:spacing w:line="360" w:lineRule="auto"/>
        <w:ind w:right="567"/>
        <w:rPr>
          <w:rFonts w:hint="eastAsia" w:ascii="宋体" w:hAnsi="宋体" w:cs="宋体"/>
          <w:color w:val="auto"/>
          <w:sz w:val="24"/>
          <w:highlight w:val="none"/>
        </w:rPr>
      </w:pPr>
      <w:r>
        <w:rPr>
          <w:rFonts w:hint="eastAsia" w:ascii="宋体" w:hAnsi="宋体" w:cs="宋体"/>
          <w:color w:val="auto"/>
          <w:sz w:val="24"/>
          <w:highlight w:val="none"/>
        </w:rPr>
        <w:t>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F2960C">
      <w:pPr>
        <w:adjustRightInd w:val="0"/>
        <w:snapToGrid w:val="0"/>
        <w:spacing w:line="360" w:lineRule="auto"/>
        <w:ind w:right="567"/>
        <w:rPr>
          <w:rFonts w:hint="eastAsia" w:ascii="宋体" w:hAnsi="宋体" w:cs="宋体"/>
          <w:color w:val="auto"/>
          <w:sz w:val="24"/>
          <w:highlight w:val="none"/>
        </w:rPr>
      </w:pPr>
      <w:r>
        <w:rPr>
          <w:rFonts w:hint="eastAsia" w:ascii="宋体" w:hAnsi="宋体" w:cs="宋体"/>
          <w:color w:val="auto"/>
          <w:sz w:val="24"/>
          <w:highlight w:val="none"/>
        </w:rPr>
        <w:t>代理人无转委托权。</w:t>
      </w:r>
    </w:p>
    <w:p w14:paraId="607F52DB">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招标供应商：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（单位盖章）</w:t>
      </w:r>
    </w:p>
    <w:p w14:paraId="32669570">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（签字或盖章） </w:t>
      </w:r>
    </w:p>
    <w:p w14:paraId="1E079A25">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045F1064">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014251A2">
      <w:pPr>
        <w:adjustRightInd w:val="0"/>
        <w:snapToGrid w:val="0"/>
        <w:spacing w:line="360" w:lineRule="auto"/>
        <w:ind w:left="1018" w:leftChars="485" w:firstLine="2702" w:firstLineChars="1126"/>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05FF9B0E">
      <w:pPr>
        <w:spacing w:line="360" w:lineRule="auto"/>
        <w:ind w:left="1018" w:leftChars="485" w:firstLine="2702" w:firstLineChars="1126"/>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F9549AE">
      <w:pPr>
        <w:spacing w:line="360" w:lineRule="auto"/>
        <w:rPr>
          <w:rFonts w:hint="eastAsia" w:ascii="宋体" w:hAnsi="宋体" w:eastAsia="宋体" w:cs="宋体"/>
          <w:b/>
          <w:color w:val="auto"/>
          <w:sz w:val="24"/>
          <w:highlight w:val="none"/>
        </w:rPr>
      </w:pPr>
    </w:p>
    <w:p w14:paraId="7B1C9E5A">
      <w:pPr>
        <w:spacing w:line="360" w:lineRule="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en-US" w:eastAsia="zh-CN"/>
        </w:rPr>
        <w:t>2.3</w:t>
      </w:r>
      <w:r>
        <w:rPr>
          <w:rFonts w:hint="eastAsia" w:ascii="宋体" w:hAnsi="宋体" w:eastAsia="宋体" w:cs="宋体"/>
          <w:b/>
          <w:color w:val="auto"/>
          <w:sz w:val="24"/>
          <w:highlight w:val="none"/>
          <w:lang w:val="zh-CN"/>
        </w:rPr>
        <w:t>法定代表人及委托代理人的身份证</w:t>
      </w:r>
    </w:p>
    <w:p w14:paraId="24B10E65">
      <w:pPr>
        <w:widowControl/>
        <w:adjustRightInd w:val="0"/>
        <w:snapToGrid w:val="0"/>
        <w:spacing w:after="200" w:line="500" w:lineRule="exact"/>
        <w:jc w:val="center"/>
        <w:rPr>
          <w:rFonts w:ascii="宋体" w:hAnsi="宋体" w:cs="宋体"/>
          <w:b/>
          <w:bCs/>
          <w:color w:val="auto"/>
          <w:kern w:val="0"/>
          <w:sz w:val="32"/>
          <w:szCs w:val="32"/>
          <w:highlight w:val="none"/>
        </w:rPr>
      </w:pPr>
      <w:r>
        <w:rPr>
          <w:rFonts w:hint="eastAsia" w:ascii="宋体" w:hAnsi="宋体" w:eastAsia="宋体" w:cs="宋体"/>
          <w:b/>
          <w:bCs/>
          <w:color w:val="auto"/>
          <w:spacing w:val="5"/>
          <w:sz w:val="29"/>
          <w:szCs w:val="29"/>
          <w:highlight w:val="none"/>
          <w:lang w:val="en-US" w:eastAsia="zh-CN"/>
        </w:rPr>
        <w:t>3.</w:t>
      </w:r>
      <w:r>
        <w:rPr>
          <w:rFonts w:hint="eastAsia" w:ascii="宋体" w:hAnsi="宋体" w:cs="宋体"/>
          <w:b/>
          <w:bCs/>
          <w:color w:val="auto"/>
          <w:kern w:val="0"/>
          <w:sz w:val="32"/>
          <w:szCs w:val="32"/>
          <w:highlight w:val="none"/>
        </w:rPr>
        <w:t>供应商基本情况表</w:t>
      </w:r>
    </w:p>
    <w:tbl>
      <w:tblPr>
        <w:tblStyle w:val="25"/>
        <w:tblpPr w:leftFromText="180" w:rightFromText="180" w:vertAnchor="text" w:horzAnchor="page" w:tblpX="1605" w:tblpY="391"/>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92"/>
        <w:gridCol w:w="1243"/>
        <w:gridCol w:w="968"/>
        <w:gridCol w:w="1548"/>
        <w:gridCol w:w="1079"/>
        <w:gridCol w:w="1530"/>
      </w:tblGrid>
      <w:tr w14:paraId="6CFB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exact"/>
        </w:trPr>
        <w:tc>
          <w:tcPr>
            <w:tcW w:w="1435" w:type="dxa"/>
            <w:noWrap w:val="0"/>
            <w:vAlign w:val="center"/>
          </w:tcPr>
          <w:p w14:paraId="5F977C19">
            <w:pPr>
              <w:widowControl/>
              <w:adjustRightInd w:val="0"/>
              <w:snapToGri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w:t>
            </w:r>
          </w:p>
        </w:tc>
        <w:tc>
          <w:tcPr>
            <w:tcW w:w="7860" w:type="dxa"/>
            <w:gridSpan w:val="6"/>
            <w:noWrap w:val="0"/>
            <w:vAlign w:val="center"/>
          </w:tcPr>
          <w:p w14:paraId="654C8F87">
            <w:pPr>
              <w:widowControl/>
              <w:adjustRightInd w:val="0"/>
              <w:snapToGrid w:val="0"/>
              <w:spacing w:line="500" w:lineRule="exact"/>
              <w:ind w:firstLine="200"/>
              <w:jc w:val="left"/>
              <w:rPr>
                <w:rFonts w:ascii="宋体" w:hAnsi="宋体" w:cs="宋体"/>
                <w:color w:val="auto"/>
                <w:kern w:val="0"/>
                <w:sz w:val="24"/>
                <w:szCs w:val="24"/>
                <w:highlight w:val="none"/>
              </w:rPr>
            </w:pPr>
          </w:p>
        </w:tc>
      </w:tr>
      <w:tr w14:paraId="1FEA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trPr>
        <w:tc>
          <w:tcPr>
            <w:tcW w:w="1435" w:type="dxa"/>
            <w:noWrap w:val="0"/>
            <w:vAlign w:val="center"/>
          </w:tcPr>
          <w:p w14:paraId="0CDBAB11">
            <w:pPr>
              <w:widowControl/>
              <w:adjustRightInd w:val="0"/>
              <w:snapToGrid w:val="0"/>
              <w:spacing w:line="500" w:lineRule="exact"/>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注册地址</w:t>
            </w:r>
          </w:p>
        </w:tc>
        <w:tc>
          <w:tcPr>
            <w:tcW w:w="3703" w:type="dxa"/>
            <w:gridSpan w:val="3"/>
            <w:noWrap w:val="0"/>
            <w:vAlign w:val="center"/>
          </w:tcPr>
          <w:p w14:paraId="1F09E13B">
            <w:pPr>
              <w:widowControl/>
              <w:adjustRightInd w:val="0"/>
              <w:snapToGrid w:val="0"/>
              <w:spacing w:line="500" w:lineRule="exact"/>
              <w:ind w:firstLine="200"/>
              <w:jc w:val="left"/>
              <w:rPr>
                <w:rFonts w:ascii="宋体" w:hAnsi="宋体" w:cs="宋体"/>
                <w:color w:val="auto"/>
                <w:kern w:val="0"/>
                <w:sz w:val="24"/>
                <w:szCs w:val="24"/>
                <w:highlight w:val="none"/>
              </w:rPr>
            </w:pPr>
          </w:p>
        </w:tc>
        <w:tc>
          <w:tcPr>
            <w:tcW w:w="1548" w:type="dxa"/>
            <w:noWrap w:val="0"/>
            <w:vAlign w:val="center"/>
          </w:tcPr>
          <w:p w14:paraId="5E1FC579">
            <w:pPr>
              <w:widowControl/>
              <w:adjustRightInd w:val="0"/>
              <w:snapToGrid w:val="0"/>
              <w:spacing w:line="500" w:lineRule="exact"/>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邮政编码</w:t>
            </w:r>
          </w:p>
        </w:tc>
        <w:tc>
          <w:tcPr>
            <w:tcW w:w="2609" w:type="dxa"/>
            <w:gridSpan w:val="2"/>
            <w:noWrap w:val="0"/>
            <w:vAlign w:val="center"/>
          </w:tcPr>
          <w:p w14:paraId="347E10A5">
            <w:pPr>
              <w:widowControl/>
              <w:adjustRightInd w:val="0"/>
              <w:snapToGrid w:val="0"/>
              <w:spacing w:line="500" w:lineRule="exact"/>
              <w:ind w:firstLine="200"/>
              <w:jc w:val="left"/>
              <w:rPr>
                <w:rFonts w:ascii="宋体" w:hAnsi="宋体" w:cs="宋体"/>
                <w:color w:val="auto"/>
                <w:kern w:val="0"/>
                <w:sz w:val="24"/>
                <w:szCs w:val="24"/>
                <w:highlight w:val="none"/>
              </w:rPr>
            </w:pPr>
          </w:p>
        </w:tc>
      </w:tr>
      <w:tr w14:paraId="4F4A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1435" w:type="dxa"/>
            <w:vMerge w:val="restart"/>
            <w:noWrap w:val="0"/>
            <w:vAlign w:val="center"/>
          </w:tcPr>
          <w:p w14:paraId="676BE83D">
            <w:pPr>
              <w:widowControl/>
              <w:adjustRightInd w:val="0"/>
              <w:snapToGrid w:val="0"/>
              <w:spacing w:line="500" w:lineRule="exact"/>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联系方式</w:t>
            </w:r>
          </w:p>
        </w:tc>
        <w:tc>
          <w:tcPr>
            <w:tcW w:w="1492" w:type="dxa"/>
            <w:noWrap w:val="0"/>
            <w:vAlign w:val="center"/>
          </w:tcPr>
          <w:p w14:paraId="64DF48A8">
            <w:pPr>
              <w:widowControl/>
              <w:adjustRightInd w:val="0"/>
              <w:snapToGrid w:val="0"/>
              <w:spacing w:line="500" w:lineRule="exact"/>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联系人</w:t>
            </w:r>
          </w:p>
        </w:tc>
        <w:tc>
          <w:tcPr>
            <w:tcW w:w="2211" w:type="dxa"/>
            <w:gridSpan w:val="2"/>
            <w:noWrap w:val="0"/>
            <w:vAlign w:val="center"/>
          </w:tcPr>
          <w:p w14:paraId="359C5EF2">
            <w:pPr>
              <w:widowControl/>
              <w:adjustRightInd w:val="0"/>
              <w:snapToGrid w:val="0"/>
              <w:spacing w:line="500" w:lineRule="exact"/>
              <w:ind w:firstLine="200"/>
              <w:jc w:val="left"/>
              <w:rPr>
                <w:rFonts w:ascii="宋体" w:hAnsi="宋体" w:cs="宋体"/>
                <w:color w:val="auto"/>
                <w:kern w:val="0"/>
                <w:sz w:val="24"/>
                <w:szCs w:val="24"/>
                <w:highlight w:val="none"/>
              </w:rPr>
            </w:pPr>
          </w:p>
        </w:tc>
        <w:tc>
          <w:tcPr>
            <w:tcW w:w="1548" w:type="dxa"/>
            <w:noWrap w:val="0"/>
            <w:vAlign w:val="center"/>
          </w:tcPr>
          <w:p w14:paraId="2EF70B61">
            <w:pPr>
              <w:widowControl/>
              <w:adjustRightInd w:val="0"/>
              <w:snapToGrid w:val="0"/>
              <w:spacing w:line="500" w:lineRule="exact"/>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2609" w:type="dxa"/>
            <w:gridSpan w:val="2"/>
            <w:noWrap w:val="0"/>
            <w:vAlign w:val="center"/>
          </w:tcPr>
          <w:p w14:paraId="56BC819C">
            <w:pPr>
              <w:widowControl/>
              <w:adjustRightInd w:val="0"/>
              <w:snapToGrid w:val="0"/>
              <w:spacing w:line="500" w:lineRule="exact"/>
              <w:ind w:firstLine="200"/>
              <w:jc w:val="left"/>
              <w:rPr>
                <w:rFonts w:ascii="宋体" w:hAnsi="宋体" w:cs="宋体"/>
                <w:color w:val="auto"/>
                <w:kern w:val="0"/>
                <w:sz w:val="24"/>
                <w:szCs w:val="24"/>
                <w:highlight w:val="none"/>
              </w:rPr>
            </w:pPr>
          </w:p>
        </w:tc>
      </w:tr>
      <w:tr w14:paraId="43CE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trPr>
        <w:tc>
          <w:tcPr>
            <w:tcW w:w="1435" w:type="dxa"/>
            <w:vMerge w:val="continue"/>
            <w:noWrap w:val="0"/>
            <w:vAlign w:val="center"/>
          </w:tcPr>
          <w:p w14:paraId="7072BC83">
            <w:pPr>
              <w:widowControl/>
              <w:adjustRightInd w:val="0"/>
              <w:snapToGrid w:val="0"/>
              <w:spacing w:line="500" w:lineRule="exact"/>
              <w:ind w:firstLine="200"/>
              <w:jc w:val="left"/>
              <w:rPr>
                <w:rFonts w:ascii="宋体" w:hAnsi="宋体" w:cs="宋体"/>
                <w:color w:val="auto"/>
                <w:kern w:val="0"/>
                <w:sz w:val="24"/>
                <w:szCs w:val="24"/>
                <w:highlight w:val="none"/>
              </w:rPr>
            </w:pPr>
          </w:p>
        </w:tc>
        <w:tc>
          <w:tcPr>
            <w:tcW w:w="1492" w:type="dxa"/>
            <w:noWrap w:val="0"/>
            <w:vAlign w:val="center"/>
          </w:tcPr>
          <w:p w14:paraId="79543501">
            <w:pPr>
              <w:widowControl/>
              <w:adjustRightInd w:val="0"/>
              <w:snapToGrid w:val="0"/>
              <w:spacing w:line="500" w:lineRule="exact"/>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传真</w:t>
            </w:r>
          </w:p>
        </w:tc>
        <w:tc>
          <w:tcPr>
            <w:tcW w:w="2211" w:type="dxa"/>
            <w:gridSpan w:val="2"/>
            <w:noWrap w:val="0"/>
            <w:vAlign w:val="center"/>
          </w:tcPr>
          <w:p w14:paraId="50582C27">
            <w:pPr>
              <w:widowControl/>
              <w:adjustRightInd w:val="0"/>
              <w:snapToGrid w:val="0"/>
              <w:spacing w:line="500" w:lineRule="exact"/>
              <w:ind w:firstLine="200"/>
              <w:jc w:val="left"/>
              <w:rPr>
                <w:rFonts w:ascii="宋体" w:hAnsi="宋体" w:cs="宋体"/>
                <w:color w:val="auto"/>
                <w:kern w:val="0"/>
                <w:sz w:val="24"/>
                <w:szCs w:val="24"/>
                <w:highlight w:val="none"/>
              </w:rPr>
            </w:pPr>
          </w:p>
        </w:tc>
        <w:tc>
          <w:tcPr>
            <w:tcW w:w="1548" w:type="dxa"/>
            <w:noWrap w:val="0"/>
            <w:vAlign w:val="center"/>
          </w:tcPr>
          <w:p w14:paraId="7E50261F">
            <w:pPr>
              <w:widowControl/>
              <w:adjustRightInd w:val="0"/>
              <w:snapToGrid w:val="0"/>
              <w:spacing w:line="500" w:lineRule="exact"/>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网址</w:t>
            </w:r>
          </w:p>
        </w:tc>
        <w:tc>
          <w:tcPr>
            <w:tcW w:w="2609" w:type="dxa"/>
            <w:gridSpan w:val="2"/>
            <w:noWrap w:val="0"/>
            <w:vAlign w:val="center"/>
          </w:tcPr>
          <w:p w14:paraId="52A189CD">
            <w:pPr>
              <w:widowControl/>
              <w:adjustRightInd w:val="0"/>
              <w:snapToGrid w:val="0"/>
              <w:spacing w:line="500" w:lineRule="exact"/>
              <w:ind w:firstLine="200"/>
              <w:jc w:val="left"/>
              <w:rPr>
                <w:rFonts w:ascii="宋体" w:hAnsi="宋体" w:cs="宋体"/>
                <w:color w:val="auto"/>
                <w:kern w:val="0"/>
                <w:sz w:val="24"/>
                <w:szCs w:val="24"/>
                <w:highlight w:val="none"/>
              </w:rPr>
            </w:pPr>
          </w:p>
        </w:tc>
      </w:tr>
      <w:tr w14:paraId="7B03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exact"/>
        </w:trPr>
        <w:tc>
          <w:tcPr>
            <w:tcW w:w="1435" w:type="dxa"/>
            <w:noWrap w:val="0"/>
            <w:vAlign w:val="center"/>
          </w:tcPr>
          <w:p w14:paraId="711AA9DD">
            <w:pPr>
              <w:widowControl/>
              <w:adjustRightInd w:val="0"/>
              <w:snapToGri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w:t>
            </w:r>
          </w:p>
        </w:tc>
        <w:tc>
          <w:tcPr>
            <w:tcW w:w="1492" w:type="dxa"/>
            <w:noWrap w:val="0"/>
            <w:vAlign w:val="center"/>
          </w:tcPr>
          <w:p w14:paraId="3B2C0320">
            <w:pPr>
              <w:widowControl/>
              <w:adjustRightInd w:val="0"/>
              <w:snapToGrid w:val="0"/>
              <w:spacing w:line="500" w:lineRule="exact"/>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姓名</w:t>
            </w:r>
          </w:p>
        </w:tc>
        <w:tc>
          <w:tcPr>
            <w:tcW w:w="1243" w:type="dxa"/>
            <w:noWrap w:val="0"/>
            <w:vAlign w:val="center"/>
          </w:tcPr>
          <w:p w14:paraId="0B005EFC">
            <w:pPr>
              <w:widowControl/>
              <w:adjustRightInd w:val="0"/>
              <w:snapToGrid w:val="0"/>
              <w:spacing w:line="500" w:lineRule="exact"/>
              <w:ind w:firstLine="200"/>
              <w:jc w:val="left"/>
              <w:rPr>
                <w:rFonts w:ascii="宋体" w:hAnsi="宋体" w:cs="宋体"/>
                <w:color w:val="auto"/>
                <w:kern w:val="0"/>
                <w:sz w:val="24"/>
                <w:szCs w:val="24"/>
                <w:highlight w:val="none"/>
              </w:rPr>
            </w:pPr>
          </w:p>
        </w:tc>
        <w:tc>
          <w:tcPr>
            <w:tcW w:w="968" w:type="dxa"/>
            <w:noWrap w:val="0"/>
            <w:vAlign w:val="center"/>
          </w:tcPr>
          <w:p w14:paraId="1D0578CA">
            <w:pPr>
              <w:widowControl/>
              <w:adjustRightInd w:val="0"/>
              <w:snapToGrid w:val="0"/>
              <w:spacing w:line="500" w:lineRule="exact"/>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职称</w:t>
            </w:r>
          </w:p>
        </w:tc>
        <w:tc>
          <w:tcPr>
            <w:tcW w:w="1548" w:type="dxa"/>
            <w:noWrap w:val="0"/>
            <w:vAlign w:val="center"/>
          </w:tcPr>
          <w:p w14:paraId="4E04180F">
            <w:pPr>
              <w:widowControl/>
              <w:adjustRightInd w:val="0"/>
              <w:snapToGrid w:val="0"/>
              <w:spacing w:line="500" w:lineRule="exact"/>
              <w:ind w:firstLine="200"/>
              <w:jc w:val="left"/>
              <w:rPr>
                <w:rFonts w:ascii="宋体" w:hAnsi="宋体" w:cs="宋体"/>
                <w:color w:val="auto"/>
                <w:kern w:val="0"/>
                <w:sz w:val="24"/>
                <w:szCs w:val="24"/>
                <w:highlight w:val="none"/>
              </w:rPr>
            </w:pPr>
          </w:p>
        </w:tc>
        <w:tc>
          <w:tcPr>
            <w:tcW w:w="1079" w:type="dxa"/>
            <w:noWrap w:val="0"/>
            <w:vAlign w:val="center"/>
          </w:tcPr>
          <w:p w14:paraId="5ACED81D">
            <w:pPr>
              <w:widowControl/>
              <w:adjustRightInd w:val="0"/>
              <w:snapToGrid w:val="0"/>
              <w:spacing w:line="500" w:lineRule="exact"/>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1530" w:type="dxa"/>
            <w:noWrap w:val="0"/>
            <w:vAlign w:val="center"/>
          </w:tcPr>
          <w:p w14:paraId="31A861FB">
            <w:pPr>
              <w:widowControl/>
              <w:adjustRightInd w:val="0"/>
              <w:snapToGrid w:val="0"/>
              <w:spacing w:line="500" w:lineRule="exact"/>
              <w:ind w:firstLine="200"/>
              <w:jc w:val="left"/>
              <w:rPr>
                <w:rFonts w:ascii="宋体" w:hAnsi="宋体" w:cs="宋体"/>
                <w:color w:val="auto"/>
                <w:kern w:val="0"/>
                <w:sz w:val="24"/>
                <w:szCs w:val="24"/>
                <w:highlight w:val="none"/>
              </w:rPr>
            </w:pPr>
          </w:p>
        </w:tc>
      </w:tr>
      <w:tr w14:paraId="388A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1435" w:type="dxa"/>
            <w:noWrap w:val="0"/>
            <w:vAlign w:val="center"/>
          </w:tcPr>
          <w:p w14:paraId="0D129018">
            <w:pPr>
              <w:widowControl/>
              <w:adjustRightInd w:val="0"/>
              <w:snapToGri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营业执照号</w:t>
            </w:r>
          </w:p>
        </w:tc>
        <w:tc>
          <w:tcPr>
            <w:tcW w:w="2735" w:type="dxa"/>
            <w:gridSpan w:val="2"/>
            <w:noWrap w:val="0"/>
            <w:vAlign w:val="center"/>
          </w:tcPr>
          <w:p w14:paraId="31126E84">
            <w:pPr>
              <w:widowControl/>
              <w:adjustRightInd w:val="0"/>
              <w:snapToGrid w:val="0"/>
              <w:spacing w:line="500" w:lineRule="exact"/>
              <w:jc w:val="left"/>
              <w:rPr>
                <w:rFonts w:ascii="宋体" w:hAnsi="宋体" w:cs="宋体"/>
                <w:color w:val="auto"/>
                <w:kern w:val="0"/>
                <w:sz w:val="24"/>
                <w:szCs w:val="24"/>
                <w:highlight w:val="none"/>
              </w:rPr>
            </w:pPr>
          </w:p>
        </w:tc>
        <w:tc>
          <w:tcPr>
            <w:tcW w:w="2516" w:type="dxa"/>
            <w:gridSpan w:val="2"/>
            <w:noWrap w:val="0"/>
            <w:vAlign w:val="center"/>
          </w:tcPr>
          <w:p w14:paraId="1279D5E7">
            <w:pPr>
              <w:widowControl/>
              <w:adjustRightInd w:val="0"/>
              <w:snapToGrid w:val="0"/>
              <w:spacing w:line="500" w:lineRule="exact"/>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企业资质等级</w:t>
            </w:r>
          </w:p>
        </w:tc>
        <w:tc>
          <w:tcPr>
            <w:tcW w:w="2609" w:type="dxa"/>
            <w:gridSpan w:val="2"/>
            <w:noWrap w:val="0"/>
            <w:vAlign w:val="center"/>
          </w:tcPr>
          <w:p w14:paraId="3F7ABA6A">
            <w:pPr>
              <w:widowControl/>
              <w:adjustRightInd w:val="0"/>
              <w:snapToGrid w:val="0"/>
              <w:spacing w:line="500" w:lineRule="exact"/>
              <w:ind w:firstLine="200"/>
              <w:jc w:val="left"/>
              <w:rPr>
                <w:rFonts w:ascii="宋体" w:hAnsi="宋体" w:cs="宋体"/>
                <w:color w:val="auto"/>
                <w:kern w:val="0"/>
                <w:sz w:val="24"/>
                <w:szCs w:val="24"/>
                <w:highlight w:val="none"/>
              </w:rPr>
            </w:pPr>
          </w:p>
        </w:tc>
      </w:tr>
      <w:tr w14:paraId="4804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1435" w:type="dxa"/>
            <w:noWrap w:val="0"/>
            <w:vAlign w:val="center"/>
          </w:tcPr>
          <w:p w14:paraId="2F5B66C6">
            <w:pPr>
              <w:widowControl/>
              <w:adjustRightInd w:val="0"/>
              <w:snapToGri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营业范围</w:t>
            </w:r>
          </w:p>
        </w:tc>
        <w:tc>
          <w:tcPr>
            <w:tcW w:w="7860" w:type="dxa"/>
            <w:gridSpan w:val="6"/>
            <w:noWrap w:val="0"/>
            <w:vAlign w:val="center"/>
          </w:tcPr>
          <w:p w14:paraId="2E20C04B">
            <w:pPr>
              <w:widowControl/>
              <w:adjustRightInd w:val="0"/>
              <w:snapToGrid w:val="0"/>
              <w:spacing w:line="500" w:lineRule="exact"/>
              <w:jc w:val="left"/>
              <w:rPr>
                <w:rFonts w:ascii="宋体" w:hAnsi="宋体" w:cs="宋体"/>
                <w:color w:val="auto"/>
                <w:kern w:val="0"/>
                <w:sz w:val="24"/>
                <w:szCs w:val="24"/>
                <w:highlight w:val="none"/>
              </w:rPr>
            </w:pPr>
          </w:p>
        </w:tc>
      </w:tr>
      <w:tr w14:paraId="39DE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1435" w:type="dxa"/>
            <w:noWrap w:val="0"/>
            <w:vAlign w:val="center"/>
          </w:tcPr>
          <w:p w14:paraId="222CDC3B">
            <w:pPr>
              <w:widowControl/>
              <w:adjustRightInd w:val="0"/>
              <w:snapToGri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响应承诺</w:t>
            </w:r>
          </w:p>
        </w:tc>
        <w:tc>
          <w:tcPr>
            <w:tcW w:w="7860" w:type="dxa"/>
            <w:gridSpan w:val="6"/>
            <w:noWrap w:val="0"/>
            <w:vAlign w:val="center"/>
          </w:tcPr>
          <w:p w14:paraId="08BB67AD">
            <w:pPr>
              <w:widowControl/>
              <w:adjustRightInd w:val="0"/>
              <w:snapToGri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1、具有独立承担民事责任的能力；</w:t>
            </w:r>
          </w:p>
          <w:p w14:paraId="649827BB">
            <w:pPr>
              <w:widowControl/>
              <w:adjustRightInd w:val="0"/>
              <w:snapToGri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2、具有履行合同所必需的设备和专业技术能力； </w:t>
            </w:r>
          </w:p>
          <w:p w14:paraId="26CECA61">
            <w:pPr>
              <w:widowControl/>
              <w:adjustRightInd w:val="0"/>
              <w:snapToGri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3、独立参加响应活动，若成交决不转包；</w:t>
            </w:r>
          </w:p>
          <w:p w14:paraId="2A29F448">
            <w:pPr>
              <w:widowControl/>
              <w:adjustRightInd w:val="0"/>
              <w:snapToGri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4、提交的所有磋商响应文件、资料都是准确的和真实的</w:t>
            </w:r>
          </w:p>
          <w:p w14:paraId="1629829E">
            <w:pPr>
              <w:spacing w:after="120" w:line="5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5、无经公示的不良行为信用记录或有不良行为信用记录已过处罚暂停期的。</w:t>
            </w:r>
          </w:p>
        </w:tc>
      </w:tr>
    </w:tbl>
    <w:p w14:paraId="2678402B">
      <w:pPr>
        <w:pStyle w:val="24"/>
        <w:spacing w:line="500" w:lineRule="exact"/>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后附：企业</w:t>
      </w:r>
      <w:r>
        <w:rPr>
          <w:rFonts w:hint="eastAsia" w:ascii="宋体" w:hAnsi="宋体" w:eastAsia="宋体" w:cs="宋体"/>
          <w:b/>
          <w:bCs/>
          <w:color w:val="auto"/>
          <w:sz w:val="24"/>
          <w:szCs w:val="24"/>
          <w:highlight w:val="none"/>
          <w:lang w:val="en-US" w:eastAsia="zh-CN"/>
        </w:rPr>
        <w:t>有效的</w:t>
      </w:r>
      <w:r>
        <w:rPr>
          <w:rFonts w:hint="eastAsia" w:ascii="宋体" w:hAnsi="宋体" w:eastAsia="宋体" w:cs="宋体"/>
          <w:b/>
          <w:bCs/>
          <w:color w:val="auto"/>
          <w:sz w:val="24"/>
          <w:szCs w:val="24"/>
          <w:highlight w:val="none"/>
        </w:rPr>
        <w:t>营业执照、资质证书加盖公章扫描件。</w:t>
      </w:r>
    </w:p>
    <w:p w14:paraId="390CEF5C">
      <w:pPr>
        <w:pStyle w:val="24"/>
        <w:spacing w:line="500" w:lineRule="exact"/>
        <w:ind w:left="0" w:leftChars="0" w:firstLine="0" w:firstLineChars="0"/>
        <w:jc w:val="center"/>
        <w:rPr>
          <w:rFonts w:ascii="宋体" w:hAnsi="宋体" w:eastAsia="宋体" w:cs="宋体"/>
          <w:color w:val="auto"/>
          <w:sz w:val="30"/>
          <w:szCs w:val="30"/>
          <w:highlight w:val="none"/>
        </w:rPr>
      </w:pPr>
    </w:p>
    <w:p w14:paraId="3679C45A">
      <w:pPr>
        <w:spacing w:line="460" w:lineRule="exact"/>
        <w:ind w:firstLine="3780" w:firstLineChars="1800"/>
        <w:rPr>
          <w:rFonts w:ascii="宋体" w:hAnsi="宋体" w:cs="宋体"/>
          <w:color w:val="auto"/>
          <w:szCs w:val="21"/>
          <w:highlight w:val="non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（公章）</w:t>
      </w:r>
      <w:r>
        <w:rPr>
          <w:rFonts w:hint="eastAsia" w:ascii="宋体" w:hAnsi="宋体" w:cs="宋体"/>
          <w:color w:val="auto"/>
          <w:szCs w:val="21"/>
          <w:highlight w:val="none"/>
        </w:rPr>
        <w:t xml:space="preserve">                              </w:t>
      </w:r>
    </w:p>
    <w:p w14:paraId="5C291C1D">
      <w:pPr>
        <w:spacing w:line="460" w:lineRule="exact"/>
        <w:rPr>
          <w:rFonts w:ascii="宋体" w:hAnsi="宋体" w:cs="宋体"/>
          <w:color w:val="auto"/>
          <w:szCs w:val="21"/>
          <w:highlight w:val="none"/>
        </w:rPr>
      </w:pPr>
      <w:r>
        <w:rPr>
          <w:rFonts w:hint="eastAsia" w:ascii="宋体" w:hAnsi="宋体" w:cs="宋体"/>
          <w:color w:val="auto"/>
          <w:szCs w:val="21"/>
          <w:highlight w:val="none"/>
        </w:rPr>
        <w:t xml:space="preserve">                                      法定代表人或委托代理人：</w:t>
      </w:r>
      <w:r>
        <w:rPr>
          <w:rFonts w:hint="eastAsia" w:ascii="宋体" w:hAnsi="宋体" w:cs="宋体"/>
          <w:color w:val="auto"/>
          <w:szCs w:val="21"/>
          <w:highlight w:val="none"/>
          <w:u w:val="single"/>
        </w:rPr>
        <w:t xml:space="preserve">          （签字）</w:t>
      </w:r>
    </w:p>
    <w:p w14:paraId="12591B1A">
      <w:pPr>
        <w:spacing w:line="460" w:lineRule="exact"/>
        <w:rPr>
          <w:rFonts w:ascii="宋体" w:hAnsi="宋体" w:cs="宋体"/>
          <w:b/>
          <w:color w:val="auto"/>
          <w:szCs w:val="21"/>
          <w:highlight w:val="none"/>
        </w:rPr>
      </w:pPr>
      <w:r>
        <w:rPr>
          <w:rFonts w:hint="eastAsia" w:ascii="宋体" w:hAnsi="宋体" w:cs="宋体"/>
          <w:color w:val="auto"/>
          <w:szCs w:val="21"/>
          <w:highlight w:val="none"/>
        </w:rPr>
        <w:t xml:space="preserve">                                       日      期：     年    月    日</w:t>
      </w:r>
    </w:p>
    <w:p w14:paraId="0A3CAFB0">
      <w:pPr>
        <w:autoSpaceDE w:val="0"/>
        <w:autoSpaceDN w:val="0"/>
        <w:adjustRightInd w:val="0"/>
        <w:spacing w:line="400" w:lineRule="exact"/>
        <w:jc w:val="center"/>
        <w:rPr>
          <w:rFonts w:hint="eastAsia" w:hAnsi="宋体"/>
          <w:b/>
          <w:bCs/>
          <w:color w:val="auto"/>
          <w:sz w:val="30"/>
          <w:szCs w:val="30"/>
          <w:highlight w:val="none"/>
          <w:lang w:val="zh-CN"/>
        </w:rPr>
      </w:pPr>
    </w:p>
    <w:p w14:paraId="0DE6C2DD">
      <w:pPr>
        <w:shd w:val="clear" w:color="auto" w:fill="auto"/>
        <w:spacing w:line="353" w:lineRule="exact"/>
        <w:ind w:right="264"/>
        <w:jc w:val="center"/>
        <w:rPr>
          <w:rFonts w:hint="eastAsia" w:ascii="宋体" w:hAnsi="宋体"/>
          <w:b/>
          <w:color w:val="auto"/>
          <w:sz w:val="24"/>
          <w:highlight w:val="none"/>
          <w:lang w:val="en-US" w:eastAsia="zh-CN"/>
        </w:rPr>
      </w:pPr>
    </w:p>
    <w:p w14:paraId="301DD047">
      <w:pPr>
        <w:shd w:val="clear" w:color="auto" w:fill="auto"/>
        <w:spacing w:line="353" w:lineRule="exact"/>
        <w:ind w:right="264"/>
        <w:rPr>
          <w:rFonts w:hint="eastAsia" w:ascii="宋体" w:hAnsi="宋体"/>
          <w:b/>
          <w:color w:val="auto"/>
          <w:sz w:val="24"/>
          <w:highlight w:val="none"/>
          <w:lang w:val="en-US" w:eastAsia="zh-CN"/>
        </w:rPr>
      </w:pPr>
    </w:p>
    <w:p w14:paraId="524B8FF4">
      <w:pPr>
        <w:shd w:val="clear" w:color="auto" w:fill="auto"/>
        <w:spacing w:line="353" w:lineRule="exact"/>
        <w:ind w:right="264"/>
        <w:rPr>
          <w:rFonts w:hint="eastAsia" w:ascii="宋体" w:hAnsi="宋体"/>
          <w:b/>
          <w:color w:val="auto"/>
          <w:sz w:val="24"/>
          <w:highlight w:val="none"/>
          <w:lang w:val="en-US" w:eastAsia="zh-CN"/>
        </w:rPr>
      </w:pPr>
    </w:p>
    <w:p w14:paraId="2FB84DBC">
      <w:pPr>
        <w:shd w:val="clear" w:color="auto" w:fill="auto"/>
        <w:spacing w:line="353" w:lineRule="exact"/>
        <w:ind w:right="264"/>
        <w:rPr>
          <w:rFonts w:hint="eastAsia" w:ascii="宋体" w:hAnsi="宋体"/>
          <w:b/>
          <w:color w:val="auto"/>
          <w:sz w:val="24"/>
          <w:highlight w:val="none"/>
          <w:lang w:val="en-US" w:eastAsia="zh-CN"/>
        </w:rPr>
      </w:pPr>
    </w:p>
    <w:p w14:paraId="07462C47">
      <w:pPr>
        <w:shd w:val="clear" w:color="auto" w:fill="auto"/>
        <w:spacing w:line="353" w:lineRule="exact"/>
        <w:ind w:right="264"/>
        <w:rPr>
          <w:rFonts w:hint="eastAsia" w:ascii="宋体" w:hAnsi="宋体"/>
          <w:b/>
          <w:color w:val="auto"/>
          <w:sz w:val="24"/>
          <w:highlight w:val="none"/>
          <w:lang w:val="en-US" w:eastAsia="zh-CN"/>
        </w:rPr>
      </w:pPr>
    </w:p>
    <w:p w14:paraId="1381F714">
      <w:pPr>
        <w:shd w:val="clear" w:color="auto" w:fill="auto"/>
        <w:spacing w:line="353" w:lineRule="exact"/>
        <w:ind w:right="264"/>
        <w:rPr>
          <w:rFonts w:hint="eastAsia" w:ascii="宋体" w:hAnsi="宋体"/>
          <w:b/>
          <w:color w:val="auto"/>
          <w:sz w:val="24"/>
          <w:highlight w:val="none"/>
          <w:lang w:val="en-US" w:eastAsia="zh-CN"/>
        </w:rPr>
      </w:pPr>
    </w:p>
    <w:p w14:paraId="296949CC">
      <w:pPr>
        <w:shd w:val="clear" w:color="auto" w:fill="auto"/>
        <w:spacing w:line="600" w:lineRule="exact"/>
        <w:jc w:val="center"/>
        <w:rPr>
          <w:rFonts w:hint="eastAsia" w:ascii="宋体" w:hAnsi="宋体" w:cs="Times New Roman"/>
          <w:b/>
          <w:bCs/>
          <w:color w:val="auto"/>
          <w:sz w:val="28"/>
          <w:szCs w:val="28"/>
          <w:highlight w:val="none"/>
        </w:rPr>
      </w:pPr>
      <w:r>
        <w:rPr>
          <w:rFonts w:hint="eastAsia" w:ascii="宋体" w:hAnsi="宋体" w:cs="Times New Roman"/>
          <w:b/>
          <w:bCs/>
          <w:color w:val="auto"/>
          <w:sz w:val="28"/>
          <w:szCs w:val="28"/>
          <w:highlight w:val="none"/>
          <w:lang w:val="en-US" w:eastAsia="zh-CN"/>
        </w:rPr>
        <w:t>4.</w:t>
      </w:r>
      <w:r>
        <w:rPr>
          <w:rFonts w:hint="eastAsia" w:ascii="宋体" w:hAnsi="宋体" w:cs="Times New Roman"/>
          <w:b/>
          <w:bCs/>
          <w:color w:val="auto"/>
          <w:sz w:val="28"/>
          <w:szCs w:val="28"/>
          <w:highlight w:val="none"/>
          <w:lang w:val="zh-CN"/>
        </w:rPr>
        <w:t>类似业绩</w:t>
      </w:r>
    </w:p>
    <w:p w14:paraId="6976D79D">
      <w:pPr>
        <w:pStyle w:val="24"/>
        <w:shd w:val="clear" w:color="auto" w:fill="auto"/>
        <w:ind w:left="0" w:leftChars="0" w:firstLine="0" w:firstLineChars="0"/>
        <w:rPr>
          <w:rFonts w:hint="eastAsia"/>
          <w:color w:val="auto"/>
          <w:sz w:val="24"/>
          <w:szCs w:val="24"/>
          <w:highlight w:val="none"/>
          <w:lang w:val="en-US" w:eastAsia="zh-CN"/>
        </w:rPr>
      </w:pPr>
    </w:p>
    <w:tbl>
      <w:tblPr>
        <w:tblStyle w:val="25"/>
        <w:tblW w:w="4998" w:type="pct"/>
        <w:jc w:val="center"/>
        <w:tblLayout w:type="autofit"/>
        <w:tblCellMar>
          <w:top w:w="0" w:type="dxa"/>
          <w:left w:w="0" w:type="dxa"/>
          <w:bottom w:w="0" w:type="dxa"/>
          <w:right w:w="0" w:type="dxa"/>
        </w:tblCellMar>
      </w:tblPr>
      <w:tblGrid>
        <w:gridCol w:w="931"/>
        <w:gridCol w:w="2056"/>
        <w:gridCol w:w="1556"/>
        <w:gridCol w:w="1556"/>
        <w:gridCol w:w="1787"/>
        <w:gridCol w:w="1768"/>
      </w:tblGrid>
      <w:tr w14:paraId="019374F5">
        <w:tblPrEx>
          <w:tblCellMar>
            <w:top w:w="0" w:type="dxa"/>
            <w:left w:w="0" w:type="dxa"/>
            <w:bottom w:w="0" w:type="dxa"/>
            <w:right w:w="0" w:type="dxa"/>
          </w:tblCellMar>
        </w:tblPrEx>
        <w:trPr>
          <w:trHeight w:val="850" w:hRule="atLeast"/>
          <w:jc w:val="center"/>
        </w:trPr>
        <w:tc>
          <w:tcPr>
            <w:tcW w:w="482" w:type="pct"/>
            <w:tcBorders>
              <w:top w:val="single" w:color="auto" w:sz="8" w:space="0"/>
              <w:left w:val="single" w:color="auto" w:sz="8" w:space="0"/>
              <w:right w:val="single" w:color="auto" w:sz="8" w:space="0"/>
            </w:tcBorders>
            <w:noWrap w:val="0"/>
            <w:vAlign w:val="center"/>
          </w:tcPr>
          <w:p w14:paraId="4F2E3C8B">
            <w:pPr>
              <w:shd w:val="clear" w:color="auto" w:fill="auto"/>
              <w:spacing w:line="274"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064" w:type="pct"/>
            <w:tcBorders>
              <w:top w:val="single" w:color="auto" w:sz="8" w:space="0"/>
              <w:bottom w:val="single" w:color="auto" w:sz="4" w:space="0"/>
              <w:right w:val="single" w:color="auto" w:sz="8" w:space="0"/>
            </w:tcBorders>
            <w:noWrap w:val="0"/>
            <w:vAlign w:val="center"/>
          </w:tcPr>
          <w:p w14:paraId="2C1D7EC5">
            <w:pPr>
              <w:shd w:val="clear" w:color="auto" w:fill="auto"/>
              <w:spacing w:line="274"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805" w:type="pct"/>
            <w:tcBorders>
              <w:top w:val="single" w:color="auto" w:sz="8" w:space="0"/>
              <w:right w:val="single" w:color="auto" w:sz="8" w:space="0"/>
            </w:tcBorders>
            <w:noWrap w:val="0"/>
            <w:vAlign w:val="center"/>
          </w:tcPr>
          <w:p w14:paraId="6003506E">
            <w:pPr>
              <w:shd w:val="clear" w:color="auto" w:fill="auto"/>
              <w:spacing w:line="274"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业主单位名称</w:t>
            </w:r>
          </w:p>
        </w:tc>
        <w:tc>
          <w:tcPr>
            <w:tcW w:w="805" w:type="pct"/>
            <w:tcBorders>
              <w:top w:val="single" w:color="auto" w:sz="8" w:space="0"/>
              <w:right w:val="single" w:color="auto" w:sz="8" w:space="0"/>
            </w:tcBorders>
            <w:noWrap w:val="0"/>
            <w:vAlign w:val="center"/>
          </w:tcPr>
          <w:p w14:paraId="0C84C24F">
            <w:pPr>
              <w:shd w:val="clear" w:color="auto" w:fill="auto"/>
              <w:spacing w:line="274" w:lineRule="exact"/>
              <w:jc w:val="center"/>
              <w:rPr>
                <w:rFonts w:ascii="宋体" w:cs="宋体"/>
                <w:color w:val="auto"/>
                <w:sz w:val="24"/>
                <w:szCs w:val="24"/>
                <w:highlight w:val="none"/>
              </w:rPr>
            </w:pPr>
            <w:r>
              <w:rPr>
                <w:rFonts w:hint="eastAsia" w:ascii="宋体" w:hAnsi="宋体" w:cs="宋体"/>
                <w:color w:val="auto"/>
                <w:sz w:val="24"/>
                <w:szCs w:val="24"/>
                <w:highlight w:val="none"/>
              </w:rPr>
              <w:t>内容概要</w:t>
            </w:r>
          </w:p>
        </w:tc>
        <w:tc>
          <w:tcPr>
            <w:tcW w:w="925" w:type="pct"/>
            <w:tcBorders>
              <w:top w:val="single" w:color="auto" w:sz="8" w:space="0"/>
              <w:right w:val="single" w:color="auto" w:sz="8" w:space="0"/>
            </w:tcBorders>
            <w:noWrap w:val="0"/>
            <w:vAlign w:val="center"/>
          </w:tcPr>
          <w:p w14:paraId="02A547A0">
            <w:pPr>
              <w:shd w:val="clear" w:color="auto" w:fill="auto"/>
              <w:spacing w:line="274" w:lineRule="exact"/>
              <w:jc w:val="center"/>
              <w:rPr>
                <w:rFonts w:ascii="宋体" w:cs="宋体"/>
                <w:color w:val="auto"/>
                <w:sz w:val="24"/>
                <w:szCs w:val="24"/>
                <w:highlight w:val="none"/>
              </w:rPr>
            </w:pPr>
            <w:r>
              <w:rPr>
                <w:rFonts w:hint="eastAsia" w:ascii="宋体" w:hAnsi="宋体" w:cs="宋体"/>
                <w:color w:val="auto"/>
                <w:sz w:val="24"/>
                <w:szCs w:val="24"/>
                <w:highlight w:val="none"/>
              </w:rPr>
              <w:t>合同金额（元）</w:t>
            </w:r>
          </w:p>
        </w:tc>
        <w:tc>
          <w:tcPr>
            <w:tcW w:w="915" w:type="pct"/>
            <w:tcBorders>
              <w:top w:val="single" w:color="auto" w:sz="8" w:space="0"/>
              <w:right w:val="single" w:color="auto" w:sz="8" w:space="0"/>
            </w:tcBorders>
            <w:noWrap w:val="0"/>
            <w:vAlign w:val="center"/>
          </w:tcPr>
          <w:p w14:paraId="297E5943">
            <w:pPr>
              <w:shd w:val="clear" w:color="auto" w:fill="auto"/>
              <w:spacing w:line="274" w:lineRule="exact"/>
              <w:jc w:val="center"/>
              <w:rPr>
                <w:rFonts w:ascii="宋体" w:cs="宋体"/>
                <w:color w:val="auto"/>
                <w:sz w:val="24"/>
                <w:szCs w:val="24"/>
                <w:highlight w:val="none"/>
              </w:rPr>
            </w:pPr>
            <w:r>
              <w:rPr>
                <w:rFonts w:hint="eastAsia" w:ascii="宋体" w:hAnsi="宋体" w:cs="宋体"/>
                <w:color w:val="auto"/>
                <w:sz w:val="24"/>
                <w:szCs w:val="24"/>
                <w:highlight w:val="none"/>
              </w:rPr>
              <w:t>实施时间</w:t>
            </w:r>
          </w:p>
        </w:tc>
      </w:tr>
      <w:tr w14:paraId="159E462B">
        <w:tblPrEx>
          <w:tblCellMar>
            <w:top w:w="0" w:type="dxa"/>
            <w:left w:w="0" w:type="dxa"/>
            <w:bottom w:w="0" w:type="dxa"/>
            <w:right w:w="0" w:type="dxa"/>
          </w:tblCellMar>
        </w:tblPrEx>
        <w:trPr>
          <w:trHeight w:val="68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7F2EED75">
            <w:pPr>
              <w:shd w:val="clear" w:color="auto" w:fill="auto"/>
              <w:spacing w:line="274" w:lineRule="exact"/>
              <w:jc w:val="center"/>
              <w:rPr>
                <w:rFonts w:ascii="宋体"/>
                <w:color w:val="auto"/>
                <w:w w:val="99"/>
                <w:sz w:val="24"/>
                <w:szCs w:val="24"/>
                <w:highlight w:val="none"/>
              </w:rPr>
            </w:pPr>
            <w:r>
              <w:rPr>
                <w:rFonts w:ascii="宋体" w:hAnsi="宋体"/>
                <w:color w:val="auto"/>
                <w:w w:val="99"/>
                <w:sz w:val="24"/>
                <w:szCs w:val="24"/>
                <w:highlight w:val="none"/>
              </w:rPr>
              <w:t>1</w:t>
            </w:r>
          </w:p>
        </w:tc>
        <w:tc>
          <w:tcPr>
            <w:tcW w:w="1064" w:type="pct"/>
            <w:tcBorders>
              <w:top w:val="single" w:color="auto" w:sz="4" w:space="0"/>
              <w:left w:val="single" w:color="auto" w:sz="4" w:space="0"/>
              <w:bottom w:val="single" w:color="auto" w:sz="4" w:space="0"/>
              <w:right w:val="single" w:color="auto" w:sz="4" w:space="0"/>
            </w:tcBorders>
            <w:noWrap w:val="0"/>
            <w:vAlign w:val="center"/>
          </w:tcPr>
          <w:p w14:paraId="35F6C89A">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0AEC0CFB">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17BE632A">
            <w:pPr>
              <w:shd w:val="clear" w:color="auto" w:fill="auto"/>
              <w:spacing w:line="240" w:lineRule="atLeast"/>
              <w:jc w:val="center"/>
              <w:rPr>
                <w:rFonts w:ascii="Times New Roman" w:hAnsi="Times New Roman"/>
                <w:color w:val="auto"/>
                <w:sz w:val="24"/>
                <w:szCs w:val="24"/>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CF13AC4">
            <w:pPr>
              <w:shd w:val="clear" w:color="auto" w:fill="auto"/>
              <w:spacing w:line="240" w:lineRule="atLeast"/>
              <w:jc w:val="center"/>
              <w:rPr>
                <w:rFonts w:ascii="Times New Roman" w:hAnsi="Times New Roman"/>
                <w:color w:val="auto"/>
                <w:sz w:val="24"/>
                <w:szCs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49BA99B9">
            <w:pPr>
              <w:shd w:val="clear" w:color="auto" w:fill="auto"/>
              <w:spacing w:line="240" w:lineRule="atLeast"/>
              <w:jc w:val="center"/>
              <w:rPr>
                <w:rFonts w:ascii="Times New Roman" w:hAnsi="Times New Roman"/>
                <w:color w:val="auto"/>
                <w:sz w:val="24"/>
                <w:szCs w:val="24"/>
                <w:highlight w:val="none"/>
              </w:rPr>
            </w:pPr>
          </w:p>
        </w:tc>
      </w:tr>
      <w:tr w14:paraId="2EFFBF3A">
        <w:tblPrEx>
          <w:tblCellMar>
            <w:top w:w="0" w:type="dxa"/>
            <w:left w:w="0" w:type="dxa"/>
            <w:bottom w:w="0" w:type="dxa"/>
            <w:right w:w="0" w:type="dxa"/>
          </w:tblCellMar>
        </w:tblPrEx>
        <w:trPr>
          <w:trHeight w:val="68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705DA51D">
            <w:pPr>
              <w:shd w:val="clear" w:color="auto" w:fill="auto"/>
              <w:spacing w:line="274" w:lineRule="exact"/>
              <w:jc w:val="center"/>
              <w:rPr>
                <w:rFonts w:ascii="宋体"/>
                <w:color w:val="auto"/>
                <w:w w:val="99"/>
                <w:sz w:val="24"/>
                <w:szCs w:val="24"/>
                <w:highlight w:val="none"/>
              </w:rPr>
            </w:pPr>
            <w:r>
              <w:rPr>
                <w:rFonts w:ascii="宋体" w:hAnsi="宋体"/>
                <w:color w:val="auto"/>
                <w:w w:val="99"/>
                <w:sz w:val="24"/>
                <w:szCs w:val="24"/>
                <w:highlight w:val="none"/>
              </w:rPr>
              <w:t>2</w:t>
            </w:r>
          </w:p>
        </w:tc>
        <w:tc>
          <w:tcPr>
            <w:tcW w:w="1064" w:type="pct"/>
            <w:tcBorders>
              <w:top w:val="single" w:color="auto" w:sz="4" w:space="0"/>
              <w:left w:val="single" w:color="auto" w:sz="4" w:space="0"/>
              <w:bottom w:val="single" w:color="auto" w:sz="4" w:space="0"/>
              <w:right w:val="single" w:color="auto" w:sz="4" w:space="0"/>
            </w:tcBorders>
            <w:noWrap w:val="0"/>
            <w:vAlign w:val="center"/>
          </w:tcPr>
          <w:p w14:paraId="662A0BA1">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385CB3C8">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01FF5E91">
            <w:pPr>
              <w:shd w:val="clear" w:color="auto" w:fill="auto"/>
              <w:spacing w:line="240" w:lineRule="atLeast"/>
              <w:jc w:val="center"/>
              <w:rPr>
                <w:rFonts w:ascii="Times New Roman" w:hAnsi="Times New Roman"/>
                <w:color w:val="auto"/>
                <w:sz w:val="24"/>
                <w:szCs w:val="24"/>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A64ADA6">
            <w:pPr>
              <w:shd w:val="clear" w:color="auto" w:fill="auto"/>
              <w:spacing w:line="240" w:lineRule="atLeast"/>
              <w:jc w:val="center"/>
              <w:rPr>
                <w:rFonts w:ascii="Times New Roman" w:hAnsi="Times New Roman"/>
                <w:color w:val="auto"/>
                <w:sz w:val="24"/>
                <w:szCs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4E83BF12">
            <w:pPr>
              <w:shd w:val="clear" w:color="auto" w:fill="auto"/>
              <w:spacing w:line="240" w:lineRule="atLeast"/>
              <w:jc w:val="center"/>
              <w:rPr>
                <w:rFonts w:ascii="Times New Roman" w:hAnsi="Times New Roman"/>
                <w:color w:val="auto"/>
                <w:sz w:val="24"/>
                <w:szCs w:val="24"/>
                <w:highlight w:val="none"/>
              </w:rPr>
            </w:pPr>
          </w:p>
        </w:tc>
      </w:tr>
      <w:tr w14:paraId="603565C9">
        <w:tblPrEx>
          <w:tblCellMar>
            <w:top w:w="0" w:type="dxa"/>
            <w:left w:w="0" w:type="dxa"/>
            <w:bottom w:w="0" w:type="dxa"/>
            <w:right w:w="0" w:type="dxa"/>
          </w:tblCellMar>
        </w:tblPrEx>
        <w:trPr>
          <w:trHeight w:val="68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4B28FA18">
            <w:pPr>
              <w:shd w:val="clear" w:color="auto" w:fill="auto"/>
              <w:spacing w:line="240" w:lineRule="atLeast"/>
              <w:jc w:val="center"/>
              <w:rPr>
                <w:rFonts w:ascii="Times New Roman" w:hAnsi="Times New Roman"/>
                <w:color w:val="auto"/>
                <w:sz w:val="24"/>
                <w:szCs w:val="24"/>
                <w:highlight w:val="none"/>
              </w:rPr>
            </w:pPr>
            <w:r>
              <w:rPr>
                <w:rFonts w:ascii="Times New Roman" w:hAnsi="Times New Roman"/>
                <w:color w:val="auto"/>
                <w:sz w:val="24"/>
                <w:szCs w:val="24"/>
                <w:highlight w:val="none"/>
              </w:rPr>
              <w:t>...</w:t>
            </w:r>
          </w:p>
        </w:tc>
        <w:tc>
          <w:tcPr>
            <w:tcW w:w="1064" w:type="pct"/>
            <w:tcBorders>
              <w:top w:val="single" w:color="auto" w:sz="4" w:space="0"/>
              <w:left w:val="single" w:color="auto" w:sz="4" w:space="0"/>
              <w:bottom w:val="single" w:color="auto" w:sz="4" w:space="0"/>
              <w:right w:val="single" w:color="auto" w:sz="4" w:space="0"/>
            </w:tcBorders>
            <w:noWrap w:val="0"/>
            <w:vAlign w:val="center"/>
          </w:tcPr>
          <w:p w14:paraId="140ACA14">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76E435B7">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17DBC6F5">
            <w:pPr>
              <w:shd w:val="clear" w:color="auto" w:fill="auto"/>
              <w:spacing w:line="240" w:lineRule="atLeast"/>
              <w:jc w:val="center"/>
              <w:rPr>
                <w:rFonts w:ascii="Times New Roman" w:hAnsi="Times New Roman"/>
                <w:color w:val="auto"/>
                <w:sz w:val="24"/>
                <w:szCs w:val="24"/>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1E847DB5">
            <w:pPr>
              <w:shd w:val="clear" w:color="auto" w:fill="auto"/>
              <w:spacing w:line="240" w:lineRule="atLeast"/>
              <w:jc w:val="center"/>
              <w:rPr>
                <w:rFonts w:ascii="Times New Roman" w:hAnsi="Times New Roman"/>
                <w:color w:val="auto"/>
                <w:sz w:val="24"/>
                <w:szCs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4F73D3CB">
            <w:pPr>
              <w:shd w:val="clear" w:color="auto" w:fill="auto"/>
              <w:spacing w:line="240" w:lineRule="atLeast"/>
              <w:jc w:val="center"/>
              <w:rPr>
                <w:rFonts w:ascii="Times New Roman" w:hAnsi="Times New Roman"/>
                <w:color w:val="auto"/>
                <w:sz w:val="24"/>
                <w:szCs w:val="24"/>
                <w:highlight w:val="none"/>
              </w:rPr>
            </w:pPr>
          </w:p>
        </w:tc>
      </w:tr>
      <w:tr w14:paraId="51B0548B">
        <w:tblPrEx>
          <w:tblCellMar>
            <w:top w:w="0" w:type="dxa"/>
            <w:left w:w="0" w:type="dxa"/>
            <w:bottom w:w="0" w:type="dxa"/>
            <w:right w:w="0" w:type="dxa"/>
          </w:tblCellMar>
        </w:tblPrEx>
        <w:trPr>
          <w:trHeight w:val="68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299CC3A5">
            <w:pPr>
              <w:shd w:val="clear" w:color="auto" w:fill="auto"/>
              <w:spacing w:line="240" w:lineRule="atLeast"/>
              <w:jc w:val="center"/>
              <w:rPr>
                <w:rFonts w:ascii="Times New Roman" w:hAnsi="Times New Roman"/>
                <w:color w:val="auto"/>
                <w:sz w:val="24"/>
                <w:szCs w:val="24"/>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600F4EF8">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20A397BE">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6600057F">
            <w:pPr>
              <w:shd w:val="clear" w:color="auto" w:fill="auto"/>
              <w:spacing w:line="240" w:lineRule="atLeast"/>
              <w:jc w:val="center"/>
              <w:rPr>
                <w:rFonts w:ascii="Times New Roman" w:hAnsi="Times New Roman"/>
                <w:color w:val="auto"/>
                <w:sz w:val="24"/>
                <w:szCs w:val="24"/>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20BCFB03">
            <w:pPr>
              <w:shd w:val="clear" w:color="auto" w:fill="auto"/>
              <w:spacing w:line="240" w:lineRule="atLeast"/>
              <w:jc w:val="center"/>
              <w:rPr>
                <w:rFonts w:ascii="Times New Roman" w:hAnsi="Times New Roman"/>
                <w:color w:val="auto"/>
                <w:sz w:val="24"/>
                <w:szCs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438CA7DB">
            <w:pPr>
              <w:shd w:val="clear" w:color="auto" w:fill="auto"/>
              <w:spacing w:line="240" w:lineRule="atLeast"/>
              <w:jc w:val="center"/>
              <w:rPr>
                <w:rFonts w:ascii="Times New Roman" w:hAnsi="Times New Roman"/>
                <w:color w:val="auto"/>
                <w:sz w:val="24"/>
                <w:szCs w:val="24"/>
                <w:highlight w:val="none"/>
              </w:rPr>
            </w:pPr>
          </w:p>
        </w:tc>
      </w:tr>
      <w:tr w14:paraId="35794CD8">
        <w:tblPrEx>
          <w:tblCellMar>
            <w:top w:w="0" w:type="dxa"/>
            <w:left w:w="0" w:type="dxa"/>
            <w:bottom w:w="0" w:type="dxa"/>
            <w:right w:w="0" w:type="dxa"/>
          </w:tblCellMar>
        </w:tblPrEx>
        <w:trPr>
          <w:trHeight w:val="68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46831436">
            <w:pPr>
              <w:shd w:val="clear" w:color="auto" w:fill="auto"/>
              <w:spacing w:line="240" w:lineRule="atLeast"/>
              <w:jc w:val="center"/>
              <w:rPr>
                <w:rFonts w:ascii="Times New Roman" w:hAnsi="Times New Roman"/>
                <w:color w:val="auto"/>
                <w:sz w:val="24"/>
                <w:szCs w:val="24"/>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7BF229B1">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08C6C3A4">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1889D276">
            <w:pPr>
              <w:shd w:val="clear" w:color="auto" w:fill="auto"/>
              <w:spacing w:line="240" w:lineRule="atLeast"/>
              <w:jc w:val="center"/>
              <w:rPr>
                <w:rFonts w:ascii="Times New Roman" w:hAnsi="Times New Roman"/>
                <w:color w:val="auto"/>
                <w:sz w:val="24"/>
                <w:szCs w:val="24"/>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35E45512">
            <w:pPr>
              <w:shd w:val="clear" w:color="auto" w:fill="auto"/>
              <w:spacing w:line="240" w:lineRule="atLeast"/>
              <w:jc w:val="center"/>
              <w:rPr>
                <w:rFonts w:ascii="Times New Roman" w:hAnsi="Times New Roman"/>
                <w:color w:val="auto"/>
                <w:sz w:val="24"/>
                <w:szCs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01772C9B">
            <w:pPr>
              <w:shd w:val="clear" w:color="auto" w:fill="auto"/>
              <w:spacing w:line="240" w:lineRule="atLeast"/>
              <w:jc w:val="center"/>
              <w:rPr>
                <w:rFonts w:ascii="Times New Roman" w:hAnsi="Times New Roman"/>
                <w:color w:val="auto"/>
                <w:sz w:val="24"/>
                <w:szCs w:val="24"/>
                <w:highlight w:val="none"/>
              </w:rPr>
            </w:pPr>
          </w:p>
        </w:tc>
      </w:tr>
      <w:tr w14:paraId="4EC97EFF">
        <w:tblPrEx>
          <w:tblCellMar>
            <w:top w:w="0" w:type="dxa"/>
            <w:left w:w="0" w:type="dxa"/>
            <w:bottom w:w="0" w:type="dxa"/>
            <w:right w:w="0" w:type="dxa"/>
          </w:tblCellMar>
        </w:tblPrEx>
        <w:trPr>
          <w:trHeight w:val="68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16B74141">
            <w:pPr>
              <w:shd w:val="clear" w:color="auto" w:fill="auto"/>
              <w:spacing w:line="240" w:lineRule="atLeast"/>
              <w:jc w:val="center"/>
              <w:rPr>
                <w:rFonts w:ascii="Times New Roman" w:hAnsi="Times New Roman"/>
                <w:color w:val="auto"/>
                <w:sz w:val="24"/>
                <w:szCs w:val="24"/>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57D87A4E">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5EADBA84">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500285FA">
            <w:pPr>
              <w:shd w:val="clear" w:color="auto" w:fill="auto"/>
              <w:spacing w:line="240" w:lineRule="atLeast"/>
              <w:jc w:val="center"/>
              <w:rPr>
                <w:rFonts w:ascii="Times New Roman" w:hAnsi="Times New Roman"/>
                <w:color w:val="auto"/>
                <w:sz w:val="24"/>
                <w:szCs w:val="24"/>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64242B7">
            <w:pPr>
              <w:shd w:val="clear" w:color="auto" w:fill="auto"/>
              <w:spacing w:line="240" w:lineRule="atLeast"/>
              <w:jc w:val="center"/>
              <w:rPr>
                <w:rFonts w:ascii="Times New Roman" w:hAnsi="Times New Roman"/>
                <w:color w:val="auto"/>
                <w:sz w:val="24"/>
                <w:szCs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2735966F">
            <w:pPr>
              <w:shd w:val="clear" w:color="auto" w:fill="auto"/>
              <w:spacing w:line="240" w:lineRule="atLeast"/>
              <w:jc w:val="center"/>
              <w:rPr>
                <w:rFonts w:ascii="Times New Roman" w:hAnsi="Times New Roman"/>
                <w:color w:val="auto"/>
                <w:sz w:val="24"/>
                <w:szCs w:val="24"/>
                <w:highlight w:val="none"/>
              </w:rPr>
            </w:pPr>
          </w:p>
        </w:tc>
      </w:tr>
    </w:tbl>
    <w:p w14:paraId="11D1ADC2">
      <w:pPr>
        <w:shd w:val="clear" w:color="auto" w:fill="auto"/>
        <w:spacing w:line="1" w:lineRule="exact"/>
        <w:rPr>
          <w:rFonts w:ascii="Times New Roman" w:hAnsi="Times New Roman"/>
          <w:color w:val="auto"/>
          <w:sz w:val="24"/>
          <w:szCs w:val="24"/>
          <w:highlight w:val="none"/>
        </w:rPr>
      </w:pPr>
    </w:p>
    <w:p w14:paraId="29038D24">
      <w:pPr>
        <w:shd w:val="clear" w:color="auto" w:fill="auto"/>
        <w:spacing w:line="274" w:lineRule="exact"/>
        <w:ind w:left="260"/>
        <w:rPr>
          <w:rFonts w:ascii="宋体"/>
          <w:b/>
          <w:bCs/>
          <w:color w:val="auto"/>
          <w:sz w:val="24"/>
          <w:szCs w:val="24"/>
          <w:highlight w:val="none"/>
        </w:rPr>
      </w:pPr>
    </w:p>
    <w:p w14:paraId="48C819F0">
      <w:pPr>
        <w:shd w:val="clear" w:color="auto" w:fill="auto"/>
        <w:spacing w:line="274" w:lineRule="exact"/>
        <w:ind w:left="260"/>
        <w:rPr>
          <w:rFonts w:ascii="宋体"/>
          <w:b/>
          <w:bCs/>
          <w:color w:val="auto"/>
          <w:sz w:val="24"/>
          <w:szCs w:val="24"/>
          <w:highlight w:val="none"/>
        </w:rPr>
      </w:pPr>
      <w:r>
        <w:rPr>
          <w:rFonts w:hint="eastAsia" w:ascii="宋体" w:hAnsi="宋体"/>
          <w:b/>
          <w:bCs/>
          <w:color w:val="auto"/>
          <w:sz w:val="24"/>
          <w:szCs w:val="24"/>
          <w:highlight w:val="none"/>
        </w:rPr>
        <w:t>注：涉及评分项的其它证明材料附后。</w:t>
      </w:r>
    </w:p>
    <w:p w14:paraId="29B0FAF0">
      <w:pPr>
        <w:shd w:val="clear" w:color="auto" w:fill="auto"/>
        <w:spacing w:line="274" w:lineRule="exact"/>
        <w:ind w:left="260"/>
        <w:rPr>
          <w:rFonts w:ascii="宋体"/>
          <w:color w:val="auto"/>
          <w:sz w:val="24"/>
          <w:szCs w:val="24"/>
          <w:highlight w:val="none"/>
        </w:rPr>
      </w:pPr>
    </w:p>
    <w:p w14:paraId="6C6A4A78">
      <w:pPr>
        <w:shd w:val="clear" w:color="auto" w:fill="auto"/>
        <w:spacing w:line="200" w:lineRule="exact"/>
        <w:rPr>
          <w:rFonts w:ascii="Times New Roman" w:hAnsi="Times New Roman"/>
          <w:color w:val="auto"/>
          <w:sz w:val="24"/>
          <w:szCs w:val="24"/>
          <w:highlight w:val="none"/>
        </w:rPr>
      </w:pPr>
    </w:p>
    <w:p w14:paraId="2661726E">
      <w:pPr>
        <w:shd w:val="clear" w:color="auto" w:fill="auto"/>
        <w:spacing w:line="200" w:lineRule="exact"/>
        <w:rPr>
          <w:rFonts w:ascii="Times New Roman" w:hAnsi="Times New Roman"/>
          <w:color w:val="auto"/>
          <w:sz w:val="24"/>
          <w:szCs w:val="24"/>
          <w:highlight w:val="none"/>
        </w:rPr>
      </w:pPr>
    </w:p>
    <w:p w14:paraId="0AE193D7">
      <w:pPr>
        <w:shd w:val="clear" w:color="auto" w:fill="auto"/>
        <w:spacing w:line="200" w:lineRule="exact"/>
        <w:rPr>
          <w:rFonts w:ascii="Times New Roman" w:hAnsi="Times New Roman"/>
          <w:color w:val="auto"/>
          <w:sz w:val="24"/>
          <w:szCs w:val="24"/>
          <w:highlight w:val="none"/>
        </w:rPr>
      </w:pPr>
    </w:p>
    <w:p w14:paraId="005F8C7B">
      <w:pPr>
        <w:shd w:val="clear" w:color="auto" w:fill="auto"/>
        <w:spacing w:line="200" w:lineRule="exact"/>
        <w:rPr>
          <w:rFonts w:ascii="Times New Roman" w:hAnsi="Times New Roman"/>
          <w:color w:val="auto"/>
          <w:sz w:val="24"/>
          <w:szCs w:val="24"/>
          <w:highlight w:val="none"/>
        </w:rPr>
      </w:pPr>
    </w:p>
    <w:p w14:paraId="54280FB9">
      <w:pPr>
        <w:pStyle w:val="10"/>
        <w:shd w:val="clear" w:color="auto" w:fill="auto"/>
        <w:rPr>
          <w:rFonts w:ascii="Times New Roman" w:hAnsi="Times New Roman"/>
          <w:color w:val="auto"/>
          <w:sz w:val="24"/>
          <w:szCs w:val="24"/>
          <w:highlight w:val="none"/>
        </w:rPr>
      </w:pPr>
    </w:p>
    <w:p w14:paraId="175F55D2">
      <w:pPr>
        <w:keepNext w:val="0"/>
        <w:keepLines w:val="0"/>
        <w:pageBreakBefore w:val="0"/>
        <w:widowControl/>
        <w:shd w:val="clear" w:color="auto" w:fill="auto"/>
        <w:kinsoku/>
        <w:wordWrap/>
        <w:overflowPunct/>
        <w:topLinePunct w:val="0"/>
        <w:autoSpaceDE/>
        <w:autoSpaceDN/>
        <w:bidi w:val="0"/>
        <w:adjustRightInd/>
        <w:snapToGrid w:val="0"/>
        <w:spacing w:line="420" w:lineRule="exact"/>
        <w:ind w:firstLine="360" w:firstLineChars="15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eastAsia="宋体" w:cs="宋体"/>
          <w:color w:val="auto"/>
          <w:sz w:val="24"/>
          <w:szCs w:val="24"/>
          <w:highlight w:val="none"/>
        </w:rPr>
        <w:t>投标人名称（盖章） ：</w:t>
      </w:r>
    </w:p>
    <w:p w14:paraId="77974704">
      <w:pPr>
        <w:keepNext w:val="0"/>
        <w:keepLines w:val="0"/>
        <w:pageBreakBefore w:val="0"/>
        <w:widowControl/>
        <w:shd w:val="clear" w:color="auto" w:fill="auto"/>
        <w:kinsoku/>
        <w:wordWrap/>
        <w:overflowPunct/>
        <w:topLinePunct w:val="0"/>
        <w:autoSpaceDE/>
        <w:autoSpaceDN/>
        <w:bidi w:val="0"/>
        <w:adjustRightInd/>
        <w:snapToGrid w:val="0"/>
        <w:spacing w:line="420" w:lineRule="exact"/>
        <w:ind w:firstLine="360" w:firstLineChars="15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法定代表人或</w:t>
      </w: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lang w:val="zh-CN"/>
        </w:rPr>
        <w:t>：</w:t>
      </w:r>
    </w:p>
    <w:p w14:paraId="2A987F85">
      <w:pPr>
        <w:keepNext w:val="0"/>
        <w:keepLines w:val="0"/>
        <w:pageBreakBefore w:val="0"/>
        <w:widowControl/>
        <w:shd w:val="clear" w:color="auto" w:fill="auto"/>
        <w:kinsoku/>
        <w:wordWrap/>
        <w:overflowPunct/>
        <w:topLinePunct w:val="0"/>
        <w:autoSpaceDE/>
        <w:autoSpaceDN/>
        <w:bidi w:val="0"/>
        <w:adjustRightInd/>
        <w:snapToGrid w:val="0"/>
        <w:spacing w:line="420" w:lineRule="exact"/>
        <w:ind w:firstLine="360" w:firstLineChars="150"/>
        <w:jc w:val="center"/>
        <w:textAlignment w:val="auto"/>
        <w:rPr>
          <w:rFonts w:ascii="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期：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年</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月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日</w:t>
      </w:r>
    </w:p>
    <w:p w14:paraId="27DC9C43">
      <w:pPr>
        <w:bidi w:val="0"/>
        <w:jc w:val="center"/>
        <w:rPr>
          <w:rFonts w:hint="eastAsia" w:ascii="宋体" w:hAnsi="宋体" w:eastAsia="宋体" w:cs="Times New Roman"/>
          <w:b/>
          <w:bCs/>
          <w:color w:val="auto"/>
          <w:sz w:val="28"/>
          <w:szCs w:val="28"/>
          <w:highlight w:val="none"/>
          <w:lang w:val="zh-CN"/>
        </w:rPr>
      </w:pPr>
      <w:r>
        <w:rPr>
          <w:rFonts w:hint="eastAsia" w:ascii="宋体" w:hAnsi="宋体" w:eastAsia="宋体" w:cs="宋体"/>
          <w:i w:val="0"/>
          <w:iCs w:val="0"/>
          <w:color w:val="auto"/>
          <w:sz w:val="24"/>
          <w:highlight w:val="none"/>
        </w:rPr>
        <w:br w:type="page"/>
      </w:r>
      <w:bookmarkEnd w:id="117"/>
      <w:r>
        <w:rPr>
          <w:rFonts w:hint="eastAsia" w:ascii="宋体" w:hAnsi="宋体" w:cs="Times New Roman"/>
          <w:b/>
          <w:bCs/>
          <w:color w:val="auto"/>
          <w:sz w:val="28"/>
          <w:szCs w:val="28"/>
          <w:highlight w:val="none"/>
          <w:lang w:val="en-US" w:eastAsia="zh-CN"/>
        </w:rPr>
        <w:t>5.项目实施人员情况</w:t>
      </w:r>
    </w:p>
    <w:tbl>
      <w:tblPr>
        <w:tblStyle w:val="25"/>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22"/>
        <w:gridCol w:w="2071"/>
        <w:gridCol w:w="2038"/>
        <w:gridCol w:w="1583"/>
        <w:gridCol w:w="1677"/>
        <w:gridCol w:w="1257"/>
      </w:tblGrid>
      <w:tr w14:paraId="17B53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center"/>
          </w:tcPr>
          <w:p w14:paraId="29EDB127">
            <w:pPr>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姓名</w:t>
            </w:r>
          </w:p>
        </w:tc>
        <w:tc>
          <w:tcPr>
            <w:tcW w:w="1051" w:type="pct"/>
            <w:tcBorders>
              <w:top w:val="single" w:color="auto" w:sz="4" w:space="0"/>
              <w:left w:val="single" w:color="auto" w:sz="4" w:space="0"/>
              <w:bottom w:val="single" w:color="auto" w:sz="4" w:space="0"/>
              <w:right w:val="single" w:color="auto" w:sz="4" w:space="0"/>
            </w:tcBorders>
            <w:noWrap w:val="0"/>
            <w:vAlign w:val="center"/>
          </w:tcPr>
          <w:p w14:paraId="1F3E408B">
            <w:pPr>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在本项目中担任职务或岗位</w:t>
            </w:r>
          </w:p>
        </w:tc>
        <w:tc>
          <w:tcPr>
            <w:tcW w:w="1034" w:type="pct"/>
            <w:tcBorders>
              <w:top w:val="single" w:color="auto" w:sz="4" w:space="0"/>
              <w:left w:val="single" w:color="auto" w:sz="4" w:space="0"/>
              <w:bottom w:val="single" w:color="auto" w:sz="4" w:space="0"/>
              <w:right w:val="single" w:color="auto" w:sz="4" w:space="0"/>
            </w:tcBorders>
            <w:noWrap w:val="0"/>
            <w:vAlign w:val="center"/>
          </w:tcPr>
          <w:p w14:paraId="470CD3D0">
            <w:pPr>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专业技术资格</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3ACADBC4">
            <w:pPr>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证书编号</w:t>
            </w:r>
          </w:p>
        </w:tc>
        <w:tc>
          <w:tcPr>
            <w:tcW w:w="851" w:type="pct"/>
            <w:tcBorders>
              <w:top w:val="single" w:color="auto" w:sz="4" w:space="0"/>
              <w:left w:val="single" w:color="auto" w:sz="4" w:space="0"/>
              <w:bottom w:val="single" w:color="auto" w:sz="4" w:space="0"/>
              <w:right w:val="single" w:color="auto" w:sz="4" w:space="0"/>
            </w:tcBorders>
            <w:noWrap w:val="0"/>
            <w:vAlign w:val="center"/>
          </w:tcPr>
          <w:p w14:paraId="4635DA72">
            <w:pPr>
              <w:snapToGrid w:val="0"/>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参加本单位工作时间</w:t>
            </w:r>
          </w:p>
        </w:tc>
        <w:tc>
          <w:tcPr>
            <w:tcW w:w="638" w:type="pct"/>
            <w:tcBorders>
              <w:top w:val="single" w:color="auto" w:sz="4" w:space="0"/>
              <w:left w:val="single" w:color="auto" w:sz="4" w:space="0"/>
              <w:bottom w:val="single" w:color="auto" w:sz="4" w:space="0"/>
              <w:right w:val="single" w:color="auto" w:sz="4" w:space="0"/>
            </w:tcBorders>
            <w:noWrap w:val="0"/>
            <w:vAlign w:val="center"/>
          </w:tcPr>
          <w:p w14:paraId="7812F225">
            <w:pPr>
              <w:snapToGrid w:val="0"/>
              <w:jc w:val="center"/>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eastAsia="zh-CN"/>
              </w:rPr>
              <w:t>备注</w:t>
            </w:r>
          </w:p>
        </w:tc>
      </w:tr>
      <w:tr w14:paraId="656EB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top"/>
          </w:tcPr>
          <w:p w14:paraId="35379E3C">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noWrap w:val="0"/>
            <w:vAlign w:val="top"/>
          </w:tcPr>
          <w:p w14:paraId="39D07E7B">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32479C8A">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top"/>
          </w:tcPr>
          <w:p w14:paraId="0B164B86">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noWrap w:val="0"/>
            <w:vAlign w:val="top"/>
          </w:tcPr>
          <w:p w14:paraId="2C4A9CD5">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noWrap w:val="0"/>
            <w:vAlign w:val="top"/>
          </w:tcPr>
          <w:p w14:paraId="691E12F7">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479DE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top"/>
          </w:tcPr>
          <w:p w14:paraId="2146421A">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noWrap w:val="0"/>
            <w:vAlign w:val="top"/>
          </w:tcPr>
          <w:p w14:paraId="77AEB5FD">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3BFD58EC">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top"/>
          </w:tcPr>
          <w:p w14:paraId="118B9416">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noWrap w:val="0"/>
            <w:vAlign w:val="top"/>
          </w:tcPr>
          <w:p w14:paraId="6FFC2A8D">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noWrap w:val="0"/>
            <w:vAlign w:val="top"/>
          </w:tcPr>
          <w:p w14:paraId="617B8B66">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2EF39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top"/>
          </w:tcPr>
          <w:p w14:paraId="2DD0C025">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noWrap w:val="0"/>
            <w:vAlign w:val="top"/>
          </w:tcPr>
          <w:p w14:paraId="1FBC84B3">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501B3E89">
            <w:pPr>
              <w:pStyle w:val="13"/>
              <w:snapToGrid w:val="0"/>
              <w:spacing w:before="160" w:beforeLines="50" w:after="50" w:line="460" w:lineRule="exact"/>
              <w:ind w:left="5250"/>
              <w:rPr>
                <w:rFonts w:hint="eastAsia" w:ascii="宋体" w:hAnsi="宋体" w:eastAsia="宋体" w:cs="宋体"/>
                <w:i w:val="0"/>
                <w:iCs w:val="0"/>
                <w:color w:val="auto"/>
                <w:szCs w:val="28"/>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top"/>
          </w:tcPr>
          <w:p w14:paraId="6F7ED119">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noWrap w:val="0"/>
            <w:vAlign w:val="top"/>
          </w:tcPr>
          <w:p w14:paraId="748E7154">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noWrap w:val="0"/>
            <w:vAlign w:val="top"/>
          </w:tcPr>
          <w:p w14:paraId="0A9B21DE">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67D47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top"/>
          </w:tcPr>
          <w:p w14:paraId="3ABF4638">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noWrap w:val="0"/>
            <w:vAlign w:val="top"/>
          </w:tcPr>
          <w:p w14:paraId="2D7BBAFE">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468A6FB8">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top"/>
          </w:tcPr>
          <w:p w14:paraId="3E9C9A3B">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noWrap w:val="0"/>
            <w:vAlign w:val="top"/>
          </w:tcPr>
          <w:p w14:paraId="4D0ED976">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noWrap w:val="0"/>
            <w:vAlign w:val="top"/>
          </w:tcPr>
          <w:p w14:paraId="0C5EC51A">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64497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top"/>
          </w:tcPr>
          <w:p w14:paraId="5223F14B">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noWrap w:val="0"/>
            <w:vAlign w:val="top"/>
          </w:tcPr>
          <w:p w14:paraId="4A73AFF0">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2330F4FC">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top"/>
          </w:tcPr>
          <w:p w14:paraId="30F400DD">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noWrap w:val="0"/>
            <w:vAlign w:val="top"/>
          </w:tcPr>
          <w:p w14:paraId="6496EC97">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noWrap w:val="0"/>
            <w:vAlign w:val="top"/>
          </w:tcPr>
          <w:p w14:paraId="273BE726">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46FCD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top"/>
          </w:tcPr>
          <w:p w14:paraId="610E78D7">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noWrap w:val="0"/>
            <w:vAlign w:val="top"/>
          </w:tcPr>
          <w:p w14:paraId="6EA64445">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11E7ECB7">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top"/>
          </w:tcPr>
          <w:p w14:paraId="646695D3">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noWrap w:val="0"/>
            <w:vAlign w:val="top"/>
          </w:tcPr>
          <w:p w14:paraId="33CC74FE">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noWrap w:val="0"/>
            <w:vAlign w:val="top"/>
          </w:tcPr>
          <w:p w14:paraId="0AE11C1F">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1C218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top"/>
          </w:tcPr>
          <w:p w14:paraId="6751BB84">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noWrap w:val="0"/>
            <w:vAlign w:val="top"/>
          </w:tcPr>
          <w:p w14:paraId="2B1FCD64">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35FD2588">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top"/>
          </w:tcPr>
          <w:p w14:paraId="52B67AF2">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noWrap w:val="0"/>
            <w:vAlign w:val="top"/>
          </w:tcPr>
          <w:p w14:paraId="777B26D3">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noWrap w:val="0"/>
            <w:vAlign w:val="top"/>
          </w:tcPr>
          <w:p w14:paraId="349CDE60">
            <w:pPr>
              <w:snapToGrid w:val="0"/>
              <w:spacing w:before="160" w:beforeLines="50" w:after="50" w:line="460" w:lineRule="exact"/>
              <w:rPr>
                <w:rFonts w:hint="eastAsia" w:ascii="宋体" w:hAnsi="宋体" w:eastAsia="宋体" w:cs="宋体"/>
                <w:i w:val="0"/>
                <w:iCs w:val="0"/>
                <w:color w:val="auto"/>
                <w:sz w:val="28"/>
                <w:szCs w:val="28"/>
                <w:highlight w:val="none"/>
              </w:rPr>
            </w:pPr>
          </w:p>
        </w:tc>
      </w:tr>
    </w:tbl>
    <w:p w14:paraId="733953FC">
      <w:pPr>
        <w:snapToGrid w:val="0"/>
        <w:spacing w:before="50" w:after="160" w:afterLines="50" w:line="460" w:lineRule="exact"/>
        <w:ind w:left="900" w:leftChars="200" w:hanging="480" w:hanging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注：在填写时，如本表格不适合投标供应商的实际情况，可根据本表格式自行划表填写。 </w:t>
      </w:r>
    </w:p>
    <w:p w14:paraId="6C6F562F">
      <w:pPr>
        <w:snapToGrid w:val="0"/>
        <w:spacing w:before="50" w:after="160" w:afterLines="50" w:line="460" w:lineRule="exact"/>
        <w:jc w:val="left"/>
        <w:rPr>
          <w:rFonts w:hint="eastAsia" w:ascii="宋体" w:hAnsi="宋体" w:eastAsia="宋体" w:cs="宋体"/>
          <w:i w:val="0"/>
          <w:iCs w:val="0"/>
          <w:color w:val="auto"/>
          <w:sz w:val="28"/>
          <w:szCs w:val="28"/>
          <w:highlight w:val="none"/>
        </w:rPr>
      </w:pPr>
    </w:p>
    <w:p w14:paraId="427D90B8">
      <w:pPr>
        <w:widowControl/>
        <w:snapToGrid w:val="0"/>
        <w:spacing w:line="360" w:lineRule="auto"/>
        <w:ind w:firstLine="4320" w:firstLineChars="1800"/>
        <w:jc w:val="left"/>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lang w:eastAsia="zh-CN"/>
        </w:rPr>
        <w:t>投标人</w:t>
      </w:r>
      <w:r>
        <w:rPr>
          <w:rFonts w:hint="eastAsia" w:ascii="宋体" w:hAnsi="宋体" w:cs="宋体"/>
          <w:i w:val="0"/>
          <w:iCs w:val="0"/>
          <w:color w:val="auto"/>
          <w:kern w:val="0"/>
          <w:sz w:val="24"/>
          <w:szCs w:val="24"/>
          <w:highlight w:val="none"/>
        </w:rPr>
        <w:t>名称（盖章） ：</w:t>
      </w:r>
    </w:p>
    <w:p w14:paraId="2E5470C9">
      <w:pPr>
        <w:widowControl/>
        <w:snapToGrid w:val="0"/>
        <w:spacing w:line="360" w:lineRule="auto"/>
        <w:ind w:firstLine="3840" w:firstLineChars="1600"/>
        <w:jc w:val="left"/>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rPr>
        <w:t>法定代表人或</w:t>
      </w:r>
      <w:r>
        <w:rPr>
          <w:rFonts w:hint="eastAsia" w:ascii="宋体" w:hAnsi="宋体" w:cs="宋体"/>
          <w:i w:val="0"/>
          <w:iCs w:val="0"/>
          <w:color w:val="auto"/>
          <w:kern w:val="0"/>
          <w:sz w:val="24"/>
          <w:szCs w:val="24"/>
          <w:highlight w:val="none"/>
          <w:lang w:eastAsia="zh-CN"/>
        </w:rPr>
        <w:t>委托代理人</w:t>
      </w:r>
      <w:r>
        <w:rPr>
          <w:rFonts w:hint="eastAsia" w:ascii="宋体" w:hAnsi="宋体" w:cs="宋体"/>
          <w:i w:val="0"/>
          <w:iCs w:val="0"/>
          <w:color w:val="auto"/>
          <w:kern w:val="0"/>
          <w:sz w:val="24"/>
          <w:szCs w:val="24"/>
          <w:highlight w:val="none"/>
        </w:rPr>
        <w:t>（签字或盖章）：</w:t>
      </w:r>
    </w:p>
    <w:p w14:paraId="271BC260">
      <w:pPr>
        <w:widowControl/>
        <w:snapToGrid w:val="0"/>
        <w:spacing w:line="360" w:lineRule="auto"/>
        <w:ind w:firstLine="4320" w:firstLineChars="1800"/>
        <w:jc w:val="left"/>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rPr>
        <w:t>日期：     年  月  日</w:t>
      </w:r>
    </w:p>
    <w:p w14:paraId="37DF66A8">
      <w:pPr>
        <w:shd w:val="clear" w:color="auto" w:fill="FFFFFF"/>
        <w:snapToGrid w:val="0"/>
        <w:spacing w:line="360" w:lineRule="auto"/>
        <w:ind w:firstLine="360" w:firstLineChars="150"/>
        <w:rPr>
          <w:rFonts w:hint="eastAsia" w:ascii="宋体" w:hAnsi="宋体" w:cs="宋体"/>
          <w:i w:val="0"/>
          <w:iCs w:val="0"/>
          <w:color w:val="auto"/>
          <w:kern w:val="0"/>
          <w:sz w:val="24"/>
          <w:highlight w:val="none"/>
          <w:lang w:val="zh-CN"/>
        </w:rPr>
      </w:pPr>
    </w:p>
    <w:p w14:paraId="18ECD493">
      <w:pPr>
        <w:spacing w:line="480" w:lineRule="auto"/>
        <w:ind w:firstLine="4620" w:firstLineChars="1950"/>
        <w:jc w:val="left"/>
        <w:rPr>
          <w:rStyle w:val="59"/>
          <w:rFonts w:hint="eastAsia" w:ascii="宋体" w:hAnsi="宋体" w:eastAsia="宋体" w:cs="宋体"/>
          <w:b/>
          <w:i w:val="0"/>
          <w:iCs w:val="0"/>
          <w:color w:val="auto"/>
          <w:kern w:val="0"/>
          <w:highlight w:val="none"/>
        </w:rPr>
      </w:pPr>
    </w:p>
    <w:p w14:paraId="2F381F53">
      <w:pPr>
        <w:pStyle w:val="50"/>
        <w:spacing w:line="480" w:lineRule="exact"/>
        <w:jc w:val="center"/>
        <w:outlineLvl w:val="2"/>
        <w:rPr>
          <w:rFonts w:hint="eastAsia" w:ascii="宋体" w:hAnsi="宋体" w:eastAsia="宋体" w:cs="宋体"/>
          <w:b/>
          <w:i w:val="0"/>
          <w:iCs w:val="0"/>
          <w:color w:val="auto"/>
          <w:kern w:val="2"/>
          <w:highlight w:val="none"/>
        </w:rPr>
      </w:pPr>
    </w:p>
    <w:p w14:paraId="2CFC1877">
      <w:pPr>
        <w:pStyle w:val="12"/>
        <w:snapToGrid w:val="0"/>
        <w:spacing w:line="360" w:lineRule="auto"/>
        <w:outlineLvl w:val="2"/>
        <w:rPr>
          <w:rFonts w:hint="eastAsia" w:ascii="宋体" w:hAnsi="宋体" w:eastAsia="宋体" w:cs="宋体"/>
          <w:b/>
          <w:i w:val="0"/>
          <w:iCs w:val="0"/>
          <w:color w:val="auto"/>
          <w:sz w:val="32"/>
          <w:szCs w:val="32"/>
          <w:highlight w:val="none"/>
          <w:lang w:val="zh-CN"/>
        </w:rPr>
      </w:pPr>
    </w:p>
    <w:p w14:paraId="7A755ACF">
      <w:pPr>
        <w:snapToGrid w:val="0"/>
        <w:spacing w:before="160" w:beforeLines="50" w:after="50"/>
        <w:jc w:val="center"/>
        <w:rPr>
          <w:rFonts w:hint="eastAsia" w:ascii="宋体" w:hAnsi="宋体" w:eastAsia="宋体" w:cs="宋体"/>
          <w:b/>
          <w:i w:val="0"/>
          <w:iCs w:val="0"/>
          <w:color w:val="auto"/>
          <w:sz w:val="32"/>
          <w:szCs w:val="32"/>
          <w:highlight w:val="none"/>
          <w:lang w:eastAsia="zh-CN"/>
        </w:rPr>
      </w:pPr>
    </w:p>
    <w:p w14:paraId="02483F96">
      <w:pPr>
        <w:snapToGrid w:val="0"/>
        <w:spacing w:before="160" w:beforeLines="50" w:after="50"/>
        <w:jc w:val="center"/>
        <w:rPr>
          <w:rFonts w:hint="eastAsia" w:ascii="宋体" w:hAnsi="宋体" w:eastAsia="宋体" w:cs="宋体"/>
          <w:b/>
          <w:i w:val="0"/>
          <w:iCs w:val="0"/>
          <w:color w:val="auto"/>
          <w:sz w:val="32"/>
          <w:szCs w:val="32"/>
          <w:highlight w:val="none"/>
          <w:lang w:eastAsia="zh-CN"/>
        </w:rPr>
      </w:pPr>
    </w:p>
    <w:p w14:paraId="6FD9444D">
      <w:pPr>
        <w:snapToGrid w:val="0"/>
        <w:spacing w:before="160" w:beforeLines="50" w:after="50"/>
        <w:jc w:val="center"/>
        <w:rPr>
          <w:rFonts w:hint="eastAsia" w:ascii="宋体" w:hAnsi="宋体" w:eastAsia="宋体" w:cs="宋体"/>
          <w:b/>
          <w:i w:val="0"/>
          <w:iCs w:val="0"/>
          <w:color w:val="auto"/>
          <w:sz w:val="32"/>
          <w:szCs w:val="32"/>
          <w:highlight w:val="none"/>
          <w:lang w:eastAsia="zh-CN"/>
        </w:rPr>
      </w:pPr>
    </w:p>
    <w:p w14:paraId="3C193E5F">
      <w:pPr>
        <w:pStyle w:val="31"/>
        <w:rPr>
          <w:rFonts w:hint="eastAsia"/>
          <w:i w:val="0"/>
          <w:iCs w:val="0"/>
          <w:color w:val="auto"/>
          <w:highlight w:val="none"/>
        </w:rPr>
      </w:pPr>
    </w:p>
    <w:p w14:paraId="76710279">
      <w:pPr>
        <w:bidi w:val="0"/>
        <w:jc w:val="center"/>
        <w:rPr>
          <w:rFonts w:hint="eastAsia" w:ascii="宋体" w:hAnsi="宋体" w:eastAsia="宋体" w:cs="Times New Roman"/>
          <w:b/>
          <w:bCs/>
          <w:color w:val="auto"/>
          <w:sz w:val="28"/>
          <w:szCs w:val="28"/>
          <w:highlight w:val="none"/>
          <w:lang w:val="en-US" w:eastAsia="zh-CN"/>
        </w:rPr>
      </w:pPr>
      <w:bookmarkStart w:id="129" w:name="_Toc33194407"/>
      <w:bookmarkStart w:id="130" w:name="_Toc354996707"/>
      <w:bookmarkStart w:id="131" w:name="_Toc233618989"/>
    </w:p>
    <w:p w14:paraId="783D67B0">
      <w:pPr>
        <w:bidi w:val="0"/>
        <w:jc w:val="center"/>
        <w:rPr>
          <w:rFonts w:hint="eastAsia" w:ascii="宋体" w:hAnsi="宋体" w:eastAsia="宋体" w:cs="Times New Roman"/>
          <w:b/>
          <w:bCs/>
          <w:color w:val="auto"/>
          <w:sz w:val="28"/>
          <w:szCs w:val="28"/>
          <w:highlight w:val="none"/>
          <w:lang w:val="en-US" w:eastAsia="zh-CN"/>
        </w:rPr>
      </w:pPr>
    </w:p>
    <w:p w14:paraId="3AAF4524">
      <w:pPr>
        <w:bidi w:val="0"/>
        <w:jc w:val="center"/>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报价文件</w:t>
      </w:r>
      <w:bookmarkEnd w:id="129"/>
      <w:bookmarkEnd w:id="130"/>
    </w:p>
    <w:p w14:paraId="10A82D7F">
      <w:pPr>
        <w:shd w:val="clear" w:color="auto" w:fill="FFFFFF"/>
        <w:snapToGrid w:val="0"/>
        <w:spacing w:line="360" w:lineRule="auto"/>
        <w:jc w:val="center"/>
        <w:rPr>
          <w:rFonts w:hint="eastAsia" w:ascii="宋体" w:hAnsi="宋体" w:cs="宋体"/>
          <w:b/>
          <w:bCs/>
          <w:i w:val="0"/>
          <w:iCs w:val="0"/>
          <w:color w:val="auto"/>
          <w:kern w:val="0"/>
          <w:sz w:val="24"/>
          <w:highlight w:val="none"/>
        </w:rPr>
      </w:pPr>
      <w:r>
        <w:rPr>
          <w:rFonts w:hint="eastAsia" w:ascii="宋体" w:hAnsi="宋体" w:cs="宋体"/>
          <w:b/>
          <w:bCs/>
          <w:i w:val="0"/>
          <w:iCs w:val="0"/>
          <w:color w:val="auto"/>
          <w:kern w:val="0"/>
          <w:sz w:val="24"/>
          <w:highlight w:val="none"/>
        </w:rPr>
        <w:t> </w:t>
      </w:r>
    </w:p>
    <w:p w14:paraId="37FCA020">
      <w:pPr>
        <w:shd w:val="clear" w:color="auto" w:fill="FFFFFF"/>
        <w:snapToGrid w:val="0"/>
        <w:spacing w:line="360" w:lineRule="auto"/>
        <w:jc w:val="center"/>
        <w:rPr>
          <w:rFonts w:hint="eastAsia" w:ascii="宋体" w:hAnsi="宋体" w:cs="宋体"/>
          <w:b/>
          <w:bCs/>
          <w:i w:val="0"/>
          <w:iCs w:val="0"/>
          <w:color w:val="auto"/>
          <w:kern w:val="0"/>
          <w:sz w:val="24"/>
          <w:highlight w:val="none"/>
        </w:rPr>
      </w:pPr>
      <w:r>
        <w:rPr>
          <w:rFonts w:hint="eastAsia" w:ascii="宋体" w:hAnsi="宋体" w:cs="宋体"/>
          <w:b/>
          <w:bCs/>
          <w:i w:val="0"/>
          <w:iCs w:val="0"/>
          <w:color w:val="auto"/>
          <w:kern w:val="0"/>
          <w:sz w:val="24"/>
          <w:highlight w:val="none"/>
        </w:rPr>
        <w:t>目录</w:t>
      </w:r>
    </w:p>
    <w:p w14:paraId="3A24A9C6">
      <w:pPr>
        <w:shd w:val="clear" w:color="auto" w:fill="FFFFFF"/>
        <w:snapToGrid w:val="0"/>
        <w:spacing w:line="360" w:lineRule="auto"/>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en-US" w:eastAsia="zh-CN"/>
        </w:rPr>
        <w:t>1</w:t>
      </w:r>
      <w:r>
        <w:rPr>
          <w:rFonts w:hint="eastAsia" w:ascii="宋体" w:hAnsi="宋体" w:cs="宋体"/>
          <w:i w:val="0"/>
          <w:iCs w:val="0"/>
          <w:color w:val="auto"/>
          <w:kern w:val="0"/>
          <w:sz w:val="24"/>
          <w:highlight w:val="none"/>
        </w:rPr>
        <w:t>）投标响应函…………………………………………………………………………（页码）</w:t>
      </w:r>
    </w:p>
    <w:p w14:paraId="0DCF1E1B">
      <w:pPr>
        <w:shd w:val="clear" w:color="auto" w:fill="FFFFFF"/>
        <w:snapToGrid w:val="0"/>
        <w:spacing w:line="360" w:lineRule="auto"/>
        <w:rPr>
          <w:rFonts w:hint="eastAsia" w:ascii="宋体" w:hAnsi="宋体" w:eastAsia="宋体" w:cs="宋体"/>
          <w:b/>
          <w:bCs/>
          <w:i w:val="0"/>
          <w:iCs w:val="0"/>
          <w:color w:val="auto"/>
          <w:kern w:val="0"/>
          <w:sz w:val="24"/>
          <w:highlight w:val="none"/>
          <w:lang w:val="zh-CN"/>
        </w:rPr>
      </w:pP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en-US" w:eastAsia="zh-CN"/>
        </w:rPr>
        <w:t>2</w:t>
      </w:r>
      <w:r>
        <w:rPr>
          <w:rFonts w:hint="eastAsia" w:ascii="宋体" w:hAnsi="宋体" w:cs="宋体"/>
          <w:i w:val="0"/>
          <w:iCs w:val="0"/>
          <w:color w:val="auto"/>
          <w:kern w:val="0"/>
          <w:sz w:val="24"/>
          <w:highlight w:val="none"/>
        </w:rPr>
        <w:t>）开标一览表…………………………………………………………………………（页码）</w:t>
      </w:r>
    </w:p>
    <w:p w14:paraId="19AA55C0">
      <w:pPr>
        <w:shd w:val="clear" w:color="auto" w:fill="FFFFFF"/>
        <w:snapToGrid w:val="0"/>
        <w:spacing w:line="360" w:lineRule="auto"/>
        <w:rPr>
          <w:rFonts w:hint="eastAsia" w:ascii="宋体" w:hAnsi="宋体" w:cs="宋体"/>
          <w:i w:val="0"/>
          <w:iCs w:val="0"/>
          <w:color w:val="auto"/>
          <w:kern w:val="0"/>
          <w:sz w:val="24"/>
          <w:highlight w:val="none"/>
        </w:rPr>
      </w:pPr>
    </w:p>
    <w:p w14:paraId="7A0DCC89">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52F8368E">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37B8F749">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739D64EC">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6867E690">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3515CE7F">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3E5B082F">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26E795E4">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22503C66">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72806C59">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7729C98B">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6F3369B3">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66434E4C">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71709C3B">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4AF71068">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02997FFC">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7D87CFF3">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096B75F5">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7CB69392">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6FCA17F7">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22FC6B55">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7DA1572B">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49E03126">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65691FE4">
      <w:pPr>
        <w:pageBreakBefore/>
        <w:shd w:val="clear" w:color="auto" w:fill="FFFFFF"/>
        <w:snapToGrid w:val="0"/>
        <w:spacing w:line="360" w:lineRule="auto"/>
        <w:jc w:val="center"/>
        <w:outlineLvl w:val="2"/>
        <w:rPr>
          <w:rFonts w:hint="eastAsia" w:ascii="宋体" w:hAnsi="宋体" w:cs="宋体"/>
          <w:b/>
          <w:bCs/>
          <w:color w:val="auto"/>
          <w:sz w:val="32"/>
          <w:szCs w:val="32"/>
          <w:highlight w:val="none"/>
        </w:rPr>
      </w:pPr>
      <w:bookmarkStart w:id="132" w:name="_Toc233618990"/>
      <w:r>
        <w:rPr>
          <w:rFonts w:hint="eastAsia" w:ascii="宋体" w:hAnsi="宋体" w:cs="宋体"/>
          <w:b/>
          <w:bCs/>
          <w:color w:val="auto"/>
          <w:sz w:val="36"/>
          <w:szCs w:val="36"/>
          <w:highlight w:val="none"/>
        </w:rPr>
        <w:t>一、投标响应函</w:t>
      </w:r>
      <w:bookmarkEnd w:id="132"/>
    </w:p>
    <w:p w14:paraId="533001A7">
      <w:pPr>
        <w:shd w:val="clear" w:color="auto" w:fill="FFFFFF"/>
        <w:snapToGrid w:val="0"/>
        <w:spacing w:line="360" w:lineRule="auto"/>
        <w:rPr>
          <w:rFonts w:hint="eastAsia" w:ascii="宋体" w:hAnsi="宋体" w:cs="宋体"/>
          <w:color w:val="auto"/>
          <w:sz w:val="24"/>
          <w:highlight w:val="none"/>
        </w:rPr>
      </w:pPr>
    </w:p>
    <w:p w14:paraId="73D11B2B">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衢州市衢江区</w:t>
      </w:r>
      <w:r>
        <w:rPr>
          <w:rFonts w:hint="eastAsia" w:ascii="宋体" w:hAnsi="宋体" w:cs="宋体"/>
          <w:color w:val="auto"/>
          <w:sz w:val="22"/>
          <w:szCs w:val="22"/>
          <w:highlight w:val="none"/>
          <w:lang w:val="en-US" w:eastAsia="zh-CN"/>
        </w:rPr>
        <w:t>杜泽</w:t>
      </w:r>
      <w:r>
        <w:rPr>
          <w:rFonts w:hint="eastAsia" w:ascii="宋体" w:hAnsi="宋体" w:cs="宋体"/>
          <w:color w:val="auto"/>
          <w:sz w:val="22"/>
          <w:szCs w:val="22"/>
          <w:highlight w:val="none"/>
          <w:lang w:eastAsia="zh-CN"/>
        </w:rPr>
        <w:t>镇人民政府</w:t>
      </w:r>
      <w:r>
        <w:rPr>
          <w:rFonts w:hint="eastAsia" w:ascii="宋体" w:hAnsi="宋体" w:cs="宋体"/>
          <w:color w:val="auto"/>
          <w:sz w:val="22"/>
          <w:szCs w:val="22"/>
          <w:highlight w:val="none"/>
        </w:rPr>
        <w:t>、浙江中兰工程项目管理有限公司：</w:t>
      </w:r>
    </w:p>
    <w:p w14:paraId="06E54B87">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zh-CN"/>
        </w:rPr>
        <w:t xml:space="preserve">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sz w:val="22"/>
          <w:szCs w:val="22"/>
          <w:highlight w:val="none"/>
        </w:rPr>
        <w:t>(投标人全称)授权</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sz w:val="22"/>
          <w:szCs w:val="22"/>
          <w:highlight w:val="none"/>
        </w:rPr>
        <w:t>(全权代表姓名)</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sz w:val="22"/>
          <w:szCs w:val="22"/>
          <w:highlight w:val="none"/>
        </w:rPr>
        <w:t>(职务、职称)为全权代表，参加贵方组织的</w:t>
      </w:r>
      <w:r>
        <w:rPr>
          <w:rFonts w:hint="eastAsia" w:ascii="宋体" w:hAnsi="宋体" w:cs="宋体"/>
          <w:color w:val="auto"/>
          <w:kern w:val="0"/>
          <w:sz w:val="22"/>
          <w:szCs w:val="22"/>
          <w:highlight w:val="none"/>
          <w:u w:val="single"/>
        </w:rPr>
        <w:t xml:space="preserve">                    （项目名称）</w:t>
      </w: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(招标编号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招标的有关活动，并对此项目进行投标。为此：</w:t>
      </w:r>
    </w:p>
    <w:p w14:paraId="24697BC2">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我方同意在投标人</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规定的开标日期起遵守本投标书中的承诺且在投标有效期满之前均具有约束力。</w:t>
      </w:r>
    </w:p>
    <w:p w14:paraId="0C3C6E08">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我方承诺已经具备《中华人民共和国政府采购法》中规定的参加政府采购活动的供应商应当具备的条件：</w:t>
      </w:r>
    </w:p>
    <w:p w14:paraId="12907C84">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14:paraId="51B64D23">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(2)遵守国家法律、行政法规，具有良好的信誉和商业道德；</w:t>
      </w:r>
    </w:p>
    <w:p w14:paraId="6DE68DB9">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(3)具有履行合同的能力和良好的履行合同记录；</w:t>
      </w:r>
    </w:p>
    <w:p w14:paraId="797286F5">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(4)良好的资金、财务状况；</w:t>
      </w:r>
    </w:p>
    <w:p w14:paraId="4AF814DF">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(5)提供的产品和服务符合中国政府规定的相应标准和环保标准；</w:t>
      </w:r>
    </w:p>
    <w:p w14:paraId="7B94A390">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(6)没有违反政府采购法规、政策的记录；</w:t>
      </w:r>
    </w:p>
    <w:p w14:paraId="23D63135">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(7)没有发生重大经济纠纷和走私犯罪记录。</w:t>
      </w:r>
    </w:p>
    <w:p w14:paraId="4DE28E3F">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提供</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规定的全部投标文件，包括资格文件、报价文件、商务技术文件。具体内容为：</w:t>
      </w:r>
    </w:p>
    <w:p w14:paraId="22550CF6">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(1)资格文件</w:t>
      </w:r>
    </w:p>
    <w:p w14:paraId="768E6E81">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(2)报价文件；</w:t>
      </w:r>
    </w:p>
    <w:p w14:paraId="06A0E58B">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商务</w:t>
      </w:r>
      <w:r>
        <w:rPr>
          <w:rFonts w:hint="eastAsia" w:ascii="宋体" w:hAnsi="宋体" w:cs="宋体"/>
          <w:color w:val="auto"/>
          <w:kern w:val="0"/>
          <w:sz w:val="22"/>
          <w:szCs w:val="22"/>
          <w:highlight w:val="none"/>
          <w:lang w:val="zh-CN"/>
        </w:rPr>
        <w:t>技术文件</w:t>
      </w:r>
      <w:r>
        <w:rPr>
          <w:rFonts w:hint="eastAsia" w:ascii="宋体" w:hAnsi="宋体" w:cs="宋体"/>
          <w:color w:val="auto"/>
          <w:sz w:val="22"/>
          <w:szCs w:val="22"/>
          <w:highlight w:val="none"/>
        </w:rPr>
        <w:t>；</w:t>
      </w:r>
    </w:p>
    <w:p w14:paraId="512417E3">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要求投标人提交的全部文件；</w:t>
      </w:r>
    </w:p>
    <w:p w14:paraId="67183FE4">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(5)按招标文件要求提供和交付的货物和服务的投标报价详见开标一览表；</w:t>
      </w:r>
    </w:p>
    <w:p w14:paraId="689E9782">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(6)保证忠实地执行双方所签订的合同，并承担合同规定的责任和义务；</w:t>
      </w:r>
    </w:p>
    <w:p w14:paraId="68016A20">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(7)保证遵守招标文件中的其他有关规定。</w:t>
      </w:r>
    </w:p>
    <w:p w14:paraId="01972B7F">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投标有效期内不撤销投标文件；强行撤销的，承诺按本项目预算金额的2%赔偿对招标代理机构造成的损失。</w:t>
      </w:r>
    </w:p>
    <w:p w14:paraId="07863DC1">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我方完全理解贵方不一定要接受最低价的投标。</w:t>
      </w:r>
    </w:p>
    <w:p w14:paraId="037A53E9">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如中标，按招标文件规定与招标人签订合同。如拒绝签订合同，承诺按本项目预算金额的2%对招标人进行赔偿；赔偿金额不足以弥补招标人损失的，承诺继续承担超过部分的损失。</w:t>
      </w:r>
    </w:p>
    <w:p w14:paraId="32FB0748">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如中标，按招标文件规定的招标代理服务费标准，承诺在签订合同前向招标代理机构支付招标代理服务费。</w:t>
      </w:r>
    </w:p>
    <w:p w14:paraId="0F2B733E">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我方愿意向贵方提供任何与该项投标有关的数据、情况和服务资料。若贵方需要，我方愿意提供我方作出的一切承诺的证明材料。</w:t>
      </w:r>
    </w:p>
    <w:p w14:paraId="2AB9F3DF">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我方已详细审核全部招标文件，包括招标文件修改书（如有的话）、参考资料及有关附件，确认无误。我方完全理解并接受招标文件的各项规定和要求，对招标文件的合理性、合法性不再有异议。</w:t>
      </w:r>
    </w:p>
    <w:p w14:paraId="7EDCF78A">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C5D5983">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(1)提供虚假材料谋取中标、成交的；</w:t>
      </w:r>
    </w:p>
    <w:p w14:paraId="47FA0BBE">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(2)采取不正当手段诋毁、排挤其他供应商的；</w:t>
      </w:r>
    </w:p>
    <w:p w14:paraId="2D3F33EA">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(3)与采购人、其它供应商或者招标代理机构恶意串通的；</w:t>
      </w:r>
    </w:p>
    <w:p w14:paraId="1F74F13B">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(4)向采购人、招标代理机构行贿或者提供其他不正当利益的；</w:t>
      </w:r>
    </w:p>
    <w:p w14:paraId="083290C5">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(5)在招标采购过程中与采购人进行协商谈判的；</w:t>
      </w:r>
    </w:p>
    <w:p w14:paraId="75868BCB">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(6)拒绝有关部门监督检查或提供虚假情况的。</w:t>
      </w:r>
    </w:p>
    <w:p w14:paraId="75AA6767">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供应商有前款第(1)至(5)项情形之一的，中标、成交无效。</w:t>
      </w:r>
    </w:p>
    <w:p w14:paraId="19A56527">
      <w:pPr>
        <w:shd w:val="clear" w:color="auto" w:fill="FFFFFF"/>
        <w:snapToGrid w:val="0"/>
        <w:spacing w:line="360" w:lineRule="auto"/>
        <w:rPr>
          <w:rFonts w:hint="eastAsia" w:ascii="宋体" w:hAnsi="宋体" w:cs="宋体"/>
          <w:color w:val="auto"/>
          <w:kern w:val="0"/>
          <w:sz w:val="22"/>
          <w:szCs w:val="22"/>
          <w:highlight w:val="none"/>
          <w:lang w:val="zh-CN"/>
        </w:rPr>
      </w:pPr>
    </w:p>
    <w:p w14:paraId="72AE5C66">
      <w:pPr>
        <w:shd w:val="clear" w:color="auto" w:fill="FFFFFF"/>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p>
    <w:p w14:paraId="5B66A276">
      <w:pPr>
        <w:shd w:val="clear" w:color="auto" w:fill="FFFFFF"/>
        <w:snapToGrid w:val="0"/>
        <w:spacing w:line="360" w:lineRule="auto"/>
        <w:ind w:firstLine="440" w:firstLineChars="200"/>
        <w:rPr>
          <w:rFonts w:hint="eastAsia" w:ascii="宋体" w:hAnsi="宋体" w:cs="宋体"/>
          <w:color w:val="auto"/>
          <w:kern w:val="0"/>
          <w:sz w:val="22"/>
          <w:szCs w:val="22"/>
          <w:highlight w:val="none"/>
          <w:u w:val="single"/>
          <w:lang w:val="zh-CN"/>
        </w:rPr>
      </w:pPr>
      <w:r>
        <w:rPr>
          <w:rFonts w:hint="eastAsia" w:ascii="宋体" w:hAnsi="宋体" w:cs="宋体"/>
          <w:color w:val="auto"/>
          <w:kern w:val="0"/>
          <w:sz w:val="22"/>
          <w:szCs w:val="22"/>
          <w:highlight w:val="none"/>
          <w:lang w:val="zh-CN"/>
        </w:rPr>
        <w:t>投标人盖章：</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p>
    <w:p w14:paraId="2B2805BB">
      <w:pPr>
        <w:shd w:val="clear" w:color="auto" w:fill="FFFFFF"/>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 xml:space="preserve">联系电话：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传真：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电子邮件：  </w:t>
      </w:r>
      <w:r>
        <w:rPr>
          <w:rFonts w:hint="eastAsia" w:ascii="宋体" w:hAnsi="宋体" w:cs="宋体"/>
          <w:color w:val="auto"/>
          <w:kern w:val="0"/>
          <w:sz w:val="22"/>
          <w:szCs w:val="22"/>
          <w:highlight w:val="none"/>
          <w:u w:val="single"/>
          <w:lang w:val="zh-CN"/>
        </w:rPr>
        <w:t xml:space="preserve">              </w:t>
      </w:r>
    </w:p>
    <w:p w14:paraId="09FB2510">
      <w:pPr>
        <w:shd w:val="clear" w:color="auto" w:fill="FFFFFF"/>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联系地址：</w:t>
      </w:r>
      <w:r>
        <w:rPr>
          <w:rFonts w:hint="eastAsia" w:ascii="宋体" w:hAnsi="宋体" w:cs="宋体"/>
          <w:color w:val="auto"/>
          <w:kern w:val="0"/>
          <w:sz w:val="22"/>
          <w:szCs w:val="22"/>
          <w:highlight w:val="none"/>
          <w:u w:val="single"/>
          <w:lang w:val="zh-CN"/>
        </w:rPr>
        <w:t xml:space="preserve">                    </w:t>
      </w:r>
    </w:p>
    <w:p w14:paraId="524EA867">
      <w:pPr>
        <w:shd w:val="clear" w:color="auto" w:fill="FFFFFF"/>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邮政编码：</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传真号码：</w:t>
      </w:r>
      <w:r>
        <w:rPr>
          <w:rFonts w:hint="eastAsia" w:ascii="宋体" w:hAnsi="宋体" w:cs="宋体"/>
          <w:color w:val="auto"/>
          <w:kern w:val="0"/>
          <w:sz w:val="22"/>
          <w:szCs w:val="22"/>
          <w:highlight w:val="none"/>
          <w:u w:val="single"/>
          <w:lang w:val="zh-CN"/>
        </w:rPr>
        <w:t xml:space="preserve">                     </w:t>
      </w:r>
    </w:p>
    <w:p w14:paraId="0FD1A28D">
      <w:pPr>
        <w:shd w:val="clear" w:color="auto" w:fill="FFFFFF"/>
        <w:snapToGrid w:val="0"/>
        <w:spacing w:line="360" w:lineRule="auto"/>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lang w:val="zh-CN"/>
        </w:rPr>
        <w:t>日</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期</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lang w:val="zh-CN"/>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月</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日</w:t>
      </w:r>
    </w:p>
    <w:p w14:paraId="30437CC1">
      <w:pPr>
        <w:shd w:val="clear" w:color="auto" w:fill="FFFFFF"/>
        <w:snapToGrid w:val="0"/>
        <w:spacing w:line="360" w:lineRule="auto"/>
        <w:rPr>
          <w:rFonts w:hint="eastAsia" w:ascii="宋体" w:hAnsi="宋体" w:cs="宋体"/>
          <w:b/>
          <w:bCs/>
          <w:color w:val="auto"/>
          <w:kern w:val="0"/>
          <w:sz w:val="22"/>
          <w:szCs w:val="22"/>
          <w:highlight w:val="none"/>
          <w:lang w:val="zh-CN"/>
        </w:rPr>
      </w:pPr>
    </w:p>
    <w:p w14:paraId="609545F3">
      <w:pPr>
        <w:shd w:val="clear" w:color="auto" w:fill="FFFFFF"/>
        <w:snapToGrid w:val="0"/>
        <w:spacing w:line="360" w:lineRule="auto"/>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注：未按照本投标响应函要求填报的将被视为非实质性响应，从而可能导致该投标文件被拒绝。</w:t>
      </w:r>
    </w:p>
    <w:p w14:paraId="76088368">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4A53421D">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65F28BFD">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3F562477">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2047356C">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6FBE5D3D">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50037051">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r>
        <w:rPr>
          <w:rFonts w:hint="eastAsia" w:ascii="宋体" w:hAnsi="宋体" w:cs="Times New Roman"/>
          <w:b/>
          <w:bCs/>
          <w:color w:val="auto"/>
          <w:kern w:val="2"/>
          <w:sz w:val="28"/>
          <w:szCs w:val="28"/>
          <w:highlight w:val="none"/>
          <w:lang w:val="en-US" w:eastAsia="zh-CN" w:bidi="ar-SA"/>
        </w:rPr>
        <w:t>2.</w:t>
      </w:r>
      <w:r>
        <w:rPr>
          <w:rFonts w:hint="eastAsia" w:ascii="宋体" w:hAnsi="宋体" w:eastAsia="宋体" w:cs="Times New Roman"/>
          <w:b/>
          <w:bCs/>
          <w:color w:val="auto"/>
          <w:kern w:val="2"/>
          <w:sz w:val="28"/>
          <w:szCs w:val="28"/>
          <w:highlight w:val="none"/>
          <w:lang w:val="zh-CN" w:eastAsia="zh-CN" w:bidi="ar-SA"/>
        </w:rPr>
        <w:t>开标一览表</w:t>
      </w:r>
    </w:p>
    <w:p w14:paraId="09A60B35">
      <w:pPr>
        <w:spacing w:line="380" w:lineRule="exact"/>
        <w:ind w:firstLine="260" w:firstLineChars="100"/>
        <w:rPr>
          <w:rFonts w:ascii="Simang"/>
          <w:color w:val="auto"/>
          <w:spacing w:val="20"/>
          <w:sz w:val="22"/>
          <w:szCs w:val="22"/>
          <w:highlight w:val="none"/>
        </w:rPr>
      </w:pPr>
      <w:r>
        <w:rPr>
          <w:rFonts w:hint="eastAsia" w:ascii="Simang" w:hAnsi="Simang"/>
          <w:color w:val="auto"/>
          <w:spacing w:val="20"/>
          <w:sz w:val="22"/>
          <w:szCs w:val="22"/>
          <w:highlight w:val="none"/>
        </w:rPr>
        <w:t>项目编号：</w:t>
      </w:r>
    </w:p>
    <w:p w14:paraId="3EEB98EC">
      <w:pPr>
        <w:spacing w:line="380" w:lineRule="exact"/>
        <w:ind w:firstLine="260" w:firstLineChars="100"/>
        <w:rPr>
          <w:rFonts w:ascii="Simang"/>
          <w:color w:val="auto"/>
          <w:spacing w:val="20"/>
          <w:sz w:val="22"/>
          <w:szCs w:val="22"/>
          <w:highlight w:val="none"/>
        </w:rPr>
      </w:pPr>
      <w:r>
        <w:rPr>
          <w:rFonts w:hint="eastAsia" w:ascii="Simang" w:hAnsi="Simang"/>
          <w:color w:val="auto"/>
          <w:spacing w:val="20"/>
          <w:sz w:val="22"/>
          <w:szCs w:val="22"/>
          <w:highlight w:val="none"/>
        </w:rPr>
        <w:t>项目名称：</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795"/>
        <w:gridCol w:w="2240"/>
        <w:gridCol w:w="1970"/>
        <w:gridCol w:w="1969"/>
      </w:tblGrid>
      <w:tr w14:paraId="1396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415" w:type="pct"/>
            <w:noWrap w:val="0"/>
            <w:vAlign w:val="center"/>
          </w:tcPr>
          <w:p w14:paraId="67DB264D">
            <w:pPr>
              <w:spacing w:line="380" w:lineRule="exact"/>
              <w:jc w:val="center"/>
              <w:rPr>
                <w:rFonts w:ascii="Simang"/>
                <w:color w:val="auto"/>
                <w:sz w:val="22"/>
                <w:szCs w:val="22"/>
                <w:highlight w:val="none"/>
              </w:rPr>
            </w:pPr>
            <w:r>
              <w:rPr>
                <w:rFonts w:hint="eastAsia" w:ascii="Simang" w:hAnsi="Simang"/>
                <w:color w:val="auto"/>
                <w:sz w:val="22"/>
                <w:szCs w:val="22"/>
                <w:highlight w:val="none"/>
              </w:rPr>
              <w:t>序号</w:t>
            </w:r>
          </w:p>
        </w:tc>
        <w:tc>
          <w:tcPr>
            <w:tcW w:w="1426" w:type="pct"/>
            <w:noWrap w:val="0"/>
            <w:vAlign w:val="center"/>
          </w:tcPr>
          <w:p w14:paraId="3828B625">
            <w:pPr>
              <w:pStyle w:val="7"/>
              <w:overflowPunct w:val="0"/>
              <w:spacing w:line="380" w:lineRule="exact"/>
              <w:ind w:firstLine="0"/>
              <w:jc w:val="center"/>
              <w:rPr>
                <w:rFonts w:ascii="Simang"/>
                <w:color w:val="auto"/>
                <w:sz w:val="22"/>
                <w:szCs w:val="22"/>
                <w:highlight w:val="none"/>
              </w:rPr>
            </w:pPr>
            <w:r>
              <w:rPr>
                <w:rFonts w:hint="eastAsia" w:ascii="Simang" w:hAnsi="Simang"/>
                <w:color w:val="auto"/>
                <w:sz w:val="22"/>
                <w:szCs w:val="22"/>
                <w:highlight w:val="none"/>
              </w:rPr>
              <w:t>项目名称</w:t>
            </w:r>
          </w:p>
        </w:tc>
        <w:tc>
          <w:tcPr>
            <w:tcW w:w="1144" w:type="pct"/>
            <w:noWrap w:val="0"/>
            <w:vAlign w:val="center"/>
          </w:tcPr>
          <w:p w14:paraId="5F185613">
            <w:pPr>
              <w:pStyle w:val="7"/>
              <w:overflowPunct w:val="0"/>
              <w:spacing w:line="380" w:lineRule="exact"/>
              <w:ind w:firstLine="0"/>
              <w:jc w:val="center"/>
              <w:rPr>
                <w:rFonts w:ascii="Simang"/>
                <w:color w:val="auto"/>
                <w:sz w:val="22"/>
                <w:szCs w:val="22"/>
                <w:highlight w:val="none"/>
              </w:rPr>
            </w:pPr>
            <w:r>
              <w:rPr>
                <w:rFonts w:hint="eastAsia" w:ascii="Simang" w:hAnsi="Simang"/>
                <w:color w:val="auto"/>
                <w:sz w:val="22"/>
                <w:szCs w:val="22"/>
                <w:highlight w:val="none"/>
              </w:rPr>
              <w:t>投标报价（元）</w:t>
            </w:r>
          </w:p>
        </w:tc>
        <w:tc>
          <w:tcPr>
            <w:tcW w:w="1006" w:type="pct"/>
            <w:noWrap w:val="0"/>
            <w:vAlign w:val="center"/>
          </w:tcPr>
          <w:p w14:paraId="159E6B79">
            <w:pPr>
              <w:pStyle w:val="7"/>
              <w:overflowPunct w:val="0"/>
              <w:spacing w:line="380" w:lineRule="exact"/>
              <w:ind w:firstLine="0"/>
              <w:jc w:val="center"/>
              <w:rPr>
                <w:rFonts w:ascii="Simang"/>
                <w:color w:val="auto"/>
                <w:sz w:val="22"/>
                <w:szCs w:val="22"/>
                <w:highlight w:val="none"/>
              </w:rPr>
            </w:pPr>
            <w:r>
              <w:rPr>
                <w:rFonts w:hint="eastAsia" w:ascii="Simang" w:hAnsi="Simang"/>
                <w:color w:val="auto"/>
                <w:sz w:val="22"/>
                <w:szCs w:val="22"/>
                <w:highlight w:val="none"/>
              </w:rPr>
              <w:t>服务</w:t>
            </w:r>
            <w:r>
              <w:rPr>
                <w:rFonts w:hint="eastAsia" w:ascii="Simang" w:hAnsi="Simang"/>
                <w:color w:val="auto"/>
                <w:sz w:val="22"/>
                <w:szCs w:val="22"/>
                <w:highlight w:val="none"/>
                <w:lang w:val="en-US" w:eastAsia="zh-CN"/>
              </w:rPr>
              <w:t>期限</w:t>
            </w:r>
            <w:r>
              <w:rPr>
                <w:rFonts w:ascii="Simang" w:hAnsi="Simang"/>
                <w:color w:val="auto"/>
                <w:sz w:val="22"/>
                <w:szCs w:val="22"/>
                <w:highlight w:val="none"/>
              </w:rPr>
              <w:t>/</w:t>
            </w:r>
            <w:r>
              <w:rPr>
                <w:rFonts w:hint="eastAsia" w:ascii="Simang" w:hAnsi="Simang"/>
                <w:color w:val="auto"/>
                <w:sz w:val="22"/>
                <w:szCs w:val="22"/>
                <w:highlight w:val="none"/>
              </w:rPr>
              <w:t>项目负责人</w:t>
            </w:r>
          </w:p>
        </w:tc>
        <w:tc>
          <w:tcPr>
            <w:tcW w:w="1006" w:type="pct"/>
            <w:noWrap w:val="0"/>
            <w:vAlign w:val="center"/>
          </w:tcPr>
          <w:p w14:paraId="2D6A77A8">
            <w:pPr>
              <w:pStyle w:val="7"/>
              <w:overflowPunct w:val="0"/>
              <w:spacing w:line="380" w:lineRule="exact"/>
              <w:ind w:firstLine="0"/>
              <w:jc w:val="center"/>
              <w:rPr>
                <w:rFonts w:hint="eastAsia" w:ascii="Simang" w:hAnsi="Simang" w:eastAsia="宋体"/>
                <w:color w:val="auto"/>
                <w:sz w:val="22"/>
                <w:szCs w:val="22"/>
                <w:highlight w:val="none"/>
                <w:lang w:eastAsia="zh-CN"/>
              </w:rPr>
            </w:pPr>
            <w:r>
              <w:rPr>
                <w:rFonts w:hint="eastAsia" w:ascii="Simang" w:hAnsi="Simang"/>
                <w:color w:val="auto"/>
                <w:sz w:val="22"/>
                <w:szCs w:val="22"/>
                <w:highlight w:val="none"/>
                <w:lang w:eastAsia="zh-CN"/>
              </w:rPr>
              <w:t>备注</w:t>
            </w:r>
          </w:p>
        </w:tc>
      </w:tr>
      <w:tr w14:paraId="3000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trPr>
        <w:tc>
          <w:tcPr>
            <w:tcW w:w="415" w:type="pct"/>
            <w:noWrap w:val="0"/>
            <w:vAlign w:val="center"/>
          </w:tcPr>
          <w:p w14:paraId="27F0578C">
            <w:pPr>
              <w:spacing w:line="380" w:lineRule="exact"/>
              <w:jc w:val="center"/>
              <w:rPr>
                <w:rFonts w:hint="eastAsia" w:ascii="Simang" w:eastAsia="宋体"/>
                <w:color w:val="auto"/>
                <w:sz w:val="22"/>
                <w:szCs w:val="22"/>
                <w:highlight w:val="none"/>
                <w:lang w:val="en-US" w:eastAsia="zh-CN"/>
              </w:rPr>
            </w:pPr>
            <w:r>
              <w:rPr>
                <w:rFonts w:hint="eastAsia" w:ascii="Simang"/>
                <w:color w:val="auto"/>
                <w:sz w:val="22"/>
                <w:szCs w:val="22"/>
                <w:highlight w:val="none"/>
                <w:lang w:val="en-US" w:eastAsia="zh-CN"/>
              </w:rPr>
              <w:t>1</w:t>
            </w:r>
          </w:p>
        </w:tc>
        <w:tc>
          <w:tcPr>
            <w:tcW w:w="1426" w:type="pct"/>
            <w:noWrap w:val="0"/>
            <w:vAlign w:val="center"/>
          </w:tcPr>
          <w:p w14:paraId="47530F62">
            <w:pPr>
              <w:pStyle w:val="7"/>
              <w:overflowPunct w:val="0"/>
              <w:spacing w:line="380" w:lineRule="exact"/>
              <w:ind w:firstLine="0"/>
              <w:jc w:val="center"/>
              <w:rPr>
                <w:rFonts w:ascii="Simang"/>
                <w:color w:val="auto"/>
                <w:sz w:val="22"/>
                <w:szCs w:val="22"/>
                <w:highlight w:val="none"/>
              </w:rPr>
            </w:pPr>
            <w:r>
              <w:rPr>
                <w:rFonts w:hint="eastAsia" w:ascii="Simang"/>
                <w:color w:val="auto"/>
                <w:sz w:val="22"/>
                <w:szCs w:val="22"/>
                <w:highlight w:val="none"/>
                <w:lang w:eastAsia="zh-CN"/>
              </w:rPr>
              <w:t>衢州市衢江区杜泽镇白水村浙江省历史文化（传统）村落保护利用重点村规划项目</w:t>
            </w:r>
          </w:p>
        </w:tc>
        <w:tc>
          <w:tcPr>
            <w:tcW w:w="1144" w:type="pct"/>
            <w:noWrap w:val="0"/>
            <w:vAlign w:val="center"/>
          </w:tcPr>
          <w:p w14:paraId="7BD964E3">
            <w:pPr>
              <w:pStyle w:val="7"/>
              <w:overflowPunct w:val="0"/>
              <w:spacing w:line="380" w:lineRule="exact"/>
              <w:ind w:firstLine="0"/>
              <w:jc w:val="center"/>
              <w:rPr>
                <w:rFonts w:ascii="Simang"/>
                <w:color w:val="auto"/>
                <w:sz w:val="22"/>
                <w:szCs w:val="22"/>
                <w:highlight w:val="none"/>
              </w:rPr>
            </w:pPr>
          </w:p>
        </w:tc>
        <w:tc>
          <w:tcPr>
            <w:tcW w:w="1006" w:type="pct"/>
            <w:noWrap w:val="0"/>
            <w:vAlign w:val="center"/>
          </w:tcPr>
          <w:p w14:paraId="5A7B4548">
            <w:pPr>
              <w:pStyle w:val="7"/>
              <w:overflowPunct w:val="0"/>
              <w:spacing w:line="380" w:lineRule="exact"/>
              <w:ind w:firstLine="0"/>
              <w:jc w:val="center"/>
              <w:rPr>
                <w:rFonts w:ascii="Simang"/>
                <w:color w:val="auto"/>
                <w:sz w:val="22"/>
                <w:szCs w:val="22"/>
                <w:highlight w:val="none"/>
              </w:rPr>
            </w:pPr>
          </w:p>
        </w:tc>
        <w:tc>
          <w:tcPr>
            <w:tcW w:w="1006" w:type="pct"/>
            <w:noWrap w:val="0"/>
            <w:vAlign w:val="center"/>
          </w:tcPr>
          <w:p w14:paraId="7D743D16">
            <w:pPr>
              <w:pStyle w:val="7"/>
              <w:overflowPunct w:val="0"/>
              <w:spacing w:line="380" w:lineRule="exact"/>
              <w:ind w:firstLine="0"/>
              <w:jc w:val="center"/>
              <w:rPr>
                <w:rFonts w:ascii="Simang"/>
                <w:color w:val="auto"/>
                <w:sz w:val="22"/>
                <w:szCs w:val="22"/>
                <w:highlight w:val="none"/>
              </w:rPr>
            </w:pPr>
          </w:p>
        </w:tc>
      </w:tr>
      <w:tr w14:paraId="2ADD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415" w:type="pct"/>
            <w:vMerge w:val="restart"/>
            <w:noWrap w:val="0"/>
            <w:vAlign w:val="center"/>
          </w:tcPr>
          <w:p w14:paraId="38B65E01">
            <w:pPr>
              <w:pStyle w:val="7"/>
              <w:overflowPunct w:val="0"/>
              <w:spacing w:line="380" w:lineRule="exact"/>
              <w:ind w:firstLine="0"/>
              <w:rPr>
                <w:rFonts w:ascii="Simang"/>
                <w:color w:val="auto"/>
                <w:sz w:val="22"/>
                <w:szCs w:val="22"/>
                <w:highlight w:val="none"/>
              </w:rPr>
            </w:pPr>
            <w:r>
              <w:rPr>
                <w:rFonts w:hint="eastAsia" w:ascii="Simang" w:hAnsi="Simang"/>
                <w:color w:val="auto"/>
                <w:sz w:val="22"/>
                <w:szCs w:val="22"/>
                <w:highlight w:val="none"/>
              </w:rPr>
              <w:t>总报价（元）</w:t>
            </w:r>
          </w:p>
        </w:tc>
        <w:tc>
          <w:tcPr>
            <w:tcW w:w="3577" w:type="pct"/>
            <w:gridSpan w:val="3"/>
            <w:noWrap w:val="0"/>
            <w:vAlign w:val="center"/>
          </w:tcPr>
          <w:p w14:paraId="598F3837">
            <w:pPr>
              <w:pStyle w:val="7"/>
              <w:overflowPunct w:val="0"/>
              <w:spacing w:line="380" w:lineRule="exact"/>
              <w:ind w:firstLine="0"/>
              <w:rPr>
                <w:rFonts w:ascii="Simang"/>
                <w:color w:val="auto"/>
                <w:sz w:val="22"/>
                <w:szCs w:val="22"/>
                <w:highlight w:val="none"/>
              </w:rPr>
            </w:pPr>
            <w:r>
              <w:rPr>
                <w:rFonts w:hint="eastAsia" w:ascii="Simang" w:hAnsi="Simang"/>
                <w:color w:val="auto"/>
                <w:sz w:val="22"/>
                <w:szCs w:val="22"/>
                <w:highlight w:val="none"/>
              </w:rPr>
              <w:t>大写：</w:t>
            </w:r>
          </w:p>
        </w:tc>
        <w:tc>
          <w:tcPr>
            <w:tcW w:w="1006" w:type="pct"/>
            <w:noWrap w:val="0"/>
            <w:vAlign w:val="center"/>
          </w:tcPr>
          <w:p w14:paraId="0B9858FA">
            <w:pPr>
              <w:pStyle w:val="7"/>
              <w:overflowPunct w:val="0"/>
              <w:spacing w:line="380" w:lineRule="exact"/>
              <w:ind w:firstLine="0"/>
              <w:rPr>
                <w:rFonts w:hint="eastAsia" w:ascii="Simang" w:hAnsi="Simang"/>
                <w:color w:val="auto"/>
                <w:sz w:val="22"/>
                <w:szCs w:val="22"/>
                <w:highlight w:val="none"/>
              </w:rPr>
            </w:pPr>
          </w:p>
        </w:tc>
      </w:tr>
      <w:tr w14:paraId="67CF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415" w:type="pct"/>
            <w:vMerge w:val="continue"/>
            <w:noWrap w:val="0"/>
            <w:vAlign w:val="center"/>
          </w:tcPr>
          <w:p w14:paraId="399679D0">
            <w:pPr>
              <w:pStyle w:val="7"/>
              <w:overflowPunct w:val="0"/>
              <w:spacing w:line="380" w:lineRule="exact"/>
              <w:ind w:firstLine="0"/>
              <w:rPr>
                <w:rFonts w:ascii="Simang"/>
                <w:color w:val="auto"/>
                <w:sz w:val="22"/>
                <w:szCs w:val="22"/>
                <w:highlight w:val="none"/>
              </w:rPr>
            </w:pPr>
          </w:p>
        </w:tc>
        <w:tc>
          <w:tcPr>
            <w:tcW w:w="3577" w:type="pct"/>
            <w:gridSpan w:val="3"/>
            <w:noWrap w:val="0"/>
            <w:vAlign w:val="center"/>
          </w:tcPr>
          <w:p w14:paraId="5F924423">
            <w:pPr>
              <w:pStyle w:val="7"/>
              <w:overflowPunct w:val="0"/>
              <w:spacing w:line="380" w:lineRule="exact"/>
              <w:ind w:firstLine="0"/>
              <w:rPr>
                <w:rFonts w:ascii="Simang"/>
                <w:color w:val="auto"/>
                <w:sz w:val="22"/>
                <w:szCs w:val="22"/>
                <w:highlight w:val="none"/>
              </w:rPr>
            </w:pPr>
            <w:r>
              <w:rPr>
                <w:rFonts w:hint="eastAsia" w:ascii="Simang" w:hAnsi="Simang"/>
                <w:color w:val="auto"/>
                <w:sz w:val="22"/>
                <w:szCs w:val="22"/>
                <w:highlight w:val="none"/>
              </w:rPr>
              <w:t>小写：</w:t>
            </w:r>
          </w:p>
        </w:tc>
        <w:tc>
          <w:tcPr>
            <w:tcW w:w="1006" w:type="pct"/>
            <w:noWrap w:val="0"/>
            <w:vAlign w:val="center"/>
          </w:tcPr>
          <w:p w14:paraId="3C1E6EB4">
            <w:pPr>
              <w:pStyle w:val="7"/>
              <w:overflowPunct w:val="0"/>
              <w:spacing w:line="380" w:lineRule="exact"/>
              <w:ind w:firstLine="0"/>
              <w:rPr>
                <w:rFonts w:hint="eastAsia" w:ascii="Simang" w:hAnsi="Simang"/>
                <w:color w:val="auto"/>
                <w:sz w:val="22"/>
                <w:szCs w:val="22"/>
                <w:highlight w:val="none"/>
              </w:rPr>
            </w:pPr>
          </w:p>
        </w:tc>
      </w:tr>
    </w:tbl>
    <w:p w14:paraId="72A23657">
      <w:pPr>
        <w:tabs>
          <w:tab w:val="left" w:pos="9180"/>
        </w:tabs>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报价一经涂改，应在涂改处加盖单位公章或者由法定代表人或授权委托人签字或盖章，否则其投标作无效标处理。</w:t>
      </w:r>
    </w:p>
    <w:p w14:paraId="0428559E">
      <w:pPr>
        <w:pStyle w:val="12"/>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val="0"/>
          <w:i w:val="0"/>
          <w:iCs w:val="0"/>
          <w:color w:val="auto"/>
          <w:kern w:val="2"/>
          <w:sz w:val="22"/>
          <w:szCs w:val="22"/>
          <w:highlight w:val="none"/>
          <w:lang w:val="en-US" w:eastAsia="zh-CN" w:bidi="ar-SA"/>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eastAsia="宋体" w:cs="宋体"/>
          <w:b w:val="0"/>
          <w:bCs w:val="0"/>
          <w:i w:val="0"/>
          <w:iCs w:val="0"/>
          <w:color w:val="auto"/>
          <w:kern w:val="2"/>
          <w:sz w:val="22"/>
          <w:szCs w:val="22"/>
          <w:highlight w:val="none"/>
          <w:lang w:val="en-US" w:eastAsia="zh-CN" w:bidi="ar-SA"/>
        </w:rPr>
        <w:t>投标报价是履行合同的最终价格，包括但不限于包括包括人工（工资、加班费、福利、社会保险、医疗保险、工伤保险、失业保险、意外保险金、培训等）、管理费、利润、税、设备租赁、保险、验收、技术支持与培训、政策性文件规定及合同包含的所有风险、责任等各项全部费用。投标人应根据自身实际报价时予以考虑，如有漏项，视同已包含在其它项目中，价格不作调整，成交后不允许擅自改变服务内容、质量标准、期限和追加项目费用。</w:t>
      </w:r>
    </w:p>
    <w:p w14:paraId="09ABB74E">
      <w:pPr>
        <w:tabs>
          <w:tab w:val="left" w:pos="9180"/>
        </w:tabs>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招标文件未列明，而投标人认为必需的费用也需列入报价。投标人在投标报价中应充分考虑所有可能发生的费用，否则招标人将视投标报价中已包括所有费用。</w:t>
      </w:r>
    </w:p>
    <w:p w14:paraId="25A0B72B">
      <w:pPr>
        <w:tabs>
          <w:tab w:val="left" w:pos="9180"/>
        </w:tabs>
        <w:snapToGrid w:val="0"/>
        <w:spacing w:line="360" w:lineRule="auto"/>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lang w:val="zh-CN"/>
        </w:rPr>
        <w:t>本投标文件及其所附文件涵盖了我方要约的全部内容。</w:t>
      </w:r>
    </w:p>
    <w:p w14:paraId="488A1511">
      <w:pPr>
        <w:pStyle w:val="12"/>
        <w:spacing w:line="380" w:lineRule="exact"/>
        <w:ind w:firstLine="3840"/>
        <w:rPr>
          <w:rFonts w:hAnsi="Simang"/>
          <w:color w:val="auto"/>
          <w:sz w:val="22"/>
          <w:szCs w:val="22"/>
          <w:highlight w:val="none"/>
        </w:rPr>
      </w:pPr>
    </w:p>
    <w:p w14:paraId="17D3CD06">
      <w:pPr>
        <w:pStyle w:val="12"/>
        <w:spacing w:line="380" w:lineRule="exact"/>
        <w:rPr>
          <w:rFonts w:hAnsi="Simang"/>
          <w:color w:val="auto"/>
          <w:sz w:val="22"/>
          <w:szCs w:val="22"/>
          <w:highlight w:val="none"/>
        </w:rPr>
      </w:pPr>
    </w:p>
    <w:p w14:paraId="408A2FFD">
      <w:pPr>
        <w:pStyle w:val="12"/>
        <w:spacing w:line="380" w:lineRule="exact"/>
        <w:rPr>
          <w:rFonts w:hAnsi="Simang"/>
          <w:color w:val="auto"/>
          <w:sz w:val="22"/>
          <w:szCs w:val="22"/>
          <w:highlight w:val="none"/>
        </w:rPr>
      </w:pPr>
    </w:p>
    <w:p w14:paraId="6179EE8C">
      <w:pPr>
        <w:pStyle w:val="12"/>
        <w:spacing w:line="380" w:lineRule="exact"/>
        <w:rPr>
          <w:rFonts w:hAnsi="Simang"/>
          <w:color w:val="auto"/>
          <w:sz w:val="22"/>
          <w:szCs w:val="22"/>
          <w:highlight w:val="none"/>
        </w:rPr>
      </w:pPr>
    </w:p>
    <w:p w14:paraId="345CD29D">
      <w:pPr>
        <w:widowControl/>
        <w:snapToGrid w:val="0"/>
        <w:spacing w:line="360" w:lineRule="auto"/>
        <w:ind w:firstLine="3960" w:firstLineChars="1800"/>
        <w:jc w:val="left"/>
        <w:rPr>
          <w:rFonts w:hint="eastAsia" w:ascii="宋体" w:hAnsi="宋体" w:cs="宋体"/>
          <w:i w:val="0"/>
          <w:iCs w:val="0"/>
          <w:color w:val="auto"/>
          <w:kern w:val="0"/>
          <w:sz w:val="22"/>
          <w:szCs w:val="22"/>
          <w:highlight w:val="none"/>
        </w:rPr>
      </w:pPr>
      <w:r>
        <w:rPr>
          <w:rFonts w:hint="eastAsia" w:hAnsi="Simang"/>
          <w:color w:val="auto"/>
          <w:sz w:val="22"/>
          <w:szCs w:val="22"/>
          <w:highlight w:val="none"/>
        </w:rPr>
        <w:t>　</w:t>
      </w:r>
      <w:r>
        <w:rPr>
          <w:rFonts w:hint="eastAsia" w:ascii="宋体" w:hAnsi="宋体" w:cs="宋体"/>
          <w:i w:val="0"/>
          <w:iCs w:val="0"/>
          <w:color w:val="auto"/>
          <w:kern w:val="0"/>
          <w:sz w:val="22"/>
          <w:szCs w:val="22"/>
          <w:highlight w:val="none"/>
          <w:lang w:eastAsia="zh-CN"/>
        </w:rPr>
        <w:t>投标人</w:t>
      </w:r>
      <w:r>
        <w:rPr>
          <w:rFonts w:hint="eastAsia" w:ascii="宋体" w:hAnsi="宋体" w:cs="宋体"/>
          <w:i w:val="0"/>
          <w:iCs w:val="0"/>
          <w:color w:val="auto"/>
          <w:kern w:val="0"/>
          <w:sz w:val="22"/>
          <w:szCs w:val="22"/>
          <w:highlight w:val="none"/>
        </w:rPr>
        <w:t>名称（盖章） ：</w:t>
      </w:r>
    </w:p>
    <w:p w14:paraId="7C7E02BA">
      <w:pPr>
        <w:widowControl/>
        <w:snapToGrid w:val="0"/>
        <w:spacing w:line="360" w:lineRule="auto"/>
        <w:ind w:firstLine="3520" w:firstLineChars="1600"/>
        <w:jc w:val="left"/>
        <w:rPr>
          <w:rFonts w:hint="eastAsia" w:ascii="宋体" w:hAnsi="宋体" w:cs="宋体"/>
          <w:i w:val="0"/>
          <w:iCs w:val="0"/>
          <w:color w:val="auto"/>
          <w:kern w:val="0"/>
          <w:sz w:val="22"/>
          <w:szCs w:val="22"/>
          <w:highlight w:val="none"/>
        </w:rPr>
      </w:pPr>
      <w:r>
        <w:rPr>
          <w:rFonts w:hint="eastAsia" w:ascii="宋体" w:hAnsi="宋体" w:cs="宋体"/>
          <w:i w:val="0"/>
          <w:iCs w:val="0"/>
          <w:color w:val="auto"/>
          <w:kern w:val="0"/>
          <w:sz w:val="22"/>
          <w:szCs w:val="22"/>
          <w:highlight w:val="none"/>
        </w:rPr>
        <w:t>法定代表人或</w:t>
      </w:r>
      <w:r>
        <w:rPr>
          <w:rFonts w:hint="eastAsia" w:ascii="宋体" w:hAnsi="宋体" w:cs="宋体"/>
          <w:i w:val="0"/>
          <w:iCs w:val="0"/>
          <w:color w:val="auto"/>
          <w:kern w:val="0"/>
          <w:sz w:val="22"/>
          <w:szCs w:val="22"/>
          <w:highlight w:val="none"/>
          <w:lang w:eastAsia="zh-CN"/>
        </w:rPr>
        <w:t>委托代理人</w:t>
      </w:r>
      <w:r>
        <w:rPr>
          <w:rFonts w:hint="eastAsia" w:ascii="宋体" w:hAnsi="宋体" w:cs="宋体"/>
          <w:i w:val="0"/>
          <w:iCs w:val="0"/>
          <w:color w:val="auto"/>
          <w:kern w:val="0"/>
          <w:sz w:val="22"/>
          <w:szCs w:val="22"/>
          <w:highlight w:val="none"/>
        </w:rPr>
        <w:t>（签字或盖章）：</w:t>
      </w:r>
    </w:p>
    <w:p w14:paraId="4A04DDBC">
      <w:pPr>
        <w:widowControl/>
        <w:snapToGrid w:val="0"/>
        <w:spacing w:line="360" w:lineRule="auto"/>
        <w:ind w:firstLine="3960" w:firstLineChars="1800"/>
        <w:jc w:val="left"/>
        <w:rPr>
          <w:rFonts w:hint="eastAsia" w:ascii="宋体" w:hAnsi="宋体" w:cs="宋体"/>
          <w:i w:val="0"/>
          <w:iCs w:val="0"/>
          <w:color w:val="auto"/>
          <w:kern w:val="0"/>
          <w:sz w:val="22"/>
          <w:szCs w:val="22"/>
          <w:highlight w:val="none"/>
        </w:rPr>
      </w:pPr>
      <w:r>
        <w:rPr>
          <w:rFonts w:hint="eastAsia" w:ascii="宋体" w:hAnsi="宋体" w:cs="宋体"/>
          <w:i w:val="0"/>
          <w:iCs w:val="0"/>
          <w:color w:val="auto"/>
          <w:kern w:val="0"/>
          <w:sz w:val="22"/>
          <w:szCs w:val="22"/>
          <w:highlight w:val="none"/>
        </w:rPr>
        <w:t>日期：     年  月  日</w:t>
      </w:r>
    </w:p>
    <w:p w14:paraId="3020BF99">
      <w:pPr>
        <w:widowControl/>
        <w:snapToGrid w:val="0"/>
        <w:spacing w:line="360" w:lineRule="auto"/>
        <w:ind w:firstLine="3960" w:firstLineChars="1800"/>
        <w:jc w:val="left"/>
        <w:rPr>
          <w:rFonts w:hint="eastAsia" w:ascii="宋体" w:hAnsi="宋体" w:cs="宋体"/>
          <w:i w:val="0"/>
          <w:iCs w:val="0"/>
          <w:color w:val="auto"/>
          <w:kern w:val="0"/>
          <w:sz w:val="22"/>
          <w:szCs w:val="22"/>
          <w:highlight w:val="none"/>
        </w:rPr>
      </w:pPr>
    </w:p>
    <w:p w14:paraId="37F0E8C9">
      <w:pPr>
        <w:widowControl/>
        <w:snapToGrid w:val="0"/>
        <w:spacing w:line="360" w:lineRule="auto"/>
        <w:ind w:firstLine="3960" w:firstLineChars="1800"/>
        <w:jc w:val="left"/>
        <w:rPr>
          <w:rFonts w:hint="eastAsia" w:ascii="宋体" w:hAnsi="宋体" w:cs="宋体"/>
          <w:i w:val="0"/>
          <w:iCs w:val="0"/>
          <w:color w:val="auto"/>
          <w:kern w:val="0"/>
          <w:sz w:val="22"/>
          <w:szCs w:val="22"/>
          <w:highlight w:val="none"/>
        </w:rPr>
      </w:pPr>
    </w:p>
    <w:p w14:paraId="21FD8E66">
      <w:pPr>
        <w:widowControl/>
        <w:snapToGrid w:val="0"/>
        <w:spacing w:line="360" w:lineRule="auto"/>
        <w:ind w:firstLine="3960" w:firstLineChars="1800"/>
        <w:jc w:val="left"/>
        <w:rPr>
          <w:rFonts w:hint="eastAsia" w:ascii="宋体" w:hAnsi="宋体" w:cs="宋体"/>
          <w:i w:val="0"/>
          <w:iCs w:val="0"/>
          <w:color w:val="auto"/>
          <w:kern w:val="0"/>
          <w:sz w:val="22"/>
          <w:szCs w:val="22"/>
          <w:highlight w:val="none"/>
        </w:rPr>
      </w:pPr>
    </w:p>
    <w:p w14:paraId="5CD5F162">
      <w:pPr>
        <w:pStyle w:val="62"/>
        <w:widowControl w:val="0"/>
        <w:snapToGrid w:val="0"/>
        <w:spacing w:line="440" w:lineRule="exact"/>
        <w:jc w:val="center"/>
        <w:rPr>
          <w:rFonts w:hAnsi="宋体" w:cs="Times New Roman"/>
          <w:b/>
          <w:bCs/>
          <w:color w:val="auto"/>
          <w:sz w:val="32"/>
          <w:szCs w:val="32"/>
        </w:rPr>
      </w:pPr>
      <w:r>
        <w:rPr>
          <w:rFonts w:hint="eastAsia" w:hAnsi="宋体" w:cs="方正小标宋简体"/>
          <w:b/>
          <w:bCs/>
          <w:color w:val="auto"/>
          <w:sz w:val="32"/>
          <w:szCs w:val="32"/>
        </w:rPr>
        <w:t>政府采购活动现场确认声明书</w:t>
      </w:r>
    </w:p>
    <w:p w14:paraId="2FCCB1AD">
      <w:pPr>
        <w:pStyle w:val="62"/>
        <w:widowControl w:val="0"/>
        <w:snapToGrid w:val="0"/>
        <w:spacing w:line="440" w:lineRule="exact"/>
        <w:jc w:val="center"/>
        <w:rPr>
          <w:rFonts w:hAnsi="宋体" w:cs="Times New Roman"/>
          <w:color w:val="auto"/>
          <w:kern w:val="0"/>
          <w:sz w:val="28"/>
          <w:szCs w:val="28"/>
        </w:rPr>
      </w:pPr>
    </w:p>
    <w:p w14:paraId="48D86FC6">
      <w:pPr>
        <w:pStyle w:val="62"/>
        <w:widowControl w:val="0"/>
        <w:snapToGrid w:val="0"/>
        <w:spacing w:line="440" w:lineRule="exact"/>
        <w:jc w:val="both"/>
        <w:rPr>
          <w:rFonts w:hAnsi="宋体" w:cs="Times New Roman"/>
          <w:bCs/>
          <w:color w:val="auto"/>
          <w:sz w:val="24"/>
          <w:szCs w:val="24"/>
        </w:rPr>
      </w:pPr>
      <w:r>
        <w:rPr>
          <w:rFonts w:hAnsi="宋体"/>
          <w:color w:val="auto"/>
          <w:kern w:val="0"/>
          <w:sz w:val="24"/>
          <w:szCs w:val="24"/>
        </w:rPr>
        <w:t xml:space="preserve"> </w:t>
      </w:r>
      <w:r>
        <w:rPr>
          <w:rFonts w:hint="eastAsia"/>
          <w:color w:val="auto"/>
          <w:kern w:val="0"/>
          <w:sz w:val="24"/>
          <w:szCs w:val="24"/>
          <w:lang w:eastAsia="zh-CN"/>
        </w:rPr>
        <w:t>浙江中兰工程项目管理有限公司</w:t>
      </w:r>
      <w:r>
        <w:rPr>
          <w:rFonts w:hint="eastAsia" w:hAnsi="宋体"/>
          <w:color w:val="auto"/>
          <w:kern w:val="0"/>
          <w:sz w:val="24"/>
          <w:szCs w:val="24"/>
        </w:rPr>
        <w:t>：</w:t>
      </w:r>
    </w:p>
    <w:p w14:paraId="2247D086">
      <w:pPr>
        <w:pStyle w:val="62"/>
        <w:widowControl w:val="0"/>
        <w:snapToGrid w:val="0"/>
        <w:spacing w:line="440" w:lineRule="exact"/>
        <w:ind w:firstLine="504" w:firstLineChars="200"/>
        <w:rPr>
          <w:rFonts w:hAnsi="宋体"/>
          <w:color w:val="auto"/>
          <w:spacing w:val="6"/>
          <w:sz w:val="24"/>
          <w:szCs w:val="24"/>
        </w:rPr>
      </w:pPr>
      <w:r>
        <w:rPr>
          <w:rFonts w:hint="eastAsia" w:hAnsi="宋体"/>
          <w:color w:val="auto"/>
          <w:spacing w:val="6"/>
          <w:sz w:val="24"/>
          <w:szCs w:val="24"/>
        </w:rPr>
        <w:t>本人</w:t>
      </w:r>
      <w:r>
        <w:rPr>
          <w:rFonts w:hAnsi="宋体"/>
          <w:color w:val="auto"/>
          <w:spacing w:val="6"/>
          <w:sz w:val="24"/>
          <w:szCs w:val="24"/>
          <w:u w:val="single"/>
        </w:rPr>
        <w:t xml:space="preserve">        </w:t>
      </w:r>
      <w:r>
        <w:rPr>
          <w:rFonts w:hint="eastAsia" w:hAnsi="宋体"/>
          <w:color w:val="auto"/>
          <w:spacing w:val="6"/>
          <w:sz w:val="24"/>
          <w:szCs w:val="24"/>
        </w:rPr>
        <w:t>（授权代表姓名），经由</w:t>
      </w:r>
      <w:r>
        <w:rPr>
          <w:rFonts w:hAnsi="宋体"/>
          <w:color w:val="auto"/>
          <w:spacing w:val="6"/>
          <w:sz w:val="24"/>
          <w:szCs w:val="24"/>
          <w:u w:val="single"/>
        </w:rPr>
        <w:t xml:space="preserve">        </w:t>
      </w:r>
      <w:r>
        <w:rPr>
          <w:rFonts w:hint="eastAsia" w:hAnsi="宋体"/>
          <w:color w:val="auto"/>
          <w:spacing w:val="6"/>
          <w:sz w:val="24"/>
          <w:szCs w:val="24"/>
          <w:u w:val="single"/>
        </w:rPr>
        <w:t xml:space="preserve">           </w:t>
      </w:r>
      <w:r>
        <w:rPr>
          <w:rFonts w:hint="eastAsia" w:hAnsi="宋体"/>
          <w:color w:val="auto"/>
          <w:spacing w:val="6"/>
          <w:sz w:val="24"/>
          <w:szCs w:val="24"/>
        </w:rPr>
        <w:t>（单位）</w:t>
      </w:r>
      <w:r>
        <w:rPr>
          <w:rFonts w:hAnsi="宋体"/>
          <w:color w:val="auto"/>
          <w:spacing w:val="6"/>
          <w:sz w:val="24"/>
          <w:szCs w:val="24"/>
          <w:u w:val="single"/>
        </w:rPr>
        <w:t xml:space="preserve">    </w:t>
      </w:r>
      <w:r>
        <w:rPr>
          <w:rFonts w:hint="eastAsia" w:hAnsi="宋体"/>
          <w:color w:val="auto"/>
          <w:spacing w:val="6"/>
          <w:sz w:val="24"/>
          <w:szCs w:val="24"/>
        </w:rPr>
        <w:t>（法定代表人姓名）合法授权参加</w:t>
      </w: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pacing w:val="6"/>
          <w:sz w:val="24"/>
          <w:szCs w:val="24"/>
        </w:rPr>
        <w:t>（编号：</w:t>
      </w:r>
      <w:r>
        <w:rPr>
          <w:rFonts w:hint="eastAsia" w:hAnsi="宋体"/>
          <w:color w:val="auto"/>
          <w:sz w:val="24"/>
          <w:szCs w:val="24"/>
          <w:u w:val="single"/>
        </w:rPr>
        <w:t xml:space="preserve">      </w:t>
      </w:r>
      <w:r>
        <w:rPr>
          <w:rFonts w:hint="eastAsia" w:hAnsi="宋体"/>
          <w:color w:val="auto"/>
          <w:spacing w:val="6"/>
          <w:sz w:val="24"/>
          <w:szCs w:val="24"/>
        </w:rPr>
        <w:t>）政府采购活动，经与本单位法人代表（负责人）联系确认，现就有关公平竞争事项郑重声明如下：</w:t>
      </w:r>
      <w:r>
        <w:rPr>
          <w:rFonts w:hAnsi="宋体"/>
          <w:color w:val="auto"/>
          <w:spacing w:val="6"/>
          <w:sz w:val="24"/>
          <w:szCs w:val="24"/>
        </w:rPr>
        <w:t xml:space="preserve"> </w:t>
      </w:r>
    </w:p>
    <w:p w14:paraId="37947D4D">
      <w:pPr>
        <w:pStyle w:val="63"/>
        <w:widowControl/>
        <w:numPr>
          <w:ilvl w:val="0"/>
          <w:numId w:val="12"/>
        </w:numPr>
        <w:snapToGrid w:val="0"/>
        <w:spacing w:line="440" w:lineRule="exact"/>
        <w:ind w:firstLine="453" w:firstLineChars="189"/>
        <w:rPr>
          <w:rFonts w:ascii="宋体" w:hAnsi="宋体" w:cs="Times New Roman"/>
          <w:color w:val="auto"/>
          <w:kern w:val="0"/>
          <w:sz w:val="24"/>
          <w:szCs w:val="24"/>
        </w:rPr>
      </w:pPr>
      <w:r>
        <w:rPr>
          <w:rFonts w:hint="eastAsia" w:ascii="宋体" w:hAnsi="宋体" w:cs="宋体"/>
          <w:color w:val="auto"/>
          <w:kern w:val="0"/>
          <w:sz w:val="24"/>
          <w:szCs w:val="24"/>
        </w:rPr>
        <w:t>本单位与采购人之间</w:t>
      </w:r>
      <w:r>
        <w:rPr>
          <w:rFonts w:ascii="宋体" w:hAnsi="宋体" w:cs="宋体"/>
          <w:color w:val="auto"/>
          <w:kern w:val="0"/>
          <w:sz w:val="24"/>
          <w:szCs w:val="24"/>
        </w:rPr>
        <w:t xml:space="preserve"> </w:t>
      </w:r>
      <w:r>
        <w:rPr>
          <w:rFonts w:hint="eastAsia" w:ascii="宋体" w:hAnsi="宋体" w:cs="宋体"/>
          <w:color w:val="auto"/>
          <w:kern w:val="0"/>
          <w:sz w:val="24"/>
          <w:szCs w:val="24"/>
        </w:rPr>
        <w:t>□不存在利害关系</w:t>
      </w:r>
      <w:r>
        <w:rPr>
          <w:rFonts w:ascii="宋体" w:hAnsi="宋体" w:cs="宋体"/>
          <w:color w:val="auto"/>
          <w:kern w:val="0"/>
          <w:sz w:val="24"/>
          <w:szCs w:val="24"/>
        </w:rPr>
        <w:t xml:space="preserve"> </w:t>
      </w:r>
      <w:r>
        <w:rPr>
          <w:rFonts w:hint="eastAsia" w:ascii="宋体" w:hAnsi="宋体" w:cs="宋体"/>
          <w:color w:val="auto"/>
          <w:kern w:val="0"/>
          <w:sz w:val="24"/>
          <w:szCs w:val="24"/>
        </w:rPr>
        <w:t>□存在下列利害关系</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4EAA2E41">
      <w:pPr>
        <w:pStyle w:val="63"/>
        <w:widowControl/>
        <w:snapToGrid w:val="0"/>
        <w:spacing w:line="440" w:lineRule="exact"/>
        <w:rPr>
          <w:rFonts w:ascii="宋体" w:hAnsi="宋体" w:cs="Times New Roman"/>
          <w:color w:val="auto"/>
          <w:kern w:val="0"/>
          <w:sz w:val="24"/>
          <w:szCs w:val="24"/>
        </w:rPr>
      </w:pPr>
      <w:r>
        <w:rPr>
          <w:rFonts w:ascii="宋体" w:hAnsi="宋体" w:cs="宋体"/>
          <w:color w:val="auto"/>
          <w:kern w:val="0"/>
          <w:sz w:val="24"/>
          <w:szCs w:val="24"/>
        </w:rPr>
        <w:t xml:space="preserve">  A.</w:t>
      </w:r>
      <w:r>
        <w:rPr>
          <w:rFonts w:hint="eastAsia" w:ascii="宋体" w:hAnsi="宋体" w:cs="宋体"/>
          <w:color w:val="auto"/>
          <w:kern w:val="0"/>
          <w:sz w:val="24"/>
          <w:szCs w:val="24"/>
        </w:rPr>
        <w:t>投资关系</w:t>
      </w:r>
      <w:r>
        <w:rPr>
          <w:rFonts w:ascii="宋体" w:hAnsi="宋体" w:cs="宋体"/>
          <w:color w:val="auto"/>
          <w:kern w:val="0"/>
          <w:sz w:val="24"/>
          <w:szCs w:val="24"/>
        </w:rPr>
        <w:t xml:space="preserve">    B.</w:t>
      </w:r>
      <w:r>
        <w:rPr>
          <w:rFonts w:hint="eastAsia" w:ascii="宋体" w:hAnsi="宋体" w:cs="宋体"/>
          <w:color w:val="auto"/>
          <w:kern w:val="0"/>
          <w:sz w:val="24"/>
          <w:szCs w:val="24"/>
        </w:rPr>
        <w:t>行政隶属关系</w:t>
      </w:r>
      <w:r>
        <w:rPr>
          <w:rFonts w:ascii="宋体" w:hAnsi="宋体" w:cs="宋体"/>
          <w:color w:val="auto"/>
          <w:kern w:val="0"/>
          <w:sz w:val="24"/>
          <w:szCs w:val="24"/>
        </w:rPr>
        <w:t xml:space="preserve">    C.</w:t>
      </w:r>
      <w:r>
        <w:rPr>
          <w:rFonts w:hint="eastAsia" w:ascii="宋体" w:hAnsi="宋体" w:cs="宋体"/>
          <w:color w:val="auto"/>
          <w:kern w:val="0"/>
          <w:sz w:val="24"/>
          <w:szCs w:val="24"/>
        </w:rPr>
        <w:t>业务指导关系</w:t>
      </w:r>
    </w:p>
    <w:p w14:paraId="24AAB3F2">
      <w:pPr>
        <w:pStyle w:val="63"/>
        <w:widowControl/>
        <w:snapToGrid w:val="0"/>
        <w:spacing w:line="440" w:lineRule="exact"/>
        <w:rPr>
          <w:rFonts w:ascii="宋体" w:hAnsi="宋体" w:cs="Times New Roman"/>
          <w:color w:val="auto"/>
          <w:kern w:val="0"/>
          <w:sz w:val="24"/>
          <w:szCs w:val="24"/>
        </w:rPr>
      </w:pPr>
      <w:r>
        <w:rPr>
          <w:rFonts w:ascii="宋体" w:hAnsi="宋体" w:cs="宋体"/>
          <w:color w:val="auto"/>
          <w:kern w:val="0"/>
          <w:sz w:val="24"/>
          <w:szCs w:val="24"/>
        </w:rPr>
        <w:t xml:space="preserve">  D.</w:t>
      </w:r>
      <w:r>
        <w:rPr>
          <w:rFonts w:hint="eastAsia" w:ascii="宋体" w:hAnsi="宋体" w:cs="宋体"/>
          <w:color w:val="auto"/>
          <w:kern w:val="0"/>
          <w:sz w:val="24"/>
          <w:szCs w:val="24"/>
        </w:rPr>
        <w:t>其他可能</w:t>
      </w:r>
      <w:r>
        <w:rPr>
          <w:rFonts w:hint="eastAsia" w:ascii="宋体" w:hAnsi="宋体" w:cs="宋体"/>
          <w:color w:val="auto"/>
          <w:sz w:val="24"/>
          <w:szCs w:val="24"/>
        </w:rPr>
        <w:t>影响采购公正的</w:t>
      </w:r>
      <w:r>
        <w:rPr>
          <w:rFonts w:hint="eastAsia" w:ascii="宋体" w:hAnsi="宋体" w:cs="宋体"/>
          <w:color w:val="auto"/>
          <w:kern w:val="0"/>
          <w:sz w:val="24"/>
          <w:szCs w:val="24"/>
        </w:rPr>
        <w:t>利害关系（如有，请如实说明）</w:t>
      </w:r>
      <w:r>
        <w:rPr>
          <w:rFonts w:ascii="宋体" w:hAnsi="宋体" w:cs="宋体"/>
          <w:color w:val="auto"/>
          <w:kern w:val="0"/>
          <w:sz w:val="24"/>
          <w:szCs w:val="24"/>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01756BAE">
      <w:pPr>
        <w:pStyle w:val="63"/>
        <w:widowControl/>
        <w:numPr>
          <w:ilvl w:val="0"/>
          <w:numId w:val="12"/>
        </w:numPr>
        <w:snapToGrid w:val="0"/>
        <w:spacing w:line="440" w:lineRule="exact"/>
        <w:ind w:firstLine="453" w:firstLineChars="189"/>
        <w:rPr>
          <w:rFonts w:ascii="宋体" w:hAnsi="宋体" w:cs="宋体"/>
          <w:color w:val="auto"/>
          <w:kern w:val="0"/>
          <w:sz w:val="24"/>
          <w:szCs w:val="24"/>
        </w:rPr>
      </w:pPr>
      <w:r>
        <w:rPr>
          <w:rFonts w:hint="eastAsia" w:ascii="宋体" w:hAnsi="宋体" w:cs="宋体"/>
          <w:color w:val="auto"/>
          <w:kern w:val="0"/>
          <w:sz w:val="24"/>
          <w:szCs w:val="24"/>
        </w:rPr>
        <w:t>现已清楚知道参加本项目采购活动的其他所有</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名称，本单位</w:t>
      </w:r>
      <w:r>
        <w:rPr>
          <w:rFonts w:ascii="宋体" w:hAnsi="宋体" w:cs="宋体"/>
          <w:color w:val="auto"/>
          <w:kern w:val="0"/>
          <w:sz w:val="24"/>
          <w:szCs w:val="24"/>
        </w:rPr>
        <w:t xml:space="preserve"> </w:t>
      </w:r>
      <w:r>
        <w:rPr>
          <w:rFonts w:hint="eastAsia" w:ascii="宋体" w:hAnsi="宋体" w:cs="宋体"/>
          <w:color w:val="auto"/>
          <w:kern w:val="0"/>
          <w:sz w:val="24"/>
          <w:szCs w:val="24"/>
        </w:rPr>
        <w:t>□与其他所有</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之间均不存在利害关系</w:t>
      </w:r>
      <w:r>
        <w:rPr>
          <w:rFonts w:ascii="宋体" w:hAnsi="宋体" w:cs="宋体"/>
          <w:color w:val="auto"/>
          <w:kern w:val="0"/>
          <w:sz w:val="24"/>
          <w:szCs w:val="24"/>
        </w:rPr>
        <w:t xml:space="preserve"> </w:t>
      </w:r>
      <w:r>
        <w:rPr>
          <w:rFonts w:hint="eastAsia" w:ascii="宋体" w:hAnsi="宋体" w:cs="宋体"/>
          <w:color w:val="auto"/>
          <w:kern w:val="0"/>
          <w:sz w:val="24"/>
          <w:szCs w:val="24"/>
        </w:rPr>
        <w:t>□与</w:t>
      </w:r>
      <w:r>
        <w:rPr>
          <w:rFonts w:ascii="宋体" w:hAnsi="宋体" w:cs="宋体"/>
          <w:color w:val="auto"/>
          <w:kern w:val="0"/>
          <w:sz w:val="24"/>
          <w:szCs w:val="24"/>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名称）之间存在下列利害关系</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12046A3F">
      <w:pPr>
        <w:pStyle w:val="62"/>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A.</w:t>
      </w:r>
      <w:r>
        <w:rPr>
          <w:rFonts w:hint="eastAsia" w:hAnsi="宋体"/>
          <w:color w:val="auto"/>
          <w:kern w:val="0"/>
          <w:sz w:val="24"/>
          <w:szCs w:val="24"/>
        </w:rPr>
        <w:t>法定代表人或负责人或实际控制人是同一人</w:t>
      </w:r>
    </w:p>
    <w:p w14:paraId="61FAB167">
      <w:pPr>
        <w:pStyle w:val="62"/>
        <w:widowControl w:val="0"/>
        <w:snapToGrid w:val="0"/>
        <w:spacing w:line="440" w:lineRule="exact"/>
        <w:jc w:val="both"/>
        <w:rPr>
          <w:rFonts w:hAnsi="宋体" w:cs="Times New Roman"/>
          <w:color w:val="auto"/>
          <w:spacing w:val="6"/>
          <w:sz w:val="24"/>
          <w:szCs w:val="24"/>
        </w:rPr>
      </w:pPr>
      <w:r>
        <w:rPr>
          <w:rFonts w:hAnsi="宋体"/>
          <w:color w:val="auto"/>
          <w:kern w:val="0"/>
          <w:sz w:val="24"/>
          <w:szCs w:val="24"/>
        </w:rPr>
        <w:t xml:space="preserve">  B.</w:t>
      </w:r>
      <w:r>
        <w:rPr>
          <w:rFonts w:hint="eastAsia" w:hAnsi="宋体"/>
          <w:color w:val="auto"/>
          <w:kern w:val="0"/>
          <w:sz w:val="24"/>
          <w:szCs w:val="24"/>
        </w:rPr>
        <w:t>法定代表人或负责人或实际控制人是夫妻关系</w:t>
      </w:r>
    </w:p>
    <w:p w14:paraId="2BFDC416">
      <w:pPr>
        <w:pStyle w:val="62"/>
        <w:widowControl w:val="0"/>
        <w:snapToGrid w:val="0"/>
        <w:spacing w:line="440" w:lineRule="exact"/>
        <w:jc w:val="both"/>
        <w:rPr>
          <w:rFonts w:hAnsi="宋体" w:cs="Times New Roman"/>
          <w:color w:val="auto"/>
          <w:spacing w:val="6"/>
          <w:sz w:val="24"/>
          <w:szCs w:val="24"/>
        </w:rPr>
      </w:pPr>
      <w:r>
        <w:rPr>
          <w:rFonts w:hAnsi="宋体"/>
          <w:color w:val="auto"/>
          <w:kern w:val="0"/>
          <w:sz w:val="24"/>
          <w:szCs w:val="24"/>
        </w:rPr>
        <w:t xml:space="preserve">  C.</w:t>
      </w:r>
      <w:r>
        <w:rPr>
          <w:rFonts w:hint="eastAsia" w:hAnsi="宋体"/>
          <w:color w:val="auto"/>
          <w:kern w:val="0"/>
          <w:sz w:val="24"/>
          <w:szCs w:val="24"/>
        </w:rPr>
        <w:t>法定代表人或负责人或实际控制人是直系血亲关系</w:t>
      </w:r>
    </w:p>
    <w:p w14:paraId="4CAEF70B">
      <w:pPr>
        <w:pStyle w:val="62"/>
        <w:widowControl w:val="0"/>
        <w:snapToGrid w:val="0"/>
        <w:spacing w:line="440" w:lineRule="exact"/>
        <w:jc w:val="both"/>
        <w:rPr>
          <w:rFonts w:hAnsi="宋体" w:cs="Times New Roman"/>
          <w:color w:val="auto"/>
          <w:spacing w:val="6"/>
          <w:sz w:val="24"/>
          <w:szCs w:val="24"/>
        </w:rPr>
      </w:pPr>
      <w:r>
        <w:rPr>
          <w:rFonts w:hAnsi="宋体"/>
          <w:color w:val="auto"/>
          <w:kern w:val="0"/>
          <w:sz w:val="24"/>
          <w:szCs w:val="24"/>
        </w:rPr>
        <w:t xml:space="preserve">  D.</w:t>
      </w:r>
      <w:r>
        <w:rPr>
          <w:rFonts w:hint="eastAsia" w:hAnsi="宋体"/>
          <w:color w:val="auto"/>
          <w:kern w:val="0"/>
          <w:sz w:val="24"/>
          <w:szCs w:val="24"/>
        </w:rPr>
        <w:t>法定代表人或负责人或实际控制人存在三代以内旁系血亲关系</w:t>
      </w:r>
    </w:p>
    <w:p w14:paraId="428589F0">
      <w:pPr>
        <w:pStyle w:val="62"/>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E.</w:t>
      </w:r>
      <w:r>
        <w:rPr>
          <w:rFonts w:hint="eastAsia" w:hAnsi="宋体"/>
          <w:color w:val="auto"/>
          <w:kern w:val="0"/>
          <w:sz w:val="24"/>
          <w:szCs w:val="24"/>
        </w:rPr>
        <w:t>法定代表人或负责人或实际控制人存在近姻亲关系</w:t>
      </w:r>
    </w:p>
    <w:p w14:paraId="573ABA76">
      <w:pPr>
        <w:pStyle w:val="62"/>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F.</w:t>
      </w:r>
      <w:r>
        <w:rPr>
          <w:rFonts w:hint="eastAsia" w:hAnsi="宋体"/>
          <w:color w:val="auto"/>
          <w:kern w:val="0"/>
          <w:sz w:val="24"/>
          <w:szCs w:val="24"/>
        </w:rPr>
        <w:t>法定代表人或负责人或实际控制人存在股份控制或实际控制关系</w:t>
      </w:r>
    </w:p>
    <w:p w14:paraId="4F56665D">
      <w:pPr>
        <w:pStyle w:val="62"/>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G.</w:t>
      </w:r>
      <w:r>
        <w:rPr>
          <w:rFonts w:hint="eastAsia" w:hAnsi="宋体"/>
          <w:color w:val="auto"/>
          <w:kern w:val="0"/>
          <w:sz w:val="24"/>
          <w:szCs w:val="24"/>
        </w:rPr>
        <w:t>存在共同直接或间接投资设立子公司、联营企业和合营企业情况</w:t>
      </w:r>
    </w:p>
    <w:p w14:paraId="14B33B5E">
      <w:pPr>
        <w:pStyle w:val="62"/>
        <w:widowControl w:val="0"/>
        <w:snapToGrid w:val="0"/>
        <w:spacing w:line="440" w:lineRule="exact"/>
        <w:jc w:val="both"/>
        <w:rPr>
          <w:rFonts w:hAnsi="宋体" w:cs="Times New Roman"/>
          <w:color w:val="auto"/>
          <w:sz w:val="24"/>
          <w:szCs w:val="24"/>
        </w:rPr>
      </w:pPr>
      <w:r>
        <w:rPr>
          <w:rFonts w:hAnsi="宋体"/>
          <w:color w:val="auto"/>
          <w:kern w:val="0"/>
          <w:sz w:val="24"/>
          <w:szCs w:val="24"/>
        </w:rPr>
        <w:t xml:space="preserve">  H.</w:t>
      </w:r>
      <w:r>
        <w:rPr>
          <w:rFonts w:hint="eastAsia" w:hAnsi="宋体"/>
          <w:color w:val="auto"/>
          <w:kern w:val="0"/>
          <w:sz w:val="24"/>
          <w:szCs w:val="24"/>
        </w:rPr>
        <w:t>存在分级代理或代销关系、同一生产制造商关系、</w:t>
      </w:r>
      <w:r>
        <w:rPr>
          <w:rFonts w:hint="eastAsia" w:hAnsi="宋体"/>
          <w:color w:val="auto"/>
          <w:sz w:val="24"/>
          <w:szCs w:val="24"/>
        </w:rPr>
        <w:t>管理关系、重要业务（占主营业务收入</w:t>
      </w:r>
      <w:r>
        <w:rPr>
          <w:rFonts w:hAnsi="宋体"/>
          <w:color w:val="auto"/>
          <w:sz w:val="24"/>
          <w:szCs w:val="24"/>
        </w:rPr>
        <w:t>50%</w:t>
      </w:r>
      <w:r>
        <w:rPr>
          <w:rFonts w:hint="eastAsia" w:hAnsi="宋体"/>
          <w:color w:val="auto"/>
          <w:sz w:val="24"/>
          <w:szCs w:val="24"/>
        </w:rPr>
        <w:t>以上）或重要财务往来关系（如融资）等其他实质性控制关系</w:t>
      </w:r>
    </w:p>
    <w:p w14:paraId="66FA7080">
      <w:pPr>
        <w:pStyle w:val="62"/>
        <w:widowControl w:val="0"/>
        <w:snapToGrid w:val="0"/>
        <w:spacing w:line="440" w:lineRule="exact"/>
        <w:jc w:val="both"/>
        <w:outlineLvl w:val="0"/>
        <w:rPr>
          <w:rFonts w:hAnsi="宋体" w:cs="Times New Roman"/>
          <w:color w:val="auto"/>
          <w:spacing w:val="6"/>
          <w:sz w:val="24"/>
          <w:szCs w:val="24"/>
        </w:rPr>
      </w:pPr>
      <w:r>
        <w:rPr>
          <w:rFonts w:hAnsi="宋体"/>
          <w:color w:val="auto"/>
          <w:sz w:val="24"/>
          <w:szCs w:val="24"/>
        </w:rPr>
        <w:t xml:space="preserve">  </w:t>
      </w:r>
      <w:bookmarkStart w:id="133" w:name="_Toc30242"/>
      <w:r>
        <w:rPr>
          <w:rFonts w:hAnsi="宋体"/>
          <w:color w:val="auto"/>
          <w:sz w:val="24"/>
          <w:szCs w:val="24"/>
        </w:rPr>
        <w:t>I</w:t>
      </w:r>
      <w:r>
        <w:rPr>
          <w:rFonts w:hAnsi="宋体"/>
          <w:color w:val="auto"/>
          <w:kern w:val="0"/>
          <w:sz w:val="24"/>
          <w:szCs w:val="24"/>
        </w:rPr>
        <w:t>.</w:t>
      </w:r>
      <w:r>
        <w:rPr>
          <w:rFonts w:hint="eastAsia" w:hAnsi="宋体"/>
          <w:color w:val="auto"/>
          <w:sz w:val="24"/>
          <w:szCs w:val="24"/>
        </w:rPr>
        <w:t>其他利害关系情况</w:t>
      </w:r>
      <w:r>
        <w:rPr>
          <w:rFonts w:hAnsi="宋体"/>
          <w:color w:val="auto"/>
          <w:sz w:val="24"/>
          <w:szCs w:val="24"/>
          <w:u w:val="single"/>
        </w:rPr>
        <w:t xml:space="preserve">                              </w:t>
      </w:r>
      <w:r>
        <w:rPr>
          <w:rFonts w:hint="eastAsia" w:hAnsi="宋体"/>
          <w:color w:val="auto"/>
          <w:kern w:val="0"/>
          <w:sz w:val="24"/>
          <w:szCs w:val="24"/>
        </w:rPr>
        <w:t>。</w:t>
      </w:r>
      <w:bookmarkEnd w:id="133"/>
    </w:p>
    <w:p w14:paraId="1B149F85">
      <w:pPr>
        <w:pStyle w:val="63"/>
        <w:widowControl/>
        <w:numPr>
          <w:ilvl w:val="0"/>
          <w:numId w:val="13"/>
        </w:numPr>
        <w:snapToGrid w:val="0"/>
        <w:spacing w:line="440" w:lineRule="exact"/>
        <w:ind w:firstLine="453" w:firstLineChars="189"/>
        <w:rPr>
          <w:rFonts w:ascii="宋体" w:hAnsi="宋体" w:cs="Times New Roman"/>
          <w:color w:val="auto"/>
          <w:kern w:val="0"/>
          <w:sz w:val="24"/>
          <w:szCs w:val="24"/>
        </w:rPr>
      </w:pPr>
      <w:r>
        <w:rPr>
          <w:rFonts w:hint="eastAsia" w:ascii="宋体" w:hAnsi="宋体" w:cs="宋体"/>
          <w:color w:val="auto"/>
          <w:sz w:val="24"/>
          <w:szCs w:val="24"/>
        </w:rPr>
        <w:t>现已清楚知道并</w:t>
      </w:r>
      <w:r>
        <w:rPr>
          <w:rFonts w:hint="eastAsia" w:ascii="宋体" w:hAnsi="宋体" w:cs="宋体"/>
          <w:color w:val="auto"/>
          <w:kern w:val="0"/>
          <w:sz w:val="24"/>
          <w:szCs w:val="24"/>
        </w:rPr>
        <w:t>严格遵守政府采购法律法规和现场纪律。</w:t>
      </w:r>
    </w:p>
    <w:p w14:paraId="2FF13D36">
      <w:pPr>
        <w:pStyle w:val="63"/>
        <w:widowControl/>
        <w:numPr>
          <w:ilvl w:val="0"/>
          <w:numId w:val="13"/>
        </w:numPr>
        <w:snapToGrid w:val="0"/>
        <w:spacing w:line="440" w:lineRule="exact"/>
        <w:ind w:firstLine="453" w:firstLineChars="189"/>
        <w:rPr>
          <w:rFonts w:ascii="宋体" w:hAnsi="宋体" w:cs="Times New Roman"/>
          <w:color w:val="auto"/>
          <w:kern w:val="0"/>
          <w:sz w:val="24"/>
          <w:szCs w:val="24"/>
        </w:rPr>
      </w:pPr>
      <w:r>
        <w:rPr>
          <w:rFonts w:hint="eastAsia" w:ascii="宋体" w:hAnsi="宋体" w:cs="宋体"/>
          <w:color w:val="auto"/>
          <w:kern w:val="0"/>
          <w:sz w:val="24"/>
          <w:szCs w:val="24"/>
        </w:rPr>
        <w:t>我发现</w:t>
      </w:r>
      <w:r>
        <w:rPr>
          <w:rFonts w:ascii="宋体" w:hAnsi="宋体" w:cs="宋体"/>
          <w:color w:val="auto"/>
          <w:kern w:val="0"/>
          <w:sz w:val="24"/>
          <w:szCs w:val="24"/>
          <w:u w:val="single"/>
        </w:rPr>
        <w:t xml:space="preserve">                    </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之间存在或可能存在上述第二条第</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项利害关系。</w:t>
      </w:r>
    </w:p>
    <w:p w14:paraId="36325D31">
      <w:pPr>
        <w:pStyle w:val="62"/>
        <w:widowControl w:val="0"/>
        <w:snapToGrid w:val="0"/>
        <w:spacing w:line="440" w:lineRule="exact"/>
        <w:jc w:val="both"/>
        <w:rPr>
          <w:rFonts w:hint="eastAsia" w:hAnsi="宋体"/>
          <w:color w:val="auto"/>
          <w:sz w:val="24"/>
          <w:szCs w:val="24"/>
        </w:rPr>
      </w:pPr>
    </w:p>
    <w:p w14:paraId="7EA182AF">
      <w:pPr>
        <w:pStyle w:val="62"/>
        <w:widowControl w:val="0"/>
        <w:snapToGrid w:val="0"/>
        <w:spacing w:line="440" w:lineRule="exact"/>
        <w:jc w:val="both"/>
        <w:rPr>
          <w:rFonts w:hAnsi="宋体"/>
          <w:color w:val="auto"/>
          <w:sz w:val="24"/>
          <w:szCs w:val="24"/>
        </w:rPr>
      </w:pPr>
      <w:r>
        <w:rPr>
          <w:rFonts w:hint="eastAsia" w:hAnsi="宋体"/>
          <w:color w:val="auto"/>
          <w:sz w:val="24"/>
          <w:szCs w:val="24"/>
        </w:rPr>
        <w:t>（</w:t>
      </w:r>
      <w:r>
        <w:rPr>
          <w:rFonts w:hint="eastAsia" w:hAnsi="宋体"/>
          <w:color w:val="auto"/>
          <w:sz w:val="24"/>
          <w:szCs w:val="24"/>
          <w:lang w:eastAsia="zh-CN"/>
        </w:rPr>
        <w:t>供应商</w:t>
      </w:r>
      <w:r>
        <w:rPr>
          <w:rFonts w:hint="eastAsia" w:hAnsi="宋体"/>
          <w:color w:val="auto"/>
          <w:sz w:val="24"/>
          <w:szCs w:val="24"/>
        </w:rPr>
        <w:t>代表签名）：</w:t>
      </w:r>
      <w:r>
        <w:rPr>
          <w:rFonts w:hAnsi="宋体"/>
          <w:color w:val="auto"/>
          <w:sz w:val="24"/>
          <w:szCs w:val="24"/>
        </w:rPr>
        <w:t xml:space="preserve">                                </w:t>
      </w:r>
    </w:p>
    <w:p w14:paraId="5265BC7A">
      <w:pPr>
        <w:pStyle w:val="62"/>
        <w:widowControl w:val="0"/>
        <w:snapToGrid w:val="0"/>
        <w:spacing w:line="440" w:lineRule="exact"/>
        <w:ind w:firstLine="6000" w:firstLineChars="2500"/>
        <w:jc w:val="both"/>
        <w:rPr>
          <w:rFonts w:hint="eastAsia" w:ascii="宋体" w:hAnsi="宋体" w:eastAsia="宋体" w:cs="宋体"/>
          <w:b/>
          <w:bCs/>
          <w:color w:val="auto"/>
          <w:sz w:val="24"/>
          <w:szCs w:val="24"/>
          <w:highlight w:val="none"/>
        </w:rPr>
      </w:pPr>
      <w:r>
        <w:rPr>
          <w:rFonts w:hAnsi="宋体"/>
          <w:color w:val="auto"/>
          <w:sz w:val="24"/>
          <w:szCs w:val="24"/>
        </w:rPr>
        <w:t xml:space="preserve">  </w:t>
      </w:r>
      <w:r>
        <w:rPr>
          <w:rFonts w:hint="eastAsia" w:hAnsi="宋体"/>
          <w:color w:val="auto"/>
          <w:sz w:val="24"/>
          <w:szCs w:val="24"/>
        </w:rPr>
        <w:t>202</w:t>
      </w:r>
      <w:r>
        <w:rPr>
          <w:rFonts w:hint="eastAsia" w:hAnsi="宋体"/>
          <w:color w:val="auto"/>
          <w:sz w:val="24"/>
          <w:szCs w:val="24"/>
          <w:lang w:val="en-US" w:eastAsia="zh-CN"/>
        </w:rPr>
        <w:t>5</w:t>
      </w:r>
      <w:r>
        <w:rPr>
          <w:rFonts w:hint="eastAsia" w:hAnsi="宋体"/>
          <w:color w:val="auto"/>
          <w:sz w:val="24"/>
          <w:szCs w:val="24"/>
        </w:rPr>
        <w:t>年  月  日</w:t>
      </w:r>
    </w:p>
    <w:p w14:paraId="5CC9291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b/>
          <w:bCs/>
          <w:sz w:val="24"/>
          <w:szCs w:val="24"/>
        </w:rPr>
      </w:pPr>
      <w:r>
        <w:rPr>
          <w:rFonts w:hint="eastAsia" w:ascii="宋体" w:hAnsi="宋体" w:eastAsia="宋体" w:cs="宋体"/>
          <w:b/>
          <w:bCs/>
          <w:color w:val="auto"/>
          <w:sz w:val="24"/>
          <w:szCs w:val="24"/>
          <w:highlight w:val="none"/>
        </w:rPr>
        <w:t>请将本声明书线下填写好后在开标截止时间后30分内扫描或拍照（须清晰）发送回招标代理邮箱</w:t>
      </w:r>
      <w:r>
        <w:rPr>
          <w:rFonts w:hint="eastAsia" w:ascii="宋体" w:hAnsi="宋体" w:eastAsia="宋体" w:cs="宋体"/>
          <w:b/>
          <w:bCs/>
          <w:color w:val="auto"/>
          <w:sz w:val="24"/>
          <w:szCs w:val="24"/>
          <w:highlight w:val="none"/>
          <w:lang w:val="en-US" w:eastAsia="zh-CN"/>
        </w:rPr>
        <w:t>2513628668</w:t>
      </w:r>
      <w:r>
        <w:rPr>
          <w:rFonts w:hint="eastAsia" w:ascii="宋体" w:hAnsi="宋体" w:eastAsia="宋体" w:cs="宋体"/>
          <w:b/>
          <w:bCs/>
          <w:color w:val="auto"/>
          <w:sz w:val="24"/>
          <w:szCs w:val="24"/>
          <w:highlight w:val="none"/>
        </w:rPr>
        <w:t>@qq.com</w:t>
      </w:r>
      <w:r>
        <w:rPr>
          <w:rFonts w:hint="eastAsia" w:ascii="宋体" w:hAnsi="宋体" w:eastAsia="宋体" w:cs="宋体"/>
          <w:b/>
          <w:bCs/>
          <w:color w:val="auto"/>
          <w:sz w:val="24"/>
          <w:szCs w:val="24"/>
          <w:highlight w:val="none"/>
          <w:lang w:eastAsia="zh-CN"/>
        </w:rPr>
        <w:t>。</w:t>
      </w:r>
    </w:p>
    <w:bookmarkEnd w:id="38"/>
    <w:bookmarkEnd w:id="39"/>
    <w:bookmarkEnd w:id="40"/>
    <w:bookmarkEnd w:id="41"/>
    <w:bookmarkEnd w:id="131"/>
    <w:p w14:paraId="2BB11FF8">
      <w:pPr>
        <w:widowControl/>
        <w:snapToGrid w:val="0"/>
        <w:spacing w:line="360" w:lineRule="auto"/>
        <w:jc w:val="left"/>
        <w:rPr>
          <w:rFonts w:hint="eastAsia" w:ascii="宋体" w:hAnsi="宋体" w:cs="宋体"/>
          <w:i w:val="0"/>
          <w:iCs w:val="0"/>
          <w:color w:val="auto"/>
          <w:kern w:val="0"/>
          <w:sz w:val="22"/>
          <w:szCs w:val="22"/>
          <w:highlight w:val="none"/>
          <w:lang w:eastAsia="zh-CN"/>
        </w:rPr>
      </w:pPr>
    </w:p>
    <w:sectPr>
      <w:headerReference r:id="rId7" w:type="default"/>
      <w:footerReference r:id="rId8" w:type="default"/>
      <w:pgSz w:w="11906" w:h="16838"/>
      <w:pgMar w:top="1134" w:right="1134" w:bottom="1134" w:left="1134" w:header="794" w:footer="794" w:gutter="0"/>
      <w:pgBorders w:zOrder="back">
        <w:top w:val="none" w:sz="0" w:space="0"/>
        <w:left w:val="none" w:sz="0" w:space="0"/>
        <w:bottom w:val="none" w:sz="0" w:space="0"/>
        <w:right w:val="none" w:sz="0" w:space="0"/>
      </w:pgBorders>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ang">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53D72">
    <w:pPr>
      <w:pBdr>
        <w:bottom w:val="single" w:color="auto" w:sz="4" w:space="0"/>
      </w:pBdr>
      <w:spacing w:before="24" w:beforeLines="10"/>
      <w:jc w:val="both"/>
      <w:rPr>
        <w:rFonts w:hint="eastAsia"/>
        <w:sz w:val="2"/>
        <w:szCs w:val="2"/>
        <w:lang w:val="en-US"/>
      </w:rPr>
    </w:pPr>
  </w:p>
  <w:p w14:paraId="21AF6DA5">
    <w:pPr>
      <w:pStyle w:val="15"/>
      <w:keepNext w:val="0"/>
      <w:keepLines w:val="0"/>
      <w:pageBreakBefore w:val="0"/>
      <w:widowControl w:val="0"/>
      <w:kinsoku/>
      <w:wordWrap/>
      <w:overflowPunct/>
      <w:topLinePunct w:val="0"/>
      <w:autoSpaceDE/>
      <w:autoSpaceDN/>
      <w:bidi w:val="0"/>
      <w:adjustRightInd/>
      <w:snapToGrid w:val="0"/>
      <w:spacing w:before="0" w:beforeLines="50"/>
      <w:textAlignment w:val="auto"/>
      <w:rPr>
        <w:rFonts w:hint="default"/>
        <w:lang w:val="en-US" w:eastAsia="zh-CN"/>
      </w:rPr>
    </w:pPr>
    <w:r>
      <w:rPr>
        <w:sz w:val="24"/>
        <w:szCs w:val="24"/>
      </w:rPr>
      <w:drawing>
        <wp:inline distT="0" distB="0" distL="114300" distR="114300">
          <wp:extent cx="1152525" cy="125730"/>
          <wp:effectExtent l="0" t="0" r="9525" b="762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
                  <a:stretch>
                    <a:fillRect/>
                  </a:stretch>
                </pic:blipFill>
                <pic:spPr>
                  <a:xfrm>
                    <a:off x="0" y="0"/>
                    <a:ext cx="1152525" cy="1257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290F">
    <w:pPr>
      <w:pStyle w:val="15"/>
      <w:framePr w:wrap="around" w:vAnchor="text" w:hAnchor="margin" w:xAlign="center" w:y="1"/>
      <w:rPr>
        <w:rStyle w:val="28"/>
      </w:rPr>
    </w:pPr>
    <w:r>
      <w:fldChar w:fldCharType="begin"/>
    </w:r>
    <w:r>
      <w:rPr>
        <w:rStyle w:val="28"/>
      </w:rPr>
      <w:instrText xml:space="preserve">PAGE  </w:instrText>
    </w:r>
    <w:r>
      <w:fldChar w:fldCharType="end"/>
    </w:r>
  </w:p>
  <w:p w14:paraId="0308D401">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5C0B">
    <w:pPr>
      <w:pBdr>
        <w:bottom w:val="single" w:color="auto" w:sz="4" w:space="0"/>
      </w:pBdr>
      <w:spacing w:before="24" w:beforeLines="10"/>
      <w:jc w:val="both"/>
      <w:rPr>
        <w:rFonts w:hint="eastAsia"/>
        <w:sz w:val="2"/>
        <w:szCs w:val="2"/>
        <w:lang w:val="en-US"/>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F11F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5F11FD">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449CBDF6">
    <w:pPr>
      <w:pStyle w:val="15"/>
      <w:rPr>
        <w:rFonts w:hint="default"/>
        <w:lang w:val="en-US" w:eastAsia="zh-CN"/>
      </w:rPr>
    </w:pPr>
    <w:r>
      <w:rPr>
        <w:sz w:val="24"/>
        <w:szCs w:val="24"/>
      </w:rPr>
      <w:drawing>
        <wp:inline distT="0" distB="0" distL="114300" distR="114300">
          <wp:extent cx="1152525" cy="125730"/>
          <wp:effectExtent l="0" t="0" r="9525" b="762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
                  <a:stretch>
                    <a:fillRect/>
                  </a:stretch>
                </pic:blipFill>
                <pic:spPr>
                  <a:xfrm>
                    <a:off x="0" y="0"/>
                    <a:ext cx="1152525" cy="12573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AC27">
    <w:pPr>
      <w:pBdr>
        <w:bottom w:val="single" w:color="auto" w:sz="4" w:space="0"/>
      </w:pBdr>
      <w:spacing w:before="24" w:beforeLines="10"/>
      <w:jc w:val="both"/>
      <w:rPr>
        <w:rFonts w:hint="eastAsia"/>
        <w:sz w:val="2"/>
        <w:szCs w:val="2"/>
        <w:lang w:val="en-US"/>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D448A">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5D448A">
                    <w:pPr>
                      <w:pStyle w:val="15"/>
                    </w:pPr>
                    <w:r>
                      <w:fldChar w:fldCharType="begin"/>
                    </w:r>
                    <w:r>
                      <w:instrText xml:space="preserve"> PAGE  \* MERGEFORMAT </w:instrText>
                    </w:r>
                    <w:r>
                      <w:fldChar w:fldCharType="separate"/>
                    </w:r>
                    <w:r>
                      <w:t>2</w:t>
                    </w:r>
                    <w:r>
                      <w:fldChar w:fldCharType="end"/>
                    </w:r>
                  </w:p>
                </w:txbxContent>
              </v:textbox>
            </v:shape>
          </w:pict>
        </mc:Fallback>
      </mc:AlternateContent>
    </w:r>
  </w:p>
  <w:p w14:paraId="356008EE">
    <w:pPr>
      <w:pStyle w:val="15"/>
    </w:pPr>
    <w:r>
      <w:rPr>
        <w:sz w:val="24"/>
        <w:szCs w:val="24"/>
      </w:rPr>
      <w:drawing>
        <wp:inline distT="0" distB="0" distL="114300" distR="114300">
          <wp:extent cx="1152525" cy="125730"/>
          <wp:effectExtent l="0" t="0" r="9525" b="762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
                  <a:stretch>
                    <a:fillRect/>
                  </a:stretch>
                </pic:blipFill>
                <pic:spPr>
                  <a:xfrm>
                    <a:off x="0" y="0"/>
                    <a:ext cx="1152525" cy="12573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55B92">
    <w:pPr>
      <w:pBdr>
        <w:bottom w:val="single" w:color="auto" w:sz="4" w:space="0"/>
      </w:pBdr>
      <w:spacing w:before="24" w:beforeLines="10"/>
      <w:jc w:val="both"/>
      <w:rPr>
        <w:rFonts w:hint="eastAsia"/>
        <w:lang w:val="en-US"/>
      </w:rPr>
    </w:pPr>
    <w:r>
      <w:rPr>
        <w:rFonts w:hint="eastAsia" w:ascii="Times New Roman" w:hAnsi="Times New Roman" w:eastAsia="宋体" w:cs="Times New Roman"/>
        <w:sz w:val="21"/>
        <w:szCs w:val="22"/>
        <w:lang w:val="en-US" w:eastAsia="zh-CN" w:bidi="ar"/>
      </w:rPr>
      <w:t xml:space="preserve">     </w:t>
    </w:r>
    <w:r>
      <w:rPr>
        <w:rFonts w:hint="eastAsia" w:ascii="Times New Roman" w:hAnsi="Times New Roman" w:eastAsia="宋体" w:cs="Times New Roman"/>
        <w:sz w:val="18"/>
        <w:szCs w:val="18"/>
        <w:lang w:val="en-US" w:eastAsia="zh-CN" w:bidi="ar"/>
      </w:rPr>
      <w:t xml:space="preserve">  衢州市衢江区杜泽镇白水村浙江省历史文化（传统）村落保护利用重点村规划</w:t>
    </w:r>
    <w:r>
      <w:rPr>
        <w:rFonts w:hint="eastAsia" w:ascii="宋体" w:hAnsi="宋体" w:eastAsia="宋体" w:cs="宋体"/>
        <w:color w:val="auto"/>
        <w:sz w:val="18"/>
        <w:szCs w:val="18"/>
        <w:lang w:eastAsia="zh-CN"/>
      </w:rPr>
      <w:t>目</w:t>
    </w:r>
    <w:r>
      <w:rPr>
        <w:rFonts w:hint="eastAsia" w:ascii="宋体" w:hAnsi="宋体" w:eastAsia="宋体" w:cs="宋体"/>
        <w:color w:val="auto"/>
        <w:sz w:val="18"/>
        <w:szCs w:val="18"/>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B49F1">
    <w:pPr>
      <w:pBdr>
        <w:bottom w:val="single" w:color="auto" w:sz="4" w:space="0"/>
      </w:pBdr>
      <w:spacing w:before="24" w:beforeLines="10"/>
      <w:jc w:val="left"/>
      <w:rPr>
        <w:rFonts w:hint="eastAsia" w:ascii="宋体" w:hAnsi="宋体" w:eastAsia="宋体" w:cs="宋体"/>
      </w:rPr>
    </w:pPr>
    <w:r>
      <w:rPr>
        <w:rFonts w:hint="eastAsia" w:ascii="Times New Roman" w:hAnsi="Times New Roman" w:eastAsia="宋体" w:cs="Times New Roman"/>
        <w:sz w:val="21"/>
        <w:szCs w:val="22"/>
        <w:lang w:val="en-US" w:eastAsia="zh-CN" w:bidi="ar"/>
      </w:rPr>
      <w:t xml:space="preserve">          </w:t>
    </w:r>
    <w:r>
      <w:rPr>
        <w:rFonts w:hint="eastAsia" w:ascii="Times New Roman" w:hAnsi="Times New Roman" w:cs="Times New Roman"/>
        <w:sz w:val="21"/>
        <w:szCs w:val="22"/>
        <w:lang w:val="en-US" w:eastAsia="zh-CN" w:bidi="ar"/>
      </w:rPr>
      <w:t xml:space="preserve">   </w:t>
    </w:r>
    <w:r>
      <w:rPr>
        <w:rFonts w:hint="eastAsia" w:ascii="宋体" w:hAnsi="宋体" w:cs="宋体"/>
        <w:sz w:val="20"/>
        <w:szCs w:val="22"/>
        <w:lang w:eastAsia="zh-CN"/>
      </w:rPr>
      <w:t>衢州市衢江区杜泽镇白水村浙江省历史文化（传统）村落保护利用重点村规划</w:t>
    </w:r>
    <w:r>
      <w:rPr>
        <w:rFonts w:hint="eastAsia" w:ascii="宋体" w:hAnsi="宋体" w:eastAsia="宋体" w:cs="宋体"/>
        <w:sz w:val="20"/>
        <w:szCs w:val="22"/>
        <w:lang w:eastAsia="zh-CN"/>
      </w:rPr>
      <w:t>项目</w:t>
    </w:r>
    <w:r>
      <w:rPr>
        <w:rFonts w:hint="eastAsia" w:ascii="宋体" w:hAnsi="宋体" w:eastAsia="宋体" w:cs="宋体"/>
        <w:sz w:val="20"/>
        <w:szCs w:val="22"/>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2F035"/>
    <w:multiLevelType w:val="singleLevel"/>
    <w:tmpl w:val="8902F035"/>
    <w:lvl w:ilvl="0" w:tentative="0">
      <w:start w:val="1"/>
      <w:numFmt w:val="chineseCounting"/>
      <w:suff w:val="nothing"/>
      <w:lvlText w:val="%1、"/>
      <w:lvlJc w:val="left"/>
      <w:rPr>
        <w:rFonts w:hint="eastAsia"/>
      </w:rPr>
    </w:lvl>
  </w:abstractNum>
  <w:abstractNum w:abstractNumId="1">
    <w:nsid w:val="A165B7EF"/>
    <w:multiLevelType w:val="singleLevel"/>
    <w:tmpl w:val="A165B7EF"/>
    <w:lvl w:ilvl="0" w:tentative="0">
      <w:start w:val="1"/>
      <w:numFmt w:val="chineseCounting"/>
      <w:suff w:val="nothing"/>
      <w:lvlText w:val="（%1）"/>
      <w:lvlJc w:val="left"/>
      <w:rPr>
        <w:rFonts w:hint="eastAsia"/>
      </w:rPr>
    </w:lvl>
  </w:abstractNum>
  <w:abstractNum w:abstractNumId="2">
    <w:nsid w:val="E0295FE2"/>
    <w:multiLevelType w:val="singleLevel"/>
    <w:tmpl w:val="E0295FE2"/>
    <w:lvl w:ilvl="0" w:tentative="0">
      <w:start w:val="1"/>
      <w:numFmt w:val="decimal"/>
      <w:suff w:val="nothing"/>
      <w:lvlText w:val="%1、"/>
      <w:lvlJc w:val="left"/>
    </w:lvl>
  </w:abstractNum>
  <w:abstractNum w:abstractNumId="3">
    <w:nsid w:val="068E1A3F"/>
    <w:multiLevelType w:val="multilevel"/>
    <w:tmpl w:val="068E1A3F"/>
    <w:lvl w:ilvl="0" w:tentative="0">
      <w:start w:val="1"/>
      <w:numFmt w:val="bullet"/>
      <w:lvlText w:val="l"/>
      <w:lvlJc w:val="left"/>
      <w:pPr>
        <w:tabs>
          <w:tab w:val="left" w:pos="900"/>
        </w:tabs>
        <w:ind w:left="900" w:hanging="420"/>
      </w:pPr>
      <w:rPr>
        <w:rFonts w:hint="default" w:ascii="Wingdings" w:hAnsi="Wingdings"/>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4">
    <w:nsid w:val="08DE6819"/>
    <w:multiLevelType w:val="multilevel"/>
    <w:tmpl w:val="08DE6819"/>
    <w:lvl w:ilvl="0" w:tentative="0">
      <w:start w:val="9"/>
      <w:numFmt w:val="chineseCountingThousand"/>
      <w:suff w:val="space"/>
      <w:lvlText w:val="%1、"/>
      <w:lvlJc w:val="left"/>
      <w:pPr>
        <w:ind w:left="425" w:firstLine="142"/>
      </w:pPr>
      <w:rPr>
        <w:rFonts w:hint="eastAsia"/>
      </w:rPr>
    </w:lvl>
    <w:lvl w:ilvl="1" w:tentative="0">
      <w:start w:val="3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14401C85"/>
    <w:multiLevelType w:val="singleLevel"/>
    <w:tmpl w:val="14401C85"/>
    <w:lvl w:ilvl="0" w:tentative="0">
      <w:start w:val="1"/>
      <w:numFmt w:val="decimal"/>
      <w:suff w:val="nothing"/>
      <w:lvlText w:val="（%1）"/>
      <w:lvlJc w:val="left"/>
    </w:lvl>
  </w:abstractNum>
  <w:abstractNum w:abstractNumId="6">
    <w:nsid w:val="272D4929"/>
    <w:multiLevelType w:val="singleLevel"/>
    <w:tmpl w:val="272D4929"/>
    <w:lvl w:ilvl="0" w:tentative="0">
      <w:start w:val="5"/>
      <w:numFmt w:val="chineseCounting"/>
      <w:suff w:val="nothing"/>
      <w:lvlText w:val="%1、"/>
      <w:lvlJc w:val="left"/>
      <w:rPr>
        <w:rFonts w:hint="eastAsia"/>
      </w:rPr>
    </w:lvl>
  </w:abstractNum>
  <w:abstractNum w:abstractNumId="7">
    <w:nsid w:val="5413DD9F"/>
    <w:multiLevelType w:val="singleLevel"/>
    <w:tmpl w:val="5413DD9F"/>
    <w:lvl w:ilvl="0" w:tentative="0">
      <w:start w:val="3"/>
      <w:numFmt w:val="decimal"/>
      <w:lvlText w:val="%1."/>
      <w:lvlJc w:val="left"/>
      <w:pPr>
        <w:tabs>
          <w:tab w:val="left" w:pos="312"/>
        </w:tabs>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1">
    <w:nsid w:val="730A0488"/>
    <w:multiLevelType w:val="multilevel"/>
    <w:tmpl w:val="730A0488"/>
    <w:lvl w:ilvl="0" w:tentative="0">
      <w:start w:val="4"/>
      <w:numFmt w:val="decimal"/>
      <w:lvlText w:val="（%1）"/>
      <w:lvlJc w:val="left"/>
      <w:pPr>
        <w:ind w:left="1245" w:hanging="735"/>
      </w:pPr>
      <w:rPr>
        <w:rFonts w:hint="default"/>
        <w:lang w:val="en-US"/>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2">
    <w:nsid w:val="765316F3"/>
    <w:multiLevelType w:val="multilevel"/>
    <w:tmpl w:val="765316F3"/>
    <w:lvl w:ilvl="0" w:tentative="0">
      <w:start w:val="1"/>
      <w:numFmt w:val="chineseCountingThousand"/>
      <w:pStyle w:val="4"/>
      <w:lvlText w:val="%1、"/>
      <w:lvlJc w:val="left"/>
      <w:pPr>
        <w:tabs>
          <w:tab w:val="left" w:pos="1110"/>
        </w:tabs>
        <w:ind w:left="106" w:firstLine="454"/>
      </w:pPr>
      <w:rPr>
        <w:rFonts w:hint="default" w:ascii="??" w:hAnsi="??" w:eastAsia="??"/>
        <w:b/>
        <w:i w:val="0"/>
        <w:iCs w:val="0"/>
        <w:caps w:val="0"/>
        <w:smallCaps w:val="0"/>
        <w:strike w:val="0"/>
        <w:dstrike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12"/>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7"/>
  </w:num>
  <w:num w:numId="6">
    <w:abstractNumId w:val="4"/>
  </w:num>
  <w:num w:numId="7">
    <w:abstractNumId w:val="2"/>
  </w:num>
  <w:num w:numId="8">
    <w:abstractNumId w:val="1"/>
  </w:num>
  <w:num w:numId="9">
    <w:abstractNumId w:val="5"/>
  </w:num>
  <w:num w:numId="10">
    <w:abstractNumId w:val="0"/>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Yjk0YjEyODI4MmU2NTFiMmNlN2ZjZTQ2M2RkOTkifQ=="/>
  </w:docVars>
  <w:rsids>
    <w:rsidRoot w:val="00172A27"/>
    <w:rsid w:val="000E3C3A"/>
    <w:rsid w:val="001B223C"/>
    <w:rsid w:val="009561CD"/>
    <w:rsid w:val="00982C18"/>
    <w:rsid w:val="00B261DF"/>
    <w:rsid w:val="00B40FFC"/>
    <w:rsid w:val="00C152A3"/>
    <w:rsid w:val="00DC7E03"/>
    <w:rsid w:val="021859CA"/>
    <w:rsid w:val="034B6F45"/>
    <w:rsid w:val="039F53D9"/>
    <w:rsid w:val="03DC128F"/>
    <w:rsid w:val="04293179"/>
    <w:rsid w:val="0447238F"/>
    <w:rsid w:val="046525E3"/>
    <w:rsid w:val="04B50112"/>
    <w:rsid w:val="04E14FA5"/>
    <w:rsid w:val="050E7A42"/>
    <w:rsid w:val="052A53FB"/>
    <w:rsid w:val="05374D31"/>
    <w:rsid w:val="058368B9"/>
    <w:rsid w:val="060F2843"/>
    <w:rsid w:val="0655344D"/>
    <w:rsid w:val="06C61D87"/>
    <w:rsid w:val="06E725B8"/>
    <w:rsid w:val="07087054"/>
    <w:rsid w:val="07136F54"/>
    <w:rsid w:val="075E313A"/>
    <w:rsid w:val="07AF4DEA"/>
    <w:rsid w:val="07BB1AF8"/>
    <w:rsid w:val="07FA7BFC"/>
    <w:rsid w:val="083C5BAA"/>
    <w:rsid w:val="08952FB6"/>
    <w:rsid w:val="089E4667"/>
    <w:rsid w:val="08AB0998"/>
    <w:rsid w:val="08F916AB"/>
    <w:rsid w:val="09FF40B7"/>
    <w:rsid w:val="0A4511BB"/>
    <w:rsid w:val="0A481820"/>
    <w:rsid w:val="0A8017D6"/>
    <w:rsid w:val="0B094FB3"/>
    <w:rsid w:val="0B6D6042"/>
    <w:rsid w:val="0BAC3F4E"/>
    <w:rsid w:val="0BB01EE3"/>
    <w:rsid w:val="0BBC16CE"/>
    <w:rsid w:val="0BD601B2"/>
    <w:rsid w:val="0C334B47"/>
    <w:rsid w:val="0C4F0A69"/>
    <w:rsid w:val="0CF27B7A"/>
    <w:rsid w:val="0D1B387B"/>
    <w:rsid w:val="0D52226A"/>
    <w:rsid w:val="0D5B656C"/>
    <w:rsid w:val="0D7C74B9"/>
    <w:rsid w:val="0D9A6E96"/>
    <w:rsid w:val="0DAD6EE3"/>
    <w:rsid w:val="0ECF5777"/>
    <w:rsid w:val="0F0865BF"/>
    <w:rsid w:val="0F0E21D5"/>
    <w:rsid w:val="0F4D527A"/>
    <w:rsid w:val="0F623A78"/>
    <w:rsid w:val="0F6611A1"/>
    <w:rsid w:val="0F7F5A22"/>
    <w:rsid w:val="0F8347B8"/>
    <w:rsid w:val="0F892AFC"/>
    <w:rsid w:val="0FA35C35"/>
    <w:rsid w:val="0FCD0D3B"/>
    <w:rsid w:val="0FD7713F"/>
    <w:rsid w:val="0FFFD9E5"/>
    <w:rsid w:val="101660A3"/>
    <w:rsid w:val="10AE63D3"/>
    <w:rsid w:val="10DC4EDC"/>
    <w:rsid w:val="10DF64CC"/>
    <w:rsid w:val="12021424"/>
    <w:rsid w:val="1238629D"/>
    <w:rsid w:val="12724255"/>
    <w:rsid w:val="128A7BFE"/>
    <w:rsid w:val="12EF2F55"/>
    <w:rsid w:val="133D5234"/>
    <w:rsid w:val="13675A6C"/>
    <w:rsid w:val="13746362"/>
    <w:rsid w:val="13D46336"/>
    <w:rsid w:val="14467430"/>
    <w:rsid w:val="14584EBE"/>
    <w:rsid w:val="14C27361"/>
    <w:rsid w:val="15054F9B"/>
    <w:rsid w:val="1551661C"/>
    <w:rsid w:val="15971EAA"/>
    <w:rsid w:val="15BE5711"/>
    <w:rsid w:val="161F225D"/>
    <w:rsid w:val="166242C9"/>
    <w:rsid w:val="167364D6"/>
    <w:rsid w:val="16984C85"/>
    <w:rsid w:val="16CA31BB"/>
    <w:rsid w:val="178928FF"/>
    <w:rsid w:val="17947B6C"/>
    <w:rsid w:val="17B54008"/>
    <w:rsid w:val="17F51B0A"/>
    <w:rsid w:val="17F55537"/>
    <w:rsid w:val="1899402E"/>
    <w:rsid w:val="19924EC5"/>
    <w:rsid w:val="19972D2D"/>
    <w:rsid w:val="19D84294"/>
    <w:rsid w:val="19F91EC3"/>
    <w:rsid w:val="1A2E524E"/>
    <w:rsid w:val="1A501008"/>
    <w:rsid w:val="1A653E94"/>
    <w:rsid w:val="1A7F226D"/>
    <w:rsid w:val="1A813D33"/>
    <w:rsid w:val="1B794E26"/>
    <w:rsid w:val="1BAE2757"/>
    <w:rsid w:val="1C716618"/>
    <w:rsid w:val="1C965A39"/>
    <w:rsid w:val="1CEC449F"/>
    <w:rsid w:val="1CF20C22"/>
    <w:rsid w:val="1DE5461A"/>
    <w:rsid w:val="1E012691"/>
    <w:rsid w:val="1E026010"/>
    <w:rsid w:val="1E5C3BA8"/>
    <w:rsid w:val="1E636935"/>
    <w:rsid w:val="1E7B090C"/>
    <w:rsid w:val="1E927DC3"/>
    <w:rsid w:val="1EAC78EB"/>
    <w:rsid w:val="1EC90A11"/>
    <w:rsid w:val="1F2E4D8B"/>
    <w:rsid w:val="20020E1C"/>
    <w:rsid w:val="20136B65"/>
    <w:rsid w:val="201B2617"/>
    <w:rsid w:val="20B35E4D"/>
    <w:rsid w:val="20C563D0"/>
    <w:rsid w:val="21630D4B"/>
    <w:rsid w:val="21CE280F"/>
    <w:rsid w:val="21F84296"/>
    <w:rsid w:val="2223595C"/>
    <w:rsid w:val="22E93A8B"/>
    <w:rsid w:val="23101D06"/>
    <w:rsid w:val="23220F09"/>
    <w:rsid w:val="23856AE5"/>
    <w:rsid w:val="238D3293"/>
    <w:rsid w:val="23BF18A2"/>
    <w:rsid w:val="23DB3E1C"/>
    <w:rsid w:val="24422B08"/>
    <w:rsid w:val="24601F27"/>
    <w:rsid w:val="246D3414"/>
    <w:rsid w:val="24A6745A"/>
    <w:rsid w:val="24B47998"/>
    <w:rsid w:val="24D14B1D"/>
    <w:rsid w:val="24D3401A"/>
    <w:rsid w:val="24E42CC3"/>
    <w:rsid w:val="24F471DA"/>
    <w:rsid w:val="256D7EC8"/>
    <w:rsid w:val="25710085"/>
    <w:rsid w:val="25783B09"/>
    <w:rsid w:val="259011F8"/>
    <w:rsid w:val="26094B48"/>
    <w:rsid w:val="26C84813"/>
    <w:rsid w:val="27003DB6"/>
    <w:rsid w:val="27070CA1"/>
    <w:rsid w:val="27145D36"/>
    <w:rsid w:val="271F0F09"/>
    <w:rsid w:val="274E68CF"/>
    <w:rsid w:val="281445B1"/>
    <w:rsid w:val="284B35A2"/>
    <w:rsid w:val="28CD1A76"/>
    <w:rsid w:val="28E32D7E"/>
    <w:rsid w:val="28E35C0A"/>
    <w:rsid w:val="28E43FD9"/>
    <w:rsid w:val="29021EFC"/>
    <w:rsid w:val="29305074"/>
    <w:rsid w:val="294017AD"/>
    <w:rsid w:val="298011DE"/>
    <w:rsid w:val="2A3E57F1"/>
    <w:rsid w:val="2A6A0C40"/>
    <w:rsid w:val="2A796DED"/>
    <w:rsid w:val="2B0D6FF4"/>
    <w:rsid w:val="2B2C6DA1"/>
    <w:rsid w:val="2B342280"/>
    <w:rsid w:val="2BC2788C"/>
    <w:rsid w:val="2C9B424D"/>
    <w:rsid w:val="2D0842EC"/>
    <w:rsid w:val="2DD75F3B"/>
    <w:rsid w:val="2E131F13"/>
    <w:rsid w:val="2E306E2E"/>
    <w:rsid w:val="2EA051F4"/>
    <w:rsid w:val="2EDA116B"/>
    <w:rsid w:val="2EED3C40"/>
    <w:rsid w:val="2F3C6811"/>
    <w:rsid w:val="311A3F60"/>
    <w:rsid w:val="31300A69"/>
    <w:rsid w:val="31761D23"/>
    <w:rsid w:val="319317D8"/>
    <w:rsid w:val="319C2399"/>
    <w:rsid w:val="32110C25"/>
    <w:rsid w:val="326723C9"/>
    <w:rsid w:val="32E461DF"/>
    <w:rsid w:val="32EB3B6C"/>
    <w:rsid w:val="33D85935"/>
    <w:rsid w:val="33EB43B1"/>
    <w:rsid w:val="33F80268"/>
    <w:rsid w:val="34610F2B"/>
    <w:rsid w:val="346D7945"/>
    <w:rsid w:val="34AE2BA6"/>
    <w:rsid w:val="34D820BC"/>
    <w:rsid w:val="34FD107E"/>
    <w:rsid w:val="35161C98"/>
    <w:rsid w:val="364A6DFC"/>
    <w:rsid w:val="36C90C98"/>
    <w:rsid w:val="36CD6D52"/>
    <w:rsid w:val="37114E56"/>
    <w:rsid w:val="37152F66"/>
    <w:rsid w:val="377A05B4"/>
    <w:rsid w:val="37C47EA6"/>
    <w:rsid w:val="37F614CD"/>
    <w:rsid w:val="380F3E59"/>
    <w:rsid w:val="388B682F"/>
    <w:rsid w:val="38A144CB"/>
    <w:rsid w:val="393E624D"/>
    <w:rsid w:val="39782086"/>
    <w:rsid w:val="39EF2D3F"/>
    <w:rsid w:val="3AA73F41"/>
    <w:rsid w:val="3B0E2C31"/>
    <w:rsid w:val="3B1B48C3"/>
    <w:rsid w:val="3B2F56F7"/>
    <w:rsid w:val="3BDB4052"/>
    <w:rsid w:val="3BF13DBB"/>
    <w:rsid w:val="3CA77AD9"/>
    <w:rsid w:val="3DF53AF1"/>
    <w:rsid w:val="3E07344C"/>
    <w:rsid w:val="3E3A1D6B"/>
    <w:rsid w:val="3E744AE0"/>
    <w:rsid w:val="3E9D4EA6"/>
    <w:rsid w:val="3EF203D3"/>
    <w:rsid w:val="3F3B4045"/>
    <w:rsid w:val="3F3F1BD0"/>
    <w:rsid w:val="40302BBE"/>
    <w:rsid w:val="407A6D31"/>
    <w:rsid w:val="409C64A6"/>
    <w:rsid w:val="40D20119"/>
    <w:rsid w:val="410E533E"/>
    <w:rsid w:val="418B439F"/>
    <w:rsid w:val="41FB828E"/>
    <w:rsid w:val="420367D0"/>
    <w:rsid w:val="423430E3"/>
    <w:rsid w:val="42DE7BFD"/>
    <w:rsid w:val="42E85BD7"/>
    <w:rsid w:val="431A65CE"/>
    <w:rsid w:val="438450E4"/>
    <w:rsid w:val="43DE6E79"/>
    <w:rsid w:val="44296F6C"/>
    <w:rsid w:val="44435A79"/>
    <w:rsid w:val="44795BA3"/>
    <w:rsid w:val="44F05012"/>
    <w:rsid w:val="45EC21CF"/>
    <w:rsid w:val="45EF5010"/>
    <w:rsid w:val="464C1448"/>
    <w:rsid w:val="478832E0"/>
    <w:rsid w:val="4863780A"/>
    <w:rsid w:val="48DB1B1D"/>
    <w:rsid w:val="48E363B3"/>
    <w:rsid w:val="48E760FA"/>
    <w:rsid w:val="48FF3A76"/>
    <w:rsid w:val="494D2C73"/>
    <w:rsid w:val="498521CD"/>
    <w:rsid w:val="49EA1876"/>
    <w:rsid w:val="4A833AEA"/>
    <w:rsid w:val="4A9D2A5F"/>
    <w:rsid w:val="4AB967D3"/>
    <w:rsid w:val="4AE625DA"/>
    <w:rsid w:val="4B2F4A2C"/>
    <w:rsid w:val="4BE17A4B"/>
    <w:rsid w:val="4C394C32"/>
    <w:rsid w:val="4CAB5192"/>
    <w:rsid w:val="4CDB0356"/>
    <w:rsid w:val="4CE0234D"/>
    <w:rsid w:val="4D0B39EB"/>
    <w:rsid w:val="4D7730CE"/>
    <w:rsid w:val="4DA558C9"/>
    <w:rsid w:val="4DD212AB"/>
    <w:rsid w:val="4E284D90"/>
    <w:rsid w:val="4E5A52AA"/>
    <w:rsid w:val="4ED843C0"/>
    <w:rsid w:val="4F5543EF"/>
    <w:rsid w:val="4FF44135"/>
    <w:rsid w:val="50850D04"/>
    <w:rsid w:val="50964BE1"/>
    <w:rsid w:val="51A745E9"/>
    <w:rsid w:val="51CF256A"/>
    <w:rsid w:val="52345356"/>
    <w:rsid w:val="52F72A1E"/>
    <w:rsid w:val="53702486"/>
    <w:rsid w:val="538C24DB"/>
    <w:rsid w:val="543A0030"/>
    <w:rsid w:val="54761A7F"/>
    <w:rsid w:val="55AF7001"/>
    <w:rsid w:val="55F62E55"/>
    <w:rsid w:val="56301CA4"/>
    <w:rsid w:val="56372BEA"/>
    <w:rsid w:val="56993CBC"/>
    <w:rsid w:val="56BA2896"/>
    <w:rsid w:val="5707385F"/>
    <w:rsid w:val="57A4664F"/>
    <w:rsid w:val="57E52069"/>
    <w:rsid w:val="57F653E1"/>
    <w:rsid w:val="583E7210"/>
    <w:rsid w:val="584F6CD6"/>
    <w:rsid w:val="587E08A4"/>
    <w:rsid w:val="58CB127E"/>
    <w:rsid w:val="58F13DA6"/>
    <w:rsid w:val="59432883"/>
    <w:rsid w:val="59E67E35"/>
    <w:rsid w:val="59E97ABD"/>
    <w:rsid w:val="5A5A722B"/>
    <w:rsid w:val="5A5D23AA"/>
    <w:rsid w:val="5A5E603B"/>
    <w:rsid w:val="5A751DEA"/>
    <w:rsid w:val="5A853D5C"/>
    <w:rsid w:val="5A8D6159"/>
    <w:rsid w:val="5A960A6F"/>
    <w:rsid w:val="5AA630C5"/>
    <w:rsid w:val="5AE554CA"/>
    <w:rsid w:val="5B15431B"/>
    <w:rsid w:val="5B6713F9"/>
    <w:rsid w:val="5BB66216"/>
    <w:rsid w:val="5BBB1DA7"/>
    <w:rsid w:val="5BD72611"/>
    <w:rsid w:val="5C025C15"/>
    <w:rsid w:val="5C394202"/>
    <w:rsid w:val="5C3B17E6"/>
    <w:rsid w:val="5C464802"/>
    <w:rsid w:val="5CB564CD"/>
    <w:rsid w:val="5D0B07E3"/>
    <w:rsid w:val="5DCC6531"/>
    <w:rsid w:val="5E311563"/>
    <w:rsid w:val="5E5341F0"/>
    <w:rsid w:val="5E8A398A"/>
    <w:rsid w:val="5EB273E9"/>
    <w:rsid w:val="5EEB7DAF"/>
    <w:rsid w:val="5F36047A"/>
    <w:rsid w:val="5F5F1359"/>
    <w:rsid w:val="5F925E43"/>
    <w:rsid w:val="5F951CED"/>
    <w:rsid w:val="60025ECE"/>
    <w:rsid w:val="603D1A42"/>
    <w:rsid w:val="608C5500"/>
    <w:rsid w:val="60EA0B9E"/>
    <w:rsid w:val="60FC49E6"/>
    <w:rsid w:val="612A651B"/>
    <w:rsid w:val="61363BD9"/>
    <w:rsid w:val="621F1A8A"/>
    <w:rsid w:val="624A693F"/>
    <w:rsid w:val="632E7338"/>
    <w:rsid w:val="638B693E"/>
    <w:rsid w:val="63A94DAB"/>
    <w:rsid w:val="650D4260"/>
    <w:rsid w:val="65815AE7"/>
    <w:rsid w:val="669E7DFC"/>
    <w:rsid w:val="66B669C0"/>
    <w:rsid w:val="67193AFD"/>
    <w:rsid w:val="672D7FEF"/>
    <w:rsid w:val="676B4401"/>
    <w:rsid w:val="67B87265"/>
    <w:rsid w:val="67D87EA2"/>
    <w:rsid w:val="687C38D6"/>
    <w:rsid w:val="689E33B9"/>
    <w:rsid w:val="68AF22DC"/>
    <w:rsid w:val="69B1626F"/>
    <w:rsid w:val="69BF5EEB"/>
    <w:rsid w:val="69DB27E1"/>
    <w:rsid w:val="6A5F6E3B"/>
    <w:rsid w:val="6A8854C3"/>
    <w:rsid w:val="6B0F143C"/>
    <w:rsid w:val="6B8F6BC3"/>
    <w:rsid w:val="6B91613A"/>
    <w:rsid w:val="6BBA58AE"/>
    <w:rsid w:val="6BC93D43"/>
    <w:rsid w:val="6BEA3CBA"/>
    <w:rsid w:val="6BF87B65"/>
    <w:rsid w:val="6C1E5B9B"/>
    <w:rsid w:val="6C222F81"/>
    <w:rsid w:val="6C8D4C7B"/>
    <w:rsid w:val="6CDD3BFA"/>
    <w:rsid w:val="6D3117A3"/>
    <w:rsid w:val="6D7C7AC1"/>
    <w:rsid w:val="6D91799F"/>
    <w:rsid w:val="6D967E0C"/>
    <w:rsid w:val="6DF350A8"/>
    <w:rsid w:val="6DF928C7"/>
    <w:rsid w:val="6E731EBF"/>
    <w:rsid w:val="6E753571"/>
    <w:rsid w:val="6E7C2336"/>
    <w:rsid w:val="6E815015"/>
    <w:rsid w:val="6F683FF5"/>
    <w:rsid w:val="6FAB0ABE"/>
    <w:rsid w:val="6FAC02B2"/>
    <w:rsid w:val="7033127C"/>
    <w:rsid w:val="704716DB"/>
    <w:rsid w:val="706E7218"/>
    <w:rsid w:val="70F4000E"/>
    <w:rsid w:val="716D26D9"/>
    <w:rsid w:val="71BF45AE"/>
    <w:rsid w:val="71F31C95"/>
    <w:rsid w:val="720115AB"/>
    <w:rsid w:val="722A3062"/>
    <w:rsid w:val="727108D0"/>
    <w:rsid w:val="72894548"/>
    <w:rsid w:val="728D2D95"/>
    <w:rsid w:val="72990E32"/>
    <w:rsid w:val="72D64091"/>
    <w:rsid w:val="72EC6569"/>
    <w:rsid w:val="73197269"/>
    <w:rsid w:val="73397A01"/>
    <w:rsid w:val="73410663"/>
    <w:rsid w:val="73616A57"/>
    <w:rsid w:val="73AE009E"/>
    <w:rsid w:val="73C52BD7"/>
    <w:rsid w:val="73C82B32"/>
    <w:rsid w:val="73DE4104"/>
    <w:rsid w:val="7402405B"/>
    <w:rsid w:val="74254B78"/>
    <w:rsid w:val="742B63F1"/>
    <w:rsid w:val="7488616A"/>
    <w:rsid w:val="74890E95"/>
    <w:rsid w:val="74914CAE"/>
    <w:rsid w:val="755C6FBF"/>
    <w:rsid w:val="758071C0"/>
    <w:rsid w:val="763868EC"/>
    <w:rsid w:val="76962A74"/>
    <w:rsid w:val="76FC3965"/>
    <w:rsid w:val="76FF2D0F"/>
    <w:rsid w:val="7769145F"/>
    <w:rsid w:val="77E55381"/>
    <w:rsid w:val="78152360"/>
    <w:rsid w:val="78364F87"/>
    <w:rsid w:val="78EA2C9F"/>
    <w:rsid w:val="79086474"/>
    <w:rsid w:val="791C556F"/>
    <w:rsid w:val="79FF2949"/>
    <w:rsid w:val="7A4255C1"/>
    <w:rsid w:val="7A94326A"/>
    <w:rsid w:val="7B046B46"/>
    <w:rsid w:val="7B1237B7"/>
    <w:rsid w:val="7B2576B3"/>
    <w:rsid w:val="7BDB1AE1"/>
    <w:rsid w:val="7BE569D2"/>
    <w:rsid w:val="7BEE5135"/>
    <w:rsid w:val="7C26686F"/>
    <w:rsid w:val="7C3A1515"/>
    <w:rsid w:val="7D100C84"/>
    <w:rsid w:val="7D9836B6"/>
    <w:rsid w:val="7DF744BD"/>
    <w:rsid w:val="7E1A6CCA"/>
    <w:rsid w:val="7E241126"/>
    <w:rsid w:val="7E5B5A8F"/>
    <w:rsid w:val="7E700FC1"/>
    <w:rsid w:val="7EA21C13"/>
    <w:rsid w:val="7F875650"/>
    <w:rsid w:val="7FAD51C8"/>
    <w:rsid w:val="7FBC2CE2"/>
    <w:rsid w:val="7FBFA58E"/>
    <w:rsid w:val="7FD85EAB"/>
    <w:rsid w:val="9FA71588"/>
    <w:rsid w:val="D7FFF55C"/>
    <w:rsid w:val="DCBFA228"/>
    <w:rsid w:val="ED99ABC9"/>
    <w:rsid w:val="F5ED65D2"/>
    <w:rsid w:val="FDA7F465"/>
    <w:rsid w:val="FDB3F5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3">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4">
    <w:name w:val="heading 2"/>
    <w:basedOn w:val="1"/>
    <w:next w:val="1"/>
    <w:link w:val="33"/>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paragraph" w:styleId="5">
    <w:name w:val="heading 3"/>
    <w:basedOn w:val="1"/>
    <w:next w:val="1"/>
    <w:qFormat/>
    <w:uiPriority w:val="0"/>
    <w:pPr>
      <w:keepNext/>
      <w:keepLines/>
      <w:widowControl/>
      <w:numPr>
        <w:ilvl w:val="2"/>
        <w:numId w:val="2"/>
      </w:numPr>
      <w:spacing w:before="120" w:after="120" w:line="360" w:lineRule="auto"/>
      <w:jc w:val="center"/>
      <w:outlineLvl w:val="2"/>
    </w:pPr>
    <w:rPr>
      <w:rFonts w:ascii="Calibri" w:hAnsi="Calibri" w:eastAsia="??"/>
      <w:b/>
      <w:kern w:val="0"/>
      <w:sz w:val="32"/>
      <w:szCs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1200" w:right="-72" w:hanging="30"/>
    </w:pPr>
    <w:rPr>
      <w:rFonts w:ascii="Arial" w:hAnsi="Arial" w:eastAsia="幼圆" w:cs="Arial"/>
      <w:sz w:val="22"/>
      <w:szCs w:val="20"/>
    </w:rPr>
  </w:style>
  <w:style w:type="paragraph" w:styleId="6">
    <w:name w:val="List Number"/>
    <w:basedOn w:val="1"/>
    <w:qFormat/>
    <w:uiPriority w:val="0"/>
    <w:pPr>
      <w:widowControl/>
      <w:tabs>
        <w:tab w:val="left" w:pos="390"/>
        <w:tab w:val="left" w:pos="454"/>
      </w:tabs>
      <w:spacing w:after="156" w:afterLines="50"/>
      <w:ind w:left="454" w:hanging="284"/>
      <w:jc w:val="left"/>
    </w:pPr>
    <w:rPr>
      <w:rFonts w:ascii="Calibri" w:hAnsi="Calibri"/>
      <w:kern w:val="0"/>
      <w:sz w:val="24"/>
      <w:szCs w:val="20"/>
    </w:rPr>
  </w:style>
  <w:style w:type="paragraph" w:styleId="7">
    <w:name w:val="Normal Indent"/>
    <w:basedOn w:val="1"/>
    <w:next w:val="8"/>
    <w:qFormat/>
    <w:uiPriority w:val="99"/>
    <w:pPr>
      <w:ind w:firstLine="420"/>
    </w:pPr>
    <w:rPr>
      <w:szCs w:val="20"/>
    </w:rPr>
  </w:style>
  <w:style w:type="paragraph" w:styleId="8">
    <w:name w:val="Body Text Indent"/>
    <w:basedOn w:val="1"/>
    <w:next w:val="1"/>
    <w:qFormat/>
    <w:uiPriority w:val="0"/>
    <w:pPr>
      <w:spacing w:line="480" w:lineRule="atLeast"/>
      <w:ind w:firstLine="570"/>
    </w:pPr>
    <w:rPr>
      <w:rFonts w:ascii="??" w:hAnsi="??" w:eastAsia="??"/>
      <w:sz w:val="28"/>
      <w:szCs w:val="28"/>
    </w:rPr>
  </w:style>
  <w:style w:type="paragraph" w:styleId="9">
    <w:name w:val="annotation text"/>
    <w:basedOn w:val="1"/>
    <w:link w:val="34"/>
    <w:unhideWhenUsed/>
    <w:qFormat/>
    <w:uiPriority w:val="99"/>
    <w:pPr>
      <w:jc w:val="left"/>
    </w:pPr>
  </w:style>
  <w:style w:type="paragraph" w:styleId="10">
    <w:name w:val="Body Text"/>
    <w:basedOn w:val="1"/>
    <w:next w:val="11"/>
    <w:qFormat/>
    <w:uiPriority w:val="0"/>
    <w:pPr>
      <w:spacing w:after="120" w:afterLines="0" w:afterAutospacing="0"/>
    </w:pPr>
  </w:style>
  <w:style w:type="paragraph" w:styleId="11">
    <w:name w:val="Body Text First Indent"/>
    <w:basedOn w:val="10"/>
    <w:next w:val="1"/>
    <w:qFormat/>
    <w:uiPriority w:val="0"/>
    <w:pPr>
      <w:autoSpaceDE w:val="0"/>
      <w:autoSpaceDN w:val="0"/>
      <w:adjustRightInd w:val="0"/>
      <w:ind w:firstLine="420" w:firstLineChars="100"/>
      <w:textAlignment w:val="baseline"/>
    </w:pPr>
    <w:rPr>
      <w:sz w:val="24"/>
      <w:szCs w:val="20"/>
    </w:rPr>
  </w:style>
  <w:style w:type="paragraph" w:styleId="12">
    <w:name w:val="Plain Text"/>
    <w:basedOn w:val="1"/>
    <w:next w:val="7"/>
    <w:qFormat/>
    <w:uiPriority w:val="0"/>
    <w:rPr>
      <w:rFonts w:ascii="??" w:hAnsi="??" w:eastAsia="??"/>
      <w:szCs w:val="21"/>
    </w:rPr>
  </w:style>
  <w:style w:type="paragraph" w:styleId="13">
    <w:name w:val="Date"/>
    <w:basedOn w:val="1"/>
    <w:next w:val="1"/>
    <w:qFormat/>
    <w:uiPriority w:val="0"/>
    <w:pPr>
      <w:ind w:leftChars="2500"/>
    </w:pPr>
    <w:rPr>
      <w:rFonts w:hint="eastAsia" w:ascii="宋体" w:hAnsi="宋体"/>
      <w:snapToGrid/>
      <w:kern w:val="2"/>
      <w:sz w:val="24"/>
    </w:rPr>
  </w:style>
  <w:style w:type="paragraph" w:styleId="14">
    <w:name w:val="Balloon Text"/>
    <w:basedOn w:val="1"/>
    <w:link w:val="35"/>
    <w:qFormat/>
    <w:uiPriority w:val="0"/>
    <w:rPr>
      <w:sz w:val="18"/>
      <w:szCs w:val="18"/>
    </w:rPr>
  </w:style>
  <w:style w:type="paragraph" w:styleId="15">
    <w:name w:val="footer"/>
    <w:basedOn w:val="1"/>
    <w:qFormat/>
    <w:uiPriority w:val="0"/>
    <w:pPr>
      <w:tabs>
        <w:tab w:val="center" w:pos="4153"/>
        <w:tab w:val="right" w:pos="8306"/>
      </w:tabs>
      <w:snapToGrid w:val="0"/>
      <w:jc w:val="left"/>
    </w:pPr>
    <w:rPr>
      <w:rFonts w:ascii="Calibri" w:hAnsi="Calibri" w:eastAsia="??"/>
      <w:sz w:val="18"/>
      <w:szCs w:val="2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Calibri" w:hAnsi="Calibri" w:eastAsia="??"/>
      <w:sz w:val="18"/>
      <w:szCs w:val="28"/>
    </w:rPr>
  </w:style>
  <w:style w:type="paragraph" w:styleId="17">
    <w:name w:val="Body Text Indent 3"/>
    <w:basedOn w:val="1"/>
    <w:qFormat/>
    <w:uiPriority w:val="0"/>
    <w:pPr>
      <w:ind w:firstLine="420"/>
    </w:pPr>
    <w:rPr>
      <w:sz w:val="24"/>
    </w:rPr>
  </w:style>
  <w:style w:type="paragraph" w:styleId="18">
    <w:name w:val="table of figures"/>
    <w:basedOn w:val="1"/>
    <w:next w:val="1"/>
    <w:qFormat/>
    <w:uiPriority w:val="0"/>
    <w:pPr>
      <w:ind w:left="560" w:hanging="560"/>
      <w:jc w:val="left"/>
    </w:pPr>
    <w:rPr>
      <w:smallCaps/>
      <w:sz w:val="20"/>
    </w:rPr>
  </w:style>
  <w:style w:type="paragraph" w:styleId="19">
    <w:name w:val="toc 2"/>
    <w:basedOn w:val="1"/>
    <w:next w:val="1"/>
    <w:qFormat/>
    <w:uiPriority w:val="0"/>
    <w:pPr>
      <w:ind w:left="420" w:leftChars="200"/>
    </w:pPr>
  </w:style>
  <w:style w:type="paragraph" w:styleId="20">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2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2">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3">
    <w:name w:val="annotation subject"/>
    <w:basedOn w:val="9"/>
    <w:next w:val="9"/>
    <w:link w:val="36"/>
    <w:qFormat/>
    <w:uiPriority w:val="0"/>
    <w:rPr>
      <w:b/>
      <w:bCs/>
    </w:rPr>
  </w:style>
  <w:style w:type="paragraph" w:styleId="24">
    <w:name w:val="Body Text First Indent 2"/>
    <w:basedOn w:val="8"/>
    <w:next w:val="11"/>
    <w:qFormat/>
    <w:uiPriority w:val="99"/>
    <w:pPr>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basedOn w:val="27"/>
    <w:qFormat/>
    <w:uiPriority w:val="0"/>
    <w:rPr>
      <w:color w:val="0000FF"/>
      <w:u w:val="single"/>
    </w:rPr>
  </w:style>
  <w:style w:type="character" w:styleId="30">
    <w:name w:val="annotation reference"/>
    <w:qFormat/>
    <w:uiPriority w:val="0"/>
    <w:rPr>
      <w:sz w:val="21"/>
      <w:szCs w:val="21"/>
    </w:rPr>
  </w:style>
  <w:style w:type="paragraph" w:customStyle="1" w:styleId="31">
    <w:name w:val="Default"/>
    <w:qFormat/>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 w:type="paragraph" w:customStyle="1" w:styleId="3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3">
    <w:name w:val="标题 2 字符"/>
    <w:link w:val="4"/>
    <w:qFormat/>
    <w:uiPriority w:val="0"/>
    <w:rPr>
      <w:rFonts w:ascii="Arial" w:hAnsi="Arial" w:eastAsia="??" w:cs="Arial"/>
      <w:b/>
      <w:bCs/>
      <w:szCs w:val="32"/>
    </w:rPr>
  </w:style>
  <w:style w:type="character" w:customStyle="1" w:styleId="34">
    <w:name w:val="批注文字 Char"/>
    <w:link w:val="9"/>
    <w:qFormat/>
    <w:uiPriority w:val="99"/>
    <w:rPr>
      <w:rFonts w:ascii="等线" w:hAnsi="等线"/>
      <w:kern w:val="2"/>
      <w:sz w:val="21"/>
      <w:szCs w:val="24"/>
    </w:rPr>
  </w:style>
  <w:style w:type="character" w:customStyle="1" w:styleId="35">
    <w:name w:val="批注框文本 Char"/>
    <w:link w:val="14"/>
    <w:qFormat/>
    <w:uiPriority w:val="0"/>
    <w:rPr>
      <w:rFonts w:ascii="等线" w:hAnsi="等线"/>
      <w:kern w:val="2"/>
      <w:sz w:val="18"/>
      <w:szCs w:val="18"/>
    </w:rPr>
  </w:style>
  <w:style w:type="character" w:customStyle="1" w:styleId="36">
    <w:name w:val="批注主题 Char"/>
    <w:link w:val="23"/>
    <w:qFormat/>
    <w:uiPriority w:val="0"/>
    <w:rPr>
      <w:rFonts w:ascii="等线" w:hAnsi="等线"/>
      <w:b/>
      <w:bCs/>
      <w:kern w:val="2"/>
      <w:sz w:val="21"/>
      <w:szCs w:val="24"/>
    </w:rPr>
  </w:style>
  <w:style w:type="paragraph" w:customStyle="1" w:styleId="3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8">
    <w:name w:val="表格文字"/>
    <w:basedOn w:val="1"/>
    <w:next w:val="10"/>
    <w:qFormat/>
    <w:uiPriority w:val="0"/>
    <w:rPr>
      <w:sz w:val="18"/>
    </w:rPr>
  </w:style>
  <w:style w:type="paragraph" w:customStyle="1" w:styleId="39">
    <w:name w:val="文章正文"/>
    <w:basedOn w:val="1"/>
    <w:qFormat/>
    <w:uiPriority w:val="0"/>
    <w:pPr>
      <w:spacing w:line="360" w:lineRule="auto"/>
      <w:ind w:firstLine="200" w:firstLineChars="200"/>
    </w:pPr>
    <w:rPr>
      <w:rFonts w:ascii="Calibri" w:hAnsi="Calibri" w:cs="Times New Roman"/>
      <w:snapToGrid/>
      <w:sz w:val="24"/>
      <w:szCs w:val="24"/>
    </w:rPr>
  </w:style>
  <w:style w:type="character" w:customStyle="1" w:styleId="40">
    <w:name w:val="正文2 Char Char"/>
    <w:link w:val="41"/>
    <w:qFormat/>
    <w:uiPriority w:val="0"/>
    <w:rPr>
      <w:rFonts w:ascii="Calibri" w:hAnsi="Calibri" w:eastAsia="??"/>
      <w:kern w:val="2"/>
      <w:sz w:val="24"/>
      <w:szCs w:val="28"/>
    </w:rPr>
  </w:style>
  <w:style w:type="paragraph" w:customStyle="1" w:styleId="41">
    <w:name w:val="正文2"/>
    <w:basedOn w:val="1"/>
    <w:link w:val="40"/>
    <w:qFormat/>
    <w:uiPriority w:val="0"/>
    <w:pPr>
      <w:spacing w:before="156" w:line="360" w:lineRule="auto"/>
      <w:ind w:firstLine="200" w:firstLineChars="200"/>
    </w:pPr>
    <w:rPr>
      <w:rFonts w:ascii="Calibri" w:hAnsi="Calibri" w:eastAsia="??"/>
      <w:sz w:val="24"/>
      <w:szCs w:val="28"/>
    </w:rPr>
  </w:style>
  <w:style w:type="paragraph" w:customStyle="1" w:styleId="42">
    <w:name w:val="无间隔1"/>
    <w:qFormat/>
    <w:uiPriority w:val="0"/>
    <w:rPr>
      <w:rFonts w:ascii="Times New Roman" w:hAnsi="Times New Roman" w:eastAsia="宋体" w:cs="Times New Roman"/>
      <w:sz w:val="22"/>
      <w:szCs w:val="22"/>
      <w:lang w:val="en-US" w:eastAsia="en-US" w:bidi="ar-SA"/>
    </w:rPr>
  </w:style>
  <w:style w:type="paragraph" w:customStyle="1" w:styleId="43">
    <w:name w:val="样式2"/>
    <w:basedOn w:val="18"/>
    <w:qFormat/>
    <w:uiPriority w:val="0"/>
    <w:pPr>
      <w:ind w:left="200" w:leftChars="200" w:hanging="200" w:hangingChars="200"/>
      <w:jc w:val="both"/>
    </w:pPr>
    <w:rPr>
      <w:rFonts w:ascii="Times New Roman" w:hAnsi="Times New Roman"/>
      <w:smallCaps w:val="0"/>
      <w:sz w:val="21"/>
    </w:rPr>
  </w:style>
  <w:style w:type="paragraph" w:customStyle="1" w:styleId="44">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45">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46">
    <w:name w:val="List Paragraph"/>
    <w:basedOn w:val="1"/>
    <w:qFormat/>
    <w:uiPriority w:val="0"/>
    <w:pPr>
      <w:ind w:firstLine="420" w:firstLineChars="200"/>
    </w:pPr>
    <w:rPr>
      <w:szCs w:val="20"/>
    </w:rPr>
  </w:style>
  <w:style w:type="paragraph" w:customStyle="1" w:styleId="4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szCs w:val="28"/>
      <w:lang w:val="en-US" w:eastAsia="zh-CN" w:bidi="ar-SA"/>
    </w:rPr>
  </w:style>
  <w:style w:type="paragraph" w:customStyle="1" w:styleId="48">
    <w:name w:val="章正文"/>
    <w:basedOn w:val="1"/>
    <w:qFormat/>
    <w:uiPriority w:val="0"/>
    <w:pPr>
      <w:spacing w:beforeLines="50" w:after="120" w:line="300" w:lineRule="auto"/>
      <w:ind w:firstLine="480"/>
    </w:pPr>
    <w:rPr>
      <w:rFonts w:ascii="Helvetica" w:hAnsi="Helvetica"/>
      <w:kern w:val="0"/>
      <w:sz w:val="24"/>
    </w:rPr>
  </w:style>
  <w:style w:type="paragraph" w:customStyle="1" w:styleId="49">
    <w:name w:val="Normal Indent1"/>
    <w:basedOn w:val="1"/>
    <w:qFormat/>
    <w:uiPriority w:val="0"/>
    <w:pPr>
      <w:ind w:firstLine="420" w:firstLineChars="200"/>
    </w:pPr>
  </w:style>
  <w:style w:type="paragraph" w:customStyle="1" w:styleId="50">
    <w:name w:val="Normal_9"/>
    <w:qFormat/>
    <w:uiPriority w:val="0"/>
    <w:rPr>
      <w:rFonts w:ascii="Times New Roman" w:hAnsi="Times New Roman" w:eastAsia="Times New Roman" w:cs="Times New Roman"/>
      <w:sz w:val="24"/>
      <w:szCs w:val="24"/>
      <w:lang w:val="en-US" w:eastAsia="zh-CN" w:bidi="ar-SA"/>
    </w:rPr>
  </w:style>
  <w:style w:type="paragraph" w:customStyle="1" w:styleId="51">
    <w:name w:val="_Style 49"/>
    <w:unhideWhenUsed/>
    <w:qFormat/>
    <w:uiPriority w:val="99"/>
    <w:rPr>
      <w:rFonts w:ascii="等线" w:hAnsi="等线" w:eastAsia="宋体" w:cs="Times New Roman"/>
      <w:kern w:val="2"/>
      <w:sz w:val="21"/>
      <w:szCs w:val="24"/>
      <w:lang w:val="en-US" w:eastAsia="zh-CN" w:bidi="ar-SA"/>
    </w:rPr>
  </w:style>
  <w:style w:type="paragraph" w:customStyle="1" w:styleId="52">
    <w:name w:val="No Spacing"/>
    <w:qFormat/>
    <w:uiPriority w:val="0"/>
    <w:rPr>
      <w:rFonts w:ascii="Calibri" w:hAnsi="Calibri" w:eastAsia="??" w:cs="宋体"/>
      <w:sz w:val="22"/>
      <w:szCs w:val="22"/>
      <w:lang w:val="en-US" w:eastAsia="en-US" w:bidi="ar-SA"/>
    </w:rPr>
  </w:style>
  <w:style w:type="paragraph" w:customStyle="1" w:styleId="53">
    <w:name w:val="正文_1_0"/>
    <w:qFormat/>
    <w:uiPriority w:val="1"/>
    <w:pPr>
      <w:jc w:val="both"/>
    </w:pPr>
    <w:rPr>
      <w:rFonts w:ascii="Calibri" w:hAnsi="Calibri" w:eastAsia="宋体" w:cs="Times New Roman"/>
      <w:sz w:val="21"/>
      <w:szCs w:val="21"/>
      <w:lang w:val="en-US" w:eastAsia="zh-CN" w:bidi="ar-SA"/>
    </w:rPr>
  </w:style>
  <w:style w:type="paragraph" w:customStyle="1" w:styleId="54">
    <w:name w:val="_Style 8"/>
    <w:basedOn w:val="1"/>
    <w:next w:val="1"/>
    <w:qFormat/>
    <w:uiPriority w:val="0"/>
    <w:pPr>
      <w:pBdr>
        <w:top w:val="single" w:color="auto" w:sz="6" w:space="1"/>
      </w:pBdr>
      <w:jc w:val="center"/>
    </w:pPr>
    <w:rPr>
      <w:rFonts w:ascii="Arial" w:eastAsia="宋体"/>
      <w:vanish/>
      <w:sz w:val="16"/>
    </w:rPr>
  </w:style>
  <w:style w:type="paragraph" w:customStyle="1" w:styleId="55">
    <w:name w:val="Table Paragraph"/>
    <w:basedOn w:val="1"/>
    <w:qFormat/>
    <w:uiPriority w:val="1"/>
    <w:rPr>
      <w:rFonts w:ascii="宋体" w:hAnsi="宋体" w:eastAsia="宋体" w:cs="宋体"/>
      <w:lang w:val="zh-CN" w:eastAsia="zh-CN" w:bidi="zh-CN"/>
    </w:rPr>
  </w:style>
  <w:style w:type="paragraph" w:customStyle="1" w:styleId="56">
    <w:name w:val="_Style 7"/>
    <w:basedOn w:val="1"/>
    <w:next w:val="1"/>
    <w:qFormat/>
    <w:uiPriority w:val="0"/>
    <w:pPr>
      <w:pBdr>
        <w:bottom w:val="single" w:color="auto" w:sz="6" w:space="1"/>
      </w:pBdr>
      <w:jc w:val="center"/>
    </w:pPr>
    <w:rPr>
      <w:rFonts w:ascii="Arial" w:eastAsia="宋体"/>
      <w:vanish/>
      <w:sz w:val="16"/>
    </w:rPr>
  </w:style>
  <w:style w:type="paragraph" w:customStyle="1" w:styleId="57">
    <w:name w:val="纯文本2"/>
    <w:basedOn w:val="1"/>
    <w:qFormat/>
    <w:uiPriority w:val="0"/>
    <w:pPr>
      <w:adjustRightInd w:val="0"/>
      <w:textAlignment w:val="baseline"/>
    </w:pPr>
    <w:rPr>
      <w:rFonts w:ascii="宋体" w:hAnsi="Courier New" w:eastAsia="楷体_GB2312"/>
      <w:sz w:val="28"/>
      <w:szCs w:val="20"/>
    </w:rPr>
  </w:style>
  <w:style w:type="paragraph" w:customStyle="1" w:styleId="58">
    <w:name w:val="[Normal]"/>
    <w:qFormat/>
    <w:uiPriority w:val="0"/>
    <w:rPr>
      <w:rFonts w:ascii="宋体" w:hAnsi="宋体" w:eastAsia="宋体" w:cs="Times New Roman"/>
      <w:sz w:val="24"/>
      <w:szCs w:val="22"/>
      <w:lang w:val="zh-CN" w:eastAsia="zh-CN" w:bidi="ar-SA"/>
    </w:rPr>
  </w:style>
  <w:style w:type="character" w:customStyle="1" w:styleId="59">
    <w:name w:val="标题 1 Char Char"/>
    <w:basedOn w:val="27"/>
    <w:qFormat/>
    <w:uiPriority w:val="0"/>
    <w:rPr>
      <w:rFonts w:eastAsia="宋体"/>
      <w:bCs/>
      <w:spacing w:val="-2"/>
      <w:sz w:val="24"/>
      <w:szCs w:val="24"/>
      <w:lang w:val="en-US" w:eastAsia="zh-CN"/>
    </w:rPr>
  </w:style>
  <w:style w:type="paragraph" w:customStyle="1" w:styleId="60">
    <w:name w:val="Fließtext"/>
    <w:basedOn w:val="1"/>
    <w:qFormat/>
    <w:uiPriority w:val="0"/>
    <w:pPr>
      <w:overflowPunct w:val="0"/>
      <w:autoSpaceDE w:val="0"/>
      <w:autoSpaceDN w:val="0"/>
      <w:adjustRightInd w:val="0"/>
      <w:textAlignment w:val="baseline"/>
    </w:pPr>
    <w:rPr>
      <w:kern w:val="28"/>
      <w:szCs w:val="20"/>
    </w:rPr>
  </w:style>
  <w:style w:type="paragraph" w:customStyle="1" w:styleId="61">
    <w:name w:val="Intense Quote"/>
    <w:basedOn w:val="1"/>
    <w:next w:val="1"/>
    <w:qFormat/>
    <w:uiPriority w:val="0"/>
    <w:pPr>
      <w:pBdr>
        <w:top w:val="single" w:color="4F81BD" w:sz="4" w:space="10"/>
        <w:bottom w:val="single" w:color="4F81BD" w:sz="4" w:space="10"/>
      </w:pBdr>
      <w:spacing w:before="360" w:after="360"/>
      <w:ind w:left="864" w:right="864"/>
      <w:jc w:val="center"/>
    </w:pPr>
    <w:rPr>
      <w:i/>
      <w:iCs/>
      <w:color w:val="4F81BD"/>
    </w:rPr>
  </w:style>
  <w:style w:type="paragraph" w:customStyle="1" w:styleId="62">
    <w:name w:val="纯文本1"/>
    <w:basedOn w:val="63"/>
    <w:qFormat/>
    <w:uiPriority w:val="0"/>
    <w:pPr>
      <w:widowControl w:val="0"/>
      <w:jc w:val="both"/>
    </w:pPr>
    <w:rPr>
      <w:rFonts w:ascii="宋体" w:hAnsi="宋体" w:eastAsia="宋体" w:cs="宋体"/>
      <w:color w:val="000000"/>
      <w:kern w:val="2"/>
      <w:sz w:val="21"/>
      <w:szCs w:val="21"/>
      <w:lang w:val="en-US" w:eastAsia="zh-CN" w:bidi="ar-SA"/>
    </w:rPr>
  </w:style>
  <w:style w:type="paragraph" w:customStyle="1" w:styleId="63">
    <w:name w:val="正文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23662</Words>
  <Characters>25215</Characters>
  <Lines>254</Lines>
  <Paragraphs>71</Paragraphs>
  <TotalTime>22</TotalTime>
  <ScaleCrop>false</ScaleCrop>
  <LinksUpToDate>false</LinksUpToDate>
  <CharactersWithSpaces>25513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祝晓甜</cp:lastModifiedBy>
  <cp:lastPrinted>2023-06-13T17:41:00Z</cp:lastPrinted>
  <dcterms:modified xsi:type="dcterms:W3CDTF">2025-07-17T01:54:59Z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B2C3BE2D1D7C450D90B2F7C5C7CD98E7_13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eyJoZGlkIjoiYmY2ZDFlZDZiMWVjOWViMzZmZWJiMjQwY2JjMWE1YzAiLCJ1c2VySWQiOiIxMTU2NzQwOTkzIn0=</vt:lpwstr>
  </property>
</Properties>
</file>