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639DC">
      <w:pPr>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78D3EF04">
      <w:pPr>
        <w:adjustRightInd w:val="0"/>
        <w:spacing w:line="72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4"/>
          <w:szCs w:val="44"/>
          <w:highlight w:val="none"/>
        </w:rPr>
        <w:t xml:space="preserve"> </w:t>
      </w:r>
    </w:p>
    <w:p w14:paraId="20321B26">
      <w:pPr>
        <w:spacing w:line="720" w:lineRule="auto"/>
        <w:jc w:val="center"/>
        <w:rPr>
          <w:rFonts w:hint="default" w:ascii="宋体" w:hAnsi="宋体" w:eastAsia="宋体" w:cs="宋体"/>
          <w:b/>
          <w:bCs/>
          <w:color w:val="auto"/>
          <w:sz w:val="40"/>
          <w:szCs w:val="40"/>
          <w:highlight w:val="none"/>
          <w:lang w:val="en-US" w:eastAsia="zh-CN"/>
        </w:rPr>
      </w:pPr>
      <w:r>
        <w:rPr>
          <w:rFonts w:hint="eastAsia" w:ascii="宋体" w:hAnsi="宋体" w:cs="宋体"/>
          <w:b/>
          <w:bCs/>
          <w:color w:val="auto"/>
          <w:sz w:val="40"/>
          <w:szCs w:val="40"/>
          <w:highlight w:val="none"/>
          <w:lang w:val="en-US" w:eastAsia="zh-CN"/>
        </w:rPr>
        <w:t>2025年</w:t>
      </w:r>
      <w:r>
        <w:rPr>
          <w:rFonts w:hint="eastAsia" w:ascii="宋体" w:hAnsi="宋体" w:cs="宋体"/>
          <w:b/>
          <w:bCs/>
          <w:color w:val="auto"/>
          <w:sz w:val="40"/>
          <w:szCs w:val="40"/>
          <w:highlight w:val="none"/>
          <w:lang w:eastAsia="zh-CN"/>
        </w:rPr>
        <w:t>衢州市柯城区市场监督管理局食品（餐饮）检测服务项目</w:t>
      </w:r>
      <w:r>
        <w:rPr>
          <w:rFonts w:hint="eastAsia" w:ascii="宋体" w:hAnsi="宋体" w:eastAsia="宋体" w:cs="宋体"/>
          <w:b/>
          <w:bCs/>
          <w:color w:val="auto"/>
          <w:sz w:val="40"/>
          <w:szCs w:val="40"/>
          <w:highlight w:val="none"/>
          <w:lang w:eastAsia="zh-CN"/>
        </w:rPr>
        <w:t>框架协议采购</w:t>
      </w:r>
    </w:p>
    <w:p w14:paraId="1A3FE51F">
      <w:pPr>
        <w:spacing w:line="72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征集文件</w:t>
      </w:r>
      <w:r>
        <w:rPr>
          <w:rFonts w:hint="eastAsia" w:ascii="宋体" w:hAnsi="宋体" w:eastAsia="宋体" w:cs="宋体"/>
          <w:color w:val="auto"/>
          <w:sz w:val="48"/>
          <w:szCs w:val="48"/>
          <w:highlight w:val="none"/>
          <w:lang w:val="en-US" w:eastAsia="zh-CN"/>
        </w:rPr>
        <w:t>(封闭式)</w:t>
      </w:r>
    </w:p>
    <w:p w14:paraId="4F4049B8">
      <w:pPr>
        <w:spacing w:line="72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6AF1A062">
      <w:pPr>
        <w:snapToGrid w:val="0"/>
        <w:spacing w:line="72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项目</w:t>
      </w: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val="en-US" w:eastAsia="zh-CN"/>
        </w:rPr>
        <w:t>ZLQZ-2506086</w:t>
      </w:r>
    </w:p>
    <w:p w14:paraId="27D48EAD">
      <w:pPr>
        <w:spacing w:line="360" w:lineRule="auto"/>
        <w:rPr>
          <w:rFonts w:hint="eastAsia" w:ascii="宋体" w:hAnsi="宋体" w:eastAsia="宋体" w:cs="宋体"/>
          <w:color w:val="auto"/>
          <w:sz w:val="28"/>
          <w:szCs w:val="20"/>
          <w:highlight w:val="none"/>
        </w:rPr>
      </w:pPr>
    </w:p>
    <w:p w14:paraId="566D2A86">
      <w:pPr>
        <w:spacing w:line="360" w:lineRule="auto"/>
        <w:rPr>
          <w:rFonts w:hint="eastAsia" w:ascii="宋体" w:hAnsi="宋体" w:eastAsia="宋体" w:cs="宋体"/>
          <w:color w:val="auto"/>
          <w:sz w:val="28"/>
          <w:szCs w:val="20"/>
          <w:highlight w:val="none"/>
        </w:rPr>
      </w:pPr>
    </w:p>
    <w:p w14:paraId="0E810CE0">
      <w:pPr>
        <w:adjustRightInd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16976B9B">
      <w:pPr>
        <w:adjustRightInd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387CA216">
      <w:pPr>
        <w:adjustRightInd w:val="0"/>
        <w:spacing w:line="360" w:lineRule="auto"/>
        <w:jc w:val="center"/>
        <w:rPr>
          <w:rFonts w:hint="eastAsia" w:ascii="宋体" w:hAnsi="宋体" w:eastAsia="宋体" w:cs="宋体"/>
          <w:color w:val="auto"/>
          <w:sz w:val="24"/>
          <w:szCs w:val="24"/>
          <w:highlight w:val="none"/>
        </w:rPr>
      </w:pPr>
    </w:p>
    <w:p w14:paraId="3E0DC7C3">
      <w:pPr>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6711E42">
      <w:pPr>
        <w:pStyle w:val="5"/>
        <w:numPr>
          <w:ilvl w:val="0"/>
          <w:numId w:val="0"/>
        </w:numPr>
        <w:ind w:leftChars="0"/>
        <w:rPr>
          <w:rFonts w:hint="eastAsia" w:ascii="宋体" w:hAnsi="宋体" w:eastAsia="宋体" w:cs="宋体"/>
          <w:color w:val="auto"/>
          <w:highlight w:val="none"/>
        </w:rPr>
      </w:pPr>
    </w:p>
    <w:p w14:paraId="5290713B">
      <w:pPr>
        <w:spacing w:line="720" w:lineRule="auto"/>
        <w:ind w:left="529" w:leftChars="252" w:firstLine="77" w:firstLineChars="24"/>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采购单位：</w:t>
      </w:r>
      <w:r>
        <w:rPr>
          <w:rFonts w:hint="eastAsia" w:ascii="宋体" w:hAnsi="宋体" w:cs="宋体"/>
          <w:b/>
          <w:color w:val="auto"/>
          <w:sz w:val="32"/>
          <w:szCs w:val="32"/>
          <w:highlight w:val="none"/>
          <w:lang w:eastAsia="zh-CN"/>
        </w:rPr>
        <w:t>衢州市柯城区市场监督管理局</w:t>
      </w:r>
      <w:r>
        <w:rPr>
          <w:rFonts w:hint="eastAsia" w:ascii="宋体" w:hAnsi="宋体" w:cs="宋体"/>
          <w:b/>
          <w:color w:val="auto"/>
          <w:sz w:val="32"/>
          <w:szCs w:val="32"/>
          <w:highlight w:val="none"/>
        </w:rPr>
        <w:t>（盖章）</w:t>
      </w:r>
    </w:p>
    <w:p w14:paraId="16C72A38">
      <w:pPr>
        <w:spacing w:line="720" w:lineRule="auto"/>
        <w:ind w:left="529" w:leftChars="252" w:firstLine="77" w:firstLineChars="24"/>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采购代理机构：</w:t>
      </w:r>
      <w:r>
        <w:rPr>
          <w:rFonts w:hint="eastAsia" w:ascii="宋体" w:hAnsi="宋体" w:cs="宋体"/>
          <w:b/>
          <w:color w:val="auto"/>
          <w:sz w:val="32"/>
          <w:szCs w:val="32"/>
          <w:highlight w:val="none"/>
          <w:lang w:eastAsia="zh-CN"/>
        </w:rPr>
        <w:t>浙江中兰工程项目管理有限公司</w:t>
      </w:r>
      <w:r>
        <w:rPr>
          <w:rFonts w:hint="eastAsia" w:ascii="宋体" w:hAnsi="宋体" w:cs="宋体"/>
          <w:b/>
          <w:color w:val="auto"/>
          <w:sz w:val="32"/>
          <w:szCs w:val="32"/>
          <w:highlight w:val="none"/>
        </w:rPr>
        <w:t>（盖章）</w:t>
      </w:r>
    </w:p>
    <w:p w14:paraId="02B13A19">
      <w:pPr>
        <w:spacing w:line="720" w:lineRule="auto"/>
        <w:ind w:left="529" w:leftChars="252" w:firstLine="77" w:firstLineChars="24"/>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日期：二〇二</w:t>
      </w:r>
      <w:r>
        <w:rPr>
          <w:rFonts w:hint="eastAsia" w:ascii="宋体" w:hAnsi="宋体" w:cs="宋体"/>
          <w:b/>
          <w:color w:val="auto"/>
          <w:sz w:val="32"/>
          <w:szCs w:val="32"/>
          <w:highlight w:val="none"/>
          <w:lang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六</w:t>
      </w:r>
      <w:r>
        <w:rPr>
          <w:rFonts w:hint="eastAsia" w:ascii="宋体" w:hAnsi="宋体" w:cs="宋体"/>
          <w:b/>
          <w:color w:val="auto"/>
          <w:sz w:val="32"/>
          <w:szCs w:val="32"/>
          <w:highlight w:val="none"/>
        </w:rPr>
        <w:t>月</w:t>
      </w:r>
    </w:p>
    <w:p w14:paraId="2DA77DEB">
      <w:pPr>
        <w:rPr>
          <w:rFonts w:hint="eastAsia" w:ascii="宋体" w:hAnsi="宋体" w:eastAsia="宋体" w:cs="宋体"/>
          <w:color w:val="auto"/>
          <w:highlight w:val="none"/>
        </w:rPr>
      </w:pPr>
    </w:p>
    <w:p w14:paraId="34BBDE9E">
      <w:pPr>
        <w:adjustRightInd w:val="0"/>
        <w:spacing w:line="360" w:lineRule="auto"/>
        <w:jc w:val="center"/>
        <w:rPr>
          <w:rFonts w:hint="eastAsia" w:ascii="宋体" w:hAnsi="宋体" w:eastAsia="宋体" w:cs="宋体"/>
          <w:b/>
          <w:color w:val="auto"/>
          <w:sz w:val="48"/>
          <w:szCs w:val="48"/>
          <w:highlight w:val="none"/>
        </w:rPr>
      </w:pPr>
    </w:p>
    <w:p w14:paraId="332AF548">
      <w:pPr>
        <w:adjustRightInd w:val="0"/>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D0844CE">
      <w:pPr>
        <w:adjustRightInd w:val="0"/>
        <w:spacing w:line="360" w:lineRule="auto"/>
        <w:rPr>
          <w:rFonts w:hint="eastAsia" w:ascii="宋体" w:hAnsi="宋体" w:eastAsia="宋体" w:cs="宋体"/>
          <w:color w:val="auto"/>
          <w:sz w:val="32"/>
          <w:szCs w:val="32"/>
          <w:highlight w:val="none"/>
        </w:rPr>
      </w:pPr>
    </w:p>
    <w:p w14:paraId="5EA48975">
      <w:pPr>
        <w:adjustRightInd w:val="0"/>
        <w:spacing w:line="360" w:lineRule="auto"/>
        <w:rPr>
          <w:rFonts w:hint="eastAsia" w:ascii="宋体" w:hAnsi="宋体" w:eastAsia="宋体" w:cs="宋体"/>
          <w:color w:val="auto"/>
          <w:sz w:val="32"/>
          <w:szCs w:val="32"/>
          <w:highlight w:val="none"/>
        </w:rPr>
      </w:pPr>
    </w:p>
    <w:p w14:paraId="32D31CAB">
      <w:pPr>
        <w:adjustRightInd w:val="0"/>
        <w:spacing w:line="360" w:lineRule="auto"/>
        <w:ind w:firstLine="1280" w:firstLineChars="40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第一部分      征集公告</w:t>
      </w:r>
    </w:p>
    <w:p w14:paraId="56619918">
      <w:pPr>
        <w:adjustRightInd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投标人</w:t>
      </w:r>
      <w:r>
        <w:rPr>
          <w:rFonts w:hint="eastAsia" w:ascii="宋体" w:hAnsi="宋体" w:eastAsia="宋体" w:cs="宋体"/>
          <w:color w:val="auto"/>
          <w:sz w:val="32"/>
          <w:szCs w:val="32"/>
          <w:highlight w:val="none"/>
        </w:rPr>
        <w:t>须知</w:t>
      </w:r>
    </w:p>
    <w:p w14:paraId="54CEB38A">
      <w:pPr>
        <w:adjustRightInd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5BC0C64">
      <w:pPr>
        <w:adjustRightInd w:val="0"/>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lang w:eastAsia="zh-CN"/>
        </w:rPr>
        <w:t>及评分标准</w:t>
      </w:r>
    </w:p>
    <w:p w14:paraId="4F066B98">
      <w:pPr>
        <w:adjustRightInd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2C9B432">
      <w:pPr>
        <w:adjustRightInd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DA5DE01">
      <w:pPr>
        <w:pStyle w:val="5"/>
        <w:numPr>
          <w:ilvl w:val="0"/>
          <w:numId w:val="0"/>
        </w:numPr>
        <w:rPr>
          <w:rFonts w:hint="eastAsia" w:ascii="宋体" w:hAnsi="宋体" w:eastAsia="宋体" w:cs="宋体"/>
          <w:color w:val="auto"/>
          <w:highlight w:val="none"/>
        </w:rPr>
      </w:pPr>
    </w:p>
    <w:p w14:paraId="1C728AFE">
      <w:pPr>
        <w:rPr>
          <w:rFonts w:hint="eastAsia" w:ascii="宋体" w:hAnsi="宋体" w:eastAsia="宋体" w:cs="宋体"/>
          <w:color w:val="auto"/>
          <w:highlight w:val="none"/>
        </w:rPr>
      </w:pPr>
    </w:p>
    <w:p w14:paraId="393A16EF">
      <w:pPr>
        <w:pStyle w:val="5"/>
        <w:numPr>
          <w:ilvl w:val="0"/>
          <w:numId w:val="0"/>
        </w:numPr>
        <w:rPr>
          <w:rFonts w:hint="eastAsia" w:ascii="宋体" w:hAnsi="宋体" w:eastAsia="宋体" w:cs="宋体"/>
          <w:color w:val="auto"/>
          <w:highlight w:val="none"/>
        </w:rPr>
      </w:pPr>
    </w:p>
    <w:p w14:paraId="1CAA9A8D">
      <w:pPr>
        <w:rPr>
          <w:rFonts w:hint="eastAsia" w:ascii="宋体" w:hAnsi="宋体" w:eastAsia="宋体" w:cs="宋体"/>
          <w:color w:val="auto"/>
          <w:highlight w:val="none"/>
        </w:rPr>
      </w:pPr>
    </w:p>
    <w:p w14:paraId="3C53F5DD">
      <w:pPr>
        <w:pStyle w:val="5"/>
        <w:numPr>
          <w:ilvl w:val="0"/>
          <w:numId w:val="0"/>
        </w:numP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 xml:space="preserve"> </w:t>
      </w:r>
    </w:p>
    <w:p w14:paraId="2D6E4183">
      <w:pPr>
        <w:rPr>
          <w:rFonts w:hint="eastAsia" w:ascii="宋体" w:hAnsi="宋体" w:eastAsia="宋体" w:cs="宋体"/>
          <w:color w:val="auto"/>
          <w:highlight w:val="none"/>
        </w:rPr>
      </w:pPr>
    </w:p>
    <w:p w14:paraId="18A453FD">
      <w:pPr>
        <w:rPr>
          <w:rFonts w:hint="eastAsia" w:ascii="宋体" w:hAnsi="宋体" w:eastAsia="宋体" w:cs="宋体"/>
          <w:color w:val="auto"/>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31591789">
      <w:pPr>
        <w:keepNext w:val="0"/>
        <w:keepLines w:val="0"/>
        <w:pageBreakBefore w:val="0"/>
        <w:kinsoku/>
        <w:wordWrap/>
        <w:overflowPunct/>
        <w:topLinePunct w:val="0"/>
        <w:autoSpaceDE/>
        <w:autoSpaceDN/>
        <w:bidi w:val="0"/>
        <w:spacing w:line="400" w:lineRule="exact"/>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征集公告</w:t>
      </w:r>
    </w:p>
    <w:p w14:paraId="493A011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189C696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u w:val="single"/>
          <w:lang w:eastAsia="zh-CN"/>
        </w:rPr>
        <w:t>2025年衢州市柯城区市场监督管理局食品（餐饮）检测服务项目</w:t>
      </w:r>
      <w:r>
        <w:rPr>
          <w:rFonts w:hint="eastAsia" w:ascii="宋体" w:hAnsi="宋体" w:eastAsia="宋体" w:cs="宋体"/>
          <w:color w:val="auto"/>
          <w:sz w:val="22"/>
          <w:szCs w:val="22"/>
          <w:highlight w:val="none"/>
        </w:rPr>
        <w:t>征集项目的潜在投标人应在政采云平台（</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"https://www.zcygov.cn/）获取（下载）招标文件，并于2021年"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https://www.zcygov.cn/）获取（下载）征集文件，并于</w:t>
      </w:r>
      <w:r>
        <w:rPr>
          <w:rFonts w:hint="eastAsia" w:ascii="宋体" w:hAnsi="宋体" w:eastAsia="宋体" w:cs="宋体"/>
          <w:color w:val="auto"/>
          <w:sz w:val="22"/>
          <w:szCs w:val="22"/>
          <w:highlight w:val="none"/>
          <w:u w:val="single"/>
          <w:lang w:val="en-US" w:eastAsia="zh-CN"/>
        </w:rPr>
        <w:t xml:space="preserve"> 2025年</w:t>
      </w:r>
      <w:r>
        <w:rPr>
          <w:rFonts w:hint="eastAsia" w:ascii="宋体" w:hAnsi="宋体" w:eastAsia="宋体" w:cs="宋体"/>
          <w:color w:val="auto"/>
          <w:sz w:val="22"/>
          <w:szCs w:val="22"/>
          <w:highlight w:val="none"/>
          <w:u w:val="single"/>
        </w:rPr>
        <w:fldChar w:fldCharType="end"/>
      </w:r>
      <w:r>
        <w:rPr>
          <w:rFonts w:hint="eastAsia" w:ascii="宋体" w:hAnsi="宋体" w:cs="宋体"/>
          <w:color w:val="auto"/>
          <w:sz w:val="22"/>
          <w:szCs w:val="22"/>
          <w:highlight w:val="none"/>
          <w:u w:val="single"/>
          <w:lang w:val="en-US" w:eastAsia="zh-CN"/>
        </w:rPr>
        <w:t>7</w:t>
      </w:r>
      <w:r>
        <w:rPr>
          <w:rFonts w:hint="eastAsia" w:ascii="宋体" w:hAnsi="宋体" w:eastAsia="宋体" w:cs="宋体"/>
          <w:color w:val="auto"/>
          <w:sz w:val="22"/>
          <w:szCs w:val="22"/>
          <w:highlight w:val="none"/>
          <w:u w:val="single"/>
        </w:rPr>
        <w:t>月</w:t>
      </w:r>
      <w:r>
        <w:rPr>
          <w:rFonts w:hint="eastAsia" w:ascii="宋体" w:hAnsi="宋体" w:cs="宋体"/>
          <w:color w:val="auto"/>
          <w:sz w:val="22"/>
          <w:szCs w:val="22"/>
          <w:highlight w:val="none"/>
          <w:u w:val="single"/>
          <w:lang w:val="en-US" w:eastAsia="zh-CN"/>
        </w:rPr>
        <w:t>22</w:t>
      </w:r>
      <w:r>
        <w:rPr>
          <w:rFonts w:hint="eastAsia" w:ascii="宋体" w:hAnsi="宋体" w:eastAsia="宋体" w:cs="宋体"/>
          <w:color w:val="auto"/>
          <w:sz w:val="22"/>
          <w:szCs w:val="22"/>
          <w:highlight w:val="none"/>
          <w:u w:val="single"/>
        </w:rPr>
        <w:t>日</w:t>
      </w:r>
      <w:r>
        <w:rPr>
          <w:rFonts w:hint="eastAsia" w:ascii="宋体" w:hAnsi="宋体" w:cs="宋体"/>
          <w:color w:val="auto"/>
          <w:sz w:val="22"/>
          <w:szCs w:val="22"/>
          <w:highlight w:val="none"/>
          <w:u w:val="single"/>
          <w:lang w:val="en-US" w:eastAsia="zh-CN"/>
        </w:rPr>
        <w:t>9</w:t>
      </w:r>
      <w:r>
        <w:rPr>
          <w:rFonts w:hint="eastAsia" w:ascii="宋体" w:hAnsi="宋体" w:eastAsia="宋体" w:cs="宋体"/>
          <w:color w:val="auto"/>
          <w:sz w:val="22"/>
          <w:szCs w:val="22"/>
          <w:highlight w:val="none"/>
          <w:u w:val="single"/>
        </w:rPr>
        <w:t>点</w:t>
      </w:r>
      <w:r>
        <w:rPr>
          <w:rFonts w:hint="eastAsia" w:ascii="宋体" w:hAnsi="宋体" w:cs="宋体"/>
          <w:color w:val="auto"/>
          <w:sz w:val="22"/>
          <w:szCs w:val="22"/>
          <w:highlight w:val="none"/>
          <w:u w:val="single"/>
          <w:lang w:val="en-US" w:eastAsia="zh-CN"/>
        </w:rPr>
        <w:t>30</w:t>
      </w:r>
      <w:r>
        <w:rPr>
          <w:rFonts w:hint="eastAsia" w:ascii="宋体" w:hAnsi="宋体" w:eastAsia="宋体" w:cs="宋体"/>
          <w:color w:val="auto"/>
          <w:sz w:val="22"/>
          <w:szCs w:val="22"/>
          <w:highlight w:val="none"/>
          <w:u w:val="single"/>
        </w:rPr>
        <w:t>分00秒</w:t>
      </w:r>
      <w:r>
        <w:rPr>
          <w:rFonts w:hint="eastAsia" w:ascii="宋体" w:hAnsi="宋体" w:eastAsia="宋体" w:cs="宋体"/>
          <w:color w:val="auto"/>
          <w:sz w:val="22"/>
          <w:szCs w:val="22"/>
          <w:highlight w:val="none"/>
        </w:rPr>
        <w:t xml:space="preserve">（北京时间）前递交（上传）响应文件。 </w:t>
      </w:r>
    </w:p>
    <w:p w14:paraId="304F1B49">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一、项目基本情况                                            </w:t>
      </w:r>
    </w:p>
    <w:p w14:paraId="70CBADDE">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项目编号：</w:t>
      </w:r>
      <w:r>
        <w:rPr>
          <w:rFonts w:hint="eastAsia" w:ascii="宋体" w:hAnsi="宋体" w:cs="宋体"/>
          <w:b w:val="0"/>
          <w:bCs/>
          <w:color w:val="auto"/>
          <w:sz w:val="22"/>
          <w:szCs w:val="22"/>
          <w:highlight w:val="none"/>
          <w:lang w:val="en-US" w:eastAsia="zh-CN"/>
        </w:rPr>
        <w:t>ZLQZ-2506086</w:t>
      </w:r>
    </w:p>
    <w:p w14:paraId="07395D36">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
          <w:color w:val="auto"/>
          <w:sz w:val="22"/>
          <w:szCs w:val="22"/>
          <w:highlight w:val="none"/>
        </w:rPr>
        <w:t>项目名称：</w:t>
      </w:r>
      <w:r>
        <w:rPr>
          <w:rFonts w:hint="eastAsia" w:ascii="宋体" w:hAnsi="宋体" w:cs="宋体"/>
          <w:b w:val="0"/>
          <w:bCs/>
          <w:color w:val="auto"/>
          <w:sz w:val="22"/>
          <w:szCs w:val="22"/>
          <w:highlight w:val="none"/>
          <w:lang w:val="en-US" w:eastAsia="zh-CN"/>
        </w:rPr>
        <w:t>2025年</w:t>
      </w:r>
      <w:r>
        <w:rPr>
          <w:rFonts w:hint="eastAsia" w:ascii="宋体" w:hAnsi="宋体" w:cs="宋体"/>
          <w:bCs/>
          <w:color w:val="auto"/>
          <w:sz w:val="22"/>
          <w:szCs w:val="22"/>
          <w:highlight w:val="none"/>
          <w:lang w:eastAsia="zh-CN"/>
        </w:rPr>
        <w:t>衢州市柯城区市场监督管理局食品（餐饮）检测服务项目</w:t>
      </w:r>
    </w:p>
    <w:p w14:paraId="27764294">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default" w:ascii="宋体" w:hAnsi="宋体" w:eastAsia="宋体" w:cs="宋体"/>
          <w:color w:val="auto"/>
          <w:sz w:val="22"/>
          <w:szCs w:val="22"/>
          <w:highlight w:val="none"/>
        </w:rPr>
      </w:pPr>
      <w:r>
        <w:rPr>
          <w:rFonts w:hint="eastAsia" w:ascii="宋体" w:hAnsi="宋体" w:eastAsia="宋体" w:cs="宋体"/>
          <w:b/>
          <w:color w:val="auto"/>
          <w:sz w:val="22"/>
          <w:szCs w:val="22"/>
          <w:highlight w:val="none"/>
        </w:rPr>
        <w:t>预算金额（元）</w:t>
      </w:r>
      <w:r>
        <w:rPr>
          <w:rFonts w:hint="eastAsia" w:ascii="宋体" w:hAnsi="宋体" w:eastAsia="宋体" w:cs="宋体"/>
          <w:color w:val="auto"/>
          <w:sz w:val="22"/>
          <w:szCs w:val="22"/>
          <w:highlight w:val="none"/>
        </w:rPr>
        <w:t>：</w:t>
      </w:r>
      <w:r>
        <w:rPr>
          <w:rFonts w:hint="default" w:ascii="宋体" w:hAnsi="宋体" w:eastAsia="宋体" w:cs="宋体"/>
          <w:color w:val="auto"/>
          <w:sz w:val="22"/>
          <w:szCs w:val="22"/>
          <w:highlight w:val="none"/>
        </w:rPr>
        <w:t>720880</w:t>
      </w:r>
    </w:p>
    <w:p w14:paraId="3B90AE38">
      <w:pPr>
        <w:keepNext w:val="0"/>
        <w:keepLines w:val="0"/>
        <w:pageBreakBefore w:val="0"/>
        <w:kinsoku/>
        <w:wordWrap/>
        <w:overflowPunct/>
        <w:topLinePunct w:val="0"/>
        <w:autoSpaceDE/>
        <w:autoSpaceDN/>
        <w:bidi w:val="0"/>
        <w:spacing w:line="400" w:lineRule="exact"/>
        <w:ind w:firstLine="442"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rPr>
        <w:t>最高限价（百分比）：</w:t>
      </w:r>
      <w:r>
        <w:rPr>
          <w:rFonts w:hint="eastAsia" w:ascii="宋体" w:hAnsi="宋体" w:cs="宋体"/>
          <w:b/>
          <w:bCs/>
          <w:color w:val="auto"/>
          <w:sz w:val="22"/>
          <w:szCs w:val="22"/>
          <w:highlight w:val="none"/>
          <w:lang w:val="en-US" w:eastAsia="zh-CN"/>
        </w:rPr>
        <w:t>以预算金额的100</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作为最高限价。</w:t>
      </w:r>
    </w:p>
    <w:p w14:paraId="4D388363">
      <w:pPr>
        <w:keepNext w:val="0"/>
        <w:keepLines w:val="0"/>
        <w:pageBreakBefore w:val="0"/>
        <w:kinsoku/>
        <w:wordWrap/>
        <w:overflowPunct/>
        <w:topLinePunct w:val="0"/>
        <w:autoSpaceDE/>
        <w:autoSpaceDN/>
        <w:bidi w:val="0"/>
        <w:spacing w:line="400" w:lineRule="exact"/>
        <w:ind w:firstLine="442" w:firstLineChars="200"/>
        <w:textAlignment w:val="auto"/>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采购需求：</w:t>
      </w:r>
      <w:r>
        <w:rPr>
          <w:rFonts w:hint="eastAsia" w:ascii="宋体" w:hAnsi="宋体" w:cs="宋体"/>
          <w:b w:val="0"/>
          <w:bCs/>
          <w:color w:val="auto"/>
          <w:sz w:val="22"/>
          <w:szCs w:val="22"/>
          <w:highlight w:val="none"/>
          <w:lang w:val="en-US" w:eastAsia="zh-CN"/>
        </w:rPr>
        <w:t>2025年</w:t>
      </w:r>
      <w:r>
        <w:rPr>
          <w:rFonts w:hint="eastAsia" w:ascii="宋体" w:hAnsi="宋体" w:cs="宋体"/>
          <w:bCs/>
          <w:color w:val="auto"/>
          <w:sz w:val="22"/>
          <w:szCs w:val="22"/>
          <w:highlight w:val="none"/>
          <w:u w:val="none"/>
          <w:lang w:eastAsia="zh-CN"/>
        </w:rPr>
        <w:t>衢州市柯城区市场监督管理局食品（餐饮）检测服务项目</w:t>
      </w:r>
      <w:r>
        <w:rPr>
          <w:rFonts w:hint="eastAsia" w:ascii="宋体" w:hAnsi="宋体" w:eastAsia="宋体" w:cs="宋体"/>
          <w:bCs/>
          <w:color w:val="auto"/>
          <w:sz w:val="22"/>
          <w:szCs w:val="22"/>
          <w:highlight w:val="none"/>
          <w:u w:val="none"/>
        </w:rPr>
        <w:t>，征集</w:t>
      </w:r>
      <w:r>
        <w:rPr>
          <w:rFonts w:hint="eastAsia" w:ascii="宋体" w:hAnsi="宋体" w:eastAsia="宋体" w:cs="宋体"/>
          <w:bCs/>
          <w:color w:val="auto"/>
          <w:sz w:val="22"/>
          <w:szCs w:val="22"/>
          <w:highlight w:val="none"/>
          <w:u w:val="none"/>
          <w:lang w:eastAsia="zh-CN"/>
        </w:rPr>
        <w:t>检测服务</w:t>
      </w:r>
      <w:r>
        <w:rPr>
          <w:rFonts w:hint="eastAsia" w:ascii="宋体" w:hAnsi="宋体" w:eastAsia="宋体" w:cs="宋体"/>
          <w:color w:val="auto"/>
          <w:sz w:val="22"/>
          <w:szCs w:val="22"/>
          <w:highlight w:val="none"/>
          <w:u w:val="none"/>
          <w:lang w:val="en-US" w:eastAsia="zh-CN"/>
        </w:rPr>
        <w:t>单位3</w:t>
      </w:r>
      <w:r>
        <w:rPr>
          <w:rFonts w:hint="eastAsia" w:ascii="宋体" w:hAnsi="宋体" w:eastAsia="宋体" w:cs="宋体"/>
          <w:bCs/>
          <w:color w:val="auto"/>
          <w:sz w:val="22"/>
          <w:szCs w:val="22"/>
          <w:highlight w:val="none"/>
          <w:u w:val="none"/>
        </w:rPr>
        <w:t>家，详见征集文件第三部分采购需求</w:t>
      </w:r>
      <w:r>
        <w:rPr>
          <w:rFonts w:hint="eastAsia" w:ascii="宋体" w:hAnsi="宋体" w:eastAsia="宋体" w:cs="宋体"/>
          <w:bCs/>
          <w:color w:val="auto"/>
          <w:sz w:val="22"/>
          <w:szCs w:val="22"/>
          <w:highlight w:val="none"/>
        </w:rPr>
        <w:t xml:space="preserve">。 </w:t>
      </w:r>
    </w:p>
    <w:p w14:paraId="00A4719B">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合同履约期限：</w:t>
      </w:r>
      <w:r>
        <w:rPr>
          <w:rFonts w:hint="eastAsia" w:ascii="宋体" w:hAnsi="宋体" w:eastAsia="宋体" w:cs="宋体"/>
          <w:b/>
          <w:color w:val="auto"/>
          <w:sz w:val="22"/>
          <w:szCs w:val="22"/>
          <w:highlight w:val="none"/>
          <w:lang w:val="en-US" w:eastAsia="zh-CN"/>
        </w:rPr>
        <w:t>按征集文件要求</w:t>
      </w:r>
      <w:r>
        <w:rPr>
          <w:rFonts w:hint="eastAsia" w:ascii="宋体" w:hAnsi="宋体" w:eastAsia="宋体" w:cs="宋体"/>
          <w:b/>
          <w:color w:val="auto"/>
          <w:sz w:val="22"/>
          <w:szCs w:val="22"/>
          <w:highlight w:val="none"/>
        </w:rPr>
        <w:t>。</w:t>
      </w:r>
      <w:r>
        <w:rPr>
          <w:rFonts w:hint="eastAsia" w:ascii="宋体" w:hAnsi="宋体" w:eastAsia="宋体" w:cs="宋体"/>
          <w:color w:val="auto"/>
          <w:sz w:val="22"/>
          <w:szCs w:val="22"/>
          <w:highlight w:val="none"/>
        </w:rPr>
        <w:t xml:space="preserve"> </w:t>
      </w:r>
    </w:p>
    <w:p w14:paraId="01F5D38B">
      <w:pPr>
        <w:pStyle w:val="8"/>
        <w:keepNext w:val="0"/>
        <w:keepLines w:val="0"/>
        <w:pageBreakBefore w:val="0"/>
        <w:kinsoku/>
        <w:wordWrap/>
        <w:overflowPunct/>
        <w:topLinePunct w:val="0"/>
        <w:autoSpaceDE/>
        <w:autoSpaceDN/>
        <w:bidi w:val="0"/>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本项目接受联合体投标：</w:t>
      </w:r>
      <w:r>
        <w:rPr>
          <w:rFonts w:hint="eastAsia" w:ascii="MS Gothic" w:hAnsi="MS Gothic" w:eastAsia="宋体" w:cs="宋体"/>
          <w:snapToGrid w:val="0"/>
          <w:color w:val="auto"/>
          <w:kern w:val="0"/>
          <w:sz w:val="22"/>
          <w:szCs w:val="22"/>
          <w:highlight w:val="none"/>
          <w:lang w:val="en-US" w:eastAsia="zh-CN" w:bidi="ar-SA"/>
        </w:rPr>
        <w:sym w:font="Wingdings" w:char="00A8"/>
      </w:r>
      <w:r>
        <w:rPr>
          <w:rFonts w:hint="default" w:hAnsi="宋体" w:cs="宋体"/>
          <w:b/>
          <w:color w:val="auto"/>
          <w:sz w:val="22"/>
          <w:szCs w:val="22"/>
          <w:highlight w:val="none"/>
        </w:rPr>
        <w:t>是</w:t>
      </w:r>
      <w:r>
        <w:rPr>
          <w:rFonts w:hint="eastAsia" w:ascii="宋体" w:hAnsi="宋体" w:eastAsia="宋体" w:cs="宋体"/>
          <w:b/>
          <w:color w:val="auto"/>
          <w:sz w:val="22"/>
          <w:szCs w:val="22"/>
          <w:highlight w:val="none"/>
        </w:rPr>
        <w:t>，</w:t>
      </w:r>
      <w:r>
        <w:rPr>
          <w:rFonts w:hint="eastAsia" w:ascii="MS Gothic" w:hAnsi="MS Gothic" w:eastAsia="宋体" w:cs="宋体"/>
          <w:snapToGrid w:val="0"/>
          <w:color w:val="auto"/>
          <w:kern w:val="0"/>
          <w:sz w:val="22"/>
          <w:szCs w:val="22"/>
          <w:highlight w:val="none"/>
          <w:lang w:val="en-US" w:eastAsia="zh-CN" w:bidi="ar-SA"/>
        </w:rPr>
        <w:sym w:font="Wingdings" w:char="00FE"/>
      </w:r>
      <w:r>
        <w:rPr>
          <w:rFonts w:hint="eastAsia" w:ascii="宋体" w:hAnsi="宋体" w:eastAsia="宋体" w:cs="宋体"/>
          <w:b/>
          <w:color w:val="auto"/>
          <w:sz w:val="22"/>
          <w:szCs w:val="22"/>
          <w:highlight w:val="none"/>
        </w:rPr>
        <w:t>否</w:t>
      </w:r>
      <w:r>
        <w:rPr>
          <w:rFonts w:hint="eastAsia" w:ascii="宋体" w:hAnsi="宋体" w:eastAsia="宋体" w:cs="宋体"/>
          <w:color w:val="auto"/>
          <w:kern w:val="0"/>
          <w:sz w:val="22"/>
          <w:szCs w:val="22"/>
          <w:highlight w:val="none"/>
        </w:rPr>
        <w:t>。</w:t>
      </w:r>
    </w:p>
    <w:p w14:paraId="07B193CD">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二、申请人的资格要求：</w:t>
      </w:r>
    </w:p>
    <w:p w14:paraId="7BF52106">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28"/>
          <w:sz w:val="22"/>
          <w:szCs w:val="22"/>
          <w:highlight w:val="none"/>
        </w:rPr>
        <w:t>1. 满足《中华人民共和国政府采购法》第二十二条规定；</w:t>
      </w:r>
    </w:p>
    <w:p w14:paraId="50292D8C">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28"/>
          <w:sz w:val="22"/>
          <w:szCs w:val="22"/>
          <w:highlight w:val="none"/>
          <w:lang w:val="en-US" w:eastAsia="zh-CN"/>
        </w:rPr>
        <w:t>2.</w:t>
      </w:r>
      <w:r>
        <w:rPr>
          <w:rFonts w:hint="eastAsia" w:ascii="宋体" w:hAnsi="宋体" w:eastAsia="宋体" w:cs="宋体"/>
          <w:snapToGrid w:val="0"/>
          <w:color w:val="auto"/>
          <w:kern w:val="28"/>
          <w:sz w:val="22"/>
          <w:szCs w:val="22"/>
          <w:highlight w:val="none"/>
        </w:rPr>
        <w:t>未被“信用中国”（www.creditchina.gov.cn)、中国政府采购网（www.ccgp.gov.cn）列入失信被执行人、重大税收违法案件当事人名单、政府采购严重违法失信行为记录名单；</w:t>
      </w:r>
    </w:p>
    <w:p w14:paraId="5805596A">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28"/>
          <w:sz w:val="22"/>
          <w:szCs w:val="22"/>
          <w:highlight w:val="none"/>
          <w:lang w:val="en-US" w:eastAsia="zh-CN"/>
        </w:rPr>
        <w:t>3</w:t>
      </w:r>
      <w:r>
        <w:rPr>
          <w:rFonts w:hint="eastAsia" w:ascii="宋体" w:hAnsi="宋体" w:eastAsia="宋体" w:cs="宋体"/>
          <w:snapToGrid w:val="0"/>
          <w:color w:val="auto"/>
          <w:kern w:val="28"/>
          <w:sz w:val="22"/>
          <w:szCs w:val="22"/>
          <w:highlight w:val="none"/>
        </w:rPr>
        <w:t>.落实政府采购政策需满足的资格要求：</w:t>
      </w:r>
    </w:p>
    <w:p w14:paraId="6F2BF33B">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Wingdings" w:hAnsi="Wingdings" w:eastAsia="宋体" w:cs="宋体"/>
          <w:snapToGrid w:val="0"/>
          <w:color w:val="auto"/>
          <w:kern w:val="0"/>
          <w:sz w:val="22"/>
          <w:szCs w:val="22"/>
          <w:highlight w:val="none"/>
          <w:lang w:val="en-US" w:eastAsia="zh-CN" w:bidi="ar-SA"/>
        </w:rPr>
        <w:t>þ</w:t>
      </w:r>
      <w:r>
        <w:rPr>
          <w:rFonts w:hint="eastAsia" w:ascii="宋体" w:hAnsi="宋体" w:eastAsia="宋体" w:cs="宋体"/>
          <w:color w:val="auto"/>
          <w:sz w:val="22"/>
          <w:szCs w:val="22"/>
          <w:highlight w:val="none"/>
        </w:rPr>
        <w:t>无</w:t>
      </w:r>
    </w:p>
    <w:p w14:paraId="1BB16B3A">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rPr>
        <w:t>专</w:t>
      </w:r>
      <w:r>
        <w:rPr>
          <w:rFonts w:hint="eastAsia" w:ascii="宋体" w:hAnsi="宋体" w:eastAsia="宋体" w:cs="宋体"/>
          <w:color w:val="auto"/>
          <w:sz w:val="22"/>
          <w:szCs w:val="22"/>
          <w:highlight w:val="none"/>
        </w:rPr>
        <w:t>门面向中小企业</w:t>
      </w:r>
    </w:p>
    <w:p w14:paraId="13B8F265">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货物全部由符合政策要求的中小企业制造，提供中小企业声明函；</w:t>
      </w:r>
    </w:p>
    <w:p w14:paraId="3E804377">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货物全部由符合政策要求的小微企业制造，提供中小企业声明函；</w:t>
      </w:r>
    </w:p>
    <w:p w14:paraId="68420660">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w:t>
      </w:r>
      <w:r>
        <w:rPr>
          <w:rFonts w:hint="eastAsia" w:ascii="宋体" w:hAnsi="宋体" w:eastAsia="宋体" w:cs="宋体"/>
          <w:color w:val="auto"/>
          <w:sz w:val="22"/>
          <w:szCs w:val="22"/>
          <w:highlight w:val="none"/>
        </w:rPr>
        <w:t>服务全部由符合政策要求的中小企业承接，提供中小企业声明函；</w:t>
      </w:r>
    </w:p>
    <w:p w14:paraId="0EF7D796">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w:t>
      </w:r>
      <w:r>
        <w:rPr>
          <w:rFonts w:hint="eastAsia" w:ascii="宋体" w:hAnsi="宋体" w:eastAsia="宋体" w:cs="宋体"/>
          <w:color w:val="auto"/>
          <w:sz w:val="22"/>
          <w:szCs w:val="22"/>
          <w:highlight w:val="none"/>
        </w:rPr>
        <w:t>服务全部由符合政策要求的小微企业承接，提供中小企业声明函；</w:t>
      </w:r>
    </w:p>
    <w:p w14:paraId="2DF058F3">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w:t>
      </w:r>
      <w:r>
        <w:rPr>
          <w:rFonts w:hint="eastAsia" w:ascii="宋体" w:hAnsi="宋体" w:eastAsia="宋体" w:cs="宋体"/>
          <w:color w:val="auto"/>
          <w:sz w:val="22"/>
          <w:szCs w:val="22"/>
          <w:highlight w:val="none"/>
        </w:rPr>
        <w:t>要求以联合体形式参加，提供联合协议和中小企业声明函，联合协议中中小企业合同金额应当达到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%，小微企业合同金额应当达到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pacing w:val="8"/>
          <w:kern w:val="0"/>
          <w:sz w:val="22"/>
          <w:szCs w:val="22"/>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2"/>
          <w:szCs w:val="22"/>
          <w:highlight w:val="none"/>
        </w:rPr>
        <w:t>；</w:t>
      </w:r>
    </w:p>
    <w:p w14:paraId="45B5A8B7">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w:t>
      </w:r>
      <w:r>
        <w:rPr>
          <w:rFonts w:hint="eastAsia" w:ascii="宋体" w:hAnsi="宋体" w:eastAsia="宋体" w:cs="宋体"/>
          <w:color w:val="auto"/>
          <w:sz w:val="22"/>
          <w:szCs w:val="22"/>
          <w:highlight w:val="none"/>
        </w:rPr>
        <w:t>要求合同分包，提供分包意向协议和中小企业声明函，分包意向协议中中小企业合同金额应当达到达到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，小微企业合同金额应当达到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w:t>
      </w:r>
      <w:r>
        <w:rPr>
          <w:rFonts w:hint="eastAsia" w:ascii="宋体" w:hAnsi="宋体" w:eastAsia="宋体" w:cs="宋体"/>
          <w:color w:val="auto"/>
          <w:spacing w:val="8"/>
          <w:kern w:val="0"/>
          <w:sz w:val="22"/>
          <w:szCs w:val="22"/>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2"/>
          <w:szCs w:val="22"/>
          <w:highlight w:val="none"/>
        </w:rPr>
        <w:t>；</w:t>
      </w:r>
    </w:p>
    <w:p w14:paraId="2FDE4B08">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.本项目的特定资格要求：</w:t>
      </w:r>
      <w:r>
        <w:rPr>
          <w:rFonts w:hint="eastAsia" w:ascii="宋体" w:hAnsi="宋体" w:cs="宋体"/>
          <w:color w:val="auto"/>
          <w:sz w:val="22"/>
          <w:szCs w:val="22"/>
          <w:highlight w:val="none"/>
          <w:lang w:val="en-US" w:eastAsia="zh-CN"/>
        </w:rPr>
        <w:t>无</w:t>
      </w:r>
    </w:p>
    <w:p w14:paraId="0047C129">
      <w:pPr>
        <w:keepNext w:val="0"/>
        <w:keepLines w:val="0"/>
        <w:pageBreakBefore w:val="0"/>
        <w:kinsoku/>
        <w:wordWrap/>
        <w:overflowPunct/>
        <w:topLinePunct w:val="0"/>
        <w:autoSpaceDE/>
        <w:autoSpaceDN/>
        <w:bidi w:val="0"/>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单位负责人为同一人或者存在直接控股、管理关系的不同供应商，不得参加同一合同项下的政府采购活动。</w:t>
      </w:r>
    </w:p>
    <w:p w14:paraId="37BE2655">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三、获取征集文件 </w:t>
      </w:r>
    </w:p>
    <w:p w14:paraId="1E0B3964">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时间：</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lang w:val="en-US" w:eastAsia="zh-CN"/>
        </w:rPr>
        <w:t>2025年</w:t>
      </w:r>
      <w:r>
        <w:rPr>
          <w:rFonts w:hint="eastAsia" w:ascii="宋体" w:hAnsi="宋体" w:cs="宋体"/>
          <w:color w:val="auto"/>
          <w:sz w:val="22"/>
          <w:szCs w:val="22"/>
          <w:highlight w:val="none"/>
          <w:u w:val="single"/>
          <w:lang w:val="en-US" w:eastAsia="zh-CN"/>
        </w:rPr>
        <w:t>7</w:t>
      </w:r>
      <w:r>
        <w:rPr>
          <w:rFonts w:hint="eastAsia" w:ascii="宋体" w:hAnsi="宋体" w:eastAsia="宋体" w:cs="宋体"/>
          <w:color w:val="auto"/>
          <w:sz w:val="22"/>
          <w:szCs w:val="22"/>
          <w:highlight w:val="none"/>
          <w:u w:val="single"/>
        </w:rPr>
        <w:t>月</w:t>
      </w:r>
      <w:r>
        <w:rPr>
          <w:rFonts w:hint="eastAsia" w:ascii="宋体" w:hAnsi="宋体" w:cs="宋体"/>
          <w:color w:val="auto"/>
          <w:sz w:val="22"/>
          <w:szCs w:val="22"/>
          <w:highlight w:val="none"/>
          <w:u w:val="single"/>
          <w:lang w:val="en-US" w:eastAsia="zh-CN"/>
        </w:rPr>
        <w:t>22</w:t>
      </w:r>
      <w:r>
        <w:rPr>
          <w:rFonts w:hint="eastAsia" w:ascii="宋体" w:hAnsi="宋体" w:eastAsia="宋体" w:cs="宋体"/>
          <w:color w:val="auto"/>
          <w:sz w:val="22"/>
          <w:szCs w:val="22"/>
          <w:highlight w:val="none"/>
          <w:u w:val="single"/>
        </w:rPr>
        <w:t xml:space="preserve">日 </w:t>
      </w:r>
      <w:r>
        <w:rPr>
          <w:rFonts w:hint="eastAsia" w:ascii="宋体" w:hAnsi="宋体" w:eastAsia="宋体" w:cs="宋体"/>
          <w:color w:val="auto"/>
          <w:sz w:val="22"/>
          <w:szCs w:val="22"/>
          <w:highlight w:val="none"/>
        </w:rPr>
        <w:t>，每天上午00:00至12:00 ，下午12:00至23:59（北京时间，线上获取法定节假日均可，线下获取文件法定节假日除外）</w:t>
      </w:r>
    </w:p>
    <w:p w14:paraId="67B2AACE">
      <w:pPr>
        <w:keepNext w:val="0"/>
        <w:keepLines w:val="0"/>
        <w:pageBreakBefore w:val="0"/>
        <w:kinsoku/>
        <w:wordWrap/>
        <w:overflowPunct/>
        <w:topLinePunct w:val="0"/>
        <w:autoSpaceDE/>
        <w:autoSpaceDN/>
        <w:bidi w:val="0"/>
        <w:spacing w:line="400" w:lineRule="exact"/>
        <w:ind w:firstLine="442"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color w:val="auto"/>
          <w:sz w:val="22"/>
          <w:szCs w:val="22"/>
          <w:highlight w:val="none"/>
        </w:rPr>
        <w:t>地点（网址）：</w:t>
      </w:r>
      <w:r>
        <w:rPr>
          <w:rFonts w:hint="eastAsia" w:ascii="宋体" w:hAnsi="宋体" w:eastAsia="宋体" w:cs="宋体"/>
          <w:b w:val="0"/>
          <w:bCs/>
          <w:color w:val="auto"/>
          <w:sz w:val="22"/>
          <w:szCs w:val="22"/>
          <w:highlight w:val="none"/>
        </w:rPr>
        <w:t xml:space="preserve">浙江政府采购网（http://zfcg.czt.zj.gov.cn/） </w:t>
      </w:r>
    </w:p>
    <w:p w14:paraId="7E94A80F">
      <w:pPr>
        <w:keepNext w:val="0"/>
        <w:keepLines w:val="0"/>
        <w:pageBreakBefore w:val="0"/>
        <w:kinsoku/>
        <w:wordWrap/>
        <w:overflowPunct/>
        <w:topLinePunct w:val="0"/>
        <w:autoSpaceDE/>
        <w:autoSpaceDN/>
        <w:bidi w:val="0"/>
        <w:spacing w:line="40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方式：</w:t>
      </w:r>
      <w:r>
        <w:rPr>
          <w:rFonts w:hint="eastAsia" w:ascii="宋体" w:hAnsi="宋体" w:eastAsia="宋体" w:cs="宋体"/>
          <w:b w:val="0"/>
          <w:bCs/>
          <w:color w:val="auto"/>
          <w:sz w:val="22"/>
          <w:szCs w:val="22"/>
          <w:highlight w:val="none"/>
        </w:rPr>
        <w:t xml:space="preserve">本项目征集文件采用网上下载方式发布，不提供征集文件纸质版。符合供应商资格条件的供应商请在上述网站采购公告栏目中获取征集文件。本项目无须报名，直接在政府采购云平台上参与电子响应。 </w:t>
      </w:r>
    </w:p>
    <w:p w14:paraId="77D90E57">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售价（元）：</w:t>
      </w:r>
      <w:r>
        <w:rPr>
          <w:rFonts w:hint="eastAsia" w:ascii="宋体" w:hAnsi="宋体" w:eastAsia="宋体" w:cs="宋体"/>
          <w:color w:val="auto"/>
          <w:sz w:val="22"/>
          <w:szCs w:val="22"/>
          <w:highlight w:val="none"/>
        </w:rPr>
        <w:t xml:space="preserve">0 </w:t>
      </w:r>
    </w:p>
    <w:p w14:paraId="7B10A094">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四、提交响应文件截止时间、开标时间和地点</w:t>
      </w:r>
    </w:p>
    <w:p w14:paraId="7EA118BF">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color w:val="auto"/>
          <w:sz w:val="22"/>
          <w:szCs w:val="22"/>
          <w:highlight w:val="none"/>
        </w:rPr>
        <w:t>提交响应文件截止时间：</w:t>
      </w:r>
      <w:r>
        <w:rPr>
          <w:rFonts w:hint="eastAsia" w:ascii="宋体" w:hAnsi="宋体" w:eastAsia="宋体" w:cs="宋体"/>
          <w:bCs/>
          <w:color w:val="auto"/>
          <w:sz w:val="22"/>
          <w:szCs w:val="22"/>
          <w:highlight w:val="none"/>
          <w:u w:val="single"/>
          <w:lang w:val="en-US" w:eastAsia="zh-CN"/>
        </w:rPr>
        <w:t xml:space="preserve"> 2025年</w:t>
      </w:r>
      <w:r>
        <w:rPr>
          <w:rFonts w:hint="eastAsia" w:ascii="宋体" w:hAnsi="宋体" w:cs="宋体"/>
          <w:bCs/>
          <w:color w:val="auto"/>
          <w:sz w:val="22"/>
          <w:szCs w:val="22"/>
          <w:highlight w:val="none"/>
          <w:u w:val="single"/>
          <w:lang w:val="en-US" w:eastAsia="zh-CN"/>
        </w:rPr>
        <w:t>7</w:t>
      </w:r>
      <w:r>
        <w:rPr>
          <w:rFonts w:hint="eastAsia" w:ascii="宋体" w:hAnsi="宋体" w:eastAsia="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22</w:t>
      </w:r>
      <w:r>
        <w:rPr>
          <w:rFonts w:hint="eastAsia" w:ascii="宋体" w:hAnsi="宋体" w:eastAsia="宋体" w:cs="宋体"/>
          <w:color w:val="auto"/>
          <w:sz w:val="22"/>
          <w:szCs w:val="22"/>
          <w:highlight w:val="none"/>
          <w:u w:val="single"/>
        </w:rPr>
        <w:t>日</w:t>
      </w:r>
      <w:r>
        <w:rPr>
          <w:rFonts w:hint="eastAsia" w:ascii="宋体" w:hAnsi="宋体" w:cs="宋体"/>
          <w:color w:val="auto"/>
          <w:sz w:val="22"/>
          <w:szCs w:val="22"/>
          <w:highlight w:val="none"/>
          <w:u w:val="single"/>
          <w:lang w:val="en-US" w:eastAsia="zh-CN"/>
        </w:rPr>
        <w:t>9</w:t>
      </w:r>
      <w:r>
        <w:rPr>
          <w:rFonts w:hint="eastAsia" w:ascii="宋体" w:hAnsi="宋体" w:eastAsia="宋体" w:cs="宋体"/>
          <w:color w:val="auto"/>
          <w:sz w:val="22"/>
          <w:szCs w:val="22"/>
          <w:highlight w:val="none"/>
          <w:u w:val="single"/>
        </w:rPr>
        <w:t>点</w:t>
      </w:r>
      <w:r>
        <w:rPr>
          <w:rFonts w:hint="eastAsia" w:ascii="宋体" w:hAnsi="宋体" w:cs="宋体"/>
          <w:color w:val="auto"/>
          <w:sz w:val="22"/>
          <w:szCs w:val="22"/>
          <w:highlight w:val="none"/>
          <w:u w:val="single"/>
          <w:lang w:val="en-US" w:eastAsia="zh-CN"/>
        </w:rPr>
        <w:t>30</w:t>
      </w:r>
      <w:r>
        <w:rPr>
          <w:rFonts w:hint="eastAsia" w:ascii="宋体" w:hAnsi="宋体" w:eastAsia="宋体" w:cs="宋体"/>
          <w:color w:val="auto"/>
          <w:sz w:val="22"/>
          <w:szCs w:val="22"/>
          <w:highlight w:val="none"/>
          <w:u w:val="single"/>
        </w:rPr>
        <w:t>分</w:t>
      </w:r>
      <w:r>
        <w:rPr>
          <w:rFonts w:hint="eastAsia" w:ascii="宋体" w:hAnsi="宋体" w:cs="宋体"/>
          <w:color w:val="auto"/>
          <w:sz w:val="22"/>
          <w:szCs w:val="22"/>
          <w:highlight w:val="none"/>
          <w:u w:val="single"/>
          <w:lang w:val="en-US" w:eastAsia="zh-CN"/>
        </w:rPr>
        <w:t>00</w:t>
      </w:r>
      <w:r>
        <w:rPr>
          <w:rFonts w:hint="eastAsia" w:ascii="宋体" w:hAnsi="宋体" w:eastAsia="宋体" w:cs="宋体"/>
          <w:color w:val="auto"/>
          <w:sz w:val="22"/>
          <w:szCs w:val="22"/>
          <w:highlight w:val="none"/>
          <w:u w:val="single"/>
        </w:rPr>
        <w:t>秒</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1BA7425B">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投标地点（网址）：</w:t>
      </w:r>
      <w:r>
        <w:rPr>
          <w:rFonts w:hint="eastAsia" w:ascii="宋体" w:hAnsi="宋体" w:eastAsia="宋体" w:cs="宋体"/>
          <w:color w:val="auto"/>
          <w:sz w:val="22"/>
          <w:szCs w:val="22"/>
          <w:highlight w:val="none"/>
        </w:rPr>
        <w:t xml:space="preserve">政采云平台（https://www.zcygov.cn/） </w:t>
      </w:r>
    </w:p>
    <w:p w14:paraId="583F6000">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color w:val="auto"/>
          <w:sz w:val="22"/>
          <w:szCs w:val="22"/>
          <w:highlight w:val="none"/>
        </w:rPr>
        <w:t>开标时间：</w:t>
      </w:r>
      <w:r>
        <w:rPr>
          <w:rFonts w:hint="eastAsia" w:ascii="宋体" w:hAnsi="宋体" w:eastAsia="宋体" w:cs="宋体"/>
          <w:bCs/>
          <w:color w:val="auto"/>
          <w:sz w:val="22"/>
          <w:szCs w:val="22"/>
          <w:highlight w:val="none"/>
          <w:u w:val="single"/>
          <w:lang w:val="en-US" w:eastAsia="zh-CN"/>
        </w:rPr>
        <w:t xml:space="preserve"> 2025年</w:t>
      </w:r>
      <w:r>
        <w:rPr>
          <w:rFonts w:hint="eastAsia" w:ascii="宋体" w:hAnsi="宋体" w:cs="宋体"/>
          <w:bCs/>
          <w:color w:val="auto"/>
          <w:sz w:val="22"/>
          <w:szCs w:val="22"/>
          <w:highlight w:val="none"/>
          <w:u w:val="single"/>
          <w:lang w:val="en-US" w:eastAsia="zh-CN"/>
        </w:rPr>
        <w:t>7</w:t>
      </w:r>
      <w:r>
        <w:rPr>
          <w:rFonts w:hint="eastAsia" w:ascii="宋体" w:hAnsi="宋体" w:eastAsia="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22</w:t>
      </w:r>
      <w:r>
        <w:rPr>
          <w:rFonts w:hint="eastAsia" w:ascii="宋体" w:hAnsi="宋体" w:eastAsia="宋体" w:cs="宋体"/>
          <w:color w:val="auto"/>
          <w:sz w:val="22"/>
          <w:szCs w:val="22"/>
          <w:highlight w:val="none"/>
          <w:u w:val="single"/>
        </w:rPr>
        <w:t>日</w:t>
      </w:r>
      <w:r>
        <w:rPr>
          <w:rFonts w:hint="eastAsia" w:ascii="宋体" w:hAnsi="宋体" w:cs="宋体"/>
          <w:color w:val="auto"/>
          <w:sz w:val="22"/>
          <w:szCs w:val="22"/>
          <w:highlight w:val="none"/>
          <w:u w:val="single"/>
          <w:lang w:val="en-US" w:eastAsia="zh-CN"/>
        </w:rPr>
        <w:t>9</w:t>
      </w:r>
      <w:r>
        <w:rPr>
          <w:rFonts w:hint="eastAsia" w:ascii="宋体" w:hAnsi="宋体" w:eastAsia="宋体" w:cs="宋体"/>
          <w:color w:val="auto"/>
          <w:sz w:val="22"/>
          <w:szCs w:val="22"/>
          <w:highlight w:val="none"/>
          <w:u w:val="single"/>
        </w:rPr>
        <w:t>点</w:t>
      </w:r>
      <w:r>
        <w:rPr>
          <w:rFonts w:hint="eastAsia" w:ascii="宋体" w:hAnsi="宋体" w:cs="宋体"/>
          <w:color w:val="auto"/>
          <w:sz w:val="22"/>
          <w:szCs w:val="22"/>
          <w:highlight w:val="none"/>
          <w:u w:val="single"/>
          <w:lang w:val="en-US" w:eastAsia="zh-CN"/>
        </w:rPr>
        <w:t>30</w:t>
      </w:r>
      <w:r>
        <w:rPr>
          <w:rFonts w:hint="eastAsia" w:ascii="宋体" w:hAnsi="宋体" w:eastAsia="宋体" w:cs="宋体"/>
          <w:color w:val="auto"/>
          <w:sz w:val="22"/>
          <w:szCs w:val="22"/>
          <w:highlight w:val="none"/>
          <w:u w:val="single"/>
        </w:rPr>
        <w:t>分</w:t>
      </w:r>
      <w:r>
        <w:rPr>
          <w:rFonts w:hint="eastAsia" w:ascii="宋体" w:hAnsi="宋体" w:cs="宋体"/>
          <w:color w:val="auto"/>
          <w:sz w:val="22"/>
          <w:szCs w:val="22"/>
          <w:highlight w:val="none"/>
          <w:u w:val="single"/>
          <w:lang w:val="en-US" w:eastAsia="zh-CN"/>
        </w:rPr>
        <w:t>00</w:t>
      </w:r>
      <w:r>
        <w:rPr>
          <w:rFonts w:hint="eastAsia" w:ascii="宋体" w:hAnsi="宋体" w:eastAsia="宋体" w:cs="宋体"/>
          <w:color w:val="auto"/>
          <w:sz w:val="22"/>
          <w:szCs w:val="22"/>
          <w:highlight w:val="none"/>
          <w:u w:val="single"/>
        </w:rPr>
        <w:t>秒</w:t>
      </w:r>
      <w:bookmarkStart w:id="374" w:name="_GoBack"/>
      <w:bookmarkEnd w:id="374"/>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3021D6CA">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开标地点（网址）：</w:t>
      </w:r>
      <w:r>
        <w:rPr>
          <w:rFonts w:hint="eastAsia" w:ascii="宋体" w:hAnsi="宋体" w:eastAsia="宋体" w:cs="宋体"/>
          <w:color w:val="auto"/>
          <w:sz w:val="22"/>
          <w:szCs w:val="22"/>
          <w:highlight w:val="none"/>
        </w:rPr>
        <w:t xml:space="preserve"> 政采云平台（https://www.zcygov.cn/）</w:t>
      </w:r>
    </w:p>
    <w:p w14:paraId="62B5FB4A">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五、公告期限 </w:t>
      </w:r>
    </w:p>
    <w:p w14:paraId="1170A30B">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自本公告发布之日起5个工作日。</w:t>
      </w:r>
    </w:p>
    <w:p w14:paraId="605D04FD">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六、其他补充事宜</w:t>
      </w:r>
    </w:p>
    <w:p w14:paraId="33495AB9">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认为征集文件使自己的权益受到损害的，可以自获取征集文件之日或者征集文件公告期限届满之日（公告期限届满后获取征集文件的，以公告期限届满之日为准）起7个工作日内，以书面形式向征集人和采购代理机构提出质疑。质疑供应商对征集人、采购代理机构的答复不满意或者征集人、采购代理机构未在规定的时间内作出答复的，可以在答复期满后十五个工作日内向同级政府采购监督管理部门投诉。质疑函范本、投诉书范本请到浙江政府采购网下载专区下载。</w:t>
      </w:r>
    </w:p>
    <w:p w14:paraId="67601D1F">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2.其他事项：（1）需要落实的政府采购政策：包括节约资源、保护环境、支持创新、促进中小企业发展等。详见征集文件的第二部分总则。（2）电子招投标的说明： 1）电子招投标：本项目以数据电文形式，依托“政府采购云平台（www.zcygov.cn）”进行招投标活动，不接受纸质响应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征集文件的获取：使用账号登录或者使用CA登录政采云平台；进入“项目采购”应用，在获取采购文件菜单中选择项目，获取征集文件。4）响应文件的制作：在“政采云电子交易客户端”中完成“填写基本信息”、“导入响应文件”、“标书关联”、“标书检查”、“电子签名”、“生成电子标书”等操作。5）采购人、采购机构将依托政采云平台完成本项目的电子交易活动，平台不接受未按上述方式获取征集文件的供应商进行投标活动； 6）对未按上述方式获取征集文件的供应商对该文件提出的质疑，采购人或采购代理机构将不予处理；7）不提供征集文件纸质版。8）响应文件的传输递交：投标人在响应截止时间前将加密的响应文件上传至政府采购云平台，还可以在响应截止时间前直接提交或者以邮政快递方式递交备份响应文件1份。备份响应文件的制作、存储、密封详见征集文件第二部分第15点—“备份响应文件”。9）响应文件的解密：投标人按照平台提示和征集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投标人仅提交备份响应文件，没有在电子交易平台传输递交响应文件的，投标无效。10）具体操作指南：详见政采云平台“服务中心-帮助文档-项目采购-操作流程-电子招投标-政府采购项目电子交易管理操作指南-供应商”。</w:t>
      </w:r>
    </w:p>
    <w:p w14:paraId="040E6660">
      <w:pPr>
        <w:keepNext w:val="0"/>
        <w:keepLines w:val="0"/>
        <w:pageBreakBefore w:val="0"/>
        <w:kinsoku/>
        <w:wordWrap/>
        <w:overflowPunct/>
        <w:topLinePunct w:val="0"/>
        <w:autoSpaceDE/>
        <w:autoSpaceDN/>
        <w:bidi w:val="0"/>
        <w:adjustRightInd w:val="0"/>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七、对本次征集提出询问、质疑、投诉，请按以下方式联系</w:t>
      </w:r>
    </w:p>
    <w:p w14:paraId="40A28775">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1.征集人信息</w:t>
      </w:r>
    </w:p>
    <w:p w14:paraId="6EB6E721">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lang w:eastAsia="zh-CN"/>
        </w:rPr>
        <w:t>衢州市柯城区市场监督管理局</w:t>
      </w:r>
    </w:p>
    <w:p w14:paraId="437607E0">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    址：衢州市柯城区</w:t>
      </w:r>
      <w:r>
        <w:rPr>
          <w:rFonts w:hint="eastAsia" w:ascii="宋体" w:hAnsi="宋体" w:eastAsia="宋体" w:cs="宋体"/>
          <w:color w:val="auto"/>
          <w:sz w:val="22"/>
          <w:szCs w:val="22"/>
          <w:highlight w:val="none"/>
          <w:lang w:eastAsia="zh-CN"/>
        </w:rPr>
        <w:t>白云街道</w:t>
      </w:r>
      <w:r>
        <w:rPr>
          <w:rFonts w:hint="eastAsia" w:ascii="宋体" w:hAnsi="宋体" w:eastAsia="宋体" w:cs="宋体"/>
          <w:color w:val="auto"/>
          <w:sz w:val="22"/>
          <w:szCs w:val="22"/>
          <w:highlight w:val="none"/>
        </w:rPr>
        <w:t xml:space="preserve">盈川东路166号 </w:t>
      </w:r>
    </w:p>
    <w:p w14:paraId="5633F105">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传    真：/ </w:t>
      </w:r>
    </w:p>
    <w:p w14:paraId="4667E831">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项目联系人（询问）：</w:t>
      </w:r>
      <w:r>
        <w:rPr>
          <w:rFonts w:hint="eastAsia" w:ascii="宋体" w:hAnsi="宋体" w:eastAsia="宋体" w:cs="宋体"/>
          <w:color w:val="auto"/>
          <w:sz w:val="22"/>
          <w:szCs w:val="22"/>
          <w:highlight w:val="none"/>
          <w:lang w:eastAsia="zh-CN"/>
        </w:rPr>
        <w:t>付女士</w:t>
      </w:r>
    </w:p>
    <w:p w14:paraId="77BE082B">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项目联系方式（询问）：</w:t>
      </w:r>
      <w:r>
        <w:rPr>
          <w:rFonts w:hint="eastAsia" w:ascii="宋体" w:hAnsi="宋体" w:eastAsia="宋体" w:cs="宋体"/>
          <w:color w:val="auto"/>
          <w:sz w:val="22"/>
          <w:szCs w:val="22"/>
          <w:highlight w:val="none"/>
          <w:lang w:val="en-US" w:eastAsia="zh-CN"/>
        </w:rPr>
        <w:t xml:space="preserve">0570-8350556  </w:t>
      </w:r>
    </w:p>
    <w:p w14:paraId="4271CE41">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质疑联系人：刘先生</w:t>
      </w:r>
    </w:p>
    <w:p w14:paraId="2FBB1400">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质疑联系方式：0570-8350998</w:t>
      </w:r>
    </w:p>
    <w:p w14:paraId="65B5918A">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2.采购代理机构信息            </w:t>
      </w:r>
    </w:p>
    <w:p w14:paraId="213DCF4E">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lang w:eastAsia="zh-CN"/>
        </w:rPr>
        <w:t>浙江中兰工程项目管理有限公司</w:t>
      </w:r>
      <w:r>
        <w:rPr>
          <w:rFonts w:hint="eastAsia" w:ascii="宋体" w:hAnsi="宋体" w:eastAsia="宋体" w:cs="宋体"/>
          <w:color w:val="auto"/>
          <w:sz w:val="22"/>
          <w:szCs w:val="22"/>
          <w:highlight w:val="none"/>
        </w:rPr>
        <w:t xml:space="preserve"> </w:t>
      </w:r>
    </w:p>
    <w:p w14:paraId="5D716C9D">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 xml:space="preserve">衢州市衢江区港汇商务广场2号楼6楼  </w:t>
      </w:r>
    </w:p>
    <w:p w14:paraId="47C6E7DA">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传    真：/ </w:t>
      </w:r>
    </w:p>
    <w:p w14:paraId="620796ED">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项目联系人（询问）：</w:t>
      </w:r>
      <w:r>
        <w:rPr>
          <w:rFonts w:hint="eastAsia" w:ascii="宋体" w:hAnsi="宋体" w:cs="宋体"/>
          <w:color w:val="auto"/>
          <w:sz w:val="22"/>
          <w:szCs w:val="22"/>
          <w:highlight w:val="none"/>
          <w:lang w:val="en-US" w:eastAsia="zh-CN"/>
        </w:rPr>
        <w:t>郑</w:t>
      </w:r>
      <w:r>
        <w:rPr>
          <w:rFonts w:hint="eastAsia" w:ascii="宋体" w:hAnsi="宋体" w:eastAsia="宋体" w:cs="宋体"/>
          <w:color w:val="auto"/>
          <w:sz w:val="22"/>
          <w:szCs w:val="22"/>
          <w:highlight w:val="none"/>
          <w:lang w:eastAsia="zh-CN"/>
        </w:rPr>
        <w:t>女士</w:t>
      </w:r>
      <w:r>
        <w:rPr>
          <w:rFonts w:hint="eastAsia" w:ascii="宋体" w:hAnsi="宋体" w:eastAsia="宋体" w:cs="宋体"/>
          <w:color w:val="auto"/>
          <w:sz w:val="22"/>
          <w:szCs w:val="22"/>
          <w:highlight w:val="none"/>
        </w:rPr>
        <w:t xml:space="preserve"> </w:t>
      </w:r>
    </w:p>
    <w:p w14:paraId="72B905E1">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项目联系方式（询问）：0570-</w:t>
      </w:r>
      <w:r>
        <w:rPr>
          <w:rFonts w:hint="eastAsia" w:ascii="宋体" w:hAnsi="宋体" w:eastAsia="宋体" w:cs="宋体"/>
          <w:color w:val="auto"/>
          <w:sz w:val="22"/>
          <w:szCs w:val="22"/>
          <w:highlight w:val="none"/>
          <w:lang w:eastAsia="zh-CN"/>
        </w:rPr>
        <w:t>3380568</w:t>
      </w:r>
    </w:p>
    <w:p w14:paraId="10587531">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质疑联系人：</w:t>
      </w:r>
      <w:r>
        <w:rPr>
          <w:rFonts w:hint="eastAsia" w:ascii="宋体" w:hAnsi="宋体" w:eastAsia="宋体" w:cs="宋体"/>
          <w:color w:val="auto"/>
          <w:sz w:val="22"/>
          <w:szCs w:val="22"/>
          <w:highlight w:val="none"/>
          <w:lang w:eastAsia="zh-CN"/>
        </w:rPr>
        <w:t>郑</w:t>
      </w:r>
      <w:r>
        <w:rPr>
          <w:rFonts w:hint="eastAsia" w:ascii="宋体" w:hAnsi="宋体" w:eastAsia="宋体" w:cs="宋体"/>
          <w:color w:val="auto"/>
          <w:sz w:val="22"/>
          <w:szCs w:val="22"/>
          <w:highlight w:val="none"/>
        </w:rPr>
        <w:t>女士</w:t>
      </w:r>
    </w:p>
    <w:p w14:paraId="4998DCE5">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质疑联系方式：0570-</w:t>
      </w:r>
      <w:r>
        <w:rPr>
          <w:rFonts w:hint="eastAsia" w:ascii="宋体" w:hAnsi="宋体" w:eastAsia="宋体" w:cs="宋体"/>
          <w:color w:val="auto"/>
          <w:sz w:val="22"/>
          <w:szCs w:val="22"/>
          <w:highlight w:val="none"/>
          <w:lang w:eastAsia="zh-CN"/>
        </w:rPr>
        <w:t>3380578</w:t>
      </w:r>
      <w:r>
        <w:rPr>
          <w:rFonts w:hint="eastAsia" w:ascii="宋体" w:hAnsi="宋体" w:eastAsia="宋体" w:cs="宋体"/>
          <w:color w:val="auto"/>
          <w:sz w:val="22"/>
          <w:szCs w:val="22"/>
          <w:highlight w:val="none"/>
        </w:rPr>
        <w:t xml:space="preserve">　　　　　　     </w:t>
      </w:r>
    </w:p>
    <w:p w14:paraId="737C21DC">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3.同级政府采购监督管理部门            </w:t>
      </w:r>
    </w:p>
    <w:p w14:paraId="546E4DEA">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名称：衢州市柯城区政府采购管理办公室</w:t>
      </w:r>
    </w:p>
    <w:p w14:paraId="3BBC7D88">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衢州市柯城区荷三路231号</w:t>
      </w:r>
    </w:p>
    <w:p w14:paraId="346787E8">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0A8D3CF9">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联系人：蒋先生</w:t>
      </w:r>
    </w:p>
    <w:p w14:paraId="0C6C5CFB">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监督投诉电话：0570-3020829        </w:t>
      </w:r>
    </w:p>
    <w:p w14:paraId="38E2399A">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若对项目采购电子交易系统操作有疑问，可登录政采云（https://www.zcygov.cn/），点击右侧咨询小采，获取采小蜜智能服务管家帮助，或拨打政采云服务热线95763获取热线服务帮助。       </w:t>
      </w:r>
    </w:p>
    <w:p w14:paraId="62787A3A">
      <w:pPr>
        <w:keepNext w:val="0"/>
        <w:keepLines w:val="0"/>
        <w:pageBreakBefore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CA问题联系电话（人工）：汇信CA 400-888-4636；天谷CA 400-087-8198。</w:t>
      </w:r>
    </w:p>
    <w:p w14:paraId="6D7C093F">
      <w:pPr>
        <w:adjustRightInd w:val="0"/>
        <w:spacing w:line="360" w:lineRule="auto"/>
        <w:ind w:firstLine="472" w:firstLineChars="196"/>
        <w:rPr>
          <w:rFonts w:hint="eastAsia" w:ascii="宋体" w:hAnsi="宋体" w:eastAsia="宋体" w:cs="宋体"/>
          <w:b/>
          <w:snapToGrid w:val="0"/>
          <w:color w:val="auto"/>
          <w:sz w:val="24"/>
          <w:szCs w:val="24"/>
          <w:highlight w:val="none"/>
        </w:rPr>
      </w:pPr>
    </w:p>
    <w:p w14:paraId="5D97BE21">
      <w:pPr>
        <w:pStyle w:val="5"/>
        <w:numPr>
          <w:ilvl w:val="0"/>
          <w:numId w:val="0"/>
        </w:numPr>
        <w:rPr>
          <w:rFonts w:hint="eastAsia" w:ascii="宋体" w:hAnsi="宋体" w:eastAsia="宋体" w:cs="宋体"/>
          <w:color w:val="auto"/>
          <w:highlight w:val="none"/>
          <w:lang w:val="en-US"/>
        </w:rPr>
        <w:sectPr>
          <w:pgSz w:w="11906" w:h="16838"/>
          <w:pgMar w:top="1134" w:right="1134" w:bottom="1134" w:left="1134" w:header="851" w:footer="992" w:gutter="0"/>
          <w:cols w:space="425" w:num="1"/>
          <w:docGrid w:type="lines" w:linePitch="312" w:charSpace="0"/>
        </w:sectPr>
      </w:pPr>
    </w:p>
    <w:p w14:paraId="40010A01">
      <w:pPr>
        <w:spacing w:line="360" w:lineRule="auto"/>
        <w:jc w:val="center"/>
        <w:outlineLvl w:val="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第二部分 投标人须知</w:t>
      </w:r>
    </w:p>
    <w:p w14:paraId="26F65198">
      <w:pPr>
        <w:adjustRightInd w:val="0"/>
        <w:snapToGrid w:val="0"/>
        <w:spacing w:line="360" w:lineRule="auto"/>
        <w:jc w:val="center"/>
        <w:rPr>
          <w:rFonts w:hint="eastAsia" w:ascii="宋体" w:hAnsi="宋体" w:eastAsia="宋体" w:cs="宋体"/>
          <w:b/>
          <w:color w:val="auto"/>
          <w:sz w:val="28"/>
          <w:szCs w:val="18"/>
          <w:highlight w:val="none"/>
        </w:rPr>
      </w:pPr>
      <w:r>
        <w:rPr>
          <w:rFonts w:hint="eastAsia" w:ascii="宋体" w:hAnsi="宋体" w:eastAsia="宋体" w:cs="宋体"/>
          <w:b/>
          <w:color w:val="auto"/>
          <w:sz w:val="28"/>
          <w:szCs w:val="18"/>
          <w:highlight w:val="none"/>
        </w:rPr>
        <w:t>前附表</w:t>
      </w:r>
    </w:p>
    <w:tbl>
      <w:tblPr>
        <w:tblStyle w:val="25"/>
        <w:tblW w:w="93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42"/>
      </w:tblGrid>
      <w:tr w14:paraId="30A9F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C38C98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DFEAE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事项</w:t>
            </w:r>
          </w:p>
        </w:tc>
        <w:tc>
          <w:tcPr>
            <w:tcW w:w="6842" w:type="dxa"/>
            <w:tcBorders>
              <w:top w:val="single" w:color="000000" w:sz="8" w:space="0"/>
              <w:left w:val="single" w:color="000000" w:sz="2" w:space="0"/>
              <w:bottom w:val="single" w:color="000000" w:sz="8" w:space="0"/>
              <w:right w:val="single" w:color="000000" w:sz="8" w:space="0"/>
            </w:tcBorders>
            <w:vAlign w:val="center"/>
          </w:tcPr>
          <w:p w14:paraId="7A71C00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本项目的特别规定</w:t>
            </w:r>
          </w:p>
        </w:tc>
      </w:tr>
      <w:tr w14:paraId="0191E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549F3C5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188D18">
            <w:pPr>
              <w:snapToGri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征集方式</w:t>
            </w:r>
          </w:p>
        </w:tc>
        <w:tc>
          <w:tcPr>
            <w:tcW w:w="6842" w:type="dxa"/>
            <w:tcBorders>
              <w:top w:val="single" w:color="000000" w:sz="8" w:space="0"/>
              <w:left w:val="single" w:color="000000" w:sz="2" w:space="0"/>
              <w:bottom w:val="single" w:color="000000" w:sz="8" w:space="0"/>
              <w:right w:val="single" w:color="000000" w:sz="8" w:space="0"/>
            </w:tcBorders>
            <w:vAlign w:val="center"/>
          </w:tcPr>
          <w:p w14:paraId="5C9D6776">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kern w:val="0"/>
                <w:sz w:val="22"/>
                <w:szCs w:val="22"/>
                <w:highlight w:val="none"/>
                <w:lang w:val="zh-CN"/>
              </w:rPr>
              <w:t>本项目采用</w:t>
            </w:r>
            <w:r>
              <w:rPr>
                <w:rFonts w:hint="eastAsia" w:ascii="宋体" w:hAnsi="宋体" w:eastAsia="宋体" w:cs="宋体"/>
                <w:b/>
                <w:bCs/>
                <w:color w:val="auto"/>
                <w:kern w:val="0"/>
                <w:sz w:val="22"/>
                <w:szCs w:val="22"/>
                <w:highlight w:val="none"/>
                <w:u w:val="single"/>
                <w:lang w:val="zh-CN"/>
              </w:rPr>
              <w:t>封闭式框架协议</w:t>
            </w:r>
            <w:r>
              <w:rPr>
                <w:rFonts w:hint="eastAsia" w:ascii="宋体" w:hAnsi="宋体" w:eastAsia="宋体" w:cs="宋体"/>
                <w:color w:val="auto"/>
                <w:kern w:val="0"/>
                <w:sz w:val="22"/>
                <w:szCs w:val="22"/>
                <w:highlight w:val="none"/>
                <w:lang w:val="zh-CN"/>
              </w:rPr>
              <w:t>。</w:t>
            </w:r>
          </w:p>
        </w:tc>
      </w:tr>
      <w:tr w14:paraId="21DAB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4586E35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37EE07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报价要求</w:t>
            </w:r>
          </w:p>
        </w:tc>
        <w:tc>
          <w:tcPr>
            <w:tcW w:w="6842" w:type="dxa"/>
            <w:tcBorders>
              <w:top w:val="single" w:color="000000" w:sz="8" w:space="0"/>
              <w:left w:val="single" w:color="000000" w:sz="2" w:space="0"/>
              <w:bottom w:val="single" w:color="000000" w:sz="8" w:space="0"/>
              <w:right w:val="single" w:color="000000" w:sz="8" w:space="0"/>
            </w:tcBorders>
            <w:vAlign w:val="center"/>
          </w:tcPr>
          <w:p w14:paraId="0100A4A4">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有关本项目实施所需的所有费用（含税费）均计入报价。</w:t>
            </w:r>
            <w:r>
              <w:rPr>
                <w:rFonts w:hint="eastAsia" w:ascii="宋体" w:hAnsi="宋体" w:eastAsia="宋体" w:cs="宋体"/>
                <w:color w:val="auto"/>
                <w:sz w:val="22"/>
                <w:szCs w:val="22"/>
                <w:highlight w:val="none"/>
              </w:rPr>
              <w:t>开标一览表（报价表）是报价的唯一载体</w:t>
            </w:r>
            <w:r>
              <w:rPr>
                <w:rFonts w:hint="eastAsia" w:ascii="宋体" w:hAnsi="宋体" w:eastAsia="宋体" w:cs="宋体"/>
                <w:color w:val="auto"/>
                <w:kern w:val="0"/>
                <w:sz w:val="22"/>
                <w:szCs w:val="22"/>
                <w:highlight w:val="none"/>
                <w:lang w:val="zh-CN"/>
              </w:rPr>
              <w:t>。征集文件未列明，而供应商认为必需的费用也需列入报价。</w:t>
            </w:r>
          </w:p>
          <w:p w14:paraId="28E2D52A">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响应报价出现下列情形的，响应无效：</w:t>
            </w:r>
          </w:p>
          <w:p w14:paraId="1C916E60">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响应文件出现不是唯一的、有选择性响应报价的；</w:t>
            </w:r>
          </w:p>
          <w:p w14:paraId="46ABE9E1">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响应报价超过征集文件中规定的预算金额或者最高限制单价的;</w:t>
            </w:r>
          </w:p>
          <w:p w14:paraId="2E3D5B27">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报价明显低于其他通过符合性审查供应商的报价，有可能影响产品质量或者不能诚信履约的，未能按要求提供书面说明或者提交相关证明材料证明其报价合理性的;</w:t>
            </w:r>
          </w:p>
          <w:p w14:paraId="58E79E83">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供应商对根据修正原则修正后的报价不确认的；</w:t>
            </w:r>
          </w:p>
          <w:p w14:paraId="665D7852">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资格文件、商务技术文件与报价文件未分开制作。</w:t>
            </w:r>
          </w:p>
        </w:tc>
      </w:tr>
      <w:tr w14:paraId="44CA6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3D6CF80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CAAB46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入围方式</w:t>
            </w:r>
          </w:p>
        </w:tc>
        <w:tc>
          <w:tcPr>
            <w:tcW w:w="6842" w:type="dxa"/>
            <w:tcBorders>
              <w:top w:val="single" w:color="000000" w:sz="8" w:space="0"/>
              <w:left w:val="single" w:color="000000" w:sz="2" w:space="0"/>
              <w:bottom w:val="single" w:color="000000" w:sz="8" w:space="0"/>
              <w:right w:val="single" w:color="000000" w:sz="8" w:space="0"/>
            </w:tcBorders>
            <w:vAlign w:val="center"/>
          </w:tcPr>
          <w:p w14:paraId="3058A4F4">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根据中华人民共和国财政部令第 110 号《政府采购框架协议采购方式管理办法》，确定第一阶段入围供应商的评审方法为</w:t>
            </w:r>
            <w:r>
              <w:rPr>
                <w:rFonts w:hint="eastAsia" w:ascii="宋体" w:hAnsi="宋体" w:eastAsia="宋体" w:cs="宋体"/>
                <w:color w:val="auto"/>
                <w:kern w:val="0"/>
                <w:sz w:val="22"/>
                <w:szCs w:val="22"/>
                <w:highlight w:val="none"/>
                <w:u w:val="single"/>
              </w:rPr>
              <w:t>质量优先法</w:t>
            </w:r>
            <w:r>
              <w:rPr>
                <w:rFonts w:hint="eastAsia" w:ascii="宋体" w:hAnsi="宋体" w:eastAsia="宋体" w:cs="宋体"/>
                <w:color w:val="auto"/>
                <w:kern w:val="0"/>
                <w:sz w:val="22"/>
                <w:szCs w:val="22"/>
                <w:highlight w:val="none"/>
              </w:rPr>
              <w:t>，确定第二阶段成交供应商的方式为</w:t>
            </w:r>
            <w:r>
              <w:rPr>
                <w:rFonts w:hint="eastAsia" w:ascii="宋体" w:hAnsi="宋体" w:cs="宋体"/>
                <w:color w:val="auto"/>
                <w:kern w:val="0"/>
                <w:sz w:val="22"/>
                <w:szCs w:val="22"/>
                <w:highlight w:val="none"/>
                <w:u w:val="single"/>
                <w:lang w:eastAsia="zh-CN"/>
              </w:rPr>
              <w:t>直接选定</w:t>
            </w:r>
            <w:r>
              <w:rPr>
                <w:rFonts w:hint="eastAsia" w:ascii="宋体" w:hAnsi="宋体" w:eastAsia="宋体" w:cs="宋体"/>
                <w:color w:val="auto"/>
                <w:kern w:val="0"/>
                <w:sz w:val="22"/>
                <w:szCs w:val="22"/>
                <w:highlight w:val="none"/>
              </w:rPr>
              <w:t>。</w:t>
            </w:r>
          </w:p>
          <w:p w14:paraId="47D32566">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3A53C957">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直接选定</w:t>
            </w:r>
            <w:r>
              <w:rPr>
                <w:rFonts w:hint="eastAsia" w:ascii="宋体" w:hAnsi="宋体" w:cs="宋体"/>
                <w:color w:val="auto"/>
                <w:kern w:val="0"/>
                <w:sz w:val="22"/>
                <w:szCs w:val="22"/>
                <w:highlight w:val="none"/>
                <w:lang w:val="en-US" w:eastAsia="zh-CN"/>
              </w:rPr>
              <w:t>是指由采购人依据入围供应商报价、服务质量及便利性、用户评价等因素，从第一阶段入围供应商中直接选定，并授予合同。入围供应商应在两个工作日内接受合同授予，无正当理由不得拒绝。</w:t>
            </w:r>
          </w:p>
          <w:p w14:paraId="285EDE63">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评标委员会按评审后汇总得分由高到低顺序排列。汇总得分相同的，按技术分由高到低顺序排列；前款不能确定的，按《政府采购货物和服务招标投标管理办法》（财政部令第 87 号）第六十八条 由评标委员会随机抽取的方式确定。</w:t>
            </w:r>
          </w:p>
          <w:p w14:paraId="47BE75C6">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本项目给定了入围供应商的数量，评标委员会按照征集文件中规定的各项因素进行综合评审后，以评标总得分高低的顺序依次确定入围服务供应商。</w:t>
            </w:r>
          </w:p>
        </w:tc>
      </w:tr>
      <w:tr w14:paraId="34D80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58F5E14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p>
          <w:p w14:paraId="0639A99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91C299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分包</w:t>
            </w:r>
          </w:p>
        </w:tc>
        <w:tc>
          <w:tcPr>
            <w:tcW w:w="6842" w:type="dxa"/>
            <w:tcBorders>
              <w:top w:val="single" w:color="000000" w:sz="8" w:space="0"/>
              <w:left w:val="single" w:color="000000" w:sz="2" w:space="0"/>
              <w:bottom w:val="single" w:color="000000" w:sz="8" w:space="0"/>
              <w:right w:val="single" w:color="000000" w:sz="8" w:space="0"/>
            </w:tcBorders>
            <w:vAlign w:val="center"/>
          </w:tcPr>
          <w:p w14:paraId="4329D915">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rPr>
              <w:t xml:space="preserve"> A同意将非主体、非关键性的工作分包。</w:t>
            </w:r>
          </w:p>
          <w:p w14:paraId="39E1EBC0">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sym w:font="Wingdings" w:char="F0FE"/>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B不同意分包。</w:t>
            </w:r>
          </w:p>
        </w:tc>
      </w:tr>
      <w:tr w14:paraId="12F5A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auto" w:sz="4" w:space="0"/>
              <w:right w:val="single" w:color="auto" w:sz="4" w:space="0"/>
            </w:tcBorders>
            <w:vAlign w:val="center"/>
          </w:tcPr>
          <w:p w14:paraId="67FBE83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1843" w:type="dxa"/>
            <w:vMerge w:val="restart"/>
            <w:tcBorders>
              <w:top w:val="single" w:color="000000" w:sz="8" w:space="0"/>
              <w:left w:val="single" w:color="auto" w:sz="4" w:space="0"/>
              <w:right w:val="single" w:color="000000" w:sz="8" w:space="0"/>
            </w:tcBorders>
            <w:vAlign w:val="center"/>
          </w:tcPr>
          <w:p w14:paraId="46CA0BF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投标人应当提供的资格、资信证明文件</w:t>
            </w:r>
          </w:p>
        </w:tc>
        <w:tc>
          <w:tcPr>
            <w:tcW w:w="6842" w:type="dxa"/>
            <w:tcBorders>
              <w:top w:val="single" w:color="000000" w:sz="8" w:space="0"/>
              <w:left w:val="single" w:color="000000" w:sz="2" w:space="0"/>
              <w:bottom w:val="single" w:color="auto" w:sz="4" w:space="0"/>
              <w:right w:val="single" w:color="000000" w:sz="8" w:space="0"/>
            </w:tcBorders>
            <w:vAlign w:val="center"/>
          </w:tcPr>
          <w:p w14:paraId="72DAA9A9">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（1）资格证明文件：见征集文件第二部分11.1。</w:t>
            </w:r>
          </w:p>
          <w:p w14:paraId="7D521CF0">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投标人未提供有效的资格证明文件的，视为投标人不具备征集文件中规定的资格要求，投标无效。</w:t>
            </w:r>
          </w:p>
        </w:tc>
      </w:tr>
      <w:tr w14:paraId="609FB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auto" w:sz="4" w:space="0"/>
              <w:bottom w:val="single" w:color="auto" w:sz="4" w:space="0"/>
              <w:right w:val="single" w:color="auto" w:sz="4" w:space="0"/>
            </w:tcBorders>
            <w:shd w:val="clear" w:color="auto" w:fill="auto"/>
            <w:vAlign w:val="center"/>
          </w:tcPr>
          <w:p w14:paraId="2DA53CA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2"/>
                <w:szCs w:val="22"/>
                <w:highlight w:val="none"/>
                <w:lang w:val="en-US" w:eastAsia="zh-CN" w:bidi="ar-SA"/>
              </w:rPr>
            </w:pPr>
          </w:p>
        </w:tc>
        <w:tc>
          <w:tcPr>
            <w:tcW w:w="1843" w:type="dxa"/>
            <w:vMerge w:val="continue"/>
            <w:tcBorders>
              <w:left w:val="single" w:color="auto" w:sz="4" w:space="0"/>
              <w:bottom w:val="single" w:color="000000" w:sz="8" w:space="0"/>
              <w:right w:val="single" w:color="000000" w:sz="8" w:space="0"/>
            </w:tcBorders>
            <w:vAlign w:val="center"/>
          </w:tcPr>
          <w:p w14:paraId="2ACC97D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p>
        </w:tc>
        <w:tc>
          <w:tcPr>
            <w:tcW w:w="6842" w:type="dxa"/>
            <w:tcBorders>
              <w:top w:val="single" w:color="auto" w:sz="4" w:space="0"/>
              <w:left w:val="single" w:color="000000" w:sz="2" w:space="0"/>
              <w:bottom w:val="single" w:color="000000" w:sz="8" w:space="0"/>
              <w:right w:val="single" w:color="000000" w:sz="8" w:space="0"/>
            </w:tcBorders>
            <w:vAlign w:val="center"/>
          </w:tcPr>
          <w:p w14:paraId="26A38025">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（2）资信证明文件：根据征集文件第四部分评标标准提供。</w:t>
            </w:r>
          </w:p>
        </w:tc>
      </w:tr>
      <w:tr w14:paraId="07972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1CBB602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429EE5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开标前答疑会或现场考察</w:t>
            </w:r>
          </w:p>
        </w:tc>
        <w:tc>
          <w:tcPr>
            <w:tcW w:w="6842" w:type="dxa"/>
            <w:tcBorders>
              <w:top w:val="single" w:color="000000" w:sz="8" w:space="0"/>
              <w:left w:val="single" w:color="000000" w:sz="2" w:space="0"/>
              <w:bottom w:val="single" w:color="000000" w:sz="8" w:space="0"/>
              <w:right w:val="single" w:color="000000" w:sz="8" w:space="0"/>
            </w:tcBorders>
            <w:vAlign w:val="center"/>
          </w:tcPr>
          <w:p w14:paraId="1A477F0E">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w:char="F0FE"/>
            </w:r>
            <w:r>
              <w:rPr>
                <w:rFonts w:hint="eastAsia" w:ascii="宋体" w:hAnsi="宋体" w:eastAsia="宋体" w:cs="宋体"/>
                <w:color w:val="auto"/>
                <w:kern w:val="0"/>
                <w:sz w:val="22"/>
                <w:szCs w:val="22"/>
                <w:highlight w:val="none"/>
              </w:rPr>
              <w:t>A</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不组织。</w:t>
            </w:r>
          </w:p>
          <w:p w14:paraId="294AC799">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napToGrid w:val="0"/>
                <w:color w:val="auto"/>
                <w:sz w:val="22"/>
                <w:szCs w:val="22"/>
                <w:highlight w:val="none"/>
              </w:rPr>
            </w:pPr>
            <w:r>
              <w:rPr>
                <w:rFonts w:hint="eastAsia" w:ascii="宋体" w:hAnsi="宋体" w:eastAsia="宋体"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rPr>
              <w:t>B组织，时间：   /   ,地点：   /   ，联系人：   /   ，联系方式：   /   。</w:t>
            </w:r>
          </w:p>
        </w:tc>
      </w:tr>
      <w:tr w14:paraId="08ECA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3E479E7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0B339A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样品提供</w:t>
            </w:r>
          </w:p>
        </w:tc>
        <w:tc>
          <w:tcPr>
            <w:tcW w:w="6842" w:type="dxa"/>
            <w:tcBorders>
              <w:top w:val="single" w:color="000000" w:sz="8" w:space="0"/>
              <w:left w:val="single" w:color="000000" w:sz="2" w:space="0"/>
              <w:bottom w:val="single" w:color="000000" w:sz="8" w:space="0"/>
              <w:right w:val="single" w:color="000000" w:sz="8" w:space="0"/>
            </w:tcBorders>
            <w:vAlign w:val="center"/>
          </w:tcPr>
          <w:p w14:paraId="6D25ACE5">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lang w:eastAsia="zh-CN"/>
              </w:rPr>
            </w:pPr>
            <w:r>
              <w:rPr>
                <w:rFonts w:hint="eastAsia" w:ascii="Wingdings" w:hAnsi="Wingdings" w:eastAsia="宋体" w:cs="宋体"/>
                <w:color w:val="auto"/>
                <w:kern w:val="0"/>
                <w:sz w:val="22"/>
                <w:szCs w:val="22"/>
                <w:highlight w:val="none"/>
                <w:lang w:val="en-US" w:eastAsia="zh-CN" w:bidi="ar-SA"/>
              </w:rPr>
              <w:t>þ</w:t>
            </w:r>
            <w:r>
              <w:rPr>
                <w:rFonts w:hint="eastAsia" w:ascii="宋体" w:hAnsi="宋体" w:eastAsia="宋体" w:cs="宋体"/>
                <w:color w:val="auto"/>
                <w:kern w:val="0"/>
                <w:sz w:val="22"/>
                <w:szCs w:val="22"/>
                <w:highlight w:val="none"/>
              </w:rPr>
              <w:t>A不要求提供</w:t>
            </w:r>
            <w:r>
              <w:rPr>
                <w:rFonts w:hint="eastAsia" w:ascii="宋体" w:hAnsi="宋体" w:eastAsia="宋体" w:cs="宋体"/>
                <w:color w:val="auto"/>
                <w:kern w:val="0"/>
                <w:sz w:val="22"/>
                <w:szCs w:val="22"/>
                <w:highlight w:val="none"/>
                <w:lang w:eastAsia="zh-CN"/>
              </w:rPr>
              <w:t>。</w:t>
            </w:r>
          </w:p>
          <w:p w14:paraId="13BCD8DD">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color w:val="auto"/>
                <w:sz w:val="22"/>
                <w:szCs w:val="22"/>
                <w:highlight w:val="none"/>
              </w:rPr>
            </w:pPr>
            <w:r>
              <w:rPr>
                <w:rFonts w:hint="eastAsia" w:ascii="MS Gothic" w:hAnsi="MS Gothic" w:eastAsia="宋体"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rPr>
              <w:t>B</w:t>
            </w:r>
            <w:r>
              <w:rPr>
                <w:rFonts w:hint="eastAsia" w:ascii="宋体" w:hAnsi="宋体" w:eastAsia="宋体" w:cs="宋体"/>
                <w:color w:val="auto"/>
                <w:kern w:val="0"/>
                <w:sz w:val="22"/>
                <w:szCs w:val="22"/>
                <w:highlight w:val="none"/>
                <w:lang w:eastAsia="zh-CN"/>
              </w:rPr>
              <w:t>提供</w:t>
            </w:r>
            <w:r>
              <w:rPr>
                <w:rFonts w:hint="eastAsia" w:ascii="宋体" w:hAnsi="宋体" w:eastAsia="宋体" w:cs="宋体"/>
                <w:color w:val="auto"/>
                <w:kern w:val="0"/>
                <w:sz w:val="22"/>
                <w:szCs w:val="22"/>
                <w:highlight w:val="none"/>
                <w:lang w:val="en-US" w:eastAsia="zh-CN"/>
              </w:rPr>
              <w:t>,投标截止时间前一天送至浙江中兰工程项目管理有限公司（衢州市衢江区港汇商务广场1号楼13楼），</w:t>
            </w:r>
            <w:r>
              <w:rPr>
                <w:rFonts w:hint="eastAsia" w:ascii="宋体" w:hAnsi="宋体" w:cs="宋体"/>
                <w:color w:val="auto"/>
                <w:kern w:val="0"/>
                <w:sz w:val="22"/>
                <w:szCs w:val="22"/>
                <w:highlight w:val="none"/>
                <w:lang w:val="en-US" w:eastAsia="zh-CN"/>
              </w:rPr>
              <w:t>真</w:t>
            </w:r>
            <w:r>
              <w:rPr>
                <w:rFonts w:hint="eastAsia" w:ascii="宋体" w:hAnsi="宋体" w:eastAsia="宋体" w:cs="宋体"/>
                <w:color w:val="auto"/>
                <w:kern w:val="0"/>
                <w:sz w:val="22"/>
                <w:szCs w:val="22"/>
                <w:highlight w:val="none"/>
                <w:lang w:val="en-US" w:eastAsia="zh-CN"/>
              </w:rPr>
              <w:t>女士/舒女士，1</w:t>
            </w:r>
            <w:r>
              <w:rPr>
                <w:rFonts w:hint="eastAsia" w:ascii="宋体" w:hAnsi="宋体" w:cs="宋体"/>
                <w:color w:val="auto"/>
                <w:kern w:val="0"/>
                <w:sz w:val="22"/>
                <w:szCs w:val="22"/>
                <w:highlight w:val="none"/>
                <w:lang w:val="en-US" w:eastAsia="zh-CN"/>
              </w:rPr>
              <w:t>3757024796</w:t>
            </w:r>
            <w:r>
              <w:rPr>
                <w:rFonts w:hint="eastAsia" w:ascii="宋体" w:hAnsi="宋体" w:eastAsia="宋体" w:cs="宋体"/>
                <w:color w:val="auto"/>
                <w:kern w:val="0"/>
                <w:sz w:val="22"/>
                <w:szCs w:val="22"/>
                <w:highlight w:val="none"/>
                <w:lang w:eastAsia="zh-CN"/>
              </w:rPr>
              <w:t>。</w:t>
            </w:r>
          </w:p>
        </w:tc>
      </w:tr>
      <w:tr w14:paraId="069CB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5C1B87F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343758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方案讲解演示</w:t>
            </w:r>
          </w:p>
        </w:tc>
        <w:tc>
          <w:tcPr>
            <w:tcW w:w="6842" w:type="dxa"/>
            <w:tcBorders>
              <w:top w:val="single" w:color="000000" w:sz="8" w:space="0"/>
              <w:left w:val="single" w:color="000000" w:sz="2" w:space="0"/>
              <w:bottom w:val="single" w:color="000000" w:sz="8" w:space="0"/>
              <w:right w:val="single" w:color="000000" w:sz="8" w:space="0"/>
            </w:tcBorders>
            <w:vAlign w:val="center"/>
          </w:tcPr>
          <w:p w14:paraId="568F3283">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w:char="F0FE"/>
            </w:r>
            <w:r>
              <w:rPr>
                <w:rFonts w:hint="eastAsia" w:ascii="宋体" w:hAnsi="宋体" w:eastAsia="宋体" w:cs="宋体"/>
                <w:color w:val="auto"/>
                <w:kern w:val="0"/>
                <w:sz w:val="22"/>
                <w:szCs w:val="22"/>
                <w:highlight w:val="none"/>
              </w:rPr>
              <w:t>A不组织。</w:t>
            </w:r>
          </w:p>
          <w:p w14:paraId="285E3FB8">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b/>
                <w:color w:val="auto"/>
                <w:kern w:val="0"/>
                <w:sz w:val="22"/>
                <w:szCs w:val="22"/>
                <w:highlight w:val="none"/>
                <w:lang w:val="zh-CN" w:eastAsia="zh-CN"/>
              </w:rPr>
            </w:pPr>
            <w:r>
              <w:rPr>
                <w:rFonts w:hint="eastAsia" w:ascii="宋体" w:hAnsi="宋体" w:eastAsia="宋体"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rPr>
              <w:t>B组织</w:t>
            </w:r>
            <w:r>
              <w:rPr>
                <w:rFonts w:hint="eastAsia" w:ascii="宋体" w:hAnsi="宋体" w:eastAsia="宋体" w:cs="宋体"/>
                <w:color w:val="auto"/>
                <w:kern w:val="0"/>
                <w:sz w:val="22"/>
                <w:szCs w:val="22"/>
                <w:highlight w:val="none"/>
                <w:lang w:eastAsia="zh-CN"/>
              </w:rPr>
              <w:t>。</w:t>
            </w:r>
          </w:p>
        </w:tc>
      </w:tr>
      <w:tr w14:paraId="6E6A3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4BAF3E4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9ECBED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是否允许采购进口产品</w:t>
            </w:r>
          </w:p>
        </w:tc>
        <w:tc>
          <w:tcPr>
            <w:tcW w:w="6842" w:type="dxa"/>
            <w:tcBorders>
              <w:top w:val="single" w:color="000000" w:sz="8" w:space="0"/>
              <w:left w:val="single" w:color="000000" w:sz="2" w:space="0"/>
              <w:bottom w:val="single" w:color="000000" w:sz="8" w:space="0"/>
              <w:right w:val="single" w:color="000000" w:sz="8" w:space="0"/>
            </w:tcBorders>
            <w:vAlign w:val="center"/>
          </w:tcPr>
          <w:p w14:paraId="01DAB7E2">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w:char="F0FE"/>
            </w:r>
            <w:r>
              <w:rPr>
                <w:rFonts w:hint="eastAsia" w:ascii="宋体" w:hAnsi="宋体" w:eastAsia="宋体" w:cs="宋体"/>
                <w:color w:val="auto"/>
                <w:kern w:val="0"/>
                <w:sz w:val="22"/>
                <w:szCs w:val="22"/>
                <w:highlight w:val="none"/>
              </w:rPr>
              <w:t>本项目不允许采购进口产品。</w:t>
            </w:r>
          </w:p>
          <w:p w14:paraId="35FF8D5E">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8AD6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2069738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665ABA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项目属性与核心产品</w:t>
            </w:r>
          </w:p>
        </w:tc>
        <w:tc>
          <w:tcPr>
            <w:tcW w:w="6842" w:type="dxa"/>
            <w:tcBorders>
              <w:top w:val="single" w:color="000000" w:sz="8" w:space="0"/>
              <w:left w:val="single" w:color="000000" w:sz="2" w:space="0"/>
              <w:bottom w:val="single" w:color="000000" w:sz="8" w:space="0"/>
              <w:right w:val="single" w:color="000000" w:sz="8" w:space="0"/>
            </w:tcBorders>
            <w:vAlign w:val="center"/>
          </w:tcPr>
          <w:p w14:paraId="1EDAC90C">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rPr>
              <w:t>A货物类，单一产品或核心产品为：  /  。</w:t>
            </w:r>
          </w:p>
          <w:p w14:paraId="11A9DA41">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2"/>
                <w:szCs w:val="22"/>
                <w:highlight w:val="none"/>
              </w:rPr>
            </w:pPr>
            <w:r>
              <w:rPr>
                <w:rFonts w:hint="eastAsia" w:ascii="Wingdings" w:hAnsi="Wingdings" w:eastAsia="宋体" w:cs="宋体"/>
                <w:color w:val="auto"/>
                <w:kern w:val="0"/>
                <w:sz w:val="22"/>
                <w:szCs w:val="22"/>
                <w:highlight w:val="none"/>
                <w:lang w:val="en-US" w:eastAsia="zh-CN" w:bidi="ar-SA"/>
              </w:rPr>
              <w:t>þ</w:t>
            </w:r>
            <w:r>
              <w:rPr>
                <w:rFonts w:hint="eastAsia" w:ascii="宋体" w:hAnsi="宋体" w:eastAsia="宋体" w:cs="宋体"/>
                <w:color w:val="auto"/>
                <w:kern w:val="0"/>
                <w:sz w:val="22"/>
                <w:szCs w:val="22"/>
                <w:highlight w:val="none"/>
              </w:rPr>
              <w:t>B服务类。</w:t>
            </w:r>
          </w:p>
        </w:tc>
      </w:tr>
      <w:tr w14:paraId="252CC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015D8A7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p>
          <w:p w14:paraId="06AEFC4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4329B0C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中小企业划分标准所属行业</w:t>
            </w:r>
          </w:p>
        </w:tc>
        <w:tc>
          <w:tcPr>
            <w:tcW w:w="6842" w:type="dxa"/>
            <w:tcBorders>
              <w:top w:val="single" w:color="000000" w:sz="8" w:space="0"/>
              <w:left w:val="single" w:color="000000" w:sz="2" w:space="0"/>
              <w:bottom w:val="single" w:color="000000" w:sz="8" w:space="0"/>
              <w:right w:val="single" w:color="000000" w:sz="8" w:space="0"/>
            </w:tcBorders>
            <w:vAlign w:val="center"/>
          </w:tcPr>
          <w:p w14:paraId="02DCC091">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（1）标的：</w:t>
            </w:r>
            <w:r>
              <w:rPr>
                <w:rFonts w:hint="eastAsia" w:ascii="宋体" w:hAnsi="宋体" w:cs="宋体"/>
                <w:color w:val="auto"/>
                <w:kern w:val="0"/>
                <w:sz w:val="22"/>
                <w:szCs w:val="22"/>
                <w:highlight w:val="none"/>
                <w:lang w:val="en-US" w:eastAsia="zh-CN"/>
              </w:rPr>
              <w:t>2025年</w:t>
            </w:r>
            <w:r>
              <w:rPr>
                <w:rFonts w:hint="eastAsia" w:ascii="宋体" w:hAnsi="宋体" w:cs="宋体"/>
                <w:color w:val="auto"/>
                <w:sz w:val="22"/>
                <w:szCs w:val="22"/>
                <w:highlight w:val="none"/>
                <w:lang w:eastAsia="zh-CN"/>
              </w:rPr>
              <w:t>衢州市柯城区市场监督管理局食品（餐饮）检测服务项目</w:t>
            </w:r>
            <w:r>
              <w:rPr>
                <w:rFonts w:hint="eastAsia" w:ascii="宋体" w:hAnsi="宋体" w:eastAsia="宋体" w:cs="宋体"/>
                <w:color w:val="auto"/>
                <w:kern w:val="0"/>
                <w:sz w:val="22"/>
                <w:szCs w:val="22"/>
                <w:highlight w:val="none"/>
              </w:rPr>
              <w:t>，属于</w:t>
            </w:r>
            <w:r>
              <w:rPr>
                <w:rFonts w:hint="eastAsia" w:ascii="宋体" w:hAnsi="宋体" w:eastAsia="宋体" w:cs="宋体"/>
                <w:color w:val="auto"/>
                <w:kern w:val="0"/>
                <w:sz w:val="22"/>
                <w:szCs w:val="22"/>
                <w:highlight w:val="none"/>
                <w:u w:val="single"/>
                <w:lang w:val="en-US" w:eastAsia="zh-CN"/>
              </w:rPr>
              <w:t xml:space="preserve"> 其他未列明 </w:t>
            </w:r>
            <w:r>
              <w:rPr>
                <w:rFonts w:hint="eastAsia" w:ascii="宋体" w:hAnsi="宋体" w:eastAsia="宋体" w:cs="宋体"/>
                <w:color w:val="auto"/>
                <w:kern w:val="0"/>
                <w:sz w:val="22"/>
                <w:szCs w:val="22"/>
                <w:highlight w:val="none"/>
              </w:rPr>
              <w:t>行业；</w:t>
            </w:r>
          </w:p>
          <w:p w14:paraId="0EEB86A4">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行业划分标准：《关于印发中小企业划型标准规定的通知》工信部联企业〔2011〕300号</w:t>
            </w:r>
          </w:p>
        </w:tc>
      </w:tr>
      <w:tr w14:paraId="1184E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7C3D845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F39579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节能产品、环境标志产品</w:t>
            </w:r>
          </w:p>
        </w:tc>
        <w:tc>
          <w:tcPr>
            <w:tcW w:w="6842" w:type="dxa"/>
            <w:tcBorders>
              <w:top w:val="single" w:color="000000" w:sz="8" w:space="0"/>
              <w:left w:val="single" w:color="000000" w:sz="2" w:space="0"/>
              <w:bottom w:val="single" w:color="000000" w:sz="8" w:space="0"/>
              <w:right w:val="single" w:color="000000" w:sz="8" w:space="0"/>
            </w:tcBorders>
            <w:vAlign w:val="center"/>
          </w:tcPr>
          <w:p w14:paraId="1A29DB4E">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EE02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0760C9C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39C5E15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中小企业信用融资</w:t>
            </w:r>
          </w:p>
        </w:tc>
        <w:tc>
          <w:tcPr>
            <w:tcW w:w="6842" w:type="dxa"/>
            <w:tcBorders>
              <w:top w:val="single" w:color="000000" w:sz="8" w:space="0"/>
              <w:left w:val="single" w:color="000000" w:sz="2" w:space="0"/>
              <w:bottom w:val="single" w:color="000000" w:sz="8" w:space="0"/>
              <w:right w:val="single" w:color="000000" w:sz="8" w:space="0"/>
            </w:tcBorders>
            <w:vAlign w:val="center"/>
          </w:tcPr>
          <w:p w14:paraId="5CEC419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napToGrid w:val="0"/>
                <w:color w:val="auto"/>
                <w:kern w:val="28"/>
                <w:sz w:val="22"/>
                <w:szCs w:val="22"/>
                <w:highlight w:val="none"/>
                <w:lang w:val="en-US" w:eastAsia="zh-CN" w:bidi="ar-SA"/>
              </w:rPr>
            </w:pPr>
            <w:r>
              <w:rPr>
                <w:rFonts w:hint="eastAsia" w:ascii="宋体" w:hAnsi="宋体" w:eastAsia="宋体" w:cs="宋体"/>
                <w:color w:val="auto"/>
                <w:kern w:val="0"/>
                <w:sz w:val="22"/>
                <w:szCs w:val="22"/>
                <w:highlight w:val="none"/>
              </w:rPr>
              <w:t>供应商中标后也可在“政采云”平台申请政采贷：操作路径：登录政采云平台 - 金融服务中心 -【融资服务】，可在热门申请中选择产品直接申请，或者在可申请项目中根据该项目进行申请。</w:t>
            </w:r>
          </w:p>
        </w:tc>
      </w:tr>
      <w:tr w14:paraId="3C703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0B70581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2CCAB1D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备份响应文件送达地点和签收人员</w:t>
            </w:r>
          </w:p>
        </w:tc>
        <w:tc>
          <w:tcPr>
            <w:tcW w:w="6842" w:type="dxa"/>
            <w:tcBorders>
              <w:top w:val="single" w:color="000000" w:sz="8" w:space="0"/>
              <w:left w:val="single" w:color="000000" w:sz="2" w:space="0"/>
              <w:bottom w:val="single" w:color="000000" w:sz="8" w:space="0"/>
              <w:right w:val="single" w:color="000000" w:sz="8" w:space="0"/>
            </w:tcBorders>
            <w:vAlign w:val="center"/>
          </w:tcPr>
          <w:p w14:paraId="1325ECB4">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备份文件是否收取：可提交备份</w:t>
            </w:r>
          </w:p>
          <w:p w14:paraId="4F8F0E01">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备份</w:t>
            </w:r>
            <w:r>
              <w:rPr>
                <w:rFonts w:hint="eastAsia" w:ascii="宋体" w:hAnsi="宋体" w:cs="宋体"/>
                <w:color w:val="auto"/>
                <w:kern w:val="0"/>
                <w:sz w:val="22"/>
                <w:szCs w:val="22"/>
                <w:highlight w:val="none"/>
                <w:lang w:eastAsia="zh-CN"/>
              </w:rPr>
              <w:t>响应文件</w:t>
            </w:r>
            <w:r>
              <w:rPr>
                <w:rFonts w:hint="eastAsia" w:ascii="宋体" w:hAnsi="宋体" w:eastAsia="宋体" w:cs="宋体"/>
                <w:color w:val="auto"/>
                <w:kern w:val="0"/>
                <w:sz w:val="22"/>
                <w:szCs w:val="22"/>
                <w:highlight w:val="none"/>
              </w:rPr>
              <w:t>送达地点：</w:t>
            </w:r>
            <w:r>
              <w:rPr>
                <w:rFonts w:hint="eastAsia" w:ascii="宋体" w:hAnsi="宋体" w:eastAsia="宋体" w:cs="宋体"/>
                <w:color w:val="auto"/>
                <w:kern w:val="0"/>
                <w:sz w:val="22"/>
                <w:szCs w:val="22"/>
                <w:highlight w:val="none"/>
                <w:lang w:val="en-US" w:eastAsia="zh-CN"/>
              </w:rPr>
              <w:t>衢州市衢江区港汇商务广场2号楼6楼</w:t>
            </w:r>
            <w:r>
              <w:rPr>
                <w:rFonts w:hint="eastAsia" w:ascii="宋体" w:hAnsi="宋体" w:eastAsia="宋体" w:cs="宋体"/>
                <w:color w:val="auto"/>
                <w:kern w:val="0"/>
                <w:sz w:val="22"/>
                <w:szCs w:val="22"/>
                <w:highlight w:val="none"/>
              </w:rPr>
              <w:t>；</w:t>
            </w:r>
          </w:p>
          <w:p w14:paraId="6A272C23">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备份</w:t>
            </w:r>
            <w:r>
              <w:rPr>
                <w:rFonts w:hint="eastAsia" w:ascii="宋体" w:hAnsi="宋体" w:cs="宋体"/>
                <w:color w:val="auto"/>
                <w:kern w:val="0"/>
                <w:sz w:val="22"/>
                <w:szCs w:val="22"/>
                <w:highlight w:val="none"/>
                <w:lang w:eastAsia="zh-CN"/>
              </w:rPr>
              <w:t>响应文件</w:t>
            </w:r>
            <w:r>
              <w:rPr>
                <w:rFonts w:hint="eastAsia" w:ascii="宋体" w:hAnsi="宋体" w:eastAsia="宋体" w:cs="宋体"/>
                <w:color w:val="auto"/>
                <w:kern w:val="0"/>
                <w:sz w:val="22"/>
                <w:szCs w:val="22"/>
                <w:highlight w:val="none"/>
              </w:rPr>
              <w:t>签收人员联系电话：</w:t>
            </w:r>
            <w:r>
              <w:rPr>
                <w:rFonts w:hint="eastAsia" w:ascii="宋体" w:hAnsi="宋体" w:cs="宋体"/>
                <w:color w:val="auto"/>
                <w:kern w:val="0"/>
                <w:sz w:val="22"/>
                <w:szCs w:val="22"/>
                <w:highlight w:val="none"/>
                <w:lang w:val="en-US" w:eastAsia="zh-CN"/>
              </w:rPr>
              <w:t>郑</w:t>
            </w:r>
            <w:r>
              <w:rPr>
                <w:rFonts w:hint="eastAsia" w:ascii="宋体" w:hAnsi="宋体" w:eastAsia="宋体" w:cs="宋体"/>
                <w:color w:val="auto"/>
                <w:kern w:val="0"/>
                <w:sz w:val="22"/>
                <w:szCs w:val="22"/>
                <w:highlight w:val="none"/>
                <w:lang w:val="en-US" w:eastAsia="zh-CN"/>
              </w:rPr>
              <w:t>女士/舒女士0570-3380568</w:t>
            </w:r>
            <w:r>
              <w:rPr>
                <w:rFonts w:hint="eastAsia" w:ascii="宋体" w:hAnsi="宋体" w:eastAsia="宋体" w:cs="宋体"/>
                <w:color w:val="auto"/>
                <w:kern w:val="0"/>
                <w:sz w:val="22"/>
                <w:szCs w:val="22"/>
                <w:highlight w:val="none"/>
              </w:rPr>
              <w:t>。</w:t>
            </w:r>
          </w:p>
          <w:p w14:paraId="1D299675">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采购人、采购机构不强制或变相强制投标人提交备份文件。提交的备份文件格式无效（.bfbs格式）或其他因投标人自身制作不当导致的无法使用的情况由投标人自行负责。</w:t>
            </w:r>
          </w:p>
        </w:tc>
      </w:tr>
      <w:tr w14:paraId="27D84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68DC11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FD7544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采购代理机构代理费用</w:t>
            </w:r>
          </w:p>
        </w:tc>
        <w:tc>
          <w:tcPr>
            <w:tcW w:w="6842" w:type="dxa"/>
            <w:tcBorders>
              <w:top w:val="single" w:color="000000" w:sz="8" w:space="0"/>
              <w:left w:val="single" w:color="000000" w:sz="2" w:space="0"/>
              <w:bottom w:val="single" w:color="000000" w:sz="8" w:space="0"/>
              <w:right w:val="single" w:color="000000" w:sz="8" w:space="0"/>
            </w:tcBorders>
            <w:vAlign w:val="center"/>
          </w:tcPr>
          <w:p w14:paraId="16168F3F">
            <w:pPr>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宋体" w:hAnsi="宋体" w:eastAsia="宋体" w:cs="宋体"/>
                <w:snapToGrid w:val="0"/>
                <w:color w:val="auto"/>
                <w:kern w:val="28"/>
                <w:sz w:val="22"/>
                <w:szCs w:val="22"/>
                <w:highlight w:val="none"/>
              </w:rPr>
            </w:pPr>
            <w:r>
              <w:rPr>
                <w:rFonts w:hint="eastAsia" w:ascii="宋体" w:hAnsi="宋体" w:eastAsia="宋体" w:cs="宋体"/>
                <w:color w:val="auto"/>
                <w:kern w:val="0"/>
                <w:sz w:val="22"/>
                <w:szCs w:val="22"/>
                <w:highlight w:val="none"/>
                <w:lang w:val="zh-CN"/>
              </w:rPr>
              <w:t>本项目的招标代理服务费由中标人支付。招标代理服务费</w:t>
            </w:r>
            <w:r>
              <w:rPr>
                <w:rFonts w:hint="eastAsia" w:ascii="宋体" w:hAnsi="宋体" w:eastAsia="宋体" w:cs="宋体"/>
                <w:color w:val="auto"/>
                <w:kern w:val="0"/>
                <w:sz w:val="22"/>
                <w:szCs w:val="22"/>
                <w:highlight w:val="none"/>
                <w:lang w:val="en-US" w:eastAsia="zh-CN"/>
              </w:rPr>
              <w:t>按</w:t>
            </w:r>
            <w:r>
              <w:rPr>
                <w:rFonts w:hint="eastAsia" w:ascii="宋体" w:hAnsi="宋体" w:cs="宋体"/>
                <w:color w:val="auto"/>
                <w:kern w:val="0"/>
                <w:sz w:val="22"/>
                <w:szCs w:val="22"/>
                <w:highlight w:val="none"/>
                <w:lang w:val="en-US" w:eastAsia="zh-CN"/>
              </w:rPr>
              <w:t>2000</w:t>
            </w:r>
            <w:r>
              <w:rPr>
                <w:rFonts w:hint="eastAsia" w:ascii="宋体" w:hAnsi="宋体" w:eastAsia="宋体" w:cs="宋体"/>
                <w:color w:val="auto"/>
                <w:kern w:val="0"/>
                <w:sz w:val="22"/>
                <w:szCs w:val="22"/>
                <w:highlight w:val="none"/>
                <w:lang w:val="en-US" w:eastAsia="zh-CN"/>
              </w:rPr>
              <w:t>元</w:t>
            </w:r>
            <w:r>
              <w:rPr>
                <w:rFonts w:hint="eastAsia" w:ascii="宋体" w:hAnsi="宋体" w:cs="宋体"/>
                <w:color w:val="auto"/>
                <w:kern w:val="0"/>
                <w:sz w:val="22"/>
                <w:szCs w:val="22"/>
                <w:highlight w:val="none"/>
                <w:lang w:val="en-US" w:eastAsia="zh-CN"/>
              </w:rPr>
              <w:t>/家</w:t>
            </w:r>
            <w:r>
              <w:rPr>
                <w:rFonts w:hint="eastAsia" w:ascii="宋体" w:hAnsi="宋体" w:eastAsia="宋体" w:cs="宋体"/>
                <w:color w:val="auto"/>
                <w:kern w:val="0"/>
                <w:sz w:val="22"/>
                <w:szCs w:val="22"/>
                <w:highlight w:val="none"/>
                <w:lang w:val="en-US" w:eastAsia="zh-CN"/>
              </w:rPr>
              <w:t>计取，</w:t>
            </w:r>
            <w:r>
              <w:rPr>
                <w:rFonts w:hint="eastAsia" w:ascii="宋体" w:hAnsi="宋体" w:eastAsia="宋体" w:cs="宋体"/>
                <w:color w:val="auto"/>
                <w:kern w:val="0"/>
                <w:sz w:val="22"/>
                <w:szCs w:val="22"/>
                <w:highlight w:val="none"/>
              </w:rPr>
              <w:t>以上费用由中标单位支付。</w:t>
            </w:r>
            <w:r>
              <w:rPr>
                <w:rFonts w:hint="eastAsia" w:ascii="宋体" w:hAnsi="宋体" w:eastAsia="宋体" w:cs="宋体"/>
                <w:color w:val="auto"/>
                <w:kern w:val="0"/>
                <w:sz w:val="22"/>
                <w:szCs w:val="22"/>
                <w:highlight w:val="none"/>
                <w:lang w:val="zh-CN"/>
              </w:rPr>
              <w:t>结算方式及时间为：中标人在领取中标通知书前向采购代理机构支付招标代理服务费。</w:t>
            </w:r>
          </w:p>
        </w:tc>
      </w:tr>
    </w:tbl>
    <w:p w14:paraId="40B995E6">
      <w:pPr>
        <w:spacing w:line="360" w:lineRule="auto"/>
        <w:ind w:firstLine="4176" w:firstLineChars="1300"/>
        <w:outlineLvl w:val="0"/>
        <w:rPr>
          <w:rFonts w:hint="eastAsia" w:ascii="宋体" w:hAnsi="宋体" w:eastAsia="宋体" w:cs="宋体"/>
          <w:b/>
          <w:color w:val="auto"/>
          <w:sz w:val="32"/>
          <w:szCs w:val="20"/>
          <w:highlight w:val="none"/>
        </w:rPr>
      </w:pPr>
    </w:p>
    <w:p w14:paraId="3A5261E8">
      <w:pPr>
        <w:spacing w:line="360" w:lineRule="auto"/>
        <w:ind w:firstLine="4176" w:firstLineChars="1300"/>
        <w:outlineLvl w:val="0"/>
        <w:rPr>
          <w:rFonts w:hint="eastAsia" w:ascii="宋体" w:hAnsi="宋体" w:eastAsia="宋体" w:cs="宋体"/>
          <w:b/>
          <w:color w:val="auto"/>
          <w:sz w:val="32"/>
          <w:szCs w:val="20"/>
          <w:highlight w:val="none"/>
        </w:rPr>
      </w:pPr>
    </w:p>
    <w:p w14:paraId="20006666">
      <w:pPr>
        <w:spacing w:line="360" w:lineRule="auto"/>
        <w:ind w:firstLine="4176" w:firstLineChars="1300"/>
        <w:outlineLvl w:val="0"/>
        <w:rPr>
          <w:rFonts w:hint="eastAsia" w:ascii="宋体" w:hAnsi="宋体" w:eastAsia="宋体" w:cs="宋体"/>
          <w:b/>
          <w:color w:val="auto"/>
          <w:sz w:val="32"/>
          <w:szCs w:val="20"/>
          <w:highlight w:val="none"/>
        </w:rPr>
      </w:pPr>
    </w:p>
    <w:p w14:paraId="699CE9A8">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一、总则</w:t>
      </w:r>
    </w:p>
    <w:p w14:paraId="3760BDE8">
      <w:pPr>
        <w:pStyle w:val="14"/>
        <w:keepNext w:val="0"/>
        <w:keepLines w:val="0"/>
        <w:pageBreakBefore w:val="0"/>
        <w:kinsoku/>
        <w:wordWrap/>
        <w:overflowPunct/>
        <w:topLinePunct w:val="0"/>
        <w:autoSpaceDE/>
        <w:autoSpaceDN/>
        <w:bidi w:val="0"/>
        <w:adjustRightInd/>
        <w:spacing w:beforeAutospacing="0" w:line="4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1.适用范围</w:t>
      </w:r>
    </w:p>
    <w:p w14:paraId="7F4F29F1">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本征集文件适用于该项的招标、投标、开标、资格审查及信用信息查询、评标、定标、合同、验收等行为（法律、法规另有规定的，从其规定）。</w:t>
      </w:r>
    </w:p>
    <w:p w14:paraId="4403011D">
      <w:pPr>
        <w:pStyle w:val="14"/>
        <w:keepNext w:val="0"/>
        <w:keepLines w:val="0"/>
        <w:pageBreakBefore w:val="0"/>
        <w:kinsoku/>
        <w:wordWrap/>
        <w:overflowPunct/>
        <w:topLinePunct w:val="0"/>
        <w:autoSpaceDE/>
        <w:autoSpaceDN/>
        <w:bidi w:val="0"/>
        <w:adjustRightInd/>
        <w:spacing w:beforeAutospacing="0" w:line="4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7E282292">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2.1“征集人”、“采购人”和“甲方”是指依法进行政府采购的国家机关、事业单位、团体组织。 </w:t>
      </w:r>
    </w:p>
    <w:p w14:paraId="28143232">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2.2“征集人”是指（采购人）和（招标代理机构）。</w:t>
      </w:r>
    </w:p>
    <w:p w14:paraId="3C2E1B56">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2.3“投标人”“供应商”系指是指响应招标、参加投标竞争的法人、其他组织或者自然人。</w:t>
      </w:r>
    </w:p>
    <w:p w14:paraId="21B089C4">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2.4“负责人”系指法人企业的法定负责人，或其他组织为法律、行政法规规定代表单位行使职权的主要负责人，或自然人本人。</w:t>
      </w:r>
    </w:p>
    <w:p w14:paraId="269F1943">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8AE571D">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2.6“电子交易平台”是指本项目政府采购活动所依托的政府采购云平台（https://www.zcygov.cn/）。</w:t>
      </w:r>
    </w:p>
    <w:p w14:paraId="1FD38767">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 系指实质性要求条款，“★”系产品采购项目中单一产品或核心产品，</w:t>
      </w:r>
    </w:p>
    <w:p w14:paraId="4FCC31A3">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Wingdings" w:hAnsi="Wingdings" w:eastAsia="宋体" w:cs="宋体"/>
          <w:color w:val="auto"/>
          <w:kern w:val="2"/>
          <w:sz w:val="22"/>
          <w:szCs w:val="22"/>
          <w:highlight w:val="none"/>
          <w:lang w:val="en-US" w:eastAsia="zh-CN" w:bidi="ar-SA"/>
        </w:rPr>
        <w:t>þ</w:t>
      </w:r>
      <w:r>
        <w:rPr>
          <w:rFonts w:hint="eastAsia" w:ascii="宋体" w:hAnsi="宋体" w:eastAsia="宋体" w:cs="宋体"/>
          <w:color w:val="auto"/>
          <w:sz w:val="22"/>
          <w:szCs w:val="22"/>
          <w:highlight w:val="none"/>
        </w:rPr>
        <w:t>”系指适用本项目的要求，“</w:t>
      </w:r>
      <w:r>
        <w:rPr>
          <w:rFonts w:hint="eastAsia" w:ascii="宋体" w:hAnsi="宋体" w:eastAsia="宋体" w:cs="宋体"/>
          <w:color w:val="auto"/>
          <w:kern w:val="2"/>
          <w:sz w:val="22"/>
          <w:szCs w:val="22"/>
          <w:highlight w:val="none"/>
          <w:lang w:val="en-US" w:eastAsia="zh-CN" w:bidi="ar-SA"/>
        </w:rPr>
        <w:t>☐</w:t>
      </w:r>
      <w:r>
        <w:rPr>
          <w:rFonts w:hint="eastAsia" w:ascii="宋体" w:hAnsi="宋体" w:eastAsia="宋体" w:cs="宋体"/>
          <w:color w:val="auto"/>
          <w:sz w:val="22"/>
          <w:szCs w:val="22"/>
          <w:highlight w:val="none"/>
        </w:rPr>
        <w:t>” 系指不适用本项目的要求。</w:t>
      </w:r>
    </w:p>
    <w:p w14:paraId="4E8D6E94">
      <w:pPr>
        <w:pStyle w:val="14"/>
        <w:keepNext w:val="0"/>
        <w:keepLines w:val="0"/>
        <w:pageBreakBefore w:val="0"/>
        <w:kinsoku/>
        <w:wordWrap/>
        <w:overflowPunct/>
        <w:topLinePunct w:val="0"/>
        <w:autoSpaceDE/>
        <w:autoSpaceDN/>
        <w:bidi w:val="0"/>
        <w:adjustRightInd/>
        <w:spacing w:beforeAutospacing="0" w:line="4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3.采购项目需要落实的政府采购政策</w:t>
      </w:r>
    </w:p>
    <w:p w14:paraId="5524C965">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11809BF">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3.2支持绿色发展</w:t>
      </w:r>
    </w:p>
    <w:p w14:paraId="0577FF35">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征集文件要求提供相关产品认证证书。</w:t>
      </w:r>
    </w:p>
    <w:p w14:paraId="2BE6BB74">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3.2.2 修缮、装修类项目采购建材的，采购人应将绿色建筑和绿色建材性能、指标等作为实质性条件纳入征集文件和合同。</w:t>
      </w:r>
    </w:p>
    <w:p w14:paraId="28EC8A4A">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69A3BDD">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3.3支持中小企业发展</w:t>
      </w:r>
    </w:p>
    <w:p w14:paraId="6F2E9F79">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49EB55">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符合中小企业划分标准的个体工商户，在政府采购活动中视同中小企业。</w:t>
      </w:r>
    </w:p>
    <w:p w14:paraId="7256CFA9">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3.3.2在政府采购活动中，投标人提供的货物、工程或者服务符合下列情形的，享受中小企业扶持政策：</w:t>
      </w:r>
    </w:p>
    <w:p w14:paraId="68DD8003">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3.3.2.1在货物采购项目中，货物由中小企业制造，即货物由中小企业生产且使用该中小企业商号或者注册商标；</w:t>
      </w:r>
    </w:p>
    <w:p w14:paraId="2AC4B618">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3.3.2.2在工程采购项目中，工程由中小企业承建，即工程施工单位为中小企业；</w:t>
      </w:r>
    </w:p>
    <w:p w14:paraId="64BD9362">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3.3.2.3在服务采购项目中，服务由中小企业承接，即提供服务的人员为中小企业依照《中华人民共和国劳动合同法》订立劳动合同的从业人员。</w:t>
      </w:r>
    </w:p>
    <w:p w14:paraId="7F03AC38">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在货物采购项目中，投标人提供的货物既有中小企业制造货物，也有大型企业制造货物的，不享受中小企业扶持政策。</w:t>
      </w:r>
    </w:p>
    <w:p w14:paraId="187C2664">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以联合体形式参加政府采购活动，联合体各方均为中小企业的，联合体视同中小企业。其中，联合体各方均为小微企业的，联合体视同小微企业。</w:t>
      </w:r>
    </w:p>
    <w:p w14:paraId="2E7CE62E">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b/>
          <w:bCs/>
          <w:strike/>
          <w:color w:val="auto"/>
          <w:sz w:val="22"/>
          <w:szCs w:val="22"/>
          <w:highlight w:val="none"/>
        </w:rPr>
      </w:pPr>
      <w:r>
        <w:rPr>
          <w:rFonts w:hint="eastAsia" w:ascii="宋体" w:hAnsi="宋体" w:eastAsia="宋体" w:cs="宋体"/>
          <w:color w:val="auto"/>
          <w:sz w:val="22"/>
          <w:szCs w:val="22"/>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42FA0DF">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3.3.4符合《关于促进残疾人就业政府采购政策的通知》（财库〔2017〕141号）规定的条件并提供《残疾人福利性单位声明函》（附件1）的残疾人福利性单位视同小型、微型企业；</w:t>
      </w:r>
    </w:p>
    <w:p w14:paraId="03AD013B">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65C64AB">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3.3.6可享受中小企业扶持政策的投标人应按照征集文件格式要求提供《中小企业声明函》，投标人提供的《中小企业声明函》与实际情况不符的，不享受中小企业扶持政策。声明内容不实的，属于提供虚假材料谋取中标、成交的，依法承担法律责任。</w:t>
      </w:r>
    </w:p>
    <w:p w14:paraId="14437A87">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3.3.7中小企业享受扶持政策获得政府采购合同的，小微企业不得将合同分包给大中型企业，中型企业不得将合同分包给大型企业。</w:t>
      </w:r>
    </w:p>
    <w:p w14:paraId="3AF3A370">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3.4支持创新发展</w:t>
      </w:r>
    </w:p>
    <w:p w14:paraId="3BD36B33">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3.4.1 采购人优先采购被认定为首台套产品和“制造精品”的自主创新产品。</w:t>
      </w:r>
    </w:p>
    <w:p w14:paraId="18350B28">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02BD11C">
      <w:pPr>
        <w:pStyle w:val="14"/>
        <w:keepNext w:val="0"/>
        <w:keepLines w:val="0"/>
        <w:pageBreakBefore w:val="0"/>
        <w:kinsoku/>
        <w:wordWrap/>
        <w:overflowPunct/>
        <w:topLinePunct w:val="0"/>
        <w:autoSpaceDE/>
        <w:autoSpaceDN/>
        <w:bidi w:val="0"/>
        <w:adjustRightInd/>
        <w:spacing w:beforeAutospacing="0" w:line="4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4.询问、质疑、投诉</w:t>
      </w:r>
    </w:p>
    <w:p w14:paraId="636FDF53">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4.1供应商询问</w:t>
      </w:r>
    </w:p>
    <w:p w14:paraId="4535D0CF">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22B6803">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4.2供应商质疑</w:t>
      </w:r>
    </w:p>
    <w:p w14:paraId="7764C19B">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4.2</w:t>
      </w:r>
      <w:r>
        <w:rPr>
          <w:rFonts w:hint="eastAsia" w:ascii="宋体" w:hAnsi="宋体" w:eastAsia="宋体" w:cs="宋体"/>
          <w:color w:val="auto"/>
          <w:sz w:val="22"/>
          <w:szCs w:val="22"/>
          <w:highlight w:val="none"/>
        </w:rPr>
        <w:t>.1提出质疑的供应商应当是参与所质疑项目采购活动的供应商。潜在供应商已依法获取其可质疑的征集文件的，可以对该文件提出质疑。</w:t>
      </w:r>
    </w:p>
    <w:p w14:paraId="74F383D3">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4.2</w:t>
      </w:r>
      <w:r>
        <w:rPr>
          <w:rFonts w:hint="eastAsia" w:ascii="宋体" w:hAnsi="宋体" w:eastAsia="宋体" w:cs="宋体"/>
          <w:color w:val="auto"/>
          <w:sz w:val="22"/>
          <w:szCs w:val="22"/>
          <w:highlight w:val="none"/>
        </w:rPr>
        <w:t>.2供应商认为征集文件、采购过程和中标结果使自己的权益受到损害的，可以在知道或者应知其权益受到损害之日起七个工作日内，以书面形式向采购人或者采购机构提出质疑，否则，采购人或者采购机构不予受理：</w:t>
      </w:r>
    </w:p>
    <w:p w14:paraId="18F4D9C5">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4.2.2.1对征集文件提出质疑的，质疑期限为供应商获得征集文件之日或者征集文件公告期限届满之日起计算。</w:t>
      </w:r>
    </w:p>
    <w:p w14:paraId="3FAC366D">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4.2.2.2对采购过程提出质疑的，质疑期限为各采购程序环节结束之日起计算。对同一采购程序环节的质疑，供应商须一次性提出。</w:t>
      </w:r>
    </w:p>
    <w:p w14:paraId="1615BDE8">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4.2.2.3对采购结果提出质疑的，质疑期限自采购结果公告期限届满之日起计算。</w:t>
      </w:r>
    </w:p>
    <w:p w14:paraId="24A37C39">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4.2.3</w:t>
      </w:r>
      <w:r>
        <w:rPr>
          <w:rFonts w:hint="eastAsia" w:ascii="宋体" w:hAnsi="宋体" w:eastAsia="宋体" w:cs="宋体"/>
          <w:color w:val="auto"/>
          <w:sz w:val="22"/>
          <w:szCs w:val="22"/>
          <w:highlight w:val="none"/>
        </w:rPr>
        <w:t>供应商提出质疑应当提交质疑函和必要的证明材料。质疑函应当包括下列内容：</w:t>
      </w:r>
    </w:p>
    <w:p w14:paraId="76093301">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4.2.3.1</w:t>
      </w:r>
      <w:r>
        <w:rPr>
          <w:rFonts w:hint="eastAsia" w:ascii="宋体" w:hAnsi="宋体" w:eastAsia="宋体" w:cs="宋体"/>
          <w:color w:val="auto"/>
          <w:sz w:val="22"/>
          <w:szCs w:val="22"/>
          <w:highlight w:val="none"/>
        </w:rPr>
        <w:t>供应商的姓名或者名称、地址、邮编、联系人及联系电话；</w:t>
      </w:r>
    </w:p>
    <w:p w14:paraId="01CAE660">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4.2.3.2</w:t>
      </w:r>
      <w:r>
        <w:rPr>
          <w:rFonts w:hint="eastAsia" w:ascii="宋体" w:hAnsi="宋体" w:eastAsia="宋体" w:cs="宋体"/>
          <w:color w:val="auto"/>
          <w:sz w:val="22"/>
          <w:szCs w:val="22"/>
          <w:highlight w:val="none"/>
        </w:rPr>
        <w:t>质疑项目的名称、编号；</w:t>
      </w:r>
    </w:p>
    <w:p w14:paraId="031B2A6F">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4.2.3.3</w:t>
      </w:r>
      <w:r>
        <w:rPr>
          <w:rFonts w:hint="eastAsia" w:ascii="宋体" w:hAnsi="宋体" w:eastAsia="宋体" w:cs="宋体"/>
          <w:color w:val="auto"/>
          <w:sz w:val="22"/>
          <w:szCs w:val="22"/>
          <w:highlight w:val="none"/>
        </w:rPr>
        <w:t>具体、明确的质疑事项和与质疑事项相关的请求；</w:t>
      </w:r>
    </w:p>
    <w:p w14:paraId="327C90DB">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4.2.3.4</w:t>
      </w:r>
      <w:r>
        <w:rPr>
          <w:rFonts w:hint="eastAsia" w:ascii="宋体" w:hAnsi="宋体" w:eastAsia="宋体" w:cs="宋体"/>
          <w:color w:val="auto"/>
          <w:sz w:val="22"/>
          <w:szCs w:val="22"/>
          <w:highlight w:val="none"/>
        </w:rPr>
        <w:t>事实依据；</w:t>
      </w:r>
    </w:p>
    <w:p w14:paraId="059ABD84">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4.2.3.5</w:t>
      </w:r>
      <w:r>
        <w:rPr>
          <w:rFonts w:hint="eastAsia" w:ascii="宋体" w:hAnsi="宋体" w:eastAsia="宋体" w:cs="宋体"/>
          <w:color w:val="auto"/>
          <w:sz w:val="22"/>
          <w:szCs w:val="22"/>
          <w:highlight w:val="none"/>
        </w:rPr>
        <w:t>必要的法律依据；</w:t>
      </w:r>
    </w:p>
    <w:p w14:paraId="7347FFBB">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4.2.3.6</w:t>
      </w:r>
      <w:r>
        <w:rPr>
          <w:rFonts w:hint="eastAsia" w:ascii="宋体" w:hAnsi="宋体" w:eastAsia="宋体" w:cs="宋体"/>
          <w:color w:val="auto"/>
          <w:sz w:val="22"/>
          <w:szCs w:val="22"/>
          <w:highlight w:val="none"/>
        </w:rPr>
        <w:t>提出质疑的日期。</w:t>
      </w:r>
    </w:p>
    <w:p w14:paraId="29AFC93D">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供应商提交的质疑函需一式三份。供应商为自然人的，应当由本人签字；供应商为法人或者其他组织的，应当由法定代表人、主要负责人，或者其授权代表签字或者盖章，并加盖公章。</w:t>
      </w:r>
    </w:p>
    <w:p w14:paraId="2B23FA37">
      <w:pPr>
        <w:pStyle w:val="14"/>
        <w:keepNext w:val="0"/>
        <w:keepLines w:val="0"/>
        <w:pageBreakBefore w:val="0"/>
        <w:kinsoku/>
        <w:wordWrap/>
        <w:overflowPunct/>
        <w:topLinePunct w:val="0"/>
        <w:autoSpaceDE/>
        <w:autoSpaceDN/>
        <w:bidi w:val="0"/>
        <w:adjustRightInd/>
        <w:spacing w:beforeAutospacing="0"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质疑函范本及制作说明详见附件2。</w:t>
      </w:r>
    </w:p>
    <w:p w14:paraId="37840EBF">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Autospacing="0" w:line="420" w:lineRule="exact"/>
        <w:ind w:leftChars="0" w:firstLine="440" w:firstLineChars="200"/>
        <w:jc w:val="both"/>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zh-CN" w:eastAsia="zh-CN" w:bidi="ar-SA"/>
        </w:rPr>
        <w:t>4.2</w:t>
      </w:r>
      <w:r>
        <w:rPr>
          <w:rFonts w:hint="eastAsia" w:ascii="宋体" w:hAnsi="宋体" w:eastAsia="宋体" w:cs="宋体"/>
          <w:b w:val="0"/>
          <w:bCs w:val="0"/>
          <w:color w:val="auto"/>
          <w:kern w:val="0"/>
          <w:sz w:val="22"/>
          <w:szCs w:val="22"/>
          <w:highlight w:val="none"/>
          <w:lang w:val="en-US" w:eastAsia="zh-CN" w:bidi="ar-SA"/>
        </w:rPr>
        <w:t>.4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机构在质疑回复后5个工作日内，在浙江政府采购网的“其他公告”栏目公开质疑答复，答复内容应当完整。质疑函作为附件上传。</w:t>
      </w:r>
    </w:p>
    <w:p w14:paraId="3CFA3E40">
      <w:pPr>
        <w:pStyle w:val="3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4.2</w:t>
      </w:r>
      <w:r>
        <w:rPr>
          <w:rFonts w:hint="eastAsia" w:ascii="宋体" w:hAnsi="宋体" w:eastAsia="宋体" w:cs="宋体"/>
          <w:color w:val="auto"/>
          <w:sz w:val="22"/>
          <w:szCs w:val="22"/>
          <w:highlight w:val="none"/>
        </w:rPr>
        <w:t>.5询问或者质疑事项可能影响采购结果的，采购人应当暂停签订合同，已经签订合同的，应当中止履行合同。</w:t>
      </w:r>
    </w:p>
    <w:p w14:paraId="13485403">
      <w:pPr>
        <w:pStyle w:val="3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4.3供应商投诉</w:t>
      </w:r>
    </w:p>
    <w:p w14:paraId="63973101">
      <w:pPr>
        <w:pStyle w:val="3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4.3.1质疑供应商对采购人、采购机构的答复不满意或者采购人、采购机构未在规定的时间内作出答复的，可以在答复期满后十五个工作日内向同级政府采购监督管理部门提出投诉。</w:t>
      </w:r>
    </w:p>
    <w:p w14:paraId="7AAF4668">
      <w:pPr>
        <w:pStyle w:val="3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lang w:val="zh-CN"/>
        </w:rPr>
        <w:t>2</w:t>
      </w:r>
      <w:r>
        <w:rPr>
          <w:rFonts w:hint="eastAsia" w:ascii="宋体" w:hAnsi="宋体" w:eastAsia="宋体" w:cs="宋体"/>
          <w:color w:val="auto"/>
          <w:sz w:val="22"/>
          <w:szCs w:val="22"/>
          <w:highlight w:val="none"/>
        </w:rPr>
        <w:t>供应商投诉的事项不得超出已质疑事项的范围，基于质疑答复内容提出的投诉事项除外。</w:t>
      </w:r>
    </w:p>
    <w:p w14:paraId="75426D84">
      <w:pPr>
        <w:pStyle w:val="3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4.3.3供应商投诉应当有明确的请求和必要的证明材料。</w:t>
      </w:r>
    </w:p>
    <w:p w14:paraId="185C85FD">
      <w:pPr>
        <w:pStyle w:val="3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投诉书范本及制作说明详见附件3。</w:t>
      </w:r>
    </w:p>
    <w:p w14:paraId="78CAB604">
      <w:pPr>
        <w:spacing w:line="360" w:lineRule="auto"/>
        <w:jc w:val="center"/>
        <w:outlineLvl w:val="0"/>
        <w:rPr>
          <w:rFonts w:hint="eastAsia" w:ascii="宋体" w:hAnsi="宋体" w:eastAsia="宋体" w:cs="宋体"/>
          <w:b/>
          <w:color w:val="auto"/>
          <w:sz w:val="22"/>
          <w:szCs w:val="22"/>
          <w:highlight w:val="none"/>
        </w:rPr>
      </w:pPr>
    </w:p>
    <w:p w14:paraId="50E29624">
      <w:pPr>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二、征集文件的构成、澄清、修改</w:t>
      </w:r>
    </w:p>
    <w:p w14:paraId="2076F61F">
      <w:pPr>
        <w:pStyle w:val="3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20" w:lineRule="exact"/>
        <w:ind w:firstLine="442" w:firstLineChars="200"/>
        <w:contextualSpacing/>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5．征集文件的构成</w:t>
      </w:r>
    </w:p>
    <w:p w14:paraId="5E3375DC">
      <w:pPr>
        <w:pStyle w:val="3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 征集文件包括下列文件及附件：</w:t>
      </w:r>
    </w:p>
    <w:p w14:paraId="188FA680">
      <w:pPr>
        <w:pStyle w:val="3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5.1.1征集公告；</w:t>
      </w:r>
    </w:p>
    <w:p w14:paraId="3A4DF8D9">
      <w:pPr>
        <w:pStyle w:val="3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5.1.2投标人须知；</w:t>
      </w:r>
    </w:p>
    <w:p w14:paraId="6882EC8D">
      <w:pPr>
        <w:pStyle w:val="3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5.1.3采购需求；</w:t>
      </w:r>
    </w:p>
    <w:p w14:paraId="0C0A110D">
      <w:pPr>
        <w:pStyle w:val="3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5.1.4评标办法；</w:t>
      </w:r>
    </w:p>
    <w:p w14:paraId="2146F30D">
      <w:pPr>
        <w:pStyle w:val="3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5.1.5拟签订的合同文本；</w:t>
      </w:r>
    </w:p>
    <w:p w14:paraId="09B7103F">
      <w:pPr>
        <w:pStyle w:val="3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5.1.6应提交的有关格式范例。</w:t>
      </w:r>
    </w:p>
    <w:p w14:paraId="5D7DAA00">
      <w:pPr>
        <w:pStyle w:val="3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5.2与本项目有关的澄清或者修改的内容为征集文件的组成部分。</w:t>
      </w:r>
    </w:p>
    <w:p w14:paraId="16B69C07">
      <w:pPr>
        <w:pStyle w:val="3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20" w:lineRule="exact"/>
        <w:ind w:firstLine="442" w:firstLineChars="200"/>
        <w:contextualSpacing/>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 征集文件的澄清、修改</w:t>
      </w:r>
    </w:p>
    <w:p w14:paraId="0C521C07">
      <w:pPr>
        <w:pStyle w:val="3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6.1已获取征集文件的潜在投标人，若有问题需要澄清，应于响应截止时间前，以书面形式向采购机构提出。</w:t>
      </w:r>
    </w:p>
    <w:p w14:paraId="782B842C">
      <w:pPr>
        <w:pStyle w:val="3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20" w:lineRule="exact"/>
        <w:ind w:firstLine="440" w:firstLineChars="20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6.2 采购机构对征集文件进行澄清或修改的，将同时通过电子交易平台通知已获取征集文件的潜在投标人。依法应当公告的，将按规定公告，同时视情况延长响应截止时间和开标时间。该澄清或者修改的内容为征集文件的组成部分。</w:t>
      </w:r>
    </w:p>
    <w:p w14:paraId="372C228D">
      <w:pPr>
        <w:spacing w:line="360" w:lineRule="auto"/>
        <w:jc w:val="center"/>
        <w:outlineLvl w:val="0"/>
        <w:rPr>
          <w:rFonts w:hint="eastAsia" w:ascii="宋体" w:hAnsi="宋体" w:eastAsia="宋体" w:cs="宋体"/>
          <w:b/>
          <w:color w:val="auto"/>
          <w:sz w:val="22"/>
          <w:szCs w:val="22"/>
          <w:highlight w:val="none"/>
        </w:rPr>
      </w:pPr>
    </w:p>
    <w:p w14:paraId="744CB8C8">
      <w:pPr>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w:t>
      </w:r>
    </w:p>
    <w:p w14:paraId="356EB937">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7.征集文件的获取</w:t>
      </w:r>
    </w:p>
    <w:p w14:paraId="68403CA4">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详见征集公告中获取征集文件的时间期限、地点、方式及征集文件售价。</w:t>
      </w:r>
    </w:p>
    <w:p w14:paraId="279E8A28">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8.开标前答疑会或现场考察</w:t>
      </w:r>
    </w:p>
    <w:p w14:paraId="7E81F051">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征集人组织潜在投标人现场考察或者召开开标前答疑会的，潜在投标人按第二部分投标人须知前附表的规定参加现场考察或者开标前答疑会。</w:t>
      </w:r>
    </w:p>
    <w:p w14:paraId="00A873B6">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9.投标保证金</w:t>
      </w:r>
    </w:p>
    <w:p w14:paraId="65963ADF">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本项目不需缴纳投标保证金。</w:t>
      </w:r>
    </w:p>
    <w:p w14:paraId="4D7FDDCE">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10. 响应文件的语言</w:t>
      </w:r>
    </w:p>
    <w:p w14:paraId="04967F16">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响应文件及投标人与采购有关的来往通知、函件和文件均应使用中文。</w:t>
      </w:r>
    </w:p>
    <w:p w14:paraId="0E89357A">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11. 响应文件的组成</w:t>
      </w:r>
    </w:p>
    <w:p w14:paraId="5D63689C">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11.1资格文件：</w:t>
      </w:r>
    </w:p>
    <w:p w14:paraId="1F4C066E">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11.1.1符合参加政府采购活动应当具备的一般条件的承诺函；</w:t>
      </w:r>
    </w:p>
    <w:p w14:paraId="5331E3F5">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11.1.2落实政府采购政策需满足的资格要求（如</w:t>
      </w:r>
      <w:r>
        <w:rPr>
          <w:rFonts w:hint="eastAsia" w:ascii="宋体" w:hAnsi="宋体" w:cs="宋体"/>
          <w:color w:val="auto"/>
          <w:kern w:val="0"/>
          <w:sz w:val="22"/>
          <w:szCs w:val="22"/>
          <w:highlight w:val="none"/>
          <w:lang w:val="en-US" w:eastAsia="zh-CN"/>
        </w:rPr>
        <w:t>有</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w:t>
      </w:r>
    </w:p>
    <w:p w14:paraId="3A64C4DA">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11.1.3本项目的特定资格要求（如</w:t>
      </w:r>
      <w:r>
        <w:rPr>
          <w:rFonts w:hint="eastAsia" w:ascii="宋体" w:hAnsi="宋体" w:cs="宋体"/>
          <w:color w:val="auto"/>
          <w:kern w:val="0"/>
          <w:sz w:val="22"/>
          <w:szCs w:val="22"/>
          <w:highlight w:val="none"/>
          <w:lang w:val="en-US" w:eastAsia="zh-CN"/>
        </w:rPr>
        <w:t>有</w:t>
      </w:r>
      <w:r>
        <w:rPr>
          <w:rFonts w:hint="eastAsia" w:ascii="宋体" w:hAnsi="宋体" w:eastAsia="宋体" w:cs="宋体"/>
          <w:color w:val="auto"/>
          <w:kern w:val="0"/>
          <w:sz w:val="22"/>
          <w:szCs w:val="22"/>
          <w:highlight w:val="none"/>
        </w:rPr>
        <w:t>）。</w:t>
      </w:r>
    </w:p>
    <w:p w14:paraId="6932474B">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w:t>
      </w: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zh-CN"/>
        </w:rPr>
        <w:t xml:space="preserve">  </w:t>
      </w:r>
      <w:r>
        <w:rPr>
          <w:rFonts w:hint="eastAsia" w:ascii="宋体" w:hAnsi="宋体" w:eastAsia="宋体" w:cs="宋体"/>
          <w:color w:val="auto"/>
          <w:kern w:val="0"/>
          <w:sz w:val="22"/>
          <w:szCs w:val="22"/>
          <w:highlight w:val="none"/>
        </w:rPr>
        <w:t>商务技术</w:t>
      </w:r>
      <w:r>
        <w:rPr>
          <w:rFonts w:hint="eastAsia" w:ascii="宋体" w:hAnsi="宋体" w:eastAsia="宋体" w:cs="宋体"/>
          <w:color w:val="auto"/>
          <w:kern w:val="0"/>
          <w:sz w:val="22"/>
          <w:szCs w:val="22"/>
          <w:highlight w:val="none"/>
          <w:lang w:val="zh-CN"/>
        </w:rPr>
        <w:t>文件：</w:t>
      </w:r>
    </w:p>
    <w:p w14:paraId="7F797A5D">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11.2.1</w:t>
      </w:r>
      <w:r>
        <w:rPr>
          <w:rFonts w:hint="eastAsia" w:ascii="宋体" w:hAnsi="宋体" w:cs="宋体"/>
          <w:color w:val="auto"/>
          <w:kern w:val="0"/>
          <w:sz w:val="22"/>
          <w:szCs w:val="22"/>
          <w:highlight w:val="none"/>
          <w:lang w:eastAsia="zh-CN"/>
        </w:rPr>
        <w:t>响应函</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zh-CN"/>
        </w:rPr>
        <w:t xml:space="preserve"> </w:t>
      </w:r>
    </w:p>
    <w:p w14:paraId="35D137B1">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11.2.2授权委托书或法定代表人（单位负责人、自然人本人）身份证明；</w:t>
      </w:r>
    </w:p>
    <w:p w14:paraId="129BB2C2">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11.2.</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符合性审查资料；</w:t>
      </w:r>
    </w:p>
    <w:p w14:paraId="494C4528">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11.2.</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评标标准相应的商务技术资料；</w:t>
      </w:r>
    </w:p>
    <w:p w14:paraId="3749619E">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商务技术偏离表；</w:t>
      </w:r>
    </w:p>
    <w:p w14:paraId="5D1AE712">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w:t>
      </w: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zh-CN"/>
        </w:rPr>
        <w:t>政府采购供应商廉洁自律承诺书；</w:t>
      </w:r>
    </w:p>
    <w:p w14:paraId="1A924D56">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11.2.</w:t>
      </w: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 xml:space="preserve"> 本项目主要技术人员一览表</w:t>
      </w:r>
    </w:p>
    <w:p w14:paraId="269A42CA">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w:t>
      </w:r>
      <w:r>
        <w:rPr>
          <w:rFonts w:hint="eastAsia" w:ascii="宋体" w:hAnsi="宋体" w:eastAsia="宋体" w:cs="宋体"/>
          <w:color w:val="auto"/>
          <w:kern w:val="0"/>
          <w:sz w:val="22"/>
          <w:szCs w:val="22"/>
          <w:highlight w:val="none"/>
        </w:rPr>
        <w:t xml:space="preserve">3报价文件： </w:t>
      </w:r>
    </w:p>
    <w:p w14:paraId="75DB0608">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11.3.1开标一览表（报价表）</w:t>
      </w:r>
      <w:r>
        <w:rPr>
          <w:rFonts w:hint="eastAsia" w:ascii="宋体" w:hAnsi="宋体" w:cs="宋体"/>
          <w:color w:val="auto"/>
          <w:kern w:val="0"/>
          <w:sz w:val="22"/>
          <w:szCs w:val="22"/>
          <w:highlight w:val="none"/>
          <w:lang w:eastAsia="zh-CN"/>
        </w:rPr>
        <w:t>；</w:t>
      </w:r>
    </w:p>
    <w:p w14:paraId="6ED2024B">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11.3.2结算原则承诺函；</w:t>
      </w:r>
    </w:p>
    <w:p w14:paraId="4A66A44C">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11.3.3中小企业声明函（如</w:t>
      </w:r>
      <w:r>
        <w:rPr>
          <w:rFonts w:hint="eastAsia" w:ascii="宋体" w:hAnsi="宋体" w:cs="宋体"/>
          <w:color w:val="auto"/>
          <w:kern w:val="0"/>
          <w:sz w:val="22"/>
          <w:szCs w:val="22"/>
          <w:highlight w:val="none"/>
          <w:lang w:val="en-US" w:eastAsia="zh-CN"/>
        </w:rPr>
        <w:t>有</w:t>
      </w:r>
      <w:r>
        <w:rPr>
          <w:rFonts w:hint="eastAsia" w:ascii="宋体" w:hAnsi="宋体" w:eastAsia="宋体" w:cs="宋体"/>
          <w:color w:val="auto"/>
          <w:kern w:val="0"/>
          <w:sz w:val="22"/>
          <w:szCs w:val="22"/>
          <w:highlight w:val="none"/>
        </w:rPr>
        <w:t>）。</w:t>
      </w:r>
    </w:p>
    <w:p w14:paraId="5AC1ABF1">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11.4</w:t>
      </w:r>
      <w:r>
        <w:rPr>
          <w:rFonts w:hint="eastAsia" w:ascii="宋体" w:hAnsi="宋体" w:eastAsia="宋体" w:cs="宋体"/>
          <w:color w:val="auto"/>
          <w:kern w:val="0"/>
          <w:sz w:val="22"/>
          <w:szCs w:val="22"/>
          <w:highlight w:val="none"/>
        </w:rPr>
        <w:t>响应文件含有征集人不能接受的附加条件的，响应无效；</w:t>
      </w:r>
    </w:p>
    <w:p w14:paraId="3FF37444">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11.5</w:t>
      </w:r>
      <w:r>
        <w:rPr>
          <w:rFonts w:hint="eastAsia" w:ascii="宋体" w:hAnsi="宋体" w:eastAsia="宋体" w:cs="宋体"/>
          <w:color w:val="auto"/>
          <w:kern w:val="0"/>
          <w:sz w:val="22"/>
          <w:szCs w:val="22"/>
          <w:highlight w:val="none"/>
        </w:rPr>
        <w:t>投标人提供虚假材料响应的，响应无效。</w:t>
      </w:r>
    </w:p>
    <w:p w14:paraId="5B29352C">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12</w:t>
      </w:r>
      <w:r>
        <w:rPr>
          <w:rFonts w:hint="eastAsia" w:ascii="宋体" w:hAnsi="宋体" w:eastAsia="宋体" w:cs="宋体"/>
          <w:b/>
          <w:bCs/>
          <w:color w:val="auto"/>
          <w:kern w:val="0"/>
          <w:sz w:val="22"/>
          <w:szCs w:val="22"/>
          <w:highlight w:val="none"/>
          <w:lang w:val="zh-CN"/>
        </w:rPr>
        <w:t xml:space="preserve">. </w:t>
      </w:r>
      <w:r>
        <w:rPr>
          <w:rFonts w:hint="eastAsia" w:ascii="宋体" w:hAnsi="宋体" w:eastAsia="宋体" w:cs="宋体"/>
          <w:b/>
          <w:bCs/>
          <w:color w:val="auto"/>
          <w:kern w:val="0"/>
          <w:sz w:val="22"/>
          <w:szCs w:val="22"/>
          <w:highlight w:val="none"/>
        </w:rPr>
        <w:t>响应文件的编制</w:t>
      </w:r>
    </w:p>
    <w:p w14:paraId="5AF5CC7A">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12.1响应文件分为资格文件、商务技术文件、报价文件三部分。各投标人在编制响应文件时请按照征集文件第六部分规定的格式进行，混乱的编排导致响应文件被误读或评标委员会查找不到有效文件是投标人的风险。</w:t>
      </w:r>
    </w:p>
    <w:p w14:paraId="64D05895">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12.2投标人进行电子投标应安装客户端软件—“政采云电子交易客户端”，并按照征集文件和电子交易平台的要求编制并加密响应文件。投标人未按规定加密的响应文件，电子交易平台将拒收并提示。</w:t>
      </w:r>
    </w:p>
    <w:p w14:paraId="2484DE47">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12.3使用“政采云电子交易客户端”需要提前申领CA数字证书，申领流程请自行前往“浙江政府采购网-下载专区-电子交易客户端-CA驱动和申领流程”进行查阅。</w:t>
      </w:r>
    </w:p>
    <w:p w14:paraId="2D981DBF">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13.响应文件的签署、盖章</w:t>
      </w:r>
    </w:p>
    <w:p w14:paraId="63C810B1">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13.1响应文件按照征集文件第六部分格式要求进行签署、盖章。▲投标人的响应文件未按照征集文件要求签署、盖章的，其响应无效。</w:t>
      </w:r>
    </w:p>
    <w:p w14:paraId="2E7F312E">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13.2为确保网上操作合法、有效和安全，投标人应当在响应截止时间前完成在“政府采购云平台”的身份认证，确保在电子投标过程中能够对相关数据电文进行加密和使用电子签名。</w:t>
      </w:r>
    </w:p>
    <w:p w14:paraId="7B1629A8">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13.3征集文件对响应文件签署、盖章的要求适用于电子签名。</w:t>
      </w:r>
    </w:p>
    <w:p w14:paraId="49F4E018">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 响应文件的提交、补充、修改、撤回</w:t>
      </w:r>
    </w:p>
    <w:p w14:paraId="63D37073">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2EF419F3">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14.2电子交易平台收到响应文件，将妥善保存并即时向供应商发出确认回执通知。在响应截止时间前，除供应商补充、修改或者撤回响应文件外，任何单位和个人不得解密或提取响应文件。</w:t>
      </w:r>
    </w:p>
    <w:p w14:paraId="36EDB5A4">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14.3采购人、采购机构可以视情况延长响应文件提交的截止时间。在上述情况下，采购机构与投标人以前在响应截止期方面的全部权利、责任和义务，将适用于延长至新的响应截止期。</w:t>
      </w:r>
    </w:p>
    <w:p w14:paraId="7E76E4EB">
      <w:pPr>
        <w:keepNext w:val="0"/>
        <w:keepLines w:val="0"/>
        <w:pageBreakBefore w:val="0"/>
        <w:widowControl w:val="0"/>
        <w:numPr>
          <w:ilvl w:val="0"/>
          <w:numId w:val="3"/>
        </w:numPr>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备份响应文件</w:t>
      </w:r>
    </w:p>
    <w:p w14:paraId="6595051E">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15.1投标人在电子交易平台传输递交响应文件后，还可以在响应截止时间前直接提交或者以邮政快递方式递交备份响应文件1份，但采购人、采购机构不强制或变相强制投标人提交备份响应文件。</w:t>
      </w:r>
    </w:p>
    <w:p w14:paraId="13A4F66F">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15.2备份响应文件须在“政采云投标客户端”制作生成，并储存在</w:t>
      </w:r>
      <w:r>
        <w:rPr>
          <w:rFonts w:hint="eastAsia" w:ascii="宋体" w:hAnsi="宋体" w:eastAsia="宋体" w:cs="宋体"/>
          <w:color w:val="auto"/>
          <w:kern w:val="0"/>
          <w:sz w:val="22"/>
          <w:szCs w:val="22"/>
          <w:highlight w:val="none"/>
          <w:lang w:eastAsia="zh-CN"/>
        </w:rPr>
        <w:t>U盘</w:t>
      </w:r>
      <w:r>
        <w:rPr>
          <w:rFonts w:hint="eastAsia" w:ascii="宋体" w:hAnsi="宋体" w:eastAsia="宋体" w:cs="宋体"/>
          <w:color w:val="auto"/>
          <w:kern w:val="0"/>
          <w:sz w:val="22"/>
          <w:szCs w:val="22"/>
          <w:highlight w:val="none"/>
        </w:rPr>
        <w:t>中。备份响应文件应当密封包装并在包装上加盖公章并注明投标项目名称，投标人名称。不符合上述制作、存储、密封规定的备份响应文件将被视为无效或者被拒绝接收。</w:t>
      </w:r>
    </w:p>
    <w:p w14:paraId="2A705DB2">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15.3直接提交备份响应文件的，投标人应于响应截止时间前在招标公告中载明的开标地点将备份响应文件提交给采购机构，采购机构将拒绝接受逾期送达的备份响应文件。</w:t>
      </w:r>
    </w:p>
    <w:p w14:paraId="5FD28F67">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15.4以邮政快递方式递交备份响应文件的，投标人应先将备份响应文件按要求密封和标记，再进行邮政快递包装后邮寄。备份响应文件须在响应截止时间之前送达征集文件第二部分投标人须知前附表规定的备份响应文件送达地点；送达时间以签收人签收时间为准。采购机构将拒绝接受逾期送达的备份响应文件。邮寄过程中，电子备份响应文件发生泄露、遗失、损坏或延期送达等情况的，由投标人自行负责。</w:t>
      </w:r>
    </w:p>
    <w:p w14:paraId="783F17B1">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15.5投标人仅提交备份响应文件，没有在电子交易平台传输递交响应文件的，投标无效。</w:t>
      </w:r>
    </w:p>
    <w:p w14:paraId="765FE24B">
      <w:pPr>
        <w:keepNext w:val="0"/>
        <w:keepLines w:val="0"/>
        <w:pageBreakBefore w:val="0"/>
        <w:widowControl w:val="0"/>
        <w:numPr>
          <w:ilvl w:val="0"/>
          <w:numId w:val="3"/>
        </w:numPr>
        <w:kinsoku/>
        <w:wordWrap/>
        <w:overflowPunct/>
        <w:topLinePunct w:val="0"/>
        <w:autoSpaceDE/>
        <w:autoSpaceDN/>
        <w:bidi w:val="0"/>
        <w:adjustRightInd w:val="0"/>
        <w:snapToGrid w:val="0"/>
        <w:spacing w:line="420" w:lineRule="exact"/>
        <w:ind w:left="0" w:leftChars="0"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响应文件的无效处理</w:t>
      </w:r>
    </w:p>
    <w:p w14:paraId="6D4AEC9C">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有征集文件第四部分第13项规定的情形之一的，响应无效。</w:t>
      </w:r>
    </w:p>
    <w:p w14:paraId="7E89506A">
      <w:pPr>
        <w:keepNext w:val="0"/>
        <w:keepLines w:val="0"/>
        <w:pageBreakBefore w:val="0"/>
        <w:widowControl w:val="0"/>
        <w:numPr>
          <w:ilvl w:val="0"/>
          <w:numId w:val="3"/>
        </w:numPr>
        <w:kinsoku/>
        <w:wordWrap/>
        <w:overflowPunct/>
        <w:topLinePunct w:val="0"/>
        <w:autoSpaceDE/>
        <w:autoSpaceDN/>
        <w:bidi w:val="0"/>
        <w:adjustRightInd w:val="0"/>
        <w:snapToGrid w:val="0"/>
        <w:spacing w:line="420" w:lineRule="exact"/>
        <w:ind w:left="0" w:leftChars="0"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投标有效期</w:t>
      </w:r>
    </w:p>
    <w:p w14:paraId="434C4F3D">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17.1投标有效期为从提交响应文件的截止之日起90天。▲投标人的响应文件中承诺的投标有效期少于征集文件中载明的投标有效期的，投标无效。</w:t>
      </w:r>
    </w:p>
    <w:p w14:paraId="738DC708">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17.2响应文件合格投递后，自响应截止日期起，在投标有效期内有效。</w:t>
      </w:r>
    </w:p>
    <w:p w14:paraId="20699883">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17.3在原定投标有效期满之前，如果出现特殊情况，采购机构可以以书面形式通知投标人延长投标有效期。投标人同意延长的，不得要求或被允许修改其响应文件，投标人拒绝延长的，其响应无效。</w:t>
      </w:r>
    </w:p>
    <w:p w14:paraId="731D60FD">
      <w:pPr>
        <w:adjustRightInd w:val="0"/>
        <w:spacing w:after="120" w:line="360" w:lineRule="auto"/>
        <w:jc w:val="both"/>
        <w:rPr>
          <w:rFonts w:hint="eastAsia" w:ascii="宋体" w:hAnsi="宋体" w:eastAsia="宋体" w:cs="宋体"/>
          <w:b/>
          <w:color w:val="auto"/>
          <w:sz w:val="28"/>
          <w:szCs w:val="28"/>
          <w:highlight w:val="none"/>
        </w:rPr>
      </w:pPr>
    </w:p>
    <w:p w14:paraId="783B7ACE">
      <w:pPr>
        <w:adjustRightInd w:val="0"/>
        <w:spacing w:after="12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四、开标、资格审查与信用信息查询</w:t>
      </w:r>
    </w:p>
    <w:p w14:paraId="1DC462C6">
      <w:pPr>
        <w:pStyle w:val="37"/>
        <w:keepNext w:val="0"/>
        <w:keepLines w:val="0"/>
        <w:pageBreakBefore w:val="0"/>
        <w:kinsoku/>
        <w:wordWrap/>
        <w:overflowPunct/>
        <w:topLinePunct w:val="0"/>
        <w:bidi w:val="0"/>
        <w:spacing w:before="0" w:line="380" w:lineRule="exact"/>
        <w:ind w:firstLine="0" w:firstLineChars="0"/>
        <w:textAlignment w:val="auto"/>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18.评标委员会的组成</w:t>
      </w:r>
    </w:p>
    <w:p w14:paraId="24072568">
      <w:pPr>
        <w:pStyle w:val="37"/>
        <w:keepNext w:val="0"/>
        <w:keepLines w:val="0"/>
        <w:pageBreakBefore w:val="0"/>
        <w:kinsoku/>
        <w:wordWrap/>
        <w:overflowPunct/>
        <w:topLinePunct w:val="0"/>
        <w:bidi w:val="0"/>
        <w:spacing w:before="0" w:line="380" w:lineRule="exact"/>
        <w:ind w:firstLine="48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18.1评标委员会的组成。评标委员会由征集人代表和评审专家组成，成员人数为5人及以上单数，其中评审专家不少于成员总数的三分之二。评标委员会集体推荐组长一名，征集人代表不得推荐为组长。</w:t>
      </w:r>
    </w:p>
    <w:p w14:paraId="4E1EE38E">
      <w:pPr>
        <w:pStyle w:val="37"/>
        <w:keepNext w:val="0"/>
        <w:keepLines w:val="0"/>
        <w:pageBreakBefore w:val="0"/>
        <w:kinsoku/>
        <w:wordWrap/>
        <w:overflowPunct/>
        <w:topLinePunct w:val="0"/>
        <w:bidi w:val="0"/>
        <w:spacing w:before="0" w:line="380" w:lineRule="exact"/>
        <w:ind w:firstLine="48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w:t>
      </w:r>
      <w:r>
        <w:rPr>
          <w:rFonts w:hint="eastAsia" w:ascii="宋体" w:hAnsi="宋体" w:cs="宋体"/>
          <w:color w:val="auto"/>
          <w:kern w:val="0"/>
          <w:sz w:val="22"/>
          <w:szCs w:val="22"/>
          <w:highlight w:val="none"/>
          <w:lang w:val="en-US" w:eastAsia="zh-CN" w:bidi="ar-SA"/>
        </w:rPr>
        <w:t>8</w:t>
      </w:r>
      <w:r>
        <w:rPr>
          <w:rFonts w:hint="eastAsia" w:ascii="宋体" w:hAnsi="宋体" w:eastAsia="宋体" w:cs="宋体"/>
          <w:color w:val="auto"/>
          <w:kern w:val="0"/>
          <w:sz w:val="22"/>
          <w:szCs w:val="22"/>
          <w:highlight w:val="none"/>
          <w:lang w:val="en-US" w:eastAsia="zh-CN" w:bidi="ar-SA"/>
        </w:rPr>
        <w:t>.2评标委员会的组成人员的回避。在政府采购活动中，评标委员会的组成人员与供应商有下列利害关系之一的，应当回避：</w:t>
      </w:r>
    </w:p>
    <w:p w14:paraId="66D6DF85">
      <w:pPr>
        <w:pStyle w:val="37"/>
        <w:keepNext w:val="0"/>
        <w:keepLines w:val="0"/>
        <w:pageBreakBefore w:val="0"/>
        <w:kinsoku/>
        <w:wordWrap/>
        <w:overflowPunct/>
        <w:topLinePunct w:val="0"/>
        <w:bidi w:val="0"/>
        <w:spacing w:before="0" w:line="380" w:lineRule="exact"/>
        <w:ind w:firstLine="48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（1）参加采购活动前3年内与供应商存在劳动关系；</w:t>
      </w:r>
    </w:p>
    <w:p w14:paraId="7263ECE3">
      <w:pPr>
        <w:pStyle w:val="37"/>
        <w:keepNext w:val="0"/>
        <w:keepLines w:val="0"/>
        <w:pageBreakBefore w:val="0"/>
        <w:kinsoku/>
        <w:wordWrap/>
        <w:overflowPunct/>
        <w:topLinePunct w:val="0"/>
        <w:bidi w:val="0"/>
        <w:spacing w:before="0" w:line="380" w:lineRule="exact"/>
        <w:ind w:firstLine="48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（2）参加采购活动前3年内担任供应商的董事、监事；</w:t>
      </w:r>
    </w:p>
    <w:p w14:paraId="4E414DD3">
      <w:pPr>
        <w:pStyle w:val="37"/>
        <w:keepNext w:val="0"/>
        <w:keepLines w:val="0"/>
        <w:pageBreakBefore w:val="0"/>
        <w:kinsoku/>
        <w:wordWrap/>
        <w:overflowPunct/>
        <w:topLinePunct w:val="0"/>
        <w:bidi w:val="0"/>
        <w:spacing w:before="0" w:line="380" w:lineRule="exact"/>
        <w:ind w:firstLine="48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（3）参加采购活动前3年内是供应商的控股股东或者实际控制人；</w:t>
      </w:r>
    </w:p>
    <w:p w14:paraId="4ED2F32C">
      <w:pPr>
        <w:pStyle w:val="37"/>
        <w:keepNext w:val="0"/>
        <w:keepLines w:val="0"/>
        <w:pageBreakBefore w:val="0"/>
        <w:kinsoku/>
        <w:wordWrap/>
        <w:overflowPunct/>
        <w:topLinePunct w:val="0"/>
        <w:bidi w:val="0"/>
        <w:spacing w:before="0" w:line="380" w:lineRule="exact"/>
        <w:ind w:firstLine="48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（4）与供应商的法定代表人或者负责人有夫妻、直系血亲、三代以内旁系血亲或者近姻亲关系；</w:t>
      </w:r>
    </w:p>
    <w:p w14:paraId="46A9473C">
      <w:pPr>
        <w:pStyle w:val="37"/>
        <w:keepNext w:val="0"/>
        <w:keepLines w:val="0"/>
        <w:pageBreakBefore w:val="0"/>
        <w:kinsoku/>
        <w:wordWrap/>
        <w:overflowPunct/>
        <w:topLinePunct w:val="0"/>
        <w:bidi w:val="0"/>
        <w:spacing w:before="0" w:line="380" w:lineRule="exact"/>
        <w:ind w:firstLine="48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（5）与供应商有其他可能影响政府采购活动公平、公正进行的关系。</w:t>
      </w:r>
    </w:p>
    <w:p w14:paraId="3DD27D65">
      <w:pPr>
        <w:pStyle w:val="48"/>
        <w:keepNext w:val="0"/>
        <w:keepLines w:val="0"/>
        <w:pageBreakBefore w:val="0"/>
        <w:kinsoku/>
        <w:wordWrap/>
        <w:overflowPunct/>
        <w:topLinePunct w:val="0"/>
        <w:bidi w:val="0"/>
        <w:spacing w:before="0" w:line="380" w:lineRule="exact"/>
        <w:ind w:left="0" w:firstLine="0"/>
        <w:contextualSpacing/>
        <w:textAlignment w:val="auto"/>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 xml:space="preserve">19.开标 </w:t>
      </w:r>
    </w:p>
    <w:p w14:paraId="7512F17C">
      <w:pPr>
        <w:pStyle w:val="48"/>
        <w:keepNext w:val="0"/>
        <w:keepLines w:val="0"/>
        <w:pageBreakBefore w:val="0"/>
        <w:kinsoku/>
        <w:wordWrap/>
        <w:overflowPunct/>
        <w:topLinePunct w:val="0"/>
        <w:bidi w:val="0"/>
        <w:spacing w:before="0" w:line="380" w:lineRule="exact"/>
        <w:ind w:left="0" w:firstLine="440" w:firstLineChars="200"/>
        <w:contextualSpacing/>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19.1按照征集文件规定的时间通过电子交易平台组织开标，所有供应商均应当准时在线参加。供应商不足3家的，不得开标。</w:t>
      </w:r>
    </w:p>
    <w:p w14:paraId="6D1ACDD2">
      <w:pPr>
        <w:pStyle w:val="48"/>
        <w:keepNext w:val="0"/>
        <w:keepLines w:val="0"/>
        <w:pageBreakBefore w:val="0"/>
        <w:kinsoku/>
        <w:wordWrap/>
        <w:overflowPunct/>
        <w:topLinePunct w:val="0"/>
        <w:bidi w:val="0"/>
        <w:spacing w:before="0" w:line="380" w:lineRule="exact"/>
        <w:ind w:left="0" w:firstLine="220" w:firstLineChars="100"/>
        <w:contextualSpacing/>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19.2开标时，电子交易平台按开标时间自动提取所有响应文件。采购代理机构依托电子交易平台发起开始解密指令，供应商按照平台提示在征集文件规定时间内完成在线解密。</w:t>
      </w:r>
    </w:p>
    <w:p w14:paraId="67EC2791">
      <w:pPr>
        <w:pStyle w:val="48"/>
        <w:keepNext w:val="0"/>
        <w:keepLines w:val="0"/>
        <w:pageBreakBefore w:val="0"/>
        <w:kinsoku/>
        <w:wordWrap/>
        <w:overflowPunct/>
        <w:topLinePunct w:val="0"/>
        <w:bidi w:val="0"/>
        <w:spacing w:before="0" w:line="380" w:lineRule="exact"/>
        <w:ind w:left="0" w:firstLine="220" w:firstLineChars="100"/>
        <w:contextualSpacing/>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19.3响应文件未按时解密，供应商提供了备份响应文件的，经供应商同意后以备份响应文件作为依据，否则视为响应文件撤回。响应文件已按时解密的，备份响应文件自动失效。</w:t>
      </w:r>
    </w:p>
    <w:p w14:paraId="51FF5FAA">
      <w:pPr>
        <w:pStyle w:val="48"/>
        <w:keepNext w:val="0"/>
        <w:keepLines w:val="0"/>
        <w:pageBreakBefore w:val="0"/>
        <w:kinsoku/>
        <w:wordWrap/>
        <w:overflowPunct/>
        <w:topLinePunct w:val="0"/>
        <w:bidi w:val="0"/>
        <w:spacing w:before="0" w:line="380" w:lineRule="exact"/>
        <w:ind w:left="0" w:firstLine="0"/>
        <w:contextualSpacing/>
        <w:textAlignment w:val="auto"/>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20.资格审查</w:t>
      </w:r>
    </w:p>
    <w:p w14:paraId="6DA8CABB">
      <w:pPr>
        <w:pStyle w:val="37"/>
        <w:keepNext w:val="0"/>
        <w:keepLines w:val="0"/>
        <w:pageBreakBefore w:val="0"/>
        <w:kinsoku/>
        <w:wordWrap/>
        <w:overflowPunct/>
        <w:topLinePunct w:val="0"/>
        <w:bidi w:val="0"/>
        <w:spacing w:before="0" w:line="380" w:lineRule="exact"/>
        <w:ind w:firstLine="48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20.1开标后，采购人或采购代理机构将依法对供应商的资格进行审查。</w:t>
      </w:r>
    </w:p>
    <w:p w14:paraId="0256AB1C">
      <w:pPr>
        <w:keepNext w:val="0"/>
        <w:keepLines w:val="0"/>
        <w:pageBreakBefore w:val="0"/>
        <w:kinsoku/>
        <w:wordWrap/>
        <w:overflowPunct/>
        <w:topLinePunct w:val="0"/>
        <w:bidi w:val="0"/>
        <w:snapToGrid w:val="0"/>
        <w:spacing w:line="380" w:lineRule="exact"/>
        <w:ind w:firstLine="440" w:firstLineChars="2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20.2采购人或采购代理机构依据法律法规和征集文件的规定，对供应商的基本资格条件、特定资格条件进行审查。</w:t>
      </w:r>
    </w:p>
    <w:p w14:paraId="3A8AC899">
      <w:pPr>
        <w:pStyle w:val="37"/>
        <w:keepNext w:val="0"/>
        <w:keepLines w:val="0"/>
        <w:pageBreakBefore w:val="0"/>
        <w:kinsoku/>
        <w:wordWrap/>
        <w:overflowPunct/>
        <w:topLinePunct w:val="0"/>
        <w:bidi w:val="0"/>
        <w:spacing w:before="0" w:line="380" w:lineRule="exact"/>
        <w:ind w:firstLine="48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20.3供应商未按照征集文件要求提供与基本资格条件、特定资格条件相应的有效资格证明材料的，视为供应商不具备征集文件中规定的资格要求，其响应无效。</w:t>
      </w:r>
    </w:p>
    <w:p w14:paraId="4F76DBB6">
      <w:pPr>
        <w:pStyle w:val="37"/>
        <w:keepNext w:val="0"/>
        <w:keepLines w:val="0"/>
        <w:pageBreakBefore w:val="0"/>
        <w:kinsoku/>
        <w:wordWrap/>
        <w:overflowPunct/>
        <w:topLinePunct w:val="0"/>
        <w:bidi w:val="0"/>
        <w:spacing w:before="0" w:line="380" w:lineRule="exact"/>
        <w:ind w:firstLine="48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20.4对未通过资格审查的供应商，采购人或采购代理机构告知其未通过的原因。</w:t>
      </w:r>
    </w:p>
    <w:p w14:paraId="50A5BDA4">
      <w:pPr>
        <w:pStyle w:val="37"/>
        <w:keepNext w:val="0"/>
        <w:keepLines w:val="0"/>
        <w:pageBreakBefore w:val="0"/>
        <w:kinsoku/>
        <w:wordWrap/>
        <w:overflowPunct/>
        <w:topLinePunct w:val="0"/>
        <w:bidi w:val="0"/>
        <w:spacing w:before="0" w:line="380" w:lineRule="exact"/>
        <w:ind w:firstLine="48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20.5合格供应商不足3家的，不再评审。</w:t>
      </w:r>
    </w:p>
    <w:p w14:paraId="1DFE38E6">
      <w:pPr>
        <w:pStyle w:val="37"/>
        <w:keepNext w:val="0"/>
        <w:keepLines w:val="0"/>
        <w:pageBreakBefore w:val="0"/>
        <w:kinsoku/>
        <w:wordWrap/>
        <w:overflowPunct/>
        <w:topLinePunct w:val="0"/>
        <w:bidi w:val="0"/>
        <w:spacing w:before="0" w:line="380" w:lineRule="exact"/>
        <w:ind w:firstLine="0" w:firstLineChars="0"/>
        <w:textAlignment w:val="auto"/>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21.信用信息查询</w:t>
      </w:r>
    </w:p>
    <w:p w14:paraId="183D76D0">
      <w:pPr>
        <w:pStyle w:val="37"/>
        <w:keepNext w:val="0"/>
        <w:keepLines w:val="0"/>
        <w:pageBreakBefore w:val="0"/>
        <w:kinsoku/>
        <w:wordWrap/>
        <w:overflowPunct/>
        <w:topLinePunct w:val="0"/>
        <w:bidi w:val="0"/>
        <w:spacing w:before="0" w:line="380" w:lineRule="exact"/>
        <w:ind w:firstLine="495" w:firstLineChars="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21.1信用信息查询渠道及截止时间：采购代理机构将通过“信用中国”网站(www.creditchina.gov.cn)、中国政府采购网(www.ccgp.gov.cn)渠道查询供应商响应截止时间当天的信用记录。</w:t>
      </w:r>
    </w:p>
    <w:p w14:paraId="06FB6A3F">
      <w:pPr>
        <w:pStyle w:val="37"/>
        <w:keepNext w:val="0"/>
        <w:keepLines w:val="0"/>
        <w:pageBreakBefore w:val="0"/>
        <w:kinsoku/>
        <w:wordWrap/>
        <w:overflowPunct/>
        <w:topLinePunct w:val="0"/>
        <w:bidi w:val="0"/>
        <w:spacing w:before="0" w:line="380" w:lineRule="exact"/>
        <w:ind w:firstLine="495" w:firstLineChars="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21.2信用信息查询记录和证据留存的具体方式：现场查询的供应商的信用记录、查询结果经确认后将与采购文件一起存档。</w:t>
      </w:r>
    </w:p>
    <w:p w14:paraId="361A27B9">
      <w:pPr>
        <w:pStyle w:val="37"/>
        <w:keepNext w:val="0"/>
        <w:keepLines w:val="0"/>
        <w:pageBreakBefore w:val="0"/>
        <w:kinsoku/>
        <w:wordWrap/>
        <w:overflowPunct/>
        <w:topLinePunct w:val="0"/>
        <w:bidi w:val="0"/>
        <w:spacing w:before="0" w:line="380" w:lineRule="exact"/>
        <w:ind w:firstLine="495" w:firstLineChars="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21.3信用信息的使用规则：经查询列入失信被执行人名单、重大税收违法案件当事人名单、政府采购严重违法失信行为记录名单的供应商将被拒绝参与政府采购活动。</w:t>
      </w:r>
    </w:p>
    <w:p w14:paraId="43197A46">
      <w:pPr>
        <w:adjustRightInd w:val="0"/>
        <w:snapToGrid w:val="0"/>
        <w:spacing w:line="360" w:lineRule="auto"/>
        <w:ind w:firstLine="440" w:firstLineChars="200"/>
        <w:jc w:val="both"/>
        <w:outlineLvl w:val="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21.4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F0DF902">
      <w:pPr>
        <w:adjustRightInd w:val="0"/>
        <w:snapToGrid w:val="0"/>
        <w:spacing w:line="360" w:lineRule="auto"/>
        <w:jc w:val="center"/>
        <w:outlineLvl w:val="0"/>
        <w:rPr>
          <w:rFonts w:hint="eastAsia" w:ascii="宋体" w:hAnsi="宋体" w:eastAsia="宋体" w:cs="宋体"/>
          <w:b/>
          <w:color w:val="auto"/>
          <w:sz w:val="28"/>
          <w:szCs w:val="28"/>
          <w:highlight w:val="none"/>
        </w:rPr>
      </w:pPr>
    </w:p>
    <w:p w14:paraId="1C549A9E">
      <w:pPr>
        <w:adjustRightInd w:val="0"/>
        <w:snapToGrid w:val="0"/>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五、评标</w:t>
      </w:r>
    </w:p>
    <w:p w14:paraId="5A7E754F">
      <w:pPr>
        <w:adjustRightInd w:val="0"/>
        <w:snapToGrid w:val="0"/>
        <w:spacing w:after="120" w:line="360" w:lineRule="auto"/>
        <w:ind w:firstLine="442" w:firstLineChars="200"/>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2</w:t>
      </w:r>
      <w:r>
        <w:rPr>
          <w:rFonts w:hint="eastAsia" w:ascii="宋体" w:hAnsi="宋体" w:eastAsia="宋体" w:cs="宋体"/>
          <w:b/>
          <w:bCs/>
          <w:color w:val="auto"/>
          <w:kern w:val="0"/>
          <w:sz w:val="22"/>
          <w:szCs w:val="22"/>
          <w:highlight w:val="none"/>
          <w:lang w:val="en-US" w:eastAsia="zh-CN"/>
        </w:rPr>
        <w:t>2</w:t>
      </w:r>
      <w:r>
        <w:rPr>
          <w:rFonts w:hint="eastAsia" w:ascii="宋体" w:hAnsi="宋体" w:eastAsia="宋体" w:cs="宋体"/>
          <w:b/>
          <w:bCs/>
          <w:color w:val="auto"/>
          <w:kern w:val="0"/>
          <w:sz w:val="22"/>
          <w:szCs w:val="22"/>
          <w:highlight w:val="none"/>
        </w:rPr>
        <w:t>.</w:t>
      </w:r>
      <w:r>
        <w:rPr>
          <w:rFonts w:hint="eastAsia" w:ascii="宋体" w:hAnsi="宋体" w:eastAsia="宋体" w:cs="宋体"/>
          <w:color w:val="auto"/>
          <w:kern w:val="0"/>
          <w:sz w:val="22"/>
          <w:szCs w:val="22"/>
          <w:highlight w:val="none"/>
          <w:lang w:eastAsia="zh-CN"/>
        </w:rPr>
        <w:t>评标委员会</w:t>
      </w:r>
      <w:r>
        <w:rPr>
          <w:rFonts w:hint="eastAsia" w:ascii="宋体" w:hAnsi="宋体" w:eastAsia="宋体" w:cs="宋体"/>
          <w:color w:val="auto"/>
          <w:kern w:val="0"/>
          <w:sz w:val="22"/>
          <w:szCs w:val="22"/>
          <w:highlight w:val="none"/>
        </w:rPr>
        <w:t>将根据征集文件和有关规定，履行评审工作职责，并按照评审方法及评分标准，全面衡量各供应商对征集文件的响应情况。对实质上响应征集文件的供应商，按照响应报价、评审因素的量化指标排出推荐入围的供应商的先后顺序，并按顺序提出授标建议。</w:t>
      </w:r>
    </w:p>
    <w:p w14:paraId="56B36911">
      <w:pPr>
        <w:adjustRightInd w:val="0"/>
        <w:snapToGrid w:val="0"/>
        <w:spacing w:after="120" w:line="360" w:lineRule="auto"/>
        <w:ind w:firstLine="442" w:firstLineChars="20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w:t>
      </w:r>
      <w:r>
        <w:rPr>
          <w:rFonts w:hint="eastAsia" w:ascii="宋体" w:hAnsi="宋体" w:eastAsia="宋体" w:cs="宋体"/>
          <w:b/>
          <w:bCs/>
          <w:color w:val="auto"/>
          <w:kern w:val="0"/>
          <w:sz w:val="22"/>
          <w:szCs w:val="22"/>
          <w:highlight w:val="none"/>
          <w:lang w:val="en-US" w:eastAsia="zh-CN"/>
        </w:rPr>
        <w:t>3</w:t>
      </w:r>
      <w:r>
        <w:rPr>
          <w:rFonts w:hint="eastAsia" w:ascii="宋体" w:hAnsi="宋体" w:eastAsia="宋体" w:cs="宋体"/>
          <w:b/>
          <w:bCs/>
          <w:color w:val="auto"/>
          <w:kern w:val="0"/>
          <w:sz w:val="22"/>
          <w:szCs w:val="22"/>
          <w:highlight w:val="none"/>
        </w:rPr>
        <w:t>.评审淘汰机制</w:t>
      </w:r>
    </w:p>
    <w:p w14:paraId="39DE4AFE">
      <w:pPr>
        <w:adjustRightInd w:val="0"/>
        <w:snapToGrid w:val="0"/>
        <w:spacing w:after="120"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确定第一阶段入围供应商时，提交响应文件和符合资格条件、实质性要求的供应商应当均</w:t>
      </w:r>
      <w:r>
        <w:rPr>
          <w:rFonts w:hint="eastAsia" w:ascii="宋体" w:hAnsi="宋体" w:eastAsia="宋体" w:cs="宋体"/>
          <w:color w:val="auto"/>
          <w:kern w:val="0"/>
          <w:sz w:val="22"/>
          <w:szCs w:val="22"/>
          <w:highlight w:val="none"/>
          <w:lang w:val="en-US" w:eastAsia="zh-CN"/>
        </w:rPr>
        <w:t>不少于3</w:t>
      </w:r>
      <w:r>
        <w:rPr>
          <w:rFonts w:hint="eastAsia" w:ascii="宋体" w:hAnsi="宋体" w:eastAsia="宋体" w:cs="宋体"/>
          <w:color w:val="auto"/>
          <w:kern w:val="0"/>
          <w:sz w:val="22"/>
          <w:szCs w:val="22"/>
          <w:highlight w:val="none"/>
        </w:rPr>
        <w:t>家，淘汰比例为进入排序单位数量的20%，向上取整数，且至少淘汰一家供应商。</w:t>
      </w:r>
    </w:p>
    <w:p w14:paraId="4F121C45">
      <w:pPr>
        <w:adjustRightInd w:val="0"/>
        <w:snapToGrid w:val="0"/>
        <w:spacing w:line="360" w:lineRule="auto"/>
        <w:jc w:val="center"/>
        <w:outlineLvl w:val="0"/>
        <w:rPr>
          <w:rFonts w:hint="eastAsia" w:ascii="宋体" w:hAnsi="宋体" w:eastAsia="宋体" w:cs="宋体"/>
          <w:b/>
          <w:color w:val="auto"/>
          <w:sz w:val="28"/>
          <w:szCs w:val="28"/>
          <w:highlight w:val="none"/>
        </w:rPr>
      </w:pPr>
    </w:p>
    <w:p w14:paraId="08C8BA85">
      <w:pPr>
        <w:adjustRightInd w:val="0"/>
        <w:snapToGrid w:val="0"/>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六、入围供应商确定</w:t>
      </w:r>
    </w:p>
    <w:p w14:paraId="737BCFB1">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w:t>
      </w:r>
      <w:r>
        <w:rPr>
          <w:rFonts w:hint="eastAsia" w:ascii="宋体" w:hAnsi="宋体" w:cs="宋体"/>
          <w:b/>
          <w:bCs/>
          <w:color w:val="auto"/>
          <w:kern w:val="0"/>
          <w:sz w:val="22"/>
          <w:szCs w:val="22"/>
          <w:highlight w:val="none"/>
          <w:lang w:val="en-US" w:eastAsia="zh-CN"/>
        </w:rPr>
        <w:t>4</w:t>
      </w:r>
      <w:r>
        <w:rPr>
          <w:rFonts w:hint="eastAsia" w:ascii="宋体" w:hAnsi="宋体" w:eastAsia="宋体" w:cs="宋体"/>
          <w:b/>
          <w:bCs/>
          <w:color w:val="auto"/>
          <w:kern w:val="0"/>
          <w:sz w:val="22"/>
          <w:szCs w:val="22"/>
          <w:highlight w:val="none"/>
        </w:rPr>
        <w:t>. 确定入围供应商</w:t>
      </w:r>
    </w:p>
    <w:p w14:paraId="57218E13">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本项目由评标委员会推荐入围供应商候选人，征集人不得在评标委员会推荐的入围供应商候选人以外确定入围供应商候选人。</w:t>
      </w:r>
    </w:p>
    <w:p w14:paraId="695B01C0">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w:t>
      </w:r>
      <w:r>
        <w:rPr>
          <w:rFonts w:hint="eastAsia" w:ascii="宋体" w:hAnsi="宋体" w:cs="宋体"/>
          <w:b/>
          <w:bCs/>
          <w:color w:val="auto"/>
          <w:kern w:val="0"/>
          <w:sz w:val="22"/>
          <w:szCs w:val="22"/>
          <w:highlight w:val="none"/>
          <w:lang w:val="en-US" w:eastAsia="zh-CN"/>
        </w:rPr>
        <w:t>5</w:t>
      </w:r>
      <w:r>
        <w:rPr>
          <w:rFonts w:hint="eastAsia" w:ascii="宋体" w:hAnsi="宋体" w:eastAsia="宋体" w:cs="宋体"/>
          <w:b/>
          <w:bCs/>
          <w:color w:val="auto"/>
          <w:kern w:val="0"/>
          <w:sz w:val="22"/>
          <w:szCs w:val="22"/>
          <w:highlight w:val="none"/>
        </w:rPr>
        <w:t>. 入围通知与入围结果公告</w:t>
      </w:r>
    </w:p>
    <w:p w14:paraId="192C0838">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.1自入围人确定之日起2个工作日内，采购代理机构通过电子交易平台向入围人发出入围通知书，同时编制发布采购结果公告。采购代理机构也可以以纸质形式进行入围通知。</w:t>
      </w:r>
    </w:p>
    <w:p w14:paraId="7D0DCF07">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.2公告期限为1个工作日。</w:t>
      </w:r>
    </w:p>
    <w:p w14:paraId="47C754F2">
      <w:pPr>
        <w:numPr>
          <w:ilvl w:val="0"/>
          <w:numId w:val="0"/>
        </w:numPr>
        <w:adjustRightInd w:val="0"/>
        <w:spacing w:after="120" w:line="360" w:lineRule="auto"/>
        <w:jc w:val="center"/>
        <w:rPr>
          <w:rFonts w:hint="eastAsia" w:ascii="宋体" w:hAnsi="宋体" w:eastAsia="宋体" w:cs="宋体"/>
          <w:b/>
          <w:color w:val="auto"/>
          <w:sz w:val="28"/>
          <w:szCs w:val="28"/>
          <w:highlight w:val="none"/>
          <w:lang w:eastAsia="zh-CN"/>
        </w:rPr>
      </w:pPr>
    </w:p>
    <w:p w14:paraId="36F2ED31">
      <w:pPr>
        <w:pStyle w:val="5"/>
        <w:keepNext w:val="0"/>
        <w:keepLines w:val="0"/>
        <w:pageBreakBefore w:val="0"/>
        <w:numPr>
          <w:ilvl w:val="0"/>
          <w:numId w:val="0"/>
        </w:numPr>
        <w:tabs>
          <w:tab w:val="clear" w:pos="432"/>
        </w:tabs>
        <w:kinsoku/>
        <w:wordWrap/>
        <w:overflowPunct/>
        <w:topLinePunct w:val="0"/>
        <w:bidi w:val="0"/>
        <w:spacing w:line="380" w:lineRule="exact"/>
        <w:ind w:left="432" w:leftChars="0" w:hanging="432" w:firstLineChars="0"/>
        <w:jc w:val="center"/>
        <w:textAlignment w:val="auto"/>
        <w:rPr>
          <w:rFonts w:hint="eastAsia" w:ascii="宋体" w:hAnsi="宋体" w:eastAsia="宋体" w:cs="宋体"/>
          <w:b/>
          <w:bCs w:val="0"/>
          <w:color w:val="auto"/>
          <w:kern w:val="2"/>
          <w:sz w:val="28"/>
          <w:szCs w:val="28"/>
          <w:highlight w:val="none"/>
          <w:lang w:val="en-US" w:eastAsia="zh-CN" w:bidi="ar-SA"/>
        </w:rPr>
      </w:pPr>
      <w:bookmarkStart w:id="0" w:name="_Toc25764"/>
      <w:r>
        <w:rPr>
          <w:rFonts w:hint="eastAsia" w:ascii="宋体" w:hAnsi="宋体" w:eastAsia="宋体" w:cs="宋体"/>
          <w:b/>
          <w:bCs w:val="0"/>
          <w:color w:val="auto"/>
          <w:kern w:val="2"/>
          <w:sz w:val="28"/>
          <w:szCs w:val="28"/>
          <w:highlight w:val="none"/>
          <w:lang w:val="en-US" w:eastAsia="zh-CN" w:bidi="ar-SA"/>
        </w:rPr>
        <w:t>七、框架协议签订</w:t>
      </w:r>
      <w:bookmarkEnd w:id="0"/>
    </w:p>
    <w:p w14:paraId="2F375C71">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2</w:t>
      </w:r>
      <w:r>
        <w:rPr>
          <w:rFonts w:hint="eastAsia" w:ascii="宋体" w:hAnsi="宋体" w:eastAsia="宋体" w:cs="宋体"/>
          <w:b/>
          <w:bCs/>
          <w:color w:val="auto"/>
          <w:kern w:val="0"/>
          <w:sz w:val="22"/>
          <w:szCs w:val="22"/>
          <w:highlight w:val="none"/>
          <w:lang w:val="en-US" w:eastAsia="zh-CN"/>
        </w:rPr>
        <w:t>6</w:t>
      </w:r>
      <w:r>
        <w:rPr>
          <w:rFonts w:hint="eastAsia" w:ascii="宋体" w:hAnsi="宋体" w:eastAsia="宋体" w:cs="宋体"/>
          <w:b/>
          <w:bCs/>
          <w:color w:val="auto"/>
          <w:kern w:val="0"/>
          <w:sz w:val="22"/>
          <w:szCs w:val="22"/>
          <w:highlight w:val="none"/>
        </w:rPr>
        <w:t>.</w:t>
      </w:r>
      <w:r>
        <w:rPr>
          <w:rFonts w:hint="eastAsia" w:ascii="宋体" w:hAnsi="宋体" w:eastAsia="宋体" w:cs="宋体"/>
          <w:color w:val="auto"/>
          <w:kern w:val="0"/>
          <w:sz w:val="22"/>
          <w:szCs w:val="22"/>
          <w:highlight w:val="none"/>
        </w:rPr>
        <w:t>框架主要条款详见第五部分拟签订的框架协议文本。</w:t>
      </w:r>
    </w:p>
    <w:p w14:paraId="5C811E69">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w:t>
      </w:r>
      <w:r>
        <w:rPr>
          <w:rFonts w:hint="eastAsia" w:ascii="宋体" w:hAnsi="宋体" w:eastAsia="宋体" w:cs="宋体"/>
          <w:b/>
          <w:bCs/>
          <w:color w:val="auto"/>
          <w:kern w:val="0"/>
          <w:sz w:val="22"/>
          <w:szCs w:val="22"/>
          <w:highlight w:val="none"/>
          <w:lang w:val="en-US" w:eastAsia="zh-CN"/>
        </w:rPr>
        <w:t>7</w:t>
      </w:r>
      <w:r>
        <w:rPr>
          <w:rFonts w:hint="eastAsia" w:ascii="宋体" w:hAnsi="宋体" w:eastAsia="宋体" w:cs="宋体"/>
          <w:b/>
          <w:bCs/>
          <w:color w:val="auto"/>
          <w:kern w:val="0"/>
          <w:sz w:val="22"/>
          <w:szCs w:val="22"/>
          <w:highlight w:val="none"/>
        </w:rPr>
        <w:t>.框架协议的签订</w:t>
      </w:r>
    </w:p>
    <w:p w14:paraId="7A49E10A">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.1除不可抗力等特殊情况外，征集人应当在入围通知书发出之日起30日内和入围供应商签订框架协议，并在框架协议签订后7个工作日内，将框架协议副本报本级财政部门备案。</w:t>
      </w:r>
    </w:p>
    <w:p w14:paraId="60068871">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2</w:t>
      </w: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lang w:val="zh-CN"/>
        </w:rPr>
        <w:t>.2入围</w:t>
      </w:r>
      <w:r>
        <w:rPr>
          <w:rFonts w:hint="eastAsia" w:ascii="宋体" w:hAnsi="宋体" w:eastAsia="宋体" w:cs="宋体"/>
          <w:color w:val="auto"/>
          <w:kern w:val="0"/>
          <w:sz w:val="22"/>
          <w:szCs w:val="22"/>
          <w:highlight w:val="none"/>
        </w:rPr>
        <w:t>供应商</w:t>
      </w:r>
      <w:r>
        <w:rPr>
          <w:rFonts w:hint="eastAsia" w:ascii="宋体" w:hAnsi="宋体" w:eastAsia="宋体" w:cs="宋体"/>
          <w:color w:val="auto"/>
          <w:kern w:val="0"/>
          <w:sz w:val="22"/>
          <w:szCs w:val="22"/>
          <w:highlight w:val="none"/>
          <w:lang w:val="zh-CN"/>
        </w:rPr>
        <w:t>按规定的日期、时间、地点，由法定代表人或其授权代表与征集人代表签订框架协议。如入围</w:t>
      </w:r>
      <w:r>
        <w:rPr>
          <w:rFonts w:hint="eastAsia" w:ascii="宋体" w:hAnsi="宋体" w:eastAsia="宋体" w:cs="宋体"/>
          <w:color w:val="auto"/>
          <w:kern w:val="0"/>
          <w:sz w:val="22"/>
          <w:szCs w:val="22"/>
          <w:highlight w:val="none"/>
        </w:rPr>
        <w:t>供应商</w:t>
      </w:r>
      <w:r>
        <w:rPr>
          <w:rFonts w:hint="eastAsia" w:ascii="宋体" w:hAnsi="宋体" w:eastAsia="宋体" w:cs="宋体"/>
          <w:color w:val="auto"/>
          <w:kern w:val="0"/>
          <w:sz w:val="22"/>
          <w:szCs w:val="22"/>
          <w:highlight w:val="none"/>
          <w:lang w:val="zh-CN"/>
        </w:rPr>
        <w:t>为联合体的，由联合体成员各方法定代表人或其授权代表与征集人代表签订框架协议。</w:t>
      </w:r>
    </w:p>
    <w:p w14:paraId="59E2CD7F">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3入围供应商拒绝与征集人签订框架协议的，且导致剩余入围供应商不足入围供应商总数70%的，征集人重新开展政府采购活动。拒绝签订框架协议的供应商不得参加同一封闭式框架协议补充征集，或者重新申请加入同一开放式框架协议。拒签供应商给采购组织机构造成损失的，供应商应承担赔偿责任，如承担代理费和专家评审费等费用。供应商无正当理由拒绝或延期签订框架协议的列入不良行为记录一次，并给予通报。</w:t>
      </w:r>
    </w:p>
    <w:p w14:paraId="463FF023">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.4采购框架协议由征集人与入围供应商根据征集文件、响应文件等内容通过政府采购电子交易平台在线签订，自动备案。</w:t>
      </w:r>
    </w:p>
    <w:p w14:paraId="7FD449A7">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w:t>
      </w:r>
      <w:r>
        <w:rPr>
          <w:rFonts w:hint="eastAsia" w:ascii="宋体" w:hAnsi="宋体" w:eastAsia="宋体" w:cs="宋体"/>
          <w:b/>
          <w:bCs/>
          <w:color w:val="auto"/>
          <w:kern w:val="0"/>
          <w:sz w:val="22"/>
          <w:szCs w:val="22"/>
          <w:highlight w:val="none"/>
          <w:lang w:val="en-US" w:eastAsia="zh-CN"/>
        </w:rPr>
        <w:t>8</w:t>
      </w:r>
      <w:r>
        <w:rPr>
          <w:rFonts w:hint="eastAsia" w:ascii="宋体" w:hAnsi="宋体" w:eastAsia="宋体" w:cs="宋体"/>
          <w:b/>
          <w:bCs/>
          <w:color w:val="auto"/>
          <w:kern w:val="0"/>
          <w:sz w:val="22"/>
          <w:szCs w:val="22"/>
          <w:highlight w:val="none"/>
        </w:rPr>
        <w:t>.入围信息公示</w:t>
      </w:r>
    </w:p>
    <w:p w14:paraId="6F9EAB5B">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征集人应当在框架协议签订后3个工作日内通过电子化采购系统将入围信息告知适用框架协议的所有采购人或者服务对象。</w:t>
      </w:r>
    </w:p>
    <w:p w14:paraId="79DE7FD1">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入围信息应当包括所有入围供应商的名称、地址、联系方式、入围产品信息和协议价格等内容。入围产品信息应当详细列明技术规格或者服务内容、服务标准等能反映产品质量特点的内容。</w:t>
      </w:r>
    </w:p>
    <w:p w14:paraId="25717224">
      <w:pPr>
        <w:numPr>
          <w:ilvl w:val="0"/>
          <w:numId w:val="0"/>
        </w:numPr>
        <w:adjustRightInd w:val="0"/>
        <w:spacing w:after="120" w:line="360" w:lineRule="auto"/>
        <w:jc w:val="center"/>
        <w:rPr>
          <w:rFonts w:hint="eastAsia" w:ascii="宋体" w:hAnsi="宋体" w:eastAsia="宋体" w:cs="宋体"/>
          <w:b/>
          <w:color w:val="auto"/>
          <w:sz w:val="28"/>
          <w:szCs w:val="28"/>
          <w:highlight w:val="none"/>
          <w:lang w:eastAsia="zh-CN"/>
        </w:rPr>
      </w:pPr>
    </w:p>
    <w:p w14:paraId="1C5E409C">
      <w:pPr>
        <w:numPr>
          <w:ilvl w:val="0"/>
          <w:numId w:val="0"/>
        </w:numPr>
        <w:adjustRightInd w:val="0"/>
        <w:spacing w:after="120" w:line="360" w:lineRule="auto"/>
        <w:jc w:val="center"/>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八</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合同授予</w:t>
      </w:r>
    </w:p>
    <w:p w14:paraId="2DF7ABC5">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2</w:t>
      </w:r>
      <w:r>
        <w:rPr>
          <w:rFonts w:hint="eastAsia" w:ascii="宋体" w:hAnsi="宋体" w:cs="宋体"/>
          <w:b/>
          <w:bCs/>
          <w:color w:val="auto"/>
          <w:kern w:val="0"/>
          <w:sz w:val="22"/>
          <w:szCs w:val="22"/>
          <w:highlight w:val="none"/>
          <w:lang w:val="en-US" w:eastAsia="zh-CN"/>
        </w:rPr>
        <w:t>9</w:t>
      </w:r>
      <w:r>
        <w:rPr>
          <w:rFonts w:hint="eastAsia" w:ascii="宋体" w:hAnsi="宋体" w:eastAsia="宋体" w:cs="宋体"/>
          <w:b/>
          <w:bCs/>
          <w:color w:val="auto"/>
          <w:kern w:val="0"/>
          <w:sz w:val="22"/>
          <w:szCs w:val="22"/>
          <w:highlight w:val="none"/>
          <w:lang w:val="en-US" w:eastAsia="zh-CN"/>
        </w:rPr>
        <w:t>.适用框架协议的采购人或服务对象</w:t>
      </w:r>
    </w:p>
    <w:p w14:paraId="33612912">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衢州市柯城区市场监督管理局。</w:t>
      </w:r>
    </w:p>
    <w:p w14:paraId="5316C72A">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30</w:t>
      </w:r>
      <w:r>
        <w:rPr>
          <w:rFonts w:hint="eastAsia" w:ascii="宋体" w:hAnsi="宋体" w:eastAsia="宋体" w:cs="宋体"/>
          <w:color w:val="auto"/>
          <w:kern w:val="0"/>
          <w:sz w:val="22"/>
          <w:szCs w:val="22"/>
          <w:highlight w:val="none"/>
        </w:rPr>
        <w:t>.第二阶段成交</w:t>
      </w:r>
    </w:p>
    <w:p w14:paraId="77C59822">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本项目确定第二阶段成交供应商的方式采用：</w:t>
      </w:r>
    </w:p>
    <w:p w14:paraId="02707409">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直接选定方式。由采购人依据入围供应商报价、服务质量及便利性、用户评价等因素，从第一阶段入围供应商中直接选定，并授予合同。入围供应商应在两个工作日内接受合同授予，无正当理由不得拒绝。</w:t>
      </w:r>
    </w:p>
    <w:p w14:paraId="52741A96">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次竞价方式。以框架协议约定的入围产品、采购合同文本等为依据，以协议价格为最高限价，采购人明确第二阶段竞价需求，从入围供应商中选择所有符合竞价需求的供应商参与二次竞价，确定报价最低的为成交供应商的方式。</w:t>
      </w:r>
    </w:p>
    <w:p w14:paraId="7CFF467B">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顺序轮候</w:t>
      </w:r>
      <w:r>
        <w:rPr>
          <w:rFonts w:hint="eastAsia" w:ascii="宋体" w:hAnsi="宋体" w:eastAsia="宋体" w:cs="宋体"/>
          <w:color w:val="auto"/>
          <w:kern w:val="0"/>
          <w:sz w:val="22"/>
          <w:szCs w:val="22"/>
          <w:highlight w:val="none"/>
        </w:rPr>
        <w:t>方式。根据征集文件中确定的轮候顺序规则，对所有入围供应商依次授予采购合同的方式。每个入围供应商在一个</w:t>
      </w:r>
      <w:r>
        <w:rPr>
          <w:rFonts w:hint="eastAsia" w:ascii="宋体" w:hAnsi="宋体" w:cs="宋体"/>
          <w:color w:val="auto"/>
          <w:kern w:val="0"/>
          <w:sz w:val="22"/>
          <w:szCs w:val="22"/>
          <w:highlight w:val="none"/>
          <w:lang w:eastAsia="zh-CN"/>
        </w:rPr>
        <w:t>直接选定</w:t>
      </w:r>
      <w:r>
        <w:rPr>
          <w:rFonts w:hint="eastAsia" w:ascii="宋体" w:hAnsi="宋体" w:eastAsia="宋体" w:cs="宋体"/>
          <w:color w:val="auto"/>
          <w:kern w:val="0"/>
          <w:sz w:val="22"/>
          <w:szCs w:val="22"/>
          <w:highlight w:val="none"/>
        </w:rPr>
        <w:t>期内，只有一次获得合同授予的机会。合同授予顺序确定后，应当书面告知所有入围供应商。除清退入围供应商和补充征集外，框架协议有效期内不得调整合同授予顺序。</w:t>
      </w:r>
    </w:p>
    <w:p w14:paraId="1CC46DEA">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31</w:t>
      </w:r>
      <w:r>
        <w:rPr>
          <w:rFonts w:hint="eastAsia" w:ascii="宋体" w:hAnsi="宋体" w:eastAsia="宋体" w:cs="宋体"/>
          <w:color w:val="auto"/>
          <w:kern w:val="0"/>
          <w:sz w:val="22"/>
          <w:szCs w:val="22"/>
          <w:highlight w:val="none"/>
        </w:rPr>
        <w:t>.成交结果公告</w:t>
      </w:r>
    </w:p>
    <w:p w14:paraId="1D7B8C17">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以二次竞价或者</w:t>
      </w:r>
      <w:r>
        <w:rPr>
          <w:rFonts w:hint="eastAsia" w:ascii="宋体" w:hAnsi="宋体" w:cs="宋体"/>
          <w:color w:val="auto"/>
          <w:kern w:val="0"/>
          <w:sz w:val="22"/>
          <w:szCs w:val="22"/>
          <w:highlight w:val="none"/>
          <w:lang w:eastAsia="zh-CN"/>
        </w:rPr>
        <w:t>直接选定</w:t>
      </w:r>
      <w:r>
        <w:rPr>
          <w:rFonts w:hint="eastAsia" w:ascii="宋体" w:hAnsi="宋体" w:eastAsia="宋体" w:cs="宋体"/>
          <w:color w:val="auto"/>
          <w:kern w:val="0"/>
          <w:sz w:val="22"/>
          <w:szCs w:val="22"/>
          <w:highlight w:val="none"/>
        </w:rPr>
        <w:t>方式确定成交供应商的，征集人将在确定成交供应商后2个工作日内，在浙江政府采购网上逐笔发布成交结果公告。</w:t>
      </w:r>
    </w:p>
    <w:p w14:paraId="6013F0B6">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征集人在框架协议有效期满后10个工作日内发布成交结果汇总公告。汇总公告包括采购人的名称、地址和联系方式、框架协议采购项目名称、编号和所有成交供应商的名称、地址及其成交合同总数和总金额。</w:t>
      </w:r>
    </w:p>
    <w:p w14:paraId="4CB3BB15">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val="en-US" w:eastAsia="zh-CN"/>
        </w:rPr>
        <w:t>32</w:t>
      </w:r>
      <w:r>
        <w:rPr>
          <w:rFonts w:hint="eastAsia" w:ascii="宋体" w:hAnsi="宋体" w:eastAsia="宋体" w:cs="宋体"/>
          <w:b/>
          <w:bCs/>
          <w:color w:val="auto"/>
          <w:kern w:val="0"/>
          <w:sz w:val="22"/>
          <w:szCs w:val="22"/>
          <w:highlight w:val="none"/>
        </w:rPr>
        <w:t>.签订采购合同</w:t>
      </w:r>
    </w:p>
    <w:p w14:paraId="539E05DB">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.1成交结果发布后2个工作日内应签订采购合同。</w:t>
      </w:r>
    </w:p>
    <w:p w14:paraId="15753771">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.2合同条件详见采购文件中合同文本。</w:t>
      </w:r>
    </w:p>
    <w:p w14:paraId="71F4061A">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3成交供应商按规定的日期、时间、地点，由法定代表人或其授权代表与采购人或服务对象代表签订合同。如成交供应商为联合体的，由联合体成员各方法定代表人或其授权代表与采购人或服务对象代表签订合同。</w:t>
      </w:r>
    </w:p>
    <w:p w14:paraId="09EA3CAC">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4如成交供应商无正当理由拒绝签订合同的，解除框架协议，列入不良行为记录一次，并给予通报。如成交供应商签订合同并生效后，供应商无正当理由拒绝或延期，除按照合同条款处理外，解除框架协议，列入不良行为记录一次，并给予通报。</w:t>
      </w:r>
    </w:p>
    <w:p w14:paraId="6AE92AE5">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.5成交供应商拒绝与采购人或服务对象签订合同的，采购人或服务对象可以按照轮候顺序依次确定下一个供应商签订合同。</w:t>
      </w:r>
    </w:p>
    <w:p w14:paraId="54B723AB">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.6采购合同由采购人或服务对象与成交供应商通过政府采购电子交易平台在线签订，自动备案。</w:t>
      </w:r>
    </w:p>
    <w:p w14:paraId="4FFA7032">
      <w:pPr>
        <w:adjustRightInd w:val="0"/>
        <w:snapToGrid w:val="0"/>
        <w:spacing w:line="360" w:lineRule="auto"/>
        <w:rPr>
          <w:rFonts w:hint="eastAsia" w:ascii="宋体" w:hAnsi="宋体" w:eastAsia="宋体" w:cs="宋体"/>
          <w:b/>
          <w:color w:val="auto"/>
          <w:sz w:val="22"/>
          <w:szCs w:val="22"/>
          <w:highlight w:val="none"/>
        </w:rPr>
      </w:pPr>
    </w:p>
    <w:p w14:paraId="49C59391">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九</w:t>
      </w:r>
      <w:r>
        <w:rPr>
          <w:rFonts w:hint="eastAsia" w:ascii="宋体" w:hAnsi="宋体" w:eastAsia="宋体" w:cs="宋体"/>
          <w:b/>
          <w:color w:val="auto"/>
          <w:sz w:val="28"/>
          <w:szCs w:val="28"/>
          <w:highlight w:val="none"/>
        </w:rPr>
        <w:t>、电子交易活动的中止</w:t>
      </w:r>
    </w:p>
    <w:p w14:paraId="441BCC8A">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w:t>
      </w:r>
      <w:r>
        <w:rPr>
          <w:rFonts w:hint="eastAsia" w:ascii="宋体" w:hAnsi="宋体" w:eastAsia="宋体" w:cs="宋体"/>
          <w:b/>
          <w:bCs/>
          <w:color w:val="auto"/>
          <w:kern w:val="0"/>
          <w:sz w:val="22"/>
          <w:szCs w:val="22"/>
          <w:highlight w:val="none"/>
          <w:lang w:val="en-US" w:eastAsia="zh-CN"/>
        </w:rPr>
        <w:t>3</w:t>
      </w:r>
      <w:r>
        <w:rPr>
          <w:rFonts w:hint="eastAsia" w:ascii="宋体" w:hAnsi="宋体" w:eastAsia="宋体" w:cs="宋体"/>
          <w:b/>
          <w:bCs/>
          <w:color w:val="auto"/>
          <w:kern w:val="0"/>
          <w:sz w:val="22"/>
          <w:szCs w:val="22"/>
          <w:highlight w:val="none"/>
        </w:rPr>
        <w:t>.电子交易活动的中止</w:t>
      </w:r>
    </w:p>
    <w:p w14:paraId="57C6C3B3">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采购过程中出现以下情形，导致电子交易平台无法正常运行，或者无法保证电子交易的公平、公正和安全时，采购代理机构可中止电子交易活动：</w:t>
      </w:r>
    </w:p>
    <w:p w14:paraId="2CDE4D4B">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w:t>
      </w:r>
      <w:r>
        <w:rPr>
          <w:rFonts w:hint="eastAsia" w:ascii="宋体" w:hAnsi="宋体" w:eastAsia="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rPr>
        <w:t xml:space="preserve">.1电子交易平台发生故障而无法登录访问的； </w:t>
      </w:r>
    </w:p>
    <w:p w14:paraId="73B417E0">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w:t>
      </w:r>
      <w:r>
        <w:rPr>
          <w:rFonts w:hint="eastAsia" w:ascii="宋体" w:hAnsi="宋体" w:eastAsia="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rPr>
        <w:t>.2电子交易平台应用或数据库出现错误，不能进行正常操作的；</w:t>
      </w:r>
    </w:p>
    <w:p w14:paraId="622060DD">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w:t>
      </w:r>
      <w:r>
        <w:rPr>
          <w:rFonts w:hint="eastAsia" w:ascii="宋体" w:hAnsi="宋体" w:eastAsia="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rPr>
        <w:t>.3电子交易平台发现严重安全漏洞，有潜在泄密危险的；</w:t>
      </w:r>
    </w:p>
    <w:p w14:paraId="4B343DFC">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w:t>
      </w:r>
      <w:r>
        <w:rPr>
          <w:rFonts w:hint="eastAsia" w:ascii="宋体" w:hAnsi="宋体" w:eastAsia="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rPr>
        <w:t xml:space="preserve">.4病毒发作导致不能进行正常操作的； </w:t>
      </w:r>
    </w:p>
    <w:p w14:paraId="4F7C09F5">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w:t>
      </w:r>
      <w:r>
        <w:rPr>
          <w:rFonts w:hint="eastAsia" w:ascii="宋体" w:hAnsi="宋体" w:eastAsia="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rPr>
        <w:t>.5其他无法保证电子交易的公平、公正和安全的情况。</w:t>
      </w:r>
    </w:p>
    <w:p w14:paraId="7851EE55">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bCs/>
          <w:color w:val="auto"/>
          <w:kern w:val="0"/>
          <w:sz w:val="22"/>
          <w:szCs w:val="22"/>
          <w:highlight w:val="none"/>
        </w:rPr>
        <w:t>3</w:t>
      </w:r>
      <w:r>
        <w:rPr>
          <w:rFonts w:hint="eastAsia" w:ascii="宋体" w:hAnsi="宋体" w:eastAsia="宋体" w:cs="宋体"/>
          <w:b/>
          <w:bCs/>
          <w:color w:val="auto"/>
          <w:kern w:val="0"/>
          <w:sz w:val="22"/>
          <w:szCs w:val="22"/>
          <w:highlight w:val="none"/>
          <w:lang w:val="en-US" w:eastAsia="zh-CN"/>
        </w:rPr>
        <w:t>4</w:t>
      </w:r>
      <w:r>
        <w:rPr>
          <w:rFonts w:hint="eastAsia" w:ascii="宋体" w:hAnsi="宋体" w:eastAsia="宋体" w:cs="宋体"/>
          <w:b/>
          <w:bCs/>
          <w:color w:val="auto"/>
          <w:kern w:val="0"/>
          <w:sz w:val="22"/>
          <w:szCs w:val="22"/>
          <w:highlight w:val="none"/>
        </w:rPr>
        <w:t>.</w:t>
      </w:r>
      <w:r>
        <w:rPr>
          <w:rFonts w:hint="eastAsia" w:ascii="宋体" w:hAnsi="宋体" w:eastAsia="宋体" w:cs="宋体"/>
          <w:b w:val="0"/>
          <w:bCs w:val="0"/>
          <w:color w:val="auto"/>
          <w:kern w:val="0"/>
          <w:sz w:val="22"/>
          <w:szCs w:val="22"/>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542399BD">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rPr>
      </w:pPr>
    </w:p>
    <w:p w14:paraId="0BA3EAA2">
      <w:pPr>
        <w:pStyle w:val="5"/>
        <w:keepNext w:val="0"/>
        <w:keepLines w:val="0"/>
        <w:pageBreakBefore w:val="0"/>
        <w:numPr>
          <w:ilvl w:val="0"/>
          <w:numId w:val="0"/>
        </w:numPr>
        <w:tabs>
          <w:tab w:val="clear" w:pos="432"/>
        </w:tabs>
        <w:kinsoku/>
        <w:wordWrap/>
        <w:overflowPunct/>
        <w:topLinePunct w:val="0"/>
        <w:bidi w:val="0"/>
        <w:spacing w:line="380" w:lineRule="exact"/>
        <w:ind w:left="729" w:leftChars="347" w:firstLine="3072" w:firstLineChars="1093"/>
        <w:jc w:val="both"/>
        <w:textAlignment w:val="auto"/>
        <w:rPr>
          <w:rFonts w:hint="eastAsia" w:ascii="宋体" w:hAnsi="宋体" w:eastAsia="宋体" w:cs="宋体"/>
          <w:b/>
          <w:bCs w:val="0"/>
          <w:color w:val="auto"/>
          <w:kern w:val="2"/>
          <w:sz w:val="28"/>
          <w:szCs w:val="28"/>
          <w:highlight w:val="none"/>
          <w:lang w:val="en-US" w:eastAsia="zh-CN" w:bidi="ar-SA"/>
        </w:rPr>
      </w:pPr>
      <w:bookmarkStart w:id="1" w:name="_Toc540"/>
      <w:r>
        <w:rPr>
          <w:rFonts w:hint="eastAsia" w:ascii="宋体" w:hAnsi="宋体" w:eastAsia="宋体" w:cs="宋体"/>
          <w:b/>
          <w:bCs w:val="0"/>
          <w:color w:val="auto"/>
          <w:kern w:val="2"/>
          <w:sz w:val="28"/>
          <w:szCs w:val="28"/>
          <w:lang w:val="en-US" w:eastAsia="zh-CN" w:bidi="ar-SA"/>
        </w:rPr>
        <w:t>十、</w:t>
      </w:r>
      <w:r>
        <w:rPr>
          <w:rFonts w:hint="eastAsia" w:ascii="宋体" w:hAnsi="宋体" w:eastAsia="宋体" w:cs="宋体"/>
          <w:b/>
          <w:bCs w:val="0"/>
          <w:color w:val="auto"/>
          <w:kern w:val="2"/>
          <w:sz w:val="28"/>
          <w:szCs w:val="28"/>
          <w:highlight w:val="none"/>
          <w:lang w:val="en-US" w:eastAsia="zh-CN" w:bidi="ar-SA"/>
        </w:rPr>
        <w:t>验收</w:t>
      </w:r>
    </w:p>
    <w:p w14:paraId="257ECCB1">
      <w:pPr>
        <w:pStyle w:val="14"/>
        <w:keepNext w:val="0"/>
        <w:keepLines w:val="0"/>
        <w:pageBreakBefore w:val="0"/>
        <w:kinsoku/>
        <w:wordWrap/>
        <w:overflowPunct/>
        <w:topLinePunct w:val="0"/>
        <w:bidi w:val="0"/>
        <w:spacing w:line="380" w:lineRule="exact"/>
        <w:ind w:firstLine="442" w:firstLineChars="200"/>
        <w:textAlignment w:val="auto"/>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35.验收</w:t>
      </w:r>
    </w:p>
    <w:p w14:paraId="3C8880A3">
      <w:pPr>
        <w:keepNext w:val="0"/>
        <w:keepLines w:val="0"/>
        <w:pageBreakBefore w:val="0"/>
        <w:tabs>
          <w:tab w:val="left" w:pos="0"/>
        </w:tabs>
        <w:kinsoku/>
        <w:wordWrap/>
        <w:overflowPunct/>
        <w:topLinePunct w:val="0"/>
        <w:bidi w:val="0"/>
        <w:spacing w:line="380" w:lineRule="exact"/>
        <w:ind w:firstLine="48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550075">
      <w:pPr>
        <w:keepNext w:val="0"/>
        <w:keepLines w:val="0"/>
        <w:pageBreakBefore w:val="0"/>
        <w:tabs>
          <w:tab w:val="left" w:pos="0"/>
        </w:tabs>
        <w:kinsoku/>
        <w:wordWrap/>
        <w:overflowPunct/>
        <w:topLinePunct w:val="0"/>
        <w:bidi w:val="0"/>
        <w:spacing w:line="380" w:lineRule="exact"/>
        <w:ind w:firstLine="48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35.2采购人可以邀请参加本项目的其他供应商或者第三方机构参与验收。参与验收的供应商或者第三方机构的意见作为验收书的参考资料一并存档。</w:t>
      </w:r>
    </w:p>
    <w:p w14:paraId="4273BC82">
      <w:pPr>
        <w:keepNext w:val="0"/>
        <w:keepLines w:val="0"/>
        <w:pageBreakBefore w:val="0"/>
        <w:tabs>
          <w:tab w:val="left" w:pos="0"/>
        </w:tabs>
        <w:kinsoku/>
        <w:wordWrap/>
        <w:overflowPunct/>
        <w:topLinePunct w:val="0"/>
        <w:bidi w:val="0"/>
        <w:spacing w:line="380" w:lineRule="exact"/>
        <w:ind w:firstLine="48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35.3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履约验收的各项资料应当存档备查。</w:t>
      </w:r>
    </w:p>
    <w:p w14:paraId="6DF5A8D2">
      <w:pPr>
        <w:pStyle w:val="5"/>
        <w:keepNext w:val="0"/>
        <w:keepLines w:val="0"/>
        <w:pageBreakBefore w:val="0"/>
        <w:numPr>
          <w:ilvl w:val="0"/>
          <w:numId w:val="0"/>
        </w:numPr>
        <w:tabs>
          <w:tab w:val="clear" w:pos="432"/>
        </w:tabs>
        <w:kinsoku/>
        <w:wordWrap/>
        <w:overflowPunct/>
        <w:topLinePunct w:val="0"/>
        <w:bidi w:val="0"/>
        <w:spacing w:line="380" w:lineRule="exact"/>
        <w:ind w:firstLine="440" w:firstLineChars="20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35.4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征集人应当及时报告本级财政部门。</w:t>
      </w:r>
    </w:p>
    <w:p w14:paraId="4746D562">
      <w:pPr>
        <w:pStyle w:val="5"/>
        <w:keepNext w:val="0"/>
        <w:keepLines w:val="0"/>
        <w:pageBreakBefore w:val="0"/>
        <w:numPr>
          <w:ilvl w:val="0"/>
          <w:numId w:val="0"/>
        </w:numPr>
        <w:tabs>
          <w:tab w:val="clear" w:pos="432"/>
        </w:tabs>
        <w:kinsoku/>
        <w:wordWrap/>
        <w:overflowPunct/>
        <w:topLinePunct w:val="0"/>
        <w:bidi w:val="0"/>
        <w:spacing w:line="380" w:lineRule="exact"/>
        <w:ind w:left="729" w:leftChars="347" w:firstLine="1389" w:firstLineChars="494"/>
        <w:textAlignment w:val="auto"/>
        <w:rPr>
          <w:rFonts w:hint="eastAsia" w:ascii="宋体" w:hAnsi="宋体" w:eastAsia="宋体" w:cs="宋体"/>
          <w:b/>
          <w:bCs w:val="0"/>
          <w:color w:val="auto"/>
          <w:kern w:val="2"/>
          <w:sz w:val="28"/>
          <w:szCs w:val="28"/>
          <w:lang w:val="en-US" w:eastAsia="zh-CN" w:bidi="ar-SA"/>
        </w:rPr>
      </w:pPr>
    </w:p>
    <w:p w14:paraId="75C60874">
      <w:pPr>
        <w:pStyle w:val="5"/>
        <w:keepNext w:val="0"/>
        <w:keepLines w:val="0"/>
        <w:pageBreakBefore w:val="0"/>
        <w:numPr>
          <w:ilvl w:val="0"/>
          <w:numId w:val="0"/>
        </w:numPr>
        <w:tabs>
          <w:tab w:val="clear" w:pos="432"/>
        </w:tabs>
        <w:kinsoku/>
        <w:wordWrap/>
        <w:overflowPunct/>
        <w:topLinePunct w:val="0"/>
        <w:bidi w:val="0"/>
        <w:spacing w:line="380" w:lineRule="exact"/>
        <w:ind w:left="729" w:leftChars="347" w:firstLine="1389" w:firstLineChars="494"/>
        <w:textAlignment w:val="auto"/>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lang w:val="en-US" w:eastAsia="zh-CN" w:bidi="ar-SA"/>
        </w:rPr>
        <w:t>十一、</w:t>
      </w:r>
      <w:r>
        <w:rPr>
          <w:rFonts w:hint="eastAsia" w:ascii="宋体" w:hAnsi="宋体" w:eastAsia="宋体" w:cs="宋体"/>
          <w:b/>
          <w:bCs w:val="0"/>
          <w:color w:val="auto"/>
          <w:kern w:val="2"/>
          <w:sz w:val="28"/>
          <w:szCs w:val="28"/>
          <w:highlight w:val="none"/>
          <w:lang w:val="en-US" w:eastAsia="zh-CN" w:bidi="ar-SA"/>
        </w:rPr>
        <w:t>入围资格取消及框架协议解除情形</w:t>
      </w:r>
      <w:bookmarkEnd w:id="1"/>
    </w:p>
    <w:p w14:paraId="7C8B0D8B">
      <w:pPr>
        <w:pStyle w:val="14"/>
        <w:keepNext w:val="0"/>
        <w:keepLines w:val="0"/>
        <w:pageBreakBefore w:val="0"/>
        <w:kinsoku/>
        <w:wordWrap/>
        <w:overflowPunct/>
        <w:topLinePunct w:val="0"/>
        <w:bidi w:val="0"/>
        <w:spacing w:line="380" w:lineRule="exact"/>
        <w:ind w:firstLine="442" w:firstLineChars="200"/>
        <w:textAlignment w:val="auto"/>
        <w:rPr>
          <w:rFonts w:hint="eastAsia" w:ascii="宋体" w:hAnsi="宋体" w:eastAsia="宋体" w:cs="宋体"/>
          <w:b/>
          <w:bCs/>
          <w:color w:val="auto"/>
          <w:kern w:val="0"/>
          <w:sz w:val="22"/>
          <w:szCs w:val="22"/>
          <w:highlight w:val="none"/>
          <w:lang w:val="en-US" w:eastAsia="zh-CN" w:bidi="ar-SA"/>
        </w:rPr>
      </w:pPr>
      <w:bookmarkStart w:id="2" w:name="_Toc101784455"/>
      <w:r>
        <w:rPr>
          <w:rFonts w:hint="eastAsia" w:ascii="宋体" w:hAnsi="宋体" w:eastAsia="宋体" w:cs="宋体"/>
          <w:b/>
          <w:bCs/>
          <w:color w:val="auto"/>
          <w:kern w:val="0"/>
          <w:sz w:val="22"/>
          <w:szCs w:val="22"/>
          <w:highlight w:val="none"/>
          <w:lang w:val="en-US" w:eastAsia="zh-CN" w:bidi="ar-SA"/>
        </w:rPr>
        <w:t>36.入围资格取消及框架协议解除</w:t>
      </w:r>
      <w:bookmarkEnd w:id="2"/>
    </w:p>
    <w:p w14:paraId="5CF308FD">
      <w:pPr>
        <w:pStyle w:val="11"/>
        <w:keepNext w:val="0"/>
        <w:keepLines w:val="0"/>
        <w:pageBreakBefore w:val="0"/>
        <w:kinsoku/>
        <w:wordWrap/>
        <w:overflowPunct/>
        <w:topLinePunct w:val="0"/>
        <w:bidi w:val="0"/>
        <w:spacing w:line="380" w:lineRule="exact"/>
        <w:ind w:firstLine="440" w:firstLineChars="20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36.1入围供应商有下列情形之一，尚未签订框架协议的，取消其入围资格；已经签订框架协议的，解除与其签订的框架协议：</w:t>
      </w:r>
    </w:p>
    <w:p w14:paraId="068792AF">
      <w:pPr>
        <w:pStyle w:val="11"/>
        <w:keepNext w:val="0"/>
        <w:keepLines w:val="0"/>
        <w:pageBreakBefore w:val="0"/>
        <w:kinsoku/>
        <w:wordWrap/>
        <w:overflowPunct/>
        <w:topLinePunct w:val="0"/>
        <w:bidi w:val="0"/>
        <w:spacing w:line="380" w:lineRule="exact"/>
        <w:ind w:firstLine="440" w:firstLineChars="20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36.1.1恶意串通谋取入围或者合同成交的；</w:t>
      </w:r>
    </w:p>
    <w:p w14:paraId="17CB6136">
      <w:pPr>
        <w:pStyle w:val="11"/>
        <w:keepNext w:val="0"/>
        <w:keepLines w:val="0"/>
        <w:pageBreakBefore w:val="0"/>
        <w:kinsoku/>
        <w:wordWrap/>
        <w:overflowPunct/>
        <w:topLinePunct w:val="0"/>
        <w:bidi w:val="0"/>
        <w:spacing w:line="380" w:lineRule="exact"/>
        <w:ind w:firstLine="440" w:firstLineChars="20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36.1.2提供虚假材料谋取入围或者合同成交的；</w:t>
      </w:r>
    </w:p>
    <w:p w14:paraId="67AD2D93">
      <w:pPr>
        <w:pStyle w:val="11"/>
        <w:keepNext w:val="0"/>
        <w:keepLines w:val="0"/>
        <w:pageBreakBefore w:val="0"/>
        <w:kinsoku/>
        <w:wordWrap/>
        <w:overflowPunct/>
        <w:topLinePunct w:val="0"/>
        <w:bidi w:val="0"/>
        <w:spacing w:line="380" w:lineRule="exact"/>
        <w:ind w:firstLine="440" w:firstLineChars="20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36.1.3无正当理由拒不接受合同授予的；</w:t>
      </w:r>
    </w:p>
    <w:p w14:paraId="6ECA32AE">
      <w:pPr>
        <w:pStyle w:val="11"/>
        <w:keepNext w:val="0"/>
        <w:keepLines w:val="0"/>
        <w:pageBreakBefore w:val="0"/>
        <w:kinsoku/>
        <w:wordWrap/>
        <w:overflowPunct/>
        <w:topLinePunct w:val="0"/>
        <w:bidi w:val="0"/>
        <w:spacing w:line="380" w:lineRule="exact"/>
        <w:ind w:firstLine="440" w:firstLineChars="20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36.1.4不履行合同义务或者履行合同义务不符合约定，经征集人请求履行后仍不履行或者仍未按约定履行的；</w:t>
      </w:r>
    </w:p>
    <w:p w14:paraId="7CFC400D">
      <w:pPr>
        <w:pStyle w:val="11"/>
        <w:keepNext w:val="0"/>
        <w:keepLines w:val="0"/>
        <w:pageBreakBefore w:val="0"/>
        <w:kinsoku/>
        <w:wordWrap/>
        <w:overflowPunct/>
        <w:topLinePunct w:val="0"/>
        <w:bidi w:val="0"/>
        <w:spacing w:line="380" w:lineRule="exact"/>
        <w:ind w:firstLine="440" w:firstLineChars="20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36.1.5框架协议有效期内，因违法行为被禁止或限制参加政府采购活动的；</w:t>
      </w:r>
    </w:p>
    <w:p w14:paraId="5147E2BE">
      <w:pPr>
        <w:pStyle w:val="11"/>
        <w:keepNext w:val="0"/>
        <w:keepLines w:val="0"/>
        <w:pageBreakBefore w:val="0"/>
        <w:kinsoku/>
        <w:wordWrap/>
        <w:overflowPunct/>
        <w:topLinePunct w:val="0"/>
        <w:bidi w:val="0"/>
        <w:spacing w:line="380" w:lineRule="exact"/>
        <w:ind w:firstLine="440" w:firstLineChars="20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36.1.6框架协议约定的其他情形。</w:t>
      </w:r>
    </w:p>
    <w:p w14:paraId="6B274C26">
      <w:pPr>
        <w:pStyle w:val="11"/>
        <w:keepNext w:val="0"/>
        <w:keepLines w:val="0"/>
        <w:pageBreakBefore w:val="0"/>
        <w:kinsoku/>
        <w:wordWrap/>
        <w:overflowPunct/>
        <w:topLinePunct w:val="0"/>
        <w:bidi w:val="0"/>
        <w:spacing w:line="380" w:lineRule="exact"/>
        <w:ind w:firstLine="440" w:firstLineChars="20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36.2被取消入围资格或者被解除框架协议的供应商不得参加同一封闭式框架协议补充征集，或者重新申请加入同一开放式框架协议。</w:t>
      </w:r>
    </w:p>
    <w:p w14:paraId="7FA0D23C">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36.3封闭式框架协议入围供应商无正当理由，不得主动放弃入围资格或者退出框架协议。</w:t>
      </w:r>
    </w:p>
    <w:p w14:paraId="1FD06D41">
      <w:pPr>
        <w:pStyle w:val="5"/>
        <w:keepNext w:val="0"/>
        <w:keepLines w:val="0"/>
        <w:pageBreakBefore w:val="0"/>
        <w:numPr>
          <w:ilvl w:val="0"/>
          <w:numId w:val="0"/>
        </w:numPr>
        <w:tabs>
          <w:tab w:val="clear" w:pos="432"/>
        </w:tabs>
        <w:kinsoku/>
        <w:wordWrap/>
        <w:overflowPunct/>
        <w:topLinePunct w:val="0"/>
        <w:bidi w:val="0"/>
        <w:spacing w:line="380" w:lineRule="exact"/>
        <w:ind w:left="808" w:leftChars="385" w:firstLine="948" w:firstLineChars="295"/>
        <w:textAlignment w:val="auto"/>
        <w:rPr>
          <w:rFonts w:hint="eastAsia"/>
          <w:color w:val="auto"/>
          <w:highlight w:val="none"/>
        </w:rPr>
      </w:pPr>
      <w:bookmarkStart w:id="3" w:name="_Toc2080"/>
    </w:p>
    <w:p w14:paraId="263598D2">
      <w:pPr>
        <w:pStyle w:val="5"/>
        <w:keepNext w:val="0"/>
        <w:keepLines w:val="0"/>
        <w:pageBreakBefore w:val="0"/>
        <w:numPr>
          <w:ilvl w:val="0"/>
          <w:numId w:val="0"/>
        </w:numPr>
        <w:tabs>
          <w:tab w:val="clear" w:pos="432"/>
        </w:tabs>
        <w:kinsoku/>
        <w:wordWrap/>
        <w:overflowPunct/>
        <w:topLinePunct w:val="0"/>
        <w:bidi w:val="0"/>
        <w:spacing w:line="380" w:lineRule="exact"/>
        <w:ind w:left="808" w:leftChars="385" w:firstLine="948" w:firstLineChars="295"/>
        <w:textAlignment w:val="auto"/>
        <w:rPr>
          <w:color w:val="auto"/>
          <w:highlight w:val="none"/>
        </w:rPr>
      </w:pPr>
      <w:r>
        <w:rPr>
          <w:rFonts w:hint="eastAsia"/>
          <w:color w:val="auto"/>
          <w:highlight w:val="none"/>
        </w:rPr>
        <w:t>十</w:t>
      </w:r>
      <w:r>
        <w:rPr>
          <w:rFonts w:hint="eastAsia"/>
          <w:color w:val="auto"/>
          <w:highlight w:val="none"/>
          <w:lang w:val="en-US" w:eastAsia="zh-CN"/>
        </w:rPr>
        <w:t>二</w:t>
      </w:r>
      <w:r>
        <w:rPr>
          <w:rFonts w:hint="eastAsia"/>
          <w:color w:val="auto"/>
          <w:highlight w:val="none"/>
        </w:rPr>
        <w:t>、入围供应商清退和补充规则</w:t>
      </w:r>
      <w:bookmarkEnd w:id="3"/>
    </w:p>
    <w:p w14:paraId="635674BF">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lang w:val="en-US"/>
        </w:rPr>
      </w:pPr>
      <w:bookmarkStart w:id="4" w:name="_Toc101784456"/>
      <w:r>
        <w:rPr>
          <w:rFonts w:hint="eastAsia" w:ascii="宋体" w:hAnsi="宋体" w:eastAsia="宋体" w:cs="宋体"/>
          <w:b/>
          <w:bCs/>
          <w:color w:val="auto"/>
          <w:kern w:val="0"/>
          <w:sz w:val="22"/>
          <w:szCs w:val="22"/>
          <w:highlight w:val="none"/>
          <w:lang w:val="en-US"/>
        </w:rPr>
        <w:t>3</w:t>
      </w:r>
      <w:r>
        <w:rPr>
          <w:rFonts w:hint="eastAsia" w:ascii="宋体" w:hAnsi="宋体" w:eastAsia="宋体" w:cs="宋体"/>
          <w:b/>
          <w:bCs/>
          <w:color w:val="auto"/>
          <w:kern w:val="0"/>
          <w:sz w:val="22"/>
          <w:szCs w:val="22"/>
          <w:highlight w:val="none"/>
          <w:lang w:val="en-US" w:eastAsia="zh-CN"/>
        </w:rPr>
        <w:t>7</w:t>
      </w:r>
      <w:r>
        <w:rPr>
          <w:rFonts w:hint="eastAsia" w:ascii="宋体" w:hAnsi="宋体" w:eastAsia="宋体" w:cs="宋体"/>
          <w:b/>
          <w:bCs/>
          <w:color w:val="auto"/>
          <w:kern w:val="0"/>
          <w:sz w:val="22"/>
          <w:szCs w:val="22"/>
          <w:highlight w:val="none"/>
          <w:lang w:val="en-US"/>
        </w:rPr>
        <w:t>.清退规则</w:t>
      </w:r>
      <w:bookmarkEnd w:id="4"/>
    </w:p>
    <w:p w14:paraId="60CC63F9">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lang w:val="en-US"/>
        </w:rPr>
      </w:pPr>
      <w:r>
        <w:rPr>
          <w:rFonts w:hint="eastAsia" w:ascii="宋体" w:hAnsi="宋体" w:eastAsia="宋体" w:cs="宋体"/>
          <w:b w:val="0"/>
          <w:bCs w:val="0"/>
          <w:color w:val="auto"/>
          <w:kern w:val="0"/>
          <w:sz w:val="22"/>
          <w:szCs w:val="22"/>
          <w:highlight w:val="none"/>
          <w:lang w:val="en-US"/>
        </w:rPr>
        <w:t>3</w:t>
      </w:r>
      <w:r>
        <w:rPr>
          <w:rFonts w:hint="eastAsia" w:ascii="宋体" w:hAnsi="宋体" w:eastAsia="宋体" w:cs="宋体"/>
          <w:b w:val="0"/>
          <w:bCs w:val="0"/>
          <w:color w:val="auto"/>
          <w:kern w:val="0"/>
          <w:sz w:val="22"/>
          <w:szCs w:val="22"/>
          <w:highlight w:val="none"/>
          <w:lang w:val="en-US" w:eastAsia="zh-CN"/>
        </w:rPr>
        <w:t>7</w:t>
      </w:r>
      <w:r>
        <w:rPr>
          <w:rFonts w:hint="eastAsia" w:ascii="宋体" w:hAnsi="宋体" w:eastAsia="宋体" w:cs="宋体"/>
          <w:b w:val="0"/>
          <w:bCs w:val="0"/>
          <w:color w:val="auto"/>
          <w:kern w:val="0"/>
          <w:sz w:val="22"/>
          <w:szCs w:val="22"/>
          <w:highlight w:val="none"/>
          <w:lang w:val="en-US"/>
        </w:rPr>
        <w:t>.1详见第五部分  拟签订的框架协议条款。</w:t>
      </w:r>
    </w:p>
    <w:p w14:paraId="13505883">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lang w:val="en-US"/>
        </w:rPr>
      </w:pPr>
      <w:bookmarkStart w:id="5" w:name="_Toc101784457"/>
      <w:r>
        <w:rPr>
          <w:rFonts w:hint="eastAsia" w:ascii="宋体" w:hAnsi="宋体" w:eastAsia="宋体" w:cs="宋体"/>
          <w:b/>
          <w:bCs/>
          <w:color w:val="auto"/>
          <w:kern w:val="0"/>
          <w:sz w:val="22"/>
          <w:szCs w:val="22"/>
          <w:highlight w:val="none"/>
          <w:lang w:val="en-US"/>
        </w:rPr>
        <w:t>3</w:t>
      </w:r>
      <w:r>
        <w:rPr>
          <w:rFonts w:hint="eastAsia" w:ascii="宋体" w:hAnsi="宋体" w:eastAsia="宋体" w:cs="宋体"/>
          <w:b/>
          <w:bCs/>
          <w:color w:val="auto"/>
          <w:kern w:val="0"/>
          <w:sz w:val="22"/>
          <w:szCs w:val="22"/>
          <w:highlight w:val="none"/>
          <w:lang w:val="en-US" w:eastAsia="zh-CN"/>
        </w:rPr>
        <w:t>8</w:t>
      </w:r>
      <w:r>
        <w:rPr>
          <w:rFonts w:hint="eastAsia" w:ascii="宋体" w:hAnsi="宋体" w:eastAsia="宋体" w:cs="宋体"/>
          <w:b/>
          <w:bCs/>
          <w:color w:val="auto"/>
          <w:kern w:val="0"/>
          <w:sz w:val="22"/>
          <w:szCs w:val="22"/>
          <w:highlight w:val="none"/>
          <w:lang w:val="en-US"/>
        </w:rPr>
        <w:t>.补充规则</w:t>
      </w:r>
      <w:bookmarkEnd w:id="5"/>
    </w:p>
    <w:p w14:paraId="0EB5C138">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lang w:val="en-US"/>
        </w:rPr>
      </w:pPr>
      <w:r>
        <w:rPr>
          <w:rFonts w:hint="eastAsia" w:ascii="宋体" w:hAnsi="宋体" w:eastAsia="宋体" w:cs="宋体"/>
          <w:b w:val="0"/>
          <w:bCs w:val="0"/>
          <w:color w:val="auto"/>
          <w:kern w:val="0"/>
          <w:sz w:val="22"/>
          <w:szCs w:val="22"/>
          <w:highlight w:val="none"/>
          <w:lang w:val="en-US"/>
        </w:rPr>
        <w:t>3</w:t>
      </w:r>
      <w:r>
        <w:rPr>
          <w:rFonts w:hint="eastAsia" w:ascii="宋体" w:hAnsi="宋体" w:eastAsia="宋体" w:cs="宋体"/>
          <w:b w:val="0"/>
          <w:bCs w:val="0"/>
          <w:color w:val="auto"/>
          <w:kern w:val="0"/>
          <w:sz w:val="22"/>
          <w:szCs w:val="22"/>
          <w:highlight w:val="none"/>
          <w:lang w:val="en-US" w:eastAsia="zh-CN"/>
        </w:rPr>
        <w:t>8</w:t>
      </w:r>
      <w:r>
        <w:rPr>
          <w:rFonts w:hint="eastAsia" w:ascii="宋体" w:hAnsi="宋体" w:eastAsia="宋体" w:cs="宋体"/>
          <w:b w:val="0"/>
          <w:bCs w:val="0"/>
          <w:color w:val="auto"/>
          <w:kern w:val="0"/>
          <w:sz w:val="22"/>
          <w:szCs w:val="22"/>
          <w:highlight w:val="none"/>
          <w:lang w:val="en-US"/>
        </w:rPr>
        <w:t>.1如果框架协议年度内，剩余入围供应商不足入围供应商总数70%且影响框架协议执行，征集人可补充征集供应商。补充征集的条件、程序、评审方法和淘汰比例与本次征集相同。补充征集期间，原框架协议继续履行。</w:t>
      </w:r>
    </w:p>
    <w:p w14:paraId="1BA22C8B">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lang w:val="en-US"/>
        </w:rPr>
      </w:pPr>
    </w:p>
    <w:p w14:paraId="121D5FFD">
      <w:pPr>
        <w:adjustRightInd w:val="0"/>
        <w:spacing w:line="360" w:lineRule="auto"/>
        <w:jc w:val="center"/>
        <w:outlineLvl w:val="0"/>
        <w:rPr>
          <w:rFonts w:hint="eastAsia" w:ascii="宋体" w:hAnsi="宋体" w:eastAsia="宋体" w:cs="宋体"/>
          <w:b/>
          <w:color w:val="auto"/>
          <w:sz w:val="36"/>
          <w:szCs w:val="36"/>
          <w:highlight w:val="none"/>
        </w:rPr>
      </w:pPr>
    </w:p>
    <w:p w14:paraId="407E3B33">
      <w:pPr>
        <w:adjustRightInd w:val="0"/>
        <w:spacing w:line="360" w:lineRule="auto"/>
        <w:jc w:val="center"/>
        <w:outlineLvl w:val="0"/>
        <w:rPr>
          <w:rFonts w:hint="eastAsia" w:ascii="宋体" w:hAnsi="宋体" w:eastAsia="宋体" w:cs="宋体"/>
          <w:b/>
          <w:color w:val="auto"/>
          <w:sz w:val="36"/>
          <w:szCs w:val="36"/>
          <w:highlight w:val="none"/>
        </w:rPr>
      </w:pPr>
    </w:p>
    <w:p w14:paraId="3497A273">
      <w:pPr>
        <w:adjustRightInd w:val="0"/>
        <w:spacing w:line="360" w:lineRule="auto"/>
        <w:jc w:val="center"/>
        <w:outlineLvl w:val="0"/>
        <w:rPr>
          <w:rFonts w:hint="eastAsia" w:ascii="宋体" w:hAnsi="宋体" w:eastAsia="宋体" w:cs="宋体"/>
          <w:b/>
          <w:bCs/>
          <w:color w:val="auto"/>
          <w:kern w:val="0"/>
          <w:sz w:val="22"/>
          <w:szCs w:val="22"/>
          <w:highlight w:val="none"/>
        </w:rPr>
      </w:pPr>
      <w:r>
        <w:rPr>
          <w:rFonts w:hint="eastAsia" w:ascii="宋体" w:hAnsi="宋体" w:eastAsia="宋体" w:cs="宋体"/>
          <w:b/>
          <w:color w:val="auto"/>
          <w:sz w:val="36"/>
          <w:szCs w:val="36"/>
          <w:highlight w:val="none"/>
        </w:rPr>
        <w:t>第三部分   采购需求</w:t>
      </w:r>
      <w:bookmarkStart w:id="6" w:name="_Toc93482125"/>
    </w:p>
    <w:p w14:paraId="1B3566A5">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属于实质性要求条款的，已用符号“▲”标明，否则属于非实质性要求。“★”系产品采购项目中的核心产品。</w:t>
      </w:r>
    </w:p>
    <w:p w14:paraId="7902B8BE">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一、服务期限</w:t>
      </w:r>
    </w:p>
    <w:p w14:paraId="7D1E6DE5">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服务期限为自合同签订之日起1年。</w:t>
      </w:r>
    </w:p>
    <w:p w14:paraId="71D5E1E1">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征集的中介机构数量最多为</w:t>
      </w:r>
      <w:r>
        <w:rPr>
          <w:rFonts w:hint="eastAsia" w:ascii="宋体" w:hAnsi="宋体" w:eastAsia="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rPr>
        <w:t>家，若评审结束或在框架协议签署阶段，因投标人或框架协议乙方原因造成实际入围家数不足3家的，按照实际入围家数确定本次征集的中介机构数量。</w:t>
      </w:r>
    </w:p>
    <w:p w14:paraId="2EF82DDD">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三、选取方式</w:t>
      </w:r>
    </w:p>
    <w:p w14:paraId="4AFBF8A1">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1.采用框架协议的方式，第二阶段采用“</w:t>
      </w:r>
      <w:r>
        <w:rPr>
          <w:rFonts w:hint="eastAsia" w:ascii="宋体" w:hAnsi="宋体" w:cs="宋体"/>
          <w:b w:val="0"/>
          <w:bCs w:val="0"/>
          <w:color w:val="auto"/>
          <w:kern w:val="0"/>
          <w:sz w:val="22"/>
          <w:szCs w:val="22"/>
          <w:highlight w:val="none"/>
          <w:lang w:eastAsia="zh-CN"/>
        </w:rPr>
        <w:t>直接选定</w:t>
      </w:r>
      <w:r>
        <w:rPr>
          <w:rFonts w:hint="eastAsia" w:ascii="宋体" w:hAnsi="宋体" w:eastAsia="宋体" w:cs="宋体"/>
          <w:b w:val="0"/>
          <w:bCs w:val="0"/>
          <w:color w:val="auto"/>
          <w:kern w:val="0"/>
          <w:sz w:val="22"/>
          <w:szCs w:val="22"/>
          <w:highlight w:val="none"/>
        </w:rPr>
        <w:t>”的形式从协议单位中选取实施单位。</w:t>
      </w:r>
    </w:p>
    <w:p w14:paraId="7DB7E4A3">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bCs/>
          <w:color w:val="auto"/>
          <w:kern w:val="0"/>
          <w:sz w:val="22"/>
          <w:szCs w:val="22"/>
          <w:highlight w:val="none"/>
        </w:rPr>
        <w:t>四、</w:t>
      </w:r>
      <w:r>
        <w:rPr>
          <w:rFonts w:hint="eastAsia" w:ascii="宋体" w:hAnsi="宋体" w:cs="宋体"/>
          <w:b/>
          <w:bCs/>
          <w:color w:val="auto"/>
          <w:kern w:val="0"/>
          <w:sz w:val="22"/>
          <w:szCs w:val="22"/>
          <w:highlight w:val="none"/>
          <w:lang w:val="en-US" w:eastAsia="zh-CN"/>
        </w:rPr>
        <w:t>检测需求一览表及</w:t>
      </w:r>
      <w:r>
        <w:rPr>
          <w:rFonts w:hint="eastAsia" w:ascii="宋体" w:hAnsi="宋体" w:eastAsia="宋体" w:cs="宋体"/>
          <w:b/>
          <w:bCs/>
          <w:color w:val="auto"/>
          <w:kern w:val="0"/>
          <w:sz w:val="22"/>
          <w:szCs w:val="22"/>
          <w:highlight w:val="none"/>
        </w:rPr>
        <w:t>最高限</w:t>
      </w:r>
      <w:r>
        <w:rPr>
          <w:rFonts w:hint="eastAsia" w:ascii="宋体" w:hAnsi="宋体" w:cs="宋体"/>
          <w:b/>
          <w:bCs/>
          <w:color w:val="auto"/>
          <w:kern w:val="0"/>
          <w:sz w:val="22"/>
          <w:szCs w:val="22"/>
          <w:highlight w:val="none"/>
          <w:lang w:val="en-US" w:eastAsia="zh-CN"/>
        </w:rPr>
        <w:t>单</w:t>
      </w:r>
      <w:r>
        <w:rPr>
          <w:rFonts w:hint="eastAsia" w:ascii="宋体" w:hAnsi="宋体" w:eastAsia="宋体" w:cs="宋体"/>
          <w:b/>
          <w:bCs/>
          <w:color w:val="auto"/>
          <w:kern w:val="0"/>
          <w:sz w:val="22"/>
          <w:szCs w:val="22"/>
          <w:highlight w:val="none"/>
        </w:rPr>
        <w:t>价</w:t>
      </w:r>
    </w:p>
    <w:p w14:paraId="7389937C">
      <w:pPr>
        <w:pStyle w:val="5"/>
        <w:numPr>
          <w:ilvl w:val="0"/>
          <w:numId w:val="0"/>
        </w:numPr>
        <w:tabs>
          <w:tab w:val="clear" w:pos="432"/>
        </w:tabs>
        <w:ind w:leftChars="0"/>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检测需求一览表</w:t>
      </w:r>
    </w:p>
    <w:tbl>
      <w:tblPr>
        <w:tblStyle w:val="25"/>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
        <w:gridCol w:w="1395"/>
        <w:gridCol w:w="3885"/>
        <w:gridCol w:w="780"/>
        <w:gridCol w:w="810"/>
        <w:gridCol w:w="1080"/>
        <w:gridCol w:w="1080"/>
      </w:tblGrid>
      <w:tr w14:paraId="2217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7AD8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序号</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86A0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环节及品类</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2641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检测标准</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F211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数量</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C1C3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556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单价（元）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560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rPr>
              <w:t>备注</w:t>
            </w:r>
          </w:p>
        </w:tc>
      </w:tr>
      <w:tr w14:paraId="5774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62F51">
            <w:pPr>
              <w:jc w:val="center"/>
              <w:rPr>
                <w:rFonts w:hint="eastAsia" w:ascii="宋体" w:hAnsi="宋体" w:eastAsia="宋体" w:cs="宋体"/>
                <w:b/>
                <w:bCs/>
                <w:i w:val="0"/>
                <w:iCs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725AC">
            <w:pPr>
              <w:jc w:val="center"/>
              <w:rPr>
                <w:rFonts w:hint="eastAsia" w:ascii="宋体" w:hAnsi="宋体" w:eastAsia="宋体" w:cs="宋体"/>
                <w:b/>
                <w:bCs/>
                <w:i w:val="0"/>
                <w:iCs w:val="0"/>
                <w:color w:val="auto"/>
                <w:sz w:val="20"/>
                <w:szCs w:val="20"/>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DC40E">
            <w:pPr>
              <w:jc w:val="center"/>
              <w:rPr>
                <w:rFonts w:hint="eastAsia" w:ascii="宋体" w:hAnsi="宋体" w:eastAsia="宋体" w:cs="宋体"/>
                <w:b/>
                <w:bCs/>
                <w:i w:val="0"/>
                <w:iCs w:val="0"/>
                <w:color w:val="auto"/>
                <w:sz w:val="20"/>
                <w:szCs w:val="20"/>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FF50B">
            <w:pPr>
              <w:jc w:val="center"/>
              <w:rPr>
                <w:rFonts w:hint="eastAsia" w:ascii="宋体" w:hAnsi="宋体" w:eastAsia="宋体" w:cs="宋体"/>
                <w:b/>
                <w:bCs/>
                <w:i w:val="0"/>
                <w:iCs w:val="0"/>
                <w:color w:val="auto"/>
                <w:sz w:val="20"/>
                <w:szCs w:val="20"/>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31FEC">
            <w:pPr>
              <w:jc w:val="center"/>
              <w:rPr>
                <w:rFonts w:hint="eastAsia" w:ascii="宋体" w:hAnsi="宋体" w:eastAsia="宋体" w:cs="宋体"/>
                <w:b/>
                <w:bCs/>
                <w:i w:val="0"/>
                <w:iCs w:val="0"/>
                <w:color w:val="auto"/>
                <w:sz w:val="20"/>
                <w:szCs w:val="20"/>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964E">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F316">
            <w:pPr>
              <w:jc w:val="center"/>
              <w:rPr>
                <w:rFonts w:hint="eastAsia" w:ascii="宋体" w:hAnsi="宋体" w:eastAsia="宋体" w:cs="宋体"/>
                <w:b/>
                <w:bCs/>
                <w:i w:val="0"/>
                <w:iCs w:val="0"/>
                <w:color w:val="auto"/>
                <w:sz w:val="18"/>
                <w:szCs w:val="18"/>
                <w:highlight w:val="none"/>
                <w:u w:val="none"/>
              </w:rPr>
            </w:pPr>
          </w:p>
        </w:tc>
      </w:tr>
      <w:tr w14:paraId="34C1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F5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388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生产环节-粮食加工品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B53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74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CE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EA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3792">
            <w:pPr>
              <w:jc w:val="center"/>
              <w:rPr>
                <w:rFonts w:hint="eastAsia" w:ascii="宋体" w:hAnsi="宋体" w:eastAsia="宋体" w:cs="宋体"/>
                <w:i w:val="0"/>
                <w:iCs w:val="0"/>
                <w:color w:val="auto"/>
                <w:sz w:val="18"/>
                <w:szCs w:val="18"/>
                <w:highlight w:val="none"/>
                <w:u w:val="none"/>
              </w:rPr>
            </w:pPr>
          </w:p>
        </w:tc>
      </w:tr>
      <w:tr w14:paraId="6865B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C8D1">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946D">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C01F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4A1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0FA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F44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D9D9">
            <w:pPr>
              <w:jc w:val="center"/>
              <w:rPr>
                <w:rFonts w:hint="eastAsia" w:ascii="宋体" w:hAnsi="宋体" w:eastAsia="宋体" w:cs="宋体"/>
                <w:i w:val="0"/>
                <w:iCs w:val="0"/>
                <w:color w:val="auto"/>
                <w:sz w:val="18"/>
                <w:szCs w:val="18"/>
                <w:highlight w:val="none"/>
                <w:u w:val="none"/>
              </w:rPr>
            </w:pPr>
          </w:p>
        </w:tc>
      </w:tr>
      <w:tr w14:paraId="0A926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0D5F">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F5391">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B6F8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ADB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11A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741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2A83">
            <w:pPr>
              <w:jc w:val="center"/>
              <w:rPr>
                <w:rFonts w:hint="eastAsia" w:ascii="宋体" w:hAnsi="宋体" w:eastAsia="宋体" w:cs="宋体"/>
                <w:i w:val="0"/>
                <w:iCs w:val="0"/>
                <w:color w:val="auto"/>
                <w:sz w:val="18"/>
                <w:szCs w:val="18"/>
                <w:highlight w:val="none"/>
                <w:u w:val="none"/>
              </w:rPr>
            </w:pPr>
          </w:p>
        </w:tc>
      </w:tr>
      <w:tr w14:paraId="6AF6F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803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6F4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生产环节-食用油、油脂及其制品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AB8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8B3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DA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12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5126">
            <w:pPr>
              <w:jc w:val="center"/>
              <w:rPr>
                <w:rFonts w:hint="eastAsia" w:ascii="宋体" w:hAnsi="宋体" w:eastAsia="宋体" w:cs="宋体"/>
                <w:i w:val="0"/>
                <w:iCs w:val="0"/>
                <w:color w:val="auto"/>
                <w:sz w:val="18"/>
                <w:szCs w:val="18"/>
                <w:highlight w:val="none"/>
                <w:u w:val="none"/>
              </w:rPr>
            </w:pPr>
          </w:p>
        </w:tc>
      </w:tr>
      <w:tr w14:paraId="01E3B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4071B">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316B">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B489A">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3F18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D0F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14F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99C8">
            <w:pPr>
              <w:jc w:val="center"/>
              <w:rPr>
                <w:rFonts w:hint="eastAsia" w:ascii="宋体" w:hAnsi="宋体" w:eastAsia="宋体" w:cs="宋体"/>
                <w:i w:val="0"/>
                <w:iCs w:val="0"/>
                <w:color w:val="auto"/>
                <w:sz w:val="18"/>
                <w:szCs w:val="18"/>
                <w:highlight w:val="none"/>
                <w:u w:val="none"/>
              </w:rPr>
            </w:pPr>
          </w:p>
        </w:tc>
      </w:tr>
      <w:tr w14:paraId="3051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13AA8">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A1B83">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9DB99">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E522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F7B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010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6740">
            <w:pPr>
              <w:jc w:val="center"/>
              <w:rPr>
                <w:rFonts w:hint="eastAsia" w:ascii="宋体" w:hAnsi="宋体" w:eastAsia="宋体" w:cs="宋体"/>
                <w:i w:val="0"/>
                <w:iCs w:val="0"/>
                <w:color w:val="auto"/>
                <w:sz w:val="18"/>
                <w:szCs w:val="18"/>
                <w:highlight w:val="none"/>
                <w:u w:val="none"/>
              </w:rPr>
            </w:pPr>
          </w:p>
        </w:tc>
      </w:tr>
      <w:tr w14:paraId="2EA83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51E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14C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生产环节-调味品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783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C52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7F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95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BA90">
            <w:pPr>
              <w:jc w:val="center"/>
              <w:rPr>
                <w:rFonts w:hint="eastAsia" w:ascii="宋体" w:hAnsi="宋体" w:eastAsia="宋体" w:cs="宋体"/>
                <w:i w:val="0"/>
                <w:iCs w:val="0"/>
                <w:color w:val="auto"/>
                <w:sz w:val="18"/>
                <w:szCs w:val="18"/>
                <w:highlight w:val="none"/>
                <w:u w:val="none"/>
              </w:rPr>
            </w:pPr>
          </w:p>
        </w:tc>
      </w:tr>
      <w:tr w14:paraId="4506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7EFCA">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60AA8">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1C75D">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A7AA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953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119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27BB">
            <w:pPr>
              <w:jc w:val="center"/>
              <w:rPr>
                <w:rFonts w:hint="eastAsia" w:ascii="宋体" w:hAnsi="宋体" w:eastAsia="宋体" w:cs="宋体"/>
                <w:i w:val="0"/>
                <w:iCs w:val="0"/>
                <w:color w:val="auto"/>
                <w:sz w:val="18"/>
                <w:szCs w:val="18"/>
                <w:highlight w:val="none"/>
                <w:u w:val="none"/>
              </w:rPr>
            </w:pPr>
          </w:p>
        </w:tc>
      </w:tr>
      <w:tr w14:paraId="0FE4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CD649">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98DE4">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327CD">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B39B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615B">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42D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4B8E">
            <w:pPr>
              <w:jc w:val="center"/>
              <w:rPr>
                <w:rFonts w:hint="eastAsia" w:ascii="宋体" w:hAnsi="宋体" w:eastAsia="宋体" w:cs="宋体"/>
                <w:i w:val="0"/>
                <w:iCs w:val="0"/>
                <w:color w:val="auto"/>
                <w:sz w:val="18"/>
                <w:szCs w:val="18"/>
                <w:highlight w:val="none"/>
                <w:u w:val="none"/>
              </w:rPr>
            </w:pPr>
          </w:p>
        </w:tc>
      </w:tr>
      <w:tr w14:paraId="0986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763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94D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生产环节-肉制品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22F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1D9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C6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55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DCDE">
            <w:pPr>
              <w:jc w:val="center"/>
              <w:rPr>
                <w:rFonts w:hint="eastAsia" w:ascii="宋体" w:hAnsi="宋体" w:eastAsia="宋体" w:cs="宋体"/>
                <w:i w:val="0"/>
                <w:iCs w:val="0"/>
                <w:color w:val="auto"/>
                <w:sz w:val="18"/>
                <w:szCs w:val="18"/>
                <w:highlight w:val="none"/>
                <w:u w:val="none"/>
              </w:rPr>
            </w:pPr>
          </w:p>
        </w:tc>
      </w:tr>
      <w:tr w14:paraId="2642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D7DE7">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5DD5C">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6D592">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7C3A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816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721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354B">
            <w:pPr>
              <w:jc w:val="center"/>
              <w:rPr>
                <w:rFonts w:hint="eastAsia" w:ascii="宋体" w:hAnsi="宋体" w:eastAsia="宋体" w:cs="宋体"/>
                <w:i w:val="0"/>
                <w:iCs w:val="0"/>
                <w:color w:val="auto"/>
                <w:sz w:val="18"/>
                <w:szCs w:val="18"/>
                <w:highlight w:val="none"/>
                <w:u w:val="none"/>
              </w:rPr>
            </w:pPr>
          </w:p>
        </w:tc>
      </w:tr>
      <w:tr w14:paraId="23B9B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73EE9">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28C39">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F161C">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E70E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BA0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875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E7AB">
            <w:pPr>
              <w:jc w:val="center"/>
              <w:rPr>
                <w:rFonts w:hint="eastAsia" w:ascii="宋体" w:hAnsi="宋体" w:eastAsia="宋体" w:cs="宋体"/>
                <w:i w:val="0"/>
                <w:iCs w:val="0"/>
                <w:color w:val="auto"/>
                <w:sz w:val="18"/>
                <w:szCs w:val="18"/>
                <w:highlight w:val="none"/>
                <w:u w:val="none"/>
              </w:rPr>
            </w:pPr>
          </w:p>
        </w:tc>
      </w:tr>
      <w:tr w14:paraId="338A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8F2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44C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生产环节-方便食品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46A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AB3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F6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FC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447F">
            <w:pPr>
              <w:jc w:val="center"/>
              <w:rPr>
                <w:rFonts w:hint="eastAsia" w:ascii="宋体" w:hAnsi="宋体" w:eastAsia="宋体" w:cs="宋体"/>
                <w:i w:val="0"/>
                <w:iCs w:val="0"/>
                <w:color w:val="auto"/>
                <w:sz w:val="18"/>
                <w:szCs w:val="18"/>
                <w:highlight w:val="none"/>
                <w:u w:val="none"/>
              </w:rPr>
            </w:pPr>
          </w:p>
        </w:tc>
      </w:tr>
      <w:tr w14:paraId="5EC72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3787B">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D5006">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27554">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C53D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4008">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670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DCC8">
            <w:pPr>
              <w:jc w:val="center"/>
              <w:rPr>
                <w:rFonts w:hint="eastAsia" w:ascii="宋体" w:hAnsi="宋体" w:eastAsia="宋体" w:cs="宋体"/>
                <w:i w:val="0"/>
                <w:iCs w:val="0"/>
                <w:color w:val="auto"/>
                <w:sz w:val="18"/>
                <w:szCs w:val="18"/>
                <w:highlight w:val="none"/>
                <w:u w:val="none"/>
              </w:rPr>
            </w:pPr>
          </w:p>
        </w:tc>
      </w:tr>
      <w:tr w14:paraId="112E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310FC">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AA1A2">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5E9B7">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E36C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8158">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3B4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B0EF">
            <w:pPr>
              <w:jc w:val="center"/>
              <w:rPr>
                <w:rFonts w:hint="eastAsia" w:ascii="宋体" w:hAnsi="宋体" w:eastAsia="宋体" w:cs="宋体"/>
                <w:i w:val="0"/>
                <w:iCs w:val="0"/>
                <w:color w:val="auto"/>
                <w:sz w:val="18"/>
                <w:szCs w:val="18"/>
                <w:highlight w:val="none"/>
                <w:u w:val="none"/>
              </w:rPr>
            </w:pPr>
          </w:p>
        </w:tc>
      </w:tr>
      <w:tr w14:paraId="3425B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32C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879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生产环节-罐头</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7EB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3A4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BE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9D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F732">
            <w:pPr>
              <w:jc w:val="center"/>
              <w:rPr>
                <w:rFonts w:hint="eastAsia" w:ascii="宋体" w:hAnsi="宋体" w:eastAsia="宋体" w:cs="宋体"/>
                <w:i w:val="0"/>
                <w:iCs w:val="0"/>
                <w:color w:val="auto"/>
                <w:sz w:val="18"/>
                <w:szCs w:val="18"/>
                <w:highlight w:val="none"/>
                <w:u w:val="none"/>
              </w:rPr>
            </w:pPr>
          </w:p>
        </w:tc>
      </w:tr>
      <w:tr w14:paraId="56CB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E8677">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7A314">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8D837">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DE38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D3D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B4C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C4DB">
            <w:pPr>
              <w:jc w:val="center"/>
              <w:rPr>
                <w:rFonts w:hint="eastAsia" w:ascii="宋体" w:hAnsi="宋体" w:eastAsia="宋体" w:cs="宋体"/>
                <w:i w:val="0"/>
                <w:iCs w:val="0"/>
                <w:color w:val="auto"/>
                <w:sz w:val="18"/>
                <w:szCs w:val="18"/>
                <w:highlight w:val="none"/>
                <w:u w:val="none"/>
              </w:rPr>
            </w:pPr>
          </w:p>
        </w:tc>
      </w:tr>
      <w:tr w14:paraId="7F18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CE1FF">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9D6D7">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08163">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683B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194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4778">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8592">
            <w:pPr>
              <w:jc w:val="center"/>
              <w:rPr>
                <w:rFonts w:hint="eastAsia" w:ascii="宋体" w:hAnsi="宋体" w:eastAsia="宋体" w:cs="宋体"/>
                <w:i w:val="0"/>
                <w:iCs w:val="0"/>
                <w:color w:val="auto"/>
                <w:sz w:val="18"/>
                <w:szCs w:val="18"/>
                <w:highlight w:val="none"/>
                <w:u w:val="none"/>
              </w:rPr>
            </w:pPr>
          </w:p>
        </w:tc>
      </w:tr>
      <w:tr w14:paraId="6F84D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0C3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551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生产环节-速冻食品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EEA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95D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0E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97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62B1">
            <w:pPr>
              <w:jc w:val="center"/>
              <w:rPr>
                <w:rFonts w:hint="eastAsia" w:ascii="宋体" w:hAnsi="宋体" w:eastAsia="宋体" w:cs="宋体"/>
                <w:i w:val="0"/>
                <w:iCs w:val="0"/>
                <w:color w:val="auto"/>
                <w:sz w:val="18"/>
                <w:szCs w:val="18"/>
                <w:highlight w:val="none"/>
                <w:u w:val="none"/>
              </w:rPr>
            </w:pPr>
          </w:p>
        </w:tc>
      </w:tr>
      <w:tr w14:paraId="48C1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964F4">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88DC5">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E4F6B">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C876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39A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1E5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F29C">
            <w:pPr>
              <w:jc w:val="center"/>
              <w:rPr>
                <w:rFonts w:hint="eastAsia" w:ascii="宋体" w:hAnsi="宋体" w:eastAsia="宋体" w:cs="宋体"/>
                <w:i w:val="0"/>
                <w:iCs w:val="0"/>
                <w:color w:val="auto"/>
                <w:sz w:val="18"/>
                <w:szCs w:val="18"/>
                <w:highlight w:val="none"/>
                <w:u w:val="none"/>
              </w:rPr>
            </w:pPr>
          </w:p>
        </w:tc>
      </w:tr>
      <w:tr w14:paraId="60D72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BA2B6">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106C9">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76D70">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A1C1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B08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57C8">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5190">
            <w:pPr>
              <w:jc w:val="center"/>
              <w:rPr>
                <w:rFonts w:hint="eastAsia" w:ascii="宋体" w:hAnsi="宋体" w:eastAsia="宋体" w:cs="宋体"/>
                <w:i w:val="0"/>
                <w:iCs w:val="0"/>
                <w:color w:val="auto"/>
                <w:sz w:val="18"/>
                <w:szCs w:val="18"/>
                <w:highlight w:val="none"/>
                <w:u w:val="none"/>
              </w:rPr>
            </w:pPr>
          </w:p>
        </w:tc>
      </w:tr>
      <w:tr w14:paraId="52B9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89E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A36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生产环节-酒类</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A14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55B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63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D4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2012">
            <w:pPr>
              <w:jc w:val="center"/>
              <w:rPr>
                <w:rFonts w:hint="eastAsia" w:ascii="宋体" w:hAnsi="宋体" w:eastAsia="宋体" w:cs="宋体"/>
                <w:i w:val="0"/>
                <w:iCs w:val="0"/>
                <w:color w:val="auto"/>
                <w:sz w:val="18"/>
                <w:szCs w:val="18"/>
                <w:highlight w:val="none"/>
                <w:u w:val="none"/>
              </w:rPr>
            </w:pPr>
          </w:p>
        </w:tc>
      </w:tr>
      <w:tr w14:paraId="2DDF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9E13D">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4E5EF">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87360">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5F80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191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2A2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378F">
            <w:pPr>
              <w:jc w:val="center"/>
              <w:rPr>
                <w:rFonts w:hint="eastAsia" w:ascii="宋体" w:hAnsi="宋体" w:eastAsia="宋体" w:cs="宋体"/>
                <w:i w:val="0"/>
                <w:iCs w:val="0"/>
                <w:color w:val="auto"/>
                <w:sz w:val="18"/>
                <w:szCs w:val="18"/>
                <w:highlight w:val="none"/>
                <w:u w:val="none"/>
              </w:rPr>
            </w:pPr>
          </w:p>
        </w:tc>
      </w:tr>
      <w:tr w14:paraId="3072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F771E">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B0124">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1E5FB">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5686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DCB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625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FD05">
            <w:pPr>
              <w:jc w:val="center"/>
              <w:rPr>
                <w:rFonts w:hint="eastAsia" w:ascii="宋体" w:hAnsi="宋体" w:eastAsia="宋体" w:cs="宋体"/>
                <w:i w:val="0"/>
                <w:iCs w:val="0"/>
                <w:color w:val="auto"/>
                <w:sz w:val="18"/>
                <w:szCs w:val="18"/>
                <w:highlight w:val="none"/>
                <w:u w:val="none"/>
              </w:rPr>
            </w:pPr>
          </w:p>
        </w:tc>
      </w:tr>
      <w:tr w14:paraId="23916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634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9</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789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生产环节-水果制品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30F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E15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40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3B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EC30">
            <w:pPr>
              <w:jc w:val="center"/>
              <w:rPr>
                <w:rFonts w:hint="eastAsia" w:ascii="宋体" w:hAnsi="宋体" w:eastAsia="宋体" w:cs="宋体"/>
                <w:i w:val="0"/>
                <w:iCs w:val="0"/>
                <w:color w:val="auto"/>
                <w:sz w:val="18"/>
                <w:szCs w:val="18"/>
                <w:highlight w:val="none"/>
                <w:u w:val="none"/>
              </w:rPr>
            </w:pPr>
          </w:p>
        </w:tc>
      </w:tr>
      <w:tr w14:paraId="75FE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DB22E">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4352F">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37513">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D3918">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D41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446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F2C5">
            <w:pPr>
              <w:jc w:val="center"/>
              <w:rPr>
                <w:rFonts w:hint="eastAsia" w:ascii="宋体" w:hAnsi="宋体" w:eastAsia="宋体" w:cs="宋体"/>
                <w:i w:val="0"/>
                <w:iCs w:val="0"/>
                <w:color w:val="auto"/>
                <w:sz w:val="18"/>
                <w:szCs w:val="18"/>
                <w:highlight w:val="none"/>
                <w:u w:val="none"/>
              </w:rPr>
            </w:pPr>
          </w:p>
        </w:tc>
      </w:tr>
      <w:tr w14:paraId="789D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DB15F">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837A4">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8E8CE">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B7B9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6DF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1FB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A9AE">
            <w:pPr>
              <w:jc w:val="center"/>
              <w:rPr>
                <w:rFonts w:hint="eastAsia" w:ascii="宋体" w:hAnsi="宋体" w:eastAsia="宋体" w:cs="宋体"/>
                <w:i w:val="0"/>
                <w:iCs w:val="0"/>
                <w:color w:val="auto"/>
                <w:sz w:val="18"/>
                <w:szCs w:val="18"/>
                <w:highlight w:val="none"/>
                <w:u w:val="none"/>
              </w:rPr>
            </w:pPr>
          </w:p>
        </w:tc>
      </w:tr>
      <w:tr w14:paraId="4736B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181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B1E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生产环节-炒货食品及坚果制品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CA1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52C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3F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AE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C34D">
            <w:pPr>
              <w:jc w:val="center"/>
              <w:rPr>
                <w:rFonts w:hint="eastAsia" w:ascii="宋体" w:hAnsi="宋体" w:eastAsia="宋体" w:cs="宋体"/>
                <w:i w:val="0"/>
                <w:iCs w:val="0"/>
                <w:color w:val="auto"/>
                <w:sz w:val="18"/>
                <w:szCs w:val="18"/>
                <w:highlight w:val="none"/>
                <w:u w:val="none"/>
              </w:rPr>
            </w:pPr>
          </w:p>
        </w:tc>
      </w:tr>
      <w:tr w14:paraId="74955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E0C6E">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6A8E0">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71995">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EA92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487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B0C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1EFC">
            <w:pPr>
              <w:jc w:val="center"/>
              <w:rPr>
                <w:rFonts w:hint="eastAsia" w:ascii="宋体" w:hAnsi="宋体" w:eastAsia="宋体" w:cs="宋体"/>
                <w:i w:val="0"/>
                <w:iCs w:val="0"/>
                <w:color w:val="auto"/>
                <w:sz w:val="18"/>
                <w:szCs w:val="18"/>
                <w:highlight w:val="none"/>
                <w:u w:val="none"/>
              </w:rPr>
            </w:pPr>
          </w:p>
        </w:tc>
      </w:tr>
      <w:tr w14:paraId="336F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71E52">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384F0">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5AC96">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86F2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F7EB">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8A9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3FF7">
            <w:pPr>
              <w:jc w:val="center"/>
              <w:rPr>
                <w:rFonts w:hint="eastAsia" w:ascii="宋体" w:hAnsi="宋体" w:eastAsia="宋体" w:cs="宋体"/>
                <w:i w:val="0"/>
                <w:iCs w:val="0"/>
                <w:color w:val="auto"/>
                <w:sz w:val="18"/>
                <w:szCs w:val="18"/>
                <w:highlight w:val="none"/>
                <w:u w:val="none"/>
              </w:rPr>
            </w:pPr>
          </w:p>
        </w:tc>
      </w:tr>
      <w:tr w14:paraId="5424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BD6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31F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生产环节-蛋制品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4F1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BFB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4A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F2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D998">
            <w:pPr>
              <w:jc w:val="center"/>
              <w:rPr>
                <w:rFonts w:hint="eastAsia" w:ascii="宋体" w:hAnsi="宋体" w:eastAsia="宋体" w:cs="宋体"/>
                <w:i w:val="0"/>
                <w:iCs w:val="0"/>
                <w:color w:val="auto"/>
                <w:sz w:val="18"/>
                <w:szCs w:val="18"/>
                <w:highlight w:val="none"/>
                <w:u w:val="none"/>
              </w:rPr>
            </w:pPr>
          </w:p>
        </w:tc>
      </w:tr>
      <w:tr w14:paraId="1E32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41658">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99DA">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E72FC">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9F62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785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2CD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F223">
            <w:pPr>
              <w:jc w:val="center"/>
              <w:rPr>
                <w:rFonts w:hint="eastAsia" w:ascii="宋体" w:hAnsi="宋体" w:eastAsia="宋体" w:cs="宋体"/>
                <w:i w:val="0"/>
                <w:iCs w:val="0"/>
                <w:color w:val="auto"/>
                <w:sz w:val="18"/>
                <w:szCs w:val="18"/>
                <w:highlight w:val="none"/>
                <w:u w:val="none"/>
              </w:rPr>
            </w:pPr>
          </w:p>
        </w:tc>
      </w:tr>
      <w:tr w14:paraId="75273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5FED6">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D64DC">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29E72">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B0D3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394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0DA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6AF1">
            <w:pPr>
              <w:jc w:val="center"/>
              <w:rPr>
                <w:rFonts w:hint="eastAsia" w:ascii="宋体" w:hAnsi="宋体" w:eastAsia="宋体" w:cs="宋体"/>
                <w:i w:val="0"/>
                <w:iCs w:val="0"/>
                <w:color w:val="auto"/>
                <w:sz w:val="18"/>
                <w:szCs w:val="18"/>
                <w:highlight w:val="none"/>
                <w:u w:val="none"/>
              </w:rPr>
            </w:pPr>
          </w:p>
        </w:tc>
      </w:tr>
      <w:tr w14:paraId="68B5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5FB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12</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50F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生产环节-水产制品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0B0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274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42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1A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9346">
            <w:pPr>
              <w:jc w:val="center"/>
              <w:rPr>
                <w:rFonts w:hint="eastAsia" w:ascii="宋体" w:hAnsi="宋体" w:eastAsia="宋体" w:cs="宋体"/>
                <w:i w:val="0"/>
                <w:iCs w:val="0"/>
                <w:color w:val="auto"/>
                <w:sz w:val="18"/>
                <w:szCs w:val="18"/>
                <w:highlight w:val="none"/>
                <w:u w:val="none"/>
              </w:rPr>
            </w:pPr>
          </w:p>
        </w:tc>
      </w:tr>
      <w:tr w14:paraId="6925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B0DB5">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EDFF1">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7F753">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4714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FFBB">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AF0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F05D">
            <w:pPr>
              <w:jc w:val="center"/>
              <w:rPr>
                <w:rFonts w:hint="eastAsia" w:ascii="宋体" w:hAnsi="宋体" w:eastAsia="宋体" w:cs="宋体"/>
                <w:i w:val="0"/>
                <w:iCs w:val="0"/>
                <w:color w:val="auto"/>
                <w:sz w:val="18"/>
                <w:szCs w:val="18"/>
                <w:highlight w:val="none"/>
                <w:u w:val="none"/>
              </w:rPr>
            </w:pPr>
          </w:p>
        </w:tc>
      </w:tr>
      <w:tr w14:paraId="4FE7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9C80F">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A4AAD">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BE90C">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B6AE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22A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529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E547">
            <w:pPr>
              <w:jc w:val="center"/>
              <w:rPr>
                <w:rFonts w:hint="eastAsia" w:ascii="宋体" w:hAnsi="宋体" w:eastAsia="宋体" w:cs="宋体"/>
                <w:i w:val="0"/>
                <w:iCs w:val="0"/>
                <w:color w:val="auto"/>
                <w:sz w:val="18"/>
                <w:szCs w:val="18"/>
                <w:highlight w:val="none"/>
                <w:u w:val="none"/>
              </w:rPr>
            </w:pPr>
          </w:p>
        </w:tc>
      </w:tr>
      <w:tr w14:paraId="5BDF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F0E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13</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4C8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生产环节-糕点</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544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8A0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3B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B0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B027">
            <w:pPr>
              <w:jc w:val="center"/>
              <w:rPr>
                <w:rFonts w:hint="eastAsia" w:ascii="宋体" w:hAnsi="宋体" w:eastAsia="宋体" w:cs="宋体"/>
                <w:i w:val="0"/>
                <w:iCs w:val="0"/>
                <w:color w:val="auto"/>
                <w:sz w:val="18"/>
                <w:szCs w:val="18"/>
                <w:highlight w:val="none"/>
                <w:u w:val="none"/>
              </w:rPr>
            </w:pPr>
          </w:p>
        </w:tc>
      </w:tr>
      <w:tr w14:paraId="55C1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FE1CB">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E7B5F">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29D62">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C275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F11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4FF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5992">
            <w:pPr>
              <w:jc w:val="center"/>
              <w:rPr>
                <w:rFonts w:hint="eastAsia" w:ascii="宋体" w:hAnsi="宋体" w:eastAsia="宋体" w:cs="宋体"/>
                <w:i w:val="0"/>
                <w:iCs w:val="0"/>
                <w:color w:val="auto"/>
                <w:sz w:val="18"/>
                <w:szCs w:val="18"/>
                <w:highlight w:val="none"/>
                <w:u w:val="none"/>
              </w:rPr>
            </w:pPr>
          </w:p>
        </w:tc>
      </w:tr>
      <w:tr w14:paraId="572C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9905">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4BA37">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53BAF">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4C7F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4C5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3490">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75B2">
            <w:pPr>
              <w:jc w:val="center"/>
              <w:rPr>
                <w:rFonts w:hint="eastAsia" w:ascii="宋体" w:hAnsi="宋体" w:eastAsia="宋体" w:cs="宋体"/>
                <w:i w:val="0"/>
                <w:iCs w:val="0"/>
                <w:color w:val="auto"/>
                <w:sz w:val="18"/>
                <w:szCs w:val="18"/>
                <w:highlight w:val="none"/>
                <w:u w:val="none"/>
              </w:rPr>
            </w:pPr>
          </w:p>
        </w:tc>
      </w:tr>
      <w:tr w14:paraId="4BA08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1ED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14</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791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生产环节-豆制品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AE7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CCB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33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5C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A9E6">
            <w:pPr>
              <w:jc w:val="center"/>
              <w:rPr>
                <w:rFonts w:hint="eastAsia" w:ascii="宋体" w:hAnsi="宋体" w:eastAsia="宋体" w:cs="宋体"/>
                <w:i w:val="0"/>
                <w:iCs w:val="0"/>
                <w:color w:val="auto"/>
                <w:sz w:val="18"/>
                <w:szCs w:val="18"/>
                <w:highlight w:val="none"/>
                <w:u w:val="none"/>
              </w:rPr>
            </w:pPr>
          </w:p>
        </w:tc>
      </w:tr>
      <w:tr w14:paraId="2FD4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5CCBB">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3CD82">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DFED6">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B403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60B0">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0C4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AB0E">
            <w:pPr>
              <w:jc w:val="center"/>
              <w:rPr>
                <w:rFonts w:hint="eastAsia" w:ascii="宋体" w:hAnsi="宋体" w:eastAsia="宋体" w:cs="宋体"/>
                <w:i w:val="0"/>
                <w:iCs w:val="0"/>
                <w:color w:val="auto"/>
                <w:sz w:val="18"/>
                <w:szCs w:val="18"/>
                <w:highlight w:val="none"/>
                <w:u w:val="none"/>
              </w:rPr>
            </w:pPr>
          </w:p>
        </w:tc>
      </w:tr>
      <w:tr w14:paraId="318C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4C253">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370BA">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3C9E6">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E17C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A88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25BB">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9BBE">
            <w:pPr>
              <w:jc w:val="center"/>
              <w:rPr>
                <w:rFonts w:hint="eastAsia" w:ascii="宋体" w:hAnsi="宋体" w:eastAsia="宋体" w:cs="宋体"/>
                <w:i w:val="0"/>
                <w:iCs w:val="0"/>
                <w:color w:val="auto"/>
                <w:sz w:val="18"/>
                <w:szCs w:val="18"/>
                <w:highlight w:val="none"/>
                <w:u w:val="none"/>
              </w:rPr>
            </w:pPr>
          </w:p>
        </w:tc>
      </w:tr>
      <w:tr w14:paraId="38D86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F16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15</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F00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生产环节-食品添加剂</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6CF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CAA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E3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1E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EA89">
            <w:pPr>
              <w:jc w:val="center"/>
              <w:rPr>
                <w:rFonts w:hint="eastAsia" w:ascii="宋体" w:hAnsi="宋体" w:eastAsia="宋体" w:cs="宋体"/>
                <w:i w:val="0"/>
                <w:iCs w:val="0"/>
                <w:color w:val="auto"/>
                <w:sz w:val="18"/>
                <w:szCs w:val="18"/>
                <w:highlight w:val="none"/>
                <w:u w:val="none"/>
              </w:rPr>
            </w:pPr>
          </w:p>
        </w:tc>
      </w:tr>
      <w:tr w14:paraId="7962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0FBCE">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44849">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9D69E">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F56E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3470">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3AF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A56D">
            <w:pPr>
              <w:jc w:val="center"/>
              <w:rPr>
                <w:rFonts w:hint="eastAsia" w:ascii="宋体" w:hAnsi="宋体" w:eastAsia="宋体" w:cs="宋体"/>
                <w:i w:val="0"/>
                <w:iCs w:val="0"/>
                <w:color w:val="auto"/>
                <w:sz w:val="18"/>
                <w:szCs w:val="18"/>
                <w:highlight w:val="none"/>
                <w:u w:val="none"/>
              </w:rPr>
            </w:pPr>
          </w:p>
        </w:tc>
      </w:tr>
      <w:tr w14:paraId="6FBC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A1045">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0AA48">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70D25">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62B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AC1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7D8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5487">
            <w:pPr>
              <w:jc w:val="center"/>
              <w:rPr>
                <w:rFonts w:hint="eastAsia" w:ascii="宋体" w:hAnsi="宋体" w:eastAsia="宋体" w:cs="宋体"/>
                <w:i w:val="0"/>
                <w:iCs w:val="0"/>
                <w:color w:val="auto"/>
                <w:sz w:val="18"/>
                <w:szCs w:val="18"/>
                <w:highlight w:val="none"/>
                <w:u w:val="none"/>
              </w:rPr>
            </w:pPr>
          </w:p>
        </w:tc>
      </w:tr>
      <w:tr w14:paraId="6B0E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D11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16</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7EC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流通环节-粮食加工品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099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CC8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EE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BA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65CB">
            <w:pPr>
              <w:jc w:val="center"/>
              <w:rPr>
                <w:rFonts w:hint="eastAsia" w:ascii="宋体" w:hAnsi="宋体" w:eastAsia="宋体" w:cs="宋体"/>
                <w:i w:val="0"/>
                <w:iCs w:val="0"/>
                <w:color w:val="auto"/>
                <w:sz w:val="18"/>
                <w:szCs w:val="18"/>
                <w:highlight w:val="none"/>
                <w:u w:val="none"/>
              </w:rPr>
            </w:pPr>
          </w:p>
        </w:tc>
      </w:tr>
      <w:tr w14:paraId="3B4F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C1F57">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BEA43">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A653E">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70FD0">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9DE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810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390A">
            <w:pPr>
              <w:jc w:val="center"/>
              <w:rPr>
                <w:rFonts w:hint="eastAsia" w:ascii="宋体" w:hAnsi="宋体" w:eastAsia="宋体" w:cs="宋体"/>
                <w:i w:val="0"/>
                <w:iCs w:val="0"/>
                <w:color w:val="auto"/>
                <w:sz w:val="18"/>
                <w:szCs w:val="18"/>
                <w:highlight w:val="none"/>
                <w:u w:val="none"/>
              </w:rPr>
            </w:pPr>
          </w:p>
        </w:tc>
      </w:tr>
      <w:tr w14:paraId="37D3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595DF">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0913E">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C7912">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BFCB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DAB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887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F2E6">
            <w:pPr>
              <w:jc w:val="center"/>
              <w:rPr>
                <w:rFonts w:hint="eastAsia" w:ascii="宋体" w:hAnsi="宋体" w:eastAsia="宋体" w:cs="宋体"/>
                <w:i w:val="0"/>
                <w:iCs w:val="0"/>
                <w:color w:val="auto"/>
                <w:sz w:val="18"/>
                <w:szCs w:val="18"/>
                <w:highlight w:val="none"/>
                <w:u w:val="none"/>
              </w:rPr>
            </w:pPr>
          </w:p>
        </w:tc>
      </w:tr>
      <w:tr w14:paraId="64EB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4EB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17</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1A4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流通环节-食用油、油脂及其制品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765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84F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EB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CF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941F">
            <w:pPr>
              <w:jc w:val="center"/>
              <w:rPr>
                <w:rFonts w:hint="eastAsia" w:ascii="宋体" w:hAnsi="宋体" w:eastAsia="宋体" w:cs="宋体"/>
                <w:i w:val="0"/>
                <w:iCs w:val="0"/>
                <w:color w:val="auto"/>
                <w:sz w:val="18"/>
                <w:szCs w:val="18"/>
                <w:highlight w:val="none"/>
                <w:u w:val="none"/>
              </w:rPr>
            </w:pPr>
          </w:p>
        </w:tc>
      </w:tr>
      <w:tr w14:paraId="2648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0FAE1">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DE670">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D987A">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619B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F72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12C8">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70D8">
            <w:pPr>
              <w:jc w:val="center"/>
              <w:rPr>
                <w:rFonts w:hint="eastAsia" w:ascii="宋体" w:hAnsi="宋体" w:eastAsia="宋体" w:cs="宋体"/>
                <w:i w:val="0"/>
                <w:iCs w:val="0"/>
                <w:color w:val="auto"/>
                <w:sz w:val="18"/>
                <w:szCs w:val="18"/>
                <w:highlight w:val="none"/>
                <w:u w:val="none"/>
              </w:rPr>
            </w:pPr>
          </w:p>
        </w:tc>
      </w:tr>
      <w:tr w14:paraId="6891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116A0">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48CE9">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43CE9">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86BC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9C98">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100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5698">
            <w:pPr>
              <w:jc w:val="center"/>
              <w:rPr>
                <w:rFonts w:hint="eastAsia" w:ascii="宋体" w:hAnsi="宋体" w:eastAsia="宋体" w:cs="宋体"/>
                <w:i w:val="0"/>
                <w:iCs w:val="0"/>
                <w:color w:val="auto"/>
                <w:sz w:val="18"/>
                <w:szCs w:val="18"/>
                <w:highlight w:val="none"/>
                <w:u w:val="none"/>
              </w:rPr>
            </w:pPr>
          </w:p>
        </w:tc>
      </w:tr>
      <w:tr w14:paraId="75BE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96C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18</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133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流通环节-调味品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692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924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0C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F3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B9C7">
            <w:pPr>
              <w:jc w:val="center"/>
              <w:rPr>
                <w:rFonts w:hint="eastAsia" w:ascii="宋体" w:hAnsi="宋体" w:eastAsia="宋体" w:cs="宋体"/>
                <w:i w:val="0"/>
                <w:iCs w:val="0"/>
                <w:color w:val="auto"/>
                <w:sz w:val="18"/>
                <w:szCs w:val="18"/>
                <w:highlight w:val="none"/>
                <w:u w:val="none"/>
              </w:rPr>
            </w:pPr>
          </w:p>
        </w:tc>
      </w:tr>
      <w:tr w14:paraId="5410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8126F">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90D7D">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37195">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EE5F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A9B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985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1169">
            <w:pPr>
              <w:jc w:val="center"/>
              <w:rPr>
                <w:rFonts w:hint="eastAsia" w:ascii="宋体" w:hAnsi="宋体" w:eastAsia="宋体" w:cs="宋体"/>
                <w:i w:val="0"/>
                <w:iCs w:val="0"/>
                <w:color w:val="auto"/>
                <w:sz w:val="18"/>
                <w:szCs w:val="18"/>
                <w:highlight w:val="none"/>
                <w:u w:val="none"/>
              </w:rPr>
            </w:pPr>
          </w:p>
        </w:tc>
      </w:tr>
      <w:tr w14:paraId="088C3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24676">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AD606">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39AD6">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4FED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E3B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5D0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1C83">
            <w:pPr>
              <w:jc w:val="center"/>
              <w:rPr>
                <w:rFonts w:hint="eastAsia" w:ascii="宋体" w:hAnsi="宋体" w:eastAsia="宋体" w:cs="宋体"/>
                <w:i w:val="0"/>
                <w:iCs w:val="0"/>
                <w:color w:val="auto"/>
                <w:sz w:val="18"/>
                <w:szCs w:val="18"/>
                <w:highlight w:val="none"/>
                <w:u w:val="none"/>
              </w:rPr>
            </w:pPr>
          </w:p>
        </w:tc>
      </w:tr>
      <w:tr w14:paraId="0BA2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5AF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19</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D16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流通环节-肉制品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8D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EA3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F2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3D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A47A">
            <w:pPr>
              <w:jc w:val="center"/>
              <w:rPr>
                <w:rFonts w:hint="eastAsia" w:ascii="宋体" w:hAnsi="宋体" w:eastAsia="宋体" w:cs="宋体"/>
                <w:i w:val="0"/>
                <w:iCs w:val="0"/>
                <w:color w:val="auto"/>
                <w:sz w:val="18"/>
                <w:szCs w:val="18"/>
                <w:highlight w:val="none"/>
                <w:u w:val="none"/>
              </w:rPr>
            </w:pPr>
          </w:p>
        </w:tc>
      </w:tr>
      <w:tr w14:paraId="62632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B708F">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76462">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365C1">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DEE2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D07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9C4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0372">
            <w:pPr>
              <w:jc w:val="center"/>
              <w:rPr>
                <w:rFonts w:hint="eastAsia" w:ascii="宋体" w:hAnsi="宋体" w:eastAsia="宋体" w:cs="宋体"/>
                <w:i w:val="0"/>
                <w:iCs w:val="0"/>
                <w:color w:val="auto"/>
                <w:sz w:val="18"/>
                <w:szCs w:val="18"/>
                <w:highlight w:val="none"/>
                <w:u w:val="none"/>
              </w:rPr>
            </w:pPr>
          </w:p>
        </w:tc>
      </w:tr>
      <w:tr w14:paraId="30C5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E28E1">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B0DE8">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3EB8B">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D46D8">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F6C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F278">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625E">
            <w:pPr>
              <w:jc w:val="center"/>
              <w:rPr>
                <w:rFonts w:hint="eastAsia" w:ascii="宋体" w:hAnsi="宋体" w:eastAsia="宋体" w:cs="宋体"/>
                <w:i w:val="0"/>
                <w:iCs w:val="0"/>
                <w:color w:val="auto"/>
                <w:sz w:val="18"/>
                <w:szCs w:val="18"/>
                <w:highlight w:val="none"/>
                <w:u w:val="none"/>
              </w:rPr>
            </w:pPr>
          </w:p>
        </w:tc>
      </w:tr>
      <w:tr w14:paraId="437FA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06F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20</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795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流通环节-乳制品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8A2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EB8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88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87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B509">
            <w:pPr>
              <w:jc w:val="center"/>
              <w:rPr>
                <w:rFonts w:hint="eastAsia" w:ascii="宋体" w:hAnsi="宋体" w:eastAsia="宋体" w:cs="宋体"/>
                <w:i w:val="0"/>
                <w:iCs w:val="0"/>
                <w:color w:val="auto"/>
                <w:sz w:val="18"/>
                <w:szCs w:val="18"/>
                <w:highlight w:val="none"/>
                <w:u w:val="none"/>
              </w:rPr>
            </w:pPr>
          </w:p>
        </w:tc>
      </w:tr>
      <w:tr w14:paraId="6902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97366">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6706C">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977D0">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EF85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733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C91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5B4D">
            <w:pPr>
              <w:jc w:val="center"/>
              <w:rPr>
                <w:rFonts w:hint="eastAsia" w:ascii="宋体" w:hAnsi="宋体" w:eastAsia="宋体" w:cs="宋体"/>
                <w:i w:val="0"/>
                <w:iCs w:val="0"/>
                <w:color w:val="auto"/>
                <w:sz w:val="18"/>
                <w:szCs w:val="18"/>
                <w:highlight w:val="none"/>
                <w:u w:val="none"/>
              </w:rPr>
            </w:pPr>
          </w:p>
        </w:tc>
      </w:tr>
      <w:tr w14:paraId="6E0E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05765">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7E260">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12AED">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A854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AC3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326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E136">
            <w:pPr>
              <w:jc w:val="center"/>
              <w:rPr>
                <w:rFonts w:hint="eastAsia" w:ascii="宋体" w:hAnsi="宋体" w:eastAsia="宋体" w:cs="宋体"/>
                <w:i w:val="0"/>
                <w:iCs w:val="0"/>
                <w:color w:val="auto"/>
                <w:sz w:val="18"/>
                <w:szCs w:val="18"/>
                <w:highlight w:val="none"/>
                <w:u w:val="none"/>
              </w:rPr>
            </w:pPr>
          </w:p>
        </w:tc>
      </w:tr>
      <w:tr w14:paraId="333E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6D8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A00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流通环节-饮料</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5BF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FD8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94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60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C42B">
            <w:pPr>
              <w:jc w:val="center"/>
              <w:rPr>
                <w:rFonts w:hint="eastAsia" w:ascii="宋体" w:hAnsi="宋体" w:eastAsia="宋体" w:cs="宋体"/>
                <w:i w:val="0"/>
                <w:iCs w:val="0"/>
                <w:color w:val="auto"/>
                <w:sz w:val="18"/>
                <w:szCs w:val="18"/>
                <w:highlight w:val="none"/>
                <w:u w:val="none"/>
              </w:rPr>
            </w:pPr>
          </w:p>
        </w:tc>
      </w:tr>
      <w:tr w14:paraId="59A2B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DDAEF">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5DB77">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3F883">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A460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6F1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5B5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7FDA">
            <w:pPr>
              <w:jc w:val="center"/>
              <w:rPr>
                <w:rFonts w:hint="eastAsia" w:ascii="宋体" w:hAnsi="宋体" w:eastAsia="宋体" w:cs="宋体"/>
                <w:i w:val="0"/>
                <w:iCs w:val="0"/>
                <w:color w:val="auto"/>
                <w:sz w:val="18"/>
                <w:szCs w:val="18"/>
                <w:highlight w:val="none"/>
                <w:u w:val="none"/>
              </w:rPr>
            </w:pPr>
          </w:p>
        </w:tc>
      </w:tr>
      <w:tr w14:paraId="3B68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55AE0">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C6619">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E0E04">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3253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033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C37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A543">
            <w:pPr>
              <w:jc w:val="center"/>
              <w:rPr>
                <w:rFonts w:hint="eastAsia" w:ascii="宋体" w:hAnsi="宋体" w:eastAsia="宋体" w:cs="宋体"/>
                <w:i w:val="0"/>
                <w:iCs w:val="0"/>
                <w:color w:val="auto"/>
                <w:sz w:val="18"/>
                <w:szCs w:val="18"/>
                <w:highlight w:val="none"/>
                <w:u w:val="none"/>
              </w:rPr>
            </w:pPr>
          </w:p>
        </w:tc>
      </w:tr>
      <w:tr w14:paraId="2E4F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B3F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22</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17E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流通环节-方便食品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ED9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1F4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E9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72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5309">
            <w:pPr>
              <w:jc w:val="center"/>
              <w:rPr>
                <w:rFonts w:hint="eastAsia" w:ascii="宋体" w:hAnsi="宋体" w:eastAsia="宋体" w:cs="宋体"/>
                <w:i w:val="0"/>
                <w:iCs w:val="0"/>
                <w:color w:val="auto"/>
                <w:sz w:val="18"/>
                <w:szCs w:val="18"/>
                <w:highlight w:val="none"/>
                <w:u w:val="none"/>
              </w:rPr>
            </w:pPr>
          </w:p>
        </w:tc>
      </w:tr>
      <w:tr w14:paraId="1B9A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8EE2E">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C91C3">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C3BFA">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ADD8B">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D7B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B76B">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51A4">
            <w:pPr>
              <w:jc w:val="center"/>
              <w:rPr>
                <w:rFonts w:hint="eastAsia" w:ascii="宋体" w:hAnsi="宋体" w:eastAsia="宋体" w:cs="宋体"/>
                <w:i w:val="0"/>
                <w:iCs w:val="0"/>
                <w:color w:val="auto"/>
                <w:sz w:val="18"/>
                <w:szCs w:val="18"/>
                <w:highlight w:val="none"/>
                <w:u w:val="none"/>
              </w:rPr>
            </w:pPr>
          </w:p>
        </w:tc>
      </w:tr>
      <w:tr w14:paraId="131C4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07A6E">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C0DE5">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F05B4">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33DC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C1B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224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C5A6">
            <w:pPr>
              <w:jc w:val="center"/>
              <w:rPr>
                <w:rFonts w:hint="eastAsia" w:ascii="宋体" w:hAnsi="宋体" w:eastAsia="宋体" w:cs="宋体"/>
                <w:i w:val="0"/>
                <w:iCs w:val="0"/>
                <w:color w:val="auto"/>
                <w:sz w:val="18"/>
                <w:szCs w:val="18"/>
                <w:highlight w:val="none"/>
                <w:u w:val="none"/>
              </w:rPr>
            </w:pPr>
          </w:p>
        </w:tc>
      </w:tr>
      <w:tr w14:paraId="766F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3B6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23</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D1E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流通环节-饼干</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61D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43C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14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92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EBA5">
            <w:pPr>
              <w:jc w:val="center"/>
              <w:rPr>
                <w:rFonts w:hint="eastAsia" w:ascii="宋体" w:hAnsi="宋体" w:eastAsia="宋体" w:cs="宋体"/>
                <w:i w:val="0"/>
                <w:iCs w:val="0"/>
                <w:color w:val="auto"/>
                <w:sz w:val="18"/>
                <w:szCs w:val="18"/>
                <w:highlight w:val="none"/>
                <w:u w:val="none"/>
              </w:rPr>
            </w:pPr>
          </w:p>
        </w:tc>
      </w:tr>
      <w:tr w14:paraId="34267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AD03A">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69F4C">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451B1">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D884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A89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AAEB">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1D68">
            <w:pPr>
              <w:jc w:val="center"/>
              <w:rPr>
                <w:rFonts w:hint="eastAsia" w:ascii="宋体" w:hAnsi="宋体" w:eastAsia="宋体" w:cs="宋体"/>
                <w:i w:val="0"/>
                <w:iCs w:val="0"/>
                <w:color w:val="auto"/>
                <w:sz w:val="18"/>
                <w:szCs w:val="18"/>
                <w:highlight w:val="none"/>
                <w:u w:val="none"/>
              </w:rPr>
            </w:pPr>
          </w:p>
        </w:tc>
      </w:tr>
      <w:tr w14:paraId="0EF91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FC030">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E1E03">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48DBE">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4780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A46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53D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0D75">
            <w:pPr>
              <w:jc w:val="center"/>
              <w:rPr>
                <w:rFonts w:hint="eastAsia" w:ascii="宋体" w:hAnsi="宋体" w:eastAsia="宋体" w:cs="宋体"/>
                <w:i w:val="0"/>
                <w:iCs w:val="0"/>
                <w:color w:val="auto"/>
                <w:sz w:val="18"/>
                <w:szCs w:val="18"/>
                <w:highlight w:val="none"/>
                <w:u w:val="none"/>
              </w:rPr>
            </w:pPr>
          </w:p>
        </w:tc>
      </w:tr>
      <w:tr w14:paraId="1420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455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24</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5CC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流通环节-罐头</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E5F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6FD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E7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54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B904">
            <w:pPr>
              <w:jc w:val="center"/>
              <w:rPr>
                <w:rFonts w:hint="eastAsia" w:ascii="宋体" w:hAnsi="宋体" w:eastAsia="宋体" w:cs="宋体"/>
                <w:i w:val="0"/>
                <w:iCs w:val="0"/>
                <w:color w:val="auto"/>
                <w:sz w:val="18"/>
                <w:szCs w:val="18"/>
                <w:highlight w:val="none"/>
                <w:u w:val="none"/>
              </w:rPr>
            </w:pPr>
          </w:p>
        </w:tc>
      </w:tr>
      <w:tr w14:paraId="04B2C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1BF28">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5F08D">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59081">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48D6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785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E4E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DB5F">
            <w:pPr>
              <w:jc w:val="center"/>
              <w:rPr>
                <w:rFonts w:hint="eastAsia" w:ascii="宋体" w:hAnsi="宋体" w:eastAsia="宋体" w:cs="宋体"/>
                <w:i w:val="0"/>
                <w:iCs w:val="0"/>
                <w:color w:val="auto"/>
                <w:sz w:val="18"/>
                <w:szCs w:val="18"/>
                <w:highlight w:val="none"/>
                <w:u w:val="none"/>
              </w:rPr>
            </w:pPr>
          </w:p>
        </w:tc>
      </w:tr>
      <w:tr w14:paraId="28F12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745E2">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B6518">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9DF37">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C3A2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C5E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257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E08D">
            <w:pPr>
              <w:jc w:val="center"/>
              <w:rPr>
                <w:rFonts w:hint="eastAsia" w:ascii="宋体" w:hAnsi="宋体" w:eastAsia="宋体" w:cs="宋体"/>
                <w:i w:val="0"/>
                <w:iCs w:val="0"/>
                <w:color w:val="auto"/>
                <w:sz w:val="18"/>
                <w:szCs w:val="18"/>
                <w:highlight w:val="none"/>
                <w:u w:val="none"/>
              </w:rPr>
            </w:pPr>
          </w:p>
        </w:tc>
      </w:tr>
      <w:tr w14:paraId="2C7B9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C9B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25</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4DD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流通环节-冷冻饮品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9C9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61A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56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73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B6CB">
            <w:pPr>
              <w:jc w:val="center"/>
              <w:rPr>
                <w:rFonts w:hint="eastAsia" w:ascii="宋体" w:hAnsi="宋体" w:eastAsia="宋体" w:cs="宋体"/>
                <w:i w:val="0"/>
                <w:iCs w:val="0"/>
                <w:color w:val="auto"/>
                <w:sz w:val="18"/>
                <w:szCs w:val="18"/>
                <w:highlight w:val="none"/>
                <w:u w:val="none"/>
              </w:rPr>
            </w:pPr>
          </w:p>
        </w:tc>
      </w:tr>
      <w:tr w14:paraId="209A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A873B">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B45B5">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2E283">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3EE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F00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E25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9188">
            <w:pPr>
              <w:jc w:val="center"/>
              <w:rPr>
                <w:rFonts w:hint="eastAsia" w:ascii="宋体" w:hAnsi="宋体" w:eastAsia="宋体" w:cs="宋体"/>
                <w:i w:val="0"/>
                <w:iCs w:val="0"/>
                <w:color w:val="auto"/>
                <w:sz w:val="18"/>
                <w:szCs w:val="18"/>
                <w:highlight w:val="none"/>
                <w:u w:val="none"/>
              </w:rPr>
            </w:pPr>
          </w:p>
        </w:tc>
      </w:tr>
      <w:tr w14:paraId="2ADC1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05961">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B94C0">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D0D4E">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2953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F11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A6A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4B40">
            <w:pPr>
              <w:jc w:val="center"/>
              <w:rPr>
                <w:rFonts w:hint="eastAsia" w:ascii="宋体" w:hAnsi="宋体" w:eastAsia="宋体" w:cs="宋体"/>
                <w:i w:val="0"/>
                <w:iCs w:val="0"/>
                <w:color w:val="auto"/>
                <w:sz w:val="18"/>
                <w:szCs w:val="18"/>
                <w:highlight w:val="none"/>
                <w:u w:val="none"/>
              </w:rPr>
            </w:pPr>
          </w:p>
        </w:tc>
      </w:tr>
      <w:tr w14:paraId="3DC3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57A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26</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598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流通环节-速冻食品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F03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D85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2D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A1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35E8">
            <w:pPr>
              <w:jc w:val="center"/>
              <w:rPr>
                <w:rFonts w:hint="eastAsia" w:ascii="宋体" w:hAnsi="宋体" w:eastAsia="宋体" w:cs="宋体"/>
                <w:i w:val="0"/>
                <w:iCs w:val="0"/>
                <w:color w:val="auto"/>
                <w:sz w:val="18"/>
                <w:szCs w:val="18"/>
                <w:highlight w:val="none"/>
                <w:u w:val="none"/>
              </w:rPr>
            </w:pPr>
          </w:p>
        </w:tc>
      </w:tr>
      <w:tr w14:paraId="542F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0FF0B">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C26A1">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426CF">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C6470">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11D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5C40">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A801">
            <w:pPr>
              <w:jc w:val="center"/>
              <w:rPr>
                <w:rFonts w:hint="eastAsia" w:ascii="宋体" w:hAnsi="宋体" w:eastAsia="宋体" w:cs="宋体"/>
                <w:i w:val="0"/>
                <w:iCs w:val="0"/>
                <w:color w:val="auto"/>
                <w:sz w:val="18"/>
                <w:szCs w:val="18"/>
                <w:highlight w:val="none"/>
                <w:u w:val="none"/>
              </w:rPr>
            </w:pPr>
          </w:p>
        </w:tc>
      </w:tr>
      <w:tr w14:paraId="6CDA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57101">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27EBF">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F3677">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FCC1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5E4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FAD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45D4">
            <w:pPr>
              <w:jc w:val="center"/>
              <w:rPr>
                <w:rFonts w:hint="eastAsia" w:ascii="宋体" w:hAnsi="宋体" w:eastAsia="宋体" w:cs="宋体"/>
                <w:i w:val="0"/>
                <w:iCs w:val="0"/>
                <w:color w:val="auto"/>
                <w:sz w:val="18"/>
                <w:szCs w:val="18"/>
                <w:highlight w:val="none"/>
                <w:u w:val="none"/>
              </w:rPr>
            </w:pPr>
          </w:p>
        </w:tc>
      </w:tr>
      <w:tr w14:paraId="7C69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5AB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27</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E5D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流通环节-薯类和膨化食品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7B7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D48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61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64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8AED">
            <w:pPr>
              <w:jc w:val="center"/>
              <w:rPr>
                <w:rFonts w:hint="eastAsia" w:ascii="宋体" w:hAnsi="宋体" w:eastAsia="宋体" w:cs="宋体"/>
                <w:i w:val="0"/>
                <w:iCs w:val="0"/>
                <w:color w:val="auto"/>
                <w:sz w:val="18"/>
                <w:szCs w:val="18"/>
                <w:highlight w:val="none"/>
                <w:u w:val="none"/>
              </w:rPr>
            </w:pPr>
          </w:p>
        </w:tc>
      </w:tr>
      <w:tr w14:paraId="1D5B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6B9E5">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AD7B2">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B0F07">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E232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56BB">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F64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47A8">
            <w:pPr>
              <w:jc w:val="center"/>
              <w:rPr>
                <w:rFonts w:hint="eastAsia" w:ascii="宋体" w:hAnsi="宋体" w:eastAsia="宋体" w:cs="宋体"/>
                <w:i w:val="0"/>
                <w:iCs w:val="0"/>
                <w:color w:val="auto"/>
                <w:sz w:val="18"/>
                <w:szCs w:val="18"/>
                <w:highlight w:val="none"/>
                <w:u w:val="none"/>
              </w:rPr>
            </w:pPr>
          </w:p>
        </w:tc>
      </w:tr>
      <w:tr w14:paraId="7D5E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C48B4">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DE8BD">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88F96">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5D34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D01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51E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8444">
            <w:pPr>
              <w:jc w:val="center"/>
              <w:rPr>
                <w:rFonts w:hint="eastAsia" w:ascii="宋体" w:hAnsi="宋体" w:eastAsia="宋体" w:cs="宋体"/>
                <w:i w:val="0"/>
                <w:iCs w:val="0"/>
                <w:color w:val="auto"/>
                <w:sz w:val="18"/>
                <w:szCs w:val="18"/>
                <w:highlight w:val="none"/>
                <w:u w:val="none"/>
              </w:rPr>
            </w:pPr>
          </w:p>
        </w:tc>
      </w:tr>
      <w:tr w14:paraId="05E2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502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28</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E2C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流通环节-糖果制品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A92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DEF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0F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24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94945">
            <w:pPr>
              <w:jc w:val="center"/>
              <w:rPr>
                <w:rFonts w:hint="eastAsia" w:ascii="宋体" w:hAnsi="宋体" w:eastAsia="宋体" w:cs="宋体"/>
                <w:i w:val="0"/>
                <w:iCs w:val="0"/>
                <w:color w:val="auto"/>
                <w:sz w:val="18"/>
                <w:szCs w:val="18"/>
                <w:highlight w:val="none"/>
                <w:u w:val="none"/>
              </w:rPr>
            </w:pPr>
          </w:p>
        </w:tc>
      </w:tr>
      <w:tr w14:paraId="51DD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7C488">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573DD">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53D35">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FDA4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AB8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94D7">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F8696">
            <w:pPr>
              <w:jc w:val="center"/>
              <w:rPr>
                <w:rFonts w:hint="eastAsia" w:ascii="宋体" w:hAnsi="宋体" w:eastAsia="宋体" w:cs="宋体"/>
                <w:i w:val="0"/>
                <w:iCs w:val="0"/>
                <w:color w:val="auto"/>
                <w:sz w:val="18"/>
                <w:szCs w:val="18"/>
                <w:highlight w:val="none"/>
                <w:u w:val="none"/>
              </w:rPr>
            </w:pPr>
          </w:p>
        </w:tc>
      </w:tr>
      <w:tr w14:paraId="3322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29E5D">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D60D7">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83B70">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2927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319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0485">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75722">
            <w:pPr>
              <w:jc w:val="center"/>
              <w:rPr>
                <w:rFonts w:hint="eastAsia" w:ascii="宋体" w:hAnsi="宋体" w:eastAsia="宋体" w:cs="宋体"/>
                <w:i w:val="0"/>
                <w:iCs w:val="0"/>
                <w:color w:val="auto"/>
                <w:sz w:val="18"/>
                <w:szCs w:val="18"/>
                <w:highlight w:val="none"/>
                <w:u w:val="none"/>
              </w:rPr>
            </w:pPr>
          </w:p>
        </w:tc>
      </w:tr>
      <w:tr w14:paraId="2011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546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29</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767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流通环节-酒类</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BC3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060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C3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26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4B043">
            <w:pPr>
              <w:jc w:val="center"/>
              <w:rPr>
                <w:rFonts w:hint="eastAsia" w:ascii="宋体" w:hAnsi="宋体" w:eastAsia="宋体" w:cs="宋体"/>
                <w:i w:val="0"/>
                <w:iCs w:val="0"/>
                <w:color w:val="auto"/>
                <w:sz w:val="18"/>
                <w:szCs w:val="18"/>
                <w:highlight w:val="none"/>
                <w:u w:val="none"/>
              </w:rPr>
            </w:pPr>
          </w:p>
        </w:tc>
      </w:tr>
      <w:tr w14:paraId="01430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11552">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27E01">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78BC7">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B400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1D8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620F">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A9D8E">
            <w:pPr>
              <w:jc w:val="center"/>
              <w:rPr>
                <w:rFonts w:hint="eastAsia" w:ascii="宋体" w:hAnsi="宋体" w:eastAsia="宋体" w:cs="宋体"/>
                <w:i w:val="0"/>
                <w:iCs w:val="0"/>
                <w:color w:val="auto"/>
                <w:sz w:val="18"/>
                <w:szCs w:val="18"/>
                <w:highlight w:val="none"/>
                <w:u w:val="none"/>
              </w:rPr>
            </w:pPr>
          </w:p>
        </w:tc>
      </w:tr>
      <w:tr w14:paraId="0EA5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2771D">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823BD">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AB197">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E0C5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36F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24E1">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1D20">
            <w:pPr>
              <w:jc w:val="center"/>
              <w:rPr>
                <w:rFonts w:hint="eastAsia" w:ascii="宋体" w:hAnsi="宋体" w:eastAsia="宋体" w:cs="宋体"/>
                <w:i w:val="0"/>
                <w:iCs w:val="0"/>
                <w:color w:val="auto"/>
                <w:sz w:val="18"/>
                <w:szCs w:val="18"/>
                <w:highlight w:val="none"/>
                <w:u w:val="none"/>
              </w:rPr>
            </w:pPr>
          </w:p>
        </w:tc>
      </w:tr>
      <w:tr w14:paraId="5898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9F5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30</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0C7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流通环节-蔬菜制品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A01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E39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EE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16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700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63A6D">
            <w:pPr>
              <w:jc w:val="center"/>
              <w:rPr>
                <w:rFonts w:hint="eastAsia" w:ascii="宋体" w:hAnsi="宋体" w:eastAsia="宋体" w:cs="宋体"/>
                <w:i w:val="0"/>
                <w:iCs w:val="0"/>
                <w:color w:val="auto"/>
                <w:sz w:val="18"/>
                <w:szCs w:val="18"/>
                <w:highlight w:val="none"/>
                <w:u w:val="none"/>
              </w:rPr>
            </w:pPr>
          </w:p>
        </w:tc>
      </w:tr>
      <w:tr w14:paraId="6A91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EF36E">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A135E">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8A7AD">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DFC6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B2B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69FD">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5639C">
            <w:pPr>
              <w:jc w:val="center"/>
              <w:rPr>
                <w:rFonts w:hint="eastAsia" w:ascii="宋体" w:hAnsi="宋体" w:eastAsia="宋体" w:cs="宋体"/>
                <w:i w:val="0"/>
                <w:iCs w:val="0"/>
                <w:color w:val="auto"/>
                <w:sz w:val="18"/>
                <w:szCs w:val="18"/>
                <w:highlight w:val="none"/>
                <w:u w:val="none"/>
              </w:rPr>
            </w:pPr>
          </w:p>
        </w:tc>
      </w:tr>
      <w:tr w14:paraId="5F11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EADD9">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753CD">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ABE6D">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8781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D91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F485">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780E6">
            <w:pPr>
              <w:jc w:val="center"/>
              <w:rPr>
                <w:rFonts w:hint="eastAsia" w:ascii="宋体" w:hAnsi="宋体" w:eastAsia="宋体" w:cs="宋体"/>
                <w:i w:val="0"/>
                <w:iCs w:val="0"/>
                <w:color w:val="auto"/>
                <w:sz w:val="18"/>
                <w:szCs w:val="18"/>
                <w:highlight w:val="none"/>
                <w:u w:val="none"/>
              </w:rPr>
            </w:pPr>
          </w:p>
        </w:tc>
      </w:tr>
      <w:tr w14:paraId="7582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937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B67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流通环节-水果制品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090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076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15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46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B447F">
            <w:pPr>
              <w:jc w:val="center"/>
              <w:rPr>
                <w:rFonts w:hint="eastAsia" w:ascii="宋体" w:hAnsi="宋体" w:eastAsia="宋体" w:cs="宋体"/>
                <w:i w:val="0"/>
                <w:iCs w:val="0"/>
                <w:color w:val="auto"/>
                <w:sz w:val="18"/>
                <w:szCs w:val="18"/>
                <w:highlight w:val="none"/>
                <w:u w:val="none"/>
              </w:rPr>
            </w:pPr>
          </w:p>
        </w:tc>
      </w:tr>
      <w:tr w14:paraId="31F20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4EE20">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8522D">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0AD32">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0D6E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DA3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9762">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DA124">
            <w:pPr>
              <w:jc w:val="center"/>
              <w:rPr>
                <w:rFonts w:hint="eastAsia" w:ascii="宋体" w:hAnsi="宋体" w:eastAsia="宋体" w:cs="宋体"/>
                <w:i w:val="0"/>
                <w:iCs w:val="0"/>
                <w:color w:val="auto"/>
                <w:sz w:val="18"/>
                <w:szCs w:val="18"/>
                <w:highlight w:val="none"/>
                <w:u w:val="none"/>
              </w:rPr>
            </w:pPr>
          </w:p>
        </w:tc>
      </w:tr>
      <w:tr w14:paraId="4A08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6F772">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CD047">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4812F">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66DB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315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F1D1">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6A29">
            <w:pPr>
              <w:jc w:val="center"/>
              <w:rPr>
                <w:rFonts w:hint="eastAsia" w:ascii="宋体" w:hAnsi="宋体" w:eastAsia="宋体" w:cs="宋体"/>
                <w:i w:val="0"/>
                <w:iCs w:val="0"/>
                <w:color w:val="auto"/>
                <w:sz w:val="18"/>
                <w:szCs w:val="18"/>
                <w:highlight w:val="none"/>
                <w:u w:val="none"/>
              </w:rPr>
            </w:pPr>
          </w:p>
        </w:tc>
      </w:tr>
      <w:tr w14:paraId="0F07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065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32</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F32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流通环节-炒货食品及坚果制品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D7F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F26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D9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28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8B941">
            <w:pPr>
              <w:jc w:val="center"/>
              <w:rPr>
                <w:rFonts w:hint="eastAsia" w:ascii="宋体" w:hAnsi="宋体" w:eastAsia="宋体" w:cs="宋体"/>
                <w:i w:val="0"/>
                <w:iCs w:val="0"/>
                <w:color w:val="auto"/>
                <w:sz w:val="18"/>
                <w:szCs w:val="18"/>
                <w:highlight w:val="none"/>
                <w:u w:val="none"/>
              </w:rPr>
            </w:pPr>
          </w:p>
        </w:tc>
      </w:tr>
      <w:tr w14:paraId="54D2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76858">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56D35">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595BE">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9D63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E0F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A6E6">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046CB">
            <w:pPr>
              <w:jc w:val="center"/>
              <w:rPr>
                <w:rFonts w:hint="eastAsia" w:ascii="宋体" w:hAnsi="宋体" w:eastAsia="宋体" w:cs="宋体"/>
                <w:i w:val="0"/>
                <w:iCs w:val="0"/>
                <w:color w:val="auto"/>
                <w:sz w:val="18"/>
                <w:szCs w:val="18"/>
                <w:highlight w:val="none"/>
                <w:u w:val="none"/>
              </w:rPr>
            </w:pPr>
          </w:p>
        </w:tc>
      </w:tr>
      <w:tr w14:paraId="317D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3936B">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B58E3">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5DECF">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B8A3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DD3B">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A9A3">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FDED7">
            <w:pPr>
              <w:jc w:val="center"/>
              <w:rPr>
                <w:rFonts w:hint="eastAsia" w:ascii="宋体" w:hAnsi="宋体" w:eastAsia="宋体" w:cs="宋体"/>
                <w:i w:val="0"/>
                <w:iCs w:val="0"/>
                <w:color w:val="auto"/>
                <w:sz w:val="18"/>
                <w:szCs w:val="18"/>
                <w:highlight w:val="none"/>
                <w:u w:val="none"/>
              </w:rPr>
            </w:pPr>
          </w:p>
        </w:tc>
      </w:tr>
      <w:tr w14:paraId="2040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BC2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33</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A9E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流通环节-蛋制品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20B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77E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89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E1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540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2673F">
            <w:pPr>
              <w:jc w:val="center"/>
              <w:rPr>
                <w:rFonts w:hint="eastAsia" w:ascii="宋体" w:hAnsi="宋体" w:eastAsia="宋体" w:cs="宋体"/>
                <w:i w:val="0"/>
                <w:iCs w:val="0"/>
                <w:color w:val="auto"/>
                <w:sz w:val="18"/>
                <w:szCs w:val="18"/>
                <w:highlight w:val="none"/>
                <w:u w:val="none"/>
              </w:rPr>
            </w:pPr>
          </w:p>
        </w:tc>
      </w:tr>
      <w:tr w14:paraId="37D0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19C65">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54402">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38587">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C9A2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0D4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7F11">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3871E">
            <w:pPr>
              <w:jc w:val="center"/>
              <w:rPr>
                <w:rFonts w:hint="eastAsia" w:ascii="宋体" w:hAnsi="宋体" w:eastAsia="宋体" w:cs="宋体"/>
                <w:i w:val="0"/>
                <w:iCs w:val="0"/>
                <w:color w:val="auto"/>
                <w:sz w:val="18"/>
                <w:szCs w:val="18"/>
                <w:highlight w:val="none"/>
                <w:u w:val="none"/>
              </w:rPr>
            </w:pPr>
          </w:p>
        </w:tc>
      </w:tr>
      <w:tr w14:paraId="4FD7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A2B9C">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B2BAD">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B889F">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C824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2320">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0A3F">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88158">
            <w:pPr>
              <w:jc w:val="center"/>
              <w:rPr>
                <w:rFonts w:hint="eastAsia" w:ascii="宋体" w:hAnsi="宋体" w:eastAsia="宋体" w:cs="宋体"/>
                <w:i w:val="0"/>
                <w:iCs w:val="0"/>
                <w:color w:val="auto"/>
                <w:sz w:val="18"/>
                <w:szCs w:val="18"/>
                <w:highlight w:val="none"/>
                <w:u w:val="none"/>
              </w:rPr>
            </w:pPr>
          </w:p>
        </w:tc>
      </w:tr>
      <w:tr w14:paraId="7F15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6E3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34</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150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流通环节-水产制品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EDA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B89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6E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5E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22C42">
            <w:pPr>
              <w:jc w:val="center"/>
              <w:rPr>
                <w:rFonts w:hint="eastAsia" w:ascii="宋体" w:hAnsi="宋体" w:eastAsia="宋体" w:cs="宋体"/>
                <w:i w:val="0"/>
                <w:iCs w:val="0"/>
                <w:color w:val="auto"/>
                <w:sz w:val="18"/>
                <w:szCs w:val="18"/>
                <w:highlight w:val="none"/>
                <w:u w:val="none"/>
              </w:rPr>
            </w:pPr>
          </w:p>
        </w:tc>
      </w:tr>
      <w:tr w14:paraId="6F3B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1EE7F">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068E6">
            <w:pPr>
              <w:jc w:val="left"/>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22726">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D6DE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BF0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942A">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E97BA">
            <w:pPr>
              <w:jc w:val="center"/>
              <w:rPr>
                <w:rFonts w:hint="eastAsia" w:ascii="宋体" w:hAnsi="宋体" w:eastAsia="宋体" w:cs="宋体"/>
                <w:i w:val="0"/>
                <w:iCs w:val="0"/>
                <w:color w:val="auto"/>
                <w:sz w:val="18"/>
                <w:szCs w:val="18"/>
                <w:highlight w:val="none"/>
                <w:u w:val="none"/>
              </w:rPr>
            </w:pPr>
          </w:p>
        </w:tc>
      </w:tr>
      <w:tr w14:paraId="6E61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F0B6C">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DE3B6">
            <w:pPr>
              <w:jc w:val="left"/>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8F552">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4C8F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0AE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922A">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D1C27">
            <w:pPr>
              <w:jc w:val="center"/>
              <w:rPr>
                <w:rFonts w:hint="eastAsia" w:ascii="宋体" w:hAnsi="宋体" w:eastAsia="宋体" w:cs="宋体"/>
                <w:i w:val="0"/>
                <w:iCs w:val="0"/>
                <w:color w:val="auto"/>
                <w:sz w:val="18"/>
                <w:szCs w:val="18"/>
                <w:highlight w:val="none"/>
                <w:u w:val="none"/>
              </w:rPr>
            </w:pPr>
          </w:p>
        </w:tc>
      </w:tr>
      <w:tr w14:paraId="3636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4B8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35</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E25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流通环节-淀粉及淀粉制品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98D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54E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FA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E1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EEB15">
            <w:pPr>
              <w:jc w:val="center"/>
              <w:rPr>
                <w:rFonts w:hint="eastAsia" w:ascii="宋体" w:hAnsi="宋体" w:eastAsia="宋体" w:cs="宋体"/>
                <w:i w:val="0"/>
                <w:iCs w:val="0"/>
                <w:color w:val="auto"/>
                <w:sz w:val="18"/>
                <w:szCs w:val="18"/>
                <w:highlight w:val="none"/>
                <w:u w:val="none"/>
              </w:rPr>
            </w:pPr>
          </w:p>
        </w:tc>
      </w:tr>
      <w:tr w14:paraId="2A26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C806B">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D5B4C">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807A8">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1627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6F5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F036">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138B1">
            <w:pPr>
              <w:jc w:val="center"/>
              <w:rPr>
                <w:rFonts w:hint="eastAsia" w:ascii="宋体" w:hAnsi="宋体" w:eastAsia="宋体" w:cs="宋体"/>
                <w:i w:val="0"/>
                <w:iCs w:val="0"/>
                <w:color w:val="auto"/>
                <w:sz w:val="18"/>
                <w:szCs w:val="18"/>
                <w:highlight w:val="none"/>
                <w:u w:val="none"/>
              </w:rPr>
            </w:pPr>
          </w:p>
        </w:tc>
      </w:tr>
      <w:tr w14:paraId="413E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EDEB2">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2F0AC">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EC24D">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657B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CC6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BD5C">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1F406">
            <w:pPr>
              <w:jc w:val="center"/>
              <w:rPr>
                <w:rFonts w:hint="eastAsia" w:ascii="宋体" w:hAnsi="宋体" w:eastAsia="宋体" w:cs="宋体"/>
                <w:i w:val="0"/>
                <w:iCs w:val="0"/>
                <w:color w:val="auto"/>
                <w:sz w:val="18"/>
                <w:szCs w:val="18"/>
                <w:highlight w:val="none"/>
                <w:u w:val="none"/>
              </w:rPr>
            </w:pPr>
          </w:p>
        </w:tc>
      </w:tr>
      <w:tr w14:paraId="5703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020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36</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4F3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流通环节-糕点</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1E4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BBA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28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23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900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DBE32">
            <w:pPr>
              <w:jc w:val="center"/>
              <w:rPr>
                <w:rFonts w:hint="eastAsia" w:ascii="宋体" w:hAnsi="宋体" w:eastAsia="宋体" w:cs="宋体"/>
                <w:i w:val="0"/>
                <w:iCs w:val="0"/>
                <w:color w:val="auto"/>
                <w:sz w:val="18"/>
                <w:szCs w:val="18"/>
                <w:highlight w:val="none"/>
                <w:u w:val="none"/>
              </w:rPr>
            </w:pPr>
          </w:p>
        </w:tc>
      </w:tr>
      <w:tr w14:paraId="6471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92F51">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F3DBD">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C7AE4">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1039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CF3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D40C">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E0252">
            <w:pPr>
              <w:jc w:val="center"/>
              <w:rPr>
                <w:rFonts w:hint="eastAsia" w:ascii="宋体" w:hAnsi="宋体" w:eastAsia="宋体" w:cs="宋体"/>
                <w:i w:val="0"/>
                <w:iCs w:val="0"/>
                <w:color w:val="auto"/>
                <w:sz w:val="18"/>
                <w:szCs w:val="18"/>
                <w:highlight w:val="none"/>
                <w:u w:val="none"/>
              </w:rPr>
            </w:pPr>
          </w:p>
        </w:tc>
      </w:tr>
      <w:tr w14:paraId="014F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9981A">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5E74A">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02988">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8E2F0">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2BE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00BA">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7AD5B">
            <w:pPr>
              <w:jc w:val="center"/>
              <w:rPr>
                <w:rFonts w:hint="eastAsia" w:ascii="宋体" w:hAnsi="宋体" w:eastAsia="宋体" w:cs="宋体"/>
                <w:i w:val="0"/>
                <w:iCs w:val="0"/>
                <w:color w:val="auto"/>
                <w:sz w:val="18"/>
                <w:szCs w:val="18"/>
                <w:highlight w:val="none"/>
                <w:u w:val="none"/>
              </w:rPr>
            </w:pPr>
          </w:p>
        </w:tc>
      </w:tr>
      <w:tr w14:paraId="1B30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BE2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37</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EBD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流通环节-豆制品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EB4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152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59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B9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13A7">
            <w:pPr>
              <w:jc w:val="center"/>
              <w:rPr>
                <w:rFonts w:hint="eastAsia" w:ascii="宋体" w:hAnsi="宋体" w:eastAsia="宋体" w:cs="宋体"/>
                <w:i w:val="0"/>
                <w:iCs w:val="0"/>
                <w:color w:val="auto"/>
                <w:sz w:val="18"/>
                <w:szCs w:val="18"/>
                <w:highlight w:val="none"/>
                <w:u w:val="none"/>
              </w:rPr>
            </w:pPr>
          </w:p>
        </w:tc>
      </w:tr>
      <w:tr w14:paraId="5BDA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0F49C">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60DD3">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57151">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1A00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1A5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046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16CA">
            <w:pPr>
              <w:jc w:val="center"/>
              <w:rPr>
                <w:rFonts w:hint="eastAsia" w:ascii="宋体" w:hAnsi="宋体" w:eastAsia="宋体" w:cs="宋体"/>
                <w:i w:val="0"/>
                <w:iCs w:val="0"/>
                <w:color w:val="auto"/>
                <w:sz w:val="18"/>
                <w:szCs w:val="18"/>
                <w:highlight w:val="none"/>
                <w:u w:val="none"/>
              </w:rPr>
            </w:pPr>
          </w:p>
        </w:tc>
      </w:tr>
      <w:tr w14:paraId="735A8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D3D5F">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90559">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E5102">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003B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908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B808">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9B04">
            <w:pPr>
              <w:jc w:val="center"/>
              <w:rPr>
                <w:rFonts w:hint="eastAsia" w:ascii="宋体" w:hAnsi="宋体" w:eastAsia="宋体" w:cs="宋体"/>
                <w:i w:val="0"/>
                <w:iCs w:val="0"/>
                <w:color w:val="auto"/>
                <w:sz w:val="18"/>
                <w:szCs w:val="18"/>
                <w:highlight w:val="none"/>
                <w:u w:val="none"/>
              </w:rPr>
            </w:pPr>
          </w:p>
        </w:tc>
      </w:tr>
      <w:tr w14:paraId="1D9B0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945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38</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223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流通环节-蜂产品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13C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12C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6D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FA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879F">
            <w:pPr>
              <w:jc w:val="center"/>
              <w:rPr>
                <w:rFonts w:hint="eastAsia" w:ascii="宋体" w:hAnsi="宋体" w:eastAsia="宋体" w:cs="宋体"/>
                <w:i w:val="0"/>
                <w:iCs w:val="0"/>
                <w:color w:val="auto"/>
                <w:sz w:val="18"/>
                <w:szCs w:val="18"/>
                <w:highlight w:val="none"/>
                <w:u w:val="none"/>
              </w:rPr>
            </w:pPr>
          </w:p>
        </w:tc>
      </w:tr>
      <w:tr w14:paraId="3AA3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438C3">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C1FEF">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07AFC">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1DC1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624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987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385B">
            <w:pPr>
              <w:jc w:val="center"/>
              <w:rPr>
                <w:rFonts w:hint="eastAsia" w:ascii="宋体" w:hAnsi="宋体" w:eastAsia="宋体" w:cs="宋体"/>
                <w:i w:val="0"/>
                <w:iCs w:val="0"/>
                <w:color w:val="auto"/>
                <w:sz w:val="18"/>
                <w:szCs w:val="18"/>
                <w:highlight w:val="none"/>
                <w:u w:val="none"/>
              </w:rPr>
            </w:pPr>
          </w:p>
        </w:tc>
      </w:tr>
      <w:tr w14:paraId="2D91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DB50F">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450E6">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4D9E7">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38D80">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E27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449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D3FB">
            <w:pPr>
              <w:jc w:val="center"/>
              <w:rPr>
                <w:rFonts w:hint="eastAsia" w:ascii="宋体" w:hAnsi="宋体" w:eastAsia="宋体" w:cs="宋体"/>
                <w:i w:val="0"/>
                <w:iCs w:val="0"/>
                <w:color w:val="auto"/>
                <w:sz w:val="18"/>
                <w:szCs w:val="18"/>
                <w:highlight w:val="none"/>
                <w:u w:val="none"/>
              </w:rPr>
            </w:pPr>
          </w:p>
        </w:tc>
      </w:tr>
      <w:tr w14:paraId="2BC9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0D0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39</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059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流通环节-延伸抽检样品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E8C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F8E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E1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19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E0BA">
            <w:pPr>
              <w:jc w:val="center"/>
              <w:rPr>
                <w:rFonts w:hint="eastAsia" w:ascii="宋体" w:hAnsi="宋体" w:eastAsia="宋体" w:cs="宋体"/>
                <w:i w:val="0"/>
                <w:iCs w:val="0"/>
                <w:color w:val="auto"/>
                <w:sz w:val="18"/>
                <w:szCs w:val="18"/>
                <w:highlight w:val="none"/>
                <w:u w:val="none"/>
              </w:rPr>
            </w:pPr>
          </w:p>
        </w:tc>
      </w:tr>
      <w:tr w14:paraId="416E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FF80B">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F702E">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AC6FE">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6101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A26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F0E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FBF2">
            <w:pPr>
              <w:jc w:val="center"/>
              <w:rPr>
                <w:rFonts w:hint="eastAsia" w:ascii="宋体" w:hAnsi="宋体" w:eastAsia="宋体" w:cs="宋体"/>
                <w:i w:val="0"/>
                <w:iCs w:val="0"/>
                <w:color w:val="auto"/>
                <w:sz w:val="18"/>
                <w:szCs w:val="18"/>
                <w:highlight w:val="none"/>
                <w:u w:val="none"/>
              </w:rPr>
            </w:pPr>
          </w:p>
        </w:tc>
      </w:tr>
      <w:tr w14:paraId="3BA32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12474">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260AD">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9F8A7">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12AF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5BA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BB5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6BF8">
            <w:pPr>
              <w:jc w:val="center"/>
              <w:rPr>
                <w:rFonts w:hint="eastAsia" w:ascii="宋体" w:hAnsi="宋体" w:eastAsia="宋体" w:cs="宋体"/>
                <w:i w:val="0"/>
                <w:iCs w:val="0"/>
                <w:color w:val="auto"/>
                <w:sz w:val="18"/>
                <w:szCs w:val="18"/>
                <w:highlight w:val="none"/>
                <w:u w:val="none"/>
              </w:rPr>
            </w:pPr>
          </w:p>
        </w:tc>
      </w:tr>
      <w:tr w14:paraId="17B1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CB5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40</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0C7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流通环节-食用农产品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66F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FF2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80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67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1160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4065">
            <w:pPr>
              <w:jc w:val="center"/>
              <w:rPr>
                <w:rFonts w:hint="eastAsia" w:ascii="宋体" w:hAnsi="宋体" w:eastAsia="宋体" w:cs="宋体"/>
                <w:i w:val="0"/>
                <w:iCs w:val="0"/>
                <w:color w:val="auto"/>
                <w:sz w:val="18"/>
                <w:szCs w:val="18"/>
                <w:highlight w:val="none"/>
                <w:u w:val="none"/>
              </w:rPr>
            </w:pPr>
          </w:p>
        </w:tc>
      </w:tr>
      <w:tr w14:paraId="6F4F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87C03">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B6082">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D2C34">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F307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350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8A8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FA02">
            <w:pPr>
              <w:jc w:val="center"/>
              <w:rPr>
                <w:rFonts w:hint="eastAsia" w:ascii="宋体" w:hAnsi="宋体" w:eastAsia="宋体" w:cs="宋体"/>
                <w:i w:val="0"/>
                <w:iCs w:val="0"/>
                <w:color w:val="auto"/>
                <w:sz w:val="18"/>
                <w:szCs w:val="18"/>
                <w:highlight w:val="none"/>
                <w:u w:val="none"/>
              </w:rPr>
            </w:pPr>
          </w:p>
        </w:tc>
      </w:tr>
      <w:tr w14:paraId="1B15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6E662">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9C649">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66EDB">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81DE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80E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E94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4331">
            <w:pPr>
              <w:jc w:val="center"/>
              <w:rPr>
                <w:rFonts w:hint="eastAsia" w:ascii="宋体" w:hAnsi="宋体" w:eastAsia="宋体" w:cs="宋体"/>
                <w:i w:val="0"/>
                <w:iCs w:val="0"/>
                <w:color w:val="auto"/>
                <w:sz w:val="18"/>
                <w:szCs w:val="18"/>
                <w:highlight w:val="none"/>
                <w:u w:val="none"/>
              </w:rPr>
            </w:pPr>
          </w:p>
        </w:tc>
      </w:tr>
      <w:tr w14:paraId="5E92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41E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A67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餐饮环节-粮食加工品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6A0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205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E4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D1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9820">
            <w:pPr>
              <w:jc w:val="center"/>
              <w:rPr>
                <w:rFonts w:hint="eastAsia" w:ascii="宋体" w:hAnsi="宋体" w:eastAsia="宋体" w:cs="宋体"/>
                <w:i w:val="0"/>
                <w:iCs w:val="0"/>
                <w:color w:val="auto"/>
                <w:sz w:val="18"/>
                <w:szCs w:val="18"/>
                <w:highlight w:val="none"/>
                <w:u w:val="none"/>
              </w:rPr>
            </w:pPr>
          </w:p>
        </w:tc>
      </w:tr>
      <w:tr w14:paraId="7EDA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5EEF6">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F9A44">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0FBC0">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92B1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85D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C7D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5B11">
            <w:pPr>
              <w:jc w:val="center"/>
              <w:rPr>
                <w:rFonts w:hint="eastAsia" w:ascii="宋体" w:hAnsi="宋体" w:eastAsia="宋体" w:cs="宋体"/>
                <w:i w:val="0"/>
                <w:iCs w:val="0"/>
                <w:color w:val="auto"/>
                <w:sz w:val="18"/>
                <w:szCs w:val="18"/>
                <w:highlight w:val="none"/>
                <w:u w:val="none"/>
              </w:rPr>
            </w:pPr>
          </w:p>
        </w:tc>
      </w:tr>
      <w:tr w14:paraId="5D7B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B5DFB">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69D83">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FD115">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C2E00">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5A7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06C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DFC4">
            <w:pPr>
              <w:jc w:val="center"/>
              <w:rPr>
                <w:rFonts w:hint="eastAsia" w:ascii="宋体" w:hAnsi="宋体" w:eastAsia="宋体" w:cs="宋体"/>
                <w:i w:val="0"/>
                <w:iCs w:val="0"/>
                <w:color w:val="auto"/>
                <w:sz w:val="18"/>
                <w:szCs w:val="18"/>
                <w:highlight w:val="none"/>
                <w:u w:val="none"/>
              </w:rPr>
            </w:pPr>
          </w:p>
        </w:tc>
      </w:tr>
      <w:tr w14:paraId="0611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469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42</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1F4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餐饮环节-食用油、油脂及其制品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CC6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CDA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99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6E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7D2A">
            <w:pPr>
              <w:jc w:val="center"/>
              <w:rPr>
                <w:rFonts w:hint="eastAsia" w:ascii="宋体" w:hAnsi="宋体" w:eastAsia="宋体" w:cs="宋体"/>
                <w:i w:val="0"/>
                <w:iCs w:val="0"/>
                <w:color w:val="auto"/>
                <w:sz w:val="18"/>
                <w:szCs w:val="18"/>
                <w:highlight w:val="none"/>
                <w:u w:val="none"/>
              </w:rPr>
            </w:pPr>
          </w:p>
        </w:tc>
      </w:tr>
      <w:tr w14:paraId="7C89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6B8E7">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33C48">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CA128">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98EA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577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407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9E21">
            <w:pPr>
              <w:jc w:val="center"/>
              <w:rPr>
                <w:rFonts w:hint="eastAsia" w:ascii="宋体" w:hAnsi="宋体" w:eastAsia="宋体" w:cs="宋体"/>
                <w:i w:val="0"/>
                <w:iCs w:val="0"/>
                <w:color w:val="auto"/>
                <w:sz w:val="18"/>
                <w:szCs w:val="18"/>
                <w:highlight w:val="none"/>
                <w:u w:val="none"/>
              </w:rPr>
            </w:pPr>
          </w:p>
        </w:tc>
      </w:tr>
      <w:tr w14:paraId="5EB56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BC148">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B370A">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28813">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356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B220">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6FE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50A1">
            <w:pPr>
              <w:jc w:val="center"/>
              <w:rPr>
                <w:rFonts w:hint="eastAsia" w:ascii="宋体" w:hAnsi="宋体" w:eastAsia="宋体" w:cs="宋体"/>
                <w:i w:val="0"/>
                <w:iCs w:val="0"/>
                <w:color w:val="auto"/>
                <w:sz w:val="18"/>
                <w:szCs w:val="18"/>
                <w:highlight w:val="none"/>
                <w:u w:val="none"/>
              </w:rPr>
            </w:pPr>
          </w:p>
        </w:tc>
      </w:tr>
      <w:tr w14:paraId="7326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5BE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43</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D3A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餐饮环节-调味料</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D11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209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49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66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4A7F">
            <w:pPr>
              <w:jc w:val="center"/>
              <w:rPr>
                <w:rFonts w:hint="eastAsia" w:ascii="宋体" w:hAnsi="宋体" w:eastAsia="宋体" w:cs="宋体"/>
                <w:i w:val="0"/>
                <w:iCs w:val="0"/>
                <w:color w:val="auto"/>
                <w:sz w:val="18"/>
                <w:szCs w:val="18"/>
                <w:highlight w:val="none"/>
                <w:u w:val="none"/>
              </w:rPr>
            </w:pPr>
          </w:p>
        </w:tc>
      </w:tr>
      <w:tr w14:paraId="58C57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D6AA6">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EDC8F">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29C23">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172CB">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309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2D8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1738">
            <w:pPr>
              <w:jc w:val="center"/>
              <w:rPr>
                <w:rFonts w:hint="eastAsia" w:ascii="宋体" w:hAnsi="宋体" w:eastAsia="宋体" w:cs="宋体"/>
                <w:i w:val="0"/>
                <w:iCs w:val="0"/>
                <w:color w:val="auto"/>
                <w:sz w:val="18"/>
                <w:szCs w:val="18"/>
                <w:highlight w:val="none"/>
                <w:u w:val="none"/>
              </w:rPr>
            </w:pPr>
          </w:p>
        </w:tc>
      </w:tr>
      <w:tr w14:paraId="37A1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8A548">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F36E1">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ABC00">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BBB4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0D2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907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86F5">
            <w:pPr>
              <w:jc w:val="center"/>
              <w:rPr>
                <w:rFonts w:hint="eastAsia" w:ascii="宋体" w:hAnsi="宋体" w:eastAsia="宋体" w:cs="宋体"/>
                <w:i w:val="0"/>
                <w:iCs w:val="0"/>
                <w:color w:val="auto"/>
                <w:sz w:val="18"/>
                <w:szCs w:val="18"/>
                <w:highlight w:val="none"/>
                <w:u w:val="none"/>
              </w:rPr>
            </w:pPr>
          </w:p>
        </w:tc>
      </w:tr>
      <w:tr w14:paraId="6604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C1C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44</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485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餐饮环节-肉制品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2F7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CD8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99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09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3E7C">
            <w:pPr>
              <w:jc w:val="center"/>
              <w:rPr>
                <w:rFonts w:hint="eastAsia" w:ascii="宋体" w:hAnsi="宋体" w:eastAsia="宋体" w:cs="宋体"/>
                <w:i w:val="0"/>
                <w:iCs w:val="0"/>
                <w:color w:val="auto"/>
                <w:sz w:val="18"/>
                <w:szCs w:val="18"/>
                <w:highlight w:val="none"/>
                <w:u w:val="none"/>
              </w:rPr>
            </w:pPr>
          </w:p>
        </w:tc>
      </w:tr>
      <w:tr w14:paraId="6E7BD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04FBB">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0DD78">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71D99">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D4BEB">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6C6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86E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63B6">
            <w:pPr>
              <w:jc w:val="center"/>
              <w:rPr>
                <w:rFonts w:hint="eastAsia" w:ascii="宋体" w:hAnsi="宋体" w:eastAsia="宋体" w:cs="宋体"/>
                <w:i w:val="0"/>
                <w:iCs w:val="0"/>
                <w:color w:val="auto"/>
                <w:sz w:val="18"/>
                <w:szCs w:val="18"/>
                <w:highlight w:val="none"/>
                <w:u w:val="none"/>
              </w:rPr>
            </w:pPr>
          </w:p>
        </w:tc>
      </w:tr>
      <w:tr w14:paraId="1C81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68C9F">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A17DE">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949F2">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4875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491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05F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652E">
            <w:pPr>
              <w:jc w:val="center"/>
              <w:rPr>
                <w:rFonts w:hint="eastAsia" w:ascii="宋体" w:hAnsi="宋体" w:eastAsia="宋体" w:cs="宋体"/>
                <w:i w:val="0"/>
                <w:iCs w:val="0"/>
                <w:color w:val="auto"/>
                <w:sz w:val="18"/>
                <w:szCs w:val="18"/>
                <w:highlight w:val="none"/>
                <w:u w:val="none"/>
              </w:rPr>
            </w:pPr>
          </w:p>
        </w:tc>
      </w:tr>
      <w:tr w14:paraId="21547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843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45</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98D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餐饮环节-饼干</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987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195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C0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26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3753">
            <w:pPr>
              <w:jc w:val="center"/>
              <w:rPr>
                <w:rFonts w:hint="eastAsia" w:ascii="宋体" w:hAnsi="宋体" w:eastAsia="宋体" w:cs="宋体"/>
                <w:i w:val="0"/>
                <w:iCs w:val="0"/>
                <w:color w:val="auto"/>
                <w:sz w:val="18"/>
                <w:szCs w:val="18"/>
                <w:highlight w:val="none"/>
                <w:u w:val="none"/>
              </w:rPr>
            </w:pPr>
          </w:p>
        </w:tc>
      </w:tr>
      <w:tr w14:paraId="372B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BF73C">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CFA95">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FB629">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659E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A70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109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F7A5">
            <w:pPr>
              <w:jc w:val="center"/>
              <w:rPr>
                <w:rFonts w:hint="eastAsia" w:ascii="宋体" w:hAnsi="宋体" w:eastAsia="宋体" w:cs="宋体"/>
                <w:i w:val="0"/>
                <w:iCs w:val="0"/>
                <w:color w:val="auto"/>
                <w:sz w:val="18"/>
                <w:szCs w:val="18"/>
                <w:highlight w:val="none"/>
                <w:u w:val="none"/>
              </w:rPr>
            </w:pPr>
          </w:p>
        </w:tc>
      </w:tr>
      <w:tr w14:paraId="45180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97F89">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9F7F0">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B1BDB">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784CB">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C8F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1FF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1151">
            <w:pPr>
              <w:jc w:val="center"/>
              <w:rPr>
                <w:rFonts w:hint="eastAsia" w:ascii="宋体" w:hAnsi="宋体" w:eastAsia="宋体" w:cs="宋体"/>
                <w:i w:val="0"/>
                <w:iCs w:val="0"/>
                <w:color w:val="auto"/>
                <w:sz w:val="18"/>
                <w:szCs w:val="18"/>
                <w:highlight w:val="none"/>
                <w:u w:val="none"/>
              </w:rPr>
            </w:pPr>
          </w:p>
        </w:tc>
      </w:tr>
      <w:tr w14:paraId="3A5A9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F6B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46</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2C9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餐饮环节-速冻食品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1EE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1C9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E3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25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38CC">
            <w:pPr>
              <w:jc w:val="center"/>
              <w:rPr>
                <w:rFonts w:hint="eastAsia" w:ascii="宋体" w:hAnsi="宋体" w:eastAsia="宋体" w:cs="宋体"/>
                <w:i w:val="0"/>
                <w:iCs w:val="0"/>
                <w:color w:val="auto"/>
                <w:sz w:val="18"/>
                <w:szCs w:val="18"/>
                <w:highlight w:val="none"/>
                <w:u w:val="none"/>
              </w:rPr>
            </w:pPr>
          </w:p>
        </w:tc>
      </w:tr>
      <w:tr w14:paraId="3C6F8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0F626">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22ACC">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DE02D">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2B15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2A4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35F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FAF0">
            <w:pPr>
              <w:jc w:val="center"/>
              <w:rPr>
                <w:rFonts w:hint="eastAsia" w:ascii="宋体" w:hAnsi="宋体" w:eastAsia="宋体" w:cs="宋体"/>
                <w:i w:val="0"/>
                <w:iCs w:val="0"/>
                <w:color w:val="auto"/>
                <w:sz w:val="18"/>
                <w:szCs w:val="18"/>
                <w:highlight w:val="none"/>
                <w:u w:val="none"/>
              </w:rPr>
            </w:pPr>
          </w:p>
        </w:tc>
      </w:tr>
      <w:tr w14:paraId="26F6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ECC3D">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33DE8">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9F648">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2D50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F21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10D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F389">
            <w:pPr>
              <w:jc w:val="center"/>
              <w:rPr>
                <w:rFonts w:hint="eastAsia" w:ascii="宋体" w:hAnsi="宋体" w:eastAsia="宋体" w:cs="宋体"/>
                <w:i w:val="0"/>
                <w:iCs w:val="0"/>
                <w:color w:val="auto"/>
                <w:sz w:val="18"/>
                <w:szCs w:val="18"/>
                <w:highlight w:val="none"/>
                <w:u w:val="none"/>
              </w:rPr>
            </w:pPr>
          </w:p>
        </w:tc>
      </w:tr>
      <w:tr w14:paraId="3BB5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151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47</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607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餐饮环节-酒类</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99C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CCF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B7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9F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1411">
            <w:pPr>
              <w:jc w:val="center"/>
              <w:rPr>
                <w:rFonts w:hint="eastAsia" w:ascii="宋体" w:hAnsi="宋体" w:eastAsia="宋体" w:cs="宋体"/>
                <w:i w:val="0"/>
                <w:iCs w:val="0"/>
                <w:color w:val="auto"/>
                <w:sz w:val="18"/>
                <w:szCs w:val="18"/>
                <w:highlight w:val="none"/>
                <w:u w:val="none"/>
              </w:rPr>
            </w:pPr>
          </w:p>
        </w:tc>
      </w:tr>
      <w:tr w14:paraId="7714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247D3">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36707">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8D2B2">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1E1A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A6D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F023">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6697">
            <w:pPr>
              <w:jc w:val="center"/>
              <w:rPr>
                <w:rFonts w:hint="eastAsia" w:ascii="宋体" w:hAnsi="宋体" w:eastAsia="宋体" w:cs="宋体"/>
                <w:i w:val="0"/>
                <w:iCs w:val="0"/>
                <w:color w:val="auto"/>
                <w:sz w:val="18"/>
                <w:szCs w:val="18"/>
                <w:highlight w:val="none"/>
                <w:u w:val="none"/>
              </w:rPr>
            </w:pPr>
          </w:p>
        </w:tc>
      </w:tr>
      <w:tr w14:paraId="6B0F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36842">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565E1">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27B57">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DCFD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E79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F038">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F164">
            <w:pPr>
              <w:jc w:val="center"/>
              <w:rPr>
                <w:rFonts w:hint="eastAsia" w:ascii="宋体" w:hAnsi="宋体" w:eastAsia="宋体" w:cs="宋体"/>
                <w:i w:val="0"/>
                <w:iCs w:val="0"/>
                <w:color w:val="auto"/>
                <w:sz w:val="18"/>
                <w:szCs w:val="18"/>
                <w:highlight w:val="none"/>
                <w:u w:val="none"/>
              </w:rPr>
            </w:pPr>
          </w:p>
        </w:tc>
      </w:tr>
      <w:tr w14:paraId="6217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C89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48</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0EF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餐饮环节-蔬菜制品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F78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1C0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2A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1D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96E4">
            <w:pPr>
              <w:jc w:val="center"/>
              <w:rPr>
                <w:rFonts w:hint="eastAsia" w:ascii="宋体" w:hAnsi="宋体" w:eastAsia="宋体" w:cs="宋体"/>
                <w:i w:val="0"/>
                <w:iCs w:val="0"/>
                <w:color w:val="auto"/>
                <w:sz w:val="18"/>
                <w:szCs w:val="18"/>
                <w:highlight w:val="none"/>
                <w:u w:val="none"/>
              </w:rPr>
            </w:pPr>
          </w:p>
        </w:tc>
      </w:tr>
      <w:tr w14:paraId="4B41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1047A">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FFA3D">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33002">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7E9A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C53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1C2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BA2A">
            <w:pPr>
              <w:jc w:val="center"/>
              <w:rPr>
                <w:rFonts w:hint="eastAsia" w:ascii="宋体" w:hAnsi="宋体" w:eastAsia="宋体" w:cs="宋体"/>
                <w:i w:val="0"/>
                <w:iCs w:val="0"/>
                <w:color w:val="auto"/>
                <w:sz w:val="18"/>
                <w:szCs w:val="18"/>
                <w:highlight w:val="none"/>
                <w:u w:val="none"/>
              </w:rPr>
            </w:pPr>
          </w:p>
        </w:tc>
      </w:tr>
      <w:tr w14:paraId="71B79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965A7">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9CDE5">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FF7A8">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2CC9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6CC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F2E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5F7D">
            <w:pPr>
              <w:jc w:val="center"/>
              <w:rPr>
                <w:rFonts w:hint="eastAsia" w:ascii="宋体" w:hAnsi="宋体" w:eastAsia="宋体" w:cs="宋体"/>
                <w:i w:val="0"/>
                <w:iCs w:val="0"/>
                <w:color w:val="auto"/>
                <w:sz w:val="18"/>
                <w:szCs w:val="18"/>
                <w:highlight w:val="none"/>
                <w:u w:val="none"/>
              </w:rPr>
            </w:pPr>
          </w:p>
        </w:tc>
      </w:tr>
      <w:tr w14:paraId="168C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0FC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49</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11C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餐饮环节-淀粉及淀粉制品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1ED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9D1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36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25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2AE5">
            <w:pPr>
              <w:jc w:val="center"/>
              <w:rPr>
                <w:rFonts w:hint="eastAsia" w:ascii="宋体" w:hAnsi="宋体" w:eastAsia="宋体" w:cs="宋体"/>
                <w:i w:val="0"/>
                <w:iCs w:val="0"/>
                <w:color w:val="auto"/>
                <w:sz w:val="18"/>
                <w:szCs w:val="18"/>
                <w:highlight w:val="none"/>
                <w:u w:val="none"/>
              </w:rPr>
            </w:pPr>
          </w:p>
        </w:tc>
      </w:tr>
      <w:tr w14:paraId="4C3A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BD457">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9F74A">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51763">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2246B">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A80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49BB">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B358">
            <w:pPr>
              <w:jc w:val="center"/>
              <w:rPr>
                <w:rFonts w:hint="eastAsia" w:ascii="宋体" w:hAnsi="宋体" w:eastAsia="宋体" w:cs="宋体"/>
                <w:i w:val="0"/>
                <w:iCs w:val="0"/>
                <w:color w:val="auto"/>
                <w:sz w:val="18"/>
                <w:szCs w:val="18"/>
                <w:highlight w:val="none"/>
                <w:u w:val="none"/>
              </w:rPr>
            </w:pPr>
          </w:p>
        </w:tc>
      </w:tr>
      <w:tr w14:paraId="7540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63257">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50E1E">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E1338">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3AB3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86D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A9D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F0FC">
            <w:pPr>
              <w:jc w:val="center"/>
              <w:rPr>
                <w:rFonts w:hint="eastAsia" w:ascii="宋体" w:hAnsi="宋体" w:eastAsia="宋体" w:cs="宋体"/>
                <w:i w:val="0"/>
                <w:iCs w:val="0"/>
                <w:color w:val="auto"/>
                <w:sz w:val="18"/>
                <w:szCs w:val="18"/>
                <w:highlight w:val="none"/>
                <w:u w:val="none"/>
              </w:rPr>
            </w:pPr>
          </w:p>
        </w:tc>
      </w:tr>
      <w:tr w14:paraId="3C69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5C2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50</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959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餐饮环节-豆制品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C7E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4F9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48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74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A4B3">
            <w:pPr>
              <w:jc w:val="center"/>
              <w:rPr>
                <w:rFonts w:hint="eastAsia" w:ascii="宋体" w:hAnsi="宋体" w:eastAsia="宋体" w:cs="宋体"/>
                <w:i w:val="0"/>
                <w:iCs w:val="0"/>
                <w:color w:val="auto"/>
                <w:sz w:val="18"/>
                <w:szCs w:val="18"/>
                <w:highlight w:val="none"/>
                <w:u w:val="none"/>
              </w:rPr>
            </w:pPr>
          </w:p>
        </w:tc>
      </w:tr>
      <w:tr w14:paraId="210A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795D7">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DEC2C">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AE3B0">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A34C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8E6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CC8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C063">
            <w:pPr>
              <w:jc w:val="center"/>
              <w:rPr>
                <w:rFonts w:hint="eastAsia" w:ascii="宋体" w:hAnsi="宋体" w:eastAsia="宋体" w:cs="宋体"/>
                <w:i w:val="0"/>
                <w:iCs w:val="0"/>
                <w:color w:val="auto"/>
                <w:sz w:val="18"/>
                <w:szCs w:val="18"/>
                <w:highlight w:val="none"/>
                <w:u w:val="none"/>
              </w:rPr>
            </w:pPr>
          </w:p>
        </w:tc>
      </w:tr>
      <w:tr w14:paraId="1E99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61C66">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C8912">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0DF8C">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41330">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86F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072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0B0E">
            <w:pPr>
              <w:jc w:val="center"/>
              <w:rPr>
                <w:rFonts w:hint="eastAsia" w:ascii="宋体" w:hAnsi="宋体" w:eastAsia="宋体" w:cs="宋体"/>
                <w:i w:val="0"/>
                <w:iCs w:val="0"/>
                <w:color w:val="auto"/>
                <w:sz w:val="18"/>
                <w:szCs w:val="18"/>
                <w:highlight w:val="none"/>
                <w:u w:val="none"/>
              </w:rPr>
            </w:pPr>
          </w:p>
        </w:tc>
      </w:tr>
      <w:tr w14:paraId="08EE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689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7FE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餐饮环节-餐饮食品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0B4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943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C0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17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37F6">
            <w:pPr>
              <w:jc w:val="center"/>
              <w:rPr>
                <w:rFonts w:hint="eastAsia" w:ascii="宋体" w:hAnsi="宋体" w:eastAsia="宋体" w:cs="宋体"/>
                <w:i w:val="0"/>
                <w:iCs w:val="0"/>
                <w:color w:val="auto"/>
                <w:sz w:val="18"/>
                <w:szCs w:val="18"/>
                <w:highlight w:val="none"/>
                <w:u w:val="none"/>
              </w:rPr>
            </w:pPr>
          </w:p>
        </w:tc>
      </w:tr>
      <w:tr w14:paraId="55B7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13A52">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EE65C">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C8831">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D2E5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300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0CA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0036">
            <w:pPr>
              <w:jc w:val="center"/>
              <w:rPr>
                <w:rFonts w:hint="eastAsia" w:ascii="宋体" w:hAnsi="宋体" w:eastAsia="宋体" w:cs="宋体"/>
                <w:i w:val="0"/>
                <w:iCs w:val="0"/>
                <w:color w:val="auto"/>
                <w:sz w:val="18"/>
                <w:szCs w:val="18"/>
                <w:highlight w:val="none"/>
                <w:u w:val="none"/>
              </w:rPr>
            </w:pPr>
          </w:p>
        </w:tc>
      </w:tr>
      <w:tr w14:paraId="03E3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FCAC1">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11220">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3AE90">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6E10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D0D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521B">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3097">
            <w:pPr>
              <w:jc w:val="center"/>
              <w:rPr>
                <w:rFonts w:hint="eastAsia" w:ascii="宋体" w:hAnsi="宋体" w:eastAsia="宋体" w:cs="宋体"/>
                <w:i w:val="0"/>
                <w:iCs w:val="0"/>
                <w:color w:val="auto"/>
                <w:sz w:val="18"/>
                <w:szCs w:val="18"/>
                <w:highlight w:val="none"/>
                <w:u w:val="none"/>
              </w:rPr>
            </w:pPr>
          </w:p>
        </w:tc>
      </w:tr>
      <w:tr w14:paraId="174C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377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52</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343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餐饮环节-食用农产品</w:t>
            </w:r>
          </w:p>
        </w:tc>
        <w:tc>
          <w:tcPr>
            <w:tcW w:w="3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12A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检测标准详见国家市场监督管理总局颁布的《全国食品安全监督抽检实施细则（2025）版》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77F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70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5F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1150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D3DC">
            <w:pPr>
              <w:jc w:val="center"/>
              <w:rPr>
                <w:rFonts w:hint="eastAsia" w:ascii="宋体" w:hAnsi="宋体" w:eastAsia="宋体" w:cs="宋体"/>
                <w:i w:val="0"/>
                <w:iCs w:val="0"/>
                <w:color w:val="auto"/>
                <w:sz w:val="18"/>
                <w:szCs w:val="18"/>
                <w:highlight w:val="none"/>
                <w:u w:val="none"/>
              </w:rPr>
            </w:pPr>
          </w:p>
        </w:tc>
      </w:tr>
      <w:tr w14:paraId="7E2B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94A50">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DEED0">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CA824">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8506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093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309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C5BC">
            <w:pPr>
              <w:jc w:val="center"/>
              <w:rPr>
                <w:rFonts w:hint="eastAsia" w:ascii="宋体" w:hAnsi="宋体" w:eastAsia="宋体" w:cs="宋体"/>
                <w:i w:val="0"/>
                <w:iCs w:val="0"/>
                <w:color w:val="auto"/>
                <w:sz w:val="18"/>
                <w:szCs w:val="18"/>
                <w:highlight w:val="none"/>
                <w:u w:val="none"/>
              </w:rPr>
            </w:pPr>
          </w:p>
        </w:tc>
      </w:tr>
      <w:tr w14:paraId="4EBD6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FC75A">
            <w:pPr>
              <w:jc w:val="center"/>
              <w:rPr>
                <w:rFonts w:hint="eastAsia" w:ascii="宋体" w:hAnsi="宋体" w:eastAsia="宋体" w:cs="宋体"/>
                <w:i w:val="0"/>
                <w:iCs w:val="0"/>
                <w:color w:val="auto"/>
                <w:sz w:val="18"/>
                <w:szCs w:val="18"/>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44E72">
            <w:pPr>
              <w:jc w:val="center"/>
              <w:rPr>
                <w:rFonts w:hint="eastAsia" w:ascii="宋体" w:hAnsi="宋体" w:eastAsia="宋体" w:cs="宋体"/>
                <w:i w:val="0"/>
                <w:iCs w:val="0"/>
                <w:color w:val="auto"/>
                <w:sz w:val="18"/>
                <w:szCs w:val="18"/>
                <w:highlight w:val="none"/>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B2BEA">
            <w:pPr>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0A95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734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2BB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21B0">
            <w:pPr>
              <w:jc w:val="center"/>
              <w:rPr>
                <w:rFonts w:hint="eastAsia" w:ascii="宋体" w:hAnsi="宋体" w:eastAsia="宋体" w:cs="宋体"/>
                <w:i w:val="0"/>
                <w:iCs w:val="0"/>
                <w:color w:val="auto"/>
                <w:sz w:val="18"/>
                <w:szCs w:val="18"/>
                <w:highlight w:val="none"/>
                <w:u w:val="none"/>
              </w:rPr>
            </w:pPr>
          </w:p>
        </w:tc>
      </w:tr>
    </w:tbl>
    <w:p w14:paraId="690D870B">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注：1.</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最高限单价费率为100%。</w:t>
      </w:r>
    </w:p>
    <w:p w14:paraId="2197DF8B">
      <w:pPr>
        <w:keepNext w:val="0"/>
        <w:keepLines w:val="0"/>
        <w:pageBreakBefore w:val="0"/>
        <w:widowControl w:val="0"/>
        <w:kinsoku/>
        <w:wordWrap/>
        <w:overflowPunct/>
        <w:topLinePunct w:val="0"/>
        <w:autoSpaceDE/>
        <w:autoSpaceDN/>
        <w:bidi w:val="0"/>
        <w:adjustRightInd w:val="0"/>
        <w:snapToGrid w:val="0"/>
        <w:spacing w:line="420" w:lineRule="exact"/>
        <w:ind w:firstLine="880" w:firstLineChars="400"/>
        <w:textAlignment w:val="auto"/>
        <w:rPr>
          <w:rFonts w:hint="eastAsia" w:ascii="宋体" w:hAnsi="宋体" w:eastAsia="宋体" w:cs="宋体"/>
          <w:b w:val="0"/>
          <w:bCs w:val="0"/>
          <w:color w:val="auto"/>
          <w:kern w:val="0"/>
          <w:sz w:val="22"/>
          <w:szCs w:val="22"/>
          <w:highlight w:val="green"/>
          <w:lang w:eastAsia="zh-CN"/>
        </w:rPr>
      </w:pPr>
      <w:r>
        <w:rPr>
          <w:rFonts w:hint="eastAsia" w:ascii="宋体" w:hAnsi="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lang w:val="en-US" w:eastAsia="zh-CN"/>
        </w:rPr>
        <w:t>.本次采购的2025年衢州市柯城区市场监督管理局食品（餐饮）检测服务项目计划批次数量为800批次左右。最终食品抽检种类、品种、项目和批次，以每个抽检周期实际安排为准。同时，根据上级要求及应急任务需要，抽检品种、检验项目、抽检批次可进行相应调整。</w:t>
      </w:r>
    </w:p>
    <w:p w14:paraId="2AD3730A">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五、服务内容及要求</w:t>
      </w:r>
    </w:p>
    <w:p w14:paraId="6488EBD9">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kern w:val="0"/>
          <w:sz w:val="22"/>
          <w:szCs w:val="22"/>
          <w:highlight w:val="none"/>
          <w:lang w:val="en-US" w:eastAsia="zh-CN"/>
        </w:rPr>
        <w:t>1.</w:t>
      </w:r>
      <w:r>
        <w:rPr>
          <w:rFonts w:hint="eastAsia" w:ascii="宋体" w:hAnsi="宋体" w:eastAsia="宋体" w:cs="宋体"/>
          <w:b w:val="0"/>
          <w:bCs w:val="0"/>
          <w:color w:val="auto"/>
          <w:kern w:val="0"/>
          <w:sz w:val="22"/>
          <w:szCs w:val="22"/>
          <w:highlight w:val="none"/>
          <w:lang w:eastAsia="zh-CN"/>
        </w:rPr>
        <w:t>为强化食品安全监管，及时发现和控制食品安全危害与风险，全面提升食品安全科学监管水平，结合我区食品安全工作实际，制定我区2025-2026年食品安全监督抽检计划。</w:t>
      </w:r>
    </w:p>
    <w:p w14:paraId="32067398">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抽样要求</w:t>
      </w:r>
    </w:p>
    <w:p w14:paraId="10BB02AC">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本项目抽样工作</w:t>
      </w:r>
      <w:r>
        <w:rPr>
          <w:rFonts w:hint="eastAsia" w:ascii="宋体" w:hAnsi="宋体" w:eastAsia="宋体" w:cs="宋体"/>
          <w:color w:val="auto"/>
          <w:sz w:val="22"/>
          <w:szCs w:val="22"/>
          <w:highlight w:val="none"/>
          <w:lang w:eastAsia="zh-CN"/>
        </w:rPr>
        <w:t>应</w:t>
      </w:r>
      <w:r>
        <w:rPr>
          <w:rFonts w:hint="eastAsia" w:ascii="宋体" w:hAnsi="宋体" w:eastAsia="宋体" w:cs="宋体"/>
          <w:color w:val="auto"/>
          <w:sz w:val="22"/>
          <w:szCs w:val="22"/>
          <w:highlight w:val="none"/>
        </w:rPr>
        <w:t>严格按照《食品安全抽样检验管理办法》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《食品安全抽样检验工作规范》等法律法规规定及国家、浙江省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衢州市</w:t>
      </w:r>
      <w:r>
        <w:rPr>
          <w:rFonts w:hint="eastAsia" w:ascii="宋体" w:hAnsi="宋体" w:eastAsia="宋体" w:cs="宋体"/>
          <w:color w:val="auto"/>
          <w:sz w:val="22"/>
          <w:szCs w:val="22"/>
          <w:highlight w:val="none"/>
        </w:rPr>
        <w:t>有关相关文件通知要求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样品采集严格按照监督抽检工作程序，履行法定手续。</w:t>
      </w:r>
    </w:p>
    <w:p w14:paraId="64CCF0A8">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抽样要求采用 PAD 方式抽样，并应严格按照《食品安全抽样检验管理办法》、《食品安全抽样检验工作规范》等法律法规规定及国家、浙江省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衢州市</w:t>
      </w:r>
      <w:r>
        <w:rPr>
          <w:rFonts w:hint="eastAsia" w:ascii="宋体" w:hAnsi="宋体" w:eastAsia="宋体" w:cs="宋体"/>
          <w:color w:val="auto"/>
          <w:sz w:val="22"/>
          <w:szCs w:val="22"/>
          <w:highlight w:val="none"/>
        </w:rPr>
        <w:t>有关相关文件通知要求等规定填写“告知书、买样凭证、工作纪律反馈单”等纸质材料，同时对抽样过程拍照取证。</w:t>
      </w:r>
    </w:p>
    <w:p w14:paraId="40D062B8">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抽检时限要求</w:t>
      </w:r>
    </w:p>
    <w:p w14:paraId="2E98AEBC">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3.1中标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应在接到</w:t>
      </w:r>
      <w:r>
        <w:rPr>
          <w:rFonts w:hint="eastAsia" w:ascii="宋体" w:hAnsi="宋体" w:eastAsia="宋体" w:cs="宋体"/>
          <w:color w:val="auto"/>
          <w:sz w:val="22"/>
          <w:szCs w:val="22"/>
          <w:highlight w:val="none"/>
          <w:lang w:eastAsia="zh-CN"/>
        </w:rPr>
        <w:t>招标人</w:t>
      </w:r>
      <w:r>
        <w:rPr>
          <w:rFonts w:hint="eastAsia" w:ascii="宋体" w:hAnsi="宋体" w:eastAsia="宋体" w:cs="宋体"/>
          <w:color w:val="auto"/>
          <w:sz w:val="22"/>
          <w:szCs w:val="22"/>
          <w:highlight w:val="none"/>
        </w:rPr>
        <w:t>检测通知后2天内，组织安排好相关人员及车辆，开展协作抽样工作。</w:t>
      </w:r>
    </w:p>
    <w:p w14:paraId="014E9E55">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3.2</w:t>
      </w:r>
      <w:r>
        <w:rPr>
          <w:rFonts w:hint="eastAsia" w:ascii="宋体" w:hAnsi="宋体" w:eastAsia="宋体" w:cs="宋体"/>
          <w:color w:val="auto"/>
          <w:sz w:val="22"/>
          <w:szCs w:val="22"/>
          <w:highlight w:val="none"/>
        </w:rPr>
        <w:t>样品采集完成后应有措施保障样品的有效性，确保检测样品和正常留样样品能复现产品质量状况。</w:t>
      </w:r>
    </w:p>
    <w:p w14:paraId="1E5CF988">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抽样后</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天内出具相应检测报告，并将电子报告等材料上传国抽系统。保质期短的产品应尽可能短期限内出具检测报告 (紧急任务以招标人要求为主，特殊情况另行约定) 。</w:t>
      </w:r>
    </w:p>
    <w:p w14:paraId="14BFEE98">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检测过程中，遇到不合格项目情况，需在检测结果确认后 24 小时内报</w:t>
      </w:r>
      <w:r>
        <w:rPr>
          <w:rFonts w:hint="eastAsia" w:ascii="宋体" w:hAnsi="宋体" w:eastAsia="宋体" w:cs="宋体"/>
          <w:color w:val="auto"/>
          <w:sz w:val="22"/>
          <w:szCs w:val="22"/>
          <w:highlight w:val="none"/>
          <w:lang w:eastAsia="zh-CN"/>
        </w:rPr>
        <w:t>招标人</w:t>
      </w:r>
      <w:r>
        <w:rPr>
          <w:rFonts w:hint="eastAsia" w:ascii="宋体" w:hAnsi="宋体" w:eastAsia="宋体" w:cs="宋体"/>
          <w:color w:val="auto"/>
          <w:sz w:val="22"/>
          <w:szCs w:val="22"/>
          <w:highlight w:val="none"/>
        </w:rPr>
        <w:t>。</w:t>
      </w:r>
    </w:p>
    <w:p w14:paraId="41E0941A">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highlight w:val="none"/>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在检验中，如发现被检样品含有非食用物质、不合格食品可能对身体健康和生命安全造成严重危害的， 应当按照规定立即报告甲方和生产经营者所在地市场监管部门。投诉、举报、突发性食品安全事件中涉及的食品检验，应在检验结论产生后第一时间出具报告，一般不超过5个工作日。</w:t>
      </w:r>
    </w:p>
    <w:p w14:paraId="7E653CB9">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检验检测要求</w:t>
      </w:r>
    </w:p>
    <w:p w14:paraId="0F825F55">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4.1</w:t>
      </w:r>
      <w:r>
        <w:rPr>
          <w:rFonts w:hint="eastAsia" w:ascii="宋体" w:hAnsi="宋体" w:eastAsia="宋体" w:cs="宋体"/>
          <w:color w:val="auto"/>
          <w:sz w:val="22"/>
          <w:szCs w:val="22"/>
          <w:highlight w:val="none"/>
        </w:rPr>
        <w:t>本次监督抽检的</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未经</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人同意，严禁将检验任务分包给其他检验机构或修改检测项目。</w:t>
      </w:r>
    </w:p>
    <w:p w14:paraId="3BEE8014">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4.2</w:t>
      </w:r>
      <w:r>
        <w:rPr>
          <w:rFonts w:hint="eastAsia" w:ascii="宋体" w:hAnsi="宋体" w:eastAsia="宋体" w:cs="宋体"/>
          <w:color w:val="auto"/>
          <w:sz w:val="22"/>
          <w:szCs w:val="22"/>
          <w:highlight w:val="none"/>
        </w:rPr>
        <w:t>各抽样单位和</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应将抽样及检验工作按要求合理分配，避免集中抽样、集中检验。具体检测项目严格按照抽检清单执行。</w:t>
      </w:r>
    </w:p>
    <w:p w14:paraId="069EFF88">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4.3中标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在检测过程中应对承担的产品采取科学的质控方式，确保检测结果准确、可靠。</w:t>
      </w:r>
    </w:p>
    <w:p w14:paraId="7A6504F8">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4.4</w:t>
      </w:r>
      <w:r>
        <w:rPr>
          <w:rFonts w:hint="eastAsia" w:ascii="宋体" w:hAnsi="宋体" w:eastAsia="宋体" w:cs="宋体"/>
          <w:color w:val="auto"/>
          <w:sz w:val="22"/>
          <w:szCs w:val="22"/>
          <w:highlight w:val="none"/>
        </w:rPr>
        <w:t>若需要复检的，则应由招标人指定法定食品复检机构进行复检。</w:t>
      </w:r>
    </w:p>
    <w:p w14:paraId="367D1003">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4.5中标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提供自有专门用于存放食品检测业务档案场地情况、管理情况等，并提供相关证明材料。</w:t>
      </w:r>
    </w:p>
    <w:p w14:paraId="0250404B">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检验报告要求</w:t>
      </w:r>
    </w:p>
    <w:p w14:paraId="18EF1A23">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5.1</w:t>
      </w:r>
      <w:r>
        <w:rPr>
          <w:rFonts w:hint="eastAsia" w:ascii="宋体" w:hAnsi="宋体" w:eastAsia="宋体" w:cs="宋体"/>
          <w:color w:val="auto"/>
          <w:sz w:val="22"/>
          <w:szCs w:val="22"/>
          <w:highlight w:val="none"/>
        </w:rPr>
        <w:t>出具的检测报告应具有相关执法效力，并对检测结果做出科学分析。</w:t>
      </w:r>
    </w:p>
    <w:p w14:paraId="37D4C4F0">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5.2</w:t>
      </w:r>
      <w:r>
        <w:rPr>
          <w:rFonts w:hint="eastAsia" w:ascii="宋体" w:hAnsi="宋体" w:eastAsia="宋体" w:cs="宋体"/>
          <w:color w:val="auto"/>
          <w:sz w:val="22"/>
          <w:szCs w:val="22"/>
          <w:highlight w:val="none"/>
        </w:rPr>
        <w:t>抽检的样品</w:t>
      </w:r>
      <w:r>
        <w:rPr>
          <w:rFonts w:hint="eastAsia" w:ascii="宋体" w:hAnsi="宋体" w:eastAsia="宋体" w:cs="宋体"/>
          <w:color w:val="auto"/>
          <w:sz w:val="22"/>
          <w:szCs w:val="22"/>
          <w:highlight w:val="none"/>
          <w:lang w:eastAsia="zh-CN"/>
        </w:rPr>
        <w:t>信息及检测结果</w:t>
      </w:r>
      <w:r>
        <w:rPr>
          <w:rFonts w:hint="eastAsia" w:ascii="宋体" w:hAnsi="宋体" w:eastAsia="宋体" w:cs="宋体"/>
          <w:color w:val="auto"/>
          <w:sz w:val="22"/>
          <w:szCs w:val="22"/>
          <w:highlight w:val="none"/>
        </w:rPr>
        <w:t>均要按照采购方要求录入指定的信息平台，并出具电子</w:t>
      </w:r>
      <w:r>
        <w:rPr>
          <w:rFonts w:hint="eastAsia" w:ascii="宋体" w:hAnsi="宋体" w:eastAsia="宋体" w:cs="宋体"/>
          <w:color w:val="auto"/>
          <w:sz w:val="22"/>
          <w:szCs w:val="22"/>
          <w:highlight w:val="none"/>
          <w:lang w:eastAsia="zh-CN"/>
        </w:rPr>
        <w:t>认证版检验</w:t>
      </w:r>
      <w:r>
        <w:rPr>
          <w:rFonts w:hint="eastAsia" w:ascii="宋体" w:hAnsi="宋体" w:eastAsia="宋体" w:cs="宋体"/>
          <w:color w:val="auto"/>
          <w:sz w:val="22"/>
          <w:szCs w:val="22"/>
          <w:highlight w:val="none"/>
        </w:rPr>
        <w:t>报告。对于检验不合格的样品，还需</w:t>
      </w:r>
      <w:r>
        <w:rPr>
          <w:rFonts w:hint="eastAsia" w:ascii="宋体" w:hAnsi="宋体" w:eastAsia="宋体" w:cs="宋体"/>
          <w:color w:val="auto"/>
          <w:sz w:val="22"/>
          <w:szCs w:val="22"/>
          <w:highlight w:val="none"/>
          <w:lang w:eastAsia="zh-CN"/>
        </w:rPr>
        <w:t>提供相关</w:t>
      </w:r>
      <w:r>
        <w:rPr>
          <w:rFonts w:hint="eastAsia" w:ascii="宋体" w:hAnsi="宋体" w:eastAsia="宋体" w:cs="宋体"/>
          <w:color w:val="auto"/>
          <w:sz w:val="22"/>
          <w:szCs w:val="22"/>
          <w:highlight w:val="none"/>
        </w:rPr>
        <w:t>资质证明等材料。</w:t>
      </w:r>
    </w:p>
    <w:p w14:paraId="0AD02B75">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5.3</w:t>
      </w:r>
      <w:r>
        <w:rPr>
          <w:rFonts w:hint="eastAsia" w:ascii="宋体" w:hAnsi="宋体" w:eastAsia="宋体" w:cs="宋体"/>
          <w:color w:val="auto"/>
          <w:sz w:val="22"/>
          <w:szCs w:val="22"/>
          <w:highlight w:val="none"/>
        </w:rPr>
        <w:t>不合格(问题)样品报告报送。</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应严格按照</w:t>
      </w:r>
      <w:r>
        <w:rPr>
          <w:rFonts w:hint="eastAsia" w:ascii="宋体" w:hAnsi="宋体" w:eastAsia="宋体" w:cs="宋体"/>
          <w:color w:val="auto"/>
          <w:sz w:val="22"/>
          <w:szCs w:val="22"/>
          <w:highlight w:val="none"/>
          <w:lang w:eastAsia="zh-CN"/>
        </w:rPr>
        <w:t>国家</w:t>
      </w:r>
      <w:r>
        <w:rPr>
          <w:rFonts w:hint="eastAsia" w:ascii="宋体" w:hAnsi="宋体" w:eastAsia="宋体" w:cs="宋体"/>
          <w:color w:val="auto"/>
          <w:sz w:val="22"/>
          <w:szCs w:val="22"/>
          <w:highlight w:val="none"/>
          <w:lang w:val="en-US" w:eastAsia="zh-CN"/>
        </w:rPr>
        <w:t>市场监管</w:t>
      </w:r>
      <w:r>
        <w:rPr>
          <w:rFonts w:hint="eastAsia" w:ascii="宋体" w:hAnsi="宋体" w:eastAsia="宋体" w:cs="宋体"/>
          <w:color w:val="auto"/>
          <w:sz w:val="22"/>
          <w:szCs w:val="22"/>
          <w:highlight w:val="none"/>
          <w:lang w:eastAsia="zh-CN"/>
        </w:rPr>
        <w:t>总局的时限要求，</w:t>
      </w:r>
      <w:r>
        <w:rPr>
          <w:rFonts w:hint="eastAsia" w:ascii="宋体" w:hAnsi="宋体" w:eastAsia="宋体" w:cs="宋体"/>
          <w:color w:val="auto"/>
          <w:sz w:val="22"/>
          <w:szCs w:val="22"/>
          <w:highlight w:val="none"/>
        </w:rPr>
        <w:t>将不合格样品或问题样品检验报告、《食品安全抽样检验告知书》、《食品安全抽样检验抽样单》以及《不合格或问题样品汇总表》</w:t>
      </w:r>
      <w:r>
        <w:rPr>
          <w:rFonts w:hint="eastAsia" w:ascii="宋体" w:hAnsi="宋体" w:eastAsia="宋体" w:cs="宋体"/>
          <w:color w:val="auto"/>
          <w:sz w:val="22"/>
          <w:szCs w:val="22"/>
          <w:highlight w:val="none"/>
          <w:lang w:eastAsia="zh-CN"/>
        </w:rPr>
        <w:t>等报送招标人，全年食品检测批次的不合格率应不低于省、</w:t>
      </w:r>
      <w:r>
        <w:rPr>
          <w:rFonts w:hint="eastAsia" w:ascii="宋体" w:hAnsi="宋体" w:eastAsia="宋体" w:cs="宋体"/>
          <w:color w:val="auto"/>
          <w:sz w:val="22"/>
          <w:szCs w:val="22"/>
          <w:highlight w:val="none"/>
          <w:lang w:val="en-US" w:eastAsia="zh-CN"/>
        </w:rPr>
        <w:t>市、区</w:t>
      </w:r>
      <w:r>
        <w:rPr>
          <w:rFonts w:hint="eastAsia" w:ascii="宋体" w:hAnsi="宋体" w:eastAsia="宋体" w:cs="宋体"/>
          <w:color w:val="auto"/>
          <w:sz w:val="22"/>
          <w:szCs w:val="22"/>
          <w:highlight w:val="none"/>
          <w:lang w:eastAsia="zh-CN"/>
        </w:rPr>
        <w:t>市场监管局相关要求。</w:t>
      </w:r>
    </w:p>
    <w:p w14:paraId="5EF44C63">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数据</w:t>
      </w:r>
      <w:r>
        <w:rPr>
          <w:rFonts w:hint="eastAsia" w:ascii="宋体" w:hAnsi="宋体" w:eastAsia="宋体" w:cs="宋体"/>
          <w:color w:val="auto"/>
          <w:sz w:val="22"/>
          <w:szCs w:val="22"/>
          <w:highlight w:val="none"/>
          <w:lang w:eastAsia="zh-CN"/>
        </w:rPr>
        <w:t>分析要求</w:t>
      </w:r>
    </w:p>
    <w:p w14:paraId="16104E5A">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应在服务期限内按招标人要求</w:t>
      </w:r>
      <w:r>
        <w:rPr>
          <w:rFonts w:hint="eastAsia" w:ascii="宋体" w:hAnsi="宋体" w:eastAsia="宋体" w:cs="宋体"/>
          <w:color w:val="auto"/>
          <w:sz w:val="22"/>
          <w:szCs w:val="22"/>
          <w:highlight w:val="none"/>
          <w:lang w:eastAsia="zh-CN"/>
        </w:rPr>
        <w:t>分阶段</w:t>
      </w:r>
      <w:r>
        <w:rPr>
          <w:rFonts w:hint="eastAsia" w:ascii="宋体" w:hAnsi="宋体" w:eastAsia="宋体" w:cs="宋体"/>
          <w:color w:val="auto"/>
          <w:sz w:val="22"/>
          <w:szCs w:val="22"/>
          <w:highlight w:val="none"/>
        </w:rPr>
        <w:t>将已</w:t>
      </w:r>
      <w:r>
        <w:rPr>
          <w:rFonts w:hint="eastAsia" w:ascii="宋体" w:hAnsi="宋体" w:eastAsia="宋体" w:cs="宋体"/>
          <w:color w:val="auto"/>
          <w:sz w:val="22"/>
          <w:szCs w:val="22"/>
          <w:highlight w:val="none"/>
          <w:lang w:eastAsia="zh-CN"/>
        </w:rPr>
        <w:t>检验</w:t>
      </w:r>
      <w:r>
        <w:rPr>
          <w:rFonts w:hint="eastAsia" w:ascii="宋体" w:hAnsi="宋体" w:eastAsia="宋体" w:cs="宋体"/>
          <w:color w:val="auto"/>
          <w:sz w:val="22"/>
          <w:szCs w:val="22"/>
          <w:highlight w:val="none"/>
        </w:rPr>
        <w:t>完成的样品数据汇总、分析，撰写总结报告</w:t>
      </w:r>
      <w:r>
        <w:rPr>
          <w:rFonts w:hint="eastAsia" w:ascii="宋体" w:hAnsi="宋体" w:eastAsia="宋体" w:cs="宋体"/>
          <w:color w:val="auto"/>
          <w:sz w:val="22"/>
          <w:szCs w:val="22"/>
          <w:highlight w:val="none"/>
          <w:lang w:eastAsia="zh-CN"/>
        </w:rPr>
        <w:t>（尤其是合格率低85%且5批次以上不合格的产品须重点分析）等，并将电子</w:t>
      </w:r>
      <w:r>
        <w:rPr>
          <w:rFonts w:hint="eastAsia" w:ascii="宋体" w:hAnsi="宋体" w:eastAsia="宋体" w:cs="宋体"/>
          <w:color w:val="auto"/>
          <w:sz w:val="22"/>
          <w:szCs w:val="22"/>
          <w:highlight w:val="none"/>
        </w:rPr>
        <w:t>版报送给招标人。</w:t>
      </w:r>
    </w:p>
    <w:p w14:paraId="21AFBFAE">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管理要求</w:t>
      </w:r>
    </w:p>
    <w:p w14:paraId="4C5A5D67">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应接受</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人的各项规定，切实享受各项权利，严格履行承诺的义务，为</w:t>
      </w:r>
      <w:r>
        <w:rPr>
          <w:rFonts w:hint="eastAsia" w:ascii="宋体" w:hAnsi="宋体" w:eastAsia="宋体" w:cs="宋体"/>
          <w:color w:val="auto"/>
          <w:sz w:val="22"/>
          <w:szCs w:val="22"/>
          <w:highlight w:val="none"/>
          <w:lang w:eastAsia="zh-CN"/>
        </w:rPr>
        <w:t>柯城区</w:t>
      </w:r>
      <w:r>
        <w:rPr>
          <w:rFonts w:hint="eastAsia" w:ascii="宋体" w:hAnsi="宋体" w:eastAsia="宋体" w:cs="宋体"/>
          <w:color w:val="auto"/>
          <w:sz w:val="22"/>
          <w:szCs w:val="22"/>
          <w:highlight w:val="none"/>
        </w:rPr>
        <w:t>食品安全工作做好服务，并接受以下各项管理要求：</w:t>
      </w:r>
    </w:p>
    <w:p w14:paraId="799EE2D4">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7.1</w:t>
      </w:r>
      <w:r>
        <w:rPr>
          <w:rFonts w:hint="eastAsia" w:ascii="宋体" w:hAnsi="宋体" w:cs="宋体"/>
          <w:color w:val="auto"/>
          <w:sz w:val="22"/>
          <w:szCs w:val="22"/>
          <w:highlight w:val="none"/>
          <w:lang w:val="en-US" w:eastAsia="zh-CN"/>
        </w:rPr>
        <w:t>中标</w:t>
      </w:r>
      <w:r>
        <w:rPr>
          <w:rFonts w:hint="eastAsia" w:ascii="宋体" w:hAnsi="宋体" w:eastAsia="宋体" w:cs="宋体"/>
          <w:color w:val="auto"/>
          <w:sz w:val="22"/>
          <w:szCs w:val="22"/>
          <w:highlight w:val="none"/>
        </w:rPr>
        <w:t>单位确定后，由</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人与</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就</w:t>
      </w:r>
      <w:r>
        <w:rPr>
          <w:rFonts w:hint="eastAsia" w:ascii="宋体" w:hAnsi="宋体" w:eastAsia="宋体" w:cs="宋体"/>
          <w:color w:val="auto"/>
          <w:sz w:val="22"/>
          <w:szCs w:val="22"/>
          <w:highlight w:val="none"/>
          <w:lang w:eastAsia="zh-CN"/>
        </w:rPr>
        <w:t>柯城区</w:t>
      </w:r>
      <w:r>
        <w:rPr>
          <w:rFonts w:hint="eastAsia" w:ascii="宋体" w:hAnsi="宋体" w:eastAsia="宋体" w:cs="宋体"/>
          <w:color w:val="auto"/>
          <w:sz w:val="22"/>
          <w:szCs w:val="22"/>
          <w:highlight w:val="none"/>
        </w:rPr>
        <w:t>食品安全监督抽检项目签订协议书</w:t>
      </w:r>
      <w:r>
        <w:rPr>
          <w:rFonts w:hint="eastAsia" w:ascii="宋体" w:hAnsi="宋体" w:eastAsia="宋体" w:cs="宋体"/>
          <w:color w:val="auto"/>
          <w:sz w:val="22"/>
          <w:szCs w:val="22"/>
          <w:highlight w:val="none"/>
          <w:lang w:eastAsia="zh-CN"/>
        </w:rPr>
        <w:t>。</w:t>
      </w:r>
    </w:p>
    <w:p w14:paraId="6241F568">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7.2中标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在遵守统一服务承诺，做好各项服务工作，认真履行义务。</w:t>
      </w:r>
    </w:p>
    <w:p w14:paraId="135FDCA0">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7.3</w:t>
      </w:r>
      <w:r>
        <w:rPr>
          <w:rFonts w:hint="eastAsia" w:ascii="宋体" w:hAnsi="宋体" w:eastAsia="宋体" w:cs="宋体"/>
          <w:color w:val="auto"/>
          <w:sz w:val="22"/>
          <w:szCs w:val="22"/>
          <w:highlight w:val="none"/>
        </w:rPr>
        <w:t>在服务期内，</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必须接受本单位、监管部门及相关部门的管理。</w:t>
      </w:r>
    </w:p>
    <w:p w14:paraId="3DC34D6E">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7.4</w:t>
      </w:r>
      <w:r>
        <w:rPr>
          <w:rFonts w:hint="eastAsia" w:ascii="宋体" w:hAnsi="宋体" w:eastAsia="宋体" w:cs="宋体"/>
          <w:color w:val="auto"/>
          <w:sz w:val="22"/>
          <w:szCs w:val="22"/>
          <w:highlight w:val="none"/>
        </w:rPr>
        <w:t>质量管理：</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要严格按照</w:t>
      </w:r>
      <w:r>
        <w:rPr>
          <w:rFonts w:hint="eastAsia" w:ascii="宋体" w:hAnsi="宋体" w:eastAsia="宋体" w:cs="宋体"/>
          <w:color w:val="auto"/>
          <w:sz w:val="22"/>
          <w:szCs w:val="22"/>
          <w:highlight w:val="none"/>
          <w:lang w:val="en-US" w:eastAsia="zh-CN"/>
        </w:rPr>
        <w:t>国家市场监管总局的相关要求</w:t>
      </w:r>
      <w:r>
        <w:rPr>
          <w:rFonts w:hint="eastAsia" w:ascii="宋体" w:hAnsi="宋体" w:eastAsia="宋体" w:cs="宋体"/>
          <w:color w:val="auto"/>
          <w:sz w:val="22"/>
          <w:szCs w:val="22"/>
          <w:highlight w:val="none"/>
        </w:rPr>
        <w:t>，加强对样品采集、实验室检测、数据报送等关键环节的质量控制，确保检测结果准确可靠。</w:t>
      </w:r>
    </w:p>
    <w:p w14:paraId="242D718A">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7.5</w:t>
      </w:r>
      <w:r>
        <w:rPr>
          <w:rFonts w:hint="eastAsia" w:ascii="宋体" w:hAnsi="宋体" w:eastAsia="宋体" w:cs="宋体"/>
          <w:color w:val="auto"/>
          <w:sz w:val="22"/>
          <w:szCs w:val="22"/>
          <w:highlight w:val="none"/>
        </w:rPr>
        <w:t>业务建档制度：</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须针对</w:t>
      </w:r>
      <w:r>
        <w:rPr>
          <w:rFonts w:hint="eastAsia" w:ascii="宋体" w:hAnsi="宋体" w:eastAsia="宋体" w:cs="宋体"/>
          <w:color w:val="auto"/>
          <w:sz w:val="22"/>
          <w:szCs w:val="22"/>
          <w:highlight w:val="none"/>
          <w:lang w:eastAsia="zh-CN"/>
        </w:rPr>
        <w:t>柯城区</w:t>
      </w:r>
      <w:r>
        <w:rPr>
          <w:rFonts w:hint="eastAsia" w:ascii="宋体" w:hAnsi="宋体" w:eastAsia="宋体" w:cs="宋体"/>
          <w:color w:val="auto"/>
          <w:sz w:val="22"/>
          <w:szCs w:val="22"/>
          <w:highlight w:val="none"/>
        </w:rPr>
        <w:t>食品安全监督抽检业务建立单独的业务档案资料，并按规定进行备案。</w:t>
      </w:r>
    </w:p>
    <w:p w14:paraId="50AA9BD1">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7.6</w:t>
      </w:r>
      <w:r>
        <w:rPr>
          <w:rFonts w:hint="eastAsia" w:ascii="宋体" w:hAnsi="宋体" w:eastAsia="宋体" w:cs="宋体"/>
          <w:color w:val="auto"/>
          <w:sz w:val="22"/>
          <w:szCs w:val="22"/>
          <w:highlight w:val="none"/>
        </w:rPr>
        <w:t>工作纪律：参与抽检的承检机构及其工作人员应严格按照要求进行抽样、检验和结果上报，不得随意更改抽样地点和样品信息，不得瞒报、谎报和故意漏报、错报检测数据，确保结果的真实客观和准确。不得擅自发布有关抽检的信息，不得在开展抽样工作前事先通知被抽检单位和接受相关单位馈赠，不得利用抽检结果开展有偿活动，牟取不正当利益。</w:t>
      </w:r>
    </w:p>
    <w:p w14:paraId="12D550B3">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7.7</w:t>
      </w:r>
      <w:r>
        <w:rPr>
          <w:rFonts w:hint="eastAsia" w:ascii="宋体" w:hAnsi="宋体" w:eastAsia="宋体" w:cs="宋体"/>
          <w:color w:val="auto"/>
          <w:sz w:val="22"/>
          <w:szCs w:val="22"/>
          <w:highlight w:val="none"/>
        </w:rPr>
        <w:t>投诉制度：衢州市</w:t>
      </w:r>
      <w:r>
        <w:rPr>
          <w:rFonts w:hint="eastAsia" w:ascii="宋体" w:hAnsi="宋体" w:eastAsia="宋体" w:cs="宋体"/>
          <w:color w:val="auto"/>
          <w:sz w:val="22"/>
          <w:szCs w:val="22"/>
          <w:highlight w:val="none"/>
          <w:lang w:eastAsia="zh-CN"/>
        </w:rPr>
        <w:t>柯城区</w:t>
      </w:r>
      <w:r>
        <w:rPr>
          <w:rFonts w:hint="eastAsia" w:ascii="宋体" w:hAnsi="宋体" w:eastAsia="宋体" w:cs="宋体"/>
          <w:color w:val="auto"/>
          <w:sz w:val="22"/>
          <w:szCs w:val="22"/>
          <w:highlight w:val="none"/>
        </w:rPr>
        <w:t>市场监督管理局有权对检测机构监督投诉。</w:t>
      </w:r>
    </w:p>
    <w:p w14:paraId="562B4F46">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7.8</w:t>
      </w:r>
      <w:r>
        <w:rPr>
          <w:rFonts w:hint="eastAsia" w:ascii="宋体" w:hAnsi="宋体" w:eastAsia="宋体" w:cs="宋体"/>
          <w:color w:val="auto"/>
          <w:sz w:val="22"/>
          <w:szCs w:val="22"/>
          <w:highlight w:val="none"/>
        </w:rPr>
        <w:t>违规处理：招标人可在</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接收委托期间对</w:t>
      </w:r>
      <w:r>
        <w:rPr>
          <w:rFonts w:hint="eastAsia" w:ascii="宋体" w:hAnsi="宋体" w:cs="宋体"/>
          <w:color w:val="auto"/>
          <w:sz w:val="22"/>
          <w:szCs w:val="22"/>
          <w:highlight w:val="none"/>
          <w:lang w:eastAsia="zh-CN"/>
        </w:rPr>
        <w:t>该</w:t>
      </w:r>
      <w:r>
        <w:rPr>
          <w:rFonts w:hint="eastAsia" w:ascii="宋体" w:hAnsi="宋体" w:eastAsia="宋体" w:cs="宋体"/>
          <w:color w:val="auto"/>
          <w:sz w:val="22"/>
          <w:szCs w:val="22"/>
          <w:highlight w:val="none"/>
        </w:rPr>
        <w:t>机构是否规范操作进行监督检查，如发现违规事件，直接取消该承接的抽检资格。</w:t>
      </w:r>
    </w:p>
    <w:p w14:paraId="00C8DC88">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其他要求</w:t>
      </w:r>
    </w:p>
    <w:p w14:paraId="448D0B30">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8.1</w:t>
      </w:r>
      <w:r>
        <w:rPr>
          <w:rFonts w:hint="eastAsia" w:ascii="宋体" w:hAnsi="宋体" w:eastAsia="宋体" w:cs="宋体"/>
          <w:color w:val="auto"/>
          <w:sz w:val="22"/>
          <w:szCs w:val="22"/>
          <w:highlight w:val="none"/>
        </w:rPr>
        <w:t>在服务期限内，遇到食品安全突发事件或紧急任务需</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协助抽检样品或需要该</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机构</w:t>
      </w:r>
      <w:r>
        <w:rPr>
          <w:rFonts w:hint="eastAsia" w:ascii="宋体" w:hAnsi="宋体" w:eastAsia="宋体" w:cs="宋体"/>
          <w:color w:val="auto"/>
          <w:sz w:val="22"/>
          <w:szCs w:val="22"/>
          <w:highlight w:val="none"/>
        </w:rPr>
        <w:t>人员配合时，该</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需义务满足</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人的应急要求。</w:t>
      </w:r>
    </w:p>
    <w:p w14:paraId="01F5BE21">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8.2</w:t>
      </w:r>
      <w:r>
        <w:rPr>
          <w:rFonts w:hint="eastAsia" w:ascii="宋体" w:hAnsi="宋体" w:eastAsia="宋体" w:cs="宋体"/>
          <w:color w:val="auto"/>
          <w:sz w:val="22"/>
          <w:szCs w:val="22"/>
          <w:highlight w:val="none"/>
        </w:rPr>
        <w:t>当有应急或突发任务发生需要</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协助抽检时，产生的抽检费用参照</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在本次报价文件中所报的同类产品和同类项目的报价进行核算。</w:t>
      </w:r>
    </w:p>
    <w:p w14:paraId="1526CAC7">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8.3</w:t>
      </w:r>
      <w:r>
        <w:rPr>
          <w:rFonts w:hint="eastAsia" w:ascii="宋体" w:hAnsi="宋体" w:eastAsia="宋体" w:cs="宋体"/>
          <w:color w:val="auto"/>
          <w:sz w:val="22"/>
          <w:szCs w:val="22"/>
          <w:highlight w:val="none"/>
        </w:rPr>
        <w:t>当遇不可抗拒原因造成承担的任务无法完成时，需要调整任务时，</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必须事前征得</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人的书面同意后方可进行。</w:t>
      </w:r>
    </w:p>
    <w:p w14:paraId="578BFBCB">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8.4如遇到国家市场监管总局调整食品抽检实施细则的新增项目，则按调整后的食品抽检实施细则的新增项目检测方法及费用执行。</w:t>
      </w:r>
    </w:p>
    <w:p w14:paraId="24FFB2F5">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根据上级要求及应急任务需要，抽样品种、检验项目、抽检批次可进行相应调整。</w:t>
      </w:r>
    </w:p>
    <w:p w14:paraId="640FBDFD">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8.6</w:t>
      </w:r>
      <w:r>
        <w:rPr>
          <w:rFonts w:hint="eastAsia" w:ascii="宋体" w:hAnsi="宋体" w:eastAsia="宋体" w:cs="宋体"/>
          <w:color w:val="auto"/>
          <w:sz w:val="22"/>
          <w:szCs w:val="22"/>
          <w:highlight w:val="none"/>
        </w:rPr>
        <w:t>食品抽检的备份样品按省、市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区</w:t>
      </w:r>
      <w:r>
        <w:rPr>
          <w:rFonts w:hint="eastAsia" w:ascii="宋体" w:hAnsi="宋体" w:eastAsia="宋体" w:cs="宋体"/>
          <w:color w:val="auto"/>
          <w:sz w:val="22"/>
          <w:szCs w:val="22"/>
          <w:highlight w:val="none"/>
        </w:rPr>
        <w:t>市场监管局相关规定处置。</w:t>
      </w:r>
    </w:p>
    <w:p w14:paraId="1F1D8C87">
      <w:pPr>
        <w:keepNext w:val="0"/>
        <w:keepLines w:val="0"/>
        <w:pageBreakBefore w:val="0"/>
        <w:widowControl w:val="0"/>
        <w:kinsoku/>
        <w:wordWrap/>
        <w:overflowPunct/>
        <w:topLinePunct w:val="0"/>
        <w:autoSpaceDE w:val="0"/>
        <w:autoSpaceDN w:val="0"/>
        <w:bidi w:val="0"/>
        <w:adjustRightInd/>
        <w:snapToGrid/>
        <w:spacing w:line="4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五</w:t>
      </w:r>
      <w:r>
        <w:rPr>
          <w:rFonts w:hint="eastAsia" w:ascii="宋体" w:hAnsi="宋体" w:eastAsia="宋体" w:cs="宋体"/>
          <w:b/>
          <w:bCs/>
          <w:color w:val="auto"/>
          <w:sz w:val="22"/>
          <w:szCs w:val="22"/>
          <w:highlight w:val="none"/>
        </w:rPr>
        <w:t>、商务需求</w:t>
      </w:r>
    </w:p>
    <w:p w14:paraId="570C3803">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1.交货(服务)时间及地点：</w:t>
      </w:r>
    </w:p>
    <w:p w14:paraId="19D26055">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本次服务类采购项目服务期限为</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年。合同结算价以中标单价与抽检实际批次进行结算，且结算总价控制在</w:t>
      </w:r>
      <w:r>
        <w:rPr>
          <w:rFonts w:hint="eastAsia" w:ascii="宋体" w:hAnsi="宋体" w:eastAsia="宋体" w:cs="宋体"/>
          <w:color w:val="auto"/>
          <w:sz w:val="22"/>
          <w:szCs w:val="22"/>
          <w:highlight w:val="none"/>
          <w:lang w:val="en-US" w:eastAsia="zh-CN"/>
        </w:rPr>
        <w:t>本项目的最高限价</w:t>
      </w:r>
      <w:r>
        <w:rPr>
          <w:rFonts w:hint="eastAsia" w:ascii="宋体" w:hAnsi="宋体" w:eastAsia="宋体" w:cs="宋体"/>
          <w:color w:val="auto"/>
          <w:sz w:val="22"/>
          <w:szCs w:val="22"/>
          <w:highlight w:val="none"/>
        </w:rPr>
        <w:t>。</w:t>
      </w:r>
    </w:p>
    <w:p w14:paraId="3C809C3E">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服务地点：采购人指定地点。</w:t>
      </w:r>
    </w:p>
    <w:p w14:paraId="32B119FF">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如</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在服务期内违反合同约定，经考核不合格，采购单位有权提前单方终止合同，若给采购人造成损失的，</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须承担赔偿责任，同时根据相关国家规定及约定承担其他民事责任。</w:t>
      </w:r>
    </w:p>
    <w:p w14:paraId="7FF9B3F8">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项目实施计划</w:t>
      </w:r>
    </w:p>
    <w:p w14:paraId="35BC41B0">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项目实施的组织工作方案：工作时间进度表、工作程序或步骤、管理和协调方法等。</w:t>
      </w:r>
    </w:p>
    <w:p w14:paraId="1C1B6905">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商务报价要求</w:t>
      </w:r>
    </w:p>
    <w:p w14:paraId="6CB1E4C8">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3.1</w:t>
      </w:r>
      <w:r>
        <w:rPr>
          <w:rFonts w:hint="eastAsia" w:ascii="宋体" w:hAnsi="宋体" w:eastAsia="宋体" w:cs="宋体"/>
          <w:color w:val="auto"/>
          <w:sz w:val="22"/>
          <w:szCs w:val="22"/>
          <w:highlight w:val="none"/>
        </w:rPr>
        <w:t>投标人根据项目具体情况并结合自身实力自行报价。投标单位的投标报价应包括完成本项目标项内容最终价格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检测要求所需的人员的劳务、差旅、食宿、(劳动、社会、医疗、安全) 保险、投入仪器、仪表、设备 费用、办公费用、公共用电和公共用水、利润、税金、政策性文件规定及合同包含的所有风险、责任等合同中明示或暗示的所有一般风险、责任和义务等一切应由招标人支付的各项费用，如有漏项，视同已包含在其项目中，合同价格不做调整。</w:t>
      </w:r>
    </w:p>
    <w:p w14:paraId="1F74116A">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3.2</w:t>
      </w:r>
      <w:r>
        <w:rPr>
          <w:rFonts w:hint="eastAsia" w:ascii="宋体" w:hAnsi="宋体" w:eastAsia="宋体" w:cs="宋体"/>
          <w:color w:val="auto"/>
          <w:sz w:val="22"/>
          <w:szCs w:val="22"/>
          <w:highlight w:val="none"/>
        </w:rPr>
        <w:t>本项目要求各投标人按照采购需求表列明各项检测项目进行统一口径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结算价应为实际抽检批次数量与中标各项目单价进行结算。本项目的</w:t>
      </w:r>
      <w:r>
        <w:rPr>
          <w:rFonts w:hint="eastAsia" w:ascii="宋体" w:hAnsi="宋体" w:eastAsia="宋体" w:cs="宋体"/>
          <w:color w:val="auto"/>
          <w:sz w:val="22"/>
          <w:szCs w:val="22"/>
          <w:highlight w:val="none"/>
          <w:lang w:eastAsia="zh-CN"/>
        </w:rPr>
        <w:t>抽检</w:t>
      </w:r>
      <w:r>
        <w:rPr>
          <w:rFonts w:hint="eastAsia" w:ascii="宋体" w:hAnsi="宋体" w:eastAsia="宋体" w:cs="宋体"/>
          <w:color w:val="auto"/>
          <w:sz w:val="22"/>
          <w:szCs w:val="22"/>
          <w:highlight w:val="none"/>
        </w:rPr>
        <w:t>计划批次数为参考数量，实际</w:t>
      </w:r>
      <w:r>
        <w:rPr>
          <w:rFonts w:hint="eastAsia" w:ascii="宋体" w:hAnsi="宋体" w:eastAsia="宋体" w:cs="宋体"/>
          <w:color w:val="auto"/>
          <w:sz w:val="22"/>
          <w:szCs w:val="22"/>
          <w:highlight w:val="none"/>
          <w:lang w:eastAsia="zh-CN"/>
        </w:rPr>
        <w:t>抽检</w:t>
      </w:r>
      <w:r>
        <w:rPr>
          <w:rFonts w:hint="eastAsia" w:ascii="宋体" w:hAnsi="宋体" w:eastAsia="宋体" w:cs="宋体"/>
          <w:color w:val="auto"/>
          <w:sz w:val="22"/>
          <w:szCs w:val="22"/>
          <w:highlight w:val="none"/>
        </w:rPr>
        <w:t>批次数以招标人需求为准。</w:t>
      </w:r>
    </w:p>
    <w:p w14:paraId="2D67205A">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.付款方式</w:t>
      </w:r>
    </w:p>
    <w:p w14:paraId="43FB57AD">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.1合同签订后，</w:t>
      </w:r>
      <w:r>
        <w:rPr>
          <w:rFonts w:hint="eastAsia" w:ascii="宋体" w:hAnsi="宋体" w:eastAsia="宋体" w:cs="宋体"/>
          <w:b w:val="0"/>
          <w:bCs/>
          <w:color w:val="auto"/>
          <w:sz w:val="22"/>
          <w:szCs w:val="22"/>
          <w:highlight w:val="none"/>
          <w:lang w:eastAsia="zh-CN"/>
        </w:rPr>
        <w:t>招标人按季度或半年度</w:t>
      </w: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中标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提供的正式发票支付</w:t>
      </w:r>
      <w:r>
        <w:rPr>
          <w:rFonts w:hint="eastAsia" w:ascii="宋体" w:hAnsi="宋体" w:eastAsia="宋体" w:cs="宋体"/>
          <w:color w:val="auto"/>
          <w:sz w:val="22"/>
          <w:szCs w:val="22"/>
          <w:highlight w:val="none"/>
          <w:lang w:val="en-US" w:eastAsia="zh-CN"/>
        </w:rPr>
        <w:t>费用。</w:t>
      </w:r>
    </w:p>
    <w:p w14:paraId="27146FC0">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4.2合同结算价以中标单价与抽检实际批次进行结算，且结算总价控制在本项目最高限价以内。</w:t>
      </w:r>
    </w:p>
    <w:p w14:paraId="422CB343">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lang w:val="en-US" w:eastAsia="zh-CN"/>
        </w:rPr>
      </w:pPr>
    </w:p>
    <w:bookmarkEnd w:id="6"/>
    <w:p w14:paraId="4B85A02E">
      <w:pPr>
        <w:keepNext w:val="0"/>
        <w:keepLines w:val="0"/>
        <w:pageBreakBefore w:val="0"/>
        <w:widowControl w:val="0"/>
        <w:kinsoku/>
        <w:wordWrap/>
        <w:overflowPunct/>
        <w:topLinePunct w:val="0"/>
        <w:autoSpaceDE w:val="0"/>
        <w:autoSpaceDN w:val="0"/>
        <w:bidi w:val="0"/>
        <w:adjustRightInd/>
        <w:snapToGrid/>
        <w:spacing w:line="4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br w:type="page"/>
      </w:r>
    </w:p>
    <w:p w14:paraId="3E5F7DC2">
      <w:pPr>
        <w:numPr>
          <w:ilvl w:val="0"/>
          <w:numId w:val="4"/>
        </w:numPr>
        <w:snapToGrid w:val="0"/>
        <w:spacing w:line="360" w:lineRule="auto"/>
        <w:jc w:val="center"/>
        <w:rPr>
          <w:rFonts w:hint="eastAsia" w:ascii="宋体" w:hAnsi="宋体" w:eastAsia="宋体" w:cs="宋体"/>
          <w:b/>
          <w:color w:val="auto"/>
          <w:sz w:val="36"/>
          <w:szCs w:val="36"/>
          <w:highlight w:val="none"/>
        </w:rPr>
      </w:pPr>
      <w:bookmarkStart w:id="7" w:name="_Toc184310306"/>
      <w:bookmarkEnd w:id="7"/>
      <w:bookmarkStart w:id="8" w:name="_Toc184308042"/>
      <w:bookmarkEnd w:id="8"/>
      <w:bookmarkStart w:id="9" w:name="_Toc184312104"/>
      <w:bookmarkEnd w:id="9"/>
      <w:bookmarkStart w:id="10" w:name="_Toc184312138"/>
      <w:bookmarkEnd w:id="10"/>
      <w:bookmarkStart w:id="11" w:name="_Toc184313243"/>
      <w:bookmarkEnd w:id="11"/>
      <w:bookmarkStart w:id="12" w:name="_Toc184314469"/>
      <w:bookmarkEnd w:id="12"/>
      <w:bookmarkStart w:id="13" w:name="_Toc184314424"/>
      <w:bookmarkEnd w:id="13"/>
      <w:bookmarkStart w:id="14" w:name="_Toc184308108"/>
      <w:bookmarkEnd w:id="14"/>
      <w:bookmarkStart w:id="15" w:name="_Toc184308057"/>
      <w:bookmarkEnd w:id="15"/>
      <w:bookmarkStart w:id="16" w:name="_Toc184310289"/>
      <w:bookmarkEnd w:id="16"/>
      <w:bookmarkStart w:id="17" w:name="_Toc184313261"/>
      <w:bookmarkEnd w:id="17"/>
      <w:bookmarkStart w:id="18" w:name="_Toc184313254"/>
      <w:bookmarkEnd w:id="18"/>
      <w:bookmarkStart w:id="19" w:name="_Toc184312135"/>
      <w:bookmarkEnd w:id="19"/>
      <w:bookmarkStart w:id="20" w:name="_Toc184310312"/>
      <w:bookmarkEnd w:id="20"/>
      <w:bookmarkStart w:id="21" w:name="_Toc184312128"/>
      <w:bookmarkEnd w:id="21"/>
      <w:bookmarkStart w:id="22" w:name="_Toc184314428"/>
      <w:bookmarkEnd w:id="22"/>
      <w:bookmarkStart w:id="23" w:name="_Toc184314459"/>
      <w:bookmarkEnd w:id="23"/>
      <w:bookmarkStart w:id="24" w:name="_Toc184310294"/>
      <w:bookmarkEnd w:id="24"/>
      <w:bookmarkStart w:id="25" w:name="_Toc184314471"/>
      <w:bookmarkEnd w:id="25"/>
      <w:bookmarkStart w:id="26" w:name="_Toc184312070"/>
      <w:bookmarkEnd w:id="26"/>
      <w:bookmarkStart w:id="27" w:name="_Toc184314467"/>
      <w:bookmarkEnd w:id="27"/>
      <w:bookmarkStart w:id="28" w:name="_Toc184310287"/>
      <w:bookmarkEnd w:id="28"/>
      <w:bookmarkStart w:id="29" w:name="_Toc184314453"/>
      <w:bookmarkEnd w:id="29"/>
      <w:bookmarkStart w:id="30" w:name="_Toc184312095"/>
      <w:bookmarkEnd w:id="30"/>
      <w:bookmarkStart w:id="31" w:name="_Toc184313268"/>
      <w:bookmarkEnd w:id="31"/>
      <w:bookmarkStart w:id="32" w:name="_Toc184310313"/>
      <w:bookmarkEnd w:id="32"/>
      <w:bookmarkStart w:id="33" w:name="_Toc184312084"/>
      <w:bookmarkEnd w:id="33"/>
      <w:bookmarkStart w:id="34" w:name="_Toc184312126"/>
      <w:bookmarkEnd w:id="34"/>
      <w:bookmarkStart w:id="35" w:name="_Toc184314443"/>
      <w:bookmarkEnd w:id="35"/>
      <w:bookmarkStart w:id="36" w:name="_Toc184308088"/>
      <w:bookmarkEnd w:id="36"/>
      <w:bookmarkStart w:id="37" w:name="_Toc184314446"/>
      <w:bookmarkEnd w:id="37"/>
      <w:bookmarkStart w:id="38" w:name="_Toc184308055"/>
      <w:bookmarkEnd w:id="38"/>
      <w:bookmarkStart w:id="39" w:name="_Toc184312125"/>
      <w:bookmarkEnd w:id="39"/>
      <w:bookmarkStart w:id="40" w:name="_Toc184313307"/>
      <w:bookmarkEnd w:id="40"/>
      <w:bookmarkStart w:id="41" w:name="_Toc184313246"/>
      <w:bookmarkEnd w:id="41"/>
      <w:bookmarkStart w:id="42" w:name="_Toc184308076"/>
      <w:bookmarkEnd w:id="42"/>
      <w:bookmarkStart w:id="43" w:name="_Toc184313247"/>
      <w:bookmarkEnd w:id="43"/>
      <w:bookmarkStart w:id="44" w:name="_Toc184313280"/>
      <w:bookmarkEnd w:id="44"/>
      <w:bookmarkStart w:id="45" w:name="_Toc184314451"/>
      <w:bookmarkEnd w:id="45"/>
      <w:bookmarkStart w:id="46" w:name="_Toc184308072"/>
      <w:bookmarkEnd w:id="46"/>
      <w:bookmarkStart w:id="47" w:name="_Toc184308077"/>
      <w:bookmarkEnd w:id="47"/>
      <w:bookmarkStart w:id="48" w:name="_Toc184308067"/>
      <w:bookmarkEnd w:id="48"/>
      <w:bookmarkStart w:id="49" w:name="_Toc184314431"/>
      <w:bookmarkEnd w:id="49"/>
      <w:bookmarkStart w:id="50" w:name="_Toc184312080"/>
      <w:bookmarkEnd w:id="50"/>
      <w:bookmarkStart w:id="51" w:name="_Toc184310326"/>
      <w:bookmarkEnd w:id="51"/>
      <w:bookmarkStart w:id="52" w:name="_Toc184314475"/>
      <w:bookmarkEnd w:id="52"/>
      <w:bookmarkStart w:id="53" w:name="_Toc184314461"/>
      <w:bookmarkEnd w:id="53"/>
      <w:bookmarkStart w:id="54" w:name="_Toc184310303"/>
      <w:bookmarkEnd w:id="54"/>
      <w:bookmarkStart w:id="55" w:name="_Toc184312082"/>
      <w:bookmarkEnd w:id="55"/>
      <w:bookmarkStart w:id="56" w:name="_Toc184314458"/>
      <w:bookmarkEnd w:id="56"/>
      <w:bookmarkStart w:id="57" w:name="_Toc184313257"/>
      <w:bookmarkEnd w:id="57"/>
      <w:bookmarkStart w:id="58" w:name="_Toc184314465"/>
      <w:bookmarkEnd w:id="58"/>
      <w:bookmarkStart w:id="59" w:name="_Toc184310300"/>
      <w:bookmarkEnd w:id="59"/>
      <w:bookmarkStart w:id="60" w:name="_Toc184312096"/>
      <w:bookmarkEnd w:id="60"/>
      <w:bookmarkStart w:id="61" w:name="_Toc184308047"/>
      <w:bookmarkEnd w:id="61"/>
      <w:bookmarkStart w:id="62" w:name="_Toc184314415"/>
      <w:bookmarkEnd w:id="62"/>
      <w:bookmarkStart w:id="63" w:name="_Toc184312092"/>
      <w:bookmarkEnd w:id="63"/>
      <w:bookmarkStart w:id="64" w:name="_Toc184310311"/>
      <w:bookmarkEnd w:id="64"/>
      <w:bookmarkStart w:id="65" w:name="_Toc184313305"/>
      <w:bookmarkEnd w:id="65"/>
      <w:bookmarkStart w:id="66" w:name="_Toc184312094"/>
      <w:bookmarkEnd w:id="66"/>
      <w:bookmarkStart w:id="67" w:name="_Toc184314473"/>
      <w:bookmarkEnd w:id="67"/>
      <w:bookmarkStart w:id="68" w:name="_Toc184314433"/>
      <w:bookmarkEnd w:id="68"/>
      <w:bookmarkStart w:id="69" w:name="_Toc184314411"/>
      <w:bookmarkEnd w:id="69"/>
      <w:bookmarkStart w:id="70" w:name="_Toc184314426"/>
      <w:bookmarkEnd w:id="70"/>
      <w:bookmarkStart w:id="71" w:name="_Toc184312085"/>
      <w:bookmarkEnd w:id="71"/>
      <w:bookmarkStart w:id="72" w:name="_Toc184313296"/>
      <w:bookmarkEnd w:id="72"/>
      <w:bookmarkStart w:id="73" w:name="_Toc184313308"/>
      <w:bookmarkEnd w:id="73"/>
      <w:bookmarkStart w:id="74" w:name="_Toc184313284"/>
      <w:bookmarkEnd w:id="74"/>
      <w:bookmarkStart w:id="75" w:name="_Toc184308082"/>
      <w:bookmarkEnd w:id="75"/>
      <w:bookmarkStart w:id="76" w:name="_Toc184308054"/>
      <w:bookmarkEnd w:id="76"/>
      <w:bookmarkStart w:id="77" w:name="_Toc184308052"/>
      <w:bookmarkEnd w:id="77"/>
      <w:bookmarkStart w:id="78" w:name="_Toc184312117"/>
      <w:bookmarkEnd w:id="78"/>
      <w:bookmarkStart w:id="79" w:name="_Toc184313276"/>
      <w:bookmarkEnd w:id="79"/>
      <w:bookmarkStart w:id="80" w:name="_Toc184308083"/>
      <w:bookmarkEnd w:id="80"/>
      <w:bookmarkStart w:id="81" w:name="_Toc184312081"/>
      <w:bookmarkEnd w:id="81"/>
      <w:bookmarkStart w:id="82" w:name="_Toc184314425"/>
      <w:bookmarkEnd w:id="82"/>
      <w:bookmarkStart w:id="83" w:name="_Toc184312079"/>
      <w:bookmarkEnd w:id="83"/>
      <w:bookmarkStart w:id="84" w:name="_Toc184308060"/>
      <w:bookmarkEnd w:id="84"/>
      <w:bookmarkStart w:id="85" w:name="_Toc184313273"/>
      <w:bookmarkEnd w:id="85"/>
      <w:bookmarkStart w:id="86" w:name="_Toc184313266"/>
      <w:bookmarkEnd w:id="86"/>
      <w:bookmarkStart w:id="87" w:name="_Toc184312102"/>
      <w:bookmarkEnd w:id="87"/>
      <w:bookmarkStart w:id="88" w:name="_Toc184312076"/>
      <w:bookmarkEnd w:id="88"/>
      <w:bookmarkStart w:id="89" w:name="_Toc184310285"/>
      <w:bookmarkEnd w:id="89"/>
      <w:bookmarkStart w:id="90" w:name="_Toc184308053"/>
      <w:bookmarkEnd w:id="90"/>
      <w:bookmarkStart w:id="91" w:name="_Toc184308100"/>
      <w:bookmarkEnd w:id="91"/>
      <w:bookmarkStart w:id="92" w:name="_Toc184313250"/>
      <w:bookmarkEnd w:id="92"/>
      <w:bookmarkStart w:id="93" w:name="_Toc184312091"/>
      <w:bookmarkEnd w:id="93"/>
      <w:bookmarkStart w:id="94" w:name="_Toc184313248"/>
      <w:bookmarkEnd w:id="94"/>
      <w:bookmarkStart w:id="95" w:name="_Toc184310337"/>
      <w:bookmarkEnd w:id="95"/>
      <w:bookmarkStart w:id="96" w:name="_Toc184310341"/>
      <w:bookmarkEnd w:id="96"/>
      <w:bookmarkStart w:id="97" w:name="_Toc184313297"/>
      <w:bookmarkEnd w:id="97"/>
      <w:bookmarkStart w:id="98" w:name="_Toc184314478"/>
      <w:bookmarkEnd w:id="98"/>
      <w:bookmarkStart w:id="99" w:name="_Toc184314418"/>
      <w:bookmarkEnd w:id="99"/>
      <w:bookmarkStart w:id="100" w:name="_Toc184314454"/>
      <w:bookmarkEnd w:id="100"/>
      <w:bookmarkStart w:id="101" w:name="_Toc184313310"/>
      <w:bookmarkEnd w:id="101"/>
      <w:bookmarkStart w:id="102" w:name="_Toc184313262"/>
      <w:bookmarkEnd w:id="102"/>
      <w:bookmarkStart w:id="103" w:name="_Toc184314447"/>
      <w:bookmarkEnd w:id="103"/>
      <w:bookmarkStart w:id="104" w:name="_Toc184314462"/>
      <w:bookmarkEnd w:id="104"/>
      <w:bookmarkStart w:id="105" w:name="_Toc184308041"/>
      <w:bookmarkEnd w:id="105"/>
      <w:bookmarkStart w:id="106" w:name="_Toc184312121"/>
      <w:bookmarkEnd w:id="106"/>
      <w:bookmarkStart w:id="107" w:name="_Toc184308056"/>
      <w:bookmarkEnd w:id="107"/>
      <w:bookmarkStart w:id="108" w:name="_Toc184310323"/>
      <w:bookmarkEnd w:id="108"/>
      <w:bookmarkStart w:id="109" w:name="_Toc184314455"/>
      <w:bookmarkEnd w:id="109"/>
      <w:bookmarkStart w:id="110" w:name="_Toc184310281"/>
      <w:bookmarkEnd w:id="110"/>
      <w:bookmarkStart w:id="111" w:name="_Toc184314481"/>
      <w:bookmarkEnd w:id="111"/>
      <w:bookmarkStart w:id="112" w:name="_Toc184314445"/>
      <w:bookmarkEnd w:id="112"/>
      <w:bookmarkStart w:id="113" w:name="_Toc184313275"/>
      <w:bookmarkEnd w:id="113"/>
      <w:bookmarkStart w:id="114" w:name="_Toc184310317"/>
      <w:bookmarkEnd w:id="114"/>
      <w:bookmarkStart w:id="115" w:name="_Toc184310325"/>
      <w:bookmarkEnd w:id="115"/>
      <w:bookmarkStart w:id="116" w:name="_Toc184312073"/>
      <w:bookmarkEnd w:id="116"/>
      <w:bookmarkStart w:id="117" w:name="_Toc184314432"/>
      <w:bookmarkEnd w:id="117"/>
      <w:bookmarkStart w:id="118" w:name="_Toc184312097"/>
      <w:bookmarkEnd w:id="118"/>
      <w:bookmarkStart w:id="119" w:name="_Toc184314434"/>
      <w:bookmarkEnd w:id="119"/>
      <w:bookmarkStart w:id="120" w:name="_Toc184310322"/>
      <w:bookmarkEnd w:id="120"/>
      <w:bookmarkStart w:id="121" w:name="_Toc184308102"/>
      <w:bookmarkEnd w:id="121"/>
      <w:bookmarkStart w:id="122" w:name="_Toc184308049"/>
      <w:bookmarkEnd w:id="122"/>
      <w:bookmarkStart w:id="123" w:name="_Toc184314421"/>
      <w:bookmarkEnd w:id="123"/>
      <w:bookmarkStart w:id="124" w:name="_Toc184308051"/>
      <w:bookmarkEnd w:id="124"/>
      <w:bookmarkStart w:id="125" w:name="_Toc184308075"/>
      <w:bookmarkEnd w:id="125"/>
      <w:bookmarkStart w:id="126" w:name="_Toc184312129"/>
      <w:bookmarkEnd w:id="126"/>
      <w:bookmarkStart w:id="127" w:name="_Toc184312093"/>
      <w:bookmarkEnd w:id="127"/>
      <w:bookmarkStart w:id="128" w:name="_Toc184313271"/>
      <w:bookmarkEnd w:id="128"/>
      <w:bookmarkStart w:id="129" w:name="_Toc184308064"/>
      <w:bookmarkEnd w:id="129"/>
      <w:bookmarkStart w:id="130" w:name="_Toc184308097"/>
      <w:bookmarkEnd w:id="130"/>
      <w:bookmarkStart w:id="131" w:name="_Toc184313278"/>
      <w:bookmarkEnd w:id="131"/>
      <w:bookmarkStart w:id="132" w:name="_Toc184308074"/>
      <w:bookmarkEnd w:id="132"/>
      <w:bookmarkStart w:id="133" w:name="_Toc184313277"/>
      <w:bookmarkEnd w:id="133"/>
      <w:bookmarkStart w:id="134" w:name="_Toc184314472"/>
      <w:bookmarkEnd w:id="134"/>
      <w:bookmarkStart w:id="135" w:name="_Toc184312130"/>
      <w:bookmarkEnd w:id="135"/>
      <w:bookmarkStart w:id="136" w:name="_Toc184312105"/>
      <w:bookmarkEnd w:id="136"/>
      <w:bookmarkStart w:id="137" w:name="_Toc184308098"/>
      <w:bookmarkEnd w:id="137"/>
      <w:bookmarkStart w:id="138" w:name="_Toc184308036"/>
      <w:bookmarkEnd w:id="138"/>
      <w:bookmarkStart w:id="139" w:name="_Toc184312083"/>
      <w:bookmarkEnd w:id="139"/>
      <w:bookmarkStart w:id="140" w:name="_Toc184308105"/>
      <w:bookmarkEnd w:id="140"/>
      <w:bookmarkStart w:id="141" w:name="_Toc184308040"/>
      <w:bookmarkEnd w:id="141"/>
      <w:bookmarkStart w:id="142" w:name="_Toc184313244"/>
      <w:bookmarkEnd w:id="142"/>
      <w:bookmarkStart w:id="143" w:name="_Toc184314439"/>
      <w:bookmarkEnd w:id="143"/>
      <w:bookmarkStart w:id="144" w:name="_Toc184312107"/>
      <w:bookmarkEnd w:id="144"/>
      <w:bookmarkStart w:id="145" w:name="_Toc184313238"/>
      <w:bookmarkEnd w:id="145"/>
      <w:bookmarkStart w:id="146" w:name="_Toc184313301"/>
      <w:bookmarkEnd w:id="146"/>
      <w:bookmarkStart w:id="147" w:name="_Toc184313306"/>
      <w:bookmarkEnd w:id="147"/>
      <w:bookmarkStart w:id="148" w:name="_Toc184313245"/>
      <w:bookmarkEnd w:id="148"/>
      <w:bookmarkStart w:id="149" w:name="_Toc184312109"/>
      <w:bookmarkEnd w:id="149"/>
      <w:bookmarkStart w:id="150" w:name="_Toc184312113"/>
      <w:bookmarkEnd w:id="150"/>
      <w:bookmarkStart w:id="151" w:name="_Toc184310339"/>
      <w:bookmarkEnd w:id="151"/>
      <w:bookmarkStart w:id="152" w:name="_Toc184310307"/>
      <w:bookmarkEnd w:id="152"/>
      <w:bookmarkStart w:id="153" w:name="_Toc184308096"/>
      <w:bookmarkEnd w:id="153"/>
      <w:bookmarkStart w:id="154" w:name="_Toc184313279"/>
      <w:bookmarkEnd w:id="154"/>
      <w:bookmarkStart w:id="155" w:name="_Toc184310330"/>
      <w:bookmarkEnd w:id="155"/>
      <w:bookmarkStart w:id="156" w:name="_Toc184314480"/>
      <w:bookmarkEnd w:id="156"/>
      <w:bookmarkStart w:id="157" w:name="_Toc184313256"/>
      <w:bookmarkEnd w:id="157"/>
      <w:bookmarkStart w:id="158" w:name="_Toc184314449"/>
      <w:bookmarkEnd w:id="158"/>
      <w:bookmarkStart w:id="159" w:name="_Toc184310301"/>
      <w:bookmarkEnd w:id="159"/>
      <w:bookmarkStart w:id="160" w:name="_Toc184310290"/>
      <w:bookmarkEnd w:id="160"/>
      <w:bookmarkStart w:id="161" w:name="_Toc184308070"/>
      <w:bookmarkEnd w:id="161"/>
      <w:bookmarkStart w:id="162" w:name="_Toc184310334"/>
      <w:bookmarkEnd w:id="162"/>
      <w:bookmarkStart w:id="163" w:name="_Toc184312111"/>
      <w:bookmarkEnd w:id="163"/>
      <w:bookmarkStart w:id="164" w:name="_Toc184314441"/>
      <w:bookmarkEnd w:id="164"/>
      <w:bookmarkStart w:id="165" w:name="_Toc184310304"/>
      <w:bookmarkEnd w:id="165"/>
      <w:bookmarkStart w:id="166" w:name="_Toc184308061"/>
      <w:bookmarkEnd w:id="166"/>
      <w:bookmarkStart w:id="167" w:name="_Toc184313291"/>
      <w:bookmarkEnd w:id="167"/>
      <w:bookmarkStart w:id="168" w:name="_Toc184312114"/>
      <w:bookmarkEnd w:id="168"/>
      <w:bookmarkStart w:id="169" w:name="_Toc184312075"/>
      <w:bookmarkEnd w:id="169"/>
      <w:bookmarkStart w:id="170" w:name="_Toc184308081"/>
      <w:bookmarkEnd w:id="170"/>
      <w:bookmarkStart w:id="171" w:name="_Toc184313282"/>
      <w:bookmarkEnd w:id="171"/>
      <w:bookmarkStart w:id="172" w:name="_Toc184314468"/>
      <w:bookmarkEnd w:id="172"/>
      <w:bookmarkStart w:id="173" w:name="_Toc184308038"/>
      <w:bookmarkEnd w:id="173"/>
      <w:bookmarkStart w:id="174" w:name="_Toc184313274"/>
      <w:bookmarkEnd w:id="174"/>
      <w:bookmarkStart w:id="175" w:name="_Toc184314479"/>
      <w:bookmarkEnd w:id="175"/>
      <w:bookmarkStart w:id="176" w:name="_Toc184314429"/>
      <w:bookmarkEnd w:id="176"/>
      <w:bookmarkStart w:id="177" w:name="_Toc184313293"/>
      <w:bookmarkEnd w:id="177"/>
      <w:bookmarkStart w:id="178" w:name="_Toc184308090"/>
      <w:bookmarkEnd w:id="178"/>
      <w:bookmarkStart w:id="179" w:name="_Toc184313290"/>
      <w:bookmarkEnd w:id="179"/>
      <w:bookmarkStart w:id="180" w:name="_Toc184312132"/>
      <w:bookmarkEnd w:id="180"/>
      <w:bookmarkStart w:id="181" w:name="_Toc184313272"/>
      <w:bookmarkEnd w:id="181"/>
      <w:bookmarkStart w:id="182" w:name="_Toc184312110"/>
      <w:bookmarkEnd w:id="182"/>
      <w:bookmarkStart w:id="183" w:name="_Toc184308099"/>
      <w:bookmarkEnd w:id="183"/>
      <w:bookmarkStart w:id="184" w:name="_Toc184314477"/>
      <w:bookmarkEnd w:id="184"/>
      <w:bookmarkStart w:id="185" w:name="_Toc184310280"/>
      <w:bookmarkEnd w:id="185"/>
      <w:bookmarkStart w:id="186" w:name="_Toc184314440"/>
      <w:bookmarkEnd w:id="186"/>
      <w:bookmarkStart w:id="187" w:name="_Toc184308058"/>
      <w:bookmarkEnd w:id="187"/>
      <w:bookmarkStart w:id="188" w:name="_Toc184310293"/>
      <w:bookmarkEnd w:id="188"/>
      <w:bookmarkStart w:id="189" w:name="_Toc184313252"/>
      <w:bookmarkEnd w:id="189"/>
      <w:bookmarkStart w:id="190" w:name="_Toc184308106"/>
      <w:bookmarkEnd w:id="190"/>
      <w:bookmarkStart w:id="191" w:name="_Toc184310305"/>
      <w:bookmarkEnd w:id="191"/>
      <w:bookmarkStart w:id="192" w:name="_Toc184310302"/>
      <w:bookmarkEnd w:id="192"/>
      <w:bookmarkStart w:id="193" w:name="_Toc184310284"/>
      <w:bookmarkEnd w:id="193"/>
      <w:bookmarkStart w:id="194" w:name="_Toc184310338"/>
      <w:bookmarkEnd w:id="194"/>
      <w:bookmarkStart w:id="195" w:name="_Toc184308044"/>
      <w:bookmarkEnd w:id="195"/>
      <w:bookmarkStart w:id="196" w:name="_Toc184313300"/>
      <w:bookmarkEnd w:id="196"/>
      <w:bookmarkStart w:id="197" w:name="_Toc184313309"/>
      <w:bookmarkEnd w:id="197"/>
      <w:bookmarkStart w:id="198" w:name="_Toc184308084"/>
      <w:bookmarkEnd w:id="198"/>
      <w:bookmarkStart w:id="199" w:name="_Toc184308062"/>
      <w:bookmarkEnd w:id="199"/>
      <w:bookmarkStart w:id="200" w:name="_Toc184310292"/>
      <w:bookmarkEnd w:id="200"/>
      <w:bookmarkStart w:id="201" w:name="_Toc184312136"/>
      <w:bookmarkEnd w:id="201"/>
      <w:bookmarkStart w:id="202" w:name="_Toc184314448"/>
      <w:bookmarkEnd w:id="202"/>
      <w:bookmarkStart w:id="203" w:name="_Toc184308092"/>
      <w:bookmarkEnd w:id="203"/>
      <w:bookmarkStart w:id="204" w:name="_Toc184312069"/>
      <w:bookmarkEnd w:id="204"/>
      <w:bookmarkStart w:id="205" w:name="_Toc184310295"/>
      <w:bookmarkEnd w:id="205"/>
      <w:bookmarkStart w:id="206" w:name="_Toc184312124"/>
      <w:bookmarkEnd w:id="206"/>
      <w:bookmarkStart w:id="207" w:name="_Toc184310316"/>
      <w:bookmarkEnd w:id="207"/>
      <w:bookmarkStart w:id="208" w:name="_Toc184308093"/>
      <w:bookmarkEnd w:id="208"/>
      <w:bookmarkStart w:id="209" w:name="_Toc184310283"/>
      <w:bookmarkEnd w:id="209"/>
      <w:bookmarkStart w:id="210" w:name="_Toc184308048"/>
      <w:bookmarkEnd w:id="210"/>
      <w:bookmarkStart w:id="211" w:name="_Toc184313269"/>
      <w:bookmarkEnd w:id="211"/>
      <w:bookmarkStart w:id="212" w:name="_Toc184310274"/>
      <w:bookmarkEnd w:id="212"/>
      <w:bookmarkStart w:id="213" w:name="_Toc184312090"/>
      <w:bookmarkEnd w:id="213"/>
      <w:bookmarkStart w:id="214" w:name="_Toc184312089"/>
      <w:bookmarkEnd w:id="214"/>
      <w:bookmarkStart w:id="215" w:name="_Toc184310333"/>
      <w:bookmarkEnd w:id="215"/>
      <w:bookmarkStart w:id="216" w:name="_Toc184310344"/>
      <w:bookmarkEnd w:id="216"/>
      <w:bookmarkStart w:id="217" w:name="_Toc184308101"/>
      <w:bookmarkEnd w:id="217"/>
      <w:bookmarkStart w:id="218" w:name="_Toc184308050"/>
      <w:bookmarkEnd w:id="218"/>
      <w:bookmarkStart w:id="219" w:name="_Toc184314474"/>
      <w:bookmarkEnd w:id="219"/>
      <w:bookmarkStart w:id="220" w:name="_Toc184310276"/>
      <w:bookmarkEnd w:id="220"/>
      <w:bookmarkStart w:id="221" w:name="_Toc184314442"/>
      <w:bookmarkEnd w:id="221"/>
      <w:bookmarkStart w:id="222" w:name="_Toc184314482"/>
      <w:bookmarkEnd w:id="222"/>
      <w:bookmarkStart w:id="223" w:name="_Toc184313285"/>
      <w:bookmarkEnd w:id="223"/>
      <w:bookmarkStart w:id="224" w:name="_Toc184314466"/>
      <w:bookmarkEnd w:id="224"/>
      <w:bookmarkStart w:id="225" w:name="_Toc184313303"/>
      <w:bookmarkEnd w:id="225"/>
      <w:bookmarkStart w:id="226" w:name="_Toc184312098"/>
      <w:bookmarkEnd w:id="226"/>
      <w:bookmarkStart w:id="227" w:name="_Toc184314427"/>
      <w:bookmarkEnd w:id="227"/>
      <w:bookmarkStart w:id="228" w:name="_Toc184313260"/>
      <w:bookmarkEnd w:id="228"/>
      <w:bookmarkStart w:id="229" w:name="_Toc184313288"/>
      <w:bookmarkEnd w:id="229"/>
      <w:bookmarkStart w:id="230" w:name="_Toc184313294"/>
      <w:bookmarkEnd w:id="230"/>
      <w:bookmarkStart w:id="231" w:name="_Toc184310296"/>
      <w:bookmarkEnd w:id="231"/>
      <w:bookmarkStart w:id="232" w:name="_Toc184312071"/>
      <w:bookmarkEnd w:id="232"/>
      <w:bookmarkStart w:id="233" w:name="_Toc184314436"/>
      <w:bookmarkEnd w:id="233"/>
      <w:bookmarkStart w:id="234" w:name="_Toc184308089"/>
      <w:bookmarkEnd w:id="234"/>
      <w:bookmarkStart w:id="235" w:name="_Toc184308068"/>
      <w:bookmarkEnd w:id="235"/>
      <w:bookmarkStart w:id="236" w:name="_Toc184312112"/>
      <w:bookmarkEnd w:id="236"/>
      <w:bookmarkStart w:id="237" w:name="_Toc184312119"/>
      <w:bookmarkEnd w:id="237"/>
      <w:bookmarkStart w:id="238" w:name="_Toc184310343"/>
      <w:bookmarkEnd w:id="238"/>
      <w:bookmarkStart w:id="239" w:name="_Toc184310299"/>
      <w:bookmarkEnd w:id="239"/>
      <w:bookmarkStart w:id="240" w:name="_Toc184310273"/>
      <w:bookmarkEnd w:id="240"/>
      <w:bookmarkStart w:id="241" w:name="_Toc184308043"/>
      <w:bookmarkEnd w:id="241"/>
      <w:bookmarkStart w:id="242" w:name="_Toc184312118"/>
      <w:bookmarkEnd w:id="242"/>
      <w:bookmarkStart w:id="243" w:name="_Toc184310320"/>
      <w:bookmarkEnd w:id="243"/>
      <w:bookmarkStart w:id="244" w:name="_Toc184314414"/>
      <w:bookmarkEnd w:id="244"/>
      <w:bookmarkStart w:id="245" w:name="_Toc184308066"/>
      <w:bookmarkEnd w:id="245"/>
      <w:bookmarkStart w:id="246" w:name="_Toc184313295"/>
      <w:bookmarkEnd w:id="246"/>
      <w:bookmarkStart w:id="247" w:name="_Toc184312137"/>
      <w:bookmarkEnd w:id="247"/>
      <w:bookmarkStart w:id="248" w:name="_Toc184310278"/>
      <w:bookmarkEnd w:id="248"/>
      <w:bookmarkStart w:id="249" w:name="_Toc184314457"/>
      <w:bookmarkEnd w:id="249"/>
      <w:bookmarkStart w:id="250" w:name="_Toc184308104"/>
      <w:bookmarkEnd w:id="250"/>
      <w:bookmarkStart w:id="251" w:name="_Toc184313259"/>
      <w:bookmarkEnd w:id="251"/>
      <w:bookmarkStart w:id="252" w:name="_Toc184314452"/>
      <w:bookmarkEnd w:id="252"/>
      <w:bookmarkStart w:id="253" w:name="_Toc184308091"/>
      <w:bookmarkEnd w:id="253"/>
      <w:bookmarkStart w:id="254" w:name="_Toc184313241"/>
      <w:bookmarkEnd w:id="254"/>
      <w:bookmarkStart w:id="255" w:name="_Toc184310342"/>
      <w:bookmarkEnd w:id="255"/>
      <w:bookmarkStart w:id="256" w:name="_Toc184314416"/>
      <w:bookmarkEnd w:id="256"/>
      <w:bookmarkStart w:id="257" w:name="_Toc184314420"/>
      <w:bookmarkEnd w:id="257"/>
      <w:bookmarkStart w:id="258" w:name="_Toc184312134"/>
      <w:bookmarkEnd w:id="258"/>
      <w:bookmarkStart w:id="259" w:name="_Toc184310279"/>
      <w:bookmarkEnd w:id="259"/>
      <w:bookmarkStart w:id="260" w:name="_Toc184312072"/>
      <w:bookmarkEnd w:id="260"/>
      <w:bookmarkStart w:id="261" w:name="_Toc184310332"/>
      <w:bookmarkEnd w:id="261"/>
      <w:bookmarkStart w:id="262" w:name="_Toc184310319"/>
      <w:bookmarkEnd w:id="262"/>
      <w:bookmarkStart w:id="263" w:name="_Toc184310309"/>
      <w:bookmarkEnd w:id="263"/>
      <w:bookmarkStart w:id="264" w:name="_Toc184313253"/>
      <w:bookmarkEnd w:id="264"/>
      <w:bookmarkStart w:id="265" w:name="_Toc184314438"/>
      <w:bookmarkEnd w:id="265"/>
      <w:bookmarkStart w:id="266" w:name="_Toc184313304"/>
      <w:bookmarkEnd w:id="266"/>
      <w:bookmarkStart w:id="267" w:name="_Toc184310340"/>
      <w:bookmarkEnd w:id="267"/>
      <w:bookmarkStart w:id="268" w:name="_Toc184314437"/>
      <w:bookmarkEnd w:id="268"/>
      <w:bookmarkStart w:id="269" w:name="_Toc184313287"/>
      <w:bookmarkEnd w:id="269"/>
      <w:bookmarkStart w:id="270" w:name="_Toc184310336"/>
      <w:bookmarkEnd w:id="270"/>
      <w:bookmarkStart w:id="271" w:name="_Toc184312127"/>
      <w:bookmarkEnd w:id="271"/>
      <w:bookmarkStart w:id="272" w:name="_Toc184310297"/>
      <w:bookmarkEnd w:id="272"/>
      <w:bookmarkStart w:id="273" w:name="_Toc184310308"/>
      <w:bookmarkEnd w:id="273"/>
      <w:bookmarkStart w:id="274" w:name="_Toc184313270"/>
      <w:bookmarkEnd w:id="274"/>
      <w:bookmarkStart w:id="275" w:name="_Toc184314412"/>
      <w:bookmarkEnd w:id="275"/>
      <w:bookmarkStart w:id="276" w:name="_Toc184312115"/>
      <w:bookmarkEnd w:id="276"/>
      <w:bookmarkStart w:id="277" w:name="_Toc184313302"/>
      <w:bookmarkEnd w:id="277"/>
      <w:bookmarkStart w:id="278" w:name="_Toc184312086"/>
      <w:bookmarkEnd w:id="278"/>
      <w:bookmarkStart w:id="279" w:name="_Toc184313249"/>
      <w:bookmarkEnd w:id="279"/>
      <w:bookmarkStart w:id="280" w:name="_Toc184313258"/>
      <w:bookmarkEnd w:id="280"/>
      <w:bookmarkStart w:id="281" w:name="_Toc184308080"/>
      <w:bookmarkEnd w:id="281"/>
      <w:bookmarkStart w:id="282" w:name="_Toc184312067"/>
      <w:bookmarkEnd w:id="282"/>
      <w:bookmarkStart w:id="283" w:name="_Toc184312088"/>
      <w:bookmarkEnd w:id="283"/>
      <w:bookmarkStart w:id="284" w:name="_Toc184314422"/>
      <w:bookmarkEnd w:id="284"/>
      <w:bookmarkStart w:id="285" w:name="_Toc184314460"/>
      <w:bookmarkEnd w:id="285"/>
      <w:bookmarkStart w:id="286" w:name="_Toc184310314"/>
      <w:bookmarkEnd w:id="286"/>
      <w:bookmarkStart w:id="287" w:name="_Toc184313298"/>
      <w:bookmarkEnd w:id="287"/>
      <w:bookmarkStart w:id="288" w:name="_Toc184312133"/>
      <w:bookmarkEnd w:id="288"/>
      <w:bookmarkStart w:id="289" w:name="_Toc184310291"/>
      <w:bookmarkEnd w:id="289"/>
      <w:bookmarkStart w:id="290" w:name="_Toc184312116"/>
      <w:bookmarkEnd w:id="290"/>
      <w:bookmarkStart w:id="291" w:name="_Toc184313263"/>
      <w:bookmarkEnd w:id="291"/>
      <w:bookmarkStart w:id="292" w:name="_Toc184308103"/>
      <w:bookmarkEnd w:id="292"/>
      <w:bookmarkStart w:id="293" w:name="_Toc184314430"/>
      <w:bookmarkEnd w:id="293"/>
      <w:bookmarkStart w:id="294" w:name="_Toc184313267"/>
      <w:bookmarkEnd w:id="294"/>
      <w:bookmarkStart w:id="295" w:name="_Toc184313239"/>
      <w:bookmarkEnd w:id="295"/>
      <w:bookmarkStart w:id="296" w:name="_Toc184310275"/>
      <w:bookmarkEnd w:id="296"/>
      <w:bookmarkStart w:id="297" w:name="_Toc184308045"/>
      <w:bookmarkEnd w:id="297"/>
      <w:bookmarkStart w:id="298" w:name="_Toc184308087"/>
      <w:bookmarkEnd w:id="298"/>
      <w:bookmarkStart w:id="299" w:name="_Toc184314464"/>
      <w:bookmarkEnd w:id="299"/>
      <w:bookmarkStart w:id="300" w:name="_Toc184312131"/>
      <w:bookmarkEnd w:id="300"/>
      <w:bookmarkStart w:id="301" w:name="_Toc184313255"/>
      <w:bookmarkEnd w:id="301"/>
      <w:bookmarkStart w:id="302" w:name="_Toc184314435"/>
      <w:bookmarkEnd w:id="302"/>
      <w:bookmarkStart w:id="303" w:name="_Toc184308079"/>
      <w:bookmarkEnd w:id="303"/>
      <w:bookmarkStart w:id="304" w:name="_Toc184308069"/>
      <w:bookmarkEnd w:id="304"/>
      <w:bookmarkStart w:id="305" w:name="_Toc184313286"/>
      <w:bookmarkEnd w:id="305"/>
      <w:bookmarkStart w:id="306" w:name="_Toc184313289"/>
      <w:bookmarkEnd w:id="306"/>
      <w:bookmarkStart w:id="307" w:name="_Toc184314476"/>
      <w:bookmarkEnd w:id="307"/>
      <w:bookmarkStart w:id="308" w:name="_Toc184314470"/>
      <w:bookmarkEnd w:id="308"/>
      <w:bookmarkStart w:id="309" w:name="_Toc184308071"/>
      <w:bookmarkEnd w:id="309"/>
      <w:bookmarkStart w:id="310" w:name="_Toc184310310"/>
      <w:bookmarkEnd w:id="310"/>
      <w:bookmarkStart w:id="311" w:name="_Toc184314463"/>
      <w:bookmarkEnd w:id="311"/>
      <w:bookmarkStart w:id="312" w:name="_Toc184308063"/>
      <w:bookmarkEnd w:id="312"/>
      <w:bookmarkStart w:id="313" w:name="_Toc184308078"/>
      <w:bookmarkEnd w:id="313"/>
      <w:bookmarkStart w:id="314" w:name="_Toc184310331"/>
      <w:bookmarkEnd w:id="314"/>
      <w:bookmarkStart w:id="315" w:name="_Toc184310328"/>
      <w:bookmarkEnd w:id="315"/>
      <w:bookmarkStart w:id="316" w:name="_Toc184308095"/>
      <w:bookmarkEnd w:id="316"/>
      <w:bookmarkStart w:id="317" w:name="_Toc184314417"/>
      <w:bookmarkEnd w:id="317"/>
      <w:bookmarkStart w:id="318" w:name="_Toc184313281"/>
      <w:bookmarkEnd w:id="318"/>
      <w:bookmarkStart w:id="319" w:name="_Toc184313292"/>
      <w:bookmarkEnd w:id="319"/>
      <w:bookmarkStart w:id="320" w:name="_Toc184312068"/>
      <w:bookmarkEnd w:id="320"/>
      <w:bookmarkStart w:id="321" w:name="_Toc184314419"/>
      <w:bookmarkEnd w:id="321"/>
      <w:bookmarkStart w:id="322" w:name="_Toc184312122"/>
      <w:bookmarkEnd w:id="322"/>
      <w:bookmarkStart w:id="323" w:name="_Toc184310324"/>
      <w:bookmarkEnd w:id="323"/>
      <w:bookmarkStart w:id="324" w:name="_Toc184314456"/>
      <w:bookmarkEnd w:id="324"/>
      <w:bookmarkStart w:id="325" w:name="_Toc184314423"/>
      <w:bookmarkEnd w:id="325"/>
      <w:bookmarkStart w:id="326" w:name="_Toc184310315"/>
      <w:bookmarkEnd w:id="326"/>
      <w:bookmarkStart w:id="327" w:name="_Toc184312087"/>
      <w:bookmarkEnd w:id="327"/>
      <w:bookmarkStart w:id="328" w:name="_Toc184310327"/>
      <w:bookmarkEnd w:id="328"/>
      <w:bookmarkStart w:id="329" w:name="_Toc184308039"/>
      <w:bookmarkEnd w:id="329"/>
      <w:bookmarkStart w:id="330" w:name="_Toc184308037"/>
      <w:bookmarkEnd w:id="330"/>
      <w:bookmarkStart w:id="331" w:name="_Toc184312123"/>
      <w:bookmarkEnd w:id="331"/>
      <w:bookmarkStart w:id="332" w:name="_Toc184310272"/>
      <w:bookmarkEnd w:id="332"/>
      <w:bookmarkStart w:id="333" w:name="_Toc184310329"/>
      <w:bookmarkEnd w:id="333"/>
      <w:bookmarkStart w:id="334" w:name="_Toc184308085"/>
      <w:bookmarkEnd w:id="334"/>
      <w:bookmarkStart w:id="335" w:name="_Toc184313265"/>
      <w:bookmarkEnd w:id="335"/>
      <w:bookmarkStart w:id="336" w:name="_Toc184314413"/>
      <w:bookmarkEnd w:id="336"/>
      <w:bookmarkStart w:id="337" w:name="_Toc184310298"/>
      <w:bookmarkEnd w:id="337"/>
      <w:bookmarkStart w:id="338" w:name="_Toc184312108"/>
      <w:bookmarkEnd w:id="338"/>
      <w:bookmarkStart w:id="339" w:name="_Toc184313299"/>
      <w:bookmarkEnd w:id="339"/>
      <w:bookmarkStart w:id="340" w:name="_Toc184308073"/>
      <w:bookmarkEnd w:id="340"/>
      <w:bookmarkStart w:id="341" w:name="_Toc184310318"/>
      <w:bookmarkEnd w:id="341"/>
      <w:bookmarkStart w:id="342" w:name="_Toc184312100"/>
      <w:bookmarkEnd w:id="342"/>
      <w:bookmarkStart w:id="343" w:name="_Toc184313242"/>
      <w:bookmarkEnd w:id="343"/>
      <w:bookmarkStart w:id="344" w:name="_Toc184308086"/>
      <w:bookmarkEnd w:id="344"/>
      <w:bookmarkStart w:id="345" w:name="_Toc184314444"/>
      <w:bookmarkEnd w:id="345"/>
      <w:bookmarkStart w:id="346" w:name="_Toc184312139"/>
      <w:bookmarkEnd w:id="346"/>
      <w:bookmarkStart w:id="347" w:name="_Toc184310282"/>
      <w:bookmarkEnd w:id="347"/>
      <w:bookmarkStart w:id="348" w:name="_Toc184310286"/>
      <w:bookmarkEnd w:id="348"/>
      <w:bookmarkStart w:id="349" w:name="_Toc184314450"/>
      <w:bookmarkEnd w:id="349"/>
      <w:bookmarkStart w:id="350" w:name="_Toc184313240"/>
      <w:bookmarkEnd w:id="350"/>
      <w:bookmarkStart w:id="351" w:name="_Toc184308094"/>
      <w:bookmarkEnd w:id="351"/>
      <w:bookmarkStart w:id="352" w:name="_Toc184313251"/>
      <w:bookmarkEnd w:id="352"/>
      <w:bookmarkStart w:id="353" w:name="_Toc184312078"/>
      <w:bookmarkEnd w:id="353"/>
      <w:bookmarkStart w:id="354" w:name="_Toc184310277"/>
      <w:bookmarkEnd w:id="354"/>
      <w:bookmarkStart w:id="355" w:name="_Toc184310335"/>
      <w:bookmarkEnd w:id="355"/>
      <w:bookmarkStart w:id="356" w:name="_Toc184308046"/>
      <w:bookmarkEnd w:id="356"/>
      <w:bookmarkStart w:id="357" w:name="_Toc184310288"/>
      <w:bookmarkEnd w:id="357"/>
      <w:bookmarkStart w:id="358" w:name="_Toc184312103"/>
      <w:bookmarkEnd w:id="358"/>
      <w:bookmarkStart w:id="359" w:name="_Toc184308065"/>
      <w:bookmarkEnd w:id="359"/>
      <w:bookmarkStart w:id="360" w:name="_Toc184308107"/>
      <w:bookmarkEnd w:id="360"/>
      <w:bookmarkStart w:id="361" w:name="_Toc184313264"/>
      <w:bookmarkEnd w:id="361"/>
      <w:bookmarkStart w:id="362" w:name="_Toc184312099"/>
      <w:bookmarkEnd w:id="362"/>
      <w:bookmarkStart w:id="363" w:name="_Toc184313283"/>
      <w:bookmarkEnd w:id="363"/>
      <w:bookmarkStart w:id="364" w:name="_Toc184312106"/>
      <w:bookmarkEnd w:id="364"/>
      <w:bookmarkStart w:id="365" w:name="_Toc184314410"/>
      <w:bookmarkEnd w:id="365"/>
      <w:bookmarkStart w:id="366" w:name="_Toc184312077"/>
      <w:bookmarkEnd w:id="366"/>
      <w:bookmarkStart w:id="367" w:name="_Toc184312120"/>
      <w:bookmarkEnd w:id="367"/>
      <w:bookmarkStart w:id="368" w:name="_Toc184310321"/>
      <w:bookmarkEnd w:id="368"/>
      <w:bookmarkStart w:id="369" w:name="_Toc184312074"/>
      <w:bookmarkEnd w:id="369"/>
      <w:bookmarkStart w:id="370" w:name="_Toc184312101"/>
      <w:bookmarkEnd w:id="370"/>
      <w:bookmarkStart w:id="371" w:name="_Toc184308059"/>
      <w:bookmarkEnd w:id="371"/>
      <w:r>
        <w:rPr>
          <w:rFonts w:hint="eastAsia" w:ascii="宋体" w:hAnsi="宋体" w:eastAsia="宋体" w:cs="宋体"/>
          <w:b/>
          <w:color w:val="auto"/>
          <w:sz w:val="36"/>
          <w:szCs w:val="36"/>
          <w:highlight w:val="none"/>
        </w:rPr>
        <w:t>评标办法及评分标准</w:t>
      </w:r>
    </w:p>
    <w:p w14:paraId="4938910C">
      <w:pPr>
        <w:keepNext w:val="0"/>
        <w:keepLines w:val="0"/>
        <w:pageBreakBefore w:val="0"/>
        <w:widowControl w:val="0"/>
        <w:kinsoku/>
        <w:wordWrap/>
        <w:overflowPunct/>
        <w:topLinePunct w:val="0"/>
        <w:bidi w:val="0"/>
        <w:snapToGrid w:val="0"/>
        <w:spacing w:beforeAutospacing="0" w:afterAutospacing="0" w:line="420" w:lineRule="exact"/>
        <w:jc w:val="center"/>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一、评标方法</w:t>
      </w:r>
    </w:p>
    <w:p w14:paraId="6A003F4A">
      <w:pPr>
        <w:keepNext w:val="0"/>
        <w:keepLines w:val="0"/>
        <w:pageBreakBefore w:val="0"/>
        <w:widowControl w:val="0"/>
        <w:kinsoku/>
        <w:wordWrap/>
        <w:overflowPunct/>
        <w:topLinePunct w:val="0"/>
        <w:bidi w:val="0"/>
        <w:spacing w:beforeAutospacing="0" w:afterAutospacing="0" w:line="420" w:lineRule="exact"/>
        <w:ind w:left="0" w:leftChars="0" w:firstLine="442"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rPr>
        <w:t>采用政府采购框架协议采购方式管理暂行办法中规定的质量优先法。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7BDAEC6E">
      <w:pPr>
        <w:keepNext w:val="0"/>
        <w:keepLines w:val="0"/>
        <w:pageBreakBefore w:val="0"/>
        <w:widowControl w:val="0"/>
        <w:kinsoku/>
        <w:wordWrap/>
        <w:overflowPunct/>
        <w:topLinePunct w:val="0"/>
        <w:bidi w:val="0"/>
        <w:snapToGrid w:val="0"/>
        <w:spacing w:beforeAutospacing="0" w:afterAutospacing="0" w:line="420" w:lineRule="exact"/>
        <w:jc w:val="center"/>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二、评标委员会的组成</w:t>
      </w:r>
    </w:p>
    <w:p w14:paraId="40790CD4">
      <w:pPr>
        <w:keepNext w:val="0"/>
        <w:keepLines w:val="0"/>
        <w:pageBreakBefore w:val="0"/>
        <w:widowControl w:val="0"/>
        <w:kinsoku/>
        <w:wordWrap/>
        <w:overflowPunct/>
        <w:topLinePunct w:val="0"/>
        <w:bidi w:val="0"/>
        <w:spacing w:beforeAutospacing="0" w:afterAutospacing="0" w:line="420" w:lineRule="exact"/>
        <w:ind w:left="0" w:leftChars="0" w:firstLine="442"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2</w:t>
      </w:r>
      <w:r>
        <w:rPr>
          <w:rFonts w:hint="eastAsia" w:ascii="宋体" w:hAnsi="宋体" w:eastAsia="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rPr>
        <w:t>评标委员会的组成。评标委员会由采购人代表和评审专家组成，成员人数为</w:t>
      </w:r>
      <w:r>
        <w:rPr>
          <w:rFonts w:hint="eastAsia" w:ascii="宋体" w:hAnsi="宋体" w:eastAsia="宋体" w:cs="宋体"/>
          <w:b/>
          <w:bCs/>
          <w:color w:val="auto"/>
          <w:kern w:val="0"/>
          <w:sz w:val="22"/>
          <w:szCs w:val="22"/>
          <w:highlight w:val="none"/>
          <w:lang w:val="en-US" w:eastAsia="zh-CN"/>
        </w:rPr>
        <w:t>5</w:t>
      </w:r>
      <w:r>
        <w:rPr>
          <w:rFonts w:hint="eastAsia" w:ascii="宋体" w:hAnsi="宋体" w:eastAsia="宋体" w:cs="宋体"/>
          <w:b/>
          <w:bCs/>
          <w:color w:val="auto"/>
          <w:kern w:val="0"/>
          <w:sz w:val="22"/>
          <w:szCs w:val="22"/>
          <w:highlight w:val="none"/>
        </w:rPr>
        <w:t>人及以上单数，其中评审专家不少于成员总数的三分之二。</w:t>
      </w:r>
      <w:r>
        <w:rPr>
          <w:rFonts w:hint="eastAsia" w:ascii="宋体" w:hAnsi="宋体" w:eastAsia="宋体" w:cs="宋体"/>
          <w:b/>
          <w:bCs/>
          <w:color w:val="auto"/>
          <w:sz w:val="22"/>
          <w:szCs w:val="22"/>
          <w:highlight w:val="none"/>
        </w:rPr>
        <w:t>评标委员会集体推荐组长一名，采购人代表不得推荐为组长。</w:t>
      </w:r>
    </w:p>
    <w:p w14:paraId="4B164581">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2"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3</w:t>
      </w:r>
      <w:r>
        <w:rPr>
          <w:rFonts w:hint="eastAsia" w:ascii="宋体" w:hAnsi="宋体" w:eastAsia="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rPr>
        <w:t>评标委员会的组成人员的回避。</w:t>
      </w:r>
      <w:r>
        <w:rPr>
          <w:rFonts w:hint="eastAsia" w:ascii="宋体" w:hAnsi="宋体" w:eastAsia="宋体" w:cs="宋体"/>
          <w:color w:val="auto"/>
          <w:kern w:val="0"/>
          <w:sz w:val="22"/>
          <w:szCs w:val="22"/>
          <w:highlight w:val="none"/>
        </w:rPr>
        <w:t>在政府采购活动中，评标委员会的组成人员与供应商有下列利害关系之一的，应当回避：</w:t>
      </w:r>
    </w:p>
    <w:p w14:paraId="756CB8A4">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3.1参加采购活动前3年内与供应商存在劳动关系；</w:t>
      </w:r>
    </w:p>
    <w:p w14:paraId="03E20DEA">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3.2参加采购活动前3年内担任供应商的董事、监事；</w:t>
      </w:r>
    </w:p>
    <w:p w14:paraId="4D7803B1">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3.3参加采购活动前3年内是供应商的控股股东或者实际控制人；</w:t>
      </w:r>
    </w:p>
    <w:p w14:paraId="6180808B">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3.4与供应商的法定代表人或者负责人有夫妻、直系血亲、三代以内旁系血亲或者近姻亲关系；</w:t>
      </w:r>
    </w:p>
    <w:p w14:paraId="59A9A6CF">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3.5与供应商有其他可能影响政府采购活动公平、公正进行的关系。</w:t>
      </w:r>
    </w:p>
    <w:p w14:paraId="2D04F81B">
      <w:pPr>
        <w:keepNext w:val="0"/>
        <w:keepLines w:val="0"/>
        <w:pageBreakBefore w:val="0"/>
        <w:widowControl w:val="0"/>
        <w:kinsoku/>
        <w:wordWrap/>
        <w:overflowPunct/>
        <w:topLinePunct w:val="0"/>
        <w:bidi w:val="0"/>
        <w:snapToGrid w:val="0"/>
        <w:spacing w:beforeAutospacing="0" w:afterAutospacing="0" w:line="420" w:lineRule="exact"/>
        <w:ind w:left="0" w:leftChars="0" w:firstLine="482" w:firstLineChars="200"/>
        <w:jc w:val="center"/>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三、评标委员会的职责</w:t>
      </w:r>
    </w:p>
    <w:p w14:paraId="78A99A31">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w:t>
      </w:r>
      <w:r>
        <w:rPr>
          <w:rFonts w:hint="eastAsia" w:ascii="宋体" w:hAnsi="宋体" w:eastAsia="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rPr>
        <w:t>评标委员会负责具体评标事务，并独立履行下列职责：</w:t>
      </w:r>
    </w:p>
    <w:p w14:paraId="1F3F26BA">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4.1审查、评价</w:t>
      </w:r>
      <w:r>
        <w:rPr>
          <w:rFonts w:hint="eastAsia" w:ascii="宋体" w:hAnsi="宋体" w:cs="宋体"/>
          <w:color w:val="auto"/>
          <w:kern w:val="0"/>
          <w:sz w:val="22"/>
          <w:szCs w:val="22"/>
          <w:highlight w:val="none"/>
          <w:lang w:eastAsia="zh-CN"/>
        </w:rPr>
        <w:t>响应文件</w:t>
      </w:r>
      <w:r>
        <w:rPr>
          <w:rFonts w:hint="eastAsia" w:ascii="宋体" w:hAnsi="宋体" w:eastAsia="宋体" w:cs="宋体"/>
          <w:color w:val="auto"/>
          <w:kern w:val="0"/>
          <w:sz w:val="22"/>
          <w:szCs w:val="22"/>
          <w:highlight w:val="none"/>
        </w:rPr>
        <w:t>是否符合</w:t>
      </w:r>
      <w:r>
        <w:rPr>
          <w:rFonts w:hint="eastAsia" w:ascii="宋体" w:hAnsi="宋体" w:cs="宋体"/>
          <w:color w:val="auto"/>
          <w:kern w:val="0"/>
          <w:sz w:val="22"/>
          <w:szCs w:val="22"/>
          <w:highlight w:val="none"/>
          <w:lang w:eastAsia="zh-CN"/>
        </w:rPr>
        <w:t>征集文件</w:t>
      </w:r>
      <w:r>
        <w:rPr>
          <w:rFonts w:hint="eastAsia" w:ascii="宋体" w:hAnsi="宋体" w:eastAsia="宋体" w:cs="宋体"/>
          <w:color w:val="auto"/>
          <w:kern w:val="0"/>
          <w:sz w:val="22"/>
          <w:szCs w:val="22"/>
          <w:highlight w:val="none"/>
        </w:rPr>
        <w:t>的商务、技术等实质性要求；</w:t>
      </w:r>
    </w:p>
    <w:p w14:paraId="78987811">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4.2要求供应商对</w:t>
      </w:r>
      <w:r>
        <w:rPr>
          <w:rFonts w:hint="eastAsia" w:ascii="宋体" w:hAnsi="宋体" w:cs="宋体"/>
          <w:color w:val="auto"/>
          <w:kern w:val="0"/>
          <w:sz w:val="22"/>
          <w:szCs w:val="22"/>
          <w:highlight w:val="none"/>
          <w:lang w:eastAsia="zh-CN"/>
        </w:rPr>
        <w:t>响应文件</w:t>
      </w:r>
      <w:r>
        <w:rPr>
          <w:rFonts w:hint="eastAsia" w:ascii="宋体" w:hAnsi="宋体" w:eastAsia="宋体" w:cs="宋体"/>
          <w:color w:val="auto"/>
          <w:kern w:val="0"/>
          <w:sz w:val="22"/>
          <w:szCs w:val="22"/>
          <w:highlight w:val="none"/>
        </w:rPr>
        <w:t>有关事项作出澄清或者说明；</w:t>
      </w:r>
    </w:p>
    <w:p w14:paraId="4E193627">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4.3对</w:t>
      </w:r>
      <w:r>
        <w:rPr>
          <w:rFonts w:hint="eastAsia" w:ascii="宋体" w:hAnsi="宋体" w:cs="宋体"/>
          <w:color w:val="auto"/>
          <w:kern w:val="0"/>
          <w:sz w:val="22"/>
          <w:szCs w:val="22"/>
          <w:highlight w:val="none"/>
          <w:lang w:eastAsia="zh-CN"/>
        </w:rPr>
        <w:t>响应文件</w:t>
      </w:r>
      <w:r>
        <w:rPr>
          <w:rFonts w:hint="eastAsia" w:ascii="宋体" w:hAnsi="宋体" w:eastAsia="宋体" w:cs="宋体"/>
          <w:color w:val="auto"/>
          <w:kern w:val="0"/>
          <w:sz w:val="22"/>
          <w:szCs w:val="22"/>
          <w:highlight w:val="none"/>
        </w:rPr>
        <w:t>进行比较和评价；</w:t>
      </w:r>
    </w:p>
    <w:p w14:paraId="753B2073">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4.4确定中标候选人名单，以及根据采购人委托直接确定中标人；</w:t>
      </w:r>
    </w:p>
    <w:p w14:paraId="26F954B9">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4.5向采购人、采购代理机构或者有关部门报告评标中发现的违法行为；</w:t>
      </w:r>
    </w:p>
    <w:p w14:paraId="2BA9A749">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4.6法律、法规、规章、</w:t>
      </w:r>
      <w:r>
        <w:rPr>
          <w:rFonts w:hint="eastAsia" w:ascii="宋体" w:hAnsi="宋体" w:cs="宋体"/>
          <w:color w:val="auto"/>
          <w:kern w:val="0"/>
          <w:sz w:val="22"/>
          <w:szCs w:val="22"/>
          <w:highlight w:val="none"/>
          <w:lang w:eastAsia="zh-CN"/>
        </w:rPr>
        <w:t>征集文件</w:t>
      </w:r>
      <w:r>
        <w:rPr>
          <w:rFonts w:hint="eastAsia" w:ascii="宋体" w:hAnsi="宋体" w:eastAsia="宋体" w:cs="宋体"/>
          <w:color w:val="auto"/>
          <w:kern w:val="0"/>
          <w:sz w:val="22"/>
          <w:szCs w:val="22"/>
          <w:highlight w:val="none"/>
        </w:rPr>
        <w:t>等规定的其它事项。</w:t>
      </w:r>
    </w:p>
    <w:p w14:paraId="1C6F30C0">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5</w:t>
      </w:r>
      <w:r>
        <w:rPr>
          <w:rFonts w:hint="eastAsia" w:ascii="宋体" w:hAnsi="宋体" w:eastAsia="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rPr>
        <w:t>评标委员会及其成员不得有下列行为：</w:t>
      </w:r>
    </w:p>
    <w:p w14:paraId="506D2089">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5.1确定参与评标至评标结束前私自接触供应商；</w:t>
      </w:r>
    </w:p>
    <w:p w14:paraId="6BB3B96C">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5.2接受供应商提出的与</w:t>
      </w:r>
      <w:r>
        <w:rPr>
          <w:rFonts w:hint="eastAsia" w:ascii="宋体" w:hAnsi="宋体" w:cs="宋体"/>
          <w:color w:val="auto"/>
          <w:kern w:val="0"/>
          <w:sz w:val="22"/>
          <w:szCs w:val="22"/>
          <w:highlight w:val="none"/>
          <w:lang w:eastAsia="zh-CN"/>
        </w:rPr>
        <w:t>响应文件</w:t>
      </w:r>
      <w:r>
        <w:rPr>
          <w:rFonts w:hint="eastAsia" w:ascii="宋体" w:hAnsi="宋体" w:eastAsia="宋体" w:cs="宋体"/>
          <w:color w:val="auto"/>
          <w:kern w:val="0"/>
          <w:sz w:val="22"/>
          <w:szCs w:val="22"/>
          <w:highlight w:val="none"/>
        </w:rPr>
        <w:t>不一致的澄清或者说明；</w:t>
      </w:r>
    </w:p>
    <w:p w14:paraId="65E4D130">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5.3违反评标纪律发表倾向性意见或者征询采购人的倾向性意见；</w:t>
      </w:r>
    </w:p>
    <w:p w14:paraId="1C935E96">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5.4对需要专业判断的主观评审因素协商评分；</w:t>
      </w:r>
    </w:p>
    <w:p w14:paraId="3DD5D294">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5.5在评标过程中擅离职守，影响评标程序正常进行的；</w:t>
      </w:r>
    </w:p>
    <w:p w14:paraId="214EEE43">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5.6记录、复制或者带走任何评标资料；</w:t>
      </w:r>
    </w:p>
    <w:p w14:paraId="46DFED5D">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5.7其他不遵守评标纪律的行为。</w:t>
      </w:r>
    </w:p>
    <w:p w14:paraId="72F0BBAF">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评标委员会成员有5.1-5.5行为之一的，其评审意见无效，并不得获取评审劳务报酬和报销异地评审差旅费。</w:t>
      </w:r>
    </w:p>
    <w:p w14:paraId="65AD22C2">
      <w:pPr>
        <w:keepNext w:val="0"/>
        <w:keepLines w:val="0"/>
        <w:pageBreakBefore w:val="0"/>
        <w:widowControl w:val="0"/>
        <w:kinsoku/>
        <w:wordWrap/>
        <w:overflowPunct/>
        <w:topLinePunct w:val="0"/>
        <w:bidi w:val="0"/>
        <w:snapToGrid w:val="0"/>
        <w:spacing w:beforeAutospacing="0" w:afterAutospacing="0" w:line="420" w:lineRule="exact"/>
        <w:ind w:left="0" w:leftChars="0" w:firstLine="482" w:firstLineChars="200"/>
        <w:jc w:val="center"/>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四、评审程序</w:t>
      </w:r>
    </w:p>
    <w:p w14:paraId="08D397EE">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2"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6</w:t>
      </w:r>
      <w:r>
        <w:rPr>
          <w:rFonts w:hint="eastAsia" w:ascii="宋体" w:hAnsi="宋体" w:eastAsia="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rPr>
        <w:t>资格及符合性审查。</w:t>
      </w:r>
      <w:r>
        <w:rPr>
          <w:rFonts w:hint="eastAsia" w:ascii="宋体" w:hAnsi="宋体" w:eastAsia="宋体" w:cs="宋体"/>
          <w:color w:val="auto"/>
          <w:kern w:val="0"/>
          <w:sz w:val="22"/>
          <w:szCs w:val="22"/>
          <w:highlight w:val="none"/>
        </w:rPr>
        <w:t>采购人代表或采购人委托的代理机构人员对供应商资格进行审查，评标委员会对符合资格的供应商的</w:t>
      </w:r>
      <w:r>
        <w:rPr>
          <w:rFonts w:hint="eastAsia" w:ascii="宋体" w:hAnsi="宋体" w:cs="宋体"/>
          <w:color w:val="auto"/>
          <w:kern w:val="0"/>
          <w:sz w:val="22"/>
          <w:szCs w:val="22"/>
          <w:highlight w:val="none"/>
          <w:lang w:eastAsia="zh-CN"/>
        </w:rPr>
        <w:t>响应文件</w:t>
      </w:r>
      <w:r>
        <w:rPr>
          <w:rFonts w:hint="eastAsia" w:ascii="宋体" w:hAnsi="宋体" w:eastAsia="宋体" w:cs="宋体"/>
          <w:color w:val="auto"/>
          <w:kern w:val="0"/>
          <w:sz w:val="22"/>
          <w:szCs w:val="22"/>
          <w:highlight w:val="none"/>
        </w:rPr>
        <w:t>进行符合性审查，以确定其是否满足</w:t>
      </w:r>
      <w:r>
        <w:rPr>
          <w:rFonts w:hint="eastAsia" w:ascii="宋体" w:hAnsi="宋体" w:cs="宋体"/>
          <w:color w:val="auto"/>
          <w:kern w:val="0"/>
          <w:sz w:val="22"/>
          <w:szCs w:val="22"/>
          <w:highlight w:val="none"/>
          <w:lang w:eastAsia="zh-CN"/>
        </w:rPr>
        <w:t>征集文件</w:t>
      </w:r>
      <w:r>
        <w:rPr>
          <w:rFonts w:hint="eastAsia" w:ascii="宋体" w:hAnsi="宋体" w:eastAsia="宋体" w:cs="宋体"/>
          <w:color w:val="auto"/>
          <w:kern w:val="0"/>
          <w:sz w:val="22"/>
          <w:szCs w:val="22"/>
          <w:highlight w:val="none"/>
        </w:rPr>
        <w:t>的实质性要求。出现投标无效情形的，投标无效。</w:t>
      </w:r>
    </w:p>
    <w:p w14:paraId="16DF1194">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2"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7</w:t>
      </w:r>
      <w:r>
        <w:rPr>
          <w:rFonts w:hint="eastAsia" w:ascii="宋体" w:hAnsi="宋体" w:eastAsia="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rPr>
        <w:t>供应商澄清、说明或者补正。</w:t>
      </w:r>
      <w:r>
        <w:rPr>
          <w:rFonts w:hint="eastAsia" w:ascii="宋体" w:hAnsi="宋体" w:eastAsia="宋体" w:cs="宋体"/>
          <w:color w:val="auto"/>
          <w:kern w:val="0"/>
          <w:sz w:val="22"/>
          <w:szCs w:val="22"/>
          <w:highlight w:val="none"/>
        </w:rPr>
        <w:t>对于</w:t>
      </w:r>
      <w:r>
        <w:rPr>
          <w:rFonts w:hint="eastAsia" w:ascii="宋体" w:hAnsi="宋体" w:cs="宋体"/>
          <w:color w:val="auto"/>
          <w:kern w:val="0"/>
          <w:sz w:val="22"/>
          <w:szCs w:val="22"/>
          <w:highlight w:val="none"/>
          <w:lang w:eastAsia="zh-CN"/>
        </w:rPr>
        <w:t>响应文件</w:t>
      </w:r>
      <w:r>
        <w:rPr>
          <w:rFonts w:hint="eastAsia" w:ascii="宋体" w:hAnsi="宋体" w:eastAsia="宋体" w:cs="宋体"/>
          <w:color w:val="auto"/>
          <w:kern w:val="0"/>
          <w:sz w:val="22"/>
          <w:szCs w:val="22"/>
          <w:highlight w:val="none"/>
        </w:rPr>
        <w:t>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在规定时间内供应商如未作出相应的澄清、说明或者补正的，则视为放弃该项权利。供应商的澄清、说明或者补正不得超出</w:t>
      </w:r>
      <w:r>
        <w:rPr>
          <w:rFonts w:hint="eastAsia" w:ascii="宋体" w:hAnsi="宋体" w:cs="宋体"/>
          <w:color w:val="auto"/>
          <w:kern w:val="0"/>
          <w:sz w:val="22"/>
          <w:szCs w:val="22"/>
          <w:highlight w:val="none"/>
          <w:lang w:eastAsia="zh-CN"/>
        </w:rPr>
        <w:t>响应文件</w:t>
      </w:r>
      <w:r>
        <w:rPr>
          <w:rFonts w:hint="eastAsia" w:ascii="宋体" w:hAnsi="宋体" w:eastAsia="宋体" w:cs="宋体"/>
          <w:color w:val="auto"/>
          <w:kern w:val="0"/>
          <w:sz w:val="22"/>
          <w:szCs w:val="22"/>
          <w:highlight w:val="none"/>
        </w:rPr>
        <w:t>的范围或者改变</w:t>
      </w:r>
      <w:r>
        <w:rPr>
          <w:rFonts w:hint="eastAsia" w:ascii="宋体" w:hAnsi="宋体" w:cs="宋体"/>
          <w:color w:val="auto"/>
          <w:kern w:val="0"/>
          <w:sz w:val="22"/>
          <w:szCs w:val="22"/>
          <w:highlight w:val="none"/>
          <w:lang w:eastAsia="zh-CN"/>
        </w:rPr>
        <w:t>响应文件</w:t>
      </w:r>
      <w:r>
        <w:rPr>
          <w:rFonts w:hint="eastAsia" w:ascii="宋体" w:hAnsi="宋体" w:eastAsia="宋体" w:cs="宋体"/>
          <w:color w:val="auto"/>
          <w:kern w:val="0"/>
          <w:sz w:val="22"/>
          <w:szCs w:val="22"/>
          <w:highlight w:val="none"/>
        </w:rPr>
        <w:t>的实质性内容。</w:t>
      </w:r>
    </w:p>
    <w:p w14:paraId="3E7E9587">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2"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8</w:t>
      </w:r>
      <w:r>
        <w:rPr>
          <w:rFonts w:hint="eastAsia" w:ascii="宋体" w:hAnsi="宋体" w:eastAsia="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rPr>
        <w:t>比较与评价。</w:t>
      </w:r>
      <w:r>
        <w:rPr>
          <w:rFonts w:hint="eastAsia" w:ascii="宋体" w:hAnsi="宋体" w:eastAsia="宋体" w:cs="宋体"/>
          <w:b w:val="0"/>
          <w:bCs w:val="0"/>
          <w:color w:val="auto"/>
          <w:kern w:val="0"/>
          <w:sz w:val="22"/>
          <w:szCs w:val="22"/>
          <w:highlight w:val="none"/>
        </w:rPr>
        <w:t>评</w:t>
      </w:r>
      <w:r>
        <w:rPr>
          <w:rFonts w:hint="eastAsia" w:ascii="宋体" w:hAnsi="宋体" w:eastAsia="宋体" w:cs="宋体"/>
          <w:color w:val="auto"/>
          <w:kern w:val="0"/>
          <w:sz w:val="22"/>
          <w:szCs w:val="22"/>
          <w:highlight w:val="none"/>
        </w:rPr>
        <w:t>标委员会应当按照评标标准，对符合性审查合格的</w:t>
      </w:r>
      <w:r>
        <w:rPr>
          <w:rFonts w:hint="eastAsia" w:ascii="宋体" w:hAnsi="宋体" w:cs="宋体"/>
          <w:color w:val="auto"/>
          <w:kern w:val="0"/>
          <w:sz w:val="22"/>
          <w:szCs w:val="22"/>
          <w:highlight w:val="none"/>
          <w:lang w:eastAsia="zh-CN"/>
        </w:rPr>
        <w:t>响应文件</w:t>
      </w:r>
      <w:r>
        <w:rPr>
          <w:rFonts w:hint="eastAsia" w:ascii="宋体" w:hAnsi="宋体" w:eastAsia="宋体" w:cs="宋体"/>
          <w:color w:val="auto"/>
          <w:kern w:val="0"/>
          <w:sz w:val="22"/>
          <w:szCs w:val="22"/>
          <w:highlight w:val="none"/>
        </w:rPr>
        <w:t>进行商务和技术评估，综合比较与评价。</w:t>
      </w:r>
    </w:p>
    <w:p w14:paraId="1D3F756D">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2"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9</w:t>
      </w:r>
      <w:r>
        <w:rPr>
          <w:rFonts w:hint="eastAsia" w:ascii="宋体" w:hAnsi="宋体" w:eastAsia="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rPr>
        <w:t>汇总（商务技术得分情况）。</w:t>
      </w:r>
      <w:r>
        <w:rPr>
          <w:rFonts w:hint="eastAsia" w:ascii="宋体" w:hAnsi="宋体" w:eastAsia="宋体" w:cs="宋体"/>
          <w:color w:val="auto"/>
          <w:kern w:val="0"/>
          <w:sz w:val="22"/>
          <w:szCs w:val="22"/>
          <w:highlight w:val="none"/>
        </w:rPr>
        <w:t>评标委员会各成员应当独立对每个供应商的商务和技术文件进行评价，并汇总商务技术得分情况。</w:t>
      </w:r>
    </w:p>
    <w:p w14:paraId="4A67152B">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2"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10</w:t>
      </w:r>
      <w:r>
        <w:rPr>
          <w:rFonts w:hint="eastAsia" w:ascii="宋体" w:hAnsi="宋体" w:eastAsia="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rPr>
        <w:t>报价审核。</w:t>
      </w:r>
      <w:r>
        <w:rPr>
          <w:rFonts w:hint="eastAsia" w:ascii="宋体" w:hAnsi="宋体" w:eastAsia="宋体" w:cs="宋体"/>
          <w:color w:val="auto"/>
          <w:kern w:val="0"/>
          <w:sz w:val="22"/>
          <w:szCs w:val="22"/>
          <w:highlight w:val="none"/>
        </w:rPr>
        <w:t>对经商务和技术评审符合采购需求的投标人的报价的合理性、准确性等进行审查核实。</w:t>
      </w:r>
    </w:p>
    <w:p w14:paraId="77BDA2A1">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10.1评标委员会认为投标人的报价明显低于其他通过符合性审查投标人的报价，有可能影响产品质量或者不能诚信履约的，应当要求其在评标现场合理的时间内提供书面说明，必要时提交相关证明材料。</w:t>
      </w:r>
    </w:p>
    <w:p w14:paraId="1832F8DD">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10.2根据财政部发布的《政府采购促进中小企业发展</w:t>
      </w:r>
      <w:r>
        <w:rPr>
          <w:rFonts w:hint="eastAsia" w:ascii="宋体" w:hAnsi="宋体" w:eastAsia="宋体" w:cs="宋体"/>
          <w:color w:val="auto"/>
          <w:kern w:val="0"/>
          <w:sz w:val="22"/>
          <w:szCs w:val="22"/>
          <w:highlight w:val="none"/>
          <w:lang w:val="en-US" w:eastAsia="zh-CN"/>
        </w:rPr>
        <w:t>管理</w:t>
      </w:r>
      <w:r>
        <w:rPr>
          <w:rFonts w:hint="eastAsia" w:ascii="宋体" w:hAnsi="宋体" w:eastAsia="宋体" w:cs="宋体"/>
          <w:color w:val="auto"/>
          <w:kern w:val="0"/>
          <w:sz w:val="22"/>
          <w:szCs w:val="22"/>
          <w:highlight w:val="none"/>
        </w:rPr>
        <w:t>办法》规定，对小型和微型企业产品的价格给予一定的扣除，用扣除后的价格参与评审。</w:t>
      </w:r>
    </w:p>
    <w:p w14:paraId="4D2FD574">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10.3投标价格的修正原则。</w:t>
      </w:r>
      <w:r>
        <w:rPr>
          <w:rFonts w:hint="eastAsia" w:ascii="宋体" w:hAnsi="宋体" w:cs="宋体"/>
          <w:color w:val="auto"/>
          <w:kern w:val="0"/>
          <w:sz w:val="22"/>
          <w:szCs w:val="22"/>
          <w:highlight w:val="none"/>
          <w:lang w:eastAsia="zh-CN"/>
        </w:rPr>
        <w:t>响应文件</w:t>
      </w:r>
      <w:r>
        <w:rPr>
          <w:rFonts w:hint="eastAsia" w:ascii="宋体" w:hAnsi="宋体" w:eastAsia="宋体" w:cs="宋体"/>
          <w:color w:val="auto"/>
          <w:kern w:val="0"/>
          <w:sz w:val="22"/>
          <w:szCs w:val="22"/>
          <w:highlight w:val="none"/>
        </w:rPr>
        <w:t>报价出现前后不一致的，按照下列规定修正：</w:t>
      </w:r>
    </w:p>
    <w:p w14:paraId="45EE121D">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10.3.1</w:t>
      </w:r>
      <w:r>
        <w:rPr>
          <w:rFonts w:hint="eastAsia" w:ascii="宋体" w:hAnsi="宋体" w:cs="宋体"/>
          <w:color w:val="auto"/>
          <w:kern w:val="0"/>
          <w:sz w:val="22"/>
          <w:szCs w:val="22"/>
          <w:highlight w:val="none"/>
          <w:lang w:eastAsia="zh-CN"/>
        </w:rPr>
        <w:t>响应文件</w:t>
      </w:r>
      <w:r>
        <w:rPr>
          <w:rFonts w:hint="eastAsia" w:ascii="宋体" w:hAnsi="宋体" w:eastAsia="宋体" w:cs="宋体"/>
          <w:color w:val="auto"/>
          <w:kern w:val="0"/>
          <w:sz w:val="22"/>
          <w:szCs w:val="22"/>
          <w:highlight w:val="none"/>
        </w:rPr>
        <w:t>中开标一览表(报价表)内容与</w:t>
      </w:r>
      <w:r>
        <w:rPr>
          <w:rFonts w:hint="eastAsia" w:ascii="宋体" w:hAnsi="宋体" w:cs="宋体"/>
          <w:color w:val="auto"/>
          <w:kern w:val="0"/>
          <w:sz w:val="22"/>
          <w:szCs w:val="22"/>
          <w:highlight w:val="none"/>
          <w:lang w:eastAsia="zh-CN"/>
        </w:rPr>
        <w:t>响应文件</w:t>
      </w:r>
      <w:r>
        <w:rPr>
          <w:rFonts w:hint="eastAsia" w:ascii="宋体" w:hAnsi="宋体" w:eastAsia="宋体" w:cs="宋体"/>
          <w:color w:val="auto"/>
          <w:kern w:val="0"/>
          <w:sz w:val="22"/>
          <w:szCs w:val="22"/>
          <w:highlight w:val="none"/>
        </w:rPr>
        <w:t>中相应内容不一致的，以开标一览表(报价表)为准;</w:t>
      </w:r>
    </w:p>
    <w:p w14:paraId="20784787">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10.3.2大写金额和小写金额不一致的，以大写金额为准;</w:t>
      </w:r>
    </w:p>
    <w:p w14:paraId="22F84F94">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10.3.3单价金额小数点或者百分比有明显错位的，以开标一览表的总价为准，并修改单价;</w:t>
      </w:r>
    </w:p>
    <w:p w14:paraId="053C0E10">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10.3.4总价金额与按单价汇总金额不一致的，以单价金额计算结果为准。</w:t>
      </w:r>
    </w:p>
    <w:p w14:paraId="07E5E18B">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10.3.5同时出现两种以上不一致的，按照前款规定的顺序修正。修正后的报价按照财政部第87号令 《政府采购货物和服务招标投标管理办法》第五十一条第二款的规定经投标人确认后产生约束力。</w:t>
      </w:r>
    </w:p>
    <w:p w14:paraId="3606D73F">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
          <w:bCs/>
          <w:color w:val="auto"/>
          <w:sz w:val="22"/>
          <w:szCs w:val="22"/>
          <w:highlight w:val="none"/>
        </w:rPr>
        <w:t>投标人对根据修正原则修正后的报价不确认的，投标无效。</w:t>
      </w:r>
    </w:p>
    <w:p w14:paraId="57A6BD27">
      <w:pPr>
        <w:keepNext w:val="0"/>
        <w:keepLines w:val="0"/>
        <w:pageBreakBefore w:val="0"/>
        <w:widowControl w:val="0"/>
        <w:kinsoku/>
        <w:wordWrap/>
        <w:overflowPunct/>
        <w:topLinePunct w:val="0"/>
        <w:bidi w:val="0"/>
        <w:spacing w:beforeAutospacing="0" w:afterAutospacing="0" w:line="420" w:lineRule="exact"/>
        <w:ind w:left="0" w:leftChars="0" w:firstLine="442"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11</w:t>
      </w:r>
      <w:r>
        <w:rPr>
          <w:rFonts w:hint="eastAsia" w:ascii="宋体" w:hAnsi="宋体" w:eastAsia="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rPr>
        <w:t>汇总得分。</w:t>
      </w:r>
      <w:r>
        <w:rPr>
          <w:rFonts w:hint="eastAsia" w:ascii="宋体" w:hAnsi="宋体" w:eastAsia="宋体" w:cs="宋体"/>
          <w:color w:val="auto"/>
          <w:kern w:val="0"/>
          <w:sz w:val="22"/>
          <w:szCs w:val="22"/>
          <w:highlight w:val="none"/>
        </w:rPr>
        <w:t>评标委员会各成员应当独立对每个供应商的</w:t>
      </w:r>
      <w:r>
        <w:rPr>
          <w:rFonts w:hint="eastAsia" w:ascii="宋体" w:hAnsi="宋体" w:cs="宋体"/>
          <w:color w:val="auto"/>
          <w:kern w:val="0"/>
          <w:sz w:val="22"/>
          <w:szCs w:val="22"/>
          <w:highlight w:val="none"/>
          <w:lang w:eastAsia="zh-CN"/>
        </w:rPr>
        <w:t>响应文件</w:t>
      </w:r>
      <w:r>
        <w:rPr>
          <w:rFonts w:hint="eastAsia" w:ascii="宋体" w:hAnsi="宋体" w:eastAsia="宋体" w:cs="宋体"/>
          <w:color w:val="auto"/>
          <w:kern w:val="0"/>
          <w:sz w:val="22"/>
          <w:szCs w:val="22"/>
          <w:highlight w:val="none"/>
        </w:rPr>
        <w:t>进行评价，并汇总每个供应商的得分。</w:t>
      </w:r>
    </w:p>
    <w:p w14:paraId="507B3872">
      <w:pPr>
        <w:keepNext w:val="0"/>
        <w:keepLines w:val="0"/>
        <w:pageBreakBefore w:val="0"/>
        <w:widowControl w:val="0"/>
        <w:kinsoku/>
        <w:wordWrap/>
        <w:overflowPunct/>
        <w:topLinePunct w:val="0"/>
        <w:bidi w:val="0"/>
        <w:spacing w:beforeAutospacing="0" w:afterAutospacing="0" w:line="420" w:lineRule="exact"/>
        <w:ind w:left="0" w:leftChars="0"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12</w:t>
      </w:r>
      <w:r>
        <w:rPr>
          <w:rFonts w:hint="eastAsia" w:ascii="宋体" w:hAnsi="宋体" w:eastAsia="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rPr>
        <w:t>顺序排列与入围推荐。</w:t>
      </w:r>
    </w:p>
    <w:p w14:paraId="769C9810">
      <w:pPr>
        <w:keepNext w:val="0"/>
        <w:keepLines w:val="0"/>
        <w:pageBreakBefore w:val="0"/>
        <w:widowControl w:val="0"/>
        <w:kinsoku/>
        <w:wordWrap/>
        <w:overflowPunct/>
        <w:topLinePunct w:val="0"/>
        <w:bidi w:val="0"/>
        <w:spacing w:beforeAutospacing="0" w:afterAutospacing="0" w:line="420" w:lineRule="exact"/>
        <w:ind w:left="0" w:leftChars="0"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rPr>
        <w:t>12.1</w:t>
      </w:r>
      <w:r>
        <w:rPr>
          <w:rFonts w:hint="eastAsia" w:ascii="宋体" w:hAnsi="宋体" w:eastAsia="宋体" w:cs="宋体"/>
          <w:b/>
          <w:bCs/>
          <w:color w:val="auto"/>
          <w:kern w:val="0"/>
          <w:sz w:val="22"/>
          <w:szCs w:val="22"/>
          <w:highlight w:val="none"/>
        </w:rPr>
        <w:t>评标委员会按评审后汇总得分由高到低顺序排列。汇总得分相同的，</w:t>
      </w:r>
      <w:r>
        <w:rPr>
          <w:rFonts w:hint="eastAsia" w:ascii="宋体" w:hAnsi="宋体" w:eastAsia="宋体" w:cs="宋体"/>
          <w:b/>
          <w:bCs/>
          <w:color w:val="auto"/>
          <w:kern w:val="0"/>
          <w:sz w:val="22"/>
          <w:szCs w:val="22"/>
          <w:highlight w:val="none"/>
          <w:lang w:val="en-US" w:eastAsia="zh-CN"/>
        </w:rPr>
        <w:t>按</w:t>
      </w:r>
      <w:r>
        <w:rPr>
          <w:rFonts w:hint="eastAsia" w:ascii="宋体" w:hAnsi="宋体" w:eastAsia="宋体" w:cs="宋体"/>
          <w:b/>
          <w:bCs/>
          <w:color w:val="auto"/>
          <w:kern w:val="0"/>
          <w:sz w:val="22"/>
          <w:szCs w:val="22"/>
          <w:highlight w:val="none"/>
        </w:rPr>
        <w:t>响应报价由低到高排序</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综合评分得分和响应报价均相同的，按技术分由高到低顺序排列；前款不能确定的，按《政府采购货物和服务招标投标管理办法》（财政部令第 87 号）第六十八条 由评标委员会随机抽取的方式确定。</w:t>
      </w:r>
    </w:p>
    <w:p w14:paraId="07E73F8E">
      <w:pPr>
        <w:keepNext w:val="0"/>
        <w:keepLines w:val="0"/>
        <w:pageBreakBefore w:val="0"/>
        <w:widowControl w:val="0"/>
        <w:kinsoku/>
        <w:wordWrap/>
        <w:overflowPunct/>
        <w:topLinePunct w:val="0"/>
        <w:bidi w:val="0"/>
        <w:spacing w:beforeAutospacing="0" w:afterAutospacing="0" w:line="420" w:lineRule="exact"/>
        <w:ind w:left="0" w:leftChars="0"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12</w:t>
      </w:r>
      <w:r>
        <w:rPr>
          <w:rFonts w:hint="eastAsia" w:ascii="宋体" w:hAnsi="宋体" w:eastAsia="宋体" w:cs="宋体"/>
          <w:b/>
          <w:bCs/>
          <w:color w:val="auto"/>
          <w:kern w:val="0"/>
          <w:sz w:val="22"/>
          <w:szCs w:val="22"/>
          <w:highlight w:val="none"/>
          <w:lang w:val="en-US" w:eastAsia="zh-CN"/>
        </w:rPr>
        <w:t>.2</w:t>
      </w:r>
      <w:r>
        <w:rPr>
          <w:rFonts w:hint="eastAsia" w:ascii="宋体" w:hAnsi="宋体" w:eastAsia="宋体" w:cs="宋体"/>
          <w:b/>
          <w:bCs/>
          <w:color w:val="auto"/>
          <w:kern w:val="0"/>
          <w:sz w:val="22"/>
          <w:szCs w:val="22"/>
          <w:highlight w:val="none"/>
        </w:rPr>
        <w:t>评标委员会根据排序从后往前按比例淘汰单位（淘汰比例为进入排序单位数量的20%，且至少淘汰一家供应商，向上取整数），淘汰后剩余单位多于</w:t>
      </w:r>
      <w:r>
        <w:rPr>
          <w:rFonts w:hint="eastAsia" w:ascii="宋体" w:hAnsi="宋体" w:eastAsia="宋体" w:cs="宋体"/>
          <w:b/>
          <w:bCs/>
          <w:color w:val="auto"/>
          <w:kern w:val="0"/>
          <w:sz w:val="22"/>
          <w:szCs w:val="22"/>
          <w:highlight w:val="none"/>
          <w:lang w:val="en-US" w:eastAsia="zh-CN"/>
        </w:rPr>
        <w:t>3</w:t>
      </w:r>
      <w:r>
        <w:rPr>
          <w:rFonts w:hint="eastAsia" w:ascii="宋体" w:hAnsi="宋体" w:eastAsia="宋体" w:cs="宋体"/>
          <w:b/>
          <w:bCs/>
          <w:color w:val="auto"/>
          <w:kern w:val="0"/>
          <w:sz w:val="22"/>
          <w:szCs w:val="22"/>
          <w:highlight w:val="none"/>
        </w:rPr>
        <w:t>家，按照排序先后选择</w:t>
      </w:r>
      <w:r>
        <w:rPr>
          <w:rFonts w:hint="eastAsia" w:ascii="宋体" w:hAnsi="宋体" w:eastAsia="宋体" w:cs="宋体"/>
          <w:b/>
          <w:bCs/>
          <w:color w:val="auto"/>
          <w:kern w:val="0"/>
          <w:sz w:val="22"/>
          <w:szCs w:val="22"/>
          <w:highlight w:val="none"/>
          <w:lang w:val="en-US" w:eastAsia="zh-CN"/>
        </w:rPr>
        <w:t>3</w:t>
      </w:r>
      <w:r>
        <w:rPr>
          <w:rFonts w:hint="eastAsia" w:ascii="宋体" w:hAnsi="宋体" w:eastAsia="宋体" w:cs="宋体"/>
          <w:b/>
          <w:bCs/>
          <w:color w:val="auto"/>
          <w:kern w:val="0"/>
          <w:sz w:val="22"/>
          <w:szCs w:val="22"/>
          <w:highlight w:val="none"/>
        </w:rPr>
        <w:t>家单位。</w:t>
      </w:r>
    </w:p>
    <w:p w14:paraId="7BD1E9C9">
      <w:pPr>
        <w:keepNext w:val="0"/>
        <w:keepLines w:val="0"/>
        <w:pageBreakBefore w:val="0"/>
        <w:widowControl w:val="0"/>
        <w:kinsoku/>
        <w:wordWrap/>
        <w:overflowPunct/>
        <w:topLinePunct w:val="0"/>
        <w:bidi w:val="0"/>
        <w:spacing w:beforeAutospacing="0" w:afterAutospacing="0" w:line="420" w:lineRule="exact"/>
        <w:ind w:left="0" w:leftChars="0" w:firstLine="442" w:firstLineChars="20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12.</w:t>
      </w:r>
      <w:r>
        <w:rPr>
          <w:rFonts w:hint="eastAsia" w:ascii="宋体" w:hAnsi="宋体" w:eastAsia="宋体" w:cs="宋体"/>
          <w:b/>
          <w:bCs/>
          <w:color w:val="auto"/>
          <w:kern w:val="0"/>
          <w:sz w:val="22"/>
          <w:szCs w:val="22"/>
          <w:highlight w:val="none"/>
          <w:lang w:val="en-US" w:eastAsia="zh-CN"/>
        </w:rPr>
        <w:t>3</w:t>
      </w:r>
      <w:r>
        <w:rPr>
          <w:rFonts w:hint="eastAsia" w:ascii="宋体" w:hAnsi="宋体" w:eastAsia="宋体" w:cs="宋体"/>
          <w:b/>
          <w:bCs/>
          <w:color w:val="auto"/>
          <w:kern w:val="0"/>
          <w:sz w:val="22"/>
          <w:szCs w:val="22"/>
          <w:highlight w:val="none"/>
        </w:rPr>
        <w:t>入围供应商数量：最多</w:t>
      </w:r>
      <w:r>
        <w:rPr>
          <w:rFonts w:hint="eastAsia" w:ascii="宋体" w:hAnsi="宋体" w:eastAsia="宋体" w:cs="宋体"/>
          <w:b/>
          <w:bCs/>
          <w:color w:val="auto"/>
          <w:kern w:val="0"/>
          <w:sz w:val="22"/>
          <w:szCs w:val="22"/>
          <w:highlight w:val="none"/>
          <w:lang w:val="en-US" w:eastAsia="zh-CN"/>
        </w:rPr>
        <w:t>3</w:t>
      </w:r>
      <w:r>
        <w:rPr>
          <w:rFonts w:hint="eastAsia" w:ascii="宋体" w:hAnsi="宋体" w:eastAsia="宋体" w:cs="宋体"/>
          <w:b/>
          <w:bCs/>
          <w:color w:val="auto"/>
          <w:kern w:val="0"/>
          <w:sz w:val="22"/>
          <w:szCs w:val="22"/>
          <w:highlight w:val="none"/>
        </w:rPr>
        <w:t>家。</w:t>
      </w:r>
    </w:p>
    <w:p w14:paraId="5CE605D2">
      <w:pPr>
        <w:pStyle w:val="14"/>
        <w:keepNext w:val="0"/>
        <w:keepLines w:val="0"/>
        <w:pageBreakBefore w:val="0"/>
        <w:widowControl w:val="0"/>
        <w:kinsoku/>
        <w:wordWrap/>
        <w:overflowPunct/>
        <w:topLinePunct w:val="0"/>
        <w:bidi w:val="0"/>
        <w:adjustRightInd w:val="0"/>
        <w:spacing w:beforeAutospacing="0" w:afterAutospacing="0" w:line="420" w:lineRule="exact"/>
        <w:ind w:left="0" w:leftChars="0" w:firstLine="52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pacing w:val="20"/>
          <w:sz w:val="22"/>
          <w:szCs w:val="22"/>
          <w:highlight w:val="none"/>
        </w:rPr>
        <w:t>13</w:t>
      </w:r>
      <w:r>
        <w:rPr>
          <w:rFonts w:hint="eastAsia" w:ascii="宋体" w:hAnsi="宋体" w:eastAsia="宋体" w:cs="宋体"/>
          <w:b/>
          <w:bCs/>
          <w:color w:val="auto"/>
          <w:spacing w:val="20"/>
          <w:sz w:val="22"/>
          <w:szCs w:val="22"/>
          <w:highlight w:val="none"/>
          <w:lang w:val="en-US" w:eastAsia="zh-CN"/>
        </w:rPr>
        <w:t>.</w:t>
      </w:r>
      <w:r>
        <w:rPr>
          <w:rFonts w:hint="eastAsia" w:ascii="宋体" w:hAnsi="宋体" w:eastAsia="宋体" w:cs="宋体"/>
          <w:b/>
          <w:bCs/>
          <w:color w:val="auto"/>
          <w:spacing w:val="20"/>
          <w:sz w:val="22"/>
          <w:szCs w:val="22"/>
          <w:highlight w:val="none"/>
        </w:rPr>
        <w:t>投标无效。</w:t>
      </w:r>
      <w:r>
        <w:rPr>
          <w:rFonts w:hint="eastAsia" w:ascii="宋体" w:hAnsi="宋体" w:eastAsia="宋体" w:cs="宋体"/>
          <w:color w:val="auto"/>
          <w:sz w:val="22"/>
          <w:szCs w:val="22"/>
          <w:highlight w:val="none"/>
        </w:rPr>
        <w:t>有下列情况之一的，投标无效：</w:t>
      </w:r>
    </w:p>
    <w:p w14:paraId="708F7200">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13.1单位负责人为同一人或者存在直接控股、管理关系的不同供应商参加同一合同项下的政府采购活动的（均无效）；</w:t>
      </w:r>
    </w:p>
    <w:p w14:paraId="4F208372">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13.2为采购项目提供整体设计、规范编制或者项目管理、监理、检测等服务的供应商再参加该采购项目的其他采购活动的；</w:t>
      </w:r>
    </w:p>
    <w:p w14:paraId="06D9A286">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13.3供应商不具备</w:t>
      </w:r>
      <w:r>
        <w:rPr>
          <w:rFonts w:hint="eastAsia" w:ascii="宋体" w:hAnsi="宋体" w:cs="宋体"/>
          <w:color w:val="auto"/>
          <w:sz w:val="22"/>
          <w:szCs w:val="22"/>
          <w:highlight w:val="none"/>
          <w:lang w:eastAsia="zh-CN"/>
        </w:rPr>
        <w:t>征集文件</w:t>
      </w:r>
      <w:r>
        <w:rPr>
          <w:rFonts w:hint="eastAsia" w:ascii="宋体" w:hAnsi="宋体" w:eastAsia="宋体" w:cs="宋体"/>
          <w:color w:val="auto"/>
          <w:sz w:val="22"/>
          <w:szCs w:val="22"/>
          <w:highlight w:val="none"/>
        </w:rPr>
        <w:t>中规定的资格要求的（供应商未提供有效的资格证明文件的，视为供应商不具备</w:t>
      </w:r>
      <w:r>
        <w:rPr>
          <w:rFonts w:hint="eastAsia" w:ascii="宋体" w:hAnsi="宋体" w:cs="宋体"/>
          <w:color w:val="auto"/>
          <w:sz w:val="22"/>
          <w:szCs w:val="22"/>
          <w:highlight w:val="none"/>
          <w:lang w:eastAsia="zh-CN"/>
        </w:rPr>
        <w:t>征集文件</w:t>
      </w:r>
      <w:r>
        <w:rPr>
          <w:rFonts w:hint="eastAsia" w:ascii="宋体" w:hAnsi="宋体" w:eastAsia="宋体" w:cs="宋体"/>
          <w:color w:val="auto"/>
          <w:sz w:val="22"/>
          <w:szCs w:val="22"/>
          <w:highlight w:val="none"/>
        </w:rPr>
        <w:t>中规定的资格要求）；</w:t>
      </w:r>
    </w:p>
    <w:p w14:paraId="4F7722B7">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13.4</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未按</w:t>
      </w:r>
      <w:r>
        <w:rPr>
          <w:rFonts w:hint="eastAsia" w:ascii="宋体" w:hAnsi="宋体" w:cs="宋体"/>
          <w:color w:val="auto"/>
          <w:sz w:val="22"/>
          <w:szCs w:val="22"/>
          <w:highlight w:val="none"/>
          <w:lang w:eastAsia="zh-CN"/>
        </w:rPr>
        <w:t>征集文件</w:t>
      </w:r>
      <w:r>
        <w:rPr>
          <w:rFonts w:hint="eastAsia" w:ascii="宋体" w:hAnsi="宋体" w:eastAsia="宋体" w:cs="宋体"/>
          <w:color w:val="auto"/>
          <w:sz w:val="22"/>
          <w:szCs w:val="22"/>
          <w:highlight w:val="none"/>
        </w:rPr>
        <w:t>的澄清、修改的内容编制，又不符合实质性要求的；</w:t>
      </w:r>
    </w:p>
    <w:p w14:paraId="21DDF6CF">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lang w:val="en-US" w:eastAsia="zh-CN"/>
        </w:rPr>
        <w:t>5</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中法定代表人授权书所载内容与本项目内容有异的；</w:t>
      </w:r>
    </w:p>
    <w:p w14:paraId="75DFFAC0">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lang w:val="en-US" w:eastAsia="zh-CN"/>
        </w:rPr>
        <w:t>6</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未按照</w:t>
      </w:r>
      <w:r>
        <w:rPr>
          <w:rFonts w:hint="eastAsia" w:ascii="宋体" w:hAnsi="宋体" w:cs="宋体"/>
          <w:color w:val="auto"/>
          <w:sz w:val="22"/>
          <w:szCs w:val="22"/>
          <w:highlight w:val="none"/>
          <w:lang w:eastAsia="zh-CN"/>
        </w:rPr>
        <w:t>征集文件</w:t>
      </w:r>
      <w:r>
        <w:rPr>
          <w:rFonts w:hint="eastAsia" w:ascii="宋体" w:hAnsi="宋体" w:eastAsia="宋体" w:cs="宋体"/>
          <w:color w:val="auto"/>
          <w:sz w:val="22"/>
          <w:szCs w:val="22"/>
          <w:highlight w:val="none"/>
        </w:rPr>
        <w:t>要求签署、盖章的；</w:t>
      </w:r>
    </w:p>
    <w:p w14:paraId="555E12BF">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未传输递交电子</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的或规定时间内未解密或解密失败的；</w:t>
      </w:r>
    </w:p>
    <w:p w14:paraId="5B97B6F9">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采购人拟采购的产品属于政府强制采购的节能产品品目清单范围的，供应商未按</w:t>
      </w:r>
      <w:r>
        <w:rPr>
          <w:rFonts w:hint="eastAsia" w:ascii="宋体" w:hAnsi="宋体" w:cs="宋体"/>
          <w:color w:val="auto"/>
          <w:sz w:val="22"/>
          <w:szCs w:val="22"/>
          <w:highlight w:val="none"/>
          <w:lang w:eastAsia="zh-CN"/>
        </w:rPr>
        <w:t>征集文件</w:t>
      </w:r>
      <w:r>
        <w:rPr>
          <w:rFonts w:hint="eastAsia" w:ascii="宋体" w:hAnsi="宋体" w:eastAsia="宋体" w:cs="宋体"/>
          <w:color w:val="auto"/>
          <w:sz w:val="22"/>
          <w:szCs w:val="22"/>
          <w:highlight w:val="none"/>
        </w:rPr>
        <w:t>要求提供国家确定的认证机构出具的、处于有效期之内的节能产品认证证书的；</w:t>
      </w:r>
    </w:p>
    <w:p w14:paraId="7AD6B8E7">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lang w:val="en-US" w:eastAsia="zh-CN"/>
        </w:rPr>
        <w:t>9</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含有采购人不能接受的附加条件的；</w:t>
      </w:r>
    </w:p>
    <w:p w14:paraId="26D08CDA">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中承诺的投标有效期少于</w:t>
      </w:r>
      <w:r>
        <w:rPr>
          <w:rFonts w:hint="eastAsia" w:ascii="宋体" w:hAnsi="宋体" w:cs="宋体"/>
          <w:color w:val="auto"/>
          <w:sz w:val="22"/>
          <w:szCs w:val="22"/>
          <w:highlight w:val="none"/>
          <w:lang w:eastAsia="zh-CN"/>
        </w:rPr>
        <w:t>征集文件</w:t>
      </w:r>
      <w:r>
        <w:rPr>
          <w:rFonts w:hint="eastAsia" w:ascii="宋体" w:hAnsi="宋体" w:eastAsia="宋体" w:cs="宋体"/>
          <w:color w:val="auto"/>
          <w:sz w:val="22"/>
          <w:szCs w:val="22"/>
          <w:highlight w:val="none"/>
        </w:rPr>
        <w:t>中载明的投标有效期的；</w:t>
      </w:r>
    </w:p>
    <w:p w14:paraId="7F3A2C5A">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供应商所投内容不符合采购需求中实质性要求的；</w:t>
      </w:r>
    </w:p>
    <w:p w14:paraId="40FCCA8E">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出现不是唯一的、有选择性投标报价的</w:t>
      </w:r>
      <w:r>
        <w:rPr>
          <w:rFonts w:hint="eastAsia" w:ascii="宋体" w:hAnsi="宋体" w:eastAsia="宋体" w:cs="宋体"/>
          <w:color w:val="auto"/>
          <w:sz w:val="22"/>
          <w:szCs w:val="22"/>
          <w:highlight w:val="none"/>
          <w:lang w:eastAsia="zh-CN"/>
        </w:rPr>
        <w:t>；</w:t>
      </w:r>
    </w:p>
    <w:p w14:paraId="5C8EF1F7">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投标报价高于本项目采购预算或者最高限价的</w:t>
      </w:r>
      <w:r>
        <w:rPr>
          <w:rFonts w:hint="eastAsia" w:ascii="宋体" w:hAnsi="宋体" w:eastAsia="宋体" w:cs="宋体"/>
          <w:color w:val="auto"/>
          <w:sz w:val="22"/>
          <w:szCs w:val="22"/>
          <w:highlight w:val="none"/>
          <w:lang w:eastAsia="zh-CN"/>
        </w:rPr>
        <w:t>；</w:t>
      </w:r>
    </w:p>
    <w:p w14:paraId="436E8027">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《开标一览表》填写不完整或字迹不能辨认或有漏项的；</w:t>
      </w:r>
    </w:p>
    <w:p w14:paraId="097031FD">
      <w:pPr>
        <w:pStyle w:val="5"/>
        <w:keepNext w:val="0"/>
        <w:keepLines w:val="0"/>
        <w:pageBreakBefore w:val="0"/>
        <w:widowControl w:val="0"/>
        <w:numPr>
          <w:ilvl w:val="0"/>
          <w:numId w:val="0"/>
        </w:numPr>
        <w:kinsoku/>
        <w:wordWrap/>
        <w:overflowPunct/>
        <w:topLinePunct w:val="0"/>
        <w:bidi w:val="0"/>
        <w:spacing w:beforeAutospacing="0" w:afterAutospacing="0" w:line="420" w:lineRule="exact"/>
        <w:ind w:left="0" w:leftChars="0" w:firstLine="442"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13.15</w:t>
      </w:r>
      <w:r>
        <w:rPr>
          <w:rFonts w:hint="eastAsia" w:ascii="宋体" w:hAnsi="宋体" w:eastAsia="宋体" w:cs="宋体"/>
          <w:color w:val="auto"/>
          <w:sz w:val="22"/>
          <w:szCs w:val="22"/>
          <w:highlight w:val="none"/>
        </w:rPr>
        <w:t>报价明显低于其他通过符合性审查投标人的报价，有可能影响产品质量或者不能诚信履约的，未能按要求提供书面说明或者提交相关证明材料，不能证明其报价合理性的;</w:t>
      </w:r>
    </w:p>
    <w:p w14:paraId="78DCABD7">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供应商提供虚假材料投标的（包括但不限于以下情节）；</w:t>
      </w:r>
    </w:p>
    <w:p w14:paraId="45D8EC25">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.1使用伪造、变造的许可证件；</w:t>
      </w:r>
    </w:p>
    <w:p w14:paraId="75C76059">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.2提供虚假的财务状况或者业绩；</w:t>
      </w:r>
    </w:p>
    <w:p w14:paraId="0561AA3B">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.3提供虚假的项目负责人或者主要技术人员简历、劳动关系证明；</w:t>
      </w:r>
    </w:p>
    <w:p w14:paraId="1D131548">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.4提供虚假的信用状况；</w:t>
      </w:r>
    </w:p>
    <w:p w14:paraId="5D3B62F9">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.5其他弄虚作假的行为。</w:t>
      </w:r>
    </w:p>
    <w:p w14:paraId="307A4BEE">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供应商有恶意串通、妨碍其他供应商的竞争行为、损害采购人或者其他供应商的合法权益情形的；有下列情形之一的，属于或视为恶意串通，其投标无效；</w:t>
      </w:r>
    </w:p>
    <w:p w14:paraId="5182A919">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.1供应商直接或者间接从采购人或者采购代理机构处获得其他供应商的相关情况并修改其</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或者响应文件；</w:t>
      </w:r>
    </w:p>
    <w:p w14:paraId="390A449F">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.2供应商按照采购人或者采购代理机构的授意撤换、修改</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或者响应文件；</w:t>
      </w:r>
    </w:p>
    <w:p w14:paraId="450E275E">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.3供应商之间协商报价、技术方案等</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或者响应文件的实质性内容；</w:t>
      </w:r>
    </w:p>
    <w:p w14:paraId="18A4BCB7">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.4属于同一集团、协会、商会等组织成员的供应商按照该组织要求协同参加政府采购活动；</w:t>
      </w:r>
    </w:p>
    <w:p w14:paraId="7F55296E">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.5供应商之间事先约定由某一特定供应商入围、成交；</w:t>
      </w:r>
    </w:p>
    <w:p w14:paraId="0764C916">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.6供应商之间商定部分供应商放弃参加政府采购活动或者放弃入围、成交；</w:t>
      </w:r>
    </w:p>
    <w:p w14:paraId="430D7540">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lang w:val="en-US" w:eastAsia="zh-CN"/>
        </w:rPr>
        <w:t>17</w:t>
      </w:r>
      <w:r>
        <w:rPr>
          <w:rFonts w:hint="eastAsia" w:ascii="宋体" w:hAnsi="宋体" w:eastAsia="宋体" w:cs="宋体"/>
          <w:color w:val="auto"/>
          <w:sz w:val="22"/>
          <w:szCs w:val="22"/>
          <w:highlight w:val="none"/>
        </w:rPr>
        <w:t>.7供应商与采购人或者采购代理机构之间、供应商相互之间，为谋求特定供应商中标、成交或者排斥其他供应商的其他串通行为。</w:t>
      </w:r>
    </w:p>
    <w:p w14:paraId="528FD2FE">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.8不同供应商的</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由同一单位或者个人编制；</w:t>
      </w:r>
    </w:p>
    <w:p w14:paraId="009EA725">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.9不同供应商委托同一单位或者个人办理投标事宜；</w:t>
      </w:r>
    </w:p>
    <w:p w14:paraId="2F5BF7A2">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.10不同供应商的</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载明的项目管理成员或者联系人员为同一人；</w:t>
      </w:r>
    </w:p>
    <w:p w14:paraId="6091E0C1">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.11不同投标人的</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异常一致或者投标报价呈规律性差异；</w:t>
      </w:r>
    </w:p>
    <w:p w14:paraId="4710BAA9">
      <w:pPr>
        <w:pStyle w:val="11"/>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13.1</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不同投标人的</w:t>
      </w:r>
      <w:r>
        <w:rPr>
          <w:rFonts w:hint="eastAsia" w:hAnsi="宋体" w:cs="宋体"/>
          <w:color w:val="auto"/>
          <w:sz w:val="22"/>
          <w:szCs w:val="22"/>
          <w:highlight w:val="none"/>
          <w:lang w:eastAsia="zh-CN"/>
        </w:rPr>
        <w:t>响应文件</w:t>
      </w:r>
      <w:r>
        <w:rPr>
          <w:rFonts w:hint="eastAsia" w:ascii="宋体" w:hAnsi="宋体" w:eastAsia="宋体" w:cs="宋体"/>
          <w:color w:val="auto"/>
          <w:sz w:val="22"/>
          <w:szCs w:val="22"/>
          <w:highlight w:val="none"/>
        </w:rPr>
        <w:t>相互混装；</w:t>
      </w:r>
    </w:p>
    <w:p w14:paraId="3239070C">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lang w:val="en-US" w:eastAsia="zh-CN"/>
        </w:rPr>
        <w:t>19</w:t>
      </w:r>
      <w:r>
        <w:rPr>
          <w:rFonts w:hint="eastAsia" w:ascii="宋体" w:hAnsi="宋体" w:eastAsia="宋体" w:cs="宋体"/>
          <w:color w:val="auto"/>
          <w:sz w:val="22"/>
          <w:szCs w:val="22"/>
          <w:highlight w:val="none"/>
        </w:rPr>
        <w:t>法律、法规、规章（适用本市的）及省级以上规范性文件（适用本市的）规定的其他无效情形。</w:t>
      </w:r>
    </w:p>
    <w:p w14:paraId="2FD56838">
      <w:pPr>
        <w:keepNext w:val="0"/>
        <w:keepLines w:val="0"/>
        <w:pageBreakBefore w:val="0"/>
        <w:widowControl w:val="0"/>
        <w:kinsoku/>
        <w:wordWrap/>
        <w:overflowPunct/>
        <w:topLinePunct w:val="0"/>
        <w:bidi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根据法律、法规或</w:t>
      </w:r>
      <w:r>
        <w:rPr>
          <w:rFonts w:hint="eastAsia" w:ascii="宋体" w:hAnsi="宋体" w:cs="宋体"/>
          <w:color w:val="auto"/>
          <w:sz w:val="22"/>
          <w:szCs w:val="22"/>
          <w:highlight w:val="none"/>
          <w:lang w:eastAsia="zh-CN"/>
        </w:rPr>
        <w:t>征集文件</w:t>
      </w:r>
      <w:r>
        <w:rPr>
          <w:rFonts w:hint="eastAsia" w:ascii="宋体" w:hAnsi="宋体" w:eastAsia="宋体" w:cs="宋体"/>
          <w:color w:val="auto"/>
          <w:sz w:val="22"/>
          <w:szCs w:val="22"/>
          <w:highlight w:val="none"/>
        </w:rPr>
        <w:t>要求，评标委员会认为应当作无效投标的其他情况。</w:t>
      </w:r>
    </w:p>
    <w:p w14:paraId="46128A9D">
      <w:pPr>
        <w:keepNext w:val="0"/>
        <w:keepLines w:val="0"/>
        <w:pageBreakBefore w:val="0"/>
        <w:widowControl w:val="0"/>
        <w:kinsoku/>
        <w:wordWrap/>
        <w:overflowPunct/>
        <w:topLinePunct w:val="0"/>
        <w:bidi w:val="0"/>
        <w:snapToGrid w:val="0"/>
        <w:spacing w:beforeAutospacing="0" w:afterAutospacing="0" w:line="420" w:lineRule="exact"/>
        <w:ind w:left="0" w:leftChars="0" w:firstLine="482" w:firstLineChars="200"/>
        <w:jc w:val="center"/>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五、评标报告</w:t>
      </w:r>
    </w:p>
    <w:p w14:paraId="65D3161F">
      <w:pPr>
        <w:pStyle w:val="37"/>
        <w:keepNext w:val="0"/>
        <w:keepLines w:val="0"/>
        <w:pageBreakBefore w:val="0"/>
        <w:widowControl w:val="0"/>
        <w:kinsoku/>
        <w:wordWrap/>
        <w:overflowPunct/>
        <w:topLinePunct w:val="0"/>
        <w:bidi w:val="0"/>
        <w:spacing w:before="0" w:beforeAutospacing="0" w:afterAutospacing="0" w:line="420" w:lineRule="exact"/>
        <w:ind w:left="0" w:leftChars="0"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14</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评标报告与推荐入围供应商。</w:t>
      </w:r>
      <w:r>
        <w:rPr>
          <w:rFonts w:hint="eastAsia" w:ascii="宋体" w:hAnsi="宋体" w:eastAsia="宋体" w:cs="宋体"/>
          <w:color w:val="auto"/>
          <w:sz w:val="22"/>
          <w:szCs w:val="22"/>
          <w:highlight w:val="none"/>
        </w:rPr>
        <w:t>评标委员会根据全体评标成员签字的原始评标记录和评标结果编写评标报告，并推荐</w:t>
      </w:r>
      <w:r>
        <w:rPr>
          <w:rFonts w:hint="eastAsia" w:ascii="宋体" w:hAnsi="宋体" w:eastAsia="宋体" w:cs="宋体"/>
          <w:bCs/>
          <w:color w:val="auto"/>
          <w:sz w:val="22"/>
          <w:szCs w:val="22"/>
          <w:highlight w:val="none"/>
        </w:rPr>
        <w:t>入围供应商</w:t>
      </w:r>
      <w:r>
        <w:rPr>
          <w:rFonts w:hint="eastAsia" w:ascii="宋体" w:hAnsi="宋体" w:eastAsia="宋体" w:cs="宋体"/>
          <w:color w:val="auto"/>
          <w:sz w:val="22"/>
          <w:szCs w:val="22"/>
          <w:highlight w:val="none"/>
        </w:rPr>
        <w:t>，评审报告由评标委员会成员签字确认提交。</w:t>
      </w:r>
    </w:p>
    <w:p w14:paraId="74307287">
      <w:pPr>
        <w:keepNext w:val="0"/>
        <w:keepLines w:val="0"/>
        <w:pageBreakBefore w:val="0"/>
        <w:widowControl w:val="0"/>
        <w:kinsoku/>
        <w:wordWrap/>
        <w:overflowPunct/>
        <w:topLinePunct w:val="0"/>
        <w:bidi w:val="0"/>
        <w:spacing w:beforeAutospacing="0" w:afterAutospacing="0" w:line="420" w:lineRule="exact"/>
        <w:ind w:left="0" w:leftChars="0" w:firstLine="442"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15</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评标争议事项处理。</w:t>
      </w:r>
      <w:r>
        <w:rPr>
          <w:rFonts w:hint="eastAsia" w:ascii="宋体" w:hAnsi="宋体" w:eastAsia="宋体" w:cs="宋体"/>
          <w:color w:val="auto"/>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E4EC68D">
      <w:pPr>
        <w:keepNext w:val="0"/>
        <w:keepLines w:val="0"/>
        <w:pageBreakBefore w:val="0"/>
        <w:widowControl w:val="0"/>
        <w:kinsoku/>
        <w:wordWrap/>
        <w:overflowPunct/>
        <w:topLinePunct w:val="0"/>
        <w:bidi w:val="0"/>
        <w:spacing w:beforeAutospacing="0" w:afterAutospacing="0" w:line="420" w:lineRule="exact"/>
        <w:ind w:left="0" w:leftChars="0" w:firstLine="482" w:firstLineChars="200"/>
        <w:jc w:val="center"/>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 废标</w:t>
      </w:r>
    </w:p>
    <w:p w14:paraId="60747950">
      <w:pPr>
        <w:pStyle w:val="14"/>
        <w:keepNext w:val="0"/>
        <w:keepLines w:val="0"/>
        <w:pageBreakBefore w:val="0"/>
        <w:widowControl w:val="0"/>
        <w:kinsoku/>
        <w:wordWrap/>
        <w:overflowPunct/>
        <w:topLinePunct w:val="0"/>
        <w:bidi w:val="0"/>
        <w:adjustRightInd w:val="0"/>
        <w:snapToGrid w:val="0"/>
        <w:spacing w:beforeAutospacing="0" w:afterAutospacing="0" w:line="420" w:lineRule="exact"/>
        <w:ind w:left="0" w:leftChars="0"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16</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废标。</w:t>
      </w:r>
      <w:r>
        <w:rPr>
          <w:rFonts w:hint="eastAsia" w:ascii="宋体" w:hAnsi="宋体" w:eastAsia="宋体" w:cs="宋体"/>
          <w:color w:val="auto"/>
          <w:sz w:val="22"/>
          <w:szCs w:val="22"/>
          <w:highlight w:val="none"/>
        </w:rPr>
        <w:t>根据《中华人民共和国政府采购法》第三十六条之规定，在采购中，出现下列情形之一的，应予废标：</w:t>
      </w:r>
    </w:p>
    <w:p w14:paraId="5C9805DE">
      <w:pPr>
        <w:pStyle w:val="14"/>
        <w:keepNext w:val="0"/>
        <w:keepLines w:val="0"/>
        <w:pageBreakBefore w:val="0"/>
        <w:widowControl w:val="0"/>
        <w:kinsoku/>
        <w:wordWrap/>
        <w:overflowPunct/>
        <w:topLinePunct w:val="0"/>
        <w:bidi w:val="0"/>
        <w:adjustRightInd w:val="0"/>
        <w:snapToGrid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16.1符合专业条件的供应商或者对</w:t>
      </w:r>
      <w:r>
        <w:rPr>
          <w:rFonts w:hint="eastAsia" w:cs="宋体"/>
          <w:color w:val="auto"/>
          <w:sz w:val="22"/>
          <w:szCs w:val="22"/>
          <w:highlight w:val="none"/>
          <w:lang w:eastAsia="zh-CN"/>
        </w:rPr>
        <w:t>征集文件</w:t>
      </w:r>
      <w:r>
        <w:rPr>
          <w:rFonts w:hint="eastAsia" w:ascii="宋体" w:hAnsi="宋体" w:eastAsia="宋体" w:cs="宋体"/>
          <w:color w:val="auto"/>
          <w:sz w:val="22"/>
          <w:szCs w:val="22"/>
          <w:highlight w:val="none"/>
        </w:rPr>
        <w:t>作实质响应的供应商不足3家的；</w:t>
      </w:r>
    </w:p>
    <w:p w14:paraId="55655C5A">
      <w:pPr>
        <w:pStyle w:val="14"/>
        <w:keepNext w:val="0"/>
        <w:keepLines w:val="0"/>
        <w:pageBreakBefore w:val="0"/>
        <w:widowControl w:val="0"/>
        <w:kinsoku/>
        <w:wordWrap/>
        <w:overflowPunct/>
        <w:topLinePunct w:val="0"/>
        <w:bidi w:val="0"/>
        <w:adjustRightInd w:val="0"/>
        <w:snapToGrid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16.2出现影响采购公正的违法、违规行为的；</w:t>
      </w:r>
    </w:p>
    <w:p w14:paraId="28FF6BD9">
      <w:pPr>
        <w:pStyle w:val="14"/>
        <w:keepNext w:val="0"/>
        <w:keepLines w:val="0"/>
        <w:pageBreakBefore w:val="0"/>
        <w:widowControl w:val="0"/>
        <w:kinsoku/>
        <w:wordWrap/>
        <w:overflowPunct/>
        <w:topLinePunct w:val="0"/>
        <w:bidi w:val="0"/>
        <w:adjustRightInd w:val="0"/>
        <w:snapToGrid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16.3因重大变故，采购任务取消的。</w:t>
      </w:r>
    </w:p>
    <w:p w14:paraId="2F823277">
      <w:pPr>
        <w:pStyle w:val="14"/>
        <w:keepNext w:val="0"/>
        <w:keepLines w:val="0"/>
        <w:pageBreakBefore w:val="0"/>
        <w:widowControl w:val="0"/>
        <w:kinsoku/>
        <w:wordWrap/>
        <w:overflowPunct/>
        <w:topLinePunct w:val="0"/>
        <w:bidi w:val="0"/>
        <w:adjustRightInd w:val="0"/>
        <w:snapToGrid w:val="0"/>
        <w:spacing w:beforeAutospacing="0" w:afterAutospacing="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废标后，采购代理机构应当将废标理由通知所有供应商。</w:t>
      </w:r>
    </w:p>
    <w:p w14:paraId="68E8E423">
      <w:pPr>
        <w:keepNext w:val="0"/>
        <w:keepLines w:val="0"/>
        <w:pageBreakBefore w:val="0"/>
        <w:widowControl w:val="0"/>
        <w:kinsoku/>
        <w:wordWrap/>
        <w:overflowPunct/>
        <w:topLinePunct w:val="0"/>
        <w:bidi w:val="0"/>
        <w:snapToGrid w:val="0"/>
        <w:spacing w:beforeAutospacing="0" w:afterAutospacing="0" w:line="420" w:lineRule="exact"/>
        <w:ind w:left="0" w:leftChars="0" w:firstLine="442" w:firstLineChars="200"/>
        <w:jc w:val="center"/>
        <w:textAlignment w:val="auto"/>
        <w:outlineLvl w:val="1"/>
        <w:rPr>
          <w:rFonts w:hint="eastAsia" w:ascii="宋体" w:hAnsi="宋体" w:eastAsia="宋体" w:cs="宋体"/>
          <w:b/>
          <w:bCs/>
          <w:color w:val="auto"/>
          <w:sz w:val="22"/>
          <w:szCs w:val="22"/>
          <w:highlight w:val="none"/>
        </w:rPr>
      </w:pPr>
    </w:p>
    <w:p w14:paraId="07217C3E">
      <w:pPr>
        <w:keepNext w:val="0"/>
        <w:keepLines w:val="0"/>
        <w:pageBreakBefore w:val="0"/>
        <w:widowControl w:val="0"/>
        <w:kinsoku/>
        <w:wordWrap/>
        <w:overflowPunct/>
        <w:topLinePunct w:val="0"/>
        <w:bidi w:val="0"/>
        <w:snapToGrid w:val="0"/>
        <w:spacing w:beforeAutospacing="0" w:afterAutospacing="0" w:line="480" w:lineRule="exact"/>
        <w:ind w:left="0" w:leftChars="0" w:firstLine="482" w:firstLineChars="200"/>
        <w:jc w:val="center"/>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七、重新组织采购或补充征集供应商</w:t>
      </w:r>
    </w:p>
    <w:p w14:paraId="77D8E4AF">
      <w:pPr>
        <w:pStyle w:val="14"/>
        <w:keepNext w:val="0"/>
        <w:keepLines w:val="0"/>
        <w:pageBreakBefore w:val="0"/>
        <w:widowControl w:val="0"/>
        <w:kinsoku/>
        <w:wordWrap/>
        <w:overflowPunct/>
        <w:topLinePunct w:val="0"/>
        <w:bidi w:val="0"/>
        <w:adjustRightInd w:val="0"/>
        <w:snapToGrid w:val="0"/>
        <w:spacing w:beforeAutospacing="0" w:afterAutospacing="0" w:line="480" w:lineRule="exact"/>
        <w:ind w:left="0" w:leftChars="0"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17</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修改</w:t>
      </w:r>
      <w:r>
        <w:rPr>
          <w:rFonts w:hint="eastAsia" w:cs="宋体"/>
          <w:b/>
          <w:bCs/>
          <w:color w:val="auto"/>
          <w:sz w:val="22"/>
          <w:szCs w:val="22"/>
          <w:highlight w:val="none"/>
          <w:lang w:eastAsia="zh-CN"/>
        </w:rPr>
        <w:t>征集文件</w:t>
      </w:r>
      <w:r>
        <w:rPr>
          <w:rFonts w:hint="eastAsia" w:ascii="宋体" w:hAnsi="宋体" w:eastAsia="宋体" w:cs="宋体"/>
          <w:b/>
          <w:bCs/>
          <w:color w:val="auto"/>
          <w:sz w:val="22"/>
          <w:szCs w:val="22"/>
          <w:highlight w:val="none"/>
        </w:rPr>
        <w:t>，重新组织采购活动。</w:t>
      </w:r>
      <w:r>
        <w:rPr>
          <w:rFonts w:hint="eastAsia" w:ascii="宋体" w:hAnsi="宋体" w:eastAsia="宋体" w:cs="宋体"/>
          <w:color w:val="auto"/>
          <w:sz w:val="22"/>
          <w:szCs w:val="22"/>
          <w:highlight w:val="none"/>
        </w:rPr>
        <w:t>评标委员会发现</w:t>
      </w:r>
      <w:r>
        <w:rPr>
          <w:rFonts w:hint="eastAsia" w:cs="宋体"/>
          <w:color w:val="auto"/>
          <w:sz w:val="22"/>
          <w:szCs w:val="22"/>
          <w:highlight w:val="none"/>
          <w:lang w:eastAsia="zh-CN"/>
        </w:rPr>
        <w:t>征集文件</w:t>
      </w:r>
      <w:r>
        <w:rPr>
          <w:rFonts w:hint="eastAsia" w:ascii="宋体" w:hAnsi="宋体" w:eastAsia="宋体" w:cs="宋体"/>
          <w:color w:val="auto"/>
          <w:sz w:val="22"/>
          <w:szCs w:val="22"/>
          <w:highlight w:val="none"/>
        </w:rPr>
        <w:t>存在歧义、重大缺陷且无法修正导致评标工作无法进行，或者</w:t>
      </w:r>
      <w:r>
        <w:rPr>
          <w:rFonts w:hint="eastAsia" w:cs="宋体"/>
          <w:color w:val="auto"/>
          <w:sz w:val="22"/>
          <w:szCs w:val="22"/>
          <w:highlight w:val="none"/>
          <w:lang w:eastAsia="zh-CN"/>
        </w:rPr>
        <w:t>征集文件</w:t>
      </w:r>
      <w:r>
        <w:rPr>
          <w:rFonts w:hint="eastAsia" w:ascii="宋体" w:hAnsi="宋体" w:eastAsia="宋体" w:cs="宋体"/>
          <w:color w:val="auto"/>
          <w:sz w:val="22"/>
          <w:szCs w:val="22"/>
          <w:highlight w:val="none"/>
        </w:rPr>
        <w:t>内容违反国家有关强制性规定的，将停止评标工作，并与采购人、采购代理机构沟通并作书面记录。采购人、采购代理机构确认后，将修改</w:t>
      </w:r>
      <w:r>
        <w:rPr>
          <w:rFonts w:hint="eastAsia" w:cs="宋体"/>
          <w:color w:val="auto"/>
          <w:sz w:val="22"/>
          <w:szCs w:val="22"/>
          <w:highlight w:val="none"/>
          <w:lang w:eastAsia="zh-CN"/>
        </w:rPr>
        <w:t>征集文件</w:t>
      </w:r>
      <w:r>
        <w:rPr>
          <w:rFonts w:hint="eastAsia" w:ascii="宋体" w:hAnsi="宋体" w:eastAsia="宋体" w:cs="宋体"/>
          <w:color w:val="auto"/>
          <w:sz w:val="22"/>
          <w:szCs w:val="22"/>
          <w:highlight w:val="none"/>
        </w:rPr>
        <w:t>，重新组织采购活动。</w:t>
      </w:r>
    </w:p>
    <w:p w14:paraId="506C9A35">
      <w:pPr>
        <w:pStyle w:val="14"/>
        <w:keepNext w:val="0"/>
        <w:keepLines w:val="0"/>
        <w:pageBreakBefore w:val="0"/>
        <w:widowControl w:val="0"/>
        <w:kinsoku/>
        <w:wordWrap/>
        <w:overflowPunct/>
        <w:topLinePunct w:val="0"/>
        <w:bidi w:val="0"/>
        <w:adjustRightInd w:val="0"/>
        <w:snapToGrid w:val="0"/>
        <w:spacing w:beforeAutospacing="0" w:afterAutospacing="0" w:line="48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18</w:t>
      </w:r>
      <w:r>
        <w:rPr>
          <w:rFonts w:hint="eastAsia" w:ascii="宋体" w:hAnsi="宋体" w:eastAsia="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rPr>
        <w:t>重新开展采购。</w:t>
      </w:r>
      <w:r>
        <w:rPr>
          <w:rFonts w:hint="eastAsia" w:ascii="宋体" w:hAnsi="宋体" w:eastAsia="宋体" w:cs="宋体"/>
          <w:b/>
          <w:bCs/>
          <w:color w:val="auto"/>
          <w:sz w:val="22"/>
          <w:szCs w:val="22"/>
          <w:highlight w:val="none"/>
        </w:rPr>
        <w:t>有政府采购法第七十一条、第七十二条规定的违法行为之一，影响或者可能影响入围结果的，依照下列规定处理：</w:t>
      </w:r>
    </w:p>
    <w:p w14:paraId="24820014">
      <w:pPr>
        <w:pStyle w:val="14"/>
        <w:keepNext w:val="0"/>
        <w:keepLines w:val="0"/>
        <w:pageBreakBefore w:val="0"/>
        <w:widowControl w:val="0"/>
        <w:kinsoku/>
        <w:wordWrap/>
        <w:overflowPunct/>
        <w:topLinePunct w:val="0"/>
        <w:bidi w:val="0"/>
        <w:adjustRightInd w:val="0"/>
        <w:snapToGrid w:val="0"/>
        <w:spacing w:beforeAutospacing="0" w:afterAutospacing="0" w:line="48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18.1未确定入围供应商的，终止本次政府采购活动，重新开展政府采购活动。</w:t>
      </w:r>
    </w:p>
    <w:p w14:paraId="63C9FD8A">
      <w:pPr>
        <w:pStyle w:val="14"/>
        <w:keepNext w:val="0"/>
        <w:keepLines w:val="0"/>
        <w:pageBreakBefore w:val="0"/>
        <w:widowControl w:val="0"/>
        <w:kinsoku/>
        <w:wordWrap/>
        <w:overflowPunct/>
        <w:topLinePunct w:val="0"/>
        <w:bidi w:val="0"/>
        <w:adjustRightInd w:val="0"/>
        <w:snapToGrid w:val="0"/>
        <w:spacing w:beforeAutospacing="0" w:afterAutospacing="0" w:line="48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18.2已确定入围供应商但尚未签订框架协议的，对违法单位直接取消其入围资格且禁止其参与下一次框架协议的签订。</w:t>
      </w:r>
    </w:p>
    <w:p w14:paraId="0B85EE86">
      <w:pPr>
        <w:pStyle w:val="14"/>
        <w:keepNext w:val="0"/>
        <w:keepLines w:val="0"/>
        <w:pageBreakBefore w:val="0"/>
        <w:widowControl w:val="0"/>
        <w:kinsoku/>
        <w:wordWrap/>
        <w:overflowPunct/>
        <w:topLinePunct w:val="0"/>
        <w:bidi w:val="0"/>
        <w:adjustRightInd w:val="0"/>
        <w:snapToGrid w:val="0"/>
        <w:spacing w:beforeAutospacing="0" w:afterAutospacing="0" w:line="48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18.3框架协议已签订但尚未履行的，取消其框架协议，被取消框架协议单位超过30%且影响框架协议执行的情形时，采购人将补充征集供应商，补充征集文件按照本次要求不得随意变更。</w:t>
      </w:r>
    </w:p>
    <w:p w14:paraId="201CB597">
      <w:pPr>
        <w:pStyle w:val="14"/>
        <w:keepNext w:val="0"/>
        <w:keepLines w:val="0"/>
        <w:pageBreakBefore w:val="0"/>
        <w:widowControl w:val="0"/>
        <w:kinsoku/>
        <w:wordWrap/>
        <w:overflowPunct/>
        <w:topLinePunct w:val="0"/>
        <w:bidi w:val="0"/>
        <w:adjustRightInd w:val="0"/>
        <w:snapToGrid w:val="0"/>
        <w:spacing w:beforeAutospacing="0" w:afterAutospacing="0" w:line="48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18.4单项服务合同已经履行，给采购人、供应商造成损失的，由责任人承担赔偿责任。</w:t>
      </w:r>
    </w:p>
    <w:p w14:paraId="582387B3">
      <w:pPr>
        <w:keepNext w:val="0"/>
        <w:keepLines w:val="0"/>
        <w:pageBreakBefore w:val="0"/>
        <w:widowControl w:val="0"/>
        <w:kinsoku/>
        <w:wordWrap/>
        <w:overflowPunct/>
        <w:topLinePunct w:val="0"/>
        <w:bidi w:val="0"/>
        <w:snapToGrid w:val="0"/>
        <w:spacing w:beforeAutospacing="0" w:afterAutospacing="0" w:line="480" w:lineRule="exact"/>
        <w:ind w:left="0" w:leftChars="0" w:firstLine="482" w:firstLineChars="200"/>
        <w:jc w:val="center"/>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八、评审过程的保密与录像</w:t>
      </w:r>
    </w:p>
    <w:p w14:paraId="6064AA6D">
      <w:pPr>
        <w:keepNext w:val="0"/>
        <w:keepLines w:val="0"/>
        <w:pageBreakBefore w:val="0"/>
        <w:widowControl w:val="0"/>
        <w:kinsoku/>
        <w:wordWrap/>
        <w:overflowPunct/>
        <w:topLinePunct w:val="0"/>
        <w:bidi w:val="0"/>
        <w:spacing w:beforeAutospacing="0" w:afterAutospacing="0" w:line="480" w:lineRule="exact"/>
        <w:ind w:left="0" w:leftChars="0"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19</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保密。</w:t>
      </w:r>
      <w:r>
        <w:rPr>
          <w:rFonts w:hint="eastAsia" w:ascii="宋体" w:hAnsi="宋体" w:eastAsia="宋体" w:cs="宋体"/>
          <w:color w:val="auto"/>
          <w:sz w:val="22"/>
          <w:szCs w:val="22"/>
          <w:highlight w:val="none"/>
        </w:rPr>
        <w:t>评审活动在严格保密的情况下进行。评审过程中凡是与采购响应文件评审和比较、入围供应商推荐等评审有关的情况，以及涉及国家秘密和商业秘密等信息，评审委员会成员、采购人和采购代理机构工作人员、相关监督人员等与评审有关的人员应当予以保密。</w:t>
      </w:r>
    </w:p>
    <w:p w14:paraId="2712E9E6">
      <w:pPr>
        <w:keepNext w:val="0"/>
        <w:keepLines w:val="0"/>
        <w:pageBreakBefore w:val="0"/>
        <w:widowControl w:val="0"/>
        <w:kinsoku/>
        <w:wordWrap/>
        <w:overflowPunct/>
        <w:topLinePunct w:val="0"/>
        <w:bidi w:val="0"/>
        <w:spacing w:beforeAutospacing="0" w:afterAutospacing="0" w:line="480" w:lineRule="exact"/>
        <w:ind w:left="0" w:leftChars="0"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20</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录音录像。</w:t>
      </w:r>
      <w:r>
        <w:rPr>
          <w:rFonts w:hint="eastAsia" w:ascii="宋体" w:hAnsi="宋体" w:eastAsia="宋体" w:cs="宋体"/>
          <w:color w:val="auto"/>
          <w:sz w:val="22"/>
          <w:szCs w:val="22"/>
          <w:highlight w:val="none"/>
        </w:rPr>
        <w:t>采购代理机构对评审工作现场进行全过程录音录像，录音录像资料作为采购项目文件随其他文件一并存档。</w:t>
      </w:r>
    </w:p>
    <w:p w14:paraId="5F5DA5B0">
      <w:pPr>
        <w:keepNext w:val="0"/>
        <w:keepLines w:val="0"/>
        <w:pageBreakBefore w:val="0"/>
        <w:widowControl w:val="0"/>
        <w:kinsoku/>
        <w:wordWrap/>
        <w:overflowPunct/>
        <w:topLinePunct w:val="0"/>
        <w:bidi w:val="0"/>
        <w:adjustRightInd/>
        <w:snapToGrid w:val="0"/>
        <w:spacing w:beforeAutospacing="0" w:afterAutospacing="0" w:line="360" w:lineRule="exact"/>
        <w:ind w:left="0" w:leftChars="0" w:firstLine="482" w:firstLineChars="200"/>
        <w:jc w:val="center"/>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九、具体评标标准</w:t>
      </w:r>
    </w:p>
    <w:p w14:paraId="6891D981">
      <w:pPr>
        <w:keepNext w:val="0"/>
        <w:keepLines w:val="0"/>
        <w:pageBreakBefore w:val="0"/>
        <w:widowControl w:val="0"/>
        <w:kinsoku/>
        <w:wordWrap/>
        <w:overflowPunct/>
        <w:topLinePunct w:val="0"/>
        <w:autoSpaceDE w:val="0"/>
        <w:autoSpaceDN w:val="0"/>
        <w:bidi w:val="0"/>
        <w:adjustRightInd/>
        <w:snapToGrid/>
        <w:spacing w:beforeAutospacing="0" w:afterAutospacing="0" w:line="48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本项目采用质量优先法，各供应商的最终得分为供应商的商务技术得分</w:t>
      </w:r>
      <w:r>
        <w:rPr>
          <w:rFonts w:hint="eastAsia" w:ascii="宋体" w:hAnsi="宋体" w:eastAsia="宋体" w:cs="宋体"/>
          <w:b/>
          <w:bCs/>
          <w:color w:val="auto"/>
          <w:sz w:val="22"/>
          <w:szCs w:val="22"/>
          <w:highlight w:val="none"/>
          <w:lang w:val="en-US" w:eastAsia="zh-CN"/>
        </w:rPr>
        <w:t>总和</w:t>
      </w:r>
      <w:r>
        <w:rPr>
          <w:rFonts w:hint="eastAsia" w:ascii="宋体" w:hAnsi="宋体" w:eastAsia="宋体" w:cs="宋体"/>
          <w:b/>
          <w:bCs/>
          <w:color w:val="auto"/>
          <w:sz w:val="22"/>
          <w:szCs w:val="22"/>
          <w:highlight w:val="none"/>
        </w:rPr>
        <w:t>，总分为</w:t>
      </w:r>
      <w:r>
        <w:rPr>
          <w:rFonts w:hint="eastAsia" w:ascii="宋体" w:hAnsi="宋体" w:eastAsia="宋体" w:cs="宋体"/>
          <w:b/>
          <w:bCs/>
          <w:color w:val="auto"/>
          <w:sz w:val="22"/>
          <w:szCs w:val="22"/>
          <w:highlight w:val="none"/>
          <w:u w:val="single"/>
        </w:rPr>
        <w:t>100</w:t>
      </w:r>
      <w:r>
        <w:rPr>
          <w:rFonts w:hint="eastAsia" w:ascii="宋体" w:hAnsi="宋体" w:eastAsia="宋体" w:cs="宋体"/>
          <w:b/>
          <w:bCs/>
          <w:color w:val="auto"/>
          <w:sz w:val="22"/>
          <w:szCs w:val="22"/>
          <w:highlight w:val="none"/>
        </w:rPr>
        <w:t>分。</w:t>
      </w:r>
    </w:p>
    <w:p w14:paraId="27DF2D80">
      <w:pPr>
        <w:keepNext w:val="0"/>
        <w:keepLines w:val="0"/>
        <w:pageBreakBefore w:val="0"/>
        <w:widowControl w:val="0"/>
        <w:kinsoku/>
        <w:wordWrap/>
        <w:overflowPunct/>
        <w:topLinePunct w:val="0"/>
        <w:autoSpaceDE w:val="0"/>
        <w:autoSpaceDN w:val="0"/>
        <w:bidi w:val="0"/>
        <w:adjustRightInd/>
        <w:snapToGrid/>
        <w:spacing w:beforeAutospacing="0" w:afterAutospacing="0" w:line="480" w:lineRule="exact"/>
        <w:ind w:left="0" w:lef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21.1</w:t>
      </w:r>
      <w:r>
        <w:rPr>
          <w:rFonts w:hint="eastAsia" w:ascii="宋体" w:hAnsi="宋体" w:eastAsia="宋体" w:cs="宋体"/>
          <w:b w:val="0"/>
          <w:bCs w:val="0"/>
          <w:color w:val="auto"/>
          <w:sz w:val="22"/>
          <w:szCs w:val="22"/>
          <w:highlight w:val="none"/>
        </w:rPr>
        <w:t>评标标准</w:t>
      </w:r>
    </w:p>
    <w:p w14:paraId="6E4A1E52">
      <w:pPr>
        <w:keepNext w:val="0"/>
        <w:keepLines w:val="0"/>
        <w:pageBreakBefore w:val="0"/>
        <w:widowControl w:val="0"/>
        <w:kinsoku/>
        <w:wordWrap/>
        <w:overflowPunct/>
        <w:topLinePunct w:val="0"/>
        <w:autoSpaceDE w:val="0"/>
        <w:autoSpaceDN w:val="0"/>
        <w:bidi w:val="0"/>
        <w:adjustRightInd/>
        <w:snapToGrid/>
        <w:spacing w:beforeAutospacing="0" w:afterAutospacing="0" w:line="480" w:lineRule="exact"/>
        <w:ind w:left="0" w:lef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各投标人的综合得分为报价得分和</w:t>
      </w:r>
      <w:r>
        <w:rPr>
          <w:rFonts w:hint="eastAsia" w:ascii="宋体" w:hAnsi="宋体" w:eastAsia="宋体" w:cs="宋体"/>
          <w:b w:val="0"/>
          <w:bCs w:val="0"/>
          <w:color w:val="auto"/>
          <w:sz w:val="22"/>
          <w:szCs w:val="22"/>
          <w:highlight w:val="none"/>
          <w:lang w:eastAsia="zh-CN"/>
        </w:rPr>
        <w:t>商务技术</w:t>
      </w:r>
      <w:r>
        <w:rPr>
          <w:rFonts w:hint="eastAsia" w:ascii="宋体" w:hAnsi="宋体" w:eastAsia="宋体" w:cs="宋体"/>
          <w:b w:val="0"/>
          <w:bCs w:val="0"/>
          <w:color w:val="auto"/>
          <w:sz w:val="22"/>
          <w:szCs w:val="22"/>
          <w:highlight w:val="none"/>
        </w:rPr>
        <w:t>得分之和，总分为100分，其中：</w:t>
      </w:r>
      <w:r>
        <w:rPr>
          <w:rFonts w:hint="eastAsia" w:ascii="宋体" w:hAnsi="宋体" w:eastAsia="宋体" w:cs="宋体"/>
          <w:b w:val="0"/>
          <w:bCs w:val="0"/>
          <w:color w:val="auto"/>
          <w:sz w:val="22"/>
          <w:szCs w:val="22"/>
          <w:highlight w:val="none"/>
          <w:lang w:eastAsia="zh-CN"/>
        </w:rPr>
        <w:t>商务技术</w:t>
      </w:r>
      <w:r>
        <w:rPr>
          <w:rFonts w:hint="eastAsia" w:ascii="宋体" w:hAnsi="宋体" w:eastAsia="宋体" w:cs="宋体"/>
          <w:b w:val="0"/>
          <w:bCs w:val="0"/>
          <w:color w:val="auto"/>
          <w:sz w:val="22"/>
          <w:szCs w:val="22"/>
          <w:highlight w:val="none"/>
        </w:rPr>
        <w:t>分</w:t>
      </w:r>
      <w:r>
        <w:rPr>
          <w:rFonts w:hint="eastAsia" w:ascii="宋体" w:hAnsi="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rPr>
        <w:t>分。评分过程中采用四舍五入法，并保留小数2位。</w:t>
      </w:r>
    </w:p>
    <w:p w14:paraId="134E5EF7">
      <w:pPr>
        <w:keepNext w:val="0"/>
        <w:keepLines w:val="0"/>
        <w:pageBreakBefore w:val="0"/>
        <w:widowControl w:val="0"/>
        <w:kinsoku/>
        <w:wordWrap/>
        <w:overflowPunct/>
        <w:topLinePunct w:val="0"/>
        <w:autoSpaceDE w:val="0"/>
        <w:autoSpaceDN w:val="0"/>
        <w:bidi w:val="0"/>
        <w:adjustRightInd/>
        <w:snapToGrid/>
        <w:spacing w:beforeAutospacing="0" w:afterAutospacing="0" w:line="48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22.</w:t>
      </w:r>
      <w:r>
        <w:rPr>
          <w:rFonts w:hint="eastAsia" w:ascii="宋体" w:hAnsi="宋体" w:eastAsia="宋体" w:cs="宋体"/>
          <w:b/>
          <w:bCs/>
          <w:color w:val="auto"/>
          <w:sz w:val="22"/>
          <w:szCs w:val="22"/>
          <w:highlight w:val="none"/>
        </w:rPr>
        <w:t>报价</w:t>
      </w:r>
    </w:p>
    <w:p w14:paraId="2331F60B">
      <w:pPr>
        <w:keepNext w:val="0"/>
        <w:keepLines w:val="0"/>
        <w:pageBreakBefore w:val="0"/>
        <w:widowControl w:val="0"/>
        <w:kinsoku/>
        <w:wordWrap/>
        <w:overflowPunct/>
        <w:topLinePunct w:val="0"/>
        <w:autoSpaceDE w:val="0"/>
        <w:autoSpaceDN w:val="0"/>
        <w:bidi w:val="0"/>
        <w:adjustRightInd/>
        <w:snapToGrid/>
        <w:spacing w:beforeAutospacing="0" w:afterAutospacing="0" w:line="48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22.1</w:t>
      </w:r>
      <w:r>
        <w:rPr>
          <w:rFonts w:hint="eastAsia" w:ascii="宋体" w:hAnsi="宋体" w:eastAsia="宋体" w:cs="宋体"/>
          <w:b/>
          <w:bCs/>
          <w:color w:val="auto"/>
          <w:sz w:val="22"/>
          <w:szCs w:val="22"/>
          <w:highlight w:val="none"/>
        </w:rPr>
        <w:t>各响应方须提供按照征集文件</w:t>
      </w:r>
      <w:r>
        <w:rPr>
          <w:rFonts w:hint="eastAsia" w:ascii="宋体" w:hAnsi="宋体" w:eastAsia="宋体" w:cs="宋体"/>
          <w:b/>
          <w:bCs/>
          <w:color w:val="auto"/>
          <w:sz w:val="22"/>
          <w:szCs w:val="22"/>
          <w:highlight w:val="none"/>
          <w:lang w:eastAsia="zh-CN"/>
        </w:rPr>
        <w:t>开标一览表</w:t>
      </w:r>
      <w:r>
        <w:rPr>
          <w:rFonts w:hint="eastAsia" w:ascii="宋体" w:hAnsi="宋体" w:eastAsia="宋体" w:cs="宋体"/>
          <w:b/>
          <w:bCs/>
          <w:color w:val="auto"/>
          <w:sz w:val="22"/>
          <w:szCs w:val="22"/>
          <w:highlight w:val="none"/>
        </w:rPr>
        <w:t>要求进行响应</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没有按照征集文件</w:t>
      </w:r>
      <w:r>
        <w:rPr>
          <w:rFonts w:hint="eastAsia" w:ascii="宋体" w:hAnsi="宋体" w:eastAsia="宋体" w:cs="宋体"/>
          <w:b/>
          <w:bCs/>
          <w:color w:val="auto"/>
          <w:sz w:val="22"/>
          <w:szCs w:val="22"/>
          <w:highlight w:val="none"/>
          <w:lang w:eastAsia="zh-CN"/>
        </w:rPr>
        <w:t>开标一览表</w:t>
      </w:r>
      <w:r>
        <w:rPr>
          <w:rFonts w:hint="eastAsia" w:ascii="宋体" w:hAnsi="宋体" w:eastAsia="宋体" w:cs="宋体"/>
          <w:b/>
          <w:bCs/>
          <w:color w:val="auto"/>
          <w:sz w:val="22"/>
          <w:szCs w:val="22"/>
          <w:highlight w:val="none"/>
        </w:rPr>
        <w:t>要求响应的作无效标处理。</w:t>
      </w:r>
    </w:p>
    <w:p w14:paraId="2DC54651">
      <w:pPr>
        <w:keepNext w:val="0"/>
        <w:keepLines w:val="0"/>
        <w:pageBreakBefore w:val="0"/>
        <w:widowControl w:val="0"/>
        <w:tabs>
          <w:tab w:val="left" w:pos="0"/>
        </w:tabs>
        <w:kinsoku/>
        <w:wordWrap/>
        <w:overflowPunct/>
        <w:topLinePunct w:val="0"/>
        <w:bidi w:val="0"/>
        <w:adjustRightInd/>
        <w:snapToGrid/>
        <w:spacing w:beforeAutospacing="0" w:afterAutospacing="0" w:line="480" w:lineRule="exact"/>
        <w:ind w:left="0" w:lef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23</w:t>
      </w:r>
      <w:r>
        <w:rPr>
          <w:rFonts w:hint="eastAsia" w:ascii="宋体" w:hAnsi="宋体" w:eastAsia="宋体" w:cs="宋体"/>
          <w:b w:val="0"/>
          <w:bCs w:val="0"/>
          <w:color w:val="auto"/>
          <w:sz w:val="22"/>
          <w:szCs w:val="22"/>
          <w:highlight w:val="none"/>
        </w:rPr>
        <w:t>评标办法细则</w:t>
      </w:r>
    </w:p>
    <w:p w14:paraId="3F1E369B">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40" w:firstLineChars="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23.1</w:t>
      </w:r>
      <w:r>
        <w:rPr>
          <w:rFonts w:hint="eastAsia" w:ascii="宋体" w:hAnsi="宋体" w:eastAsia="宋体" w:cs="宋体"/>
          <w:b w:val="0"/>
          <w:bCs w:val="0"/>
          <w:color w:val="auto"/>
          <w:sz w:val="22"/>
          <w:szCs w:val="22"/>
          <w:highlight w:val="none"/>
        </w:rPr>
        <w:t>商务</w:t>
      </w:r>
      <w:r>
        <w:rPr>
          <w:rFonts w:hint="eastAsia" w:ascii="宋体" w:hAnsi="宋体" w:eastAsia="宋体" w:cs="宋体"/>
          <w:b w:val="0"/>
          <w:bCs w:val="0"/>
          <w:color w:val="auto"/>
          <w:sz w:val="22"/>
          <w:szCs w:val="22"/>
          <w:highlight w:val="none"/>
          <w:lang w:val="en-US" w:eastAsia="zh-CN"/>
        </w:rPr>
        <w:t>技术部分（</w:t>
      </w:r>
      <w:r>
        <w:rPr>
          <w:rFonts w:hint="eastAsia" w:ascii="宋体" w:hAnsi="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val="en-US" w:eastAsia="zh-CN"/>
        </w:rPr>
        <w:t>0分）</w:t>
      </w:r>
    </w:p>
    <w:tbl>
      <w:tblPr>
        <w:tblStyle w:val="25"/>
        <w:tblW w:w="94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7995"/>
        <w:gridCol w:w="855"/>
      </w:tblGrid>
      <w:tr w14:paraId="522FF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97" w:type="dxa"/>
            <w:vAlign w:val="center"/>
          </w:tcPr>
          <w:p w14:paraId="4F804190">
            <w:pPr>
              <w:pStyle w:val="45"/>
              <w:keepNext w:val="0"/>
              <w:keepLines w:val="0"/>
              <w:pageBreakBefore w:val="0"/>
              <w:kinsoku/>
              <w:wordWrap/>
              <w:overflowPunct/>
              <w:topLinePunct w:val="0"/>
              <w:bidi w:val="0"/>
              <w:spacing w:line="360" w:lineRule="exact"/>
              <w:ind w:left="0" w:right="0"/>
              <w:jc w:val="center"/>
              <w:textAlignment w:val="auto"/>
              <w:rPr>
                <w:color w:val="auto"/>
                <w:w w:val="100"/>
                <w:sz w:val="21"/>
                <w:highlight w:val="none"/>
              </w:rPr>
            </w:pPr>
            <w:r>
              <w:rPr>
                <w:color w:val="auto"/>
                <w:w w:val="100"/>
                <w:sz w:val="21"/>
                <w:highlight w:val="none"/>
              </w:rPr>
              <w:t>序号</w:t>
            </w:r>
          </w:p>
        </w:tc>
        <w:tc>
          <w:tcPr>
            <w:tcW w:w="7995" w:type="dxa"/>
            <w:vAlign w:val="center"/>
          </w:tcPr>
          <w:p w14:paraId="1CD2ECE4">
            <w:pPr>
              <w:pStyle w:val="45"/>
              <w:keepNext w:val="0"/>
              <w:keepLines w:val="0"/>
              <w:pageBreakBefore w:val="0"/>
              <w:kinsoku/>
              <w:wordWrap/>
              <w:overflowPunct/>
              <w:topLinePunct w:val="0"/>
              <w:bidi w:val="0"/>
              <w:spacing w:line="360" w:lineRule="exact"/>
              <w:ind w:left="0" w:right="0"/>
              <w:jc w:val="center"/>
              <w:textAlignment w:val="auto"/>
              <w:rPr>
                <w:color w:val="auto"/>
                <w:w w:val="100"/>
                <w:sz w:val="21"/>
                <w:highlight w:val="none"/>
              </w:rPr>
            </w:pPr>
            <w:r>
              <w:rPr>
                <w:color w:val="auto"/>
                <w:w w:val="100"/>
                <w:sz w:val="21"/>
                <w:highlight w:val="none"/>
              </w:rPr>
              <w:t>评审内容</w:t>
            </w:r>
          </w:p>
        </w:tc>
        <w:tc>
          <w:tcPr>
            <w:tcW w:w="855" w:type="dxa"/>
            <w:vAlign w:val="center"/>
          </w:tcPr>
          <w:p w14:paraId="582FD9AD">
            <w:pPr>
              <w:pStyle w:val="45"/>
              <w:keepNext w:val="0"/>
              <w:keepLines w:val="0"/>
              <w:pageBreakBefore w:val="0"/>
              <w:kinsoku/>
              <w:wordWrap/>
              <w:overflowPunct/>
              <w:topLinePunct w:val="0"/>
              <w:bidi w:val="0"/>
              <w:spacing w:line="360" w:lineRule="exact"/>
              <w:ind w:left="0" w:right="0"/>
              <w:jc w:val="center"/>
              <w:textAlignment w:val="auto"/>
              <w:rPr>
                <w:color w:val="auto"/>
                <w:w w:val="100"/>
                <w:sz w:val="21"/>
                <w:highlight w:val="none"/>
              </w:rPr>
            </w:pPr>
            <w:r>
              <w:rPr>
                <w:color w:val="auto"/>
                <w:w w:val="100"/>
                <w:sz w:val="21"/>
                <w:highlight w:val="none"/>
              </w:rPr>
              <w:t>分值</w:t>
            </w:r>
          </w:p>
        </w:tc>
      </w:tr>
      <w:tr w14:paraId="464F2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597" w:type="dxa"/>
            <w:tcBorders>
              <w:top w:val="single" w:color="auto" w:sz="4" w:space="0"/>
              <w:left w:val="single" w:color="auto" w:sz="4" w:space="0"/>
              <w:right w:val="single" w:color="auto" w:sz="4" w:space="0"/>
            </w:tcBorders>
            <w:vAlign w:val="center"/>
          </w:tcPr>
          <w:p w14:paraId="1EB90F95">
            <w:pPr>
              <w:pStyle w:val="45"/>
              <w:keepNext w:val="0"/>
              <w:keepLines w:val="0"/>
              <w:pageBreakBefore w:val="0"/>
              <w:kinsoku/>
              <w:wordWrap/>
              <w:overflowPunct/>
              <w:topLinePunct w:val="0"/>
              <w:bidi w:val="0"/>
              <w:spacing w:line="360" w:lineRule="exact"/>
              <w:ind w:left="0" w:right="0"/>
              <w:jc w:val="center"/>
              <w:textAlignment w:val="auto"/>
              <w:rPr>
                <w:rFonts w:hint="eastAsia" w:ascii="Calibri" w:hAnsi="Calibri" w:eastAsia="宋体" w:cs="Times New Roman"/>
                <w:color w:val="auto"/>
                <w:w w:val="100"/>
                <w:kern w:val="0"/>
                <w:sz w:val="21"/>
                <w:szCs w:val="22"/>
                <w:highlight w:val="none"/>
                <w:lang w:val="en-US" w:eastAsia="zh-CN" w:bidi="ar-SA"/>
              </w:rPr>
            </w:pPr>
            <w:r>
              <w:rPr>
                <w:rFonts w:hint="eastAsia"/>
                <w:color w:val="auto"/>
                <w:w w:val="100"/>
                <w:sz w:val="21"/>
                <w:highlight w:val="none"/>
                <w:lang w:val="en-US" w:eastAsia="zh-CN"/>
              </w:rPr>
              <w:t>1</w:t>
            </w:r>
          </w:p>
        </w:tc>
        <w:tc>
          <w:tcPr>
            <w:tcW w:w="7995" w:type="dxa"/>
            <w:tcBorders>
              <w:top w:val="single" w:color="auto" w:sz="4" w:space="0"/>
              <w:left w:val="single" w:color="auto" w:sz="4" w:space="0"/>
              <w:bottom w:val="single" w:color="auto" w:sz="4" w:space="0"/>
              <w:right w:val="single" w:color="auto" w:sz="4" w:space="0"/>
            </w:tcBorders>
            <w:shd w:val="clear" w:color="auto" w:fill="auto"/>
            <w:vAlign w:val="center"/>
          </w:tcPr>
          <w:p w14:paraId="0EF9C6C7">
            <w:pPr>
              <w:keepNext w:val="0"/>
              <w:keepLines w:val="0"/>
              <w:pageBreakBefore w:val="0"/>
              <w:kinsoku/>
              <w:wordWrap/>
              <w:overflowPunct/>
              <w:topLinePunct w:val="0"/>
              <w:bidi w:val="0"/>
              <w:snapToGrid w:val="0"/>
              <w:spacing w:line="360" w:lineRule="exact"/>
              <w:jc w:val="left"/>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投标人</w:t>
            </w:r>
            <w:r>
              <w:rPr>
                <w:rFonts w:hint="eastAsia" w:ascii="宋体" w:hAnsi="宋体" w:eastAsia="宋体" w:cs="Times New Roman"/>
                <w:color w:val="auto"/>
                <w:kern w:val="0"/>
                <w:sz w:val="21"/>
                <w:szCs w:val="21"/>
                <w:highlight w:val="none"/>
                <w:lang w:val="en-US" w:eastAsia="zh-CN" w:bidi="ar-SA"/>
              </w:rPr>
              <w:t>具有有效期内的食品领域CMA资质认定证书的，得1分。</w:t>
            </w:r>
          </w:p>
          <w:p w14:paraId="718B9AE2">
            <w:pPr>
              <w:keepNext w:val="0"/>
              <w:keepLines w:val="0"/>
              <w:pageBreakBefore w:val="0"/>
              <w:kinsoku/>
              <w:wordWrap/>
              <w:overflowPunct/>
              <w:topLinePunct w:val="0"/>
              <w:bidi w:val="0"/>
              <w:snapToGrid w:val="0"/>
              <w:spacing w:line="360" w:lineRule="exact"/>
              <w:jc w:val="left"/>
              <w:textAlignment w:val="auto"/>
              <w:rPr>
                <w:rFonts w:hint="default" w:ascii="宋体" w:hAnsi="宋体" w:eastAsia="宋体" w:cs="Times New Roman"/>
                <w:color w:val="auto"/>
                <w:kern w:val="0"/>
                <w:sz w:val="21"/>
                <w:szCs w:val="21"/>
                <w:highlight w:val="none"/>
                <w:lang w:val="en-US" w:eastAsia="en-US" w:bidi="ar-SA"/>
              </w:rPr>
            </w:pPr>
            <w:r>
              <w:rPr>
                <w:rFonts w:hint="eastAsia" w:ascii="宋体" w:hAnsi="宋体" w:cs="Times New Roman"/>
                <w:color w:val="auto"/>
                <w:kern w:val="0"/>
                <w:sz w:val="21"/>
                <w:szCs w:val="21"/>
                <w:highlight w:val="none"/>
                <w:lang w:val="en-US" w:eastAsia="zh-CN" w:bidi="ar-SA"/>
              </w:rPr>
              <w:t>注：</w:t>
            </w:r>
            <w:r>
              <w:rPr>
                <w:rFonts w:hint="eastAsia" w:ascii="宋体" w:hAnsi="宋体" w:eastAsia="宋体" w:cs="Times New Roman"/>
                <w:color w:val="auto"/>
                <w:kern w:val="0"/>
                <w:sz w:val="21"/>
                <w:szCs w:val="21"/>
                <w:highlight w:val="none"/>
                <w:lang w:val="en-US" w:eastAsia="zh-CN" w:bidi="ar-SA"/>
              </w:rPr>
              <w:t>需提供资质证书原件扫描件，加盖单位公章，否则不得分。</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73EE8222">
            <w:pPr>
              <w:pStyle w:val="45"/>
              <w:keepNext w:val="0"/>
              <w:keepLines w:val="0"/>
              <w:pageBreakBefore w:val="0"/>
              <w:kinsoku/>
              <w:wordWrap/>
              <w:overflowPunct/>
              <w:topLinePunct w:val="0"/>
              <w:bidi w:val="0"/>
              <w:spacing w:line="360" w:lineRule="exact"/>
              <w:ind w:left="0" w:leftChars="0" w:right="0" w:rightChars="0"/>
              <w:jc w:val="center"/>
              <w:textAlignment w:val="auto"/>
              <w:rPr>
                <w:rFonts w:hint="default" w:ascii="宋体" w:hAnsi="宋体" w:eastAsia="宋体" w:cs="宋体"/>
                <w:color w:val="auto"/>
                <w:w w:val="100"/>
                <w:kern w:val="2"/>
                <w:sz w:val="21"/>
                <w:szCs w:val="22"/>
                <w:highlight w:val="none"/>
                <w:lang w:val="en-US" w:eastAsia="zh-CN" w:bidi="zh-CN"/>
              </w:rPr>
            </w:pPr>
            <w:r>
              <w:rPr>
                <w:rFonts w:hint="eastAsia" w:cs="宋体"/>
                <w:color w:val="auto"/>
                <w:w w:val="100"/>
                <w:sz w:val="21"/>
                <w:highlight w:val="none"/>
                <w:lang w:val="en-US" w:eastAsia="zh-CN"/>
              </w:rPr>
              <w:t>0-1</w:t>
            </w:r>
          </w:p>
        </w:tc>
      </w:tr>
      <w:tr w14:paraId="5E8F1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597" w:type="dxa"/>
            <w:tcBorders>
              <w:top w:val="single" w:color="auto" w:sz="4" w:space="0"/>
              <w:left w:val="single" w:color="auto" w:sz="4" w:space="0"/>
              <w:right w:val="single" w:color="auto" w:sz="4" w:space="0"/>
            </w:tcBorders>
            <w:vAlign w:val="center"/>
          </w:tcPr>
          <w:p w14:paraId="6234E95E">
            <w:pPr>
              <w:pStyle w:val="45"/>
              <w:keepNext w:val="0"/>
              <w:keepLines w:val="0"/>
              <w:pageBreakBefore w:val="0"/>
              <w:kinsoku/>
              <w:wordWrap/>
              <w:overflowPunct/>
              <w:topLinePunct w:val="0"/>
              <w:bidi w:val="0"/>
              <w:spacing w:line="360" w:lineRule="exact"/>
              <w:ind w:left="0" w:right="0"/>
              <w:jc w:val="center"/>
              <w:textAlignment w:val="auto"/>
              <w:rPr>
                <w:rFonts w:hint="default"/>
                <w:color w:val="auto"/>
                <w:w w:val="100"/>
                <w:sz w:val="21"/>
                <w:highlight w:val="none"/>
                <w:lang w:val="en-US" w:eastAsia="zh-CN"/>
              </w:rPr>
            </w:pPr>
            <w:r>
              <w:rPr>
                <w:rFonts w:hint="eastAsia"/>
                <w:color w:val="auto"/>
                <w:w w:val="100"/>
                <w:sz w:val="21"/>
                <w:highlight w:val="none"/>
                <w:lang w:val="en-US" w:eastAsia="zh-CN"/>
              </w:rPr>
              <w:t>2</w:t>
            </w:r>
          </w:p>
        </w:tc>
        <w:tc>
          <w:tcPr>
            <w:tcW w:w="7995" w:type="dxa"/>
            <w:tcBorders>
              <w:top w:val="single" w:color="auto" w:sz="4" w:space="0"/>
              <w:left w:val="single" w:color="auto" w:sz="4" w:space="0"/>
              <w:bottom w:val="single" w:color="auto" w:sz="4" w:space="0"/>
              <w:right w:val="single" w:color="auto" w:sz="4" w:space="0"/>
            </w:tcBorders>
            <w:shd w:val="clear" w:color="auto" w:fill="auto"/>
            <w:vAlign w:val="center"/>
          </w:tcPr>
          <w:p w14:paraId="20BADE93">
            <w:pPr>
              <w:pStyle w:val="4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both"/>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项目负责人具有相关专业副高级</w:t>
            </w:r>
            <w:r>
              <w:rPr>
                <w:rFonts w:hint="eastAsia" w:cs="Times New Roman"/>
                <w:color w:val="auto"/>
                <w:kern w:val="0"/>
                <w:sz w:val="21"/>
                <w:szCs w:val="21"/>
                <w:highlight w:val="none"/>
                <w:lang w:val="en-US" w:eastAsia="zh-CN" w:bidi="ar-SA"/>
              </w:rPr>
              <w:t>及以上</w:t>
            </w:r>
            <w:r>
              <w:rPr>
                <w:rFonts w:hint="eastAsia" w:ascii="宋体" w:hAnsi="宋体" w:eastAsia="宋体" w:cs="Times New Roman"/>
                <w:color w:val="auto"/>
                <w:kern w:val="0"/>
                <w:sz w:val="21"/>
                <w:szCs w:val="21"/>
                <w:highlight w:val="none"/>
                <w:lang w:val="en-US" w:eastAsia="zh-CN" w:bidi="ar-SA"/>
              </w:rPr>
              <w:t>职称得</w:t>
            </w:r>
            <w:r>
              <w:rPr>
                <w:rFonts w:hint="eastAsia" w:cs="Times New Roman"/>
                <w:color w:val="auto"/>
                <w:kern w:val="0"/>
                <w:sz w:val="21"/>
                <w:szCs w:val="21"/>
                <w:highlight w:val="none"/>
                <w:lang w:val="en-US" w:eastAsia="zh-CN" w:bidi="ar-SA"/>
              </w:rPr>
              <w:t>2</w:t>
            </w:r>
            <w:r>
              <w:rPr>
                <w:rFonts w:hint="eastAsia" w:ascii="宋体" w:hAnsi="宋体" w:eastAsia="宋体" w:cs="Times New Roman"/>
                <w:color w:val="auto"/>
                <w:kern w:val="0"/>
                <w:sz w:val="21"/>
                <w:szCs w:val="21"/>
                <w:highlight w:val="none"/>
                <w:lang w:val="en-US" w:eastAsia="zh-CN" w:bidi="ar-SA"/>
              </w:rPr>
              <w:t>分。</w:t>
            </w:r>
          </w:p>
          <w:p w14:paraId="75D1574C">
            <w:pPr>
              <w:pStyle w:val="4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注：</w:t>
            </w:r>
            <w:r>
              <w:rPr>
                <w:rFonts w:hint="eastAsia" w:cs="Times New Roman"/>
                <w:color w:val="auto"/>
                <w:kern w:val="0"/>
                <w:sz w:val="21"/>
                <w:szCs w:val="21"/>
                <w:highlight w:val="none"/>
                <w:lang w:val="zh-CN" w:eastAsia="zh-CN" w:bidi="ar-SA"/>
              </w:rPr>
              <w:t>需</w:t>
            </w:r>
            <w:r>
              <w:rPr>
                <w:rFonts w:hint="eastAsia" w:ascii="宋体" w:hAnsi="宋体" w:eastAsia="宋体" w:cs="Times New Roman"/>
                <w:color w:val="auto"/>
                <w:kern w:val="0"/>
                <w:sz w:val="21"/>
                <w:szCs w:val="21"/>
                <w:highlight w:val="none"/>
                <w:lang w:val="zh-CN" w:eastAsia="zh-CN" w:bidi="ar-SA"/>
              </w:rPr>
              <w:t>提供相关证明材料</w:t>
            </w:r>
            <w:r>
              <w:rPr>
                <w:rFonts w:hint="eastAsia" w:ascii="宋体" w:hAnsi="宋体" w:eastAsia="宋体" w:cs="Times New Roman"/>
                <w:color w:val="auto"/>
                <w:kern w:val="0"/>
                <w:sz w:val="21"/>
                <w:szCs w:val="21"/>
                <w:highlight w:val="none"/>
                <w:lang w:val="en-US" w:eastAsia="zh-CN" w:bidi="ar-SA"/>
              </w:rPr>
              <w:t>并加盖公章</w:t>
            </w:r>
            <w:r>
              <w:rPr>
                <w:rFonts w:hint="eastAsia" w:ascii="宋体" w:hAnsi="宋体" w:eastAsia="宋体" w:cs="Times New Roman"/>
                <w:color w:val="auto"/>
                <w:kern w:val="0"/>
                <w:sz w:val="21"/>
                <w:szCs w:val="21"/>
                <w:highlight w:val="none"/>
                <w:lang w:val="zh-CN" w:eastAsia="zh-CN" w:bidi="ar-SA"/>
              </w:rPr>
              <w:t>，</w:t>
            </w:r>
            <w:r>
              <w:rPr>
                <w:rFonts w:hint="eastAsia" w:ascii="宋体" w:hAnsi="宋体" w:eastAsia="宋体" w:cs="Times New Roman"/>
                <w:color w:val="auto"/>
                <w:kern w:val="0"/>
                <w:sz w:val="21"/>
                <w:szCs w:val="21"/>
                <w:highlight w:val="none"/>
                <w:lang w:val="en-US" w:eastAsia="zh-CN" w:bidi="ar-SA"/>
              </w:rPr>
              <w:t>未提供则</w:t>
            </w:r>
            <w:r>
              <w:rPr>
                <w:rFonts w:hint="eastAsia" w:ascii="宋体" w:hAnsi="宋体" w:eastAsia="宋体" w:cs="Times New Roman"/>
                <w:color w:val="auto"/>
                <w:kern w:val="0"/>
                <w:sz w:val="21"/>
                <w:szCs w:val="21"/>
                <w:highlight w:val="none"/>
                <w:lang w:val="zh-CN" w:eastAsia="zh-CN" w:bidi="ar-SA"/>
              </w:rPr>
              <w:t>不得分。</w:t>
            </w:r>
            <w:r>
              <w:rPr>
                <w:rFonts w:hint="default" w:ascii="宋体" w:hAnsi="宋体" w:eastAsia="宋体" w:cs="Times New Roman"/>
                <w:color w:val="auto"/>
                <w:kern w:val="0"/>
                <w:sz w:val="21"/>
                <w:szCs w:val="21"/>
                <w:highlight w:val="none"/>
                <w:lang w:val="zh-CN" w:eastAsia="zh-CN" w:bidi="ar-SA"/>
              </w:rPr>
              <w:t xml:space="preserve">                   </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39618BA">
            <w:pPr>
              <w:pStyle w:val="45"/>
              <w:keepNext w:val="0"/>
              <w:keepLines w:val="0"/>
              <w:pageBreakBefore w:val="0"/>
              <w:kinsoku/>
              <w:wordWrap/>
              <w:overflowPunct/>
              <w:topLinePunct w:val="0"/>
              <w:bidi w:val="0"/>
              <w:spacing w:line="360" w:lineRule="exact"/>
              <w:ind w:left="0" w:leftChars="0" w:right="0" w:rightChars="0" w:firstLine="0" w:firstLineChars="0"/>
              <w:jc w:val="center"/>
              <w:textAlignment w:val="auto"/>
              <w:rPr>
                <w:rFonts w:hint="default" w:ascii="Calibri" w:hAnsi="Calibri" w:eastAsia="宋体" w:cs="Times New Roman"/>
                <w:color w:val="auto"/>
                <w:w w:val="100"/>
                <w:kern w:val="0"/>
                <w:sz w:val="21"/>
                <w:szCs w:val="22"/>
                <w:highlight w:val="none"/>
                <w:lang w:val="zh-CN" w:eastAsia="zh-CN" w:bidi="ar-SA"/>
              </w:rPr>
            </w:pPr>
            <w:r>
              <w:rPr>
                <w:color w:val="auto"/>
                <w:w w:val="100"/>
                <w:sz w:val="21"/>
                <w:highlight w:val="none"/>
              </w:rPr>
              <w:t>0-</w:t>
            </w:r>
            <w:r>
              <w:rPr>
                <w:rFonts w:hint="eastAsia"/>
                <w:color w:val="auto"/>
                <w:w w:val="100"/>
                <w:sz w:val="21"/>
                <w:highlight w:val="none"/>
                <w:lang w:val="en-US" w:eastAsia="zh-CN"/>
              </w:rPr>
              <w:t>2</w:t>
            </w:r>
          </w:p>
        </w:tc>
      </w:tr>
      <w:tr w14:paraId="09DEA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97" w:type="dxa"/>
            <w:tcBorders>
              <w:left w:val="single" w:color="auto" w:sz="4" w:space="0"/>
              <w:bottom w:val="single" w:color="auto" w:sz="4" w:space="0"/>
              <w:right w:val="single" w:color="auto" w:sz="4" w:space="0"/>
            </w:tcBorders>
          </w:tcPr>
          <w:p w14:paraId="514228C4">
            <w:pPr>
              <w:pStyle w:val="45"/>
              <w:keepNext w:val="0"/>
              <w:keepLines w:val="0"/>
              <w:pageBreakBefore w:val="0"/>
              <w:kinsoku/>
              <w:wordWrap/>
              <w:overflowPunct/>
              <w:topLinePunct w:val="0"/>
              <w:bidi w:val="0"/>
              <w:spacing w:line="360" w:lineRule="exact"/>
              <w:ind w:left="0" w:right="0"/>
              <w:jc w:val="center"/>
              <w:textAlignment w:val="auto"/>
              <w:rPr>
                <w:rFonts w:hint="default"/>
                <w:color w:val="auto"/>
                <w:w w:val="100"/>
                <w:sz w:val="21"/>
                <w:highlight w:val="none"/>
                <w:lang w:val="en-US" w:eastAsia="zh-CN"/>
              </w:rPr>
            </w:pPr>
            <w:r>
              <w:rPr>
                <w:rFonts w:hint="eastAsia"/>
                <w:color w:val="auto"/>
                <w:w w:val="100"/>
                <w:sz w:val="21"/>
                <w:highlight w:val="none"/>
                <w:lang w:val="en-US" w:eastAsia="zh-CN"/>
              </w:rPr>
              <w:t>3</w:t>
            </w:r>
          </w:p>
        </w:tc>
        <w:tc>
          <w:tcPr>
            <w:tcW w:w="7995" w:type="dxa"/>
            <w:tcBorders>
              <w:top w:val="single" w:color="auto" w:sz="4" w:space="0"/>
              <w:left w:val="single" w:color="auto" w:sz="4" w:space="0"/>
              <w:bottom w:val="single" w:color="auto" w:sz="4" w:space="0"/>
              <w:right w:val="single" w:color="auto" w:sz="4" w:space="0"/>
            </w:tcBorders>
            <w:vAlign w:val="center"/>
          </w:tcPr>
          <w:p w14:paraId="57988CC9">
            <w:pPr>
              <w:pStyle w:val="47"/>
              <w:keepNext w:val="0"/>
              <w:keepLines w:val="0"/>
              <w:pageBreakBefore w:val="0"/>
              <w:widowControl/>
              <w:tabs>
                <w:tab w:val="left" w:pos="-1080"/>
                <w:tab w:val="left" w:pos="180"/>
                <w:tab w:val="left" w:pos="1080"/>
              </w:tabs>
              <w:kinsoku/>
              <w:wordWrap/>
              <w:overflowPunct/>
              <w:topLinePunct w:val="0"/>
              <w:autoSpaceDE/>
              <w:autoSpaceDN/>
              <w:bidi w:val="0"/>
              <w:adjustRightInd w:val="0"/>
              <w:snapToGrid w:val="0"/>
              <w:spacing w:line="360" w:lineRule="exact"/>
              <w:ind w:left="0" w:leftChars="0" w:right="0" w:firstLine="0" w:firstLineChars="0"/>
              <w:jc w:val="both"/>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2022年以来未发生质量问题等原因被市级及以上农产品或食品质量安全监管部门约谈或暂停业务处理等事件的，得</w:t>
            </w:r>
            <w:r>
              <w:rPr>
                <w:rFonts w:hint="default" w:ascii="宋体" w:hAnsi="宋体" w:eastAsia="宋体" w:cs="Times New Roman"/>
                <w:color w:val="auto"/>
                <w:kern w:val="0"/>
                <w:sz w:val="21"/>
                <w:szCs w:val="21"/>
                <w:highlight w:val="none"/>
                <w:lang w:eastAsia="zh-CN" w:bidi="ar-SA"/>
              </w:rPr>
              <w:t>5</w:t>
            </w:r>
            <w:r>
              <w:rPr>
                <w:rFonts w:hint="eastAsia" w:ascii="宋体" w:hAnsi="宋体" w:eastAsia="宋体" w:cs="Times New Roman"/>
                <w:color w:val="auto"/>
                <w:kern w:val="0"/>
                <w:sz w:val="21"/>
                <w:szCs w:val="21"/>
                <w:highlight w:val="none"/>
                <w:lang w:val="en-US" w:eastAsia="zh-CN" w:bidi="ar-SA"/>
              </w:rPr>
              <w:t>分。</w:t>
            </w:r>
          </w:p>
          <w:p w14:paraId="64379D19">
            <w:pPr>
              <w:pStyle w:val="47"/>
              <w:keepNext w:val="0"/>
              <w:keepLines w:val="0"/>
              <w:pageBreakBefore w:val="0"/>
              <w:widowControl/>
              <w:tabs>
                <w:tab w:val="left" w:pos="-1080"/>
                <w:tab w:val="left" w:pos="180"/>
                <w:tab w:val="left" w:pos="1080"/>
              </w:tabs>
              <w:kinsoku/>
              <w:wordWrap/>
              <w:overflowPunct/>
              <w:topLinePunct w:val="0"/>
              <w:autoSpaceDE/>
              <w:autoSpaceDN/>
              <w:bidi w:val="0"/>
              <w:adjustRightInd w:val="0"/>
              <w:snapToGrid w:val="0"/>
              <w:spacing w:line="360" w:lineRule="exact"/>
              <w:ind w:left="0" w:leftChars="0" w:right="0" w:firstLine="0" w:firstLineChars="0"/>
              <w:jc w:val="both"/>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注：需提供承诺函，如发现虚假承诺或与需承诺内容不符，视为无效投标。</w:t>
            </w:r>
          </w:p>
        </w:tc>
        <w:tc>
          <w:tcPr>
            <w:tcW w:w="855" w:type="dxa"/>
            <w:tcBorders>
              <w:top w:val="single" w:color="auto" w:sz="4" w:space="0"/>
              <w:left w:val="single" w:color="auto" w:sz="4" w:space="0"/>
              <w:bottom w:val="single" w:color="auto" w:sz="4" w:space="0"/>
              <w:right w:val="single" w:color="auto" w:sz="4" w:space="0"/>
            </w:tcBorders>
            <w:vAlign w:val="center"/>
          </w:tcPr>
          <w:p w14:paraId="25F69F6E">
            <w:pPr>
              <w:pStyle w:val="45"/>
              <w:keepNext w:val="0"/>
              <w:keepLines w:val="0"/>
              <w:pageBreakBefore w:val="0"/>
              <w:kinsoku/>
              <w:wordWrap/>
              <w:overflowPunct/>
              <w:topLinePunct w:val="0"/>
              <w:bidi w:val="0"/>
              <w:spacing w:line="360" w:lineRule="exact"/>
              <w:ind w:left="0" w:leftChars="0" w:right="0" w:rightChars="0" w:firstLine="0" w:firstLineChars="0"/>
              <w:jc w:val="center"/>
              <w:textAlignment w:val="auto"/>
              <w:rPr>
                <w:rFonts w:hint="default" w:eastAsia="宋体"/>
                <w:color w:val="auto"/>
                <w:w w:val="100"/>
                <w:sz w:val="21"/>
                <w:highlight w:val="none"/>
                <w:lang w:eastAsia="zh-CN"/>
              </w:rPr>
            </w:pPr>
            <w:r>
              <w:rPr>
                <w:rFonts w:hint="eastAsia"/>
                <w:color w:val="auto"/>
                <w:w w:val="100"/>
                <w:sz w:val="21"/>
                <w:highlight w:val="none"/>
                <w:lang w:val="en-US" w:eastAsia="zh-CN"/>
              </w:rPr>
              <w:t>0-</w:t>
            </w:r>
            <w:r>
              <w:rPr>
                <w:rFonts w:hint="default"/>
                <w:color w:val="auto"/>
                <w:w w:val="100"/>
                <w:sz w:val="21"/>
                <w:highlight w:val="none"/>
                <w:lang w:eastAsia="zh-CN"/>
              </w:rPr>
              <w:t>5</w:t>
            </w:r>
          </w:p>
        </w:tc>
      </w:tr>
      <w:tr w14:paraId="7ED0A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97" w:type="dxa"/>
            <w:tcBorders>
              <w:left w:val="single" w:color="auto" w:sz="4" w:space="0"/>
              <w:bottom w:val="single" w:color="auto" w:sz="4" w:space="0"/>
              <w:right w:val="single" w:color="auto" w:sz="4" w:space="0"/>
            </w:tcBorders>
            <w:vAlign w:val="center"/>
          </w:tcPr>
          <w:p w14:paraId="0121F6FE">
            <w:pPr>
              <w:pStyle w:val="45"/>
              <w:keepNext w:val="0"/>
              <w:keepLines w:val="0"/>
              <w:pageBreakBefore w:val="0"/>
              <w:kinsoku/>
              <w:wordWrap/>
              <w:overflowPunct/>
              <w:topLinePunct w:val="0"/>
              <w:bidi w:val="0"/>
              <w:spacing w:line="360" w:lineRule="exact"/>
              <w:ind w:left="0" w:right="0"/>
              <w:jc w:val="center"/>
              <w:textAlignment w:val="auto"/>
              <w:rPr>
                <w:rFonts w:hint="default"/>
                <w:color w:val="auto"/>
                <w:w w:val="100"/>
                <w:sz w:val="21"/>
                <w:highlight w:val="yellow"/>
                <w:lang w:val="en-US" w:eastAsia="zh-CN"/>
              </w:rPr>
            </w:pPr>
            <w:r>
              <w:rPr>
                <w:rFonts w:hint="eastAsia"/>
                <w:color w:val="auto"/>
                <w:w w:val="100"/>
                <w:sz w:val="21"/>
                <w:highlight w:val="none"/>
                <w:lang w:val="en-US" w:eastAsia="zh-CN"/>
              </w:rPr>
              <w:t>4</w:t>
            </w:r>
          </w:p>
        </w:tc>
        <w:tc>
          <w:tcPr>
            <w:tcW w:w="7995" w:type="dxa"/>
            <w:tcBorders>
              <w:top w:val="single" w:color="auto" w:sz="4" w:space="0"/>
              <w:left w:val="single" w:color="auto" w:sz="4" w:space="0"/>
              <w:bottom w:val="single" w:color="auto" w:sz="4" w:space="0"/>
              <w:right w:val="single" w:color="auto" w:sz="4" w:space="0"/>
            </w:tcBorders>
            <w:vAlign w:val="center"/>
          </w:tcPr>
          <w:p w14:paraId="53834397">
            <w:pPr>
              <w:pStyle w:val="45"/>
              <w:keepNext w:val="0"/>
              <w:keepLines w:val="0"/>
              <w:pageBreakBefore w:val="0"/>
              <w:kinsoku/>
              <w:wordWrap/>
              <w:overflowPunct/>
              <w:topLinePunct w:val="0"/>
              <w:bidi w:val="0"/>
              <w:spacing w:line="360" w:lineRule="exact"/>
              <w:ind w:left="0" w:right="0"/>
              <w:jc w:val="both"/>
              <w:textAlignment w:val="auto"/>
              <w:rPr>
                <w:rFonts w:hint="default" w:ascii="宋体" w:hAnsi="宋体" w:eastAsia="宋体" w:cs="Times New Roman"/>
                <w:color w:val="auto"/>
                <w:kern w:val="0"/>
                <w:sz w:val="21"/>
                <w:szCs w:val="21"/>
                <w:highlight w:val="none"/>
                <w:lang w:val="en-US" w:eastAsia="en-US" w:bidi="ar-SA"/>
              </w:rPr>
            </w:pPr>
            <w:r>
              <w:rPr>
                <w:rFonts w:hint="eastAsia" w:ascii="宋体" w:hAnsi="宋体" w:eastAsia="宋体" w:cs="Times New Roman"/>
                <w:color w:val="auto"/>
                <w:kern w:val="0"/>
                <w:sz w:val="21"/>
                <w:szCs w:val="21"/>
                <w:highlight w:val="none"/>
                <w:lang w:val="en-US" w:eastAsia="zh-CN" w:bidi="ar-SA"/>
              </w:rPr>
              <w:t>投标人具有在满足检测工作需要的、独立的、固定的食品检测场地的得</w:t>
            </w:r>
            <w:r>
              <w:rPr>
                <w:rFonts w:hint="eastAsia" w:cs="Times New Roman"/>
                <w:color w:val="auto"/>
                <w:kern w:val="0"/>
                <w:sz w:val="21"/>
                <w:szCs w:val="21"/>
                <w:highlight w:val="none"/>
                <w:lang w:val="en-US" w:eastAsia="zh-CN" w:bidi="ar-SA"/>
              </w:rPr>
              <w:t>5</w:t>
            </w:r>
            <w:r>
              <w:rPr>
                <w:rFonts w:hint="eastAsia" w:ascii="宋体" w:hAnsi="宋体" w:eastAsia="宋体" w:cs="Times New Roman"/>
                <w:color w:val="auto"/>
                <w:kern w:val="0"/>
                <w:sz w:val="21"/>
                <w:szCs w:val="21"/>
                <w:highlight w:val="none"/>
                <w:lang w:val="en-US" w:eastAsia="zh-CN" w:bidi="ar-SA"/>
              </w:rPr>
              <w:t>分。</w:t>
            </w:r>
          </w:p>
          <w:p w14:paraId="5ACEADE8">
            <w:pPr>
              <w:pStyle w:val="45"/>
              <w:keepNext w:val="0"/>
              <w:keepLines w:val="0"/>
              <w:pageBreakBefore w:val="0"/>
              <w:numPr>
                <w:ilvl w:val="0"/>
                <w:numId w:val="0"/>
              </w:numPr>
              <w:kinsoku/>
              <w:wordWrap/>
              <w:overflowPunct/>
              <w:topLinePunct w:val="0"/>
              <w:bidi w:val="0"/>
              <w:spacing w:line="360" w:lineRule="exact"/>
              <w:ind w:left="0" w:leftChars="0" w:right="0" w:rightChars="0"/>
              <w:jc w:val="both"/>
              <w:textAlignment w:val="auto"/>
              <w:rPr>
                <w:rFonts w:hint="eastAsia" w:ascii="宋体" w:hAnsi="宋体" w:eastAsia="宋体" w:cs="Times New Roman"/>
                <w:color w:val="auto"/>
                <w:kern w:val="0"/>
                <w:sz w:val="21"/>
                <w:szCs w:val="21"/>
                <w:highlight w:val="yellow"/>
                <w:lang w:val="en-US" w:eastAsia="zh-CN" w:bidi="ar-SA"/>
              </w:rPr>
            </w:pPr>
            <w:r>
              <w:rPr>
                <w:rFonts w:hint="eastAsia" w:ascii="宋体" w:hAnsi="宋体" w:eastAsia="宋体" w:cs="Times New Roman"/>
                <w:color w:val="auto"/>
                <w:kern w:val="0"/>
                <w:sz w:val="21"/>
                <w:szCs w:val="21"/>
                <w:highlight w:val="none"/>
                <w:lang w:val="en-US" w:eastAsia="zh-CN" w:bidi="ar-SA"/>
              </w:rPr>
              <w:t>注：需提供房产证或房屋租赁合同上的平面图并注明相关功能区域，并加盖电子签章，否则不得分。</w:t>
            </w:r>
          </w:p>
        </w:tc>
        <w:tc>
          <w:tcPr>
            <w:tcW w:w="855" w:type="dxa"/>
            <w:tcBorders>
              <w:top w:val="single" w:color="auto" w:sz="4" w:space="0"/>
              <w:left w:val="single" w:color="auto" w:sz="4" w:space="0"/>
              <w:bottom w:val="single" w:color="auto" w:sz="4" w:space="0"/>
              <w:right w:val="single" w:color="auto" w:sz="4" w:space="0"/>
            </w:tcBorders>
            <w:vAlign w:val="center"/>
          </w:tcPr>
          <w:p w14:paraId="119DB394">
            <w:pPr>
              <w:pStyle w:val="45"/>
              <w:keepNext w:val="0"/>
              <w:keepLines w:val="0"/>
              <w:pageBreakBefore w:val="0"/>
              <w:kinsoku/>
              <w:wordWrap/>
              <w:overflowPunct/>
              <w:topLinePunct w:val="0"/>
              <w:bidi w:val="0"/>
              <w:spacing w:line="360" w:lineRule="exact"/>
              <w:ind w:left="0" w:right="0"/>
              <w:jc w:val="center"/>
              <w:textAlignment w:val="auto"/>
              <w:rPr>
                <w:rFonts w:hint="default" w:ascii="宋体" w:hAnsi="宋体" w:eastAsia="宋体" w:cs="Times New Roman"/>
                <w:color w:val="auto"/>
                <w:kern w:val="0"/>
                <w:sz w:val="21"/>
                <w:szCs w:val="21"/>
                <w:highlight w:val="yellow"/>
                <w:lang w:val="en-US" w:eastAsia="zh-CN" w:bidi="ar-SA"/>
              </w:rPr>
            </w:pPr>
            <w:r>
              <w:rPr>
                <w:rFonts w:hint="eastAsia"/>
                <w:color w:val="auto"/>
                <w:w w:val="100"/>
                <w:sz w:val="21"/>
                <w:highlight w:val="none"/>
                <w:lang w:val="en-US" w:eastAsia="zh-CN"/>
              </w:rPr>
              <w:t>0-5</w:t>
            </w:r>
          </w:p>
        </w:tc>
      </w:tr>
      <w:tr w14:paraId="6F6FA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597" w:type="dxa"/>
            <w:tcBorders>
              <w:top w:val="single" w:color="auto" w:sz="4" w:space="0"/>
              <w:left w:val="single" w:color="auto" w:sz="4" w:space="0"/>
              <w:bottom w:val="single" w:color="auto" w:sz="4" w:space="0"/>
              <w:right w:val="single" w:color="auto" w:sz="4" w:space="0"/>
            </w:tcBorders>
            <w:vAlign w:val="center"/>
          </w:tcPr>
          <w:p w14:paraId="36B7E6C2">
            <w:pPr>
              <w:pStyle w:val="45"/>
              <w:keepNext w:val="0"/>
              <w:keepLines w:val="0"/>
              <w:pageBreakBefore w:val="0"/>
              <w:kinsoku/>
              <w:wordWrap/>
              <w:overflowPunct/>
              <w:topLinePunct w:val="0"/>
              <w:bidi w:val="0"/>
              <w:spacing w:line="360" w:lineRule="exact"/>
              <w:ind w:left="0" w:right="0"/>
              <w:jc w:val="center"/>
              <w:textAlignment w:val="auto"/>
              <w:rPr>
                <w:rFonts w:hint="default"/>
                <w:color w:val="auto"/>
                <w:w w:val="100"/>
                <w:sz w:val="21"/>
                <w:highlight w:val="none"/>
                <w:lang w:val="en-US" w:eastAsia="zh-CN"/>
              </w:rPr>
            </w:pPr>
            <w:r>
              <w:rPr>
                <w:rFonts w:hint="eastAsia"/>
                <w:color w:val="auto"/>
                <w:w w:val="100"/>
                <w:sz w:val="21"/>
                <w:highlight w:val="none"/>
                <w:lang w:val="en-US" w:eastAsia="zh-CN"/>
              </w:rPr>
              <w:t>5</w:t>
            </w:r>
          </w:p>
        </w:tc>
        <w:tc>
          <w:tcPr>
            <w:tcW w:w="7995" w:type="dxa"/>
            <w:tcBorders>
              <w:top w:val="single" w:color="auto" w:sz="4" w:space="0"/>
              <w:left w:val="single" w:color="auto" w:sz="4" w:space="0"/>
              <w:bottom w:val="single" w:color="auto" w:sz="4" w:space="0"/>
              <w:right w:val="single" w:color="auto" w:sz="4" w:space="0"/>
            </w:tcBorders>
            <w:vAlign w:val="center"/>
          </w:tcPr>
          <w:p w14:paraId="45473ADD">
            <w:pPr>
              <w:pStyle w:val="45"/>
              <w:keepNext w:val="0"/>
              <w:keepLines w:val="0"/>
              <w:pageBreakBefore w:val="0"/>
              <w:kinsoku/>
              <w:wordWrap/>
              <w:overflowPunct/>
              <w:topLinePunct w:val="0"/>
              <w:bidi w:val="0"/>
              <w:spacing w:line="360" w:lineRule="exact"/>
              <w:ind w:left="0" w:right="0"/>
              <w:jc w:val="both"/>
              <w:textAlignment w:val="auto"/>
              <w:rPr>
                <w:rFonts w:hint="eastAsia" w:ascii="宋体" w:hAnsi="宋体"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投标人</w:t>
            </w:r>
            <w:r>
              <w:rPr>
                <w:rFonts w:hint="eastAsia" w:ascii="宋体" w:hAnsi="宋体" w:eastAsia="宋体" w:cs="Times New Roman"/>
                <w:color w:val="auto"/>
                <w:kern w:val="0"/>
                <w:sz w:val="21"/>
                <w:szCs w:val="21"/>
                <w:highlight w:val="none"/>
                <w:lang w:val="en-US" w:eastAsia="zh-CN" w:bidi="ar-SA"/>
              </w:rPr>
              <w:t>提供的检测仪器设备情况：配备液相色谱-质谱联用仪、</w:t>
            </w:r>
            <w:r>
              <w:rPr>
                <w:rFonts w:hint="default" w:cs="Times New Roman"/>
                <w:color w:val="auto"/>
                <w:kern w:val="0"/>
                <w:sz w:val="21"/>
                <w:szCs w:val="21"/>
                <w:highlight w:val="none"/>
                <w:lang w:eastAsia="zh-CN" w:bidi="ar-SA"/>
              </w:rPr>
              <w:t>串联液质联用仪、气质联用仪、</w:t>
            </w:r>
            <w:r>
              <w:rPr>
                <w:rFonts w:hint="eastAsia" w:ascii="宋体" w:hAnsi="宋体" w:eastAsia="宋体" w:cs="Times New Roman"/>
                <w:color w:val="auto"/>
                <w:kern w:val="0"/>
                <w:sz w:val="21"/>
                <w:szCs w:val="21"/>
                <w:highlight w:val="none"/>
                <w:lang w:val="en-US" w:eastAsia="zh-CN" w:bidi="ar-SA"/>
              </w:rPr>
              <w:t>电感耦合等离子配体质谱仪、气相色谱-质谱联用仪、原子吸收分光光度计、 液相色谱—原子荧光分光光度计、荧光定量 PCR 仪、离子色谱议</w:t>
            </w:r>
            <w:r>
              <w:rPr>
                <w:rFonts w:hint="default" w:cs="Times New Roman"/>
                <w:color w:val="auto"/>
                <w:kern w:val="0"/>
                <w:sz w:val="21"/>
                <w:szCs w:val="21"/>
                <w:highlight w:val="none"/>
                <w:lang w:eastAsia="zh-CN" w:bidi="ar-SA"/>
              </w:rPr>
              <w:t>、原子荧光形态分析仪</w:t>
            </w:r>
            <w:r>
              <w:rPr>
                <w:rFonts w:hint="eastAsia" w:cs="Times New Roman"/>
                <w:color w:val="auto"/>
                <w:kern w:val="0"/>
                <w:sz w:val="21"/>
                <w:szCs w:val="21"/>
                <w:highlight w:val="none"/>
                <w:lang w:val="en-US" w:eastAsia="zh-CN" w:bidi="ar-SA"/>
              </w:rPr>
              <w:t>等</w:t>
            </w:r>
            <w:r>
              <w:rPr>
                <w:rFonts w:hint="default" w:cs="Times New Roman"/>
                <w:color w:val="auto"/>
                <w:kern w:val="0"/>
                <w:sz w:val="21"/>
                <w:szCs w:val="21"/>
                <w:highlight w:val="none"/>
                <w:lang w:eastAsia="zh-CN" w:bidi="ar-SA"/>
              </w:rPr>
              <w:t>，</w:t>
            </w:r>
            <w:r>
              <w:rPr>
                <w:rFonts w:hint="eastAsia" w:cs="Times New Roman"/>
                <w:color w:val="auto"/>
                <w:kern w:val="0"/>
                <w:sz w:val="21"/>
                <w:szCs w:val="21"/>
                <w:highlight w:val="none"/>
                <w:lang w:val="en-US" w:eastAsia="zh-CN" w:bidi="ar-SA"/>
              </w:rPr>
              <w:t>每提供1台得1分，同一检测仪器不重复计分，</w:t>
            </w:r>
            <w:r>
              <w:rPr>
                <w:rFonts w:hint="eastAsia" w:ascii="宋体" w:hAnsi="宋体" w:eastAsia="宋体" w:cs="Times New Roman"/>
                <w:color w:val="auto"/>
                <w:kern w:val="0"/>
                <w:sz w:val="21"/>
                <w:szCs w:val="21"/>
                <w:highlight w:val="none"/>
                <w:lang w:val="en-US" w:eastAsia="zh-CN" w:bidi="ar-SA"/>
              </w:rPr>
              <w:t>累计得分，最高得</w:t>
            </w:r>
            <w:r>
              <w:rPr>
                <w:rFonts w:hint="default" w:cs="Times New Roman"/>
                <w:color w:val="auto"/>
                <w:kern w:val="0"/>
                <w:sz w:val="21"/>
                <w:szCs w:val="21"/>
                <w:highlight w:val="none"/>
                <w:lang w:eastAsia="zh-CN" w:bidi="ar-SA"/>
              </w:rPr>
              <w:t>10</w:t>
            </w:r>
            <w:r>
              <w:rPr>
                <w:rFonts w:hint="eastAsia" w:ascii="宋体" w:hAnsi="宋体" w:eastAsia="宋体" w:cs="Times New Roman"/>
                <w:color w:val="auto"/>
                <w:kern w:val="0"/>
                <w:sz w:val="21"/>
                <w:szCs w:val="21"/>
                <w:highlight w:val="none"/>
                <w:lang w:val="en-US" w:eastAsia="zh-CN" w:bidi="ar-SA"/>
              </w:rPr>
              <w:t xml:space="preserve"> </w:t>
            </w:r>
            <w:r>
              <w:rPr>
                <w:rFonts w:hint="default" w:cs="Times New Roman"/>
                <w:color w:val="auto"/>
                <w:kern w:val="0"/>
                <w:sz w:val="21"/>
                <w:szCs w:val="21"/>
                <w:highlight w:val="none"/>
                <w:lang w:eastAsia="zh-CN" w:bidi="ar-SA"/>
              </w:rPr>
              <w:t>分</w:t>
            </w:r>
            <w:r>
              <w:rPr>
                <w:rFonts w:hint="eastAsia" w:ascii="宋体" w:hAnsi="宋体" w:eastAsia="宋体" w:cs="Times New Roman"/>
                <w:color w:val="auto"/>
                <w:kern w:val="0"/>
                <w:sz w:val="21"/>
                <w:szCs w:val="21"/>
                <w:highlight w:val="none"/>
                <w:lang w:val="en-US" w:eastAsia="zh-CN" w:bidi="ar-SA"/>
              </w:rPr>
              <w:t>。</w:t>
            </w:r>
          </w:p>
          <w:p w14:paraId="2FB1DA9C">
            <w:pPr>
              <w:pStyle w:val="45"/>
              <w:keepNext w:val="0"/>
              <w:keepLines w:val="0"/>
              <w:pageBreakBefore w:val="0"/>
              <w:kinsoku/>
              <w:wordWrap/>
              <w:overflowPunct/>
              <w:topLinePunct w:val="0"/>
              <w:bidi w:val="0"/>
              <w:spacing w:line="360" w:lineRule="exact"/>
              <w:ind w:left="0" w:leftChars="0" w:right="0" w:rightChars="0" w:firstLine="0" w:firstLineChars="0"/>
              <w:jc w:val="both"/>
              <w:textAlignment w:val="auto"/>
              <w:rPr>
                <w:rFonts w:hint="default" w:ascii="宋体" w:hAnsi="宋体" w:eastAsia="宋体" w:cs="Times New Roman"/>
                <w:color w:val="auto"/>
                <w:kern w:val="0"/>
                <w:sz w:val="21"/>
                <w:szCs w:val="21"/>
                <w:highlight w:val="none"/>
                <w:lang w:val="en-US" w:eastAsia="en-US" w:bidi="ar-SA"/>
              </w:rPr>
            </w:pPr>
            <w:r>
              <w:rPr>
                <w:rFonts w:hint="eastAsia" w:cs="Times New Roman"/>
                <w:color w:val="auto"/>
                <w:kern w:val="0"/>
                <w:sz w:val="21"/>
                <w:szCs w:val="21"/>
                <w:highlight w:val="none"/>
                <w:lang w:val="en-US" w:eastAsia="zh-CN" w:bidi="ar-SA"/>
              </w:rPr>
              <w:t>注：</w:t>
            </w:r>
            <w:r>
              <w:rPr>
                <w:rFonts w:hint="default" w:cs="Times New Roman"/>
                <w:color w:val="auto"/>
                <w:kern w:val="0"/>
                <w:sz w:val="21"/>
                <w:szCs w:val="21"/>
                <w:highlight w:val="none"/>
                <w:lang w:eastAsia="zh-CN" w:bidi="ar-SA"/>
              </w:rPr>
              <w:t>需提供设备清单、照片、购置发票、校准报告、检定证书等相关材料，并加盖单位公章，若设备是租赁的则需同时提供租赁合同复印件并加盖公章，否则不得分</w:t>
            </w:r>
            <w:r>
              <w:rPr>
                <w:rFonts w:hint="eastAsia" w:cs="Times New Roman"/>
                <w:color w:val="auto"/>
                <w:kern w:val="0"/>
                <w:sz w:val="21"/>
                <w:szCs w:val="21"/>
                <w:highlight w:val="none"/>
                <w:lang w:eastAsia="zh-CN" w:bidi="ar-SA"/>
              </w:rPr>
              <w:t>。</w:t>
            </w:r>
          </w:p>
        </w:tc>
        <w:tc>
          <w:tcPr>
            <w:tcW w:w="855" w:type="dxa"/>
            <w:tcBorders>
              <w:top w:val="single" w:color="auto" w:sz="4" w:space="0"/>
              <w:left w:val="single" w:color="auto" w:sz="4" w:space="0"/>
              <w:bottom w:val="single" w:color="auto" w:sz="4" w:space="0"/>
              <w:right w:val="single" w:color="auto" w:sz="4" w:space="0"/>
            </w:tcBorders>
            <w:vAlign w:val="center"/>
          </w:tcPr>
          <w:p w14:paraId="299EE00E">
            <w:pPr>
              <w:pStyle w:val="45"/>
              <w:keepNext w:val="0"/>
              <w:keepLines w:val="0"/>
              <w:pageBreakBefore w:val="0"/>
              <w:kinsoku/>
              <w:wordWrap/>
              <w:overflowPunct/>
              <w:topLinePunct w:val="0"/>
              <w:bidi w:val="0"/>
              <w:spacing w:line="360" w:lineRule="exact"/>
              <w:ind w:left="0" w:right="0"/>
              <w:jc w:val="center"/>
              <w:textAlignment w:val="auto"/>
              <w:rPr>
                <w:rFonts w:hint="default" w:eastAsia="宋体"/>
                <w:color w:val="auto"/>
                <w:w w:val="100"/>
                <w:sz w:val="21"/>
                <w:highlight w:val="none"/>
                <w:lang w:val="en-US" w:eastAsia="zh-CN"/>
              </w:rPr>
            </w:pPr>
            <w:r>
              <w:rPr>
                <w:rFonts w:hint="eastAsia" w:ascii="宋体" w:hAnsi="宋体" w:eastAsia="宋体" w:cs="宋体"/>
                <w:color w:val="auto"/>
                <w:w w:val="100"/>
                <w:sz w:val="21"/>
                <w:highlight w:val="none"/>
                <w:lang w:val="en-US" w:eastAsia="zh-CN"/>
              </w:rPr>
              <w:t>0-1</w:t>
            </w:r>
            <w:r>
              <w:rPr>
                <w:rFonts w:hint="default" w:ascii="宋体" w:hAnsi="宋体" w:eastAsia="宋体" w:cs="宋体"/>
                <w:color w:val="auto"/>
                <w:w w:val="100"/>
                <w:sz w:val="21"/>
                <w:highlight w:val="none"/>
                <w:lang w:val="en-US" w:eastAsia="zh-CN"/>
              </w:rPr>
              <w:t>0</w:t>
            </w:r>
          </w:p>
        </w:tc>
      </w:tr>
      <w:tr w14:paraId="46F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97" w:type="dxa"/>
            <w:tcBorders>
              <w:top w:val="single" w:color="auto" w:sz="4" w:space="0"/>
              <w:left w:val="single" w:color="auto" w:sz="4" w:space="0"/>
              <w:right w:val="single" w:color="auto" w:sz="4" w:space="0"/>
            </w:tcBorders>
            <w:vAlign w:val="center"/>
          </w:tcPr>
          <w:p w14:paraId="602637E7">
            <w:pPr>
              <w:pStyle w:val="45"/>
              <w:keepNext w:val="0"/>
              <w:keepLines w:val="0"/>
              <w:pageBreakBefore w:val="0"/>
              <w:kinsoku/>
              <w:wordWrap/>
              <w:overflowPunct/>
              <w:topLinePunct w:val="0"/>
              <w:bidi w:val="0"/>
              <w:spacing w:line="360" w:lineRule="exact"/>
              <w:ind w:left="0" w:right="0"/>
              <w:jc w:val="center"/>
              <w:textAlignment w:val="auto"/>
              <w:rPr>
                <w:rFonts w:hint="default"/>
                <w:color w:val="auto"/>
                <w:w w:val="100"/>
                <w:sz w:val="21"/>
                <w:highlight w:val="none"/>
                <w:lang w:val="en-US" w:eastAsia="zh-CN"/>
              </w:rPr>
            </w:pPr>
            <w:r>
              <w:rPr>
                <w:rFonts w:hint="eastAsia"/>
                <w:color w:val="auto"/>
                <w:w w:val="100"/>
                <w:sz w:val="21"/>
                <w:highlight w:val="none"/>
                <w:lang w:val="en-US" w:eastAsia="zh-CN"/>
              </w:rPr>
              <w:t>6</w:t>
            </w:r>
          </w:p>
        </w:tc>
        <w:tc>
          <w:tcPr>
            <w:tcW w:w="7995" w:type="dxa"/>
            <w:tcBorders>
              <w:top w:val="single" w:color="auto" w:sz="4" w:space="0"/>
              <w:left w:val="single" w:color="auto" w:sz="4" w:space="0"/>
              <w:bottom w:val="single" w:color="auto" w:sz="4" w:space="0"/>
              <w:right w:val="single" w:color="auto" w:sz="4" w:space="0"/>
            </w:tcBorders>
            <w:shd w:val="clear" w:color="auto" w:fill="auto"/>
            <w:vAlign w:val="center"/>
          </w:tcPr>
          <w:p w14:paraId="5A02C120">
            <w:pPr>
              <w:pStyle w:val="45"/>
              <w:keepNext w:val="0"/>
              <w:keepLines w:val="0"/>
              <w:pageBreakBefore w:val="0"/>
              <w:kinsoku/>
              <w:wordWrap/>
              <w:overflowPunct/>
              <w:topLinePunct w:val="0"/>
              <w:bidi w:val="0"/>
              <w:spacing w:line="360" w:lineRule="exact"/>
              <w:ind w:left="0" w:right="0"/>
              <w:jc w:val="both"/>
              <w:textAlignment w:val="auto"/>
              <w:rPr>
                <w:rFonts w:hint="eastAsia" w:ascii="宋体" w:hAnsi="宋体" w:eastAsia="宋体" w:cs="Times New Roman"/>
                <w:color w:val="auto"/>
                <w:kern w:val="0"/>
                <w:sz w:val="21"/>
                <w:szCs w:val="21"/>
                <w:highlight w:val="none"/>
                <w:lang w:val="en-US" w:eastAsia="zh-CN" w:bidi="ar-SA"/>
              </w:rPr>
            </w:pPr>
            <w:r>
              <w:rPr>
                <w:rFonts w:hint="default" w:ascii="宋体" w:hAnsi="宋体" w:eastAsia="宋体" w:cs="Times New Roman"/>
                <w:color w:val="auto"/>
                <w:kern w:val="0"/>
                <w:sz w:val="21"/>
                <w:szCs w:val="21"/>
                <w:highlight w:val="none"/>
                <w:lang w:val="en-US" w:eastAsia="zh-CN" w:bidi="ar-SA"/>
              </w:rPr>
              <w:t>根据</w:t>
            </w:r>
            <w:r>
              <w:rPr>
                <w:rFonts w:hint="eastAsia" w:ascii="宋体" w:hAnsi="宋体" w:eastAsia="宋体" w:cs="Times New Roman"/>
                <w:color w:val="auto"/>
                <w:kern w:val="0"/>
                <w:sz w:val="21"/>
                <w:szCs w:val="21"/>
                <w:highlight w:val="none"/>
                <w:lang w:val="en-US" w:eastAsia="zh-CN" w:bidi="ar-SA"/>
              </w:rPr>
              <w:t>投标人</w:t>
            </w:r>
            <w:r>
              <w:rPr>
                <w:rFonts w:hint="default" w:ascii="宋体" w:hAnsi="宋体" w:eastAsia="宋体" w:cs="Times New Roman"/>
                <w:color w:val="auto"/>
                <w:kern w:val="0"/>
                <w:sz w:val="21"/>
                <w:szCs w:val="21"/>
                <w:highlight w:val="none"/>
                <w:lang w:val="en-US" w:eastAsia="zh-CN" w:bidi="ar-SA"/>
              </w:rPr>
              <w:t>是否</w:t>
            </w:r>
            <w:r>
              <w:rPr>
                <w:rFonts w:hint="eastAsia" w:ascii="宋体" w:hAnsi="宋体" w:eastAsia="宋体" w:cs="Times New Roman"/>
                <w:color w:val="auto"/>
                <w:kern w:val="0"/>
                <w:sz w:val="21"/>
                <w:szCs w:val="21"/>
                <w:highlight w:val="none"/>
                <w:lang w:val="en-US" w:eastAsia="zh-CN" w:bidi="ar-SA"/>
              </w:rPr>
              <w:t>满足食品安全监督抽检所需工具、车辆、特殊贮存条件要求的运输设备等情况进行打分。</w:t>
            </w:r>
          </w:p>
          <w:p w14:paraId="1B842063">
            <w:pPr>
              <w:pStyle w:val="45"/>
              <w:keepNext w:val="0"/>
              <w:keepLines w:val="0"/>
              <w:pageBreakBefore w:val="0"/>
              <w:kinsoku/>
              <w:wordWrap/>
              <w:overflowPunct/>
              <w:topLinePunct w:val="0"/>
              <w:bidi w:val="0"/>
              <w:spacing w:line="360" w:lineRule="exact"/>
              <w:ind w:left="0" w:right="0"/>
              <w:jc w:val="both"/>
              <w:textAlignment w:val="auto"/>
              <w:rPr>
                <w:rFonts w:hint="default" w:ascii="宋体" w:hAnsi="宋体"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①备有</w:t>
            </w:r>
            <w:r>
              <w:rPr>
                <w:rFonts w:hint="eastAsia" w:ascii="宋体" w:hAnsi="宋体" w:eastAsia="宋体" w:cs="Times New Roman"/>
                <w:color w:val="auto"/>
                <w:kern w:val="0"/>
                <w:sz w:val="21"/>
                <w:szCs w:val="21"/>
                <w:highlight w:val="none"/>
                <w:lang w:val="en-US" w:eastAsia="zh-CN" w:bidi="ar-SA"/>
              </w:rPr>
              <w:t>食品专用采样车且配备车载冰箱的</w:t>
            </w:r>
            <w:r>
              <w:rPr>
                <w:rFonts w:hint="eastAsia" w:cs="Times New Roman"/>
                <w:color w:val="auto"/>
                <w:kern w:val="0"/>
                <w:sz w:val="21"/>
                <w:szCs w:val="21"/>
                <w:highlight w:val="none"/>
                <w:lang w:val="en-US" w:eastAsia="zh-CN" w:bidi="ar-SA"/>
              </w:rPr>
              <w:t>，每辆</w:t>
            </w:r>
            <w:r>
              <w:rPr>
                <w:rFonts w:hint="eastAsia" w:ascii="宋体" w:hAnsi="宋体" w:eastAsia="宋体" w:cs="Times New Roman"/>
                <w:color w:val="auto"/>
                <w:kern w:val="0"/>
                <w:sz w:val="21"/>
                <w:szCs w:val="21"/>
                <w:highlight w:val="none"/>
                <w:lang w:val="en-US" w:eastAsia="zh-CN" w:bidi="ar-SA"/>
              </w:rPr>
              <w:t>得</w:t>
            </w:r>
            <w:r>
              <w:rPr>
                <w:rFonts w:hint="eastAsia" w:cs="Times New Roman"/>
                <w:color w:val="auto"/>
                <w:kern w:val="0"/>
                <w:sz w:val="21"/>
                <w:szCs w:val="21"/>
                <w:highlight w:val="none"/>
                <w:lang w:val="en-US" w:eastAsia="zh-CN" w:bidi="ar-SA"/>
              </w:rPr>
              <w:t>1</w:t>
            </w:r>
            <w:r>
              <w:rPr>
                <w:rFonts w:hint="eastAsia" w:ascii="宋体" w:hAnsi="宋体" w:eastAsia="宋体" w:cs="Times New Roman"/>
                <w:color w:val="auto"/>
                <w:kern w:val="0"/>
                <w:sz w:val="21"/>
                <w:szCs w:val="21"/>
                <w:highlight w:val="none"/>
                <w:lang w:val="en-US" w:eastAsia="zh-CN" w:bidi="ar-SA"/>
              </w:rPr>
              <w:t>分</w:t>
            </w:r>
            <w:r>
              <w:rPr>
                <w:rFonts w:hint="eastAsia" w:cs="Times New Roman"/>
                <w:color w:val="auto"/>
                <w:kern w:val="0"/>
                <w:sz w:val="21"/>
                <w:szCs w:val="21"/>
                <w:highlight w:val="none"/>
                <w:lang w:val="en-US" w:eastAsia="zh-CN" w:bidi="ar-SA"/>
              </w:rPr>
              <w:t>，最高得2分</w:t>
            </w:r>
          </w:p>
          <w:p w14:paraId="4F0DD346">
            <w:pPr>
              <w:pStyle w:val="45"/>
              <w:keepNext w:val="0"/>
              <w:keepLines w:val="0"/>
              <w:pageBreakBefore w:val="0"/>
              <w:kinsoku/>
              <w:wordWrap/>
              <w:overflowPunct/>
              <w:topLinePunct w:val="0"/>
              <w:bidi w:val="0"/>
              <w:spacing w:line="360" w:lineRule="exact"/>
              <w:ind w:left="0" w:right="0"/>
              <w:jc w:val="both"/>
              <w:textAlignment w:val="auto"/>
              <w:rPr>
                <w:rFonts w:hint="eastAsia" w:ascii="宋体" w:hAnsi="宋体"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②</w:t>
            </w:r>
            <w:r>
              <w:rPr>
                <w:rFonts w:hint="eastAsia" w:ascii="宋体" w:hAnsi="宋体" w:eastAsia="宋体" w:cs="Times New Roman"/>
                <w:color w:val="auto"/>
                <w:kern w:val="0"/>
                <w:sz w:val="21"/>
                <w:szCs w:val="21"/>
                <w:highlight w:val="none"/>
                <w:lang w:val="en-US" w:eastAsia="zh-CN" w:bidi="ar-SA"/>
              </w:rPr>
              <w:t>配备现场采集摄像信息执法仪的，一台得0.5分，最高得1.5分，若为租赁则得分减半。</w:t>
            </w:r>
          </w:p>
          <w:p w14:paraId="7EE009EF">
            <w:pPr>
              <w:pStyle w:val="45"/>
              <w:keepNext w:val="0"/>
              <w:keepLines w:val="0"/>
              <w:pageBreakBefore w:val="0"/>
              <w:kinsoku/>
              <w:wordWrap/>
              <w:overflowPunct/>
              <w:topLinePunct w:val="0"/>
              <w:bidi w:val="0"/>
              <w:spacing w:line="360" w:lineRule="exact"/>
              <w:ind w:left="0" w:right="0"/>
              <w:jc w:val="both"/>
              <w:textAlignment w:val="auto"/>
              <w:rPr>
                <w:rFonts w:hint="default" w:ascii="宋体" w:hAnsi="宋体"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③</w:t>
            </w:r>
            <w:r>
              <w:rPr>
                <w:rFonts w:hint="eastAsia" w:ascii="宋体" w:hAnsi="宋体" w:eastAsia="宋体" w:cs="Times New Roman"/>
                <w:color w:val="auto"/>
                <w:kern w:val="0"/>
                <w:sz w:val="21"/>
                <w:szCs w:val="21"/>
                <w:highlight w:val="none"/>
                <w:lang w:val="en-US" w:eastAsia="zh-CN" w:bidi="ar-SA"/>
              </w:rPr>
              <w:t>具备冷藏食品保存专用冷库得3分。</w:t>
            </w:r>
          </w:p>
          <w:p w14:paraId="734A29B4">
            <w:pPr>
              <w:pStyle w:val="45"/>
              <w:keepNext w:val="0"/>
              <w:keepLines w:val="0"/>
              <w:pageBreakBefore w:val="0"/>
              <w:kinsoku/>
              <w:wordWrap/>
              <w:overflowPunct/>
              <w:topLinePunct w:val="0"/>
              <w:bidi w:val="0"/>
              <w:spacing w:line="360" w:lineRule="exact"/>
              <w:ind w:left="0" w:right="0"/>
              <w:jc w:val="both"/>
              <w:textAlignment w:val="auto"/>
              <w:rPr>
                <w:rFonts w:hint="eastAsia" w:ascii="宋体" w:hAnsi="宋体" w:eastAsia="宋体" w:cs="Times New Roman"/>
                <w:color w:val="auto"/>
                <w:kern w:val="0"/>
                <w:sz w:val="21"/>
                <w:szCs w:val="21"/>
                <w:highlight w:val="none"/>
                <w:lang w:val="en-US" w:eastAsia="en-US" w:bidi="ar-SA"/>
              </w:rPr>
            </w:pPr>
            <w:r>
              <w:rPr>
                <w:rFonts w:hint="eastAsia" w:cs="Times New Roman"/>
                <w:color w:val="auto"/>
                <w:kern w:val="0"/>
                <w:sz w:val="21"/>
                <w:szCs w:val="21"/>
                <w:highlight w:val="none"/>
                <w:lang w:val="en-US" w:eastAsia="zh-CN" w:bidi="ar-SA"/>
              </w:rPr>
              <w:t>注：需</w:t>
            </w:r>
            <w:r>
              <w:rPr>
                <w:rFonts w:hint="eastAsia" w:ascii="宋体" w:hAnsi="宋体" w:eastAsia="宋体" w:cs="Times New Roman"/>
                <w:color w:val="auto"/>
                <w:kern w:val="0"/>
                <w:sz w:val="21"/>
                <w:szCs w:val="21"/>
                <w:highlight w:val="none"/>
                <w:lang w:val="en-US" w:eastAsia="zh-CN" w:bidi="ar-SA"/>
              </w:rPr>
              <w:t>提供相关设备照片、购买发票或租赁合同的原件或扫描件，并加盖单位公章，否则不得分。</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7CD3977">
            <w:pPr>
              <w:pStyle w:val="45"/>
              <w:keepNext w:val="0"/>
              <w:keepLines w:val="0"/>
              <w:pageBreakBefore w:val="0"/>
              <w:kinsoku/>
              <w:wordWrap/>
              <w:overflowPunct/>
              <w:topLinePunct w:val="0"/>
              <w:bidi w:val="0"/>
              <w:spacing w:line="360" w:lineRule="exact"/>
              <w:ind w:left="0" w:right="0"/>
              <w:jc w:val="center"/>
              <w:textAlignment w:val="auto"/>
              <w:rPr>
                <w:rFonts w:hint="default" w:ascii="宋体" w:hAnsi="宋体" w:eastAsia="宋体" w:cs="宋体"/>
                <w:color w:val="auto"/>
                <w:w w:val="100"/>
                <w:sz w:val="21"/>
                <w:highlight w:val="none"/>
                <w:lang w:val="en-US" w:eastAsia="zh-CN"/>
              </w:rPr>
            </w:pPr>
            <w:r>
              <w:rPr>
                <w:rFonts w:hint="eastAsia" w:ascii="宋体" w:hAnsi="宋体" w:eastAsia="宋体" w:cs="宋体"/>
                <w:color w:val="auto"/>
                <w:w w:val="100"/>
                <w:sz w:val="21"/>
                <w:highlight w:val="none"/>
                <w:lang w:val="en-US" w:eastAsia="zh-CN"/>
              </w:rPr>
              <w:t>0-</w:t>
            </w:r>
            <w:r>
              <w:rPr>
                <w:rFonts w:hint="eastAsia" w:cs="宋体"/>
                <w:color w:val="auto"/>
                <w:w w:val="100"/>
                <w:sz w:val="21"/>
                <w:highlight w:val="none"/>
                <w:lang w:val="en-US" w:eastAsia="zh-CN"/>
              </w:rPr>
              <w:t>6.5</w:t>
            </w:r>
          </w:p>
        </w:tc>
      </w:tr>
      <w:tr w14:paraId="6DBC3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597" w:type="dxa"/>
            <w:tcBorders>
              <w:left w:val="single" w:color="auto" w:sz="4" w:space="0"/>
              <w:right w:val="single" w:color="auto" w:sz="4" w:space="0"/>
            </w:tcBorders>
          </w:tcPr>
          <w:p w14:paraId="0D19A8A0">
            <w:pPr>
              <w:pStyle w:val="45"/>
              <w:keepNext w:val="0"/>
              <w:keepLines w:val="0"/>
              <w:pageBreakBefore w:val="0"/>
              <w:kinsoku/>
              <w:wordWrap/>
              <w:overflowPunct/>
              <w:topLinePunct w:val="0"/>
              <w:bidi w:val="0"/>
              <w:spacing w:line="360" w:lineRule="exact"/>
              <w:ind w:left="0" w:right="0"/>
              <w:jc w:val="center"/>
              <w:textAlignment w:val="auto"/>
              <w:rPr>
                <w:rFonts w:hint="eastAsia"/>
                <w:color w:val="auto"/>
                <w:w w:val="100"/>
                <w:sz w:val="21"/>
                <w:highlight w:val="none"/>
                <w:lang w:val="en-US" w:eastAsia="zh-CN"/>
              </w:rPr>
            </w:pPr>
          </w:p>
          <w:p w14:paraId="3C477972">
            <w:pPr>
              <w:pStyle w:val="45"/>
              <w:keepNext w:val="0"/>
              <w:keepLines w:val="0"/>
              <w:pageBreakBefore w:val="0"/>
              <w:kinsoku/>
              <w:wordWrap/>
              <w:overflowPunct/>
              <w:topLinePunct w:val="0"/>
              <w:bidi w:val="0"/>
              <w:spacing w:line="360" w:lineRule="exact"/>
              <w:ind w:left="0" w:right="0" w:firstLine="210" w:firstLineChars="100"/>
              <w:jc w:val="both"/>
              <w:textAlignment w:val="auto"/>
              <w:rPr>
                <w:rFonts w:hint="eastAsia"/>
                <w:color w:val="auto"/>
                <w:w w:val="100"/>
                <w:sz w:val="21"/>
                <w:highlight w:val="none"/>
                <w:lang w:val="en-US" w:eastAsia="zh-CN"/>
              </w:rPr>
            </w:pPr>
            <w:r>
              <w:rPr>
                <w:rFonts w:hint="eastAsia"/>
                <w:color w:val="auto"/>
                <w:w w:val="100"/>
                <w:sz w:val="21"/>
                <w:highlight w:val="none"/>
                <w:lang w:val="en-US" w:eastAsia="zh-CN"/>
              </w:rPr>
              <w:t>7</w:t>
            </w:r>
          </w:p>
        </w:tc>
        <w:tc>
          <w:tcPr>
            <w:tcW w:w="7995" w:type="dxa"/>
            <w:tcBorders>
              <w:top w:val="single" w:color="auto" w:sz="4" w:space="0"/>
              <w:left w:val="single" w:color="auto" w:sz="4" w:space="0"/>
              <w:bottom w:val="single" w:color="auto" w:sz="4" w:space="0"/>
              <w:right w:val="single" w:color="auto" w:sz="4" w:space="0"/>
            </w:tcBorders>
            <w:vAlign w:val="center"/>
          </w:tcPr>
          <w:p w14:paraId="109EF0B2">
            <w:pPr>
              <w:pStyle w:val="45"/>
              <w:keepNext w:val="0"/>
              <w:keepLines w:val="0"/>
              <w:pageBreakBefore w:val="0"/>
              <w:kinsoku/>
              <w:wordWrap/>
              <w:overflowPunct/>
              <w:topLinePunct w:val="0"/>
              <w:bidi w:val="0"/>
              <w:spacing w:line="360" w:lineRule="exact"/>
              <w:ind w:left="0" w:right="0"/>
              <w:jc w:val="both"/>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投标人针对本项目提出的检测计划及进度安排的科学性、可靠性、合理性和扩展性,方案的实现以及方案配置的合理性方面与项目对应需求的满足程度的内容进行打分（打分区间：</w:t>
            </w:r>
            <w:r>
              <w:rPr>
                <w:rFonts w:hint="eastAsia" w:cs="Times New Roman"/>
                <w:color w:val="auto"/>
                <w:kern w:val="0"/>
                <w:sz w:val="21"/>
                <w:szCs w:val="21"/>
                <w:highlight w:val="none"/>
                <w:lang w:val="en-US" w:eastAsia="zh-CN" w:bidi="ar-SA"/>
              </w:rPr>
              <w:t>7、6、</w:t>
            </w:r>
            <w:r>
              <w:rPr>
                <w:rFonts w:hint="eastAsia" w:ascii="宋体" w:hAnsi="宋体" w:eastAsia="宋体" w:cs="Times New Roman"/>
                <w:color w:val="auto"/>
                <w:kern w:val="0"/>
                <w:sz w:val="21"/>
                <w:szCs w:val="21"/>
                <w:highlight w:val="none"/>
                <w:lang w:val="en-US" w:eastAsia="zh-CN" w:bidi="ar-SA"/>
              </w:rPr>
              <w:t>5、4、3、2、1、0）。</w:t>
            </w:r>
          </w:p>
        </w:tc>
        <w:tc>
          <w:tcPr>
            <w:tcW w:w="855" w:type="dxa"/>
            <w:tcBorders>
              <w:top w:val="single" w:color="auto" w:sz="4" w:space="0"/>
              <w:left w:val="single" w:color="auto" w:sz="4" w:space="0"/>
              <w:bottom w:val="single" w:color="auto" w:sz="4" w:space="0"/>
              <w:right w:val="single" w:color="auto" w:sz="4" w:space="0"/>
            </w:tcBorders>
            <w:vAlign w:val="center"/>
          </w:tcPr>
          <w:p w14:paraId="3883F2FC">
            <w:pPr>
              <w:keepNext w:val="0"/>
              <w:keepLines w:val="0"/>
              <w:pageBreakBefore w:val="0"/>
              <w:kinsoku/>
              <w:wordWrap/>
              <w:overflowPunct/>
              <w:topLinePunct w:val="0"/>
              <w:bidi w:val="0"/>
              <w:spacing w:line="360" w:lineRule="exact"/>
              <w:ind w:left="0" w:right="0"/>
              <w:jc w:val="center"/>
              <w:textAlignment w:val="auto"/>
              <w:rPr>
                <w:rFonts w:hint="default" w:ascii="宋体" w:hAnsi="宋体" w:eastAsia="宋体" w:cs="宋体"/>
                <w:color w:val="auto"/>
                <w:w w:val="100"/>
                <w:sz w:val="21"/>
                <w:highlight w:val="none"/>
                <w:lang w:val="en-US" w:eastAsia="zh-CN"/>
              </w:rPr>
            </w:pPr>
            <w:r>
              <w:rPr>
                <w:rFonts w:hint="eastAsia" w:ascii="宋体" w:hAnsi="宋体" w:eastAsia="宋体" w:cs="宋体"/>
                <w:color w:val="auto"/>
                <w:w w:val="100"/>
                <w:kern w:val="2"/>
                <w:sz w:val="21"/>
                <w:szCs w:val="22"/>
                <w:highlight w:val="none"/>
                <w:lang w:val="en-US" w:eastAsia="zh-CN" w:bidi="zh-CN"/>
              </w:rPr>
              <w:t>0-</w:t>
            </w:r>
            <w:r>
              <w:rPr>
                <w:rFonts w:hint="eastAsia" w:ascii="宋体" w:hAnsi="宋体" w:cs="宋体"/>
                <w:color w:val="auto"/>
                <w:w w:val="100"/>
                <w:kern w:val="2"/>
                <w:sz w:val="21"/>
                <w:szCs w:val="22"/>
                <w:highlight w:val="none"/>
                <w:lang w:val="en-US" w:eastAsia="zh-CN" w:bidi="zh-CN"/>
              </w:rPr>
              <w:t>7</w:t>
            </w:r>
          </w:p>
        </w:tc>
      </w:tr>
      <w:tr w14:paraId="1E582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597" w:type="dxa"/>
            <w:tcBorders>
              <w:top w:val="single" w:color="auto" w:sz="4" w:space="0"/>
              <w:left w:val="single" w:color="auto" w:sz="4" w:space="0"/>
              <w:right w:val="single" w:color="auto" w:sz="4" w:space="0"/>
            </w:tcBorders>
            <w:vAlign w:val="center"/>
          </w:tcPr>
          <w:p w14:paraId="757BB016">
            <w:pPr>
              <w:pStyle w:val="45"/>
              <w:keepNext w:val="0"/>
              <w:keepLines w:val="0"/>
              <w:pageBreakBefore w:val="0"/>
              <w:kinsoku/>
              <w:wordWrap/>
              <w:overflowPunct/>
              <w:topLinePunct w:val="0"/>
              <w:bidi w:val="0"/>
              <w:spacing w:line="360" w:lineRule="exact"/>
              <w:ind w:left="0" w:right="0"/>
              <w:jc w:val="center"/>
              <w:textAlignment w:val="auto"/>
              <w:rPr>
                <w:rFonts w:hint="default"/>
                <w:color w:val="auto"/>
                <w:w w:val="100"/>
                <w:sz w:val="21"/>
                <w:highlight w:val="none"/>
                <w:lang w:val="en-US" w:eastAsia="zh-CN"/>
              </w:rPr>
            </w:pPr>
            <w:r>
              <w:rPr>
                <w:rFonts w:hint="eastAsia"/>
                <w:color w:val="auto"/>
                <w:w w:val="100"/>
                <w:sz w:val="21"/>
                <w:highlight w:val="none"/>
                <w:lang w:val="en-US" w:eastAsia="zh-CN"/>
              </w:rPr>
              <w:t>8</w:t>
            </w:r>
          </w:p>
        </w:tc>
        <w:tc>
          <w:tcPr>
            <w:tcW w:w="7995" w:type="dxa"/>
            <w:tcBorders>
              <w:top w:val="single" w:color="auto" w:sz="4" w:space="0"/>
              <w:left w:val="single" w:color="auto" w:sz="4" w:space="0"/>
              <w:bottom w:val="single" w:color="auto" w:sz="4" w:space="0"/>
              <w:right w:val="single" w:color="auto" w:sz="4" w:space="0"/>
            </w:tcBorders>
            <w:vAlign w:val="center"/>
          </w:tcPr>
          <w:p w14:paraId="6DCEDC08">
            <w:pPr>
              <w:pStyle w:val="45"/>
              <w:keepNext w:val="0"/>
              <w:keepLines w:val="0"/>
              <w:pageBreakBefore w:val="0"/>
              <w:kinsoku/>
              <w:wordWrap/>
              <w:overflowPunct/>
              <w:topLinePunct w:val="0"/>
              <w:bidi w:val="0"/>
              <w:spacing w:line="360" w:lineRule="exact"/>
              <w:ind w:left="0" w:right="0"/>
              <w:jc w:val="both"/>
              <w:textAlignment w:val="auto"/>
              <w:rPr>
                <w:rFonts w:hint="default" w:ascii="宋体" w:hAnsi="宋体" w:eastAsia="宋体" w:cs="Times New Roman"/>
                <w:color w:val="auto"/>
                <w:kern w:val="0"/>
                <w:sz w:val="21"/>
                <w:szCs w:val="21"/>
                <w:highlight w:val="none"/>
                <w:lang w:val="en-US" w:eastAsia="en-US" w:bidi="ar-SA"/>
              </w:rPr>
            </w:pPr>
            <w:r>
              <w:rPr>
                <w:rFonts w:hint="eastAsia" w:ascii="宋体" w:hAnsi="宋体" w:eastAsia="宋体" w:cs="Times New Roman"/>
                <w:color w:val="auto"/>
                <w:kern w:val="0"/>
                <w:sz w:val="21"/>
                <w:szCs w:val="21"/>
                <w:highlight w:val="none"/>
                <w:lang w:val="en-US" w:eastAsia="zh-CN" w:bidi="ar-SA"/>
              </w:rPr>
              <w:t>投标人针对本项目提出的检测服务时间保障的科学性、可靠性、合理性和扩展性,方案的实现以及方案配置的合理性方面与项目对应需求的满足程度的内容进行打分（打分区间：</w:t>
            </w:r>
            <w:r>
              <w:rPr>
                <w:rFonts w:hint="eastAsia" w:cs="Times New Roman"/>
                <w:color w:val="auto"/>
                <w:kern w:val="0"/>
                <w:sz w:val="21"/>
                <w:szCs w:val="21"/>
                <w:highlight w:val="none"/>
                <w:lang w:val="en-US" w:eastAsia="zh-CN" w:bidi="ar-SA"/>
              </w:rPr>
              <w:t>6</w:t>
            </w:r>
            <w:r>
              <w:rPr>
                <w:rFonts w:hint="eastAsia" w:ascii="宋体" w:hAnsi="宋体" w:eastAsia="宋体" w:cs="Times New Roman"/>
                <w:color w:val="auto"/>
                <w:kern w:val="0"/>
                <w:sz w:val="21"/>
                <w:szCs w:val="21"/>
                <w:highlight w:val="none"/>
                <w:lang w:val="en-US" w:eastAsia="zh-CN" w:bidi="ar-SA"/>
              </w:rPr>
              <w:t>、5、4、3、2、1、0）。</w:t>
            </w:r>
          </w:p>
        </w:tc>
        <w:tc>
          <w:tcPr>
            <w:tcW w:w="855" w:type="dxa"/>
            <w:tcBorders>
              <w:top w:val="single" w:color="auto" w:sz="4" w:space="0"/>
              <w:left w:val="single" w:color="auto" w:sz="4" w:space="0"/>
              <w:bottom w:val="single" w:color="auto" w:sz="4" w:space="0"/>
              <w:right w:val="single" w:color="auto" w:sz="4" w:space="0"/>
            </w:tcBorders>
            <w:vAlign w:val="center"/>
          </w:tcPr>
          <w:p w14:paraId="37CA4D2B">
            <w:pPr>
              <w:keepNext w:val="0"/>
              <w:keepLines w:val="0"/>
              <w:pageBreakBefore w:val="0"/>
              <w:kinsoku/>
              <w:wordWrap/>
              <w:overflowPunct/>
              <w:topLinePunct w:val="0"/>
              <w:bidi w:val="0"/>
              <w:spacing w:line="360" w:lineRule="exact"/>
              <w:ind w:left="0" w:right="0"/>
              <w:jc w:val="center"/>
              <w:textAlignment w:val="auto"/>
              <w:rPr>
                <w:rFonts w:hint="default" w:ascii="宋体" w:hAnsi="宋体" w:eastAsia="宋体" w:cs="宋体"/>
                <w:color w:val="auto"/>
                <w:w w:val="100"/>
                <w:kern w:val="2"/>
                <w:sz w:val="21"/>
                <w:szCs w:val="22"/>
                <w:highlight w:val="none"/>
                <w:lang w:val="en-US" w:eastAsia="zh-CN" w:bidi="zh-CN"/>
              </w:rPr>
            </w:pPr>
            <w:r>
              <w:rPr>
                <w:rFonts w:hint="eastAsia" w:ascii="宋体" w:hAnsi="宋体" w:eastAsia="宋体" w:cs="宋体"/>
                <w:color w:val="auto"/>
                <w:w w:val="100"/>
                <w:kern w:val="2"/>
                <w:sz w:val="21"/>
                <w:szCs w:val="22"/>
                <w:highlight w:val="none"/>
                <w:lang w:val="en-US" w:eastAsia="zh-CN" w:bidi="zh-CN"/>
              </w:rPr>
              <w:t>0-</w:t>
            </w:r>
            <w:r>
              <w:rPr>
                <w:rFonts w:hint="eastAsia" w:ascii="宋体" w:hAnsi="宋体" w:cs="宋体"/>
                <w:color w:val="auto"/>
                <w:w w:val="100"/>
                <w:kern w:val="2"/>
                <w:sz w:val="21"/>
                <w:szCs w:val="22"/>
                <w:highlight w:val="none"/>
                <w:lang w:val="en-US" w:eastAsia="zh-CN" w:bidi="zh-CN"/>
              </w:rPr>
              <w:t>6</w:t>
            </w:r>
          </w:p>
        </w:tc>
      </w:tr>
      <w:tr w14:paraId="08D97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597" w:type="dxa"/>
            <w:tcBorders>
              <w:top w:val="single" w:color="auto" w:sz="4" w:space="0"/>
              <w:left w:val="single" w:color="auto" w:sz="4" w:space="0"/>
              <w:right w:val="single" w:color="auto" w:sz="4" w:space="0"/>
            </w:tcBorders>
            <w:vAlign w:val="center"/>
          </w:tcPr>
          <w:p w14:paraId="4EE491CC">
            <w:pPr>
              <w:pStyle w:val="45"/>
              <w:keepNext w:val="0"/>
              <w:keepLines w:val="0"/>
              <w:pageBreakBefore w:val="0"/>
              <w:kinsoku/>
              <w:wordWrap/>
              <w:overflowPunct/>
              <w:topLinePunct w:val="0"/>
              <w:bidi w:val="0"/>
              <w:spacing w:line="360" w:lineRule="exact"/>
              <w:ind w:left="0" w:right="0"/>
              <w:jc w:val="center"/>
              <w:textAlignment w:val="auto"/>
              <w:rPr>
                <w:rFonts w:hint="default"/>
                <w:color w:val="auto"/>
                <w:w w:val="100"/>
                <w:sz w:val="21"/>
                <w:highlight w:val="none"/>
                <w:lang w:val="en-US" w:eastAsia="zh-CN"/>
              </w:rPr>
            </w:pPr>
            <w:r>
              <w:rPr>
                <w:rFonts w:hint="eastAsia"/>
                <w:color w:val="auto"/>
                <w:w w:val="100"/>
                <w:sz w:val="21"/>
                <w:highlight w:val="none"/>
                <w:lang w:val="en-US" w:eastAsia="zh-CN"/>
              </w:rPr>
              <w:t>9</w:t>
            </w:r>
          </w:p>
        </w:tc>
        <w:tc>
          <w:tcPr>
            <w:tcW w:w="7995" w:type="dxa"/>
            <w:tcBorders>
              <w:top w:val="single" w:color="auto" w:sz="4" w:space="0"/>
              <w:left w:val="single" w:color="auto" w:sz="4" w:space="0"/>
              <w:bottom w:val="single" w:color="auto" w:sz="4" w:space="0"/>
              <w:right w:val="single" w:color="auto" w:sz="4" w:space="0"/>
            </w:tcBorders>
            <w:vAlign w:val="center"/>
          </w:tcPr>
          <w:p w14:paraId="370165F8">
            <w:pPr>
              <w:pStyle w:val="45"/>
              <w:keepNext w:val="0"/>
              <w:keepLines w:val="0"/>
              <w:pageBreakBefore w:val="0"/>
              <w:kinsoku/>
              <w:wordWrap/>
              <w:overflowPunct/>
              <w:topLinePunct w:val="0"/>
              <w:bidi w:val="0"/>
              <w:spacing w:line="360" w:lineRule="exact"/>
              <w:ind w:left="0" w:right="0"/>
              <w:jc w:val="both"/>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投标人针对本项目提出的备样保存及处置的科学性、可靠性、合理性和扩展性,方案的实现以及方案配置的合理性方面与项目对应需求的满足程度的内容进行打分（打分区间：</w:t>
            </w:r>
            <w:r>
              <w:rPr>
                <w:rFonts w:hint="eastAsia" w:cs="Times New Roman"/>
                <w:color w:val="auto"/>
                <w:kern w:val="0"/>
                <w:sz w:val="21"/>
                <w:szCs w:val="21"/>
                <w:highlight w:val="none"/>
                <w:lang w:val="en-US" w:eastAsia="zh-CN" w:bidi="ar-SA"/>
              </w:rPr>
              <w:t>6、</w:t>
            </w:r>
            <w:r>
              <w:rPr>
                <w:rFonts w:hint="eastAsia" w:ascii="宋体" w:hAnsi="宋体" w:eastAsia="宋体" w:cs="Times New Roman"/>
                <w:color w:val="auto"/>
                <w:kern w:val="0"/>
                <w:sz w:val="21"/>
                <w:szCs w:val="21"/>
                <w:highlight w:val="none"/>
                <w:lang w:val="en-US" w:eastAsia="zh-CN" w:bidi="ar-SA"/>
              </w:rPr>
              <w:t>5、4、3、2、1、0）。</w:t>
            </w:r>
          </w:p>
        </w:tc>
        <w:tc>
          <w:tcPr>
            <w:tcW w:w="855" w:type="dxa"/>
            <w:tcBorders>
              <w:top w:val="single" w:color="auto" w:sz="4" w:space="0"/>
              <w:left w:val="single" w:color="auto" w:sz="4" w:space="0"/>
              <w:bottom w:val="single" w:color="auto" w:sz="4" w:space="0"/>
              <w:right w:val="single" w:color="auto" w:sz="4" w:space="0"/>
            </w:tcBorders>
            <w:vAlign w:val="center"/>
          </w:tcPr>
          <w:p w14:paraId="254801CD">
            <w:pPr>
              <w:keepNext w:val="0"/>
              <w:keepLines w:val="0"/>
              <w:pageBreakBefore w:val="0"/>
              <w:kinsoku/>
              <w:wordWrap/>
              <w:overflowPunct/>
              <w:topLinePunct w:val="0"/>
              <w:bidi w:val="0"/>
              <w:spacing w:line="360" w:lineRule="exact"/>
              <w:ind w:left="0" w:right="0"/>
              <w:jc w:val="center"/>
              <w:textAlignment w:val="auto"/>
              <w:rPr>
                <w:rFonts w:hint="eastAsia" w:ascii="宋体" w:hAnsi="宋体" w:eastAsia="宋体" w:cs="宋体"/>
                <w:color w:val="auto"/>
                <w:w w:val="100"/>
                <w:kern w:val="2"/>
                <w:sz w:val="21"/>
                <w:szCs w:val="22"/>
                <w:highlight w:val="none"/>
                <w:lang w:val="en-US" w:eastAsia="zh-CN" w:bidi="zh-CN"/>
              </w:rPr>
            </w:pPr>
            <w:r>
              <w:rPr>
                <w:rFonts w:hint="eastAsia" w:ascii="宋体" w:hAnsi="宋体" w:eastAsia="宋体" w:cs="宋体"/>
                <w:color w:val="auto"/>
                <w:w w:val="100"/>
                <w:kern w:val="2"/>
                <w:sz w:val="21"/>
                <w:szCs w:val="22"/>
                <w:highlight w:val="none"/>
                <w:lang w:val="en-US" w:eastAsia="zh-CN" w:bidi="zh-CN"/>
              </w:rPr>
              <w:t>0-</w:t>
            </w:r>
            <w:r>
              <w:rPr>
                <w:rFonts w:hint="eastAsia" w:ascii="宋体" w:hAnsi="宋体" w:cs="宋体"/>
                <w:color w:val="auto"/>
                <w:w w:val="100"/>
                <w:kern w:val="2"/>
                <w:sz w:val="21"/>
                <w:szCs w:val="22"/>
                <w:highlight w:val="none"/>
                <w:lang w:val="en-US" w:eastAsia="zh-CN" w:bidi="zh-CN"/>
              </w:rPr>
              <w:t>5</w:t>
            </w:r>
          </w:p>
        </w:tc>
      </w:tr>
      <w:tr w14:paraId="7B871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597" w:type="dxa"/>
            <w:tcBorders>
              <w:top w:val="single" w:color="auto" w:sz="4" w:space="0"/>
              <w:left w:val="single" w:color="auto" w:sz="4" w:space="0"/>
              <w:right w:val="single" w:color="auto" w:sz="4" w:space="0"/>
            </w:tcBorders>
            <w:vAlign w:val="center"/>
          </w:tcPr>
          <w:p w14:paraId="7ADEA900">
            <w:pPr>
              <w:pStyle w:val="45"/>
              <w:keepNext w:val="0"/>
              <w:keepLines w:val="0"/>
              <w:pageBreakBefore w:val="0"/>
              <w:kinsoku/>
              <w:wordWrap/>
              <w:overflowPunct/>
              <w:topLinePunct w:val="0"/>
              <w:bidi w:val="0"/>
              <w:spacing w:line="360" w:lineRule="exact"/>
              <w:ind w:left="0" w:right="0"/>
              <w:jc w:val="center"/>
              <w:textAlignment w:val="auto"/>
              <w:rPr>
                <w:rFonts w:hint="default"/>
                <w:color w:val="auto"/>
                <w:w w:val="100"/>
                <w:sz w:val="21"/>
                <w:highlight w:val="none"/>
                <w:lang w:val="en-US" w:eastAsia="zh-CN"/>
              </w:rPr>
            </w:pPr>
            <w:r>
              <w:rPr>
                <w:rFonts w:hint="eastAsia"/>
                <w:color w:val="auto"/>
                <w:w w:val="100"/>
                <w:sz w:val="21"/>
                <w:highlight w:val="none"/>
                <w:lang w:val="en-US" w:eastAsia="zh-CN"/>
              </w:rPr>
              <w:t>10</w:t>
            </w:r>
          </w:p>
        </w:tc>
        <w:tc>
          <w:tcPr>
            <w:tcW w:w="7995" w:type="dxa"/>
            <w:tcBorders>
              <w:top w:val="single" w:color="auto" w:sz="4" w:space="0"/>
              <w:left w:val="single" w:color="auto" w:sz="4" w:space="0"/>
              <w:bottom w:val="single" w:color="auto" w:sz="4" w:space="0"/>
              <w:right w:val="single" w:color="auto" w:sz="4" w:space="0"/>
            </w:tcBorders>
            <w:vAlign w:val="center"/>
          </w:tcPr>
          <w:p w14:paraId="7DA3C53E">
            <w:pPr>
              <w:pStyle w:val="45"/>
              <w:keepNext w:val="0"/>
              <w:keepLines w:val="0"/>
              <w:pageBreakBefore w:val="0"/>
              <w:kinsoku/>
              <w:wordWrap/>
              <w:overflowPunct/>
              <w:topLinePunct w:val="0"/>
              <w:bidi w:val="0"/>
              <w:spacing w:line="360" w:lineRule="exact"/>
              <w:ind w:left="0" w:right="0"/>
              <w:jc w:val="both"/>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投标人针对本项目提出的</w:t>
            </w:r>
            <w:r>
              <w:rPr>
                <w:rFonts w:hint="eastAsia" w:cs="Times New Roman"/>
                <w:color w:val="auto"/>
                <w:kern w:val="0"/>
                <w:sz w:val="21"/>
                <w:szCs w:val="21"/>
                <w:highlight w:val="none"/>
                <w:lang w:val="en-US" w:eastAsia="zh-CN" w:bidi="ar-SA"/>
              </w:rPr>
              <w:t>投入的人员配置情况</w:t>
            </w:r>
            <w:r>
              <w:rPr>
                <w:rFonts w:hint="eastAsia" w:ascii="宋体" w:hAnsi="宋体" w:eastAsia="宋体" w:cs="Times New Roman"/>
                <w:color w:val="auto"/>
                <w:kern w:val="0"/>
                <w:sz w:val="21"/>
                <w:szCs w:val="21"/>
                <w:highlight w:val="none"/>
                <w:lang w:val="en-US" w:eastAsia="zh-CN" w:bidi="ar-SA"/>
              </w:rPr>
              <w:t>的科学性、可靠性、合理性和扩展性,方案的实现以及方案配置的合理性方面与项目对应需求的满足程度的内容进行打分（打分区间：5、4、3、2、1、0）。</w:t>
            </w:r>
          </w:p>
        </w:tc>
        <w:tc>
          <w:tcPr>
            <w:tcW w:w="855" w:type="dxa"/>
            <w:tcBorders>
              <w:top w:val="single" w:color="auto" w:sz="4" w:space="0"/>
              <w:left w:val="single" w:color="auto" w:sz="4" w:space="0"/>
              <w:bottom w:val="single" w:color="auto" w:sz="4" w:space="0"/>
              <w:right w:val="single" w:color="auto" w:sz="4" w:space="0"/>
            </w:tcBorders>
            <w:vAlign w:val="center"/>
          </w:tcPr>
          <w:p w14:paraId="6460DDC8">
            <w:pPr>
              <w:keepNext w:val="0"/>
              <w:keepLines w:val="0"/>
              <w:pageBreakBefore w:val="0"/>
              <w:kinsoku/>
              <w:wordWrap/>
              <w:overflowPunct/>
              <w:topLinePunct w:val="0"/>
              <w:bidi w:val="0"/>
              <w:spacing w:line="360" w:lineRule="exact"/>
              <w:ind w:left="0" w:right="0"/>
              <w:jc w:val="center"/>
              <w:textAlignment w:val="auto"/>
              <w:rPr>
                <w:rFonts w:hint="eastAsia" w:ascii="宋体" w:hAnsi="宋体" w:eastAsia="宋体" w:cs="宋体"/>
                <w:color w:val="auto"/>
                <w:w w:val="100"/>
                <w:kern w:val="2"/>
                <w:sz w:val="21"/>
                <w:szCs w:val="22"/>
                <w:highlight w:val="none"/>
                <w:lang w:val="en-US" w:eastAsia="zh-CN" w:bidi="zh-CN"/>
              </w:rPr>
            </w:pPr>
            <w:r>
              <w:rPr>
                <w:rFonts w:hint="eastAsia" w:ascii="宋体" w:hAnsi="宋体" w:eastAsia="宋体" w:cs="宋体"/>
                <w:color w:val="auto"/>
                <w:w w:val="100"/>
                <w:kern w:val="2"/>
                <w:sz w:val="21"/>
                <w:szCs w:val="22"/>
                <w:highlight w:val="none"/>
                <w:lang w:val="en-US" w:eastAsia="zh-CN" w:bidi="zh-CN"/>
              </w:rPr>
              <w:t>0-5</w:t>
            </w:r>
          </w:p>
        </w:tc>
      </w:tr>
      <w:tr w14:paraId="33730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597" w:type="dxa"/>
            <w:tcBorders>
              <w:top w:val="single" w:color="auto" w:sz="4" w:space="0"/>
              <w:left w:val="single" w:color="auto" w:sz="4" w:space="0"/>
              <w:right w:val="single" w:color="auto" w:sz="4" w:space="0"/>
            </w:tcBorders>
            <w:vAlign w:val="center"/>
          </w:tcPr>
          <w:p w14:paraId="32F7E9FA">
            <w:pPr>
              <w:pStyle w:val="45"/>
              <w:keepNext w:val="0"/>
              <w:keepLines w:val="0"/>
              <w:pageBreakBefore w:val="0"/>
              <w:kinsoku/>
              <w:wordWrap/>
              <w:overflowPunct/>
              <w:topLinePunct w:val="0"/>
              <w:bidi w:val="0"/>
              <w:spacing w:line="360" w:lineRule="exact"/>
              <w:ind w:left="0" w:right="0"/>
              <w:jc w:val="center"/>
              <w:textAlignment w:val="auto"/>
              <w:rPr>
                <w:rFonts w:hint="default"/>
                <w:color w:val="auto"/>
                <w:w w:val="100"/>
                <w:sz w:val="21"/>
                <w:highlight w:val="none"/>
                <w:lang w:val="en-US" w:eastAsia="zh-CN"/>
              </w:rPr>
            </w:pPr>
            <w:r>
              <w:rPr>
                <w:rFonts w:hint="eastAsia"/>
                <w:color w:val="auto"/>
                <w:w w:val="100"/>
                <w:sz w:val="21"/>
                <w:highlight w:val="none"/>
                <w:lang w:val="en-US" w:eastAsia="zh-CN"/>
              </w:rPr>
              <w:t>11</w:t>
            </w:r>
          </w:p>
        </w:tc>
        <w:tc>
          <w:tcPr>
            <w:tcW w:w="7995" w:type="dxa"/>
            <w:tcBorders>
              <w:top w:val="single" w:color="auto" w:sz="4" w:space="0"/>
              <w:left w:val="single" w:color="auto" w:sz="4" w:space="0"/>
              <w:bottom w:val="single" w:color="auto" w:sz="4" w:space="0"/>
              <w:right w:val="single" w:color="auto" w:sz="4" w:space="0"/>
            </w:tcBorders>
            <w:vAlign w:val="center"/>
          </w:tcPr>
          <w:p w14:paraId="22A6B265">
            <w:pPr>
              <w:pStyle w:val="45"/>
              <w:keepNext w:val="0"/>
              <w:keepLines w:val="0"/>
              <w:pageBreakBefore w:val="0"/>
              <w:kinsoku/>
              <w:wordWrap/>
              <w:overflowPunct/>
              <w:topLinePunct w:val="0"/>
              <w:bidi w:val="0"/>
              <w:spacing w:line="360" w:lineRule="exact"/>
              <w:ind w:left="0" w:right="0"/>
              <w:jc w:val="both"/>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投标人</w:t>
            </w:r>
            <w:r>
              <w:rPr>
                <w:rFonts w:hint="default" w:ascii="宋体" w:hAnsi="宋体" w:eastAsia="宋体" w:cs="Times New Roman"/>
                <w:color w:val="auto"/>
                <w:kern w:val="0"/>
                <w:sz w:val="21"/>
                <w:szCs w:val="21"/>
                <w:highlight w:val="none"/>
                <w:lang w:val="en-US" w:eastAsia="zh-CN" w:bidi="ar-SA"/>
              </w:rPr>
              <w:t>针对</w:t>
            </w:r>
            <w:r>
              <w:rPr>
                <w:rFonts w:hint="eastAsia" w:ascii="宋体" w:hAnsi="宋体" w:eastAsia="宋体" w:cs="Times New Roman"/>
                <w:color w:val="auto"/>
                <w:kern w:val="0"/>
                <w:sz w:val="21"/>
                <w:szCs w:val="21"/>
                <w:highlight w:val="none"/>
                <w:lang w:val="en-US" w:eastAsia="zh-CN" w:bidi="ar-SA"/>
              </w:rPr>
              <w:t>本项目提出的重点、难点技术环节合理的建议进行打分（打分区间：</w:t>
            </w:r>
            <w:r>
              <w:rPr>
                <w:rFonts w:hint="eastAsia" w:cs="Times New Roman"/>
                <w:color w:val="auto"/>
                <w:kern w:val="0"/>
                <w:sz w:val="21"/>
                <w:szCs w:val="21"/>
                <w:highlight w:val="none"/>
                <w:lang w:val="en-US" w:eastAsia="zh-CN" w:bidi="ar-SA"/>
              </w:rPr>
              <w:t>6、5、</w:t>
            </w:r>
            <w:r>
              <w:rPr>
                <w:rFonts w:hint="eastAsia" w:ascii="宋体" w:hAnsi="宋体" w:eastAsia="宋体" w:cs="Times New Roman"/>
                <w:color w:val="auto"/>
                <w:kern w:val="0"/>
                <w:sz w:val="21"/>
                <w:szCs w:val="21"/>
                <w:highlight w:val="none"/>
                <w:lang w:val="en-US" w:eastAsia="zh-CN" w:bidi="ar-SA"/>
              </w:rPr>
              <w:t>4、3、2、1、0）。</w:t>
            </w:r>
          </w:p>
        </w:tc>
        <w:tc>
          <w:tcPr>
            <w:tcW w:w="855" w:type="dxa"/>
            <w:tcBorders>
              <w:top w:val="single" w:color="auto" w:sz="4" w:space="0"/>
              <w:left w:val="single" w:color="auto" w:sz="4" w:space="0"/>
              <w:bottom w:val="single" w:color="auto" w:sz="4" w:space="0"/>
              <w:right w:val="single" w:color="auto" w:sz="4" w:space="0"/>
            </w:tcBorders>
            <w:vAlign w:val="center"/>
          </w:tcPr>
          <w:p w14:paraId="1098AB5C">
            <w:pPr>
              <w:pStyle w:val="45"/>
              <w:keepNext w:val="0"/>
              <w:keepLines w:val="0"/>
              <w:pageBreakBefore w:val="0"/>
              <w:kinsoku/>
              <w:wordWrap/>
              <w:overflowPunct/>
              <w:topLinePunct w:val="0"/>
              <w:bidi w:val="0"/>
              <w:spacing w:line="360" w:lineRule="exact"/>
              <w:ind w:left="0" w:right="0"/>
              <w:jc w:val="center"/>
              <w:textAlignment w:val="auto"/>
              <w:rPr>
                <w:rFonts w:hint="eastAsia" w:ascii="宋体" w:hAnsi="宋体" w:eastAsia="宋体" w:cs="宋体"/>
                <w:color w:val="auto"/>
                <w:w w:val="100"/>
                <w:kern w:val="2"/>
                <w:sz w:val="21"/>
                <w:szCs w:val="22"/>
                <w:highlight w:val="none"/>
                <w:lang w:val="en-US" w:eastAsia="zh-CN" w:bidi="zh-CN"/>
              </w:rPr>
            </w:pPr>
            <w:r>
              <w:rPr>
                <w:rFonts w:hint="eastAsia" w:ascii="宋体" w:hAnsi="宋体" w:eastAsia="宋体" w:cs="宋体"/>
                <w:color w:val="auto"/>
                <w:w w:val="100"/>
                <w:sz w:val="21"/>
                <w:highlight w:val="none"/>
                <w:lang w:val="en-US" w:eastAsia="zh-CN"/>
              </w:rPr>
              <w:t>0-</w:t>
            </w:r>
            <w:r>
              <w:rPr>
                <w:rFonts w:hint="eastAsia" w:cs="宋体"/>
                <w:color w:val="auto"/>
                <w:w w:val="100"/>
                <w:sz w:val="21"/>
                <w:highlight w:val="none"/>
                <w:lang w:val="en-US" w:eastAsia="zh-CN"/>
              </w:rPr>
              <w:t>6</w:t>
            </w:r>
          </w:p>
        </w:tc>
      </w:tr>
      <w:tr w14:paraId="5B05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97" w:type="dxa"/>
            <w:tcBorders>
              <w:left w:val="single" w:color="auto" w:sz="4" w:space="0"/>
              <w:right w:val="single" w:color="auto" w:sz="4" w:space="0"/>
            </w:tcBorders>
            <w:shd w:val="clear" w:color="auto" w:fill="auto"/>
            <w:vAlign w:val="center"/>
          </w:tcPr>
          <w:p w14:paraId="2C1AFB6C">
            <w:pPr>
              <w:pStyle w:val="45"/>
              <w:keepNext w:val="0"/>
              <w:keepLines w:val="0"/>
              <w:pageBreakBefore w:val="0"/>
              <w:kinsoku/>
              <w:wordWrap/>
              <w:overflowPunct/>
              <w:topLinePunct w:val="0"/>
              <w:bidi w:val="0"/>
              <w:spacing w:line="360" w:lineRule="exact"/>
              <w:ind w:left="0" w:leftChars="0" w:right="0" w:rightChars="0"/>
              <w:jc w:val="center"/>
              <w:textAlignment w:val="auto"/>
              <w:rPr>
                <w:rFonts w:hint="default" w:ascii="宋体" w:hAnsi="宋体" w:eastAsia="宋体" w:cs="宋体"/>
                <w:color w:val="auto"/>
                <w:w w:val="100"/>
                <w:kern w:val="2"/>
                <w:sz w:val="21"/>
                <w:szCs w:val="22"/>
                <w:highlight w:val="none"/>
                <w:lang w:val="en-US" w:eastAsia="zh-CN" w:bidi="zh-CN"/>
              </w:rPr>
            </w:pPr>
            <w:r>
              <w:rPr>
                <w:rFonts w:hint="eastAsia"/>
                <w:color w:val="auto"/>
                <w:w w:val="100"/>
                <w:sz w:val="21"/>
                <w:highlight w:val="none"/>
                <w:lang w:val="en-US" w:eastAsia="zh-CN"/>
              </w:rPr>
              <w:t>12</w:t>
            </w:r>
          </w:p>
        </w:tc>
        <w:tc>
          <w:tcPr>
            <w:tcW w:w="7995" w:type="dxa"/>
            <w:tcBorders>
              <w:top w:val="single" w:color="auto" w:sz="4" w:space="0"/>
              <w:left w:val="single" w:color="auto" w:sz="4" w:space="0"/>
              <w:bottom w:val="single" w:color="auto" w:sz="4" w:space="0"/>
              <w:right w:val="single" w:color="auto" w:sz="4" w:space="0"/>
            </w:tcBorders>
            <w:vAlign w:val="center"/>
          </w:tcPr>
          <w:p w14:paraId="20B9E00E">
            <w:pPr>
              <w:pStyle w:val="45"/>
              <w:keepNext w:val="0"/>
              <w:keepLines w:val="0"/>
              <w:pageBreakBefore w:val="0"/>
              <w:kinsoku/>
              <w:wordWrap/>
              <w:overflowPunct/>
              <w:topLinePunct w:val="0"/>
              <w:bidi w:val="0"/>
              <w:spacing w:line="360" w:lineRule="exact"/>
              <w:ind w:left="0" w:right="0"/>
              <w:jc w:val="both"/>
              <w:textAlignment w:val="auto"/>
              <w:rPr>
                <w:rFonts w:hint="default" w:ascii="宋体" w:hAnsi="宋体" w:eastAsia="宋体" w:cs="Times New Roman"/>
                <w:color w:val="auto"/>
                <w:kern w:val="0"/>
                <w:sz w:val="21"/>
                <w:szCs w:val="21"/>
                <w:highlight w:val="none"/>
                <w:lang w:val="en-US" w:eastAsia="en-US" w:bidi="ar-SA"/>
              </w:rPr>
            </w:pPr>
            <w:r>
              <w:rPr>
                <w:rFonts w:hint="eastAsia" w:ascii="宋体" w:hAnsi="宋体" w:eastAsia="宋体" w:cs="Times New Roman"/>
                <w:color w:val="auto"/>
                <w:kern w:val="0"/>
                <w:sz w:val="21"/>
                <w:szCs w:val="21"/>
                <w:highlight w:val="none"/>
                <w:lang w:val="en-US" w:eastAsia="zh-CN" w:bidi="ar-SA"/>
              </w:rPr>
              <w:t>投标人具有完善的安全检验工作制度、检验责任追究制度、检验档案管理制度等</w:t>
            </w:r>
            <w:r>
              <w:rPr>
                <w:rFonts w:hint="eastAsia" w:cs="Times New Roman"/>
                <w:color w:val="auto"/>
                <w:kern w:val="0"/>
                <w:sz w:val="21"/>
                <w:szCs w:val="21"/>
                <w:highlight w:val="none"/>
                <w:lang w:val="en-US" w:eastAsia="zh-CN" w:bidi="ar-SA"/>
              </w:rPr>
              <w:t>制度</w:t>
            </w:r>
            <w:r>
              <w:rPr>
                <w:rFonts w:hint="eastAsia" w:ascii="宋体" w:hAnsi="宋体" w:eastAsia="宋体" w:cs="Times New Roman"/>
                <w:color w:val="auto"/>
                <w:kern w:val="0"/>
                <w:sz w:val="21"/>
                <w:szCs w:val="21"/>
                <w:highlight w:val="none"/>
                <w:lang w:val="en-US" w:eastAsia="zh-CN" w:bidi="ar-SA"/>
              </w:rPr>
              <w:t>进行打分（打分区间：</w:t>
            </w:r>
            <w:r>
              <w:rPr>
                <w:rFonts w:hint="eastAsia" w:cs="Times New Roman"/>
                <w:color w:val="auto"/>
                <w:kern w:val="0"/>
                <w:sz w:val="21"/>
                <w:szCs w:val="21"/>
                <w:highlight w:val="none"/>
                <w:lang w:val="en-US" w:eastAsia="zh-CN" w:bidi="ar-SA"/>
              </w:rPr>
              <w:t>7、6、</w:t>
            </w:r>
            <w:r>
              <w:rPr>
                <w:rFonts w:hint="eastAsia" w:ascii="宋体" w:hAnsi="宋体" w:eastAsia="宋体" w:cs="Times New Roman"/>
                <w:color w:val="auto"/>
                <w:kern w:val="0"/>
                <w:sz w:val="21"/>
                <w:szCs w:val="21"/>
                <w:highlight w:val="none"/>
                <w:lang w:val="en-US" w:eastAsia="zh-CN" w:bidi="ar-SA"/>
              </w:rPr>
              <w:t>5、4、3、2、1、0）。</w:t>
            </w:r>
          </w:p>
        </w:tc>
        <w:tc>
          <w:tcPr>
            <w:tcW w:w="855" w:type="dxa"/>
            <w:tcBorders>
              <w:top w:val="single" w:color="auto" w:sz="4" w:space="0"/>
              <w:left w:val="single" w:color="auto" w:sz="4" w:space="0"/>
              <w:bottom w:val="single" w:color="auto" w:sz="4" w:space="0"/>
              <w:right w:val="single" w:color="auto" w:sz="4" w:space="0"/>
            </w:tcBorders>
            <w:vAlign w:val="center"/>
          </w:tcPr>
          <w:p w14:paraId="556B6269">
            <w:pPr>
              <w:pStyle w:val="45"/>
              <w:keepNext w:val="0"/>
              <w:keepLines w:val="0"/>
              <w:pageBreakBefore w:val="0"/>
              <w:kinsoku/>
              <w:wordWrap/>
              <w:overflowPunct/>
              <w:topLinePunct w:val="0"/>
              <w:bidi w:val="0"/>
              <w:spacing w:line="360" w:lineRule="exact"/>
              <w:ind w:left="0" w:right="0"/>
              <w:jc w:val="center"/>
              <w:textAlignment w:val="auto"/>
              <w:rPr>
                <w:rFonts w:hint="default" w:ascii="宋体" w:hAnsi="宋体" w:eastAsia="宋体" w:cs="宋体"/>
                <w:color w:val="auto"/>
                <w:w w:val="100"/>
                <w:sz w:val="21"/>
                <w:highlight w:val="none"/>
                <w:lang w:val="en-US" w:eastAsia="zh-CN"/>
              </w:rPr>
            </w:pPr>
            <w:r>
              <w:rPr>
                <w:rFonts w:hint="eastAsia" w:ascii="宋体" w:hAnsi="宋体" w:eastAsia="宋体" w:cs="宋体"/>
                <w:color w:val="auto"/>
                <w:w w:val="100"/>
                <w:sz w:val="21"/>
                <w:highlight w:val="none"/>
                <w:lang w:val="en-US" w:eastAsia="zh-CN"/>
              </w:rPr>
              <w:t>0-</w:t>
            </w:r>
            <w:r>
              <w:rPr>
                <w:rFonts w:hint="eastAsia" w:cs="宋体"/>
                <w:color w:val="auto"/>
                <w:w w:val="100"/>
                <w:sz w:val="21"/>
                <w:highlight w:val="none"/>
                <w:lang w:val="en-US" w:eastAsia="zh-CN"/>
              </w:rPr>
              <w:t>7</w:t>
            </w:r>
          </w:p>
        </w:tc>
      </w:tr>
      <w:tr w14:paraId="0710C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597" w:type="dxa"/>
            <w:tcBorders>
              <w:left w:val="single" w:color="auto" w:sz="4" w:space="0"/>
              <w:bottom w:val="single" w:color="auto" w:sz="4" w:space="0"/>
              <w:right w:val="single" w:color="auto" w:sz="4" w:space="0"/>
            </w:tcBorders>
            <w:shd w:val="clear" w:color="auto" w:fill="auto"/>
            <w:vAlign w:val="center"/>
          </w:tcPr>
          <w:p w14:paraId="296CDE87">
            <w:pPr>
              <w:pStyle w:val="45"/>
              <w:keepNext w:val="0"/>
              <w:keepLines w:val="0"/>
              <w:pageBreakBefore w:val="0"/>
              <w:kinsoku/>
              <w:wordWrap/>
              <w:overflowPunct/>
              <w:topLinePunct w:val="0"/>
              <w:bidi w:val="0"/>
              <w:spacing w:line="360" w:lineRule="exact"/>
              <w:ind w:left="0" w:leftChars="0" w:right="0" w:rightChars="0"/>
              <w:jc w:val="center"/>
              <w:textAlignment w:val="auto"/>
              <w:rPr>
                <w:rFonts w:hint="default" w:ascii="宋体" w:hAnsi="宋体" w:eastAsia="宋体" w:cs="宋体"/>
                <w:color w:val="auto"/>
                <w:w w:val="100"/>
                <w:kern w:val="2"/>
                <w:sz w:val="21"/>
                <w:szCs w:val="22"/>
                <w:highlight w:val="none"/>
                <w:lang w:val="en-US" w:eastAsia="zh-CN" w:bidi="zh-CN"/>
              </w:rPr>
            </w:pPr>
            <w:r>
              <w:rPr>
                <w:rFonts w:hint="eastAsia"/>
                <w:color w:val="auto"/>
                <w:w w:val="100"/>
                <w:sz w:val="21"/>
                <w:highlight w:val="none"/>
                <w:lang w:val="en-US" w:eastAsia="zh-CN"/>
              </w:rPr>
              <w:t>13</w:t>
            </w:r>
          </w:p>
        </w:tc>
        <w:tc>
          <w:tcPr>
            <w:tcW w:w="7995" w:type="dxa"/>
            <w:tcBorders>
              <w:top w:val="single" w:color="auto" w:sz="4" w:space="0"/>
              <w:left w:val="single" w:color="auto" w:sz="4" w:space="0"/>
              <w:bottom w:val="single" w:color="auto" w:sz="4" w:space="0"/>
              <w:right w:val="single" w:color="auto" w:sz="4" w:space="0"/>
            </w:tcBorders>
            <w:shd w:val="clear" w:color="auto" w:fill="auto"/>
            <w:vAlign w:val="center"/>
          </w:tcPr>
          <w:p w14:paraId="76F104BA">
            <w:pPr>
              <w:keepNext w:val="0"/>
              <w:keepLines w:val="0"/>
              <w:pageBreakBefore w:val="0"/>
              <w:kinsoku/>
              <w:wordWrap/>
              <w:overflowPunct/>
              <w:topLinePunct w:val="0"/>
              <w:bidi w:val="0"/>
              <w:snapToGrid w:val="0"/>
              <w:spacing w:line="360" w:lineRule="exact"/>
              <w:jc w:val="left"/>
              <w:textAlignment w:val="auto"/>
              <w:rPr>
                <w:rFonts w:hint="default" w:ascii="宋体" w:hAnsi="宋体" w:eastAsia="宋体" w:cs="Times New Roman"/>
                <w:color w:val="auto"/>
                <w:kern w:val="0"/>
                <w:sz w:val="21"/>
                <w:szCs w:val="21"/>
                <w:highlight w:val="none"/>
                <w:lang w:val="en-US" w:eastAsia="en-US" w:bidi="ar-SA"/>
              </w:rPr>
            </w:pPr>
            <w:r>
              <w:rPr>
                <w:rFonts w:hint="eastAsia" w:ascii="宋体" w:hAnsi="宋体" w:eastAsia="宋体" w:cs="Times New Roman"/>
                <w:color w:val="auto"/>
                <w:kern w:val="0"/>
                <w:sz w:val="21"/>
                <w:szCs w:val="21"/>
                <w:highlight w:val="none"/>
                <w:lang w:val="en-US" w:eastAsia="zh-CN" w:bidi="ar-SA"/>
              </w:rPr>
              <w:t>针对可能出现的各项突发情况制定的应急方案（如突发性食品安全事件，设备、仪器损坏，运输车辆遭遇堵车或车祸等各种情况采取的应对措施）的科学性、可靠性、合理性和扩展性,方案的实现以及方案配置的合理性方面与项目对应需求的满足程度的内容进行打分。（打分区间：</w:t>
            </w:r>
            <w:r>
              <w:rPr>
                <w:rFonts w:hint="eastAsia" w:ascii="宋体" w:hAnsi="宋体" w:cs="Times New Roman"/>
                <w:color w:val="auto"/>
                <w:kern w:val="0"/>
                <w:sz w:val="21"/>
                <w:szCs w:val="21"/>
                <w:highlight w:val="none"/>
                <w:lang w:val="en-US" w:eastAsia="zh-CN" w:bidi="ar-SA"/>
              </w:rPr>
              <w:t>7、6、</w:t>
            </w:r>
            <w:r>
              <w:rPr>
                <w:rFonts w:hint="eastAsia" w:ascii="宋体" w:hAnsi="宋体" w:eastAsia="宋体" w:cs="Times New Roman"/>
                <w:color w:val="auto"/>
                <w:kern w:val="0"/>
                <w:sz w:val="21"/>
                <w:szCs w:val="21"/>
                <w:highlight w:val="none"/>
                <w:lang w:val="en-US" w:eastAsia="zh-CN" w:bidi="ar-SA"/>
              </w:rPr>
              <w:t>5、4、3、2、1、0）。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7D46089D">
            <w:pPr>
              <w:pStyle w:val="45"/>
              <w:keepNext w:val="0"/>
              <w:keepLines w:val="0"/>
              <w:pageBreakBefore w:val="0"/>
              <w:kinsoku/>
              <w:wordWrap/>
              <w:overflowPunct/>
              <w:topLinePunct w:val="0"/>
              <w:bidi w:val="0"/>
              <w:spacing w:line="360" w:lineRule="exact"/>
              <w:ind w:left="0" w:right="0"/>
              <w:jc w:val="center"/>
              <w:textAlignment w:val="auto"/>
              <w:rPr>
                <w:rFonts w:hint="eastAsia" w:ascii="宋体" w:hAnsi="宋体" w:eastAsia="宋体" w:cs="宋体"/>
                <w:color w:val="auto"/>
                <w:w w:val="100"/>
                <w:sz w:val="21"/>
                <w:highlight w:val="none"/>
                <w:lang w:val="en-US" w:eastAsia="en-US"/>
              </w:rPr>
            </w:pPr>
            <w:r>
              <w:rPr>
                <w:rFonts w:hint="eastAsia" w:ascii="宋体" w:hAnsi="宋体" w:eastAsia="宋体" w:cs="宋体"/>
                <w:color w:val="auto"/>
                <w:w w:val="100"/>
                <w:sz w:val="21"/>
                <w:highlight w:val="none"/>
                <w:lang w:val="en-US" w:eastAsia="zh-CN"/>
              </w:rPr>
              <w:t>0-</w:t>
            </w:r>
            <w:r>
              <w:rPr>
                <w:rFonts w:hint="eastAsia" w:cs="宋体"/>
                <w:color w:val="auto"/>
                <w:w w:val="100"/>
                <w:sz w:val="21"/>
                <w:highlight w:val="none"/>
                <w:lang w:val="en-US" w:eastAsia="zh-CN"/>
              </w:rPr>
              <w:t>7</w:t>
            </w:r>
          </w:p>
        </w:tc>
      </w:tr>
      <w:tr w14:paraId="4BBD8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97" w:type="dxa"/>
            <w:tcBorders>
              <w:top w:val="single" w:color="auto" w:sz="4" w:space="0"/>
              <w:left w:val="single" w:color="auto" w:sz="4" w:space="0"/>
              <w:right w:val="single" w:color="auto" w:sz="4" w:space="0"/>
            </w:tcBorders>
            <w:shd w:val="clear" w:color="auto" w:fill="auto"/>
            <w:vAlign w:val="center"/>
          </w:tcPr>
          <w:p w14:paraId="7F13EBD1">
            <w:pPr>
              <w:pStyle w:val="45"/>
              <w:keepNext w:val="0"/>
              <w:keepLines w:val="0"/>
              <w:pageBreakBefore w:val="0"/>
              <w:kinsoku/>
              <w:wordWrap/>
              <w:overflowPunct/>
              <w:topLinePunct w:val="0"/>
              <w:bidi w:val="0"/>
              <w:spacing w:line="360" w:lineRule="exact"/>
              <w:ind w:left="0" w:leftChars="0" w:right="0" w:rightChars="0"/>
              <w:jc w:val="center"/>
              <w:textAlignment w:val="auto"/>
              <w:rPr>
                <w:rFonts w:hint="default" w:ascii="宋体" w:hAnsi="宋体" w:eastAsia="宋体" w:cs="宋体"/>
                <w:color w:val="auto"/>
                <w:w w:val="100"/>
                <w:kern w:val="2"/>
                <w:sz w:val="21"/>
                <w:szCs w:val="22"/>
                <w:highlight w:val="none"/>
                <w:lang w:val="en-US" w:eastAsia="zh-CN" w:bidi="zh-CN"/>
              </w:rPr>
            </w:pPr>
            <w:r>
              <w:rPr>
                <w:rFonts w:hint="eastAsia"/>
                <w:color w:val="auto"/>
                <w:w w:val="100"/>
                <w:sz w:val="21"/>
                <w:highlight w:val="none"/>
                <w:lang w:val="en-US" w:eastAsia="zh-CN"/>
              </w:rPr>
              <w:t>14</w:t>
            </w:r>
          </w:p>
        </w:tc>
        <w:tc>
          <w:tcPr>
            <w:tcW w:w="7995" w:type="dxa"/>
            <w:tcBorders>
              <w:top w:val="single" w:color="auto" w:sz="4" w:space="0"/>
              <w:left w:val="single" w:color="auto" w:sz="4" w:space="0"/>
              <w:bottom w:val="single" w:color="auto" w:sz="4" w:space="0"/>
              <w:right w:val="single" w:color="auto" w:sz="4" w:space="0"/>
            </w:tcBorders>
            <w:vAlign w:val="center"/>
          </w:tcPr>
          <w:p w14:paraId="05DCEDBA">
            <w:pPr>
              <w:keepNext w:val="0"/>
              <w:keepLines w:val="0"/>
              <w:pageBreakBefore w:val="0"/>
              <w:kinsoku/>
              <w:wordWrap/>
              <w:overflowPunct/>
              <w:topLinePunct w:val="0"/>
              <w:bidi w:val="0"/>
              <w:snapToGrid w:val="0"/>
              <w:spacing w:line="360" w:lineRule="exact"/>
              <w:jc w:val="left"/>
              <w:textAlignment w:val="auto"/>
              <w:rPr>
                <w:rFonts w:hint="default" w:ascii="宋体" w:hAnsi="宋体" w:eastAsia="宋体" w:cs="Times New Roman"/>
                <w:color w:val="auto"/>
                <w:kern w:val="0"/>
                <w:sz w:val="21"/>
                <w:szCs w:val="21"/>
                <w:highlight w:val="none"/>
                <w:lang w:val="en-US" w:eastAsia="en-US" w:bidi="ar-SA"/>
              </w:rPr>
            </w:pPr>
            <w:r>
              <w:rPr>
                <w:rFonts w:hint="eastAsia" w:ascii="宋体" w:hAnsi="宋体" w:eastAsia="宋体" w:cs="Times New Roman"/>
                <w:color w:val="auto"/>
                <w:kern w:val="0"/>
                <w:sz w:val="21"/>
                <w:szCs w:val="21"/>
                <w:highlight w:val="none"/>
                <w:lang w:val="en-US" w:eastAsia="zh-CN" w:bidi="ar-SA"/>
              </w:rPr>
              <w:t>对本项目相关信息的保密措施方案：包括相关措施的科学性、可靠性、合理性和相关承诺,方案的实现以及方案配置的合理性方面与项目对应需求的满足程度的内容进行打分。（打分区间：</w:t>
            </w:r>
            <w:r>
              <w:rPr>
                <w:rFonts w:hint="eastAsia" w:ascii="宋体" w:hAnsi="宋体" w:cs="Times New Roman"/>
                <w:color w:val="auto"/>
                <w:kern w:val="0"/>
                <w:sz w:val="21"/>
                <w:szCs w:val="21"/>
                <w:highlight w:val="none"/>
                <w:lang w:val="en-US" w:eastAsia="zh-CN" w:bidi="ar-SA"/>
              </w:rPr>
              <w:t>7、6、</w:t>
            </w:r>
            <w:r>
              <w:rPr>
                <w:rFonts w:hint="eastAsia" w:ascii="宋体" w:hAnsi="宋体" w:eastAsia="宋体" w:cs="Times New Roman"/>
                <w:color w:val="auto"/>
                <w:kern w:val="0"/>
                <w:sz w:val="21"/>
                <w:szCs w:val="21"/>
                <w:highlight w:val="none"/>
                <w:lang w:val="en-US" w:eastAsia="zh-CN" w:bidi="ar-SA"/>
              </w:rPr>
              <w:t>5、4、3、2、1、0）。</w:t>
            </w:r>
          </w:p>
        </w:tc>
        <w:tc>
          <w:tcPr>
            <w:tcW w:w="855" w:type="dxa"/>
            <w:tcBorders>
              <w:top w:val="single" w:color="auto" w:sz="4" w:space="0"/>
              <w:left w:val="single" w:color="auto" w:sz="4" w:space="0"/>
              <w:bottom w:val="single" w:color="auto" w:sz="4" w:space="0"/>
              <w:right w:val="single" w:color="auto" w:sz="4" w:space="0"/>
            </w:tcBorders>
            <w:vAlign w:val="center"/>
          </w:tcPr>
          <w:p w14:paraId="1835ADDB">
            <w:pPr>
              <w:pStyle w:val="45"/>
              <w:keepNext w:val="0"/>
              <w:keepLines w:val="0"/>
              <w:pageBreakBefore w:val="0"/>
              <w:kinsoku/>
              <w:wordWrap/>
              <w:overflowPunct/>
              <w:topLinePunct w:val="0"/>
              <w:bidi w:val="0"/>
              <w:spacing w:line="360" w:lineRule="exact"/>
              <w:ind w:left="0" w:right="0"/>
              <w:jc w:val="center"/>
              <w:textAlignment w:val="auto"/>
              <w:rPr>
                <w:rFonts w:hint="default" w:ascii="宋体" w:hAnsi="宋体" w:eastAsia="宋体" w:cs="宋体"/>
                <w:color w:val="auto"/>
                <w:w w:val="100"/>
                <w:sz w:val="21"/>
                <w:highlight w:val="none"/>
                <w:lang w:val="en-US" w:eastAsia="zh-CN"/>
              </w:rPr>
            </w:pPr>
            <w:r>
              <w:rPr>
                <w:rFonts w:hint="eastAsia" w:ascii="宋体" w:hAnsi="宋体" w:eastAsia="宋体" w:cs="宋体"/>
                <w:color w:val="auto"/>
                <w:w w:val="100"/>
                <w:sz w:val="21"/>
                <w:highlight w:val="none"/>
                <w:lang w:val="en-US" w:eastAsia="zh-CN"/>
              </w:rPr>
              <w:t>0-</w:t>
            </w:r>
            <w:r>
              <w:rPr>
                <w:rFonts w:hint="eastAsia" w:cs="宋体"/>
                <w:color w:val="auto"/>
                <w:w w:val="100"/>
                <w:sz w:val="21"/>
                <w:highlight w:val="none"/>
                <w:lang w:val="en-US" w:eastAsia="zh-CN"/>
              </w:rPr>
              <w:t>7</w:t>
            </w:r>
          </w:p>
        </w:tc>
      </w:tr>
      <w:tr w14:paraId="5921E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597" w:type="dxa"/>
            <w:tcBorders>
              <w:left w:val="single" w:color="auto" w:sz="4" w:space="0"/>
              <w:bottom w:val="single" w:color="auto" w:sz="4" w:space="0"/>
              <w:right w:val="single" w:color="auto" w:sz="4" w:space="0"/>
            </w:tcBorders>
            <w:shd w:val="clear" w:color="auto" w:fill="auto"/>
            <w:vAlign w:val="center"/>
          </w:tcPr>
          <w:p w14:paraId="02BEA0F6">
            <w:pPr>
              <w:pStyle w:val="45"/>
              <w:keepNext w:val="0"/>
              <w:keepLines w:val="0"/>
              <w:pageBreakBefore w:val="0"/>
              <w:kinsoku/>
              <w:wordWrap/>
              <w:overflowPunct/>
              <w:topLinePunct w:val="0"/>
              <w:bidi w:val="0"/>
              <w:spacing w:line="360" w:lineRule="exact"/>
              <w:ind w:left="0" w:leftChars="0" w:right="0" w:rightChars="0"/>
              <w:jc w:val="center"/>
              <w:textAlignment w:val="auto"/>
              <w:rPr>
                <w:rFonts w:hint="default" w:ascii="宋体" w:hAnsi="宋体" w:eastAsia="宋体" w:cs="宋体"/>
                <w:color w:val="auto"/>
                <w:w w:val="100"/>
                <w:kern w:val="2"/>
                <w:sz w:val="21"/>
                <w:szCs w:val="22"/>
                <w:highlight w:val="none"/>
                <w:lang w:val="en-US" w:eastAsia="zh-CN" w:bidi="zh-CN"/>
              </w:rPr>
            </w:pPr>
            <w:r>
              <w:rPr>
                <w:rFonts w:hint="eastAsia"/>
                <w:color w:val="auto"/>
                <w:w w:val="100"/>
                <w:sz w:val="21"/>
                <w:highlight w:val="none"/>
                <w:lang w:val="en-US" w:eastAsia="zh-CN"/>
              </w:rPr>
              <w:t>15</w:t>
            </w:r>
          </w:p>
        </w:tc>
        <w:tc>
          <w:tcPr>
            <w:tcW w:w="7995" w:type="dxa"/>
            <w:tcBorders>
              <w:top w:val="single" w:color="auto" w:sz="4" w:space="0"/>
              <w:left w:val="single" w:color="auto" w:sz="4" w:space="0"/>
              <w:bottom w:val="single" w:color="auto" w:sz="4" w:space="0"/>
              <w:right w:val="single" w:color="auto" w:sz="4" w:space="0"/>
            </w:tcBorders>
            <w:vAlign w:val="center"/>
          </w:tcPr>
          <w:p w14:paraId="759EC5BE">
            <w:pPr>
              <w:pStyle w:val="45"/>
              <w:keepNext w:val="0"/>
              <w:keepLines w:val="0"/>
              <w:pageBreakBefore w:val="0"/>
              <w:kinsoku/>
              <w:wordWrap/>
              <w:overflowPunct/>
              <w:topLinePunct w:val="0"/>
              <w:bidi w:val="0"/>
              <w:spacing w:line="360" w:lineRule="exact"/>
              <w:ind w:left="0" w:right="0"/>
              <w:jc w:val="both"/>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能为业主单位免费提供包括但不限于食品安全科普宣传、专业培训、技术分析报告、课题调研分析</w:t>
            </w:r>
            <w:r>
              <w:rPr>
                <w:rFonts w:hint="eastAsia" w:cs="Times New Roman"/>
                <w:color w:val="auto"/>
                <w:kern w:val="0"/>
                <w:sz w:val="21"/>
                <w:szCs w:val="21"/>
                <w:highlight w:val="none"/>
                <w:lang w:val="en-US" w:eastAsia="zh-CN" w:bidi="ar-SA"/>
              </w:rPr>
              <w:t>、检验结果分析</w:t>
            </w:r>
            <w:r>
              <w:rPr>
                <w:rFonts w:hint="eastAsia" w:ascii="宋体" w:hAnsi="宋体" w:eastAsia="宋体" w:cs="Times New Roman"/>
                <w:color w:val="auto"/>
                <w:kern w:val="0"/>
                <w:sz w:val="21"/>
                <w:szCs w:val="21"/>
                <w:highlight w:val="none"/>
                <w:lang w:val="en-US" w:eastAsia="zh-CN" w:bidi="ar-SA"/>
              </w:rPr>
              <w:t>等。每提供一项得2分，最高不超过6分。（需提供承诺书）（打分区间：6、4、2、</w:t>
            </w:r>
            <w:r>
              <w:rPr>
                <w:rFonts w:hint="eastAsia" w:cs="Times New Roman"/>
                <w:color w:val="auto"/>
                <w:kern w:val="0"/>
                <w:sz w:val="21"/>
                <w:szCs w:val="21"/>
                <w:highlight w:val="none"/>
                <w:lang w:val="en-US" w:eastAsia="zh-CN" w:bidi="ar-SA"/>
              </w:rPr>
              <w:t>0</w:t>
            </w:r>
            <w:r>
              <w:rPr>
                <w:rFonts w:hint="eastAsia" w:ascii="宋体" w:hAnsi="宋体" w:eastAsia="宋体" w:cs="Times New Roman"/>
                <w:color w:val="auto"/>
                <w:kern w:val="0"/>
                <w:sz w:val="21"/>
                <w:szCs w:val="21"/>
                <w:highlight w:val="none"/>
                <w:lang w:val="en-US" w:eastAsia="zh-CN" w:bidi="ar-SA"/>
              </w:rPr>
              <w:t>）。</w:t>
            </w:r>
          </w:p>
        </w:tc>
        <w:tc>
          <w:tcPr>
            <w:tcW w:w="855" w:type="dxa"/>
            <w:tcBorders>
              <w:top w:val="single" w:color="auto" w:sz="4" w:space="0"/>
              <w:left w:val="single" w:color="auto" w:sz="4" w:space="0"/>
              <w:bottom w:val="single" w:color="auto" w:sz="4" w:space="0"/>
              <w:right w:val="single" w:color="auto" w:sz="4" w:space="0"/>
            </w:tcBorders>
            <w:vAlign w:val="center"/>
          </w:tcPr>
          <w:p w14:paraId="0071AA20">
            <w:pPr>
              <w:pStyle w:val="45"/>
              <w:keepNext w:val="0"/>
              <w:keepLines w:val="0"/>
              <w:pageBreakBefore w:val="0"/>
              <w:kinsoku/>
              <w:wordWrap/>
              <w:overflowPunct/>
              <w:topLinePunct w:val="0"/>
              <w:bidi w:val="0"/>
              <w:spacing w:line="360" w:lineRule="exact"/>
              <w:ind w:left="0" w:right="0"/>
              <w:jc w:val="center"/>
              <w:textAlignment w:val="auto"/>
              <w:rPr>
                <w:rFonts w:hint="default" w:ascii="宋体" w:hAnsi="宋体" w:eastAsia="宋体" w:cs="宋体"/>
                <w:color w:val="auto"/>
                <w:w w:val="100"/>
                <w:sz w:val="21"/>
                <w:highlight w:val="none"/>
                <w:lang w:val="en-US" w:eastAsia="zh-CN"/>
              </w:rPr>
            </w:pPr>
            <w:r>
              <w:rPr>
                <w:rFonts w:hint="eastAsia" w:ascii="宋体" w:hAnsi="宋体" w:eastAsia="宋体" w:cs="宋体"/>
                <w:color w:val="auto"/>
                <w:w w:val="100"/>
                <w:sz w:val="21"/>
                <w:highlight w:val="none"/>
                <w:lang w:val="en-US" w:eastAsia="zh-CN"/>
              </w:rPr>
              <w:t>0-</w:t>
            </w:r>
            <w:r>
              <w:rPr>
                <w:rFonts w:hint="eastAsia" w:cs="宋体"/>
                <w:color w:val="auto"/>
                <w:w w:val="100"/>
                <w:sz w:val="21"/>
                <w:highlight w:val="none"/>
                <w:lang w:val="en-US" w:eastAsia="zh-CN"/>
              </w:rPr>
              <w:t>6</w:t>
            </w:r>
          </w:p>
        </w:tc>
      </w:tr>
      <w:tr w14:paraId="048A6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597" w:type="dxa"/>
            <w:tcBorders>
              <w:top w:val="single" w:color="auto" w:sz="4" w:space="0"/>
              <w:left w:val="single" w:color="auto" w:sz="4" w:space="0"/>
              <w:bottom w:val="single" w:color="auto" w:sz="4" w:space="0"/>
              <w:right w:val="single" w:color="auto" w:sz="4" w:space="0"/>
            </w:tcBorders>
            <w:vAlign w:val="center"/>
          </w:tcPr>
          <w:p w14:paraId="2B526F32">
            <w:pPr>
              <w:pStyle w:val="45"/>
              <w:keepNext w:val="0"/>
              <w:keepLines w:val="0"/>
              <w:pageBreakBefore w:val="0"/>
              <w:kinsoku/>
              <w:wordWrap/>
              <w:overflowPunct/>
              <w:topLinePunct w:val="0"/>
              <w:bidi w:val="0"/>
              <w:spacing w:line="360" w:lineRule="exact"/>
              <w:ind w:left="0" w:right="0"/>
              <w:jc w:val="center"/>
              <w:textAlignment w:val="auto"/>
              <w:rPr>
                <w:rFonts w:hint="default"/>
                <w:color w:val="auto"/>
                <w:w w:val="100"/>
                <w:sz w:val="21"/>
                <w:highlight w:val="none"/>
                <w:lang w:val="en-US" w:eastAsia="zh-CN"/>
              </w:rPr>
            </w:pPr>
            <w:r>
              <w:rPr>
                <w:rFonts w:hint="eastAsia"/>
                <w:color w:val="auto"/>
                <w:w w:val="100"/>
                <w:sz w:val="21"/>
                <w:highlight w:val="none"/>
                <w:lang w:val="en-US" w:eastAsia="zh-CN"/>
              </w:rPr>
              <w:t>16</w:t>
            </w:r>
          </w:p>
        </w:tc>
        <w:tc>
          <w:tcPr>
            <w:tcW w:w="7995" w:type="dxa"/>
            <w:tcBorders>
              <w:top w:val="single" w:color="auto" w:sz="4" w:space="0"/>
              <w:left w:val="single" w:color="auto" w:sz="4" w:space="0"/>
              <w:bottom w:val="single" w:color="auto" w:sz="4" w:space="0"/>
              <w:right w:val="single" w:color="auto" w:sz="4" w:space="0"/>
            </w:tcBorders>
            <w:vAlign w:val="center"/>
          </w:tcPr>
          <w:p w14:paraId="08E7E2A4">
            <w:pPr>
              <w:keepNext w:val="0"/>
              <w:keepLines w:val="0"/>
              <w:pageBreakBefore w:val="0"/>
              <w:kinsoku/>
              <w:wordWrap/>
              <w:overflowPunct/>
              <w:topLinePunct w:val="0"/>
              <w:bidi w:val="0"/>
              <w:snapToGrid w:val="0"/>
              <w:spacing w:line="360" w:lineRule="exact"/>
              <w:jc w:val="left"/>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接到业主单位临时性（或紧急）任务通知时：①投标人承诺2-4小时之内到达采购人地址开展协助工作，得1.5分，5小时之内到达的，得1分，其他不得分。（需提供承诺书）</w:t>
            </w:r>
          </w:p>
          <w:p w14:paraId="572E105B">
            <w:pPr>
              <w:pStyle w:val="45"/>
              <w:keepNext w:val="0"/>
              <w:keepLines w:val="0"/>
              <w:pageBreakBefore w:val="0"/>
              <w:kinsoku/>
              <w:wordWrap/>
              <w:overflowPunct/>
              <w:topLinePunct w:val="0"/>
              <w:bidi w:val="0"/>
              <w:spacing w:line="360" w:lineRule="exact"/>
              <w:ind w:left="0" w:right="0"/>
              <w:jc w:val="both"/>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②投标人承诺能在3个工作日内（有微生物项目的5个工作日）完成紧急任务样品检测的得</w:t>
            </w:r>
            <w:r>
              <w:rPr>
                <w:rFonts w:hint="eastAsia" w:cs="Times New Roman"/>
                <w:color w:val="auto"/>
                <w:kern w:val="0"/>
                <w:sz w:val="21"/>
                <w:szCs w:val="21"/>
                <w:highlight w:val="none"/>
                <w:lang w:val="en-US" w:eastAsia="zh-CN" w:bidi="ar-SA"/>
              </w:rPr>
              <w:t>5</w:t>
            </w:r>
            <w:r>
              <w:rPr>
                <w:rFonts w:hint="eastAsia" w:ascii="宋体" w:hAnsi="宋体" w:eastAsia="宋体" w:cs="Times New Roman"/>
                <w:color w:val="auto"/>
                <w:kern w:val="0"/>
                <w:sz w:val="21"/>
                <w:szCs w:val="21"/>
                <w:highlight w:val="none"/>
                <w:lang w:val="en-US" w:eastAsia="zh-CN" w:bidi="ar-SA"/>
              </w:rPr>
              <w:t>分，其他不得分。（需提供承诺书）</w:t>
            </w:r>
          </w:p>
        </w:tc>
        <w:tc>
          <w:tcPr>
            <w:tcW w:w="855" w:type="dxa"/>
            <w:tcBorders>
              <w:top w:val="single" w:color="auto" w:sz="4" w:space="0"/>
              <w:left w:val="single" w:color="auto" w:sz="4" w:space="0"/>
              <w:bottom w:val="single" w:color="auto" w:sz="4" w:space="0"/>
              <w:right w:val="single" w:color="auto" w:sz="4" w:space="0"/>
            </w:tcBorders>
            <w:vAlign w:val="center"/>
          </w:tcPr>
          <w:p w14:paraId="21125435">
            <w:pPr>
              <w:pStyle w:val="45"/>
              <w:keepNext w:val="0"/>
              <w:keepLines w:val="0"/>
              <w:pageBreakBefore w:val="0"/>
              <w:kinsoku/>
              <w:wordWrap/>
              <w:overflowPunct/>
              <w:topLinePunct w:val="0"/>
              <w:bidi w:val="0"/>
              <w:spacing w:line="360" w:lineRule="exact"/>
              <w:ind w:left="0" w:right="0"/>
              <w:jc w:val="center"/>
              <w:textAlignment w:val="auto"/>
              <w:rPr>
                <w:rFonts w:hint="eastAsia" w:ascii="宋体" w:hAnsi="宋体" w:eastAsia="宋体" w:cs="宋体"/>
                <w:color w:val="auto"/>
                <w:w w:val="100"/>
                <w:sz w:val="21"/>
                <w:highlight w:val="none"/>
                <w:lang w:val="en-US" w:eastAsia="zh-CN"/>
              </w:rPr>
            </w:pPr>
            <w:r>
              <w:rPr>
                <w:rFonts w:hint="eastAsia" w:cs="宋体"/>
                <w:color w:val="auto"/>
                <w:w w:val="100"/>
                <w:sz w:val="21"/>
                <w:highlight w:val="none"/>
                <w:lang w:val="en-US" w:eastAsia="zh-CN"/>
              </w:rPr>
              <w:t>0-6.5</w:t>
            </w:r>
          </w:p>
        </w:tc>
      </w:tr>
      <w:tr w14:paraId="4AAF5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597" w:type="dxa"/>
            <w:tcBorders>
              <w:top w:val="single" w:color="auto" w:sz="4" w:space="0"/>
              <w:left w:val="single" w:color="auto" w:sz="4" w:space="0"/>
              <w:bottom w:val="single" w:color="auto" w:sz="4" w:space="0"/>
              <w:right w:val="single" w:color="auto" w:sz="4" w:space="0"/>
            </w:tcBorders>
            <w:vAlign w:val="center"/>
          </w:tcPr>
          <w:p w14:paraId="17C34B2D">
            <w:pPr>
              <w:pStyle w:val="45"/>
              <w:keepNext w:val="0"/>
              <w:keepLines w:val="0"/>
              <w:pageBreakBefore w:val="0"/>
              <w:kinsoku/>
              <w:wordWrap/>
              <w:overflowPunct/>
              <w:topLinePunct w:val="0"/>
              <w:bidi w:val="0"/>
              <w:spacing w:line="360" w:lineRule="exact"/>
              <w:ind w:left="0" w:right="0"/>
              <w:jc w:val="center"/>
              <w:textAlignment w:val="auto"/>
              <w:rPr>
                <w:rFonts w:hint="default"/>
                <w:color w:val="auto"/>
                <w:w w:val="100"/>
                <w:sz w:val="21"/>
                <w:highlight w:val="none"/>
                <w:lang w:val="en-US" w:eastAsia="zh-CN"/>
              </w:rPr>
            </w:pPr>
            <w:r>
              <w:rPr>
                <w:rFonts w:hint="eastAsia"/>
                <w:color w:val="auto"/>
                <w:w w:val="100"/>
                <w:sz w:val="21"/>
                <w:highlight w:val="none"/>
                <w:lang w:val="en-US" w:eastAsia="zh-CN"/>
              </w:rPr>
              <w:t>17</w:t>
            </w:r>
          </w:p>
        </w:tc>
        <w:tc>
          <w:tcPr>
            <w:tcW w:w="7995" w:type="dxa"/>
            <w:tcBorders>
              <w:top w:val="single" w:color="auto" w:sz="4" w:space="0"/>
              <w:left w:val="single" w:color="auto" w:sz="4" w:space="0"/>
              <w:bottom w:val="single" w:color="auto" w:sz="4" w:space="0"/>
              <w:right w:val="single" w:color="auto" w:sz="4" w:space="0"/>
            </w:tcBorders>
            <w:vAlign w:val="center"/>
          </w:tcPr>
          <w:p w14:paraId="06A97862">
            <w:pPr>
              <w:keepNext w:val="0"/>
              <w:keepLines w:val="0"/>
              <w:pageBreakBefore w:val="0"/>
              <w:kinsoku/>
              <w:wordWrap/>
              <w:overflowPunct/>
              <w:topLinePunct w:val="0"/>
              <w:bidi w:val="0"/>
              <w:snapToGrid w:val="0"/>
              <w:spacing w:line="360" w:lineRule="exact"/>
              <w:jc w:val="left"/>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对检验结果真实性的保证措施：包括相关措施的科学性、可靠性、合理性和相关承诺,方案的实现以及方案配置的合理性方面与项目对应需求的满足程度的内容进行打分。（打分区间：</w:t>
            </w:r>
            <w:r>
              <w:rPr>
                <w:rFonts w:hint="eastAsia" w:ascii="宋体" w:hAnsi="宋体" w:cs="Times New Roman"/>
                <w:color w:val="auto"/>
                <w:kern w:val="0"/>
                <w:sz w:val="21"/>
                <w:szCs w:val="21"/>
                <w:highlight w:val="none"/>
                <w:lang w:val="en-US" w:eastAsia="zh-CN" w:bidi="ar-SA"/>
              </w:rPr>
              <w:t>7、6、</w:t>
            </w:r>
            <w:r>
              <w:rPr>
                <w:rFonts w:hint="eastAsia" w:ascii="宋体" w:hAnsi="宋体" w:eastAsia="宋体" w:cs="Times New Roman"/>
                <w:color w:val="auto"/>
                <w:kern w:val="0"/>
                <w:sz w:val="21"/>
                <w:szCs w:val="21"/>
                <w:highlight w:val="none"/>
                <w:lang w:val="en-US" w:eastAsia="zh-CN" w:bidi="ar-SA"/>
              </w:rPr>
              <w:t>5、4、3、2、1、0）</w:t>
            </w:r>
          </w:p>
        </w:tc>
        <w:tc>
          <w:tcPr>
            <w:tcW w:w="855" w:type="dxa"/>
            <w:tcBorders>
              <w:top w:val="single" w:color="auto" w:sz="4" w:space="0"/>
              <w:left w:val="single" w:color="auto" w:sz="4" w:space="0"/>
              <w:bottom w:val="single" w:color="auto" w:sz="4" w:space="0"/>
              <w:right w:val="single" w:color="auto" w:sz="4" w:space="0"/>
            </w:tcBorders>
            <w:vAlign w:val="center"/>
          </w:tcPr>
          <w:p w14:paraId="63E71630">
            <w:pPr>
              <w:pStyle w:val="45"/>
              <w:keepNext w:val="0"/>
              <w:keepLines w:val="0"/>
              <w:pageBreakBefore w:val="0"/>
              <w:kinsoku/>
              <w:wordWrap/>
              <w:overflowPunct/>
              <w:topLinePunct w:val="0"/>
              <w:bidi w:val="0"/>
              <w:spacing w:line="360" w:lineRule="exact"/>
              <w:ind w:left="0" w:right="0"/>
              <w:jc w:val="center"/>
              <w:textAlignment w:val="auto"/>
              <w:rPr>
                <w:rFonts w:hint="default" w:ascii="宋体" w:hAnsi="宋体" w:eastAsia="宋体" w:cs="宋体"/>
                <w:color w:val="auto"/>
                <w:w w:val="100"/>
                <w:sz w:val="21"/>
                <w:highlight w:val="none"/>
                <w:lang w:val="en-US" w:eastAsia="zh-CN"/>
              </w:rPr>
            </w:pPr>
            <w:r>
              <w:rPr>
                <w:rFonts w:hint="eastAsia" w:cs="宋体"/>
                <w:color w:val="auto"/>
                <w:w w:val="100"/>
                <w:sz w:val="21"/>
                <w:highlight w:val="none"/>
                <w:lang w:val="en-US" w:eastAsia="zh-CN"/>
              </w:rPr>
              <w:t>0-7</w:t>
            </w:r>
          </w:p>
        </w:tc>
      </w:tr>
    </w:tbl>
    <w:p w14:paraId="7B9DA78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23.1上述内容，商务技术文件未涉及的得0分。</w:t>
      </w:r>
    </w:p>
    <w:p w14:paraId="41A4615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中如附有外文资料，必须逐一对应翻译成中文并加盖供应商公章后附在相关外文资料后面，否则外文资料不予认可。翻译的中文资料与外文资料不符的，均不予认可。翻译严重错误的，将视同提供虚假资料。</w:t>
      </w:r>
    </w:p>
    <w:p w14:paraId="7766350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23.3供应商应提供权威部门认定的各类有效证明文件及资料,未提供或者资料无效不得分，凡由采购人提出的有关供应商条件和采购项目对供应商的特定要求，由采购人负责查验材料的真伪。</w:t>
      </w:r>
    </w:p>
    <w:p w14:paraId="325D0726">
      <w:pPr>
        <w:pStyle w:val="17"/>
        <w:tabs>
          <w:tab w:val="left" w:pos="840"/>
        </w:tabs>
        <w:spacing w:line="360" w:lineRule="auto"/>
        <w:jc w:val="center"/>
        <w:rPr>
          <w:rFonts w:hint="eastAsia" w:ascii="宋体" w:hAnsi="宋体" w:eastAsia="宋体" w:cs="宋体"/>
          <w:b/>
          <w:bCs/>
          <w:color w:val="auto"/>
          <w:sz w:val="36"/>
          <w:szCs w:val="36"/>
          <w:highlight w:val="none"/>
        </w:rPr>
      </w:pPr>
    </w:p>
    <w:p w14:paraId="4D61BDB6">
      <w:pPr>
        <w:pStyle w:val="17"/>
        <w:tabs>
          <w:tab w:val="left" w:pos="840"/>
        </w:tabs>
        <w:spacing w:line="360" w:lineRule="auto"/>
        <w:jc w:val="center"/>
        <w:rPr>
          <w:rFonts w:hint="eastAsia" w:ascii="宋体" w:hAnsi="宋体" w:eastAsia="宋体" w:cs="宋体"/>
          <w:b/>
          <w:bCs/>
          <w:color w:val="auto"/>
          <w:sz w:val="36"/>
          <w:szCs w:val="36"/>
          <w:highlight w:val="none"/>
        </w:rPr>
      </w:pPr>
    </w:p>
    <w:p w14:paraId="4D8F8E10">
      <w:pPr>
        <w:pStyle w:val="17"/>
        <w:tabs>
          <w:tab w:val="left" w:pos="840"/>
        </w:tabs>
        <w:spacing w:line="360" w:lineRule="auto"/>
        <w:jc w:val="center"/>
        <w:rPr>
          <w:rFonts w:hint="eastAsia" w:ascii="宋体" w:hAnsi="宋体" w:eastAsia="宋体" w:cs="宋体"/>
          <w:b/>
          <w:bCs/>
          <w:color w:val="auto"/>
          <w:sz w:val="36"/>
          <w:szCs w:val="36"/>
          <w:highlight w:val="none"/>
        </w:rPr>
      </w:pPr>
    </w:p>
    <w:p w14:paraId="697BCDC5">
      <w:pPr>
        <w:pStyle w:val="17"/>
        <w:tabs>
          <w:tab w:val="left" w:pos="840"/>
        </w:tabs>
        <w:spacing w:line="360" w:lineRule="auto"/>
        <w:jc w:val="center"/>
        <w:rPr>
          <w:rFonts w:hint="eastAsia" w:ascii="宋体" w:hAnsi="宋体" w:eastAsia="宋体" w:cs="宋体"/>
          <w:b/>
          <w:bCs/>
          <w:color w:val="auto"/>
          <w:sz w:val="36"/>
          <w:szCs w:val="36"/>
          <w:highlight w:val="none"/>
        </w:rPr>
      </w:pPr>
    </w:p>
    <w:p w14:paraId="452B8AD2">
      <w:pPr>
        <w:pStyle w:val="17"/>
        <w:tabs>
          <w:tab w:val="left" w:pos="840"/>
        </w:tabs>
        <w:spacing w:line="360" w:lineRule="auto"/>
        <w:jc w:val="center"/>
        <w:rPr>
          <w:rFonts w:hint="eastAsia" w:ascii="宋体" w:hAnsi="宋体" w:eastAsia="宋体" w:cs="宋体"/>
          <w:b/>
          <w:bCs/>
          <w:color w:val="auto"/>
          <w:sz w:val="36"/>
          <w:szCs w:val="36"/>
          <w:highlight w:val="none"/>
        </w:rPr>
      </w:pPr>
    </w:p>
    <w:p w14:paraId="618D9B8E">
      <w:pPr>
        <w:pStyle w:val="17"/>
        <w:tabs>
          <w:tab w:val="left" w:pos="840"/>
        </w:tabs>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第五部分 拟签订的合同文本</w:t>
      </w:r>
    </w:p>
    <w:p w14:paraId="18BC6FEE">
      <w:pPr>
        <w:pStyle w:val="17"/>
        <w:tabs>
          <w:tab w:val="left" w:pos="840"/>
        </w:tabs>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32"/>
          <w:szCs w:val="32"/>
          <w:highlight w:val="none"/>
          <w:lang w:val="en-US" w:eastAsia="zh-CN"/>
        </w:rPr>
        <w:t xml:space="preserve">    </w:t>
      </w:r>
      <w:r>
        <w:rPr>
          <w:rFonts w:hint="eastAsia" w:ascii="宋体" w:hAnsi="宋体" w:eastAsia="宋体" w:cs="宋体"/>
          <w:color w:val="auto"/>
          <w:kern w:val="0"/>
          <w:sz w:val="28"/>
          <w:szCs w:val="28"/>
          <w:highlight w:val="none"/>
          <w:lang w:val="en-US" w:eastAsia="zh-CN"/>
        </w:rPr>
        <w:t xml:space="preserve"> </w:t>
      </w:r>
      <w:r>
        <w:rPr>
          <w:rFonts w:hint="eastAsia" w:hAnsi="宋体" w:cs="宋体"/>
          <w:color w:val="auto"/>
          <w:kern w:val="0"/>
          <w:sz w:val="28"/>
          <w:szCs w:val="28"/>
          <w:highlight w:val="none"/>
          <w:lang w:val="en-US" w:eastAsia="zh-CN"/>
        </w:rPr>
        <w:t>2025年衢州市柯城区市场监督管理局食品（餐饮）检测服务项目</w:t>
      </w:r>
      <w:r>
        <w:rPr>
          <w:rFonts w:hint="eastAsia" w:ascii="宋体" w:hAnsi="宋体" w:eastAsia="宋体" w:cs="宋体"/>
          <w:color w:val="auto"/>
          <w:kern w:val="0"/>
          <w:sz w:val="28"/>
          <w:szCs w:val="28"/>
          <w:highlight w:val="none"/>
        </w:rPr>
        <w:t>框架协议</w:t>
      </w:r>
      <w:r>
        <w:rPr>
          <w:rFonts w:hint="eastAsia" w:hAnsi="宋体" w:cs="宋体"/>
          <w:color w:val="auto"/>
          <w:kern w:val="0"/>
          <w:sz w:val="28"/>
          <w:szCs w:val="28"/>
          <w:highlight w:val="none"/>
          <w:lang w:val="en-US" w:eastAsia="zh-CN"/>
        </w:rPr>
        <w:t>参考范本</w:t>
      </w:r>
      <w:r>
        <w:rPr>
          <w:rFonts w:hint="eastAsia" w:hAnsi="宋体" w:cs="宋体"/>
          <w:color w:val="auto"/>
          <w:kern w:val="0"/>
          <w:sz w:val="28"/>
          <w:szCs w:val="28"/>
          <w:highlight w:val="none"/>
          <w:lang w:eastAsia="zh-CN"/>
        </w:rPr>
        <w:t>（</w:t>
      </w:r>
      <w:r>
        <w:rPr>
          <w:rFonts w:hint="eastAsia" w:hAnsi="宋体" w:cs="宋体"/>
          <w:color w:val="auto"/>
          <w:kern w:val="0"/>
          <w:sz w:val="28"/>
          <w:szCs w:val="28"/>
          <w:highlight w:val="none"/>
          <w:lang w:val="en-US" w:eastAsia="zh-CN"/>
        </w:rPr>
        <w:t>封闭式</w:t>
      </w:r>
      <w:r>
        <w:rPr>
          <w:rFonts w:hint="eastAsia" w:hAnsi="宋体" w:cs="宋体"/>
          <w:color w:val="auto"/>
          <w:kern w:val="0"/>
          <w:sz w:val="28"/>
          <w:szCs w:val="28"/>
          <w:highlight w:val="none"/>
          <w:lang w:eastAsia="zh-CN"/>
        </w:rPr>
        <w:t>）</w:t>
      </w:r>
    </w:p>
    <w:p w14:paraId="275866B5">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甲方（采购人）：                   </w:t>
      </w:r>
    </w:p>
    <w:p w14:paraId="234ED0AF">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乙方（入围单位）：                                           </w:t>
      </w:r>
    </w:p>
    <w:p w14:paraId="4E56090D">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经过公开征集，确定乙方为</w:t>
      </w:r>
      <w:r>
        <w:rPr>
          <w:rFonts w:hint="eastAsia" w:hAnsi="宋体" w:cs="宋体"/>
          <w:color w:val="auto"/>
          <w:kern w:val="0"/>
          <w:sz w:val="24"/>
          <w:szCs w:val="24"/>
          <w:highlight w:val="none"/>
          <w:lang w:eastAsia="zh-CN"/>
        </w:rPr>
        <w:t>2025年衢州市柯城区市场监督管理局食品（餐饮）检测服务项目</w:t>
      </w:r>
      <w:r>
        <w:rPr>
          <w:rFonts w:hint="eastAsia" w:ascii="宋体" w:hAnsi="宋体" w:eastAsia="宋体" w:cs="宋体"/>
          <w:color w:val="auto"/>
          <w:kern w:val="0"/>
          <w:sz w:val="24"/>
          <w:szCs w:val="24"/>
          <w:highlight w:val="none"/>
          <w:lang w:eastAsia="zh-CN"/>
        </w:rPr>
        <w:t>框架协议采购</w:t>
      </w:r>
      <w:r>
        <w:rPr>
          <w:rFonts w:hint="eastAsia" w:ascii="宋体" w:hAnsi="宋体" w:eastAsia="宋体" w:cs="宋体"/>
          <w:color w:val="auto"/>
          <w:kern w:val="0"/>
          <w:sz w:val="24"/>
          <w:szCs w:val="24"/>
          <w:highlight w:val="none"/>
        </w:rPr>
        <w:t>项目入围单位，为明确双方权利义务，经协商一致，签订本协议书。</w:t>
      </w:r>
    </w:p>
    <w:p w14:paraId="0665199D">
      <w:pPr>
        <w:pStyle w:val="17"/>
        <w:tabs>
          <w:tab w:val="left" w:pos="840"/>
        </w:tabs>
        <w:spacing w:line="360" w:lineRule="auto"/>
        <w:ind w:firstLine="480" w:firstLineChars="200"/>
        <w:rPr>
          <w:rFonts w:hint="default" w:ascii="宋体" w:hAnsi="宋体" w:eastAsia="宋体" w:cs="宋体"/>
          <w:color w:val="auto"/>
          <w:kern w:val="0"/>
          <w:sz w:val="24"/>
          <w:szCs w:val="24"/>
          <w:highlight w:val="none"/>
          <w:lang w:val="en-US" w:eastAsia="zh-CN"/>
        </w:rPr>
      </w:pPr>
      <w:r>
        <w:rPr>
          <w:rFonts w:hint="eastAsia" w:hAnsi="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项目名称：</w:t>
      </w:r>
      <w:r>
        <w:rPr>
          <w:rFonts w:hint="eastAsia" w:hAnsi="宋体" w:cs="宋体"/>
          <w:color w:val="auto"/>
          <w:kern w:val="0"/>
          <w:sz w:val="24"/>
          <w:szCs w:val="24"/>
          <w:highlight w:val="none"/>
          <w:lang w:eastAsia="zh-CN"/>
        </w:rPr>
        <w:t>2025年衢州市柯城区市场监督管理局食品（餐饮）检测服务项目</w:t>
      </w:r>
      <w:r>
        <w:rPr>
          <w:rFonts w:hint="eastAsia" w:ascii="宋体" w:hAnsi="宋体" w:eastAsia="宋体" w:cs="宋体"/>
          <w:color w:val="auto"/>
          <w:kern w:val="0"/>
          <w:sz w:val="24"/>
          <w:szCs w:val="24"/>
          <w:highlight w:val="none"/>
          <w:lang w:eastAsia="zh-CN"/>
        </w:rPr>
        <w:t>框架协议采购</w:t>
      </w:r>
      <w:r>
        <w:rPr>
          <w:rFonts w:hint="eastAsia" w:hAnsi="宋体" w:cs="宋体"/>
          <w:color w:val="auto"/>
          <w:kern w:val="0"/>
          <w:sz w:val="24"/>
          <w:szCs w:val="24"/>
          <w:highlight w:val="none"/>
          <w:lang w:val="en-US" w:eastAsia="zh-CN"/>
        </w:rPr>
        <w:t xml:space="preserve">  </w:t>
      </w:r>
    </w:p>
    <w:p w14:paraId="603DC6F2">
      <w:pPr>
        <w:pStyle w:val="17"/>
        <w:numPr>
          <w:ilvl w:val="0"/>
          <w:numId w:val="0"/>
        </w:numPr>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hAnsi="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项目编号：</w:t>
      </w:r>
    </w:p>
    <w:p w14:paraId="4E920439">
      <w:pPr>
        <w:spacing w:line="360" w:lineRule="auto"/>
        <w:ind w:firstLine="480" w:firstLineChars="200"/>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szCs w:val="24"/>
          <w:highlight w:val="none"/>
        </w:rPr>
        <w:t>三、采购需求：</w:t>
      </w:r>
      <w:r>
        <w:rPr>
          <w:rFonts w:hint="eastAsia" w:ascii="宋体" w:hAnsi="宋体" w:cs="宋体"/>
          <w:color w:val="auto"/>
          <w:kern w:val="0"/>
          <w:sz w:val="24"/>
          <w:szCs w:val="24"/>
          <w:highlight w:val="none"/>
          <w:lang w:val="en-US" w:eastAsia="zh-CN"/>
        </w:rPr>
        <w:t>2025年衢州市柯城区市场监督管理局食品（餐饮）检测服务项目</w:t>
      </w:r>
      <w:r>
        <w:rPr>
          <w:rFonts w:hint="eastAsia" w:ascii="宋体" w:hAnsi="宋体" w:eastAsia="宋体" w:cs="宋体"/>
          <w:bCs/>
          <w:color w:val="auto"/>
          <w:sz w:val="24"/>
          <w:szCs w:val="24"/>
          <w:highlight w:val="none"/>
        </w:rPr>
        <w:t xml:space="preserve">，详见采购需求。 </w:t>
      </w:r>
    </w:p>
    <w:p w14:paraId="162E7BC0">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四、收费标准</w:t>
      </w:r>
    </w:p>
    <w:p w14:paraId="1FCF2A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kern w:val="0"/>
          <w:sz w:val="24"/>
          <w:szCs w:val="22"/>
          <w:highlight w:val="none"/>
        </w:rPr>
      </w:pPr>
    </w:p>
    <w:p w14:paraId="37515B4C">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color w:val="auto"/>
          <w:highlight w:val="none"/>
        </w:rPr>
      </w:pPr>
      <w:r>
        <w:rPr>
          <w:rFonts w:hint="eastAsia" w:ascii="宋体" w:hAnsi="宋体"/>
          <w:b/>
          <w:color w:val="auto"/>
          <w:kern w:val="0"/>
          <w:sz w:val="24"/>
          <w:szCs w:val="22"/>
          <w:highlight w:val="none"/>
        </w:rPr>
        <w:t>注：以上合同承诺价是固定不变的，乙方最终以</w:t>
      </w:r>
      <w:r>
        <w:rPr>
          <w:rFonts w:hint="eastAsia" w:ascii="宋体" w:hAnsi="宋体"/>
          <w:b/>
          <w:color w:val="auto"/>
          <w:kern w:val="0"/>
          <w:sz w:val="24"/>
          <w:szCs w:val="22"/>
          <w:highlight w:val="none"/>
          <w:lang w:val="en-US" w:eastAsia="zh-CN"/>
        </w:rPr>
        <w:t>检测数量</w:t>
      </w:r>
      <w:r>
        <w:rPr>
          <w:rFonts w:hint="eastAsia" w:ascii="宋体" w:hAnsi="宋体"/>
          <w:b/>
          <w:color w:val="auto"/>
          <w:kern w:val="0"/>
          <w:sz w:val="24"/>
          <w:szCs w:val="22"/>
          <w:highlight w:val="none"/>
        </w:rPr>
        <w:t>与合同承诺价进行结算。合同承诺价包括完成本项目全部工作内容所需的全部费用（包括印章材料费用、印章刻制所需设备、备品备件及劳务费、差旅、交通、通信、税金等）。</w:t>
      </w:r>
    </w:p>
    <w:p w14:paraId="5D987BA6">
      <w:pPr>
        <w:pStyle w:val="17"/>
        <w:keepNext w:val="0"/>
        <w:keepLines w:val="0"/>
        <w:pageBreakBefore w:val="0"/>
        <w:widowControl w:val="0"/>
        <w:numPr>
          <w:ilvl w:val="0"/>
          <w:numId w:val="5"/>
        </w:numPr>
        <w:tabs>
          <w:tab w:val="left" w:pos="840"/>
        </w:tabs>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p w14:paraId="6DB72D24">
      <w:pPr>
        <w:pStyle w:val="17"/>
        <w:tabs>
          <w:tab w:val="left" w:pos="84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hAnsi="宋体" w:cs="宋体"/>
          <w:color w:val="auto"/>
          <w:kern w:val="0"/>
          <w:sz w:val="24"/>
          <w:szCs w:val="24"/>
          <w:highlight w:val="none"/>
          <w:lang w:eastAsia="zh-CN"/>
        </w:rPr>
        <w:t>2025年衢州市柯城区市场监督管理局食品（餐饮）检测服务</w:t>
      </w:r>
    </w:p>
    <w:p w14:paraId="781667E0">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六、服务标准                                                                      </w:t>
      </w:r>
    </w:p>
    <w:p w14:paraId="74C1F875">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hAnsi="宋体" w:cs="宋体"/>
          <w:color w:val="auto"/>
          <w:kern w:val="0"/>
          <w:sz w:val="24"/>
          <w:szCs w:val="24"/>
          <w:highlight w:val="none"/>
          <w:lang w:eastAsia="zh-CN"/>
        </w:rPr>
        <w:t>七</w:t>
      </w:r>
      <w:r>
        <w:rPr>
          <w:rFonts w:hint="eastAsia" w:ascii="宋体" w:hAnsi="宋体" w:eastAsia="宋体" w:cs="宋体"/>
          <w:color w:val="auto"/>
          <w:kern w:val="0"/>
          <w:sz w:val="24"/>
          <w:szCs w:val="24"/>
          <w:highlight w:val="none"/>
        </w:rPr>
        <w:t>、框架协议期限</w:t>
      </w:r>
    </w:p>
    <w:p w14:paraId="547149D3">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本协议期限</w:t>
      </w:r>
      <w:r>
        <w:rPr>
          <w:rFonts w:hint="eastAsia"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年。从</w:t>
      </w:r>
      <w:r>
        <w:rPr>
          <w:rFonts w:hint="eastAsia"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   月  日至</w:t>
      </w:r>
      <w:r>
        <w:rPr>
          <w:rFonts w:hint="eastAsia"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    月    日止。</w:t>
      </w:r>
    </w:p>
    <w:p w14:paraId="00CD8613">
      <w:pPr>
        <w:pStyle w:val="17"/>
        <w:numPr>
          <w:ilvl w:val="0"/>
          <w:numId w:val="0"/>
        </w:numPr>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hAnsi="宋体" w:cs="宋体"/>
          <w:color w:val="auto"/>
          <w:kern w:val="0"/>
          <w:sz w:val="24"/>
          <w:szCs w:val="24"/>
          <w:highlight w:val="none"/>
          <w:lang w:eastAsia="zh-CN"/>
        </w:rPr>
        <w:t>八、</w:t>
      </w:r>
      <w:r>
        <w:rPr>
          <w:rFonts w:hint="eastAsia" w:ascii="宋体" w:hAnsi="宋体" w:eastAsia="宋体" w:cs="宋体"/>
          <w:color w:val="auto"/>
          <w:kern w:val="0"/>
          <w:sz w:val="24"/>
          <w:szCs w:val="24"/>
          <w:highlight w:val="none"/>
        </w:rPr>
        <w:t xml:space="preserve">甲方的权利和义务 </w:t>
      </w:r>
    </w:p>
    <w:p w14:paraId="3068491A">
      <w:pPr>
        <w:pStyle w:val="17"/>
        <w:numPr>
          <w:ilvl w:val="0"/>
          <w:numId w:val="0"/>
        </w:numPr>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hAnsi="宋体" w:cs="宋体"/>
          <w:color w:val="auto"/>
          <w:kern w:val="0"/>
          <w:sz w:val="24"/>
          <w:szCs w:val="24"/>
          <w:highlight w:val="none"/>
          <w:lang w:eastAsia="zh-CN"/>
        </w:rPr>
        <w:t>九、</w:t>
      </w:r>
      <w:r>
        <w:rPr>
          <w:rFonts w:hint="eastAsia" w:ascii="宋体" w:hAnsi="宋体" w:eastAsia="宋体" w:cs="宋体"/>
          <w:color w:val="auto"/>
          <w:kern w:val="0"/>
          <w:sz w:val="24"/>
          <w:szCs w:val="24"/>
          <w:highlight w:val="none"/>
        </w:rPr>
        <w:t>乙方的权利和义务</w:t>
      </w:r>
    </w:p>
    <w:p w14:paraId="2E353780">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hAnsi="宋体" w:cs="宋体"/>
          <w:color w:val="auto"/>
          <w:kern w:val="0"/>
          <w:sz w:val="24"/>
          <w:szCs w:val="24"/>
          <w:highlight w:val="none"/>
          <w:lang w:eastAsia="zh-CN"/>
        </w:rPr>
        <w:t>十</w:t>
      </w:r>
      <w:r>
        <w:rPr>
          <w:rFonts w:hint="eastAsia" w:ascii="宋体" w:hAnsi="宋体" w:eastAsia="宋体" w:cs="宋体"/>
          <w:color w:val="auto"/>
          <w:kern w:val="0"/>
          <w:sz w:val="24"/>
          <w:szCs w:val="24"/>
          <w:highlight w:val="none"/>
        </w:rPr>
        <w:t xml:space="preserve">、入围供应商的清退和补充规则 </w:t>
      </w:r>
    </w:p>
    <w:p w14:paraId="74B7AE66">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1、清退规则：在下列情形下甲方有权清退入围供应商，而不需要承担任何责任：</w:t>
      </w:r>
    </w:p>
    <w:p w14:paraId="32D7BAE6">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1）入围供应商实质性违反本协议约定的；</w:t>
      </w:r>
    </w:p>
    <w:p w14:paraId="51ACE518">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2）入围供应商有违反合同约定或其职责、义务的行为，在采购人指定期限内未予以纠正或补救的；</w:t>
      </w:r>
    </w:p>
    <w:p w14:paraId="42BA6EDF">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3）入围供应商资质吊销或注销的；</w:t>
      </w:r>
    </w:p>
    <w:p w14:paraId="6CCE2B30">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4）入围供应商未严格执行保密制度，泄漏委托方的秘密或与第三方串通损害采购人利益的；由此造成的经济损失，入围方应予赔偿；存在违法违规行为的，由相关部门进行处理；</w:t>
      </w:r>
    </w:p>
    <w:p w14:paraId="518EDDA1">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6）入围供应商与项目相关单位或个人私下交易，接受财物、吃请等违纪行为经查实的；存在违法违规行为的，由相关部门进行处理；</w:t>
      </w:r>
    </w:p>
    <w:p w14:paraId="56528E2B">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7）入围供应商在服务过程中将资料丢失的；由此造成的经济损失，入围供应商应予赔偿；存在违法违规行为的，由相关部门进行处理；</w:t>
      </w:r>
    </w:p>
    <w:p w14:paraId="1279A711">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8）在入围供应商违约情形下，采购人有权对本项目合同进行必要的变更。 因入围供应商违约导致合同解除的，入围供应商应按本项目正常计算酬金的 20%支付违约金。</w:t>
      </w:r>
    </w:p>
    <w:p w14:paraId="168611DF">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9）入围供应商提供服务时，需按委托人要求时限完成，无正当理由，未按时完成的将解除合同。</w:t>
      </w:r>
    </w:p>
    <w:p w14:paraId="3C5147E2">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10）执行纠错机制，即因审核结果存在较大争议，相关单位提出投诉，并确认入围供应商为责任方的，采购人有权终止合同。</w:t>
      </w:r>
    </w:p>
    <w:p w14:paraId="67CE1C9D">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11）确定入围供应商后，采购人有权对入围供应商提供的人员名单、注册证明、执业资格、人事关系、业绩材料等相关资料到相关部门进行核实，如</w:t>
      </w:r>
      <w:r>
        <w:rPr>
          <w:rFonts w:hint="eastAsia" w:hAnsi="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存在虚假情况，则取消中标候选人的中标资格，存在违法违规行为的，由相关部门进行处理；</w:t>
      </w:r>
    </w:p>
    <w:p w14:paraId="7B1FE293">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12）如遇到政策变化或者其他不可抗力因素，本协议自动解除。</w:t>
      </w:r>
    </w:p>
    <w:p w14:paraId="299B619B">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13）本协议有效期</w:t>
      </w:r>
      <w:r>
        <w:rPr>
          <w:rFonts w:hint="eastAsia"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年，到期后自动终止。</w:t>
      </w:r>
    </w:p>
    <w:p w14:paraId="709B38A4">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2、补充规则：如出现剩余入围供应商不足入围供应商总数 70%且影响框架协议执行的情形，可以按照原方式继续征集。其余情况框架协议有效期内，不再补充征集供应商。</w:t>
      </w:r>
    </w:p>
    <w:p w14:paraId="2E6CBEC9">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hAnsi="宋体" w:cs="宋体"/>
          <w:color w:val="auto"/>
          <w:kern w:val="0"/>
          <w:sz w:val="24"/>
          <w:szCs w:val="24"/>
          <w:highlight w:val="none"/>
          <w:lang w:eastAsia="zh-CN"/>
        </w:rPr>
        <w:t>十一</w:t>
      </w:r>
      <w:r>
        <w:rPr>
          <w:rFonts w:hint="eastAsia" w:ascii="宋体" w:hAnsi="宋体" w:eastAsia="宋体" w:cs="宋体"/>
          <w:color w:val="auto"/>
          <w:kern w:val="0"/>
          <w:sz w:val="24"/>
          <w:szCs w:val="24"/>
          <w:highlight w:val="none"/>
        </w:rPr>
        <w:t>、争议解决方式</w:t>
      </w:r>
    </w:p>
    <w:p w14:paraId="5A987DF8">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合同履行过程中发生争议，双方应协商解决，或由相关部门进行调解；协商或调解不成的，依法向甲方住所地所在人民法院起诉。</w:t>
      </w:r>
    </w:p>
    <w:p w14:paraId="38472F1D">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hAnsi="宋体" w:cs="宋体"/>
          <w:color w:val="auto"/>
          <w:kern w:val="0"/>
          <w:sz w:val="24"/>
          <w:szCs w:val="24"/>
          <w:highlight w:val="none"/>
          <w:lang w:eastAsia="zh-CN"/>
        </w:rPr>
        <w:t>十二</w:t>
      </w:r>
      <w:r>
        <w:rPr>
          <w:rFonts w:hint="eastAsia" w:ascii="宋体" w:hAnsi="宋体" w:eastAsia="宋体" w:cs="宋体"/>
          <w:color w:val="auto"/>
          <w:kern w:val="0"/>
          <w:sz w:val="24"/>
          <w:szCs w:val="24"/>
          <w:highlight w:val="none"/>
        </w:rPr>
        <w:t>、其他事项</w:t>
      </w:r>
    </w:p>
    <w:p w14:paraId="0077C9BF">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1、本协议未尽的事宜，均遵照国家有关法律、法规，双方另行协商议定补充条款。</w:t>
      </w:r>
    </w:p>
    <w:p w14:paraId="3984E7E5">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2、本协议一式二份，甲方一份、乙方一份，具有同等法律效力。</w:t>
      </w:r>
    </w:p>
    <w:p w14:paraId="59643C1F">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3、本协议经甲方、乙方法定代表人或其授权代表签字并加盖双方公章后生效。</w:t>
      </w:r>
    </w:p>
    <w:p w14:paraId="4B29DD49">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甲方（盖章）：                          乙方（盖章）：</w:t>
      </w:r>
    </w:p>
    <w:p w14:paraId="69F4DCCD">
      <w:pPr>
        <w:pStyle w:val="17"/>
        <w:tabs>
          <w:tab w:val="left" w:pos="840"/>
        </w:tabs>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法人代表或授权代表（签字）：          法人代表或授权代表（签字）：</w:t>
      </w:r>
    </w:p>
    <w:p w14:paraId="0293CEEE">
      <w:pPr>
        <w:pStyle w:val="17"/>
        <w:tabs>
          <w:tab w:val="left" w:pos="84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                             联系电话：</w:t>
      </w:r>
    </w:p>
    <w:p w14:paraId="3E4661F0">
      <w:pPr>
        <w:pStyle w:val="17"/>
        <w:tabs>
          <w:tab w:val="left" w:pos="840"/>
        </w:tabs>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     年   月   日           签订日期：     年   月   日</w:t>
      </w:r>
    </w:p>
    <w:p w14:paraId="2AF493AC">
      <w:pPr>
        <w:spacing w:line="560" w:lineRule="exact"/>
        <w:ind w:firstLine="2349" w:firstLineChars="65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 应提交的有关格式范例</w:t>
      </w:r>
    </w:p>
    <w:p w14:paraId="348B6148">
      <w:pPr>
        <w:spacing w:line="360" w:lineRule="auto"/>
        <w:jc w:val="center"/>
        <w:outlineLvl w:val="0"/>
        <w:rPr>
          <w:rFonts w:hint="eastAsia" w:ascii="宋体" w:hAnsi="宋体" w:eastAsia="宋体" w:cs="宋体"/>
          <w:b/>
          <w:color w:val="auto"/>
          <w:kern w:val="0"/>
          <w:sz w:val="36"/>
          <w:szCs w:val="36"/>
          <w:highlight w:val="none"/>
        </w:rPr>
      </w:pPr>
    </w:p>
    <w:p w14:paraId="73A73A7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06D302F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45AEF1E">
      <w:pPr>
        <w:spacing w:line="360" w:lineRule="auto"/>
        <w:jc w:val="center"/>
        <w:outlineLvl w:val="0"/>
        <w:rPr>
          <w:rFonts w:hint="eastAsia" w:ascii="宋体" w:hAnsi="宋体" w:eastAsia="宋体" w:cs="宋体"/>
          <w:b/>
          <w:color w:val="auto"/>
          <w:kern w:val="0"/>
          <w:sz w:val="36"/>
          <w:szCs w:val="36"/>
          <w:highlight w:val="none"/>
        </w:rPr>
      </w:pPr>
    </w:p>
    <w:p w14:paraId="618821E0">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供应商的营业执照或者其他由国家相关部门出具的具有独立承担民事责任能力证明文件……………………………………………………………………………（页码）</w:t>
      </w:r>
    </w:p>
    <w:p w14:paraId="0A5B12F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（2）符合参加政府采购活动应当具备的一般条件的承诺函……………（页码）</w:t>
      </w:r>
    </w:p>
    <w:p w14:paraId="7C97651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14:paraId="4D62D636">
      <w:pPr>
        <w:adjustRightInd w:val="0"/>
        <w:snapToGrid w:val="0"/>
        <w:spacing w:line="360" w:lineRule="auto"/>
        <w:rPr>
          <w:rFonts w:hint="eastAsia" w:ascii="宋体" w:hAnsi="宋体" w:eastAsia="宋体" w:cs="宋体"/>
          <w:b/>
          <w:color w:val="auto"/>
          <w:kern w:val="0"/>
          <w:sz w:val="32"/>
          <w:szCs w:val="32"/>
          <w:highlight w:val="none"/>
          <w:lang w:val="zh-CN"/>
        </w:rPr>
      </w:pPr>
    </w:p>
    <w:p w14:paraId="3B98C4E4">
      <w:pPr>
        <w:pStyle w:val="5"/>
        <w:numPr>
          <w:ilvl w:val="0"/>
          <w:numId w:val="0"/>
        </w:numPr>
        <w:rPr>
          <w:rFonts w:hint="eastAsia" w:ascii="宋体" w:hAnsi="宋体" w:eastAsia="宋体" w:cs="宋体"/>
          <w:color w:val="auto"/>
          <w:highlight w:val="none"/>
        </w:rPr>
      </w:pPr>
    </w:p>
    <w:p w14:paraId="781C955E">
      <w:pPr>
        <w:adjustRightInd w:val="0"/>
        <w:snapToGrid w:val="0"/>
        <w:spacing w:line="360" w:lineRule="auto"/>
        <w:jc w:val="left"/>
        <w:rPr>
          <w:rFonts w:hint="eastAsia" w:ascii="宋体" w:hAnsi="宋体" w:eastAsia="宋体" w:cs="宋体"/>
          <w:b/>
          <w:color w:val="auto"/>
          <w:kern w:val="0"/>
          <w:sz w:val="32"/>
          <w:szCs w:val="32"/>
          <w:highlight w:val="none"/>
          <w:lang w:val="zh-CN"/>
        </w:rPr>
      </w:pPr>
    </w:p>
    <w:p w14:paraId="003B1A62">
      <w:pPr>
        <w:adjustRightInd w:val="0"/>
        <w:snapToGrid w:val="0"/>
        <w:spacing w:line="360" w:lineRule="auto"/>
        <w:jc w:val="left"/>
        <w:rPr>
          <w:rFonts w:hint="eastAsia" w:ascii="宋体" w:hAnsi="宋体" w:eastAsia="宋体" w:cs="宋体"/>
          <w:b/>
          <w:color w:val="auto"/>
          <w:kern w:val="0"/>
          <w:sz w:val="32"/>
          <w:szCs w:val="32"/>
          <w:highlight w:val="none"/>
          <w:lang w:val="zh-CN"/>
        </w:rPr>
      </w:pPr>
    </w:p>
    <w:p w14:paraId="43B531BF">
      <w:pPr>
        <w:adjustRightInd w:val="0"/>
        <w:snapToGrid w:val="0"/>
        <w:spacing w:line="360" w:lineRule="auto"/>
        <w:jc w:val="left"/>
        <w:rPr>
          <w:rFonts w:hint="eastAsia" w:ascii="宋体" w:hAnsi="宋体" w:eastAsia="宋体" w:cs="宋体"/>
          <w:b/>
          <w:color w:val="auto"/>
          <w:kern w:val="0"/>
          <w:sz w:val="32"/>
          <w:szCs w:val="32"/>
          <w:highlight w:val="none"/>
          <w:lang w:val="zh-CN"/>
        </w:rPr>
      </w:pPr>
    </w:p>
    <w:p w14:paraId="5C5380A1">
      <w:pPr>
        <w:adjustRightInd w:val="0"/>
        <w:snapToGrid w:val="0"/>
        <w:spacing w:line="360" w:lineRule="auto"/>
        <w:jc w:val="left"/>
        <w:rPr>
          <w:rFonts w:hint="eastAsia" w:ascii="宋体" w:hAnsi="宋体" w:eastAsia="宋体" w:cs="宋体"/>
          <w:b/>
          <w:color w:val="auto"/>
          <w:kern w:val="0"/>
          <w:sz w:val="32"/>
          <w:szCs w:val="32"/>
          <w:highlight w:val="none"/>
          <w:lang w:val="zh-CN"/>
        </w:rPr>
      </w:pPr>
    </w:p>
    <w:p w14:paraId="15A831A7">
      <w:pPr>
        <w:adjustRightInd w:val="0"/>
        <w:snapToGrid w:val="0"/>
        <w:spacing w:line="360" w:lineRule="auto"/>
        <w:jc w:val="left"/>
        <w:rPr>
          <w:rFonts w:hint="eastAsia" w:ascii="宋体" w:hAnsi="宋体" w:eastAsia="宋体" w:cs="宋体"/>
          <w:b/>
          <w:color w:val="auto"/>
          <w:kern w:val="0"/>
          <w:sz w:val="32"/>
          <w:szCs w:val="32"/>
          <w:highlight w:val="none"/>
          <w:lang w:val="zh-CN"/>
        </w:rPr>
      </w:pPr>
    </w:p>
    <w:p w14:paraId="4FCA0EF6">
      <w:pPr>
        <w:adjustRightInd w:val="0"/>
        <w:snapToGrid w:val="0"/>
        <w:spacing w:line="360" w:lineRule="auto"/>
        <w:jc w:val="left"/>
        <w:rPr>
          <w:rFonts w:hint="eastAsia" w:ascii="宋体" w:hAnsi="宋体" w:eastAsia="宋体" w:cs="宋体"/>
          <w:b/>
          <w:color w:val="auto"/>
          <w:kern w:val="0"/>
          <w:sz w:val="32"/>
          <w:szCs w:val="32"/>
          <w:highlight w:val="none"/>
          <w:lang w:val="zh-CN"/>
        </w:rPr>
      </w:pPr>
    </w:p>
    <w:p w14:paraId="5ED87D35">
      <w:pPr>
        <w:adjustRightInd w:val="0"/>
        <w:snapToGrid w:val="0"/>
        <w:spacing w:line="360" w:lineRule="auto"/>
        <w:jc w:val="left"/>
        <w:rPr>
          <w:rFonts w:hint="eastAsia" w:ascii="宋体" w:hAnsi="宋体" w:eastAsia="宋体" w:cs="宋体"/>
          <w:b/>
          <w:color w:val="auto"/>
          <w:kern w:val="0"/>
          <w:sz w:val="32"/>
          <w:szCs w:val="32"/>
          <w:highlight w:val="none"/>
          <w:lang w:val="zh-CN"/>
        </w:rPr>
      </w:pPr>
    </w:p>
    <w:p w14:paraId="080AE276">
      <w:pPr>
        <w:adjustRightInd w:val="0"/>
        <w:snapToGrid w:val="0"/>
        <w:spacing w:line="360" w:lineRule="auto"/>
        <w:jc w:val="left"/>
        <w:rPr>
          <w:rFonts w:hint="eastAsia" w:ascii="宋体" w:hAnsi="宋体" w:eastAsia="宋体" w:cs="宋体"/>
          <w:b/>
          <w:color w:val="auto"/>
          <w:kern w:val="0"/>
          <w:sz w:val="32"/>
          <w:szCs w:val="32"/>
          <w:highlight w:val="none"/>
          <w:lang w:val="zh-CN"/>
        </w:rPr>
      </w:pPr>
    </w:p>
    <w:p w14:paraId="641CA166">
      <w:pPr>
        <w:adjustRightInd w:val="0"/>
        <w:snapToGrid w:val="0"/>
        <w:spacing w:line="360" w:lineRule="auto"/>
        <w:jc w:val="left"/>
        <w:rPr>
          <w:rFonts w:hint="eastAsia" w:ascii="宋体" w:hAnsi="宋体" w:eastAsia="宋体" w:cs="宋体"/>
          <w:b/>
          <w:color w:val="auto"/>
          <w:kern w:val="0"/>
          <w:sz w:val="32"/>
          <w:szCs w:val="32"/>
          <w:highlight w:val="none"/>
          <w:lang w:val="zh-CN"/>
        </w:rPr>
      </w:pPr>
    </w:p>
    <w:p w14:paraId="3A27F023">
      <w:pPr>
        <w:adjustRightInd w:val="0"/>
        <w:snapToGrid w:val="0"/>
        <w:spacing w:line="360" w:lineRule="auto"/>
        <w:jc w:val="left"/>
        <w:rPr>
          <w:rFonts w:hint="eastAsia" w:ascii="宋体" w:hAnsi="宋体" w:eastAsia="宋体" w:cs="宋体"/>
          <w:b/>
          <w:color w:val="auto"/>
          <w:kern w:val="0"/>
          <w:sz w:val="32"/>
          <w:szCs w:val="32"/>
          <w:highlight w:val="none"/>
          <w:lang w:val="zh-CN"/>
        </w:rPr>
      </w:pPr>
    </w:p>
    <w:p w14:paraId="41E3C4BE">
      <w:pPr>
        <w:adjustRightInd w:val="0"/>
        <w:snapToGrid w:val="0"/>
        <w:spacing w:line="360" w:lineRule="auto"/>
        <w:jc w:val="left"/>
        <w:rPr>
          <w:rFonts w:hint="eastAsia" w:ascii="宋体" w:hAnsi="宋体" w:eastAsia="宋体" w:cs="宋体"/>
          <w:b/>
          <w:color w:val="auto"/>
          <w:kern w:val="0"/>
          <w:sz w:val="32"/>
          <w:szCs w:val="32"/>
          <w:highlight w:val="none"/>
          <w:lang w:val="zh-CN"/>
        </w:rPr>
      </w:pPr>
    </w:p>
    <w:p w14:paraId="129A10DC">
      <w:pPr>
        <w:adjustRightInd w:val="0"/>
        <w:snapToGrid w:val="0"/>
        <w:spacing w:line="360" w:lineRule="auto"/>
        <w:jc w:val="left"/>
        <w:rPr>
          <w:rFonts w:hint="eastAsia" w:ascii="宋体" w:hAnsi="宋体" w:eastAsia="宋体" w:cs="宋体"/>
          <w:b/>
          <w:color w:val="auto"/>
          <w:kern w:val="0"/>
          <w:sz w:val="32"/>
          <w:szCs w:val="32"/>
          <w:highlight w:val="none"/>
          <w:lang w:val="zh-CN"/>
        </w:rPr>
      </w:pPr>
    </w:p>
    <w:p w14:paraId="61AB86E7">
      <w:pPr>
        <w:pStyle w:val="17"/>
        <w:tabs>
          <w:tab w:val="left" w:pos="840"/>
        </w:tabs>
        <w:spacing w:line="360" w:lineRule="auto"/>
        <w:ind w:firstLine="643" w:firstLineChars="2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6B7E2083">
      <w:pPr>
        <w:pStyle w:val="17"/>
        <w:numPr>
          <w:ilvl w:val="0"/>
          <w:numId w:val="7"/>
        </w:numPr>
        <w:tabs>
          <w:tab w:val="left" w:pos="840"/>
        </w:tabs>
        <w:spacing w:line="360" w:lineRule="auto"/>
        <w:ind w:firstLine="643" w:firstLineChars="2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符合参加政府采购活动应当具备的一般条件的承诺函</w:t>
      </w:r>
    </w:p>
    <w:p w14:paraId="6134512D">
      <w:pPr>
        <w:pStyle w:val="17"/>
        <w:tabs>
          <w:tab w:val="left" w:pos="840"/>
        </w:tabs>
        <w:spacing w:line="360" w:lineRule="auto"/>
        <w:rPr>
          <w:rFonts w:hint="eastAsia" w:ascii="宋体" w:hAnsi="宋体" w:eastAsia="宋体" w:cs="宋体"/>
          <w:b/>
          <w:color w:val="auto"/>
          <w:kern w:val="0"/>
          <w:sz w:val="32"/>
          <w:szCs w:val="32"/>
          <w:highlight w:val="none"/>
        </w:rPr>
      </w:pPr>
    </w:p>
    <w:p w14:paraId="75C3D66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衢州市柯城区市场监督管理局</w:t>
      </w: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lang w:eastAsia="zh-CN"/>
        </w:rPr>
        <w:t>浙江中兰工程项目管理有限公司</w:t>
      </w:r>
      <w:r>
        <w:rPr>
          <w:rFonts w:hint="eastAsia" w:ascii="宋体" w:hAnsi="宋体" w:eastAsia="宋体" w:cs="宋体"/>
          <w:color w:val="auto"/>
          <w:sz w:val="24"/>
          <w:highlight w:val="none"/>
        </w:rPr>
        <w:t>：</w:t>
      </w:r>
    </w:p>
    <w:p w14:paraId="6F6E2F7C">
      <w:pPr>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2025年</w:t>
      </w:r>
      <w:r>
        <w:rPr>
          <w:rFonts w:hint="eastAsia" w:ascii="宋体" w:hAnsi="宋体" w:cs="宋体"/>
          <w:color w:val="auto"/>
          <w:sz w:val="24"/>
          <w:highlight w:val="none"/>
          <w:u w:val="single"/>
          <w:lang w:eastAsia="zh-CN"/>
        </w:rPr>
        <w:t>衢州市柯城区市场监督管理局食品（餐饮）检测服务项目</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项目【招标编号：</w:t>
      </w:r>
      <w:r>
        <w:rPr>
          <w:rFonts w:hint="eastAsia" w:ascii="宋体" w:hAnsi="宋体" w:cs="宋体"/>
          <w:color w:val="auto"/>
          <w:sz w:val="24"/>
          <w:highlight w:val="none"/>
          <w:u w:val="single"/>
          <w:lang w:eastAsia="zh-CN"/>
        </w:rPr>
        <w:t>ZLQZ-2506086</w:t>
      </w:r>
      <w:r>
        <w:rPr>
          <w:rFonts w:hint="eastAsia" w:ascii="宋体" w:hAnsi="宋体" w:eastAsia="宋体" w:cs="宋体"/>
          <w:color w:val="auto"/>
          <w:sz w:val="24"/>
          <w:highlight w:val="none"/>
        </w:rPr>
        <w:t>】政府采购活动，郑重承诺：</w:t>
      </w:r>
    </w:p>
    <w:p w14:paraId="54DD424F">
      <w:pPr>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223FF87">
      <w:pPr>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161BF97">
      <w:pPr>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4B1B972">
      <w:pPr>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003BDB3">
      <w:pPr>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4F6C74A">
      <w:pPr>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32883AA">
      <w:pPr>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CBCE19B">
      <w:pPr>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5B008C22">
      <w:pPr>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4FE46D5">
      <w:pPr>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9210146">
      <w:pPr>
        <w:snapToGrid w:val="0"/>
        <w:spacing w:line="360" w:lineRule="auto"/>
        <w:ind w:firstLine="5520" w:firstLineChars="2300"/>
        <w:rPr>
          <w:rFonts w:hint="eastAsia" w:ascii="宋体" w:hAnsi="宋体" w:eastAsia="宋体" w:cs="宋体"/>
          <w:color w:val="auto"/>
          <w:kern w:val="0"/>
          <w:sz w:val="24"/>
          <w:highlight w:val="none"/>
          <w:lang w:val="zh-CN"/>
        </w:rPr>
      </w:pPr>
    </w:p>
    <w:p w14:paraId="62D5A637">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响应供应商名称(电子签名)：</w:t>
      </w:r>
    </w:p>
    <w:p w14:paraId="2DBEA5B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2E3A583">
      <w:pPr>
        <w:snapToGrid w:val="0"/>
        <w:spacing w:line="360" w:lineRule="auto"/>
        <w:ind w:right="480"/>
        <w:jc w:val="center"/>
        <w:rPr>
          <w:rFonts w:hint="eastAsia" w:ascii="宋体" w:hAnsi="宋体" w:eastAsia="宋体" w:cs="宋体"/>
          <w:b/>
          <w:color w:val="auto"/>
          <w:kern w:val="0"/>
          <w:sz w:val="32"/>
          <w:szCs w:val="32"/>
          <w:highlight w:val="none"/>
        </w:rPr>
      </w:pPr>
    </w:p>
    <w:p w14:paraId="100FADCA">
      <w:pPr>
        <w:snapToGrid w:val="0"/>
        <w:spacing w:line="360" w:lineRule="auto"/>
        <w:ind w:right="480"/>
        <w:jc w:val="center"/>
        <w:rPr>
          <w:rFonts w:hint="eastAsia" w:ascii="宋体" w:hAnsi="宋体" w:eastAsia="宋体" w:cs="宋体"/>
          <w:b/>
          <w:color w:val="auto"/>
          <w:kern w:val="0"/>
          <w:sz w:val="32"/>
          <w:szCs w:val="32"/>
          <w:highlight w:val="none"/>
        </w:rPr>
      </w:pPr>
    </w:p>
    <w:p w14:paraId="30A56D36">
      <w:pPr>
        <w:snapToGrid w:val="0"/>
        <w:spacing w:line="360" w:lineRule="auto"/>
        <w:ind w:right="480"/>
        <w:jc w:val="center"/>
        <w:rPr>
          <w:rFonts w:hint="eastAsia" w:ascii="宋体" w:hAnsi="宋体" w:eastAsia="宋体" w:cs="宋体"/>
          <w:b/>
          <w:color w:val="auto"/>
          <w:kern w:val="0"/>
          <w:sz w:val="32"/>
          <w:szCs w:val="32"/>
          <w:highlight w:val="none"/>
        </w:rPr>
      </w:pPr>
    </w:p>
    <w:p w14:paraId="381A00C6">
      <w:pPr>
        <w:pStyle w:val="7"/>
        <w:rPr>
          <w:rFonts w:hint="eastAsia" w:ascii="宋体" w:hAnsi="宋体" w:eastAsia="宋体" w:cs="宋体"/>
          <w:b/>
          <w:color w:val="auto"/>
          <w:kern w:val="0"/>
          <w:sz w:val="32"/>
          <w:szCs w:val="32"/>
          <w:highlight w:val="none"/>
        </w:rPr>
      </w:pPr>
    </w:p>
    <w:p w14:paraId="57B1B44A">
      <w:pPr>
        <w:rPr>
          <w:rFonts w:hint="eastAsia" w:ascii="宋体" w:hAnsi="宋体" w:eastAsia="宋体" w:cs="宋体"/>
          <w:b/>
          <w:color w:val="auto"/>
          <w:kern w:val="0"/>
          <w:sz w:val="32"/>
          <w:szCs w:val="32"/>
          <w:highlight w:val="none"/>
        </w:rPr>
      </w:pPr>
    </w:p>
    <w:p w14:paraId="4CE5413A">
      <w:pPr>
        <w:snapToGrid w:val="0"/>
        <w:spacing w:line="360" w:lineRule="auto"/>
        <w:ind w:right="480"/>
        <w:jc w:val="center"/>
        <w:rPr>
          <w:rFonts w:hint="eastAsia" w:ascii="宋体" w:hAnsi="宋体" w:eastAsia="宋体" w:cs="宋体"/>
          <w:b/>
          <w:color w:val="auto"/>
          <w:kern w:val="0"/>
          <w:sz w:val="32"/>
          <w:szCs w:val="32"/>
          <w:highlight w:val="none"/>
        </w:rPr>
      </w:pPr>
    </w:p>
    <w:p w14:paraId="4595D85B">
      <w:pPr>
        <w:snapToGrid w:val="0"/>
        <w:spacing w:line="360" w:lineRule="auto"/>
        <w:ind w:right="480"/>
        <w:jc w:val="center"/>
        <w:rPr>
          <w:rFonts w:hint="eastAsia" w:ascii="宋体" w:hAnsi="宋体" w:eastAsia="宋体" w:cs="宋体"/>
          <w:b/>
          <w:color w:val="auto"/>
          <w:kern w:val="0"/>
          <w:sz w:val="32"/>
          <w:szCs w:val="32"/>
          <w:highlight w:val="none"/>
        </w:rPr>
      </w:pPr>
    </w:p>
    <w:p w14:paraId="6EDFAE6B">
      <w:pPr>
        <w:snapToGrid w:val="0"/>
        <w:spacing w:line="360" w:lineRule="auto"/>
        <w:ind w:right="480"/>
        <w:jc w:val="center"/>
        <w:rPr>
          <w:rFonts w:hint="eastAsia" w:ascii="宋体" w:hAnsi="宋体" w:eastAsia="宋体" w:cs="宋体"/>
          <w:b/>
          <w:color w:val="auto"/>
          <w:kern w:val="0"/>
          <w:sz w:val="32"/>
          <w:szCs w:val="32"/>
          <w:highlight w:val="none"/>
        </w:rPr>
      </w:pPr>
    </w:p>
    <w:p w14:paraId="0302BEAE">
      <w:pPr>
        <w:snapToGrid w:val="0"/>
        <w:spacing w:line="360" w:lineRule="auto"/>
        <w:ind w:right="480"/>
        <w:jc w:val="center"/>
        <w:rPr>
          <w:rFonts w:hint="eastAsia" w:ascii="宋体" w:hAnsi="宋体" w:eastAsia="宋体" w:cs="宋体"/>
          <w:b/>
          <w:color w:val="auto"/>
          <w:kern w:val="0"/>
          <w:sz w:val="32"/>
          <w:szCs w:val="32"/>
          <w:highlight w:val="none"/>
        </w:rPr>
      </w:pPr>
    </w:p>
    <w:p w14:paraId="30F824DB">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4FBD1F6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w:t>
      </w:r>
    </w:p>
    <w:p w14:paraId="7F577E60">
      <w:pPr>
        <w:rPr>
          <w:rFonts w:hint="eastAsia" w:ascii="宋体" w:hAnsi="宋体" w:eastAsia="宋体" w:cs="宋体"/>
          <w:color w:val="auto"/>
          <w:highlight w:val="none"/>
        </w:rPr>
      </w:pPr>
    </w:p>
    <w:p w14:paraId="2FF3DD84">
      <w:pPr>
        <w:snapToGrid w:val="0"/>
        <w:spacing w:line="360" w:lineRule="auto"/>
        <w:ind w:right="480"/>
        <w:jc w:val="center"/>
        <w:rPr>
          <w:rFonts w:hint="eastAsia" w:ascii="宋体" w:hAnsi="宋体" w:eastAsia="宋体" w:cs="宋体"/>
          <w:b/>
          <w:color w:val="auto"/>
          <w:kern w:val="0"/>
          <w:sz w:val="32"/>
          <w:szCs w:val="32"/>
          <w:highlight w:val="none"/>
        </w:rPr>
      </w:pPr>
    </w:p>
    <w:p w14:paraId="308A0A8D">
      <w:pPr>
        <w:rPr>
          <w:rFonts w:hint="eastAsia" w:ascii="宋体" w:hAnsi="宋体" w:eastAsia="宋体" w:cs="宋体"/>
          <w:color w:val="auto"/>
          <w:highlight w:val="none"/>
        </w:rPr>
      </w:pPr>
    </w:p>
    <w:p w14:paraId="7238E4FC">
      <w:pPr>
        <w:spacing w:line="360" w:lineRule="auto"/>
        <w:ind w:right="420" w:firstLine="3614" w:firstLineChars="1000"/>
        <w:rPr>
          <w:rFonts w:hint="eastAsia" w:ascii="宋体" w:hAnsi="宋体" w:eastAsia="宋体" w:cs="宋体"/>
          <w:b/>
          <w:color w:val="auto"/>
          <w:kern w:val="0"/>
          <w:sz w:val="36"/>
          <w:szCs w:val="36"/>
          <w:highlight w:val="none"/>
        </w:rPr>
      </w:pPr>
    </w:p>
    <w:p w14:paraId="33D00B57">
      <w:pPr>
        <w:spacing w:line="360" w:lineRule="auto"/>
        <w:ind w:right="420" w:firstLine="3614" w:firstLineChars="1000"/>
        <w:rPr>
          <w:rFonts w:hint="eastAsia" w:ascii="宋体" w:hAnsi="宋体" w:eastAsia="宋体" w:cs="宋体"/>
          <w:b/>
          <w:color w:val="auto"/>
          <w:kern w:val="0"/>
          <w:sz w:val="36"/>
          <w:szCs w:val="36"/>
          <w:highlight w:val="none"/>
        </w:rPr>
      </w:pPr>
    </w:p>
    <w:p w14:paraId="6CAB7076">
      <w:pPr>
        <w:spacing w:line="360" w:lineRule="auto"/>
        <w:ind w:right="420" w:firstLine="3614" w:firstLineChars="1000"/>
        <w:rPr>
          <w:rFonts w:hint="eastAsia" w:ascii="宋体" w:hAnsi="宋体" w:eastAsia="宋体" w:cs="宋体"/>
          <w:b/>
          <w:color w:val="auto"/>
          <w:kern w:val="0"/>
          <w:sz w:val="36"/>
          <w:szCs w:val="36"/>
          <w:highlight w:val="none"/>
        </w:rPr>
      </w:pPr>
    </w:p>
    <w:p w14:paraId="0AD14AE2">
      <w:pPr>
        <w:spacing w:line="360" w:lineRule="auto"/>
        <w:ind w:right="420" w:firstLine="3614" w:firstLineChars="1000"/>
        <w:rPr>
          <w:rFonts w:hint="eastAsia" w:ascii="宋体" w:hAnsi="宋体" w:eastAsia="宋体" w:cs="宋体"/>
          <w:b/>
          <w:color w:val="auto"/>
          <w:kern w:val="0"/>
          <w:sz w:val="36"/>
          <w:szCs w:val="36"/>
          <w:highlight w:val="none"/>
        </w:rPr>
      </w:pPr>
    </w:p>
    <w:p w14:paraId="104F0340">
      <w:pPr>
        <w:spacing w:line="360" w:lineRule="auto"/>
        <w:ind w:right="420" w:firstLine="3614" w:firstLineChars="1000"/>
        <w:rPr>
          <w:rFonts w:hint="eastAsia" w:ascii="宋体" w:hAnsi="宋体" w:eastAsia="宋体" w:cs="宋体"/>
          <w:b/>
          <w:color w:val="auto"/>
          <w:kern w:val="0"/>
          <w:sz w:val="36"/>
          <w:szCs w:val="36"/>
          <w:highlight w:val="none"/>
        </w:rPr>
      </w:pPr>
    </w:p>
    <w:p w14:paraId="1DD0E5A8">
      <w:pPr>
        <w:spacing w:line="360" w:lineRule="auto"/>
        <w:ind w:right="420" w:firstLine="3614" w:firstLineChars="1000"/>
        <w:rPr>
          <w:rFonts w:hint="eastAsia" w:ascii="宋体" w:hAnsi="宋体" w:eastAsia="宋体" w:cs="宋体"/>
          <w:b/>
          <w:color w:val="auto"/>
          <w:kern w:val="0"/>
          <w:sz w:val="36"/>
          <w:szCs w:val="36"/>
          <w:highlight w:val="none"/>
        </w:rPr>
      </w:pPr>
    </w:p>
    <w:p w14:paraId="07F2EFE5">
      <w:pPr>
        <w:spacing w:line="360" w:lineRule="auto"/>
        <w:ind w:right="420" w:firstLine="3614" w:firstLineChars="1000"/>
        <w:rPr>
          <w:rFonts w:hint="eastAsia" w:ascii="宋体" w:hAnsi="宋体" w:eastAsia="宋体" w:cs="宋体"/>
          <w:b/>
          <w:color w:val="auto"/>
          <w:kern w:val="0"/>
          <w:sz w:val="36"/>
          <w:szCs w:val="36"/>
          <w:highlight w:val="none"/>
        </w:rPr>
      </w:pPr>
    </w:p>
    <w:p w14:paraId="6B625A08">
      <w:pPr>
        <w:spacing w:line="360" w:lineRule="auto"/>
        <w:ind w:right="420" w:firstLine="3614" w:firstLineChars="1000"/>
        <w:rPr>
          <w:rFonts w:hint="eastAsia" w:ascii="宋体" w:hAnsi="宋体" w:eastAsia="宋体" w:cs="宋体"/>
          <w:b/>
          <w:color w:val="auto"/>
          <w:kern w:val="0"/>
          <w:sz w:val="36"/>
          <w:szCs w:val="36"/>
          <w:highlight w:val="none"/>
        </w:rPr>
      </w:pPr>
    </w:p>
    <w:p w14:paraId="2C653898">
      <w:pPr>
        <w:spacing w:line="360" w:lineRule="auto"/>
        <w:ind w:right="420" w:firstLine="3614" w:firstLineChars="1000"/>
        <w:rPr>
          <w:rFonts w:hint="eastAsia" w:ascii="宋体" w:hAnsi="宋体" w:eastAsia="宋体" w:cs="宋体"/>
          <w:b/>
          <w:color w:val="auto"/>
          <w:kern w:val="0"/>
          <w:sz w:val="36"/>
          <w:szCs w:val="36"/>
          <w:highlight w:val="none"/>
        </w:rPr>
      </w:pPr>
    </w:p>
    <w:p w14:paraId="3F076E2F">
      <w:pPr>
        <w:spacing w:line="360" w:lineRule="auto"/>
        <w:ind w:right="420" w:firstLine="3614" w:firstLineChars="1000"/>
        <w:rPr>
          <w:rFonts w:hint="eastAsia" w:ascii="宋体" w:hAnsi="宋体" w:eastAsia="宋体" w:cs="宋体"/>
          <w:b/>
          <w:color w:val="auto"/>
          <w:kern w:val="0"/>
          <w:sz w:val="36"/>
          <w:szCs w:val="36"/>
          <w:highlight w:val="none"/>
        </w:rPr>
      </w:pPr>
    </w:p>
    <w:p w14:paraId="22CB782D">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300CA98">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1FF5A652">
      <w:pPr>
        <w:spacing w:line="360" w:lineRule="auto"/>
        <w:jc w:val="center"/>
        <w:outlineLvl w:val="0"/>
        <w:rPr>
          <w:rFonts w:hint="eastAsia" w:ascii="宋体" w:hAnsi="宋体" w:eastAsia="宋体" w:cs="宋体"/>
          <w:b/>
          <w:color w:val="auto"/>
          <w:kern w:val="0"/>
          <w:sz w:val="24"/>
          <w:highlight w:val="none"/>
        </w:rPr>
      </w:pPr>
    </w:p>
    <w:p w14:paraId="00FA8E01">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1C6B239">
      <w:pPr>
        <w:numPr>
          <w:ilvl w:val="0"/>
          <w:numId w:val="0"/>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响应函</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0D753C0D">
      <w:pPr>
        <w:numPr>
          <w:ilvl w:val="0"/>
          <w:numId w:val="0"/>
        </w:num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32DC83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（3）符合性审查资料</w:t>
      </w:r>
      <w:r>
        <w:rPr>
          <w:rFonts w:hint="eastAsia" w:ascii="宋体" w:hAnsi="宋体" w:eastAsia="宋体" w:cs="宋体"/>
          <w:color w:val="auto"/>
          <w:highlight w:val="none"/>
        </w:rPr>
        <w:t>………………………………………………………………………（页码）</w:t>
      </w:r>
    </w:p>
    <w:p w14:paraId="6C852F1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……………………………………………………（页码）</w:t>
      </w:r>
    </w:p>
    <w:p w14:paraId="187D94E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63C377D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BAADF7E">
      <w:pPr>
        <w:pStyle w:val="5"/>
        <w:numPr>
          <w:ilvl w:val="0"/>
          <w:numId w:val="0"/>
        </w:numPr>
        <w:ind w:firstLine="480" w:firstLineChars="200"/>
        <w:rPr>
          <w:rFonts w:hint="eastAsia" w:ascii="宋体" w:hAnsi="宋体" w:eastAsia="宋体" w:cs="宋体"/>
          <w:b w:val="0"/>
          <w:bCs w:val="0"/>
          <w:color w:val="auto"/>
          <w:sz w:val="21"/>
          <w:szCs w:val="22"/>
          <w:highlight w:val="none"/>
        </w:rPr>
      </w:pPr>
      <w:r>
        <w:rPr>
          <w:rFonts w:hint="eastAsia" w:ascii="宋体" w:hAnsi="宋体" w:eastAsia="宋体" w:cs="宋体"/>
          <w:b w:val="0"/>
          <w:bCs w:val="0"/>
          <w:color w:val="auto"/>
          <w:sz w:val="24"/>
          <w:szCs w:val="22"/>
          <w:highlight w:val="none"/>
        </w:rPr>
        <w:t>（</w:t>
      </w:r>
      <w:r>
        <w:rPr>
          <w:rFonts w:hint="eastAsia" w:ascii="宋体" w:hAnsi="宋体" w:eastAsia="宋体" w:cs="宋体"/>
          <w:b w:val="0"/>
          <w:bCs w:val="0"/>
          <w:color w:val="auto"/>
          <w:sz w:val="24"/>
          <w:szCs w:val="22"/>
          <w:highlight w:val="none"/>
          <w:lang w:val="en-US" w:eastAsia="zh-CN"/>
        </w:rPr>
        <w:t>7</w:t>
      </w:r>
      <w:r>
        <w:rPr>
          <w:rFonts w:hint="eastAsia" w:ascii="宋体" w:hAnsi="宋体" w:eastAsia="宋体" w:cs="宋体"/>
          <w:b w:val="0"/>
          <w:bCs w:val="0"/>
          <w:color w:val="auto"/>
          <w:sz w:val="24"/>
          <w:szCs w:val="22"/>
          <w:highlight w:val="none"/>
        </w:rPr>
        <w:t>）本项目组</w:t>
      </w:r>
      <w:r>
        <w:rPr>
          <w:rFonts w:hint="eastAsia" w:ascii="宋体" w:hAnsi="宋体" w:eastAsia="宋体" w:cs="宋体"/>
          <w:b w:val="0"/>
          <w:bCs w:val="0"/>
          <w:color w:val="auto"/>
          <w:sz w:val="24"/>
          <w:szCs w:val="22"/>
          <w:highlight w:val="none"/>
          <w:lang w:val="en-US"/>
        </w:rPr>
        <w:t>主</w:t>
      </w:r>
      <w:r>
        <w:rPr>
          <w:rFonts w:hint="eastAsia" w:ascii="宋体" w:hAnsi="宋体" w:eastAsia="宋体" w:cs="宋体"/>
          <w:b w:val="0"/>
          <w:bCs w:val="0"/>
          <w:color w:val="auto"/>
          <w:sz w:val="24"/>
          <w:szCs w:val="22"/>
          <w:highlight w:val="none"/>
        </w:rPr>
        <w:t>要技术人员</w:t>
      </w:r>
      <w:r>
        <w:rPr>
          <w:rFonts w:hint="eastAsia" w:ascii="宋体" w:hAnsi="宋体" w:eastAsia="宋体" w:cs="宋体"/>
          <w:b w:val="0"/>
          <w:bCs w:val="0"/>
          <w:color w:val="auto"/>
          <w:sz w:val="24"/>
          <w:szCs w:val="22"/>
          <w:highlight w:val="none"/>
          <w:lang w:val="en-US"/>
        </w:rPr>
        <w:t>一览</w:t>
      </w:r>
      <w:r>
        <w:rPr>
          <w:rFonts w:hint="eastAsia" w:ascii="宋体" w:hAnsi="宋体" w:eastAsia="宋体" w:cs="宋体"/>
          <w:b w:val="0"/>
          <w:bCs w:val="0"/>
          <w:color w:val="auto"/>
          <w:sz w:val="24"/>
          <w:szCs w:val="22"/>
          <w:highlight w:val="none"/>
        </w:rPr>
        <w:t>表………</w:t>
      </w:r>
      <w:r>
        <w:rPr>
          <w:rFonts w:hint="eastAsia" w:ascii="宋体" w:hAnsi="宋体" w:eastAsia="宋体" w:cs="宋体"/>
          <w:b w:val="0"/>
          <w:bCs w:val="0"/>
          <w:color w:val="auto"/>
          <w:sz w:val="24"/>
          <w:szCs w:val="22"/>
          <w:highlight w:val="none"/>
          <w:lang w:val="en-US"/>
        </w:rPr>
        <w:t xml:space="preserve"> </w:t>
      </w:r>
      <w:r>
        <w:rPr>
          <w:rFonts w:hint="eastAsia" w:ascii="宋体" w:hAnsi="宋体" w:eastAsia="宋体" w:cs="宋体"/>
          <w:b w:val="0"/>
          <w:bCs w:val="0"/>
          <w:color w:val="auto"/>
          <w:sz w:val="24"/>
          <w:szCs w:val="22"/>
          <w:highlight w:val="none"/>
        </w:rPr>
        <w:t>………………………………</w:t>
      </w:r>
      <w:r>
        <w:rPr>
          <w:rFonts w:hint="eastAsia" w:ascii="宋体" w:hAnsi="宋体" w:eastAsia="宋体" w:cs="宋体"/>
          <w:b w:val="0"/>
          <w:bCs w:val="0"/>
          <w:color w:val="auto"/>
          <w:sz w:val="21"/>
          <w:szCs w:val="22"/>
          <w:highlight w:val="none"/>
        </w:rPr>
        <w:t>……（页码）</w:t>
      </w:r>
    </w:p>
    <w:p w14:paraId="60BB5F62">
      <w:pPr>
        <w:pStyle w:val="17"/>
        <w:tabs>
          <w:tab w:val="left" w:pos="840"/>
        </w:tabs>
        <w:spacing w:line="360" w:lineRule="auto"/>
        <w:rPr>
          <w:rFonts w:hint="eastAsia" w:ascii="宋体" w:hAnsi="宋体" w:eastAsia="宋体" w:cs="宋体"/>
          <w:b/>
          <w:color w:val="auto"/>
          <w:kern w:val="0"/>
          <w:sz w:val="32"/>
          <w:szCs w:val="32"/>
          <w:highlight w:val="none"/>
        </w:rPr>
      </w:pPr>
    </w:p>
    <w:p w14:paraId="69971D7E">
      <w:pPr>
        <w:pStyle w:val="17"/>
        <w:tabs>
          <w:tab w:val="left" w:pos="840"/>
        </w:tabs>
        <w:spacing w:line="360" w:lineRule="auto"/>
        <w:rPr>
          <w:rFonts w:hint="eastAsia" w:ascii="宋体" w:hAnsi="宋体" w:eastAsia="宋体" w:cs="宋体"/>
          <w:b/>
          <w:color w:val="auto"/>
          <w:kern w:val="0"/>
          <w:sz w:val="32"/>
          <w:szCs w:val="32"/>
          <w:highlight w:val="none"/>
        </w:rPr>
      </w:pPr>
    </w:p>
    <w:p w14:paraId="5FCCC334">
      <w:pPr>
        <w:pStyle w:val="17"/>
        <w:tabs>
          <w:tab w:val="left" w:pos="840"/>
        </w:tabs>
        <w:spacing w:line="360" w:lineRule="auto"/>
        <w:rPr>
          <w:rFonts w:hint="eastAsia" w:ascii="宋体" w:hAnsi="宋体" w:eastAsia="宋体" w:cs="宋体"/>
          <w:b/>
          <w:color w:val="auto"/>
          <w:kern w:val="0"/>
          <w:sz w:val="32"/>
          <w:szCs w:val="32"/>
          <w:highlight w:val="none"/>
        </w:rPr>
      </w:pPr>
    </w:p>
    <w:p w14:paraId="494410C5">
      <w:pPr>
        <w:pStyle w:val="17"/>
        <w:tabs>
          <w:tab w:val="left" w:pos="840"/>
        </w:tabs>
        <w:spacing w:line="360" w:lineRule="auto"/>
        <w:rPr>
          <w:rFonts w:hint="eastAsia" w:ascii="宋体" w:hAnsi="宋体" w:eastAsia="宋体" w:cs="宋体"/>
          <w:b/>
          <w:color w:val="auto"/>
          <w:kern w:val="0"/>
          <w:sz w:val="32"/>
          <w:szCs w:val="32"/>
          <w:highlight w:val="none"/>
        </w:rPr>
      </w:pPr>
    </w:p>
    <w:p w14:paraId="6CD6492F">
      <w:pPr>
        <w:pStyle w:val="17"/>
        <w:tabs>
          <w:tab w:val="left" w:pos="840"/>
        </w:tabs>
        <w:spacing w:line="360" w:lineRule="auto"/>
        <w:rPr>
          <w:rFonts w:hint="eastAsia" w:ascii="宋体" w:hAnsi="宋体" w:eastAsia="宋体" w:cs="宋体"/>
          <w:b/>
          <w:color w:val="auto"/>
          <w:kern w:val="0"/>
          <w:sz w:val="32"/>
          <w:szCs w:val="32"/>
          <w:highlight w:val="none"/>
        </w:rPr>
      </w:pPr>
    </w:p>
    <w:p w14:paraId="166F621B">
      <w:pPr>
        <w:pStyle w:val="17"/>
        <w:tabs>
          <w:tab w:val="left" w:pos="840"/>
        </w:tabs>
        <w:spacing w:line="360" w:lineRule="auto"/>
        <w:rPr>
          <w:rFonts w:hint="eastAsia" w:ascii="宋体" w:hAnsi="宋体" w:eastAsia="宋体" w:cs="宋体"/>
          <w:b/>
          <w:color w:val="auto"/>
          <w:kern w:val="0"/>
          <w:sz w:val="32"/>
          <w:szCs w:val="32"/>
          <w:highlight w:val="none"/>
        </w:rPr>
      </w:pPr>
    </w:p>
    <w:p w14:paraId="66282B1C">
      <w:pPr>
        <w:pStyle w:val="17"/>
        <w:tabs>
          <w:tab w:val="left" w:pos="840"/>
        </w:tabs>
        <w:spacing w:line="360" w:lineRule="auto"/>
        <w:rPr>
          <w:rFonts w:hint="eastAsia" w:ascii="宋体" w:hAnsi="宋体" w:eastAsia="宋体" w:cs="宋体"/>
          <w:b/>
          <w:color w:val="auto"/>
          <w:kern w:val="0"/>
          <w:sz w:val="32"/>
          <w:szCs w:val="32"/>
          <w:highlight w:val="none"/>
        </w:rPr>
      </w:pPr>
    </w:p>
    <w:p w14:paraId="46BB9C5E">
      <w:pPr>
        <w:pStyle w:val="17"/>
        <w:tabs>
          <w:tab w:val="left" w:pos="840"/>
        </w:tabs>
        <w:spacing w:line="360" w:lineRule="auto"/>
        <w:rPr>
          <w:rFonts w:hint="eastAsia" w:ascii="宋体" w:hAnsi="宋体" w:eastAsia="宋体" w:cs="宋体"/>
          <w:b/>
          <w:color w:val="auto"/>
          <w:kern w:val="0"/>
          <w:sz w:val="32"/>
          <w:szCs w:val="32"/>
          <w:highlight w:val="none"/>
        </w:rPr>
      </w:pPr>
    </w:p>
    <w:p w14:paraId="5A0B8F4B">
      <w:pPr>
        <w:pStyle w:val="17"/>
        <w:tabs>
          <w:tab w:val="left" w:pos="840"/>
        </w:tabs>
        <w:spacing w:line="360" w:lineRule="auto"/>
        <w:rPr>
          <w:rFonts w:hint="eastAsia" w:ascii="宋体" w:hAnsi="宋体" w:eastAsia="宋体" w:cs="宋体"/>
          <w:b/>
          <w:color w:val="auto"/>
          <w:kern w:val="0"/>
          <w:sz w:val="32"/>
          <w:szCs w:val="32"/>
          <w:highlight w:val="none"/>
        </w:rPr>
      </w:pPr>
    </w:p>
    <w:p w14:paraId="0C95AB3D">
      <w:pPr>
        <w:snapToGrid w:val="0"/>
        <w:spacing w:line="360" w:lineRule="auto"/>
        <w:jc w:val="center"/>
        <w:outlineLvl w:val="0"/>
        <w:rPr>
          <w:rFonts w:hint="eastAsia" w:ascii="宋体" w:hAnsi="宋体" w:eastAsia="宋体" w:cs="宋体"/>
          <w:b/>
          <w:color w:val="auto"/>
          <w:kern w:val="0"/>
          <w:sz w:val="32"/>
          <w:szCs w:val="32"/>
          <w:highlight w:val="none"/>
        </w:rPr>
      </w:pPr>
    </w:p>
    <w:p w14:paraId="26C18F1A">
      <w:pPr>
        <w:snapToGrid w:val="0"/>
        <w:spacing w:line="360" w:lineRule="auto"/>
        <w:ind w:firstLine="3855" w:firstLineChars="1200"/>
        <w:jc w:val="both"/>
        <w:outlineLvl w:val="0"/>
        <w:rPr>
          <w:rFonts w:hint="eastAsia" w:ascii="宋体" w:hAnsi="宋体" w:eastAsia="宋体" w:cs="宋体"/>
          <w:b/>
          <w:color w:val="auto"/>
          <w:kern w:val="0"/>
          <w:sz w:val="32"/>
          <w:szCs w:val="32"/>
          <w:highlight w:val="none"/>
        </w:rPr>
      </w:pPr>
    </w:p>
    <w:p w14:paraId="6B758F60">
      <w:pPr>
        <w:snapToGrid w:val="0"/>
        <w:spacing w:line="360" w:lineRule="auto"/>
        <w:ind w:firstLine="3855" w:firstLineChars="1200"/>
        <w:jc w:val="both"/>
        <w:outlineLvl w:val="0"/>
        <w:rPr>
          <w:rFonts w:hint="eastAsia" w:ascii="宋体" w:hAnsi="宋体" w:eastAsia="宋体" w:cs="宋体"/>
          <w:b/>
          <w:color w:val="auto"/>
          <w:kern w:val="0"/>
          <w:sz w:val="32"/>
          <w:szCs w:val="32"/>
          <w:highlight w:val="none"/>
        </w:rPr>
      </w:pPr>
    </w:p>
    <w:p w14:paraId="7D840EA1">
      <w:pPr>
        <w:snapToGrid w:val="0"/>
        <w:spacing w:line="360" w:lineRule="auto"/>
        <w:ind w:firstLine="3855" w:firstLineChars="1200"/>
        <w:jc w:val="both"/>
        <w:outlineLvl w:val="0"/>
        <w:rPr>
          <w:rFonts w:hint="eastAsia" w:ascii="宋体" w:hAnsi="宋体" w:eastAsia="宋体" w:cs="宋体"/>
          <w:b/>
          <w:color w:val="auto"/>
          <w:kern w:val="0"/>
          <w:sz w:val="32"/>
          <w:szCs w:val="32"/>
          <w:highlight w:val="none"/>
        </w:rPr>
      </w:pPr>
    </w:p>
    <w:p w14:paraId="521FDEB1">
      <w:pPr>
        <w:snapToGrid w:val="0"/>
        <w:spacing w:line="360" w:lineRule="auto"/>
        <w:ind w:firstLine="3855" w:firstLineChars="1200"/>
        <w:jc w:val="both"/>
        <w:outlineLvl w:val="0"/>
        <w:rPr>
          <w:rFonts w:hint="eastAsia" w:ascii="宋体" w:hAnsi="宋体" w:eastAsia="宋体" w:cs="宋体"/>
          <w:b/>
          <w:color w:val="auto"/>
          <w:kern w:val="0"/>
          <w:sz w:val="32"/>
          <w:szCs w:val="32"/>
          <w:highlight w:val="none"/>
        </w:rPr>
      </w:pPr>
    </w:p>
    <w:p w14:paraId="6A16C16A">
      <w:pPr>
        <w:snapToGrid w:val="0"/>
        <w:spacing w:line="360" w:lineRule="auto"/>
        <w:ind w:firstLine="3855" w:firstLineChars="1200"/>
        <w:jc w:val="both"/>
        <w:outlineLvl w:val="0"/>
        <w:rPr>
          <w:rFonts w:hint="eastAsia" w:ascii="宋体" w:hAnsi="宋体" w:eastAsia="宋体" w:cs="宋体"/>
          <w:b/>
          <w:color w:val="auto"/>
          <w:kern w:val="0"/>
          <w:sz w:val="32"/>
          <w:szCs w:val="32"/>
          <w:highlight w:val="none"/>
        </w:rPr>
      </w:pPr>
    </w:p>
    <w:p w14:paraId="3F7901CD">
      <w:pPr>
        <w:snapToGrid w:val="0"/>
        <w:spacing w:line="360" w:lineRule="auto"/>
        <w:ind w:firstLine="3855" w:firstLineChars="1200"/>
        <w:jc w:val="both"/>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响应函</w:t>
      </w:r>
    </w:p>
    <w:p w14:paraId="11BFA21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XXX（采购人名称） 、</w:t>
      </w:r>
      <w:r>
        <w:rPr>
          <w:rFonts w:hint="eastAsia" w:ascii="宋体" w:hAnsi="宋体" w:eastAsia="宋体" w:cs="宋体"/>
          <w:color w:val="auto"/>
          <w:sz w:val="21"/>
          <w:szCs w:val="21"/>
          <w:highlight w:val="none"/>
          <w:lang w:eastAsia="zh-CN"/>
        </w:rPr>
        <w:t>浙江中兰工程项目管理有限公司</w:t>
      </w:r>
      <w:r>
        <w:rPr>
          <w:rFonts w:hint="eastAsia" w:ascii="宋体" w:hAnsi="宋体" w:eastAsia="宋体" w:cs="宋体"/>
          <w:color w:val="auto"/>
          <w:sz w:val="21"/>
          <w:szCs w:val="21"/>
          <w:highlight w:val="none"/>
        </w:rPr>
        <w:t>：</w:t>
      </w:r>
    </w:p>
    <w:p w14:paraId="0FCB131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我方参加你方组织的（项目名称）【招标编号：</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】招标的有关活动，并对此项目进行投标。为此：</w:t>
      </w:r>
    </w:p>
    <w:p w14:paraId="6308052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1、我方承诺投标有效期从提交</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天（不少于90天），本</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在投标有效期满之前均具有约束力。</w:t>
      </w:r>
    </w:p>
    <w:p w14:paraId="1BCDBC3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2、我方的</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包括以下内容：</w:t>
      </w:r>
    </w:p>
    <w:p w14:paraId="0ACB64FB">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2.1资格文件：</w:t>
      </w:r>
    </w:p>
    <w:p w14:paraId="3FB6663D">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2.1.1承诺函；</w:t>
      </w:r>
    </w:p>
    <w:p w14:paraId="4DE5433C">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2.1.2落实政府采购政策需满足的资格要求（如果有）；</w:t>
      </w:r>
    </w:p>
    <w:p w14:paraId="382FB856">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2.1.3本项目的特定资格要求（如果有）。</w:t>
      </w:r>
    </w:p>
    <w:p w14:paraId="30BA8D42">
      <w:pPr>
        <w:snapToGrid w:val="0"/>
        <w:spacing w:line="360" w:lineRule="auto"/>
        <w:ind w:left="210" w:leftChars="10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175AFD35">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r>
        <w:rPr>
          <w:rFonts w:hint="eastAsia" w:ascii="宋体" w:hAnsi="宋体" w:cs="宋体"/>
          <w:color w:val="auto"/>
          <w:sz w:val="21"/>
          <w:szCs w:val="21"/>
          <w:highlight w:val="none"/>
          <w:lang w:eastAsia="zh-CN"/>
        </w:rPr>
        <w:t>响应函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 xml:space="preserve"> </w:t>
      </w:r>
    </w:p>
    <w:p w14:paraId="7412237A">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2.2.2授权委托书或法定代表人（单位负责人）身份证明；</w:t>
      </w:r>
    </w:p>
    <w:p w14:paraId="43A8A9D4">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符合性审查资料；</w:t>
      </w:r>
    </w:p>
    <w:p w14:paraId="438165AB">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评标标准相应的商务技术资料；</w:t>
      </w:r>
    </w:p>
    <w:p w14:paraId="50F16461">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商务技术偏离表；</w:t>
      </w:r>
    </w:p>
    <w:p w14:paraId="2A16273F">
      <w:pPr>
        <w:snapToGrid w:val="0"/>
        <w:spacing w:line="360" w:lineRule="auto"/>
        <w:ind w:left="420" w:leftChars="20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政府采购供应商廉洁自律承诺书；</w:t>
      </w:r>
    </w:p>
    <w:p w14:paraId="5BDDE44F">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3报价文件</w:t>
      </w:r>
    </w:p>
    <w:p w14:paraId="7F603E99">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2.3.1开标一览表（报价表）；</w:t>
      </w:r>
    </w:p>
    <w:p w14:paraId="6C6C1065">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2.3.2结算原则承诺函；</w:t>
      </w:r>
    </w:p>
    <w:p w14:paraId="65643989">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2.3.3中小企业声明函（如有）。</w:t>
      </w:r>
    </w:p>
    <w:p w14:paraId="402AE78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w:t>
      </w:r>
      <w:r>
        <w:rPr>
          <w:rFonts w:hint="eastAsia" w:ascii="宋体" w:hAnsi="宋体" w:cs="宋体"/>
          <w:color w:val="auto"/>
          <w:sz w:val="21"/>
          <w:szCs w:val="21"/>
          <w:highlight w:val="none"/>
          <w:lang w:eastAsia="zh-CN"/>
        </w:rPr>
        <w:t>征集文件</w:t>
      </w:r>
      <w:r>
        <w:rPr>
          <w:rFonts w:hint="eastAsia" w:ascii="宋体" w:hAnsi="宋体" w:eastAsia="宋体" w:cs="宋体"/>
          <w:color w:val="auto"/>
          <w:sz w:val="21"/>
          <w:szCs w:val="21"/>
          <w:highlight w:val="none"/>
        </w:rPr>
        <w:t>的全部要求。</w:t>
      </w:r>
    </w:p>
    <w:p w14:paraId="6CBCE43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4、如我方中标，我方承诺：</w:t>
      </w:r>
    </w:p>
    <w:p w14:paraId="558F0B02">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4.1在收到中标通知书后，在中标通知书规定的期限内与你方签订合同； </w:t>
      </w:r>
    </w:p>
    <w:p w14:paraId="2F916373">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4.2在签订合同时不向你方提出附加条件； </w:t>
      </w:r>
    </w:p>
    <w:p w14:paraId="05203374">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4.3按照</w:t>
      </w:r>
      <w:r>
        <w:rPr>
          <w:rFonts w:hint="eastAsia" w:ascii="宋体" w:hAnsi="宋体" w:cs="宋体"/>
          <w:color w:val="auto"/>
          <w:sz w:val="21"/>
          <w:szCs w:val="21"/>
          <w:highlight w:val="none"/>
          <w:lang w:eastAsia="zh-CN"/>
        </w:rPr>
        <w:t>征集文件</w:t>
      </w:r>
      <w:r>
        <w:rPr>
          <w:rFonts w:hint="eastAsia" w:ascii="宋体" w:hAnsi="宋体" w:eastAsia="宋体" w:cs="宋体"/>
          <w:color w:val="auto"/>
          <w:sz w:val="21"/>
          <w:szCs w:val="21"/>
          <w:highlight w:val="none"/>
        </w:rPr>
        <w:t xml:space="preserve">要求提交履约保证金； </w:t>
      </w:r>
    </w:p>
    <w:p w14:paraId="0B5820EB">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4.4在合同约定的期限内完成合同规定的全部义务。 </w:t>
      </w:r>
    </w:p>
    <w:p w14:paraId="39EFC852">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5、其他补充说明: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4F1CA13">
      <w:pPr>
        <w:spacing w:line="360" w:lineRule="auto"/>
        <w:ind w:firstLine="4620" w:firstLineChars="2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响应供应商名称（电子签名）：                          </w:t>
      </w:r>
    </w:p>
    <w:p w14:paraId="76CC8C1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  年   月   日</w:t>
      </w:r>
    </w:p>
    <w:p w14:paraId="2179951B">
      <w:pPr>
        <w:jc w:val="both"/>
        <w:rPr>
          <w:rFonts w:hint="eastAsia" w:ascii="宋体" w:hAnsi="宋体" w:eastAsia="宋体" w:cs="宋体"/>
          <w:b/>
          <w:color w:val="auto"/>
          <w:kern w:val="0"/>
          <w:sz w:val="32"/>
          <w:szCs w:val="32"/>
          <w:highlight w:val="none"/>
          <w:lang w:val="zh-CN"/>
        </w:rPr>
      </w:pPr>
    </w:p>
    <w:p w14:paraId="24B8EC41">
      <w:pPr>
        <w:pStyle w:val="9"/>
        <w:rPr>
          <w:rFonts w:hint="eastAsia"/>
          <w:color w:val="auto"/>
          <w:highlight w:val="none"/>
          <w:lang w:val="zh-CN"/>
        </w:rPr>
      </w:pPr>
    </w:p>
    <w:p w14:paraId="017D3A0F">
      <w:pPr>
        <w:jc w:val="center"/>
        <w:rPr>
          <w:rFonts w:hint="eastAsia" w:ascii="宋体" w:hAnsi="宋体" w:eastAsia="宋体" w:cs="宋体"/>
          <w:b/>
          <w:color w:val="auto"/>
          <w:kern w:val="0"/>
          <w:sz w:val="32"/>
          <w:szCs w:val="32"/>
          <w:highlight w:val="none"/>
          <w:lang w:val="zh-CN"/>
        </w:rPr>
      </w:pPr>
    </w:p>
    <w:p w14:paraId="545DDD02">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BDEBD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DD31156">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14:paraId="6E30C6A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XXX（采购人名称） 、</w:t>
      </w:r>
      <w:r>
        <w:rPr>
          <w:rFonts w:hint="eastAsia" w:ascii="宋体" w:hAnsi="宋体" w:eastAsia="宋体" w:cs="宋体"/>
          <w:color w:val="auto"/>
          <w:sz w:val="24"/>
          <w:szCs w:val="24"/>
          <w:highlight w:val="none"/>
          <w:lang w:eastAsia="zh-CN"/>
        </w:rPr>
        <w:t>浙江中兰工程项目管理有限公司</w:t>
      </w:r>
      <w:r>
        <w:rPr>
          <w:rFonts w:hint="eastAsia" w:ascii="宋体" w:hAnsi="宋体" w:eastAsia="宋体" w:cs="宋体"/>
          <w:color w:val="auto"/>
          <w:sz w:val="24"/>
          <w:highlight w:val="none"/>
        </w:rPr>
        <w:t>：</w:t>
      </w:r>
    </w:p>
    <w:p w14:paraId="457CDA0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34E148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BCB722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601D31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响应供应商名称(电子签名)：</w:t>
      </w:r>
    </w:p>
    <w:p w14:paraId="1ACA934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0C86B41">
      <w:pPr>
        <w:snapToGrid w:val="0"/>
        <w:spacing w:line="360" w:lineRule="auto"/>
        <w:rPr>
          <w:rFonts w:hint="eastAsia" w:ascii="宋体" w:hAnsi="宋体" w:eastAsia="宋体" w:cs="宋体"/>
          <w:color w:val="auto"/>
          <w:sz w:val="24"/>
          <w:highlight w:val="none"/>
        </w:rPr>
      </w:pPr>
    </w:p>
    <w:p w14:paraId="263DA53E">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533ADC34">
      <w:pPr>
        <w:pStyle w:val="3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7F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jc w:val="center"/>
        </w:trPr>
        <w:tc>
          <w:tcPr>
            <w:tcW w:w="9207" w:type="dxa"/>
          </w:tcPr>
          <w:p w14:paraId="2790B4AD">
            <w:pPr>
              <w:pStyle w:val="3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7CD41D2">
            <w:pPr>
              <w:pStyle w:val="38"/>
              <w:adjustRightInd w:val="0"/>
              <w:spacing w:line="360" w:lineRule="auto"/>
              <w:rPr>
                <w:rFonts w:hint="eastAsia" w:ascii="宋体" w:hAnsi="宋体" w:eastAsia="宋体" w:cs="宋体"/>
                <w:bCs/>
                <w:color w:val="auto"/>
                <w:sz w:val="24"/>
                <w:highlight w:val="none"/>
              </w:rPr>
            </w:pPr>
          </w:p>
        </w:tc>
      </w:tr>
    </w:tbl>
    <w:p w14:paraId="38F4536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6B0833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响应供应商名称(电子签名)：                              </w:t>
      </w:r>
    </w:p>
    <w:p w14:paraId="48EDF18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F5A59F3">
      <w:pPr>
        <w:jc w:val="center"/>
        <w:rPr>
          <w:rFonts w:hint="eastAsia" w:ascii="宋体" w:hAnsi="宋体" w:eastAsia="宋体" w:cs="宋体"/>
          <w:b/>
          <w:color w:val="auto"/>
          <w:kern w:val="0"/>
          <w:sz w:val="32"/>
          <w:szCs w:val="32"/>
          <w:highlight w:val="none"/>
          <w:lang w:eastAsia="zh-CN"/>
        </w:rPr>
      </w:pPr>
    </w:p>
    <w:p w14:paraId="720C52C4">
      <w:pPr>
        <w:jc w:val="center"/>
        <w:rPr>
          <w:rFonts w:hint="eastAsia" w:ascii="宋体" w:hAnsi="宋体" w:eastAsia="宋体" w:cs="宋体"/>
          <w:b/>
          <w:color w:val="auto"/>
          <w:kern w:val="0"/>
          <w:sz w:val="32"/>
          <w:szCs w:val="32"/>
          <w:highlight w:val="none"/>
          <w:lang w:eastAsia="zh-CN"/>
        </w:rPr>
      </w:pPr>
    </w:p>
    <w:p w14:paraId="7A4FEFA7">
      <w:pPr>
        <w:jc w:val="center"/>
        <w:rPr>
          <w:rFonts w:hint="eastAsia" w:ascii="宋体" w:hAnsi="宋体" w:eastAsia="宋体" w:cs="宋体"/>
          <w:b/>
          <w:color w:val="auto"/>
          <w:kern w:val="0"/>
          <w:sz w:val="32"/>
          <w:szCs w:val="32"/>
          <w:highlight w:val="none"/>
          <w:lang w:eastAsia="zh-CN"/>
        </w:rPr>
      </w:pPr>
    </w:p>
    <w:p w14:paraId="370AA0F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、符合性审查资料</w:t>
      </w:r>
    </w:p>
    <w:p w14:paraId="1E8208CC">
      <w:pPr>
        <w:jc w:val="center"/>
        <w:rPr>
          <w:rFonts w:hint="eastAsia" w:ascii="宋体" w:hAnsi="宋体" w:eastAsia="宋体" w:cs="宋体"/>
          <w:b/>
          <w:color w:val="auto"/>
          <w:kern w:val="0"/>
          <w:sz w:val="32"/>
          <w:szCs w:val="32"/>
          <w:highlight w:val="none"/>
        </w:rPr>
      </w:pP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F7B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B6FB2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D2FEEE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2051E9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225F0ECB">
            <w:pPr>
              <w:snapToGrid w:val="0"/>
              <w:spacing w:line="240" w:lineRule="atLeast"/>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响应文件</w:t>
            </w:r>
            <w:r>
              <w:rPr>
                <w:rFonts w:hint="eastAsia" w:ascii="宋体" w:hAnsi="宋体" w:eastAsia="宋体" w:cs="宋体"/>
                <w:b/>
                <w:color w:val="auto"/>
                <w:sz w:val="24"/>
                <w:highlight w:val="none"/>
              </w:rPr>
              <w:t>中的</w:t>
            </w:r>
          </w:p>
          <w:p w14:paraId="3A1DCAF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1CB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02CB3D">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5CED68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不存在如下情形：</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未按照</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要求签署、盖章。</w:t>
            </w:r>
          </w:p>
        </w:tc>
        <w:tc>
          <w:tcPr>
            <w:tcW w:w="2551" w:type="dxa"/>
            <w:vAlign w:val="center"/>
          </w:tcPr>
          <w:p w14:paraId="5706F92B">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tcPr>
          <w:p w14:paraId="0BAA2FA7">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cs="宋体"/>
                <w:color w:val="auto"/>
                <w:sz w:val="24"/>
                <w:highlight w:val="none"/>
                <w:lang w:eastAsia="zh-CN"/>
              </w:rPr>
              <w:t>响应文件</w:t>
            </w:r>
          </w:p>
          <w:p w14:paraId="419CBF35">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3B1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7156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5F97A9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不存在如下情形：采购人拟采购的产品属于政府强制采购的节能产品品目清单范围的，投标人未按</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要求提供国家确定的认证机构出具的、处于有效期之内的节能产品认证证书。</w:t>
            </w:r>
          </w:p>
        </w:tc>
        <w:tc>
          <w:tcPr>
            <w:tcW w:w="2551" w:type="dxa"/>
            <w:vAlign w:val="center"/>
          </w:tcPr>
          <w:p w14:paraId="68D46EF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w:t>
            </w:r>
            <w:r>
              <w:rPr>
                <w:rFonts w:hint="eastAsia" w:ascii="宋体" w:hAnsi="宋体" w:eastAsia="宋体" w:cs="宋体"/>
                <w:b w:val="0"/>
                <w:bCs w:val="0"/>
                <w:color w:val="auto"/>
                <w:sz w:val="24"/>
                <w:highlight w:val="none"/>
              </w:rPr>
              <w:t>本项目拟采购的产品不属于政府强制采购的节能产品品目清单范围的，</w:t>
            </w:r>
            <w:r>
              <w:rPr>
                <w:rFonts w:hint="eastAsia" w:ascii="宋体" w:hAnsi="宋体" w:eastAsia="宋体" w:cs="宋体"/>
                <w:b/>
                <w:bCs/>
                <w:color w:val="auto"/>
                <w:sz w:val="24"/>
                <w:highlight w:val="none"/>
              </w:rPr>
              <w:t>无需提供</w:t>
            </w:r>
            <w:r>
              <w:rPr>
                <w:rFonts w:hint="eastAsia" w:ascii="宋体" w:hAnsi="宋体" w:eastAsia="宋体" w:cs="宋体"/>
                <w:color w:val="auto"/>
                <w:sz w:val="24"/>
                <w:highlight w:val="none"/>
              </w:rPr>
              <w:t>）</w:t>
            </w:r>
          </w:p>
        </w:tc>
        <w:tc>
          <w:tcPr>
            <w:tcW w:w="1418" w:type="dxa"/>
          </w:tcPr>
          <w:p w14:paraId="15ED4944">
            <w:pPr>
              <w:jc w:val="center"/>
              <w:rPr>
                <w:rFonts w:hint="eastAsia" w:ascii="宋体" w:hAnsi="宋体" w:eastAsia="宋体" w:cs="宋体"/>
                <w:color w:val="auto"/>
                <w:sz w:val="24"/>
                <w:highlight w:val="none"/>
              </w:rPr>
            </w:pPr>
          </w:p>
          <w:p w14:paraId="0652D36B">
            <w:pPr>
              <w:jc w:val="center"/>
              <w:rPr>
                <w:rFonts w:hint="eastAsia" w:ascii="宋体" w:hAnsi="宋体" w:eastAsia="宋体" w:cs="宋体"/>
                <w:color w:val="auto"/>
                <w:sz w:val="24"/>
                <w:highlight w:val="none"/>
              </w:rPr>
            </w:pPr>
          </w:p>
          <w:p w14:paraId="5BE04AD6">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cs="宋体"/>
                <w:color w:val="auto"/>
                <w:sz w:val="24"/>
                <w:highlight w:val="none"/>
                <w:lang w:eastAsia="zh-CN"/>
              </w:rPr>
              <w:t>响应文件</w:t>
            </w:r>
          </w:p>
          <w:p w14:paraId="23C31DE0">
            <w:pPr>
              <w:pStyle w:val="5"/>
              <w:numPr>
                <w:ilvl w:val="0"/>
                <w:numId w:val="0"/>
              </w:numPr>
              <w:jc w:val="center"/>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CF5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D0D570">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32CCEA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不存在如下情形：</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中承诺的投标有效期少于</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中载明的投标有效期。</w:t>
            </w:r>
          </w:p>
        </w:tc>
        <w:tc>
          <w:tcPr>
            <w:tcW w:w="2551" w:type="dxa"/>
            <w:vAlign w:val="center"/>
          </w:tcPr>
          <w:p w14:paraId="5A7B491C">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响应函</w:t>
            </w:r>
          </w:p>
        </w:tc>
        <w:tc>
          <w:tcPr>
            <w:tcW w:w="1418" w:type="dxa"/>
          </w:tcPr>
          <w:p w14:paraId="51A92F96">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CFE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F2948F">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14:paraId="1CF467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不存在如下情形：</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不满足</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的其它实质性要求。</w:t>
            </w:r>
          </w:p>
        </w:tc>
        <w:tc>
          <w:tcPr>
            <w:tcW w:w="2551" w:type="dxa"/>
            <w:vAlign w:val="center"/>
          </w:tcPr>
          <w:p w14:paraId="6EF4C8C0">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除上述三项实质性要求外，</w:t>
            </w:r>
            <w:r>
              <w:rPr>
                <w:rFonts w:hint="eastAsia" w:ascii="宋体" w:hAnsi="宋体" w:cs="宋体"/>
                <w:color w:val="auto"/>
                <w:kern w:val="0"/>
                <w:sz w:val="24"/>
                <w:highlight w:val="none"/>
                <w:lang w:eastAsia="zh-CN"/>
              </w:rPr>
              <w:t>征集文件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cs="宋体"/>
                <w:color w:val="auto"/>
                <w:kern w:val="0"/>
                <w:sz w:val="24"/>
                <w:highlight w:val="none"/>
                <w:lang w:eastAsia="zh-CN"/>
              </w:rPr>
              <w:t>征集文件</w:t>
            </w:r>
            <w:r>
              <w:rPr>
                <w:rFonts w:hint="eastAsia" w:ascii="宋体" w:hAnsi="宋体" w:eastAsia="宋体" w:cs="宋体"/>
                <w:color w:val="auto"/>
                <w:kern w:val="0"/>
                <w:sz w:val="24"/>
                <w:highlight w:val="none"/>
              </w:rPr>
              <w:t>无其它实质性要求的，无需提供）</w:t>
            </w:r>
          </w:p>
        </w:tc>
        <w:tc>
          <w:tcPr>
            <w:tcW w:w="1418" w:type="dxa"/>
          </w:tcPr>
          <w:p w14:paraId="533B40D9">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02247C9">
      <w:pPr>
        <w:jc w:val="center"/>
        <w:rPr>
          <w:rFonts w:hint="eastAsia" w:ascii="宋体" w:hAnsi="宋体" w:eastAsia="宋体" w:cs="宋体"/>
          <w:b/>
          <w:color w:val="auto"/>
          <w:kern w:val="0"/>
          <w:sz w:val="32"/>
          <w:szCs w:val="32"/>
          <w:highlight w:val="none"/>
        </w:rPr>
      </w:pPr>
    </w:p>
    <w:p w14:paraId="096BE91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8BA1FBC">
      <w:pPr>
        <w:jc w:val="center"/>
        <w:rPr>
          <w:rFonts w:hint="eastAsia" w:ascii="宋体" w:hAnsi="宋体" w:eastAsia="宋体" w:cs="宋体"/>
          <w:b/>
          <w:color w:val="auto"/>
          <w:kern w:val="0"/>
          <w:sz w:val="32"/>
          <w:szCs w:val="32"/>
          <w:highlight w:val="none"/>
        </w:rPr>
      </w:pPr>
    </w:p>
    <w:p w14:paraId="09012D6E">
      <w:pPr>
        <w:jc w:val="center"/>
        <w:rPr>
          <w:rFonts w:hint="eastAsia" w:ascii="宋体" w:hAnsi="宋体" w:eastAsia="宋体" w:cs="宋体"/>
          <w:b/>
          <w:color w:val="auto"/>
          <w:kern w:val="0"/>
          <w:sz w:val="32"/>
          <w:szCs w:val="32"/>
          <w:highlight w:val="none"/>
        </w:rPr>
      </w:pPr>
    </w:p>
    <w:p w14:paraId="4023661D">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、评标标准相应的商务技术资料</w:t>
      </w:r>
    </w:p>
    <w:p w14:paraId="4764C6E2">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cs="宋体"/>
          <w:b/>
          <w:color w:val="auto"/>
          <w:sz w:val="24"/>
          <w:highlight w:val="none"/>
          <w:lang w:eastAsia="zh-CN"/>
        </w:rPr>
        <w:t>征集文件</w:t>
      </w:r>
      <w:r>
        <w:rPr>
          <w:rFonts w:hint="eastAsia" w:ascii="宋体" w:hAnsi="宋体" w:eastAsia="宋体" w:cs="宋体"/>
          <w:b/>
          <w:color w:val="auto"/>
          <w:sz w:val="24"/>
          <w:highlight w:val="none"/>
        </w:rPr>
        <w:t>第四部分评标办法</w:t>
      </w:r>
      <w:r>
        <w:rPr>
          <w:rFonts w:hint="eastAsia" w:ascii="宋体" w:hAnsi="宋体" w:eastAsia="宋体" w:cs="宋体"/>
          <w:b/>
          <w:color w:val="auto"/>
          <w:sz w:val="24"/>
          <w:highlight w:val="none"/>
          <w:lang w:eastAsia="zh-CN"/>
        </w:rPr>
        <w:t>及评分标准</w:t>
      </w:r>
      <w:r>
        <w:rPr>
          <w:rFonts w:hint="eastAsia" w:ascii="宋体" w:hAnsi="宋体" w:eastAsia="宋体" w:cs="宋体"/>
          <w:b/>
          <w:color w:val="auto"/>
          <w:sz w:val="24"/>
          <w:highlight w:val="none"/>
        </w:rPr>
        <w:t>前附表中“</w:t>
      </w:r>
      <w:r>
        <w:rPr>
          <w:rFonts w:hint="eastAsia" w:ascii="宋体" w:hAnsi="宋体" w:cs="宋体"/>
          <w:b/>
          <w:color w:val="auto"/>
          <w:sz w:val="24"/>
          <w:highlight w:val="none"/>
          <w:lang w:eastAsia="zh-CN"/>
        </w:rPr>
        <w:t>响应文件</w:t>
      </w:r>
      <w:r>
        <w:rPr>
          <w:rFonts w:hint="eastAsia" w:ascii="宋体" w:hAnsi="宋体" w:eastAsia="宋体" w:cs="宋体"/>
          <w:b/>
          <w:color w:val="auto"/>
          <w:sz w:val="24"/>
          <w:highlight w:val="none"/>
        </w:rPr>
        <w:t>中评标标准相应的商务技术资料目录”提供资料）</w:t>
      </w:r>
    </w:p>
    <w:p w14:paraId="5FF6519B">
      <w:pPr>
        <w:jc w:val="center"/>
        <w:rPr>
          <w:rFonts w:hint="eastAsia" w:ascii="宋体" w:hAnsi="宋体" w:eastAsia="宋体" w:cs="宋体"/>
          <w:b/>
          <w:color w:val="auto"/>
          <w:kern w:val="0"/>
          <w:sz w:val="32"/>
          <w:szCs w:val="32"/>
          <w:highlight w:val="none"/>
        </w:rPr>
      </w:pPr>
    </w:p>
    <w:p w14:paraId="73112F67">
      <w:pPr>
        <w:jc w:val="center"/>
        <w:rPr>
          <w:rFonts w:hint="eastAsia" w:ascii="宋体" w:hAnsi="宋体" w:eastAsia="宋体" w:cs="宋体"/>
          <w:b/>
          <w:color w:val="auto"/>
          <w:kern w:val="0"/>
          <w:sz w:val="32"/>
          <w:szCs w:val="32"/>
          <w:highlight w:val="none"/>
        </w:rPr>
      </w:pPr>
    </w:p>
    <w:p w14:paraId="4A4378D4">
      <w:pPr>
        <w:rPr>
          <w:rFonts w:hint="eastAsia" w:ascii="宋体" w:hAnsi="宋体" w:eastAsia="宋体" w:cs="宋体"/>
          <w:b/>
          <w:color w:val="auto"/>
          <w:kern w:val="0"/>
          <w:sz w:val="32"/>
          <w:szCs w:val="32"/>
          <w:highlight w:val="none"/>
        </w:rPr>
      </w:pPr>
    </w:p>
    <w:p w14:paraId="270FF0CD">
      <w:pPr>
        <w:jc w:val="center"/>
        <w:rPr>
          <w:rFonts w:hint="eastAsia" w:ascii="宋体" w:hAnsi="宋体" w:eastAsia="宋体" w:cs="宋体"/>
          <w:b/>
          <w:color w:val="auto"/>
          <w:kern w:val="0"/>
          <w:sz w:val="32"/>
          <w:szCs w:val="32"/>
          <w:highlight w:val="none"/>
        </w:rPr>
      </w:pPr>
    </w:p>
    <w:p w14:paraId="6D7FDD25">
      <w:pPr>
        <w:jc w:val="center"/>
        <w:rPr>
          <w:rFonts w:hint="eastAsia" w:ascii="宋体" w:hAnsi="宋体" w:eastAsia="宋体" w:cs="宋体"/>
          <w:b/>
          <w:color w:val="auto"/>
          <w:kern w:val="0"/>
          <w:sz w:val="32"/>
          <w:szCs w:val="32"/>
          <w:highlight w:val="none"/>
        </w:rPr>
      </w:pPr>
    </w:p>
    <w:p w14:paraId="460B5C4C">
      <w:pPr>
        <w:jc w:val="both"/>
        <w:rPr>
          <w:rFonts w:hint="eastAsia" w:ascii="宋体" w:hAnsi="宋体" w:eastAsia="宋体" w:cs="宋体"/>
          <w:b/>
          <w:color w:val="auto"/>
          <w:kern w:val="0"/>
          <w:sz w:val="32"/>
          <w:szCs w:val="32"/>
          <w:highlight w:val="none"/>
        </w:rPr>
      </w:pPr>
    </w:p>
    <w:p w14:paraId="4D2AFD69">
      <w:pPr>
        <w:jc w:val="center"/>
        <w:rPr>
          <w:rFonts w:hint="eastAsia" w:ascii="宋体" w:hAnsi="宋体" w:eastAsia="宋体" w:cs="宋体"/>
          <w:b/>
          <w:color w:val="auto"/>
          <w:kern w:val="0"/>
          <w:sz w:val="32"/>
          <w:szCs w:val="32"/>
          <w:highlight w:val="none"/>
          <w:lang w:eastAsia="zh-CN"/>
        </w:rPr>
      </w:pPr>
    </w:p>
    <w:p w14:paraId="387A72A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、商务技术偏离表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66"/>
        <w:gridCol w:w="3763"/>
        <w:gridCol w:w="1276"/>
      </w:tblGrid>
      <w:tr w14:paraId="1DEA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A5880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466" w:type="dxa"/>
          </w:tcPr>
          <w:p w14:paraId="262CED0B">
            <w:pPr>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征集文件</w:t>
            </w:r>
            <w:r>
              <w:rPr>
                <w:rFonts w:hint="eastAsia" w:ascii="宋体" w:hAnsi="宋体" w:eastAsia="宋体" w:cs="宋体"/>
                <w:b/>
                <w:bCs/>
                <w:color w:val="auto"/>
                <w:sz w:val="24"/>
                <w:highlight w:val="none"/>
              </w:rPr>
              <w:t>章节及具体内容</w:t>
            </w:r>
          </w:p>
        </w:tc>
        <w:tc>
          <w:tcPr>
            <w:tcW w:w="3763" w:type="dxa"/>
          </w:tcPr>
          <w:p w14:paraId="4D737D58">
            <w:pPr>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响应文件</w:t>
            </w:r>
            <w:r>
              <w:rPr>
                <w:rFonts w:hint="eastAsia" w:ascii="宋体" w:hAnsi="宋体" w:eastAsia="宋体" w:cs="宋体"/>
                <w:b/>
                <w:bCs/>
                <w:color w:val="auto"/>
                <w:sz w:val="24"/>
                <w:highlight w:val="none"/>
              </w:rPr>
              <w:t>章节</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页码</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及具体内容</w:t>
            </w:r>
          </w:p>
        </w:tc>
        <w:tc>
          <w:tcPr>
            <w:tcW w:w="1276" w:type="dxa"/>
          </w:tcPr>
          <w:p w14:paraId="57CBA93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1B3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76BBD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466" w:type="dxa"/>
          </w:tcPr>
          <w:p w14:paraId="6902A2DC">
            <w:pPr>
              <w:jc w:val="center"/>
              <w:rPr>
                <w:rFonts w:hint="eastAsia" w:ascii="宋体" w:hAnsi="宋体" w:eastAsia="宋体" w:cs="宋体"/>
                <w:b/>
                <w:color w:val="auto"/>
                <w:kern w:val="0"/>
                <w:sz w:val="32"/>
                <w:szCs w:val="32"/>
                <w:highlight w:val="none"/>
              </w:rPr>
            </w:pPr>
          </w:p>
        </w:tc>
        <w:tc>
          <w:tcPr>
            <w:tcW w:w="3763" w:type="dxa"/>
          </w:tcPr>
          <w:p w14:paraId="6209958F">
            <w:pPr>
              <w:jc w:val="center"/>
              <w:rPr>
                <w:rFonts w:hint="eastAsia" w:ascii="宋体" w:hAnsi="宋体" w:eastAsia="宋体" w:cs="宋体"/>
                <w:b/>
                <w:color w:val="auto"/>
                <w:kern w:val="0"/>
                <w:sz w:val="32"/>
                <w:szCs w:val="32"/>
                <w:highlight w:val="none"/>
              </w:rPr>
            </w:pPr>
          </w:p>
        </w:tc>
        <w:tc>
          <w:tcPr>
            <w:tcW w:w="1276" w:type="dxa"/>
          </w:tcPr>
          <w:p w14:paraId="4F835ED0">
            <w:pPr>
              <w:jc w:val="center"/>
              <w:rPr>
                <w:rFonts w:hint="eastAsia" w:ascii="宋体" w:hAnsi="宋体" w:eastAsia="宋体" w:cs="宋体"/>
                <w:b/>
                <w:color w:val="auto"/>
                <w:kern w:val="0"/>
                <w:sz w:val="32"/>
                <w:szCs w:val="32"/>
                <w:highlight w:val="none"/>
              </w:rPr>
            </w:pPr>
          </w:p>
        </w:tc>
      </w:tr>
      <w:tr w14:paraId="50F6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8A143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466" w:type="dxa"/>
          </w:tcPr>
          <w:p w14:paraId="6AD773EF">
            <w:pPr>
              <w:jc w:val="center"/>
              <w:rPr>
                <w:rFonts w:hint="eastAsia" w:ascii="宋体" w:hAnsi="宋体" w:eastAsia="宋体" w:cs="宋体"/>
                <w:b/>
                <w:color w:val="auto"/>
                <w:kern w:val="0"/>
                <w:sz w:val="32"/>
                <w:szCs w:val="32"/>
                <w:highlight w:val="none"/>
              </w:rPr>
            </w:pPr>
          </w:p>
        </w:tc>
        <w:tc>
          <w:tcPr>
            <w:tcW w:w="3763" w:type="dxa"/>
          </w:tcPr>
          <w:p w14:paraId="28F4EF18">
            <w:pPr>
              <w:jc w:val="center"/>
              <w:rPr>
                <w:rFonts w:hint="eastAsia" w:ascii="宋体" w:hAnsi="宋体" w:eastAsia="宋体" w:cs="宋体"/>
                <w:b/>
                <w:color w:val="auto"/>
                <w:kern w:val="0"/>
                <w:sz w:val="32"/>
                <w:szCs w:val="32"/>
                <w:highlight w:val="none"/>
              </w:rPr>
            </w:pPr>
          </w:p>
        </w:tc>
        <w:tc>
          <w:tcPr>
            <w:tcW w:w="1276" w:type="dxa"/>
          </w:tcPr>
          <w:p w14:paraId="7709D82D">
            <w:pPr>
              <w:jc w:val="center"/>
              <w:rPr>
                <w:rFonts w:hint="eastAsia" w:ascii="宋体" w:hAnsi="宋体" w:eastAsia="宋体" w:cs="宋体"/>
                <w:b/>
                <w:color w:val="auto"/>
                <w:kern w:val="0"/>
                <w:sz w:val="32"/>
                <w:szCs w:val="32"/>
                <w:highlight w:val="none"/>
              </w:rPr>
            </w:pPr>
          </w:p>
        </w:tc>
      </w:tr>
      <w:tr w14:paraId="6F10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9380D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466" w:type="dxa"/>
          </w:tcPr>
          <w:p w14:paraId="7656226E">
            <w:pPr>
              <w:jc w:val="center"/>
              <w:rPr>
                <w:rFonts w:hint="eastAsia" w:ascii="宋体" w:hAnsi="宋体" w:eastAsia="宋体" w:cs="宋体"/>
                <w:b/>
                <w:color w:val="auto"/>
                <w:kern w:val="0"/>
                <w:sz w:val="32"/>
                <w:szCs w:val="32"/>
                <w:highlight w:val="none"/>
              </w:rPr>
            </w:pPr>
          </w:p>
        </w:tc>
        <w:tc>
          <w:tcPr>
            <w:tcW w:w="3763" w:type="dxa"/>
          </w:tcPr>
          <w:p w14:paraId="02B191C6">
            <w:pPr>
              <w:jc w:val="center"/>
              <w:rPr>
                <w:rFonts w:hint="eastAsia" w:ascii="宋体" w:hAnsi="宋体" w:eastAsia="宋体" w:cs="宋体"/>
                <w:b/>
                <w:color w:val="auto"/>
                <w:kern w:val="0"/>
                <w:sz w:val="32"/>
                <w:szCs w:val="32"/>
                <w:highlight w:val="none"/>
              </w:rPr>
            </w:pPr>
          </w:p>
        </w:tc>
        <w:tc>
          <w:tcPr>
            <w:tcW w:w="1276" w:type="dxa"/>
          </w:tcPr>
          <w:p w14:paraId="635240D4">
            <w:pPr>
              <w:jc w:val="center"/>
              <w:rPr>
                <w:rFonts w:hint="eastAsia" w:ascii="宋体" w:hAnsi="宋体" w:eastAsia="宋体" w:cs="宋体"/>
                <w:b/>
                <w:color w:val="auto"/>
                <w:kern w:val="0"/>
                <w:sz w:val="32"/>
                <w:szCs w:val="32"/>
                <w:highlight w:val="none"/>
              </w:rPr>
            </w:pPr>
          </w:p>
        </w:tc>
      </w:tr>
    </w:tbl>
    <w:p w14:paraId="6F5C40FA">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3D8C823">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此表须与征集文件“采购需求”相应标项内的所有技术规格、商务条款（含技术、功能、配置、附加必备条件、售后服务、安装、验收、付款方式等）相比较且一一对应真实逐条填列，并在“偏离情况”栏注明“正偏离”、“负偏离”或“无偏离”。</w:t>
      </w:r>
    </w:p>
    <w:p w14:paraId="4DF9E49D">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2、供应商递交的技术规格书中必须真实逐条列明，否则由供应商自行承担相关风险。</w:t>
      </w:r>
    </w:p>
    <w:p w14:paraId="3C3936A3">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3、此表在不改变格式的情况下可自行制作，不填写此表视为完全响应征集文件内容。。</w:t>
      </w:r>
    </w:p>
    <w:p w14:paraId="624B69E5">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4、此表置于商务技术文件中。</w:t>
      </w:r>
    </w:p>
    <w:p w14:paraId="26C81304">
      <w:pPr>
        <w:spacing w:line="360" w:lineRule="auto"/>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供应商</w:t>
      </w:r>
      <w:r>
        <w:rPr>
          <w:rFonts w:hint="eastAsia" w:ascii="宋体" w:hAnsi="宋体" w:eastAsia="宋体" w:cs="宋体"/>
          <w:color w:val="auto"/>
          <w:kern w:val="0"/>
          <w:sz w:val="24"/>
          <w:highlight w:val="none"/>
        </w:rPr>
        <w:t>保证：除商务技术偏离表列出的偏离外，投标人响应</w:t>
      </w:r>
      <w:r>
        <w:rPr>
          <w:rFonts w:hint="eastAsia" w:ascii="宋体" w:hAnsi="宋体" w:cs="宋体"/>
          <w:color w:val="auto"/>
          <w:kern w:val="0"/>
          <w:sz w:val="24"/>
          <w:highlight w:val="none"/>
          <w:lang w:eastAsia="zh-CN"/>
        </w:rPr>
        <w:t>征集文件</w:t>
      </w:r>
      <w:r>
        <w:rPr>
          <w:rFonts w:hint="eastAsia" w:ascii="宋体" w:hAnsi="宋体" w:eastAsia="宋体" w:cs="宋体"/>
          <w:color w:val="auto"/>
          <w:kern w:val="0"/>
          <w:sz w:val="24"/>
          <w:highlight w:val="none"/>
        </w:rPr>
        <w:t>的全部要求</w:t>
      </w:r>
    </w:p>
    <w:p w14:paraId="08C98899">
      <w:pPr>
        <w:spacing w:line="360" w:lineRule="auto"/>
        <w:jc w:val="right"/>
        <w:rPr>
          <w:rFonts w:hint="eastAsia" w:ascii="宋体" w:hAnsi="宋体" w:eastAsia="宋体" w:cs="宋体"/>
          <w:color w:val="auto"/>
          <w:kern w:val="0"/>
          <w:sz w:val="24"/>
          <w:highlight w:val="none"/>
        </w:rPr>
      </w:pPr>
    </w:p>
    <w:p w14:paraId="4DC5AC4C">
      <w:pPr>
        <w:spacing w:line="360" w:lineRule="auto"/>
        <w:jc w:val="right"/>
        <w:rPr>
          <w:rFonts w:hint="eastAsia" w:ascii="宋体" w:hAnsi="宋体" w:eastAsia="宋体" w:cs="宋体"/>
          <w:color w:val="auto"/>
          <w:kern w:val="0"/>
          <w:sz w:val="24"/>
          <w:highlight w:val="none"/>
        </w:rPr>
      </w:pPr>
    </w:p>
    <w:p w14:paraId="6A9E09B7">
      <w:pPr>
        <w:spacing w:line="360" w:lineRule="auto"/>
        <w:jc w:val="right"/>
        <w:rPr>
          <w:rFonts w:hint="eastAsia" w:ascii="宋体" w:hAnsi="宋体" w:eastAsia="宋体" w:cs="宋体"/>
          <w:color w:val="auto"/>
          <w:kern w:val="0"/>
          <w:sz w:val="24"/>
          <w:highlight w:val="none"/>
          <w:lang w:val="zh-CN"/>
        </w:rPr>
      </w:pPr>
    </w:p>
    <w:p w14:paraId="3B5849A6">
      <w:pPr>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w:t>
      </w:r>
    </w:p>
    <w:p w14:paraId="3997220B">
      <w:pPr>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法定代表人或授权代表（签字或盖章）：</w:t>
      </w:r>
    </w:p>
    <w:p w14:paraId="7C05D07B">
      <w:pPr>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14:paraId="06EDB071">
      <w:pPr>
        <w:jc w:val="right"/>
        <w:rPr>
          <w:rFonts w:hint="eastAsia" w:ascii="宋体" w:hAnsi="宋体" w:eastAsia="宋体" w:cs="宋体"/>
          <w:color w:val="auto"/>
          <w:kern w:val="0"/>
          <w:sz w:val="24"/>
          <w:highlight w:val="none"/>
        </w:rPr>
      </w:pPr>
    </w:p>
    <w:p w14:paraId="6045F0E8">
      <w:pPr>
        <w:jc w:val="center"/>
        <w:rPr>
          <w:rFonts w:hint="eastAsia" w:ascii="宋体" w:hAnsi="宋体" w:eastAsia="宋体" w:cs="宋体"/>
          <w:b/>
          <w:color w:val="auto"/>
          <w:kern w:val="0"/>
          <w:sz w:val="32"/>
          <w:szCs w:val="32"/>
          <w:highlight w:val="none"/>
        </w:rPr>
      </w:pPr>
    </w:p>
    <w:p w14:paraId="7AA60C62">
      <w:pPr>
        <w:pStyle w:val="11"/>
        <w:rPr>
          <w:rFonts w:hint="eastAsia" w:ascii="宋体" w:hAnsi="宋体" w:eastAsia="宋体" w:cs="宋体"/>
          <w:b/>
          <w:color w:val="auto"/>
          <w:kern w:val="0"/>
          <w:sz w:val="32"/>
          <w:szCs w:val="32"/>
          <w:highlight w:val="none"/>
        </w:rPr>
      </w:pPr>
    </w:p>
    <w:p w14:paraId="3FFDF552">
      <w:pPr>
        <w:pStyle w:val="12"/>
        <w:rPr>
          <w:rFonts w:hint="eastAsia" w:ascii="宋体" w:hAnsi="宋体" w:eastAsia="宋体" w:cs="宋体"/>
          <w:b/>
          <w:color w:val="auto"/>
          <w:kern w:val="0"/>
          <w:sz w:val="32"/>
          <w:szCs w:val="32"/>
          <w:highlight w:val="none"/>
        </w:rPr>
      </w:pPr>
    </w:p>
    <w:p w14:paraId="5AC3186D">
      <w:pPr>
        <w:pStyle w:val="13"/>
        <w:rPr>
          <w:rFonts w:hint="eastAsia" w:ascii="宋体" w:hAnsi="宋体" w:eastAsia="宋体" w:cs="宋体"/>
          <w:b/>
          <w:color w:val="auto"/>
          <w:kern w:val="0"/>
          <w:sz w:val="32"/>
          <w:szCs w:val="32"/>
          <w:highlight w:val="none"/>
        </w:rPr>
      </w:pPr>
    </w:p>
    <w:p w14:paraId="47FD7905">
      <w:pPr>
        <w:rPr>
          <w:rFonts w:hint="eastAsia" w:ascii="宋体" w:hAnsi="宋体" w:eastAsia="宋体" w:cs="宋体"/>
          <w:b/>
          <w:color w:val="auto"/>
          <w:kern w:val="0"/>
          <w:sz w:val="32"/>
          <w:szCs w:val="32"/>
          <w:highlight w:val="none"/>
        </w:rPr>
      </w:pPr>
    </w:p>
    <w:p w14:paraId="618390E5">
      <w:pPr>
        <w:pStyle w:val="11"/>
        <w:rPr>
          <w:rFonts w:hint="eastAsia" w:ascii="宋体" w:hAnsi="宋体" w:eastAsia="宋体" w:cs="宋体"/>
          <w:b/>
          <w:color w:val="auto"/>
          <w:kern w:val="0"/>
          <w:sz w:val="32"/>
          <w:szCs w:val="32"/>
          <w:highlight w:val="none"/>
        </w:rPr>
      </w:pPr>
    </w:p>
    <w:p w14:paraId="657A4CBB">
      <w:pPr>
        <w:pStyle w:val="12"/>
        <w:rPr>
          <w:rFonts w:hint="eastAsia" w:ascii="宋体" w:hAnsi="宋体" w:eastAsia="宋体" w:cs="宋体"/>
          <w:b/>
          <w:color w:val="auto"/>
          <w:kern w:val="0"/>
          <w:sz w:val="32"/>
          <w:szCs w:val="32"/>
          <w:highlight w:val="none"/>
        </w:rPr>
      </w:pPr>
    </w:p>
    <w:p w14:paraId="1242A835">
      <w:pPr>
        <w:pStyle w:val="13"/>
        <w:rPr>
          <w:rFonts w:hint="eastAsia" w:ascii="宋体" w:hAnsi="宋体" w:eastAsia="宋体" w:cs="宋体"/>
          <w:b/>
          <w:color w:val="auto"/>
          <w:kern w:val="0"/>
          <w:sz w:val="32"/>
          <w:szCs w:val="32"/>
          <w:highlight w:val="none"/>
        </w:rPr>
      </w:pPr>
    </w:p>
    <w:p w14:paraId="5BBA3EA0">
      <w:pPr>
        <w:rPr>
          <w:rFonts w:hint="eastAsia"/>
        </w:rPr>
      </w:pPr>
    </w:p>
    <w:p w14:paraId="174FA6C4">
      <w:pPr>
        <w:ind w:firstLine="1911" w:firstLineChars="595"/>
        <w:rPr>
          <w:rFonts w:hint="eastAsia" w:ascii="宋体" w:hAnsi="宋体" w:eastAsia="宋体" w:cs="宋体"/>
          <w:b/>
          <w:color w:val="auto"/>
          <w:kern w:val="0"/>
          <w:sz w:val="32"/>
          <w:szCs w:val="32"/>
          <w:highlight w:val="none"/>
        </w:rPr>
      </w:pPr>
    </w:p>
    <w:p w14:paraId="3C9CA3ED">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1F82C1D2">
      <w:pPr>
        <w:snapToGrid w:val="0"/>
        <w:spacing w:line="360" w:lineRule="auto"/>
        <w:rPr>
          <w:rFonts w:hint="eastAsia" w:ascii="宋体" w:hAnsi="宋体" w:eastAsia="宋体" w:cs="宋体"/>
          <w:color w:val="auto"/>
          <w:sz w:val="24"/>
          <w:highlight w:val="none"/>
        </w:rPr>
      </w:pPr>
    </w:p>
    <w:p w14:paraId="6A642D6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XXX（采购人名称） 、</w:t>
      </w:r>
      <w:r>
        <w:rPr>
          <w:rFonts w:hint="eastAsia" w:ascii="宋体" w:hAnsi="宋体" w:eastAsia="宋体" w:cs="宋体"/>
          <w:color w:val="auto"/>
          <w:sz w:val="24"/>
          <w:highlight w:val="none"/>
          <w:lang w:eastAsia="zh-CN"/>
        </w:rPr>
        <w:t>浙江中兰工程项目管理有限公司</w:t>
      </w:r>
      <w:r>
        <w:rPr>
          <w:rFonts w:hint="eastAsia" w:ascii="宋体" w:hAnsi="宋体" w:eastAsia="宋体" w:cs="宋体"/>
          <w:color w:val="auto"/>
          <w:sz w:val="24"/>
          <w:highlight w:val="none"/>
        </w:rPr>
        <w:t>：</w:t>
      </w:r>
    </w:p>
    <w:p w14:paraId="30D343C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0FEC90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E4B017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634432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E2356E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2E2051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992762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918769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3794AA2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0393B55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FCE3DD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92011C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2E86E4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0A2C534">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221E05C">
      <w:pPr>
        <w:spacing w:line="360" w:lineRule="auto"/>
        <w:ind w:left="4620" w:left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35DB370">
      <w:pPr>
        <w:adjustRightInd w:val="0"/>
        <w:snapToGrid w:val="0"/>
        <w:spacing w:line="360" w:lineRule="auto"/>
        <w:ind w:firstLine="3614" w:firstLineChars="1000"/>
        <w:rPr>
          <w:rFonts w:hint="eastAsia" w:ascii="宋体" w:hAnsi="宋体" w:eastAsia="宋体" w:cs="宋体"/>
          <w:b/>
          <w:color w:val="auto"/>
          <w:kern w:val="0"/>
          <w:sz w:val="36"/>
          <w:szCs w:val="36"/>
          <w:highlight w:val="none"/>
        </w:rPr>
      </w:pPr>
    </w:p>
    <w:p w14:paraId="5B875B12">
      <w:pPr>
        <w:adjustRightInd w:val="0"/>
        <w:snapToGrid w:val="0"/>
        <w:spacing w:line="360" w:lineRule="auto"/>
        <w:ind w:firstLine="3614" w:firstLineChars="1000"/>
        <w:rPr>
          <w:rFonts w:hint="eastAsia" w:ascii="宋体" w:hAnsi="宋体" w:eastAsia="宋体" w:cs="宋体"/>
          <w:b/>
          <w:color w:val="auto"/>
          <w:kern w:val="0"/>
          <w:sz w:val="36"/>
          <w:szCs w:val="36"/>
          <w:highlight w:val="none"/>
        </w:rPr>
      </w:pPr>
    </w:p>
    <w:p w14:paraId="4F648107">
      <w:pPr>
        <w:adjustRightInd w:val="0"/>
        <w:snapToGrid w:val="0"/>
        <w:spacing w:line="360" w:lineRule="auto"/>
        <w:ind w:firstLine="3614" w:firstLineChars="1000"/>
        <w:rPr>
          <w:rFonts w:hint="eastAsia" w:ascii="宋体" w:hAnsi="宋体" w:eastAsia="宋体" w:cs="宋体"/>
          <w:b/>
          <w:color w:val="auto"/>
          <w:kern w:val="0"/>
          <w:sz w:val="36"/>
          <w:szCs w:val="36"/>
          <w:highlight w:val="none"/>
        </w:rPr>
      </w:pPr>
    </w:p>
    <w:p w14:paraId="7B98A2FD">
      <w:pPr>
        <w:adjustRightInd w:val="0"/>
        <w:snapToGrid w:val="0"/>
        <w:spacing w:line="360" w:lineRule="auto"/>
        <w:ind w:firstLine="3614" w:firstLineChars="1000"/>
        <w:rPr>
          <w:rFonts w:hint="eastAsia" w:ascii="宋体" w:hAnsi="宋体" w:eastAsia="宋体" w:cs="宋体"/>
          <w:b/>
          <w:color w:val="auto"/>
          <w:kern w:val="0"/>
          <w:sz w:val="36"/>
          <w:szCs w:val="36"/>
          <w:highlight w:val="none"/>
        </w:rPr>
      </w:pPr>
    </w:p>
    <w:p w14:paraId="57F04B9A">
      <w:pPr>
        <w:adjustRightInd w:val="0"/>
        <w:snapToGrid w:val="0"/>
        <w:spacing w:line="360" w:lineRule="auto"/>
        <w:rPr>
          <w:rFonts w:hint="eastAsia" w:ascii="宋体" w:hAnsi="宋体" w:eastAsia="宋体" w:cs="宋体"/>
          <w:b/>
          <w:color w:val="auto"/>
          <w:kern w:val="0"/>
          <w:sz w:val="36"/>
          <w:szCs w:val="36"/>
          <w:highlight w:val="none"/>
        </w:rPr>
      </w:pPr>
    </w:p>
    <w:p w14:paraId="632BC1EE">
      <w:pPr>
        <w:adjustRightInd w:val="0"/>
        <w:snapToGrid w:val="0"/>
        <w:spacing w:line="360" w:lineRule="auto"/>
        <w:ind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B9E77BA">
      <w:pPr>
        <w:adjustRightInd w:val="0"/>
        <w:spacing w:line="360" w:lineRule="auto"/>
        <w:jc w:val="center"/>
        <w:outlineLvl w:val="0"/>
        <w:rPr>
          <w:rFonts w:hint="eastAsia" w:ascii="宋体" w:hAnsi="宋体" w:eastAsia="宋体" w:cs="宋体"/>
          <w:b/>
          <w:color w:val="auto"/>
          <w:kern w:val="0"/>
          <w:sz w:val="24"/>
          <w:szCs w:val="24"/>
          <w:highlight w:val="none"/>
        </w:rPr>
      </w:pPr>
    </w:p>
    <w:p w14:paraId="5EAEF68B">
      <w:pPr>
        <w:adjustRightInd w:val="0"/>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E3FF962">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2"/>
          <w:lang w:val="en-US" w:eastAsia="zh-CN" w:bidi="ar-SA"/>
        </w:rPr>
        <w:t>（1）</w:t>
      </w:r>
      <w:r>
        <w:rPr>
          <w:rFonts w:hint="eastAsia" w:ascii="宋体" w:hAnsi="宋体" w:eastAsia="宋体" w:cs="宋体"/>
          <w:color w:val="auto"/>
          <w:highlight w:val="none"/>
        </w:rPr>
        <w:t>开标一览表（报价表）…………………………………………………（页码）</w:t>
      </w:r>
    </w:p>
    <w:p w14:paraId="412CB9E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（2）结算原则承诺函…………………………………………………………（页码）</w:t>
      </w:r>
    </w:p>
    <w:p w14:paraId="710ECB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（3）中小企业声明函（如</w:t>
      </w:r>
      <w:r>
        <w:rPr>
          <w:rFonts w:hint="eastAsia" w:ascii="宋体" w:hAnsi="宋体" w:cs="宋体"/>
          <w:color w:val="auto"/>
          <w:highlight w:val="none"/>
          <w:lang w:val="en-US" w:eastAsia="zh-CN"/>
        </w:rPr>
        <w:t>有</w:t>
      </w:r>
      <w:r>
        <w:rPr>
          <w:rFonts w:hint="eastAsia" w:ascii="宋体" w:hAnsi="宋体" w:eastAsia="宋体" w:cs="宋体"/>
          <w:color w:val="auto"/>
          <w:highlight w:val="none"/>
        </w:rPr>
        <w:t>）………………………………………………（页码）</w:t>
      </w:r>
    </w:p>
    <w:p w14:paraId="6130E2DA">
      <w:pPr>
        <w:snapToGrid w:val="0"/>
        <w:spacing w:line="360" w:lineRule="auto"/>
        <w:rPr>
          <w:rFonts w:hint="eastAsia" w:ascii="宋体" w:hAnsi="宋体" w:eastAsia="宋体" w:cs="宋体"/>
          <w:color w:val="auto"/>
          <w:sz w:val="24"/>
          <w:highlight w:val="none"/>
        </w:rPr>
      </w:pPr>
    </w:p>
    <w:p w14:paraId="49BB218A">
      <w:pPr>
        <w:adjustRightInd w:val="0"/>
        <w:spacing w:line="360" w:lineRule="auto"/>
        <w:ind w:left="2" w:firstLine="480" w:firstLineChars="200"/>
        <w:rPr>
          <w:rFonts w:hint="eastAsia" w:ascii="宋体" w:hAnsi="宋体" w:eastAsia="宋体" w:cs="宋体"/>
          <w:color w:val="auto"/>
          <w:sz w:val="24"/>
          <w:szCs w:val="24"/>
          <w:highlight w:val="none"/>
        </w:rPr>
      </w:pPr>
    </w:p>
    <w:p w14:paraId="0BFA8B26">
      <w:pPr>
        <w:adjustRightInd w:val="0"/>
        <w:spacing w:line="360" w:lineRule="auto"/>
        <w:ind w:left="2" w:firstLine="480" w:firstLineChars="200"/>
        <w:rPr>
          <w:rFonts w:hint="eastAsia" w:ascii="宋体" w:hAnsi="宋体" w:eastAsia="宋体" w:cs="宋体"/>
          <w:color w:val="auto"/>
          <w:sz w:val="24"/>
          <w:szCs w:val="24"/>
          <w:highlight w:val="none"/>
        </w:rPr>
      </w:pPr>
    </w:p>
    <w:p w14:paraId="17B09C32">
      <w:pPr>
        <w:adjustRightInd w:val="0"/>
        <w:spacing w:line="360" w:lineRule="auto"/>
        <w:ind w:left="2" w:firstLine="480" w:firstLineChars="200"/>
        <w:rPr>
          <w:rFonts w:hint="eastAsia" w:ascii="宋体" w:hAnsi="宋体" w:eastAsia="宋体" w:cs="宋体"/>
          <w:color w:val="auto"/>
          <w:sz w:val="24"/>
          <w:szCs w:val="24"/>
          <w:highlight w:val="none"/>
        </w:rPr>
      </w:pPr>
    </w:p>
    <w:p w14:paraId="3D4D4DC6">
      <w:pPr>
        <w:adjustRightInd w:val="0"/>
        <w:spacing w:line="360" w:lineRule="auto"/>
        <w:ind w:left="2" w:firstLine="480" w:firstLineChars="200"/>
        <w:rPr>
          <w:rFonts w:hint="eastAsia" w:ascii="宋体" w:hAnsi="宋体" w:eastAsia="宋体" w:cs="宋体"/>
          <w:color w:val="auto"/>
          <w:sz w:val="24"/>
          <w:szCs w:val="24"/>
          <w:highlight w:val="none"/>
        </w:rPr>
      </w:pPr>
    </w:p>
    <w:p w14:paraId="3E7702E5">
      <w:pPr>
        <w:adjustRightInd w:val="0"/>
        <w:spacing w:line="360" w:lineRule="auto"/>
        <w:ind w:left="2" w:firstLine="480" w:firstLineChars="200"/>
        <w:rPr>
          <w:rFonts w:hint="eastAsia" w:ascii="宋体" w:hAnsi="宋体" w:eastAsia="宋体" w:cs="宋体"/>
          <w:color w:val="auto"/>
          <w:sz w:val="24"/>
          <w:szCs w:val="24"/>
          <w:highlight w:val="none"/>
        </w:rPr>
      </w:pPr>
    </w:p>
    <w:p w14:paraId="0AFA5B36">
      <w:pPr>
        <w:adjustRightInd w:val="0"/>
        <w:snapToGrid w:val="0"/>
        <w:spacing w:line="360" w:lineRule="auto"/>
        <w:jc w:val="center"/>
        <w:outlineLvl w:val="0"/>
        <w:rPr>
          <w:rFonts w:hint="eastAsia" w:ascii="宋体" w:hAnsi="宋体" w:eastAsia="宋体" w:cs="宋体"/>
          <w:b/>
          <w:color w:val="auto"/>
          <w:kern w:val="0"/>
          <w:sz w:val="32"/>
          <w:szCs w:val="32"/>
          <w:highlight w:val="none"/>
        </w:rPr>
      </w:pPr>
    </w:p>
    <w:p w14:paraId="3B9C5D88">
      <w:pPr>
        <w:adjustRightInd w:val="0"/>
        <w:snapToGrid w:val="0"/>
        <w:spacing w:line="360" w:lineRule="auto"/>
        <w:jc w:val="center"/>
        <w:outlineLvl w:val="0"/>
        <w:rPr>
          <w:rFonts w:hint="eastAsia" w:ascii="宋体" w:hAnsi="宋体" w:eastAsia="宋体" w:cs="宋体"/>
          <w:b/>
          <w:color w:val="auto"/>
          <w:kern w:val="0"/>
          <w:sz w:val="32"/>
          <w:szCs w:val="32"/>
          <w:highlight w:val="none"/>
        </w:rPr>
      </w:pPr>
    </w:p>
    <w:p w14:paraId="6CA34CAC">
      <w:pPr>
        <w:adjustRightInd w:val="0"/>
        <w:snapToGrid w:val="0"/>
        <w:spacing w:line="360" w:lineRule="auto"/>
        <w:jc w:val="center"/>
        <w:outlineLvl w:val="0"/>
        <w:rPr>
          <w:rFonts w:hint="eastAsia" w:ascii="宋体" w:hAnsi="宋体" w:eastAsia="宋体" w:cs="宋体"/>
          <w:b/>
          <w:color w:val="auto"/>
          <w:kern w:val="0"/>
          <w:sz w:val="32"/>
          <w:szCs w:val="32"/>
          <w:highlight w:val="none"/>
        </w:rPr>
      </w:pPr>
    </w:p>
    <w:p w14:paraId="1D9502DE">
      <w:pPr>
        <w:adjustRightInd w:val="0"/>
        <w:snapToGrid w:val="0"/>
        <w:spacing w:line="360" w:lineRule="auto"/>
        <w:jc w:val="center"/>
        <w:outlineLvl w:val="0"/>
        <w:rPr>
          <w:rFonts w:hint="eastAsia" w:ascii="宋体" w:hAnsi="宋体" w:eastAsia="宋体" w:cs="宋体"/>
          <w:b/>
          <w:color w:val="auto"/>
          <w:kern w:val="0"/>
          <w:sz w:val="32"/>
          <w:szCs w:val="32"/>
          <w:highlight w:val="none"/>
        </w:rPr>
      </w:pPr>
    </w:p>
    <w:p w14:paraId="7D3523A9">
      <w:pPr>
        <w:adjustRightInd w:val="0"/>
        <w:snapToGrid w:val="0"/>
        <w:spacing w:line="360" w:lineRule="auto"/>
        <w:jc w:val="center"/>
        <w:outlineLvl w:val="0"/>
        <w:rPr>
          <w:rFonts w:hint="eastAsia" w:ascii="宋体" w:hAnsi="宋体" w:eastAsia="宋体" w:cs="宋体"/>
          <w:b/>
          <w:color w:val="auto"/>
          <w:kern w:val="0"/>
          <w:sz w:val="32"/>
          <w:szCs w:val="32"/>
          <w:highlight w:val="none"/>
        </w:rPr>
      </w:pPr>
    </w:p>
    <w:p w14:paraId="5D59CE7C">
      <w:pPr>
        <w:adjustRightInd w:val="0"/>
        <w:snapToGrid w:val="0"/>
        <w:spacing w:line="360" w:lineRule="auto"/>
        <w:jc w:val="center"/>
        <w:outlineLvl w:val="0"/>
        <w:rPr>
          <w:rFonts w:hint="eastAsia" w:ascii="宋体" w:hAnsi="宋体" w:eastAsia="宋体" w:cs="宋体"/>
          <w:b/>
          <w:color w:val="auto"/>
          <w:kern w:val="0"/>
          <w:sz w:val="32"/>
          <w:szCs w:val="32"/>
          <w:highlight w:val="none"/>
        </w:rPr>
      </w:pPr>
    </w:p>
    <w:p w14:paraId="61E801C6">
      <w:pPr>
        <w:adjustRightInd w:val="0"/>
        <w:snapToGrid w:val="0"/>
        <w:spacing w:line="360" w:lineRule="auto"/>
        <w:jc w:val="center"/>
        <w:outlineLvl w:val="0"/>
        <w:rPr>
          <w:rFonts w:hint="eastAsia" w:ascii="宋体" w:hAnsi="宋体" w:eastAsia="宋体" w:cs="宋体"/>
          <w:b/>
          <w:color w:val="auto"/>
          <w:kern w:val="0"/>
          <w:sz w:val="32"/>
          <w:szCs w:val="32"/>
          <w:highlight w:val="none"/>
        </w:rPr>
      </w:pPr>
    </w:p>
    <w:p w14:paraId="0A2B5F2E">
      <w:pPr>
        <w:adjustRightInd w:val="0"/>
        <w:snapToGrid w:val="0"/>
        <w:spacing w:line="360" w:lineRule="auto"/>
        <w:jc w:val="center"/>
        <w:outlineLvl w:val="0"/>
        <w:rPr>
          <w:rFonts w:hint="eastAsia" w:ascii="宋体" w:hAnsi="宋体" w:eastAsia="宋体" w:cs="宋体"/>
          <w:b/>
          <w:color w:val="auto"/>
          <w:kern w:val="0"/>
          <w:sz w:val="32"/>
          <w:szCs w:val="32"/>
          <w:highlight w:val="none"/>
        </w:rPr>
      </w:pPr>
    </w:p>
    <w:p w14:paraId="7617C566">
      <w:pPr>
        <w:adjustRightInd w:val="0"/>
        <w:snapToGrid w:val="0"/>
        <w:spacing w:line="360" w:lineRule="auto"/>
        <w:jc w:val="center"/>
        <w:outlineLvl w:val="0"/>
        <w:rPr>
          <w:rFonts w:hint="eastAsia" w:ascii="宋体" w:hAnsi="宋体" w:eastAsia="宋体" w:cs="宋体"/>
          <w:b/>
          <w:color w:val="auto"/>
          <w:kern w:val="0"/>
          <w:sz w:val="32"/>
          <w:szCs w:val="32"/>
          <w:highlight w:val="none"/>
        </w:rPr>
      </w:pPr>
    </w:p>
    <w:p w14:paraId="780B7CFE">
      <w:pPr>
        <w:adjustRightInd w:val="0"/>
        <w:snapToGrid w:val="0"/>
        <w:spacing w:line="360" w:lineRule="auto"/>
        <w:jc w:val="center"/>
        <w:outlineLvl w:val="0"/>
        <w:rPr>
          <w:rFonts w:hint="eastAsia" w:ascii="宋体" w:hAnsi="宋体" w:eastAsia="宋体" w:cs="宋体"/>
          <w:b/>
          <w:color w:val="auto"/>
          <w:kern w:val="0"/>
          <w:sz w:val="32"/>
          <w:szCs w:val="32"/>
          <w:highlight w:val="none"/>
        </w:rPr>
      </w:pPr>
    </w:p>
    <w:p w14:paraId="2A4345D6">
      <w:pPr>
        <w:adjustRightInd w:val="0"/>
        <w:snapToGrid w:val="0"/>
        <w:spacing w:line="360" w:lineRule="auto"/>
        <w:jc w:val="center"/>
        <w:outlineLvl w:val="0"/>
        <w:rPr>
          <w:rFonts w:hint="eastAsia" w:ascii="宋体" w:hAnsi="宋体" w:eastAsia="宋体" w:cs="宋体"/>
          <w:b/>
          <w:color w:val="auto"/>
          <w:kern w:val="0"/>
          <w:sz w:val="32"/>
          <w:szCs w:val="32"/>
          <w:highlight w:val="none"/>
        </w:rPr>
      </w:pPr>
    </w:p>
    <w:p w14:paraId="1E11C6DE">
      <w:pPr>
        <w:adjustRightInd w:val="0"/>
        <w:snapToGrid w:val="0"/>
        <w:spacing w:before="120" w:after="120" w:line="360" w:lineRule="auto"/>
        <w:jc w:val="both"/>
        <w:rPr>
          <w:rFonts w:hint="eastAsia" w:ascii="宋体" w:hAnsi="宋体" w:eastAsia="宋体" w:cs="宋体"/>
          <w:b/>
          <w:color w:val="auto"/>
          <w:sz w:val="32"/>
          <w:szCs w:val="32"/>
          <w:highlight w:val="none"/>
        </w:rPr>
        <w:sectPr>
          <w:headerReference r:id="rId6" w:type="first"/>
          <w:footerReference r:id="rId8" w:type="first"/>
          <w:headerReference r:id="rId5" w:type="default"/>
          <w:footerReference r:id="rId7" w:type="default"/>
          <w:pgSz w:w="11906" w:h="16838"/>
          <w:pgMar w:top="1134" w:right="1134" w:bottom="1134" w:left="1134" w:header="567" w:footer="737" w:gutter="0"/>
          <w:cols w:space="720" w:num="1"/>
          <w:titlePg/>
          <w:docGrid w:linePitch="312" w:charSpace="0"/>
        </w:sectPr>
      </w:pPr>
    </w:p>
    <w:p w14:paraId="60CDFAD0">
      <w:pPr>
        <w:spacing w:before="200" w:after="0" w:line="271" w:lineRule="auto"/>
        <w:jc w:val="center"/>
        <w:outlineLvl w:val="1"/>
        <w:rPr>
          <w:rFonts w:hint="eastAsia" w:ascii="宋体" w:hAnsi="宋体" w:eastAsia="宋体" w:cs="宋体"/>
          <w:b/>
          <w:smallCaps/>
          <w:color w:val="auto"/>
          <w:sz w:val="28"/>
          <w:szCs w:val="28"/>
          <w:highlight w:val="none"/>
          <w:lang w:val="en-US" w:eastAsia="zh-CN" w:bidi="ar-SA"/>
        </w:rPr>
      </w:pPr>
      <w:r>
        <w:rPr>
          <w:rFonts w:hint="eastAsia" w:ascii="宋体" w:hAnsi="宋体" w:eastAsia="宋体" w:cs="宋体"/>
          <w:b/>
          <w:smallCaps/>
          <w:color w:val="auto"/>
          <w:sz w:val="28"/>
          <w:szCs w:val="28"/>
          <w:highlight w:val="none"/>
          <w:lang w:val="en-US" w:eastAsia="zh-CN" w:bidi="ar-SA"/>
        </w:rPr>
        <w:t>一、开标一览表（报价表）</w:t>
      </w:r>
    </w:p>
    <w:p w14:paraId="2C6C3D7C">
      <w:pPr>
        <w:keepNext w:val="0"/>
        <w:keepLines w:val="0"/>
        <w:pageBreakBefore w:val="0"/>
        <w:widowControl/>
        <w:kinsoku/>
        <w:wordWrap/>
        <w:overflowPunct/>
        <w:topLinePunct w:val="0"/>
        <w:autoSpaceDE/>
        <w:autoSpaceDN/>
        <w:bidi w:val="0"/>
        <w:adjustRightInd/>
        <w:snapToGrid/>
        <w:spacing w:after="200"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（采购人）、（采购代理机构）</w:t>
      </w:r>
      <w:r>
        <w:rPr>
          <w:rFonts w:hint="eastAsia" w:ascii="宋体" w:hAnsi="宋体" w:eastAsia="宋体" w:cs="宋体"/>
          <w:color w:val="auto"/>
          <w:kern w:val="0"/>
          <w:sz w:val="24"/>
          <w:szCs w:val="24"/>
          <w:highlight w:val="none"/>
          <w:lang w:val="zh-CN"/>
        </w:rPr>
        <w:t>：</w:t>
      </w:r>
    </w:p>
    <w:p w14:paraId="7693106C">
      <w:pPr>
        <w:keepNext w:val="0"/>
        <w:keepLines w:val="0"/>
        <w:pageBreakBefore w:val="0"/>
        <w:widowControl/>
        <w:kinsoku/>
        <w:wordWrap/>
        <w:overflowPunct/>
        <w:topLinePunct w:val="0"/>
        <w:autoSpaceDE/>
        <w:autoSpaceDN/>
        <w:bidi w:val="0"/>
        <w:adjustRightInd/>
        <w:snapToGrid/>
        <w:spacing w:after="200" w:line="44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按你方</w:t>
      </w:r>
      <w:r>
        <w:rPr>
          <w:rFonts w:hint="eastAsia" w:ascii="宋体" w:hAnsi="宋体" w:cs="宋体"/>
          <w:color w:val="auto"/>
          <w:kern w:val="0"/>
          <w:sz w:val="24"/>
          <w:szCs w:val="24"/>
          <w:highlight w:val="none"/>
          <w:lang w:val="zh-CN"/>
        </w:rPr>
        <w:t>征集文件</w:t>
      </w:r>
      <w:r>
        <w:rPr>
          <w:rFonts w:hint="eastAsia" w:ascii="宋体" w:hAnsi="宋体" w:eastAsia="宋体" w:cs="宋体"/>
          <w:color w:val="auto"/>
          <w:kern w:val="0"/>
          <w:sz w:val="24"/>
          <w:szCs w:val="24"/>
          <w:highlight w:val="none"/>
          <w:lang w:val="zh-CN"/>
        </w:rPr>
        <w:t>要求，我们</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rPr>
        <w:t>，本</w:t>
      </w:r>
      <w:r>
        <w:rPr>
          <w:rFonts w:hint="eastAsia" w:ascii="宋体" w:hAnsi="宋体" w:cs="宋体"/>
          <w:color w:val="auto"/>
          <w:kern w:val="0"/>
          <w:sz w:val="24"/>
          <w:szCs w:val="24"/>
          <w:highlight w:val="none"/>
          <w:lang w:val="zh-CN"/>
        </w:rPr>
        <w:t>响应文件</w:t>
      </w:r>
      <w:r>
        <w:rPr>
          <w:rFonts w:hint="eastAsia" w:ascii="宋体" w:hAnsi="宋体" w:eastAsia="宋体" w:cs="宋体"/>
          <w:color w:val="auto"/>
          <w:kern w:val="0"/>
          <w:sz w:val="24"/>
          <w:szCs w:val="24"/>
          <w:highlight w:val="none"/>
          <w:lang w:val="zh-CN"/>
        </w:rPr>
        <w:t>签字方，谨此向你方发出要约如下：如你方接受本投标，我方承诺按照如下开标一览表（报价表）的价格完成</w:t>
      </w:r>
      <w:r>
        <w:rPr>
          <w:rFonts w:hint="eastAsia" w:ascii="宋体" w:hAnsi="宋体" w:cs="宋体"/>
          <w:color w:val="auto"/>
          <w:kern w:val="0"/>
          <w:sz w:val="24"/>
          <w:szCs w:val="24"/>
          <w:highlight w:val="none"/>
          <w:u w:val="single"/>
          <w:lang w:val="zh-CN" w:eastAsia="zh-CN"/>
        </w:rPr>
        <w:t>2025年衢州市柯城区市场监督管理局食品（餐饮）检测服务项目</w:t>
      </w:r>
      <w:r>
        <w:rPr>
          <w:rFonts w:hint="eastAsia" w:ascii="宋体" w:hAnsi="宋体" w:eastAsia="宋体" w:cs="宋体"/>
          <w:color w:val="auto"/>
          <w:kern w:val="0"/>
          <w:sz w:val="24"/>
          <w:szCs w:val="24"/>
          <w:highlight w:val="none"/>
          <w:u w:val="single"/>
          <w:lang w:val="zh-CN" w:eastAsia="zh-CN"/>
        </w:rPr>
        <w:t>框架协议采购</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val="zh-CN"/>
        </w:rPr>
        <w:t>【招标编号：</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】的实施</w:t>
      </w:r>
      <w:r>
        <w:rPr>
          <w:rFonts w:hint="eastAsia" w:ascii="宋体" w:hAnsi="宋体" w:eastAsia="宋体" w:cs="宋体"/>
          <w:color w:val="auto"/>
          <w:kern w:val="0"/>
          <w:sz w:val="24"/>
          <w:szCs w:val="24"/>
          <w:highlight w:val="none"/>
          <w:lang w:val="zh-CN"/>
        </w:rPr>
        <w:t>。</w:t>
      </w:r>
    </w:p>
    <w:p w14:paraId="174E1C14">
      <w:pPr>
        <w:keepNext w:val="0"/>
        <w:keepLines w:val="0"/>
        <w:pageBreakBefore w:val="0"/>
        <w:widowControl/>
        <w:kinsoku/>
        <w:wordWrap/>
        <w:overflowPunct/>
        <w:topLinePunct w:val="0"/>
        <w:autoSpaceDE/>
        <w:autoSpaceDN/>
        <w:bidi w:val="0"/>
        <w:adjustRightInd/>
        <w:snapToGrid/>
        <w:spacing w:after="200" w:line="44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开标一览表（报价表）(单位均为人民币元)</w:t>
      </w:r>
    </w:p>
    <w:tbl>
      <w:tblPr>
        <w:tblStyle w:val="2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970"/>
        <w:gridCol w:w="2115"/>
        <w:gridCol w:w="3122"/>
      </w:tblGrid>
      <w:tr w14:paraId="6FD0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01" w:type="dxa"/>
            <w:vAlign w:val="center"/>
          </w:tcPr>
          <w:p w14:paraId="349512C0">
            <w:pPr>
              <w:keepNext w:val="0"/>
              <w:keepLines w:val="0"/>
              <w:pageBreakBefore w:val="0"/>
              <w:widowControl/>
              <w:kinsoku/>
              <w:wordWrap/>
              <w:overflowPunct/>
              <w:topLinePunct w:val="0"/>
              <w:autoSpaceDE/>
              <w:autoSpaceDN/>
              <w:bidi w:val="0"/>
              <w:adjustRightInd/>
              <w:snapToGrid/>
              <w:spacing w:after="200"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970" w:type="dxa"/>
            <w:vAlign w:val="center"/>
          </w:tcPr>
          <w:p w14:paraId="6F73D505">
            <w:pPr>
              <w:keepNext w:val="0"/>
              <w:keepLines w:val="0"/>
              <w:pageBreakBefore w:val="0"/>
              <w:widowControl/>
              <w:kinsoku/>
              <w:wordWrap/>
              <w:overflowPunct/>
              <w:topLinePunct w:val="0"/>
              <w:autoSpaceDE/>
              <w:autoSpaceDN/>
              <w:bidi w:val="0"/>
              <w:adjustRightInd/>
              <w:snapToGrid/>
              <w:spacing w:after="200"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名称</w:t>
            </w:r>
          </w:p>
        </w:tc>
        <w:tc>
          <w:tcPr>
            <w:tcW w:w="2115" w:type="dxa"/>
            <w:vAlign w:val="center"/>
          </w:tcPr>
          <w:p w14:paraId="25F34E90">
            <w:pPr>
              <w:keepNext w:val="0"/>
              <w:keepLines w:val="0"/>
              <w:pageBreakBefore w:val="0"/>
              <w:widowControl/>
              <w:kinsoku/>
              <w:wordWrap/>
              <w:overflowPunct/>
              <w:topLinePunct w:val="0"/>
              <w:autoSpaceDE/>
              <w:autoSpaceDN/>
              <w:bidi w:val="0"/>
              <w:adjustRightInd/>
              <w:snapToGrid/>
              <w:spacing w:after="200"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数量</w:t>
            </w:r>
          </w:p>
        </w:tc>
        <w:tc>
          <w:tcPr>
            <w:tcW w:w="3122" w:type="dxa"/>
            <w:vAlign w:val="center"/>
          </w:tcPr>
          <w:p w14:paraId="7CF625C3">
            <w:pPr>
              <w:keepNext w:val="0"/>
              <w:keepLines w:val="0"/>
              <w:pageBreakBefore w:val="0"/>
              <w:widowControl/>
              <w:kinsoku/>
              <w:wordWrap/>
              <w:overflowPunct/>
              <w:topLinePunct w:val="0"/>
              <w:autoSpaceDE/>
              <w:autoSpaceDN/>
              <w:bidi w:val="0"/>
              <w:adjustRightInd/>
              <w:snapToGrid/>
              <w:spacing w:after="200"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项目负责人及联系方式</w:t>
            </w:r>
          </w:p>
        </w:tc>
      </w:tr>
      <w:tr w14:paraId="5381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1" w:type="dxa"/>
            <w:vAlign w:val="center"/>
          </w:tcPr>
          <w:p w14:paraId="27DFB7B1">
            <w:pPr>
              <w:keepNext w:val="0"/>
              <w:keepLines w:val="0"/>
              <w:pageBreakBefore w:val="0"/>
              <w:widowControl/>
              <w:kinsoku/>
              <w:wordWrap/>
              <w:overflowPunct/>
              <w:topLinePunct w:val="0"/>
              <w:autoSpaceDE/>
              <w:autoSpaceDN/>
              <w:bidi w:val="0"/>
              <w:adjustRightInd/>
              <w:snapToGrid/>
              <w:spacing w:after="200" w:line="440" w:lineRule="exact"/>
              <w:jc w:val="center"/>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p>
        </w:tc>
        <w:tc>
          <w:tcPr>
            <w:tcW w:w="2970" w:type="dxa"/>
            <w:vAlign w:val="center"/>
          </w:tcPr>
          <w:p w14:paraId="167219C3">
            <w:pPr>
              <w:keepNext w:val="0"/>
              <w:keepLines w:val="0"/>
              <w:pageBreakBefore w:val="0"/>
              <w:widowControl/>
              <w:kinsoku/>
              <w:wordWrap/>
              <w:overflowPunct/>
              <w:topLinePunct w:val="0"/>
              <w:autoSpaceDE/>
              <w:autoSpaceDN/>
              <w:bidi w:val="0"/>
              <w:adjustRightInd/>
              <w:snapToGrid/>
              <w:spacing w:after="200" w:line="440" w:lineRule="exact"/>
              <w:jc w:val="center"/>
              <w:textAlignment w:val="auto"/>
              <w:rPr>
                <w:rFonts w:hint="eastAsia" w:ascii="宋体" w:hAnsi="宋体" w:eastAsia="宋体" w:cs="宋体"/>
                <w:color w:val="auto"/>
                <w:kern w:val="0"/>
                <w:sz w:val="24"/>
                <w:highlight w:val="none"/>
                <w:lang w:val="zh-CN" w:eastAsia="zh-CN"/>
              </w:rPr>
            </w:pPr>
            <w:r>
              <w:rPr>
                <w:rFonts w:hint="eastAsia" w:ascii="宋体" w:hAnsi="宋体" w:cs="宋体"/>
                <w:color w:val="auto"/>
                <w:sz w:val="24"/>
                <w:szCs w:val="24"/>
                <w:highlight w:val="none"/>
                <w:lang w:eastAsia="zh-CN"/>
              </w:rPr>
              <w:t>2025年衢州市柯城区市场监督管理局食品（餐饮）检测服务项目</w:t>
            </w:r>
          </w:p>
        </w:tc>
        <w:tc>
          <w:tcPr>
            <w:tcW w:w="2115" w:type="dxa"/>
            <w:vAlign w:val="center"/>
          </w:tcPr>
          <w:p w14:paraId="2553C3D6">
            <w:pPr>
              <w:keepNext w:val="0"/>
              <w:keepLines w:val="0"/>
              <w:pageBreakBefore w:val="0"/>
              <w:widowControl/>
              <w:kinsoku/>
              <w:wordWrap/>
              <w:overflowPunct/>
              <w:topLinePunct w:val="0"/>
              <w:autoSpaceDE/>
              <w:autoSpaceDN/>
              <w:bidi w:val="0"/>
              <w:adjustRightInd/>
              <w:snapToGrid/>
              <w:spacing w:after="200" w:line="440" w:lineRule="exact"/>
              <w:jc w:val="center"/>
              <w:textAlignment w:val="auto"/>
              <w:rPr>
                <w:rFonts w:hint="default" w:ascii="宋体" w:hAnsi="宋体" w:eastAsia="宋体" w:cs="宋体"/>
                <w:color w:val="auto"/>
                <w:kern w:val="0"/>
                <w:sz w:val="24"/>
                <w:highlight w:val="none"/>
                <w:lang w:val="en-US"/>
              </w:rPr>
            </w:pPr>
            <w:r>
              <w:rPr>
                <w:rFonts w:hint="eastAsia" w:ascii="宋体" w:hAnsi="宋体" w:cs="宋体"/>
                <w:color w:val="auto"/>
                <w:kern w:val="0"/>
                <w:sz w:val="24"/>
                <w:highlight w:val="none"/>
                <w:lang w:val="en-US" w:eastAsia="zh-CN"/>
              </w:rPr>
              <w:t>800批次</w:t>
            </w:r>
          </w:p>
        </w:tc>
        <w:tc>
          <w:tcPr>
            <w:tcW w:w="3122" w:type="dxa"/>
            <w:vAlign w:val="center"/>
          </w:tcPr>
          <w:p w14:paraId="103EFCA1">
            <w:pPr>
              <w:keepNext w:val="0"/>
              <w:keepLines w:val="0"/>
              <w:pageBreakBefore w:val="0"/>
              <w:widowControl/>
              <w:kinsoku/>
              <w:wordWrap/>
              <w:overflowPunct/>
              <w:topLinePunct w:val="0"/>
              <w:autoSpaceDE/>
              <w:autoSpaceDN/>
              <w:bidi w:val="0"/>
              <w:adjustRightInd/>
              <w:snapToGrid/>
              <w:spacing w:after="200" w:line="440" w:lineRule="exact"/>
              <w:jc w:val="center"/>
              <w:textAlignment w:val="auto"/>
              <w:rPr>
                <w:rFonts w:hint="default" w:ascii="宋体" w:hAnsi="宋体" w:eastAsia="宋体" w:cs="宋体"/>
                <w:color w:val="auto"/>
                <w:kern w:val="0"/>
                <w:sz w:val="24"/>
                <w:highlight w:val="none"/>
                <w:lang w:val="en-US" w:eastAsia="zh-CN"/>
              </w:rPr>
            </w:pPr>
          </w:p>
        </w:tc>
      </w:tr>
      <w:tr w14:paraId="4FD6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3871" w:type="dxa"/>
            <w:gridSpan w:val="2"/>
            <w:vAlign w:val="center"/>
          </w:tcPr>
          <w:p w14:paraId="4BFAC935">
            <w:pPr>
              <w:keepNext w:val="0"/>
              <w:keepLines w:val="0"/>
              <w:pageBreakBefore w:val="0"/>
              <w:widowControl/>
              <w:kinsoku/>
              <w:wordWrap/>
              <w:overflowPunct/>
              <w:topLinePunct w:val="0"/>
              <w:autoSpaceDE/>
              <w:autoSpaceDN/>
              <w:bidi w:val="0"/>
              <w:adjustRightInd/>
              <w:snapToGrid/>
              <w:spacing w:after="200"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响应报价</w:t>
            </w:r>
          </w:p>
        </w:tc>
        <w:tc>
          <w:tcPr>
            <w:tcW w:w="5237" w:type="dxa"/>
            <w:gridSpan w:val="2"/>
            <w:vAlign w:val="center"/>
          </w:tcPr>
          <w:p w14:paraId="507B3EB3">
            <w:pPr>
              <w:keepNext w:val="0"/>
              <w:keepLines w:val="0"/>
              <w:pageBreakBefore w:val="0"/>
              <w:widowControl/>
              <w:kinsoku/>
              <w:wordWrap/>
              <w:overflowPunct/>
              <w:topLinePunct w:val="0"/>
              <w:autoSpaceDE/>
              <w:autoSpaceDN/>
              <w:bidi w:val="0"/>
              <w:adjustRightInd/>
              <w:snapToGrid/>
              <w:spacing w:after="200" w:line="44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以框架协议限定最高限价</w:t>
            </w:r>
            <w:r>
              <w:rPr>
                <w:rFonts w:hint="default" w:ascii="宋体" w:hAnsi="宋体" w:eastAsia="宋体" w:cs="宋体"/>
                <w:color w:val="auto"/>
                <w:kern w:val="0"/>
                <w:sz w:val="24"/>
                <w:highlight w:val="none"/>
                <w:lang w:val="en-US" w:eastAsia="zh-CN"/>
              </w:rPr>
              <w:t>的</w:t>
            </w:r>
            <w:r>
              <w:rPr>
                <w:rFonts w:hint="eastAsia" w:ascii="宋体" w:hAnsi="宋体" w:cs="宋体"/>
                <w:color w:val="auto"/>
                <w:kern w:val="0"/>
                <w:sz w:val="24"/>
                <w:highlight w:val="none"/>
                <w:lang w:val="en-US" w:eastAsia="zh-CN"/>
              </w:rPr>
              <w:t>100</w:t>
            </w:r>
            <w:r>
              <w:rPr>
                <w:rFonts w:hint="default" w:ascii="宋体" w:hAnsi="宋体" w:eastAsia="宋体" w:cs="宋体"/>
                <w:color w:val="auto"/>
                <w:kern w:val="0"/>
                <w:sz w:val="24"/>
                <w:highlight w:val="none"/>
                <w:lang w:val="en-US" w:eastAsia="zh-CN"/>
              </w:rPr>
              <w:t>%进行结算。</w:t>
            </w:r>
          </w:p>
        </w:tc>
      </w:tr>
    </w:tbl>
    <w:p w14:paraId="2F7D2A5A">
      <w:pPr>
        <w:keepNext w:val="0"/>
        <w:keepLines w:val="0"/>
        <w:pageBreakBefore w:val="0"/>
        <w:widowControl/>
        <w:kinsoku/>
        <w:wordWrap/>
        <w:overflowPunct/>
        <w:topLinePunct w:val="0"/>
        <w:autoSpaceDE/>
        <w:autoSpaceDN/>
        <w:bidi w:val="0"/>
        <w:adjustRightInd/>
        <w:snapToGrid/>
        <w:spacing w:after="200" w:line="44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注：</w:t>
      </w:r>
    </w:p>
    <w:p w14:paraId="402034D1">
      <w:pPr>
        <w:keepNext w:val="0"/>
        <w:keepLines w:val="0"/>
        <w:pageBreakBefore w:val="0"/>
        <w:widowControl/>
        <w:kinsoku/>
        <w:wordWrap/>
        <w:overflowPunct/>
        <w:topLinePunct w:val="0"/>
        <w:autoSpaceDE/>
        <w:autoSpaceDN/>
        <w:bidi w:val="0"/>
        <w:adjustRightInd/>
        <w:snapToGrid/>
        <w:spacing w:after="200" w:line="44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1、投标人需按本表格式填写，不得自行更改。</w:t>
      </w:r>
      <w:r>
        <w:rPr>
          <w:rFonts w:hint="eastAsia" w:ascii="宋体" w:hAnsi="宋体" w:eastAsia="宋体" w:cs="宋体"/>
          <w:color w:val="auto"/>
          <w:kern w:val="0"/>
          <w:sz w:val="24"/>
          <w:szCs w:val="24"/>
          <w:highlight w:val="none"/>
          <w:lang w:val="zh-CN"/>
        </w:rPr>
        <w:tab/>
      </w:r>
    </w:p>
    <w:p w14:paraId="14922DD1">
      <w:pPr>
        <w:keepNext w:val="0"/>
        <w:keepLines w:val="0"/>
        <w:pageBreakBefore w:val="0"/>
        <w:widowControl/>
        <w:kinsoku/>
        <w:wordWrap/>
        <w:overflowPunct/>
        <w:topLinePunct w:val="0"/>
        <w:autoSpaceDE/>
        <w:autoSpaceDN/>
        <w:bidi w:val="0"/>
        <w:adjustRightInd/>
        <w:snapToGrid/>
        <w:spacing w:after="200" w:line="44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zh-CN" w:eastAsia="zh-CN"/>
        </w:rPr>
        <w:t>投标</w:t>
      </w:r>
      <w:r>
        <w:rPr>
          <w:rFonts w:hint="eastAsia" w:ascii="宋体" w:hAnsi="宋体" w:eastAsia="宋体" w:cs="宋体"/>
          <w:color w:val="auto"/>
          <w:kern w:val="0"/>
          <w:sz w:val="24"/>
          <w:szCs w:val="24"/>
          <w:highlight w:val="none"/>
          <w:lang w:val="zh-CN"/>
        </w:rPr>
        <w:t>报价以人民币为结算货币，完成本项目全部工作内容所需的全部费用（包括印章材料费用、印章刻制所需设备、备品备件及劳务费、差旅、交通、通信、税金等）均应计入报价。</w:t>
      </w:r>
      <w:r>
        <w:rPr>
          <w:rFonts w:hint="eastAsia" w:ascii="宋体" w:hAnsi="宋体" w:eastAsia="宋体" w:cs="宋体"/>
          <w:b/>
          <w:bCs/>
          <w:color w:val="auto"/>
          <w:kern w:val="0"/>
          <w:sz w:val="24"/>
          <w:szCs w:val="24"/>
          <w:highlight w:val="none"/>
          <w:lang w:val="zh-CN"/>
        </w:rPr>
        <w:t>如有漏项，视同已包含在其总项目中，合同总价不予调整</w:t>
      </w:r>
      <w:r>
        <w:rPr>
          <w:rFonts w:hint="eastAsia" w:ascii="宋体" w:hAnsi="宋体" w:eastAsia="宋体" w:cs="宋体"/>
          <w:color w:val="auto"/>
          <w:kern w:val="0"/>
          <w:sz w:val="24"/>
          <w:szCs w:val="24"/>
          <w:highlight w:val="none"/>
          <w:lang w:val="zh-CN"/>
        </w:rPr>
        <w:t>。</w:t>
      </w:r>
    </w:p>
    <w:p w14:paraId="0BE3BCE9">
      <w:pPr>
        <w:pStyle w:val="2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376B7833">
      <w:pPr>
        <w:bidi w:val="0"/>
        <w:rPr>
          <w:rFonts w:hint="eastAsia"/>
          <w:color w:val="auto"/>
          <w:highlight w:val="none"/>
        </w:rPr>
      </w:pPr>
    </w:p>
    <w:p w14:paraId="791E5518">
      <w:pPr>
        <w:bidi w:val="0"/>
        <w:rPr>
          <w:rFonts w:hint="eastAsia"/>
          <w:color w:val="auto"/>
          <w:highlight w:val="none"/>
        </w:rPr>
      </w:pPr>
    </w:p>
    <w:p w14:paraId="49D927C6">
      <w:pPr>
        <w:autoSpaceDE w:val="0"/>
        <w:autoSpaceDN w:val="0"/>
        <w:spacing w:line="360" w:lineRule="auto"/>
        <w:ind w:left="2" w:leftChars="1" w:right="1120" w:firstLine="3990" w:firstLineChars="1900"/>
        <w:jc w:val="left"/>
        <w:rPr>
          <w:rFonts w:hint="eastAsia" w:ascii="宋体" w:hAnsi="宋体" w:eastAsia="宋体" w:cs="宋体"/>
          <w:color w:val="auto"/>
          <w:kern w:val="0"/>
          <w:sz w:val="24"/>
          <w:highlight w:val="none"/>
          <w:lang w:val="zh-CN"/>
        </w:rPr>
      </w:pPr>
      <w:r>
        <w:rPr>
          <w:rFonts w:hint="eastAsia"/>
          <w:color w:val="auto"/>
          <w:highlight w:val="none"/>
          <w:lang w:eastAsia="zh-CN"/>
        </w:rPr>
        <w:tab/>
      </w:r>
      <w:r>
        <w:rPr>
          <w:rFonts w:hint="eastAsia" w:ascii="宋体" w:hAnsi="宋体" w:eastAsia="宋体" w:cs="宋体"/>
          <w:color w:val="auto"/>
          <w:kern w:val="0"/>
          <w:sz w:val="24"/>
          <w:highlight w:val="none"/>
          <w:lang w:val="zh-CN"/>
        </w:rPr>
        <w:t>响应供应商名称（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319E4BB">
      <w:pPr>
        <w:spacing w:line="360" w:lineRule="auto"/>
        <w:ind w:left="4620" w:left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83907A5">
      <w:pPr>
        <w:tabs>
          <w:tab w:val="center" w:pos="4535"/>
        </w:tabs>
        <w:bidi w:val="0"/>
        <w:jc w:val="left"/>
        <w:rPr>
          <w:rFonts w:hint="eastAsia" w:eastAsia="宋体"/>
          <w:color w:val="auto"/>
          <w:highlight w:val="none"/>
          <w:lang w:eastAsia="zh-CN"/>
        </w:rPr>
        <w:sectPr>
          <w:pgSz w:w="11906" w:h="16838"/>
          <w:pgMar w:top="1276" w:right="1418" w:bottom="1247" w:left="1418" w:header="851" w:footer="992" w:gutter="0"/>
          <w:cols w:space="720" w:num="1"/>
          <w:titlePg/>
          <w:docGrid w:linePitch="312" w:charSpace="0"/>
        </w:sectPr>
      </w:pPr>
    </w:p>
    <w:p w14:paraId="0536E21D">
      <w:pPr>
        <w:pStyle w:val="14"/>
        <w:tabs>
          <w:tab w:val="left" w:pos="0"/>
          <w:tab w:val="left" w:pos="1260"/>
          <w:tab w:val="left" w:pos="1365"/>
          <w:tab w:val="left" w:pos="4326"/>
        </w:tabs>
        <w:ind w:firstLine="2811" w:firstLineChars="1000"/>
        <w:rPr>
          <w:rFonts w:hint="eastAsia" w:ascii="宋体" w:hAnsi="宋体" w:eastAsia="宋体" w:cs="宋体"/>
          <w:b/>
          <w:smallCaps/>
          <w:color w:val="auto"/>
          <w:kern w:val="2"/>
          <w:sz w:val="28"/>
          <w:szCs w:val="28"/>
          <w:highlight w:val="none"/>
          <w:lang w:val="en-US" w:eastAsia="zh-CN" w:bidi="ar-SA"/>
        </w:rPr>
      </w:pPr>
      <w:r>
        <w:rPr>
          <w:rFonts w:hint="eastAsia" w:ascii="宋体" w:hAnsi="宋体" w:eastAsia="宋体" w:cs="宋体"/>
          <w:b/>
          <w:smallCaps/>
          <w:color w:val="auto"/>
          <w:kern w:val="2"/>
          <w:sz w:val="28"/>
          <w:szCs w:val="28"/>
          <w:highlight w:val="none"/>
          <w:lang w:val="en-US" w:eastAsia="zh-CN" w:bidi="ar-SA"/>
        </w:rPr>
        <w:t>二、结算原则承诺函</w:t>
      </w:r>
    </w:p>
    <w:p w14:paraId="326E447C">
      <w:pPr>
        <w:pStyle w:val="14"/>
        <w:tabs>
          <w:tab w:val="left" w:pos="0"/>
          <w:tab w:val="left" w:pos="1260"/>
          <w:tab w:val="left" w:pos="1365"/>
          <w:tab w:val="left" w:pos="4326"/>
        </w:tabs>
        <w:ind w:firstLine="627" w:firstLineChars="299"/>
        <w:rPr>
          <w:color w:val="auto"/>
          <w:sz w:val="21"/>
          <w:szCs w:val="21"/>
          <w:highlight w:val="none"/>
        </w:rPr>
      </w:pPr>
    </w:p>
    <w:p w14:paraId="400B82AF">
      <w:pPr>
        <w:pStyle w:val="14"/>
        <w:tabs>
          <w:tab w:val="left" w:pos="0"/>
          <w:tab w:val="left" w:pos="1260"/>
          <w:tab w:val="left" w:pos="1365"/>
        </w:tabs>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u w:val="single"/>
        </w:rPr>
        <w:t xml:space="preserve">致（采购人）                   </w:t>
      </w:r>
      <w:r>
        <w:rPr>
          <w:rFonts w:hint="eastAsia" w:asciiTheme="majorEastAsia" w:hAnsiTheme="majorEastAsia" w:eastAsiaTheme="majorEastAsia" w:cstheme="majorEastAsia"/>
          <w:color w:val="auto"/>
          <w:highlight w:val="none"/>
        </w:rPr>
        <w:t>：</w:t>
      </w:r>
    </w:p>
    <w:p w14:paraId="2E3FD9B6">
      <w:pPr>
        <w:snapToGrid w:val="0"/>
        <w:spacing w:before="50" w:after="120" w:afterLines="50" w:line="360" w:lineRule="auto"/>
        <w:ind w:firstLine="480" w:firstLineChars="200"/>
        <w:rPr>
          <w:rFonts w:hint="eastAsia" w:asciiTheme="majorEastAsia" w:hAnsiTheme="majorEastAsia" w:eastAsiaTheme="majorEastAsia" w:cstheme="majorEastAsia"/>
          <w:color w:val="auto"/>
          <w:sz w:val="24"/>
          <w:highlight w:val="none"/>
        </w:rPr>
      </w:pPr>
    </w:p>
    <w:p w14:paraId="1FC770CD">
      <w:pPr>
        <w:snapToGrid w:val="0"/>
        <w:spacing w:before="50" w:after="120" w:afterLines="50"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一旦我单位中标，成为</w:t>
      </w:r>
      <w:r>
        <w:rPr>
          <w:rFonts w:hint="eastAsia" w:ascii="宋体" w:hAnsi="宋体" w:cs="宋体"/>
          <w:color w:val="auto"/>
          <w:kern w:val="0"/>
          <w:sz w:val="24"/>
          <w:szCs w:val="24"/>
          <w:highlight w:val="none"/>
          <w:u w:val="single"/>
          <w:lang w:val="zh-CN" w:eastAsia="zh-CN"/>
        </w:rPr>
        <w:t>2025年衢州市柯城区市场监督管理局食品（餐饮）检测服务项目</w:t>
      </w:r>
      <w:r>
        <w:rPr>
          <w:rFonts w:hint="eastAsia" w:asciiTheme="majorEastAsia" w:hAnsiTheme="majorEastAsia" w:eastAsiaTheme="majorEastAsia" w:cstheme="majorEastAsia"/>
          <w:color w:val="auto"/>
          <w:sz w:val="24"/>
          <w:highlight w:val="none"/>
        </w:rPr>
        <w:t>供应商之一，我单位承诺以</w:t>
      </w:r>
      <w:r>
        <w:rPr>
          <w:rFonts w:hint="eastAsia" w:asciiTheme="majorEastAsia" w:hAnsiTheme="majorEastAsia" w:eastAsiaTheme="majorEastAsia" w:cstheme="majorEastAsia"/>
          <w:color w:val="auto"/>
          <w:sz w:val="24"/>
          <w:highlight w:val="none"/>
          <w:lang w:val="en-US" w:eastAsia="zh-CN"/>
        </w:rPr>
        <w:t>框架协议</w:t>
      </w:r>
      <w:r>
        <w:rPr>
          <w:rFonts w:hint="eastAsia" w:ascii="宋体" w:hAnsi="宋体" w:cs="宋体"/>
          <w:color w:val="auto"/>
          <w:kern w:val="0"/>
          <w:sz w:val="24"/>
          <w:highlight w:val="none"/>
          <w:lang w:val="en-US" w:eastAsia="zh-CN"/>
        </w:rPr>
        <w:t>限定最高限价</w:t>
      </w:r>
      <w:r>
        <w:rPr>
          <w:rFonts w:hint="eastAsia" w:asciiTheme="majorEastAsia" w:hAnsiTheme="majorEastAsia" w:eastAsiaTheme="majorEastAsia" w:cstheme="majorEastAsia"/>
          <w:color w:val="auto"/>
          <w:sz w:val="24"/>
          <w:highlight w:val="none"/>
        </w:rPr>
        <w:t>的</w:t>
      </w:r>
      <w:r>
        <w:rPr>
          <w:rFonts w:hint="eastAsia" w:asciiTheme="majorEastAsia" w:hAnsiTheme="majorEastAsia" w:eastAsiaTheme="majorEastAsia" w:cstheme="majorEastAsia"/>
          <w:color w:val="auto"/>
          <w:sz w:val="24"/>
          <w:highlight w:val="none"/>
          <w:lang w:val="en-US" w:eastAsia="zh-CN"/>
        </w:rPr>
        <w:t>100</w:t>
      </w:r>
      <w:r>
        <w:rPr>
          <w:rFonts w:hint="eastAsia" w:asciiTheme="majorEastAsia" w:hAnsiTheme="majorEastAsia" w:eastAsiaTheme="majorEastAsia" w:cstheme="majorEastAsia"/>
          <w:color w:val="auto"/>
          <w:sz w:val="24"/>
          <w:highlight w:val="none"/>
        </w:rPr>
        <w:t>%进行结算，不以低价恶性竞争扰乱</w:t>
      </w:r>
      <w:r>
        <w:rPr>
          <w:rFonts w:hint="eastAsia" w:asciiTheme="majorEastAsia" w:hAnsiTheme="majorEastAsia" w:eastAsiaTheme="majorEastAsia" w:cstheme="majorEastAsia"/>
          <w:color w:val="auto"/>
          <w:sz w:val="24"/>
          <w:highlight w:val="none"/>
          <w:lang w:val="en-US" w:eastAsia="zh-CN"/>
        </w:rPr>
        <w:t>检测服务</w:t>
      </w:r>
      <w:r>
        <w:rPr>
          <w:rFonts w:hint="eastAsia" w:asciiTheme="majorEastAsia" w:hAnsiTheme="majorEastAsia" w:eastAsiaTheme="majorEastAsia" w:cstheme="majorEastAsia"/>
          <w:color w:val="auto"/>
          <w:sz w:val="24"/>
          <w:highlight w:val="none"/>
        </w:rPr>
        <w:t>市场。</w:t>
      </w:r>
    </w:p>
    <w:p w14:paraId="7B312EC2">
      <w:pPr>
        <w:snapToGrid w:val="0"/>
        <w:spacing w:before="50" w:after="120" w:afterLines="50" w:line="360" w:lineRule="auto"/>
        <w:rPr>
          <w:rFonts w:hint="eastAsia" w:asciiTheme="majorEastAsia" w:hAnsiTheme="majorEastAsia" w:eastAsiaTheme="majorEastAsia" w:cstheme="majorEastAsia"/>
          <w:color w:val="auto"/>
          <w:sz w:val="24"/>
          <w:highlight w:val="none"/>
        </w:rPr>
      </w:pPr>
    </w:p>
    <w:p w14:paraId="06B75CF1">
      <w:pPr>
        <w:snapToGrid w:val="0"/>
        <w:spacing w:before="50" w:after="120" w:afterLines="50" w:line="360" w:lineRule="auto"/>
        <w:ind w:firstLine="480" w:firstLineChars="200"/>
        <w:rPr>
          <w:rFonts w:hint="eastAsia" w:asciiTheme="majorEastAsia" w:hAnsiTheme="majorEastAsia" w:eastAsiaTheme="majorEastAsia" w:cstheme="majorEastAsia"/>
          <w:color w:val="auto"/>
          <w:sz w:val="24"/>
          <w:highlight w:val="none"/>
        </w:rPr>
      </w:pPr>
    </w:p>
    <w:p w14:paraId="393FDBE3">
      <w:pPr>
        <w:pStyle w:val="14"/>
        <w:tabs>
          <w:tab w:val="left" w:pos="0"/>
          <w:tab w:val="left" w:pos="1260"/>
          <w:tab w:val="left" w:pos="1365"/>
        </w:tabs>
        <w:ind w:firstLine="4320" w:firstLineChars="18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响应供应商名称（</w:t>
      </w:r>
      <w:r>
        <w:rPr>
          <w:rFonts w:hint="eastAsia" w:asciiTheme="majorEastAsia" w:hAnsiTheme="majorEastAsia" w:eastAsiaTheme="majorEastAsia" w:cstheme="majorEastAsia"/>
          <w:color w:val="auto"/>
          <w:sz w:val="24"/>
          <w:highlight w:val="none"/>
        </w:rPr>
        <w:t>电子签名</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highlight w:val="none"/>
        </w:rPr>
        <w:t>：</w:t>
      </w:r>
    </w:p>
    <w:p w14:paraId="4413ABE6">
      <w:pPr>
        <w:pStyle w:val="14"/>
        <w:tabs>
          <w:tab w:val="left" w:pos="0"/>
          <w:tab w:val="left" w:pos="1260"/>
          <w:tab w:val="left" w:pos="1365"/>
        </w:tabs>
        <w:ind w:firstLine="4320" w:firstLineChars="1800"/>
        <w:rPr>
          <w:rFonts w:hint="eastAsia" w:asciiTheme="majorEastAsia" w:hAnsiTheme="majorEastAsia" w:eastAsiaTheme="majorEastAsia" w:cstheme="majorEastAsia"/>
          <w:color w:val="auto"/>
          <w:highlight w:val="none"/>
        </w:rPr>
      </w:pPr>
    </w:p>
    <w:p w14:paraId="6FBBDDD4">
      <w:pPr>
        <w:pStyle w:val="14"/>
        <w:tabs>
          <w:tab w:val="left" w:pos="0"/>
          <w:tab w:val="left" w:pos="1260"/>
          <w:tab w:val="left" w:pos="1365"/>
        </w:tabs>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Cs/>
          <w:color w:val="auto"/>
          <w:highlight w:val="none"/>
        </w:rPr>
        <w:t>法定代表人或</w:t>
      </w:r>
      <w:r>
        <w:rPr>
          <w:rFonts w:hint="eastAsia" w:asciiTheme="majorEastAsia" w:hAnsiTheme="majorEastAsia" w:eastAsiaTheme="majorEastAsia" w:cstheme="majorEastAsia"/>
          <w:color w:val="auto"/>
          <w:highlight w:val="none"/>
        </w:rPr>
        <w:t>投标人代表（签字或盖章）：</w:t>
      </w:r>
    </w:p>
    <w:p w14:paraId="0CFAC370">
      <w:pPr>
        <w:pStyle w:val="14"/>
        <w:tabs>
          <w:tab w:val="left" w:pos="0"/>
          <w:tab w:val="left" w:pos="1260"/>
          <w:tab w:val="left" w:pos="1365"/>
        </w:tabs>
        <w:rPr>
          <w:rFonts w:hint="eastAsia" w:asciiTheme="majorEastAsia" w:hAnsiTheme="majorEastAsia" w:eastAsiaTheme="majorEastAsia" w:cstheme="majorEastAsia"/>
          <w:color w:val="auto"/>
          <w:highlight w:val="none"/>
        </w:rPr>
      </w:pPr>
    </w:p>
    <w:p w14:paraId="245683BC">
      <w:pPr>
        <w:pStyle w:val="14"/>
        <w:tabs>
          <w:tab w:val="left" w:pos="0"/>
          <w:tab w:val="left" w:pos="1260"/>
          <w:tab w:val="left" w:pos="1365"/>
          <w:tab w:val="left" w:pos="4326"/>
        </w:tabs>
        <w:ind w:firstLine="4341" w:firstLineChars="1809"/>
        <w:rPr>
          <w:rFonts w:hint="eastAsia" w:asciiTheme="majorEastAsia" w:hAnsiTheme="majorEastAsia" w:eastAsiaTheme="majorEastAsia" w:cstheme="majorEastAsia"/>
          <w:color w:val="auto"/>
          <w:sz w:val="24"/>
          <w:highlight w:val="none"/>
          <w:lang w:eastAsia="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r>
        <w:rPr>
          <w:rFonts w:hint="eastAsia" w:asciiTheme="majorEastAsia" w:hAnsiTheme="majorEastAsia" w:eastAsiaTheme="majorEastAsia" w:cstheme="majorEastAsia"/>
          <w:color w:val="auto"/>
          <w:highlight w:val="none"/>
        </w:rPr>
        <w:t>日期</w:t>
      </w:r>
      <w:r>
        <w:rPr>
          <w:rFonts w:hint="eastAsia" w:asciiTheme="majorEastAsia" w:hAnsiTheme="majorEastAsia" w:eastAsiaTheme="majorEastAsia" w:cstheme="majorEastAsia"/>
          <w:color w:val="auto"/>
          <w:highlight w:val="none"/>
          <w:lang w:eastAsia="zh-CN"/>
        </w:rPr>
        <w:t>：</w:t>
      </w:r>
    </w:p>
    <w:p w14:paraId="3329FB99">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rPr>
        <w:t>、政府采购支持中小企业信用融资相关事项通知</w:t>
      </w:r>
    </w:p>
    <w:p w14:paraId="5E48EA67">
      <w:pPr>
        <w:tabs>
          <w:tab w:val="center" w:pos="4535"/>
        </w:tabs>
        <w:bidi w:val="0"/>
        <w:jc w:val="left"/>
        <w:rPr>
          <w:rFonts w:hint="eastAsia" w:ascii="宋体" w:hAnsi="宋体" w:eastAsia="宋体" w:cs="宋体"/>
          <w:color w:val="auto"/>
          <w:highlight w:val="none"/>
          <w:lang w:eastAsia="zh-CN"/>
        </w:rPr>
        <w:sectPr>
          <w:pgSz w:w="11906" w:h="16838"/>
          <w:pgMar w:top="1276" w:right="1418" w:bottom="1247" w:left="1418" w:header="851" w:footer="992" w:gutter="0"/>
          <w:cols w:space="720" w:num="1"/>
          <w:titlePg/>
          <w:docGrid w:linePitch="312" w:charSpace="0"/>
        </w:sectPr>
      </w:pPr>
      <w:r>
        <w:rPr>
          <w:rFonts w:hint="eastAsia" w:ascii="宋体" w:hAnsi="宋体" w:eastAsia="宋体" w:cs="宋体"/>
          <w:snapToGrid w:val="0"/>
          <w:color w:val="auto"/>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06E0E843">
      <w:pPr>
        <w:pStyle w:val="4"/>
        <w:keepNext w:val="0"/>
        <w:keepLines w:val="0"/>
        <w:pageBreakBefore/>
        <w:widowControl/>
        <w:numPr>
          <w:ilvl w:val="0"/>
          <w:numId w:val="0"/>
        </w:numPr>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附件</w:t>
      </w:r>
    </w:p>
    <w:p w14:paraId="071B979B">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5864B0F">
      <w:pPr>
        <w:spacing w:line="360" w:lineRule="auto"/>
        <w:jc w:val="center"/>
        <w:rPr>
          <w:rFonts w:hint="eastAsia" w:ascii="宋体" w:hAnsi="宋体" w:eastAsia="宋体" w:cs="宋体"/>
          <w:b/>
          <w:color w:val="auto"/>
          <w:spacing w:val="6"/>
          <w:sz w:val="32"/>
          <w:szCs w:val="32"/>
          <w:highlight w:val="none"/>
        </w:rPr>
      </w:pPr>
      <w:bookmarkStart w:id="372" w:name="OLE_LINK13"/>
      <w:bookmarkStart w:id="373" w:name="OLE_LINK14"/>
      <w:r>
        <w:rPr>
          <w:rFonts w:hint="eastAsia" w:ascii="宋体" w:hAnsi="宋体" w:eastAsia="宋体" w:cs="宋体"/>
          <w:b/>
          <w:color w:val="auto"/>
          <w:spacing w:val="6"/>
          <w:sz w:val="32"/>
          <w:szCs w:val="32"/>
          <w:highlight w:val="none"/>
        </w:rPr>
        <w:t>残疾人福利性单位声明函</w:t>
      </w:r>
    </w:p>
    <w:bookmarkEnd w:id="372"/>
    <w:bookmarkEnd w:id="373"/>
    <w:p w14:paraId="07F20819">
      <w:pPr>
        <w:spacing w:line="360" w:lineRule="auto"/>
        <w:rPr>
          <w:rFonts w:hint="eastAsia" w:ascii="宋体" w:hAnsi="宋体" w:eastAsia="宋体" w:cs="宋体"/>
          <w:b/>
          <w:color w:val="auto"/>
          <w:spacing w:val="6"/>
          <w:sz w:val="30"/>
          <w:szCs w:val="30"/>
          <w:highlight w:val="none"/>
        </w:rPr>
      </w:pPr>
    </w:p>
    <w:p w14:paraId="26A2CA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E017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7C26AE0">
      <w:pPr>
        <w:spacing w:line="360" w:lineRule="auto"/>
        <w:ind w:firstLine="480" w:firstLineChars="200"/>
        <w:rPr>
          <w:rFonts w:hint="eastAsia" w:ascii="宋体" w:hAnsi="宋体" w:eastAsia="宋体" w:cs="宋体"/>
          <w:color w:val="auto"/>
          <w:sz w:val="24"/>
          <w:highlight w:val="none"/>
        </w:rPr>
      </w:pPr>
    </w:p>
    <w:p w14:paraId="06EF1F9D">
      <w:pPr>
        <w:spacing w:line="360" w:lineRule="auto"/>
        <w:ind w:firstLine="480" w:firstLineChars="200"/>
        <w:rPr>
          <w:rFonts w:hint="eastAsia" w:ascii="宋体" w:hAnsi="宋体" w:eastAsia="宋体" w:cs="宋体"/>
          <w:color w:val="auto"/>
          <w:sz w:val="24"/>
          <w:highlight w:val="none"/>
        </w:rPr>
      </w:pPr>
    </w:p>
    <w:p w14:paraId="25BA33A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43961B6">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0FE4C1B">
      <w:pPr>
        <w:spacing w:line="360" w:lineRule="auto"/>
        <w:ind w:firstLine="480" w:firstLineChars="200"/>
        <w:rPr>
          <w:rFonts w:hint="eastAsia" w:ascii="宋体" w:hAnsi="宋体" w:eastAsia="宋体" w:cs="宋体"/>
          <w:color w:val="auto"/>
          <w:sz w:val="24"/>
          <w:highlight w:val="none"/>
        </w:rPr>
      </w:pPr>
    </w:p>
    <w:p w14:paraId="56ECE7F1">
      <w:pPr>
        <w:spacing w:line="360" w:lineRule="auto"/>
        <w:ind w:firstLine="420" w:firstLineChars="200"/>
        <w:rPr>
          <w:rFonts w:hint="eastAsia" w:ascii="宋体" w:hAnsi="宋体" w:eastAsia="宋体" w:cs="宋体"/>
          <w:color w:val="auto"/>
          <w:highlight w:val="none"/>
        </w:rPr>
      </w:pPr>
    </w:p>
    <w:p w14:paraId="6092D581">
      <w:pPr>
        <w:spacing w:line="360" w:lineRule="auto"/>
        <w:ind w:firstLine="420" w:firstLineChars="200"/>
        <w:rPr>
          <w:rFonts w:hint="eastAsia" w:ascii="宋体" w:hAnsi="宋体" w:eastAsia="宋体" w:cs="宋体"/>
          <w:color w:val="auto"/>
          <w:highlight w:val="none"/>
        </w:rPr>
      </w:pPr>
    </w:p>
    <w:p w14:paraId="44169CB6">
      <w:pPr>
        <w:spacing w:line="360" w:lineRule="auto"/>
        <w:ind w:firstLine="420" w:firstLineChars="200"/>
        <w:rPr>
          <w:rFonts w:hint="eastAsia" w:ascii="宋体" w:hAnsi="宋体" w:eastAsia="宋体" w:cs="宋体"/>
          <w:color w:val="auto"/>
          <w:highlight w:val="none"/>
        </w:rPr>
      </w:pPr>
    </w:p>
    <w:p w14:paraId="00CBBA65">
      <w:pPr>
        <w:spacing w:line="360" w:lineRule="auto"/>
        <w:ind w:firstLine="420" w:firstLineChars="200"/>
        <w:rPr>
          <w:rFonts w:hint="eastAsia" w:ascii="宋体" w:hAnsi="宋体" w:eastAsia="宋体" w:cs="宋体"/>
          <w:color w:val="auto"/>
          <w:highlight w:val="none"/>
        </w:rPr>
      </w:pPr>
    </w:p>
    <w:p w14:paraId="6BA2590D">
      <w:pPr>
        <w:spacing w:line="360" w:lineRule="auto"/>
        <w:rPr>
          <w:rFonts w:hint="eastAsia" w:ascii="宋体" w:hAnsi="宋体" w:eastAsia="宋体" w:cs="宋体"/>
          <w:b/>
          <w:color w:val="auto"/>
          <w:sz w:val="24"/>
          <w:highlight w:val="none"/>
        </w:rPr>
      </w:pPr>
    </w:p>
    <w:p w14:paraId="329D74FE">
      <w:pPr>
        <w:spacing w:line="360" w:lineRule="auto"/>
        <w:rPr>
          <w:rFonts w:hint="eastAsia" w:ascii="宋体" w:hAnsi="宋体" w:eastAsia="宋体" w:cs="宋体"/>
          <w:b/>
          <w:color w:val="auto"/>
          <w:sz w:val="24"/>
          <w:highlight w:val="none"/>
        </w:rPr>
      </w:pPr>
    </w:p>
    <w:p w14:paraId="0591DC59">
      <w:pPr>
        <w:spacing w:line="360" w:lineRule="auto"/>
        <w:rPr>
          <w:rFonts w:hint="eastAsia" w:ascii="宋体" w:hAnsi="宋体" w:eastAsia="宋体" w:cs="宋体"/>
          <w:b/>
          <w:color w:val="auto"/>
          <w:sz w:val="24"/>
          <w:highlight w:val="none"/>
        </w:rPr>
      </w:pPr>
    </w:p>
    <w:p w14:paraId="02498C1B">
      <w:pPr>
        <w:spacing w:line="360" w:lineRule="auto"/>
        <w:rPr>
          <w:rFonts w:hint="eastAsia" w:ascii="宋体" w:hAnsi="宋体" w:eastAsia="宋体" w:cs="宋体"/>
          <w:b/>
          <w:color w:val="auto"/>
          <w:sz w:val="24"/>
          <w:highlight w:val="none"/>
        </w:rPr>
      </w:pPr>
    </w:p>
    <w:p w14:paraId="4E52D412">
      <w:pPr>
        <w:spacing w:line="360" w:lineRule="auto"/>
        <w:rPr>
          <w:rFonts w:hint="eastAsia" w:ascii="宋体" w:hAnsi="宋体" w:eastAsia="宋体" w:cs="宋体"/>
          <w:b/>
          <w:color w:val="auto"/>
          <w:sz w:val="24"/>
          <w:highlight w:val="none"/>
        </w:rPr>
      </w:pPr>
    </w:p>
    <w:p w14:paraId="681E81A8">
      <w:pPr>
        <w:spacing w:line="360" w:lineRule="auto"/>
        <w:rPr>
          <w:rFonts w:hint="eastAsia" w:ascii="宋体" w:hAnsi="宋体" w:eastAsia="宋体" w:cs="宋体"/>
          <w:b/>
          <w:color w:val="auto"/>
          <w:sz w:val="24"/>
          <w:highlight w:val="none"/>
        </w:rPr>
      </w:pPr>
    </w:p>
    <w:p w14:paraId="5C14262B">
      <w:pPr>
        <w:pStyle w:val="11"/>
        <w:rPr>
          <w:rFonts w:hint="eastAsia" w:ascii="宋体" w:hAnsi="宋体" w:eastAsia="宋体" w:cs="宋体"/>
          <w:b/>
          <w:bCs/>
          <w:color w:val="auto"/>
          <w:sz w:val="32"/>
          <w:szCs w:val="32"/>
          <w:highlight w:val="none"/>
          <w:lang w:val="en-US"/>
        </w:rPr>
      </w:pPr>
    </w:p>
    <w:p w14:paraId="42DFA571">
      <w:pPr>
        <w:spacing w:line="360" w:lineRule="auto"/>
        <w:jc w:val="left"/>
        <w:rPr>
          <w:rFonts w:hint="eastAsia" w:ascii="宋体" w:hAnsi="宋体" w:eastAsia="宋体" w:cs="宋体"/>
          <w:b/>
          <w:color w:val="auto"/>
          <w:spacing w:val="6"/>
          <w:sz w:val="32"/>
          <w:szCs w:val="32"/>
          <w:highlight w:val="none"/>
        </w:rPr>
      </w:pPr>
    </w:p>
    <w:p w14:paraId="50D18F7C">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21CCC84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2C533955">
      <w:pPr>
        <w:snapToGrid w:val="0"/>
        <w:spacing w:before="312"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18271A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2CED1A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046F0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D11D1F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7F0AD97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EB64B5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2B80BF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9F98C2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99539B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148173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11D375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DC4B14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020055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530974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70CC1A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A6F1BF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66A714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7762D7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A12687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61A6D3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198797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20F47A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B4ED4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3C3C634">
      <w:pPr>
        <w:spacing w:line="360" w:lineRule="auto"/>
        <w:jc w:val="center"/>
        <w:rPr>
          <w:rFonts w:hint="eastAsia" w:ascii="宋体" w:hAnsi="宋体" w:eastAsia="宋体" w:cs="宋体"/>
          <w:b/>
          <w:bCs/>
          <w:color w:val="auto"/>
          <w:sz w:val="24"/>
          <w:highlight w:val="none"/>
        </w:rPr>
      </w:pPr>
    </w:p>
    <w:p w14:paraId="3EFBC4BF">
      <w:pPr>
        <w:spacing w:line="360" w:lineRule="auto"/>
        <w:rPr>
          <w:rFonts w:hint="eastAsia" w:ascii="宋体" w:hAnsi="宋体" w:eastAsia="宋体" w:cs="宋体"/>
          <w:b/>
          <w:color w:val="auto"/>
          <w:sz w:val="24"/>
          <w:highlight w:val="none"/>
        </w:rPr>
      </w:pPr>
    </w:p>
    <w:p w14:paraId="0EB6A5F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0A46F1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F5DEA9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5AD1CA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B86551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620382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4BFEB4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B6FAF76">
      <w:pPr>
        <w:spacing w:line="360" w:lineRule="auto"/>
        <w:jc w:val="left"/>
        <w:rPr>
          <w:rFonts w:hint="eastAsia" w:ascii="宋体" w:hAnsi="宋体" w:eastAsia="宋体" w:cs="宋体"/>
          <w:b/>
          <w:color w:val="auto"/>
          <w:spacing w:val="6"/>
          <w:sz w:val="32"/>
          <w:szCs w:val="32"/>
          <w:highlight w:val="none"/>
        </w:rPr>
      </w:pPr>
    </w:p>
    <w:p w14:paraId="60356604">
      <w:pPr>
        <w:spacing w:line="360" w:lineRule="auto"/>
        <w:jc w:val="left"/>
        <w:rPr>
          <w:rFonts w:hint="eastAsia" w:ascii="宋体" w:hAnsi="宋体" w:eastAsia="宋体" w:cs="宋体"/>
          <w:b/>
          <w:color w:val="auto"/>
          <w:spacing w:val="6"/>
          <w:sz w:val="32"/>
          <w:szCs w:val="32"/>
          <w:highlight w:val="none"/>
        </w:rPr>
      </w:pPr>
    </w:p>
    <w:p w14:paraId="6AA66FB3">
      <w:pPr>
        <w:spacing w:line="360" w:lineRule="auto"/>
        <w:jc w:val="left"/>
        <w:rPr>
          <w:rFonts w:hint="eastAsia" w:ascii="宋体" w:hAnsi="宋体" w:eastAsia="宋体" w:cs="宋体"/>
          <w:b/>
          <w:color w:val="auto"/>
          <w:spacing w:val="6"/>
          <w:sz w:val="32"/>
          <w:szCs w:val="32"/>
          <w:highlight w:val="none"/>
        </w:rPr>
      </w:pPr>
    </w:p>
    <w:p w14:paraId="036D1B9A">
      <w:pPr>
        <w:spacing w:line="360" w:lineRule="auto"/>
        <w:jc w:val="left"/>
        <w:rPr>
          <w:rFonts w:hint="eastAsia" w:ascii="宋体" w:hAnsi="宋体" w:eastAsia="宋体" w:cs="宋体"/>
          <w:b/>
          <w:color w:val="auto"/>
          <w:spacing w:val="6"/>
          <w:sz w:val="32"/>
          <w:szCs w:val="32"/>
          <w:highlight w:val="none"/>
        </w:rPr>
      </w:pPr>
    </w:p>
    <w:p w14:paraId="5E872C5E">
      <w:pPr>
        <w:spacing w:line="360" w:lineRule="auto"/>
        <w:jc w:val="left"/>
        <w:rPr>
          <w:rFonts w:hint="eastAsia" w:ascii="宋体" w:hAnsi="宋体" w:eastAsia="宋体" w:cs="宋体"/>
          <w:b/>
          <w:color w:val="auto"/>
          <w:spacing w:val="6"/>
          <w:sz w:val="32"/>
          <w:szCs w:val="32"/>
          <w:highlight w:val="none"/>
        </w:rPr>
      </w:pPr>
    </w:p>
    <w:p w14:paraId="6BF89963">
      <w:pPr>
        <w:spacing w:line="360" w:lineRule="auto"/>
        <w:jc w:val="left"/>
        <w:rPr>
          <w:rFonts w:hint="eastAsia" w:ascii="宋体" w:hAnsi="宋体" w:eastAsia="宋体" w:cs="宋体"/>
          <w:b/>
          <w:color w:val="auto"/>
          <w:spacing w:val="6"/>
          <w:sz w:val="32"/>
          <w:szCs w:val="32"/>
          <w:highlight w:val="none"/>
        </w:rPr>
      </w:pPr>
    </w:p>
    <w:p w14:paraId="6ABF31E0">
      <w:pPr>
        <w:spacing w:line="360" w:lineRule="auto"/>
        <w:jc w:val="left"/>
        <w:rPr>
          <w:rFonts w:hint="eastAsia" w:ascii="宋体" w:hAnsi="宋体" w:eastAsia="宋体" w:cs="宋体"/>
          <w:b/>
          <w:color w:val="auto"/>
          <w:spacing w:val="6"/>
          <w:sz w:val="32"/>
          <w:szCs w:val="32"/>
          <w:highlight w:val="none"/>
        </w:rPr>
      </w:pPr>
    </w:p>
    <w:p w14:paraId="6D2BE242">
      <w:pPr>
        <w:spacing w:line="360" w:lineRule="auto"/>
        <w:jc w:val="left"/>
        <w:rPr>
          <w:rFonts w:hint="eastAsia" w:ascii="宋体" w:hAnsi="宋体" w:eastAsia="宋体" w:cs="宋体"/>
          <w:b/>
          <w:color w:val="auto"/>
          <w:spacing w:val="6"/>
          <w:sz w:val="32"/>
          <w:szCs w:val="32"/>
          <w:highlight w:val="none"/>
        </w:rPr>
      </w:pPr>
    </w:p>
    <w:p w14:paraId="44854E25">
      <w:pPr>
        <w:spacing w:line="360" w:lineRule="auto"/>
        <w:jc w:val="left"/>
        <w:rPr>
          <w:rFonts w:hint="eastAsia" w:ascii="宋体" w:hAnsi="宋体" w:eastAsia="宋体" w:cs="宋体"/>
          <w:b/>
          <w:color w:val="auto"/>
          <w:spacing w:val="6"/>
          <w:sz w:val="32"/>
          <w:szCs w:val="32"/>
          <w:highlight w:val="none"/>
        </w:rPr>
      </w:pPr>
    </w:p>
    <w:p w14:paraId="1E1A97AB">
      <w:pPr>
        <w:spacing w:line="360" w:lineRule="auto"/>
        <w:jc w:val="left"/>
        <w:rPr>
          <w:rFonts w:hint="eastAsia" w:ascii="宋体" w:hAnsi="宋体" w:eastAsia="宋体" w:cs="宋体"/>
          <w:b/>
          <w:color w:val="auto"/>
          <w:spacing w:val="6"/>
          <w:sz w:val="32"/>
          <w:szCs w:val="32"/>
          <w:highlight w:val="none"/>
        </w:rPr>
      </w:pPr>
    </w:p>
    <w:p w14:paraId="45E0E980">
      <w:pPr>
        <w:spacing w:line="360" w:lineRule="auto"/>
        <w:jc w:val="left"/>
        <w:rPr>
          <w:rFonts w:hint="eastAsia" w:ascii="宋体" w:hAnsi="宋体" w:eastAsia="宋体" w:cs="宋体"/>
          <w:b/>
          <w:color w:val="auto"/>
          <w:spacing w:val="6"/>
          <w:sz w:val="32"/>
          <w:szCs w:val="32"/>
          <w:highlight w:val="none"/>
        </w:rPr>
      </w:pPr>
    </w:p>
    <w:p w14:paraId="79F02538">
      <w:pPr>
        <w:spacing w:line="360" w:lineRule="auto"/>
        <w:jc w:val="left"/>
        <w:rPr>
          <w:rFonts w:hint="eastAsia" w:ascii="宋体" w:hAnsi="宋体" w:eastAsia="宋体" w:cs="宋体"/>
          <w:b/>
          <w:color w:val="auto"/>
          <w:spacing w:val="6"/>
          <w:sz w:val="32"/>
          <w:szCs w:val="32"/>
          <w:highlight w:val="none"/>
        </w:rPr>
      </w:pPr>
    </w:p>
    <w:p w14:paraId="5E682CDC">
      <w:pPr>
        <w:spacing w:line="360" w:lineRule="auto"/>
        <w:jc w:val="left"/>
        <w:rPr>
          <w:rFonts w:hint="eastAsia" w:ascii="宋体" w:hAnsi="宋体" w:eastAsia="宋体" w:cs="宋体"/>
          <w:b/>
          <w:color w:val="auto"/>
          <w:spacing w:val="6"/>
          <w:sz w:val="32"/>
          <w:szCs w:val="32"/>
          <w:highlight w:val="none"/>
        </w:rPr>
      </w:pPr>
    </w:p>
    <w:p w14:paraId="3090D104">
      <w:pPr>
        <w:spacing w:line="360" w:lineRule="auto"/>
        <w:jc w:val="left"/>
        <w:rPr>
          <w:rFonts w:hint="eastAsia" w:ascii="宋体" w:hAnsi="宋体" w:eastAsia="宋体" w:cs="宋体"/>
          <w:b/>
          <w:color w:val="auto"/>
          <w:spacing w:val="6"/>
          <w:sz w:val="32"/>
          <w:szCs w:val="32"/>
          <w:highlight w:val="none"/>
        </w:rPr>
      </w:pPr>
    </w:p>
    <w:p w14:paraId="7ADC1C48">
      <w:pPr>
        <w:spacing w:line="360" w:lineRule="auto"/>
        <w:jc w:val="left"/>
        <w:rPr>
          <w:rFonts w:hint="eastAsia" w:ascii="宋体" w:hAnsi="宋体" w:eastAsia="宋体" w:cs="宋体"/>
          <w:b/>
          <w:color w:val="auto"/>
          <w:spacing w:val="6"/>
          <w:sz w:val="32"/>
          <w:szCs w:val="32"/>
          <w:highlight w:val="none"/>
        </w:rPr>
      </w:pPr>
    </w:p>
    <w:p w14:paraId="4844A8EA">
      <w:pPr>
        <w:spacing w:line="360" w:lineRule="auto"/>
        <w:jc w:val="left"/>
        <w:rPr>
          <w:rFonts w:hint="eastAsia" w:ascii="宋体" w:hAnsi="宋体" w:eastAsia="宋体" w:cs="宋体"/>
          <w:b/>
          <w:color w:val="auto"/>
          <w:spacing w:val="6"/>
          <w:sz w:val="32"/>
          <w:szCs w:val="32"/>
          <w:highlight w:val="none"/>
        </w:rPr>
      </w:pPr>
    </w:p>
    <w:p w14:paraId="394935D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698CB1B">
      <w:pPr>
        <w:spacing w:line="360" w:lineRule="auto"/>
        <w:jc w:val="center"/>
        <w:rPr>
          <w:rFonts w:hint="eastAsia" w:ascii="宋体" w:hAnsi="宋体" w:eastAsia="宋体" w:cs="宋体"/>
          <w:b/>
          <w:color w:val="auto"/>
          <w:sz w:val="24"/>
          <w:highlight w:val="none"/>
        </w:rPr>
      </w:pPr>
    </w:p>
    <w:p w14:paraId="373AE8E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8E73F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611210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682FBA7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B75EED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7D10B31">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561A45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0CA1FD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C9C501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7BF2D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F2D843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97D0D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11351A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EFD45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7A189A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2A4BF6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4F9C8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13B567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2D83A3C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10133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AB2550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1F42BB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B25829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EB79A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48707548">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1B8529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774979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0ABBE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CEC237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9FA03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2BCC7D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C1B3DA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136AA1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35648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39CCDF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228BB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38FF7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4D653B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0D01A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4FA0E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7EC534D">
      <w:pPr>
        <w:spacing w:line="360" w:lineRule="auto"/>
        <w:rPr>
          <w:rFonts w:hint="eastAsia" w:ascii="宋体" w:hAnsi="宋体" w:eastAsia="宋体" w:cs="宋体"/>
          <w:b/>
          <w:color w:val="auto"/>
          <w:sz w:val="24"/>
          <w:highlight w:val="none"/>
        </w:rPr>
      </w:pPr>
    </w:p>
    <w:p w14:paraId="14CB587B">
      <w:pPr>
        <w:spacing w:line="360" w:lineRule="auto"/>
        <w:rPr>
          <w:rFonts w:hint="eastAsia" w:ascii="宋体" w:hAnsi="宋体" w:eastAsia="宋体" w:cs="宋体"/>
          <w:b/>
          <w:color w:val="auto"/>
          <w:sz w:val="24"/>
          <w:highlight w:val="none"/>
        </w:rPr>
      </w:pPr>
    </w:p>
    <w:p w14:paraId="44C4DEE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326E11C">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20D47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004B4B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222A4C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416C05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9172DA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9E3E73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6F4CB88">
      <w:pPr>
        <w:autoSpaceDE w:val="0"/>
        <w:autoSpaceDN w:val="0"/>
        <w:jc w:val="center"/>
        <w:rPr>
          <w:rFonts w:hint="eastAsia" w:ascii="宋体" w:hAnsi="宋体" w:eastAsia="宋体" w:cs="宋体"/>
          <w:b/>
          <w:color w:val="auto"/>
          <w:spacing w:val="6"/>
          <w:sz w:val="32"/>
          <w:szCs w:val="32"/>
          <w:highlight w:val="none"/>
        </w:rPr>
      </w:pPr>
    </w:p>
    <w:p w14:paraId="5975565E">
      <w:pPr>
        <w:autoSpaceDE w:val="0"/>
        <w:autoSpaceDN w:val="0"/>
        <w:jc w:val="center"/>
        <w:rPr>
          <w:rFonts w:hint="eastAsia" w:ascii="宋体" w:hAnsi="宋体" w:eastAsia="宋体" w:cs="宋体"/>
          <w:b/>
          <w:color w:val="auto"/>
          <w:spacing w:val="6"/>
          <w:sz w:val="32"/>
          <w:szCs w:val="32"/>
          <w:highlight w:val="none"/>
        </w:rPr>
      </w:pPr>
    </w:p>
    <w:p w14:paraId="7EA48393">
      <w:pPr>
        <w:autoSpaceDE w:val="0"/>
        <w:autoSpaceDN w:val="0"/>
        <w:jc w:val="center"/>
        <w:rPr>
          <w:rFonts w:hint="eastAsia" w:ascii="宋体" w:hAnsi="宋体" w:eastAsia="宋体" w:cs="宋体"/>
          <w:b/>
          <w:color w:val="auto"/>
          <w:spacing w:val="6"/>
          <w:sz w:val="32"/>
          <w:szCs w:val="32"/>
          <w:highlight w:val="none"/>
        </w:rPr>
      </w:pPr>
    </w:p>
    <w:p w14:paraId="68311277">
      <w:pPr>
        <w:autoSpaceDE w:val="0"/>
        <w:autoSpaceDN w:val="0"/>
        <w:jc w:val="center"/>
        <w:rPr>
          <w:rFonts w:hint="eastAsia" w:ascii="宋体" w:hAnsi="宋体" w:eastAsia="宋体" w:cs="宋体"/>
          <w:color w:val="auto"/>
          <w:sz w:val="24"/>
          <w:highlight w:val="none"/>
          <w:u w:val="single"/>
        </w:rPr>
      </w:pPr>
      <w:r>
        <w:rPr>
          <w:rFonts w:hint="eastAsia" w:ascii="宋体" w:hAnsi="宋体" w:eastAsia="宋体" w:cs="宋体"/>
          <w:b/>
          <w:color w:val="auto"/>
          <w:spacing w:val="6"/>
          <w:sz w:val="32"/>
          <w:szCs w:val="32"/>
          <w:highlight w:val="none"/>
        </w:rPr>
        <w:t>附件4：</w:t>
      </w:r>
      <w:r>
        <w:rPr>
          <w:rFonts w:hint="eastAsia" w:ascii="宋体" w:hAnsi="宋体" w:eastAsia="宋体" w:cs="宋体"/>
          <w:b/>
          <w:color w:val="auto"/>
          <w:sz w:val="32"/>
          <w:szCs w:val="32"/>
          <w:highlight w:val="none"/>
        </w:rPr>
        <w:t>中小企业声明函</w:t>
      </w:r>
    </w:p>
    <w:p w14:paraId="0B69ED3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716FD55B">
      <w:pPr>
        <w:spacing w:line="360" w:lineRule="auto"/>
        <w:rPr>
          <w:rFonts w:hint="eastAsia" w:ascii="宋体" w:hAnsi="宋体" w:eastAsia="宋体" w:cs="宋体"/>
          <w:color w:val="auto"/>
          <w:highlight w:val="none"/>
        </w:rPr>
      </w:pPr>
    </w:p>
    <w:p w14:paraId="7779B3F0">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5F5F8A8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7545E2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5EB6A4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D61E3E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CD4072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861CABF">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A525198">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57FB5D9">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27DF655E">
      <w:pPr>
        <w:spacing w:line="360" w:lineRule="auto"/>
        <w:ind w:right="420"/>
        <w:rPr>
          <w:rFonts w:hint="eastAsia" w:ascii="宋体" w:hAnsi="宋体" w:eastAsia="宋体" w:cs="宋体"/>
          <w:color w:val="auto"/>
          <w:sz w:val="24"/>
          <w:highlight w:val="none"/>
        </w:rPr>
      </w:pPr>
    </w:p>
    <w:p w14:paraId="457D2372">
      <w:pPr>
        <w:pStyle w:val="17"/>
        <w:tabs>
          <w:tab w:val="left" w:pos="840"/>
        </w:tabs>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680" w:right="1417" w:bottom="68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CEB45">
    <w:pPr>
      <w:pStyle w:val="1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DEB95FF">
                          <w:pPr>
                            <w:pStyle w:val="1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3DEB95FF">
                    <w:pPr>
                      <w:pStyle w:val="1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0C120">
    <w:pPr>
      <w:pStyle w:val="19"/>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687FC8">
                          <w:pPr>
                            <w:pStyle w:val="19"/>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KRs46ckBAACSAwAADgAAAAAAAAABACAAAAAfAQAAZHJzL2Uyb0Rv&#10;Yy54bWxQSwUGAAAAAAYABgBZAQAAWgUAAAAA&#10;">
              <v:fill on="f" focussize="0,0"/>
              <v:stroke on="f"/>
              <v:imagedata o:title=""/>
              <o:lock v:ext="edit" aspectratio="f"/>
              <v:textbox inset="0mm,0mm,0mm,0mm" style="mso-fit-shape-to-text:t;">
                <w:txbxContent>
                  <w:p w14:paraId="20687FC8">
                    <w:pPr>
                      <w:pStyle w:val="19"/>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rect>
          </w:pict>
        </mc:Fallback>
      </mc:AlternateContent>
    </w:r>
  </w:p>
  <w:p w14:paraId="566F451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C2C03">
    <w:pPr>
      <w:pStyle w:val="19"/>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B1E2238">
                          <w:pPr>
                            <w:pStyle w:val="19"/>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Ji8v5/KAQAAkgMAAA4AAAAAAAAAAQAgAAAAHwEAAGRycy9lMm9E&#10;b2MueG1sUEsFBgAAAAAGAAYAWQEAAFsFAAAAAA==&#10;">
              <v:fill on="f" focussize="0,0"/>
              <v:stroke on="f"/>
              <v:imagedata o:title=""/>
              <o:lock v:ext="edit" aspectratio="f"/>
              <v:textbox inset="0mm,0mm,0mm,0mm" style="mso-fit-shape-to-text:t;">
                <w:txbxContent>
                  <w:p w14:paraId="0B1E2238">
                    <w:pPr>
                      <w:pStyle w:val="19"/>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rect>
          </w:pict>
        </mc:Fallback>
      </mc:AlternateContent>
    </w:r>
  </w:p>
  <w:p w14:paraId="7E4BC41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03478">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7FD855">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67FD855">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3472A">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B6BA19">
                          <w:pPr>
                            <w:pStyle w:val="1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4AB6BA19">
                    <w:pPr>
                      <w:pStyle w:val="1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CF33E">
    <w:pPr>
      <w:pStyle w:val="20"/>
    </w:pPr>
    <w:r>
      <w:rPr>
        <w:rFonts w:hint="eastAsia"/>
      </w:rPr>
      <w:t xml:space="preserve">      </w:t>
    </w:r>
    <w:r>
      <w:rPr>
        <w:rFonts w:hint="eastAsia"/>
        <w:lang w:eastAsia="zh-CN"/>
      </w:rPr>
      <w:t>2025年衢州市柯城区市场监督管理局食品（餐饮）检测服务项目</w:t>
    </w:r>
    <w:r>
      <w:rPr>
        <w:rFonts w:hint="eastAsia"/>
        <w:lang w:val="en-US" w:eastAsia="zh-CN"/>
      </w:rPr>
      <w:t>-</w:t>
    </w:r>
    <w:r>
      <w:rPr>
        <w:rFonts w:hint="eastAsia"/>
      </w:rPr>
      <w:t>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752D3">
    <w:pPr>
      <w:pStyle w:val="20"/>
      <w:rPr>
        <w:rFonts w:hint="eastAsia" w:ascii="仿宋_GB2312" w:eastAsia="宋体"/>
        <w:b/>
        <w:i/>
        <w:u w:val="single"/>
        <w:lang w:eastAsia="zh-CN"/>
      </w:rPr>
    </w:pPr>
    <w:r>
      <w:t></w:t>
    </w:r>
    <w:r>
      <w:rPr>
        <w:rFonts w:hint="eastAsia"/>
      </w:rPr>
      <w:t xml:space="preserve"> </w:t>
    </w:r>
    <w:r>
      <w:rPr>
        <w:rFonts w:hint="eastAsia"/>
        <w:lang w:eastAsia="zh-CN"/>
      </w:rPr>
      <w:t>2025年衢州市柯城区市场监督管理局食品（餐饮）检测服务项目框架协议采购-征集文件</w:t>
    </w:r>
  </w:p>
  <w:p w14:paraId="4E9DDCFF">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B845C">
    <w:pPr>
      <w:pStyle w:val="20"/>
    </w:pPr>
    <w:r>
      <w:t></w:t>
    </w:r>
    <w:r>
      <w:rPr>
        <w:rFonts w:hint="eastAsia"/>
        <w:lang w:eastAsia="zh-CN"/>
      </w:rPr>
      <w:t>2025年衢州市柯城区市场监督管理局食品（餐饮）检测服务项目框架协议采购</w:t>
    </w:r>
    <w:r>
      <w:rPr>
        <w:rFonts w:hint="eastAsia"/>
        <w:lang w:val="en-US" w:eastAsia="zh-CN"/>
      </w:rPr>
      <w:t>-</w:t>
    </w:r>
    <w:r>
      <w:rPr>
        <w:rFonts w:hint="eastAsia"/>
      </w:rPr>
      <w:t>征集文件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A442E">
    <w:pPr>
      <w:pStyle w:val="2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9D8A8">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75884"/>
    <w:multiLevelType w:val="singleLevel"/>
    <w:tmpl w:val="BFD75884"/>
    <w:lvl w:ilvl="0" w:tentative="0">
      <w:start w:val="1"/>
      <w:numFmt w:val="decimal"/>
      <w:suff w:val="nothing"/>
      <w:lvlText w:val="（%1）"/>
      <w:lvlJc w:val="left"/>
    </w:lvl>
  </w:abstractNum>
  <w:abstractNum w:abstractNumId="1">
    <w:nsid w:val="00000000"/>
    <w:multiLevelType w:val="singleLevel"/>
    <w:tmpl w:val="00000000"/>
    <w:lvl w:ilvl="0" w:tentative="0">
      <w:start w:val="1"/>
      <w:numFmt w:val="chineseCounting"/>
      <w:suff w:val="space"/>
      <w:lvlText w:val="%1、"/>
      <w:lvlJc w:val="left"/>
      <w:rPr>
        <w:rFonts w:hint="eastAsia"/>
      </w:rPr>
    </w:lvl>
  </w:abstractNum>
  <w:abstractNum w:abstractNumId="2">
    <w:nsid w:val="00000001"/>
    <w:multiLevelType w:val="singleLevel"/>
    <w:tmpl w:val="00000001"/>
    <w:lvl w:ilvl="0" w:tentative="0">
      <w:start w:val="5"/>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3"/>
    <w:multiLevelType w:val="multilevel"/>
    <w:tmpl w:val="00000003"/>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4"/>
    <w:multiLevelType w:val="singleLevel"/>
    <w:tmpl w:val="00000004"/>
    <w:lvl w:ilvl="0" w:tentative="0">
      <w:start w:val="15"/>
      <w:numFmt w:val="decimal"/>
      <w:suff w:val="space"/>
      <w:lvlText w:val="%1."/>
      <w:lvlJc w:val="left"/>
    </w:lvl>
  </w:abstractNum>
  <w:abstractNum w:abstractNumId="6">
    <w:nsid w:val="00000005"/>
    <w:multiLevelType w:val="singleLevel"/>
    <w:tmpl w:val="00000005"/>
    <w:lvl w:ilvl="0" w:tentative="0">
      <w:start w:val="4"/>
      <w:numFmt w:val="chineseCounting"/>
      <w:suff w:val="space"/>
      <w:lvlText w:val="第%1部分"/>
      <w:lvlJc w:val="left"/>
      <w:rPr>
        <w:rFonts w:hint="eastAsia"/>
      </w:r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569EC"/>
    <w:rsid w:val="03CE5F43"/>
    <w:rsid w:val="0B415214"/>
    <w:rsid w:val="12EB3CF0"/>
    <w:rsid w:val="131233C1"/>
    <w:rsid w:val="189A5F9C"/>
    <w:rsid w:val="226C6BCC"/>
    <w:rsid w:val="24E231A5"/>
    <w:rsid w:val="27821E7F"/>
    <w:rsid w:val="29A77D1B"/>
    <w:rsid w:val="30C60521"/>
    <w:rsid w:val="3437693D"/>
    <w:rsid w:val="360867E3"/>
    <w:rsid w:val="36A4475E"/>
    <w:rsid w:val="371A4A20"/>
    <w:rsid w:val="38560639"/>
    <w:rsid w:val="38D429AD"/>
    <w:rsid w:val="3AA80595"/>
    <w:rsid w:val="3AF7A4D1"/>
    <w:rsid w:val="3B172AA1"/>
    <w:rsid w:val="3ED81ECA"/>
    <w:rsid w:val="40AA0BC3"/>
    <w:rsid w:val="462705C0"/>
    <w:rsid w:val="48186AF6"/>
    <w:rsid w:val="4E936FE5"/>
    <w:rsid w:val="511E595C"/>
    <w:rsid w:val="51FB0B52"/>
    <w:rsid w:val="536966BB"/>
    <w:rsid w:val="57EF5447"/>
    <w:rsid w:val="598A0D90"/>
    <w:rsid w:val="5BFF841A"/>
    <w:rsid w:val="5FE7F410"/>
    <w:rsid w:val="65CE6064"/>
    <w:rsid w:val="67794499"/>
    <w:rsid w:val="68191407"/>
    <w:rsid w:val="69787200"/>
    <w:rsid w:val="6FB10D76"/>
    <w:rsid w:val="756264CB"/>
    <w:rsid w:val="77D60760"/>
    <w:rsid w:val="7DB1D480"/>
    <w:rsid w:val="7DDF30D3"/>
    <w:rsid w:val="7E6D20B4"/>
    <w:rsid w:val="7FDBF6B0"/>
    <w:rsid w:val="95BFF6AB"/>
    <w:rsid w:val="95ED71D0"/>
    <w:rsid w:val="AC3D9267"/>
    <w:rsid w:val="AF3FB0B7"/>
    <w:rsid w:val="EEBE0406"/>
    <w:rsid w:val="EF971BDE"/>
    <w:rsid w:val="F737FEFE"/>
    <w:rsid w:val="F73C95BC"/>
    <w:rsid w:val="F7738B33"/>
    <w:rsid w:val="FDFF64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5">
    <w:name w:val="heading 2"/>
    <w:basedOn w:val="1"/>
    <w:next w:val="1"/>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6">
    <w:name w:val="heading 3"/>
    <w:basedOn w:val="1"/>
    <w:next w:val="1"/>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7">
    <w:name w:val="heading 6"/>
    <w:basedOn w:val="1"/>
    <w:next w:val="1"/>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cs="Times New Roman"/>
      <w:i/>
      <w:kern w:val="0"/>
      <w:sz w:val="22"/>
    </w:rPr>
  </w:style>
  <w:style w:type="character" w:default="1" w:styleId="34">
    <w:name w:val="Default Paragraph Font"/>
    <w:qFormat/>
    <w:uiPriority w:val="1"/>
  </w:style>
  <w:style w:type="table" w:default="1" w:styleId="25">
    <w:name w:val="Normal Table"/>
    <w:qFormat/>
    <w:uiPriority w:val="99"/>
    <w:tblPr>
      <w:tblCellMar>
        <w:top w:w="0" w:type="dxa"/>
        <w:left w:w="108" w:type="dxa"/>
        <w:bottom w:w="0" w:type="dxa"/>
        <w:right w:w="108" w:type="dxa"/>
      </w:tblCellMar>
    </w:tblPr>
  </w:style>
  <w:style w:type="paragraph" w:customStyle="1" w:styleId="2">
    <w:name w:val="Default"/>
    <w:next w:val="3"/>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TOC 71"/>
    <w:next w:val="1"/>
    <w:qFormat/>
    <w:uiPriority w:val="0"/>
    <w:pPr>
      <w:wordWrap w:val="0"/>
      <w:ind w:left="2550"/>
      <w:jc w:val="both"/>
    </w:pPr>
    <w:rPr>
      <w:rFonts w:ascii="宋体" w:hAnsi="宋体" w:eastAsia="Times New Roman" w:cs="Times New Roman"/>
      <w:sz w:val="21"/>
      <w:lang w:val="en-US" w:eastAsia="zh-CN" w:bidi="ar-SA"/>
    </w:rPr>
  </w:style>
  <w:style w:type="paragraph" w:styleId="8">
    <w:name w:val="Normal Indent"/>
    <w:basedOn w:val="1"/>
    <w:next w:val="1"/>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qFormat/>
    <w:uiPriority w:val="0"/>
    <w:pPr>
      <w:jc w:val="left"/>
    </w:pPr>
  </w:style>
  <w:style w:type="paragraph" w:styleId="11">
    <w:name w:val="Body Text"/>
    <w:basedOn w:val="1"/>
    <w:next w:val="12"/>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12">
    <w:name w:val="Body Text First Indent"/>
    <w:basedOn w:val="11"/>
    <w:next w:val="13"/>
    <w:qFormat/>
    <w:uiPriority w:val="0"/>
    <w:pPr>
      <w:ind w:firstLine="420"/>
    </w:pPr>
    <w:rPr>
      <w:rFonts w:hAnsi="Calibri" w:eastAsia="宋体" w:cs="宋体"/>
      <w:snapToGrid/>
      <w:szCs w:val="22"/>
    </w:rPr>
  </w:style>
  <w:style w:type="paragraph" w:styleId="13">
    <w:name w:val="toc 6"/>
    <w:basedOn w:val="1"/>
    <w:next w:val="1"/>
    <w:qFormat/>
    <w:uiPriority w:val="0"/>
    <w:pPr>
      <w:spacing w:after="200"/>
      <w:ind w:left="2100" w:leftChars="1000"/>
    </w:pPr>
    <w:rPr>
      <w:rFonts w:ascii="仿宋" w:hAnsi="仿宋" w:eastAsia="仿宋" w:cs="Times New Roman"/>
      <w:kern w:val="0"/>
      <w:sz w:val="24"/>
      <w:szCs w:val="24"/>
      <w:lang w:val="en-US" w:eastAsia="zh-CN" w:bidi="ar-SA"/>
    </w:rPr>
  </w:style>
  <w:style w:type="paragraph" w:styleId="14">
    <w:name w:val="Body Text Indent"/>
    <w:basedOn w:val="1"/>
    <w:next w:val="15"/>
    <w:qFormat/>
    <w:uiPriority w:val="99"/>
    <w:pPr>
      <w:spacing w:line="480" w:lineRule="exact"/>
      <w:ind w:firstLine="480" w:firstLineChars="200"/>
    </w:pPr>
    <w:rPr>
      <w:rFonts w:ascii="宋体" w:hAnsi="宋体" w:cs="宋体"/>
      <w:sz w:val="24"/>
      <w:szCs w:val="24"/>
    </w:rPr>
  </w:style>
  <w:style w:type="paragraph" w:styleId="15">
    <w:name w:val="envelope return"/>
    <w:basedOn w:val="1"/>
    <w:qFormat/>
    <w:uiPriority w:val="0"/>
    <w:pPr>
      <w:snapToGrid w:val="0"/>
    </w:pPr>
    <w:rPr>
      <w:rFonts w:ascii="Arial" w:hAnsi="Arial"/>
    </w:rPr>
  </w:style>
  <w:style w:type="paragraph" w:styleId="16">
    <w:name w:val="Block Text"/>
    <w:basedOn w:val="1"/>
    <w:qFormat/>
    <w:uiPriority w:val="0"/>
    <w:pPr>
      <w:tabs>
        <w:tab w:val="left" w:pos="1620"/>
      </w:tabs>
      <w:spacing w:line="360" w:lineRule="auto"/>
      <w:ind w:left="420" w:right="12" w:rightChars="12" w:firstLine="525"/>
    </w:pPr>
    <w:rPr>
      <w:rFonts w:ascii="宋体"/>
      <w:sz w:val="24"/>
    </w:rPr>
  </w:style>
  <w:style w:type="paragraph" w:styleId="17">
    <w:name w:val="Plain Text"/>
    <w:basedOn w:val="1"/>
    <w:qFormat/>
    <w:uiPriority w:val="0"/>
    <w:pPr>
      <w:adjustRightInd w:val="0"/>
    </w:pPr>
    <w:rPr>
      <w:rFonts w:ascii="宋体" w:hAnsi="Courier New" w:eastAsia="宋体" w:cs="Arial"/>
      <w:snapToGrid w:val="0"/>
      <w:szCs w:val="21"/>
    </w:rPr>
  </w:style>
  <w:style w:type="paragraph" w:styleId="18">
    <w:name w:val="Balloon Text"/>
    <w:basedOn w:val="1"/>
    <w:link w:val="44"/>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22">
    <w:name w:val="Title"/>
    <w:basedOn w:val="1"/>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23">
    <w:name w:val="Body Text First Indent 2"/>
    <w:basedOn w:val="14"/>
    <w:next w:val="24"/>
    <w:qFormat/>
    <w:uiPriority w:val="99"/>
    <w:pPr>
      <w:ind w:firstLine="420" w:firstLineChars="200"/>
    </w:pPr>
  </w:style>
  <w:style w:type="paragraph" w:customStyle="1" w:styleId="24">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7">
    <w:name w:val="Medium Grid 3"/>
    <w:basedOn w:val="2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8">
    <w:name w:val="Medium Grid 3 Accent 1"/>
    <w:basedOn w:val="2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9">
    <w:name w:val="Medium Grid 3 Accent 2"/>
    <w:basedOn w:val="2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30">
    <w:name w:val="Medium Grid 3 Accent 3"/>
    <w:basedOn w:val="2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31">
    <w:name w:val="Medium Grid 3 Accent 4"/>
    <w:basedOn w:val="2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32">
    <w:name w:val="Medium Grid 3 Accent 5"/>
    <w:basedOn w:val="2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33">
    <w:name w:val="Medium Grid 3 Accent 6"/>
    <w:basedOn w:val="2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35">
    <w:name w:val="page number"/>
    <w:basedOn w:val="34"/>
    <w:qFormat/>
    <w:uiPriority w:val="0"/>
    <w:rPr>
      <w:rFonts w:ascii="Arial" w:hAnsi="Arial" w:eastAsia="黑体" w:cs="Arial"/>
      <w:snapToGrid w:val="0"/>
      <w:kern w:val="0"/>
      <w:szCs w:val="21"/>
    </w:rPr>
  </w:style>
  <w:style w:type="paragraph" w:customStyle="1" w:styleId="36">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正文2"/>
    <w:basedOn w:val="1"/>
    <w:qFormat/>
    <w:uiPriority w:val="0"/>
    <w:pPr>
      <w:adjustRightInd w:val="0"/>
      <w:spacing w:before="156" w:line="360" w:lineRule="auto"/>
      <w:ind w:firstLine="510" w:firstLineChars="200"/>
    </w:pPr>
    <w:rPr>
      <w:rFonts w:eastAsia="宋体"/>
      <w:sz w:val="24"/>
    </w:rPr>
  </w:style>
  <w:style w:type="paragraph" w:customStyle="1" w:styleId="38">
    <w:name w:val="纯文本_0_0"/>
    <w:basedOn w:val="39"/>
    <w:qFormat/>
    <w:uiPriority w:val="0"/>
    <w:rPr>
      <w:rFonts w:ascii="宋体" w:hAnsi="Courier New"/>
      <w:szCs w:val="21"/>
    </w:rPr>
  </w:style>
  <w:style w:type="paragraph" w:customStyle="1" w:styleId="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41">
    <w:name w:val="[Normal]"/>
    <w:qFormat/>
    <w:uiPriority w:val="0"/>
    <w:rPr>
      <w:rFonts w:ascii="宋体" w:hAnsi="宋体" w:eastAsia="宋体" w:cs="Times New Roman"/>
      <w:sz w:val="24"/>
      <w:szCs w:val="22"/>
      <w:lang w:val="zh-CN" w:eastAsia="zh-CN" w:bidi="ar-SA"/>
    </w:rPr>
  </w:style>
  <w:style w:type="paragraph" w:customStyle="1" w:styleId="42">
    <w:name w:val="列表段落1"/>
    <w:basedOn w:val="1"/>
    <w:qFormat/>
    <w:uiPriority w:val="34"/>
    <w:pPr>
      <w:ind w:firstLine="420" w:firstLineChars="200"/>
    </w:pPr>
    <w:rPr>
      <w:sz w:val="32"/>
    </w:rPr>
  </w:style>
  <w:style w:type="paragraph" w:styleId="43">
    <w:name w:val="List Paragraph"/>
    <w:basedOn w:val="1"/>
    <w:qFormat/>
    <w:uiPriority w:val="1"/>
    <w:pPr>
      <w:spacing w:before="3"/>
      <w:ind w:left="120" w:hanging="241"/>
    </w:pPr>
  </w:style>
  <w:style w:type="character" w:customStyle="1" w:styleId="44">
    <w:name w:val="批注框文本 Char"/>
    <w:basedOn w:val="34"/>
    <w:link w:val="18"/>
    <w:qFormat/>
    <w:uiPriority w:val="0"/>
    <w:rPr>
      <w:rFonts w:ascii="Calibri" w:hAnsi="Calibri" w:eastAsia="宋体" w:cs="宋体"/>
      <w:kern w:val="2"/>
      <w:sz w:val="18"/>
      <w:szCs w:val="18"/>
    </w:rPr>
  </w:style>
  <w:style w:type="paragraph" w:customStyle="1" w:styleId="45">
    <w:name w:val="Table Paragraph"/>
    <w:basedOn w:val="1"/>
    <w:qFormat/>
    <w:uiPriority w:val="1"/>
    <w:rPr>
      <w:rFonts w:ascii="宋体" w:hAnsi="宋体" w:eastAsia="宋体" w:cs="宋体"/>
      <w:lang w:val="zh-CN" w:bidi="zh-CN"/>
    </w:rPr>
  </w:style>
  <w:style w:type="paragraph" w:customStyle="1" w:styleId="46">
    <w:name w:val="列出段落2"/>
    <w:basedOn w:val="1"/>
    <w:qFormat/>
    <w:uiPriority w:val="0"/>
    <w:pPr>
      <w:spacing w:line="240" w:lineRule="auto"/>
      <w:ind w:left="0" w:firstLine="420" w:firstLineChars="200"/>
    </w:pPr>
    <w:rPr>
      <w:rFonts w:ascii="Times New Roman" w:hAnsi="Times New Roman" w:eastAsia="PMingLiU" w:cs="Times New Roman"/>
      <w:szCs w:val="24"/>
    </w:rPr>
  </w:style>
  <w:style w:type="paragraph" w:customStyle="1" w:styleId="47">
    <w:name w:val="List Paragraph1"/>
    <w:basedOn w:val="1"/>
    <w:qFormat/>
    <w:uiPriority w:val="0"/>
    <w:pPr>
      <w:widowControl/>
      <w:ind w:firstLine="420"/>
      <w:jc w:val="left"/>
    </w:pPr>
  </w:style>
  <w:style w:type="paragraph" w:customStyle="1" w:styleId="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52</Pages>
  <Words>2765</Words>
  <Characters>3105</Characters>
  <Paragraphs>3926</Paragraphs>
  <TotalTime>5</TotalTime>
  <ScaleCrop>false</ScaleCrop>
  <LinksUpToDate>false</LinksUpToDate>
  <CharactersWithSpaces>3362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2022-04-05T10:08:00Z</dcterms:created>
  <dc:creator>Administrator</dc:creator>
  <cp:lastModifiedBy>小佶积极又向上</cp:lastModifiedBy>
  <cp:lastPrinted>2025-06-16T10:52:00Z</cp:lastPrinted>
  <dcterms:modified xsi:type="dcterms:W3CDTF">2025-07-01T03:16:51Z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32E68C5478044C39B73301A6C532EC11_13</vt:lpwstr>
  </property>
  <property fmtid="{D5CDD505-2E9C-101B-9397-08002B2CF9AE}" pid="4" name="KSOTemplateDocerSaveRecord">
    <vt:lpwstr>eyJoZGlkIjoiZmNlOTljN2VhOGZlMWNhODUzZmYyNTJkY2E4NDVlYTgiLCJ1c2VySWQiOiI0OTk5MjQyMzEifQ==</vt:lpwstr>
  </property>
</Properties>
</file>