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3429">
      <w:pPr>
        <w:spacing w:before="31" w:beforeLines="10"/>
        <w:jc w:val="both"/>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0"/>
            </w14:srgbClr>
          </w14:shadow>
        </w:rPr>
      </w:pPr>
      <w:bookmarkStart w:id="0" w:name="_Toc354996693"/>
      <w:bookmarkStart w:id="1" w:name="_Toc33194385"/>
    </w:p>
    <w:p w14:paraId="7C310F98">
      <w:pPr>
        <w:spacing w:before="31" w:beforeLines="10"/>
        <w:jc w:val="center"/>
        <w:rPr>
          <w:rFonts w:hint="eastAsia" w:ascii="宋体" w:hAnsi="宋体" w:cs="宋体"/>
          <w:b/>
          <w:i w:val="0"/>
          <w:iCs w:val="0"/>
          <w:color w:val="auto"/>
          <w:sz w:val="28"/>
          <w:szCs w:val="28"/>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0"/>
            </w14:srgbClr>
          </w14:shadow>
        </w:rPr>
        <w:t xml:space="preserve"> </w:t>
      </w:r>
      <w:r>
        <w:rPr>
          <w:rFonts w:hint="eastAsia" w:ascii="宋体" w:hAnsi="宋体" w:cs="宋体"/>
          <w:b/>
          <w:bCs w:val="0"/>
          <w:i w:val="0"/>
          <w:iCs w:val="0"/>
          <w:color w:val="auto"/>
          <w:spacing w:val="-20"/>
          <w:sz w:val="48"/>
          <w:szCs w:val="48"/>
          <w:highlight w:val="none"/>
          <w:lang w:eastAsia="zh-CN"/>
          <w14:shadow w14:blurRad="50800" w14:dist="38100" w14:dir="2700000" w14:sx="100000" w14:sy="100000" w14:kx="0" w14:ky="0" w14:algn="tl">
            <w14:srgbClr w14:val="000000">
              <w14:alpha w14:val="60000"/>
            </w14:srgbClr>
          </w14:shadow>
        </w:rPr>
        <w:t>2025年建设项目环境影响评价技术评估项目</w:t>
      </w:r>
    </w:p>
    <w:p w14:paraId="13E3C3E2">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7BC9AD33">
      <w:pPr>
        <w:spacing w:before="31" w:beforeLines="10"/>
        <w:jc w:val="cente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12F56BA5">
      <w:pPr>
        <w:spacing w:before="31" w:beforeLines="10"/>
        <w:jc w:val="center"/>
        <w:rPr>
          <w:rFonts w:hint="default" w:ascii="宋体" w:hAnsi="宋体" w:eastAsia="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项目编号：</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ZLQZ-2506094</w:t>
      </w:r>
    </w:p>
    <w:p w14:paraId="5438A859">
      <w:pPr>
        <w:widowControl/>
        <w:spacing w:line="360" w:lineRule="auto"/>
        <w:ind w:right="-2"/>
        <w:jc w:val="center"/>
        <w:rPr>
          <w:rFonts w:hint="eastAsia" w:ascii="宋体" w:hAnsi="宋体" w:cs="宋体"/>
          <w:b/>
          <w:i w:val="0"/>
          <w:iCs w:val="0"/>
          <w:color w:val="auto"/>
          <w:sz w:val="36"/>
          <w:highlight w:val="none"/>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（线上电子招投标）</w:t>
      </w:r>
    </w:p>
    <w:p w14:paraId="5F6E9B47">
      <w:pPr>
        <w:tabs>
          <w:tab w:val="left" w:pos="0"/>
          <w:tab w:val="left" w:pos="2140"/>
          <w:tab w:val="center" w:pos="4753"/>
        </w:tabs>
        <w:spacing w:before="31" w:beforeLines="10"/>
        <w:rPr>
          <w:rFonts w:hint="eastAsia" w:ascii="宋体" w:hAnsi="宋体" w:cs="宋体"/>
          <w:b/>
          <w:i w:val="0"/>
          <w:iCs w:val="0"/>
          <w:color w:val="auto"/>
          <w:sz w:val="48"/>
          <w:szCs w:val="48"/>
          <w:highlight w:val="none"/>
          <w14:shadow w14:blurRad="50800" w14:dist="38100" w14:dir="2700000" w14:sx="100000" w14:sy="100000" w14:kx="0" w14:ky="0" w14:algn="tl">
            <w14:srgbClr w14:val="000000">
              <w14:alpha w14:val="60000"/>
            </w14:srgbClr>
          </w14:shadow>
        </w:rPr>
      </w:pPr>
    </w:p>
    <w:p w14:paraId="4D461FB8">
      <w:pPr>
        <w:tabs>
          <w:tab w:val="left" w:pos="4500"/>
        </w:tabs>
        <w:autoSpaceDE w:val="0"/>
        <w:autoSpaceDN w:val="0"/>
        <w:adjustRightInd w:val="0"/>
        <w:snapToGrid w:val="0"/>
        <w:jc w:val="center"/>
        <w:textAlignment w:val="bottom"/>
        <w:rPr>
          <w:rFonts w:hint="eastAsia" w:ascii="宋体" w:hAnsi="宋体" w:cs="宋体"/>
          <w:b/>
          <w:i w:val="0"/>
          <w:iCs w:val="0"/>
          <w:color w:val="auto"/>
          <w:sz w:val="80"/>
          <w:szCs w:val="80"/>
          <w:highlight w:val="none"/>
          <w14:shadow w14:blurRad="50800" w14:dist="38100" w14:dir="2700000" w14:sx="100000" w14:sy="100000" w14:kx="0" w14:ky="0" w14:algn="tl">
            <w14:srgbClr w14:val="000000">
              <w14:alpha w14:val="60000"/>
            </w14:srgbClr>
          </w14:shadow>
        </w:rPr>
      </w:pPr>
    </w:p>
    <w:p w14:paraId="6156F287">
      <w:pPr>
        <w:tabs>
          <w:tab w:val="left" w:pos="4500"/>
        </w:tabs>
        <w:autoSpaceDE w:val="0"/>
        <w:autoSpaceDN w:val="0"/>
        <w:adjustRightInd w:val="0"/>
        <w:snapToGrid w:val="0"/>
        <w:jc w:val="center"/>
        <w:textAlignment w:val="bottom"/>
        <w:rPr>
          <w:rFonts w:hint="eastAsia" w:ascii="宋体" w:hAnsi="宋体" w:cs="宋体"/>
          <w:b/>
          <w:i w:val="0"/>
          <w:iCs w:val="0"/>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val="0"/>
          <w:i w:val="0"/>
          <w:iCs w:val="0"/>
          <w:color w:val="auto"/>
          <w:spacing w:val="-20"/>
          <w:sz w:val="84"/>
          <w:szCs w:val="84"/>
          <w:highlight w:val="none"/>
          <w:lang w:eastAsia="zh-CN"/>
          <w14:shadow w14:blurRad="50800" w14:dist="38100" w14:dir="2700000" w14:sx="100000" w14:sy="100000" w14:kx="0" w14:ky="0" w14:algn="tl">
            <w14:srgbClr w14:val="000000">
              <w14:alpha w14:val="60000"/>
            </w14:srgbClr>
          </w14:shadow>
        </w:rPr>
        <w:t>招标文件</w:t>
      </w:r>
    </w:p>
    <w:p w14:paraId="58865427">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4AFF167D">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61F8A34F">
      <w:pPr>
        <w:autoSpaceDE w:val="0"/>
        <w:autoSpaceDN w:val="0"/>
        <w:adjustRightInd w:val="0"/>
        <w:snapToGrid w:val="0"/>
        <w:spacing w:before="31" w:beforeLines="10"/>
        <w:jc w:val="center"/>
        <w:textAlignment w:val="bottom"/>
        <w:rPr>
          <w:rFonts w:hint="eastAsia" w:ascii="宋体" w:hAnsi="宋体" w:cs="宋体"/>
          <w:b/>
          <w:i w:val="0"/>
          <w:iCs w:val="0"/>
          <w:color w:val="auto"/>
          <w:highlight w:val="none"/>
          <w14:shadow w14:blurRad="50800" w14:dist="38100" w14:dir="2700000" w14:sx="100000" w14:sy="100000" w14:kx="0" w14:ky="0" w14:algn="tl">
            <w14:srgbClr w14:val="000000">
              <w14:alpha w14:val="60000"/>
            </w14:srgbClr>
          </w14:shadow>
        </w:rPr>
      </w:pPr>
    </w:p>
    <w:p w14:paraId="267EC931">
      <w:pPr>
        <w:wordWrap w:val="0"/>
        <w:topLinePunct/>
        <w:adjustRightInd w:val="0"/>
        <w:snapToGrid w:val="0"/>
        <w:spacing w:line="600" w:lineRule="exact"/>
        <w:jc w:val="center"/>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3D74E537">
      <w:pPr>
        <w:wordWrap w:val="0"/>
        <w:topLinePunct/>
        <w:adjustRightInd w:val="0"/>
        <w:snapToGrid w:val="0"/>
        <w:spacing w:line="600" w:lineRule="exact"/>
        <w:jc w:val="center"/>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7987D1A3">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41E83B12">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pPr>
    </w:p>
    <w:p w14:paraId="5185E8A3">
      <w:pPr>
        <w:wordWrap w:val="0"/>
        <w:topLinePunct/>
        <w:adjustRightInd w:val="0"/>
        <w:snapToGrid w:val="0"/>
        <w:spacing w:line="600" w:lineRule="exact"/>
        <w:ind w:firstLine="1285" w:firstLineChars="400"/>
        <w:jc w:val="both"/>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i w:val="0"/>
          <w:iCs w:val="0"/>
          <w:color w:val="auto"/>
          <w:sz w:val="32"/>
          <w:szCs w:val="32"/>
          <w:highlight w:val="none"/>
          <w14:shadow w14:blurRad="50800" w14:dist="38100" w14:dir="2700000" w14:sx="100000" w14:sy="100000" w14:kx="0" w14:ky="0" w14:algn="tl">
            <w14:srgbClr w14:val="000000">
              <w14:alpha w14:val="60000"/>
            </w14:srgbClr>
          </w14:shadow>
        </w:rPr>
        <w:t>采 购 人：</w:t>
      </w:r>
      <w:r>
        <w:rPr>
          <w:rFonts w:hint="eastAsia" w:ascii="宋体" w:hAnsi="宋体" w:eastAsia="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衢州市生态环境局</w:t>
      </w:r>
    </w:p>
    <w:p w14:paraId="26FDDA6A">
      <w:pPr>
        <w:autoSpaceDE w:val="0"/>
        <w:autoSpaceDN w:val="0"/>
        <w:adjustRightInd w:val="0"/>
        <w:snapToGrid w:val="0"/>
        <w:spacing w:line="600" w:lineRule="exact"/>
        <w:jc w:val="center"/>
        <w:textAlignment w:val="bottom"/>
        <w:rPr>
          <w:rFonts w:hint="eastAsia" w:ascii="宋体" w:hAnsi="宋体" w:eastAsia="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招标代理机构:</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 xml:space="preserve"> 浙江中兰工程项目管理有限公司</w:t>
      </w:r>
    </w:p>
    <w:p w14:paraId="55214BAA">
      <w:pPr>
        <w:autoSpaceDE w:val="0"/>
        <w:autoSpaceDN w:val="0"/>
        <w:adjustRightInd w:val="0"/>
        <w:snapToGrid w:val="0"/>
        <w:spacing w:line="600" w:lineRule="exact"/>
        <w:ind w:firstLine="3213" w:firstLineChars="1000"/>
        <w:textAlignment w:val="bottom"/>
        <w:rPr>
          <w:rFonts w:hint="eastAsia" w:ascii="宋体" w:hAnsi="宋体" w:cs="宋体"/>
          <w:b/>
          <w:i w:val="0"/>
          <w:iCs w:val="0"/>
          <w:color w:val="auto"/>
          <w:sz w:val="36"/>
          <w:highlight w:val="none"/>
        </w:rPr>
      </w:pP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二</w:t>
      </w:r>
      <w:r>
        <w:rPr>
          <w:rFonts w:hint="eastAsia" w:ascii="宋体" w:hAnsi="宋体" w:cs="宋体"/>
          <w:b/>
          <w:i w:val="0"/>
          <w:iCs w:val="0"/>
          <w:color w:val="auto"/>
          <w:sz w:val="32"/>
          <w:szCs w:val="32"/>
          <w:highlight w:val="none"/>
          <w:lang w:eastAsia="zh-CN"/>
          <w14:shadow w14:blurRad="50800" w14:dist="38100" w14:dir="2700000" w14:sx="100000" w14:sy="100000" w14:kx="0" w14:ky="0" w14:algn="tl">
            <w14:srgbClr w14:val="000000">
              <w14:alpha w14:val="60000"/>
            </w14:srgbClr>
          </w14:shadow>
        </w:rPr>
        <w:t>〇</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二</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五</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年</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六</w:t>
      </w:r>
      <w:r>
        <w:rPr>
          <w:rFonts w:hint="eastAsia" w:ascii="宋体" w:hAnsi="宋体" w:cs="宋体"/>
          <w:b/>
          <w:i w:val="0"/>
          <w:iCs w:val="0"/>
          <w:color w:val="auto"/>
          <w:sz w:val="32"/>
          <w:szCs w:val="32"/>
          <w:highlight w:val="none"/>
          <w14:shadow w14:blurRad="50800" w14:dist="38100" w14:dir="2700000" w14:sx="100000" w14:sy="100000" w14:kx="0" w14:ky="0" w14:algn="tl">
            <w14:srgbClr w14:val="000000">
              <w14:alpha w14:val="60000"/>
            </w14:srgbClr>
          </w14:shadow>
        </w:rPr>
        <w:t>月</w:t>
      </w:r>
    </w:p>
    <w:p w14:paraId="46F5A006">
      <w:pPr>
        <w:rPr>
          <w:rFonts w:hint="eastAsia"/>
          <w:i w:val="0"/>
          <w:iCs w:val="0"/>
          <w:color w:val="auto"/>
          <w:highlight w:val="none"/>
        </w:rPr>
      </w:pPr>
      <w:bookmarkStart w:id="2" w:name="_Toc453854704"/>
      <w:bookmarkStart w:id="3" w:name="_Toc91899869"/>
      <w:bookmarkStart w:id="4" w:name="_Toc233618969"/>
    </w:p>
    <w:p w14:paraId="5CF8D37C">
      <w:pPr>
        <w:pStyle w:val="4"/>
        <w:rPr>
          <w:rFonts w:hint="eastAsia" w:ascii="宋体" w:hAnsi="宋体" w:eastAsia="宋体" w:cs="宋体"/>
          <w:i w:val="0"/>
          <w:iCs w:val="0"/>
          <w:color w:val="auto"/>
          <w:szCs w:val="32"/>
          <w:highlight w:val="none"/>
        </w:rPr>
        <w:sectPr>
          <w:headerReference r:id="rId3" w:type="default"/>
          <w:footerReference r:id="rId4" w:type="default"/>
          <w:footerReference r:id="rId5" w:type="even"/>
          <w:pgSz w:w="11906" w:h="16838"/>
          <w:pgMar w:top="0" w:right="1192" w:bottom="1078" w:left="1474" w:header="680" w:footer="680"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CBBC45E">
      <w:pPr>
        <w:pStyle w:val="4"/>
        <w:rPr>
          <w:rFonts w:hint="eastAsia" w:ascii="宋体" w:hAnsi="宋体" w:eastAsia="宋体" w:cs="宋体"/>
          <w:i w:val="0"/>
          <w:iCs w:val="0"/>
          <w:color w:val="auto"/>
          <w:szCs w:val="32"/>
          <w:highlight w:val="none"/>
        </w:rPr>
      </w:pPr>
      <w:r>
        <w:rPr>
          <w:rFonts w:hint="eastAsia" w:ascii="宋体" w:hAnsi="宋体" w:eastAsia="宋体" w:cs="宋体"/>
          <w:i w:val="0"/>
          <w:iCs w:val="0"/>
          <w:color w:val="auto"/>
          <w:szCs w:val="32"/>
          <w:highlight w:val="none"/>
        </w:rPr>
        <w:t>目 录</w:t>
      </w:r>
    </w:p>
    <w:p w14:paraId="53EB11D7">
      <w:pPr>
        <w:rPr>
          <w:rFonts w:hint="eastAsia" w:ascii="宋体" w:hAnsi="宋体" w:cs="宋体"/>
          <w:i w:val="0"/>
          <w:iCs w:val="0"/>
          <w:color w:val="auto"/>
          <w:sz w:val="24"/>
          <w:highlight w:val="none"/>
        </w:rPr>
      </w:pPr>
    </w:p>
    <w:p w14:paraId="15D4456A">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cs="宋体"/>
          <w:bCs/>
          <w:i w:val="0"/>
          <w:iCs w:val="0"/>
          <w:color w:val="auto"/>
          <w:sz w:val="24"/>
          <w:highlight w:val="none"/>
        </w:rPr>
        <w:t>第一部分 招标公告...........................................................</w:t>
      </w:r>
      <w:r>
        <w:rPr>
          <w:rFonts w:hint="eastAsia" w:ascii="宋体" w:hAnsi="宋体" w:cs="宋体"/>
          <w:bCs/>
          <w:i w:val="0"/>
          <w:iCs w:val="0"/>
          <w:color w:val="auto"/>
          <w:sz w:val="24"/>
          <w:highlight w:val="none"/>
          <w:lang w:val="en-US" w:eastAsia="zh-CN"/>
        </w:rPr>
        <w:t>2</w:t>
      </w:r>
      <w:r>
        <w:rPr>
          <w:rFonts w:hint="eastAsia" w:ascii="宋体" w:hAnsi="宋体" w:eastAsia="宋体" w:cs="宋体"/>
          <w:bCs/>
          <w:i w:val="0"/>
          <w:iCs w:val="0"/>
          <w:color w:val="auto"/>
          <w:sz w:val="24"/>
          <w:highlight w:val="none"/>
        </w:rPr>
        <w:t>第二部分 编制和提交投标文件须知.............................................</w:t>
      </w:r>
      <w:r>
        <w:rPr>
          <w:rFonts w:hint="eastAsia" w:ascii="宋体" w:hAnsi="宋体" w:cs="宋体"/>
          <w:bCs/>
          <w:i w:val="0"/>
          <w:iCs w:val="0"/>
          <w:color w:val="auto"/>
          <w:sz w:val="24"/>
          <w:highlight w:val="none"/>
          <w:lang w:val="en-US" w:eastAsia="zh-CN"/>
        </w:rPr>
        <w:t>6</w:t>
      </w:r>
    </w:p>
    <w:p w14:paraId="4ABACDA0">
      <w:pPr>
        <w:snapToGrid w:val="0"/>
        <w:spacing w:line="560" w:lineRule="exact"/>
        <w:jc w:val="left"/>
        <w:outlineLvl w:val="1"/>
        <w:rPr>
          <w:rFonts w:hint="default" w:ascii="宋体" w:hAnsi="宋体" w:eastAsia="宋体" w:cs="宋体"/>
          <w:bCs/>
          <w:i w:val="0"/>
          <w:iCs w:val="0"/>
          <w:color w:val="auto"/>
          <w:sz w:val="24"/>
          <w:highlight w:val="none"/>
          <w:lang w:val="en-US" w:eastAsia="zh-CN"/>
        </w:rPr>
      </w:pPr>
      <w:r>
        <w:rPr>
          <w:rFonts w:hint="eastAsia" w:ascii="宋体" w:hAnsi="宋体" w:eastAsia="宋体" w:cs="宋体"/>
          <w:bCs/>
          <w:i w:val="0"/>
          <w:iCs w:val="0"/>
          <w:color w:val="auto"/>
          <w:sz w:val="24"/>
          <w:highlight w:val="none"/>
        </w:rPr>
        <w:t xml:space="preserve">第三部分 </w:t>
      </w:r>
      <w:r>
        <w:rPr>
          <w:rFonts w:hint="eastAsia" w:ascii="宋体" w:hAnsi="宋体" w:eastAsia="宋体" w:cs="宋体"/>
          <w:bCs/>
          <w:i w:val="0"/>
          <w:iCs w:val="0"/>
          <w:color w:val="auto"/>
          <w:sz w:val="24"/>
          <w:highlight w:val="none"/>
          <w:lang w:eastAsia="zh-CN"/>
        </w:rPr>
        <w:t>采购需求</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1</w:t>
      </w: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四</w:t>
      </w:r>
      <w:r>
        <w:rPr>
          <w:rFonts w:hint="eastAsia" w:ascii="宋体" w:hAnsi="宋体" w:eastAsia="宋体" w:cs="宋体"/>
          <w:bCs/>
          <w:i w:val="0"/>
          <w:iCs w:val="0"/>
          <w:color w:val="auto"/>
          <w:sz w:val="24"/>
          <w:highlight w:val="none"/>
        </w:rPr>
        <w:t>部分</w:t>
      </w:r>
      <w:r>
        <w:rPr>
          <w:rFonts w:hint="eastAsia" w:ascii="宋体" w:hAnsi="宋体" w:eastAsia="宋体" w:cs="宋体"/>
          <w:bCs/>
          <w:i w:val="0"/>
          <w:iCs w:val="0"/>
          <w:color w:val="auto"/>
          <w:sz w:val="24"/>
          <w:highlight w:val="none"/>
          <w:lang w:eastAsia="zh-CN"/>
        </w:rPr>
        <w:t xml:space="preserve"> </w:t>
      </w:r>
      <w:r>
        <w:rPr>
          <w:rFonts w:hint="eastAsia" w:ascii="宋体" w:hAnsi="宋体" w:eastAsia="宋体" w:cs="宋体"/>
          <w:bCs/>
          <w:i w:val="0"/>
          <w:iCs w:val="0"/>
          <w:color w:val="auto"/>
          <w:sz w:val="24"/>
          <w:highlight w:val="none"/>
          <w:lang w:val="zh-CN" w:eastAsia="zh-CN"/>
        </w:rPr>
        <w:t>评标办法</w:t>
      </w:r>
      <w:r>
        <w:rPr>
          <w:rFonts w:hint="eastAsia" w:ascii="宋体" w:hAnsi="宋体" w:eastAsia="宋体" w:cs="宋体"/>
          <w:bCs/>
          <w:i w:val="0"/>
          <w:iCs w:val="0"/>
          <w:color w:val="auto"/>
          <w:sz w:val="24"/>
          <w:highlight w:val="none"/>
          <w:lang w:eastAsia="zh-CN"/>
        </w:rPr>
        <w:t>..</w:t>
      </w:r>
      <w:r>
        <w:rPr>
          <w:rFonts w:hint="eastAsia" w:ascii="宋体" w:hAnsi="宋体" w:eastAsia="宋体" w:cs="宋体"/>
          <w:bCs/>
          <w:i w:val="0"/>
          <w:iCs w:val="0"/>
          <w:color w:val="auto"/>
          <w:sz w:val="24"/>
          <w:highlight w:val="none"/>
        </w:rPr>
        <w:t>....................................................... 2</w:t>
      </w:r>
      <w:r>
        <w:rPr>
          <w:rFonts w:hint="eastAsia" w:ascii="宋体" w:hAnsi="宋体" w:cs="宋体"/>
          <w:bCs/>
          <w:i w:val="0"/>
          <w:iCs w:val="0"/>
          <w:color w:val="auto"/>
          <w:sz w:val="24"/>
          <w:highlight w:val="none"/>
          <w:lang w:val="en-US" w:eastAsia="zh-CN"/>
        </w:rPr>
        <w:t>3</w:t>
      </w: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五</w:t>
      </w:r>
      <w:r>
        <w:rPr>
          <w:rFonts w:hint="eastAsia" w:ascii="宋体" w:hAnsi="宋体" w:eastAsia="宋体" w:cs="宋体"/>
          <w:bCs/>
          <w:i w:val="0"/>
          <w:iCs w:val="0"/>
          <w:color w:val="auto"/>
          <w:sz w:val="24"/>
          <w:highlight w:val="none"/>
        </w:rPr>
        <w:t>部分 合同主要条款......................................................</w:t>
      </w:r>
      <w:r>
        <w:rPr>
          <w:rFonts w:hint="eastAsia" w:ascii="宋体" w:hAnsi="宋体" w:eastAsia="宋体" w:cs="宋体"/>
          <w:bCs/>
          <w:i w:val="0"/>
          <w:iCs w:val="0"/>
          <w:color w:val="auto"/>
          <w:sz w:val="24"/>
          <w:highlight w:val="none"/>
          <w:lang w:val="en-US" w:eastAsia="zh-CN"/>
        </w:rPr>
        <w:t>2</w:t>
      </w:r>
      <w:r>
        <w:rPr>
          <w:rFonts w:hint="eastAsia" w:ascii="宋体" w:hAnsi="宋体" w:cs="宋体"/>
          <w:bCs/>
          <w:i w:val="0"/>
          <w:iCs w:val="0"/>
          <w:color w:val="auto"/>
          <w:sz w:val="24"/>
          <w:highlight w:val="none"/>
          <w:lang w:val="en-US" w:eastAsia="zh-CN"/>
        </w:rPr>
        <w:t>7</w:t>
      </w:r>
    </w:p>
    <w:p w14:paraId="00AACC76">
      <w:pPr>
        <w:snapToGrid w:val="0"/>
        <w:spacing w:line="560" w:lineRule="exact"/>
        <w:jc w:val="left"/>
        <w:outlineLvl w:val="1"/>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第</w:t>
      </w:r>
      <w:r>
        <w:rPr>
          <w:rFonts w:hint="eastAsia" w:ascii="宋体" w:hAnsi="宋体" w:eastAsia="宋体" w:cs="宋体"/>
          <w:bCs/>
          <w:i w:val="0"/>
          <w:iCs w:val="0"/>
          <w:color w:val="auto"/>
          <w:sz w:val="24"/>
          <w:highlight w:val="none"/>
          <w:lang w:eastAsia="zh-CN"/>
        </w:rPr>
        <w:t>六</w:t>
      </w:r>
      <w:r>
        <w:rPr>
          <w:rFonts w:hint="eastAsia" w:ascii="宋体" w:hAnsi="宋体" w:eastAsia="宋体" w:cs="宋体"/>
          <w:bCs/>
          <w:i w:val="0"/>
          <w:iCs w:val="0"/>
          <w:color w:val="auto"/>
          <w:sz w:val="24"/>
          <w:highlight w:val="none"/>
        </w:rPr>
        <w:t xml:space="preserve">部分 </w:t>
      </w:r>
      <w:r>
        <w:rPr>
          <w:rFonts w:hint="eastAsia" w:ascii="宋体" w:hAnsi="宋体" w:eastAsia="宋体" w:cs="宋体"/>
          <w:bCs/>
          <w:i w:val="0"/>
          <w:iCs w:val="0"/>
          <w:color w:val="auto"/>
          <w:sz w:val="24"/>
          <w:highlight w:val="none"/>
          <w:lang w:val="zh-CN"/>
        </w:rPr>
        <w:t>投标文件相关格式</w:t>
      </w:r>
      <w:r>
        <w:rPr>
          <w:rFonts w:hint="eastAsia" w:ascii="宋体" w:hAnsi="宋体" w:eastAsia="宋体" w:cs="宋体"/>
          <w:bCs/>
          <w:i w:val="0"/>
          <w:iCs w:val="0"/>
          <w:color w:val="auto"/>
          <w:sz w:val="24"/>
          <w:highlight w:val="none"/>
        </w:rPr>
        <w:t>..................................................3</w:t>
      </w:r>
      <w:r>
        <w:rPr>
          <w:rFonts w:hint="eastAsia" w:ascii="宋体" w:hAnsi="宋体" w:cs="宋体"/>
          <w:bCs/>
          <w:i w:val="0"/>
          <w:iCs w:val="0"/>
          <w:color w:val="auto"/>
          <w:sz w:val="24"/>
          <w:highlight w:val="none"/>
          <w:lang w:val="en-US" w:eastAsia="zh-CN"/>
        </w:rPr>
        <w:t>2</w:t>
      </w:r>
    </w:p>
    <w:p w14:paraId="28CC6261">
      <w:pPr>
        <w:snapToGrid w:val="0"/>
        <w:spacing w:line="560" w:lineRule="exact"/>
        <w:jc w:val="left"/>
        <w:outlineLvl w:val="1"/>
        <w:rPr>
          <w:rFonts w:hint="eastAsia" w:ascii="宋体" w:hAnsi="宋体" w:eastAsia="宋体" w:cs="宋体"/>
          <w:bCs/>
          <w:i w:val="0"/>
          <w:iCs w:val="0"/>
          <w:color w:val="auto"/>
          <w:sz w:val="24"/>
          <w:highlight w:val="none"/>
        </w:rPr>
      </w:pPr>
    </w:p>
    <w:p w14:paraId="37E5273A">
      <w:pPr>
        <w:adjustRightInd w:val="0"/>
        <w:snapToGrid w:val="0"/>
        <w:jc w:val="center"/>
        <w:outlineLvl w:val="0"/>
        <w:rPr>
          <w:rFonts w:hint="eastAsia" w:ascii="宋体" w:hAnsi="宋体" w:cs="宋体"/>
          <w:b/>
          <w:i w:val="0"/>
          <w:iCs w:val="0"/>
          <w:color w:val="auto"/>
          <w:sz w:val="36"/>
          <w:highlight w:val="none"/>
        </w:rPr>
      </w:pPr>
    </w:p>
    <w:p w14:paraId="3963B521">
      <w:pPr>
        <w:adjustRightInd w:val="0"/>
        <w:snapToGrid w:val="0"/>
        <w:jc w:val="center"/>
        <w:outlineLvl w:val="0"/>
        <w:rPr>
          <w:rFonts w:hint="eastAsia" w:ascii="宋体" w:hAnsi="宋体" w:cs="宋体"/>
          <w:b/>
          <w:i w:val="0"/>
          <w:iCs w:val="0"/>
          <w:color w:val="auto"/>
          <w:sz w:val="36"/>
          <w:highlight w:val="none"/>
        </w:rPr>
      </w:pPr>
    </w:p>
    <w:p w14:paraId="20E1B32D">
      <w:pPr>
        <w:adjustRightInd w:val="0"/>
        <w:snapToGrid w:val="0"/>
        <w:jc w:val="center"/>
        <w:outlineLvl w:val="0"/>
        <w:rPr>
          <w:rFonts w:hint="eastAsia" w:ascii="宋体" w:hAnsi="宋体" w:cs="宋体"/>
          <w:b/>
          <w:i w:val="0"/>
          <w:iCs w:val="0"/>
          <w:color w:val="auto"/>
          <w:sz w:val="36"/>
          <w:highlight w:val="none"/>
        </w:rPr>
      </w:pPr>
    </w:p>
    <w:p w14:paraId="59E50F42">
      <w:pPr>
        <w:adjustRightInd w:val="0"/>
        <w:snapToGrid w:val="0"/>
        <w:jc w:val="center"/>
        <w:outlineLvl w:val="0"/>
        <w:rPr>
          <w:rFonts w:hint="eastAsia" w:ascii="宋体" w:hAnsi="宋体" w:cs="宋体"/>
          <w:b/>
          <w:i w:val="0"/>
          <w:iCs w:val="0"/>
          <w:color w:val="auto"/>
          <w:sz w:val="36"/>
          <w:highlight w:val="none"/>
        </w:rPr>
        <w:sectPr>
          <w:footerReference r:id="rId6" w:type="default"/>
          <w:pgSz w:w="11906" w:h="16838"/>
          <w:pgMar w:top="0" w:right="1192" w:bottom="1078" w:left="1474" w:header="680" w:footer="794" w:gutter="0"/>
          <w:pgBorders w:zOrder="back">
            <w:top w:val="none" w:sz="0" w:space="0"/>
            <w:left w:val="none" w:sz="0" w:space="0"/>
            <w:bottom w:val="none" w:sz="0" w:space="0"/>
            <w:right w:val="none" w:sz="0" w:space="0"/>
          </w:pgBorders>
          <w:pgNumType w:fmt="decimal" w:start="1"/>
          <w:cols w:space="720" w:num="1"/>
          <w:docGrid w:type="lines" w:linePitch="315" w:charSpace="0"/>
        </w:sectPr>
      </w:pPr>
    </w:p>
    <w:p w14:paraId="4FE28F14">
      <w:pPr>
        <w:adjustRightInd w:val="0"/>
        <w:snapToGrid w:val="0"/>
        <w:spacing w:after="157" w:afterLines="50"/>
        <w:jc w:val="center"/>
        <w:outlineLvl w:val="0"/>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36"/>
          <w:highlight w:val="none"/>
        </w:rPr>
        <w:t xml:space="preserve">  第一部分 招标公告</w:t>
      </w:r>
      <w:bookmarkEnd w:id="2"/>
      <w:bookmarkEnd w:id="3"/>
      <w:bookmarkEnd w:id="4"/>
    </w:p>
    <w:p w14:paraId="68BB5311">
      <w:pPr>
        <w:pStyle w:val="20"/>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spacing w:before="0" w:beforeAutospacing="0" w:after="0" w:afterAutospacing="0" w:line="42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项目概况</w:t>
      </w:r>
    </w:p>
    <w:p w14:paraId="50BF94C3">
      <w:pPr>
        <w:pStyle w:val="20"/>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snapToGrid/>
        <w:spacing w:before="0" w:beforeAutospacing="0" w:after="0" w:afterAutospacing="0" w:line="420" w:lineRule="exact"/>
        <w:ind w:left="0" w:leftChars="0" w:right="0" w:rightChars="0" w:firstLine="36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pacing w:val="-20"/>
          <w:sz w:val="22"/>
          <w:szCs w:val="22"/>
          <w:highlight w:val="none"/>
          <w:u w:val="single"/>
          <w:lang w:eastAsia="zh-CN"/>
        </w:rPr>
        <w:t>2025年建设项目环境影响评价技术评估</w:t>
      </w:r>
      <w:r>
        <w:rPr>
          <w:rFonts w:hint="eastAsia" w:ascii="宋体" w:hAnsi="宋体" w:eastAsia="宋体" w:cs="宋体"/>
          <w:i w:val="0"/>
          <w:iCs w:val="0"/>
          <w:color w:val="auto"/>
          <w:spacing w:val="-20"/>
          <w:sz w:val="22"/>
          <w:szCs w:val="22"/>
          <w:highlight w:val="none"/>
          <w:u w:val="none"/>
          <w:lang w:eastAsia="zh-CN"/>
        </w:rPr>
        <w:t>招标项目</w:t>
      </w:r>
      <w:r>
        <w:rPr>
          <w:rFonts w:hint="eastAsia" w:ascii="宋体" w:hAnsi="宋体" w:eastAsia="宋体" w:cs="宋体"/>
          <w:i w:val="0"/>
          <w:iCs w:val="0"/>
          <w:color w:val="auto"/>
          <w:spacing w:val="-20"/>
          <w:sz w:val="22"/>
          <w:szCs w:val="22"/>
          <w:highlight w:val="none"/>
        </w:rPr>
        <w:t>的潜在供应商应在</w:t>
      </w:r>
      <w:r>
        <w:rPr>
          <w:rFonts w:hint="eastAsia" w:ascii="宋体" w:hAnsi="宋体" w:eastAsia="宋体" w:cs="宋体"/>
          <w:i w:val="0"/>
          <w:iCs w:val="0"/>
          <w:color w:val="auto"/>
          <w:spacing w:val="-20"/>
          <w:sz w:val="22"/>
          <w:szCs w:val="22"/>
          <w:highlight w:val="none"/>
          <w:u w:val="single"/>
          <w:lang w:eastAsia="zh-CN"/>
        </w:rPr>
        <w:t>政府采购云平台（http://zfcg.czt.zj.gov.cn/）</w:t>
      </w:r>
      <w:r>
        <w:rPr>
          <w:rFonts w:hint="eastAsia" w:ascii="宋体" w:hAnsi="宋体" w:eastAsia="宋体" w:cs="宋体"/>
          <w:i w:val="0"/>
          <w:iCs w:val="0"/>
          <w:color w:val="auto"/>
          <w:sz w:val="22"/>
          <w:szCs w:val="22"/>
          <w:highlight w:val="none"/>
        </w:rPr>
        <w:t>获取</w:t>
      </w:r>
      <w:r>
        <w:rPr>
          <w:rFonts w:hint="eastAsia" w:ascii="宋体" w:hAnsi="宋体" w:eastAsia="宋体" w:cs="宋体"/>
          <w:i w:val="0"/>
          <w:iCs w:val="0"/>
          <w:color w:val="auto"/>
          <w:sz w:val="22"/>
          <w:szCs w:val="22"/>
          <w:highlight w:val="none"/>
          <w:lang w:eastAsia="zh-CN"/>
        </w:rPr>
        <w:t>招标</w:t>
      </w:r>
      <w:r>
        <w:rPr>
          <w:rFonts w:hint="eastAsia" w:ascii="宋体" w:hAnsi="宋体" w:eastAsia="宋体" w:cs="宋体"/>
          <w:i w:val="0"/>
          <w:iCs w:val="0"/>
          <w:color w:val="auto"/>
          <w:sz w:val="22"/>
          <w:szCs w:val="22"/>
          <w:highlight w:val="none"/>
        </w:rPr>
        <w:t>文件，并于</w:t>
      </w:r>
      <w:r>
        <w:rPr>
          <w:rFonts w:hint="eastAsia" w:ascii="宋体" w:hAnsi="宋体" w:eastAsia="宋体" w:cs="宋体"/>
          <w:i w:val="0"/>
          <w:iCs w:val="0"/>
          <w:color w:val="auto"/>
          <w:sz w:val="22"/>
          <w:szCs w:val="22"/>
          <w:highlight w:val="none"/>
          <w:u w:val="single"/>
          <w:lang w:eastAsia="zh-CN"/>
        </w:rPr>
        <w:t>202</w:t>
      </w:r>
      <w:r>
        <w:rPr>
          <w:rFonts w:hint="eastAsia" w:ascii="宋体" w:hAnsi="宋体" w:cs="宋体"/>
          <w:i w:val="0"/>
          <w:iCs w:val="0"/>
          <w:color w:val="auto"/>
          <w:sz w:val="22"/>
          <w:szCs w:val="22"/>
          <w:highlight w:val="none"/>
          <w:u w:val="single"/>
          <w:lang w:val="en-US" w:eastAsia="zh-CN"/>
        </w:rPr>
        <w:t>5</w:t>
      </w:r>
      <w:r>
        <w:rPr>
          <w:rFonts w:hint="eastAsia" w:ascii="宋体" w:hAnsi="宋体" w:eastAsia="宋体" w:cs="宋体"/>
          <w:i w:val="0"/>
          <w:iCs w:val="0"/>
          <w:color w:val="auto"/>
          <w:sz w:val="22"/>
          <w:szCs w:val="22"/>
          <w:highlight w:val="none"/>
          <w:u w:val="single"/>
        </w:rPr>
        <w:t>年</w:t>
      </w:r>
      <w:r>
        <w:rPr>
          <w:rFonts w:hint="eastAsia" w:ascii="宋体" w:hAnsi="宋体" w:cs="宋体"/>
          <w:i w:val="0"/>
          <w:iCs w:val="0"/>
          <w:color w:val="auto"/>
          <w:sz w:val="22"/>
          <w:szCs w:val="22"/>
          <w:highlight w:val="none"/>
          <w:u w:val="single"/>
          <w:lang w:val="en-US" w:eastAsia="zh-CN"/>
        </w:rPr>
        <w:t>7</w:t>
      </w:r>
      <w:r>
        <w:rPr>
          <w:rFonts w:hint="eastAsia" w:ascii="宋体" w:hAnsi="宋体" w:eastAsia="宋体" w:cs="宋体"/>
          <w:i w:val="0"/>
          <w:iCs w:val="0"/>
          <w:color w:val="auto"/>
          <w:sz w:val="22"/>
          <w:szCs w:val="22"/>
          <w:highlight w:val="none"/>
          <w:u w:val="single"/>
        </w:rPr>
        <w:t>月</w:t>
      </w:r>
      <w:r>
        <w:rPr>
          <w:rFonts w:hint="eastAsia" w:ascii="宋体" w:hAnsi="宋体" w:cs="宋体"/>
          <w:i w:val="0"/>
          <w:iCs w:val="0"/>
          <w:color w:val="auto"/>
          <w:sz w:val="22"/>
          <w:szCs w:val="22"/>
          <w:highlight w:val="none"/>
          <w:u w:val="single"/>
          <w:lang w:val="en-US" w:eastAsia="zh-CN"/>
        </w:rPr>
        <w:t>21</w:t>
      </w:r>
      <w:bookmarkStart w:id="118" w:name="_GoBack"/>
      <w:bookmarkEnd w:id="118"/>
      <w:r>
        <w:rPr>
          <w:rFonts w:hint="eastAsia" w:ascii="宋体" w:hAnsi="宋体" w:eastAsia="宋体" w:cs="宋体"/>
          <w:i w:val="0"/>
          <w:iCs w:val="0"/>
          <w:color w:val="auto"/>
          <w:sz w:val="22"/>
          <w:szCs w:val="22"/>
          <w:highlight w:val="none"/>
          <w:u w:val="single"/>
        </w:rPr>
        <w:t>日</w:t>
      </w:r>
      <w:r>
        <w:rPr>
          <w:rFonts w:hint="eastAsia" w:ascii="宋体" w:hAnsi="宋体" w:cs="宋体"/>
          <w:i w:val="0"/>
          <w:iCs w:val="0"/>
          <w:color w:val="auto"/>
          <w:sz w:val="22"/>
          <w:szCs w:val="22"/>
          <w:highlight w:val="none"/>
          <w:u w:val="single"/>
          <w:lang w:val="en-US" w:eastAsia="zh-CN"/>
        </w:rPr>
        <w:t>09</w:t>
      </w:r>
      <w:r>
        <w:rPr>
          <w:rFonts w:hint="eastAsia" w:ascii="宋体" w:hAnsi="宋体" w:eastAsia="宋体" w:cs="宋体"/>
          <w:i w:val="0"/>
          <w:iCs w:val="0"/>
          <w:color w:val="auto"/>
          <w:sz w:val="22"/>
          <w:szCs w:val="22"/>
          <w:highlight w:val="none"/>
          <w:u w:val="single"/>
        </w:rPr>
        <w:t>:</w:t>
      </w:r>
      <w:r>
        <w:rPr>
          <w:rFonts w:hint="eastAsia" w:ascii="宋体" w:hAnsi="宋体" w:cs="宋体"/>
          <w:i w:val="0"/>
          <w:iCs w:val="0"/>
          <w:color w:val="auto"/>
          <w:sz w:val="22"/>
          <w:szCs w:val="22"/>
          <w:highlight w:val="none"/>
          <w:u w:val="single"/>
          <w:lang w:val="en-US" w:eastAsia="zh-CN"/>
        </w:rPr>
        <w:t xml:space="preserve">30 </w:t>
      </w:r>
      <w:r>
        <w:rPr>
          <w:rFonts w:hint="eastAsia" w:ascii="宋体" w:hAnsi="宋体" w:eastAsia="宋体" w:cs="宋体"/>
          <w:i w:val="0"/>
          <w:iCs w:val="0"/>
          <w:color w:val="auto"/>
          <w:sz w:val="22"/>
          <w:szCs w:val="22"/>
          <w:highlight w:val="none"/>
        </w:rPr>
        <w:t>（北京时间）前</w:t>
      </w:r>
      <w:r>
        <w:rPr>
          <w:rFonts w:hint="eastAsia" w:ascii="宋体" w:hAnsi="宋体" w:eastAsia="宋体" w:cs="宋体"/>
          <w:i w:val="0"/>
          <w:iCs w:val="0"/>
          <w:color w:val="auto"/>
          <w:sz w:val="22"/>
          <w:szCs w:val="22"/>
          <w:highlight w:val="none"/>
          <w:lang w:eastAsia="zh-CN"/>
        </w:rPr>
        <w:t>递交投标</w:t>
      </w:r>
      <w:r>
        <w:rPr>
          <w:rFonts w:hint="eastAsia" w:ascii="宋体" w:hAnsi="宋体" w:eastAsia="宋体" w:cs="宋体"/>
          <w:i w:val="0"/>
          <w:iCs w:val="0"/>
          <w:color w:val="auto"/>
          <w:sz w:val="22"/>
          <w:szCs w:val="22"/>
          <w:highlight w:val="none"/>
        </w:rPr>
        <w:t>文件。</w:t>
      </w:r>
    </w:p>
    <w:p w14:paraId="2E52E7F5">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一、项目基本情况</w:t>
      </w:r>
    </w:p>
    <w:p w14:paraId="2ED9CB9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default" w:ascii="宋体" w:hAnsi="宋体" w:eastAsia="宋体" w:cs="宋体"/>
          <w:i w:val="0"/>
          <w:iCs w:val="0"/>
          <w:color w:val="0000FF"/>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项目编号：</w:t>
      </w:r>
      <w:r>
        <w:rPr>
          <w:rFonts w:hint="eastAsia" w:ascii="宋体" w:hAnsi="宋体" w:cs="宋体"/>
          <w:i w:val="0"/>
          <w:iCs w:val="0"/>
          <w:color w:val="auto"/>
          <w:sz w:val="22"/>
          <w:szCs w:val="22"/>
          <w:highlight w:val="none"/>
          <w:lang w:eastAsia="zh-CN"/>
        </w:rPr>
        <w:t>ZLQZ-250</w:t>
      </w:r>
      <w:r>
        <w:rPr>
          <w:rFonts w:hint="eastAsia" w:ascii="宋体" w:hAnsi="宋体" w:cs="宋体"/>
          <w:i w:val="0"/>
          <w:iCs w:val="0"/>
          <w:color w:val="auto"/>
          <w:sz w:val="22"/>
          <w:szCs w:val="22"/>
          <w:highlight w:val="none"/>
          <w:lang w:val="en-US" w:eastAsia="zh-CN"/>
        </w:rPr>
        <w:t>6</w:t>
      </w:r>
      <w:r>
        <w:rPr>
          <w:rFonts w:hint="eastAsia" w:ascii="宋体" w:hAnsi="宋体" w:cs="宋体"/>
          <w:i w:val="0"/>
          <w:iCs w:val="0"/>
          <w:color w:val="auto"/>
          <w:sz w:val="22"/>
          <w:szCs w:val="22"/>
          <w:highlight w:val="none"/>
          <w:lang w:eastAsia="zh-CN"/>
        </w:rPr>
        <w:t>0</w:t>
      </w:r>
      <w:r>
        <w:rPr>
          <w:rFonts w:hint="eastAsia" w:ascii="宋体" w:hAnsi="宋体" w:cs="宋体"/>
          <w:i w:val="0"/>
          <w:iCs w:val="0"/>
          <w:color w:val="auto"/>
          <w:sz w:val="22"/>
          <w:szCs w:val="22"/>
          <w:highlight w:val="none"/>
          <w:lang w:val="en-US" w:eastAsia="zh-CN"/>
        </w:rPr>
        <w:t>94</w:t>
      </w:r>
    </w:p>
    <w:p w14:paraId="4586C2E3">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2.项目名称：</w:t>
      </w:r>
      <w:r>
        <w:rPr>
          <w:rFonts w:hint="eastAsia" w:ascii="宋体" w:hAnsi="宋体" w:cs="宋体"/>
          <w:i w:val="0"/>
          <w:iCs w:val="0"/>
          <w:color w:val="auto"/>
          <w:sz w:val="22"/>
          <w:szCs w:val="22"/>
          <w:highlight w:val="none"/>
          <w:lang w:val="en-US" w:eastAsia="zh-CN"/>
        </w:rPr>
        <w:t>2025年建设项目环境影响评价技术评估项目</w:t>
      </w:r>
    </w:p>
    <w:p w14:paraId="305B25AA">
      <w:pPr>
        <w:keepNext w:val="0"/>
        <w:keepLines w:val="0"/>
        <w:pageBreakBefore w:val="0"/>
        <w:widowControl w:val="0"/>
        <w:kinsoku/>
        <w:wordWrap/>
        <w:overflowPunct/>
        <w:topLinePunct w:val="0"/>
        <w:autoSpaceDE w:val="0"/>
        <w:autoSpaceDN w:val="0"/>
        <w:bidi w:val="0"/>
        <w:spacing w:line="460" w:lineRule="exact"/>
        <w:ind w:left="437" w:leftChars="208" w:right="0" w:rightChars="0" w:firstLine="0" w:firstLineChars="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3.采购方式：公开招标</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en-US" w:eastAsia="zh-CN"/>
        </w:rPr>
        <w:t>.预算金额：</w:t>
      </w:r>
      <w:r>
        <w:rPr>
          <w:rFonts w:hint="eastAsia" w:ascii="宋体" w:hAnsi="宋体" w:cs="宋体"/>
          <w:i w:val="0"/>
          <w:iCs w:val="0"/>
          <w:color w:val="auto"/>
          <w:sz w:val="22"/>
          <w:szCs w:val="22"/>
          <w:highlight w:val="none"/>
          <w:lang w:val="en-US" w:eastAsia="zh-CN"/>
        </w:rPr>
        <w:t>1600000</w:t>
      </w:r>
      <w:r>
        <w:rPr>
          <w:rFonts w:hint="eastAsia" w:ascii="宋体" w:hAnsi="宋体" w:eastAsia="宋体" w:cs="宋体"/>
          <w:i w:val="0"/>
          <w:iCs w:val="0"/>
          <w:color w:val="auto"/>
          <w:sz w:val="22"/>
          <w:szCs w:val="22"/>
          <w:highlight w:val="none"/>
          <w:lang w:val="en-US" w:eastAsia="zh-CN"/>
        </w:rPr>
        <w:t>元</w:t>
      </w:r>
    </w:p>
    <w:p w14:paraId="252979A1">
      <w:pPr>
        <w:keepNext w:val="0"/>
        <w:keepLines w:val="0"/>
        <w:pageBreakBefore w:val="0"/>
        <w:widowControl w:val="0"/>
        <w:kinsoku/>
        <w:wordWrap/>
        <w:overflowPunct/>
        <w:topLinePunct w:val="0"/>
        <w:autoSpaceDE w:val="0"/>
        <w:autoSpaceDN w:val="0"/>
        <w:bidi w:val="0"/>
        <w:spacing w:line="460" w:lineRule="exact"/>
        <w:ind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5.最高限价：1600000元</w:t>
      </w:r>
      <w:r>
        <w:rPr>
          <w:rFonts w:hint="eastAsia" w:ascii="宋体" w:hAnsi="宋体" w:eastAsia="宋体" w:cs="宋体"/>
          <w:i w:val="0"/>
          <w:iCs w:val="0"/>
          <w:color w:val="auto"/>
          <w:kern w:val="2"/>
          <w:sz w:val="22"/>
          <w:szCs w:val="22"/>
          <w:highlight w:val="none"/>
          <w:lang w:val="en-US" w:eastAsia="zh-CN" w:bidi="ar-SA"/>
        </w:rPr>
        <w:t>，本项目设有最高限单价：（1）</w:t>
      </w:r>
      <w:r>
        <w:rPr>
          <w:rFonts w:hint="eastAsia" w:ascii="宋体" w:hAnsi="宋体" w:eastAsia="宋体" w:cs="宋体"/>
          <w:color w:val="auto"/>
          <w:sz w:val="24"/>
          <w:szCs w:val="24"/>
          <w:highlight w:val="none"/>
          <w:lang w:eastAsia="zh-CN"/>
        </w:rPr>
        <w:t>环境影响报告书（表）编制规范性检查技术评估</w:t>
      </w:r>
      <w:r>
        <w:rPr>
          <w:rFonts w:hint="eastAsia" w:ascii="宋体" w:hAnsi="宋体" w:eastAsia="宋体" w:cs="宋体"/>
          <w:i w:val="0"/>
          <w:iCs w:val="0"/>
          <w:color w:val="auto"/>
          <w:kern w:val="2"/>
          <w:sz w:val="22"/>
          <w:szCs w:val="22"/>
          <w:highlight w:val="none"/>
          <w:lang w:val="en-US" w:eastAsia="zh-CN" w:bidi="ar-SA"/>
        </w:rPr>
        <w:t>最高限单价：20000元/个；（2）</w:t>
      </w:r>
      <w:r>
        <w:rPr>
          <w:rFonts w:hint="eastAsia" w:ascii="宋体" w:hAnsi="宋体" w:eastAsia="宋体" w:cs="宋体"/>
          <w:color w:val="auto"/>
          <w:sz w:val="24"/>
          <w:szCs w:val="24"/>
          <w:highlight w:val="none"/>
          <w:lang w:val="en-US"/>
        </w:rPr>
        <w:t>环评质量技术复核服务</w:t>
      </w:r>
      <w:r>
        <w:rPr>
          <w:rFonts w:hint="eastAsia" w:ascii="宋体" w:hAnsi="宋体" w:eastAsia="宋体" w:cs="宋体"/>
          <w:i w:val="0"/>
          <w:iCs w:val="0"/>
          <w:color w:val="auto"/>
          <w:kern w:val="2"/>
          <w:sz w:val="22"/>
          <w:szCs w:val="22"/>
          <w:highlight w:val="none"/>
          <w:lang w:val="en-US" w:eastAsia="zh-CN" w:bidi="ar-SA"/>
        </w:rPr>
        <w:t>最高限单价：2000元/个；</w:t>
      </w:r>
      <w:r>
        <w:rPr>
          <w:rFonts w:hint="eastAsia" w:ascii="宋体" w:hAnsi="宋体" w:eastAsia="宋体" w:cs="宋体"/>
          <w:color w:val="auto"/>
          <w:sz w:val="24"/>
          <w:szCs w:val="24"/>
          <w:highlight w:val="none"/>
          <w:lang w:val="en-US" w:eastAsia="zh-CN"/>
        </w:rPr>
        <w:t>环保决策咨询</w:t>
      </w:r>
      <w:r>
        <w:rPr>
          <w:rFonts w:hint="eastAsia" w:ascii="宋体" w:hAnsi="宋体" w:eastAsia="宋体" w:cs="宋体"/>
          <w:i w:val="0"/>
          <w:iCs w:val="0"/>
          <w:color w:val="auto"/>
          <w:kern w:val="2"/>
          <w:sz w:val="22"/>
          <w:szCs w:val="22"/>
          <w:highlight w:val="none"/>
          <w:lang w:val="en-US" w:eastAsia="zh-CN" w:bidi="ar-SA"/>
        </w:rPr>
        <w:t>最高限单价：10000元/个。</w:t>
      </w:r>
      <w:r>
        <w:rPr>
          <w:rFonts w:hint="eastAsia" w:ascii="宋体" w:hAnsi="宋体" w:eastAsia="宋体" w:cs="宋体"/>
          <w:i w:val="0"/>
          <w:iCs w:val="0"/>
          <w:color w:val="auto"/>
          <w:sz w:val="22"/>
          <w:szCs w:val="22"/>
          <w:highlight w:val="none"/>
          <w:lang w:val="en-US" w:eastAsia="zh-CN"/>
        </w:rPr>
        <w:br w:type="textWrapping"/>
      </w:r>
      <w:r>
        <w:rPr>
          <w:rFonts w:hint="eastAsia" w:ascii="宋体" w:hAnsi="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rPr>
        <w:t>采购需求：</w:t>
      </w:r>
      <w:r>
        <w:rPr>
          <w:rFonts w:hint="eastAsia" w:ascii="宋体" w:hAnsi="宋体" w:cs="宋体"/>
          <w:i w:val="0"/>
          <w:iCs w:val="0"/>
          <w:color w:val="auto"/>
          <w:sz w:val="22"/>
          <w:szCs w:val="22"/>
          <w:highlight w:val="none"/>
          <w:lang w:val="en-US" w:eastAsia="zh-CN"/>
        </w:rPr>
        <w:t>2025年建设项目环境影响评价技术评估，</w:t>
      </w:r>
      <w:r>
        <w:rPr>
          <w:rFonts w:hint="eastAsia" w:ascii="宋体" w:hAnsi="宋体" w:cs="宋体"/>
          <w:i w:val="0"/>
          <w:iCs w:val="0"/>
          <w:color w:val="auto"/>
          <w:sz w:val="22"/>
          <w:szCs w:val="22"/>
          <w:highlight w:val="none"/>
          <w:lang w:eastAsia="zh-CN"/>
        </w:rPr>
        <w:t>服务期为一年（2025年8月1日—2026年7月31日），</w:t>
      </w:r>
      <w:r>
        <w:rPr>
          <w:rFonts w:hint="eastAsia" w:ascii="宋体" w:hAnsi="宋体" w:eastAsia="宋体" w:cs="宋体"/>
          <w:i w:val="0"/>
          <w:iCs w:val="0"/>
          <w:color w:val="auto"/>
          <w:sz w:val="22"/>
          <w:szCs w:val="22"/>
          <w:highlight w:val="none"/>
        </w:rPr>
        <w:t>详见采购文件《第三部分 采购需求》</w:t>
      </w:r>
      <w:r>
        <w:rPr>
          <w:rFonts w:hint="eastAsia" w:ascii="宋体" w:hAnsi="宋体" w:eastAsia="宋体" w:cs="宋体"/>
          <w:i w:val="0"/>
          <w:iCs w:val="0"/>
          <w:color w:val="auto"/>
          <w:sz w:val="22"/>
          <w:szCs w:val="22"/>
          <w:highlight w:val="none"/>
          <w:lang w:val="en-US" w:eastAsia="zh-CN"/>
        </w:rPr>
        <w:t>。</w:t>
      </w:r>
    </w:p>
    <w:p w14:paraId="5BC9DCC2">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合同履行期限：</w:t>
      </w:r>
      <w:r>
        <w:rPr>
          <w:rFonts w:hint="eastAsia" w:ascii="宋体" w:hAnsi="宋体" w:cs="宋体"/>
          <w:i w:val="0"/>
          <w:iCs w:val="0"/>
          <w:color w:val="auto"/>
          <w:sz w:val="22"/>
          <w:szCs w:val="22"/>
          <w:highlight w:val="none"/>
          <w:lang w:eastAsia="zh-CN"/>
        </w:rPr>
        <w:t>本项目服务期为一年（2025年8月1日—2026年7月31日）。</w:t>
      </w:r>
      <w:r>
        <w:rPr>
          <w:rFonts w:hint="eastAsia" w:ascii="宋体" w:hAnsi="宋体" w:eastAsia="宋体" w:cs="宋体"/>
          <w:color w:val="auto"/>
          <w:sz w:val="22"/>
          <w:szCs w:val="22"/>
          <w:highlight w:val="none"/>
        </w:rPr>
        <w:t>服务期满无质量、服务问题视为履约完成。</w:t>
      </w:r>
    </w:p>
    <w:p w14:paraId="0EE744F7">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8.</w:t>
      </w:r>
      <w:r>
        <w:rPr>
          <w:rFonts w:hint="eastAsia" w:ascii="宋体" w:hAnsi="宋体" w:eastAsia="宋体" w:cs="宋体"/>
          <w:i w:val="0"/>
          <w:iCs w:val="0"/>
          <w:color w:val="auto"/>
          <w:sz w:val="22"/>
          <w:szCs w:val="22"/>
          <w:highlight w:val="none"/>
        </w:rPr>
        <w:t>本项目</w:t>
      </w:r>
      <w:r>
        <w:rPr>
          <w:rFonts w:hint="eastAsia" w:ascii="宋体" w:hAnsi="宋体" w:cs="宋体"/>
          <w:i w:val="0"/>
          <w:iCs w:val="0"/>
          <w:color w:val="auto"/>
          <w:sz w:val="22"/>
          <w:szCs w:val="22"/>
          <w:highlight w:val="none"/>
          <w:lang w:eastAsia="zh-CN"/>
        </w:rPr>
        <w:t>不</w:t>
      </w:r>
      <w:r>
        <w:rPr>
          <w:rFonts w:hint="eastAsia" w:ascii="宋体" w:hAnsi="宋体" w:eastAsia="宋体" w:cs="宋体"/>
          <w:i w:val="0"/>
          <w:iCs w:val="0"/>
          <w:color w:val="auto"/>
          <w:sz w:val="22"/>
          <w:szCs w:val="22"/>
          <w:highlight w:val="none"/>
        </w:rPr>
        <w:t>接受联合体投标。</w:t>
      </w:r>
    </w:p>
    <w:p w14:paraId="2FF15C7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val="0"/>
          <w:i w:val="0"/>
          <w:iCs w:val="0"/>
          <w:color w:val="auto"/>
          <w:sz w:val="22"/>
          <w:szCs w:val="22"/>
          <w:highlight w:val="none"/>
          <w:lang w:val="en-US" w:eastAsia="zh-CN"/>
        </w:rPr>
      </w:pPr>
      <w:r>
        <w:rPr>
          <w:rFonts w:hint="eastAsia" w:ascii="宋体" w:hAnsi="宋体" w:eastAsia="宋体" w:cs="宋体"/>
          <w:b/>
          <w:bCs w:val="0"/>
          <w:i w:val="0"/>
          <w:iCs w:val="0"/>
          <w:color w:val="auto"/>
          <w:sz w:val="22"/>
          <w:szCs w:val="22"/>
          <w:highlight w:val="none"/>
          <w:lang w:val="en-US" w:eastAsia="zh-CN"/>
        </w:rPr>
        <w:t>二、申请人的资格要求</w:t>
      </w:r>
    </w:p>
    <w:p w14:paraId="418C5EE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1.满足《中华人民共和国政府采购法》第二十二条规定</w:t>
      </w:r>
      <w:r>
        <w:rPr>
          <w:rFonts w:hint="eastAsia" w:ascii="宋体" w:hAnsi="宋体" w:cs="宋体"/>
          <w:i w:val="0"/>
          <w:iCs w:val="0"/>
          <w:color w:val="auto"/>
          <w:sz w:val="22"/>
          <w:szCs w:val="22"/>
          <w:highlight w:val="none"/>
          <w:lang w:eastAsia="zh-CN"/>
        </w:rPr>
        <w:t>：</w:t>
      </w:r>
    </w:p>
    <w:p w14:paraId="185FBDD1">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 具有独立承担民事责任的能力；</w:t>
      </w:r>
    </w:p>
    <w:p w14:paraId="1CB391D6">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 具有良好的商业信誉和健全的财务会计制度；</w:t>
      </w:r>
    </w:p>
    <w:p w14:paraId="37976319">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 具有履行合同所必需的设备和专业技术能力；</w:t>
      </w:r>
    </w:p>
    <w:p w14:paraId="278A27DD">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 有依法缴纳税收和社会保障资金的良好记录；</w:t>
      </w:r>
    </w:p>
    <w:p w14:paraId="1BD319A2">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 参加政府采购活动前三年内，在经营活动中没有重大违法记录；</w:t>
      </w:r>
    </w:p>
    <w:p w14:paraId="773CE876">
      <w:pPr>
        <w:pStyle w:val="1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6) 法律、行政法规规定的其他条件</w:t>
      </w:r>
      <w:r>
        <w:rPr>
          <w:rFonts w:hint="eastAsia" w:ascii="宋体" w:hAnsi="宋体" w:eastAsia="宋体" w:cs="宋体"/>
          <w:color w:val="000000"/>
          <w:sz w:val="24"/>
          <w:szCs w:val="24"/>
        </w:rPr>
        <w:t>。</w:t>
      </w:r>
    </w:p>
    <w:p w14:paraId="143BB3E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未被“信用中国”（www.creditchina.gov.cn)、中国政府采购网（www.ccgp.gov.cn）列入失信被执行人、重大税收违法案件当事人名单、政府采购严重违法失信行为记录名单。</w:t>
      </w:r>
    </w:p>
    <w:p w14:paraId="053B4DE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val="en-US" w:eastAsia="zh-CN"/>
        </w:rPr>
        <w:t>3</w:t>
      </w:r>
      <w:r>
        <w:rPr>
          <w:rFonts w:hint="eastAsia" w:ascii="宋体" w:hAnsi="宋体" w:eastAsia="宋体" w:cs="宋体"/>
          <w:b/>
          <w:bCs/>
          <w:i w:val="0"/>
          <w:iCs w:val="0"/>
          <w:color w:val="auto"/>
          <w:sz w:val="22"/>
          <w:szCs w:val="22"/>
          <w:highlight w:val="none"/>
        </w:rPr>
        <w:t>.落实政府采购政策需满足的资格要求：</w:t>
      </w:r>
      <w:r>
        <w:rPr>
          <w:rFonts w:hint="eastAsia" w:ascii="宋体" w:hAnsi="宋体" w:eastAsia="宋体" w:cs="宋体"/>
          <w:b/>
          <w:bCs/>
          <w:color w:val="auto"/>
          <w:sz w:val="22"/>
          <w:szCs w:val="22"/>
          <w:highlight w:val="none"/>
          <w:lang w:val="zh-CN" w:eastAsia="zh-CN"/>
        </w:rPr>
        <w:t>本次招标专门面向中小企业。</w:t>
      </w:r>
      <w:r>
        <w:rPr>
          <w:rFonts w:hint="eastAsia" w:ascii="宋体" w:hAnsi="宋体" w:eastAsia="宋体" w:cs="宋体"/>
          <w:b/>
          <w:bCs/>
          <w:i w:val="0"/>
          <w:iCs w:val="0"/>
          <w:color w:val="auto"/>
          <w:sz w:val="22"/>
          <w:szCs w:val="22"/>
          <w:highlight w:val="none"/>
          <w:lang w:val="en-US" w:eastAsia="zh-CN"/>
        </w:rPr>
        <w:t>中小企业是指满足《政府采购促进中小企业发展管理办法》（财库〔2020〕46号）第二条规定的企业。监狱企业、残疾人福利性单位视为中小企业。</w:t>
      </w:r>
    </w:p>
    <w:p w14:paraId="533FF425">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.本项目的特定资格要求：无</w:t>
      </w:r>
      <w:r>
        <w:rPr>
          <w:rFonts w:hint="eastAsia" w:ascii="宋体" w:hAnsi="宋体" w:cs="宋体"/>
          <w:i w:val="0"/>
          <w:iCs w:val="0"/>
          <w:color w:val="auto"/>
          <w:sz w:val="22"/>
          <w:szCs w:val="22"/>
          <w:highlight w:val="none"/>
          <w:lang w:eastAsia="zh-CN"/>
        </w:rPr>
        <w:t>。</w:t>
      </w:r>
    </w:p>
    <w:p w14:paraId="4BAAFE7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eastAsia="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.单位负责人为同一人或者存在直接控股、管理关系的不同供应商，不得参加同一合同项下的政府采购活动</w:t>
      </w:r>
      <w:r>
        <w:rPr>
          <w:rFonts w:hint="eastAsia" w:ascii="宋体" w:hAnsi="宋体" w:eastAsia="宋体" w:cs="宋体"/>
          <w:i w:val="0"/>
          <w:iCs w:val="0"/>
          <w:color w:val="auto"/>
          <w:sz w:val="22"/>
          <w:szCs w:val="22"/>
          <w:highlight w:val="none"/>
          <w:lang w:eastAsia="zh-CN"/>
        </w:rPr>
        <w:t>。</w:t>
      </w:r>
    </w:p>
    <w:p w14:paraId="7844D68C">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i w:val="0"/>
          <w:iCs w:val="0"/>
          <w:color w:val="auto"/>
          <w:sz w:val="22"/>
          <w:szCs w:val="22"/>
          <w:highlight w:val="none"/>
          <w:lang w:val="en-US" w:eastAsia="zh-CN"/>
        </w:rPr>
      </w:pPr>
      <w:r>
        <w:rPr>
          <w:rFonts w:hint="eastAsia" w:ascii="宋体" w:hAnsi="宋体" w:eastAsia="宋体" w:cs="宋体"/>
          <w:bCs/>
          <w:i w:val="0"/>
          <w:iCs w:val="0"/>
          <w:color w:val="auto"/>
          <w:sz w:val="22"/>
          <w:szCs w:val="22"/>
          <w:highlight w:val="none"/>
          <w:lang w:val="en-US" w:eastAsia="zh-CN"/>
        </w:rPr>
        <w:t>三、获取（下载）招标文件</w:t>
      </w:r>
    </w:p>
    <w:p w14:paraId="332B2A21">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时间：</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30</w:t>
      </w:r>
      <w:r>
        <w:rPr>
          <w:rFonts w:hint="eastAsia" w:ascii="宋体" w:hAnsi="宋体" w:eastAsia="宋体" w:cs="宋体"/>
          <w:i w:val="0"/>
          <w:iCs w:val="0"/>
          <w:color w:val="auto"/>
          <w:sz w:val="22"/>
          <w:szCs w:val="22"/>
          <w:highlight w:val="none"/>
        </w:rPr>
        <w:t>日至</w:t>
      </w:r>
      <w:r>
        <w:rPr>
          <w:rFonts w:hint="eastAsia" w:ascii="宋体" w:hAnsi="宋体" w:eastAsia="宋体" w:cs="宋体"/>
          <w:i w:val="0"/>
          <w:iCs w:val="0"/>
          <w:color w:val="auto"/>
          <w:sz w:val="22"/>
          <w:szCs w:val="22"/>
          <w:highlight w:val="none"/>
          <w:lang w:eastAsia="zh-CN"/>
        </w:rPr>
        <w:t>202</w:t>
      </w: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rPr>
        <w:t>年</w:t>
      </w: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月</w:t>
      </w:r>
      <w:r>
        <w:rPr>
          <w:rFonts w:hint="eastAsia" w:ascii="宋体" w:hAnsi="宋体" w:cs="宋体"/>
          <w:i w:val="0"/>
          <w:iCs w:val="0"/>
          <w:color w:val="auto"/>
          <w:sz w:val="22"/>
          <w:szCs w:val="22"/>
          <w:highlight w:val="none"/>
          <w:lang w:val="en-US" w:eastAsia="zh-CN"/>
        </w:rPr>
        <w:t>21</w:t>
      </w:r>
      <w:r>
        <w:rPr>
          <w:rFonts w:hint="eastAsia" w:ascii="宋体" w:hAnsi="宋体" w:eastAsia="宋体" w:cs="宋体"/>
          <w:i w:val="0"/>
          <w:iCs w:val="0"/>
          <w:color w:val="auto"/>
          <w:sz w:val="22"/>
          <w:szCs w:val="22"/>
          <w:highlight w:val="none"/>
        </w:rPr>
        <w:t>日，每天上午00:00至12:00，下午12:00至23:59（北京时间，线上获取法定节假日均可，线下获取文件法定节假日除外）</w:t>
      </w:r>
    </w:p>
    <w:p w14:paraId="77E8D90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地点（网址）：政府采购云平台（http://zfcg.czt.zj.gov.cn） </w:t>
      </w:r>
    </w:p>
    <w:p w14:paraId="62B54417">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right="0" w:rightChars="0" w:firstLine="440" w:firstLineChars="200"/>
        <w:jc w:val="left"/>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sz w:val="22"/>
          <w:szCs w:val="22"/>
          <w:highlight w:val="none"/>
        </w:rPr>
        <w:t>方式：自行下载</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p>
    <w:p w14:paraId="12CE3970">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5" w:name="_Toc28359005"/>
      <w:bookmarkStart w:id="6" w:name="_Toc28359082"/>
      <w:bookmarkStart w:id="7" w:name="_Toc35393624"/>
      <w:bookmarkStart w:id="8" w:name="_Toc35393793"/>
      <w:r>
        <w:rPr>
          <w:rFonts w:hint="eastAsia" w:ascii="宋体" w:hAnsi="宋体" w:eastAsia="宋体" w:cs="宋体"/>
          <w:bCs w:val="0"/>
          <w:i w:val="0"/>
          <w:iCs w:val="0"/>
          <w:color w:val="auto"/>
          <w:sz w:val="22"/>
          <w:szCs w:val="22"/>
          <w:highlight w:val="none"/>
        </w:rPr>
        <w:t>四、提交投标文件</w:t>
      </w:r>
      <w:bookmarkEnd w:id="5"/>
      <w:bookmarkEnd w:id="6"/>
      <w:r>
        <w:rPr>
          <w:rFonts w:hint="eastAsia" w:ascii="宋体" w:hAnsi="宋体" w:eastAsia="宋体" w:cs="宋体"/>
          <w:bCs w:val="0"/>
          <w:i w:val="0"/>
          <w:iCs w:val="0"/>
          <w:color w:val="auto"/>
          <w:sz w:val="22"/>
          <w:szCs w:val="22"/>
          <w:highlight w:val="none"/>
        </w:rPr>
        <w:t>截止时间、开标时间和地点</w:t>
      </w:r>
      <w:bookmarkEnd w:id="7"/>
      <w:bookmarkEnd w:id="8"/>
    </w:p>
    <w:p w14:paraId="6685219E">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提交投标文件截止时间：</w:t>
      </w:r>
      <w:r>
        <w:rPr>
          <w:rFonts w:hint="eastAsia" w:ascii="宋体" w:hAnsi="宋体" w:cs="宋体"/>
          <w:i w:val="0"/>
          <w:iCs w:val="0"/>
          <w:color w:val="auto"/>
          <w:sz w:val="22"/>
          <w:szCs w:val="22"/>
          <w:highlight w:val="none"/>
          <w:lang w:eastAsia="zh-CN"/>
        </w:rPr>
        <w:t>2025年7月21日09时30分</w:t>
      </w:r>
      <w:r>
        <w:rPr>
          <w:rFonts w:hint="eastAsia" w:ascii="宋体" w:hAnsi="宋体" w:eastAsia="宋体" w:cs="宋体"/>
          <w:i w:val="0"/>
          <w:iCs w:val="0"/>
          <w:color w:val="auto"/>
          <w:sz w:val="22"/>
          <w:szCs w:val="22"/>
          <w:highlight w:val="none"/>
        </w:rPr>
        <w:t>（北京时间）</w:t>
      </w:r>
    </w:p>
    <w:p w14:paraId="6024F91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投标地点（网址）：</w:t>
      </w:r>
      <w:r>
        <w:rPr>
          <w:rFonts w:hint="eastAsia" w:ascii="宋体" w:hAnsi="宋体" w:eastAsia="宋体" w:cs="宋体"/>
          <w:i w:val="0"/>
          <w:iCs w:val="0"/>
          <w:color w:val="auto"/>
          <w:kern w:val="0"/>
          <w:sz w:val="22"/>
          <w:szCs w:val="22"/>
          <w:highlight w:val="none"/>
        </w:rPr>
        <w:t>政府采购云平台（http://zfcg.czt.zj.gov.cn）在线</w:t>
      </w:r>
      <w:r>
        <w:rPr>
          <w:rFonts w:hint="eastAsia" w:ascii="宋体" w:hAnsi="宋体" w:eastAsia="宋体" w:cs="宋体"/>
          <w:i w:val="0"/>
          <w:iCs w:val="0"/>
          <w:color w:val="auto"/>
          <w:kern w:val="0"/>
          <w:sz w:val="22"/>
          <w:szCs w:val="22"/>
          <w:highlight w:val="none"/>
          <w:lang w:eastAsia="zh-CN"/>
        </w:rPr>
        <w:t>提交</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sz w:val="22"/>
          <w:szCs w:val="22"/>
          <w:highlight w:val="none"/>
        </w:rPr>
        <w:t> </w:t>
      </w:r>
    </w:p>
    <w:p w14:paraId="4164F27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开标时间：</w:t>
      </w:r>
      <w:r>
        <w:rPr>
          <w:rFonts w:hint="eastAsia" w:ascii="宋体" w:hAnsi="宋体" w:cs="宋体"/>
          <w:i w:val="0"/>
          <w:iCs w:val="0"/>
          <w:color w:val="auto"/>
          <w:sz w:val="22"/>
          <w:szCs w:val="22"/>
          <w:highlight w:val="none"/>
          <w:lang w:eastAsia="zh-CN"/>
        </w:rPr>
        <w:t>2025年7月21日09时30分</w:t>
      </w:r>
      <w:r>
        <w:rPr>
          <w:rFonts w:hint="eastAsia" w:ascii="宋体" w:hAnsi="宋体" w:eastAsia="宋体" w:cs="宋体"/>
          <w:i w:val="0"/>
          <w:iCs w:val="0"/>
          <w:color w:val="auto"/>
          <w:sz w:val="22"/>
          <w:szCs w:val="22"/>
          <w:highlight w:val="none"/>
        </w:rPr>
        <w:t>（北京时间）</w:t>
      </w:r>
      <w:r>
        <w:rPr>
          <w:rFonts w:hint="eastAsia" w:ascii="宋体" w:hAnsi="宋体" w:eastAsia="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rPr>
        <w:t> </w:t>
      </w:r>
    </w:p>
    <w:p w14:paraId="35EC1A7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rPr>
        <w:t>开标地点：</w:t>
      </w:r>
      <w:r>
        <w:rPr>
          <w:rFonts w:hint="eastAsia" w:ascii="宋体" w:hAnsi="宋体" w:eastAsia="宋体" w:cs="宋体"/>
          <w:i w:val="0"/>
          <w:iCs w:val="0"/>
          <w:color w:val="auto"/>
          <w:sz w:val="22"/>
          <w:szCs w:val="22"/>
          <w:highlight w:val="none"/>
          <w:lang w:val="en-US" w:eastAsia="zh-CN"/>
        </w:rPr>
        <w:t>浙江中兰工程项目管理有限公司衢州分公司开标室（衢州市衢江区港汇商务广场</w:t>
      </w:r>
      <w:r>
        <w:rPr>
          <w:rFonts w:hint="eastAsia" w:ascii="宋体" w:hAnsi="宋体" w:cs="宋体"/>
          <w:i w:val="0"/>
          <w:iCs w:val="0"/>
          <w:color w:val="auto"/>
          <w:sz w:val="22"/>
          <w:szCs w:val="22"/>
          <w:highlight w:val="none"/>
          <w:lang w:val="en-US" w:eastAsia="zh-CN"/>
        </w:rPr>
        <w:t>2号楼6楼</w:t>
      </w:r>
      <w:r>
        <w:rPr>
          <w:rFonts w:hint="eastAsia" w:ascii="宋体" w:hAnsi="宋体" w:eastAsia="宋体" w:cs="宋体"/>
          <w:i w:val="0"/>
          <w:iCs w:val="0"/>
          <w:color w:val="auto"/>
          <w:sz w:val="22"/>
          <w:szCs w:val="22"/>
          <w:highlight w:val="none"/>
          <w:lang w:val="en-US" w:eastAsia="zh-CN"/>
        </w:rPr>
        <w:t>），同步在“政采云远程开标大厅”在线开标。</w:t>
      </w:r>
    </w:p>
    <w:p w14:paraId="23291F10">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9" w:name="_Toc35393625"/>
      <w:bookmarkStart w:id="10" w:name="_Toc28359084"/>
      <w:bookmarkStart w:id="11" w:name="_Toc28359007"/>
      <w:bookmarkStart w:id="12" w:name="_Toc35393794"/>
      <w:r>
        <w:rPr>
          <w:rFonts w:hint="eastAsia" w:ascii="宋体" w:hAnsi="宋体" w:eastAsia="宋体" w:cs="宋体"/>
          <w:bCs w:val="0"/>
          <w:i w:val="0"/>
          <w:iCs w:val="0"/>
          <w:color w:val="auto"/>
          <w:sz w:val="22"/>
          <w:szCs w:val="22"/>
          <w:highlight w:val="none"/>
        </w:rPr>
        <w:t>五、公告期限</w:t>
      </w:r>
      <w:bookmarkEnd w:id="9"/>
      <w:bookmarkEnd w:id="10"/>
      <w:bookmarkEnd w:id="11"/>
      <w:bookmarkEnd w:id="12"/>
    </w:p>
    <w:p w14:paraId="074FD031">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kern w:val="0"/>
          <w:sz w:val="22"/>
          <w:szCs w:val="22"/>
          <w:highlight w:val="none"/>
        </w:rPr>
        <w:t>自本公告发布之日起5个工作日。</w:t>
      </w:r>
      <w:bookmarkStart w:id="13" w:name="_Toc35393626"/>
      <w:bookmarkStart w:id="14" w:name="_Toc35393795"/>
    </w:p>
    <w:p w14:paraId="41BB4B34">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r>
        <w:rPr>
          <w:rFonts w:hint="eastAsia" w:ascii="宋体" w:hAnsi="宋体" w:eastAsia="宋体" w:cs="宋体"/>
          <w:bCs w:val="0"/>
          <w:i w:val="0"/>
          <w:iCs w:val="0"/>
          <w:color w:val="auto"/>
          <w:sz w:val="22"/>
          <w:szCs w:val="22"/>
          <w:highlight w:val="none"/>
        </w:rPr>
        <w:t>六、其他补充事宜</w:t>
      </w:r>
      <w:bookmarkEnd w:id="13"/>
      <w:bookmarkEnd w:id="14"/>
    </w:p>
    <w:p w14:paraId="13C5D19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i w:val="0"/>
          <w:iCs w:val="0"/>
          <w:color w:val="auto"/>
          <w:sz w:val="22"/>
          <w:szCs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011D64">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2088B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53D5556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4.在线投标文件（电子投标）说明</w:t>
      </w:r>
    </w:p>
    <w:p w14:paraId="7F98BB1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（1）本项目通过“政府采购云平台（www.zcygov.cn）”实行在线投标响应（电子投标），供应商应先安装“政采云电子交易客户端”，并按照本</w:t>
      </w:r>
      <w:r>
        <w:rPr>
          <w:rFonts w:hint="eastAsia" w:ascii="宋体" w:hAnsi="宋体" w:eastAsia="宋体" w:cs="宋体"/>
          <w:b/>
          <w:bCs/>
          <w:color w:val="auto"/>
          <w:sz w:val="22"/>
          <w:szCs w:val="22"/>
          <w:highlight w:val="none"/>
          <w:lang w:eastAsia="zh-CN"/>
        </w:rPr>
        <w:t>招标</w:t>
      </w:r>
      <w:r>
        <w:rPr>
          <w:rFonts w:hint="eastAsia" w:ascii="宋体" w:hAnsi="宋体" w:eastAsia="宋体" w:cs="宋体"/>
          <w:b/>
          <w:bCs/>
          <w:color w:val="auto"/>
          <w:sz w:val="22"/>
          <w:szCs w:val="22"/>
          <w:highlight w:val="none"/>
        </w:rPr>
        <w:t>文件和“政府采购云平台”的要求，通过“政采云电子交易客户端”编制并加密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。供应商未按规定加密的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，“政府采购云平台”将予以拒收。</w:t>
      </w:r>
    </w:p>
    <w:p w14:paraId="19B300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w:t>
      </w:r>
      <w:r>
        <w:rPr>
          <w:rFonts w:hint="eastAsia" w:ascii="宋体" w:hAnsi="宋体" w:eastAsia="宋体" w:cs="宋体"/>
          <w:b/>
          <w:bCs/>
          <w:color w:val="auto"/>
          <w:sz w:val="22"/>
          <w:szCs w:val="22"/>
          <w:highlight w:val="none"/>
          <w:lang w:val="en-US" w:eastAsia="zh-CN"/>
        </w:rPr>
        <w:t>95763</w:t>
      </w:r>
      <w:r>
        <w:rPr>
          <w:rFonts w:hint="eastAsia" w:ascii="宋体" w:hAnsi="宋体" w:eastAsia="宋体" w:cs="宋体"/>
          <w:b/>
          <w:bCs/>
          <w:color w:val="auto"/>
          <w:sz w:val="22"/>
          <w:szCs w:val="22"/>
          <w:highlight w:val="none"/>
        </w:rPr>
        <w:t>。</w:t>
      </w:r>
    </w:p>
    <w:p w14:paraId="63A45858">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"http://www.zjzfcg.gov.cn/bidClientTemplate/2019-05-27/12945.html" \t "_blank" \o "CA驱动和申领流程"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CA驱动和申领流程</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t>”进行查阅；</w:t>
      </w:r>
    </w:p>
    <w:p w14:paraId="37BEC71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（3）供应商应当在投标截止时间前，将生成的“电子加密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”上传递交至“政府采购云平台”。投标截止时间以后上传递交的</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将被“政府采购云平台”拒收。</w:t>
      </w:r>
    </w:p>
    <w:p w14:paraId="1F3833C4">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）供应商在“政府采购云平台”完成“电子加密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”的上传递交后，“备份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”（后缀格式为.bfbs）：以电子邮件方式递交</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本项目指定接收邮箱（邮箱：</w:t>
      </w:r>
      <w:r>
        <w:rPr>
          <w:rFonts w:hint="eastAsia" w:ascii="宋体" w:hAnsi="宋体" w:eastAsia="宋体" w:cs="宋体"/>
          <w:b/>
          <w:bCs/>
          <w:sz w:val="24"/>
          <w:highlight w:val="none"/>
        </w:rPr>
        <w:t>2968996525@qq.com</w:t>
      </w:r>
      <w:r>
        <w:rPr>
          <w:rFonts w:hint="eastAsia" w:ascii="宋体" w:hAnsi="宋体" w:eastAsia="宋体" w:cs="宋体"/>
          <w:b/>
          <w:bCs/>
          <w:color w:val="auto"/>
          <w:sz w:val="22"/>
          <w:szCs w:val="22"/>
          <w:highlight w:val="none"/>
        </w:rPr>
        <w:t>联系人：</w:t>
      </w:r>
      <w:r>
        <w:rPr>
          <w:rFonts w:hint="eastAsia" w:ascii="宋体" w:hAnsi="宋体" w:cs="宋体"/>
          <w:b/>
          <w:bCs/>
          <w:color w:val="auto"/>
          <w:sz w:val="22"/>
          <w:szCs w:val="22"/>
          <w:highlight w:val="none"/>
          <w:lang w:val="en-US" w:eastAsia="zh-CN"/>
        </w:rPr>
        <w:t xml:space="preserve">郑女士/舒女士  </w:t>
      </w:r>
      <w:r>
        <w:rPr>
          <w:rFonts w:hint="eastAsia" w:ascii="宋体" w:hAnsi="宋体" w:eastAsia="宋体" w:cs="宋体"/>
          <w:b/>
          <w:bCs/>
          <w:color w:val="auto"/>
          <w:sz w:val="22"/>
          <w:szCs w:val="22"/>
          <w:highlight w:val="none"/>
        </w:rPr>
        <w:t>电话：</w:t>
      </w:r>
      <w:r>
        <w:rPr>
          <w:rFonts w:hint="eastAsia" w:ascii="宋体" w:hAnsi="宋体" w:cs="宋体"/>
          <w:b/>
          <w:bCs/>
          <w:color w:val="auto"/>
          <w:sz w:val="22"/>
          <w:szCs w:val="22"/>
          <w:highlight w:val="none"/>
          <w:lang w:val="en-US" w:eastAsia="zh-CN"/>
        </w:rPr>
        <w:t>0570-3380568</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p>
    <w:p w14:paraId="407961CC">
      <w:pPr>
        <w:keepNext w:val="0"/>
        <w:keepLines w:val="0"/>
        <w:pageBreakBefore w:val="0"/>
        <w:widowControl w:val="0"/>
        <w:kinsoku/>
        <w:wordWrap/>
        <w:overflowPunct/>
        <w:topLinePunct w:val="0"/>
        <w:autoSpaceDE w:val="0"/>
        <w:autoSpaceDN w:val="0"/>
        <w:bidi w:val="0"/>
        <w:adjustRightInd/>
        <w:snapToGrid w:val="0"/>
        <w:spacing w:beforeAutospacing="0" w:afterAutospacing="0" w:line="400" w:lineRule="exact"/>
        <w:ind w:left="0" w:leftChars="0" w:right="0" w:righ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”无法按时解密，供应商递交了备份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的，以备份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为依据，否则视为</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撤回。通过“政府采购云平台”上传递交的“电子加密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”已按时解密的，“备份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”自动失效。供应商仅递交备份</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的，投标无效。</w:t>
      </w:r>
    </w:p>
    <w:p w14:paraId="4AE4CB54">
      <w:pPr>
        <w:pStyle w:val="20"/>
        <w:keepNext w:val="0"/>
        <w:keepLines w:val="0"/>
        <w:pageBreakBefore w:val="0"/>
        <w:widowControl/>
        <w:suppressLineNumbers w:val="0"/>
        <w:kinsoku/>
        <w:wordWrap/>
        <w:overflowPunct/>
        <w:topLinePunct w:val="0"/>
        <w:bidi w:val="0"/>
        <w:adjustRightInd/>
        <w:spacing w:before="0" w:beforeAutospacing="0" w:after="0" w:afterAutospacing="0" w:line="400" w:lineRule="exact"/>
        <w:ind w:firstLine="442" w:firstLineChars="200"/>
        <w:textAlignment w:val="auto"/>
        <w:rPr>
          <w:color w:val="auto"/>
        </w:rPr>
      </w:pPr>
      <w:r>
        <w:rPr>
          <w:rFonts w:hint="eastAsia" w:ascii="宋体" w:hAnsi="宋体" w:eastAsia="宋体" w:cs="宋体"/>
          <w:b/>
          <w:bCs/>
          <w:i w:val="0"/>
          <w:iCs w:val="0"/>
          <w:color w:val="auto"/>
          <w:sz w:val="22"/>
          <w:szCs w:val="22"/>
          <w:highlight w:val="none"/>
          <w:lang w:val="en-US" w:eastAsia="zh-CN"/>
        </w:rPr>
        <w:t>5.</w:t>
      </w:r>
      <w:r>
        <w:rPr>
          <w:rFonts w:hint="eastAsia" w:ascii="宋体" w:hAnsi="宋体" w:eastAsia="宋体" w:cs="宋体"/>
          <w:b/>
          <w:bCs/>
          <w:color w:val="auto"/>
        </w:rPr>
        <w:t>参与同一标段的供应商，存在以下几种情形认定为串标围标</w:t>
      </w:r>
      <w:r>
        <w:rPr>
          <w:rFonts w:hint="eastAsia" w:ascii="宋体" w:hAnsi="宋体" w:eastAsia="宋体" w:cs="宋体"/>
          <w:color w:val="auto"/>
        </w:rPr>
        <w:t>：MAC地址相同、计算机硬盘序列号相同、响应文件</w:t>
      </w:r>
      <w:r>
        <w:rPr>
          <w:rFonts w:hint="eastAsia" w:ascii="宋体" w:hAnsi="宋体" w:eastAsia="宋体" w:cs="宋体"/>
          <w:color w:val="auto"/>
          <w:lang w:eastAsia="zh-CN"/>
        </w:rPr>
        <w:t>（投标文件）</w:t>
      </w:r>
      <w:r>
        <w:rPr>
          <w:rFonts w:hint="eastAsia" w:ascii="宋体" w:hAnsi="宋体" w:eastAsia="宋体" w:cs="宋体"/>
          <w:color w:val="auto"/>
        </w:rPr>
        <w:t>细节错误一致且无合理解释等情形。</w:t>
      </w:r>
      <w:r>
        <w:rPr>
          <w:color w:val="auto"/>
        </w:rPr>
        <w:t xml:space="preserve"> </w:t>
      </w:r>
    </w:p>
    <w:p w14:paraId="4EA29CB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437" w:leftChars="208" w:right="0" w:rightChars="0" w:firstLine="0" w:firstLineChars="0"/>
        <w:textAlignment w:val="auto"/>
        <w:rPr>
          <w:rFonts w:hint="eastAsia" w:ascii="宋体" w:hAnsi="宋体" w:eastAsia="宋体" w:cs="宋体"/>
          <w:i w:val="0"/>
          <w:iCs w:val="0"/>
          <w:color w:val="auto"/>
          <w:sz w:val="22"/>
          <w:szCs w:val="22"/>
          <w:highlight w:val="none"/>
        </w:rPr>
      </w:pPr>
      <w:r>
        <w:rPr>
          <w:rFonts w:hint="eastAsia" w:ascii="宋体" w:hAnsi="宋体" w:cs="宋体"/>
          <w:b/>
          <w:bCs/>
          <w:i w:val="0"/>
          <w:iCs w:val="0"/>
          <w:color w:val="auto"/>
          <w:sz w:val="22"/>
          <w:szCs w:val="22"/>
          <w:highlight w:val="none"/>
          <w:lang w:val="en-US" w:eastAsia="zh-CN"/>
        </w:rPr>
        <w:t>6.</w:t>
      </w:r>
      <w:r>
        <w:rPr>
          <w:rFonts w:hint="eastAsia" w:ascii="宋体" w:hAnsi="宋体" w:eastAsia="宋体" w:cs="宋体"/>
          <w:b/>
          <w:bCs/>
          <w:i w:val="0"/>
          <w:iCs w:val="0"/>
          <w:color w:val="auto"/>
          <w:sz w:val="22"/>
          <w:szCs w:val="22"/>
          <w:highlight w:val="none"/>
        </w:rPr>
        <w:t>投标保证金：</w:t>
      </w:r>
      <w:r>
        <w:rPr>
          <w:rFonts w:hint="eastAsia" w:ascii="宋体" w:hAnsi="宋体" w:eastAsia="宋体" w:cs="宋体"/>
          <w:i w:val="0"/>
          <w:iCs w:val="0"/>
          <w:color w:val="auto"/>
          <w:sz w:val="22"/>
          <w:szCs w:val="22"/>
          <w:highlight w:val="none"/>
        </w:rPr>
        <w:t>不需交纳投标保证金。</w:t>
      </w:r>
      <w:r>
        <w:rPr>
          <w:rFonts w:hint="eastAsia" w:ascii="宋体" w:hAnsi="宋体" w:eastAsia="宋体" w:cs="宋体"/>
          <w:b/>
          <w:bCs/>
          <w:i w:val="0"/>
          <w:iCs w:val="0"/>
          <w:color w:val="auto"/>
          <w:sz w:val="22"/>
          <w:szCs w:val="22"/>
          <w:highlight w:val="none"/>
          <w:lang w:val="en-US" w:eastAsia="zh-CN"/>
        </w:rPr>
        <w:br w:type="textWrapping"/>
      </w:r>
      <w:r>
        <w:rPr>
          <w:rFonts w:hint="eastAsia" w:ascii="宋体" w:hAnsi="宋体" w:cs="宋体"/>
          <w:b/>
          <w:bCs/>
          <w:i w:val="0"/>
          <w:iCs w:val="0"/>
          <w:color w:val="auto"/>
          <w:sz w:val="22"/>
          <w:szCs w:val="22"/>
          <w:highlight w:val="none"/>
          <w:lang w:val="en-US" w:eastAsia="zh-CN"/>
        </w:rPr>
        <w:t>7.</w:t>
      </w:r>
      <w:r>
        <w:rPr>
          <w:rFonts w:hint="eastAsia" w:ascii="宋体" w:hAnsi="宋体" w:eastAsia="宋体" w:cs="宋体"/>
          <w:b/>
          <w:i w:val="0"/>
          <w:iCs w:val="0"/>
          <w:color w:val="auto"/>
          <w:kern w:val="0"/>
          <w:sz w:val="22"/>
          <w:szCs w:val="22"/>
          <w:highlight w:val="none"/>
        </w:rPr>
        <w:t>采购项目需要落实的政府采购政策：</w:t>
      </w:r>
    </w:p>
    <w:p w14:paraId="49C67917">
      <w:pPr>
        <w:pStyle w:val="48"/>
        <w:keepNext w:val="0"/>
        <w:keepLines w:val="0"/>
        <w:pageBreakBefore w:val="0"/>
        <w:widowControl w:val="0"/>
        <w:kinsoku/>
        <w:wordWrap/>
        <w:overflowPunct/>
        <w:topLinePunct w:val="0"/>
        <w:autoSpaceDE w:val="0"/>
        <w:autoSpaceDN w:val="0"/>
        <w:bidi w:val="0"/>
        <w:adjustRightInd/>
        <w:snapToGrid/>
        <w:spacing w:beforeAutospacing="0" w:afterAutospacing="0" w:line="42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7</w:t>
      </w:r>
      <w:r>
        <w:rPr>
          <w:rFonts w:hint="eastAsia" w:ascii="宋体" w:hAnsi="宋体" w:eastAsia="宋体" w:cs="宋体"/>
          <w:i w:val="0"/>
          <w:iCs w:val="0"/>
          <w:color w:val="auto"/>
          <w:sz w:val="22"/>
          <w:szCs w:val="22"/>
          <w:highlight w:val="none"/>
        </w:rPr>
        <w:t>.1政府采购金融服务：鼓励供应商开展政采贷、履约保函等政府采购金融服务，供应商可通过浙江政府采购网（https://zfcg.czt.zj.gov.cn/）首页的“浙江政采贷”模块进入申请，还可以通过政府采购云平台（https://www.zcygov.cn/）首页的“金融服务”模块进入申请。  </w:t>
      </w:r>
    </w:p>
    <w:p w14:paraId="38648B5F">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采购信息发布媒介：浙江政府采购网（www.zjzfcg.gov.cn）。</w:t>
      </w:r>
    </w:p>
    <w:p w14:paraId="049562D8">
      <w:pPr>
        <w:keepNext w:val="0"/>
        <w:keepLines w:val="0"/>
        <w:pageBreakBefore w:val="0"/>
        <w:widowControl w:val="0"/>
        <w:kinsoku/>
        <w:wordWrap/>
        <w:overflowPunct/>
        <w:topLinePunct w:val="0"/>
        <w:autoSpaceDE w:val="0"/>
        <w:autoSpaceDN w:val="0"/>
        <w:bidi w:val="0"/>
        <w:spacing w:line="460" w:lineRule="exact"/>
        <w:ind w:left="0" w:leftChars="0" w:right="0" w:righ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在公告期限之后潜在供应商仍然可以获取招标文件，但该供应商如对招标文件有疑问应按招标文件规定的询疑时间前提出，逾期提出的，采购组织机构可以不予受理、答复。</w:t>
      </w:r>
    </w:p>
    <w:p w14:paraId="70E17A4F">
      <w:pPr>
        <w:pStyle w:val="3"/>
        <w:keepNext w:val="0"/>
        <w:keepLines w:val="0"/>
        <w:pageBreakBefore w:val="0"/>
        <w:widowControl w:val="0"/>
        <w:numPr>
          <w:ilvl w:val="0"/>
          <w:numId w:val="0"/>
        </w:numPr>
        <w:kinsoku/>
        <w:wordWrap/>
        <w:overflowPunct/>
        <w:topLinePunct w:val="0"/>
        <w:autoSpaceDE w:val="0"/>
        <w:autoSpaceDN w:val="0"/>
        <w:bidi w:val="0"/>
        <w:spacing w:line="460" w:lineRule="exact"/>
        <w:ind w:left="0" w:leftChars="0" w:right="0" w:rightChars="0" w:firstLine="442" w:firstLineChars="200"/>
        <w:textAlignment w:val="auto"/>
        <w:rPr>
          <w:rFonts w:hint="eastAsia" w:ascii="宋体" w:hAnsi="宋体" w:eastAsia="宋体" w:cs="宋体"/>
          <w:bCs w:val="0"/>
          <w:i w:val="0"/>
          <w:iCs w:val="0"/>
          <w:color w:val="auto"/>
          <w:sz w:val="22"/>
          <w:szCs w:val="22"/>
          <w:highlight w:val="none"/>
        </w:rPr>
      </w:pPr>
      <w:bookmarkStart w:id="15" w:name="_Toc28359085"/>
      <w:bookmarkStart w:id="16" w:name="_Toc28359008"/>
      <w:bookmarkStart w:id="17" w:name="_Toc35393796"/>
      <w:bookmarkStart w:id="18" w:name="_Toc35393627"/>
      <w:r>
        <w:rPr>
          <w:rFonts w:hint="eastAsia" w:ascii="宋体" w:hAnsi="宋体" w:eastAsia="宋体" w:cs="宋体"/>
          <w:bCs w:val="0"/>
          <w:i w:val="0"/>
          <w:iCs w:val="0"/>
          <w:color w:val="auto"/>
          <w:sz w:val="22"/>
          <w:szCs w:val="22"/>
          <w:highlight w:val="none"/>
        </w:rPr>
        <w:t>七、对本次招标提出询问，请按以下方式联系</w:t>
      </w:r>
      <w:bookmarkEnd w:id="15"/>
      <w:bookmarkEnd w:id="16"/>
      <w:bookmarkEnd w:id="17"/>
      <w:bookmarkEnd w:id="18"/>
    </w:p>
    <w:p w14:paraId="6F752F1B">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采购人信息</w:t>
      </w:r>
    </w:p>
    <w:p w14:paraId="0D352A89">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eastAsia="zh-CN"/>
        </w:rPr>
      </w:pPr>
      <w:bookmarkStart w:id="19" w:name="_Toc28359009"/>
      <w:bookmarkStart w:id="20" w:name="_Toc28359086"/>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衢州市生态环境局</w:t>
      </w:r>
    </w:p>
    <w:p w14:paraId="49D6792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衢州市柯城区江郎中路2号</w:t>
      </w:r>
    </w:p>
    <w:p w14:paraId="1062B56F">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项目联系人（询问）：周女士</w:t>
      </w:r>
    </w:p>
    <w:p w14:paraId="0B7BBABB">
      <w:pPr>
        <w:keepNext w:val="0"/>
        <w:keepLines w:val="0"/>
        <w:pageBreakBefore w:val="0"/>
        <w:widowControl w:val="0"/>
        <w:kinsoku/>
        <w:wordWrap/>
        <w:overflowPunct/>
        <w:topLinePunct w:val="0"/>
        <w:autoSpaceDE w:val="0"/>
        <w:autoSpaceDN w:val="0"/>
        <w:bidi w:val="0"/>
        <w:snapToGrid w:val="0"/>
        <w:spacing w:line="460" w:lineRule="exact"/>
        <w:ind w:left="437" w:leftChars="208" w:right="0" w:rightChars="0" w:firstLine="0" w:firstLineChars="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cs="宋体"/>
          <w:b w:val="0"/>
          <w:bCs w:val="0"/>
          <w:color w:val="auto"/>
          <w:sz w:val="22"/>
          <w:szCs w:val="22"/>
          <w:highlight w:val="none"/>
          <w:lang w:val="en-US" w:eastAsia="zh-CN"/>
        </w:rPr>
        <w:t>0570-3088773</w:t>
      </w:r>
      <w:r>
        <w:rPr>
          <w:rFonts w:hint="eastAsia" w:ascii="宋体" w:hAnsi="宋体" w:cs="宋体"/>
          <w:b w:val="0"/>
          <w:bCs w:val="0"/>
          <w:color w:val="auto"/>
          <w:sz w:val="22"/>
          <w:szCs w:val="22"/>
          <w:highlight w:val="none"/>
          <w:lang w:val="en-US" w:eastAsia="zh-CN"/>
        </w:rPr>
        <w:br w:type="textWrapping"/>
      </w:r>
      <w:r>
        <w:rPr>
          <w:rFonts w:hint="eastAsia" w:ascii="宋体" w:hAnsi="宋体" w:eastAsia="宋体" w:cs="宋体"/>
          <w:b w:val="0"/>
          <w:bCs w:val="0"/>
          <w:color w:val="auto"/>
          <w:sz w:val="22"/>
          <w:szCs w:val="22"/>
          <w:highlight w:val="none"/>
        </w:rPr>
        <w:t>质疑联系人：</w:t>
      </w:r>
      <w:r>
        <w:rPr>
          <w:rFonts w:hint="eastAsia" w:ascii="宋体" w:hAnsi="宋体" w:cs="宋体"/>
          <w:b w:val="0"/>
          <w:bCs w:val="0"/>
          <w:color w:val="auto"/>
          <w:sz w:val="22"/>
          <w:szCs w:val="22"/>
          <w:highlight w:val="none"/>
          <w:lang w:val="en-US" w:eastAsia="zh-CN"/>
        </w:rPr>
        <w:t>邱女士</w:t>
      </w:r>
    </w:p>
    <w:p w14:paraId="53BF93E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cs="宋体"/>
          <w:b w:val="0"/>
          <w:bCs w:val="0"/>
          <w:color w:val="auto"/>
          <w:sz w:val="22"/>
          <w:szCs w:val="22"/>
          <w:highlight w:val="none"/>
          <w:lang w:val="en-US" w:eastAsia="zh-CN"/>
        </w:rPr>
        <w:t>0570-3088773</w:t>
      </w:r>
    </w:p>
    <w:p w14:paraId="32B239A1">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采购代理机构信息</w:t>
      </w:r>
      <w:bookmarkEnd w:id="19"/>
      <w:bookmarkEnd w:id="20"/>
      <w:r>
        <w:rPr>
          <w:rFonts w:hint="eastAsia" w:ascii="宋体" w:hAnsi="宋体" w:eastAsia="宋体" w:cs="宋体"/>
          <w:i w:val="0"/>
          <w:iCs w:val="0"/>
          <w:color w:val="auto"/>
          <w:sz w:val="22"/>
          <w:szCs w:val="22"/>
          <w:highlight w:val="none"/>
        </w:rPr>
        <w:t xml:space="preserve">                                </w:t>
      </w:r>
    </w:p>
    <w:p w14:paraId="65D84F3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bookmarkStart w:id="21" w:name="_Toc28359000"/>
      <w:bookmarkStart w:id="22" w:name="_Toc35393788"/>
      <w:bookmarkStart w:id="23" w:name="_Toc28359077"/>
      <w:bookmarkStart w:id="24" w:name="_Toc35393619"/>
      <w:r>
        <w:rPr>
          <w:rFonts w:hint="eastAsia" w:ascii="宋体" w:hAnsi="宋体" w:eastAsia="宋体" w:cs="宋体"/>
          <w:b w:val="0"/>
          <w:bCs w:val="0"/>
          <w:color w:val="auto"/>
          <w:sz w:val="22"/>
          <w:szCs w:val="22"/>
          <w:highlight w:val="none"/>
        </w:rPr>
        <w:t>名    称：</w:t>
      </w:r>
      <w:r>
        <w:rPr>
          <w:rFonts w:hint="eastAsia" w:ascii="宋体" w:hAnsi="宋体" w:eastAsia="宋体" w:cs="宋体"/>
          <w:b w:val="0"/>
          <w:bCs w:val="0"/>
          <w:color w:val="auto"/>
          <w:sz w:val="22"/>
          <w:szCs w:val="22"/>
          <w:highlight w:val="none"/>
          <w:lang w:eastAsia="zh-CN"/>
        </w:rPr>
        <w:t>浙江中兰工程项目管理有限公司</w:t>
      </w:r>
    </w:p>
    <w:p w14:paraId="71E8C0D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w:t>
      </w:r>
      <w:r>
        <w:rPr>
          <w:rFonts w:hint="eastAsia" w:ascii="宋体" w:hAnsi="宋体" w:eastAsia="宋体" w:cs="宋体"/>
          <w:b w:val="0"/>
          <w:bCs w:val="0"/>
          <w:color w:val="auto"/>
          <w:sz w:val="22"/>
          <w:szCs w:val="22"/>
          <w:highlight w:val="none"/>
          <w:lang w:eastAsia="zh-CN"/>
        </w:rPr>
        <w:t>衢州市衢江区港汇商务广场</w:t>
      </w:r>
      <w:r>
        <w:rPr>
          <w:rFonts w:hint="eastAsia" w:ascii="宋体" w:hAnsi="宋体" w:cs="宋体"/>
          <w:b w:val="0"/>
          <w:bCs w:val="0"/>
          <w:color w:val="auto"/>
          <w:sz w:val="22"/>
          <w:szCs w:val="22"/>
          <w:highlight w:val="none"/>
          <w:lang w:eastAsia="zh-CN"/>
        </w:rPr>
        <w:t>2号楼6楼</w:t>
      </w:r>
    </w:p>
    <w:p w14:paraId="32E03280">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default"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项目联系人（询问）：</w:t>
      </w:r>
      <w:r>
        <w:rPr>
          <w:rFonts w:hint="eastAsia" w:ascii="宋体" w:hAnsi="宋体" w:cs="宋体"/>
          <w:b w:val="0"/>
          <w:bCs w:val="0"/>
          <w:color w:val="auto"/>
          <w:sz w:val="22"/>
          <w:szCs w:val="22"/>
          <w:highlight w:val="none"/>
          <w:lang w:eastAsia="zh-CN"/>
        </w:rPr>
        <w:t>郑女士</w:t>
      </w:r>
      <w:r>
        <w:rPr>
          <w:rFonts w:hint="eastAsia" w:ascii="宋体" w:hAnsi="宋体" w:cs="宋体"/>
          <w:b w:val="0"/>
          <w:bCs w:val="0"/>
          <w:color w:val="auto"/>
          <w:sz w:val="22"/>
          <w:szCs w:val="22"/>
          <w:highlight w:val="none"/>
          <w:lang w:val="en-US" w:eastAsia="zh-CN"/>
        </w:rPr>
        <w:t>/舒女士</w:t>
      </w:r>
    </w:p>
    <w:p w14:paraId="23EF640C">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项目联系方式（询问）：</w:t>
      </w:r>
      <w:r>
        <w:rPr>
          <w:rFonts w:hint="eastAsia" w:ascii="宋体" w:hAnsi="宋体" w:eastAsia="宋体" w:cs="宋体"/>
          <w:b w:val="0"/>
          <w:bCs w:val="0"/>
          <w:color w:val="auto"/>
          <w:sz w:val="22"/>
          <w:szCs w:val="22"/>
          <w:highlight w:val="none"/>
          <w:lang w:val="en-US" w:eastAsia="zh-CN"/>
        </w:rPr>
        <w:t>0570-3380568</w:t>
      </w:r>
    </w:p>
    <w:p w14:paraId="6597BFFA">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质疑联系人：</w:t>
      </w:r>
      <w:r>
        <w:rPr>
          <w:rFonts w:hint="eastAsia" w:ascii="宋体" w:hAnsi="宋体" w:eastAsia="宋体" w:cs="宋体"/>
          <w:b w:val="0"/>
          <w:bCs w:val="0"/>
          <w:color w:val="auto"/>
          <w:sz w:val="22"/>
          <w:szCs w:val="22"/>
          <w:highlight w:val="none"/>
          <w:lang w:eastAsia="zh-CN"/>
        </w:rPr>
        <w:t>郑女士</w:t>
      </w:r>
    </w:p>
    <w:p w14:paraId="5CB721C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val="0"/>
          <w:bCs w:val="0"/>
          <w:color w:val="auto"/>
          <w:sz w:val="22"/>
          <w:szCs w:val="22"/>
          <w:highlight w:val="none"/>
        </w:rPr>
        <w:t>质疑联系方式：</w:t>
      </w:r>
      <w:r>
        <w:rPr>
          <w:rFonts w:hint="eastAsia" w:ascii="宋体" w:hAnsi="宋体" w:eastAsia="宋体" w:cs="宋体"/>
          <w:b w:val="0"/>
          <w:bCs w:val="0"/>
          <w:color w:val="auto"/>
          <w:sz w:val="22"/>
          <w:szCs w:val="22"/>
          <w:highlight w:val="none"/>
          <w:lang w:val="en-US" w:eastAsia="zh-CN"/>
        </w:rPr>
        <w:t>0570-33805</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8</w:t>
      </w:r>
    </w:p>
    <w:bookmarkEnd w:id="21"/>
    <w:bookmarkEnd w:id="22"/>
    <w:bookmarkEnd w:id="23"/>
    <w:bookmarkEnd w:id="24"/>
    <w:p w14:paraId="28050FE6">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3.同级政府采购监督管理部门</w:t>
      </w:r>
    </w:p>
    <w:p w14:paraId="1C1DC5D9">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名    称：衢州市财政局</w:t>
      </w:r>
    </w:p>
    <w:p w14:paraId="5C54E183">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址：衢州市三江东路28号</w:t>
      </w:r>
    </w:p>
    <w:p w14:paraId="7114B30B">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联系人 ：黄女士</w:t>
      </w:r>
    </w:p>
    <w:p w14:paraId="0BFE798D">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监督投诉电话：19957000570</w:t>
      </w:r>
    </w:p>
    <w:p w14:paraId="39013422">
      <w:pPr>
        <w:keepNext w:val="0"/>
        <w:keepLines w:val="0"/>
        <w:pageBreakBefore w:val="0"/>
        <w:widowControl w:val="0"/>
        <w:kinsoku/>
        <w:wordWrap/>
        <w:overflowPunct/>
        <w:topLinePunct w:val="0"/>
        <w:autoSpaceDE w:val="0"/>
        <w:autoSpaceDN w:val="0"/>
        <w:bidi w:val="0"/>
        <w:snapToGrid w:val="0"/>
        <w:spacing w:line="460" w:lineRule="exact"/>
        <w:ind w:left="0" w:leftChars="0" w:right="0" w:rightChars="0" w:firstLine="440" w:firstLineChars="200"/>
        <w:textAlignment w:val="auto"/>
        <w:rPr>
          <w:rFonts w:hint="eastAsia" w:ascii="宋体" w:hAnsi="宋体" w:eastAsia="宋体" w:cs="宋体"/>
          <w:b w:val="0"/>
          <w:bCs w:val="0"/>
          <w:color w:val="auto"/>
          <w:sz w:val="22"/>
          <w:szCs w:val="22"/>
          <w:highlight w:val="none"/>
        </w:rPr>
      </w:pPr>
    </w:p>
    <w:p w14:paraId="48549E2E">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iCs w:val="0"/>
          <w:color w:val="auto"/>
          <w:sz w:val="22"/>
          <w:szCs w:val="22"/>
          <w:highlight w:val="none"/>
          <w:lang w:eastAsia="zh-CN"/>
        </w:rPr>
        <w:t>95763</w:t>
      </w:r>
      <w:r>
        <w:rPr>
          <w:rFonts w:hint="eastAsia" w:ascii="宋体" w:hAnsi="宋体" w:eastAsia="宋体" w:cs="宋体"/>
          <w:i w:val="0"/>
          <w:iCs w:val="0"/>
          <w:color w:val="auto"/>
          <w:sz w:val="22"/>
          <w:szCs w:val="22"/>
          <w:highlight w:val="none"/>
        </w:rPr>
        <w:t>获取热线服务帮助。       </w:t>
      </w:r>
    </w:p>
    <w:p w14:paraId="5F28D775">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CA问题联系电话（人工）：汇信CA 400-888-4636；天谷CA 400-087-8198。</w:t>
      </w:r>
    </w:p>
    <w:p w14:paraId="27CA80E5">
      <w:pPr>
        <w:keepNext w:val="0"/>
        <w:keepLines w:val="0"/>
        <w:pageBreakBefore w:val="0"/>
        <w:widowControl w:val="0"/>
        <w:kinsoku/>
        <w:wordWrap/>
        <w:overflowPunct/>
        <w:topLinePunct w:val="0"/>
        <w:autoSpaceDE w:val="0"/>
        <w:autoSpaceDN w:val="0"/>
        <w:bidi w:val="0"/>
        <w:adjustRightInd/>
        <w:snapToGrid/>
        <w:spacing w:line="420" w:lineRule="exact"/>
        <w:ind w:left="0" w:leftChars="0" w:right="0" w:rightChars="0" w:firstLine="440" w:firstLineChars="200"/>
        <w:jc w:val="left"/>
        <w:textAlignment w:val="auto"/>
        <w:rPr>
          <w:rFonts w:hint="eastAsia" w:ascii="宋体" w:hAnsi="宋体" w:eastAsia="宋体" w:cs="宋体"/>
          <w:i w:val="0"/>
          <w:iCs w:val="0"/>
          <w:color w:val="auto"/>
          <w:sz w:val="22"/>
          <w:szCs w:val="22"/>
          <w:highlight w:val="none"/>
        </w:rPr>
      </w:pPr>
    </w:p>
    <w:p w14:paraId="1D92AE0D">
      <w:pPr>
        <w:pageBreakBefore w:val="0"/>
        <w:kinsoku/>
        <w:overflowPunct/>
        <w:bidi w:val="0"/>
        <w:spacing w:line="38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410D8E7B">
      <w:pPr>
        <w:pStyle w:val="11"/>
        <w:pageBreakBefore w:val="0"/>
        <w:kinsoku/>
        <w:overflowPunct/>
        <w:bidi w:val="0"/>
        <w:adjustRightInd w:val="0"/>
        <w:snapToGrid w:val="0"/>
        <w:spacing w:line="380" w:lineRule="exact"/>
        <w:ind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p w14:paraId="6DD63503">
      <w:pPr>
        <w:pStyle w:val="11"/>
        <w:pageBreakBefore w:val="0"/>
        <w:kinsoku/>
        <w:overflowPunct/>
        <w:bidi w:val="0"/>
        <w:adjustRightInd w:val="0"/>
        <w:snapToGrid w:val="0"/>
        <w:spacing w:line="380" w:lineRule="exact"/>
        <w:ind w:right="440" w:firstLine="440" w:firstLineChars="20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 xml:space="preserve">                                     </w:t>
      </w:r>
    </w:p>
    <w:bookmarkEnd w:id="0"/>
    <w:bookmarkEnd w:id="1"/>
    <w:p w14:paraId="6E7F9D31">
      <w:pPr>
        <w:adjustRightInd w:val="0"/>
        <w:snapToGrid w:val="0"/>
        <w:spacing w:after="157" w:afterLines="50"/>
        <w:jc w:val="center"/>
        <w:outlineLvl w:val="0"/>
        <w:rPr>
          <w:rFonts w:hint="eastAsia" w:ascii="宋体" w:hAnsi="宋体" w:cs="宋体"/>
          <w:b/>
          <w:i w:val="0"/>
          <w:iCs w:val="0"/>
          <w:color w:val="auto"/>
          <w:sz w:val="36"/>
          <w:highlight w:val="none"/>
        </w:rPr>
      </w:pPr>
      <w:bookmarkStart w:id="25" w:name="_Hlt74707423"/>
      <w:bookmarkEnd w:id="25"/>
      <w:bookmarkStart w:id="26" w:name="_Hlt74729822"/>
      <w:bookmarkEnd w:id="26"/>
      <w:bookmarkStart w:id="27" w:name="_Hlt74728647"/>
      <w:bookmarkEnd w:id="27"/>
      <w:bookmarkStart w:id="28" w:name="_Hlt74649545"/>
      <w:bookmarkEnd w:id="28"/>
      <w:bookmarkStart w:id="29" w:name="_Toc33194386"/>
      <w:bookmarkStart w:id="30" w:name="_Toc354996694"/>
      <w:bookmarkStart w:id="31" w:name="_Toc225840107"/>
    </w:p>
    <w:p w14:paraId="36A1A76F">
      <w:pPr>
        <w:jc w:val="center"/>
        <w:rPr>
          <w:rFonts w:hint="eastAsia" w:ascii="宋体" w:hAnsi="宋体" w:cs="宋体"/>
          <w:b/>
          <w:i w:val="0"/>
          <w:iCs w:val="0"/>
          <w:color w:val="auto"/>
          <w:sz w:val="32"/>
          <w:szCs w:val="22"/>
          <w:highlight w:val="none"/>
        </w:rPr>
      </w:pPr>
      <w:r>
        <w:rPr>
          <w:rFonts w:hint="eastAsia" w:ascii="宋体" w:hAnsi="宋体" w:cs="宋体"/>
          <w:b/>
          <w:i w:val="0"/>
          <w:iCs w:val="0"/>
          <w:color w:val="auto"/>
          <w:sz w:val="36"/>
          <w:highlight w:val="none"/>
        </w:rPr>
        <w:br w:type="page"/>
      </w:r>
      <w:r>
        <w:rPr>
          <w:rFonts w:hint="eastAsia" w:ascii="宋体" w:hAnsi="宋体" w:cs="宋体"/>
          <w:b/>
          <w:i w:val="0"/>
          <w:iCs w:val="0"/>
          <w:color w:val="auto"/>
          <w:sz w:val="32"/>
          <w:szCs w:val="22"/>
          <w:highlight w:val="none"/>
        </w:rPr>
        <w:t>第二部分  编制和提交投标文件须知</w:t>
      </w:r>
      <w:bookmarkEnd w:id="29"/>
      <w:bookmarkEnd w:id="30"/>
    </w:p>
    <w:p w14:paraId="7B76BD98">
      <w:pPr>
        <w:keepNext/>
        <w:keepLines/>
        <w:shd w:val="clear" w:color="auto" w:fill="FFFFFF"/>
        <w:tabs>
          <w:tab w:val="left" w:pos="706"/>
        </w:tabs>
        <w:snapToGrid w:val="0"/>
        <w:spacing w:line="360" w:lineRule="auto"/>
        <w:jc w:val="center"/>
        <w:outlineLvl w:val="1"/>
        <w:rPr>
          <w:rFonts w:hint="eastAsia" w:ascii="宋体" w:hAnsi="宋体" w:eastAsia="宋体" w:cs="宋体"/>
          <w:b/>
          <w:bCs/>
          <w:i w:val="0"/>
          <w:iCs w:val="0"/>
          <w:color w:val="auto"/>
          <w:sz w:val="21"/>
          <w:szCs w:val="21"/>
          <w:highlight w:val="none"/>
        </w:rPr>
      </w:pPr>
      <w:bookmarkStart w:id="32" w:name="_Toc33194387"/>
      <w:bookmarkStart w:id="33" w:name="_Toc354996695"/>
      <w:bookmarkStart w:id="34" w:name="_Toc233618971"/>
      <w:r>
        <w:rPr>
          <w:rFonts w:hint="eastAsia" w:ascii="宋体" w:hAnsi="宋体" w:cs="宋体"/>
          <w:b/>
          <w:bCs/>
          <w:i w:val="0"/>
          <w:iCs w:val="0"/>
          <w:color w:val="auto"/>
          <w:sz w:val="28"/>
          <w:szCs w:val="28"/>
          <w:highlight w:val="none"/>
        </w:rPr>
        <w:t>前 附 表</w:t>
      </w:r>
      <w:bookmarkEnd w:id="32"/>
      <w:bookmarkEnd w:id="33"/>
      <w:bookmarkEnd w:id="34"/>
    </w:p>
    <w:tbl>
      <w:tblPr>
        <w:tblStyle w:val="24"/>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5"/>
        <w:gridCol w:w="6766"/>
      </w:tblGrid>
      <w:tr w14:paraId="1E97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6" w:type="dxa"/>
            <w:noWrap w:val="0"/>
            <w:vAlign w:val="center"/>
          </w:tcPr>
          <w:p w14:paraId="37FBDFFD">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25" w:type="dxa"/>
            <w:noWrap w:val="0"/>
            <w:vAlign w:val="center"/>
          </w:tcPr>
          <w:p w14:paraId="0C9B886D">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6766" w:type="dxa"/>
            <w:noWrap w:val="0"/>
            <w:vAlign w:val="center"/>
          </w:tcPr>
          <w:p w14:paraId="151A3CD6">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409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0"/>
            <w:vAlign w:val="center"/>
          </w:tcPr>
          <w:p w14:paraId="59E3968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p>
        </w:tc>
        <w:tc>
          <w:tcPr>
            <w:tcW w:w="2125" w:type="dxa"/>
            <w:noWrap w:val="0"/>
            <w:vAlign w:val="center"/>
          </w:tcPr>
          <w:p w14:paraId="16B5EBB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采购人</w:t>
            </w:r>
          </w:p>
        </w:tc>
        <w:tc>
          <w:tcPr>
            <w:tcW w:w="6766" w:type="dxa"/>
            <w:noWrap w:val="0"/>
            <w:vAlign w:val="center"/>
          </w:tcPr>
          <w:p w14:paraId="5ED862FC">
            <w:pPr>
              <w:pStyle w:val="11"/>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衢州市生态环境局</w:t>
            </w:r>
          </w:p>
        </w:tc>
      </w:tr>
      <w:tr w14:paraId="6D67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66" w:type="dxa"/>
            <w:noWrap w:val="0"/>
            <w:vAlign w:val="center"/>
          </w:tcPr>
          <w:p w14:paraId="2D832FB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p>
        </w:tc>
        <w:tc>
          <w:tcPr>
            <w:tcW w:w="2125" w:type="dxa"/>
            <w:noWrap w:val="0"/>
            <w:vAlign w:val="center"/>
          </w:tcPr>
          <w:p w14:paraId="3C670DD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w:t>
            </w:r>
          </w:p>
        </w:tc>
        <w:tc>
          <w:tcPr>
            <w:tcW w:w="6766" w:type="dxa"/>
            <w:noWrap w:val="0"/>
            <w:vAlign w:val="center"/>
          </w:tcPr>
          <w:p w14:paraId="4BDF982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采购代理机构名称：浙江中兰工程项目管理有限公司</w:t>
            </w:r>
          </w:p>
          <w:p w14:paraId="73395702">
            <w:pPr>
              <w:keepNext w:val="0"/>
              <w:keepLines w:val="0"/>
              <w:pageBreakBefore w:val="0"/>
              <w:kinsoku/>
              <w:wordWrap/>
              <w:overflowPunct/>
              <w:topLinePunct w:val="0"/>
              <w:bidi w:val="0"/>
              <w:spacing w:before="31" w:beforeLines="10" w:line="360" w:lineRule="exact"/>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项目联系人：</w:t>
            </w:r>
            <w:r>
              <w:rPr>
                <w:rFonts w:hint="eastAsia" w:ascii="宋体" w:hAnsi="宋体" w:cs="宋体"/>
                <w:i w:val="0"/>
                <w:iCs w:val="0"/>
                <w:color w:val="auto"/>
                <w:kern w:val="2"/>
                <w:sz w:val="22"/>
                <w:szCs w:val="22"/>
                <w:highlight w:val="none"/>
                <w:lang w:val="en-US" w:eastAsia="zh-CN" w:bidi="ar-SA"/>
              </w:rPr>
              <w:t>郑女士/舒女士</w:t>
            </w:r>
          </w:p>
          <w:p w14:paraId="56B4DEA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联系电话：0570-3380568</w:t>
            </w:r>
          </w:p>
          <w:p w14:paraId="2574054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地址：衢州市衢江区港汇商务广场</w:t>
            </w:r>
            <w:r>
              <w:rPr>
                <w:rFonts w:hint="eastAsia" w:ascii="宋体" w:hAnsi="宋体" w:cs="宋体"/>
                <w:i w:val="0"/>
                <w:iCs w:val="0"/>
                <w:color w:val="auto"/>
                <w:kern w:val="2"/>
                <w:sz w:val="22"/>
                <w:szCs w:val="22"/>
                <w:highlight w:val="none"/>
                <w:lang w:val="en-US" w:eastAsia="zh-CN" w:bidi="ar-SA"/>
              </w:rPr>
              <w:t>2号楼6楼</w:t>
            </w:r>
          </w:p>
        </w:tc>
      </w:tr>
      <w:tr w14:paraId="5B8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0"/>
            <w:vAlign w:val="center"/>
          </w:tcPr>
          <w:p w14:paraId="28ECE00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p>
        </w:tc>
        <w:tc>
          <w:tcPr>
            <w:tcW w:w="2125" w:type="dxa"/>
            <w:noWrap w:val="0"/>
            <w:vAlign w:val="center"/>
          </w:tcPr>
          <w:p w14:paraId="3406C33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项目名称</w:t>
            </w:r>
          </w:p>
        </w:tc>
        <w:tc>
          <w:tcPr>
            <w:tcW w:w="6766" w:type="dxa"/>
            <w:noWrap w:val="0"/>
            <w:vAlign w:val="center"/>
          </w:tcPr>
          <w:p w14:paraId="7CC818A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2025年建设项目环境影响评价技术评估项目</w:t>
            </w:r>
          </w:p>
        </w:tc>
      </w:tr>
      <w:tr w14:paraId="69F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6" w:type="dxa"/>
            <w:noWrap w:val="0"/>
            <w:vAlign w:val="center"/>
          </w:tcPr>
          <w:p w14:paraId="2C4303B5">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w:t>
            </w:r>
          </w:p>
        </w:tc>
        <w:tc>
          <w:tcPr>
            <w:tcW w:w="2125" w:type="dxa"/>
            <w:noWrap w:val="0"/>
            <w:vAlign w:val="center"/>
          </w:tcPr>
          <w:p w14:paraId="257ED31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预算金额及最高</w:t>
            </w:r>
          </w:p>
          <w:p w14:paraId="096EC0EF">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限价</w:t>
            </w:r>
          </w:p>
        </w:tc>
        <w:tc>
          <w:tcPr>
            <w:tcW w:w="6766" w:type="dxa"/>
            <w:noWrap w:val="0"/>
            <w:vAlign w:val="center"/>
          </w:tcPr>
          <w:p w14:paraId="3A68D939">
            <w:pPr>
              <w:pStyle w:val="11"/>
              <w:keepNext w:val="0"/>
              <w:keepLines w:val="0"/>
              <w:pageBreakBefore w:val="0"/>
              <w:kinsoku/>
              <w:wordWrap/>
              <w:overflowPunct/>
              <w:topLinePunct w:val="0"/>
              <w:bidi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预算金额：1600000元。</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i w:val="0"/>
                <w:iCs w:val="0"/>
                <w:color w:val="auto"/>
                <w:kern w:val="2"/>
                <w:sz w:val="22"/>
                <w:szCs w:val="22"/>
                <w:highlight w:val="none"/>
                <w:lang w:val="en-US" w:eastAsia="zh-CN" w:bidi="ar-SA"/>
              </w:rPr>
              <w:t>最高限价：1600000元，本项目设有最高限单价：（1）</w:t>
            </w:r>
            <w:r>
              <w:rPr>
                <w:rFonts w:hint="eastAsia" w:ascii="宋体" w:hAnsi="宋体" w:eastAsia="宋体" w:cs="宋体"/>
                <w:color w:val="auto"/>
                <w:sz w:val="24"/>
                <w:szCs w:val="24"/>
                <w:highlight w:val="none"/>
                <w:lang w:eastAsia="zh-CN"/>
              </w:rPr>
              <w:t>环境影响报告书（表）编制规范性检查技术评估</w:t>
            </w:r>
            <w:r>
              <w:rPr>
                <w:rFonts w:hint="eastAsia" w:ascii="宋体" w:hAnsi="宋体" w:eastAsia="宋体" w:cs="宋体"/>
                <w:i w:val="0"/>
                <w:iCs w:val="0"/>
                <w:color w:val="auto"/>
                <w:kern w:val="2"/>
                <w:sz w:val="22"/>
                <w:szCs w:val="22"/>
                <w:highlight w:val="none"/>
                <w:lang w:val="en-US" w:eastAsia="zh-CN" w:bidi="ar-SA"/>
              </w:rPr>
              <w:t>最高限单价：20000元/个；（2）</w:t>
            </w:r>
            <w:r>
              <w:rPr>
                <w:rFonts w:hint="eastAsia" w:ascii="宋体" w:hAnsi="宋体" w:eastAsia="宋体" w:cs="宋体"/>
                <w:color w:val="auto"/>
                <w:sz w:val="24"/>
                <w:szCs w:val="24"/>
                <w:highlight w:val="none"/>
                <w:lang w:val="en-US"/>
              </w:rPr>
              <w:t>环评质量技术复核服务</w:t>
            </w:r>
            <w:r>
              <w:rPr>
                <w:rFonts w:hint="eastAsia" w:ascii="宋体" w:hAnsi="宋体" w:eastAsia="宋体" w:cs="宋体"/>
                <w:i w:val="0"/>
                <w:iCs w:val="0"/>
                <w:color w:val="auto"/>
                <w:kern w:val="2"/>
                <w:sz w:val="22"/>
                <w:szCs w:val="22"/>
                <w:highlight w:val="none"/>
                <w:lang w:val="en-US" w:eastAsia="zh-CN" w:bidi="ar-SA"/>
              </w:rPr>
              <w:t>最高限单价：2000元/个；</w:t>
            </w:r>
            <w:r>
              <w:rPr>
                <w:rFonts w:hint="eastAsia" w:ascii="宋体" w:hAnsi="宋体" w:eastAsia="宋体" w:cs="宋体"/>
                <w:color w:val="auto"/>
                <w:sz w:val="24"/>
                <w:szCs w:val="24"/>
                <w:highlight w:val="none"/>
                <w:lang w:val="en-US" w:eastAsia="zh-CN"/>
              </w:rPr>
              <w:t>环保决策咨询</w:t>
            </w:r>
            <w:r>
              <w:rPr>
                <w:rFonts w:hint="eastAsia" w:ascii="宋体" w:hAnsi="宋体" w:eastAsia="宋体" w:cs="宋体"/>
                <w:i w:val="0"/>
                <w:iCs w:val="0"/>
                <w:color w:val="auto"/>
                <w:kern w:val="2"/>
                <w:sz w:val="22"/>
                <w:szCs w:val="22"/>
                <w:highlight w:val="none"/>
                <w:lang w:val="en-US" w:eastAsia="zh-CN" w:bidi="ar-SA"/>
              </w:rPr>
              <w:t>最高限单价：10000元/个。</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i w:val="0"/>
                <w:iCs w:val="0"/>
                <w:color w:val="auto"/>
                <w:kern w:val="2"/>
                <w:sz w:val="22"/>
                <w:szCs w:val="22"/>
                <w:highlight w:val="none"/>
                <w:lang w:val="en-US" w:eastAsia="zh-CN" w:bidi="ar-SA"/>
              </w:rPr>
              <w:t>超过预算金额或最高限价或最高限单价作无效标处理。</w:t>
            </w:r>
          </w:p>
        </w:tc>
      </w:tr>
      <w:tr w14:paraId="76A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6" w:type="dxa"/>
            <w:noWrap w:val="0"/>
            <w:vAlign w:val="center"/>
          </w:tcPr>
          <w:p w14:paraId="667AC45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5</w:t>
            </w:r>
          </w:p>
        </w:tc>
        <w:tc>
          <w:tcPr>
            <w:tcW w:w="2125" w:type="dxa"/>
            <w:noWrap w:val="0"/>
            <w:vAlign w:val="center"/>
          </w:tcPr>
          <w:p w14:paraId="6F8B23E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服务期</w:t>
            </w:r>
          </w:p>
        </w:tc>
        <w:tc>
          <w:tcPr>
            <w:tcW w:w="6766" w:type="dxa"/>
            <w:noWrap w:val="0"/>
            <w:vAlign w:val="center"/>
          </w:tcPr>
          <w:p w14:paraId="3B31C6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一年（2025年8月1日—2026年7月31日）</w:t>
            </w:r>
            <w:r>
              <w:rPr>
                <w:rFonts w:hint="eastAsia" w:ascii="宋体" w:hAnsi="宋体" w:eastAsia="宋体" w:cs="宋体"/>
                <w:i w:val="0"/>
                <w:iCs w:val="0"/>
                <w:color w:val="auto"/>
                <w:sz w:val="22"/>
                <w:szCs w:val="22"/>
                <w:highlight w:val="none"/>
                <w:lang w:val="en-US" w:eastAsia="zh-CN"/>
              </w:rPr>
              <w:t>。</w:t>
            </w:r>
          </w:p>
        </w:tc>
      </w:tr>
      <w:tr w14:paraId="569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6" w:type="dxa"/>
            <w:noWrap w:val="0"/>
            <w:vAlign w:val="center"/>
          </w:tcPr>
          <w:p w14:paraId="58E528D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6</w:t>
            </w:r>
          </w:p>
        </w:tc>
        <w:tc>
          <w:tcPr>
            <w:tcW w:w="2125" w:type="dxa"/>
            <w:noWrap w:val="0"/>
            <w:vAlign w:val="center"/>
          </w:tcPr>
          <w:p w14:paraId="29EFF701">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供应商的资格要求</w:t>
            </w:r>
          </w:p>
        </w:tc>
        <w:tc>
          <w:tcPr>
            <w:tcW w:w="6766" w:type="dxa"/>
            <w:noWrap w:val="0"/>
            <w:vAlign w:val="center"/>
          </w:tcPr>
          <w:p w14:paraId="49AD702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详见招标公告。</w:t>
            </w:r>
          </w:p>
        </w:tc>
      </w:tr>
      <w:tr w14:paraId="021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66" w:type="dxa"/>
            <w:noWrap w:val="0"/>
            <w:vAlign w:val="center"/>
          </w:tcPr>
          <w:p w14:paraId="4CD67D7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7</w:t>
            </w:r>
          </w:p>
        </w:tc>
        <w:tc>
          <w:tcPr>
            <w:tcW w:w="2125" w:type="dxa"/>
            <w:noWrap w:val="0"/>
            <w:vAlign w:val="center"/>
          </w:tcPr>
          <w:p w14:paraId="06705AA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投标文件份数</w:t>
            </w:r>
          </w:p>
        </w:tc>
        <w:tc>
          <w:tcPr>
            <w:tcW w:w="6766" w:type="dxa"/>
            <w:noWrap w:val="0"/>
            <w:vAlign w:val="center"/>
          </w:tcPr>
          <w:p w14:paraId="2F87340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1.“电子加密投标文件”（后缀格式为.jmbs）：在线上传递交一份；</w:t>
            </w:r>
          </w:p>
          <w:p w14:paraId="738F9AD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2.“备份投标文件”（后缀格式为.bfbs）：以电子邮件方式递交，本项目指定接收邮箱（邮箱：</w:t>
            </w:r>
            <w:r>
              <w:rPr>
                <w:rFonts w:hint="eastAsia" w:ascii="宋体" w:hAnsi="宋体" w:eastAsia="宋体" w:cs="宋体"/>
                <w:b/>
                <w:bCs/>
                <w:color w:val="auto"/>
                <w:sz w:val="24"/>
                <w:highlight w:val="none"/>
              </w:rPr>
              <w:t>2968996525@qq.com</w:t>
            </w:r>
            <w:r>
              <w:rPr>
                <w:rFonts w:hint="eastAsia" w:ascii="宋体" w:hAnsi="宋体" w:eastAsia="宋体" w:cs="宋体"/>
                <w:i w:val="0"/>
                <w:iCs w:val="0"/>
                <w:color w:val="auto"/>
                <w:kern w:val="2"/>
                <w:sz w:val="22"/>
                <w:szCs w:val="22"/>
                <w:highlight w:val="none"/>
                <w:lang w:val="en-US" w:eastAsia="zh-CN" w:bidi="ar-SA"/>
              </w:rPr>
              <w:t>联系人：</w:t>
            </w:r>
            <w:r>
              <w:rPr>
                <w:rFonts w:hint="eastAsia" w:ascii="宋体" w:hAnsi="宋体" w:cs="宋体"/>
                <w:i w:val="0"/>
                <w:iCs w:val="0"/>
                <w:color w:val="auto"/>
                <w:kern w:val="2"/>
                <w:sz w:val="22"/>
                <w:szCs w:val="22"/>
                <w:highlight w:val="none"/>
                <w:lang w:val="en-US" w:eastAsia="zh-CN" w:bidi="ar-SA"/>
              </w:rPr>
              <w:t xml:space="preserve">郑女士/舒女士  </w:t>
            </w:r>
            <w:r>
              <w:rPr>
                <w:rFonts w:hint="eastAsia" w:ascii="宋体" w:hAnsi="宋体" w:eastAsia="宋体" w:cs="宋体"/>
                <w:i w:val="0"/>
                <w:iCs w:val="0"/>
                <w:color w:val="auto"/>
                <w:kern w:val="2"/>
                <w:sz w:val="22"/>
                <w:szCs w:val="22"/>
                <w:highlight w:val="none"/>
                <w:lang w:val="en-US" w:eastAsia="zh-CN" w:bidi="ar-SA"/>
              </w:rPr>
              <w:t>电话：</w:t>
            </w:r>
            <w:r>
              <w:rPr>
                <w:rFonts w:hint="eastAsia" w:ascii="宋体" w:hAnsi="宋体" w:cs="宋体"/>
                <w:i w:val="0"/>
                <w:iCs w:val="0"/>
                <w:color w:val="auto"/>
                <w:kern w:val="2"/>
                <w:sz w:val="22"/>
                <w:szCs w:val="22"/>
                <w:highlight w:val="none"/>
                <w:lang w:val="en-US" w:eastAsia="zh-CN" w:bidi="ar-SA"/>
              </w:rPr>
              <w:t>0570-3380568</w:t>
            </w:r>
            <w:r>
              <w:rPr>
                <w:rFonts w:hint="eastAsia" w:ascii="宋体" w:hAnsi="宋体" w:eastAsia="宋体" w:cs="宋体"/>
                <w:i w:val="0"/>
                <w:iCs w:val="0"/>
                <w:color w:val="auto"/>
                <w:kern w:val="2"/>
                <w:sz w:val="22"/>
                <w:szCs w:val="22"/>
                <w:highlight w:val="none"/>
                <w:lang w:val="en-US" w:eastAsia="zh-CN" w:bidi="ar-SA"/>
              </w:rPr>
              <w:t>）；</w:t>
            </w:r>
          </w:p>
          <w:p w14:paraId="33575055">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3.中标后，中标供应商在领取中标通知书前须向采购代理机构提供与电子投标文件内容一致的纸质投标文件叁份，装订成册（软封面）。</w:t>
            </w:r>
          </w:p>
        </w:tc>
      </w:tr>
      <w:tr w14:paraId="108C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51096BF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8</w:t>
            </w:r>
          </w:p>
        </w:tc>
        <w:tc>
          <w:tcPr>
            <w:tcW w:w="2125" w:type="dxa"/>
            <w:noWrap w:val="0"/>
            <w:vAlign w:val="center"/>
          </w:tcPr>
          <w:p w14:paraId="1799E9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投标文件的组成和编制</w:t>
            </w:r>
          </w:p>
        </w:tc>
        <w:tc>
          <w:tcPr>
            <w:tcW w:w="6766" w:type="dxa"/>
            <w:noWrap w:val="0"/>
            <w:vAlign w:val="center"/>
          </w:tcPr>
          <w:p w14:paraId="2B6AC24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完整的《投标文件》由“资格审查文件”、“商务技术文件”和“报价文件”三个部分组成。</w:t>
            </w:r>
          </w:p>
          <w:p w14:paraId="0406582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供应商应先安装“政采云电子交易客户端”，并按照本采购文件和“政府采购云平台”的要求，通过“政采云电子交易客户端”编制并加密投标文件。</w:t>
            </w:r>
          </w:p>
        </w:tc>
      </w:tr>
      <w:tr w14:paraId="42F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noWrap w:val="0"/>
            <w:vAlign w:val="center"/>
          </w:tcPr>
          <w:p w14:paraId="670A932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9</w:t>
            </w:r>
          </w:p>
        </w:tc>
        <w:tc>
          <w:tcPr>
            <w:tcW w:w="2125" w:type="dxa"/>
            <w:noWrap w:val="0"/>
            <w:vAlign w:val="center"/>
          </w:tcPr>
          <w:p w14:paraId="190CD43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投标文件的签章</w:t>
            </w:r>
          </w:p>
        </w:tc>
        <w:tc>
          <w:tcPr>
            <w:tcW w:w="6766" w:type="dxa"/>
            <w:noWrap w:val="0"/>
            <w:vAlign w:val="center"/>
          </w:tcPr>
          <w:p w14:paraId="4DDD0B0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电子签章</w:t>
            </w:r>
          </w:p>
        </w:tc>
      </w:tr>
      <w:tr w14:paraId="16B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6" w:type="dxa"/>
            <w:noWrap w:val="0"/>
            <w:vAlign w:val="center"/>
          </w:tcPr>
          <w:p w14:paraId="157EEFC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10</w:t>
            </w:r>
          </w:p>
        </w:tc>
        <w:tc>
          <w:tcPr>
            <w:tcW w:w="2125" w:type="dxa"/>
            <w:noWrap w:val="0"/>
            <w:vAlign w:val="center"/>
          </w:tcPr>
          <w:p w14:paraId="7254A6E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投标文件的形式</w:t>
            </w:r>
          </w:p>
        </w:tc>
        <w:tc>
          <w:tcPr>
            <w:tcW w:w="6766" w:type="dxa"/>
            <w:noWrap w:val="0"/>
            <w:vAlign w:val="center"/>
          </w:tcPr>
          <w:p w14:paraId="6EC81B5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电子投标文件即本文件所述投标文件（包括“电子加密投标文件”和“备份投标文件”，在投标文件编制完成后同时生成）；</w:t>
            </w:r>
          </w:p>
          <w:p w14:paraId="0D59E59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（1）“电子加密投标文件”是指通过“政采云电子交易客户端”完成投标文件编制后生成并加密的数据电文形式的投标文件。</w:t>
            </w:r>
          </w:p>
          <w:p w14:paraId="6D58291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（2）“备份投标文件”是指与“电子加密投标文件”同时生成的数据电文形式的电子文件（备份标书，用于供应商标书解密异常时应急使用），其他方式编制的备份投标文件视为无效备份投标文件。</w:t>
            </w:r>
          </w:p>
        </w:tc>
      </w:tr>
      <w:tr w14:paraId="69E7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4263FEF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11</w:t>
            </w:r>
          </w:p>
        </w:tc>
        <w:tc>
          <w:tcPr>
            <w:tcW w:w="2125" w:type="dxa"/>
            <w:noWrap w:val="0"/>
            <w:vAlign w:val="center"/>
          </w:tcPr>
          <w:p w14:paraId="7DE35AA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投标文件的上传和递交</w:t>
            </w:r>
          </w:p>
        </w:tc>
        <w:tc>
          <w:tcPr>
            <w:tcW w:w="6766" w:type="dxa"/>
            <w:noWrap w:val="0"/>
            <w:vAlign w:val="center"/>
          </w:tcPr>
          <w:p w14:paraId="75998F7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1.“电子加密投标文件”的上传、递交：</w:t>
            </w:r>
          </w:p>
          <w:p w14:paraId="4BCBE95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投标文件制作完成并生成电子加密投标文件，在投标截止时间前，供应商需将加密的投标文件上传至政采云平台，到达开标时间后，在线解密投标文件。</w:t>
            </w:r>
          </w:p>
          <w:p w14:paraId="34270FD4">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a.供应商应未能在投标截止时间前成功上传电子加密投标文件的投标无效。</w:t>
            </w:r>
          </w:p>
          <w:p w14:paraId="4694C92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b.供应商成功上传电子加密投标文件后，可自行打印投标文件接收回执。</w:t>
            </w:r>
          </w:p>
          <w:p w14:paraId="2D148AD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2.“备份投标文件”的上传、递交：</w:t>
            </w:r>
          </w:p>
          <w:p w14:paraId="2819AF9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供应商在投标截止时间前将“备份投标文件”（允许加密）以“XX单位备份投标文件”的邮件主题发送至指定接收邮箱</w:t>
            </w:r>
            <w:r>
              <w:rPr>
                <w:rFonts w:hint="eastAsia" w:ascii="宋体" w:hAnsi="宋体" w:eastAsia="宋体" w:cs="宋体"/>
                <w:b/>
                <w:bCs/>
                <w:color w:val="auto"/>
                <w:sz w:val="24"/>
                <w:highlight w:val="none"/>
              </w:rPr>
              <w:t>2968996525@qq.com</w:t>
            </w:r>
            <w:r>
              <w:rPr>
                <w:rFonts w:hint="eastAsia" w:ascii="宋体" w:hAnsi="宋体" w:eastAsia="宋体" w:cs="宋体"/>
                <w:i w:val="0"/>
                <w:iCs w:val="0"/>
                <w:color w:val="auto"/>
                <w:kern w:val="2"/>
                <w:sz w:val="22"/>
                <w:szCs w:val="22"/>
                <w:highlight w:val="none"/>
                <w:lang w:val="en-US" w:eastAsia="zh-CN" w:bidi="ar-SA"/>
              </w:rPr>
              <w:t>，送达时间以采购代理机构实际接收邮件时间为准。“备份投标文件”逾期或未按要求提供的视为未提供。</w:t>
            </w:r>
          </w:p>
          <w:p w14:paraId="6EFCCDA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3.投标文件启用顺序和效力：</w:t>
            </w:r>
          </w:p>
          <w:p w14:paraId="30ED87C3">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投标文件的启用，按先后顺位分别为“电子加密投标文件”、“备份投标文件”。在下一顺位的投标文件启用时，前一顺位的投标文件自动失效。所有投标文件逾期解密的视作无效标。</w:t>
            </w:r>
          </w:p>
        </w:tc>
      </w:tr>
      <w:tr w14:paraId="59FC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 w:type="dxa"/>
            <w:noWrap w:val="0"/>
            <w:vAlign w:val="center"/>
          </w:tcPr>
          <w:p w14:paraId="69E5C447">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12</w:t>
            </w:r>
          </w:p>
        </w:tc>
        <w:tc>
          <w:tcPr>
            <w:tcW w:w="2125" w:type="dxa"/>
            <w:noWrap w:val="0"/>
            <w:vAlign w:val="center"/>
          </w:tcPr>
          <w:p w14:paraId="4266331A">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评标办法</w:t>
            </w:r>
          </w:p>
        </w:tc>
        <w:tc>
          <w:tcPr>
            <w:tcW w:w="6766" w:type="dxa"/>
            <w:noWrap w:val="0"/>
            <w:vAlign w:val="center"/>
          </w:tcPr>
          <w:p w14:paraId="2767554D">
            <w:pPr>
              <w:keepNext w:val="0"/>
              <w:keepLines w:val="0"/>
              <w:pageBreakBefore w:val="0"/>
              <w:kinsoku/>
              <w:wordWrap/>
              <w:overflowPunct/>
              <w:topLinePunct w:val="0"/>
              <w:autoSpaceDE w:val="0"/>
              <w:autoSpaceDN w:val="0"/>
              <w:bidi w:val="0"/>
              <w:snapToGrid w:val="0"/>
              <w:spacing w:line="360" w:lineRule="exact"/>
              <w:jc w:val="left"/>
              <w:textAlignment w:val="bottom"/>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综合评分法</w:t>
            </w:r>
          </w:p>
        </w:tc>
      </w:tr>
      <w:tr w14:paraId="01F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0"/>
            <w:vAlign w:val="center"/>
          </w:tcPr>
          <w:p w14:paraId="0ECE8720">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13</w:t>
            </w:r>
          </w:p>
        </w:tc>
        <w:tc>
          <w:tcPr>
            <w:tcW w:w="2125" w:type="dxa"/>
            <w:noWrap w:val="0"/>
            <w:vAlign w:val="center"/>
          </w:tcPr>
          <w:p w14:paraId="746A7AF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投标文件递交截止时间</w:t>
            </w:r>
          </w:p>
        </w:tc>
        <w:tc>
          <w:tcPr>
            <w:tcW w:w="6766" w:type="dxa"/>
            <w:noWrap w:val="0"/>
            <w:vAlign w:val="center"/>
          </w:tcPr>
          <w:p w14:paraId="7A85CBDC">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2025年7月21日09时30分</w:t>
            </w:r>
            <w:r>
              <w:rPr>
                <w:rFonts w:hint="eastAsia" w:ascii="宋体" w:hAnsi="宋体" w:eastAsia="宋体" w:cs="宋体"/>
                <w:i w:val="0"/>
                <w:iCs w:val="0"/>
                <w:color w:val="auto"/>
                <w:sz w:val="22"/>
                <w:szCs w:val="22"/>
                <w:highlight w:val="none"/>
              </w:rPr>
              <w:t>（北京时间）</w:t>
            </w:r>
          </w:p>
        </w:tc>
      </w:tr>
      <w:tr w14:paraId="1BD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6" w:type="dxa"/>
            <w:noWrap w:val="0"/>
            <w:vAlign w:val="center"/>
          </w:tcPr>
          <w:p w14:paraId="6201840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14</w:t>
            </w:r>
          </w:p>
        </w:tc>
        <w:tc>
          <w:tcPr>
            <w:tcW w:w="2125" w:type="dxa"/>
            <w:noWrap w:val="0"/>
            <w:vAlign w:val="center"/>
          </w:tcPr>
          <w:p w14:paraId="4B4D923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开标时间</w:t>
            </w:r>
          </w:p>
        </w:tc>
        <w:tc>
          <w:tcPr>
            <w:tcW w:w="6766" w:type="dxa"/>
            <w:noWrap w:val="0"/>
            <w:vAlign w:val="center"/>
          </w:tcPr>
          <w:p w14:paraId="7DFD0D4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eastAsia="zh-CN"/>
              </w:rPr>
              <w:t>2025年7月21日09时30分</w:t>
            </w:r>
            <w:r>
              <w:rPr>
                <w:rFonts w:hint="eastAsia" w:ascii="宋体" w:hAnsi="宋体" w:eastAsia="宋体" w:cs="宋体"/>
                <w:i w:val="0"/>
                <w:iCs w:val="0"/>
                <w:color w:val="auto"/>
                <w:sz w:val="22"/>
                <w:szCs w:val="22"/>
                <w:highlight w:val="none"/>
              </w:rPr>
              <w:t>（北京时间）</w:t>
            </w:r>
          </w:p>
        </w:tc>
      </w:tr>
      <w:tr w14:paraId="2F25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6" w:type="dxa"/>
            <w:noWrap w:val="0"/>
            <w:vAlign w:val="center"/>
          </w:tcPr>
          <w:p w14:paraId="75C7C9D6">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15</w:t>
            </w:r>
          </w:p>
        </w:tc>
        <w:tc>
          <w:tcPr>
            <w:tcW w:w="2125" w:type="dxa"/>
            <w:noWrap w:val="0"/>
            <w:vAlign w:val="center"/>
          </w:tcPr>
          <w:p w14:paraId="4172D85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开标地点</w:t>
            </w:r>
          </w:p>
        </w:tc>
        <w:tc>
          <w:tcPr>
            <w:tcW w:w="6766" w:type="dxa"/>
            <w:noWrap w:val="0"/>
            <w:vAlign w:val="center"/>
          </w:tcPr>
          <w:p w14:paraId="275D3FEF">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bCs/>
                <w:i w:val="0"/>
                <w:iCs w:val="0"/>
                <w:color w:val="auto"/>
                <w:sz w:val="22"/>
                <w:szCs w:val="22"/>
                <w:highlight w:val="none"/>
              </w:rPr>
              <w:t>见公告。</w:t>
            </w:r>
          </w:p>
        </w:tc>
      </w:tr>
      <w:tr w14:paraId="2A46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6" w:type="dxa"/>
            <w:noWrap w:val="0"/>
            <w:vAlign w:val="center"/>
          </w:tcPr>
          <w:p w14:paraId="7FBFDB88">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16</w:t>
            </w:r>
          </w:p>
        </w:tc>
        <w:tc>
          <w:tcPr>
            <w:tcW w:w="2125" w:type="dxa"/>
            <w:noWrap w:val="0"/>
            <w:vAlign w:val="center"/>
          </w:tcPr>
          <w:p w14:paraId="626EE0B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投标文件开启程序</w:t>
            </w:r>
          </w:p>
        </w:tc>
        <w:tc>
          <w:tcPr>
            <w:tcW w:w="6766" w:type="dxa"/>
            <w:noWrap w:val="0"/>
            <w:vAlign w:val="center"/>
          </w:tcPr>
          <w:p w14:paraId="16B30B06">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投标文件开启时间到后，采购代理机构点击【开始解密】，供应商应在30分钟内已完成解密，供应商在规定的时间内都已完成解密，则系统自动结束解密；供应商超过解密时限，默认自动放弃；</w:t>
            </w:r>
          </w:p>
          <w:p w14:paraId="0A458932">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解密不成功时，如供应商已按规定递交了“备份投标文件”的，采购代理机构通过【异常处理】端口对备份投标文件上传、解密；</w:t>
            </w:r>
          </w:p>
          <w:p w14:paraId="22C2283E">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采购组织机构点击【开启标书信息】，开启标书成功后进入开标流程。</w:t>
            </w:r>
          </w:p>
        </w:tc>
      </w:tr>
      <w:tr w14:paraId="796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noWrap w:val="0"/>
            <w:vAlign w:val="center"/>
          </w:tcPr>
          <w:p w14:paraId="276DA81B">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17</w:t>
            </w:r>
          </w:p>
        </w:tc>
        <w:tc>
          <w:tcPr>
            <w:tcW w:w="2125" w:type="dxa"/>
            <w:noWrap w:val="0"/>
            <w:vAlign w:val="center"/>
          </w:tcPr>
          <w:p w14:paraId="266A3F6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采购结果公告期限</w:t>
            </w:r>
          </w:p>
        </w:tc>
        <w:tc>
          <w:tcPr>
            <w:tcW w:w="6766" w:type="dxa"/>
            <w:noWrap w:val="0"/>
            <w:vAlign w:val="center"/>
          </w:tcPr>
          <w:p w14:paraId="29E16FB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1个工作日</w:t>
            </w:r>
          </w:p>
        </w:tc>
      </w:tr>
      <w:tr w14:paraId="5CC5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noWrap w:val="0"/>
            <w:vAlign w:val="center"/>
          </w:tcPr>
          <w:p w14:paraId="0F40FF4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18</w:t>
            </w:r>
          </w:p>
        </w:tc>
        <w:tc>
          <w:tcPr>
            <w:tcW w:w="2125" w:type="dxa"/>
            <w:noWrap w:val="0"/>
            <w:vAlign w:val="center"/>
          </w:tcPr>
          <w:p w14:paraId="2088BF94">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签订合同</w:t>
            </w:r>
          </w:p>
        </w:tc>
        <w:tc>
          <w:tcPr>
            <w:tcW w:w="6766" w:type="dxa"/>
            <w:noWrap w:val="0"/>
            <w:vAlign w:val="center"/>
          </w:tcPr>
          <w:p w14:paraId="75359659">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 xml:space="preserve">发出中标通知书30天内。 </w:t>
            </w:r>
          </w:p>
        </w:tc>
      </w:tr>
      <w:tr w14:paraId="659E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6" w:type="dxa"/>
            <w:tcBorders>
              <w:bottom w:val="single" w:color="auto" w:sz="4" w:space="0"/>
            </w:tcBorders>
            <w:noWrap w:val="0"/>
            <w:vAlign w:val="center"/>
          </w:tcPr>
          <w:p w14:paraId="1DD1055E">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19</w:t>
            </w:r>
          </w:p>
        </w:tc>
        <w:tc>
          <w:tcPr>
            <w:tcW w:w="2125" w:type="dxa"/>
            <w:tcBorders>
              <w:bottom w:val="single" w:color="auto" w:sz="4" w:space="0"/>
            </w:tcBorders>
            <w:noWrap w:val="0"/>
            <w:vAlign w:val="center"/>
          </w:tcPr>
          <w:p w14:paraId="224FD0FD">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履约保证金</w:t>
            </w:r>
          </w:p>
        </w:tc>
        <w:tc>
          <w:tcPr>
            <w:tcW w:w="6766" w:type="dxa"/>
            <w:tcBorders>
              <w:bottom w:val="single" w:color="auto" w:sz="4" w:space="0"/>
            </w:tcBorders>
            <w:noWrap w:val="0"/>
            <w:vAlign w:val="center"/>
          </w:tcPr>
          <w:p w14:paraId="7C0B0CF5">
            <w:pPr>
              <w:keepNext w:val="0"/>
              <w:keepLines w:val="0"/>
              <w:pageBreakBefore w:val="0"/>
              <w:widowControl/>
              <w:kinsoku/>
              <w:wordWrap/>
              <w:overflowPunct/>
              <w:topLinePunct w:val="0"/>
              <w:bidi w:val="0"/>
              <w:spacing w:line="360" w:lineRule="exact"/>
              <w:jc w:val="lef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w:t>
            </w:r>
          </w:p>
        </w:tc>
      </w:tr>
      <w:tr w14:paraId="3037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66" w:type="dxa"/>
            <w:noWrap w:val="0"/>
            <w:vAlign w:val="center"/>
          </w:tcPr>
          <w:p w14:paraId="157D1E89">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20</w:t>
            </w:r>
          </w:p>
        </w:tc>
        <w:tc>
          <w:tcPr>
            <w:tcW w:w="2125" w:type="dxa"/>
            <w:noWrap w:val="0"/>
            <w:vAlign w:val="center"/>
          </w:tcPr>
          <w:p w14:paraId="70266A8C">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投标有效期</w:t>
            </w:r>
          </w:p>
        </w:tc>
        <w:tc>
          <w:tcPr>
            <w:tcW w:w="6766" w:type="dxa"/>
            <w:noWrap w:val="0"/>
            <w:vAlign w:val="center"/>
          </w:tcPr>
          <w:p w14:paraId="6E553CB8">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投标文件递交截止之日起90天</w:t>
            </w:r>
          </w:p>
        </w:tc>
      </w:tr>
      <w:tr w14:paraId="35AF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1917DFE8">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21</w:t>
            </w:r>
          </w:p>
        </w:tc>
        <w:tc>
          <w:tcPr>
            <w:tcW w:w="2125" w:type="dxa"/>
            <w:noWrap w:val="0"/>
            <w:vAlign w:val="center"/>
          </w:tcPr>
          <w:p w14:paraId="5F4E972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信用查询</w:t>
            </w:r>
          </w:p>
        </w:tc>
        <w:tc>
          <w:tcPr>
            <w:tcW w:w="6766" w:type="dxa"/>
            <w:noWrap w:val="0"/>
            <w:vAlign w:val="center"/>
          </w:tcPr>
          <w:p w14:paraId="3D7BC54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根据《关于在政府采购活动中查询及使用信用记录有关问题的通知》财库[2016]125号的规定：</w:t>
            </w:r>
          </w:p>
          <w:p w14:paraId="5DC1ED7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（1）采购人或采购代理机构将对本项目供应商的信用记录进行查询。查询渠道为信用中国网站（www.creditchina.gov.cn）、中国政府采购网（www.ccgp.gov.cn）</w:t>
            </w:r>
            <w:r>
              <w:rPr>
                <w:rFonts w:hint="eastAsia" w:ascii="宋体" w:hAnsi="宋体" w:cs="宋体"/>
                <w:i w:val="0"/>
                <w:iCs w:val="0"/>
                <w:color w:val="auto"/>
                <w:kern w:val="2"/>
                <w:sz w:val="22"/>
                <w:szCs w:val="22"/>
                <w:highlight w:val="none"/>
                <w:lang w:val="en-US" w:eastAsia="zh-CN" w:bidi="ar-SA"/>
              </w:rPr>
              <w:t>。</w:t>
            </w:r>
          </w:p>
          <w:p w14:paraId="4A8E90E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（2）截止时点：提交投标文件截止时间前3年内</w:t>
            </w:r>
            <w:r>
              <w:rPr>
                <w:rFonts w:hint="eastAsia" w:ascii="宋体" w:hAnsi="宋体" w:cs="宋体"/>
                <w:i w:val="0"/>
                <w:iCs w:val="0"/>
                <w:color w:val="auto"/>
                <w:kern w:val="2"/>
                <w:sz w:val="22"/>
                <w:szCs w:val="22"/>
                <w:highlight w:val="none"/>
                <w:lang w:val="en-US" w:eastAsia="zh-CN" w:bidi="ar-SA"/>
              </w:rPr>
              <w:t>。</w:t>
            </w:r>
          </w:p>
          <w:p w14:paraId="5CD754CD">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（3）查询记录和证据的留存：信用信息查询记录和证据以网页截图等方式留存。</w:t>
            </w:r>
          </w:p>
          <w:p w14:paraId="1DE25BA1">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tc>
      </w:tr>
      <w:tr w14:paraId="7B15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2360CE7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22</w:t>
            </w:r>
          </w:p>
        </w:tc>
        <w:tc>
          <w:tcPr>
            <w:tcW w:w="2125" w:type="dxa"/>
            <w:noWrap w:val="0"/>
            <w:vAlign w:val="center"/>
          </w:tcPr>
          <w:p w14:paraId="399954FA">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采购公告，更正公告，中标公示发布网址</w:t>
            </w:r>
          </w:p>
        </w:tc>
        <w:tc>
          <w:tcPr>
            <w:tcW w:w="6766" w:type="dxa"/>
            <w:noWrap w:val="0"/>
            <w:vAlign w:val="center"/>
          </w:tcPr>
          <w:p w14:paraId="63844A1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浙江政府采购网（http://zfcg.czt.zj.gov.cn/）</w:t>
            </w:r>
          </w:p>
        </w:tc>
      </w:tr>
      <w:tr w14:paraId="5E47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699EA22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23</w:t>
            </w:r>
          </w:p>
        </w:tc>
        <w:tc>
          <w:tcPr>
            <w:tcW w:w="2125" w:type="dxa"/>
            <w:noWrap w:val="0"/>
            <w:vAlign w:val="center"/>
          </w:tcPr>
          <w:p w14:paraId="5EFD65AB">
            <w:pPr>
              <w:keepNext w:val="0"/>
              <w:keepLines w:val="0"/>
              <w:pageBreakBefore w:val="0"/>
              <w:kinsoku/>
              <w:wordWrap/>
              <w:overflowPunct/>
              <w:topLinePunct w:val="0"/>
              <w:bidi w:val="0"/>
              <w:snapToGrid w:val="0"/>
              <w:spacing w:line="360" w:lineRule="exact"/>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zh-TW" w:eastAsia="zh-TW"/>
              </w:rPr>
              <w:t>采购标的对应的中小企业划分标准所属行业</w:t>
            </w:r>
          </w:p>
        </w:tc>
        <w:tc>
          <w:tcPr>
            <w:tcW w:w="6766" w:type="dxa"/>
            <w:noWrap w:val="0"/>
            <w:vAlign w:val="center"/>
          </w:tcPr>
          <w:p w14:paraId="4C6667B3">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中小企业优惠措施</w:t>
            </w:r>
          </w:p>
          <w:p w14:paraId="56BF9B8F">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项目属性：</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货物类</w:t>
            </w:r>
            <w:r>
              <w:rPr>
                <w:rFonts w:hint="eastAsia" w:ascii="宋体" w:hAnsi="宋体" w:eastAsia="宋体" w:cs="宋体"/>
                <w:i w:val="0"/>
                <w:iCs w:val="0"/>
                <w:color w:val="auto"/>
                <w:kern w:val="0"/>
                <w:sz w:val="22"/>
                <w:szCs w:val="22"/>
                <w:highlight w:val="none"/>
              </w:rPr>
              <w:sym w:font="Wingdings" w:char="00FE"/>
            </w:r>
            <w:r>
              <w:rPr>
                <w:rFonts w:hint="eastAsia" w:ascii="宋体" w:hAnsi="宋体" w:eastAsia="宋体" w:cs="宋体"/>
                <w:i w:val="0"/>
                <w:iCs w:val="0"/>
                <w:color w:val="auto"/>
                <w:kern w:val="0"/>
                <w:sz w:val="22"/>
                <w:szCs w:val="22"/>
                <w:highlight w:val="none"/>
              </w:rPr>
              <w:t>服务类</w:t>
            </w:r>
            <w:r>
              <w:rPr>
                <w:rFonts w:hint="eastAsia" w:ascii="宋体" w:hAnsi="宋体" w:eastAsia="宋体" w:cs="宋体"/>
                <w:i w:val="0"/>
                <w:iCs w:val="0"/>
                <w:color w:val="auto"/>
                <w:kern w:val="0"/>
                <w:sz w:val="22"/>
                <w:szCs w:val="22"/>
                <w:highlight w:val="none"/>
              </w:rPr>
              <w:sym w:font="Wingdings" w:char="00A8"/>
            </w:r>
            <w:r>
              <w:rPr>
                <w:rFonts w:hint="eastAsia" w:ascii="宋体" w:hAnsi="宋体" w:eastAsia="宋体" w:cs="宋体"/>
                <w:i w:val="0"/>
                <w:iCs w:val="0"/>
                <w:color w:val="auto"/>
                <w:kern w:val="0"/>
                <w:sz w:val="22"/>
                <w:szCs w:val="22"/>
                <w:highlight w:val="none"/>
              </w:rPr>
              <w:t>工程类</w:t>
            </w:r>
          </w:p>
          <w:p w14:paraId="2AFB3D20">
            <w:pPr>
              <w:keepNext w:val="0"/>
              <w:keepLines w:val="0"/>
              <w:pageBreakBefore w:val="0"/>
              <w:widowControl/>
              <w:kinsoku/>
              <w:wordWrap/>
              <w:overflowPunct/>
              <w:topLinePunct w:val="0"/>
              <w:bidi w:val="0"/>
              <w:snapToGrid w:val="0"/>
              <w:spacing w:line="360" w:lineRule="exact"/>
              <w:jc w:val="left"/>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中小企业划分标准所属行业根据《中小企业划型标准规定》执行。</w:t>
            </w:r>
          </w:p>
          <w:p w14:paraId="4556953E">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rPr>
              <w:t>采购标的名称：</w:t>
            </w:r>
            <w:r>
              <w:rPr>
                <w:rFonts w:hint="eastAsia" w:ascii="宋体" w:hAnsi="宋体" w:eastAsia="宋体" w:cs="宋体"/>
                <w:i w:val="0"/>
                <w:iCs w:val="0"/>
                <w:color w:val="auto"/>
                <w:kern w:val="0"/>
                <w:sz w:val="22"/>
                <w:szCs w:val="22"/>
                <w:highlight w:val="none"/>
                <w:u w:val="single"/>
                <w:lang w:val="en-US" w:eastAsia="zh-CN"/>
              </w:rPr>
              <w:t xml:space="preserve"> </w:t>
            </w:r>
            <w:r>
              <w:rPr>
                <w:rFonts w:hint="eastAsia" w:ascii="宋体" w:hAnsi="宋体" w:cs="宋体"/>
                <w:i w:val="0"/>
                <w:iCs w:val="0"/>
                <w:color w:val="auto"/>
                <w:kern w:val="0"/>
                <w:sz w:val="22"/>
                <w:szCs w:val="22"/>
                <w:highlight w:val="none"/>
                <w:u w:val="single"/>
                <w:lang w:val="en-US" w:eastAsia="zh-CN"/>
              </w:rPr>
              <w:t>2025年建设项目环境影响评价技术评估项目</w:t>
            </w:r>
            <w:r>
              <w:rPr>
                <w:rFonts w:hint="eastAsia" w:ascii="宋体" w:hAnsi="宋体" w:eastAsia="宋体" w:cs="宋体"/>
                <w:i w:val="0"/>
                <w:iCs w:val="0"/>
                <w:color w:val="auto"/>
                <w:kern w:val="0"/>
                <w:sz w:val="22"/>
                <w:szCs w:val="22"/>
                <w:highlight w:val="none"/>
              </w:rPr>
              <w:t>，</w:t>
            </w:r>
            <w:r>
              <w:rPr>
                <w:rFonts w:hint="eastAsia" w:ascii="宋体" w:hAnsi="宋体" w:eastAsia="宋体" w:cs="宋体"/>
                <w:i w:val="0"/>
                <w:iCs w:val="0"/>
                <w:color w:val="auto"/>
                <w:kern w:val="0"/>
                <w:sz w:val="22"/>
                <w:szCs w:val="22"/>
                <w:highlight w:val="none"/>
                <w:lang w:val="zh-TW" w:eastAsia="zh-TW"/>
              </w:rPr>
              <w:t>本项目属于</w:t>
            </w:r>
            <w:r>
              <w:rPr>
                <w:rFonts w:hint="eastAsia" w:ascii="宋体" w:hAnsi="宋体" w:eastAsia="宋体" w:cs="宋体"/>
                <w:i w:val="0"/>
                <w:iCs w:val="0"/>
                <w:color w:val="auto"/>
                <w:kern w:val="0"/>
                <w:sz w:val="22"/>
                <w:szCs w:val="22"/>
                <w:highlight w:val="none"/>
                <w:u w:val="single"/>
                <w:lang w:val="zh-TW" w:eastAsia="zh-TW"/>
              </w:rPr>
              <w:t>其他未列明行业</w:t>
            </w:r>
            <w:r>
              <w:rPr>
                <w:rFonts w:hint="eastAsia" w:ascii="宋体" w:hAnsi="宋体" w:eastAsia="宋体" w:cs="宋体"/>
                <w:i w:val="0"/>
                <w:iCs w:val="0"/>
                <w:color w:val="auto"/>
                <w:kern w:val="0"/>
                <w:sz w:val="22"/>
                <w:szCs w:val="22"/>
                <w:highlight w:val="none"/>
                <w:lang w:val="zh-TW" w:eastAsia="zh-TW"/>
              </w:rPr>
              <w:t>。</w:t>
            </w:r>
          </w:p>
        </w:tc>
      </w:tr>
      <w:tr w14:paraId="3DA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noWrap w:val="0"/>
            <w:vAlign w:val="center"/>
          </w:tcPr>
          <w:p w14:paraId="2F522033">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24</w:t>
            </w:r>
          </w:p>
        </w:tc>
        <w:tc>
          <w:tcPr>
            <w:tcW w:w="2125" w:type="dxa"/>
            <w:noWrap w:val="0"/>
            <w:vAlign w:val="center"/>
          </w:tcPr>
          <w:p w14:paraId="619FC6F7">
            <w:pPr>
              <w:keepNext w:val="0"/>
              <w:keepLines w:val="0"/>
              <w:pageBreakBefore w:val="0"/>
              <w:kinsoku/>
              <w:wordWrap/>
              <w:overflowPunct/>
              <w:topLinePunct w:val="0"/>
              <w:bidi w:val="0"/>
              <w:snapToGrid w:val="0"/>
              <w:spacing w:line="360" w:lineRule="exact"/>
              <w:jc w:val="center"/>
              <w:rPr>
                <w:rFonts w:hint="eastAsia" w:ascii="宋体" w:hAnsi="宋体" w:eastAsia="宋体" w:cs="宋体"/>
                <w:color w:val="auto"/>
                <w:sz w:val="22"/>
                <w:szCs w:val="22"/>
                <w:highlight w:val="none"/>
                <w:lang w:val="zh-TW" w:eastAsia="zh-CN"/>
              </w:rPr>
            </w:pPr>
            <w:r>
              <w:rPr>
                <w:rFonts w:hint="eastAsia" w:ascii="宋体" w:hAnsi="宋体" w:cs="宋体"/>
                <w:color w:val="auto"/>
                <w:sz w:val="22"/>
                <w:szCs w:val="22"/>
                <w:highlight w:val="none"/>
                <w:lang w:val="zh-TW" w:eastAsia="zh-CN"/>
              </w:rPr>
              <w:t>履约担保</w:t>
            </w:r>
          </w:p>
        </w:tc>
        <w:tc>
          <w:tcPr>
            <w:tcW w:w="6766" w:type="dxa"/>
            <w:noWrap w:val="0"/>
            <w:vAlign w:val="center"/>
          </w:tcPr>
          <w:p w14:paraId="0422F7DC">
            <w:pPr>
              <w:keepNext w:val="0"/>
              <w:keepLines w:val="0"/>
              <w:pageBreakBefore w:val="0"/>
              <w:kinsoku/>
              <w:wordWrap/>
              <w:overflowPunct/>
              <w:topLinePunct w:val="0"/>
              <w:bidi w:val="0"/>
              <w:adjustRightInd w:val="0"/>
              <w:snapToGrid w:val="0"/>
              <w:spacing w:line="360" w:lineRule="exact"/>
              <w:rPr>
                <w:rFonts w:hint="eastAsia" w:ascii="宋体" w:hAnsi="宋体" w:eastAsia="宋体" w:cs="宋体"/>
                <w:i w:val="0"/>
                <w:iCs w:val="0"/>
                <w:color w:val="auto"/>
                <w:kern w:val="0"/>
                <w:sz w:val="22"/>
                <w:szCs w:val="22"/>
                <w:highlight w:val="none"/>
              </w:rPr>
            </w:pPr>
            <w:r>
              <w:rPr>
                <w:rFonts w:hint="eastAsia" w:ascii="宋体" w:hAnsi="宋体" w:eastAsia="宋体" w:cs="宋体"/>
                <w:color w:val="auto"/>
                <w:kern w:val="0"/>
                <w:sz w:val="22"/>
                <w:szCs w:val="22"/>
                <w:highlight w:val="none"/>
                <w:lang w:val="en-US" w:eastAsia="zh-CN"/>
              </w:rPr>
              <w:t>参考浙财采监〔2019〕5号文件《浙江省财政厅关于明确政府采购保证金管理工作的通知》要求，为切实减轻单位负担，降低制度性交易成本，加快推动单位诚信体系建设，创造良好的营商环境，本项目不要求供应商缴纳履约保证金。供应商应按时保量的完成本项目的招标内容。</w:t>
            </w:r>
          </w:p>
        </w:tc>
      </w:tr>
      <w:tr w14:paraId="0F2E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shd w:val="clear" w:color="auto" w:fill="auto"/>
            <w:noWrap w:val="0"/>
            <w:vAlign w:val="center"/>
          </w:tcPr>
          <w:p w14:paraId="4BBBE44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25</w:t>
            </w:r>
          </w:p>
        </w:tc>
        <w:tc>
          <w:tcPr>
            <w:tcW w:w="2125" w:type="dxa"/>
            <w:noWrap w:val="0"/>
            <w:vAlign w:val="center"/>
          </w:tcPr>
          <w:p w14:paraId="6A06049D">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其他注意事项</w:t>
            </w:r>
          </w:p>
        </w:tc>
        <w:tc>
          <w:tcPr>
            <w:tcW w:w="6766" w:type="dxa"/>
            <w:noWrap w:val="0"/>
            <w:vAlign w:val="center"/>
          </w:tcPr>
          <w:p w14:paraId="3788ECF0">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1</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招标文件中部分加“▲”的条款，属于招标文件的实质性要求和条件，着重提醒各招标响应供应商注意，并认真查看招标文件中的每一个条款及要求，因误读招标文件而造成的后果，采购人概不负责。</w:t>
            </w:r>
          </w:p>
          <w:p w14:paraId="205799CC">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2</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本项目招标过程中经采购人代表同意，可能实质性变动采购需求中的技术、服务要求以及合同草案条款。</w:t>
            </w:r>
          </w:p>
          <w:p w14:paraId="063FB277">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3</w:t>
            </w:r>
            <w:r>
              <w:rPr>
                <w:rFonts w:hint="eastAsia" w:ascii="宋体" w:hAnsi="宋体" w:cs="宋体"/>
                <w:i w:val="0"/>
                <w:iCs w:val="0"/>
                <w:color w:val="auto"/>
                <w:kern w:val="2"/>
                <w:sz w:val="22"/>
                <w:szCs w:val="22"/>
                <w:highlight w:val="none"/>
                <w:lang w:val="en-US" w:eastAsia="zh-CN" w:bidi="ar-SA"/>
              </w:rPr>
              <w:t>.</w:t>
            </w:r>
            <w:r>
              <w:rPr>
                <w:rFonts w:hint="eastAsia" w:ascii="宋体" w:hAnsi="宋体" w:eastAsia="宋体" w:cs="宋体"/>
                <w:i w:val="0"/>
                <w:iCs w:val="0"/>
                <w:color w:val="auto"/>
                <w:kern w:val="2"/>
                <w:sz w:val="22"/>
                <w:szCs w:val="22"/>
                <w:highlight w:val="none"/>
                <w:lang w:val="en-US" w:eastAsia="zh-CN" w:bidi="ar-SA"/>
              </w:rPr>
              <w:t>以上内容如有变化将另行通知，如通知其中某一项内容发生变化，其余未提及的内容将不作变动。</w:t>
            </w:r>
            <w:r>
              <w:rPr>
                <w:rFonts w:hint="eastAsia" w:ascii="宋体" w:hAnsi="宋体" w:eastAsia="宋体" w:cs="宋体"/>
                <w:i w:val="0"/>
                <w:iCs w:val="0"/>
                <w:color w:val="auto"/>
                <w:kern w:val="2"/>
                <w:sz w:val="22"/>
                <w:szCs w:val="22"/>
                <w:highlight w:val="none"/>
                <w:lang w:val="en-US" w:eastAsia="zh-CN" w:bidi="ar-SA"/>
              </w:rPr>
              <w:br w:type="textWrapping"/>
            </w:r>
            <w:r>
              <w:rPr>
                <w:rFonts w:hint="eastAsia" w:ascii="宋体" w:hAnsi="宋体" w:eastAsia="宋体" w:cs="宋体"/>
                <w:b/>
                <w:bCs/>
                <w:i w:val="0"/>
                <w:iCs w:val="0"/>
                <w:color w:val="auto"/>
                <w:sz w:val="22"/>
                <w:szCs w:val="22"/>
                <w:highlight w:val="none"/>
                <w:lang w:val="en-US" w:eastAsia="zh-CN"/>
              </w:rPr>
              <w:t>▲5.为保证项目环境影响评价技术评估的公平性。中标方同期限内不得承接衢州地区建设项目的环境影响评价业务。投标人需提供承诺书，承诺如本项目中标,同期限内不承接衢州地区任何建设项目的环境影响评价业务。</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lang w:val="en-US" w:eastAsia="zh-CN"/>
              </w:rPr>
              <w:t>承诺书</w:t>
            </w:r>
            <w:r>
              <w:rPr>
                <w:rFonts w:hint="eastAsia" w:ascii="宋体" w:hAnsi="宋体" w:cs="宋体"/>
                <w:b/>
                <w:bCs/>
                <w:i w:val="0"/>
                <w:iCs w:val="0"/>
                <w:color w:val="auto"/>
                <w:sz w:val="22"/>
                <w:szCs w:val="22"/>
                <w:highlight w:val="none"/>
                <w:lang w:val="en-US" w:eastAsia="zh-CN"/>
              </w:rPr>
              <w:t>格式自拟）</w:t>
            </w:r>
          </w:p>
        </w:tc>
      </w:tr>
      <w:tr w14:paraId="4999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66" w:type="dxa"/>
            <w:noWrap w:val="0"/>
            <w:vAlign w:val="center"/>
          </w:tcPr>
          <w:p w14:paraId="75A3E87A">
            <w:pPr>
              <w:keepNext w:val="0"/>
              <w:keepLines w:val="0"/>
              <w:pageBreakBefore w:val="0"/>
              <w:kinsoku/>
              <w:wordWrap/>
              <w:overflowPunct/>
              <w:topLinePunct w:val="0"/>
              <w:bidi w:val="0"/>
              <w:spacing w:before="31" w:beforeLines="10" w:line="360" w:lineRule="exact"/>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26</w:t>
            </w:r>
          </w:p>
        </w:tc>
        <w:tc>
          <w:tcPr>
            <w:tcW w:w="2125" w:type="dxa"/>
            <w:noWrap w:val="0"/>
            <w:vAlign w:val="center"/>
          </w:tcPr>
          <w:p w14:paraId="64E8CC62">
            <w:pPr>
              <w:keepNext w:val="0"/>
              <w:keepLines w:val="0"/>
              <w:pageBreakBefore w:val="0"/>
              <w:kinsoku/>
              <w:wordWrap/>
              <w:overflowPunct/>
              <w:topLinePunct w:val="0"/>
              <w:bidi w:val="0"/>
              <w:spacing w:before="31" w:beforeLines="10" w:line="360" w:lineRule="exact"/>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解释</w:t>
            </w:r>
          </w:p>
        </w:tc>
        <w:tc>
          <w:tcPr>
            <w:tcW w:w="6766" w:type="dxa"/>
            <w:noWrap w:val="0"/>
            <w:vAlign w:val="center"/>
          </w:tcPr>
          <w:p w14:paraId="22D9DABA">
            <w:pPr>
              <w:keepNext w:val="0"/>
              <w:keepLines w:val="0"/>
              <w:pageBreakBefore w:val="0"/>
              <w:kinsoku/>
              <w:wordWrap/>
              <w:overflowPunct/>
              <w:topLinePunct w:val="0"/>
              <w:bidi w:val="0"/>
              <w:spacing w:before="31" w:beforeLines="10" w:line="360" w:lineRule="exac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本招标文件的解释权属于采购人和采购代理机构所有。</w:t>
            </w:r>
          </w:p>
        </w:tc>
      </w:tr>
      <w:bookmarkEnd w:id="31"/>
    </w:tbl>
    <w:p w14:paraId="0F7568F1">
      <w:pPr>
        <w:rPr>
          <w:rFonts w:hint="eastAsia" w:ascii="宋体" w:hAnsi="宋体" w:eastAsia="宋体" w:cs="宋体"/>
          <w:b/>
          <w:bCs/>
          <w:color w:val="auto"/>
          <w:sz w:val="22"/>
          <w:szCs w:val="22"/>
          <w:highlight w:val="none"/>
          <w:lang w:val="en-US" w:eastAsia="zh-CN"/>
        </w:rPr>
      </w:pPr>
      <w:bookmarkStart w:id="35" w:name="_Toc233618973"/>
      <w:bookmarkStart w:id="36" w:name="_Toc33194389"/>
      <w:bookmarkStart w:id="37" w:name="_Toc354996697"/>
      <w:bookmarkStart w:id="38" w:name="_Toc226106516"/>
      <w:bookmarkStart w:id="39" w:name="_Toc226521904"/>
      <w:bookmarkStart w:id="40" w:name="_Toc225840109"/>
      <w:bookmarkStart w:id="41" w:name="_Toc226106467"/>
      <w:r>
        <w:rPr>
          <w:rFonts w:hint="eastAsia" w:ascii="宋体" w:hAnsi="宋体" w:eastAsia="宋体" w:cs="宋体"/>
          <w:b/>
          <w:bCs/>
          <w:color w:val="auto"/>
          <w:sz w:val="22"/>
          <w:szCs w:val="22"/>
          <w:highlight w:val="none"/>
          <w:lang w:val="en-US" w:eastAsia="zh-CN"/>
        </w:rPr>
        <w:br w:type="page"/>
      </w:r>
    </w:p>
    <w:p w14:paraId="3EA8F6F0">
      <w:pPr>
        <w:pStyle w:val="23"/>
        <w:pageBreakBefore w:val="0"/>
        <w:tabs>
          <w:tab w:val="left" w:pos="900"/>
        </w:tabs>
        <w:kinsoku/>
        <w:overflowPunct/>
        <w:topLinePunct w:val="0"/>
        <w:bidi w:val="0"/>
        <w:spacing w:line="420" w:lineRule="exact"/>
        <w:ind w:left="0" w:leftChars="0" w:firstLine="482" w:firstLineChars="200"/>
        <w:jc w:val="center"/>
        <w:textAlignment w:val="auto"/>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rPr>
        <w:t>、供应商须知正文</w:t>
      </w:r>
    </w:p>
    <w:p w14:paraId="4480D1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（一）适用范围</w:t>
      </w:r>
    </w:p>
    <w:p w14:paraId="1C7078F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本招标文件仅适用于</w:t>
      </w:r>
      <w:r>
        <w:rPr>
          <w:rFonts w:hint="eastAsia" w:ascii="宋体" w:hAnsi="宋体" w:eastAsia="宋体" w:cs="宋体"/>
          <w:color w:val="auto"/>
          <w:sz w:val="22"/>
          <w:szCs w:val="22"/>
          <w:highlight w:val="none"/>
        </w:rPr>
        <w:t>本项目投标、评标、定标、验收、合同履约、付款等行为（法律、法规另有规定的，从其规定）。</w:t>
      </w:r>
    </w:p>
    <w:p w14:paraId="0ED4B1E7">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（二）定义</w:t>
      </w:r>
    </w:p>
    <w:p w14:paraId="6D18871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1.“采购人”系指</w:t>
      </w:r>
      <w:r>
        <w:rPr>
          <w:rFonts w:hint="eastAsia" w:ascii="宋体" w:hAnsi="宋体" w:eastAsia="宋体" w:cs="宋体"/>
          <w:color w:val="auto"/>
          <w:sz w:val="22"/>
          <w:szCs w:val="22"/>
          <w:highlight w:val="none"/>
          <w:lang w:val="en-US" w:eastAsia="zh-CN"/>
        </w:rPr>
        <w:t>衢州市生态环境局</w:t>
      </w:r>
      <w:r>
        <w:rPr>
          <w:rFonts w:hint="eastAsia" w:ascii="宋体" w:hAnsi="宋体" w:eastAsia="宋体" w:cs="宋体"/>
          <w:color w:val="auto"/>
          <w:sz w:val="22"/>
          <w:szCs w:val="22"/>
          <w:highlight w:val="none"/>
          <w:lang w:val="zh-CN"/>
        </w:rPr>
        <w:t>。</w:t>
      </w:r>
    </w:p>
    <w:p w14:paraId="6E92E1B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2.“供应商”系指是指响应招标、参加投标竞争的法人、其他组织或者自然人。</w:t>
      </w:r>
    </w:p>
    <w:p w14:paraId="1565FB5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3.“货物”系指按招标文件要求配置的设备、技术资料、相关使用手册等。</w:t>
      </w:r>
    </w:p>
    <w:p w14:paraId="7968F1D0">
      <w:pPr>
        <w:pStyle w:val="9"/>
        <w:pageBreakBefore w:val="0"/>
        <w:numPr>
          <w:ilvl w:val="0"/>
          <w:numId w:val="0"/>
        </w:numPr>
        <w:kinsoku/>
        <w:overflowPunct/>
        <w:topLinePunct w:val="0"/>
        <w:bidi w:val="0"/>
        <w:spacing w:after="0" w:afterLines="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“服务”系指招标文件规定中标人向采购人提供的相关服务等。</w:t>
      </w:r>
    </w:p>
    <w:p w14:paraId="33D89329">
      <w:pPr>
        <w:pStyle w:val="9"/>
        <w:pageBreakBefore w:val="0"/>
        <w:numPr>
          <w:ilvl w:val="0"/>
          <w:numId w:val="0"/>
        </w:numPr>
        <w:kinsoku/>
        <w:overflowPunct/>
        <w:topLinePunct w:val="0"/>
        <w:bidi w:val="0"/>
        <w:spacing w:after="0" w:afterLines="0"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“书面形式”包括信函、传真、电子邮件等。</w:t>
      </w:r>
    </w:p>
    <w:p w14:paraId="0FC2B390">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系指实质性要求条款。</w:t>
      </w:r>
    </w:p>
    <w:p w14:paraId="00EB550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（三）采购方式</w:t>
      </w:r>
    </w:p>
    <w:p w14:paraId="7CDC9000">
      <w:pPr>
        <w:pageBreakBefore w:val="0"/>
        <w:kinsoku/>
        <w:overflowPunct/>
        <w:topLinePunct w:val="0"/>
        <w:bidi w:val="0"/>
        <w:snapToGrid w:val="0"/>
        <w:spacing w:line="420" w:lineRule="exact"/>
        <w:ind w:left="0" w:leftChars="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本次采购采用公开招标方式进行。</w:t>
      </w:r>
    </w:p>
    <w:p w14:paraId="43749740">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（四）投标费用</w:t>
      </w:r>
    </w:p>
    <w:p w14:paraId="7A17F8DC">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1.中标人需自行承担涉及投标的一切费用。</w:t>
      </w:r>
    </w:p>
    <w:p w14:paraId="6210F5B4">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2.本项目代理服务费按计价格【2002】1980号文件标准计取，</w:t>
      </w:r>
      <w:r>
        <w:rPr>
          <w:rFonts w:hint="eastAsia" w:ascii="宋体" w:hAnsi="宋体" w:cs="宋体"/>
          <w:color w:val="auto"/>
          <w:sz w:val="22"/>
          <w:szCs w:val="22"/>
          <w:highlight w:val="none"/>
          <w:lang w:eastAsia="zh-CN"/>
        </w:rPr>
        <w:t>不足伍仟元按伍仟元计取。</w:t>
      </w:r>
    </w:p>
    <w:p w14:paraId="4B9636F5">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3.以上费用由中标供应商在领取成交通知书时向招标代理机构支付。</w:t>
      </w:r>
    </w:p>
    <w:p w14:paraId="3023BAAC">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联合体投标</w:t>
      </w:r>
    </w:p>
    <w:p w14:paraId="2088416E">
      <w:pPr>
        <w:pageBreakBefore w:val="0"/>
        <w:numPr>
          <w:ilvl w:val="0"/>
          <w:numId w:val="0"/>
        </w:numPr>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本项目不接受联合体参加投标。</w:t>
      </w:r>
    </w:p>
    <w:p w14:paraId="67A2A8FA">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（六）转包与分包</w:t>
      </w:r>
    </w:p>
    <w:p w14:paraId="242D11AF">
      <w:pPr>
        <w:pageBreakBefore w:val="0"/>
        <w:kinsoku/>
        <w:overflowPunct/>
        <w:topLinePunct w:val="0"/>
        <w:bidi w:val="0"/>
        <w:snapToGrid w:val="0"/>
        <w:spacing w:line="420" w:lineRule="exact"/>
        <w:ind w:left="0" w:leftChars="0" w:firstLine="440" w:firstLineChars="200"/>
        <w:jc w:val="left"/>
        <w:textAlignment w:val="auto"/>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本项目不允许转包、分包。一经发现有转包、分包现象，采购人可无条件终止取消与供应商合同。</w:t>
      </w:r>
    </w:p>
    <w:p w14:paraId="36643189">
      <w:pPr>
        <w:pageBreakBefore w:val="0"/>
        <w:kinsoku/>
        <w:overflowPunct/>
        <w:topLinePunct w:val="0"/>
        <w:bidi w:val="0"/>
        <w:snapToGrid w:val="0"/>
        <w:spacing w:line="420" w:lineRule="exact"/>
        <w:ind w:left="0" w:leftChars="0" w:firstLine="442" w:firstLineChars="200"/>
        <w:jc w:val="left"/>
        <w:textAlignment w:val="auto"/>
        <w:outlineLvl w:val="1"/>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（七）特别说明：</w:t>
      </w:r>
    </w:p>
    <w:p w14:paraId="5F9C61AA">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1.多家供应商参加投标，单位负责人为同一人或者存在直接控股、管理关系的不同供应商，不得参加同一合同项下的政府采购活动。</w:t>
      </w:r>
    </w:p>
    <w:p w14:paraId="532BFDF7">
      <w:pPr>
        <w:pageBreakBefore w:val="0"/>
        <w:shd w:val="clear" w:color="auto" w:fill="FFFFFF"/>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提供相同品牌产品且通过资格审查、符合性审查的不同供应商参加同一合同项下投标的，按一家供应商计算，评审后得分最高的同品牌供应商获得中标人推荐资格；评审得分相同时，以报价低者获得中标人推荐资格。</w:t>
      </w:r>
    </w:p>
    <w:p w14:paraId="23ADDC8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▲2.供应商投标所使用的资格、信誉、荣誉、业绩与企业认证必须为本法人所拥有。</w:t>
      </w:r>
    </w:p>
    <w:p w14:paraId="7A8E0041">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▲3.供应商应仔细阅读招标文件的所有内容，按照招标文件的要求提交投标文件，并对所提供的全部资料的真实性承担法律责任。</w:t>
      </w:r>
    </w:p>
    <w:p w14:paraId="421A2C02">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B184B1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5.关于中小企业参与政府采购活动的规定</w:t>
      </w:r>
    </w:p>
    <w:p w14:paraId="47ECCF73">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795FA2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w:t>
      </w:r>
    </w:p>
    <w:p w14:paraId="7682BD8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提供本企业制造的货物、承担的工程或者服务，或者提供其他中小企业制造的货物。本项所称货物不包括使用大型企业注册商标的货物。</w:t>
      </w:r>
    </w:p>
    <w:p w14:paraId="22D656A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本办法所称中小企业划分标准，是指国务院有关部门根据企业从业人员、营业收入、资产总额等指标制定的中小企业划型标准。</w:t>
      </w:r>
    </w:p>
    <w:p w14:paraId="25D7B226">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小型、微型企业提供中型企业制造的货物的，视同为中型企业。</w:t>
      </w:r>
    </w:p>
    <w:p w14:paraId="5FAF2EA9">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5.2根据财政部《司法部关于政府采购支持监狱企业发展有关问题》的通知（财库〔2014〕68号）的有关规定，监狱和戒毒企业参与政府采购活动的视同小型、微型企业。</w:t>
      </w:r>
    </w:p>
    <w:p w14:paraId="5DBAA4B2">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5.3根据财库[2017]141号的相关规定，在政府采购活动中，残疾人福利性单位视同小型、微型企业。</w:t>
      </w:r>
    </w:p>
    <w:p w14:paraId="29B05F9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5.4小型、微型企业参加投标时，应提供《中小企业声明函》；监狱或戒毒企业参加投标时应提供监狱或戒毒企业声明函；残疾人福利性单位参加投标时应提供残疾人福利性单位声明函。</w:t>
      </w:r>
    </w:p>
    <w:p w14:paraId="09F23C4B">
      <w:pPr>
        <w:pageBreakBefore w:val="0"/>
        <w:kinsoku/>
        <w:overflowPunct/>
        <w:topLinePunct w:val="0"/>
        <w:bidi w:val="0"/>
        <w:spacing w:line="420" w:lineRule="exact"/>
        <w:ind w:left="0" w:leftChars="0"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6.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(tp:/www zizfcg gov.cn)的中小企业信用融资栏目了解相关信息。 供应商可以通过浙江政府采购网(https://zfcg. czt.zj. gov.cn/)首页的“浙江政采贷”模块进入申请，还可以通过政府采购云平台(https://www. zcygov.cn/)首页的“金融服务”模块进入申请。</w:t>
      </w:r>
    </w:p>
    <w:p w14:paraId="4D451652">
      <w:pPr>
        <w:pStyle w:val="11"/>
        <w:pageBreakBefore w:val="0"/>
        <w:kinsoku/>
        <w:overflowPunct/>
        <w:topLinePunct w:val="0"/>
        <w:bidi w:val="0"/>
        <w:snapToGrid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（八）质疑和投诉</w:t>
      </w:r>
    </w:p>
    <w:p w14:paraId="3140829A">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1.供应商认为招标文件、采购过程或中标结果使自己的合法权益受到损害的，可以在知道或者应知其权益受到损害之日起七个工作日内，以书面形式向采购人、采购代理机构提出质疑。供应商对采购人的质疑答复不满意或者采购人未在规定时间内做出答复的，可以在答复期满后十五个工作日内向同级采购监管部门投诉。</w:t>
      </w:r>
    </w:p>
    <w:p w14:paraId="1055A9A5">
      <w:pPr>
        <w:pStyle w:val="11"/>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2.质疑书应明确阐述招标文件、投标过程或中标结果中使自己合法权益受到损害的实质性内容，提供相关事实、依据和证据及其来源或线索，便于有关单位调查、答复和处理。</w:t>
      </w:r>
    </w:p>
    <w:p w14:paraId="24AD496B">
      <w:pPr>
        <w:pStyle w:val="11"/>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3.供应商须在法定质疑期内一次性提出针对同一采购程序环节的质疑，否则采购代理机构有权拒绝第一次质疑以外其他所有质疑。</w:t>
      </w:r>
    </w:p>
    <w:p w14:paraId="639336B1">
      <w:pPr>
        <w:pStyle w:val="11"/>
        <w:pageBreakBefore w:val="0"/>
        <w:kinsoku/>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4.质疑函须采用财政部发布的政府采购供应商质疑函范本（参考样式可从浙江政府采购网下载专区下载），否则采购代理机构有权要求质疑供应商改正后重新提出。</w:t>
      </w:r>
    </w:p>
    <w:p w14:paraId="0AEAB5A7">
      <w:pPr>
        <w:pStyle w:val="11"/>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5.疫情防控期间，政府采购供应商可以通过登录“浙江政务服务网”（</w:t>
      </w:r>
      <w:r>
        <w:rPr>
          <w:rFonts w:hint="eastAsia" w:ascii="宋体" w:hAnsi="宋体" w:eastAsia="宋体" w:cs="宋体"/>
          <w:b w:val="0"/>
          <w:bCs/>
          <w:color w:val="auto"/>
          <w:kern w:val="2"/>
          <w:sz w:val="22"/>
          <w:szCs w:val="22"/>
          <w:highlight w:val="none"/>
          <w:lang w:val="en-US" w:eastAsia="zh-CN" w:bidi="ar-SA"/>
        </w:rPr>
        <w:fldChar w:fldCharType="begin"/>
      </w:r>
      <w:r>
        <w:rPr>
          <w:rFonts w:hint="eastAsia" w:ascii="宋体" w:hAnsi="宋体" w:eastAsia="宋体" w:cs="宋体"/>
          <w:b w:val="0"/>
          <w:bCs/>
          <w:color w:val="auto"/>
          <w:kern w:val="2"/>
          <w:sz w:val="22"/>
          <w:szCs w:val="22"/>
          <w:highlight w:val="none"/>
          <w:lang w:val="en-US" w:eastAsia="zh-CN" w:bidi="ar-SA"/>
        </w:rPr>
        <w:instrText xml:space="preserve"> HYPERLINK "http://www.zjzwfw.gov.cn/" </w:instrText>
      </w:r>
      <w:r>
        <w:rPr>
          <w:rFonts w:hint="eastAsia" w:ascii="宋体" w:hAnsi="宋体" w:eastAsia="宋体" w:cs="宋体"/>
          <w:b w:val="0"/>
          <w:bCs/>
          <w:color w:val="auto"/>
          <w:kern w:val="2"/>
          <w:sz w:val="22"/>
          <w:szCs w:val="22"/>
          <w:highlight w:val="none"/>
          <w:lang w:val="en-US" w:eastAsia="zh-CN" w:bidi="ar-SA"/>
        </w:rPr>
        <w:fldChar w:fldCharType="separate"/>
      </w:r>
      <w:r>
        <w:rPr>
          <w:rFonts w:hint="eastAsia" w:ascii="宋体" w:hAnsi="宋体" w:eastAsia="宋体" w:cs="宋体"/>
          <w:b w:val="0"/>
          <w:bCs/>
          <w:color w:val="auto"/>
          <w:kern w:val="2"/>
          <w:sz w:val="22"/>
          <w:szCs w:val="22"/>
          <w:highlight w:val="none"/>
          <w:lang w:val="en-US" w:eastAsia="zh-CN" w:bidi="ar-SA"/>
        </w:rPr>
        <w:t>http://www.zjzwfw.gov.cn/</w:t>
      </w:r>
      <w:r>
        <w:rPr>
          <w:rFonts w:hint="eastAsia" w:ascii="宋体" w:hAnsi="宋体" w:eastAsia="宋体" w:cs="宋体"/>
          <w:b w:val="0"/>
          <w:bCs/>
          <w:color w:val="auto"/>
          <w:kern w:val="2"/>
          <w:sz w:val="22"/>
          <w:szCs w:val="22"/>
          <w:highlight w:val="none"/>
          <w:lang w:val="en-US" w:eastAsia="zh-CN" w:bidi="ar-SA"/>
        </w:rPr>
        <w:fldChar w:fldCharType="end"/>
      </w:r>
      <w:r>
        <w:rPr>
          <w:rFonts w:hint="eastAsia" w:ascii="宋体" w:hAnsi="宋体" w:eastAsia="宋体" w:cs="宋体"/>
          <w:b w:val="0"/>
          <w:bCs/>
          <w:color w:val="auto"/>
          <w:kern w:val="2"/>
          <w:sz w:val="22"/>
          <w:szCs w:val="22"/>
          <w:highlight w:val="none"/>
          <w:lang w:val="en-US" w:eastAsia="zh-CN" w:bidi="ar-SA"/>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7600041">
      <w:pPr>
        <w:pStyle w:val="11"/>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6.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42BD774D">
      <w:pPr>
        <w:pStyle w:val="11"/>
        <w:pageBreakBefore w:val="0"/>
        <w:kinsoku/>
        <w:wordWrap w:val="0"/>
        <w:overflowPunct/>
        <w:topLinePunct w:val="0"/>
        <w:bidi w:val="0"/>
        <w:spacing w:line="420" w:lineRule="exact"/>
        <w:ind w:left="0" w:leftChars="0" w:firstLine="440" w:firstLineChars="200"/>
        <w:textAlignment w:val="auto"/>
        <w:outlineLvl w:val="1"/>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7.在线或者邮寄政府采购投诉材料当日下班时间点后收到的视为下一个工作日收到。</w:t>
      </w:r>
    </w:p>
    <w:p w14:paraId="7B58E9E6">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i w:val="0"/>
          <w:iCs w:val="0"/>
          <w:color w:val="auto"/>
          <w:sz w:val="22"/>
          <w:szCs w:val="22"/>
          <w:highlight w:val="none"/>
        </w:rPr>
      </w:pPr>
    </w:p>
    <w:p w14:paraId="47429009">
      <w:pPr>
        <w:pageBreakBefore w:val="0"/>
        <w:shd w:val="clear" w:color="auto" w:fill="FFFFFF"/>
        <w:kinsoku/>
        <w:overflowPunct/>
        <w:topLinePunct w:val="0"/>
        <w:bidi w:val="0"/>
        <w:snapToGrid w:val="0"/>
        <w:spacing w:line="420" w:lineRule="exact"/>
        <w:ind w:left="0" w:leftChars="0" w:firstLine="562" w:firstLineChars="200"/>
        <w:jc w:val="center"/>
        <w:textAlignment w:val="auto"/>
        <w:outlineLvl w:val="1"/>
        <w:rPr>
          <w:rFonts w:hint="eastAsia" w:ascii="宋体" w:hAnsi="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二、招标文件</w:t>
      </w:r>
      <w:bookmarkEnd w:id="35"/>
      <w:bookmarkEnd w:id="36"/>
      <w:bookmarkEnd w:id="37"/>
    </w:p>
    <w:p w14:paraId="57974C0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bookmarkStart w:id="42" w:name="_Toc91899880"/>
      <w:bookmarkStart w:id="43" w:name="_Hlt74730307"/>
    </w:p>
    <w:p w14:paraId="7DCC060B">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（一）招标文件的构成</w:t>
      </w:r>
      <w:bookmarkEnd w:id="42"/>
    </w:p>
    <w:bookmarkEnd w:id="43"/>
    <w:p w14:paraId="7C9CD825">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招标文件包括下列文件及附件</w:t>
      </w:r>
    </w:p>
    <w:p w14:paraId="372CBA11">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第一部分  招标公告</w:t>
      </w:r>
    </w:p>
    <w:p w14:paraId="16F8BE2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第二部分  编制和提交投标文件须知</w:t>
      </w:r>
    </w:p>
    <w:p w14:paraId="42DB63CC">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第三部分  项目技术规范和服务要求</w:t>
      </w:r>
    </w:p>
    <w:p w14:paraId="45768702">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第四部分  合同主要条款</w:t>
      </w:r>
    </w:p>
    <w:p w14:paraId="254C7F70">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第五部分  应提交的有关格式范例</w:t>
      </w:r>
    </w:p>
    <w:p w14:paraId="1659AFCA">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14:paraId="33C8DABC">
      <w:pPr>
        <w:pStyle w:val="5"/>
        <w:pageBreakBefore w:val="0"/>
        <w:numPr>
          <w:ilvl w:val="0"/>
          <w:numId w:val="0"/>
        </w:numPr>
        <w:tabs>
          <w:tab w:val="left" w:pos="1004"/>
          <w:tab w:val="clear" w:pos="390"/>
          <w:tab w:val="clear" w:pos="454"/>
        </w:tabs>
        <w:kinsoku/>
        <w:overflowPunct/>
        <w:topLinePunct w:val="0"/>
        <w:bidi w:val="0"/>
        <w:snapToGrid w:val="0"/>
        <w:spacing w:after="0" w:afterLines="0" w:line="420" w:lineRule="exact"/>
        <w:ind w:left="0" w:leftChars="0" w:firstLine="442" w:firstLineChars="200"/>
        <w:textAlignment w:val="auto"/>
        <w:rPr>
          <w:rFonts w:hint="eastAsia" w:ascii="宋体" w:hAnsi="宋体" w:eastAsia="宋体" w:cs="宋体"/>
          <w:b/>
          <w:bCs/>
          <w:i w:val="0"/>
          <w:iCs w:val="0"/>
          <w:color w:val="auto"/>
          <w:kern w:val="2"/>
          <w:sz w:val="22"/>
          <w:szCs w:val="22"/>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bidi="ar-SA"/>
        </w:rPr>
        <w:t xml:space="preserve">（二）招标文件的澄清与修改 </w:t>
      </w:r>
    </w:p>
    <w:p w14:paraId="17FCC321">
      <w:pPr>
        <w:pStyle w:val="2"/>
        <w:pageBreakBefore w:val="0"/>
        <w:kinsoku/>
        <w:overflowPunct/>
        <w:topLinePunct w:val="0"/>
        <w:bidi w:val="0"/>
        <w:spacing w:line="420" w:lineRule="exact"/>
        <w:ind w:left="0" w:leftChars="0" w:firstLine="440" w:firstLineChars="200"/>
        <w:jc w:val="left"/>
        <w:textAlignment w:val="auto"/>
        <w:rPr>
          <w:rFonts w:hint="eastAsia" w:ascii="宋体" w:hAnsi="宋体" w:eastAsia="宋体" w:cs="宋体"/>
          <w:b w:val="0"/>
          <w:i w:val="0"/>
          <w:iCs w:val="0"/>
          <w:color w:val="auto"/>
          <w:kern w:val="2"/>
          <w:sz w:val="22"/>
          <w:szCs w:val="22"/>
          <w:highlight w:val="none"/>
          <w:lang w:val="en-US" w:eastAsia="zh-CN" w:bidi="ar-SA"/>
        </w:rPr>
      </w:pPr>
      <w:bookmarkStart w:id="44" w:name="_Toc13589"/>
      <w:r>
        <w:rPr>
          <w:rFonts w:hint="eastAsia" w:ascii="宋体" w:hAnsi="宋体" w:eastAsia="宋体" w:cs="宋体"/>
          <w:b w:val="0"/>
          <w:i w:val="0"/>
          <w:iCs w:val="0"/>
          <w:color w:val="auto"/>
          <w:kern w:val="2"/>
          <w:sz w:val="22"/>
          <w:szCs w:val="22"/>
          <w:highlight w:val="none"/>
          <w:lang w:val="en-US" w:eastAsia="zh-CN" w:bidi="ar-SA"/>
        </w:rPr>
        <w:t>1.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bookmarkEnd w:id="44"/>
    </w:p>
    <w:p w14:paraId="036C131B">
      <w:pPr>
        <w:pStyle w:val="2"/>
        <w:pageBreakBefore w:val="0"/>
        <w:kinsoku/>
        <w:overflowPunct/>
        <w:topLinePunct w:val="0"/>
        <w:bidi w:val="0"/>
        <w:spacing w:line="420" w:lineRule="exact"/>
        <w:ind w:left="0" w:leftChars="0" w:firstLine="440" w:firstLineChars="200"/>
        <w:jc w:val="both"/>
        <w:textAlignment w:val="auto"/>
        <w:rPr>
          <w:rFonts w:hint="eastAsia" w:ascii="宋体" w:hAnsi="宋体" w:eastAsia="宋体" w:cs="宋体"/>
          <w:b w:val="0"/>
          <w:i w:val="0"/>
          <w:iCs w:val="0"/>
          <w:color w:val="auto"/>
          <w:kern w:val="2"/>
          <w:sz w:val="22"/>
          <w:szCs w:val="22"/>
          <w:highlight w:val="none"/>
          <w:lang w:val="zh-CN" w:eastAsia="zh-CN" w:bidi="ar-SA"/>
        </w:rPr>
      </w:pPr>
      <w:bookmarkStart w:id="45" w:name="_Toc32349"/>
      <w:r>
        <w:rPr>
          <w:rFonts w:hint="eastAsia" w:ascii="宋体" w:hAnsi="宋体" w:eastAsia="宋体" w:cs="宋体"/>
          <w:b w:val="0"/>
          <w:i w:val="0"/>
          <w:iCs w:val="0"/>
          <w:color w:val="auto"/>
          <w:kern w:val="2"/>
          <w:sz w:val="22"/>
          <w:szCs w:val="22"/>
          <w:highlight w:val="none"/>
          <w:lang w:val="en-US" w:eastAsia="zh-CN" w:bidi="ar-SA"/>
        </w:rPr>
        <w:t>2.</w:t>
      </w:r>
      <w:r>
        <w:rPr>
          <w:rFonts w:hint="eastAsia" w:ascii="宋体" w:hAnsi="宋体" w:eastAsia="宋体" w:cs="宋体"/>
          <w:b w:val="0"/>
          <w:i w:val="0"/>
          <w:iCs w:val="0"/>
          <w:color w:val="auto"/>
          <w:kern w:val="2"/>
          <w:sz w:val="22"/>
          <w:szCs w:val="22"/>
          <w:highlight w:val="none"/>
          <w:lang w:val="zh-CN" w:eastAsia="zh-CN" w:bidi="ar-SA"/>
        </w:rPr>
        <w:t>不论</w:t>
      </w:r>
      <w:r>
        <w:rPr>
          <w:rFonts w:hint="eastAsia" w:ascii="宋体" w:hAnsi="宋体" w:eastAsia="宋体" w:cs="宋体"/>
          <w:b w:val="0"/>
          <w:i w:val="0"/>
          <w:iCs w:val="0"/>
          <w:color w:val="auto"/>
          <w:kern w:val="2"/>
          <w:sz w:val="22"/>
          <w:szCs w:val="22"/>
          <w:highlight w:val="none"/>
          <w:lang w:val="en-US" w:eastAsia="zh-CN" w:bidi="ar-SA"/>
        </w:rPr>
        <w:t>采购人、采购代理机构</w:t>
      </w:r>
      <w:r>
        <w:rPr>
          <w:rFonts w:hint="eastAsia" w:ascii="宋体" w:hAnsi="宋体" w:eastAsia="宋体" w:cs="宋体"/>
          <w:b w:val="0"/>
          <w:i w:val="0"/>
          <w:iCs w:val="0"/>
          <w:color w:val="auto"/>
          <w:kern w:val="2"/>
          <w:sz w:val="22"/>
          <w:szCs w:val="22"/>
          <w:highlight w:val="none"/>
          <w:lang w:val="zh-CN" w:eastAsia="zh-CN" w:bidi="ar-SA"/>
        </w:rPr>
        <w:t>向供应商发送的资料文件，还是供应商提出的问题，均采用书面形式，任何口头提问及答复一律无效。</w:t>
      </w:r>
      <w:bookmarkEnd w:id="45"/>
    </w:p>
    <w:p w14:paraId="2C9A177C">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i w:val="0"/>
          <w:iCs w:val="0"/>
          <w:color w:val="auto"/>
          <w:kern w:val="2"/>
          <w:sz w:val="22"/>
          <w:szCs w:val="22"/>
          <w:highlight w:val="none"/>
          <w:lang w:val="en-US" w:eastAsia="zh-CN" w:bidi="ar-SA"/>
        </w:rPr>
      </w:pPr>
      <w:r>
        <w:rPr>
          <w:rFonts w:hint="eastAsia" w:ascii="宋体" w:hAnsi="宋体" w:eastAsia="宋体" w:cs="宋体"/>
          <w:b w:val="0"/>
          <w:i w:val="0"/>
          <w:iCs w:val="0"/>
          <w:color w:val="auto"/>
          <w:kern w:val="2"/>
          <w:sz w:val="22"/>
          <w:szCs w:val="22"/>
          <w:highlight w:val="none"/>
          <w:lang w:val="en-US" w:eastAsia="zh-CN" w:bidi="ar-SA"/>
        </w:rPr>
        <w:t>3.各供应商自行在浙江政府采购网下载或查阅采购文件和相关更正公告等，不另行通知，如有遗漏采购人、采购代理机构概不负责。</w:t>
      </w:r>
    </w:p>
    <w:p w14:paraId="3F233DB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w:t>
      </w:r>
      <w:r>
        <w:rPr>
          <w:rFonts w:hint="eastAsia" w:ascii="宋体" w:hAnsi="宋体" w:eastAsia="宋体" w:cs="宋体"/>
          <w:b/>
          <w:bCs/>
          <w:i w:val="0"/>
          <w:iCs w:val="0"/>
          <w:color w:val="auto"/>
          <w:sz w:val="22"/>
          <w:szCs w:val="22"/>
          <w:highlight w:val="none"/>
          <w:lang w:eastAsia="zh-CN"/>
        </w:rPr>
        <w:t>三</w:t>
      </w:r>
      <w:r>
        <w:rPr>
          <w:rFonts w:hint="eastAsia" w:ascii="宋体" w:hAnsi="宋体" w:eastAsia="宋体" w:cs="宋体"/>
          <w:b/>
          <w:bCs/>
          <w:i w:val="0"/>
          <w:iCs w:val="0"/>
          <w:color w:val="auto"/>
          <w:sz w:val="22"/>
          <w:szCs w:val="22"/>
          <w:highlight w:val="none"/>
        </w:rPr>
        <w:t>）投标报价</w:t>
      </w:r>
    </w:p>
    <w:p w14:paraId="08E68D32">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1.本项目最高限价：1600000元，</w:t>
      </w:r>
      <w:r>
        <w:rPr>
          <w:rFonts w:hint="eastAsia" w:ascii="宋体" w:hAnsi="宋体" w:eastAsia="宋体" w:cs="宋体"/>
          <w:i w:val="0"/>
          <w:iCs w:val="0"/>
          <w:color w:val="auto"/>
          <w:kern w:val="2"/>
          <w:sz w:val="22"/>
          <w:szCs w:val="22"/>
          <w:highlight w:val="none"/>
          <w:lang w:val="en-US" w:eastAsia="zh-CN" w:bidi="ar-SA"/>
        </w:rPr>
        <w:t>本项目设有最高限单价：（1）</w:t>
      </w:r>
      <w:r>
        <w:rPr>
          <w:rFonts w:hint="eastAsia" w:ascii="宋体" w:hAnsi="宋体" w:eastAsia="宋体" w:cs="宋体"/>
          <w:color w:val="auto"/>
          <w:sz w:val="24"/>
          <w:szCs w:val="24"/>
          <w:highlight w:val="none"/>
          <w:lang w:eastAsia="zh-CN"/>
        </w:rPr>
        <w:t>环境影响报告书（表）编制规范性检查技术评估</w:t>
      </w:r>
      <w:r>
        <w:rPr>
          <w:rFonts w:hint="eastAsia" w:ascii="宋体" w:hAnsi="宋体" w:eastAsia="宋体" w:cs="宋体"/>
          <w:i w:val="0"/>
          <w:iCs w:val="0"/>
          <w:color w:val="auto"/>
          <w:kern w:val="2"/>
          <w:sz w:val="22"/>
          <w:szCs w:val="22"/>
          <w:highlight w:val="none"/>
          <w:lang w:val="en-US" w:eastAsia="zh-CN" w:bidi="ar-SA"/>
        </w:rPr>
        <w:t>最高限单价：20000元/个；（2）</w:t>
      </w:r>
      <w:r>
        <w:rPr>
          <w:rFonts w:hint="eastAsia" w:ascii="宋体" w:hAnsi="宋体" w:eastAsia="宋体" w:cs="宋体"/>
          <w:color w:val="auto"/>
          <w:sz w:val="24"/>
          <w:szCs w:val="24"/>
          <w:highlight w:val="none"/>
          <w:lang w:val="en-US"/>
        </w:rPr>
        <w:t>环评质量技术复核服务</w:t>
      </w:r>
      <w:r>
        <w:rPr>
          <w:rFonts w:hint="eastAsia" w:ascii="宋体" w:hAnsi="宋体" w:eastAsia="宋体" w:cs="宋体"/>
          <w:i w:val="0"/>
          <w:iCs w:val="0"/>
          <w:color w:val="auto"/>
          <w:kern w:val="2"/>
          <w:sz w:val="22"/>
          <w:szCs w:val="22"/>
          <w:highlight w:val="none"/>
          <w:lang w:val="en-US" w:eastAsia="zh-CN" w:bidi="ar-SA"/>
        </w:rPr>
        <w:t>最高限单价：2000元/个；</w:t>
      </w:r>
      <w:r>
        <w:rPr>
          <w:rFonts w:hint="eastAsia" w:ascii="宋体" w:hAnsi="宋体" w:eastAsia="宋体" w:cs="宋体"/>
          <w:color w:val="auto"/>
          <w:sz w:val="24"/>
          <w:szCs w:val="24"/>
          <w:highlight w:val="none"/>
          <w:lang w:val="en-US" w:eastAsia="zh-CN"/>
        </w:rPr>
        <w:t>环保决策咨询</w:t>
      </w:r>
      <w:r>
        <w:rPr>
          <w:rFonts w:hint="eastAsia" w:ascii="宋体" w:hAnsi="宋体" w:eastAsia="宋体" w:cs="宋体"/>
          <w:i w:val="0"/>
          <w:iCs w:val="0"/>
          <w:color w:val="auto"/>
          <w:kern w:val="2"/>
          <w:sz w:val="22"/>
          <w:szCs w:val="22"/>
          <w:highlight w:val="none"/>
          <w:lang w:val="en-US" w:eastAsia="zh-CN" w:bidi="ar-SA"/>
        </w:rPr>
        <w:t>最高限单价：10000元/个。</w:t>
      </w:r>
      <w:r>
        <w:rPr>
          <w:rFonts w:hint="eastAsia" w:ascii="宋体" w:hAnsi="宋体" w:eastAsia="宋体" w:cs="宋体"/>
          <w:b w:val="0"/>
          <w:bCs w:val="0"/>
          <w:i w:val="0"/>
          <w:iCs w:val="0"/>
          <w:color w:val="auto"/>
          <w:kern w:val="2"/>
          <w:sz w:val="22"/>
          <w:szCs w:val="22"/>
          <w:highlight w:val="none"/>
          <w:lang w:val="en-US" w:eastAsia="zh-CN" w:bidi="ar-SA"/>
        </w:rPr>
        <w:t>供应商报价超过</w:t>
      </w:r>
      <w:r>
        <w:rPr>
          <w:rFonts w:hint="eastAsia" w:ascii="宋体" w:hAnsi="宋体" w:eastAsia="宋体" w:cs="宋体"/>
          <w:i w:val="0"/>
          <w:iCs w:val="0"/>
          <w:color w:val="auto"/>
          <w:kern w:val="2"/>
          <w:sz w:val="22"/>
          <w:szCs w:val="22"/>
          <w:highlight w:val="none"/>
          <w:lang w:val="en-US" w:eastAsia="zh-CN" w:bidi="ar-SA"/>
        </w:rPr>
        <w:t>预算金额或最高限价或最高限单价</w:t>
      </w:r>
      <w:r>
        <w:rPr>
          <w:rFonts w:hint="eastAsia" w:ascii="宋体" w:hAnsi="宋体" w:eastAsia="宋体" w:cs="宋体"/>
          <w:b w:val="0"/>
          <w:bCs w:val="0"/>
          <w:i w:val="0"/>
          <w:iCs w:val="0"/>
          <w:color w:val="auto"/>
          <w:kern w:val="2"/>
          <w:sz w:val="22"/>
          <w:szCs w:val="22"/>
          <w:highlight w:val="none"/>
          <w:lang w:val="en-US" w:eastAsia="zh-CN" w:bidi="ar-SA"/>
        </w:rPr>
        <w:t>的作无效报价处理，取消其投标资格。</w:t>
      </w:r>
    </w:p>
    <w:p w14:paraId="7F142C69">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b w:val="0"/>
          <w:bCs w:val="0"/>
          <w:i w:val="0"/>
          <w:iCs w:val="0"/>
          <w:color w:val="auto"/>
          <w:kern w:val="2"/>
          <w:sz w:val="22"/>
          <w:szCs w:val="22"/>
          <w:highlight w:val="none"/>
          <w:lang w:val="en-US" w:eastAsia="zh-CN" w:bidi="ar-SA"/>
        </w:rPr>
        <w:t>2.投标报价是履行合同的最终价格，包括但不限于</w:t>
      </w:r>
      <w:r>
        <w:rPr>
          <w:rFonts w:hint="default" w:ascii="宋体" w:hAnsi="宋体" w:eastAsia="宋体" w:cs="宋体"/>
          <w:b w:val="0"/>
          <w:bCs w:val="0"/>
          <w:i w:val="0"/>
          <w:iCs w:val="0"/>
          <w:color w:val="auto"/>
          <w:kern w:val="2"/>
          <w:sz w:val="22"/>
          <w:szCs w:val="22"/>
          <w:highlight w:val="none"/>
          <w:lang w:val="en-US" w:eastAsia="zh-CN" w:bidi="ar-SA"/>
        </w:rPr>
        <w:t>项目评估文件编制</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交通费</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资料费</w:t>
      </w:r>
      <w:r>
        <w:rPr>
          <w:rFonts w:hint="eastAsia" w:ascii="宋体" w:hAnsi="宋体" w:eastAsia="宋体" w:cs="宋体"/>
          <w:b w:val="0"/>
          <w:bCs w:val="0"/>
          <w:i w:val="0"/>
          <w:iCs w:val="0"/>
          <w:color w:val="auto"/>
          <w:kern w:val="2"/>
          <w:sz w:val="22"/>
          <w:szCs w:val="22"/>
          <w:highlight w:val="none"/>
          <w:lang w:val="en-US" w:eastAsia="zh-CN" w:bidi="ar-SA"/>
        </w:rPr>
        <w:t>、人工费、车辆费用、办公费用、工作过程的修改、提供深化整合和优化的技术服务费用、项目咨询费（含</w:t>
      </w:r>
      <w:r>
        <w:rPr>
          <w:rFonts w:hint="default" w:ascii="宋体" w:hAnsi="宋体" w:eastAsia="宋体" w:cs="宋体"/>
          <w:b w:val="0"/>
          <w:bCs w:val="0"/>
          <w:i w:val="0"/>
          <w:iCs w:val="0"/>
          <w:color w:val="auto"/>
          <w:kern w:val="2"/>
          <w:sz w:val="22"/>
          <w:szCs w:val="22"/>
          <w:highlight w:val="none"/>
          <w:lang w:val="en-US" w:eastAsia="zh-CN" w:bidi="ar-SA"/>
        </w:rPr>
        <w:t>决策建议</w:t>
      </w:r>
      <w:r>
        <w:rPr>
          <w:rFonts w:hint="eastAsia" w:ascii="宋体" w:hAnsi="宋体" w:eastAsia="宋体" w:cs="宋体"/>
          <w:b w:val="0"/>
          <w:bCs w:val="0"/>
          <w:i w:val="0"/>
          <w:iCs w:val="0"/>
          <w:color w:val="auto"/>
          <w:kern w:val="2"/>
          <w:sz w:val="22"/>
          <w:szCs w:val="22"/>
          <w:highlight w:val="none"/>
          <w:lang w:val="en-US" w:eastAsia="zh-CN" w:bidi="ar-SA"/>
        </w:rPr>
        <w:t>等）及与项目有关的专家评议评审费用、</w:t>
      </w:r>
      <w:r>
        <w:rPr>
          <w:rFonts w:hint="default" w:ascii="宋体" w:hAnsi="宋体" w:eastAsia="宋体" w:cs="宋体"/>
          <w:b w:val="0"/>
          <w:bCs w:val="0"/>
          <w:i w:val="0"/>
          <w:iCs w:val="0"/>
          <w:color w:val="auto"/>
          <w:kern w:val="2"/>
          <w:sz w:val="22"/>
          <w:szCs w:val="22"/>
          <w:highlight w:val="none"/>
          <w:lang w:val="en-US" w:eastAsia="zh-CN" w:bidi="ar-SA"/>
        </w:rPr>
        <w:t>会务费（含住宿、会场租用等）</w:t>
      </w:r>
      <w:r>
        <w:rPr>
          <w:rFonts w:hint="eastAsia" w:ascii="宋体" w:hAnsi="宋体" w:eastAsia="宋体" w:cs="宋体"/>
          <w:b w:val="0"/>
          <w:bCs w:val="0"/>
          <w:i w:val="0"/>
          <w:iCs w:val="0"/>
          <w:color w:val="auto"/>
          <w:kern w:val="2"/>
          <w:sz w:val="22"/>
          <w:szCs w:val="22"/>
          <w:highlight w:val="none"/>
          <w:lang w:val="en-US" w:eastAsia="zh-CN" w:bidi="ar-SA"/>
        </w:rPr>
        <w:t>后期有关本项目的服务咨询、保险费、税金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58A18789">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投标货币</w:t>
      </w:r>
    </w:p>
    <w:p w14:paraId="782E2893">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i w:val="0"/>
          <w:iCs w:val="0"/>
          <w:color w:val="auto"/>
          <w:sz w:val="22"/>
          <w:szCs w:val="22"/>
          <w:highlight w:val="none"/>
        </w:rPr>
        <w:t>投标文件中价格全部采用人民币报价。报价应是唯一的，不接受有选择的报价。</w:t>
      </w:r>
      <w:bookmarkStart w:id="46" w:name="_Toc33194390"/>
    </w:p>
    <w:p w14:paraId="4ED759DB">
      <w:pPr>
        <w:pageBreakBefore w:val="0"/>
        <w:shd w:val="clear" w:color="auto" w:fill="FFFFFF"/>
        <w:kinsoku/>
        <w:overflowPunct/>
        <w:topLinePunct w:val="0"/>
        <w:bidi w:val="0"/>
        <w:snapToGrid w:val="0"/>
        <w:spacing w:line="420" w:lineRule="exact"/>
        <w:ind w:left="0" w:leftChars="0" w:firstLine="442" w:firstLineChars="200"/>
        <w:jc w:val="center"/>
        <w:textAlignment w:val="auto"/>
        <w:outlineLvl w:val="1"/>
        <w:rPr>
          <w:rFonts w:hint="eastAsia" w:ascii="宋体" w:hAnsi="宋体" w:eastAsia="宋体" w:cs="宋体"/>
          <w:b/>
          <w:bCs/>
          <w:i w:val="0"/>
          <w:iCs w:val="0"/>
          <w:color w:val="auto"/>
          <w:sz w:val="22"/>
          <w:szCs w:val="22"/>
          <w:highlight w:val="none"/>
        </w:rPr>
      </w:pPr>
    </w:p>
    <w:p w14:paraId="22BE6123">
      <w:pPr>
        <w:pageBreakBefore w:val="0"/>
        <w:shd w:val="clear" w:color="auto" w:fill="FFFFFF"/>
        <w:kinsoku/>
        <w:overflowPunct/>
        <w:topLinePunct w:val="0"/>
        <w:bidi w:val="0"/>
        <w:snapToGrid w:val="0"/>
        <w:spacing w:line="420" w:lineRule="exact"/>
        <w:ind w:left="0" w:leftChars="0" w:firstLine="482" w:firstLineChars="200"/>
        <w:jc w:val="center"/>
        <w:textAlignment w:val="auto"/>
        <w:outlineLvl w:val="1"/>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三、</w:t>
      </w:r>
      <w:bookmarkStart w:id="47" w:name="_Hlt75236011"/>
      <w:bookmarkEnd w:id="47"/>
      <w:bookmarkStart w:id="48" w:name="_Toc91899884"/>
      <w:bookmarkStart w:id="49" w:name="_Toc354996698"/>
      <w:bookmarkStart w:id="50" w:name="_Toc233618974"/>
      <w:r>
        <w:rPr>
          <w:rFonts w:hint="eastAsia" w:ascii="宋体" w:hAnsi="宋体" w:eastAsia="宋体" w:cs="宋体"/>
          <w:b/>
          <w:bCs/>
          <w:i w:val="0"/>
          <w:iCs w:val="0"/>
          <w:color w:val="auto"/>
          <w:sz w:val="24"/>
          <w:szCs w:val="24"/>
          <w:highlight w:val="none"/>
        </w:rPr>
        <w:t>投标文件</w:t>
      </w:r>
      <w:bookmarkEnd w:id="46"/>
      <w:bookmarkEnd w:id="48"/>
      <w:bookmarkEnd w:id="49"/>
      <w:bookmarkEnd w:id="50"/>
      <w:r>
        <w:rPr>
          <w:rFonts w:hint="eastAsia" w:ascii="宋体" w:hAnsi="宋体" w:eastAsia="宋体" w:cs="宋体"/>
          <w:b/>
          <w:bCs/>
          <w:i w:val="0"/>
          <w:iCs w:val="0"/>
          <w:color w:val="auto"/>
          <w:sz w:val="24"/>
          <w:szCs w:val="24"/>
          <w:highlight w:val="none"/>
        </w:rPr>
        <w:t>的编制、递交</w:t>
      </w:r>
    </w:p>
    <w:p w14:paraId="3215AE74">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p>
    <w:p w14:paraId="414798FF">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（一）投标文件的语言</w:t>
      </w:r>
    </w:p>
    <w:p w14:paraId="7D7BA4AC">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rPr>
        <w:t>投标文件及投标人与采购有关的来往通知、函件和文件均应使用中文。</w:t>
      </w:r>
    </w:p>
    <w:p w14:paraId="1AA59B94">
      <w:pPr>
        <w:pStyle w:val="40"/>
        <w:pageBreakBefore w:val="0"/>
        <w:kinsoku/>
        <w:overflowPunct/>
        <w:topLinePunct w:val="0"/>
        <w:bidi w:val="0"/>
        <w:snapToGrid w:val="0"/>
        <w:spacing w:before="0" w:line="420" w:lineRule="exact"/>
        <w:ind w:left="0" w:leftChars="0" w:firstLine="442" w:firstLineChars="200"/>
        <w:textAlignment w:val="auto"/>
        <w:rPr>
          <w:rFonts w:hint="eastAsia" w:ascii="宋体" w:hAnsi="宋体" w:eastAsia="宋体" w:cs="宋体"/>
          <w:b/>
          <w:i w:val="0"/>
          <w:iCs w:val="0"/>
          <w:color w:val="auto"/>
          <w:sz w:val="22"/>
          <w:szCs w:val="22"/>
          <w:highlight w:val="none"/>
        </w:rPr>
      </w:pPr>
      <w:bookmarkStart w:id="51" w:name="_Toc91899887"/>
      <w:r>
        <w:rPr>
          <w:rFonts w:hint="eastAsia" w:ascii="宋体" w:hAnsi="宋体" w:eastAsia="宋体" w:cs="宋体"/>
          <w:b/>
          <w:i w:val="0"/>
          <w:iCs w:val="0"/>
          <w:color w:val="auto"/>
          <w:sz w:val="22"/>
          <w:szCs w:val="22"/>
          <w:highlight w:val="none"/>
        </w:rPr>
        <w:t>（二）投标文件的组成</w:t>
      </w:r>
    </w:p>
    <w:p w14:paraId="0D13FF33">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rPr>
        <w:t>投标</w:t>
      </w:r>
      <w:r>
        <w:rPr>
          <w:rFonts w:hint="eastAsia" w:ascii="宋体" w:hAnsi="宋体" w:eastAsia="宋体" w:cs="宋体"/>
          <w:i w:val="0"/>
          <w:iCs w:val="0"/>
          <w:color w:val="auto"/>
          <w:kern w:val="0"/>
          <w:sz w:val="22"/>
          <w:szCs w:val="22"/>
          <w:highlight w:val="none"/>
          <w:lang w:val="zh-CN"/>
        </w:rPr>
        <w:t>文件应当包括以下主要内容：资格文件、商务技术文件、报价文件。</w:t>
      </w:r>
    </w:p>
    <w:p w14:paraId="672E3601">
      <w:pPr>
        <w:snapToGrid w:val="0"/>
        <w:spacing w:line="420" w:lineRule="exact"/>
        <w:ind w:firstLine="442" w:firstLineChars="200"/>
        <w:rPr>
          <w:rFonts w:hint="eastAsia" w:ascii="宋体" w:hAnsi="宋体" w:cs="宋体"/>
          <w:color w:val="auto"/>
          <w:sz w:val="22"/>
          <w:szCs w:val="22"/>
          <w:highlight w:val="none"/>
        </w:rPr>
      </w:pPr>
      <w:bookmarkStart w:id="52" w:name="_Toc500208478"/>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基本资格条件审查材料：</w:t>
      </w:r>
    </w:p>
    <w:p w14:paraId="16A39BB6">
      <w:pPr>
        <w:snapToGrid w:val="0"/>
        <w:spacing w:line="420" w:lineRule="exact"/>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w:t>
      </w:r>
      <w:r>
        <w:rPr>
          <w:rFonts w:hint="eastAsia" w:ascii="宋体" w:hAnsi="宋体" w:cs="宋体"/>
          <w:color w:val="auto"/>
          <w:spacing w:val="-6"/>
          <w:sz w:val="22"/>
          <w:szCs w:val="22"/>
          <w:highlight w:val="none"/>
        </w:rPr>
        <w:t>即证明其符合《中华人民共和国政府采购法》规定的供应商基本条件的有关资格证明文件。】包括：</w:t>
      </w:r>
    </w:p>
    <w:p w14:paraId="3487DDFE">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rPr>
        <w:t>营业执照</w:t>
      </w:r>
      <w:r>
        <w:rPr>
          <w:rFonts w:hint="eastAsia" w:ascii="宋体" w:hAnsi="宋体" w:cs="宋体"/>
          <w:color w:val="auto"/>
          <w:sz w:val="22"/>
          <w:szCs w:val="22"/>
          <w:highlight w:val="none"/>
        </w:rPr>
        <w:t xml:space="preserve">(或事业法人登记证书)复印件； </w:t>
      </w:r>
    </w:p>
    <w:p w14:paraId="5D6EBA20">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（2）具有完善的财务制度的承诺函；</w:t>
      </w:r>
    </w:p>
    <w:p w14:paraId="36CC92C4">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（3）具有履行合同所必需的场地、设备和专业技术能力的承诺函；</w:t>
      </w:r>
    </w:p>
    <w:p w14:paraId="7ED27DFA">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（4）依法缴纳税收和社会保障资金的承诺函；</w:t>
      </w:r>
    </w:p>
    <w:p w14:paraId="19A3EC2D">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（5）参加政府采购活动前3年内在经营活动中没有重大违法记录的声明函；</w:t>
      </w:r>
    </w:p>
    <w:p w14:paraId="1720B52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（6）单位负责人为同一人或者存在直接控股、管理关系的不同供应商，不得参加同一合同项下的政府采购活动承诺函；</w:t>
      </w:r>
    </w:p>
    <w:p w14:paraId="12064EE2">
      <w:pPr>
        <w:snapToGri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（7）投标供应商没有失信记录承诺函；</w:t>
      </w:r>
    </w:p>
    <w:p w14:paraId="5DED1EAF">
      <w:pPr>
        <w:shd w:val="clear" w:color="auto" w:fill="FFFFFF"/>
        <w:snapToGrid w:val="0"/>
        <w:spacing w:line="42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（8）中小企业声明函、监狱企业、残疾人福利性单位及其他相关的充分的证明材料。</w:t>
      </w:r>
      <w:r>
        <w:rPr>
          <w:rFonts w:hint="eastAsia" w:ascii="宋体" w:hAnsi="宋体" w:cs="宋体"/>
          <w:b/>
          <w:bCs/>
          <w:color w:val="auto"/>
          <w:sz w:val="22"/>
          <w:szCs w:val="22"/>
          <w:highlight w:val="none"/>
        </w:rPr>
        <w:t xml:space="preserve"> </w:t>
      </w:r>
    </w:p>
    <w:p w14:paraId="08C66BAE">
      <w:pPr>
        <w:snapToGrid w:val="0"/>
        <w:spacing w:line="42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9</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rPr>
        <w:t>根据招标公告要求，证明投标人具备资格所必须提交的资料。</w:t>
      </w:r>
    </w:p>
    <w:p w14:paraId="5095583F">
      <w:pPr>
        <w:numPr>
          <w:ilvl w:val="0"/>
          <w:numId w:val="0"/>
        </w:numPr>
        <w:snapToGrid w:val="0"/>
        <w:spacing w:line="42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上述资格条件审查材料有一项不提供的，视为资格审查不通过。</w:t>
      </w:r>
    </w:p>
    <w:p w14:paraId="137C2CDF">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投标人的商务技术文件至少应包括以下内容：</w:t>
      </w:r>
    </w:p>
    <w:bookmarkEnd w:id="52"/>
    <w:p w14:paraId="0D11B50B">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（1）供应商</w:t>
      </w:r>
      <w:r>
        <w:rPr>
          <w:rFonts w:hint="eastAsia" w:ascii="宋体" w:hAnsi="宋体" w:cs="宋体"/>
          <w:i w:val="0"/>
          <w:iCs w:val="0"/>
          <w:color w:val="auto"/>
          <w:kern w:val="0"/>
          <w:sz w:val="22"/>
          <w:szCs w:val="22"/>
          <w:highlight w:val="none"/>
          <w:lang w:val="zh-CN"/>
        </w:rPr>
        <w:t>商务部分</w:t>
      </w:r>
      <w:r>
        <w:rPr>
          <w:rFonts w:hint="eastAsia" w:ascii="宋体" w:hAnsi="宋体" w:eastAsia="宋体" w:cs="宋体"/>
          <w:i w:val="0"/>
          <w:iCs w:val="0"/>
          <w:color w:val="auto"/>
          <w:kern w:val="0"/>
          <w:sz w:val="22"/>
          <w:szCs w:val="22"/>
          <w:highlight w:val="none"/>
          <w:lang w:val="zh-CN"/>
        </w:rPr>
        <w:t>自评表；</w:t>
      </w:r>
    </w:p>
    <w:p w14:paraId="7F70DF6D">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）法定代表人资格证明书或法定代表人授权委托书；</w:t>
      </w:r>
    </w:p>
    <w:p w14:paraId="74C1312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zh-CN" w:eastAsia="zh-CN"/>
        </w:rPr>
        <w:t>投标人基本情况表</w:t>
      </w:r>
      <w:r>
        <w:rPr>
          <w:rFonts w:hint="eastAsia" w:ascii="宋体" w:hAnsi="宋体" w:eastAsia="宋体" w:cs="宋体"/>
          <w:i w:val="0"/>
          <w:iCs w:val="0"/>
          <w:color w:val="auto"/>
          <w:kern w:val="0"/>
          <w:sz w:val="22"/>
          <w:szCs w:val="22"/>
          <w:highlight w:val="none"/>
          <w:lang w:val="zh-CN"/>
        </w:rPr>
        <w:t>；</w:t>
      </w:r>
    </w:p>
    <w:p w14:paraId="4810F3DE">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zh-CN"/>
        </w:rPr>
        <w:t>类似</w:t>
      </w:r>
      <w:r>
        <w:rPr>
          <w:rFonts w:hint="eastAsia" w:ascii="宋体" w:hAnsi="宋体" w:eastAsia="宋体" w:cs="宋体"/>
          <w:i w:val="0"/>
          <w:iCs w:val="0"/>
          <w:color w:val="auto"/>
          <w:kern w:val="0"/>
          <w:sz w:val="22"/>
          <w:szCs w:val="22"/>
          <w:highlight w:val="none"/>
          <w:lang w:val="zh-CN" w:eastAsia="zh-CN"/>
        </w:rPr>
        <w:t>业绩</w:t>
      </w:r>
      <w:r>
        <w:rPr>
          <w:rFonts w:hint="eastAsia" w:ascii="宋体" w:hAnsi="宋体" w:eastAsia="宋体" w:cs="宋体"/>
          <w:i w:val="0"/>
          <w:iCs w:val="0"/>
          <w:color w:val="auto"/>
          <w:kern w:val="0"/>
          <w:sz w:val="22"/>
          <w:szCs w:val="22"/>
          <w:highlight w:val="none"/>
          <w:lang w:val="zh-CN"/>
        </w:rPr>
        <w:t>；</w:t>
      </w:r>
    </w:p>
    <w:p w14:paraId="2256ECDE">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技术力量</w:t>
      </w:r>
      <w:r>
        <w:rPr>
          <w:rFonts w:hint="eastAsia" w:ascii="宋体" w:hAnsi="宋体" w:eastAsia="宋体" w:cs="宋体"/>
          <w:i w:val="0"/>
          <w:iCs w:val="0"/>
          <w:color w:val="auto"/>
          <w:kern w:val="0"/>
          <w:sz w:val="22"/>
          <w:szCs w:val="22"/>
          <w:highlight w:val="none"/>
          <w:lang w:val="zh-CN"/>
        </w:rPr>
        <w:t>；</w:t>
      </w:r>
    </w:p>
    <w:p w14:paraId="6A438BA8">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服务方案</w:t>
      </w:r>
      <w:r>
        <w:rPr>
          <w:rFonts w:hint="eastAsia" w:ascii="宋体" w:hAnsi="宋体" w:cs="宋体"/>
          <w:i w:val="0"/>
          <w:iCs w:val="0"/>
          <w:color w:val="auto"/>
          <w:kern w:val="0"/>
          <w:sz w:val="22"/>
          <w:szCs w:val="22"/>
          <w:highlight w:val="none"/>
          <w:lang w:val="zh-CN" w:eastAsia="zh-CN"/>
        </w:rPr>
        <w:t>、</w:t>
      </w:r>
      <w:r>
        <w:rPr>
          <w:rFonts w:hint="eastAsia" w:ascii="宋体" w:hAnsi="宋体" w:eastAsia="宋体" w:cs="宋体"/>
          <w:i w:val="0"/>
          <w:iCs w:val="0"/>
          <w:color w:val="auto"/>
          <w:kern w:val="0"/>
          <w:sz w:val="22"/>
          <w:szCs w:val="22"/>
          <w:highlight w:val="none"/>
          <w:lang w:val="en-US" w:eastAsia="zh-CN"/>
        </w:rPr>
        <w:t>技术方案</w:t>
      </w:r>
      <w:r>
        <w:rPr>
          <w:rFonts w:hint="eastAsia" w:ascii="宋体" w:hAnsi="宋体" w:cs="宋体"/>
          <w:i w:val="0"/>
          <w:iCs w:val="0"/>
          <w:color w:val="auto"/>
          <w:kern w:val="0"/>
          <w:sz w:val="22"/>
          <w:szCs w:val="22"/>
          <w:highlight w:val="none"/>
          <w:lang w:val="en-US" w:eastAsia="zh-CN"/>
        </w:rPr>
        <w:t>、</w:t>
      </w:r>
      <w:r>
        <w:rPr>
          <w:rFonts w:hint="eastAsia" w:ascii="宋体" w:hAnsi="宋体" w:eastAsia="宋体" w:cs="宋体"/>
          <w:i w:val="0"/>
          <w:iCs w:val="0"/>
          <w:color w:val="auto"/>
          <w:kern w:val="0"/>
          <w:sz w:val="22"/>
          <w:szCs w:val="22"/>
          <w:highlight w:val="none"/>
          <w:lang w:val="zh-CN" w:eastAsia="zh-CN"/>
        </w:rPr>
        <w:t>服务承诺</w:t>
      </w:r>
      <w:r>
        <w:rPr>
          <w:rFonts w:hint="eastAsia" w:ascii="宋体" w:hAnsi="宋体" w:cs="宋体"/>
          <w:i w:val="0"/>
          <w:iCs w:val="0"/>
          <w:color w:val="auto"/>
          <w:kern w:val="0"/>
          <w:sz w:val="22"/>
          <w:szCs w:val="22"/>
          <w:highlight w:val="none"/>
          <w:lang w:val="zh-CN" w:eastAsia="zh-CN"/>
        </w:rPr>
        <w:t>等由投标人根据技术部分评分细则并结合自身情况编制</w:t>
      </w:r>
      <w:r>
        <w:rPr>
          <w:rFonts w:hint="eastAsia" w:ascii="宋体" w:hAnsi="宋体" w:eastAsia="宋体" w:cs="宋体"/>
          <w:i w:val="0"/>
          <w:iCs w:val="0"/>
          <w:color w:val="auto"/>
          <w:kern w:val="0"/>
          <w:sz w:val="22"/>
          <w:szCs w:val="22"/>
          <w:highlight w:val="none"/>
          <w:lang w:val="zh-CN"/>
        </w:rPr>
        <w:t>；</w:t>
      </w:r>
    </w:p>
    <w:p w14:paraId="07121066">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lang w:val="zh-CN"/>
        </w:rPr>
        <w:t>）供应商认为需要提供的其他相关资料（如有）。</w:t>
      </w:r>
    </w:p>
    <w:p w14:paraId="0B9ECE35">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 xml:space="preserve">投标人的报价文件至少应包括以下内容： </w:t>
      </w:r>
    </w:p>
    <w:p w14:paraId="467FB4B7">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lang w:val="zh-CN"/>
        </w:rPr>
        <w:t>）投标响应函；</w:t>
      </w:r>
    </w:p>
    <w:p w14:paraId="333BDEF0">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）开标一览表；</w:t>
      </w:r>
    </w:p>
    <w:p w14:paraId="07AE452D">
      <w:pPr>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lang w:val="zh-CN"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报价明细表。</w:t>
      </w:r>
    </w:p>
    <w:p w14:paraId="6BBD5E49">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kern w:val="0"/>
          <w:sz w:val="22"/>
          <w:szCs w:val="22"/>
          <w:highlight w:val="none"/>
          <w:lang w:val="zh-CN"/>
        </w:rPr>
        <w:t>注：</w:t>
      </w:r>
      <w:r>
        <w:rPr>
          <w:rFonts w:hint="eastAsia" w:ascii="宋体" w:hAnsi="宋体" w:eastAsia="宋体" w:cs="宋体"/>
          <w:b/>
          <w:bCs/>
          <w:i w:val="0"/>
          <w:iCs w:val="0"/>
          <w:color w:val="auto"/>
          <w:kern w:val="0"/>
          <w:sz w:val="22"/>
          <w:szCs w:val="22"/>
          <w:highlight w:val="none"/>
          <w:lang w:val="zh-CN" w:eastAsia="zh-CN"/>
        </w:rPr>
        <w:t>①</w:t>
      </w:r>
      <w:r>
        <w:rPr>
          <w:rFonts w:hint="eastAsia" w:ascii="宋体" w:hAnsi="宋体" w:eastAsia="宋体" w:cs="宋体"/>
          <w:b/>
          <w:bCs/>
          <w:i w:val="0"/>
          <w:iCs w:val="0"/>
          <w:color w:val="auto"/>
          <w:kern w:val="0"/>
          <w:sz w:val="22"/>
          <w:szCs w:val="22"/>
          <w:highlight w:val="none"/>
          <w:lang w:val="zh-CN"/>
        </w:rPr>
        <w:t>上述内容所涉及</w:t>
      </w:r>
      <w:r>
        <w:rPr>
          <w:rFonts w:hint="eastAsia" w:ascii="宋体" w:hAnsi="宋体" w:eastAsia="宋体" w:cs="宋体"/>
          <w:b/>
          <w:bCs/>
          <w:color w:val="auto"/>
          <w:sz w:val="22"/>
          <w:szCs w:val="22"/>
          <w:highlight w:val="none"/>
        </w:rPr>
        <w:t>到的证书及相关证明材料，要求供应商提供的材料必须真实可信，所有证书及证明材料原件扫描件加盖公章，造成的废标、不得分等后果自负。</w:t>
      </w:r>
    </w:p>
    <w:p w14:paraId="7540092F">
      <w:pPr>
        <w:keepNext w:val="0"/>
        <w:keepLines w:val="0"/>
        <w:pageBreakBefore w:val="0"/>
        <w:widowControl w:val="0"/>
        <w:kinsoku/>
        <w:wordWrap w:val="0"/>
        <w:overflowPunct/>
        <w:topLinePunct w:val="0"/>
        <w:autoSpaceDE/>
        <w:autoSpaceDN/>
        <w:bidi w:val="0"/>
        <w:adjustRightInd/>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②</w:t>
      </w:r>
      <w:r>
        <w:rPr>
          <w:rFonts w:hint="eastAsia" w:ascii="宋体" w:hAnsi="宋体" w:eastAsia="宋体" w:cs="宋体"/>
          <w:b/>
          <w:bCs/>
          <w:color w:val="auto"/>
          <w:sz w:val="22"/>
          <w:szCs w:val="22"/>
          <w:highlight w:val="none"/>
        </w:rPr>
        <w:t>请各供应商严格按照文件内容顺序编写投标文件（并根据评分标准进行编写），因内容不齐混乱造成的废标、不得分等后果自负</w:t>
      </w:r>
      <w:bookmarkStart w:id="53" w:name="OLE_LINK35"/>
      <w:r>
        <w:rPr>
          <w:rFonts w:hint="eastAsia" w:ascii="宋体" w:hAnsi="宋体" w:eastAsia="宋体" w:cs="宋体"/>
          <w:b/>
          <w:bCs/>
          <w:color w:val="auto"/>
          <w:sz w:val="22"/>
          <w:szCs w:val="22"/>
          <w:highlight w:val="none"/>
        </w:rPr>
        <w:t>。</w:t>
      </w:r>
      <w:bookmarkEnd w:id="53"/>
      <w:r>
        <w:rPr>
          <w:rFonts w:hint="eastAsia" w:ascii="宋体" w:hAnsi="宋体" w:eastAsia="宋体" w:cs="宋体"/>
          <w:b/>
          <w:bCs/>
          <w:color w:val="auto"/>
          <w:sz w:val="22"/>
          <w:szCs w:val="22"/>
          <w:highlight w:val="none"/>
        </w:rPr>
        <w:t>以上内容未提供格式的,请各供应商格式自拟。</w:t>
      </w:r>
    </w:p>
    <w:p w14:paraId="0CD08C05">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（三）投标有效期</w:t>
      </w:r>
    </w:p>
    <w:p w14:paraId="59F89C4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投标文件合格投递后，自投标截止日期起，至前附表所列的日期内有效。</w:t>
      </w:r>
    </w:p>
    <w:p w14:paraId="319E1C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在原定投标有效期之前，如果出现特殊情况，招标代理机构可以以书面形式通知投标人延长投标有效期。</w:t>
      </w:r>
    </w:p>
    <w:p w14:paraId="1F1A0F87">
      <w:pPr>
        <w:pageBreakBefore w:val="0"/>
        <w:shd w:val="clear" w:color="auto" w:fill="FFFFFF"/>
        <w:kinsoku/>
        <w:overflowPunct/>
        <w:topLinePunct w:val="0"/>
        <w:bidi w:val="0"/>
        <w:snapToGrid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（四）投标保证金</w:t>
      </w:r>
    </w:p>
    <w:p w14:paraId="0F3EB68F">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根据《浙江省财政厅关于明确政府采购保证金管理工作的通知》（浙财采监〔2019〕5号）规定，本项目无需缴纳投标保证金。</w:t>
      </w:r>
    </w:p>
    <w:p w14:paraId="190B76CA">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（五）</w:t>
      </w:r>
      <w:bookmarkEnd w:id="51"/>
      <w:bookmarkStart w:id="54" w:name="_Hlt68072998"/>
      <w:bookmarkEnd w:id="54"/>
      <w:bookmarkStart w:id="55" w:name="_Hlt68073093"/>
      <w:bookmarkEnd w:id="55"/>
      <w:bookmarkStart w:id="56" w:name="_Hlt68403820"/>
      <w:bookmarkEnd w:id="56"/>
      <w:bookmarkStart w:id="57" w:name="_Toc233618975"/>
      <w:bookmarkStart w:id="58" w:name="_Toc86216991"/>
      <w:bookmarkStart w:id="59" w:name="_Toc91899892"/>
      <w:r>
        <w:rPr>
          <w:rFonts w:hint="eastAsia" w:ascii="宋体" w:hAnsi="宋体" w:eastAsia="宋体" w:cs="宋体"/>
          <w:b/>
          <w:bCs/>
          <w:i w:val="0"/>
          <w:iCs w:val="0"/>
          <w:color w:val="auto"/>
          <w:sz w:val="22"/>
          <w:szCs w:val="22"/>
          <w:highlight w:val="none"/>
        </w:rPr>
        <w:t>投标文件编制</w:t>
      </w:r>
    </w:p>
    <w:p w14:paraId="4EF428E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sz w:val="22"/>
          <w:szCs w:val="22"/>
          <w:highlight w:val="none"/>
        </w:rPr>
        <w:t>本项目通过“政府采购云平台（www.zcygov.cn）”实行在线投标响应（电子投标）。供应商应通过“政采云电子交易客户端”，并按照本招标文件和“政府采购云平台”的要求编制并加密投标文件。</w:t>
      </w:r>
    </w:p>
    <w:p w14:paraId="7D96C6A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14:paraId="66FB396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z w:val="22"/>
          <w:szCs w:val="22"/>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w:t>
      </w:r>
      <w:r>
        <w:rPr>
          <w:rFonts w:hint="eastAsia" w:ascii="宋体" w:hAnsi="宋体" w:eastAsia="宋体" w:cs="宋体"/>
          <w:b/>
          <w:i w:val="0"/>
          <w:iCs w:val="0"/>
          <w:color w:val="auto"/>
          <w:sz w:val="22"/>
          <w:szCs w:val="22"/>
          <w:highlight w:val="none"/>
          <w:lang w:eastAsia="zh-CN"/>
        </w:rPr>
        <w:t>委托代理人</w:t>
      </w:r>
      <w:r>
        <w:rPr>
          <w:rFonts w:hint="eastAsia" w:ascii="宋体" w:hAnsi="宋体" w:eastAsia="宋体" w:cs="宋体"/>
          <w:b/>
          <w:i w:val="0"/>
          <w:iCs w:val="0"/>
          <w:color w:val="auto"/>
          <w:sz w:val="22"/>
          <w:szCs w:val="22"/>
          <w:highlight w:val="none"/>
        </w:rPr>
        <w:t>签署（签字或盖章），否则视为未提供。</w:t>
      </w:r>
    </w:p>
    <w:p w14:paraId="566A16D5">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《投标文件》内容不完整、编排混乱导致《投标文件》被误读、漏读或者查找不到相关内容的，是投标供应商的责任。</w:t>
      </w:r>
    </w:p>
    <w:p w14:paraId="688F0564">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《投标文件》因字迹潦草或表达不清所引起的后果由投标供应商负责。</w:t>
      </w:r>
    </w:p>
    <w:p w14:paraId="6D026CB6">
      <w:pPr>
        <w:pageBreakBefore w:val="0"/>
        <w:kinsoku/>
        <w:wordWrap/>
        <w:overflowPunct/>
        <w:topLinePunct w:val="0"/>
        <w:autoSpaceDE/>
        <w:autoSpaceDN/>
        <w:bidi w:val="0"/>
        <w:adjustRightInd/>
        <w:snapToGrid/>
        <w:spacing w:line="42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rPr>
        <w:t>投标供应商没有按照本章节 “投标文件组成”要求提供全部资料，或者没有仔细阅读招标文件，或者没有对招标文件在各方面的要求</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出实质性响应是投标供应商的风险，由此造成的一切后果由投标供应商自行承担。</w:t>
      </w:r>
    </w:p>
    <w:p w14:paraId="1911E0BB">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（六）投标文件的签章</w:t>
      </w:r>
    </w:p>
    <w:p w14:paraId="6720F328">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1.</w:t>
      </w:r>
      <w:r>
        <w:rPr>
          <w:rFonts w:hint="eastAsia" w:ascii="宋体" w:hAnsi="宋体" w:eastAsia="宋体" w:cs="宋体"/>
          <w:b/>
          <w:i w:val="0"/>
          <w:iCs w:val="0"/>
          <w:color w:val="auto"/>
          <w:kern w:val="0"/>
          <w:sz w:val="22"/>
          <w:szCs w:val="22"/>
          <w:highlight w:val="none"/>
        </w:rPr>
        <w:t>《投标文件》的签章：</w:t>
      </w:r>
      <w:r>
        <w:rPr>
          <w:rFonts w:hint="eastAsia" w:ascii="宋体" w:hAnsi="宋体" w:eastAsia="宋体" w:cs="宋体"/>
          <w:b/>
          <w:i w:val="0"/>
          <w:iCs w:val="0"/>
          <w:color w:val="auto"/>
          <w:sz w:val="22"/>
          <w:szCs w:val="22"/>
          <w:highlight w:val="none"/>
        </w:rPr>
        <w:t>见《前附表》；</w:t>
      </w:r>
    </w:p>
    <w:p w14:paraId="53B2ED0D">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kern w:val="0"/>
          <w:sz w:val="22"/>
          <w:szCs w:val="22"/>
          <w:highlight w:val="none"/>
          <w:lang w:val="en-US" w:eastAsia="zh-CN"/>
        </w:rPr>
        <w:t>2.</w:t>
      </w:r>
      <w:r>
        <w:rPr>
          <w:rFonts w:hint="eastAsia" w:ascii="宋体" w:hAnsi="宋体" w:eastAsia="宋体" w:cs="宋体"/>
          <w:b/>
          <w:i w:val="0"/>
          <w:iCs w:val="0"/>
          <w:color w:val="auto"/>
          <w:kern w:val="0"/>
          <w:sz w:val="22"/>
          <w:szCs w:val="22"/>
          <w:highlight w:val="none"/>
        </w:rPr>
        <w:t>《投标文件》应由投标供应商法定代表人或</w:t>
      </w:r>
      <w:r>
        <w:rPr>
          <w:rFonts w:hint="eastAsia" w:ascii="宋体" w:hAnsi="宋体" w:eastAsia="宋体" w:cs="宋体"/>
          <w:b/>
          <w:i w:val="0"/>
          <w:iCs w:val="0"/>
          <w:color w:val="auto"/>
          <w:kern w:val="0"/>
          <w:sz w:val="22"/>
          <w:szCs w:val="22"/>
          <w:highlight w:val="none"/>
          <w:lang w:eastAsia="zh-CN"/>
        </w:rPr>
        <w:t>委托代理人</w:t>
      </w:r>
      <w:r>
        <w:rPr>
          <w:rFonts w:hint="eastAsia" w:ascii="宋体" w:hAnsi="宋体" w:eastAsia="宋体" w:cs="宋体"/>
          <w:b/>
          <w:i w:val="0"/>
          <w:iCs w:val="0"/>
          <w:color w:val="auto"/>
          <w:kern w:val="0"/>
          <w:sz w:val="22"/>
          <w:szCs w:val="22"/>
          <w:highlight w:val="none"/>
        </w:rPr>
        <w:t>签字（或盖章），并时加盖投标供应商公章。</w:t>
      </w:r>
    </w:p>
    <w:p w14:paraId="1084CD3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kern w:val="0"/>
          <w:sz w:val="22"/>
          <w:szCs w:val="22"/>
          <w:highlight w:val="none"/>
          <w:lang w:val="en-US" w:eastAsia="zh-CN"/>
        </w:rPr>
        <w:t>3.</w:t>
      </w:r>
      <w:r>
        <w:rPr>
          <w:rFonts w:hint="eastAsia" w:ascii="宋体" w:hAnsi="宋体" w:eastAsia="宋体" w:cs="宋体"/>
          <w:b/>
          <w:i w:val="0"/>
          <w:iCs w:val="0"/>
          <w:color w:val="auto"/>
          <w:kern w:val="0"/>
          <w:sz w:val="22"/>
          <w:szCs w:val="22"/>
          <w:highlight w:val="none"/>
        </w:rPr>
        <w:t>电子签章操作指南详见采购公告附件</w:t>
      </w:r>
      <w:r>
        <w:rPr>
          <w:rFonts w:hint="eastAsia" w:ascii="宋体" w:hAnsi="宋体" w:eastAsia="宋体" w:cs="宋体"/>
          <w:b/>
          <w:i w:val="0"/>
          <w:iCs w:val="0"/>
          <w:color w:val="auto"/>
          <w:sz w:val="22"/>
          <w:szCs w:val="22"/>
          <w:highlight w:val="none"/>
        </w:rPr>
        <w:t>《供应商项目采购-电子招投标操作指南》</w:t>
      </w:r>
      <w:r>
        <w:rPr>
          <w:rFonts w:hint="eastAsia" w:ascii="宋体" w:hAnsi="宋体" w:eastAsia="宋体" w:cs="宋体"/>
          <w:i w:val="0"/>
          <w:iCs w:val="0"/>
          <w:color w:val="auto"/>
          <w:sz w:val="22"/>
          <w:szCs w:val="22"/>
          <w:highlight w:val="none"/>
        </w:rPr>
        <w:t>。</w:t>
      </w:r>
    </w:p>
    <w:p w14:paraId="752F4F99">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（七）投标文件的形式</w:t>
      </w:r>
    </w:p>
    <w:p w14:paraId="3D3BD24A">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投标文件的形式：见《前附表》；</w:t>
      </w:r>
    </w:p>
    <w:p w14:paraId="75F93E61">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cs="宋体"/>
          <w:b/>
          <w:i w:val="0"/>
          <w:iCs w:val="0"/>
          <w:color w:val="auto"/>
          <w:sz w:val="22"/>
          <w:szCs w:val="22"/>
          <w:highlight w:val="none"/>
          <w:lang w:val="en-US" w:eastAsia="zh-CN"/>
        </w:rPr>
        <w:t>2.</w:t>
      </w:r>
      <w:r>
        <w:rPr>
          <w:rFonts w:hint="eastAsia" w:ascii="宋体" w:hAnsi="宋体" w:eastAsia="宋体" w:cs="宋体"/>
          <w:b/>
          <w:i w:val="0"/>
          <w:iCs w:val="0"/>
          <w:color w:val="auto"/>
          <w:sz w:val="22"/>
          <w:szCs w:val="22"/>
          <w:highlight w:val="none"/>
        </w:rPr>
        <w:t>“电子加密投标文件”：“电子加密投标文件”是指通过“政采云电子交易客户端”完成投标文件编制后生成并加密的数据电文形式的投标文件。</w:t>
      </w:r>
    </w:p>
    <w:p w14:paraId="5FF6E484">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pacing w:val="-6"/>
          <w:sz w:val="22"/>
          <w:szCs w:val="22"/>
          <w:highlight w:val="none"/>
        </w:rPr>
      </w:pPr>
      <w:r>
        <w:rPr>
          <w:rFonts w:hint="eastAsia" w:ascii="宋体" w:hAnsi="宋体" w:cs="宋体"/>
          <w:b/>
          <w:i w:val="0"/>
          <w:iCs w:val="0"/>
          <w:color w:val="auto"/>
          <w:sz w:val="22"/>
          <w:szCs w:val="22"/>
          <w:highlight w:val="none"/>
          <w:lang w:val="en-US" w:eastAsia="zh-CN"/>
        </w:rPr>
        <w:t>3.</w:t>
      </w:r>
      <w:r>
        <w:rPr>
          <w:rFonts w:hint="eastAsia" w:ascii="宋体" w:hAnsi="宋体" w:eastAsia="宋体" w:cs="宋体"/>
          <w:b/>
          <w:i w:val="0"/>
          <w:iCs w:val="0"/>
          <w:color w:val="auto"/>
          <w:spacing w:val="-6"/>
          <w:sz w:val="22"/>
          <w:szCs w:val="22"/>
          <w:highlight w:val="none"/>
        </w:rPr>
        <w:t>“备份投标文件”：“备份投标文件”是指与“电子加密投标文件”同时生成的数据</w:t>
      </w:r>
    </w:p>
    <w:p w14:paraId="6F6D36F0">
      <w:pPr>
        <w:pageBreakBefore w:val="0"/>
        <w:kinsoku/>
        <w:wordWrap/>
        <w:overflowPunct/>
        <w:topLinePunct w:val="0"/>
        <w:autoSpaceDE/>
        <w:autoSpaceDN/>
        <w:bidi w:val="0"/>
        <w:adjustRightInd/>
        <w:snapToGrid/>
        <w:spacing w:line="420" w:lineRule="exact"/>
        <w:ind w:left="0" w:leftChars="0" w:firstLine="418"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pacing w:val="-6"/>
          <w:sz w:val="22"/>
          <w:szCs w:val="22"/>
          <w:highlight w:val="none"/>
        </w:rPr>
        <w:t>电文形式的电子文件（备份标书），其他方式编制的“备份投标文件”视为无效的“备份投标文件”。</w:t>
      </w:r>
    </w:p>
    <w:p w14:paraId="19BB676B">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（八）投标文件的份数</w:t>
      </w:r>
    </w:p>
    <w:p w14:paraId="64BA02B5">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cs="宋体"/>
          <w:b/>
          <w:i w:val="0"/>
          <w:iCs w:val="0"/>
          <w:color w:val="auto"/>
          <w:sz w:val="22"/>
          <w:szCs w:val="22"/>
          <w:highlight w:val="none"/>
          <w:lang w:val="en-US" w:eastAsia="zh-CN"/>
        </w:rPr>
        <w:t>1.</w:t>
      </w:r>
      <w:r>
        <w:rPr>
          <w:rFonts w:hint="eastAsia" w:ascii="宋体" w:hAnsi="宋体" w:eastAsia="宋体" w:cs="宋体"/>
          <w:b/>
          <w:i w:val="0"/>
          <w:iCs w:val="0"/>
          <w:color w:val="auto"/>
          <w:sz w:val="22"/>
          <w:szCs w:val="22"/>
          <w:highlight w:val="none"/>
        </w:rPr>
        <w:t>投标文件的份数：见《前附表》。</w:t>
      </w:r>
    </w:p>
    <w:p w14:paraId="044371D6">
      <w:pPr>
        <w:pageBreakBefore w:val="0"/>
        <w:kinsoku/>
        <w:wordWrap/>
        <w:overflowPunct/>
        <w:topLinePunct w:val="0"/>
        <w:autoSpaceDE/>
        <w:autoSpaceDN/>
        <w:bidi w:val="0"/>
        <w:adjustRightInd/>
        <w:snapToGrid w:val="0"/>
        <w:spacing w:line="420" w:lineRule="exact"/>
        <w:ind w:left="0" w:leftChars="0" w:firstLine="442" w:firstLineChars="200"/>
        <w:textAlignment w:val="auto"/>
        <w:outlineLvl w:val="1"/>
        <w:rPr>
          <w:rFonts w:hint="eastAsia" w:ascii="宋体" w:hAnsi="宋体" w:cs="宋体"/>
          <w:b/>
          <w:i w:val="0"/>
          <w:iCs w:val="0"/>
          <w:color w:val="auto"/>
          <w:sz w:val="22"/>
          <w:szCs w:val="22"/>
          <w:highlight w:val="none"/>
        </w:rPr>
      </w:pPr>
      <w:bookmarkStart w:id="60" w:name="_Toc412730341"/>
      <w:bookmarkStart w:id="61" w:name="_Toc33194391"/>
      <w:bookmarkStart w:id="62" w:name="_Toc462229099"/>
      <w:bookmarkStart w:id="63" w:name="_Toc354996699"/>
    </w:p>
    <w:p w14:paraId="5133EF72">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cs="宋体"/>
          <w:b/>
          <w:i w:val="0"/>
          <w:iCs w:val="0"/>
          <w:color w:val="auto"/>
          <w:sz w:val="28"/>
          <w:szCs w:val="28"/>
          <w:highlight w:val="none"/>
        </w:rPr>
      </w:pPr>
      <w:r>
        <w:rPr>
          <w:rFonts w:hint="eastAsia" w:ascii="宋体" w:hAnsi="宋体" w:cs="宋体"/>
          <w:b/>
          <w:i w:val="0"/>
          <w:iCs w:val="0"/>
          <w:color w:val="auto"/>
          <w:sz w:val="28"/>
          <w:szCs w:val="28"/>
          <w:highlight w:val="none"/>
        </w:rPr>
        <w:t>四、投标</w:t>
      </w:r>
      <w:bookmarkEnd w:id="60"/>
      <w:bookmarkEnd w:id="61"/>
      <w:bookmarkEnd w:id="62"/>
    </w:p>
    <w:p w14:paraId="097BAACA">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p>
    <w:p w14:paraId="5CD95F08">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（一）投标文件的上传和递交</w:t>
      </w:r>
    </w:p>
    <w:p w14:paraId="2FBB09FF">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kern w:val="0"/>
          <w:sz w:val="22"/>
          <w:szCs w:val="22"/>
          <w:highlight w:val="none"/>
        </w:rPr>
        <w:t>1.1“投标文件”的上传、递交：</w:t>
      </w:r>
      <w:r>
        <w:rPr>
          <w:rFonts w:hint="eastAsia" w:ascii="宋体" w:hAnsi="宋体" w:eastAsia="宋体" w:cs="宋体"/>
          <w:b/>
          <w:i w:val="0"/>
          <w:iCs w:val="0"/>
          <w:color w:val="auto"/>
          <w:sz w:val="22"/>
          <w:szCs w:val="22"/>
          <w:highlight w:val="none"/>
        </w:rPr>
        <w:t>见《前附表》。</w:t>
      </w:r>
    </w:p>
    <w:p w14:paraId="783137D9">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（二）“电子加密投标文件”解密和异常情况处理</w:t>
      </w:r>
    </w:p>
    <w:p w14:paraId="42F10C4C">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2.1“电子加密投标文件”解密：见《前附表》。</w:t>
      </w:r>
    </w:p>
    <w:p w14:paraId="529511B5">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（三）投标文件的补充、修改或撤回</w:t>
      </w:r>
    </w:p>
    <w:p w14:paraId="1C212883">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6287CC7">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3.2投标截止时间后，投标供应商不得撤回、修改《投标文件》。</w:t>
      </w:r>
    </w:p>
    <w:p w14:paraId="7CB8585B">
      <w:pPr>
        <w:pStyle w:val="4"/>
        <w:pageBreakBefore w:val="0"/>
        <w:numPr>
          <w:ilvl w:val="0"/>
          <w:numId w:val="0"/>
        </w:numPr>
        <w:kinsoku/>
        <w:wordWrap/>
        <w:overflowPunct/>
        <w:topLinePunct w:val="0"/>
        <w:autoSpaceDE/>
        <w:autoSpaceDN/>
        <w:bidi w:val="0"/>
        <w:adjustRightInd/>
        <w:snapToGrid/>
        <w:spacing w:before="0" w:after="0" w:line="42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（四）投标文件的备选方案</w:t>
      </w:r>
    </w:p>
    <w:p w14:paraId="3D77ED2B">
      <w:pPr>
        <w:pageBreakBefore w:val="0"/>
        <w:kinsoku/>
        <w:wordWrap/>
        <w:overflowPunct/>
        <w:topLinePunct w:val="0"/>
        <w:autoSpaceDE/>
        <w:autoSpaceDN/>
        <w:bidi w:val="0"/>
        <w:adjustRightInd/>
        <w:snapToGrid/>
        <w:spacing w:line="42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50FBCBD0">
      <w:pPr>
        <w:rPr>
          <w:rFonts w:hint="eastAsia" w:ascii="宋体" w:hAnsi="宋体" w:eastAsia="宋体" w:cs="宋体"/>
          <w:b/>
          <w:i w:val="0"/>
          <w:iCs w:val="0"/>
          <w:color w:val="auto"/>
          <w:sz w:val="28"/>
          <w:szCs w:val="28"/>
          <w:highlight w:val="none"/>
        </w:rPr>
      </w:pPr>
      <w:bookmarkStart w:id="64" w:name="_Toc33194392"/>
      <w:bookmarkStart w:id="65" w:name="_Toc462229100"/>
      <w:r>
        <w:rPr>
          <w:rFonts w:hint="eastAsia" w:ascii="宋体" w:hAnsi="宋体" w:eastAsia="宋体" w:cs="宋体"/>
          <w:b/>
          <w:i w:val="0"/>
          <w:iCs w:val="0"/>
          <w:color w:val="auto"/>
          <w:sz w:val="28"/>
          <w:szCs w:val="28"/>
          <w:highlight w:val="none"/>
        </w:rPr>
        <w:br w:type="page"/>
      </w:r>
    </w:p>
    <w:p w14:paraId="7BFCD82D">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五、开 标</w:t>
      </w:r>
      <w:bookmarkEnd w:id="64"/>
      <w:bookmarkEnd w:id="65"/>
    </w:p>
    <w:bookmarkEnd w:id="57"/>
    <w:bookmarkEnd w:id="58"/>
    <w:bookmarkEnd w:id="59"/>
    <w:bookmarkEnd w:id="63"/>
    <w:p w14:paraId="532CC540">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bookmarkStart w:id="66" w:name="_Toc91899903"/>
      <w:bookmarkStart w:id="67" w:name="_Toc233618978"/>
      <w:bookmarkStart w:id="68" w:name="_Toc86216994"/>
      <w:bookmarkStart w:id="69" w:name="_Toc354996702"/>
      <w:r>
        <w:rPr>
          <w:rFonts w:hint="eastAsia" w:ascii="宋体" w:hAnsi="宋体" w:eastAsia="宋体" w:cs="宋体"/>
          <w:b/>
          <w:color w:val="auto"/>
          <w:sz w:val="22"/>
          <w:szCs w:val="22"/>
          <w:highlight w:val="none"/>
          <w:lang w:val="zh-CN"/>
        </w:rPr>
        <w:t>（一）开标准备</w:t>
      </w:r>
    </w:p>
    <w:p w14:paraId="296C5E40">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招标人在规定的日期、时间和地点组织开标会议，所有参加开标会的投标人法定代表或委托代理人应准时参加开标会议。 </w:t>
      </w:r>
    </w:p>
    <w:p w14:paraId="71AB4943">
      <w:pPr>
        <w:pageBreakBefore w:val="0"/>
        <w:tabs>
          <w:tab w:val="center" w:pos="4156"/>
        </w:tabs>
        <w:kinsoku/>
        <w:overflowPunct/>
        <w:topLinePunct w:val="0"/>
        <w:autoSpaceDE w:val="0"/>
        <w:autoSpaceDN w:val="0"/>
        <w:bidi w:val="0"/>
        <w:adjustRightInd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（二）开标程序</w:t>
      </w:r>
    </w:p>
    <w:p w14:paraId="5FB78A9E">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1.开标会由招标人主持。主持人宣布投标截止时间，截止时间以国家授时中心标准时间为准，宣布招标会议开始。</w:t>
      </w:r>
    </w:p>
    <w:p w14:paraId="0020F636">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2.开标会议开始：采购人按“投标人须知前附表”规定的时间、地点公开开标，并邀请所有投标人代表准时在线参加。</w:t>
      </w:r>
    </w:p>
    <w:p w14:paraId="143966E8">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3.投标人代表应在线参加开标活动：开标活动组织人员告知投标人开标活动组织人员情况，已提交投标文件的投标人名单、应当回避的情形、开启报价文件的预计时间等。</w:t>
      </w:r>
    </w:p>
    <w:p w14:paraId="5E37B0A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4.在线解密</w:t>
      </w:r>
    </w:p>
    <w:p w14:paraId="12E32CF2">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①开始在线解密：至投标截止时间，开标活动组织人员启动在线解密程序，投标人应登录政府采购云平台在在线解密时间内对已提交的电子投标文件进行解密。</w:t>
      </w:r>
    </w:p>
    <w:p w14:paraId="59770C3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②解密异常处理：如在线解密失败，开标活动组织人员将启动异常处理，上传投标人在投标截止时间前提交的备份电子投标文件进行再次解密，如未提供备份电子投标文件，将不进行再次解密程序。无法在线解密视为供应商放弃投标。</w:t>
      </w:r>
    </w:p>
    <w:p w14:paraId="79E33471">
      <w:pPr>
        <w:pageBreakBefore w:val="0"/>
        <w:shd w:val="clear" w:color="auto" w:fill="FFFFFF"/>
        <w:kinsoku/>
        <w:overflowPunct/>
        <w:topLinePunct w:val="0"/>
        <w:bidi w:val="0"/>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③在线解密时间：在线解密时间为30分钟。</w:t>
      </w:r>
    </w:p>
    <w:p w14:paraId="7B4554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5.在线开启投标文件：</w:t>
      </w:r>
      <w:r>
        <w:rPr>
          <w:rFonts w:hint="eastAsia" w:ascii="宋体" w:hAnsi="宋体" w:eastAsia="宋体" w:cs="宋体"/>
          <w:i w:val="0"/>
          <w:iCs w:val="0"/>
          <w:color w:val="auto"/>
          <w:sz w:val="22"/>
          <w:szCs w:val="22"/>
          <w:highlight w:val="none"/>
          <w:lang w:val="zh-CN"/>
        </w:rPr>
        <w:t>待所有投标人在线解密结束后，开标活动组织人员在线开启投标文件。</w:t>
      </w:r>
    </w:p>
    <w:p w14:paraId="61156985">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6.公布资格审查评审情况：</w:t>
      </w:r>
      <w:r>
        <w:rPr>
          <w:rFonts w:hint="eastAsia" w:ascii="宋体" w:hAnsi="宋体" w:eastAsia="宋体" w:cs="宋体"/>
          <w:i w:val="0"/>
          <w:iCs w:val="0"/>
          <w:color w:val="auto"/>
          <w:sz w:val="22"/>
          <w:szCs w:val="22"/>
          <w:highlight w:val="none"/>
          <w:lang w:val="zh-CN"/>
        </w:rPr>
        <w:t>资格审查评审结束后，开标活动组织人员在线、开标现场公布资格评审有效的供应商名单及无效供应商名称及理由。</w:t>
      </w:r>
    </w:p>
    <w:p w14:paraId="4E21D5A7">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7.公布技术资信评审情况：</w:t>
      </w:r>
      <w:r>
        <w:rPr>
          <w:rFonts w:hint="eastAsia" w:ascii="宋体" w:hAnsi="宋体" w:eastAsia="宋体" w:cs="宋体"/>
          <w:i w:val="0"/>
          <w:iCs w:val="0"/>
          <w:color w:val="auto"/>
          <w:sz w:val="22"/>
          <w:szCs w:val="22"/>
          <w:highlight w:val="none"/>
          <w:lang w:val="zh-CN"/>
        </w:rPr>
        <w:t>技术资信评审结束后，开标活动组织人员在线、开标现场公布技术资信评审有效的供应商名单及无效供应商名称及理由、得分情况。</w:t>
      </w:r>
    </w:p>
    <w:p w14:paraId="41FED89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8.在线开启报价文件</w:t>
      </w:r>
    </w:p>
    <w:p w14:paraId="39AB1BC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开启供应商报价文件，开标活动组织人员宣读开标（报价）一览表有关内容，同时当场制作并打印开标记录表。</w:t>
      </w:r>
    </w:p>
    <w:p w14:paraId="711A2D7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如投标人代表拒绝签字，应说明理由，如不说明理由，视为无异议。</w:t>
      </w:r>
    </w:p>
    <w:p w14:paraId="1DAA750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开标结束后，如发现开标结果与报价文件不一致者，由评标委员会根据报价文件内容进行纠正。</w:t>
      </w:r>
    </w:p>
    <w:p w14:paraId="72189989">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b/>
          <w:color w:val="auto"/>
          <w:sz w:val="22"/>
          <w:szCs w:val="22"/>
          <w:highlight w:val="none"/>
          <w:lang w:val="zh-CN"/>
        </w:rPr>
        <w:t>9.公布评审结果：</w:t>
      </w:r>
      <w:r>
        <w:rPr>
          <w:rFonts w:hint="eastAsia" w:ascii="宋体" w:hAnsi="宋体" w:eastAsia="宋体" w:cs="宋体"/>
          <w:i w:val="0"/>
          <w:iCs w:val="0"/>
          <w:color w:val="auto"/>
          <w:sz w:val="22"/>
          <w:szCs w:val="22"/>
          <w:highlight w:val="none"/>
          <w:lang w:val="zh-CN"/>
        </w:rPr>
        <w:t>评审结束后，开标活动组织人员公布各投标人得分、中标候选人名单。</w:t>
      </w:r>
    </w:p>
    <w:p w14:paraId="6E95688D">
      <w:pPr>
        <w:pageBreakBefore w:val="0"/>
        <w:kinsoku/>
        <w:overflowPunct/>
        <w:topLinePunct w:val="0"/>
        <w:autoSpaceDE w:val="0"/>
        <w:autoSpaceDN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10.开标会议结束。</w:t>
      </w:r>
    </w:p>
    <w:bookmarkEnd w:id="66"/>
    <w:p w14:paraId="58112C7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lang w:val="zh-CN"/>
        </w:rPr>
      </w:pPr>
      <w:r>
        <w:rPr>
          <w:rFonts w:hint="eastAsia" w:ascii="宋体" w:hAnsi="宋体" w:eastAsia="宋体" w:cs="宋体"/>
          <w:b/>
          <w:i w:val="0"/>
          <w:iCs w:val="0"/>
          <w:color w:val="auto"/>
          <w:sz w:val="28"/>
          <w:szCs w:val="28"/>
          <w:highlight w:val="none"/>
          <w:lang w:val="zh-CN"/>
        </w:rPr>
        <w:t>六、评标</w:t>
      </w:r>
    </w:p>
    <w:p w14:paraId="5F8F85F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1C5A2B3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（一）组建评标委员会</w:t>
      </w:r>
    </w:p>
    <w:p w14:paraId="1CD1ED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本项目评标委员会由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人组成，其中采购咨询专家人数不少于成员总数的三分之二。</w:t>
      </w:r>
    </w:p>
    <w:p w14:paraId="3DD73088">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（二）评标的方式</w:t>
      </w:r>
    </w:p>
    <w:p w14:paraId="6C1C53E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本项目采用不公开方式评标，评标的依据为招标文件和投标文件。</w:t>
      </w:r>
    </w:p>
    <w:p w14:paraId="044A069B">
      <w:pPr>
        <w:pageBreakBefore w:val="0"/>
        <w:kinsoku/>
        <w:overflowPunct/>
        <w:topLinePunct w:val="0"/>
        <w:bidi w:val="0"/>
        <w:spacing w:line="420" w:lineRule="exact"/>
        <w:ind w:left="0" w:leftChars="0" w:firstLine="442"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highlight w:val="none"/>
          <w:lang w:val="zh-CN"/>
        </w:rPr>
        <w:t>（三）评标程序</w:t>
      </w:r>
      <w:r>
        <w:rPr>
          <w:rFonts w:hint="eastAsia" w:ascii="宋体" w:hAnsi="宋体" w:eastAsia="宋体" w:cs="宋体"/>
          <w:color w:val="auto"/>
          <w:sz w:val="22"/>
          <w:szCs w:val="22"/>
          <w:highlight w:val="none"/>
          <w:lang w:val="zh-CN"/>
        </w:rPr>
        <w:tab/>
      </w:r>
    </w:p>
    <w:p w14:paraId="4C836FBD">
      <w:pPr>
        <w:pageBreakBefore w:val="0"/>
        <w:kinsoku/>
        <w:overflowPunct/>
        <w:topLinePunct w:val="0"/>
        <w:bidi w:val="0"/>
        <w:spacing w:line="420" w:lineRule="exact"/>
        <w:ind w:left="0" w:leftChars="0"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1.形式审查</w:t>
      </w:r>
    </w:p>
    <w:p w14:paraId="772E72F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招标代理机构或采购人代表对投标人的资格进行审查，评标委员会对投标文件的完整性、合法性等进行审查。</w:t>
      </w:r>
    </w:p>
    <w:p w14:paraId="7F3F9CD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2.实质审查与比较</w:t>
      </w:r>
    </w:p>
    <w:p w14:paraId="2FAFEF1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（1）评标委员会审查每份投标文件实质性内容是否符合招标文件的实质性要求。</w:t>
      </w:r>
    </w:p>
    <w:p w14:paraId="6F53F9D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委员会将根据投标人的现场演示和投标文件进行审查、核对,如有疑问,将对投标人进行询标,投标人要向评标委员会澄清有关问题,并最终以书面形式进行答复。投标人代表未到场或者拒绝澄清或者澄清的内容改变了投标文件的实质性内容的，评标委员会可以否决其投标。</w:t>
      </w:r>
    </w:p>
    <w:p w14:paraId="4748C9D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（3）各投标人的技术资信得分为所有评委的有效评分的算术平均数，并由工作人员进行计算复核。</w:t>
      </w:r>
    </w:p>
    <w:p w14:paraId="14CFF16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（4）代理机构工作人员协助评标委员会根据本项目的评分标准计算各投标人的商务报价得分。</w:t>
      </w:r>
    </w:p>
    <w:p w14:paraId="7BED3B4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（5）评标委员会完成评标后,评委对各部分得分汇总，计算出本项目最终得分。评标委员会按评标原则推荐中标候选人，同时起草评标报告。</w:t>
      </w:r>
    </w:p>
    <w:p w14:paraId="1CC5816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（四）澄清问题的形式</w:t>
      </w:r>
    </w:p>
    <w:p w14:paraId="508BC94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对投标文件中含义不明确、同类问题表述不一致或者有明显文字和计算错误的内容，评标委员会可要求投标人做出必要的澄清、说明或者纠正。投标人的澄清、说明或者补正应当采用书面形式，由委托代理人签字或盖章确认，并不得超出投标文件的范围或者改变投标文件的实质性内容。</w:t>
      </w:r>
    </w:p>
    <w:p w14:paraId="3C365894">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（五）错误修正</w:t>
      </w:r>
    </w:p>
    <w:p w14:paraId="5248A51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投标文件如果出现计算或表达上的错误，修正错误的原则如下：</w:t>
      </w:r>
    </w:p>
    <w:p w14:paraId="23C0FC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1.投标文件中报价一览表内容与投标文件中投标报价明细表内容不一致的，以报价一览表为准；</w:t>
      </w:r>
    </w:p>
    <w:p w14:paraId="5546E7E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2.投标文件的大写金额和小写金额不一致的，以大写金额为准；</w:t>
      </w:r>
    </w:p>
    <w:p w14:paraId="25965E4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 xml:space="preserve">3.单价金额小数点或者百分比有明显错位的，以报价一览表的总价为准，并修改单价； </w:t>
      </w:r>
    </w:p>
    <w:p w14:paraId="45CA7D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4.总价金额与按单价汇总金额不一致的，以单价金额计算结果为准；</w:t>
      </w:r>
    </w:p>
    <w:p w14:paraId="5A59C9BB">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同时出现两种以上不一致的，按照前款规定的顺序修正。修正后的报价经投标人确认后产生约束力，投标人不确认的，其投标无效。</w:t>
      </w:r>
    </w:p>
    <w:p w14:paraId="34D6B7D5">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（六）评标原则和评标办法</w:t>
      </w:r>
    </w:p>
    <w:p w14:paraId="3BE7AB1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8F7CB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2.评标办法。本项目评标办法是综合评分，具体评标内容及评分标准等详见《第六章：评标办法及评分标准》。</w:t>
      </w:r>
    </w:p>
    <w:p w14:paraId="22E73DE9">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（七）无效标</w:t>
      </w:r>
    </w:p>
    <w:p w14:paraId="5E2E956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有下列情形之一的投标文件，由评标委员会按少数服从多数原则进行认定，经认定属实后将该投标文件作无效标处理：</w:t>
      </w:r>
    </w:p>
    <w:p w14:paraId="24503348">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资质和商务及技术文件阶段：</w:t>
      </w:r>
    </w:p>
    <w:p w14:paraId="423F5AE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资格证明审核：</w:t>
      </w:r>
    </w:p>
    <w:p w14:paraId="5650C5F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1.1</w:t>
      </w:r>
      <w:r>
        <w:rPr>
          <w:rFonts w:hint="eastAsia" w:ascii="宋体" w:hAnsi="宋体" w:eastAsia="宋体" w:cs="宋体"/>
          <w:i w:val="0"/>
          <w:iCs w:val="0"/>
          <w:color w:val="auto"/>
          <w:sz w:val="22"/>
          <w:szCs w:val="22"/>
          <w:highlight w:val="none"/>
          <w:lang w:val="zh-CN"/>
        </w:rPr>
        <w:t>投标文件内容不能充分证明供应商符合投标资格条件的；</w:t>
      </w:r>
    </w:p>
    <w:p w14:paraId="283CF19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商务技术审核：</w:t>
      </w:r>
    </w:p>
    <w:p w14:paraId="42BC4AD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w:t>
      </w:r>
      <w:r>
        <w:rPr>
          <w:rFonts w:hint="eastAsia" w:ascii="宋体" w:hAnsi="宋体" w:eastAsia="宋体" w:cs="宋体"/>
          <w:i w:val="0"/>
          <w:iCs w:val="0"/>
          <w:color w:val="auto"/>
          <w:sz w:val="22"/>
          <w:szCs w:val="22"/>
          <w:highlight w:val="none"/>
          <w:lang w:val="zh-CN"/>
        </w:rPr>
        <w:t>供应商提交两份或两份以上内容不同的投标方案，未声明哪一份有效的；</w:t>
      </w:r>
    </w:p>
    <w:p w14:paraId="0ED5B80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2.2</w:t>
      </w:r>
      <w:r>
        <w:rPr>
          <w:rFonts w:hint="eastAsia" w:ascii="宋体" w:hAnsi="宋体" w:eastAsia="宋体" w:cs="宋体"/>
          <w:i w:val="0"/>
          <w:iCs w:val="0"/>
          <w:color w:val="auto"/>
          <w:sz w:val="22"/>
          <w:szCs w:val="22"/>
          <w:highlight w:val="none"/>
          <w:lang w:val="zh-CN"/>
        </w:rPr>
        <w:t>投标文件非供应商法定代表人签署的，未提供或提供无效的法定代表人授权书；</w:t>
      </w:r>
    </w:p>
    <w:p w14:paraId="176621C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2.3</w:t>
      </w:r>
      <w:r>
        <w:rPr>
          <w:rFonts w:hint="eastAsia" w:ascii="宋体" w:hAnsi="宋体" w:eastAsia="宋体" w:cs="宋体"/>
          <w:i w:val="0"/>
          <w:iCs w:val="0"/>
          <w:color w:val="auto"/>
          <w:sz w:val="22"/>
          <w:szCs w:val="22"/>
          <w:highlight w:val="none"/>
          <w:lang w:val="zh-CN"/>
        </w:rPr>
        <w:t>投标文件中法定代表人和授权代表身份证复印件不齐全的；</w:t>
      </w:r>
    </w:p>
    <w:p w14:paraId="1A4E69C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2.4</w:t>
      </w:r>
      <w:r>
        <w:rPr>
          <w:rFonts w:hint="eastAsia" w:ascii="宋体" w:hAnsi="宋体" w:eastAsia="宋体" w:cs="宋体"/>
          <w:i w:val="0"/>
          <w:iCs w:val="0"/>
          <w:color w:val="auto"/>
          <w:sz w:val="22"/>
          <w:szCs w:val="22"/>
          <w:highlight w:val="none"/>
          <w:lang w:val="zh-CN"/>
        </w:rPr>
        <w:t>投标文件内容未按采购文件规定签字或盖章的；</w:t>
      </w:r>
    </w:p>
    <w:p w14:paraId="63F6624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2.5</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2F5FA4F7">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2.6</w:t>
      </w:r>
      <w:r>
        <w:rPr>
          <w:rFonts w:hint="eastAsia" w:ascii="宋体" w:hAnsi="宋体" w:eastAsia="宋体" w:cs="宋体"/>
          <w:i w:val="0"/>
          <w:iCs w:val="0"/>
          <w:color w:val="auto"/>
          <w:sz w:val="22"/>
          <w:szCs w:val="22"/>
          <w:highlight w:val="none"/>
          <w:lang w:val="zh-CN"/>
        </w:rPr>
        <w:t>供应商未按采购文件变更通知更改投标文件的；</w:t>
      </w:r>
    </w:p>
    <w:p w14:paraId="79E287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2.7</w:t>
      </w:r>
      <w:r>
        <w:rPr>
          <w:rFonts w:hint="eastAsia" w:ascii="宋体" w:hAnsi="宋体" w:eastAsia="宋体" w:cs="宋体"/>
          <w:i w:val="0"/>
          <w:iCs w:val="0"/>
          <w:color w:val="auto"/>
          <w:sz w:val="22"/>
          <w:szCs w:val="22"/>
          <w:highlight w:val="none"/>
          <w:lang w:val="zh-CN"/>
        </w:rPr>
        <w:t>未实质性响应采购文件中带“▲”条款要求的投标文件；</w:t>
      </w:r>
    </w:p>
    <w:p w14:paraId="4BDF2E5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2.8</w:t>
      </w:r>
      <w:r>
        <w:rPr>
          <w:rFonts w:hint="eastAsia" w:ascii="宋体" w:hAnsi="宋体" w:eastAsia="宋体" w:cs="宋体"/>
          <w:i w:val="0"/>
          <w:iCs w:val="0"/>
          <w:color w:val="auto"/>
          <w:sz w:val="22"/>
          <w:szCs w:val="22"/>
          <w:highlight w:val="none"/>
          <w:lang w:val="zh-CN"/>
        </w:rPr>
        <w:t>投标有效期、交货期、质保期等商务条款不能满足采购文件要求的；</w:t>
      </w:r>
    </w:p>
    <w:p w14:paraId="55B3887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2.9</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13A7C9B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2.10</w:t>
      </w:r>
      <w:r>
        <w:rPr>
          <w:rFonts w:hint="eastAsia" w:ascii="宋体" w:hAnsi="宋体" w:eastAsia="宋体" w:cs="宋体"/>
          <w:i w:val="0"/>
          <w:iCs w:val="0"/>
          <w:color w:val="auto"/>
          <w:sz w:val="22"/>
          <w:szCs w:val="22"/>
          <w:highlight w:val="none"/>
          <w:lang w:val="zh-CN"/>
        </w:rPr>
        <w:t>投标文件附有采购人不能接受的条款；</w:t>
      </w:r>
    </w:p>
    <w:p w14:paraId="43A7C22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5319347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2C195F03">
      <w:pPr>
        <w:pageBreakBefore w:val="0"/>
        <w:kinsoku/>
        <w:overflowPunct/>
        <w:topLinePunct w:val="0"/>
        <w:bidi w:val="0"/>
        <w:snapToGrid w:val="0"/>
        <w:spacing w:line="42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报价文件评审阶段：</w:t>
      </w:r>
    </w:p>
    <w:p w14:paraId="7A03F9B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w:t>
      </w:r>
      <w:r>
        <w:rPr>
          <w:rFonts w:hint="eastAsia" w:ascii="宋体" w:hAnsi="宋体" w:eastAsia="宋体" w:cs="宋体"/>
          <w:i w:val="0"/>
          <w:iCs w:val="0"/>
          <w:color w:val="auto"/>
          <w:sz w:val="22"/>
          <w:szCs w:val="22"/>
          <w:highlight w:val="none"/>
          <w:lang w:val="zh-CN"/>
        </w:rPr>
        <w:t>供应商提交两份或两份以上内容不同的投标报价，未声明哪一份有效的；</w:t>
      </w:r>
    </w:p>
    <w:p w14:paraId="01715B0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3.2</w:t>
      </w:r>
      <w:r>
        <w:rPr>
          <w:rFonts w:hint="eastAsia" w:ascii="宋体" w:hAnsi="宋体" w:eastAsia="宋体" w:cs="宋体"/>
          <w:i w:val="0"/>
          <w:iCs w:val="0"/>
          <w:color w:val="auto"/>
          <w:sz w:val="22"/>
          <w:szCs w:val="22"/>
          <w:highlight w:val="none"/>
          <w:lang w:val="zh-CN"/>
        </w:rPr>
        <w:t>投标文件内容未按采购文件规定签字或盖章的；</w:t>
      </w:r>
    </w:p>
    <w:p w14:paraId="7BCD17D3">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3.3</w:t>
      </w:r>
      <w:r>
        <w:rPr>
          <w:rFonts w:hint="eastAsia" w:ascii="宋体" w:hAnsi="宋体" w:eastAsia="宋体" w:cs="宋体"/>
          <w:i w:val="0"/>
          <w:iCs w:val="0"/>
          <w:color w:val="auto"/>
          <w:sz w:val="22"/>
          <w:szCs w:val="22"/>
          <w:highlight w:val="none"/>
          <w:lang w:val="zh-CN"/>
        </w:rPr>
        <w:t>《开标一览表》和《分项报价表》内容不完整且不接受修正意见或字迹不能辨认的或未提供；</w:t>
      </w:r>
    </w:p>
    <w:p w14:paraId="3ADD4F5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3.4</w:t>
      </w:r>
      <w:r>
        <w:rPr>
          <w:rFonts w:hint="eastAsia" w:ascii="宋体" w:hAnsi="宋体" w:eastAsia="宋体" w:cs="宋体"/>
          <w:i w:val="0"/>
          <w:iCs w:val="0"/>
          <w:color w:val="auto"/>
          <w:sz w:val="22"/>
          <w:szCs w:val="22"/>
          <w:highlight w:val="none"/>
          <w:lang w:val="zh-CN"/>
        </w:rPr>
        <w:t>所投项目的投标报价超过采购文件规定的预算金额或最高限价；</w:t>
      </w:r>
    </w:p>
    <w:p w14:paraId="201758A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3.5</w:t>
      </w:r>
      <w:r>
        <w:rPr>
          <w:rFonts w:hint="eastAsia" w:ascii="宋体" w:hAnsi="宋体" w:eastAsia="宋体" w:cs="宋体"/>
          <w:i w:val="0"/>
          <w:iCs w:val="0"/>
          <w:color w:val="auto"/>
          <w:sz w:val="22"/>
          <w:szCs w:val="22"/>
          <w:highlight w:val="none"/>
          <w:lang w:val="zh-CN"/>
        </w:rPr>
        <w:t>《开标一览表》投标报价为零的，或其报价（大写）无法按正常书写方式进行报价唱标的或无投标报价的；</w:t>
      </w:r>
    </w:p>
    <w:p w14:paraId="4230A8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3.6</w:t>
      </w:r>
      <w:r>
        <w:rPr>
          <w:rFonts w:hint="eastAsia" w:ascii="宋体" w:hAnsi="宋体" w:eastAsia="宋体" w:cs="宋体"/>
          <w:i w:val="0"/>
          <w:iCs w:val="0"/>
          <w:color w:val="auto"/>
          <w:sz w:val="22"/>
          <w:szCs w:val="22"/>
          <w:highlight w:val="none"/>
          <w:lang w:val="zh-CN"/>
        </w:rPr>
        <w:t>投标报价明显高于其市场报价或报价明显不合理或者低于成本，且在规定时间内不能合理说明原因并提供证明材料的；</w:t>
      </w:r>
    </w:p>
    <w:p w14:paraId="7EBDD06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3.7</w:t>
      </w:r>
      <w:r>
        <w:rPr>
          <w:rFonts w:hint="eastAsia" w:ascii="宋体" w:hAnsi="宋体" w:eastAsia="宋体" w:cs="宋体"/>
          <w:i w:val="0"/>
          <w:iCs w:val="0"/>
          <w:color w:val="auto"/>
          <w:sz w:val="22"/>
          <w:szCs w:val="22"/>
          <w:highlight w:val="none"/>
          <w:lang w:val="zh-CN"/>
        </w:rPr>
        <w:t>投标文件内容不全或内容字迹模糊辨认不清的等而导致评标活动无法正常进行；</w:t>
      </w:r>
    </w:p>
    <w:p w14:paraId="16CE2B8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3.8</w:t>
      </w:r>
      <w:r>
        <w:rPr>
          <w:rFonts w:hint="eastAsia" w:ascii="宋体" w:hAnsi="宋体" w:eastAsia="宋体" w:cs="宋体"/>
          <w:i w:val="0"/>
          <w:iCs w:val="0"/>
          <w:color w:val="auto"/>
          <w:sz w:val="22"/>
          <w:szCs w:val="22"/>
          <w:highlight w:val="none"/>
          <w:lang w:val="zh-CN"/>
        </w:rPr>
        <w:t>供应商未按采购文件变更通知更改投标文件的；</w:t>
      </w:r>
    </w:p>
    <w:p w14:paraId="257FF558">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3.9</w:t>
      </w:r>
      <w:r>
        <w:rPr>
          <w:rFonts w:hint="eastAsia" w:ascii="宋体" w:hAnsi="宋体" w:eastAsia="宋体" w:cs="宋体"/>
          <w:i w:val="0"/>
          <w:iCs w:val="0"/>
          <w:color w:val="auto"/>
          <w:sz w:val="22"/>
          <w:szCs w:val="22"/>
          <w:highlight w:val="none"/>
          <w:lang w:val="zh-CN"/>
        </w:rPr>
        <w:t>未实质性响应采购文件中带“▲”条款要求的投标文件；</w:t>
      </w:r>
    </w:p>
    <w:p w14:paraId="308F6C7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3.10</w:t>
      </w:r>
      <w:r>
        <w:rPr>
          <w:rFonts w:hint="eastAsia" w:ascii="宋体" w:hAnsi="宋体" w:eastAsia="宋体" w:cs="宋体"/>
          <w:i w:val="0"/>
          <w:iCs w:val="0"/>
          <w:color w:val="auto"/>
          <w:sz w:val="22"/>
          <w:szCs w:val="22"/>
          <w:highlight w:val="none"/>
          <w:lang w:val="zh-CN"/>
        </w:rPr>
        <w:t>投标文件附有采购人不能接受的条款；</w:t>
      </w:r>
    </w:p>
    <w:p w14:paraId="2B5CADB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3.11</w:t>
      </w:r>
      <w:r>
        <w:rPr>
          <w:rFonts w:hint="eastAsia" w:ascii="宋体" w:hAnsi="宋体" w:eastAsia="宋体" w:cs="宋体"/>
          <w:i w:val="0"/>
          <w:iCs w:val="0"/>
          <w:color w:val="auto"/>
          <w:sz w:val="22"/>
          <w:szCs w:val="22"/>
          <w:highlight w:val="none"/>
          <w:lang w:val="zh-CN"/>
        </w:rPr>
        <w:t>投标文件中提供了与采购无关的赠品、回扣或者其他商品、服务；</w:t>
      </w:r>
    </w:p>
    <w:p w14:paraId="0BBC6AF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3.12</w:t>
      </w:r>
      <w:r>
        <w:rPr>
          <w:rFonts w:hint="eastAsia" w:ascii="宋体" w:hAnsi="宋体" w:eastAsia="宋体" w:cs="宋体"/>
          <w:i w:val="0"/>
          <w:iCs w:val="0"/>
          <w:color w:val="auto"/>
          <w:sz w:val="22"/>
          <w:szCs w:val="22"/>
          <w:highlight w:val="none"/>
          <w:lang w:val="zh-CN"/>
        </w:rPr>
        <w:t>供应商串通投标，妨碍其他供应商的竞争行为，损害采购人或者其他供应商的合法权益；</w:t>
      </w:r>
    </w:p>
    <w:p w14:paraId="32782DF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3.13</w:t>
      </w:r>
      <w:r>
        <w:rPr>
          <w:rFonts w:hint="eastAsia" w:ascii="宋体" w:hAnsi="宋体" w:eastAsia="宋体" w:cs="宋体"/>
          <w:i w:val="0"/>
          <w:iCs w:val="0"/>
          <w:color w:val="auto"/>
          <w:sz w:val="22"/>
          <w:szCs w:val="22"/>
          <w:highlight w:val="none"/>
          <w:lang w:val="zh-CN"/>
        </w:rPr>
        <w:t>违反国家及政府部门相关法律、法规、文件规定或经评标委员会认定的其他属于重大偏离。</w:t>
      </w:r>
    </w:p>
    <w:p w14:paraId="56F00E9C">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八</w:t>
      </w:r>
      <w:r>
        <w:rPr>
          <w:rFonts w:hint="eastAsia" w:ascii="宋体" w:hAnsi="宋体" w:eastAsia="宋体" w:cs="宋体"/>
          <w:b/>
          <w:color w:val="auto"/>
          <w:sz w:val="22"/>
          <w:szCs w:val="22"/>
          <w:highlight w:val="none"/>
          <w:lang w:val="zh-CN"/>
        </w:rPr>
        <w:t>）串通投标</w:t>
      </w:r>
    </w:p>
    <w:p w14:paraId="21484DA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有下列情形之一的，视为供应商串通投标：</w:t>
      </w:r>
    </w:p>
    <w:p w14:paraId="756034E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不同供应商的投标文件由同一单位或者个人编制；</w:t>
      </w:r>
    </w:p>
    <w:p w14:paraId="67EA9B4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不同供应商委托同一单位或者个人办理投标事宜；</w:t>
      </w:r>
    </w:p>
    <w:p w14:paraId="1ACB56F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不同供应商的投标文件载明的项目管理成员或者联系人员为同一人；</w:t>
      </w:r>
    </w:p>
    <w:p w14:paraId="4598BCF5">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不同供应商的投标文件异常一致或者投标报价呈规律性差异；</w:t>
      </w:r>
    </w:p>
    <w:p w14:paraId="715371C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5.</w:t>
      </w:r>
      <w:r>
        <w:rPr>
          <w:rFonts w:hint="eastAsia" w:ascii="宋体" w:hAnsi="宋体" w:eastAsia="宋体" w:cs="宋体"/>
          <w:i w:val="0"/>
          <w:iCs w:val="0"/>
          <w:color w:val="auto"/>
          <w:sz w:val="22"/>
          <w:szCs w:val="22"/>
          <w:highlight w:val="none"/>
          <w:lang w:val="zh-CN"/>
        </w:rPr>
        <w:t>不同供应商的投标文件相互混装。</w:t>
      </w:r>
    </w:p>
    <w:p w14:paraId="456B97B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九</w:t>
      </w:r>
      <w:r>
        <w:rPr>
          <w:rFonts w:hint="eastAsia" w:ascii="宋体" w:hAnsi="宋体" w:eastAsia="宋体" w:cs="宋体"/>
          <w:b/>
          <w:color w:val="auto"/>
          <w:sz w:val="22"/>
          <w:szCs w:val="22"/>
          <w:highlight w:val="none"/>
          <w:lang w:val="zh-CN"/>
        </w:rPr>
        <w:t>）评标</w:t>
      </w:r>
    </w:p>
    <w:p w14:paraId="28C07D01">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采购人将按相关规定组织评标委员会，对投标文件进行审查、比较和评价。</w:t>
      </w:r>
    </w:p>
    <w:p w14:paraId="16B607B0">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评标办法</w:t>
      </w:r>
    </w:p>
    <w:p w14:paraId="7F3B75E9">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评标办法详见第五章。</w:t>
      </w:r>
    </w:p>
    <w:p w14:paraId="62C83C66">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w:t>
      </w:r>
      <w:r>
        <w:rPr>
          <w:rFonts w:hint="eastAsia" w:ascii="宋体" w:hAnsi="宋体" w:eastAsia="宋体" w:cs="宋体"/>
          <w:b/>
          <w:color w:val="auto"/>
          <w:sz w:val="22"/>
          <w:szCs w:val="22"/>
          <w:highlight w:val="none"/>
          <w:lang w:val="zh-CN"/>
        </w:rPr>
        <w:t>）有效供应商少于三家的情况处理</w:t>
      </w:r>
    </w:p>
    <w:p w14:paraId="261A955F">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评审期间，出现符合资格条件的供应商或者对采购文件做出实质响应的供应商不足三家，采购人可选择以下方式之一处理：</w:t>
      </w:r>
    </w:p>
    <w:p w14:paraId="1CD2633D">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可将本标项作废标处理，重新组织采购；</w:t>
      </w:r>
    </w:p>
    <w:p w14:paraId="3AABC98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可按财政部门的审批意见采用其他采购方式组织采购；</w:t>
      </w:r>
    </w:p>
    <w:p w14:paraId="0A0F4852">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zh-CN"/>
        </w:rPr>
        <w:t>十一</w:t>
      </w:r>
      <w:r>
        <w:rPr>
          <w:rFonts w:hint="eastAsia" w:ascii="宋体" w:hAnsi="宋体" w:eastAsia="宋体" w:cs="宋体"/>
          <w:b/>
          <w:color w:val="auto"/>
          <w:sz w:val="22"/>
          <w:szCs w:val="22"/>
          <w:highlight w:val="none"/>
          <w:lang w:val="zh-CN"/>
        </w:rPr>
        <w:t>） 废标</w:t>
      </w:r>
    </w:p>
    <w:p w14:paraId="7D5E101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在招标采购中，出现下列情形之一的，应予废标：</w:t>
      </w:r>
    </w:p>
    <w:p w14:paraId="4C46FF36">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zh-CN"/>
        </w:rPr>
        <w:t>符合采购文件规定废标情形的；</w:t>
      </w:r>
    </w:p>
    <w:p w14:paraId="05F4BD92">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zh-CN"/>
        </w:rPr>
        <w:t>出现影响采购公正的违法、违规行为的；</w:t>
      </w:r>
    </w:p>
    <w:p w14:paraId="49D91154">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val="zh-CN"/>
        </w:rPr>
        <w:t>供应商的报价均超过了采购预算，采购人不能支付的；</w:t>
      </w:r>
    </w:p>
    <w:p w14:paraId="6974381C">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zh-CN"/>
        </w:rPr>
        <w:t>因重大变故，采购任务取消的；</w:t>
      </w:r>
    </w:p>
    <w:p w14:paraId="71D5E99A">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废标后，废标公告将在原招标公告发布媒体上发布。</w:t>
      </w:r>
    </w:p>
    <w:p w14:paraId="50F3B9CF">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w:t>
      </w:r>
      <w:r>
        <w:rPr>
          <w:rFonts w:hint="eastAsia" w:ascii="宋体" w:hAnsi="宋体" w:cs="宋体"/>
          <w:b/>
          <w:color w:val="auto"/>
          <w:sz w:val="22"/>
          <w:szCs w:val="22"/>
          <w:highlight w:val="none"/>
          <w:lang w:val="en-US" w:eastAsia="zh-CN"/>
        </w:rPr>
        <w:t>十二</w:t>
      </w:r>
      <w:r>
        <w:rPr>
          <w:rFonts w:hint="eastAsia" w:ascii="宋体" w:hAnsi="宋体" w:eastAsia="宋体" w:cs="宋体"/>
          <w:b/>
          <w:color w:val="auto"/>
          <w:sz w:val="22"/>
          <w:szCs w:val="22"/>
          <w:highlight w:val="none"/>
          <w:lang w:val="zh-CN"/>
        </w:rPr>
        <w:t>）评标过程的监控</w:t>
      </w:r>
    </w:p>
    <w:p w14:paraId="3AF6CF8E">
      <w:pPr>
        <w:pageBreakBefore w:val="0"/>
        <w:kinsoku/>
        <w:overflowPunct/>
        <w:topLinePunct w:val="0"/>
        <w:autoSpaceDE w:val="0"/>
        <w:autoSpaceDN w:val="0"/>
        <w:bidi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rPr>
      </w:pPr>
      <w:r>
        <w:rPr>
          <w:rFonts w:hint="eastAsia" w:ascii="宋体" w:hAnsi="宋体" w:eastAsia="宋体" w:cs="宋体"/>
          <w:i w:val="0"/>
          <w:iCs w:val="0"/>
          <w:color w:val="auto"/>
          <w:sz w:val="22"/>
          <w:szCs w:val="22"/>
          <w:highlight w:val="none"/>
          <w:lang w:val="zh-CN"/>
        </w:rPr>
        <w:t>本项目评标过程全程进行监控，投标人在评标过程中所进行的试图影响评标结果的不公正活动，可能导致其投标被拒绝。</w:t>
      </w:r>
    </w:p>
    <w:p w14:paraId="1D23940B">
      <w:pPr>
        <w:pageBreakBefore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2"/>
          <w:szCs w:val="22"/>
          <w:highlight w:val="none"/>
          <w:lang w:val="zh-CN"/>
        </w:rPr>
      </w:pPr>
      <w:r>
        <w:rPr>
          <w:rFonts w:hint="eastAsia" w:ascii="宋体" w:hAnsi="宋体" w:eastAsia="宋体" w:cs="宋体"/>
          <w:b/>
          <w:i w:val="0"/>
          <w:iCs w:val="0"/>
          <w:color w:val="auto"/>
          <w:sz w:val="28"/>
          <w:szCs w:val="28"/>
          <w:highlight w:val="none"/>
          <w:lang w:val="zh-CN"/>
        </w:rPr>
        <w:t>七、定标</w:t>
      </w:r>
    </w:p>
    <w:p w14:paraId="189D579E">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p>
    <w:p w14:paraId="4C2D96C1">
      <w:pPr>
        <w:pageBreakBefore w:val="0"/>
        <w:kinsoku/>
        <w:overflowPunct/>
        <w:topLinePunct w:val="0"/>
        <w:bidi w:val="0"/>
        <w:spacing w:line="420" w:lineRule="exact"/>
        <w:ind w:left="0" w:leftChars="0"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（一）确定中标人。</w:t>
      </w:r>
    </w:p>
    <w:p w14:paraId="29A0D5B5">
      <w:pPr>
        <w:pStyle w:val="23"/>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1.采购代理机构在评标结束后2个工作日内将评标报告交采购人确认.</w:t>
      </w:r>
    </w:p>
    <w:p w14:paraId="77332AD8">
      <w:pPr>
        <w:pStyle w:val="23"/>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2.供应商对评标结果无异议的，采购人应在收到评标报告后5个工作日内对评标结果进行确认。</w:t>
      </w:r>
    </w:p>
    <w:p w14:paraId="7646F993">
      <w:pPr>
        <w:pStyle w:val="23"/>
        <w:pageBreakBefore w:val="0"/>
        <w:tabs>
          <w:tab w:val="left" w:pos="900"/>
        </w:tabs>
        <w:kinsoku/>
        <w:overflowPunct/>
        <w:topLinePunct w:val="0"/>
        <w:bidi w:val="0"/>
        <w:spacing w:line="420" w:lineRule="exact"/>
        <w:ind w:left="0" w:leftChars="0" w:firstLine="442" w:firstLineChars="200"/>
        <w:textAlignment w:val="auto"/>
        <w:rPr>
          <w:rFonts w:hint="eastAsia" w:ascii="宋体" w:hAnsi="宋体" w:eastAsia="宋体" w:cs="宋体"/>
          <w:b/>
          <w:i w:val="0"/>
          <w:iCs w:val="0"/>
          <w:color w:val="auto"/>
          <w:kern w:val="2"/>
          <w:sz w:val="22"/>
          <w:szCs w:val="22"/>
          <w:highlight w:val="none"/>
          <w:lang w:val="en-US" w:eastAsia="zh-CN" w:bidi="ar-SA"/>
        </w:rPr>
      </w:pPr>
      <w:r>
        <w:rPr>
          <w:rFonts w:hint="eastAsia" w:ascii="宋体" w:hAnsi="宋体" w:eastAsia="宋体" w:cs="宋体"/>
          <w:b/>
          <w:i w:val="0"/>
          <w:iCs w:val="0"/>
          <w:color w:val="auto"/>
          <w:kern w:val="2"/>
          <w:sz w:val="22"/>
          <w:szCs w:val="22"/>
          <w:highlight w:val="none"/>
          <w:lang w:val="en-US" w:eastAsia="zh-CN" w:bidi="ar-SA"/>
        </w:rPr>
        <w:t>3.采购人依法确定中标人后，采购代理机构向中标人发出《中标通知书》。</w:t>
      </w:r>
    </w:p>
    <w:p w14:paraId="526D59AA">
      <w:pPr>
        <w:keepNext w:val="0"/>
        <w:keepLines w:val="0"/>
        <w:pageBreakBefore w:val="0"/>
        <w:widowControl w:val="0"/>
        <w:kinsoku/>
        <w:wordWrap/>
        <w:overflowPunct/>
        <w:topLinePunct w:val="0"/>
        <w:autoSpaceDE/>
        <w:autoSpaceDN/>
        <w:bidi w:val="0"/>
        <w:adjustRightInd/>
        <w:snapToGrid w:val="0"/>
        <w:spacing w:line="420" w:lineRule="exact"/>
        <w:ind w:left="0" w:leftChars="0" w:firstLine="562" w:firstLineChars="200"/>
        <w:jc w:val="center"/>
        <w:textAlignment w:val="auto"/>
        <w:outlineLvl w:val="1"/>
        <w:rPr>
          <w:rFonts w:hint="eastAsia" w:ascii="宋体" w:hAnsi="宋体" w:eastAsia="宋体" w:cs="宋体"/>
          <w:b/>
          <w:i w:val="0"/>
          <w:iCs w:val="0"/>
          <w:color w:val="auto"/>
          <w:sz w:val="28"/>
          <w:szCs w:val="28"/>
          <w:highlight w:val="none"/>
          <w:lang w:val="zh-CN"/>
        </w:rPr>
      </w:pPr>
      <w:r>
        <w:rPr>
          <w:rFonts w:hint="eastAsia" w:ascii="宋体" w:hAnsi="宋体" w:eastAsia="宋体" w:cs="宋体"/>
          <w:b/>
          <w:i w:val="0"/>
          <w:iCs w:val="0"/>
          <w:color w:val="auto"/>
          <w:sz w:val="28"/>
          <w:szCs w:val="28"/>
          <w:highlight w:val="none"/>
          <w:lang w:val="zh-CN"/>
        </w:rPr>
        <w:t>八、可中止电子交易活动的情形</w:t>
      </w:r>
    </w:p>
    <w:p w14:paraId="20514B72">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i w:val="0"/>
          <w:iCs w:val="0"/>
          <w:color w:val="auto"/>
          <w:sz w:val="22"/>
          <w:szCs w:val="22"/>
          <w:highlight w:val="none"/>
        </w:rPr>
      </w:pPr>
    </w:p>
    <w:p w14:paraId="3F75DD74">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采购过程中出现以下情形，导致电子交易平台无法正常运行，或者无法保证电子交易的公平、公正和安全时，采购组织机构可中止电子交易活动：</w:t>
      </w:r>
    </w:p>
    <w:p w14:paraId="581ACA90">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电子交易平台发生故障而无法登录访问的；</w:t>
      </w:r>
    </w:p>
    <w:p w14:paraId="70E2CAE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电子交易平台应用或数据库出现错误，不能进行正常操作的；</w:t>
      </w:r>
    </w:p>
    <w:p w14:paraId="34961F92">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电子交易平台发现严重安全漏洞，有潜在泄密危险的；</w:t>
      </w:r>
    </w:p>
    <w:p w14:paraId="0669E5A3">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病毒发作导致不能进行正常操作的；</w:t>
      </w:r>
    </w:p>
    <w:p w14:paraId="5BC42F36">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其他无法保证电子交易的公平、公正和安全的情况。</w:t>
      </w:r>
    </w:p>
    <w:p w14:paraId="2F6B6356">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出现前款规定情形，不影响采购公平、公正性的，采购组织机构可以待上述情形消除后继续组织电子交易活动；影响或可能影响采购公平、公正性的，应当重新采购。</w:t>
      </w:r>
    </w:p>
    <w:bookmarkEnd w:id="67"/>
    <w:bookmarkEnd w:id="68"/>
    <w:bookmarkEnd w:id="69"/>
    <w:p w14:paraId="576B2281">
      <w:pPr>
        <w:pageBreakBefore w:val="0"/>
        <w:shd w:val="clear" w:color="auto" w:fill="FFFFFF"/>
        <w:kinsoku/>
        <w:wordWrap/>
        <w:overflowPunct/>
        <w:topLinePunct w:val="0"/>
        <w:bidi w:val="0"/>
        <w:snapToGrid w:val="0"/>
        <w:spacing w:line="420" w:lineRule="exact"/>
        <w:ind w:left="0" w:leftChars="0" w:firstLine="442" w:firstLineChars="200"/>
        <w:jc w:val="center"/>
        <w:textAlignment w:val="auto"/>
        <w:outlineLvl w:val="1"/>
        <w:rPr>
          <w:rFonts w:hint="eastAsia" w:ascii="宋体" w:hAnsi="宋体" w:cs="宋体"/>
          <w:b/>
          <w:bCs/>
          <w:i w:val="0"/>
          <w:iCs w:val="0"/>
          <w:color w:val="auto"/>
          <w:sz w:val="22"/>
          <w:szCs w:val="22"/>
          <w:highlight w:val="none"/>
        </w:rPr>
      </w:pPr>
      <w:bookmarkStart w:id="70" w:name="_Toc86216995"/>
      <w:bookmarkStart w:id="71" w:name="_Toc33194399"/>
      <w:bookmarkStart w:id="72" w:name="_Toc233618979"/>
      <w:bookmarkStart w:id="73" w:name="_Toc354996703"/>
      <w:bookmarkStart w:id="74" w:name="_Toc91899910"/>
    </w:p>
    <w:p w14:paraId="18691BAB">
      <w:pPr>
        <w:pageBreakBefore w:val="0"/>
        <w:shd w:val="clear" w:color="auto" w:fill="FFFFFF"/>
        <w:kinsoku/>
        <w:wordWrap/>
        <w:overflowPunct/>
        <w:topLinePunct w:val="0"/>
        <w:bidi w:val="0"/>
        <w:snapToGrid w:val="0"/>
        <w:spacing w:line="420" w:lineRule="exact"/>
        <w:ind w:left="0" w:leftChars="0" w:firstLine="3092" w:firstLineChars="1100"/>
        <w:jc w:val="both"/>
        <w:textAlignment w:val="auto"/>
        <w:outlineLvl w:val="1"/>
        <w:rPr>
          <w:rFonts w:hint="eastAsia" w:ascii="宋体" w:hAnsi="宋体" w:cs="宋体"/>
          <w:b/>
          <w:bCs/>
          <w:i w:val="0"/>
          <w:iCs w:val="0"/>
          <w:color w:val="auto"/>
          <w:sz w:val="28"/>
          <w:szCs w:val="28"/>
          <w:highlight w:val="none"/>
        </w:rPr>
      </w:pPr>
      <w:r>
        <w:rPr>
          <w:rFonts w:hint="eastAsia" w:ascii="宋体" w:hAnsi="宋体" w:cs="宋体"/>
          <w:b/>
          <w:bCs/>
          <w:i w:val="0"/>
          <w:iCs w:val="0"/>
          <w:color w:val="auto"/>
          <w:sz w:val="28"/>
          <w:szCs w:val="28"/>
          <w:highlight w:val="none"/>
          <w:lang w:eastAsia="zh-CN"/>
        </w:rPr>
        <w:t>九</w:t>
      </w:r>
      <w:r>
        <w:rPr>
          <w:rFonts w:hint="eastAsia" w:ascii="宋体" w:hAnsi="宋体" w:cs="宋体"/>
          <w:b/>
          <w:bCs/>
          <w:i w:val="0"/>
          <w:iCs w:val="0"/>
          <w:color w:val="auto"/>
          <w:sz w:val="28"/>
          <w:szCs w:val="28"/>
          <w:highlight w:val="none"/>
        </w:rPr>
        <w:t>、</w:t>
      </w:r>
      <w:bookmarkEnd w:id="70"/>
      <w:r>
        <w:rPr>
          <w:rFonts w:hint="eastAsia" w:ascii="宋体" w:hAnsi="宋体" w:cs="宋体"/>
          <w:b/>
          <w:bCs/>
          <w:i w:val="0"/>
          <w:iCs w:val="0"/>
          <w:color w:val="auto"/>
          <w:sz w:val="28"/>
          <w:szCs w:val="28"/>
          <w:highlight w:val="none"/>
        </w:rPr>
        <w:t>合同签订及其他</w:t>
      </w:r>
      <w:bookmarkEnd w:id="71"/>
      <w:bookmarkEnd w:id="72"/>
      <w:bookmarkEnd w:id="73"/>
    </w:p>
    <w:bookmarkEnd w:id="74"/>
    <w:p w14:paraId="043C823B">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p>
    <w:p w14:paraId="50D4F747">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（一）签订合同</w:t>
      </w:r>
    </w:p>
    <w:p w14:paraId="5B6CB39A">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采购人与中标人应当在《中标通知书》发出之日起30日内签订政府采购合同。</w:t>
      </w:r>
    </w:p>
    <w:p w14:paraId="5BFB3EB1">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中标人拖延、拒签合同的,应当按照本项目采购预算价2%的标准承担因此给采购单位造成的损失的赔偿责任及相应的法律责任。</w:t>
      </w:r>
    </w:p>
    <w:p w14:paraId="109586F5">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（二）履约保证金</w:t>
      </w:r>
    </w:p>
    <w:p w14:paraId="6CCE6C37">
      <w:pPr>
        <w:keepNext w:val="0"/>
        <w:keepLines w:val="0"/>
        <w:pageBreakBefore w:val="0"/>
        <w:widowControl w:val="0"/>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zh-CN" w:eastAsia="zh-CN"/>
        </w:rPr>
      </w:pPr>
      <w:r>
        <w:rPr>
          <w:rFonts w:hint="eastAsia" w:ascii="宋体" w:hAnsi="宋体" w:eastAsia="宋体" w:cs="宋体"/>
          <w:i w:val="0"/>
          <w:iCs w:val="0"/>
          <w:color w:val="auto"/>
          <w:sz w:val="22"/>
          <w:szCs w:val="22"/>
          <w:highlight w:val="none"/>
          <w:lang w:val="en-US" w:eastAsia="zh-CN"/>
        </w:rPr>
        <w:t>无</w:t>
      </w:r>
    </w:p>
    <w:p w14:paraId="01BFEAF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lang w:eastAsia="zh-CN"/>
        </w:rPr>
        <w:t>（三）服务</w:t>
      </w:r>
      <w:r>
        <w:rPr>
          <w:rFonts w:hint="eastAsia" w:ascii="宋体" w:hAnsi="宋体" w:eastAsia="宋体" w:cs="宋体"/>
          <w:b/>
          <w:bCs/>
          <w:i w:val="0"/>
          <w:iCs w:val="0"/>
          <w:color w:val="auto"/>
          <w:sz w:val="22"/>
          <w:szCs w:val="22"/>
          <w:highlight w:val="none"/>
        </w:rPr>
        <w:t>期：</w:t>
      </w:r>
    </w:p>
    <w:p w14:paraId="044E6E5A">
      <w:pPr>
        <w:pageBreakBefore w:val="0"/>
        <w:kinsoku/>
        <w:wordWrap/>
        <w:overflowPunct/>
        <w:topLinePunct w:val="0"/>
        <w:autoSpaceDE/>
        <w:autoSpaceDN/>
        <w:bidi w:val="0"/>
        <w:adjustRightInd/>
        <w:spacing w:line="420" w:lineRule="exact"/>
        <w:ind w:left="0" w:leftChars="0" w:firstLine="440"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cs="宋体"/>
          <w:i w:val="0"/>
          <w:iCs w:val="0"/>
          <w:color w:val="auto"/>
          <w:sz w:val="22"/>
          <w:szCs w:val="22"/>
          <w:highlight w:val="none"/>
          <w:lang w:eastAsia="zh-CN"/>
        </w:rPr>
        <w:t>一年（2025年8月1日—2026年7月31日）</w:t>
      </w:r>
      <w:r>
        <w:rPr>
          <w:rFonts w:hint="eastAsia" w:ascii="宋体" w:hAnsi="宋体" w:eastAsia="宋体" w:cs="宋体"/>
          <w:i w:val="0"/>
          <w:iCs w:val="0"/>
          <w:color w:val="auto"/>
          <w:sz w:val="22"/>
          <w:szCs w:val="22"/>
          <w:highlight w:val="none"/>
          <w:lang w:val="en-US" w:eastAsia="zh-CN"/>
        </w:rPr>
        <w:t>。</w:t>
      </w:r>
    </w:p>
    <w:p w14:paraId="537A082A">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val="zh-CN" w:eastAsia="zh-CN"/>
        </w:rPr>
      </w:pPr>
      <w:r>
        <w:rPr>
          <w:rFonts w:hint="eastAsia" w:ascii="宋体" w:hAnsi="宋体" w:eastAsia="宋体" w:cs="宋体"/>
          <w:b/>
          <w:bCs/>
          <w:i w:val="0"/>
          <w:iCs w:val="0"/>
          <w:color w:val="auto"/>
          <w:sz w:val="22"/>
          <w:szCs w:val="22"/>
          <w:highlight w:val="none"/>
          <w:lang w:eastAsia="zh-CN"/>
        </w:rPr>
        <w:t>（四）采购方式改变</w:t>
      </w:r>
    </w:p>
    <w:p w14:paraId="585EB2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eastAsia="宋体" w:cs="宋体"/>
          <w:i w:val="0"/>
          <w:iCs w:val="0"/>
          <w:color w:val="auto"/>
          <w:sz w:val="22"/>
          <w:szCs w:val="22"/>
          <w:highlight w:val="none"/>
          <w:lang w:val="zh-CN"/>
        </w:rPr>
        <w:t>将根据《政府采购货物和服务招标投标管理办法》(财政部第</w:t>
      </w:r>
      <w:r>
        <w:rPr>
          <w:rFonts w:hint="eastAsia" w:ascii="宋体" w:hAnsi="宋体" w:eastAsia="宋体" w:cs="宋体"/>
          <w:i w:val="0"/>
          <w:iCs w:val="0"/>
          <w:color w:val="auto"/>
          <w:sz w:val="22"/>
          <w:szCs w:val="22"/>
          <w:highlight w:val="none"/>
        </w:rPr>
        <w:t>87</w:t>
      </w:r>
      <w:r>
        <w:rPr>
          <w:rFonts w:hint="eastAsia" w:ascii="宋体" w:hAnsi="宋体" w:eastAsia="宋体" w:cs="宋体"/>
          <w:i w:val="0"/>
          <w:iCs w:val="0"/>
          <w:color w:val="auto"/>
          <w:sz w:val="22"/>
          <w:szCs w:val="22"/>
          <w:highlight w:val="none"/>
          <w:lang w:val="zh-CN"/>
        </w:rPr>
        <w:t>号令)，</w:t>
      </w:r>
      <w:r>
        <w:rPr>
          <w:rFonts w:hint="eastAsia" w:ascii="宋体" w:hAnsi="宋体" w:eastAsia="宋体" w:cs="宋体"/>
          <w:i w:val="0"/>
          <w:iCs w:val="0"/>
          <w:color w:val="auto"/>
          <w:sz w:val="22"/>
          <w:szCs w:val="22"/>
          <w:highlight w:val="none"/>
        </w:rPr>
        <w:t>重新选择合适的方式进行采购。</w:t>
      </w:r>
    </w:p>
    <w:p w14:paraId="412E632B">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（五）售后服务考核</w:t>
      </w:r>
    </w:p>
    <w:p w14:paraId="6B4155FC">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采购单位将依据政府采购相关法律法规不定期对合同的履约情况进行检查，发现弄虚作假，达不到国家、行业有关标准和技术文件规定的，给采购人造成损失的，服务商须承担赔偿责任，采购人有权终止合同，并上报政府采购管理办公室。采购人如果认为有必要邀请专家参与考核，中标单位应配合，考核标准另行制定和发布。</w:t>
      </w:r>
    </w:p>
    <w:p w14:paraId="6CDA3D16">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eastAsia="zh-CN"/>
        </w:rPr>
        <w:t>（六）质疑和投诉</w:t>
      </w:r>
    </w:p>
    <w:p w14:paraId="5B383F0F">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根据《中华人民共和国政府采购法》和《政府采购质疑和投诉办法》(财政部令第94号)的规定，投标人对政府采购活动事项有疑问的，可以向招标人和招标代理机构提出询问，招标人和招标代理机构应当及时</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 xml:space="preserve">出答复，但答复的内容不得涉及商业秘密。  </w:t>
      </w:r>
    </w:p>
    <w:p w14:paraId="2CC14071">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供应商认为招标文件、采购过程和成交、成交结果使自己的权益受到损害的，可以在知道或者应知其权益受到损害之日起七个工作日内，以书面形式向采购人、采购代理机构提出质疑。</w:t>
      </w:r>
    </w:p>
    <w:p w14:paraId="5FA4ACB2">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（1）对可以质疑的招标文件提出质疑的，为收到招标文件之日或者招标文件公告期限届满之日；</w:t>
      </w:r>
    </w:p>
    <w:p w14:paraId="49A05420">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（2）对采购过程提出质疑的，为各采购程序环节结束之日；</w:t>
      </w:r>
    </w:p>
    <w:p w14:paraId="4B5F8E86">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（3）对成交结果提出质疑的，为成交结果公告期限届满之日。</w:t>
      </w:r>
    </w:p>
    <w:p w14:paraId="71E73E2E">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采购人或者采购代理机构应当在3个工作日内对供应商依法提出的询问</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出答复。</w:t>
      </w:r>
    </w:p>
    <w:p w14:paraId="47FD54E3">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供应商提出的询问或者质疑超出采购人对采购代理机构委托授权范围的，采购代理机构应当告知供应商向采购人提出。</w:t>
      </w:r>
    </w:p>
    <w:p w14:paraId="01B96ADE">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政府采购评审专家应当配合采购人或者采购代理机构答复供应商的询问和质疑。</w:t>
      </w:r>
    </w:p>
    <w:p w14:paraId="0355F0C4">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质疑供应商对采购人、采购代理机构的答复不满意或者采购人、采购代理机构未在规定时间内</w:t>
      </w:r>
      <w:r>
        <w:rPr>
          <w:rFonts w:hint="eastAsia" w:ascii="宋体" w:hAnsi="宋体" w:eastAsia="宋体" w:cs="宋体"/>
          <w:i w:val="0"/>
          <w:iCs w:val="0"/>
          <w:color w:val="auto"/>
          <w:sz w:val="22"/>
          <w:szCs w:val="22"/>
          <w:highlight w:val="none"/>
          <w:lang w:eastAsia="zh-CN"/>
        </w:rPr>
        <w:t>做</w:t>
      </w:r>
      <w:r>
        <w:rPr>
          <w:rFonts w:hint="eastAsia" w:ascii="宋体" w:hAnsi="宋体" w:eastAsia="宋体" w:cs="宋体"/>
          <w:i w:val="0"/>
          <w:iCs w:val="0"/>
          <w:color w:val="auto"/>
          <w:sz w:val="22"/>
          <w:szCs w:val="22"/>
          <w:highlight w:val="none"/>
        </w:rPr>
        <w:t>出答复的，可以在答复期满后十五个工作日内向同级政府采购监管部门投诉。</w:t>
      </w:r>
    </w:p>
    <w:p w14:paraId="29590997">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要求投标人在法定质疑期内一次性提出针对同一招标程序环节的质疑。</w:t>
      </w:r>
    </w:p>
    <w:p w14:paraId="07D84515">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D80337">
      <w:pPr>
        <w:pageBreakBefore w:val="0"/>
        <w:kinsoku/>
        <w:wordWrap/>
        <w:overflowPunct/>
        <w:topLinePunct w:val="0"/>
        <w:autoSpaceDE/>
        <w:autoSpaceDN/>
        <w:bidi w:val="0"/>
        <w:adjustRightInd/>
        <w:spacing w:line="420" w:lineRule="exact"/>
        <w:ind w:left="0" w:leftChars="0" w:firstLine="442" w:firstLineChars="200"/>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zh-CN" w:eastAsia="zh-CN"/>
        </w:rPr>
        <w:t>（七）</w:t>
      </w:r>
      <w:r>
        <w:rPr>
          <w:rFonts w:hint="eastAsia" w:ascii="宋体" w:hAnsi="宋体" w:eastAsia="宋体" w:cs="宋体"/>
          <w:b/>
          <w:bCs/>
          <w:i w:val="0"/>
          <w:iCs w:val="0"/>
          <w:color w:val="auto"/>
          <w:sz w:val="22"/>
          <w:szCs w:val="22"/>
          <w:highlight w:val="none"/>
          <w:lang w:eastAsia="zh-CN"/>
        </w:rPr>
        <w:t>解释权</w:t>
      </w:r>
    </w:p>
    <w:p w14:paraId="0EEC45F7">
      <w:pPr>
        <w:keepNext w:val="0"/>
        <w:keepLines w:val="0"/>
        <w:pageBreakBefore w:val="0"/>
        <w:widowControl w:val="0"/>
        <w:shd w:val="clear" w:color="auto" w:fill="FFFFFF"/>
        <w:kinsoku/>
        <w:wordWrap/>
        <w:overflowPunct/>
        <w:topLinePunct w:val="0"/>
        <w:autoSpaceDE/>
        <w:autoSpaceDN/>
        <w:bidi w:val="0"/>
        <w:adjustRightInd/>
        <w:snapToGrid w:val="0"/>
        <w:spacing w:line="420" w:lineRule="exact"/>
        <w:ind w:left="0" w:leftChars="0" w:firstLine="440" w:firstLineChars="200"/>
        <w:textAlignment w:val="auto"/>
        <w:rPr>
          <w:rFonts w:hint="eastAsia" w:ascii="宋体" w:hAnsi="宋体" w:eastAsia="宋体" w:cs="宋体"/>
          <w:i w:val="0"/>
          <w:iCs w:val="0"/>
          <w:color w:val="auto"/>
          <w:spacing w:val="-11"/>
          <w:sz w:val="22"/>
          <w:szCs w:val="22"/>
          <w:highlight w:val="none"/>
        </w:rPr>
      </w:pPr>
      <w:r>
        <w:rPr>
          <w:rFonts w:hint="eastAsia" w:ascii="宋体" w:hAnsi="宋体" w:eastAsia="宋体" w:cs="宋体"/>
          <w:i w:val="0"/>
          <w:iCs w:val="0"/>
          <w:color w:val="auto"/>
          <w:sz w:val="22"/>
          <w:szCs w:val="22"/>
          <w:highlight w:val="none"/>
        </w:rPr>
        <w:t>招标文件的解释权均属于</w:t>
      </w:r>
      <w:r>
        <w:rPr>
          <w:rFonts w:hint="eastAsia" w:ascii="宋体" w:hAnsi="宋体" w:eastAsia="宋体" w:cs="宋体"/>
          <w:i w:val="0"/>
          <w:iCs w:val="0"/>
          <w:color w:val="auto"/>
          <w:sz w:val="22"/>
          <w:szCs w:val="22"/>
          <w:highlight w:val="none"/>
          <w:lang w:val="en-US" w:eastAsia="zh-CN"/>
        </w:rPr>
        <w:t>衢州市生态环境局</w:t>
      </w:r>
      <w:r>
        <w:rPr>
          <w:rFonts w:hint="eastAsia" w:ascii="宋体" w:hAnsi="宋体" w:eastAsia="宋体" w:cs="宋体"/>
          <w:i w:val="0"/>
          <w:iCs w:val="0"/>
          <w:color w:val="auto"/>
          <w:sz w:val="22"/>
          <w:szCs w:val="22"/>
          <w:highlight w:val="none"/>
        </w:rPr>
        <w:t>和</w:t>
      </w:r>
      <w:r>
        <w:rPr>
          <w:rFonts w:hint="eastAsia" w:ascii="宋体" w:hAnsi="宋体" w:eastAsia="宋体" w:cs="宋体"/>
          <w:i w:val="0"/>
          <w:iCs w:val="0"/>
          <w:color w:val="auto"/>
          <w:sz w:val="22"/>
          <w:szCs w:val="22"/>
          <w:highlight w:val="none"/>
          <w:lang w:eastAsia="zh-CN"/>
        </w:rPr>
        <w:t>浙江中兰工程项目管理有限公司</w:t>
      </w:r>
      <w:r>
        <w:rPr>
          <w:rFonts w:hint="eastAsia" w:ascii="宋体" w:hAnsi="宋体" w:eastAsia="宋体" w:cs="宋体"/>
          <w:i w:val="0"/>
          <w:iCs w:val="0"/>
          <w:color w:val="auto"/>
          <w:spacing w:val="-11"/>
          <w:sz w:val="22"/>
          <w:szCs w:val="22"/>
          <w:highlight w:val="none"/>
        </w:rPr>
        <w:t>。</w:t>
      </w:r>
    </w:p>
    <w:p w14:paraId="367782BD">
      <w:pPr>
        <w:pageBreakBefore/>
        <w:shd w:val="clear" w:color="auto" w:fill="FFFFFF"/>
        <w:snapToGrid w:val="0"/>
        <w:spacing w:line="360" w:lineRule="auto"/>
        <w:jc w:val="center"/>
        <w:outlineLvl w:val="0"/>
        <w:rPr>
          <w:rFonts w:hint="eastAsia" w:ascii="宋体" w:hAnsi="宋体" w:eastAsia="宋体" w:cs="宋体"/>
          <w:b/>
          <w:bCs w:val="0"/>
          <w:i w:val="0"/>
          <w:iCs w:val="0"/>
          <w:color w:val="auto"/>
          <w:kern w:val="2"/>
          <w:sz w:val="24"/>
          <w:szCs w:val="24"/>
          <w:highlight w:val="none"/>
          <w:lang w:eastAsia="zh-CN"/>
        </w:rPr>
      </w:pPr>
      <w:bookmarkStart w:id="75" w:name="_Toc33194400"/>
      <w:bookmarkStart w:id="76" w:name="_Toc33194401"/>
      <w:bookmarkStart w:id="77" w:name="_Toc354996706"/>
      <w:bookmarkStart w:id="78" w:name="_Toc233618986"/>
      <w:bookmarkStart w:id="79" w:name="_Toc86217003"/>
      <w:r>
        <w:rPr>
          <w:rFonts w:hint="eastAsia" w:ascii="宋体" w:hAnsi="宋体" w:cs="宋体"/>
          <w:b/>
          <w:bCs/>
          <w:i w:val="0"/>
          <w:iCs w:val="0"/>
          <w:color w:val="auto"/>
          <w:sz w:val="36"/>
          <w:szCs w:val="36"/>
          <w:highlight w:val="none"/>
        </w:rPr>
        <w:t xml:space="preserve">第三部分  </w:t>
      </w:r>
      <w:bookmarkEnd w:id="75"/>
      <w:r>
        <w:rPr>
          <w:rFonts w:hint="eastAsia" w:ascii="宋体" w:hAnsi="宋体" w:cs="宋体"/>
          <w:b/>
          <w:bCs/>
          <w:i w:val="0"/>
          <w:iCs w:val="0"/>
          <w:color w:val="auto"/>
          <w:sz w:val="36"/>
          <w:szCs w:val="36"/>
          <w:highlight w:val="none"/>
          <w:lang w:eastAsia="zh-CN"/>
        </w:rPr>
        <w:t>采购需求</w:t>
      </w:r>
      <w:bookmarkEnd w:id="76"/>
    </w:p>
    <w:p w14:paraId="19C6511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一、采购依据</w:t>
      </w:r>
    </w:p>
    <w:p w14:paraId="3A1D498F">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HYPERLINK "https://www.so.com/link?m=amDGqIjfvJACJD/DKFb2e0nO3i4JweHgPxLMh/m9kvif8HUfirGTmMWBOwfJiqx898wJztxkLTOj2j9Vm9xnFRHrHiC0PAdW8eXTW+ZB7wi2TZ+3kHjofrTjrXq2YAQaImc7EPfBGg4pQ+Pc/jJu/PPa4DmrqKn/iSJYFKa4AV8tjkQO33nc/iWVnSyENZK3QliK1J5P8YET5Lp/Bg+W3y8Xd5LBFXZbbTE/AEPtsfbD5rborC7kCNj8Kw+Lx2M/dPLKmfc4IH+bwq5a3vmQrF1Ha46Oe1eE9PfxVO5pU2cD9VJrNCywBEkr+eCPyrJDfm7lhOXeODPy1XLUBej+Fv3zScZaHj/CZ6ByNyIufgOKkR+tQhbBXL317xazzSK4Iq1jhZ9h86IDOHHe3QcLu/iyTnyN13lqJnCreqvkfQMv4k0QJCgXPElG1ga9beqwwRDxdxY5VjW5p5Vv7Acp1NwzbnYEUpEb7ymSOs4Vh7bdLiJ3Y" \t "https://www.so.com/_blank"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建设项目环境保护管理条例</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（2017年修订）》</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《关于加强环境影响报告书（表）编制质量监管工作的通知》（环办环评函〔2020〕181号）</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《关于进一步深化环境影响评价改革的通知》（环环评〔2024〕65号）</w:t>
      </w:r>
      <w:r>
        <w:rPr>
          <w:rFonts w:hint="eastAsia" w:ascii="宋体" w:hAnsi="宋体" w:cs="宋体"/>
          <w:color w:val="auto"/>
          <w:sz w:val="22"/>
          <w:szCs w:val="22"/>
          <w:highlight w:val="none"/>
          <w:lang w:val="en-US" w:eastAsia="zh-CN"/>
        </w:rPr>
        <w:t>拟对</w:t>
      </w:r>
      <w:r>
        <w:rPr>
          <w:rFonts w:hint="eastAsia" w:ascii="宋体" w:hAnsi="宋体" w:eastAsia="宋体" w:cs="宋体"/>
          <w:color w:val="auto"/>
          <w:sz w:val="20"/>
          <w:szCs w:val="22"/>
          <w:lang w:eastAsia="zh-CN"/>
        </w:rPr>
        <w:t>2025年建设项目环境影响评价技术评估进行公开招标。</w:t>
      </w:r>
    </w:p>
    <w:p w14:paraId="745C738E">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firstLine="442" w:firstLineChars="200"/>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lang w:val="en-US" w:eastAsia="zh-CN"/>
        </w:rPr>
        <w:t>二、采购</w:t>
      </w:r>
      <w:r>
        <w:rPr>
          <w:rFonts w:hint="eastAsia" w:ascii="宋体" w:hAnsi="宋体" w:eastAsia="宋体" w:cs="宋体"/>
          <w:b/>
          <w:bCs/>
          <w:color w:val="auto"/>
          <w:sz w:val="22"/>
          <w:szCs w:val="22"/>
          <w:highlight w:val="none"/>
          <w:lang w:eastAsia="zh-CN"/>
        </w:rPr>
        <w:t>内容</w:t>
      </w:r>
    </w:p>
    <w:p w14:paraId="6E23E9B4">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Chars="0"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1.环评技术评估和重大项目环保决策。</w:t>
      </w:r>
    </w:p>
    <w:p w14:paraId="3F744CC6">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Chars="0"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环评技术评估：建设项目环境影响报告书（包括涉及敏感目标或污染较大、影响较大的报告表）的编制规范性检查和技术评估，并提交评估报告。年均数量（不包括智造新城）约为60个</w:t>
      </w:r>
      <w:r>
        <w:rPr>
          <w:rFonts w:hint="eastAsia" w:ascii="宋体" w:hAnsi="宋体" w:cs="宋体"/>
          <w:color w:val="auto"/>
          <w:sz w:val="22"/>
          <w:szCs w:val="22"/>
          <w:highlight w:val="none"/>
          <w:lang w:val="en-US" w:eastAsia="zh-CN"/>
        </w:rPr>
        <w:t>。</w:t>
      </w:r>
    </w:p>
    <w:p w14:paraId="630FAEF3">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Chars="0"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重大项目环保决策咨询服务：对新落地重大项目或原有企业新增产品，且环境影响风险较大的项目开展项目落地环保决策咨询服务，数量约为10个。因重大项目环保决策咨询服务非常态化工作，数量难以预计，因此签订合同时将这项工作与环评技术评估数量合并。</w:t>
      </w:r>
    </w:p>
    <w:p w14:paraId="19A8322F">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spacing w:line="460" w:lineRule="exact"/>
        <w:ind w:left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环评质量技术复核服务。</w:t>
      </w:r>
    </w:p>
    <w:p w14:paraId="3696DD1E">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snapToGrid/>
        <w:spacing w:line="460" w:lineRule="exact"/>
        <w:ind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每季度组织一次环评报告质量复核工作，对编制单位和编制人员相关情况进行抽查。按照常规环评复核工作计划及今年全省环评领域专项行动工作部署要求，</w:t>
      </w:r>
      <w:r>
        <w:rPr>
          <w:rFonts w:hint="eastAsia" w:ascii="宋体" w:hAnsi="宋体" w:cs="宋体"/>
          <w:color w:val="auto"/>
          <w:sz w:val="22"/>
          <w:szCs w:val="22"/>
          <w:highlight w:val="none"/>
          <w:lang w:val="en-US" w:eastAsia="zh-CN"/>
        </w:rPr>
        <w:t>采购人需</w:t>
      </w:r>
      <w:r>
        <w:rPr>
          <w:rFonts w:hint="eastAsia" w:ascii="宋体" w:hAnsi="宋体" w:eastAsia="宋体" w:cs="宋体"/>
          <w:color w:val="auto"/>
          <w:sz w:val="22"/>
          <w:szCs w:val="22"/>
          <w:highlight w:val="none"/>
          <w:lang w:val="en-US" w:eastAsia="zh-CN"/>
        </w:rPr>
        <w:t>对近年来全市审批的环评文件进行抽查，抽查数量不低于150家。</w:t>
      </w:r>
      <w:r>
        <w:rPr>
          <w:rFonts w:hint="eastAsia" w:ascii="宋体" w:hAnsi="宋体" w:cs="宋体"/>
          <w:color w:val="auto"/>
          <w:sz w:val="22"/>
          <w:szCs w:val="22"/>
          <w:highlight w:val="none"/>
          <w:lang w:val="en-US" w:eastAsia="zh-CN"/>
        </w:rPr>
        <w:t>中标服务商须提供</w:t>
      </w:r>
      <w:r>
        <w:rPr>
          <w:rFonts w:hint="eastAsia" w:ascii="宋体" w:hAnsi="宋体" w:eastAsia="宋体" w:cs="宋体"/>
          <w:color w:val="auto"/>
          <w:sz w:val="22"/>
          <w:szCs w:val="22"/>
          <w:highlight w:val="none"/>
          <w:lang w:val="en-US" w:eastAsia="zh-CN"/>
        </w:rPr>
        <w:t>环评质量技术复核服务。</w:t>
      </w:r>
    </w:p>
    <w:p w14:paraId="1B1BB1C8">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437" w:leftChars="208" w:firstLine="0" w:firstLineChars="0"/>
        <w:jc w:val="left"/>
        <w:textAlignment w:val="auto"/>
        <w:outlineLvl w:val="2"/>
        <w:rPr>
          <w:rFonts w:hint="eastAsia" w:ascii="宋体" w:hAnsi="宋体" w:eastAsia="宋体" w:cs="宋体"/>
          <w:b/>
          <w:bCs/>
          <w:color w:val="auto"/>
          <w:kern w:val="0"/>
          <w:sz w:val="22"/>
          <w:szCs w:val="22"/>
          <w:highlight w:val="none"/>
          <w:lang w:val="en" w:eastAsia="zh-CN"/>
        </w:rPr>
      </w:pPr>
      <w:r>
        <w:rPr>
          <w:rFonts w:hint="eastAsia" w:ascii="宋体" w:hAnsi="宋体" w:cs="宋体"/>
          <w:color w:val="auto"/>
          <w:sz w:val="22"/>
          <w:szCs w:val="22"/>
          <w:highlight w:val="none"/>
          <w:lang w:val="en-US" w:eastAsia="zh-CN"/>
        </w:rPr>
        <w:t>注：以上工作量采用单价按实结算，但最终结算总价不超合同总价。</w:t>
      </w:r>
      <w:r>
        <w:rPr>
          <w:rFonts w:hint="eastAsia" w:ascii="宋体" w:hAnsi="宋体" w:cs="宋体"/>
          <w:color w:val="auto"/>
          <w:sz w:val="22"/>
          <w:szCs w:val="22"/>
          <w:highlight w:val="none"/>
          <w:lang w:val="en-US" w:eastAsia="zh-CN"/>
        </w:rPr>
        <w:br w:type="textWrapping"/>
      </w:r>
      <w:r>
        <w:rPr>
          <w:rFonts w:hint="eastAsia" w:ascii="宋体" w:hAnsi="宋体" w:eastAsia="宋体" w:cs="宋体"/>
          <w:b/>
          <w:bCs/>
          <w:color w:val="auto"/>
          <w:kern w:val="0"/>
          <w:sz w:val="22"/>
          <w:szCs w:val="22"/>
          <w:highlight w:val="none"/>
          <w:lang w:val="en-US" w:eastAsia="zh-CN"/>
        </w:rPr>
        <w:t>三、项目要求</w:t>
      </w:r>
    </w:p>
    <w:p w14:paraId="686C6CAC">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Chars="0"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snapToGrid w:val="0"/>
          <w:color w:val="auto"/>
          <w:kern w:val="0"/>
          <w:sz w:val="22"/>
          <w:szCs w:val="22"/>
          <w:highlight w:val="none"/>
          <w:lang w:val="en-US" w:eastAsia="zh-CN"/>
        </w:rPr>
        <w:t>1.</w:t>
      </w:r>
      <w:r>
        <w:rPr>
          <w:rFonts w:hint="eastAsia" w:ascii="宋体" w:hAnsi="宋体" w:eastAsia="宋体" w:cs="宋体"/>
          <w:color w:val="auto"/>
          <w:sz w:val="22"/>
          <w:szCs w:val="22"/>
          <w:highlight w:val="none"/>
          <w:lang w:val="en-US" w:eastAsia="zh-CN"/>
        </w:rPr>
        <w:t>具有良好的专业素养和技术保障，委派具有一定环评评估工作业务经验的人员为本项目提供服务。</w:t>
      </w:r>
      <w:r>
        <w:rPr>
          <w:rFonts w:hint="eastAsia" w:ascii="宋体" w:hAnsi="宋体"/>
          <w:snapToGrid w:val="0"/>
          <w:color w:val="auto"/>
          <w:kern w:val="0"/>
          <w:sz w:val="22"/>
          <w:szCs w:val="22"/>
          <w:highlight w:val="none"/>
          <w:lang w:val="en-US" w:eastAsia="zh-CN"/>
        </w:rPr>
        <w:br w:type="textWrapping"/>
      </w:r>
      <w:r>
        <w:rPr>
          <w:rFonts w:hint="eastAsia" w:ascii="宋体" w:hAnsi="宋体"/>
          <w:snapToGrid w:val="0"/>
          <w:color w:val="auto"/>
          <w:kern w:val="0"/>
          <w:sz w:val="22"/>
          <w:szCs w:val="22"/>
          <w:highlight w:val="none"/>
          <w:lang w:val="en-US" w:eastAsia="zh-CN"/>
        </w:rPr>
        <w:t xml:space="preserve">     2.</w:t>
      </w:r>
      <w:r>
        <w:rPr>
          <w:rFonts w:hint="eastAsia" w:ascii="宋体" w:hAnsi="宋体"/>
          <w:snapToGrid w:val="0"/>
          <w:color w:val="auto"/>
          <w:kern w:val="0"/>
          <w:sz w:val="22"/>
          <w:szCs w:val="22"/>
          <w:highlight w:val="none"/>
        </w:rPr>
        <w:t>中标</w:t>
      </w:r>
      <w:r>
        <w:rPr>
          <w:rFonts w:hint="eastAsia" w:ascii="宋体" w:hAnsi="宋体"/>
          <w:snapToGrid w:val="0"/>
          <w:color w:val="auto"/>
          <w:kern w:val="0"/>
          <w:sz w:val="22"/>
          <w:szCs w:val="22"/>
          <w:highlight w:val="none"/>
          <w:lang w:eastAsia="zh-CN"/>
        </w:rPr>
        <w:t>服务单位应</w:t>
      </w:r>
      <w:r>
        <w:rPr>
          <w:rFonts w:hint="eastAsia" w:ascii="宋体" w:hAnsi="宋体"/>
          <w:snapToGrid w:val="0"/>
          <w:color w:val="auto"/>
          <w:kern w:val="0"/>
          <w:sz w:val="22"/>
          <w:szCs w:val="22"/>
          <w:highlight w:val="none"/>
        </w:rPr>
        <w:t>遵循科学、客观、公正原则，根据环境保护法律、法规、规章、标准、技术规范和项目行业特点，组织开展技术评估，并提交评估文件。根据建设项目特点和所在区域环境特征，重点评估建设项目可能产生的环境影响，核实环境影响评价文件采用的技术方法与评价标准的正确性，判断污染防治措施的可行性、环境影响评价结论的准确性，明确评估结论。对建设项目环境保护对策措施提出优化调整建议，并提出修改意见。</w:t>
      </w:r>
      <w:r>
        <w:rPr>
          <w:rFonts w:hint="eastAsia" w:ascii="宋体" w:hAnsi="宋体" w:eastAsia="宋体" w:cs="宋体"/>
          <w:color w:val="auto"/>
          <w:sz w:val="22"/>
          <w:szCs w:val="22"/>
          <w:highlight w:val="none"/>
          <w:lang w:val="en-US" w:eastAsia="zh-CN"/>
        </w:rPr>
        <w:br w:type="textWrapping"/>
      </w:r>
      <w:r>
        <w:rPr>
          <w:rFonts w:hint="eastAsia" w:ascii="宋体" w:hAnsi="宋体" w:cs="宋体"/>
          <w:color w:val="auto"/>
          <w:sz w:val="22"/>
          <w:szCs w:val="22"/>
          <w:highlight w:val="none"/>
          <w:lang w:val="en-US" w:eastAsia="zh-CN"/>
        </w:rPr>
        <w:t xml:space="preserve">    3</w:t>
      </w:r>
      <w:r>
        <w:rPr>
          <w:rFonts w:hint="eastAsia" w:ascii="宋体" w:hAnsi="宋体" w:eastAsia="宋体" w:cs="宋体"/>
          <w:color w:val="auto"/>
          <w:sz w:val="22"/>
          <w:szCs w:val="22"/>
          <w:highlight w:val="none"/>
          <w:lang w:val="en-US" w:eastAsia="zh-CN"/>
        </w:rPr>
        <w:t>.技术评估邀请的专家必须从市级以上生态环境部门公布的专家库中抽取。</w:t>
      </w:r>
    </w:p>
    <w:p w14:paraId="5855BEF2">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Chars="0" w:firstLine="440" w:firstLineChars="200"/>
        <w:jc w:val="left"/>
        <w:textAlignment w:val="auto"/>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.一年组织不少于2次面向在衢环评编制机构或市局（各分局）审批人员的业务培训。</w:t>
      </w:r>
    </w:p>
    <w:p w14:paraId="3B3B5128">
      <w:pPr>
        <w:keepNext w:val="0"/>
        <w:keepLines w:val="0"/>
        <w:pageBreakBefore w:val="0"/>
        <w:widowControl w:val="0"/>
        <w:shd w:val="clear" w:color="auto" w:fill="FFFFFF"/>
        <w:kinsoku/>
        <w:wordWrap/>
        <w:overflowPunct/>
        <w:topLinePunct w:val="0"/>
        <w:autoSpaceDE w:val="0"/>
        <w:autoSpaceDN w:val="0"/>
        <w:bidi w:val="0"/>
        <w:adjustRightInd/>
        <w:snapToGrid/>
        <w:spacing w:line="460" w:lineRule="exact"/>
        <w:ind w:left="437" w:leftChars="208" w:firstLine="0" w:firstLineChars="0"/>
        <w:jc w:val="left"/>
        <w:textAlignment w:val="auto"/>
        <w:outlineLvl w:val="2"/>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w:t>
      </w:r>
      <w:r>
        <w:rPr>
          <w:rFonts w:hint="eastAsia" w:ascii="宋体" w:hAnsi="宋体" w:cs="宋体"/>
          <w:b/>
          <w:bCs/>
          <w:i w:val="0"/>
          <w:iCs w:val="0"/>
          <w:color w:val="auto"/>
          <w:sz w:val="22"/>
          <w:szCs w:val="22"/>
          <w:highlight w:val="none"/>
          <w:lang w:val="en-US" w:eastAsia="zh-CN"/>
        </w:rPr>
        <w:t>5</w:t>
      </w:r>
      <w:r>
        <w:rPr>
          <w:rFonts w:hint="eastAsia" w:ascii="宋体" w:hAnsi="宋体" w:eastAsia="宋体" w:cs="宋体"/>
          <w:b/>
          <w:bCs/>
          <w:i w:val="0"/>
          <w:iCs w:val="0"/>
          <w:color w:val="auto"/>
          <w:sz w:val="22"/>
          <w:szCs w:val="22"/>
          <w:highlight w:val="none"/>
          <w:lang w:val="en-US" w:eastAsia="zh-CN"/>
        </w:rPr>
        <w:t>.为保证项目环境影响评价技术评估的公平性。中标方同期限内不得承接衢州地区建设项目的</w:t>
      </w:r>
    </w:p>
    <w:p w14:paraId="4657D2D3">
      <w:pPr>
        <w:keepNext w:val="0"/>
        <w:keepLines w:val="0"/>
        <w:pageBreakBefore w:val="0"/>
        <w:kinsoku/>
        <w:wordWrap/>
        <w:overflowPunct/>
        <w:topLinePunct w:val="0"/>
        <w:bidi w:val="0"/>
        <w:adjustRightInd/>
        <w:snapToGrid w:val="0"/>
        <w:spacing w:line="460" w:lineRule="exact"/>
        <w:ind w:firstLine="433" w:firstLineChars="196"/>
        <w:jc w:val="left"/>
        <w:textAlignment w:val="auto"/>
        <w:rPr>
          <w:rFonts w:hint="eastAsia" w:ascii="宋体" w:hAnsi="宋体" w:cs="宋体"/>
          <w:b/>
          <w:color w:val="auto"/>
          <w:sz w:val="22"/>
          <w:szCs w:val="22"/>
          <w:highlight w:val="none"/>
        </w:rPr>
      </w:pPr>
      <w:r>
        <w:rPr>
          <w:rFonts w:hint="eastAsia" w:ascii="宋体" w:hAnsi="宋体" w:eastAsia="宋体" w:cs="宋体"/>
          <w:b/>
          <w:bCs/>
          <w:i w:val="0"/>
          <w:iCs w:val="0"/>
          <w:color w:val="auto"/>
          <w:sz w:val="22"/>
          <w:szCs w:val="22"/>
          <w:highlight w:val="none"/>
          <w:lang w:val="en-US" w:eastAsia="zh-CN"/>
        </w:rPr>
        <w:t>环境影响评价业务。投标人需提供承诺书，承诺如本项目中标,同期限内不承接衢州地区任何建设项目的环境影响评价业务。</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lang w:val="en-US" w:eastAsia="zh-CN"/>
        </w:rPr>
        <w:t>承诺书</w:t>
      </w:r>
      <w:r>
        <w:rPr>
          <w:rFonts w:hint="eastAsia" w:ascii="宋体" w:hAnsi="宋体" w:cs="宋体"/>
          <w:b/>
          <w:bCs/>
          <w:i w:val="0"/>
          <w:iCs w:val="0"/>
          <w:color w:val="auto"/>
          <w:sz w:val="22"/>
          <w:szCs w:val="22"/>
          <w:highlight w:val="none"/>
          <w:lang w:val="en-US" w:eastAsia="zh-CN"/>
        </w:rPr>
        <w:t>格式自拟）</w:t>
      </w:r>
      <w:r>
        <w:rPr>
          <w:rFonts w:hint="eastAsia" w:ascii="宋体" w:hAnsi="宋体" w:eastAsia="宋体" w:cs="宋体"/>
          <w:b/>
          <w:bCs/>
          <w:color w:val="auto"/>
          <w:kern w:val="0"/>
          <w:sz w:val="22"/>
          <w:szCs w:val="22"/>
          <w:highlight w:val="none"/>
          <w:lang w:eastAsia="zh-CN"/>
        </w:rPr>
        <w:br w:type="textWrapping"/>
      </w:r>
      <w:r>
        <w:rPr>
          <w:rFonts w:hint="eastAsia" w:ascii="宋体" w:hAnsi="宋体" w:cs="宋体"/>
          <w:b/>
          <w:bCs/>
          <w:color w:val="auto"/>
          <w:kern w:val="0"/>
          <w:sz w:val="22"/>
          <w:szCs w:val="22"/>
          <w:highlight w:val="none"/>
          <w:lang w:val="en-US" w:eastAsia="zh-CN"/>
        </w:rPr>
        <w:t xml:space="preserve"> </w:t>
      </w:r>
      <w:r>
        <w:rPr>
          <w:rFonts w:hint="eastAsia" w:ascii="宋体" w:hAnsi="宋体" w:cs="宋体"/>
          <w:b/>
          <w:color w:val="auto"/>
          <w:sz w:val="22"/>
          <w:szCs w:val="22"/>
          <w:highlight w:val="none"/>
          <w:lang w:eastAsia="zh-CN"/>
        </w:rPr>
        <w:t>四</w:t>
      </w:r>
      <w:r>
        <w:rPr>
          <w:rFonts w:hint="eastAsia" w:ascii="宋体" w:hAnsi="宋体" w:cs="宋体"/>
          <w:b/>
          <w:color w:val="auto"/>
          <w:sz w:val="22"/>
          <w:szCs w:val="22"/>
          <w:highlight w:val="none"/>
        </w:rPr>
        <w:t>、付款</w:t>
      </w:r>
      <w:r>
        <w:rPr>
          <w:rFonts w:hint="eastAsia" w:ascii="宋体" w:hAnsi="宋体" w:cs="宋体"/>
          <w:b/>
          <w:color w:val="auto"/>
          <w:sz w:val="22"/>
          <w:szCs w:val="22"/>
          <w:highlight w:val="none"/>
          <w:lang w:eastAsia="zh-CN"/>
        </w:rPr>
        <w:t>与结算</w:t>
      </w:r>
      <w:r>
        <w:rPr>
          <w:rFonts w:hint="eastAsia" w:ascii="宋体" w:hAnsi="宋体" w:cs="宋体"/>
          <w:b/>
          <w:color w:val="auto"/>
          <w:sz w:val="22"/>
          <w:szCs w:val="22"/>
          <w:highlight w:val="none"/>
        </w:rPr>
        <w:t>方式</w:t>
      </w:r>
    </w:p>
    <w:p w14:paraId="0ACCAAAF">
      <w:pPr>
        <w:keepNext w:val="0"/>
        <w:keepLines w:val="0"/>
        <w:pageBreakBefore w:val="0"/>
        <w:widowControl/>
        <w:kinsoku/>
        <w:wordWrap/>
        <w:overflowPunct/>
        <w:topLinePunct w:val="0"/>
        <w:autoSpaceDE/>
        <w:autoSpaceDN/>
        <w:bidi w:val="0"/>
        <w:adjustRightInd/>
        <w:snapToGrid/>
        <w:spacing w:line="460" w:lineRule="exact"/>
        <w:ind w:firstLine="440" w:firstLineChars="200"/>
        <w:textAlignment w:val="auto"/>
        <w:rPr>
          <w:rFonts w:ascii="新宋体" w:hAnsi="新宋体" w:eastAsia="新宋体"/>
          <w:color w:val="auto"/>
          <w:sz w:val="24"/>
          <w:szCs w:val="24"/>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eastAsia="zh-CN"/>
        </w:rPr>
        <w:t>合同生效以及具备实施条件后7个工作日内支付</w:t>
      </w:r>
      <w:r>
        <w:rPr>
          <w:rFonts w:hint="eastAsia" w:ascii="宋体" w:hAnsi="宋体" w:cs="宋体"/>
          <w:color w:val="auto"/>
          <w:kern w:val="0"/>
          <w:sz w:val="22"/>
          <w:szCs w:val="22"/>
          <w:highlight w:val="none"/>
          <w:lang w:val="en-US" w:eastAsia="zh-CN"/>
        </w:rPr>
        <w:t>合同总价的40%</w:t>
      </w:r>
      <w:r>
        <w:rPr>
          <w:rFonts w:hint="eastAsia" w:ascii="宋体" w:hAnsi="宋体" w:eastAsia="宋体" w:cs="宋体"/>
          <w:color w:val="auto"/>
          <w:kern w:val="0"/>
          <w:sz w:val="22"/>
          <w:szCs w:val="22"/>
          <w:highlight w:val="none"/>
          <w:lang w:val="zh-CN" w:eastAsia="zh-CN"/>
        </w:rPr>
        <w:t>作为预付款，项目合同期截止后7个工作日内支付剩余价款。</w:t>
      </w:r>
      <w:r>
        <w:rPr>
          <w:rFonts w:hint="eastAsia" w:ascii="新宋体" w:hAnsi="新宋体" w:eastAsia="新宋体"/>
          <w:color w:val="auto"/>
          <w:sz w:val="24"/>
          <w:szCs w:val="24"/>
          <w:highlight w:val="none"/>
          <w:lang w:val="en-US" w:eastAsia="zh-CN"/>
        </w:rPr>
        <w:t>（</w:t>
      </w:r>
      <w:r>
        <w:rPr>
          <w:rFonts w:hint="eastAsia" w:ascii="宋体" w:hAnsi="宋体" w:eastAsia="宋体" w:cs="宋体"/>
          <w:color w:val="auto"/>
          <w:kern w:val="0"/>
          <w:sz w:val="22"/>
          <w:szCs w:val="22"/>
          <w:highlight w:val="none"/>
          <w:lang w:val="zh-CN" w:eastAsia="zh-CN"/>
        </w:rPr>
        <w:t>剩余价款</w:t>
      </w:r>
      <w:r>
        <w:rPr>
          <w:rFonts w:hint="eastAsia" w:ascii="宋体" w:hAnsi="宋体" w:eastAsia="宋体" w:cs="宋体"/>
          <w:color w:val="auto"/>
          <w:kern w:val="0"/>
          <w:sz w:val="22"/>
          <w:szCs w:val="22"/>
          <w:highlight w:val="none"/>
          <w:lang w:val="en-US" w:eastAsia="zh-CN"/>
        </w:rPr>
        <w:t>=</w:t>
      </w:r>
      <w:r>
        <w:rPr>
          <w:rFonts w:hint="eastAsia" w:ascii="新宋体" w:hAnsi="新宋体" w:eastAsia="新宋体"/>
          <w:color w:val="auto"/>
          <w:sz w:val="24"/>
          <w:szCs w:val="24"/>
          <w:highlight w:val="none"/>
          <w:lang w:val="en-US" w:eastAsia="zh-CN"/>
        </w:rPr>
        <w:t>全年实际评估项目数*各项单价-预付款）。</w:t>
      </w:r>
      <w:r>
        <w:rPr>
          <w:rFonts w:hint="eastAsia" w:ascii="新宋体" w:hAnsi="新宋体" w:eastAsia="新宋体"/>
          <w:color w:val="auto"/>
          <w:sz w:val="24"/>
          <w:szCs w:val="24"/>
          <w:highlight w:val="none"/>
        </w:rPr>
        <w:br w:type="textWrapping"/>
      </w:r>
      <w:r>
        <w:rPr>
          <w:rFonts w:hint="eastAsia" w:ascii="新宋体" w:hAnsi="新宋体" w:eastAsia="新宋体"/>
          <w:color w:val="auto"/>
          <w:sz w:val="24"/>
          <w:szCs w:val="24"/>
          <w:highlight w:val="none"/>
          <w:lang w:val="en-US" w:eastAsia="zh-CN"/>
        </w:rPr>
        <w:t xml:space="preserve">   2.</w:t>
      </w:r>
      <w:r>
        <w:rPr>
          <w:rFonts w:hint="eastAsia" w:ascii="宋体" w:hAnsi="宋体" w:cs="宋体"/>
          <w:b/>
          <w:bCs/>
          <w:color w:val="auto"/>
          <w:sz w:val="22"/>
          <w:szCs w:val="22"/>
          <w:highlight w:val="none"/>
          <w:lang w:val="en-US" w:eastAsia="zh-CN"/>
        </w:rPr>
        <w:t>工作量采用单价按实结算，但最终结算总价不超合同总价。</w:t>
      </w:r>
      <w:r>
        <w:rPr>
          <w:rFonts w:hint="eastAsia" w:ascii="宋体" w:hAnsi="宋体" w:cs="宋体"/>
          <w:b/>
          <w:bCs/>
          <w:color w:val="auto"/>
          <w:sz w:val="22"/>
          <w:szCs w:val="22"/>
          <w:highlight w:val="none"/>
          <w:lang w:val="en-US" w:eastAsia="zh-CN"/>
        </w:rPr>
        <w:br w:type="textWrapping"/>
      </w:r>
      <w:r>
        <w:rPr>
          <w:rFonts w:hint="eastAsia" w:ascii="宋体" w:hAnsi="宋体" w:cs="宋体"/>
          <w:b/>
          <w:bCs/>
          <w:color w:val="auto"/>
          <w:sz w:val="22"/>
          <w:szCs w:val="22"/>
          <w:highlight w:val="none"/>
          <w:lang w:val="en-US" w:eastAsia="zh-CN"/>
        </w:rPr>
        <w:t xml:space="preserve">   </w:t>
      </w:r>
      <w:r>
        <w:rPr>
          <w:rFonts w:hint="eastAsia" w:ascii="新宋体" w:hAnsi="新宋体" w:eastAsia="新宋体"/>
          <w:color w:val="auto"/>
          <w:sz w:val="24"/>
          <w:szCs w:val="24"/>
          <w:highlight w:val="none"/>
        </w:rPr>
        <w:t>3.每笔款</w:t>
      </w:r>
      <w:r>
        <w:rPr>
          <w:rFonts w:hint="eastAsia" w:ascii="新宋体" w:hAnsi="新宋体" w:eastAsia="新宋体"/>
          <w:color w:val="auto"/>
          <w:sz w:val="24"/>
          <w:szCs w:val="24"/>
          <w:highlight w:val="none"/>
          <w:lang w:eastAsia="zh-CN"/>
        </w:rPr>
        <w:t>项支付</w:t>
      </w:r>
      <w:r>
        <w:rPr>
          <w:rFonts w:hint="eastAsia" w:ascii="新宋体" w:hAnsi="新宋体" w:eastAsia="新宋体"/>
          <w:color w:val="auto"/>
          <w:sz w:val="24"/>
          <w:szCs w:val="24"/>
          <w:highlight w:val="none"/>
        </w:rPr>
        <w:t>前须提供税务正式发票及采购人要求的相关结款所需资料。</w:t>
      </w:r>
    </w:p>
    <w:p w14:paraId="073EB2C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42" w:firstLineChars="200"/>
        <w:textAlignment w:val="auto"/>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lang w:eastAsia="zh-CN"/>
        </w:rPr>
        <w:t>五</w:t>
      </w:r>
      <w:r>
        <w:rPr>
          <w:rFonts w:hint="eastAsia" w:ascii="宋体" w:hAnsi="宋体"/>
          <w:b/>
          <w:bCs/>
          <w:color w:val="auto"/>
          <w:sz w:val="22"/>
          <w:szCs w:val="22"/>
          <w:highlight w:val="none"/>
        </w:rPr>
        <w:t>、服务</w:t>
      </w:r>
      <w:r>
        <w:rPr>
          <w:rFonts w:hint="eastAsia" w:ascii="宋体" w:hAnsi="宋体"/>
          <w:b/>
          <w:bCs/>
          <w:color w:val="auto"/>
          <w:sz w:val="22"/>
          <w:szCs w:val="22"/>
          <w:highlight w:val="none"/>
          <w:lang w:eastAsia="zh-CN"/>
        </w:rPr>
        <w:t>时间及地点</w:t>
      </w:r>
    </w:p>
    <w:p w14:paraId="7BF38AC8">
      <w:pPr>
        <w:keepNext w:val="0"/>
        <w:keepLines w:val="0"/>
        <w:pageBreakBefore w:val="0"/>
        <w:tabs>
          <w:tab w:val="left" w:pos="7280"/>
        </w:tabs>
        <w:kinsoku/>
        <w:wordWrap/>
        <w:overflowPunct/>
        <w:topLinePunct w:val="0"/>
        <w:bidi w:val="0"/>
        <w:adjustRightInd/>
        <w:spacing w:line="460" w:lineRule="exact"/>
        <w:ind w:left="437" w:leftChars="208" w:firstLine="0" w:firstLineChars="0"/>
        <w:textAlignment w:val="auto"/>
        <w:rPr>
          <w:rFonts w:hint="eastAsia" w:ascii="宋体" w:hAnsi="宋体" w:eastAsia="宋体"/>
          <w:snapToGrid w:val="0"/>
          <w:color w:val="auto"/>
          <w:kern w:val="0"/>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服务期：</w:t>
      </w:r>
      <w:r>
        <w:rPr>
          <w:rFonts w:hint="eastAsia" w:ascii="宋体" w:hAnsi="宋体" w:eastAsia="宋体" w:cs="宋体"/>
          <w:color w:val="auto"/>
          <w:sz w:val="22"/>
          <w:szCs w:val="22"/>
          <w:highlight w:val="none"/>
          <w:lang w:eastAsia="zh-CN"/>
        </w:rPr>
        <w:t>一年（</w:t>
      </w:r>
      <w:r>
        <w:rPr>
          <w:rFonts w:hint="eastAsia" w:ascii="宋体" w:hAnsi="宋体" w:cs="宋体"/>
          <w:i w:val="0"/>
          <w:iCs w:val="0"/>
          <w:color w:val="auto"/>
          <w:sz w:val="22"/>
          <w:szCs w:val="22"/>
          <w:highlight w:val="none"/>
          <w:lang w:eastAsia="zh-CN"/>
        </w:rPr>
        <w:t>2025年8月1日—2026年7月31日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br w:type="textWrapping"/>
      </w:r>
      <w:r>
        <w:rPr>
          <w:rFonts w:hint="eastAsia" w:ascii="宋体" w:hAnsi="宋体" w:cs="宋体"/>
          <w:color w:val="auto"/>
          <w:sz w:val="22"/>
          <w:szCs w:val="22"/>
          <w:highlight w:val="none"/>
          <w:lang w:val="en-US" w:eastAsia="zh-CN"/>
        </w:rPr>
        <w:t>2.</w:t>
      </w:r>
      <w:r>
        <w:rPr>
          <w:rFonts w:hint="eastAsia" w:ascii="宋体" w:hAnsi="宋体"/>
          <w:snapToGrid w:val="0"/>
          <w:color w:val="auto"/>
          <w:kern w:val="0"/>
          <w:sz w:val="22"/>
          <w:szCs w:val="22"/>
          <w:highlight w:val="none"/>
        </w:rPr>
        <w:t xml:space="preserve">服务地点：采购人指定地点 </w:t>
      </w:r>
      <w:r>
        <w:rPr>
          <w:rFonts w:hint="eastAsia" w:ascii="宋体" w:hAnsi="宋体"/>
          <w:snapToGrid w:val="0"/>
          <w:color w:val="auto"/>
          <w:kern w:val="0"/>
          <w:sz w:val="22"/>
          <w:szCs w:val="22"/>
          <w:highlight w:val="none"/>
          <w:lang w:eastAsia="zh-CN"/>
        </w:rPr>
        <w:t>。</w:t>
      </w:r>
    </w:p>
    <w:p w14:paraId="1E22FE61">
      <w:pPr>
        <w:keepNext w:val="0"/>
        <w:keepLines w:val="0"/>
        <w:pageBreakBefore w:val="0"/>
        <w:numPr>
          <w:ilvl w:val="0"/>
          <w:numId w:val="0"/>
        </w:numPr>
        <w:kinsoku/>
        <w:wordWrap/>
        <w:overflowPunct/>
        <w:topLinePunct w:val="0"/>
        <w:bidi w:val="0"/>
        <w:adjustRightInd/>
        <w:snapToGrid w:val="0"/>
        <w:spacing w:line="460" w:lineRule="exact"/>
        <w:ind w:firstLine="442" w:firstLineChars="200"/>
        <w:jc w:val="left"/>
        <w:textAlignment w:val="auto"/>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六、</w:t>
      </w:r>
      <w:r>
        <w:rPr>
          <w:rFonts w:hint="eastAsia" w:ascii="宋体" w:hAnsi="宋体" w:cs="宋体"/>
          <w:b/>
          <w:color w:val="auto"/>
          <w:sz w:val="22"/>
          <w:szCs w:val="22"/>
          <w:highlight w:val="none"/>
        </w:rPr>
        <w:t>其他要求</w:t>
      </w:r>
    </w:p>
    <w:p w14:paraId="2B13FFB6">
      <w:pPr>
        <w:keepNext w:val="0"/>
        <w:keepLines w:val="0"/>
        <w:pageBreakBefore w:val="0"/>
        <w:tabs>
          <w:tab w:val="left" w:pos="7280"/>
        </w:tabs>
        <w:kinsoku/>
        <w:wordWrap/>
        <w:overflowPunct/>
        <w:topLinePunct w:val="0"/>
        <w:bidi w:val="0"/>
        <w:adjustRightInd/>
        <w:spacing w:line="460" w:lineRule="exact"/>
        <w:ind w:firstLine="440" w:firstLineChars="200"/>
        <w:textAlignment w:val="auto"/>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1.知识产权：</w:t>
      </w:r>
    </w:p>
    <w:p w14:paraId="1FA92312">
      <w:pPr>
        <w:keepNext w:val="0"/>
        <w:keepLines w:val="0"/>
        <w:pageBreakBefore w:val="0"/>
        <w:tabs>
          <w:tab w:val="left" w:pos="7280"/>
        </w:tabs>
        <w:kinsoku/>
        <w:wordWrap/>
        <w:overflowPunct/>
        <w:topLinePunct w:val="0"/>
        <w:bidi w:val="0"/>
        <w:adjustRightInd/>
        <w:spacing w:line="460" w:lineRule="exact"/>
        <w:ind w:firstLine="440" w:firstLineChars="200"/>
        <w:textAlignment w:val="auto"/>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1.1评估报告的所有权和使用权均属于衢州市生态环境局。中标人不得以任何理由留存，否则承担由此产生的一切法律和经济责任。未经招标单位书面同意，任何单位和个人不得转让和使用本项目成果。</w:t>
      </w:r>
    </w:p>
    <w:p w14:paraId="07D2B49F">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1.2乙方应保证提供服务过程中不会侵犯任何第三方的知识产权。</w:t>
      </w:r>
    </w:p>
    <w:p w14:paraId="0D44049D">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2.资料档案及保密要求：</w:t>
      </w:r>
    </w:p>
    <w:p w14:paraId="393665AD">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2.1中标人应当对全部作业情况建立完整的电子档案资料，在合同正常终止后全部移交给</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保管。</w:t>
      </w:r>
    </w:p>
    <w:p w14:paraId="4A97EB1B">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2.2与本项目有关的资料及数据中涉及国家保密的内容，均要求按照《国家保密法》及相关法律法规执行。</w:t>
      </w:r>
    </w:p>
    <w:p w14:paraId="613C2AE3">
      <w:pPr>
        <w:keepNext w:val="0"/>
        <w:keepLines w:val="0"/>
        <w:pageBreakBefore w:val="0"/>
        <w:widowControl/>
        <w:kinsoku/>
        <w:wordWrap/>
        <w:overflowPunct/>
        <w:topLinePunct w:val="0"/>
        <w:bidi w:val="0"/>
        <w:adjustRightInd/>
        <w:spacing w:line="460" w:lineRule="exact"/>
        <w:ind w:firstLine="42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2.3中标人应遵守相关保密法律、法规，确保招标单位及项目建设方和环评技术文件编制方的信息安全。</w:t>
      </w:r>
    </w:p>
    <w:p w14:paraId="1AD1E999">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1254ADA0">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2724473C">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0472F69B">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36852EEA">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6D72FC7C">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3AAED363">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7CD1BE2F">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0B591A10">
      <w:pPr>
        <w:autoSpaceDE w:val="0"/>
        <w:autoSpaceDN w:val="0"/>
        <w:spacing w:line="460" w:lineRule="exact"/>
        <w:ind w:firstLine="3253" w:firstLineChars="900"/>
        <w:outlineLvl w:val="0"/>
        <w:rPr>
          <w:rFonts w:hint="eastAsia" w:ascii="宋体" w:hAnsi="宋体" w:cs="宋体"/>
          <w:b/>
          <w:bCs/>
          <w:i w:val="0"/>
          <w:iCs w:val="0"/>
          <w:color w:val="auto"/>
          <w:sz w:val="36"/>
          <w:szCs w:val="36"/>
          <w:highlight w:val="none"/>
        </w:rPr>
      </w:pPr>
    </w:p>
    <w:p w14:paraId="7C323656">
      <w:pPr>
        <w:rPr>
          <w:rFonts w:hint="eastAsia" w:ascii="宋体" w:hAnsi="宋体" w:cs="宋体"/>
          <w:b/>
          <w:bCs/>
          <w:i w:val="0"/>
          <w:iCs w:val="0"/>
          <w:color w:val="auto"/>
          <w:sz w:val="36"/>
          <w:szCs w:val="36"/>
          <w:highlight w:val="none"/>
        </w:rPr>
      </w:pPr>
      <w:r>
        <w:rPr>
          <w:rFonts w:hint="eastAsia" w:ascii="宋体" w:hAnsi="宋体" w:cs="宋体"/>
          <w:b/>
          <w:bCs/>
          <w:i w:val="0"/>
          <w:iCs w:val="0"/>
          <w:color w:val="auto"/>
          <w:sz w:val="36"/>
          <w:szCs w:val="36"/>
          <w:highlight w:val="none"/>
        </w:rPr>
        <w:br w:type="page"/>
      </w:r>
    </w:p>
    <w:p w14:paraId="1B6DDB56">
      <w:pPr>
        <w:autoSpaceDE w:val="0"/>
        <w:autoSpaceDN w:val="0"/>
        <w:spacing w:line="460" w:lineRule="exact"/>
        <w:ind w:firstLine="3253" w:firstLineChars="900"/>
        <w:outlineLvl w:val="0"/>
        <w:rPr>
          <w:rFonts w:hint="eastAsia" w:ascii="宋体" w:hAnsi="宋体" w:cs="宋体"/>
          <w:color w:val="auto"/>
          <w:szCs w:val="21"/>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四</w:t>
      </w:r>
      <w:r>
        <w:rPr>
          <w:rFonts w:hint="eastAsia" w:ascii="宋体" w:hAnsi="宋体" w:cs="宋体"/>
          <w:b/>
          <w:bCs/>
          <w:i w:val="0"/>
          <w:iCs w:val="0"/>
          <w:color w:val="auto"/>
          <w:sz w:val="36"/>
          <w:szCs w:val="36"/>
          <w:highlight w:val="none"/>
        </w:rPr>
        <w:t>部分</w:t>
      </w:r>
      <w:r>
        <w:rPr>
          <w:rFonts w:hint="eastAsia" w:ascii="宋体" w:hAnsi="宋体" w:cs="宋体"/>
          <w:b/>
          <w:bCs/>
          <w:i w:val="0"/>
          <w:iCs w:val="0"/>
          <w:color w:val="auto"/>
          <w:sz w:val="36"/>
          <w:szCs w:val="36"/>
          <w:highlight w:val="none"/>
          <w:lang w:val="en-US" w:eastAsia="zh-CN"/>
        </w:rPr>
        <w:t xml:space="preserve"> </w:t>
      </w:r>
      <w:r>
        <w:rPr>
          <w:rFonts w:hint="eastAsia" w:ascii="宋体" w:hAnsi="宋体" w:cs="宋体"/>
          <w:b/>
          <w:color w:val="auto"/>
          <w:sz w:val="36"/>
          <w:szCs w:val="36"/>
          <w:highlight w:val="none"/>
          <w:lang w:val="zh-CN"/>
        </w:rPr>
        <w:t>评标办法</w:t>
      </w:r>
    </w:p>
    <w:p w14:paraId="251FA69C">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一</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评审工作的组织</w:t>
      </w:r>
    </w:p>
    <w:p w14:paraId="37C735D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采购人或采购代理机构负责组织本项目的评审工作，并依据《政府采购货物和服务招标投标管理办法（财政部第87号令）》第四十五条的相关规定履行职责。</w:t>
      </w:r>
    </w:p>
    <w:p w14:paraId="526671B1">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二、</w:t>
      </w:r>
      <w:r>
        <w:rPr>
          <w:rFonts w:hint="eastAsia" w:ascii="宋体" w:hAnsi="宋体" w:eastAsia="宋体" w:cs="宋体"/>
          <w:i w:val="0"/>
          <w:iCs w:val="0"/>
          <w:color w:val="auto"/>
          <w:sz w:val="22"/>
          <w:szCs w:val="22"/>
          <w:highlight w:val="none"/>
        </w:rPr>
        <w:t>评标委员会的组建</w:t>
      </w:r>
    </w:p>
    <w:p w14:paraId="112742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评标委员会由</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人组成，其中</w:t>
      </w:r>
      <w:r>
        <w:rPr>
          <w:rFonts w:hint="eastAsia" w:ascii="宋体" w:hAnsi="宋体" w:cs="宋体"/>
          <w:bCs/>
          <w:color w:val="auto"/>
          <w:sz w:val="22"/>
          <w:szCs w:val="22"/>
          <w:highlight w:val="none"/>
          <w:lang w:val="zh-CN"/>
        </w:rPr>
        <w:t>评审</w:t>
      </w:r>
      <w:r>
        <w:rPr>
          <w:rFonts w:hint="eastAsia" w:ascii="宋体" w:hAnsi="宋体" w:eastAsia="宋体" w:cs="宋体"/>
          <w:bCs/>
          <w:color w:val="auto"/>
          <w:sz w:val="22"/>
          <w:szCs w:val="22"/>
          <w:highlight w:val="none"/>
          <w:lang w:val="zh-CN"/>
        </w:rPr>
        <w:t>专家人数不少于成员总数的三分之二，从政采云系统中抽取。</w:t>
      </w:r>
    </w:p>
    <w:p w14:paraId="30E5945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询标期间，投标人法人代表或</w:t>
      </w:r>
      <w:r>
        <w:rPr>
          <w:rFonts w:hint="eastAsia" w:ascii="宋体" w:hAnsi="宋体" w:eastAsia="宋体" w:cs="宋体"/>
          <w:i w:val="0"/>
          <w:iCs w:val="0"/>
          <w:color w:val="auto"/>
          <w:kern w:val="0"/>
          <w:sz w:val="22"/>
          <w:szCs w:val="22"/>
          <w:highlight w:val="none"/>
          <w:lang w:eastAsia="zh-CN"/>
        </w:rPr>
        <w:t>委托代理人</w:t>
      </w:r>
      <w:r>
        <w:rPr>
          <w:rFonts w:hint="eastAsia" w:ascii="宋体" w:hAnsi="宋体" w:eastAsia="宋体" w:cs="宋体"/>
          <w:i w:val="0"/>
          <w:iCs w:val="0"/>
          <w:color w:val="auto"/>
          <w:kern w:val="0"/>
          <w:sz w:val="22"/>
          <w:szCs w:val="22"/>
          <w:highlight w:val="none"/>
        </w:rPr>
        <w:t>必须在线，负责解答有关事宜。如不在场，则事后不得对采购过程及结果提出异议。</w:t>
      </w:r>
    </w:p>
    <w:p w14:paraId="4C5B5B91">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三、</w:t>
      </w:r>
      <w:r>
        <w:rPr>
          <w:rFonts w:hint="eastAsia" w:ascii="宋体" w:hAnsi="宋体" w:eastAsia="宋体" w:cs="宋体"/>
          <w:i w:val="0"/>
          <w:iCs w:val="0"/>
          <w:color w:val="auto"/>
          <w:sz w:val="22"/>
          <w:szCs w:val="22"/>
          <w:highlight w:val="none"/>
        </w:rPr>
        <w:t>评标委员会的职责</w:t>
      </w:r>
    </w:p>
    <w:p w14:paraId="50831A3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评标委员会负责具体评审事务，并独立履行下列职责：</w:t>
      </w:r>
    </w:p>
    <w:p w14:paraId="54BF838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w:t>
      </w:r>
      <w:r>
        <w:rPr>
          <w:rFonts w:hint="eastAsia" w:ascii="宋体" w:hAnsi="宋体" w:eastAsia="宋体" w:cs="宋体"/>
          <w:i w:val="0"/>
          <w:iCs w:val="0"/>
          <w:color w:val="auto"/>
          <w:kern w:val="0"/>
          <w:sz w:val="22"/>
          <w:szCs w:val="22"/>
          <w:highlight w:val="none"/>
        </w:rPr>
        <w:t>审查、评价投标文件是否符合招标文件的商务、技术等实质性要求；</w:t>
      </w:r>
    </w:p>
    <w:p w14:paraId="6E28CA6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rPr>
        <w:t>要求投标人对投标文件有关事项</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出澄清或者说明；</w:t>
      </w:r>
    </w:p>
    <w:p w14:paraId="0C4B0313">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rPr>
        <w:t>对投标文件进行比较和评价；</w:t>
      </w:r>
    </w:p>
    <w:p w14:paraId="0CAA699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rPr>
        <w:t>确定中标候选人名单，以及根据采购人委托直接确定中标人；</w:t>
      </w:r>
    </w:p>
    <w:p w14:paraId="3DB7CEB9">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rPr>
        <w:t>向采购人、采购代理机构或者有关部门报告评审中发现的违法行为。</w:t>
      </w:r>
    </w:p>
    <w:p w14:paraId="3BFECC23">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四</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评审原则</w:t>
      </w:r>
    </w:p>
    <w:p w14:paraId="648AF2C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评审原则：</w:t>
      </w:r>
      <w:r>
        <w:rPr>
          <w:rFonts w:hint="eastAsia" w:ascii="宋体" w:hAnsi="宋体" w:eastAsia="宋体" w:cs="宋体"/>
          <w:i w:val="0"/>
          <w:iCs w:val="0"/>
          <w:color w:val="auto"/>
          <w:kern w:val="0"/>
          <w:sz w:val="22"/>
          <w:szCs w:val="22"/>
          <w:highlight w:val="none"/>
        </w:rPr>
        <w:t>评标委员会</w:t>
      </w:r>
      <w:r>
        <w:rPr>
          <w:rFonts w:hint="eastAsia" w:ascii="宋体" w:hAnsi="宋体" w:eastAsia="宋体" w:cs="宋体"/>
          <w:i w:val="0"/>
          <w:iCs w:val="0"/>
          <w:color w:val="auto"/>
          <w:sz w:val="22"/>
          <w:szCs w:val="22"/>
          <w:highlight w:val="none"/>
        </w:rPr>
        <w:t>按照客观、公正、审慎、择优的原则，根据招标文件规定的评审程序、评审方法和评审标准进行独立评审。</w:t>
      </w:r>
    </w:p>
    <w:p w14:paraId="67BAC7F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评审工作将依据</w:t>
      </w:r>
      <w:r>
        <w:rPr>
          <w:rFonts w:hint="eastAsia" w:ascii="宋体" w:hAnsi="宋体" w:eastAsia="宋体" w:cs="宋体"/>
          <w:i w:val="0"/>
          <w:iCs w:val="0"/>
          <w:color w:val="auto"/>
          <w:kern w:val="0"/>
          <w:sz w:val="22"/>
          <w:szCs w:val="22"/>
          <w:highlight w:val="none"/>
        </w:rPr>
        <w:t>招标文件、投标文件及招标文件中事先已列明的内容进行。</w:t>
      </w:r>
    </w:p>
    <w:p w14:paraId="24519843">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五</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评审意见的争议处理</w:t>
      </w:r>
    </w:p>
    <w:p w14:paraId="0963E48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bCs/>
          <w:i w:val="0"/>
          <w:iCs w:val="0"/>
          <w:color w:val="auto"/>
          <w:sz w:val="22"/>
          <w:szCs w:val="22"/>
          <w:highlight w:val="none"/>
        </w:rPr>
      </w:pPr>
      <w:r>
        <w:rPr>
          <w:rFonts w:hint="eastAsia" w:ascii="宋体" w:hAnsi="宋体" w:cs="宋体"/>
          <w:bCs/>
          <w:i w:val="0"/>
          <w:iCs w:val="0"/>
          <w:color w:val="auto"/>
          <w:sz w:val="22"/>
          <w:szCs w:val="22"/>
          <w:highlight w:val="none"/>
          <w:lang w:val="en-US" w:eastAsia="zh-CN"/>
        </w:rPr>
        <w:t>1.</w:t>
      </w:r>
      <w:r>
        <w:rPr>
          <w:rFonts w:hint="eastAsia" w:ascii="宋体" w:hAnsi="宋体" w:eastAsia="宋体" w:cs="宋体"/>
          <w:bCs/>
          <w:i w:val="0"/>
          <w:iCs w:val="0"/>
          <w:color w:val="auto"/>
          <w:sz w:val="22"/>
          <w:szCs w:val="22"/>
          <w:highlight w:val="none"/>
        </w:rPr>
        <w:t>评标委员会成员对需要共同认定的事项存在争议的，按照少数服从多数的原则</w:t>
      </w:r>
      <w:r>
        <w:rPr>
          <w:rFonts w:hint="eastAsia" w:ascii="宋体" w:hAnsi="宋体" w:eastAsia="宋体" w:cs="宋体"/>
          <w:bCs/>
          <w:i w:val="0"/>
          <w:iCs w:val="0"/>
          <w:color w:val="auto"/>
          <w:sz w:val="22"/>
          <w:szCs w:val="22"/>
          <w:highlight w:val="none"/>
          <w:lang w:eastAsia="zh-CN"/>
        </w:rPr>
        <w:t>做</w:t>
      </w:r>
      <w:r>
        <w:rPr>
          <w:rFonts w:hint="eastAsia" w:ascii="宋体" w:hAnsi="宋体" w:eastAsia="宋体" w:cs="宋体"/>
          <w:bCs/>
          <w:i w:val="0"/>
          <w:iCs w:val="0"/>
          <w:color w:val="auto"/>
          <w:sz w:val="22"/>
          <w:szCs w:val="22"/>
          <w:highlight w:val="none"/>
        </w:rPr>
        <w:t>出结论。持不同意见的评标委员会成员应当在评审报告上签署不同意见及理由，否则视为同意评审报告。</w:t>
      </w:r>
    </w:p>
    <w:p w14:paraId="74D98AB5">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六</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评委纪律</w:t>
      </w:r>
    </w:p>
    <w:p w14:paraId="7589D62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评标委员会成员必须严格遵守保密规定，不得泄露评审的有关情况</w:t>
      </w:r>
      <w:r>
        <w:rPr>
          <w:rFonts w:hint="eastAsia" w:ascii="宋体" w:hAnsi="宋体" w:eastAsia="宋体" w:cs="宋体"/>
          <w:i w:val="0"/>
          <w:iCs w:val="0"/>
          <w:color w:val="auto"/>
          <w:kern w:val="0"/>
          <w:sz w:val="22"/>
          <w:szCs w:val="22"/>
          <w:highlight w:val="none"/>
        </w:rPr>
        <w:t>，任何单位和个人不得干扰、影响评标的正常进行，评标委员会成员不得私下与投标供应商接触，不得出现浙江省政府采购活动现场组织管理办法中规定的其他禁止行为。</w:t>
      </w:r>
    </w:p>
    <w:p w14:paraId="1E2D73F6">
      <w:pPr>
        <w:pStyle w:val="3"/>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bookmarkStart w:id="80" w:name="_Toc24550043"/>
      <w:bookmarkStart w:id="81" w:name="_Toc33194395"/>
      <w:r>
        <w:rPr>
          <w:rFonts w:hint="eastAsia" w:ascii="宋体" w:hAnsi="宋体" w:eastAsia="宋体" w:cs="宋体"/>
          <w:i w:val="0"/>
          <w:iCs w:val="0"/>
          <w:color w:val="auto"/>
          <w:sz w:val="22"/>
          <w:szCs w:val="22"/>
          <w:highlight w:val="none"/>
        </w:rPr>
        <w:t>七</w:t>
      </w:r>
      <w:bookmarkEnd w:id="80"/>
      <w:bookmarkStart w:id="82" w:name="_Toc24550044"/>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评审流程及内容</w:t>
      </w:r>
      <w:bookmarkEnd w:id="81"/>
      <w:bookmarkEnd w:id="82"/>
    </w:p>
    <w:p w14:paraId="6A2ACBB8">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kern w:val="0"/>
          <w:sz w:val="22"/>
          <w:szCs w:val="22"/>
          <w:highlight w:val="none"/>
        </w:rPr>
        <w:t>本项目具体的评审事务由评标委员会负责，评审流程及内容如下：</w:t>
      </w:r>
    </w:p>
    <w:p w14:paraId="21F70919">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rPr>
        <w:t>评审前准备</w:t>
      </w:r>
    </w:p>
    <w:p w14:paraId="35330C4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1.1</w:t>
      </w:r>
      <w:r>
        <w:rPr>
          <w:rFonts w:hint="eastAsia" w:ascii="宋体" w:hAnsi="宋体" w:eastAsia="宋体" w:cs="宋体"/>
          <w:i w:val="0"/>
          <w:iCs w:val="0"/>
          <w:color w:val="auto"/>
          <w:kern w:val="0"/>
          <w:sz w:val="22"/>
          <w:szCs w:val="22"/>
          <w:highlight w:val="none"/>
        </w:rPr>
        <w:t>由评审专家推选评审小组组长，采购人代表不得担任评审小组组长。</w:t>
      </w:r>
    </w:p>
    <w:p w14:paraId="7FB30A30">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1.2</w:t>
      </w:r>
      <w:r>
        <w:rPr>
          <w:rFonts w:hint="eastAsia" w:ascii="宋体" w:hAnsi="宋体" w:eastAsia="宋体" w:cs="宋体"/>
          <w:i w:val="0"/>
          <w:iCs w:val="0"/>
          <w:color w:val="auto"/>
          <w:kern w:val="0"/>
          <w:sz w:val="22"/>
          <w:szCs w:val="22"/>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1BD01A12">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rPr>
        <w:t>投标文件的初步审查、符合性审查</w:t>
      </w:r>
    </w:p>
    <w:p w14:paraId="082016E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kern w:val="0"/>
          <w:sz w:val="22"/>
          <w:szCs w:val="22"/>
          <w:highlight w:val="none"/>
        </w:rPr>
      </w:pPr>
      <w:r>
        <w:rPr>
          <w:rFonts w:hint="eastAsia" w:ascii="宋体" w:hAnsi="宋体" w:eastAsia="宋体" w:cs="宋体"/>
          <w:b/>
          <w:i w:val="0"/>
          <w:iCs w:val="0"/>
          <w:color w:val="auto"/>
          <w:kern w:val="0"/>
          <w:sz w:val="22"/>
          <w:szCs w:val="22"/>
          <w:highlight w:val="none"/>
        </w:rPr>
        <w:t>对所有通过资格审查的投标供应商的投标文件进行初步审查，审查、评价投标文件是否符合招标文件的商务、技术、服务等实质性要求。</w:t>
      </w:r>
    </w:p>
    <w:p w14:paraId="4AA7F2E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val="en-US" w:eastAsia="zh-CN"/>
        </w:rPr>
        <w:t>2.1</w:t>
      </w:r>
      <w:r>
        <w:rPr>
          <w:rFonts w:hint="eastAsia" w:ascii="宋体" w:hAnsi="宋体" w:eastAsia="宋体" w:cs="宋体"/>
          <w:i w:val="0"/>
          <w:iCs w:val="0"/>
          <w:color w:val="auto"/>
          <w:kern w:val="0"/>
          <w:sz w:val="22"/>
          <w:szCs w:val="22"/>
          <w:highlight w:val="none"/>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432AEDF7">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投标文件的澄清、说明或补正</w:t>
      </w:r>
    </w:p>
    <w:p w14:paraId="659471B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w:t>
      </w:r>
      <w:r>
        <w:rPr>
          <w:rFonts w:hint="eastAsia" w:ascii="宋体" w:hAnsi="宋体" w:eastAsia="宋体" w:cs="宋体"/>
          <w:i w:val="0"/>
          <w:iCs w:val="0"/>
          <w:color w:val="auto"/>
          <w:kern w:val="0"/>
          <w:sz w:val="22"/>
          <w:szCs w:val="22"/>
          <w:highlight w:val="none"/>
          <w:lang w:eastAsia="zh-CN"/>
        </w:rPr>
        <w:t>做</w:t>
      </w:r>
      <w:r>
        <w:rPr>
          <w:rFonts w:hint="eastAsia" w:ascii="宋体" w:hAnsi="宋体" w:eastAsia="宋体" w:cs="宋体"/>
          <w:i w:val="0"/>
          <w:iCs w:val="0"/>
          <w:color w:val="auto"/>
          <w:kern w:val="0"/>
          <w:sz w:val="22"/>
          <w:szCs w:val="22"/>
          <w:highlight w:val="none"/>
        </w:rPr>
        <w:t>出必要的澄清、说明或者补正，投标供应商澄清、说明或补正时间为30分钟。</w:t>
      </w:r>
    </w:p>
    <w:p w14:paraId="1FB7024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F7CA58B">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rPr>
        <w:t>投标文件的错误修正</w:t>
      </w:r>
    </w:p>
    <w:p w14:paraId="494F05B9">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b/>
          <w:bCs/>
          <w:i w:val="0"/>
          <w:iCs w:val="0"/>
          <w:color w:val="auto"/>
          <w:kern w:val="0"/>
          <w:sz w:val="22"/>
          <w:szCs w:val="22"/>
          <w:highlight w:val="none"/>
        </w:rPr>
        <w:t>4.1《投标文件》如果出现计算或表达上的错误，修正错误的原则如下：</w:t>
      </w:r>
    </w:p>
    <w:p w14:paraId="27C1F378">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（1）投标文件中开标一览表（报价表）内容与投标文件中相应内容不一致的，以开标一览表（报价表）为准。</w:t>
      </w:r>
    </w:p>
    <w:p w14:paraId="27871D4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（2）《投标文件》的大写金额和小写金额不一致的，以大写金额为准；</w:t>
      </w:r>
    </w:p>
    <w:p w14:paraId="246A8C9D">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（3）单价金额小数点或者百分比有明显错位的，应以开标一览表（报价表）的总价为准，</w:t>
      </w:r>
      <w:r>
        <w:rPr>
          <w:rFonts w:hint="eastAsia" w:ascii="宋体" w:hAnsi="宋体" w:eastAsia="宋体" w:cs="宋体"/>
          <w:i w:val="0"/>
          <w:iCs w:val="0"/>
          <w:color w:val="auto"/>
          <w:kern w:val="0"/>
          <w:sz w:val="22"/>
          <w:szCs w:val="22"/>
          <w:highlight w:val="none"/>
          <w:lang w:val="en-US" w:eastAsia="zh-CN"/>
        </w:rPr>
        <w:t>进行计算并修改</w:t>
      </w:r>
      <w:r>
        <w:rPr>
          <w:rFonts w:hint="eastAsia" w:ascii="宋体" w:hAnsi="宋体" w:eastAsia="宋体" w:cs="宋体"/>
          <w:i w:val="0"/>
          <w:iCs w:val="0"/>
          <w:color w:val="auto"/>
          <w:kern w:val="0"/>
          <w:sz w:val="22"/>
          <w:szCs w:val="22"/>
          <w:highlight w:val="none"/>
        </w:rPr>
        <w:t>；</w:t>
      </w:r>
    </w:p>
    <w:p w14:paraId="6A7C1B3A">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rPr>
        <w:t>（4）总价金额与按单价汇总金额不一致的，以单价金额计算结果为准。</w:t>
      </w:r>
    </w:p>
    <w:p w14:paraId="263BCC2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rPr>
        <w:t>4.2</w:t>
      </w:r>
      <w:r>
        <w:rPr>
          <w:rFonts w:hint="eastAsia" w:ascii="宋体" w:hAnsi="宋体" w:eastAsia="宋体" w:cs="宋体"/>
          <w:i w:val="0"/>
          <w:iCs w:val="0"/>
          <w:color w:val="auto"/>
          <w:kern w:val="0"/>
          <w:sz w:val="22"/>
          <w:szCs w:val="22"/>
          <w:highlight w:val="none"/>
        </w:rPr>
        <w:t>对不同文字文本《投标文件》的解释发生异议的，以中文文本为准。</w:t>
      </w:r>
    </w:p>
    <w:p w14:paraId="0619F4D7">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八、</w:t>
      </w:r>
      <w:r>
        <w:rPr>
          <w:rFonts w:hint="eastAsia" w:ascii="宋体" w:hAnsi="宋体" w:eastAsia="宋体" w:cs="宋体"/>
          <w:i w:val="0"/>
          <w:iCs w:val="0"/>
          <w:color w:val="auto"/>
          <w:sz w:val="22"/>
          <w:szCs w:val="22"/>
          <w:highlight w:val="none"/>
        </w:rPr>
        <w:t>修改评审结果</w:t>
      </w:r>
    </w:p>
    <w:p w14:paraId="27ACFDA6">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rPr>
        <w:t>评标结果汇总完成后，除下列情形外，任何人不得修改评标结果：</w:t>
      </w:r>
    </w:p>
    <w:p w14:paraId="3E006001">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（1）分值汇总计算错误的；</w:t>
      </w:r>
    </w:p>
    <w:p w14:paraId="3808EEF6">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（2）分项评分超出评分标准范围的；</w:t>
      </w:r>
    </w:p>
    <w:p w14:paraId="565C0B05">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（3）评标委员会成员对客观评审因素评分不一致的；</w:t>
      </w:r>
    </w:p>
    <w:p w14:paraId="544C22AC">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（4）经评标委员会认定评分畸高、畸低的。</w:t>
      </w:r>
    </w:p>
    <w:p w14:paraId="18C4E4E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评标报告签署前，经复核发现存在以上情形之一的，评标委员会将当场修改评标结果，并在评标报告中记载。</w:t>
      </w:r>
    </w:p>
    <w:p w14:paraId="4DEFC6EA">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九、</w:t>
      </w:r>
      <w:r>
        <w:rPr>
          <w:rFonts w:hint="eastAsia" w:ascii="宋体" w:hAnsi="宋体" w:eastAsia="宋体" w:cs="宋体"/>
          <w:i w:val="0"/>
          <w:iCs w:val="0"/>
          <w:color w:val="auto"/>
          <w:sz w:val="22"/>
          <w:szCs w:val="22"/>
          <w:highlight w:val="none"/>
        </w:rPr>
        <w:t>供应商排序及推荐中标（成交）候选供应商</w:t>
      </w:r>
    </w:p>
    <w:p w14:paraId="5DF4C61E">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评标委员会根据以下规定确定供应商排名并推荐中标（成交）候选供应商。</w:t>
      </w:r>
    </w:p>
    <w:p w14:paraId="5B0D4C95">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1.</w:t>
      </w:r>
      <w:r>
        <w:rPr>
          <w:rFonts w:hint="eastAsia" w:ascii="宋体" w:hAnsi="宋体" w:eastAsia="宋体" w:cs="宋体"/>
          <w:b/>
          <w:bCs/>
          <w:i w:val="0"/>
          <w:iCs w:val="0"/>
          <w:color w:val="auto"/>
          <w:kern w:val="0"/>
          <w:sz w:val="22"/>
          <w:szCs w:val="22"/>
          <w:highlight w:val="none"/>
          <w:lang w:val="en-US" w:eastAsia="zh-CN"/>
        </w:rPr>
        <w:t>评标委员会根据各投标供应商的综合得分（商务技术分与报价得分之和）从高到低依次进行排名排序。特殊情形按以下原则处理：</w:t>
      </w:r>
    </w:p>
    <w:p w14:paraId="0D4311A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（1）综合得分相同的，按投标报价低的优先原则确定排名；</w:t>
      </w:r>
    </w:p>
    <w:p w14:paraId="22F98994">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（2）综合得分和投标报价均相同的，按商务技术得分从高到低确定排名；</w:t>
      </w:r>
    </w:p>
    <w:p w14:paraId="5FD9182E">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（3）综合得分、投标报价和商务技术得分均相同的由评标委员会全体成员记名投票按少数服从多数的原则确定排名。</w:t>
      </w:r>
    </w:p>
    <w:p w14:paraId="722D97A3">
      <w:pPr>
        <w:keepNext w:val="0"/>
        <w:keepLines w:val="0"/>
        <w:pageBreakBefore w:val="0"/>
        <w:widowControl w:val="0"/>
        <w:kinsoku/>
        <w:wordWrap/>
        <w:overflowPunct/>
        <w:topLinePunct w:val="0"/>
        <w:autoSpaceDE/>
        <w:autoSpaceDN/>
        <w:bidi w:val="0"/>
        <w:adjustRightInd/>
        <w:spacing w:line="400" w:lineRule="exact"/>
        <w:ind w:left="0" w:leftChars="0" w:firstLine="442" w:firstLineChars="200"/>
        <w:textAlignment w:val="auto"/>
        <w:rPr>
          <w:rFonts w:hint="eastAsia" w:ascii="宋体" w:hAnsi="宋体" w:eastAsia="宋体" w:cs="宋体"/>
          <w:b/>
          <w:bCs/>
          <w:i w:val="0"/>
          <w:iCs w:val="0"/>
          <w:color w:val="auto"/>
          <w:kern w:val="0"/>
          <w:sz w:val="22"/>
          <w:szCs w:val="22"/>
          <w:highlight w:val="none"/>
          <w:lang w:val="en-US" w:eastAsia="zh-CN"/>
        </w:rPr>
      </w:pPr>
      <w:r>
        <w:rPr>
          <w:rFonts w:hint="eastAsia" w:ascii="宋体" w:hAnsi="宋体" w:cs="宋体"/>
          <w:b/>
          <w:bCs/>
          <w:i w:val="0"/>
          <w:iCs w:val="0"/>
          <w:color w:val="auto"/>
          <w:kern w:val="0"/>
          <w:sz w:val="22"/>
          <w:szCs w:val="22"/>
          <w:highlight w:val="none"/>
          <w:lang w:val="en-US" w:eastAsia="zh-CN"/>
        </w:rPr>
        <w:t>2.</w:t>
      </w:r>
      <w:r>
        <w:rPr>
          <w:rFonts w:hint="eastAsia" w:ascii="宋体" w:hAnsi="宋体" w:eastAsia="宋体" w:cs="宋体"/>
          <w:b/>
          <w:bCs/>
          <w:i w:val="0"/>
          <w:iCs w:val="0"/>
          <w:color w:val="auto"/>
          <w:kern w:val="0"/>
          <w:sz w:val="22"/>
          <w:szCs w:val="22"/>
          <w:highlight w:val="none"/>
          <w:lang w:val="en-US" w:eastAsia="zh-CN"/>
        </w:rPr>
        <w:t>根据最终得分排序，通过书面评审报告的形式，向采购人推荐排名第一的投标供应商为中标（成交）候选供应商。</w:t>
      </w:r>
    </w:p>
    <w:p w14:paraId="645AE3FC">
      <w:pPr>
        <w:pStyle w:val="4"/>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left="0" w:leftChars="0" w:firstLine="442"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十</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起草、签署评审报告</w:t>
      </w:r>
    </w:p>
    <w:p w14:paraId="15D93C02">
      <w:pPr>
        <w:keepNext w:val="0"/>
        <w:keepLines w:val="0"/>
        <w:pageBreakBefore w:val="0"/>
        <w:widowControl w:val="0"/>
        <w:kinsoku/>
        <w:wordWrap/>
        <w:overflowPunct/>
        <w:topLinePunct w:val="0"/>
        <w:autoSpaceDE/>
        <w:autoSpaceDN/>
        <w:bidi w:val="0"/>
        <w:adjustRightInd/>
        <w:spacing w:line="400" w:lineRule="exact"/>
        <w:ind w:left="0" w:leftChars="0" w:firstLine="440" w:firstLineChars="200"/>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23E1BB0">
      <w:pPr>
        <w:pStyle w:val="11"/>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十</w:t>
      </w:r>
      <w:r>
        <w:rPr>
          <w:rFonts w:hint="eastAsia" w:ascii="宋体" w:hAnsi="宋体" w:eastAsia="宋体" w:cs="宋体"/>
          <w:b/>
          <w:i w:val="0"/>
          <w:iCs w:val="0"/>
          <w:color w:val="auto"/>
          <w:sz w:val="22"/>
          <w:szCs w:val="22"/>
          <w:highlight w:val="none"/>
          <w:lang w:eastAsia="zh-CN"/>
        </w:rPr>
        <w:t>一、</w:t>
      </w:r>
      <w:r>
        <w:rPr>
          <w:rFonts w:hint="eastAsia" w:ascii="宋体" w:hAnsi="宋体" w:eastAsia="宋体" w:cs="宋体"/>
          <w:b/>
          <w:i w:val="0"/>
          <w:iCs w:val="0"/>
          <w:color w:val="auto"/>
          <w:sz w:val="22"/>
          <w:szCs w:val="22"/>
          <w:highlight w:val="none"/>
        </w:rPr>
        <w:t>评标办法</w:t>
      </w:r>
    </w:p>
    <w:p w14:paraId="02A3583C">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i w:val="0"/>
          <w:iCs w:val="0"/>
          <w:color w:val="auto"/>
          <w:sz w:val="22"/>
          <w:szCs w:val="22"/>
          <w:highlight w:val="none"/>
        </w:rPr>
        <w:t>1</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i w:val="0"/>
          <w:iCs w:val="0"/>
          <w:color w:val="auto"/>
          <w:sz w:val="22"/>
          <w:szCs w:val="22"/>
          <w:highlight w:val="none"/>
        </w:rPr>
        <w:t>本项目采用综合评分法，总分为100分，其中商务、技术</w:t>
      </w:r>
      <w:r>
        <w:rPr>
          <w:rFonts w:hint="eastAsia" w:ascii="宋体" w:hAnsi="宋体" w:eastAsia="宋体" w:cs="宋体"/>
          <w:b/>
          <w:bCs/>
          <w:i w:val="0"/>
          <w:iCs w:val="0"/>
          <w:color w:val="auto"/>
          <w:sz w:val="22"/>
          <w:szCs w:val="22"/>
          <w:highlight w:val="none"/>
          <w:lang w:val="en-US" w:eastAsia="zh-CN"/>
        </w:rPr>
        <w:t>90</w:t>
      </w:r>
      <w:r>
        <w:rPr>
          <w:rFonts w:hint="eastAsia" w:ascii="宋体" w:hAnsi="宋体" w:eastAsia="宋体" w:cs="宋体"/>
          <w:b/>
          <w:bCs/>
          <w:i w:val="0"/>
          <w:iCs w:val="0"/>
          <w:color w:val="auto"/>
          <w:sz w:val="22"/>
          <w:szCs w:val="22"/>
          <w:highlight w:val="none"/>
        </w:rPr>
        <w:t>分，价格分</w:t>
      </w:r>
      <w:r>
        <w:rPr>
          <w:rFonts w:hint="eastAsia" w:ascii="宋体" w:hAnsi="宋体" w:eastAsia="宋体" w:cs="宋体"/>
          <w:b/>
          <w:bCs/>
          <w:i w:val="0"/>
          <w:iCs w:val="0"/>
          <w:color w:val="auto"/>
          <w:sz w:val="22"/>
          <w:szCs w:val="22"/>
          <w:highlight w:val="none"/>
          <w:lang w:val="en-US" w:eastAsia="zh-CN"/>
        </w:rPr>
        <w:t>10</w:t>
      </w:r>
      <w:r>
        <w:rPr>
          <w:rFonts w:hint="eastAsia" w:ascii="宋体" w:hAnsi="宋体" w:eastAsia="宋体" w:cs="宋体"/>
          <w:b/>
          <w:bCs/>
          <w:i w:val="0"/>
          <w:iCs w:val="0"/>
          <w:color w:val="auto"/>
          <w:sz w:val="22"/>
          <w:szCs w:val="22"/>
          <w:highlight w:val="none"/>
        </w:rPr>
        <w:t>分。</w:t>
      </w:r>
    </w:p>
    <w:p w14:paraId="661391ED">
      <w:pPr>
        <w:keepNext w:val="0"/>
        <w:keepLines w:val="0"/>
        <w:pageBreakBefore w:val="0"/>
        <w:widowControl w:val="0"/>
        <w:kinsoku/>
        <w:wordWrap/>
        <w:overflowPunct/>
        <w:topLinePunct w:val="0"/>
        <w:autoSpaceDE/>
        <w:autoSpaceDN/>
        <w:bidi w:val="0"/>
        <w:adjustRightInd/>
        <w:snapToGrid w:val="0"/>
        <w:spacing w:line="400" w:lineRule="exact"/>
        <w:ind w:left="0" w:leftChars="0" w:firstLine="442" w:firstLineChars="200"/>
        <w:textAlignment w:val="auto"/>
        <w:rPr>
          <w:rFonts w:hint="eastAsia" w:ascii="宋体" w:hAnsi="宋体" w:eastAsia="宋体" w:cs="宋体"/>
          <w:b/>
          <w:bCs w:val="0"/>
          <w:i w:val="0"/>
          <w:iCs w:val="0"/>
          <w:color w:val="auto"/>
          <w:sz w:val="22"/>
          <w:szCs w:val="22"/>
          <w:highlight w:val="none"/>
        </w:rPr>
      </w:pPr>
      <w:r>
        <w:rPr>
          <w:rFonts w:hint="eastAsia" w:ascii="宋体" w:hAnsi="宋体" w:eastAsia="宋体" w:cs="宋体"/>
          <w:b/>
          <w:bCs w:val="0"/>
          <w:i w:val="0"/>
          <w:iCs w:val="0"/>
          <w:color w:val="auto"/>
          <w:sz w:val="22"/>
          <w:szCs w:val="22"/>
          <w:highlight w:val="none"/>
        </w:rPr>
        <w:t>2</w:t>
      </w:r>
      <w:r>
        <w:rPr>
          <w:rFonts w:hint="eastAsia" w:ascii="宋体" w:hAnsi="宋体" w:cs="宋体"/>
          <w:b/>
          <w:bCs w:val="0"/>
          <w:i w:val="0"/>
          <w:iCs w:val="0"/>
          <w:color w:val="auto"/>
          <w:sz w:val="22"/>
          <w:szCs w:val="22"/>
          <w:highlight w:val="none"/>
          <w:lang w:val="en-US" w:eastAsia="zh-CN"/>
        </w:rPr>
        <w:t>.</w:t>
      </w:r>
      <w:r>
        <w:rPr>
          <w:rFonts w:hint="eastAsia" w:ascii="宋体" w:hAnsi="宋体" w:eastAsia="宋体" w:cs="宋体"/>
          <w:b/>
          <w:bCs w:val="0"/>
          <w:i w:val="0"/>
          <w:iCs w:val="0"/>
          <w:color w:val="auto"/>
          <w:sz w:val="22"/>
          <w:szCs w:val="22"/>
          <w:highlight w:val="none"/>
        </w:rPr>
        <w:t>商务、技术评标细则（</w:t>
      </w:r>
      <w:r>
        <w:rPr>
          <w:rFonts w:hint="eastAsia" w:ascii="宋体" w:hAnsi="宋体" w:eastAsia="宋体" w:cs="宋体"/>
          <w:b/>
          <w:bCs w:val="0"/>
          <w:i w:val="0"/>
          <w:iCs w:val="0"/>
          <w:color w:val="auto"/>
          <w:sz w:val="22"/>
          <w:szCs w:val="22"/>
          <w:highlight w:val="none"/>
          <w:lang w:val="en-US" w:eastAsia="zh-CN"/>
        </w:rPr>
        <w:t>90</w:t>
      </w:r>
      <w:r>
        <w:rPr>
          <w:rFonts w:hint="eastAsia" w:ascii="宋体" w:hAnsi="宋体" w:eastAsia="宋体" w:cs="宋体"/>
          <w:b/>
          <w:bCs w:val="0"/>
          <w:i w:val="0"/>
          <w:iCs w:val="0"/>
          <w:color w:val="auto"/>
          <w:sz w:val="22"/>
          <w:szCs w:val="22"/>
          <w:highlight w:val="none"/>
        </w:rPr>
        <w:t>分）</w:t>
      </w:r>
    </w:p>
    <w:tbl>
      <w:tblPr>
        <w:tblStyle w:val="24"/>
        <w:tblpPr w:leftFromText="180" w:rightFromText="180" w:vertAnchor="text" w:horzAnchor="page" w:tblpX="1383" w:tblpY="103"/>
        <w:tblOverlap w:val="never"/>
        <w:tblW w:w="498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49"/>
        <w:gridCol w:w="7649"/>
        <w:gridCol w:w="834"/>
      </w:tblGrid>
      <w:tr w14:paraId="4D909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noWrap w:val="0"/>
            <w:vAlign w:val="center"/>
          </w:tcPr>
          <w:p w14:paraId="6DA4A41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评分内容</w:t>
            </w:r>
          </w:p>
        </w:tc>
        <w:tc>
          <w:tcPr>
            <w:tcW w:w="3889" w:type="pct"/>
            <w:noWrap w:val="0"/>
            <w:vAlign w:val="center"/>
          </w:tcPr>
          <w:p w14:paraId="32424C7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424" w:type="pct"/>
            <w:tcBorders>
              <w:right w:val="single" w:color="auto" w:sz="4" w:space="0"/>
            </w:tcBorders>
            <w:noWrap w:val="0"/>
            <w:vAlign w:val="center"/>
          </w:tcPr>
          <w:p w14:paraId="78DAAA4C">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21BCC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noWrap w:val="0"/>
            <w:vAlign w:val="center"/>
          </w:tcPr>
          <w:p w14:paraId="445B0AC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企业服务</w:t>
            </w:r>
          </w:p>
          <w:p w14:paraId="217AB46C">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能力</w:t>
            </w:r>
          </w:p>
        </w:tc>
        <w:tc>
          <w:tcPr>
            <w:tcW w:w="3889" w:type="pct"/>
            <w:noWrap w:val="0"/>
            <w:vAlign w:val="center"/>
          </w:tcPr>
          <w:p w14:paraId="26CE98CC">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val="0"/>
                <w:bCs/>
                <w:color w:val="auto"/>
                <w:kern w:val="0"/>
                <w:sz w:val="22"/>
                <w:szCs w:val="22"/>
                <w:highlight w:val="none"/>
                <w:lang w:val="en-GB" w:eastAsia="zh-CN" w:bidi="ar-SA"/>
              </w:rPr>
            </w:pPr>
            <w:r>
              <w:rPr>
                <w:rFonts w:hint="eastAsia" w:ascii="宋体" w:hAnsi="宋体" w:eastAsia="宋体" w:cs="宋体"/>
                <w:b w:val="0"/>
                <w:bCs/>
                <w:color w:val="auto"/>
                <w:kern w:val="0"/>
                <w:sz w:val="22"/>
                <w:szCs w:val="22"/>
                <w:highlight w:val="none"/>
                <w:lang w:val="en-GB" w:eastAsia="zh-CN" w:bidi="ar-SA"/>
              </w:rPr>
              <w:t>供应商具有有效的ISO9001质量管理体系认证证书 得2分；</w:t>
            </w:r>
          </w:p>
          <w:p w14:paraId="799E7C1C">
            <w:pPr>
              <w:pStyle w:val="21"/>
              <w:keepNext w:val="0"/>
              <w:keepLines w:val="0"/>
              <w:pageBreakBefore w:val="0"/>
              <w:widowControl w:val="0"/>
              <w:kinsoku/>
              <w:wordWrap/>
              <w:overflowPunct/>
              <w:topLinePunct w:val="0"/>
              <w:bidi w:val="0"/>
              <w:adjustRightInd/>
              <w:snapToGrid/>
              <w:spacing w:line="300" w:lineRule="exact"/>
              <w:jc w:val="both"/>
              <w:textAlignment w:val="auto"/>
              <w:rPr>
                <w:rFonts w:hint="eastAsia" w:ascii="宋体" w:hAnsi="宋体" w:eastAsia="宋体" w:cs="宋体"/>
                <w:b w:val="0"/>
                <w:bCs/>
                <w:color w:val="auto"/>
                <w:kern w:val="0"/>
                <w:sz w:val="22"/>
                <w:szCs w:val="22"/>
                <w:highlight w:val="none"/>
                <w:lang w:val="en-GB" w:eastAsia="zh-CN" w:bidi="ar-SA"/>
              </w:rPr>
            </w:pPr>
            <w:r>
              <w:rPr>
                <w:rFonts w:hint="eastAsia" w:ascii="宋体" w:hAnsi="宋体" w:eastAsia="宋体" w:cs="宋体"/>
                <w:b w:val="0"/>
                <w:bCs/>
                <w:color w:val="auto"/>
                <w:kern w:val="0"/>
                <w:sz w:val="22"/>
                <w:szCs w:val="22"/>
                <w:highlight w:val="none"/>
                <w:lang w:val="en-GB" w:eastAsia="zh-CN" w:bidi="ar-SA"/>
              </w:rPr>
              <w:t>供应商具有有效的ISO14001环境管理体系认证证书得2分。</w:t>
            </w:r>
          </w:p>
          <w:p w14:paraId="41BE36CF">
            <w:pPr>
              <w:pStyle w:val="21"/>
              <w:keepNext w:val="0"/>
              <w:keepLines w:val="0"/>
              <w:pageBreakBefore w:val="0"/>
              <w:widowControl w:val="0"/>
              <w:kinsoku/>
              <w:wordWrap/>
              <w:overflowPunct/>
              <w:topLinePunct w:val="0"/>
              <w:bidi w:val="0"/>
              <w:adjustRightInd/>
              <w:snapToGrid/>
              <w:spacing w:line="30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val="0"/>
                <w:color w:val="auto"/>
                <w:kern w:val="0"/>
                <w:sz w:val="22"/>
                <w:szCs w:val="22"/>
                <w:highlight w:val="none"/>
                <w:lang w:val="en-GB" w:eastAsia="zh-CN" w:bidi="ar-SA"/>
              </w:rPr>
              <w:t>注：提供有效期内证书复印件或扫描件并加盖投标人公章</w:t>
            </w:r>
            <w:r>
              <w:rPr>
                <w:rFonts w:hint="eastAsia" w:ascii="宋体" w:hAnsi="宋体" w:eastAsia="宋体" w:cs="宋体"/>
                <w:b/>
                <w:bCs w:val="0"/>
                <w:color w:val="auto"/>
                <w:sz w:val="22"/>
                <w:szCs w:val="22"/>
                <w:highlight w:val="none"/>
              </w:rPr>
              <w:t>编入商务技术文件中，否则不得分</w:t>
            </w:r>
            <w:r>
              <w:rPr>
                <w:rFonts w:hint="eastAsia" w:ascii="宋体" w:hAnsi="宋体" w:eastAsia="宋体" w:cs="宋体"/>
                <w:b/>
                <w:bCs w:val="0"/>
                <w:color w:val="auto"/>
                <w:sz w:val="22"/>
                <w:szCs w:val="22"/>
                <w:highlight w:val="none"/>
                <w:lang w:eastAsia="zh-CN"/>
              </w:rPr>
              <w:t>。</w:t>
            </w:r>
          </w:p>
        </w:tc>
        <w:tc>
          <w:tcPr>
            <w:tcW w:w="424" w:type="pct"/>
            <w:tcBorders>
              <w:right w:val="single" w:color="auto" w:sz="4" w:space="0"/>
            </w:tcBorders>
            <w:noWrap w:val="0"/>
            <w:vAlign w:val="center"/>
          </w:tcPr>
          <w:p w14:paraId="27C9709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w:t>
            </w:r>
          </w:p>
        </w:tc>
      </w:tr>
      <w:tr w14:paraId="06D19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noWrap w:val="0"/>
            <w:vAlign w:val="center"/>
          </w:tcPr>
          <w:p w14:paraId="5BAABB5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类似</w:t>
            </w:r>
            <w:r>
              <w:rPr>
                <w:rFonts w:hint="eastAsia" w:ascii="宋体" w:hAnsi="宋体" w:eastAsia="宋体" w:cs="宋体"/>
                <w:color w:val="auto"/>
                <w:sz w:val="22"/>
                <w:szCs w:val="22"/>
                <w:highlight w:val="none"/>
              </w:rPr>
              <w:t>业绩</w:t>
            </w:r>
          </w:p>
        </w:tc>
        <w:tc>
          <w:tcPr>
            <w:tcW w:w="3889" w:type="pct"/>
            <w:noWrap w:val="0"/>
            <w:vAlign w:val="center"/>
          </w:tcPr>
          <w:p w14:paraId="410AD4E2">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供应商具有20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年1月1日以来（以合同签订日期为准）类似业绩的，每个得0.5分，最高得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2C36F8EE">
            <w:pPr>
              <w:keepNext w:val="0"/>
              <w:keepLines w:val="0"/>
              <w:pageBreakBefore w:val="0"/>
              <w:widowControl w:val="0"/>
              <w:shd w:val="clear" w:color="auto" w:fill="auto"/>
              <w:kinsoku/>
              <w:wordWrap/>
              <w:overflowPunct/>
              <w:topLinePunct w:val="0"/>
              <w:bidi w:val="0"/>
              <w:adjustRightInd/>
              <w:snapToGrid/>
              <w:spacing w:line="300" w:lineRule="exact"/>
              <w:ind w:left="0" w:leftChars="0" w:right="38" w:rightChars="18" w:firstLine="0" w:firstLineChars="0"/>
              <w:jc w:val="left"/>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注：（1）是否属于类似业绩由评审小组根据合同的内容、特点等与本项目的类似程度进行认定（如合同不能反映类似项目特征，可另外补充其它证明材料，不能充分证明得分条件的业绩不得分）。</w:t>
            </w:r>
          </w:p>
          <w:p w14:paraId="52992B9A">
            <w:pPr>
              <w:keepNext w:val="0"/>
              <w:keepLines w:val="0"/>
              <w:pageBreakBefore w:val="0"/>
              <w:widowControl w:val="0"/>
              <w:numPr>
                <w:ilvl w:val="0"/>
                <w:numId w:val="0"/>
              </w:numPr>
              <w:shd w:val="clear" w:color="auto" w:fill="auto"/>
              <w:kinsoku/>
              <w:wordWrap/>
              <w:overflowPunct/>
              <w:topLinePunct w:val="0"/>
              <w:bidi w:val="0"/>
              <w:adjustRightInd/>
              <w:snapToGrid/>
              <w:spacing w:line="300" w:lineRule="exact"/>
              <w:ind w:leftChars="0" w:right="38" w:rightChars="18"/>
              <w:jc w:val="left"/>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eastAsia="zh-CN"/>
              </w:rPr>
              <w:t>提供</w:t>
            </w:r>
            <w:r>
              <w:rPr>
                <w:rFonts w:hint="eastAsia" w:ascii="宋体" w:hAnsi="宋体" w:eastAsia="宋体" w:cs="宋体"/>
                <w:b/>
                <w:bCs w:val="0"/>
                <w:color w:val="auto"/>
                <w:sz w:val="22"/>
                <w:szCs w:val="22"/>
                <w:highlight w:val="none"/>
              </w:rPr>
              <w:t>合同及成交(中标)通知书</w:t>
            </w:r>
            <w:r>
              <w:rPr>
                <w:rFonts w:hint="eastAsia" w:ascii="宋体" w:hAnsi="宋体" w:eastAsia="宋体" w:cs="宋体"/>
                <w:b/>
                <w:bCs w:val="0"/>
                <w:color w:val="auto"/>
                <w:sz w:val="22"/>
                <w:szCs w:val="22"/>
                <w:highlight w:val="none"/>
                <w:lang w:val="en-US" w:eastAsia="zh-CN"/>
              </w:rPr>
              <w:t>。</w:t>
            </w:r>
          </w:p>
          <w:p w14:paraId="778184E3">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lang w:val="en-US" w:eastAsia="zh-CN"/>
              </w:rPr>
              <w:t>（3）以上业绩证明材料复印件</w:t>
            </w:r>
            <w:r>
              <w:rPr>
                <w:rFonts w:hint="eastAsia" w:ascii="宋体" w:hAnsi="宋体" w:eastAsia="宋体" w:cs="宋体"/>
                <w:b/>
                <w:bCs w:val="0"/>
                <w:color w:val="auto"/>
                <w:kern w:val="0"/>
                <w:sz w:val="22"/>
                <w:szCs w:val="22"/>
                <w:highlight w:val="none"/>
                <w:lang w:val="en-GB" w:eastAsia="zh-CN" w:bidi="ar-SA"/>
              </w:rPr>
              <w:t>或扫描件并加盖投标人公章</w:t>
            </w:r>
            <w:r>
              <w:rPr>
                <w:rFonts w:hint="eastAsia" w:ascii="宋体" w:hAnsi="宋体" w:eastAsia="宋体" w:cs="宋体"/>
                <w:b/>
                <w:bCs w:val="0"/>
                <w:color w:val="auto"/>
                <w:sz w:val="22"/>
                <w:szCs w:val="22"/>
                <w:highlight w:val="none"/>
              </w:rPr>
              <w:t>编入商务技术文件中，否则不得分</w:t>
            </w:r>
            <w:r>
              <w:rPr>
                <w:rFonts w:hint="eastAsia" w:ascii="宋体" w:hAnsi="宋体" w:eastAsia="宋体" w:cs="宋体"/>
                <w:b/>
                <w:bCs w:val="0"/>
                <w:color w:val="auto"/>
                <w:sz w:val="22"/>
                <w:szCs w:val="22"/>
                <w:highlight w:val="none"/>
                <w:lang w:eastAsia="zh-CN"/>
              </w:rPr>
              <w:t>。</w:t>
            </w:r>
          </w:p>
        </w:tc>
        <w:tc>
          <w:tcPr>
            <w:tcW w:w="424" w:type="pct"/>
            <w:tcBorders>
              <w:right w:val="single" w:color="auto" w:sz="4" w:space="0"/>
            </w:tcBorders>
            <w:noWrap w:val="0"/>
            <w:vAlign w:val="center"/>
          </w:tcPr>
          <w:p w14:paraId="1FB0CE9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r>
      <w:tr w14:paraId="57C95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noWrap w:val="0"/>
            <w:vAlign w:val="center"/>
          </w:tcPr>
          <w:p w14:paraId="19AEFDE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技术力量</w:t>
            </w:r>
          </w:p>
        </w:tc>
        <w:tc>
          <w:tcPr>
            <w:tcW w:w="3889" w:type="pct"/>
            <w:noWrap w:val="0"/>
            <w:vAlign w:val="center"/>
          </w:tcPr>
          <w:p w14:paraId="068D390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拟派项目负责人有环保类高级或以上职称</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得2分</w:t>
            </w:r>
            <w:r>
              <w:rPr>
                <w:rFonts w:hint="eastAsia" w:ascii="宋体" w:hAnsi="宋体" w:eastAsia="宋体" w:cs="宋体"/>
                <w:color w:val="auto"/>
                <w:sz w:val="22"/>
                <w:szCs w:val="22"/>
                <w:highlight w:val="none"/>
                <w:lang w:eastAsia="zh-CN"/>
              </w:rPr>
              <w:t>，</w:t>
            </w:r>
            <w:r>
              <w:rPr>
                <w:rFonts w:hint="eastAsia" w:ascii="宋体" w:hAnsi="宋体" w:eastAsia="宋体" w:cs="宋体"/>
                <w:b w:val="0"/>
                <w:bCs/>
                <w:color w:val="auto"/>
                <w:sz w:val="22"/>
                <w:szCs w:val="22"/>
                <w:highlight w:val="none"/>
              </w:rPr>
              <w:t>具有环境影响评价工程师资格证书或注册环保工程师资格证书</w:t>
            </w:r>
            <w:r>
              <w:rPr>
                <w:rFonts w:hint="eastAsia" w:ascii="宋体" w:hAnsi="宋体" w:eastAsia="宋体" w:cs="宋体"/>
                <w:b w:val="0"/>
                <w:bCs/>
                <w:color w:val="auto"/>
                <w:sz w:val="22"/>
                <w:szCs w:val="22"/>
                <w:highlight w:val="none"/>
                <w:lang w:eastAsia="zh-CN"/>
              </w:rPr>
              <w:t>再加</w:t>
            </w:r>
            <w:r>
              <w:rPr>
                <w:rFonts w:hint="eastAsia" w:ascii="宋体" w:hAnsi="宋体" w:eastAsia="宋体" w:cs="宋体"/>
                <w:b w:val="0"/>
                <w:bCs/>
                <w:color w:val="auto"/>
                <w:sz w:val="22"/>
                <w:szCs w:val="22"/>
                <w:highlight w:val="none"/>
                <w:lang w:val="en-US" w:eastAsia="zh-CN"/>
              </w:rPr>
              <w:t>1分。本项最高3分</w:t>
            </w:r>
          </w:p>
          <w:p w14:paraId="208EC529">
            <w:pPr>
              <w:pStyle w:val="21"/>
              <w:keepNext w:val="0"/>
              <w:keepLines w:val="0"/>
              <w:pageBreakBefore w:val="0"/>
              <w:widowControl w:val="0"/>
              <w:kinsoku/>
              <w:wordWrap/>
              <w:overflowPunct/>
              <w:topLinePunct w:val="0"/>
              <w:bidi w:val="0"/>
              <w:adjustRightInd/>
              <w:snapToGrid/>
              <w:spacing w:line="300" w:lineRule="exact"/>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项目</w:t>
            </w:r>
            <w:r>
              <w:rPr>
                <w:rFonts w:hint="eastAsia" w:ascii="宋体" w:hAnsi="宋体" w:eastAsia="宋体" w:cs="宋体"/>
                <w:b w:val="0"/>
                <w:bCs/>
                <w:color w:val="auto"/>
                <w:sz w:val="22"/>
                <w:szCs w:val="22"/>
                <w:highlight w:val="none"/>
                <w:lang w:eastAsia="zh-CN"/>
              </w:rPr>
              <w:t>技术负责人</w:t>
            </w:r>
            <w:r>
              <w:rPr>
                <w:rFonts w:hint="eastAsia" w:ascii="宋体" w:hAnsi="宋体" w:eastAsia="宋体" w:cs="宋体"/>
                <w:b w:val="0"/>
                <w:bCs/>
                <w:color w:val="auto"/>
                <w:sz w:val="22"/>
                <w:szCs w:val="22"/>
                <w:highlight w:val="none"/>
              </w:rPr>
              <w:t>具有环境影响评价工程师资格证书或注册环保工程师资格证书的得1分。</w:t>
            </w:r>
          </w:p>
          <w:p w14:paraId="0A6D21C2">
            <w:pPr>
              <w:pStyle w:val="30"/>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color w:val="auto"/>
                <w:sz w:val="22"/>
                <w:szCs w:val="22"/>
                <w:highlight w:val="none"/>
              </w:rPr>
              <w:t>拟派项目组成员（不含项目负责人</w:t>
            </w:r>
            <w:r>
              <w:rPr>
                <w:rFonts w:hint="eastAsia" w:ascii="宋体" w:hAnsi="宋体" w:eastAsia="宋体" w:cs="宋体"/>
                <w:color w:val="auto"/>
                <w:sz w:val="22"/>
                <w:szCs w:val="22"/>
                <w:highlight w:val="none"/>
                <w:lang w:eastAsia="zh-CN"/>
              </w:rPr>
              <w:t>和项目技术负责人</w:t>
            </w:r>
            <w:r>
              <w:rPr>
                <w:rFonts w:hint="eastAsia" w:ascii="宋体" w:hAnsi="宋体" w:eastAsia="宋体" w:cs="宋体"/>
                <w:color w:val="auto"/>
                <w:sz w:val="22"/>
                <w:szCs w:val="22"/>
                <w:highlight w:val="none"/>
              </w:rPr>
              <w:t>）有环保类高级或以上职称</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rPr>
              <w:t>每人得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中级职称的每人得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本项最高</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69DF6CF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val="0"/>
                <w:color w:val="auto"/>
                <w:sz w:val="22"/>
                <w:szCs w:val="22"/>
                <w:highlight w:val="none"/>
                <w:lang w:eastAsia="zh-CN"/>
              </w:rPr>
              <w:t>注：</w:t>
            </w:r>
            <w:r>
              <w:rPr>
                <w:rFonts w:hint="eastAsia" w:ascii="宋体" w:hAnsi="宋体" w:eastAsia="宋体" w:cs="宋体"/>
                <w:b/>
                <w:bCs w:val="0"/>
                <w:color w:val="auto"/>
                <w:sz w:val="22"/>
                <w:szCs w:val="22"/>
                <w:highlight w:val="none"/>
              </w:rPr>
              <w:t>提供相关证书复印件或扫描件</w:t>
            </w:r>
            <w:r>
              <w:rPr>
                <w:rFonts w:hint="eastAsia" w:ascii="宋体" w:hAnsi="宋体" w:eastAsia="宋体" w:cs="宋体"/>
                <w:b/>
                <w:bCs w:val="0"/>
                <w:color w:val="auto"/>
                <w:sz w:val="22"/>
                <w:szCs w:val="22"/>
                <w:highlight w:val="none"/>
                <w:lang w:eastAsia="zh-CN"/>
              </w:rPr>
              <w:t>及投标人为其缴纳的投标截止日前</w:t>
            </w:r>
            <w:r>
              <w:rPr>
                <w:rFonts w:hint="eastAsia" w:ascii="宋体" w:hAnsi="宋体" w:eastAsia="宋体" w:cs="宋体"/>
                <w:b/>
                <w:bCs w:val="0"/>
                <w:color w:val="auto"/>
                <w:sz w:val="22"/>
                <w:szCs w:val="22"/>
                <w:highlight w:val="none"/>
                <w:lang w:val="en-US" w:eastAsia="zh-CN"/>
              </w:rPr>
              <w:t>3个月</w:t>
            </w:r>
            <w:r>
              <w:rPr>
                <w:rFonts w:hint="eastAsia" w:ascii="宋体" w:hAnsi="宋体" w:eastAsia="宋体" w:cs="宋体"/>
                <w:b/>
                <w:bCs w:val="0"/>
                <w:color w:val="auto"/>
                <w:sz w:val="22"/>
                <w:szCs w:val="22"/>
                <w:highlight w:val="none"/>
                <w:lang w:eastAsia="zh-CN"/>
              </w:rPr>
              <w:t>的社保缴纳证明材料</w:t>
            </w:r>
            <w:r>
              <w:rPr>
                <w:rFonts w:hint="eastAsia" w:ascii="宋体" w:hAnsi="宋体" w:eastAsia="宋体" w:cs="宋体"/>
                <w:b/>
                <w:bCs w:val="0"/>
                <w:color w:val="auto"/>
                <w:kern w:val="0"/>
                <w:sz w:val="22"/>
                <w:szCs w:val="22"/>
                <w:highlight w:val="none"/>
                <w:lang w:val="en-GB" w:eastAsia="zh-CN" w:bidi="ar-SA"/>
              </w:rPr>
              <w:t>加盖投标人公章</w:t>
            </w:r>
            <w:r>
              <w:rPr>
                <w:rFonts w:hint="eastAsia" w:ascii="宋体" w:hAnsi="宋体" w:eastAsia="宋体" w:cs="宋体"/>
                <w:b/>
                <w:bCs w:val="0"/>
                <w:color w:val="auto"/>
                <w:sz w:val="22"/>
                <w:szCs w:val="22"/>
                <w:highlight w:val="none"/>
              </w:rPr>
              <w:t>编入商务技术文件中，否则不得分</w:t>
            </w:r>
            <w:r>
              <w:rPr>
                <w:rFonts w:hint="eastAsia" w:ascii="宋体" w:hAnsi="宋体" w:eastAsia="宋体" w:cs="宋体"/>
                <w:b/>
                <w:bCs w:val="0"/>
                <w:color w:val="auto"/>
                <w:sz w:val="22"/>
                <w:szCs w:val="22"/>
                <w:highlight w:val="none"/>
                <w:lang w:eastAsia="zh-CN"/>
              </w:rPr>
              <w:t>。</w:t>
            </w:r>
          </w:p>
        </w:tc>
        <w:tc>
          <w:tcPr>
            <w:tcW w:w="424" w:type="pct"/>
            <w:tcBorders>
              <w:right w:val="single" w:color="auto" w:sz="4" w:space="0"/>
            </w:tcBorders>
            <w:noWrap w:val="0"/>
            <w:vAlign w:val="center"/>
          </w:tcPr>
          <w:p w14:paraId="02DE1829">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14:paraId="62DAC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noWrap w:val="0"/>
            <w:vAlign w:val="center"/>
          </w:tcPr>
          <w:p w14:paraId="619880C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服务硬件配备</w:t>
            </w:r>
          </w:p>
        </w:tc>
        <w:tc>
          <w:tcPr>
            <w:tcW w:w="3889" w:type="pct"/>
            <w:noWrap w:val="0"/>
            <w:vAlign w:val="center"/>
          </w:tcPr>
          <w:p w14:paraId="41ADA650">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拟投入本项目的用车配备情况：配备工作专用车1辆的得基础分3分；在1辆的基础上，增加工作专用车的，每辆得1分。最高分得5分。</w:t>
            </w:r>
          </w:p>
          <w:p w14:paraId="6D59CBD6">
            <w:pPr>
              <w:keepNext w:val="0"/>
              <w:keepLines w:val="0"/>
              <w:pageBreakBefore w:val="0"/>
              <w:widowControl w:val="0"/>
              <w:numPr>
                <w:ilvl w:val="0"/>
                <w:numId w:val="0"/>
              </w:numPr>
              <w:shd w:val="clear" w:color="auto" w:fill="auto"/>
              <w:kinsoku/>
              <w:wordWrap/>
              <w:overflowPunct/>
              <w:topLinePunct w:val="0"/>
              <w:bidi w:val="0"/>
              <w:adjustRightInd/>
              <w:snapToGrid/>
              <w:spacing w:line="300" w:lineRule="exact"/>
              <w:ind w:leftChars="0" w:right="38" w:rightChars="18"/>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color w:val="auto"/>
                <w:sz w:val="22"/>
                <w:szCs w:val="22"/>
                <w:highlight w:val="none"/>
                <w:lang w:eastAsia="zh-CN"/>
              </w:rPr>
              <w:t>注：（</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）自有</w:t>
            </w:r>
            <w:r>
              <w:rPr>
                <w:rFonts w:hint="eastAsia" w:ascii="宋体" w:hAnsi="宋体" w:eastAsia="宋体" w:cs="宋体"/>
                <w:b/>
                <w:bCs/>
                <w:color w:val="auto"/>
                <w:sz w:val="22"/>
                <w:szCs w:val="22"/>
                <w:highlight w:val="none"/>
              </w:rPr>
              <w:t>车辆</w:t>
            </w:r>
            <w:r>
              <w:rPr>
                <w:rFonts w:hint="eastAsia" w:ascii="宋体" w:hAnsi="宋体" w:eastAsia="宋体" w:cs="宋体"/>
                <w:b/>
                <w:bCs/>
                <w:color w:val="auto"/>
                <w:sz w:val="22"/>
                <w:szCs w:val="22"/>
                <w:highlight w:val="none"/>
                <w:lang w:eastAsia="zh-CN"/>
              </w:rPr>
              <w:t>需提供</w:t>
            </w:r>
            <w:r>
              <w:rPr>
                <w:rFonts w:hint="eastAsia" w:ascii="宋体" w:hAnsi="宋体" w:eastAsia="宋体" w:cs="宋体"/>
                <w:b/>
                <w:bCs/>
                <w:color w:val="auto"/>
                <w:sz w:val="22"/>
                <w:szCs w:val="22"/>
                <w:highlight w:val="none"/>
              </w:rPr>
              <w:t>以</w:t>
            </w:r>
            <w:r>
              <w:rPr>
                <w:rFonts w:hint="eastAsia" w:ascii="宋体" w:hAnsi="宋体" w:eastAsia="宋体" w:cs="宋体"/>
                <w:b/>
                <w:bCs/>
                <w:color w:val="auto"/>
                <w:sz w:val="22"/>
                <w:szCs w:val="22"/>
                <w:highlight w:val="none"/>
                <w:lang w:eastAsia="zh-CN"/>
              </w:rPr>
              <w:t>投标人或其</w:t>
            </w:r>
            <w:r>
              <w:rPr>
                <w:rFonts w:hint="eastAsia" w:ascii="宋体" w:hAnsi="宋体" w:eastAsia="宋体" w:cs="宋体"/>
                <w:b/>
                <w:bCs/>
                <w:color w:val="auto"/>
                <w:sz w:val="22"/>
                <w:szCs w:val="22"/>
                <w:highlight w:val="none"/>
              </w:rPr>
              <w:t>分公司、子公司</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并提供公司关系证明，无法证明的不予认可</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或</w:t>
            </w:r>
            <w:r>
              <w:rPr>
                <w:rFonts w:hint="eastAsia" w:ascii="宋体" w:hAnsi="宋体" w:eastAsia="宋体" w:cs="宋体"/>
                <w:b/>
                <w:bCs/>
                <w:color w:val="auto"/>
                <w:sz w:val="22"/>
                <w:szCs w:val="22"/>
                <w:highlight w:val="none"/>
                <w:lang w:eastAsia="zh-CN"/>
              </w:rPr>
              <w:t>以</w:t>
            </w:r>
            <w:r>
              <w:rPr>
                <w:rFonts w:hint="eastAsia" w:ascii="宋体" w:hAnsi="宋体" w:eastAsia="宋体" w:cs="宋体"/>
                <w:b/>
                <w:bCs/>
                <w:color w:val="auto"/>
                <w:sz w:val="22"/>
                <w:szCs w:val="22"/>
                <w:highlight w:val="none"/>
              </w:rPr>
              <w:t>法定代表人名义购买的相关证明文件</w:t>
            </w:r>
            <w:r>
              <w:rPr>
                <w:rFonts w:hint="eastAsia" w:ascii="宋体" w:hAnsi="宋体" w:eastAsia="宋体" w:cs="宋体"/>
                <w:b/>
                <w:bCs/>
                <w:color w:val="auto"/>
                <w:sz w:val="22"/>
                <w:szCs w:val="22"/>
                <w:highlight w:val="none"/>
                <w:lang w:val="en-US" w:eastAsia="zh-CN"/>
              </w:rPr>
              <w:t>及</w:t>
            </w:r>
            <w:r>
              <w:rPr>
                <w:rFonts w:hint="eastAsia" w:ascii="宋体" w:hAnsi="宋体" w:eastAsia="宋体" w:cs="宋体"/>
                <w:b/>
                <w:bCs/>
                <w:color w:val="auto"/>
                <w:sz w:val="22"/>
                <w:szCs w:val="22"/>
                <w:highlight w:val="none"/>
              </w:rPr>
              <w:t>机动车行驶证</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）租赁车辆提供租赁合同及车辆行驶证；（</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）承诺中标后</w:t>
            </w:r>
            <w:r>
              <w:rPr>
                <w:rFonts w:hint="eastAsia" w:ascii="宋体" w:hAnsi="宋体" w:eastAsia="宋体" w:cs="宋体"/>
                <w:b/>
                <w:bCs/>
                <w:color w:val="auto"/>
                <w:sz w:val="22"/>
                <w:szCs w:val="22"/>
                <w:highlight w:val="none"/>
                <w:lang w:val="en-US" w:eastAsia="zh-CN"/>
              </w:rPr>
              <w:t>30日历天配备的提供承诺书</w:t>
            </w:r>
            <w:r>
              <w:rPr>
                <w:rFonts w:hint="eastAsia" w:ascii="宋体" w:hAnsi="宋体" w:eastAsia="宋体" w:cs="宋体"/>
                <w:b/>
                <w:bCs/>
                <w:color w:val="auto"/>
                <w:spacing w:val="0"/>
                <w:w w:val="100"/>
                <w:kern w:val="0"/>
                <w:position w:val="0"/>
                <w:sz w:val="22"/>
                <w:szCs w:val="22"/>
                <w:highlight w:val="none"/>
              </w:rPr>
              <w:t>（格式自拟）</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br w:type="textWrapping"/>
            </w:r>
            <w:r>
              <w:rPr>
                <w:rFonts w:hint="eastAsia" w:ascii="宋体" w:hAnsi="宋体" w:eastAsia="宋体" w:cs="宋体"/>
                <w:b w:val="0"/>
                <w:bCs w:val="0"/>
                <w:color w:val="auto"/>
                <w:spacing w:val="0"/>
                <w:w w:val="100"/>
                <w:kern w:val="0"/>
                <w:position w:val="0"/>
                <w:sz w:val="22"/>
                <w:szCs w:val="22"/>
                <w:highlight w:val="none"/>
                <w:lang w:eastAsia="zh-CN"/>
              </w:rPr>
              <w:t>（</w:t>
            </w:r>
            <w:r>
              <w:rPr>
                <w:rFonts w:hint="eastAsia" w:ascii="宋体" w:hAnsi="宋体" w:eastAsia="宋体" w:cs="宋体"/>
                <w:b w:val="0"/>
                <w:bCs w:val="0"/>
                <w:color w:val="auto"/>
                <w:spacing w:val="0"/>
                <w:w w:val="100"/>
                <w:kern w:val="0"/>
                <w:position w:val="0"/>
                <w:sz w:val="22"/>
                <w:szCs w:val="22"/>
                <w:highlight w:val="none"/>
                <w:lang w:val="en-US" w:eastAsia="zh-CN"/>
              </w:rPr>
              <w:t>4</w:t>
            </w:r>
            <w:r>
              <w:rPr>
                <w:rFonts w:hint="eastAsia" w:ascii="宋体" w:hAnsi="宋体" w:eastAsia="宋体" w:cs="宋体"/>
                <w:b w:val="0"/>
                <w:bCs w:val="0"/>
                <w:color w:val="auto"/>
                <w:spacing w:val="0"/>
                <w:w w:val="100"/>
                <w:kern w:val="0"/>
                <w:position w:val="0"/>
                <w:sz w:val="22"/>
                <w:szCs w:val="22"/>
                <w:highlight w:val="none"/>
                <w:lang w:eastAsia="zh-CN"/>
              </w:rPr>
              <w:t>）以上证明材料</w:t>
            </w:r>
            <w:r>
              <w:rPr>
                <w:rFonts w:hint="eastAsia" w:ascii="宋体" w:hAnsi="宋体" w:eastAsia="宋体" w:cs="宋体"/>
                <w:b w:val="0"/>
                <w:bCs w:val="0"/>
                <w:color w:val="auto"/>
                <w:spacing w:val="0"/>
                <w:w w:val="100"/>
                <w:kern w:val="0"/>
                <w:position w:val="0"/>
                <w:sz w:val="22"/>
                <w:szCs w:val="22"/>
                <w:highlight w:val="none"/>
              </w:rPr>
              <w:t>承诺函</w:t>
            </w:r>
            <w:r>
              <w:rPr>
                <w:rFonts w:hint="eastAsia" w:ascii="宋体" w:hAnsi="宋体" w:eastAsia="宋体" w:cs="宋体"/>
                <w:b w:val="0"/>
                <w:bCs w:val="0"/>
                <w:color w:val="auto"/>
                <w:spacing w:val="0"/>
                <w:w w:val="100"/>
                <w:kern w:val="0"/>
                <w:position w:val="0"/>
                <w:sz w:val="22"/>
                <w:szCs w:val="22"/>
                <w:highlight w:val="none"/>
                <w:lang w:eastAsia="zh-CN"/>
              </w:rPr>
              <w:t>须提供原件，其他提供复印件</w:t>
            </w:r>
            <w:r>
              <w:rPr>
                <w:rFonts w:hint="eastAsia" w:ascii="宋体" w:hAnsi="宋体" w:eastAsia="宋体" w:cs="宋体"/>
                <w:b w:val="0"/>
                <w:bCs w:val="0"/>
                <w:color w:val="auto"/>
                <w:sz w:val="22"/>
                <w:szCs w:val="22"/>
                <w:highlight w:val="none"/>
              </w:rPr>
              <w:t>或扫描件</w:t>
            </w:r>
            <w:r>
              <w:rPr>
                <w:rFonts w:hint="eastAsia" w:ascii="宋体" w:hAnsi="宋体" w:eastAsia="宋体" w:cs="宋体"/>
                <w:b w:val="0"/>
                <w:bCs w:val="0"/>
                <w:color w:val="auto"/>
                <w:sz w:val="22"/>
                <w:szCs w:val="22"/>
                <w:highlight w:val="none"/>
                <w:lang w:eastAsia="zh-CN"/>
              </w:rPr>
              <w:t>及投标人为其缴纳的投标截止日前</w:t>
            </w:r>
            <w:r>
              <w:rPr>
                <w:rFonts w:hint="eastAsia" w:ascii="宋体" w:hAnsi="宋体" w:eastAsia="宋体" w:cs="宋体"/>
                <w:b w:val="0"/>
                <w:bCs w:val="0"/>
                <w:color w:val="auto"/>
                <w:sz w:val="22"/>
                <w:szCs w:val="22"/>
                <w:highlight w:val="none"/>
                <w:lang w:val="en-US" w:eastAsia="zh-CN"/>
              </w:rPr>
              <w:t>3个月</w:t>
            </w:r>
            <w:r>
              <w:rPr>
                <w:rFonts w:hint="eastAsia" w:ascii="宋体" w:hAnsi="宋体" w:eastAsia="宋体" w:cs="宋体"/>
                <w:b w:val="0"/>
                <w:bCs w:val="0"/>
                <w:color w:val="auto"/>
                <w:sz w:val="22"/>
                <w:szCs w:val="22"/>
                <w:highlight w:val="none"/>
                <w:lang w:eastAsia="zh-CN"/>
              </w:rPr>
              <w:t>的社保缴纳证明材料</w:t>
            </w:r>
            <w:r>
              <w:rPr>
                <w:rFonts w:hint="eastAsia" w:ascii="宋体" w:hAnsi="宋体" w:eastAsia="宋体" w:cs="宋体"/>
                <w:b w:val="0"/>
                <w:bCs w:val="0"/>
                <w:color w:val="auto"/>
                <w:kern w:val="0"/>
                <w:sz w:val="22"/>
                <w:szCs w:val="22"/>
                <w:highlight w:val="none"/>
                <w:lang w:val="en-GB" w:eastAsia="zh-CN" w:bidi="ar-SA"/>
              </w:rPr>
              <w:t>加盖投标人公章</w:t>
            </w:r>
            <w:r>
              <w:rPr>
                <w:rFonts w:hint="eastAsia" w:ascii="宋体" w:hAnsi="宋体" w:eastAsia="宋体" w:cs="宋体"/>
                <w:b w:val="0"/>
                <w:bCs w:val="0"/>
                <w:color w:val="auto"/>
                <w:sz w:val="22"/>
                <w:szCs w:val="22"/>
                <w:highlight w:val="none"/>
              </w:rPr>
              <w:t>编入商务技术文件中，否则不得分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br w:type="textWrapping"/>
            </w:r>
            <w:r>
              <w:rPr>
                <w:rFonts w:hint="eastAsia" w:ascii="宋体" w:hAnsi="宋体" w:eastAsia="宋体" w:cs="宋体"/>
                <w:b w:val="0"/>
                <w:bCs w:val="0"/>
                <w:color w:val="auto"/>
                <w:spacing w:val="0"/>
                <w:w w:val="100"/>
                <w:kern w:val="0"/>
                <w:position w:val="0"/>
                <w:sz w:val="22"/>
                <w:szCs w:val="22"/>
                <w:highlight w:val="none"/>
                <w:lang w:val="en-US" w:eastAsia="zh-CN"/>
              </w:rPr>
              <w:t>2.根据</w:t>
            </w:r>
            <w:r>
              <w:rPr>
                <w:rFonts w:hint="eastAsia" w:ascii="宋体" w:hAnsi="宋体" w:eastAsia="宋体" w:cs="宋体"/>
                <w:b w:val="0"/>
                <w:bCs w:val="0"/>
                <w:color w:val="auto"/>
                <w:spacing w:val="0"/>
                <w:w w:val="100"/>
                <w:kern w:val="0"/>
                <w:position w:val="0"/>
                <w:sz w:val="22"/>
                <w:szCs w:val="22"/>
                <w:highlight w:val="none"/>
                <w:lang w:eastAsia="zh-CN"/>
              </w:rPr>
              <w:t>售后服务响应硬件配备方案的科学合理，快速响应情况进行综合打分（评分范围：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35D3494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10分</w:t>
            </w:r>
          </w:p>
        </w:tc>
      </w:tr>
      <w:tr w14:paraId="2D7E07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trPr>
        <w:tc>
          <w:tcPr>
            <w:tcW w:w="686" w:type="pct"/>
            <w:vMerge w:val="restart"/>
            <w:noWrap w:val="0"/>
            <w:vAlign w:val="center"/>
          </w:tcPr>
          <w:p w14:paraId="6411571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服务方案</w:t>
            </w:r>
          </w:p>
        </w:tc>
        <w:tc>
          <w:tcPr>
            <w:tcW w:w="3889" w:type="pct"/>
            <w:noWrap w:val="0"/>
            <w:vAlign w:val="center"/>
          </w:tcPr>
          <w:p w14:paraId="73790C13">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根据投标人提供的本项目</w:t>
            </w:r>
            <w:r>
              <w:rPr>
                <w:rFonts w:hint="eastAsia" w:ascii="宋体" w:hAnsi="宋体" w:eastAsia="宋体" w:cs="宋体"/>
                <w:b w:val="0"/>
                <w:color w:val="auto"/>
                <w:kern w:val="2"/>
                <w:sz w:val="22"/>
                <w:szCs w:val="22"/>
                <w:highlight w:val="none"/>
                <w:lang w:val="en-US" w:eastAsia="zh-CN" w:bidi="ar-SA"/>
              </w:rPr>
              <w:t>服务方案的全面</w:t>
            </w:r>
            <w:r>
              <w:rPr>
                <w:rFonts w:hint="eastAsia" w:ascii="宋体" w:hAnsi="宋体" w:eastAsia="宋体" w:cs="宋体"/>
                <w:color w:val="auto"/>
                <w:sz w:val="22"/>
                <w:szCs w:val="22"/>
                <w:highlight w:val="none"/>
              </w:rPr>
              <w:t>完善</w:t>
            </w:r>
            <w:r>
              <w:rPr>
                <w:rFonts w:hint="eastAsia" w:ascii="宋体" w:hAnsi="宋体" w:eastAsia="宋体" w:cs="宋体"/>
                <w:b w:val="0"/>
                <w:color w:val="auto"/>
                <w:kern w:val="2"/>
                <w:sz w:val="22"/>
                <w:szCs w:val="22"/>
                <w:highlight w:val="none"/>
                <w:lang w:val="en-US" w:eastAsia="zh-CN" w:bidi="ar-SA"/>
              </w:rPr>
              <w:t>性、</w:t>
            </w:r>
            <w:r>
              <w:rPr>
                <w:rFonts w:hint="eastAsia" w:ascii="宋体" w:hAnsi="宋体" w:eastAsia="宋体" w:cs="宋体"/>
                <w:color w:val="auto"/>
                <w:sz w:val="22"/>
                <w:szCs w:val="22"/>
                <w:highlight w:val="none"/>
                <w:lang w:val="en-US" w:eastAsia="zh-CN"/>
              </w:rPr>
              <w:t>针对性、</w:t>
            </w:r>
            <w:r>
              <w:rPr>
                <w:rFonts w:hint="eastAsia" w:ascii="宋体" w:hAnsi="宋体" w:eastAsia="宋体" w:cs="宋体"/>
                <w:color w:val="auto"/>
                <w:sz w:val="22"/>
                <w:szCs w:val="22"/>
                <w:highlight w:val="none"/>
              </w:rPr>
              <w:t>可操作性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lang w:val="en-US" w:eastAsia="zh-CN"/>
              </w:rPr>
              <w:t>根据投标人提供的本项目</w:t>
            </w:r>
            <w:r>
              <w:rPr>
                <w:rFonts w:hint="eastAsia" w:ascii="宋体" w:hAnsi="宋体" w:eastAsia="宋体" w:cs="宋体"/>
                <w:b w:val="0"/>
                <w:color w:val="auto"/>
                <w:kern w:val="2"/>
                <w:sz w:val="22"/>
                <w:szCs w:val="22"/>
                <w:highlight w:val="none"/>
                <w:lang w:val="en-US" w:eastAsia="zh-CN" w:bidi="ar-SA"/>
              </w:rPr>
              <w:t>服务承诺落实的保障措全面完整性、</w:t>
            </w:r>
            <w:r>
              <w:rPr>
                <w:rFonts w:hint="eastAsia" w:ascii="宋体" w:hAnsi="宋体" w:eastAsia="宋体" w:cs="宋体"/>
                <w:color w:val="auto"/>
                <w:sz w:val="22"/>
                <w:szCs w:val="22"/>
                <w:highlight w:val="none"/>
              </w:rPr>
              <w:t>可操作性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72F27C5C">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14:paraId="113F3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7A26FA0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58F5EEF0">
            <w:pPr>
              <w:pStyle w:val="30"/>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pacing w:val="0"/>
                <w:w w:val="100"/>
                <w:kern w:val="0"/>
                <w:position w:val="0"/>
                <w:sz w:val="22"/>
                <w:szCs w:val="22"/>
                <w:highlight w:val="none"/>
                <w:lang w:val="en-US" w:eastAsia="zh-CN" w:bidi="ar-SA"/>
              </w:rPr>
              <w:t>根据投标人提供的本项目后续技术评估支持方案内容全面完整性、科学合理性、可行性进行综合打分（评分范围：5分，4分，3分，2分，1分，0.5分）。未提供不得分。</w:t>
            </w:r>
          </w:p>
        </w:tc>
        <w:tc>
          <w:tcPr>
            <w:tcW w:w="424" w:type="pct"/>
            <w:tcBorders>
              <w:right w:val="single" w:color="auto" w:sz="4" w:space="0"/>
            </w:tcBorders>
            <w:noWrap w:val="0"/>
            <w:vAlign w:val="center"/>
          </w:tcPr>
          <w:p w14:paraId="77BAE8E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0C347E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49092D4B">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1D64B561">
            <w:pPr>
              <w:pStyle w:val="30"/>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结合项目及自身情况分析对本项目的优势</w:t>
            </w:r>
            <w:r>
              <w:rPr>
                <w:rFonts w:hint="eastAsia" w:ascii="宋体" w:hAnsi="宋体" w:eastAsia="宋体" w:cs="宋体"/>
                <w:color w:val="auto"/>
                <w:sz w:val="22"/>
                <w:szCs w:val="22"/>
                <w:highlight w:val="none"/>
                <w:lang w:eastAsia="zh-CN"/>
              </w:rPr>
              <w:t>，利于项目推进情况的</w:t>
            </w:r>
            <w:r>
              <w:rPr>
                <w:rFonts w:hint="eastAsia" w:ascii="宋体" w:hAnsi="宋体" w:eastAsia="宋体" w:cs="宋体"/>
                <w:color w:val="auto"/>
                <w:sz w:val="22"/>
                <w:szCs w:val="22"/>
                <w:highlight w:val="none"/>
                <w:lang w:val="en-US" w:eastAsia="zh-CN"/>
              </w:rPr>
              <w:t>完整性、详细及考虑周全全程度</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36D75501">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r>
      <w:tr w14:paraId="09723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restart"/>
            <w:noWrap w:val="0"/>
            <w:vAlign w:val="center"/>
          </w:tcPr>
          <w:p w14:paraId="02611D0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p>
        </w:tc>
        <w:tc>
          <w:tcPr>
            <w:tcW w:w="3889" w:type="pct"/>
            <w:noWrap w:val="0"/>
            <w:vAlign w:val="center"/>
          </w:tcPr>
          <w:p w14:paraId="05B740A0">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根据投标人对本项目的前期理解程度，内容详细、完整性，与项目需求的贴合度</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2F3FEA49">
            <w:pPr>
              <w:pStyle w:val="23"/>
              <w:keepNext w:val="0"/>
              <w:keepLines w:val="0"/>
              <w:pageBreakBefore w:val="0"/>
              <w:widowControl w:val="0"/>
              <w:kinsoku/>
              <w:wordWrap/>
              <w:overflowPunct/>
              <w:topLinePunct w:val="0"/>
              <w:bidi w:val="0"/>
              <w:adjustRightInd/>
              <w:snapToGrid/>
              <w:spacing w:after="0" w:afterLines="0" w:line="3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5分</w:t>
            </w:r>
          </w:p>
        </w:tc>
      </w:tr>
      <w:tr w14:paraId="53E64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441B32B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31427195">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对实施本项目的工作准备安排</w:t>
            </w:r>
            <w:r>
              <w:rPr>
                <w:rFonts w:hint="eastAsia" w:ascii="宋体" w:hAnsi="宋体" w:eastAsia="宋体" w:cs="宋体"/>
                <w:color w:val="auto"/>
                <w:sz w:val="22"/>
                <w:szCs w:val="22"/>
                <w:highlight w:val="none"/>
                <w:lang w:eastAsia="zh-CN"/>
              </w:rPr>
              <w:t>的科学</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性、</w:t>
            </w:r>
            <w:r>
              <w:rPr>
                <w:rFonts w:hint="eastAsia" w:ascii="宋体" w:hAnsi="宋体" w:eastAsia="宋体" w:cs="宋体"/>
                <w:color w:val="auto"/>
                <w:sz w:val="22"/>
                <w:szCs w:val="22"/>
                <w:highlight w:val="none"/>
                <w:lang w:val="en-US" w:eastAsia="zh-CN"/>
              </w:rPr>
              <w:t>切实可行</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45753CC4">
            <w:pPr>
              <w:pStyle w:val="23"/>
              <w:keepNext w:val="0"/>
              <w:keepLines w:val="0"/>
              <w:pageBreakBefore w:val="0"/>
              <w:widowControl w:val="0"/>
              <w:kinsoku/>
              <w:wordWrap/>
              <w:overflowPunct/>
              <w:topLinePunct w:val="0"/>
              <w:bidi w:val="0"/>
              <w:adjustRightInd/>
              <w:snapToGrid/>
              <w:spacing w:after="0" w:afterLines="0" w:line="3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5分</w:t>
            </w:r>
          </w:p>
        </w:tc>
      </w:tr>
      <w:tr w14:paraId="1D5FE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2536A27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4140D8E2">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针对本项目的具体实施计划</w:t>
            </w:r>
            <w:r>
              <w:rPr>
                <w:rFonts w:hint="eastAsia" w:ascii="宋体" w:hAnsi="宋体" w:eastAsia="宋体" w:cs="宋体"/>
                <w:color w:val="auto"/>
                <w:sz w:val="22"/>
                <w:szCs w:val="22"/>
                <w:highlight w:val="none"/>
                <w:lang w:eastAsia="zh-CN"/>
              </w:rPr>
              <w:t>的科学合理性、针对性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p>
        </w:tc>
        <w:tc>
          <w:tcPr>
            <w:tcW w:w="424" w:type="pct"/>
            <w:tcBorders>
              <w:right w:val="single" w:color="auto" w:sz="4" w:space="0"/>
            </w:tcBorders>
            <w:noWrap w:val="0"/>
            <w:vAlign w:val="center"/>
          </w:tcPr>
          <w:p w14:paraId="334554CF">
            <w:pPr>
              <w:pStyle w:val="23"/>
              <w:keepNext w:val="0"/>
              <w:keepLines w:val="0"/>
              <w:pageBreakBefore w:val="0"/>
              <w:widowControl w:val="0"/>
              <w:kinsoku/>
              <w:wordWrap/>
              <w:overflowPunct/>
              <w:topLinePunct w:val="0"/>
              <w:bidi w:val="0"/>
              <w:adjustRightInd/>
              <w:snapToGrid/>
              <w:spacing w:after="0" w:afterLines="0" w:line="30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5分</w:t>
            </w:r>
          </w:p>
        </w:tc>
      </w:tr>
      <w:tr w14:paraId="4C9B24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0A0FB08A">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2BEEF506">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针对本项目的进度控制计划</w:t>
            </w:r>
            <w:r>
              <w:rPr>
                <w:rFonts w:hint="eastAsia" w:ascii="宋体" w:hAnsi="宋体" w:eastAsia="宋体" w:cs="宋体"/>
                <w:color w:val="auto"/>
                <w:sz w:val="22"/>
                <w:szCs w:val="22"/>
                <w:highlight w:val="none"/>
                <w:lang w:eastAsia="zh-CN"/>
              </w:rPr>
              <w:t>科学</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性、</w:t>
            </w:r>
            <w:r>
              <w:rPr>
                <w:rFonts w:hint="eastAsia" w:ascii="宋体" w:hAnsi="宋体" w:eastAsia="宋体" w:cs="宋体"/>
                <w:color w:val="auto"/>
                <w:sz w:val="22"/>
                <w:szCs w:val="22"/>
                <w:highlight w:val="none"/>
                <w:lang w:val="en-US" w:eastAsia="zh-CN"/>
              </w:rPr>
              <w:t>切实可行</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针对本项目的进度控制方案</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完整性、详细性，可行性，与项目需求的贴合度</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lang w:eastAsia="zh-CN"/>
              </w:rPr>
              <w:t xml:space="preserve"> </w:t>
            </w:r>
          </w:p>
        </w:tc>
        <w:tc>
          <w:tcPr>
            <w:tcW w:w="424" w:type="pct"/>
            <w:tcBorders>
              <w:right w:val="single" w:color="auto" w:sz="4" w:space="0"/>
            </w:tcBorders>
            <w:noWrap w:val="0"/>
            <w:vAlign w:val="center"/>
          </w:tcPr>
          <w:p w14:paraId="1851101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10分</w:t>
            </w:r>
          </w:p>
        </w:tc>
      </w:tr>
      <w:tr w14:paraId="5B042D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481EF1B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652656CE">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针对本项目的质量控制计划</w:t>
            </w:r>
            <w:r>
              <w:rPr>
                <w:rFonts w:hint="eastAsia" w:ascii="宋体" w:hAnsi="宋体" w:eastAsia="宋体" w:cs="宋体"/>
                <w:color w:val="auto"/>
                <w:sz w:val="22"/>
                <w:szCs w:val="22"/>
                <w:highlight w:val="none"/>
                <w:lang w:eastAsia="zh-CN"/>
              </w:rPr>
              <w:t>的科学合理性、针对性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针对本项目的质量控制方案</w:t>
            </w:r>
            <w:r>
              <w:rPr>
                <w:rFonts w:hint="eastAsia" w:ascii="宋体" w:hAnsi="宋体" w:eastAsia="宋体" w:cs="宋体"/>
                <w:color w:val="auto"/>
                <w:sz w:val="22"/>
                <w:szCs w:val="22"/>
                <w:highlight w:val="none"/>
                <w:lang w:eastAsia="zh-CN"/>
              </w:rPr>
              <w:t>的</w:t>
            </w:r>
            <w:r>
              <w:rPr>
                <w:rFonts w:hint="eastAsia" w:ascii="宋体" w:hAnsi="宋体" w:eastAsia="宋体" w:cs="宋体"/>
                <w:color w:val="auto"/>
                <w:sz w:val="22"/>
                <w:szCs w:val="22"/>
                <w:highlight w:val="none"/>
                <w:lang w:val="en-US" w:eastAsia="zh-CN"/>
              </w:rPr>
              <w:t>完整性、详细性，可行性，与项目需求的贴合度</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lang w:eastAsia="zh-CN"/>
              </w:rPr>
              <w:t xml:space="preserve"> </w:t>
            </w:r>
          </w:p>
        </w:tc>
        <w:tc>
          <w:tcPr>
            <w:tcW w:w="424" w:type="pct"/>
            <w:tcBorders>
              <w:right w:val="single" w:color="auto" w:sz="4" w:space="0"/>
            </w:tcBorders>
            <w:noWrap w:val="0"/>
            <w:vAlign w:val="center"/>
          </w:tcPr>
          <w:p w14:paraId="5F570B2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10分</w:t>
            </w:r>
          </w:p>
        </w:tc>
      </w:tr>
      <w:tr w14:paraId="72093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686" w:type="pct"/>
            <w:vMerge w:val="continue"/>
            <w:noWrap w:val="0"/>
            <w:vAlign w:val="center"/>
          </w:tcPr>
          <w:p w14:paraId="1801B77B">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p>
        </w:tc>
        <w:tc>
          <w:tcPr>
            <w:tcW w:w="3889" w:type="pct"/>
            <w:noWrap w:val="0"/>
            <w:vAlign w:val="center"/>
          </w:tcPr>
          <w:p w14:paraId="1C8BC7B1">
            <w:pPr>
              <w:keepNext w:val="0"/>
              <w:keepLines w:val="0"/>
              <w:pageBreakBefore w:val="0"/>
              <w:widowControl w:val="0"/>
              <w:kinsoku/>
              <w:wordWrap/>
              <w:overflowPunct/>
              <w:topLinePunct w:val="0"/>
              <w:bidi w:val="0"/>
              <w:adjustRightInd/>
              <w:snapToGrid/>
              <w:spacing w:line="30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分析本项目特点及难点，并提供解决方案。根据解决方案</w:t>
            </w:r>
            <w:r>
              <w:rPr>
                <w:rFonts w:hint="eastAsia" w:ascii="宋体" w:hAnsi="宋体" w:eastAsia="宋体" w:cs="宋体"/>
                <w:color w:val="auto"/>
                <w:sz w:val="22"/>
                <w:szCs w:val="22"/>
                <w:highlight w:val="none"/>
                <w:lang w:val="en-US" w:eastAsia="zh-CN"/>
              </w:rPr>
              <w:t>内容全面完善、科学合理性、可行性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lang w:eastAsia="zh-CN"/>
              </w:rPr>
              <w:t xml:space="preserve"> </w:t>
            </w:r>
          </w:p>
        </w:tc>
        <w:tc>
          <w:tcPr>
            <w:tcW w:w="424" w:type="pct"/>
            <w:tcBorders>
              <w:right w:val="single" w:color="auto" w:sz="4" w:space="0"/>
            </w:tcBorders>
            <w:noWrap w:val="0"/>
            <w:vAlign w:val="center"/>
          </w:tcPr>
          <w:p w14:paraId="1101111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r>
      <w:tr w14:paraId="28E6D2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86" w:type="pct"/>
            <w:noWrap w:val="0"/>
            <w:vAlign w:val="center"/>
          </w:tcPr>
          <w:p w14:paraId="4CAFF91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tc>
        <w:tc>
          <w:tcPr>
            <w:tcW w:w="3889" w:type="pct"/>
            <w:noWrap w:val="0"/>
            <w:vAlign w:val="center"/>
          </w:tcPr>
          <w:p w14:paraId="61A18358">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根据</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针对本项目服务的承诺</w:t>
            </w:r>
            <w:r>
              <w:rPr>
                <w:rFonts w:hint="eastAsia" w:ascii="宋体" w:hAnsi="宋体" w:eastAsia="宋体" w:cs="宋体"/>
                <w:color w:val="auto"/>
                <w:sz w:val="22"/>
                <w:szCs w:val="22"/>
                <w:highlight w:val="none"/>
                <w:lang w:val="en-US" w:eastAsia="zh-CN"/>
              </w:rPr>
              <w:t>内容完整性、考虑周全程度，可行性</w:t>
            </w:r>
            <w:r>
              <w:rPr>
                <w:rFonts w:hint="eastAsia" w:ascii="宋体" w:hAnsi="宋体" w:eastAsia="宋体" w:cs="宋体"/>
                <w:b w:val="0"/>
                <w:bCs w:val="0"/>
                <w:color w:val="auto"/>
                <w:spacing w:val="0"/>
                <w:w w:val="100"/>
                <w:kern w:val="0"/>
                <w:position w:val="0"/>
                <w:sz w:val="22"/>
                <w:szCs w:val="22"/>
                <w:highlight w:val="none"/>
                <w:lang w:eastAsia="zh-CN"/>
              </w:rPr>
              <w:t>进行综合打分（评分范围：</w:t>
            </w:r>
            <w:r>
              <w:rPr>
                <w:rFonts w:hint="eastAsia" w:ascii="宋体" w:hAnsi="宋体" w:eastAsia="宋体" w:cs="宋体"/>
                <w:b w:val="0"/>
                <w:bCs w:val="0"/>
                <w:color w:val="auto"/>
                <w:spacing w:val="0"/>
                <w:w w:val="100"/>
                <w:kern w:val="0"/>
                <w:position w:val="0"/>
                <w:sz w:val="22"/>
                <w:szCs w:val="22"/>
                <w:highlight w:val="none"/>
                <w:lang w:val="en-US" w:eastAsia="zh-CN"/>
              </w:rPr>
              <w:t>5分，4分，3分，2分，1分，0.5分</w:t>
            </w:r>
            <w:r>
              <w:rPr>
                <w:rFonts w:hint="eastAsia" w:ascii="宋体" w:hAnsi="宋体" w:eastAsia="宋体" w:cs="宋体"/>
                <w:b w:val="0"/>
                <w:bCs w:val="0"/>
                <w:color w:val="auto"/>
                <w:spacing w:val="0"/>
                <w:w w:val="100"/>
                <w:kern w:val="0"/>
                <w:position w:val="0"/>
                <w:sz w:val="22"/>
                <w:szCs w:val="22"/>
                <w:highlight w:val="none"/>
                <w:lang w:eastAsia="zh-CN"/>
              </w:rPr>
              <w:t>）。未提供不得分。</w:t>
            </w:r>
            <w:r>
              <w:rPr>
                <w:rFonts w:hint="eastAsia" w:ascii="宋体" w:hAnsi="宋体" w:eastAsia="宋体" w:cs="宋体"/>
                <w:color w:val="auto"/>
                <w:sz w:val="22"/>
                <w:szCs w:val="22"/>
                <w:highlight w:val="none"/>
                <w:lang w:eastAsia="zh-CN"/>
              </w:rPr>
              <w:t xml:space="preserve"> </w:t>
            </w:r>
          </w:p>
        </w:tc>
        <w:tc>
          <w:tcPr>
            <w:tcW w:w="424" w:type="pct"/>
            <w:tcBorders>
              <w:right w:val="single" w:color="auto" w:sz="4" w:space="0"/>
            </w:tcBorders>
            <w:noWrap w:val="0"/>
            <w:vAlign w:val="center"/>
          </w:tcPr>
          <w:p w14:paraId="50E36FF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rPr>
              <w:t>分</w:t>
            </w:r>
          </w:p>
        </w:tc>
      </w:tr>
      <w:tr w14:paraId="4F978A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686" w:type="pct"/>
            <w:noWrap w:val="0"/>
            <w:vAlign w:val="center"/>
          </w:tcPr>
          <w:p w14:paraId="51BC1264">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合计</w:t>
            </w:r>
          </w:p>
        </w:tc>
        <w:tc>
          <w:tcPr>
            <w:tcW w:w="3889" w:type="pct"/>
            <w:noWrap w:val="0"/>
            <w:vAlign w:val="center"/>
          </w:tcPr>
          <w:p w14:paraId="5B655B10">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2"/>
                <w:szCs w:val="22"/>
                <w:highlight w:val="none"/>
              </w:rPr>
            </w:pPr>
          </w:p>
        </w:tc>
        <w:tc>
          <w:tcPr>
            <w:tcW w:w="424" w:type="pct"/>
            <w:tcBorders>
              <w:right w:val="single" w:color="auto" w:sz="4" w:space="0"/>
            </w:tcBorders>
            <w:noWrap w:val="0"/>
            <w:vAlign w:val="center"/>
          </w:tcPr>
          <w:p w14:paraId="4CBAB6B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 sum(C2:C15) \* MERGEFORMAT </w:instrText>
            </w:r>
            <w:r>
              <w:rPr>
                <w:rFonts w:hint="eastAsia" w:ascii="宋体" w:hAnsi="宋体" w:eastAsia="宋体" w:cs="宋体"/>
                <w:color w:val="auto"/>
                <w:sz w:val="22"/>
                <w:szCs w:val="22"/>
                <w:highlight w:val="none"/>
                <w:lang w:eastAsia="zh-CN"/>
              </w:rPr>
              <w:fldChar w:fldCharType="separate"/>
            </w:r>
            <w:r>
              <w:rPr>
                <w:rFonts w:hint="eastAsia" w:ascii="宋体" w:hAnsi="宋体" w:eastAsia="宋体" w:cs="宋体"/>
                <w:color w:val="auto"/>
                <w:sz w:val="22"/>
                <w:szCs w:val="22"/>
                <w:highlight w:val="none"/>
                <w:lang w:eastAsia="zh-CN"/>
              </w:rPr>
              <w:t>90</w:t>
            </w:r>
            <w:r>
              <w:rPr>
                <w:rFonts w:hint="eastAsia" w:ascii="宋体" w:hAnsi="宋体" w:eastAsia="宋体" w:cs="宋体"/>
                <w:color w:val="auto"/>
                <w:sz w:val="22"/>
                <w:szCs w:val="22"/>
                <w:highlight w:val="none"/>
                <w:lang w:eastAsia="zh-CN"/>
              </w:rPr>
              <w:fldChar w:fldCharType="end"/>
            </w:r>
            <w:r>
              <w:rPr>
                <w:rFonts w:hint="eastAsia" w:ascii="宋体" w:hAnsi="宋体" w:eastAsia="宋体" w:cs="宋体"/>
                <w:color w:val="auto"/>
                <w:sz w:val="22"/>
                <w:szCs w:val="22"/>
                <w:highlight w:val="none"/>
                <w:lang w:eastAsia="zh-CN"/>
              </w:rPr>
              <w:t>分</w:t>
            </w:r>
          </w:p>
        </w:tc>
      </w:tr>
    </w:tbl>
    <w:p w14:paraId="14EB16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color w:val="auto"/>
          <w:highlight w:val="none"/>
        </w:rPr>
      </w:pPr>
      <w:r>
        <w:rPr>
          <w:rFonts w:hint="eastAsia" w:ascii="宋体" w:hAnsi="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rPr>
        <w:t>技术分+商务分=评标委员会所有成员评分合计数/评标委员会组成人员数</w:t>
      </w:r>
    </w:p>
    <w:p w14:paraId="07AF2095">
      <w:pPr>
        <w:pageBreakBefore w:val="0"/>
        <w:tabs>
          <w:tab w:val="left" w:pos="7280"/>
        </w:tabs>
        <w:kinsoku/>
        <w:wordWrap/>
        <w:overflowPunct/>
        <w:topLinePunct w:val="0"/>
        <w:autoSpaceDE/>
        <w:autoSpaceDN/>
        <w:bidi w:val="0"/>
        <w:adjustRightInd/>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i w:val="0"/>
          <w:iCs w:val="0"/>
          <w:color w:val="auto"/>
          <w:sz w:val="22"/>
          <w:szCs w:val="22"/>
          <w:highlight w:val="none"/>
        </w:rPr>
        <w:t>4</w:t>
      </w:r>
      <w:r>
        <w:rPr>
          <w:rFonts w:hint="eastAsia" w:ascii="宋体" w:hAnsi="宋体" w:cs="宋体"/>
          <w:b/>
          <w:bCs/>
          <w:i w:val="0"/>
          <w:iCs w:val="0"/>
          <w:color w:val="auto"/>
          <w:sz w:val="22"/>
          <w:szCs w:val="22"/>
          <w:highlight w:val="none"/>
          <w:lang w:val="en-US" w:eastAsia="zh-CN"/>
        </w:rPr>
        <w:t>.</w:t>
      </w:r>
      <w:r>
        <w:rPr>
          <w:rFonts w:hint="eastAsia" w:ascii="宋体" w:hAnsi="宋体" w:eastAsia="宋体" w:cs="宋体"/>
          <w:b/>
          <w:bCs/>
          <w:color w:val="auto"/>
          <w:sz w:val="22"/>
          <w:szCs w:val="22"/>
          <w:highlight w:val="none"/>
        </w:rPr>
        <w:t>价格分采用低价优先法计算，即满足最采购文件要求且招标价格最低报价为评标基准价，其他投标人价格分按照下列公式计算：</w:t>
      </w:r>
    </w:p>
    <w:p w14:paraId="7DF106D3">
      <w:pPr>
        <w:keepNext w:val="0"/>
        <w:keepLines w:val="0"/>
        <w:pageBreakBefore w:val="0"/>
        <w:widowControl w:val="0"/>
        <w:kinsoku/>
        <w:wordWrap/>
        <w:overflowPunct/>
        <w:topLinePunct w:val="0"/>
        <w:autoSpaceDE/>
        <w:autoSpaceDN/>
        <w:bidi w:val="0"/>
        <w:adjustRightInd/>
        <w:snapToGrid w:val="0"/>
        <w:spacing w:line="440" w:lineRule="exact"/>
        <w:ind w:firstLine="442" w:firstLineChars="200"/>
        <w:textAlignment w:val="auto"/>
        <w:rPr>
          <w:rFonts w:hint="eastAsia" w:ascii="宋体" w:hAnsi="宋体" w:eastAsia="宋体" w:cs="宋体"/>
          <w:b/>
          <w:bCs/>
          <w:i w:val="0"/>
          <w:iCs w:val="0"/>
          <w:color w:val="auto"/>
          <w:sz w:val="22"/>
          <w:szCs w:val="22"/>
          <w:highlight w:val="none"/>
        </w:rPr>
      </w:pPr>
      <w:r>
        <w:rPr>
          <w:rFonts w:hint="eastAsia" w:ascii="宋体" w:hAnsi="宋体" w:eastAsia="宋体" w:cs="宋体"/>
          <w:b/>
          <w:bCs/>
          <w:color w:val="auto"/>
          <w:sz w:val="22"/>
          <w:szCs w:val="22"/>
          <w:highlight w:val="none"/>
        </w:rPr>
        <w:t>价格分=（评标基准价/投标报价）×</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0%×100</w:t>
      </w:r>
    </w:p>
    <w:p w14:paraId="4637BAE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i w:val="0"/>
          <w:iCs w:val="0"/>
          <w:color w:val="auto"/>
          <w:sz w:val="22"/>
          <w:szCs w:val="22"/>
          <w:highlight w:val="none"/>
        </w:rPr>
        <w:t>5</w:t>
      </w:r>
      <w:r>
        <w:rPr>
          <w:rFonts w:hint="eastAsia" w:ascii="宋体" w:hAnsi="宋体" w:cs="宋体"/>
          <w:i w:val="0"/>
          <w:iCs w:val="0"/>
          <w:color w:val="auto"/>
          <w:sz w:val="22"/>
          <w:szCs w:val="22"/>
          <w:highlight w:val="none"/>
          <w:lang w:val="en-US" w:eastAsia="zh-CN"/>
        </w:rPr>
        <w:t>.</w:t>
      </w:r>
      <w:r>
        <w:rPr>
          <w:rFonts w:hint="eastAsia" w:ascii="宋体" w:hAnsi="宋体" w:eastAsia="宋体" w:cs="宋体"/>
          <w:i w:val="0"/>
          <w:iCs w:val="0"/>
          <w:color w:val="auto"/>
          <w:sz w:val="22"/>
          <w:szCs w:val="22"/>
          <w:highlight w:val="none"/>
        </w:rPr>
        <w:t>投标人评标综合得分=价格分+技术分+商务分</w:t>
      </w:r>
    </w:p>
    <w:p w14:paraId="32CF5BF6">
      <w:pPr>
        <w:keepNext w:val="0"/>
        <w:keepLines w:val="0"/>
        <w:pageBreakBefore w:val="0"/>
        <w:widowControl w:val="0"/>
        <w:kinsoku/>
        <w:wordWrap/>
        <w:overflowPunct/>
        <w:topLinePunct w:val="0"/>
        <w:autoSpaceDE/>
        <w:autoSpaceDN/>
        <w:bidi w:val="0"/>
        <w:adjustRightInd/>
        <w:snapToGrid w:val="0"/>
        <w:spacing w:line="440" w:lineRule="exact"/>
        <w:ind w:left="446" w:leftChars="208" w:hanging="9" w:hangingChars="4"/>
        <w:textAlignment w:val="auto"/>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报价是中标的一个重要因素，但最低报价不是中标的唯一依据。</w:t>
      </w:r>
      <w:r>
        <w:rPr>
          <w:rFonts w:hint="eastAsia" w:ascii="宋体" w:hAnsi="宋体" w:eastAsia="宋体" w:cs="宋体"/>
          <w:b/>
          <w:i w:val="0"/>
          <w:iCs w:val="0"/>
          <w:color w:val="auto"/>
          <w:sz w:val="22"/>
          <w:szCs w:val="22"/>
          <w:highlight w:val="none"/>
        </w:rPr>
        <w:br w:type="textWrapping"/>
      </w:r>
      <w:r>
        <w:rPr>
          <w:rFonts w:hint="eastAsia" w:ascii="宋体" w:hAnsi="宋体" w:eastAsia="宋体" w:cs="宋体"/>
          <w:b/>
          <w:i w:val="0"/>
          <w:iCs w:val="0"/>
          <w:color w:val="auto"/>
          <w:sz w:val="22"/>
          <w:szCs w:val="22"/>
          <w:highlight w:val="none"/>
        </w:rPr>
        <w:t>评标委员会认为投标人的报价明显低于其他通过符合性审查投标人的报价，有可能影响产品质量</w:t>
      </w:r>
    </w:p>
    <w:p w14:paraId="1988944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i w:val="0"/>
          <w:iCs w:val="0"/>
          <w:color w:val="auto"/>
          <w:sz w:val="22"/>
          <w:szCs w:val="22"/>
          <w:highlight w:val="none"/>
        </w:rPr>
      </w:pPr>
      <w:r>
        <w:rPr>
          <w:rFonts w:hint="eastAsia" w:ascii="宋体" w:hAnsi="宋体" w:eastAsia="宋体" w:cs="宋体"/>
          <w:b/>
          <w:i w:val="0"/>
          <w:iCs w:val="0"/>
          <w:color w:val="auto"/>
          <w:sz w:val="22"/>
          <w:szCs w:val="22"/>
          <w:highlight w:val="none"/>
        </w:rPr>
        <w:t>或者不能诚信履约的，应当要求其在评标现场合理的时间内提供书面说明,必要时提交相关证明材料;投标人不能证明其报价合理性的，评标委员会应当将其作为无效投标处理。</w:t>
      </w:r>
    </w:p>
    <w:p w14:paraId="305031F8">
      <w:pPr>
        <w:pageBreakBefore/>
        <w:numPr>
          <w:ilvl w:val="0"/>
          <w:numId w:val="0"/>
        </w:numPr>
        <w:snapToGrid w:val="0"/>
        <w:jc w:val="center"/>
        <w:outlineLvl w:val="0"/>
        <w:rPr>
          <w:rFonts w:hint="eastAsia" w:ascii="宋体" w:hAnsi="宋体" w:cs="宋体"/>
          <w:b/>
          <w:i w:val="0"/>
          <w:iCs w:val="0"/>
          <w:color w:val="auto"/>
          <w:sz w:val="36"/>
          <w:szCs w:val="36"/>
          <w:highlight w:val="none"/>
        </w:rPr>
      </w:pPr>
      <w:r>
        <w:rPr>
          <w:rFonts w:hint="eastAsia" w:ascii="宋体" w:hAnsi="宋体" w:eastAsia="宋体" w:cs="宋体"/>
          <w:b/>
          <w:i w:val="0"/>
          <w:iCs w:val="0"/>
          <w:color w:val="auto"/>
          <w:sz w:val="36"/>
          <w:szCs w:val="36"/>
          <w:highlight w:val="none"/>
          <w:lang w:eastAsia="zh-CN"/>
        </w:rPr>
        <w:t>第五部分</w:t>
      </w:r>
      <w:r>
        <w:rPr>
          <w:rFonts w:hint="eastAsia" w:ascii="宋体" w:hAnsi="宋体" w:eastAsia="宋体" w:cs="宋体"/>
          <w:b/>
          <w:i w:val="0"/>
          <w:iCs w:val="0"/>
          <w:color w:val="auto"/>
          <w:sz w:val="36"/>
          <w:szCs w:val="36"/>
          <w:highlight w:val="none"/>
          <w:lang w:val="en-US" w:eastAsia="zh-CN"/>
        </w:rPr>
        <w:t xml:space="preserve"> </w:t>
      </w:r>
      <w:r>
        <w:rPr>
          <w:rFonts w:hint="eastAsia" w:ascii="宋体" w:hAnsi="宋体" w:eastAsia="宋体" w:cs="宋体"/>
          <w:b/>
          <w:i w:val="0"/>
          <w:iCs w:val="0"/>
          <w:color w:val="auto"/>
          <w:sz w:val="36"/>
          <w:szCs w:val="36"/>
          <w:highlight w:val="none"/>
        </w:rPr>
        <w:t>合同主要条款</w:t>
      </w:r>
      <w:r>
        <w:rPr>
          <w:rFonts w:hint="eastAsia" w:ascii="宋体" w:hAnsi="宋体" w:cs="宋体"/>
          <w:b/>
          <w:i w:val="0"/>
          <w:iCs w:val="0"/>
          <w:color w:val="auto"/>
          <w:sz w:val="36"/>
          <w:szCs w:val="36"/>
          <w:highlight w:val="none"/>
        </w:rPr>
        <w:t>（参考样本）</w:t>
      </w:r>
    </w:p>
    <w:p w14:paraId="486C8474">
      <w:pPr>
        <w:snapToGrid w:val="0"/>
        <w:ind w:firstLine="1108" w:firstLineChars="345"/>
        <w:rPr>
          <w:rFonts w:hint="eastAsia" w:ascii="宋体" w:hAnsi="宋体" w:cs="宋体"/>
          <w:b/>
          <w:i w:val="0"/>
          <w:iCs w:val="0"/>
          <w:color w:val="auto"/>
          <w:sz w:val="32"/>
          <w:szCs w:val="32"/>
          <w:highlight w:val="none"/>
        </w:rPr>
      </w:pPr>
      <w:r>
        <w:rPr>
          <w:rFonts w:hint="eastAsia" w:ascii="宋体" w:hAnsi="宋体" w:cs="宋体"/>
          <w:b/>
          <w:i w:val="0"/>
          <w:iCs w:val="0"/>
          <w:color w:val="auto"/>
          <w:sz w:val="32"/>
          <w:szCs w:val="32"/>
          <w:highlight w:val="none"/>
        </w:rPr>
        <w:t xml:space="preserve">           （以最终</w:t>
      </w:r>
      <w:r>
        <w:rPr>
          <w:rFonts w:hint="eastAsia" w:ascii="宋体" w:hAnsi="宋体" w:cs="宋体"/>
          <w:b/>
          <w:i w:val="0"/>
          <w:iCs w:val="0"/>
          <w:color w:val="auto"/>
          <w:sz w:val="32"/>
          <w:szCs w:val="32"/>
          <w:highlight w:val="none"/>
          <w:lang w:eastAsia="zh-CN"/>
        </w:rPr>
        <w:t>签订</w:t>
      </w:r>
      <w:r>
        <w:rPr>
          <w:rFonts w:hint="eastAsia" w:ascii="宋体" w:hAnsi="宋体" w:cs="宋体"/>
          <w:b/>
          <w:i w:val="0"/>
          <w:iCs w:val="0"/>
          <w:color w:val="auto"/>
          <w:sz w:val="32"/>
          <w:szCs w:val="32"/>
          <w:highlight w:val="none"/>
        </w:rPr>
        <w:t>合同为准）</w:t>
      </w:r>
    </w:p>
    <w:p w14:paraId="21A24C76">
      <w:pPr>
        <w:pStyle w:val="9"/>
        <w:rPr>
          <w:rFonts w:hint="eastAsia"/>
          <w:i w:val="0"/>
          <w:iCs w:val="0"/>
          <w:color w:val="auto"/>
          <w:highlight w:val="none"/>
        </w:rPr>
      </w:pPr>
    </w:p>
    <w:p w14:paraId="1E00A7CB">
      <w:pPr>
        <w:pStyle w:val="11"/>
        <w:snapToGrid w:val="0"/>
        <w:spacing w:before="120" w:after="120" w:line="340" w:lineRule="exact"/>
        <w:rPr>
          <w:rFonts w:hint="eastAsia" w:ascii="宋体" w:hAnsi="宋体" w:eastAsia="宋体" w:cs="宋体"/>
          <w:color w:val="auto"/>
          <w:sz w:val="32"/>
          <w:szCs w:val="32"/>
          <w:highlight w:val="none"/>
        </w:rPr>
      </w:pPr>
      <w:bookmarkStart w:id="83" w:name="_Toc33194402"/>
    </w:p>
    <w:p w14:paraId="33949CB0">
      <w:pPr>
        <w:pStyle w:val="11"/>
        <w:snapToGrid w:val="0"/>
        <w:spacing w:before="120" w:after="120" w:line="340" w:lineRule="exac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p>
    <w:p w14:paraId="092A1F05">
      <w:pPr>
        <w:spacing w:line="340" w:lineRule="exact"/>
        <w:jc w:val="center"/>
        <w:rPr>
          <w:rFonts w:hint="eastAsia" w:ascii="宋体" w:hAnsi="宋体" w:eastAsia="宋体" w:cs="宋体"/>
          <w:color w:val="auto"/>
          <w:szCs w:val="21"/>
          <w:highlight w:val="none"/>
        </w:rPr>
      </w:pPr>
    </w:p>
    <w:p w14:paraId="2527A4AD">
      <w:pPr>
        <w:pStyle w:val="14"/>
        <w:rPr>
          <w:rFonts w:hint="eastAsia" w:ascii="宋体" w:hAnsi="宋体" w:eastAsia="宋体" w:cs="宋体"/>
          <w:color w:val="auto"/>
          <w:sz w:val="21"/>
          <w:szCs w:val="21"/>
          <w:highlight w:val="none"/>
        </w:rPr>
      </w:pPr>
    </w:p>
    <w:p w14:paraId="452FE432">
      <w:pPr>
        <w:pStyle w:val="14"/>
        <w:rPr>
          <w:rFonts w:hint="eastAsia" w:ascii="宋体" w:hAnsi="宋体" w:eastAsia="宋体" w:cs="宋体"/>
          <w:color w:val="auto"/>
          <w:sz w:val="21"/>
          <w:szCs w:val="21"/>
          <w:highlight w:val="none"/>
        </w:rPr>
      </w:pPr>
    </w:p>
    <w:p w14:paraId="0C55E36F">
      <w:pPr>
        <w:spacing w:line="340" w:lineRule="exact"/>
        <w:jc w:val="center"/>
        <w:rPr>
          <w:rFonts w:hint="eastAsia" w:ascii="宋体" w:hAnsi="宋体" w:eastAsia="宋体" w:cs="宋体"/>
          <w:color w:val="auto"/>
          <w:sz w:val="44"/>
          <w:szCs w:val="44"/>
          <w:highlight w:val="none"/>
        </w:rPr>
      </w:pPr>
    </w:p>
    <w:p w14:paraId="5D7BFF4E">
      <w:pPr>
        <w:pStyle w:val="14"/>
        <w:rPr>
          <w:rFonts w:hint="eastAsia" w:ascii="宋体" w:hAnsi="宋体" w:eastAsia="宋体" w:cs="宋体"/>
          <w:color w:val="auto"/>
          <w:sz w:val="44"/>
          <w:szCs w:val="44"/>
          <w:highlight w:val="none"/>
        </w:rPr>
      </w:pPr>
    </w:p>
    <w:p w14:paraId="27A77CCD">
      <w:pPr>
        <w:pStyle w:val="14"/>
        <w:rPr>
          <w:rFonts w:hint="eastAsia" w:ascii="宋体" w:hAnsi="宋体" w:eastAsia="宋体" w:cs="宋体"/>
          <w:color w:val="auto"/>
          <w:sz w:val="44"/>
          <w:szCs w:val="44"/>
          <w:highlight w:val="none"/>
        </w:rPr>
      </w:pPr>
    </w:p>
    <w:p w14:paraId="6CAE8D95">
      <w:pPr>
        <w:pStyle w:val="14"/>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合  同  书</w:t>
      </w:r>
    </w:p>
    <w:p w14:paraId="62788CA8">
      <w:pPr>
        <w:pStyle w:val="14"/>
        <w:rPr>
          <w:rFonts w:hint="eastAsia" w:ascii="宋体" w:hAnsi="宋体" w:eastAsia="宋体" w:cs="宋体"/>
          <w:color w:val="auto"/>
          <w:sz w:val="21"/>
          <w:szCs w:val="21"/>
          <w:highlight w:val="none"/>
        </w:rPr>
      </w:pPr>
    </w:p>
    <w:p w14:paraId="50DBDE63">
      <w:pPr>
        <w:pStyle w:val="14"/>
        <w:rPr>
          <w:rFonts w:hint="eastAsia" w:ascii="宋体" w:hAnsi="宋体" w:eastAsia="宋体" w:cs="宋体"/>
          <w:color w:val="auto"/>
          <w:sz w:val="21"/>
          <w:szCs w:val="21"/>
          <w:highlight w:val="none"/>
        </w:rPr>
      </w:pPr>
    </w:p>
    <w:p w14:paraId="74D5E0EA">
      <w:pPr>
        <w:pStyle w:val="14"/>
        <w:rPr>
          <w:rFonts w:hint="eastAsia" w:ascii="宋体" w:hAnsi="宋体" w:eastAsia="宋体" w:cs="宋体"/>
          <w:color w:val="auto"/>
          <w:sz w:val="32"/>
          <w:szCs w:val="32"/>
          <w:highlight w:val="none"/>
        </w:rPr>
      </w:pPr>
    </w:p>
    <w:p w14:paraId="382FAE29">
      <w:pPr>
        <w:pStyle w:val="14"/>
        <w:rPr>
          <w:rFonts w:hint="eastAsia" w:ascii="宋体" w:hAnsi="宋体" w:eastAsia="宋体" w:cs="宋体"/>
          <w:color w:val="auto"/>
          <w:sz w:val="32"/>
          <w:szCs w:val="32"/>
          <w:highlight w:val="none"/>
        </w:rPr>
      </w:pPr>
    </w:p>
    <w:p w14:paraId="15DDDF36">
      <w:pPr>
        <w:pStyle w:val="14"/>
        <w:rPr>
          <w:rFonts w:hint="eastAsia" w:ascii="宋体" w:hAnsi="宋体" w:eastAsia="宋体" w:cs="宋体"/>
          <w:color w:val="auto"/>
          <w:sz w:val="32"/>
          <w:szCs w:val="32"/>
          <w:highlight w:val="none"/>
        </w:rPr>
      </w:pPr>
    </w:p>
    <w:p w14:paraId="7EBD164D">
      <w:pPr>
        <w:pStyle w:val="14"/>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2025年建设项目环境影响评价技术评估项目</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p>
    <w:p w14:paraId="0435246E">
      <w:pPr>
        <w:pStyle w:val="14"/>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委 托 方</w:t>
      </w:r>
      <w:r>
        <w:rPr>
          <w:rFonts w:hint="eastAsia" w:ascii="宋体" w:hAnsi="宋体" w:eastAsia="宋体" w:cs="宋体"/>
          <w:color w:val="auto"/>
          <w:sz w:val="32"/>
          <w:szCs w:val="32"/>
          <w:highlight w:val="none"/>
          <w:lang w:eastAsia="zh-CN"/>
        </w:rPr>
        <w:t>（甲方）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衢州市生态环境局         </w:t>
      </w:r>
      <w:r>
        <w:rPr>
          <w:rFonts w:hint="eastAsia" w:ascii="宋体" w:hAnsi="宋体" w:eastAsia="宋体" w:cs="宋体"/>
          <w:color w:val="auto"/>
          <w:sz w:val="32"/>
          <w:szCs w:val="32"/>
          <w:highlight w:val="none"/>
          <w:u w:val="single"/>
          <w:lang w:val="en-US" w:eastAsia="zh-CN"/>
        </w:rPr>
        <w:t xml:space="preserve"> </w:t>
      </w:r>
    </w:p>
    <w:p w14:paraId="6DFF2694">
      <w:pPr>
        <w:pStyle w:val="14"/>
        <w:keepNext w:val="0"/>
        <w:keepLines w:val="0"/>
        <w:pageBreakBefore w:val="0"/>
        <w:widowControl w:val="0"/>
        <w:kinsoku/>
        <w:wordWrap/>
        <w:overflowPunct/>
        <w:topLinePunct w:val="0"/>
        <w:autoSpaceDE/>
        <w:autoSpaceDN/>
        <w:bidi w:val="0"/>
        <w:adjustRightInd/>
        <w:snapToGrid w:val="0"/>
        <w:spacing w:line="1000" w:lineRule="exact"/>
        <w:ind w:firstLine="320" w:firstLineChars="1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受 托 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544D85B2">
      <w:pPr>
        <w:pStyle w:val="14"/>
        <w:rPr>
          <w:rFonts w:hint="eastAsia" w:ascii="宋体" w:hAnsi="宋体" w:eastAsia="宋体" w:cs="宋体"/>
          <w:color w:val="auto"/>
          <w:sz w:val="32"/>
          <w:szCs w:val="32"/>
          <w:highlight w:val="none"/>
        </w:rPr>
      </w:pPr>
    </w:p>
    <w:p w14:paraId="2BB0E1CC">
      <w:pPr>
        <w:pStyle w:val="14"/>
        <w:rPr>
          <w:rFonts w:hint="eastAsia" w:ascii="宋体" w:hAnsi="宋体" w:eastAsia="宋体" w:cs="宋体"/>
          <w:color w:val="auto"/>
          <w:sz w:val="32"/>
          <w:szCs w:val="32"/>
          <w:highlight w:val="none"/>
        </w:rPr>
      </w:pPr>
    </w:p>
    <w:p w14:paraId="347A88AF">
      <w:pPr>
        <w:pStyle w:val="14"/>
        <w:jc w:val="center"/>
        <w:rPr>
          <w:rFonts w:hint="eastAsia" w:ascii="宋体" w:hAnsi="宋体" w:eastAsia="宋体" w:cs="宋体"/>
          <w:color w:val="auto"/>
          <w:sz w:val="32"/>
          <w:szCs w:val="32"/>
          <w:highlight w:val="none"/>
        </w:rPr>
      </w:pPr>
    </w:p>
    <w:p w14:paraId="5C10DB2E">
      <w:pPr>
        <w:pStyle w:val="14"/>
        <w:ind w:firstLine="1920" w:firstLineChars="600"/>
        <w:jc w:val="both"/>
        <w:rPr>
          <w:rFonts w:hint="eastAsia" w:ascii="宋体" w:hAnsi="宋体" w:eastAsia="宋体" w:cs="宋体"/>
          <w:color w:val="auto"/>
          <w:sz w:val="32"/>
          <w:szCs w:val="32"/>
          <w:highlight w:val="none"/>
        </w:rPr>
      </w:pPr>
    </w:p>
    <w:p w14:paraId="5258C8F3">
      <w:pPr>
        <w:pStyle w:val="14"/>
        <w:ind w:firstLine="1920" w:firstLineChars="6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签订地址： 浙江省衢州市</w:t>
      </w:r>
    </w:p>
    <w:p w14:paraId="7DC4D942">
      <w:pPr>
        <w:pStyle w:val="14"/>
        <w:jc w:val="center"/>
        <w:rPr>
          <w:rFonts w:hint="eastAsia" w:ascii="宋体" w:hAnsi="宋体" w:eastAsia="宋体" w:cs="宋体"/>
          <w:color w:val="auto"/>
          <w:sz w:val="32"/>
          <w:szCs w:val="32"/>
          <w:highlight w:val="none"/>
        </w:rPr>
      </w:pPr>
    </w:p>
    <w:p w14:paraId="4945EDFC">
      <w:pPr>
        <w:pStyle w:val="14"/>
        <w:ind w:firstLine="1920" w:firstLineChars="6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签订日期：</w:t>
      </w:r>
      <w:r>
        <w:rPr>
          <w:rFonts w:hint="eastAsia" w:ascii="宋体" w:hAnsi="宋体" w:eastAsia="宋体" w:cs="宋体"/>
          <w:color w:val="auto"/>
          <w:sz w:val="32"/>
          <w:szCs w:val="32"/>
          <w:highlight w:val="none"/>
          <w:lang w:eastAsia="zh-CN"/>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日</w:t>
      </w:r>
    </w:p>
    <w:p w14:paraId="0E58D4A7">
      <w:pPr>
        <w:jc w:val="center"/>
        <w:rPr>
          <w:rFonts w:hint="eastAsia" w:ascii="宋体" w:hAnsi="宋体" w:cs="宋体"/>
          <w:b/>
          <w:bCs/>
          <w:i w:val="0"/>
          <w:iCs w:val="0"/>
          <w:color w:val="auto"/>
          <w:sz w:val="36"/>
          <w:szCs w:val="36"/>
          <w:highlight w:val="none"/>
          <w:lang w:eastAsia="zh-CN"/>
        </w:rPr>
      </w:pPr>
    </w:p>
    <w:p w14:paraId="18022371">
      <w:pPr>
        <w:jc w:val="center"/>
        <w:rPr>
          <w:rFonts w:hint="eastAsia" w:ascii="宋体" w:hAnsi="宋体" w:cs="宋体"/>
          <w:b/>
          <w:bCs/>
          <w:i w:val="0"/>
          <w:iCs w:val="0"/>
          <w:color w:val="auto"/>
          <w:sz w:val="36"/>
          <w:szCs w:val="36"/>
          <w:highlight w:val="none"/>
          <w:lang w:eastAsia="zh-CN"/>
        </w:rPr>
      </w:pPr>
      <w:r>
        <w:rPr>
          <w:rFonts w:hint="eastAsia" w:ascii="宋体" w:hAnsi="宋体" w:cs="宋体"/>
          <w:b/>
          <w:bCs/>
          <w:i w:val="0"/>
          <w:iCs w:val="0"/>
          <w:color w:val="auto"/>
          <w:sz w:val="36"/>
          <w:szCs w:val="36"/>
          <w:highlight w:val="none"/>
          <w:lang w:eastAsia="zh-CN"/>
        </w:rPr>
        <w:t xml:space="preserve"> </w:t>
      </w:r>
    </w:p>
    <w:p w14:paraId="2769AF6D">
      <w:pPr>
        <w:rPr>
          <w:rFonts w:hint="eastAsia" w:ascii="宋体" w:hAnsi="宋体" w:cs="宋体"/>
          <w:b/>
          <w:bCs/>
          <w:i w:val="0"/>
          <w:iCs w:val="0"/>
          <w:color w:val="auto"/>
          <w:sz w:val="30"/>
          <w:szCs w:val="30"/>
          <w:highlight w:val="none"/>
          <w:lang w:eastAsia="zh-CN"/>
        </w:rPr>
      </w:pPr>
      <w:r>
        <w:rPr>
          <w:rFonts w:hint="eastAsia" w:ascii="宋体" w:hAnsi="宋体" w:cs="宋体"/>
          <w:b/>
          <w:bCs/>
          <w:i w:val="0"/>
          <w:iCs w:val="0"/>
          <w:color w:val="auto"/>
          <w:sz w:val="30"/>
          <w:szCs w:val="30"/>
          <w:highlight w:val="none"/>
          <w:lang w:eastAsia="zh-CN"/>
        </w:rPr>
        <w:br w:type="page"/>
      </w:r>
    </w:p>
    <w:p w14:paraId="42DF233A">
      <w:pPr>
        <w:jc w:val="center"/>
        <w:rPr>
          <w:rFonts w:hint="eastAsia" w:ascii="宋体" w:hAnsi="宋体" w:cs="宋体"/>
          <w:b/>
          <w:bCs/>
          <w:i w:val="0"/>
          <w:iCs w:val="0"/>
          <w:color w:val="auto"/>
          <w:sz w:val="30"/>
          <w:szCs w:val="30"/>
          <w:highlight w:val="none"/>
          <w:lang w:eastAsia="zh-CN"/>
        </w:rPr>
      </w:pPr>
      <w:r>
        <w:rPr>
          <w:rFonts w:hint="eastAsia" w:ascii="宋体" w:hAnsi="宋体" w:cs="宋体"/>
          <w:b/>
          <w:bCs/>
          <w:i w:val="0"/>
          <w:iCs w:val="0"/>
          <w:color w:val="auto"/>
          <w:sz w:val="30"/>
          <w:szCs w:val="30"/>
          <w:highlight w:val="none"/>
          <w:lang w:eastAsia="zh-CN"/>
        </w:rPr>
        <w:t>2025年建设项目环境影响评价技术评估项目合同</w:t>
      </w:r>
    </w:p>
    <w:p w14:paraId="589AC21A">
      <w:pPr>
        <w:widowControl/>
        <w:spacing w:line="380" w:lineRule="exact"/>
        <w:ind w:firstLine="422" w:firstLineChars="200"/>
        <w:rPr>
          <w:rFonts w:hint="eastAsia" w:hAnsi="宋体" w:cs="宋体"/>
          <w:b/>
          <w:bCs/>
          <w:color w:val="auto"/>
          <w:sz w:val="21"/>
          <w:szCs w:val="21"/>
          <w:highlight w:val="none"/>
          <w:lang w:val="zh-CN"/>
        </w:rPr>
      </w:pPr>
      <w:r>
        <w:rPr>
          <w:rFonts w:hint="eastAsia" w:hAnsi="宋体" w:cs="宋体"/>
          <w:b/>
          <w:bCs/>
          <w:color w:val="auto"/>
          <w:sz w:val="21"/>
          <w:szCs w:val="21"/>
          <w:highlight w:val="none"/>
          <w:lang w:val="zh-CN"/>
        </w:rPr>
        <w:t>（备注：采购文件中仅提供合同主要条款，最终合同以双方签章的书面文本为准；文件中的任一部分和条款均可视采购人的需要在签订合同时列入合同文本内）</w:t>
      </w:r>
    </w:p>
    <w:p w14:paraId="5BCE436B">
      <w:pPr>
        <w:pStyle w:val="14"/>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宋体" w:hAnsi="宋体" w:eastAsia="宋体" w:cs="宋体"/>
          <w:color w:val="auto"/>
          <w:sz w:val="22"/>
          <w:szCs w:val="22"/>
          <w:highlight w:val="none"/>
        </w:rPr>
      </w:pPr>
    </w:p>
    <w:p w14:paraId="025ECEA5">
      <w:pPr>
        <w:pStyle w:val="14"/>
        <w:keepNext w:val="0"/>
        <w:keepLines w:val="0"/>
        <w:pageBreakBefore w:val="0"/>
        <w:widowControl w:val="0"/>
        <w:kinsoku/>
        <w:wordWrap/>
        <w:overflowPunct/>
        <w:topLinePunct w:val="0"/>
        <w:autoSpaceDE/>
        <w:autoSpaceDN/>
        <w:bidi w:val="0"/>
        <w:adjustRightInd/>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2025年建设项目环境影响评价技术评估项目</w:t>
      </w:r>
      <w:r>
        <w:rPr>
          <w:rFonts w:hint="eastAsia" w:ascii="宋体" w:hAnsi="宋体" w:eastAsia="宋体" w:cs="宋体"/>
          <w:color w:val="auto"/>
          <w:sz w:val="22"/>
          <w:szCs w:val="22"/>
          <w:highlight w:val="none"/>
        </w:rPr>
        <w:t xml:space="preserve">    </w:t>
      </w:r>
    </w:p>
    <w:p w14:paraId="29430799">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甲方：衢州市生态环境局（采购单位） </w:t>
      </w:r>
    </w:p>
    <w:p w14:paraId="15F0507E">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（成交单位）</w:t>
      </w:r>
    </w:p>
    <w:p w14:paraId="67FD4800">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甲、乙双方根据</w:t>
      </w:r>
      <w:r>
        <w:rPr>
          <w:rFonts w:hint="eastAsia" w:ascii="宋体" w:hAnsi="宋体" w:eastAsia="宋体" w:cs="宋体"/>
          <w:color w:val="auto"/>
          <w:sz w:val="22"/>
          <w:szCs w:val="22"/>
          <w:highlight w:val="none"/>
          <w:lang w:eastAsia="zh-CN"/>
        </w:rPr>
        <w:t>2025年建设项目环境影响评价技术评估项目</w:t>
      </w:r>
      <w:r>
        <w:rPr>
          <w:rFonts w:hint="eastAsia" w:ascii="宋体" w:hAnsi="宋体" w:cs="宋体"/>
          <w:color w:val="auto"/>
          <w:sz w:val="22"/>
          <w:szCs w:val="22"/>
          <w:highlight w:val="none"/>
        </w:rPr>
        <w:t>招标结果，招标文件的要求、投标文件的响应，依据《中华人民共和国民法典》的规定，并经双方协调一致，订立本采购合同。</w:t>
      </w:r>
    </w:p>
    <w:p w14:paraId="32788E18">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采购内容</w:t>
      </w:r>
    </w:p>
    <w:p w14:paraId="19CE639B">
      <w:pPr>
        <w:keepNext w:val="0"/>
        <w:keepLines w:val="0"/>
        <w:pageBreakBefore w:val="0"/>
        <w:widowControl w:val="0"/>
        <w:shd w:val="clear" w:color="auto" w:fill="FFFFFF"/>
        <w:kinsoku/>
        <w:wordWrap/>
        <w:overflowPunct/>
        <w:topLinePunct w:val="0"/>
        <w:autoSpaceDE w:val="0"/>
        <w:autoSpaceDN w:val="0"/>
        <w:bidi w:val="0"/>
        <w:snapToGrid/>
        <w:spacing w:line="420" w:lineRule="exact"/>
        <w:ind w:leftChars="0"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1.环评技术评估和重大项目环保决策。</w:t>
      </w:r>
    </w:p>
    <w:p w14:paraId="691E4A92">
      <w:pPr>
        <w:keepNext w:val="0"/>
        <w:keepLines w:val="0"/>
        <w:pageBreakBefore w:val="0"/>
        <w:widowControl w:val="0"/>
        <w:shd w:val="clear" w:color="auto" w:fill="FFFFFF"/>
        <w:kinsoku/>
        <w:wordWrap/>
        <w:overflowPunct/>
        <w:topLinePunct w:val="0"/>
        <w:autoSpaceDE w:val="0"/>
        <w:autoSpaceDN w:val="0"/>
        <w:bidi w:val="0"/>
        <w:snapToGrid/>
        <w:spacing w:line="420" w:lineRule="exact"/>
        <w:ind w:leftChars="0"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环评技术评估：建设项目环境影响报告书（包括涉及敏感目标或污染较大、影响较大的报告表）的编制规范性检查和技术评估，并提交评估报告。年均数量（不包括智造新城）约为60个</w:t>
      </w:r>
      <w:r>
        <w:rPr>
          <w:rFonts w:hint="eastAsia" w:ascii="宋体" w:hAnsi="宋体" w:cs="宋体"/>
          <w:color w:val="auto"/>
          <w:sz w:val="22"/>
          <w:szCs w:val="22"/>
          <w:highlight w:val="none"/>
          <w:lang w:val="en-US" w:eastAsia="zh-CN"/>
        </w:rPr>
        <w:t>。</w:t>
      </w:r>
    </w:p>
    <w:p w14:paraId="50289F45">
      <w:pPr>
        <w:keepNext w:val="0"/>
        <w:keepLines w:val="0"/>
        <w:pageBreakBefore w:val="0"/>
        <w:widowControl w:val="0"/>
        <w:shd w:val="clear" w:color="auto" w:fill="FFFFFF"/>
        <w:kinsoku/>
        <w:wordWrap/>
        <w:overflowPunct/>
        <w:topLinePunct w:val="0"/>
        <w:autoSpaceDE w:val="0"/>
        <w:autoSpaceDN w:val="0"/>
        <w:bidi w:val="0"/>
        <w:snapToGrid/>
        <w:spacing w:line="420" w:lineRule="exact"/>
        <w:ind w:leftChars="0"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重大项目环保决策咨询服务：对新落地重大项目或原有企业新增产品，且环境影响风险较大的项目开展项目落地环保决策咨询服务，数量约为10个。因重大项目环保决策咨询服务非常态化工作，数量难以预计，因此签订合同时将这项工作与环评技术评估数量合并。</w:t>
      </w:r>
    </w:p>
    <w:p w14:paraId="7F33273F">
      <w:pPr>
        <w:keepNext w:val="0"/>
        <w:keepLines w:val="0"/>
        <w:pageBreakBefore w:val="0"/>
        <w:widowControl w:val="0"/>
        <w:numPr>
          <w:ilvl w:val="0"/>
          <w:numId w:val="0"/>
        </w:numPr>
        <w:shd w:val="clear" w:color="auto" w:fill="FFFFFF"/>
        <w:kinsoku/>
        <w:wordWrap/>
        <w:overflowPunct/>
        <w:topLinePunct w:val="0"/>
        <w:autoSpaceDE w:val="0"/>
        <w:autoSpaceDN w:val="0"/>
        <w:bidi w:val="0"/>
        <w:snapToGrid/>
        <w:spacing w:line="420" w:lineRule="exact"/>
        <w:ind w:leftChars="200"/>
        <w:jc w:val="left"/>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环评质量技术复核服务。</w:t>
      </w:r>
    </w:p>
    <w:p w14:paraId="4058AD9C">
      <w:pPr>
        <w:keepNext w:val="0"/>
        <w:keepLines w:val="0"/>
        <w:pageBreakBefore w:val="0"/>
        <w:widowControl w:val="0"/>
        <w:numPr>
          <w:ilvl w:val="0"/>
          <w:numId w:val="0"/>
        </w:numPr>
        <w:shd w:val="clear" w:color="auto" w:fill="FFFFFF"/>
        <w:kinsoku/>
        <w:wordWrap/>
        <w:overflowPunct/>
        <w:topLinePunct w:val="0"/>
        <w:autoSpaceDE w:val="0"/>
        <w:autoSpaceDN w:val="0"/>
        <w:bidi w:val="0"/>
        <w:snapToGrid/>
        <w:spacing w:line="420" w:lineRule="exact"/>
        <w:ind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每季度组织一次环评报告质量复核工作，对编制单位和编制人员相关情况进行抽查。按照常规环评复核工作计划及今年全省环评领域专项行动工作部署要求，</w:t>
      </w:r>
      <w:r>
        <w:rPr>
          <w:rFonts w:hint="eastAsia" w:ascii="宋体" w:hAnsi="宋体" w:cs="宋体"/>
          <w:color w:val="auto"/>
          <w:sz w:val="22"/>
          <w:szCs w:val="22"/>
          <w:highlight w:val="none"/>
          <w:lang w:val="en-US" w:eastAsia="zh-CN"/>
        </w:rPr>
        <w:t>采购人需</w:t>
      </w:r>
      <w:r>
        <w:rPr>
          <w:rFonts w:hint="eastAsia" w:ascii="宋体" w:hAnsi="宋体" w:eastAsia="宋体" w:cs="宋体"/>
          <w:color w:val="auto"/>
          <w:sz w:val="22"/>
          <w:szCs w:val="22"/>
          <w:highlight w:val="none"/>
          <w:lang w:val="en-US" w:eastAsia="zh-CN"/>
        </w:rPr>
        <w:t>对近年来全市审批的环评文件进行抽查，抽查数量不低于150家。</w:t>
      </w:r>
      <w:r>
        <w:rPr>
          <w:rFonts w:hint="eastAsia" w:ascii="宋体" w:hAnsi="宋体" w:cs="宋体"/>
          <w:color w:val="auto"/>
          <w:sz w:val="22"/>
          <w:szCs w:val="22"/>
          <w:highlight w:val="none"/>
          <w:lang w:val="en-US" w:eastAsia="zh-CN"/>
        </w:rPr>
        <w:t>中标服务商须提供</w:t>
      </w:r>
      <w:r>
        <w:rPr>
          <w:rFonts w:hint="eastAsia" w:ascii="宋体" w:hAnsi="宋体" w:eastAsia="宋体" w:cs="宋体"/>
          <w:color w:val="auto"/>
          <w:sz w:val="22"/>
          <w:szCs w:val="22"/>
          <w:highlight w:val="none"/>
          <w:lang w:val="en-US" w:eastAsia="zh-CN"/>
        </w:rPr>
        <w:t>环评质量技术复核服务。</w:t>
      </w:r>
    </w:p>
    <w:p w14:paraId="49E598C1">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color w:val="auto"/>
          <w:sz w:val="22"/>
          <w:szCs w:val="22"/>
          <w:highlight w:val="none"/>
          <w:lang w:val="en" w:eastAsia="zh-CN"/>
        </w:rPr>
      </w:pPr>
      <w:r>
        <w:rPr>
          <w:rFonts w:hint="eastAsia" w:ascii="宋体" w:hAnsi="宋体" w:eastAsia="宋体" w:cs="宋体"/>
          <w:b/>
          <w:bCs/>
          <w:color w:val="auto"/>
          <w:sz w:val="22"/>
          <w:szCs w:val="22"/>
          <w:highlight w:val="none"/>
          <w:lang w:val="en-US" w:eastAsia="zh-CN"/>
        </w:rPr>
        <w:t>二、项目要求</w:t>
      </w:r>
    </w:p>
    <w:p w14:paraId="66592E7E">
      <w:pPr>
        <w:keepNext w:val="0"/>
        <w:keepLines w:val="0"/>
        <w:pageBreakBefore w:val="0"/>
        <w:widowControl w:val="0"/>
        <w:shd w:val="clear" w:color="auto" w:fill="FFFFFF"/>
        <w:kinsoku/>
        <w:wordWrap/>
        <w:overflowPunct/>
        <w:topLinePunct w:val="0"/>
        <w:autoSpaceDE w:val="0"/>
        <w:autoSpaceDN w:val="0"/>
        <w:bidi w:val="0"/>
        <w:snapToGrid/>
        <w:spacing w:line="420" w:lineRule="exact"/>
        <w:ind w:leftChars="0"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snapToGrid w:val="0"/>
          <w:color w:val="auto"/>
          <w:kern w:val="0"/>
          <w:sz w:val="22"/>
          <w:szCs w:val="22"/>
          <w:highlight w:val="none"/>
          <w:lang w:val="en-US" w:eastAsia="zh-CN"/>
        </w:rPr>
        <w:t>1.乙方应</w:t>
      </w:r>
      <w:r>
        <w:rPr>
          <w:rFonts w:hint="eastAsia" w:ascii="宋体" w:hAnsi="宋体" w:eastAsia="宋体" w:cs="宋体"/>
          <w:color w:val="auto"/>
          <w:sz w:val="22"/>
          <w:szCs w:val="22"/>
          <w:highlight w:val="none"/>
          <w:lang w:val="en-US" w:eastAsia="zh-CN"/>
        </w:rPr>
        <w:t>具有良好的专业素养和技术保障，委派具有一定环评评估工作业务经验的人员为本项目提供服务。</w:t>
      </w:r>
      <w:r>
        <w:rPr>
          <w:rFonts w:hint="eastAsia" w:ascii="宋体" w:hAnsi="宋体"/>
          <w:snapToGrid w:val="0"/>
          <w:color w:val="auto"/>
          <w:kern w:val="0"/>
          <w:sz w:val="22"/>
          <w:szCs w:val="22"/>
          <w:highlight w:val="none"/>
          <w:lang w:val="en-US" w:eastAsia="zh-CN"/>
        </w:rPr>
        <w:br w:type="textWrapping"/>
      </w:r>
      <w:r>
        <w:rPr>
          <w:rFonts w:hint="eastAsia" w:ascii="宋体" w:hAnsi="宋体"/>
          <w:snapToGrid w:val="0"/>
          <w:color w:val="auto"/>
          <w:kern w:val="0"/>
          <w:sz w:val="22"/>
          <w:szCs w:val="22"/>
          <w:highlight w:val="none"/>
          <w:lang w:val="en-US" w:eastAsia="zh-CN"/>
        </w:rPr>
        <w:t xml:space="preserve">     2.</w:t>
      </w:r>
      <w:r>
        <w:rPr>
          <w:rFonts w:hint="eastAsia" w:ascii="宋体" w:hAnsi="宋体"/>
          <w:snapToGrid w:val="0"/>
          <w:color w:val="auto"/>
          <w:kern w:val="0"/>
          <w:sz w:val="22"/>
          <w:szCs w:val="22"/>
          <w:highlight w:val="none"/>
          <w:lang w:eastAsia="zh-CN"/>
        </w:rPr>
        <w:t>乙方应</w:t>
      </w:r>
      <w:r>
        <w:rPr>
          <w:rFonts w:hint="eastAsia" w:ascii="宋体" w:hAnsi="宋体"/>
          <w:snapToGrid w:val="0"/>
          <w:color w:val="auto"/>
          <w:kern w:val="0"/>
          <w:sz w:val="22"/>
          <w:szCs w:val="22"/>
          <w:highlight w:val="none"/>
        </w:rPr>
        <w:t>遵循科学、客观、公正原则，根据环境保护法律、法规、规章、标准、技术规范和项目行业特点，组织开展技术评估，并提交评估文件。根据建设项目特点和所在区域环境特征，重点评估建设项目可能产生的环境影响，核实环境影响评价文件采用的技术方法与评价标准的正确性，判断污染防治措施的可行性、环境影响评价结论的准确性，明确评估结论。对建设项目环境保护对策措施提出优化调整建议，并提出修改意见。</w:t>
      </w:r>
      <w:r>
        <w:rPr>
          <w:rFonts w:hint="eastAsia" w:ascii="宋体" w:hAnsi="宋体" w:eastAsia="宋体" w:cs="宋体"/>
          <w:color w:val="auto"/>
          <w:sz w:val="22"/>
          <w:szCs w:val="22"/>
          <w:highlight w:val="none"/>
          <w:lang w:val="en-US" w:eastAsia="zh-CN"/>
        </w:rPr>
        <w:br w:type="textWrapping"/>
      </w:r>
      <w:r>
        <w:rPr>
          <w:rFonts w:hint="eastAsia" w:ascii="宋体" w:hAnsi="宋体" w:cs="宋体"/>
          <w:color w:val="auto"/>
          <w:sz w:val="22"/>
          <w:szCs w:val="22"/>
          <w:highlight w:val="none"/>
          <w:lang w:val="en-US" w:eastAsia="zh-CN"/>
        </w:rPr>
        <w:t xml:space="preserve">    3</w:t>
      </w:r>
      <w:r>
        <w:rPr>
          <w:rFonts w:hint="eastAsia" w:ascii="宋体" w:hAnsi="宋体" w:eastAsia="宋体" w:cs="宋体"/>
          <w:color w:val="auto"/>
          <w:sz w:val="22"/>
          <w:szCs w:val="22"/>
          <w:highlight w:val="none"/>
          <w:lang w:val="en-US" w:eastAsia="zh-CN"/>
        </w:rPr>
        <w:t>.技术评估邀请的专家必须从市级以上生态环境部门公布的专家库中抽取。</w:t>
      </w:r>
    </w:p>
    <w:p w14:paraId="5E2ED023">
      <w:pPr>
        <w:keepNext w:val="0"/>
        <w:keepLines w:val="0"/>
        <w:pageBreakBefore w:val="0"/>
        <w:widowControl w:val="0"/>
        <w:shd w:val="clear" w:color="auto" w:fill="FFFFFF"/>
        <w:kinsoku/>
        <w:wordWrap/>
        <w:overflowPunct/>
        <w:topLinePunct w:val="0"/>
        <w:autoSpaceDE w:val="0"/>
        <w:autoSpaceDN w:val="0"/>
        <w:bidi w:val="0"/>
        <w:snapToGrid/>
        <w:spacing w:line="420" w:lineRule="exact"/>
        <w:ind w:leftChars="0" w:firstLine="440" w:firstLineChars="200"/>
        <w:jc w:val="left"/>
        <w:outlineLvl w:val="2"/>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.一年组织不少于2次面向在衢环评编制机构或市局（各分局）审批人员的业务培训。</w:t>
      </w:r>
    </w:p>
    <w:p w14:paraId="28D6E704">
      <w:pPr>
        <w:keepNext w:val="0"/>
        <w:keepLines w:val="0"/>
        <w:pageBreakBefore w:val="0"/>
        <w:widowControl w:val="0"/>
        <w:shd w:val="clear" w:color="auto" w:fill="FFFFFF"/>
        <w:kinsoku/>
        <w:wordWrap/>
        <w:overflowPunct/>
        <w:topLinePunct w:val="0"/>
        <w:autoSpaceDE w:val="0"/>
        <w:autoSpaceDN w:val="0"/>
        <w:bidi w:val="0"/>
        <w:snapToGrid/>
        <w:spacing w:line="420" w:lineRule="exact"/>
        <w:ind w:left="437" w:leftChars="208" w:firstLine="0" w:firstLineChars="0"/>
        <w:jc w:val="left"/>
        <w:outlineLvl w:val="2"/>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w:t>
      </w:r>
      <w:r>
        <w:rPr>
          <w:rFonts w:hint="eastAsia" w:ascii="宋体" w:hAnsi="宋体" w:cs="宋体"/>
          <w:b/>
          <w:bCs/>
          <w:i w:val="0"/>
          <w:iCs w:val="0"/>
          <w:color w:val="auto"/>
          <w:sz w:val="22"/>
          <w:szCs w:val="22"/>
          <w:highlight w:val="none"/>
          <w:lang w:val="en-US" w:eastAsia="zh-CN"/>
        </w:rPr>
        <w:t>5</w:t>
      </w:r>
      <w:r>
        <w:rPr>
          <w:rFonts w:hint="eastAsia" w:ascii="宋体" w:hAnsi="宋体" w:eastAsia="宋体" w:cs="宋体"/>
          <w:b/>
          <w:bCs/>
          <w:i w:val="0"/>
          <w:iCs w:val="0"/>
          <w:color w:val="auto"/>
          <w:sz w:val="22"/>
          <w:szCs w:val="22"/>
          <w:highlight w:val="none"/>
          <w:lang w:val="en-US" w:eastAsia="zh-CN"/>
        </w:rPr>
        <w:t>.为保证项目环境影响评价技术评估的公平性。乙方同期限内不得承接衢州地区建设项目的</w:t>
      </w:r>
    </w:p>
    <w:p w14:paraId="7CF0C66D">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环境影响评价业务，不得承接衢州地区任何建设项目的环境影响评价业务。</w:t>
      </w:r>
    </w:p>
    <w:p w14:paraId="1899692B">
      <w:pPr>
        <w:keepNext w:val="0"/>
        <w:keepLines w:val="0"/>
        <w:pageBreakBefore w:val="0"/>
        <w:widowControl w:val="0"/>
        <w:kinsoku/>
        <w:wordWrap/>
        <w:overflowPunct/>
        <w:topLinePunct w:val="0"/>
        <w:autoSpaceDE/>
        <w:autoSpaceDN/>
        <w:bidi w:val="0"/>
        <w:adjustRightInd/>
        <w:snapToGrid w:val="0"/>
        <w:spacing w:line="4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三</w:t>
      </w:r>
      <w:r>
        <w:rPr>
          <w:rFonts w:hint="eastAsia" w:ascii="宋体" w:hAnsi="宋体" w:eastAsia="宋体" w:cs="宋体"/>
          <w:b/>
          <w:bCs/>
          <w:color w:val="auto"/>
          <w:sz w:val="22"/>
          <w:szCs w:val="22"/>
          <w:highlight w:val="none"/>
        </w:rPr>
        <w:t xml:space="preserve">、合同金额  </w:t>
      </w:r>
    </w:p>
    <w:p w14:paraId="6BE349DA">
      <w:pPr>
        <w:keepNext w:val="0"/>
        <w:keepLines w:val="0"/>
        <w:pageBreakBefore w:val="0"/>
        <w:widowControl w:val="0"/>
        <w:kinsoku/>
        <w:wordWrap/>
        <w:overflowPunct/>
        <w:topLinePunct w:val="0"/>
        <w:autoSpaceDE/>
        <w:autoSpaceDN/>
        <w:bidi w:val="0"/>
        <w:adjustRightInd/>
        <w:snapToGrid w:val="0"/>
        <w:spacing w:line="4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本合同金额为（大写）：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元整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2EB6A80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b/>
          <w:bCs/>
          <w:color w:val="auto"/>
          <w:szCs w:val="21"/>
          <w:highlight w:val="none"/>
        </w:rPr>
      </w:pPr>
    </w:p>
    <w:p w14:paraId="361ED28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《采购项目清单内容》</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3197"/>
        <w:gridCol w:w="1896"/>
        <w:gridCol w:w="1311"/>
        <w:gridCol w:w="2353"/>
      </w:tblGrid>
      <w:tr w14:paraId="2AF7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7D6604A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2C0A980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服务内容</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7BA383D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中标单价（元）</w:t>
            </w:r>
          </w:p>
        </w:tc>
        <w:tc>
          <w:tcPr>
            <w:tcW w:w="665" w:type="pct"/>
            <w:tcBorders>
              <w:top w:val="single" w:color="auto" w:sz="4" w:space="0"/>
              <w:left w:val="single" w:color="auto" w:sz="4" w:space="0"/>
              <w:bottom w:val="single" w:color="auto" w:sz="4" w:space="0"/>
              <w:right w:val="single" w:color="auto" w:sz="4" w:space="0"/>
            </w:tcBorders>
            <w:noWrap w:val="0"/>
            <w:vAlign w:val="center"/>
          </w:tcPr>
          <w:p w14:paraId="26AE0E0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94" w:type="pct"/>
            <w:tcBorders>
              <w:top w:val="single" w:color="auto" w:sz="4" w:space="0"/>
              <w:left w:val="single" w:color="auto" w:sz="4" w:space="0"/>
              <w:bottom w:val="single" w:color="auto" w:sz="4" w:space="0"/>
              <w:right w:val="single" w:color="auto" w:sz="4" w:space="0"/>
            </w:tcBorders>
            <w:noWrap w:val="0"/>
            <w:vAlign w:val="center"/>
          </w:tcPr>
          <w:p w14:paraId="627F922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中标总价（元）</w:t>
            </w:r>
          </w:p>
        </w:tc>
      </w:tr>
      <w:tr w14:paraId="1C11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2C02DB7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9F6043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环境影响报告书（表）编制规范性检查技术评估</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47C203F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665" w:type="pct"/>
            <w:tcBorders>
              <w:top w:val="single" w:color="auto" w:sz="4" w:space="0"/>
              <w:left w:val="single" w:color="auto" w:sz="4" w:space="0"/>
              <w:bottom w:val="single" w:color="auto" w:sz="4" w:space="0"/>
              <w:right w:val="single" w:color="auto" w:sz="4" w:space="0"/>
            </w:tcBorders>
            <w:noWrap w:val="0"/>
            <w:vAlign w:val="center"/>
          </w:tcPr>
          <w:p w14:paraId="441EBCD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lang w:val="en-US" w:eastAsia="zh-CN"/>
              </w:rPr>
              <w:t>60个</w:t>
            </w:r>
          </w:p>
        </w:tc>
        <w:tc>
          <w:tcPr>
            <w:tcW w:w="1194" w:type="pct"/>
            <w:tcBorders>
              <w:top w:val="single" w:color="auto" w:sz="4" w:space="0"/>
              <w:left w:val="single" w:color="auto" w:sz="4" w:space="0"/>
              <w:bottom w:val="single" w:color="auto" w:sz="4" w:space="0"/>
              <w:right w:val="single" w:color="auto" w:sz="4" w:space="0"/>
            </w:tcBorders>
            <w:noWrap w:val="0"/>
            <w:vAlign w:val="center"/>
          </w:tcPr>
          <w:p w14:paraId="237058C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r>
      <w:tr w14:paraId="642B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78BE864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777683A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环保决策咨询</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7815FC0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665" w:type="pct"/>
            <w:tcBorders>
              <w:top w:val="single" w:color="auto" w:sz="4" w:space="0"/>
              <w:left w:val="single" w:color="auto" w:sz="4" w:space="0"/>
              <w:bottom w:val="single" w:color="auto" w:sz="4" w:space="0"/>
              <w:right w:val="single" w:color="auto" w:sz="4" w:space="0"/>
            </w:tcBorders>
            <w:noWrap w:val="0"/>
            <w:vAlign w:val="center"/>
          </w:tcPr>
          <w:p w14:paraId="2607C9C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lang w:val="en-US" w:eastAsia="zh-CN"/>
              </w:rPr>
              <w:t>10个</w:t>
            </w:r>
          </w:p>
        </w:tc>
        <w:tc>
          <w:tcPr>
            <w:tcW w:w="1194" w:type="pct"/>
            <w:tcBorders>
              <w:top w:val="single" w:color="auto" w:sz="4" w:space="0"/>
              <w:left w:val="single" w:color="auto" w:sz="4" w:space="0"/>
              <w:bottom w:val="single" w:color="auto" w:sz="4" w:space="0"/>
              <w:right w:val="single" w:color="auto" w:sz="4" w:space="0"/>
            </w:tcBorders>
            <w:noWrap w:val="0"/>
            <w:vAlign w:val="center"/>
          </w:tcPr>
          <w:p w14:paraId="613D478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r>
      <w:tr w14:paraId="2320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4BD0A4C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2EE78B8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rPr>
              <w:t>环评质量技术复核服务</w:t>
            </w:r>
          </w:p>
        </w:tc>
        <w:tc>
          <w:tcPr>
            <w:tcW w:w="962" w:type="pct"/>
            <w:tcBorders>
              <w:top w:val="single" w:color="auto" w:sz="4" w:space="0"/>
              <w:left w:val="single" w:color="auto" w:sz="4" w:space="0"/>
              <w:bottom w:val="single" w:color="auto" w:sz="4" w:space="0"/>
              <w:right w:val="single" w:color="auto" w:sz="4" w:space="0"/>
            </w:tcBorders>
            <w:noWrap w:val="0"/>
            <w:vAlign w:val="center"/>
          </w:tcPr>
          <w:p w14:paraId="2496A10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665" w:type="pct"/>
            <w:tcBorders>
              <w:top w:val="single" w:color="auto" w:sz="4" w:space="0"/>
              <w:left w:val="single" w:color="auto" w:sz="4" w:space="0"/>
              <w:bottom w:val="single" w:color="auto" w:sz="4" w:space="0"/>
              <w:right w:val="single" w:color="auto" w:sz="4" w:space="0"/>
            </w:tcBorders>
            <w:noWrap w:val="0"/>
            <w:vAlign w:val="center"/>
          </w:tcPr>
          <w:p w14:paraId="64F3678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约</w:t>
            </w:r>
            <w:r>
              <w:rPr>
                <w:rFonts w:hint="eastAsia" w:ascii="宋体" w:hAnsi="宋体" w:eastAsia="宋体" w:cs="宋体"/>
                <w:color w:val="auto"/>
                <w:szCs w:val="21"/>
                <w:highlight w:val="none"/>
                <w:lang w:val="en-US" w:eastAsia="zh-CN"/>
              </w:rPr>
              <w:t>150个</w:t>
            </w:r>
          </w:p>
        </w:tc>
        <w:tc>
          <w:tcPr>
            <w:tcW w:w="1194" w:type="pct"/>
            <w:tcBorders>
              <w:top w:val="single" w:color="auto" w:sz="4" w:space="0"/>
              <w:left w:val="single" w:color="auto" w:sz="4" w:space="0"/>
              <w:bottom w:val="single" w:color="auto" w:sz="4" w:space="0"/>
              <w:right w:val="single" w:color="auto" w:sz="4" w:space="0"/>
            </w:tcBorders>
            <w:noWrap w:val="0"/>
            <w:vAlign w:val="center"/>
          </w:tcPr>
          <w:p w14:paraId="05A9350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r>
      <w:tr w14:paraId="3686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554" w:type="pct"/>
            <w:tcBorders>
              <w:top w:val="single" w:color="auto" w:sz="4" w:space="0"/>
              <w:left w:val="single" w:color="auto" w:sz="4" w:space="0"/>
              <w:bottom w:val="single" w:color="auto" w:sz="4" w:space="0"/>
              <w:right w:val="single" w:color="auto" w:sz="4" w:space="0"/>
            </w:tcBorders>
            <w:noWrap w:val="0"/>
            <w:vAlign w:val="center"/>
          </w:tcPr>
          <w:p w14:paraId="4ED3BD0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2A2E3A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noWrap w:val="0"/>
            <w:vAlign w:val="center"/>
          </w:tcPr>
          <w:p w14:paraId="6CE63AC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665" w:type="pct"/>
            <w:tcBorders>
              <w:top w:val="single" w:color="auto" w:sz="4" w:space="0"/>
              <w:left w:val="single" w:color="auto" w:sz="4" w:space="0"/>
              <w:bottom w:val="single" w:color="auto" w:sz="4" w:space="0"/>
              <w:right w:val="single" w:color="auto" w:sz="4" w:space="0"/>
            </w:tcBorders>
            <w:noWrap w:val="0"/>
            <w:vAlign w:val="center"/>
          </w:tcPr>
          <w:p w14:paraId="6F61280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1194" w:type="pct"/>
            <w:tcBorders>
              <w:top w:val="single" w:color="auto" w:sz="4" w:space="0"/>
              <w:left w:val="single" w:color="auto" w:sz="4" w:space="0"/>
              <w:bottom w:val="single" w:color="auto" w:sz="4" w:space="0"/>
              <w:right w:val="single" w:color="auto" w:sz="4" w:space="0"/>
            </w:tcBorders>
            <w:noWrap w:val="0"/>
            <w:vAlign w:val="center"/>
          </w:tcPr>
          <w:p w14:paraId="1A2D9EE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p>
        </w:tc>
      </w:tr>
    </w:tbl>
    <w:p w14:paraId="4D3B8A43">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注：1.</w:t>
      </w:r>
      <w:r>
        <w:rPr>
          <w:rFonts w:hint="eastAsia" w:ascii="宋体" w:hAnsi="宋体" w:eastAsia="宋体" w:cs="宋体"/>
          <w:b w:val="0"/>
          <w:bCs w:val="0"/>
          <w:i w:val="0"/>
          <w:iCs w:val="0"/>
          <w:color w:val="auto"/>
          <w:kern w:val="2"/>
          <w:sz w:val="22"/>
          <w:szCs w:val="22"/>
          <w:highlight w:val="none"/>
          <w:lang w:val="en-US" w:eastAsia="zh-CN" w:bidi="ar-SA"/>
        </w:rPr>
        <w:t>以上价格是履行合同的最终价格，包括但不限于</w:t>
      </w:r>
      <w:r>
        <w:rPr>
          <w:rFonts w:hint="default" w:ascii="宋体" w:hAnsi="宋体" w:eastAsia="宋体" w:cs="宋体"/>
          <w:b w:val="0"/>
          <w:bCs w:val="0"/>
          <w:i w:val="0"/>
          <w:iCs w:val="0"/>
          <w:color w:val="auto"/>
          <w:kern w:val="2"/>
          <w:sz w:val="22"/>
          <w:szCs w:val="22"/>
          <w:highlight w:val="none"/>
          <w:lang w:val="en-US" w:eastAsia="zh-CN" w:bidi="ar-SA"/>
        </w:rPr>
        <w:t>项目评估文件编制</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交通费</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资料费</w:t>
      </w:r>
      <w:r>
        <w:rPr>
          <w:rFonts w:hint="eastAsia" w:ascii="宋体" w:hAnsi="宋体" w:eastAsia="宋体" w:cs="宋体"/>
          <w:b w:val="0"/>
          <w:bCs w:val="0"/>
          <w:i w:val="0"/>
          <w:iCs w:val="0"/>
          <w:color w:val="auto"/>
          <w:kern w:val="2"/>
          <w:sz w:val="22"/>
          <w:szCs w:val="22"/>
          <w:highlight w:val="none"/>
          <w:lang w:val="en-US" w:eastAsia="zh-CN" w:bidi="ar-SA"/>
        </w:rPr>
        <w:t>、人工费、车辆费用、办公费用、工作过程的修改、提供深化整合和优化的技术服务费用、项目咨询费（含</w:t>
      </w:r>
      <w:r>
        <w:rPr>
          <w:rFonts w:hint="default" w:ascii="宋体" w:hAnsi="宋体" w:eastAsia="宋体" w:cs="宋体"/>
          <w:b w:val="0"/>
          <w:bCs w:val="0"/>
          <w:i w:val="0"/>
          <w:iCs w:val="0"/>
          <w:color w:val="auto"/>
          <w:kern w:val="2"/>
          <w:sz w:val="22"/>
          <w:szCs w:val="22"/>
          <w:highlight w:val="none"/>
          <w:lang w:val="en-US" w:eastAsia="zh-CN" w:bidi="ar-SA"/>
        </w:rPr>
        <w:t>决策建议</w:t>
      </w:r>
      <w:r>
        <w:rPr>
          <w:rFonts w:hint="eastAsia" w:ascii="宋体" w:hAnsi="宋体" w:eastAsia="宋体" w:cs="宋体"/>
          <w:b w:val="0"/>
          <w:bCs w:val="0"/>
          <w:i w:val="0"/>
          <w:iCs w:val="0"/>
          <w:color w:val="auto"/>
          <w:kern w:val="2"/>
          <w:sz w:val="22"/>
          <w:szCs w:val="22"/>
          <w:highlight w:val="none"/>
          <w:lang w:val="en-US" w:eastAsia="zh-CN" w:bidi="ar-SA"/>
        </w:rPr>
        <w:t>等）及与项目有关的专家评议评审费用、</w:t>
      </w:r>
      <w:r>
        <w:rPr>
          <w:rFonts w:hint="default" w:ascii="宋体" w:hAnsi="宋体" w:eastAsia="宋体" w:cs="宋体"/>
          <w:b w:val="0"/>
          <w:bCs w:val="0"/>
          <w:i w:val="0"/>
          <w:iCs w:val="0"/>
          <w:color w:val="auto"/>
          <w:kern w:val="2"/>
          <w:sz w:val="22"/>
          <w:szCs w:val="22"/>
          <w:highlight w:val="none"/>
          <w:lang w:val="en-US" w:eastAsia="zh-CN" w:bidi="ar-SA"/>
        </w:rPr>
        <w:t>会务费（含住宿、会场租用等）</w:t>
      </w:r>
      <w:r>
        <w:rPr>
          <w:rFonts w:hint="eastAsia" w:ascii="宋体" w:hAnsi="宋体" w:eastAsia="宋体" w:cs="宋体"/>
          <w:b w:val="0"/>
          <w:bCs w:val="0"/>
          <w:i w:val="0"/>
          <w:iCs w:val="0"/>
          <w:color w:val="auto"/>
          <w:kern w:val="2"/>
          <w:sz w:val="22"/>
          <w:szCs w:val="22"/>
          <w:highlight w:val="none"/>
          <w:lang w:val="en-US" w:eastAsia="zh-CN" w:bidi="ar-SA"/>
        </w:rPr>
        <w:t>后期有关本项目的服务咨询、保险费、税金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4EBC0E32">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2.以上工作量采用单价按实结算，但最终结算总价不超合同总价。</w:t>
      </w:r>
      <w:r>
        <w:rPr>
          <w:rFonts w:hint="eastAsia" w:ascii="宋体" w:hAnsi="宋体" w:cs="宋体"/>
          <w:b/>
          <w:bCs/>
          <w:color w:val="auto"/>
          <w:sz w:val="22"/>
          <w:szCs w:val="22"/>
          <w:highlight w:val="none"/>
          <w:lang w:val="en-US" w:eastAsia="zh-CN"/>
        </w:rPr>
        <w:br w:type="textWrapping"/>
      </w:r>
      <w:r>
        <w:rPr>
          <w:rFonts w:hint="eastAsia" w:ascii="宋体" w:hAnsi="宋体" w:eastAsia="宋体" w:cs="宋体"/>
          <w:b/>
          <w:bCs/>
          <w:color w:val="auto"/>
          <w:sz w:val="22"/>
          <w:szCs w:val="22"/>
          <w:highlight w:val="none"/>
        </w:rPr>
        <w:t>三、技术资料</w:t>
      </w:r>
    </w:p>
    <w:p w14:paraId="3AE2752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乙方应按招标文件规定的时间向甲方提供有关技术资料。</w:t>
      </w:r>
    </w:p>
    <w:p w14:paraId="68D4660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没有甲方事先同意，乙方不得将由甲方提供的有关合同或任何合同条文、资料、计划等提供给与履行本合同无关的任何其他人。</w:t>
      </w:r>
    </w:p>
    <w:p w14:paraId="1FCD5C24">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四、知识产权归属</w:t>
      </w:r>
    </w:p>
    <w:p w14:paraId="3827FDBC">
      <w:pPr>
        <w:tabs>
          <w:tab w:val="left" w:pos="7280"/>
        </w:tabs>
        <w:spacing w:line="360" w:lineRule="exact"/>
        <w:ind w:firstLine="440" w:firstLineChars="200"/>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lang w:val="en-US" w:eastAsia="zh-CN"/>
        </w:rPr>
        <w:t>1.</w:t>
      </w:r>
      <w:r>
        <w:rPr>
          <w:rFonts w:hint="eastAsia" w:ascii="宋体" w:hAnsi="宋体"/>
          <w:snapToGrid w:val="0"/>
          <w:color w:val="auto"/>
          <w:kern w:val="0"/>
          <w:sz w:val="22"/>
          <w:szCs w:val="22"/>
          <w:highlight w:val="none"/>
        </w:rPr>
        <w:t>评估报告的所有权和使用权均属于</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w:t>
      </w:r>
      <w:r>
        <w:rPr>
          <w:rFonts w:hint="eastAsia" w:ascii="宋体" w:hAnsi="宋体"/>
          <w:snapToGrid w:val="0"/>
          <w:color w:val="auto"/>
          <w:kern w:val="0"/>
          <w:sz w:val="22"/>
          <w:szCs w:val="22"/>
          <w:highlight w:val="none"/>
          <w:lang w:eastAsia="zh-CN"/>
        </w:rPr>
        <w:t>乙方</w:t>
      </w:r>
      <w:r>
        <w:rPr>
          <w:rFonts w:hint="eastAsia" w:ascii="宋体" w:hAnsi="宋体"/>
          <w:snapToGrid w:val="0"/>
          <w:color w:val="auto"/>
          <w:kern w:val="0"/>
          <w:sz w:val="22"/>
          <w:szCs w:val="22"/>
          <w:highlight w:val="none"/>
        </w:rPr>
        <w:t>不得以任何理由留存，否则承担由此产生的一切法律和经济责任。未经</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书面同意，任何单位和个人不得转让和使用本项目成果。</w:t>
      </w:r>
    </w:p>
    <w:p w14:paraId="1EFB5093">
      <w:pPr>
        <w:widowControl/>
        <w:spacing w:line="380" w:lineRule="exact"/>
        <w:ind w:left="218" w:leftChars="104"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乙方应保证提供服务过程中不会侵犯任何第三方的知识产权。</w:t>
      </w:r>
      <w:r>
        <w:rPr>
          <w:rFonts w:hint="eastAsia" w:ascii="宋体" w:hAnsi="宋体" w:eastAsia="宋体" w:cs="宋体"/>
          <w:color w:val="auto"/>
          <w:kern w:val="0"/>
          <w:sz w:val="22"/>
          <w:szCs w:val="22"/>
          <w:highlight w:val="none"/>
        </w:rPr>
        <w:br w:type="textWrapping"/>
      </w:r>
      <w:r>
        <w:rPr>
          <w:rFonts w:hint="eastAsia" w:ascii="宋体" w:hAnsi="宋体" w:eastAsia="宋体" w:cs="宋体"/>
          <w:b/>
          <w:bCs/>
          <w:color w:val="auto"/>
          <w:sz w:val="22"/>
          <w:szCs w:val="22"/>
          <w:highlight w:val="none"/>
          <w:lang w:eastAsia="zh-CN"/>
        </w:rPr>
        <w:t>五、</w:t>
      </w:r>
      <w:r>
        <w:rPr>
          <w:rFonts w:hint="eastAsia" w:ascii="宋体" w:hAnsi="宋体" w:eastAsia="宋体" w:cs="宋体"/>
          <w:b/>
          <w:bCs/>
          <w:color w:val="auto"/>
          <w:sz w:val="22"/>
          <w:szCs w:val="22"/>
          <w:highlight w:val="none"/>
        </w:rPr>
        <w:t>资料档案及保密要求</w:t>
      </w:r>
    </w:p>
    <w:p w14:paraId="7B98746F">
      <w:pPr>
        <w:widowControl/>
        <w:spacing w:line="38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应当对全部作业情况建立完整的电子档案资料，在合同正常终止后全部移交给</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保管。</w:t>
      </w:r>
    </w:p>
    <w:p w14:paraId="4565BE18">
      <w:pPr>
        <w:widowControl/>
        <w:spacing w:line="380" w:lineRule="exact"/>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与本项目有关的资料及数据中涉及国家保密的内容，均要求按照《国家保密法》及相关法律法规执行。</w:t>
      </w:r>
    </w:p>
    <w:p w14:paraId="6DC0D10E">
      <w:pPr>
        <w:widowControl/>
        <w:spacing w:line="380" w:lineRule="exact"/>
        <w:ind w:firstLine="420"/>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乙方</w:t>
      </w:r>
      <w:r>
        <w:rPr>
          <w:rFonts w:hint="eastAsia" w:ascii="宋体" w:hAnsi="宋体" w:cs="宋体"/>
          <w:color w:val="auto"/>
          <w:sz w:val="22"/>
          <w:szCs w:val="22"/>
          <w:highlight w:val="none"/>
        </w:rPr>
        <w:t>应遵守相关保密法律、法规，确保</w:t>
      </w:r>
      <w:r>
        <w:rPr>
          <w:rFonts w:hint="eastAsia" w:ascii="宋体" w:hAnsi="宋体" w:cs="宋体"/>
          <w:color w:val="auto"/>
          <w:sz w:val="22"/>
          <w:szCs w:val="22"/>
          <w:highlight w:val="none"/>
          <w:lang w:eastAsia="zh-CN"/>
        </w:rPr>
        <w:t>甲方</w:t>
      </w:r>
      <w:r>
        <w:rPr>
          <w:rFonts w:hint="eastAsia" w:ascii="宋体" w:hAnsi="宋体" w:cs="宋体"/>
          <w:color w:val="auto"/>
          <w:sz w:val="22"/>
          <w:szCs w:val="22"/>
          <w:highlight w:val="none"/>
        </w:rPr>
        <w:t>及项目建设方和环评技术文件编制方的信息安全。</w:t>
      </w:r>
    </w:p>
    <w:p w14:paraId="1577AA21">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六</w:t>
      </w:r>
      <w:r>
        <w:rPr>
          <w:rFonts w:hint="eastAsia" w:ascii="宋体" w:hAnsi="宋体" w:eastAsia="宋体" w:cs="宋体"/>
          <w:b/>
          <w:bCs/>
          <w:color w:val="auto"/>
          <w:sz w:val="22"/>
          <w:szCs w:val="22"/>
          <w:highlight w:val="none"/>
        </w:rPr>
        <w:t>、转包或分包</w:t>
      </w:r>
    </w:p>
    <w:p w14:paraId="555028B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除非得到甲方的书面同意，乙方不得将本合同范围的服务全部或部分分包给他人供应；</w:t>
      </w:r>
    </w:p>
    <w:p w14:paraId="568807AB">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如有转让和未经甲方同意的分包行为，甲方有权解除合同，没收履约保证金并追究乙方的违约责任。</w:t>
      </w:r>
    </w:p>
    <w:p w14:paraId="036DB3DF">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七</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履行时间、履行地点</w:t>
      </w:r>
    </w:p>
    <w:p w14:paraId="1E498C08">
      <w:pPr>
        <w:keepNext w:val="0"/>
        <w:keepLines w:val="0"/>
        <w:pageBreakBefore w:val="0"/>
        <w:widowControl w:val="0"/>
        <w:kinsoku/>
        <w:wordWrap/>
        <w:overflowPunct/>
        <w:topLinePunct w:val="0"/>
        <w:autoSpaceDE/>
        <w:autoSpaceDN/>
        <w:bidi w:val="0"/>
        <w:adjustRightInd/>
        <w:snapToGrid w:val="0"/>
        <w:spacing w:line="400" w:lineRule="exact"/>
        <w:ind w:left="437" w:leftChars="208"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履行时间</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一年（</w:t>
      </w:r>
      <w:r>
        <w:rPr>
          <w:rFonts w:hint="eastAsia" w:ascii="宋体" w:hAnsi="宋体" w:cs="宋体"/>
          <w:i w:val="0"/>
          <w:iCs w:val="0"/>
          <w:color w:val="auto"/>
          <w:sz w:val="22"/>
          <w:szCs w:val="22"/>
          <w:highlight w:val="none"/>
          <w:lang w:eastAsia="zh-CN"/>
        </w:rPr>
        <w:t>2025年8月1日—2026年7月31日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br w:type="textWrapping"/>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履行地点：</w:t>
      </w:r>
      <w:r>
        <w:rPr>
          <w:rFonts w:hint="eastAsia" w:ascii="宋体" w:hAnsi="宋体"/>
          <w:snapToGrid w:val="0"/>
          <w:color w:val="auto"/>
          <w:kern w:val="0"/>
          <w:sz w:val="22"/>
          <w:szCs w:val="22"/>
          <w:highlight w:val="none"/>
          <w:lang w:eastAsia="zh-CN"/>
        </w:rPr>
        <w:t>甲方</w:t>
      </w:r>
      <w:r>
        <w:rPr>
          <w:rFonts w:hint="eastAsia" w:ascii="宋体" w:hAnsi="宋体"/>
          <w:snapToGrid w:val="0"/>
          <w:color w:val="auto"/>
          <w:kern w:val="0"/>
          <w:sz w:val="22"/>
          <w:szCs w:val="22"/>
          <w:highlight w:val="none"/>
        </w:rPr>
        <w:t>指定地点</w:t>
      </w:r>
      <w:r>
        <w:rPr>
          <w:rFonts w:hint="eastAsia" w:ascii="宋体" w:hAnsi="宋体"/>
          <w:snapToGrid w:val="0"/>
          <w:color w:val="auto"/>
          <w:kern w:val="0"/>
          <w:sz w:val="22"/>
          <w:szCs w:val="22"/>
          <w:highlight w:val="none"/>
          <w:lang w:eastAsia="zh-CN"/>
        </w:rPr>
        <w:t>。</w:t>
      </w:r>
    </w:p>
    <w:p w14:paraId="5BEC022F">
      <w:pPr>
        <w:snapToGrid w:val="0"/>
        <w:spacing w:line="38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八</w:t>
      </w:r>
      <w:r>
        <w:rPr>
          <w:rFonts w:hint="eastAsia" w:ascii="宋体" w:hAnsi="宋体" w:eastAsia="宋体" w:cs="宋体"/>
          <w:b/>
          <w:bCs/>
          <w:color w:val="auto"/>
          <w:sz w:val="22"/>
          <w:szCs w:val="22"/>
          <w:highlight w:val="none"/>
        </w:rPr>
        <w:t>、</w:t>
      </w:r>
      <w:r>
        <w:rPr>
          <w:rFonts w:hint="eastAsia" w:ascii="宋体" w:hAnsi="宋体" w:cs="宋体"/>
          <w:b/>
          <w:color w:val="auto"/>
          <w:sz w:val="22"/>
          <w:szCs w:val="22"/>
          <w:highlight w:val="none"/>
        </w:rPr>
        <w:t>付款</w:t>
      </w:r>
      <w:r>
        <w:rPr>
          <w:rFonts w:hint="eastAsia" w:ascii="宋体" w:hAnsi="宋体" w:cs="宋体"/>
          <w:b/>
          <w:color w:val="auto"/>
          <w:sz w:val="22"/>
          <w:szCs w:val="22"/>
          <w:highlight w:val="none"/>
          <w:lang w:eastAsia="zh-CN"/>
        </w:rPr>
        <w:t>与结算</w:t>
      </w:r>
      <w:r>
        <w:rPr>
          <w:rFonts w:hint="eastAsia" w:ascii="宋体" w:hAnsi="宋体" w:cs="宋体"/>
          <w:b/>
          <w:color w:val="auto"/>
          <w:sz w:val="22"/>
          <w:szCs w:val="22"/>
          <w:highlight w:val="none"/>
        </w:rPr>
        <w:t>方式</w:t>
      </w:r>
    </w:p>
    <w:p w14:paraId="537791F0">
      <w:pPr>
        <w:keepNext w:val="0"/>
        <w:keepLines w:val="0"/>
        <w:pageBreakBefore w:val="0"/>
        <w:widowControl/>
        <w:kinsoku/>
        <w:wordWrap/>
        <w:overflowPunct/>
        <w:topLinePunct w:val="0"/>
        <w:autoSpaceDE/>
        <w:autoSpaceDN/>
        <w:bidi w:val="0"/>
        <w:adjustRightInd/>
        <w:snapToGrid/>
        <w:spacing w:line="420" w:lineRule="exact"/>
        <w:ind w:firstLine="440" w:firstLineChars="200"/>
        <w:textAlignment w:val="auto"/>
        <w:rPr>
          <w:rFonts w:ascii="新宋体" w:hAnsi="新宋体" w:eastAsia="新宋体"/>
          <w:color w:val="auto"/>
          <w:sz w:val="24"/>
          <w:szCs w:val="24"/>
          <w:highlight w:val="yellow"/>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val="zh-CN" w:eastAsia="zh-CN"/>
        </w:rPr>
        <w:t>合同生效以及具备实施条件后7个工作日内支付</w:t>
      </w:r>
      <w:r>
        <w:rPr>
          <w:rFonts w:hint="eastAsia" w:ascii="宋体" w:hAnsi="宋体" w:cs="宋体"/>
          <w:color w:val="auto"/>
          <w:kern w:val="0"/>
          <w:sz w:val="22"/>
          <w:szCs w:val="22"/>
          <w:highlight w:val="none"/>
          <w:lang w:val="en-US" w:eastAsia="zh-CN"/>
        </w:rPr>
        <w:t>合同总价的40%</w:t>
      </w:r>
      <w:r>
        <w:rPr>
          <w:rFonts w:hint="eastAsia" w:ascii="宋体" w:hAnsi="宋体" w:eastAsia="宋体" w:cs="宋体"/>
          <w:color w:val="auto"/>
          <w:kern w:val="0"/>
          <w:sz w:val="22"/>
          <w:szCs w:val="22"/>
          <w:highlight w:val="none"/>
          <w:lang w:val="zh-CN" w:eastAsia="zh-CN"/>
        </w:rPr>
        <w:t>作为预付款，项目合同期截止后7个工作日内支付剩余价款。</w:t>
      </w:r>
      <w:r>
        <w:rPr>
          <w:rFonts w:hint="eastAsia" w:ascii="新宋体" w:hAnsi="新宋体" w:eastAsia="新宋体"/>
          <w:color w:val="auto"/>
          <w:sz w:val="24"/>
          <w:szCs w:val="24"/>
          <w:highlight w:val="none"/>
          <w:lang w:val="en-US" w:eastAsia="zh-CN"/>
        </w:rPr>
        <w:t>（</w:t>
      </w:r>
      <w:r>
        <w:rPr>
          <w:rFonts w:hint="eastAsia" w:ascii="宋体" w:hAnsi="宋体" w:eastAsia="宋体" w:cs="宋体"/>
          <w:color w:val="auto"/>
          <w:kern w:val="0"/>
          <w:sz w:val="22"/>
          <w:szCs w:val="22"/>
          <w:highlight w:val="none"/>
          <w:lang w:val="zh-CN" w:eastAsia="zh-CN"/>
        </w:rPr>
        <w:t>剩余价款</w:t>
      </w:r>
      <w:r>
        <w:rPr>
          <w:rFonts w:hint="eastAsia" w:ascii="宋体" w:hAnsi="宋体" w:eastAsia="宋体" w:cs="宋体"/>
          <w:color w:val="auto"/>
          <w:kern w:val="0"/>
          <w:sz w:val="22"/>
          <w:szCs w:val="22"/>
          <w:highlight w:val="none"/>
          <w:lang w:val="en-US" w:eastAsia="zh-CN"/>
        </w:rPr>
        <w:t>=</w:t>
      </w:r>
      <w:r>
        <w:rPr>
          <w:rFonts w:hint="eastAsia" w:ascii="新宋体" w:hAnsi="新宋体" w:eastAsia="新宋体"/>
          <w:color w:val="auto"/>
          <w:sz w:val="24"/>
          <w:szCs w:val="24"/>
          <w:highlight w:val="none"/>
          <w:lang w:val="en-US" w:eastAsia="zh-CN"/>
        </w:rPr>
        <w:t>全年实际评估项目数*各项单价-预付款）。</w:t>
      </w:r>
      <w:r>
        <w:rPr>
          <w:rFonts w:hint="eastAsia" w:ascii="新宋体" w:hAnsi="新宋体" w:eastAsia="新宋体"/>
          <w:color w:val="auto"/>
          <w:sz w:val="24"/>
          <w:szCs w:val="24"/>
          <w:highlight w:val="none"/>
        </w:rPr>
        <w:br w:type="textWrapping"/>
      </w:r>
      <w:r>
        <w:rPr>
          <w:rFonts w:hint="eastAsia" w:ascii="新宋体" w:hAnsi="新宋体" w:eastAsia="新宋体"/>
          <w:color w:val="auto"/>
          <w:sz w:val="24"/>
          <w:szCs w:val="24"/>
          <w:highlight w:val="none"/>
          <w:lang w:val="en-US" w:eastAsia="zh-CN"/>
        </w:rPr>
        <w:t xml:space="preserve">   2.</w:t>
      </w:r>
      <w:r>
        <w:rPr>
          <w:rFonts w:hint="eastAsia" w:ascii="宋体" w:hAnsi="宋体" w:cs="宋体"/>
          <w:b/>
          <w:bCs/>
          <w:color w:val="auto"/>
          <w:sz w:val="22"/>
          <w:szCs w:val="22"/>
          <w:highlight w:val="none"/>
          <w:lang w:val="en-US" w:eastAsia="zh-CN"/>
        </w:rPr>
        <w:t>工作量采用单价按实结算，但最终结算总价不超合同总价。</w:t>
      </w:r>
      <w:r>
        <w:rPr>
          <w:rFonts w:hint="eastAsia" w:ascii="宋体" w:hAnsi="宋体" w:cs="宋体"/>
          <w:b/>
          <w:bCs/>
          <w:color w:val="auto"/>
          <w:sz w:val="22"/>
          <w:szCs w:val="22"/>
          <w:highlight w:val="none"/>
          <w:lang w:val="en-US" w:eastAsia="zh-CN"/>
        </w:rPr>
        <w:br w:type="textWrapping"/>
      </w:r>
      <w:r>
        <w:rPr>
          <w:rFonts w:hint="eastAsia" w:ascii="宋体" w:hAnsi="宋体" w:cs="宋体"/>
          <w:b/>
          <w:bCs/>
          <w:color w:val="auto"/>
          <w:sz w:val="22"/>
          <w:szCs w:val="22"/>
          <w:highlight w:val="none"/>
          <w:lang w:val="en-US" w:eastAsia="zh-CN"/>
        </w:rPr>
        <w:t xml:space="preserve">   </w:t>
      </w:r>
      <w:r>
        <w:rPr>
          <w:rFonts w:hint="eastAsia" w:ascii="新宋体" w:hAnsi="新宋体" w:eastAsia="新宋体"/>
          <w:color w:val="auto"/>
          <w:sz w:val="24"/>
          <w:szCs w:val="24"/>
          <w:highlight w:val="none"/>
        </w:rPr>
        <w:t>3.每笔款</w:t>
      </w:r>
      <w:r>
        <w:rPr>
          <w:rFonts w:hint="eastAsia" w:ascii="新宋体" w:hAnsi="新宋体" w:eastAsia="新宋体"/>
          <w:color w:val="auto"/>
          <w:sz w:val="24"/>
          <w:szCs w:val="24"/>
          <w:highlight w:val="none"/>
          <w:lang w:eastAsia="zh-CN"/>
        </w:rPr>
        <w:t>项支付</w:t>
      </w:r>
      <w:r>
        <w:rPr>
          <w:rFonts w:hint="eastAsia" w:ascii="新宋体" w:hAnsi="新宋体" w:eastAsia="新宋体"/>
          <w:color w:val="auto"/>
          <w:sz w:val="24"/>
          <w:szCs w:val="24"/>
          <w:highlight w:val="none"/>
        </w:rPr>
        <w:t>前须提供税务正式发票及采购人要求的相关结款所需资料。</w:t>
      </w:r>
    </w:p>
    <w:p w14:paraId="45EA9A73">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九</w:t>
      </w:r>
      <w:r>
        <w:rPr>
          <w:rFonts w:hint="eastAsia" w:ascii="宋体" w:hAnsi="宋体" w:eastAsia="宋体" w:cs="宋体"/>
          <w:b/>
          <w:bCs/>
          <w:color w:val="auto"/>
          <w:sz w:val="22"/>
          <w:szCs w:val="22"/>
          <w:highlight w:val="none"/>
        </w:rPr>
        <w:t>、税费</w:t>
      </w:r>
    </w:p>
    <w:p w14:paraId="58CC106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07379597">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十</w:t>
      </w:r>
      <w:r>
        <w:rPr>
          <w:rFonts w:hint="eastAsia" w:ascii="宋体" w:hAnsi="宋体" w:eastAsia="宋体" w:cs="宋体"/>
          <w:b/>
          <w:bCs/>
          <w:color w:val="auto"/>
          <w:sz w:val="22"/>
          <w:szCs w:val="22"/>
          <w:highlight w:val="none"/>
        </w:rPr>
        <w:t>、质量保证及后续服务</w:t>
      </w:r>
    </w:p>
    <w:p w14:paraId="084D7C62">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乙方应按招标文件规定向甲方提供服务，针对履约过程中发生的各类事件应友好协商、妥善解决。</w:t>
      </w:r>
    </w:p>
    <w:p w14:paraId="75D2738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default"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乙方提供的服务成果在服务质量保证期内发生故障，乙方应负责免费提供后续服务。对达不到要求者，根据实际情况，经双方协商，可按以下办法处理：</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（1）</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 xml:space="preserve">  </w:t>
      </w:r>
    </w:p>
    <w:p w14:paraId="7164646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（1）重做：由乙方承担所发生的全部费用。</w:t>
      </w:r>
    </w:p>
    <w:p w14:paraId="1C219DA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（2）贬值处理：由甲乙双方合议定价。</w:t>
      </w:r>
    </w:p>
    <w:p w14:paraId="668E248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（3）解除合同。</w:t>
      </w:r>
    </w:p>
    <w:p w14:paraId="59F68B47">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如在使用过程中发生问题，乙方在接到甲方通知后在1小时内到达甲方现场。</w:t>
      </w:r>
    </w:p>
    <w:p w14:paraId="395359C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在服务质量保证期内，乙方应对服务出现的质量及安全问题负责处理解决并承担一切费用。</w:t>
      </w:r>
    </w:p>
    <w:p w14:paraId="5C2EC8D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5.服务期内发生重大错误或被上级单位通报的，将扣除服务费的5%。</w:t>
      </w:r>
    </w:p>
    <w:p w14:paraId="4C062A59">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一</w:t>
      </w:r>
      <w:r>
        <w:rPr>
          <w:rFonts w:hint="eastAsia" w:ascii="宋体" w:hAnsi="宋体" w:eastAsia="宋体" w:cs="宋体"/>
          <w:b/>
          <w:bCs/>
          <w:color w:val="auto"/>
          <w:sz w:val="22"/>
          <w:szCs w:val="22"/>
          <w:highlight w:val="none"/>
        </w:rPr>
        <w:t>、违约责任</w:t>
      </w:r>
    </w:p>
    <w:p w14:paraId="1D433E70">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乙</w:t>
      </w:r>
      <w:r>
        <w:rPr>
          <w:rFonts w:hint="eastAsia" w:ascii="宋体" w:hAnsi="宋体" w:eastAsia="宋体" w:cs="宋体"/>
          <w:color w:val="auto"/>
          <w:sz w:val="22"/>
          <w:szCs w:val="22"/>
          <w:highlight w:val="none"/>
          <w:lang w:val="en-US" w:eastAsia="zh-CN"/>
        </w:rPr>
        <w:t>方不能如约提供服务保障，因审核把关不严，</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在日常监督检查过程中发现经批准的委托评估项目环评存在严重质量问题的，</w:t>
      </w:r>
      <w:r>
        <w:rPr>
          <w:rFonts w:hint="eastAsia" w:ascii="宋体" w:hAnsi="宋体" w:cs="宋体"/>
          <w:color w:val="auto"/>
          <w:sz w:val="22"/>
          <w:szCs w:val="22"/>
          <w:highlight w:val="none"/>
          <w:lang w:val="en-US" w:eastAsia="zh-CN"/>
        </w:rPr>
        <w:t>甲方</w:t>
      </w:r>
      <w:r>
        <w:rPr>
          <w:rFonts w:hint="eastAsia" w:ascii="宋体" w:hAnsi="宋体" w:eastAsia="宋体" w:cs="宋体"/>
          <w:color w:val="auto"/>
          <w:sz w:val="22"/>
          <w:szCs w:val="22"/>
          <w:highlight w:val="none"/>
          <w:lang w:val="en-US" w:eastAsia="zh-CN"/>
        </w:rPr>
        <w:t>按照国家及省相关要求进行处理，发现第一起扣除5万元，累计发现2起，终止合同。</w:t>
      </w:r>
    </w:p>
    <w:p w14:paraId="48E0FC7A">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乙方</w:t>
      </w:r>
      <w:r>
        <w:rPr>
          <w:rFonts w:hint="eastAsia" w:ascii="宋体" w:hAnsi="宋体" w:eastAsia="宋体" w:cs="宋体"/>
          <w:color w:val="auto"/>
          <w:sz w:val="22"/>
          <w:szCs w:val="22"/>
          <w:highlight w:val="none"/>
          <w:lang w:val="en-US" w:eastAsia="zh-CN"/>
        </w:rPr>
        <w:t>因审核把关不严，出具结论不正确、不合理的建设项目评估意见且造成严重环境影响后果的，终止合同。</w:t>
      </w:r>
    </w:p>
    <w:p w14:paraId="13068B3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3.乙方在技术评估工作中弄虚作假被甲方作出行政处罚的，自作出行政处罚决定之日起三年内禁止该机构参与政府采购的生态环境服务项目，同时终止合同。</w:t>
      </w:r>
    </w:p>
    <w:p w14:paraId="179F680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4.甲方无正当理由拒收乙方提供的服务，甲方向乙方偿付拒收服务总值的百分之五违约金。</w:t>
      </w:r>
      <w:r>
        <w:rPr>
          <w:rFonts w:hint="eastAsia" w:ascii="宋体" w:hAnsi="宋体" w:eastAsia="宋体" w:cs="宋体"/>
          <w:b/>
          <w:bCs/>
          <w:color w:val="FF0000"/>
          <w:sz w:val="22"/>
          <w:szCs w:val="22"/>
          <w:highlight w:val="yellow"/>
        </w:rPr>
        <w:br w:type="textWrapping"/>
      </w: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二</w:t>
      </w:r>
      <w:r>
        <w:rPr>
          <w:rFonts w:hint="eastAsia" w:ascii="宋体" w:hAnsi="宋体" w:eastAsia="宋体" w:cs="宋体"/>
          <w:b/>
          <w:bCs/>
          <w:color w:val="auto"/>
          <w:sz w:val="22"/>
          <w:szCs w:val="22"/>
          <w:highlight w:val="none"/>
        </w:rPr>
        <w:t>、不可抗力事件处理</w:t>
      </w:r>
    </w:p>
    <w:p w14:paraId="3227E42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在合同有效期内，任何一方因不可抗力事件导致不能履行合同，则合同履行期可延长，其延长期与不可抗力影响期相同。</w:t>
      </w:r>
    </w:p>
    <w:p w14:paraId="63EDA2FE">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不可抗力事件发生后，应立即通知对方，并寄送有关权威机构出具的证明。</w:t>
      </w:r>
    </w:p>
    <w:p w14:paraId="5CA1795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不可抗力事件延续120天以上，双方应通过友好协商，确定是否继续履行合同。</w:t>
      </w:r>
    </w:p>
    <w:p w14:paraId="35935DFC">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三</w:t>
      </w:r>
      <w:r>
        <w:rPr>
          <w:rFonts w:hint="eastAsia" w:ascii="宋体" w:hAnsi="宋体" w:eastAsia="宋体" w:cs="宋体"/>
          <w:b/>
          <w:bCs/>
          <w:color w:val="auto"/>
          <w:sz w:val="22"/>
          <w:szCs w:val="22"/>
          <w:highlight w:val="none"/>
        </w:rPr>
        <w:t>、争议的解决</w:t>
      </w:r>
    </w:p>
    <w:p w14:paraId="280E7FA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双方在执行合同中所发生的一切争议，应通过友好协商，妥善解决。如通过协商仍不能解决时，任何一方有权在</w:t>
      </w:r>
      <w:r>
        <w:rPr>
          <w:rFonts w:hint="eastAsia" w:ascii="宋体" w:hAnsi="宋体" w:cs="宋体"/>
          <w:color w:val="auto"/>
          <w:sz w:val="22"/>
          <w:szCs w:val="22"/>
          <w:highlight w:val="none"/>
          <w:lang w:eastAsia="zh-CN"/>
        </w:rPr>
        <w:t>项目</w:t>
      </w:r>
      <w:r>
        <w:rPr>
          <w:rFonts w:hint="eastAsia" w:ascii="宋体" w:hAnsi="宋体" w:eastAsia="宋体" w:cs="宋体"/>
          <w:color w:val="auto"/>
          <w:sz w:val="22"/>
          <w:szCs w:val="22"/>
          <w:highlight w:val="none"/>
        </w:rPr>
        <w:t>所在地人民法院起诉。</w:t>
      </w:r>
    </w:p>
    <w:p w14:paraId="576A4863">
      <w:pPr>
        <w:keepNext w:val="0"/>
        <w:keepLines w:val="0"/>
        <w:pageBreakBefore w:val="0"/>
        <w:widowControl w:val="0"/>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cs="宋体"/>
          <w:b/>
          <w:bCs/>
          <w:color w:val="auto"/>
          <w:sz w:val="22"/>
          <w:szCs w:val="22"/>
          <w:highlight w:val="none"/>
          <w:lang w:eastAsia="zh-CN"/>
        </w:rPr>
        <w:t>四</w:t>
      </w:r>
      <w:r>
        <w:rPr>
          <w:rFonts w:hint="eastAsia" w:ascii="宋体" w:hAnsi="宋体" w:eastAsia="宋体" w:cs="宋体"/>
          <w:b/>
          <w:bCs/>
          <w:color w:val="auto"/>
          <w:sz w:val="22"/>
          <w:szCs w:val="22"/>
          <w:highlight w:val="none"/>
        </w:rPr>
        <w:t>、合同生效及其它</w:t>
      </w:r>
    </w:p>
    <w:p w14:paraId="7400966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合同经双方法定代表人或授权代表签字并加盖单位公章后生效，合同执行期内，如有未尽事宜，经双方共同协商，并书面做出补充合同，补充合同具有同等法律效力。</w:t>
      </w:r>
    </w:p>
    <w:p w14:paraId="100616B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合同执行中涉及采购资金和采购内容修改或补充的，须经财政部门审批，并签书面补充协议报政府采购监督管理部门备案，方可作为主合同不可分割的一部分。</w:t>
      </w:r>
    </w:p>
    <w:p w14:paraId="3C657DF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招标文件、</w:t>
      </w:r>
      <w:r>
        <w:rPr>
          <w:rFonts w:hint="eastAsia" w:ascii="宋体" w:hAnsi="宋体" w:cs="宋体"/>
          <w:color w:val="auto"/>
          <w:sz w:val="22"/>
          <w:szCs w:val="22"/>
          <w:highlight w:val="none"/>
          <w:lang w:eastAsia="zh-CN"/>
        </w:rPr>
        <w:t>投标</w:t>
      </w:r>
      <w:r>
        <w:rPr>
          <w:rFonts w:hint="eastAsia" w:ascii="宋体" w:hAnsi="宋体" w:eastAsia="宋体" w:cs="宋体"/>
          <w:color w:val="auto"/>
          <w:sz w:val="22"/>
          <w:szCs w:val="22"/>
          <w:highlight w:val="none"/>
        </w:rPr>
        <w:t>文件及评审过程中形成的文字资料、询标纪要均作为本合同的组成部分，具有同等效力。本合同未尽事宜，遵照《民法典》有关条文执行。</w:t>
      </w:r>
    </w:p>
    <w:p w14:paraId="49E61406">
      <w:pPr>
        <w:pStyle w:val="7"/>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本合同一式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六</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份，甲方执</w:t>
      </w:r>
      <w:r>
        <w:rPr>
          <w:rFonts w:hint="eastAsia" w:ascii="宋体" w:hAnsi="宋体" w:eastAsia="宋体" w:cs="宋体"/>
          <w:color w:val="auto"/>
          <w:sz w:val="22"/>
          <w:szCs w:val="22"/>
          <w:highlight w:val="none"/>
          <w:u w:val="single"/>
        </w:rPr>
        <w:t xml:space="preserve"> 三 </w:t>
      </w:r>
      <w:r>
        <w:rPr>
          <w:rFonts w:hint="eastAsia" w:ascii="宋体" w:hAnsi="宋体" w:eastAsia="宋体" w:cs="宋体"/>
          <w:color w:val="auto"/>
          <w:sz w:val="22"/>
          <w:szCs w:val="22"/>
          <w:highlight w:val="none"/>
        </w:rPr>
        <w:t>份、乙方执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w:t>
      </w:r>
    </w:p>
    <w:p w14:paraId="40AB297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p>
    <w:p w14:paraId="4D6B253C">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甲方（公章）：                          乙方（公章）：</w:t>
      </w:r>
    </w:p>
    <w:p w14:paraId="12E7EFD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法定代表人或受委托人                   法定代表人或受委托人</w:t>
      </w:r>
    </w:p>
    <w:p w14:paraId="4414E9B9">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（签字）                                 （签字）</w:t>
      </w:r>
    </w:p>
    <w:p w14:paraId="1AA27866">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电 话：                                 电 话：</w:t>
      </w:r>
    </w:p>
    <w:p w14:paraId="420AFFB1">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户 名：                                 户 名：</w:t>
      </w:r>
    </w:p>
    <w:p w14:paraId="54BF9B54">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开户行：                                开户行：</w:t>
      </w:r>
    </w:p>
    <w:p w14:paraId="2A405E10">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帐 号：                                 帐 号：</w:t>
      </w:r>
    </w:p>
    <w:p w14:paraId="137EC47D">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252824F6">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时 间：                                 时 间：</w:t>
      </w:r>
    </w:p>
    <w:p w14:paraId="642D04BA">
      <w:pPr>
        <w:keepNext w:val="0"/>
        <w:keepLines w:val="0"/>
        <w:pageBreakBefore w:val="0"/>
        <w:widowControl w:val="0"/>
        <w:kinsoku/>
        <w:wordWrap/>
        <w:overflowPunct/>
        <w:topLinePunct w:val="0"/>
        <w:autoSpaceDE/>
        <w:autoSpaceDN/>
        <w:bidi w:val="0"/>
        <w:adjustRightInd/>
        <w:spacing w:line="400" w:lineRule="exact"/>
        <w:ind w:firstLine="398" w:firstLineChars="200"/>
        <w:textAlignment w:val="auto"/>
        <w:rPr>
          <w:rFonts w:hint="eastAsia" w:ascii="宋体" w:hAnsi="宋体" w:cs="宋体"/>
          <w:b/>
          <w:color w:val="auto"/>
          <w:spacing w:val="-11"/>
          <w:sz w:val="22"/>
          <w:szCs w:val="22"/>
          <w:highlight w:val="none"/>
        </w:rPr>
      </w:pPr>
      <w:r>
        <w:rPr>
          <w:rFonts w:hint="eastAsia" w:ascii="宋体" w:hAnsi="宋体" w:cs="宋体"/>
          <w:b/>
          <w:color w:val="auto"/>
          <w:spacing w:val="-11"/>
          <w:sz w:val="22"/>
          <w:szCs w:val="22"/>
          <w:highlight w:val="none"/>
        </w:rPr>
        <w:t>本合同仅作示范文本，具体以双方签定的正式合同为准，合同内容不得违背本招标文件实质性要求。</w:t>
      </w:r>
    </w:p>
    <w:p w14:paraId="1D94FB34">
      <w:pPr>
        <w:pageBreakBefore/>
        <w:shd w:val="clear" w:color="auto" w:fill="FFFFFF"/>
        <w:snapToGrid w:val="0"/>
        <w:spacing w:line="360" w:lineRule="auto"/>
        <w:jc w:val="center"/>
        <w:outlineLvl w:val="0"/>
        <w:rPr>
          <w:rFonts w:hint="eastAsia" w:ascii="宋体" w:hAnsi="宋体" w:cs="宋体"/>
          <w:b/>
          <w:bCs/>
          <w:i w:val="0"/>
          <w:iCs w:val="0"/>
          <w:color w:val="auto"/>
          <w:sz w:val="36"/>
          <w:szCs w:val="36"/>
          <w:highlight w:val="none"/>
        </w:rPr>
      </w:pPr>
      <w:r>
        <w:rPr>
          <w:rFonts w:hint="eastAsia" w:ascii="宋体" w:hAnsi="宋体" w:cs="宋体"/>
          <w:b/>
          <w:bCs/>
          <w:i w:val="0"/>
          <w:iCs w:val="0"/>
          <w:color w:val="auto"/>
          <w:sz w:val="36"/>
          <w:szCs w:val="36"/>
          <w:highlight w:val="none"/>
        </w:rPr>
        <w:t>第</w:t>
      </w:r>
      <w:r>
        <w:rPr>
          <w:rFonts w:hint="eastAsia" w:ascii="宋体" w:hAnsi="宋体" w:cs="宋体"/>
          <w:b/>
          <w:bCs/>
          <w:i w:val="0"/>
          <w:iCs w:val="0"/>
          <w:color w:val="auto"/>
          <w:sz w:val="36"/>
          <w:szCs w:val="36"/>
          <w:highlight w:val="none"/>
          <w:lang w:eastAsia="zh-CN"/>
        </w:rPr>
        <w:t>六</w:t>
      </w:r>
      <w:r>
        <w:rPr>
          <w:rFonts w:hint="eastAsia" w:ascii="宋体" w:hAnsi="宋体" w:cs="宋体"/>
          <w:b/>
          <w:bCs/>
          <w:i w:val="0"/>
          <w:iCs w:val="0"/>
          <w:color w:val="auto"/>
          <w:sz w:val="36"/>
          <w:szCs w:val="36"/>
          <w:highlight w:val="none"/>
        </w:rPr>
        <w:t xml:space="preserve">部分  </w:t>
      </w:r>
      <w:bookmarkEnd w:id="83"/>
      <w:r>
        <w:rPr>
          <w:rFonts w:hint="eastAsia" w:ascii="宋体" w:hAnsi="宋体" w:cs="宋体"/>
          <w:b/>
          <w:bCs/>
          <w:i w:val="0"/>
          <w:iCs w:val="0"/>
          <w:color w:val="auto"/>
          <w:sz w:val="36"/>
          <w:szCs w:val="36"/>
          <w:highlight w:val="none"/>
          <w:lang w:val="zh-CN"/>
        </w:rPr>
        <w:t>投标文件相关格式</w:t>
      </w:r>
    </w:p>
    <w:p w14:paraId="09FA8B9D">
      <w:pPr>
        <w:shd w:val="clear" w:color="auto" w:fill="FFFFFF"/>
        <w:snapToGrid w:val="0"/>
        <w:spacing w:line="360" w:lineRule="auto"/>
        <w:rPr>
          <w:rFonts w:hint="eastAsia"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rPr>
        <w:t> </w:t>
      </w:r>
    </w:p>
    <w:bookmarkEnd w:id="77"/>
    <w:bookmarkEnd w:id="78"/>
    <w:bookmarkEnd w:id="79"/>
    <w:p w14:paraId="715BC621">
      <w:pPr>
        <w:ind w:left="-41" w:leftChars="-85" w:hanging="137" w:hangingChars="57"/>
        <w:rPr>
          <w:rFonts w:ascii="宋体" w:hAnsi="宋体" w:cs="宋体"/>
          <w:b/>
          <w:bCs/>
          <w:color w:val="auto"/>
          <w:sz w:val="24"/>
          <w:highlight w:val="none"/>
        </w:rPr>
      </w:pPr>
      <w:r>
        <w:rPr>
          <w:rFonts w:hint="eastAsia" w:ascii="宋体" w:hAnsi="宋体" w:cs="宋体"/>
          <w:b/>
          <w:bCs/>
          <w:color w:val="auto"/>
          <w:sz w:val="24"/>
          <w:highlight w:val="none"/>
        </w:rPr>
        <w:t>一、响应文件封面样式</w:t>
      </w:r>
    </w:p>
    <w:p w14:paraId="514F37C0">
      <w:pPr>
        <w:spacing w:line="800" w:lineRule="exact"/>
        <w:ind w:left="-44" w:leftChars="-21" w:firstLine="640" w:firstLineChars="200"/>
        <w:rPr>
          <w:rFonts w:hint="eastAsia" w:ascii="宋体" w:hAnsi="宋体" w:cs="宋体"/>
          <w:bCs/>
          <w:color w:val="auto"/>
          <w:sz w:val="32"/>
          <w:szCs w:val="32"/>
          <w:highlight w:val="none"/>
          <w:u w:val="single"/>
        </w:rPr>
      </w:pPr>
    </w:p>
    <w:p w14:paraId="5064EDC3">
      <w:pPr>
        <w:ind w:left="5" w:leftChars="-85" w:hanging="183" w:hangingChars="5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44"/>
          <w:szCs w:val="44"/>
          <w:highlight w:val="none"/>
          <w:lang w:eastAsia="zh-CN"/>
        </w:rPr>
        <w:t>2025年建设项目环境影响评价技术评估项目</w:t>
      </w:r>
    </w:p>
    <w:p w14:paraId="53A9FC04">
      <w:pPr>
        <w:snapToGrid w:val="0"/>
        <w:spacing w:line="500" w:lineRule="exact"/>
        <w:ind w:firstLine="2249" w:firstLineChars="700"/>
        <w:rPr>
          <w:rFonts w:hint="eastAsia" w:ascii="宋体" w:hAnsi="宋体" w:cs="宋体"/>
          <w:b/>
          <w:bCs/>
          <w:color w:val="auto"/>
          <w:sz w:val="32"/>
          <w:szCs w:val="32"/>
          <w:highlight w:val="none"/>
        </w:rPr>
      </w:pPr>
    </w:p>
    <w:p w14:paraId="63AC069E">
      <w:pPr>
        <w:snapToGrid w:val="0"/>
        <w:spacing w:line="500" w:lineRule="exact"/>
        <w:ind w:firstLine="2570" w:firstLineChars="8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（项目编号：</w:t>
      </w:r>
      <w:r>
        <w:rPr>
          <w:rFonts w:hint="eastAsia" w:ascii="宋体" w:hAnsi="宋体" w:cs="宋体"/>
          <w:b/>
          <w:i w:val="0"/>
          <w:iCs w:val="0"/>
          <w:color w:val="auto"/>
          <w:sz w:val="32"/>
          <w:szCs w:val="32"/>
          <w:highlight w:val="none"/>
          <w:lang w:val="en-US" w:eastAsia="zh-CN"/>
          <w14:shadow w14:blurRad="50800" w14:dist="38100" w14:dir="2700000" w14:sx="100000" w14:sy="100000" w14:kx="0" w14:ky="0" w14:algn="tl">
            <w14:srgbClr w14:val="000000">
              <w14:alpha w14:val="60000"/>
            </w14:srgbClr>
          </w14:shadow>
        </w:rPr>
        <w:t>ZLQZ-2506094</w:t>
      </w:r>
      <w:r>
        <w:rPr>
          <w:rFonts w:hint="eastAsia" w:ascii="宋体" w:hAnsi="宋体" w:cs="宋体"/>
          <w:b/>
          <w:bCs/>
          <w:color w:val="auto"/>
          <w:sz w:val="32"/>
          <w:szCs w:val="32"/>
          <w:highlight w:val="none"/>
        </w:rPr>
        <w:t>）</w:t>
      </w:r>
    </w:p>
    <w:p w14:paraId="7E184616">
      <w:pPr>
        <w:ind w:left="5" w:leftChars="-85" w:hanging="183" w:hangingChars="57"/>
        <w:jc w:val="center"/>
        <w:rPr>
          <w:rFonts w:hint="eastAsia" w:ascii="宋体" w:hAnsi="宋体" w:cs="宋体"/>
          <w:b/>
          <w:bCs/>
          <w:color w:val="auto"/>
          <w:sz w:val="32"/>
          <w:szCs w:val="32"/>
          <w:highlight w:val="none"/>
        </w:rPr>
      </w:pPr>
    </w:p>
    <w:p w14:paraId="24988D3A">
      <w:pPr>
        <w:ind w:left="5" w:leftChars="-85" w:hanging="183" w:hangingChars="57"/>
        <w:jc w:val="center"/>
        <w:rPr>
          <w:rFonts w:hint="eastAsia" w:ascii="宋体" w:hAnsi="宋体" w:cs="宋体"/>
          <w:b/>
          <w:bCs/>
          <w:color w:val="auto"/>
          <w:sz w:val="32"/>
          <w:szCs w:val="32"/>
          <w:highlight w:val="none"/>
        </w:rPr>
      </w:pPr>
    </w:p>
    <w:p w14:paraId="4CD2ACE8">
      <w:pPr>
        <w:ind w:left="165" w:leftChars="-85" w:hanging="343" w:hangingChars="57"/>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lang w:eastAsia="zh-CN"/>
        </w:rPr>
        <w:t>投</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lang w:eastAsia="zh-CN"/>
        </w:rPr>
        <w:t>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文</w:t>
      </w:r>
      <w:r>
        <w:rPr>
          <w:rFonts w:hint="eastAsia" w:ascii="宋体" w:hAnsi="宋体" w:cs="宋体"/>
          <w:b/>
          <w:bCs/>
          <w:color w:val="auto"/>
          <w:sz w:val="60"/>
          <w:szCs w:val="60"/>
          <w:highlight w:val="none"/>
          <w:lang w:val="en-US" w:eastAsia="zh-CN"/>
        </w:rPr>
        <w:t xml:space="preserve"> </w:t>
      </w:r>
      <w:r>
        <w:rPr>
          <w:rFonts w:hint="eastAsia" w:ascii="宋体" w:hAnsi="宋体" w:cs="宋体"/>
          <w:b/>
          <w:bCs/>
          <w:color w:val="auto"/>
          <w:sz w:val="60"/>
          <w:szCs w:val="60"/>
          <w:highlight w:val="none"/>
        </w:rPr>
        <w:t>件</w:t>
      </w:r>
    </w:p>
    <w:p w14:paraId="7F6F1362">
      <w:pPr>
        <w:ind w:left="5" w:leftChars="-85" w:hanging="183" w:hangingChars="57"/>
        <w:jc w:val="center"/>
        <w:rPr>
          <w:rFonts w:hint="eastAsia" w:ascii="宋体" w:hAnsi="宋体" w:cs="宋体"/>
          <w:b/>
          <w:bCs/>
          <w:color w:val="auto"/>
          <w:sz w:val="32"/>
          <w:szCs w:val="32"/>
          <w:highlight w:val="none"/>
        </w:rPr>
      </w:pPr>
    </w:p>
    <w:p w14:paraId="40791140">
      <w:pPr>
        <w:ind w:left="5" w:leftChars="-85" w:hanging="183" w:hangingChars="57"/>
        <w:jc w:val="center"/>
        <w:rPr>
          <w:rFonts w:hint="eastAsia" w:ascii="宋体" w:hAnsi="宋体" w:cs="宋体"/>
          <w:b/>
          <w:bCs/>
          <w:color w:val="auto"/>
          <w:sz w:val="32"/>
          <w:szCs w:val="32"/>
          <w:highlight w:val="none"/>
        </w:rPr>
      </w:pPr>
    </w:p>
    <w:p w14:paraId="471DD1B8">
      <w:pPr>
        <w:ind w:left="5" w:leftChars="-85" w:hanging="183" w:hangingChars="57"/>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内容：资格审查文件（或商务技术文件或报价文件）</w:t>
      </w:r>
    </w:p>
    <w:p w14:paraId="16BE8245">
      <w:pPr>
        <w:ind w:left="5" w:leftChars="-85" w:hanging="183" w:hangingChars="57"/>
        <w:jc w:val="center"/>
        <w:rPr>
          <w:rFonts w:hint="eastAsia" w:ascii="宋体" w:hAnsi="宋体" w:cs="宋体"/>
          <w:b/>
          <w:bCs/>
          <w:color w:val="auto"/>
          <w:sz w:val="32"/>
          <w:szCs w:val="32"/>
          <w:highlight w:val="none"/>
        </w:rPr>
      </w:pPr>
    </w:p>
    <w:p w14:paraId="3C486935">
      <w:pPr>
        <w:rPr>
          <w:rFonts w:hint="eastAsia" w:ascii="宋体" w:hAnsi="宋体" w:cs="宋体"/>
          <w:b/>
          <w:bCs/>
          <w:color w:val="auto"/>
          <w:sz w:val="32"/>
          <w:szCs w:val="32"/>
          <w:highlight w:val="none"/>
        </w:rPr>
      </w:pPr>
    </w:p>
    <w:p w14:paraId="61BF8DB5">
      <w:pPr>
        <w:spacing w:line="800" w:lineRule="exact"/>
        <w:ind w:left="4" w:leftChars="-85" w:hanging="182" w:hangingChars="57"/>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供应商名称：</w:t>
      </w:r>
      <w:r>
        <w:rPr>
          <w:rFonts w:hint="eastAsia" w:ascii="宋体" w:hAnsi="宋体" w:cs="宋体"/>
          <w:bCs/>
          <w:color w:val="auto"/>
          <w:sz w:val="32"/>
          <w:szCs w:val="32"/>
          <w:highlight w:val="none"/>
          <w:u w:val="single"/>
        </w:rPr>
        <w:t xml:space="preserve">                  （公章）             </w:t>
      </w:r>
    </w:p>
    <w:p w14:paraId="75497AF6">
      <w:pPr>
        <w:spacing w:line="400" w:lineRule="exact"/>
        <w:ind w:left="4" w:leftChars="-85" w:hanging="182" w:hangingChars="57"/>
        <w:jc w:val="center"/>
        <w:rPr>
          <w:rFonts w:hint="eastAsia" w:ascii="宋体" w:hAnsi="宋体" w:cs="宋体"/>
          <w:bCs/>
          <w:color w:val="auto"/>
          <w:sz w:val="32"/>
          <w:szCs w:val="32"/>
          <w:highlight w:val="none"/>
        </w:rPr>
      </w:pPr>
    </w:p>
    <w:p w14:paraId="0C471E84">
      <w:pPr>
        <w:spacing w:line="800" w:lineRule="exact"/>
        <w:ind w:left="4" w:leftChars="-85" w:hanging="182" w:hangingChars="57"/>
        <w:rPr>
          <w:rFonts w:hint="eastAsia" w:ascii="宋体" w:hAnsi="宋体" w:cs="宋体"/>
          <w:bCs/>
          <w:color w:val="auto"/>
          <w:sz w:val="32"/>
          <w:szCs w:val="32"/>
          <w:highlight w:val="none"/>
          <w:u w:val="single"/>
        </w:rPr>
      </w:pPr>
      <w:r>
        <w:rPr>
          <w:rFonts w:hint="eastAsia" w:ascii="宋体" w:hAnsi="宋体" w:cs="宋体"/>
          <w:bCs/>
          <w:color w:val="auto"/>
          <w:sz w:val="32"/>
          <w:szCs w:val="32"/>
          <w:highlight w:val="none"/>
        </w:rPr>
        <w:t xml:space="preserve">     法定代表人或委托代理人：</w:t>
      </w:r>
      <w:r>
        <w:rPr>
          <w:rFonts w:hint="eastAsia" w:ascii="宋体" w:hAnsi="宋体" w:cs="宋体"/>
          <w:bCs/>
          <w:color w:val="auto"/>
          <w:sz w:val="32"/>
          <w:szCs w:val="32"/>
          <w:highlight w:val="none"/>
          <w:u w:val="single"/>
        </w:rPr>
        <w:t xml:space="preserve">        （签字或盖章）     </w:t>
      </w:r>
    </w:p>
    <w:p w14:paraId="787A00B4">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D0A95CB">
      <w:pPr>
        <w:spacing w:line="800" w:lineRule="exact"/>
        <w:ind w:left="4" w:leftChars="-85" w:hanging="182" w:hangingChars="57"/>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   月    日</w:t>
      </w:r>
    </w:p>
    <w:p w14:paraId="4B14AACA">
      <w:pPr>
        <w:rPr>
          <w:rFonts w:hint="eastAsia" w:ascii="宋体" w:hAnsi="宋体" w:cs="宋体"/>
          <w:color w:val="auto"/>
          <w:sz w:val="32"/>
          <w:szCs w:val="32"/>
          <w:highlight w:val="none"/>
        </w:rPr>
      </w:pPr>
    </w:p>
    <w:p w14:paraId="263AB4A4">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2D13526">
      <w:pPr>
        <w:jc w:val="center"/>
        <w:rPr>
          <w:rFonts w:hint="eastAsia" w:ascii="宋体" w:hAnsi="宋体" w:cs="宋体"/>
          <w:b/>
          <w:color w:val="auto"/>
          <w:sz w:val="32"/>
          <w:szCs w:val="32"/>
          <w:highlight w:val="none"/>
        </w:rPr>
      </w:pPr>
      <w:bookmarkStart w:id="84" w:name="_Toc33194403"/>
    </w:p>
    <w:p w14:paraId="3788E79B">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44919138">
      <w:pPr>
        <w:autoSpaceDE w:val="0"/>
        <w:autoSpaceDN w:val="0"/>
        <w:adjustRightInd w:val="0"/>
        <w:snapToGrid w:val="0"/>
        <w:spacing w:line="460" w:lineRule="exact"/>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浙江中兰工程项目管理有限公司：</w:t>
      </w:r>
    </w:p>
    <w:p w14:paraId="755720F3">
      <w:pPr>
        <w:pStyle w:val="9"/>
        <w:adjustRightInd w:val="0"/>
        <w:snapToGrid w:val="0"/>
        <w:spacing w:after="0" w:line="460" w:lineRule="exact"/>
        <w:ind w:firstLine="460" w:firstLineChars="200"/>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本</w:t>
      </w:r>
      <w:r>
        <w:rPr>
          <w:rFonts w:hint="eastAsia" w:ascii="宋体" w:hAnsi="宋体" w:cs="宋体"/>
          <w:color w:val="auto"/>
          <w:sz w:val="22"/>
          <w:szCs w:val="22"/>
          <w:highlight w:val="none"/>
        </w:rPr>
        <w:t>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pacing w:val="5"/>
          <w:sz w:val="22"/>
          <w:szCs w:val="22"/>
          <w:highlight w:val="none"/>
          <w:u w:val="single"/>
        </w:rPr>
        <w:t>（授权代表姓名）</w:t>
      </w:r>
      <w:r>
        <w:rPr>
          <w:rFonts w:hint="eastAsia" w:ascii="宋体" w:hAnsi="宋体" w:cs="宋体"/>
          <w:color w:val="auto"/>
          <w:spacing w:val="5"/>
          <w:sz w:val="22"/>
          <w:szCs w:val="22"/>
          <w:highlight w:val="none"/>
        </w:rPr>
        <w:t>，经</w:t>
      </w:r>
      <w:r>
        <w:rPr>
          <w:rFonts w:hint="eastAsia" w:ascii="宋体" w:hAnsi="宋体" w:cs="宋体"/>
          <w:color w:val="auto"/>
          <w:sz w:val="22"/>
          <w:szCs w:val="22"/>
          <w:highlight w:val="none"/>
        </w:rPr>
        <w:t>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pacing w:val="5"/>
          <w:sz w:val="22"/>
          <w:szCs w:val="22"/>
          <w:highlight w:val="none"/>
          <w:u w:val="single"/>
        </w:rPr>
        <w:t>（单位</w:t>
      </w:r>
      <w:r>
        <w:rPr>
          <w:rFonts w:hint="eastAsia" w:ascii="宋体" w:hAnsi="宋体" w:cs="宋体"/>
          <w:color w:val="auto"/>
          <w:sz w:val="22"/>
          <w:szCs w:val="22"/>
          <w:highlight w:val="none"/>
          <w:u w:val="single"/>
        </w:rPr>
        <w:t>）</w:t>
      </w:r>
      <w:r>
        <w:rPr>
          <w:rFonts w:hint="eastAsia" w:ascii="宋体" w:hAnsi="宋体" w:cs="宋体"/>
          <w:color w:val="auto"/>
          <w:spacing w:val="-10"/>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负责人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合法授权参加 </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 xml:space="preserve">（编号：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）政府采购活动，经与本单位法人代表（负责人）联系确认，现就有关公平竞争事项郑重声明如下：</w:t>
      </w:r>
    </w:p>
    <w:p w14:paraId="173A2F35">
      <w:pPr>
        <w:pStyle w:val="9"/>
        <w:adjustRightInd w:val="0"/>
        <w:snapToGrid w:val="0"/>
        <w:spacing w:after="0" w:line="460" w:lineRule="exact"/>
        <w:ind w:left="574"/>
        <w:rPr>
          <w:rFonts w:hint="eastAsia" w:ascii="宋体" w:hAnsi="宋体" w:cs="宋体"/>
          <w:color w:val="auto"/>
          <w:sz w:val="22"/>
          <w:szCs w:val="22"/>
          <w:highlight w:val="none"/>
        </w:rPr>
      </w:pPr>
      <w:r>
        <w:rPr>
          <w:rFonts w:hint="eastAsia" w:ascii="宋体" w:hAnsi="宋体" w:cs="宋体"/>
          <w:color w:val="auto"/>
          <w:sz w:val="22"/>
          <w:szCs w:val="22"/>
          <w:highlight w:val="none"/>
        </w:rPr>
        <w:t>一、本单位与采购人之间</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不存在利害关系</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存在下列利害关系 ：</w:t>
      </w:r>
    </w:p>
    <w:p w14:paraId="43666D87">
      <w:pPr>
        <w:pStyle w:val="9"/>
        <w:tabs>
          <w:tab w:val="left" w:pos="2639"/>
          <w:tab w:val="left" w:pos="5159"/>
        </w:tabs>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A. 投资关系</w:t>
      </w:r>
      <w:r>
        <w:rPr>
          <w:rFonts w:hint="eastAsia" w:ascii="宋体" w:hAnsi="宋体" w:cs="宋体"/>
          <w:color w:val="auto"/>
          <w:sz w:val="22"/>
          <w:szCs w:val="22"/>
          <w:highlight w:val="none"/>
        </w:rPr>
        <w:tab/>
      </w:r>
      <w:r>
        <w:rPr>
          <w:rFonts w:hint="eastAsia" w:ascii="宋体" w:hAnsi="宋体" w:cs="宋体"/>
          <w:color w:val="auto"/>
          <w:sz w:val="22"/>
          <w:szCs w:val="22"/>
          <w:highlight w:val="none"/>
        </w:rPr>
        <w:t>B. 行政隶属关系</w:t>
      </w:r>
      <w:r>
        <w:rPr>
          <w:rFonts w:hint="eastAsia" w:ascii="宋体" w:hAnsi="宋体" w:cs="宋体"/>
          <w:color w:val="auto"/>
          <w:sz w:val="22"/>
          <w:szCs w:val="22"/>
          <w:highlight w:val="none"/>
        </w:rPr>
        <w:tab/>
      </w:r>
      <w:r>
        <w:rPr>
          <w:rFonts w:hint="eastAsia" w:ascii="宋体" w:hAnsi="宋体" w:cs="宋体"/>
          <w:color w:val="auto"/>
          <w:sz w:val="22"/>
          <w:szCs w:val="22"/>
          <w:highlight w:val="none"/>
        </w:rPr>
        <w:t>C. 业务指导关系</w:t>
      </w:r>
    </w:p>
    <w:p w14:paraId="5A5E6881">
      <w:pPr>
        <w:pStyle w:val="9"/>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D. 其他可能影响采购公正的利害关系（如有，请如实说明）。</w:t>
      </w:r>
    </w:p>
    <w:p w14:paraId="57C90C96">
      <w:pPr>
        <w:pStyle w:val="9"/>
        <w:tabs>
          <w:tab w:val="left" w:pos="7223"/>
        </w:tabs>
        <w:adjustRightInd w:val="0"/>
        <w:snapToGrid w:val="0"/>
        <w:spacing w:after="0" w:line="460" w:lineRule="exact"/>
        <w:ind w:right="131" w:firstLine="574"/>
        <w:rPr>
          <w:rFonts w:hint="eastAsia" w:ascii="宋体" w:hAnsi="宋体" w:cs="宋体"/>
          <w:color w:val="auto"/>
          <w:sz w:val="22"/>
          <w:szCs w:val="22"/>
          <w:highlight w:val="none"/>
        </w:rPr>
      </w:pPr>
      <w:r>
        <w:rPr>
          <w:rFonts w:hint="eastAsia" w:ascii="宋体" w:hAnsi="宋体" w:cs="宋体"/>
          <w:color w:val="auto"/>
          <w:sz w:val="22"/>
          <w:szCs w:val="22"/>
          <w:highlight w:val="none"/>
        </w:rPr>
        <w:t>二、</w:t>
      </w:r>
      <w:r>
        <w:rPr>
          <w:rFonts w:hint="eastAsia" w:ascii="宋体" w:hAnsi="宋体" w:cs="宋体"/>
          <w:color w:val="auto"/>
          <w:spacing w:val="3"/>
          <w:sz w:val="22"/>
          <w:szCs w:val="22"/>
          <w:highlight w:val="none"/>
        </w:rPr>
        <w:t>现已清楚知道参加本项目采购活动的其他所有供应商名称，本单</w:t>
      </w:r>
      <w:r>
        <w:rPr>
          <w:rFonts w:hint="eastAsia" w:ascii="宋体" w:hAnsi="宋体" w:cs="宋体"/>
          <w:color w:val="auto"/>
          <w:sz w:val="22"/>
          <w:szCs w:val="22"/>
          <w:highlight w:val="none"/>
        </w:rPr>
        <w:t>位</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与其他所有供应商之间均不存在利害关系</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（供应商</w:t>
      </w:r>
      <w:r>
        <w:rPr>
          <w:rFonts w:hint="eastAsia" w:ascii="宋体" w:hAnsi="宋体" w:cs="宋体"/>
          <w:color w:val="auto"/>
          <w:spacing w:val="-11"/>
          <w:sz w:val="22"/>
          <w:szCs w:val="22"/>
          <w:highlight w:val="none"/>
        </w:rPr>
        <w:t>名</w:t>
      </w:r>
      <w:r>
        <w:rPr>
          <w:rFonts w:hint="eastAsia" w:ascii="宋体" w:hAnsi="宋体" w:cs="宋体"/>
          <w:color w:val="auto"/>
          <w:sz w:val="22"/>
          <w:szCs w:val="22"/>
          <w:highlight w:val="none"/>
        </w:rPr>
        <w:t>称）之间存在下列利害关系：</w:t>
      </w:r>
    </w:p>
    <w:p w14:paraId="3D1DAE04">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法定代表人或负责人或实际控制人是同一人；</w:t>
      </w:r>
    </w:p>
    <w:p w14:paraId="10E38E29">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法定代表人或负责人或实际控制人是夫妻关系；</w:t>
      </w:r>
    </w:p>
    <w:p w14:paraId="10764BC0">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法定代表人或负责人或实际控制人是直系血亲关系；</w:t>
      </w:r>
    </w:p>
    <w:p w14:paraId="4C47EEC8">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法定代表人或负责人或实际控制人存在三代以内旁系血亲关系；</w:t>
      </w:r>
    </w:p>
    <w:p w14:paraId="74C07C9F">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法定代表人或负责人或实际控制人存在近姻亲关系；</w:t>
      </w:r>
    </w:p>
    <w:p w14:paraId="2D08B5F3">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法定代表人或负责人或实际控制人存在股份控制或实际控制关系；</w:t>
      </w:r>
    </w:p>
    <w:p w14:paraId="404CF41F">
      <w:pPr>
        <w:pStyle w:val="45"/>
        <w:numPr>
          <w:ilvl w:val="0"/>
          <w:numId w:val="4"/>
        </w:numPr>
        <w:tabs>
          <w:tab w:val="left" w:pos="960"/>
        </w:tabs>
        <w:adjustRightInd w:val="0"/>
        <w:snapToGrid w:val="0"/>
        <w:spacing w:line="460" w:lineRule="exact"/>
        <w:ind w:left="317" w:leftChars="151" w:firstLine="292" w:firstLineChars="133"/>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存在共同直接或间接投资设立子公司、联营企业和合营企业情况；</w:t>
      </w:r>
    </w:p>
    <w:p w14:paraId="59F55607">
      <w:pPr>
        <w:pStyle w:val="45"/>
        <w:numPr>
          <w:ilvl w:val="0"/>
          <w:numId w:val="4"/>
        </w:numPr>
        <w:tabs>
          <w:tab w:val="left" w:pos="960"/>
        </w:tabs>
        <w:adjustRightInd w:val="0"/>
        <w:snapToGrid w:val="0"/>
        <w:spacing w:line="460" w:lineRule="exact"/>
        <w:ind w:left="17" w:leftChars="8" w:firstLine="626" w:firstLineChars="301"/>
        <w:jc w:val="left"/>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存在分级代理或代销关系、同一生产制造商关系、 管理关系、重要业务（占主营业务收入 50% 以上）或重要财务往来关系（如融资）等其他实质性控制关系。</w:t>
      </w:r>
    </w:p>
    <w:p w14:paraId="05B028AB">
      <w:pPr>
        <w:pStyle w:val="9"/>
        <w:tabs>
          <w:tab w:val="left" w:pos="6809"/>
        </w:tabs>
        <w:adjustRightInd w:val="0"/>
        <w:snapToGrid w:val="0"/>
        <w:spacing w:after="0" w:line="460" w:lineRule="exact"/>
        <w:ind w:left="600"/>
        <w:rPr>
          <w:rFonts w:hint="eastAsia" w:ascii="宋体" w:hAnsi="宋体" w:cs="宋体"/>
          <w:color w:val="auto"/>
          <w:sz w:val="22"/>
          <w:szCs w:val="22"/>
          <w:highlight w:val="none"/>
        </w:rPr>
      </w:pPr>
      <w:r>
        <w:rPr>
          <w:rFonts w:hint="eastAsia" w:ascii="宋体" w:hAnsi="宋体" w:cs="宋体"/>
          <w:color w:val="auto"/>
          <w:sz w:val="22"/>
          <w:szCs w:val="22"/>
          <w:highlight w:val="none"/>
        </w:rPr>
        <w:t>I .</w:t>
      </w:r>
      <w:r>
        <w:rPr>
          <w:rFonts w:hint="eastAsia" w:ascii="宋体" w:hAnsi="宋体" w:cs="宋体"/>
          <w:color w:val="auto"/>
          <w:spacing w:val="-16"/>
          <w:sz w:val="22"/>
          <w:szCs w:val="22"/>
          <w:highlight w:val="none"/>
        </w:rPr>
        <w:t xml:space="preserve"> </w:t>
      </w:r>
      <w:r>
        <w:rPr>
          <w:rFonts w:hint="eastAsia" w:ascii="宋体" w:hAnsi="宋体" w:cs="宋体"/>
          <w:color w:val="auto"/>
          <w:sz w:val="22"/>
          <w:szCs w:val="22"/>
          <w:highlight w:val="none"/>
        </w:rPr>
        <w:t>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w:t>
      </w:r>
    </w:p>
    <w:p w14:paraId="5EAB1357">
      <w:pPr>
        <w:pStyle w:val="9"/>
        <w:adjustRightInd w:val="0"/>
        <w:snapToGrid w:val="0"/>
        <w:spacing w:after="0" w:line="460" w:lineRule="exact"/>
        <w:ind w:left="574"/>
        <w:rPr>
          <w:rFonts w:hint="eastAsia" w:ascii="宋体" w:hAnsi="宋体" w:cs="宋体"/>
          <w:color w:val="auto"/>
          <w:sz w:val="22"/>
          <w:szCs w:val="22"/>
          <w:highlight w:val="none"/>
        </w:rPr>
      </w:pPr>
      <w:r>
        <w:rPr>
          <w:rFonts w:hint="eastAsia" w:ascii="宋体" w:hAnsi="宋体" w:cs="宋体"/>
          <w:color w:val="auto"/>
          <w:sz w:val="22"/>
          <w:szCs w:val="22"/>
          <w:highlight w:val="none"/>
        </w:rPr>
        <w:t>三、现已清楚知道并 严格遵守政府采购法律法规和现场纪律。</w:t>
      </w:r>
    </w:p>
    <w:p w14:paraId="2C4AFD81">
      <w:pPr>
        <w:pStyle w:val="9"/>
        <w:tabs>
          <w:tab w:val="left" w:pos="1543"/>
          <w:tab w:val="left" w:pos="4345"/>
        </w:tabs>
        <w:adjustRightInd w:val="0"/>
        <w:snapToGrid w:val="0"/>
        <w:spacing w:after="0" w:line="460" w:lineRule="exact"/>
        <w:ind w:right="137" w:firstLine="574"/>
        <w:rPr>
          <w:rFonts w:hint="eastAsia" w:ascii="宋体" w:hAnsi="宋体" w:cs="宋体"/>
          <w:color w:val="auto"/>
          <w:sz w:val="22"/>
          <w:szCs w:val="22"/>
          <w:highlight w:val="none"/>
        </w:rPr>
      </w:pPr>
      <w:r>
        <w:rPr>
          <w:rFonts w:hint="eastAsia" w:ascii="宋体" w:hAnsi="宋体" w:cs="宋体"/>
          <w:color w:val="auto"/>
          <w:sz w:val="22"/>
          <w:szCs w:val="22"/>
          <w:highlight w:val="none"/>
        </w:rPr>
        <w:t>四、我发现</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供应商之间存在或可能存在上述第二</w:t>
      </w:r>
      <w:r>
        <w:rPr>
          <w:rFonts w:hint="eastAsia" w:ascii="宋体" w:hAnsi="宋体" w:cs="宋体"/>
          <w:color w:val="auto"/>
          <w:spacing w:val="-17"/>
          <w:sz w:val="22"/>
          <w:szCs w:val="22"/>
          <w:highlight w:val="none"/>
        </w:rPr>
        <w:t>条</w:t>
      </w:r>
      <w:r>
        <w:rPr>
          <w:rFonts w:hint="eastAsia" w:ascii="宋体" w:hAnsi="宋体" w:cs="宋体"/>
          <w:color w:val="auto"/>
          <w:sz w:val="22"/>
          <w:szCs w:val="22"/>
          <w:highlight w:val="none"/>
        </w:rPr>
        <w:t>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6332AC05">
      <w:pPr>
        <w:pStyle w:val="9"/>
        <w:adjustRightInd w:val="0"/>
        <w:snapToGrid w:val="0"/>
        <w:spacing w:after="0" w:line="360" w:lineRule="auto"/>
        <w:ind w:right="1003"/>
        <w:rPr>
          <w:rFonts w:hint="eastAsia" w:ascii="宋体" w:hAnsi="宋体" w:cs="宋体"/>
          <w:color w:val="auto"/>
          <w:sz w:val="22"/>
          <w:szCs w:val="22"/>
          <w:highlight w:val="none"/>
        </w:rPr>
      </w:pPr>
    </w:p>
    <w:p w14:paraId="43A7E016">
      <w:pPr>
        <w:pStyle w:val="9"/>
        <w:adjustRightInd w:val="0"/>
        <w:snapToGrid w:val="0"/>
        <w:spacing w:after="0" w:line="360" w:lineRule="auto"/>
        <w:ind w:right="1003" w:firstLine="5060" w:firstLineChars="23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（投标人代表签名）： </w:t>
      </w:r>
    </w:p>
    <w:p w14:paraId="36AA13C6">
      <w:pPr>
        <w:pStyle w:val="9"/>
        <w:adjustRightInd w:val="0"/>
        <w:snapToGrid w:val="0"/>
        <w:spacing w:after="0" w:line="360" w:lineRule="auto"/>
        <w:ind w:right="1003"/>
        <w:rPr>
          <w:rFonts w:hint="eastAsia" w:ascii="宋体" w:hAnsi="宋体" w:cs="宋体"/>
          <w:color w:val="auto"/>
          <w:sz w:val="22"/>
          <w:szCs w:val="22"/>
          <w:highlight w:val="none"/>
        </w:rPr>
      </w:pPr>
    </w:p>
    <w:p w14:paraId="0AC41BF4">
      <w:pPr>
        <w:jc w:val="right"/>
        <w:rPr>
          <w:rFonts w:hint="eastAsia" w:ascii="宋体" w:hAnsi="宋体" w:cs="宋体"/>
          <w:color w:val="auto"/>
          <w:szCs w:val="21"/>
          <w:highlight w:val="none"/>
        </w:rPr>
      </w:pPr>
      <w:r>
        <w:rPr>
          <w:rFonts w:hint="eastAsia" w:ascii="宋体" w:hAnsi="宋体" w:cs="宋体"/>
          <w:color w:val="auto"/>
          <w:sz w:val="22"/>
          <w:szCs w:val="22"/>
          <w:highlight w:val="none"/>
          <w:lang w:eastAsia="zh-CN"/>
        </w:rPr>
        <w:t>2025年</w:t>
      </w:r>
      <w:r>
        <w:rPr>
          <w:rFonts w:hint="eastAsia" w:ascii="宋体" w:hAnsi="宋体" w:cs="宋体"/>
          <w:color w:val="auto"/>
          <w:sz w:val="22"/>
          <w:szCs w:val="22"/>
          <w:highlight w:val="none"/>
        </w:rPr>
        <w:t xml:space="preserve">  月  日</w:t>
      </w:r>
    </w:p>
    <w:p w14:paraId="2AD11D70">
      <w:pPr>
        <w:ind w:firstLine="422" w:firstLineChars="200"/>
        <w:rPr>
          <w:rFonts w:hint="eastAsia" w:ascii="宋体" w:hAnsi="宋体" w:cs="宋体"/>
          <w:b/>
          <w:bCs/>
          <w:color w:val="auto"/>
          <w:szCs w:val="21"/>
          <w:highlight w:val="none"/>
        </w:rPr>
      </w:pPr>
    </w:p>
    <w:p w14:paraId="73F7AC6E">
      <w:pPr>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特别说明：供应商根据解密后，通过邮箱</w:t>
      </w:r>
      <w:r>
        <w:rPr>
          <w:rFonts w:hint="eastAsia" w:ascii="宋体" w:hAnsi="宋体" w:eastAsia="宋体" w:cs="宋体"/>
          <w:b/>
          <w:bCs/>
          <w:sz w:val="24"/>
          <w:highlight w:val="none"/>
        </w:rPr>
        <w:t>2968996525@qq.com</w:t>
      </w:r>
      <w:r>
        <w:rPr>
          <w:rFonts w:hint="eastAsia" w:ascii="宋体" w:hAnsi="宋体" w:cs="宋体"/>
          <w:b/>
          <w:bCs/>
          <w:color w:val="auto"/>
          <w:szCs w:val="21"/>
          <w:highlight w:val="none"/>
        </w:rPr>
        <w:t>递交方式提交《采购活动现场确认声明书》，未按规定提交的，视为均无利害关系。</w:t>
      </w:r>
    </w:p>
    <w:p w14:paraId="4039132B">
      <w:pPr>
        <w:rPr>
          <w:rFonts w:hint="eastAsia" w:ascii="宋体" w:hAnsi="宋体" w:eastAsia="宋体"/>
          <w:i w:val="0"/>
          <w:iCs w:val="0"/>
          <w:color w:val="auto"/>
          <w:highlight w:val="none"/>
        </w:rPr>
      </w:pPr>
    </w:p>
    <w:p w14:paraId="787CF8AF">
      <w:pPr>
        <w:pStyle w:val="2"/>
        <w:snapToGrid w:val="0"/>
        <w:rPr>
          <w:rFonts w:hint="eastAsia" w:ascii="宋体" w:hAnsi="宋体" w:eastAsia="宋体"/>
          <w:i w:val="0"/>
          <w:iCs w:val="0"/>
          <w:color w:val="auto"/>
          <w:highlight w:val="none"/>
        </w:rPr>
      </w:pPr>
      <w:r>
        <w:rPr>
          <w:rFonts w:hint="eastAsia" w:ascii="宋体" w:hAnsi="宋体" w:eastAsia="宋体"/>
          <w:i w:val="0"/>
          <w:iCs w:val="0"/>
          <w:color w:val="auto"/>
          <w:highlight w:val="none"/>
        </w:rPr>
        <w:t>资格文件</w:t>
      </w:r>
      <w:bookmarkEnd w:id="84"/>
      <w:r>
        <w:rPr>
          <w:rFonts w:hint="eastAsia" w:ascii="宋体" w:hAnsi="宋体" w:eastAsia="宋体"/>
          <w:i w:val="0"/>
          <w:iCs w:val="0"/>
          <w:color w:val="auto"/>
          <w:highlight w:val="none"/>
        </w:rPr>
        <w:t> </w:t>
      </w:r>
    </w:p>
    <w:p w14:paraId="6DD11B5A">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5A4F3847">
      <w:pPr>
        <w:shd w:val="clear" w:color="auto" w:fill="FFFFFF"/>
        <w:snapToGrid w:val="0"/>
        <w:spacing w:line="360" w:lineRule="auto"/>
        <w:rPr>
          <w:rFonts w:hint="eastAsia" w:ascii="宋体" w:hAnsi="宋体" w:cs="宋体"/>
          <w:color w:val="auto"/>
          <w:kern w:val="0"/>
          <w:sz w:val="24"/>
          <w:highlight w:val="none"/>
        </w:rPr>
      </w:pPr>
      <w:bookmarkStart w:id="85" w:name="_Hlk33176655"/>
      <w:r>
        <w:rPr>
          <w:rFonts w:hint="eastAsia" w:ascii="宋体" w:hAnsi="宋体" w:cs="宋体"/>
          <w:color w:val="auto"/>
          <w:kern w:val="0"/>
          <w:sz w:val="24"/>
          <w:highlight w:val="none"/>
        </w:rPr>
        <w:t>（1）营业执照………………………………………………………………………………（页码）</w:t>
      </w:r>
    </w:p>
    <w:p w14:paraId="511327D2">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（2）具有完善的财务制度的承诺函………………………………………………………（页码）</w:t>
      </w:r>
    </w:p>
    <w:p w14:paraId="79898957">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（3）具有履行合同所必需的场地、设备和专业技术能力的承诺函……………………（页码）</w:t>
      </w:r>
    </w:p>
    <w:p w14:paraId="437DC02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（4）依法缴纳税收和社会保障资金的承诺函……………………………………………（页码）</w:t>
      </w:r>
    </w:p>
    <w:p w14:paraId="5CA839EF">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（5）参加政府采购活动前3年内在经营活动中没有重大违法记录的声明函…………（页码）</w:t>
      </w:r>
    </w:p>
    <w:p w14:paraId="651DF4F5">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（6）单位负责人为同一人或者存在直接控股、管理关系的不同供应商，不得参加同一合同项下的政府采购活动承诺函……………………………………………………………………（页码）</w:t>
      </w:r>
    </w:p>
    <w:p w14:paraId="01B9DC6C">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（7）投标供应商没有失信记录承诺函……………………………………………………（页码）</w:t>
      </w:r>
    </w:p>
    <w:bookmarkEnd w:id="85"/>
    <w:p w14:paraId="2EE57FE1">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（8）中小企业声明函、监狱企业、残疾人福利性单位及其他相关的充分的证明材料…（页码）</w:t>
      </w:r>
    </w:p>
    <w:p w14:paraId="07156ECE">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（9）根据招标公告要求，证明投标人具备资格所必须提交的资料……………………（页码）</w:t>
      </w:r>
    </w:p>
    <w:p w14:paraId="14A9B061">
      <w:pPr>
        <w:shd w:val="clear" w:color="auto" w:fill="FFFFFF"/>
        <w:snapToGrid w:val="0"/>
        <w:spacing w:line="360" w:lineRule="auto"/>
        <w:rPr>
          <w:rFonts w:hint="eastAsia" w:ascii="宋体" w:hAnsi="宋体" w:cs="宋体"/>
          <w:color w:val="auto"/>
          <w:kern w:val="0"/>
          <w:sz w:val="24"/>
          <w:highlight w:val="none"/>
        </w:rPr>
      </w:pPr>
    </w:p>
    <w:p w14:paraId="3825588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23C2A0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66236E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31ECFAF">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1A21988">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050CB8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5AB0081">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635B1BBD">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281525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35E3D44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4387EC0">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740734E2">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41FCE2FB">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59F53E86">
      <w:pPr>
        <w:shd w:val="clear" w:color="auto" w:fill="FFFFFF"/>
        <w:snapToGrid w:val="0"/>
        <w:spacing w:line="360" w:lineRule="auto"/>
        <w:ind w:firstLine="480" w:firstLineChars="200"/>
        <w:rPr>
          <w:rFonts w:hint="eastAsia" w:ascii="宋体" w:hAnsi="宋体" w:cs="宋体"/>
          <w:i w:val="0"/>
          <w:iCs w:val="0"/>
          <w:color w:val="auto"/>
          <w:sz w:val="24"/>
          <w:highlight w:val="none"/>
        </w:rPr>
      </w:pPr>
    </w:p>
    <w:p w14:paraId="035B3980">
      <w:pPr>
        <w:pStyle w:val="31"/>
        <w:rPr>
          <w:rFonts w:hint="eastAsia"/>
          <w:color w:val="auto"/>
          <w:highlight w:val="none"/>
        </w:rPr>
      </w:pPr>
    </w:p>
    <w:p w14:paraId="447AB1B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79D3B4A">
      <w:pPr>
        <w:bidi w:val="0"/>
        <w:jc w:val="center"/>
        <w:rPr>
          <w:rFonts w:hint="eastAsia" w:ascii="宋体" w:hAnsi="宋体" w:eastAsia="宋体" w:cs="宋体"/>
          <w:b/>
          <w:i w:val="0"/>
          <w:iCs w:val="0"/>
          <w:color w:val="auto"/>
          <w:kern w:val="36"/>
          <w:sz w:val="32"/>
          <w:szCs w:val="28"/>
          <w:highlight w:val="none"/>
          <w:lang w:val="en-US" w:eastAsia="zh-CN" w:bidi="ar-SA"/>
        </w:rPr>
      </w:pPr>
      <w:bookmarkStart w:id="86" w:name="_Toc354996708"/>
      <w:bookmarkStart w:id="87" w:name="_Toc33194408"/>
    </w:p>
    <w:p w14:paraId="79D65C47">
      <w:pPr>
        <w:bidi w:val="0"/>
        <w:jc w:val="center"/>
        <w:rPr>
          <w:rFonts w:hint="eastAsia" w:ascii="宋体" w:hAnsi="宋体" w:eastAsia="宋体" w:cs="宋体"/>
          <w:b/>
          <w:i w:val="0"/>
          <w:iCs w:val="0"/>
          <w:color w:val="auto"/>
          <w:kern w:val="36"/>
          <w:sz w:val="32"/>
          <w:szCs w:val="28"/>
          <w:highlight w:val="none"/>
          <w:lang w:val="en-US" w:eastAsia="zh-CN" w:bidi="ar-SA"/>
        </w:rPr>
      </w:pPr>
    </w:p>
    <w:p w14:paraId="098DB364">
      <w:pPr>
        <w:pStyle w:val="2"/>
        <w:snapToGrid w:val="0"/>
        <w:rPr>
          <w:rFonts w:hint="eastAsia" w:ascii="宋体" w:hAnsi="宋体" w:eastAsia="宋体"/>
          <w:color w:val="auto"/>
          <w:szCs w:val="32"/>
          <w:highlight w:val="none"/>
        </w:rPr>
      </w:pPr>
      <w:r>
        <w:rPr>
          <w:rFonts w:hint="eastAsia" w:ascii="宋体" w:hAnsi="宋体" w:eastAsia="宋体"/>
          <w:color w:val="auto"/>
          <w:szCs w:val="32"/>
          <w:highlight w:val="none"/>
        </w:rPr>
        <w:t>一、营业执照（复印件）</w:t>
      </w:r>
    </w:p>
    <w:p w14:paraId="5921CE45">
      <w:pPr>
        <w:snapToGrid w:val="0"/>
        <w:spacing w:line="360" w:lineRule="auto"/>
        <w:rPr>
          <w:rFonts w:hint="eastAsia" w:ascii="宋体" w:hAnsi="宋体" w:cs="宋体"/>
          <w:color w:val="auto"/>
          <w:highlight w:val="none"/>
        </w:rPr>
      </w:pPr>
    </w:p>
    <w:p w14:paraId="1C41C955">
      <w:pPr>
        <w:snapToGrid w:val="0"/>
        <w:spacing w:line="360" w:lineRule="auto"/>
        <w:rPr>
          <w:rFonts w:hint="eastAsia" w:ascii="宋体" w:hAnsi="宋体" w:cs="宋体"/>
          <w:color w:val="auto"/>
          <w:highlight w:val="none"/>
        </w:rPr>
      </w:pPr>
    </w:p>
    <w:p w14:paraId="6E1D325A">
      <w:pPr>
        <w:shd w:val="clear" w:color="auto" w:fill="FFFFFF"/>
        <w:snapToGrid w:val="0"/>
        <w:spacing w:line="360" w:lineRule="auto"/>
        <w:jc w:val="center"/>
        <w:rPr>
          <w:rFonts w:hint="eastAsia" w:ascii="宋体" w:hAnsi="宋体" w:cs="宋体"/>
          <w:b/>
          <w:color w:val="auto"/>
          <w:kern w:val="36"/>
          <w:sz w:val="32"/>
          <w:szCs w:val="32"/>
          <w:highlight w:val="none"/>
        </w:rPr>
      </w:pPr>
      <w:r>
        <w:rPr>
          <w:rFonts w:hint="eastAsia" w:ascii="宋体" w:hAnsi="宋体" w:cs="宋体"/>
          <w:b/>
          <w:color w:val="auto"/>
          <w:kern w:val="36"/>
          <w:sz w:val="32"/>
          <w:szCs w:val="32"/>
          <w:highlight w:val="none"/>
        </w:rPr>
        <w:t>二、</w:t>
      </w:r>
      <w:r>
        <w:rPr>
          <w:rFonts w:hint="eastAsia" w:ascii="宋体" w:hAnsi="宋体" w:cs="宋体"/>
          <w:b/>
          <w:bCs/>
          <w:color w:val="auto"/>
          <w:sz w:val="32"/>
          <w:szCs w:val="32"/>
          <w:highlight w:val="none"/>
        </w:rPr>
        <w:t>具有完善的财务制度的承诺函</w:t>
      </w:r>
    </w:p>
    <w:p w14:paraId="6DC0155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p>
    <w:p w14:paraId="7AB62D18">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我方</w:t>
      </w:r>
      <w:r>
        <w:rPr>
          <w:rFonts w:hint="eastAsia" w:ascii="宋体" w:hAnsi="宋体" w:cs="宋体"/>
          <w:color w:val="auto"/>
          <w:sz w:val="22"/>
          <w:szCs w:val="22"/>
          <w:highlight w:val="none"/>
          <w:u w:val="single"/>
        </w:rPr>
        <w:t xml:space="preserve"> （供应商）</w:t>
      </w:r>
      <w:r>
        <w:rPr>
          <w:rFonts w:hint="eastAsia" w:ascii="宋体" w:hAnsi="宋体" w:cs="宋体"/>
          <w:color w:val="auto"/>
          <w:sz w:val="22"/>
          <w:szCs w:val="22"/>
          <w:highlight w:val="none"/>
        </w:rPr>
        <w:t>承诺本单位具有完善的财务制度。如有虚假，采购人可取消我方任何资格（投标/中标/签订合同），我方对此无任何异议。</w:t>
      </w:r>
    </w:p>
    <w:p w14:paraId="3BA05FDB">
      <w:pPr>
        <w:widowControl/>
        <w:snapToGrid w:val="0"/>
        <w:spacing w:line="360" w:lineRule="auto"/>
        <w:ind w:firstLine="440" w:firstLineChars="200"/>
        <w:jc w:val="left"/>
        <w:rPr>
          <w:rFonts w:hint="eastAsia" w:ascii="宋体" w:hAnsi="宋体" w:cs="宋体"/>
          <w:color w:val="auto"/>
          <w:sz w:val="22"/>
          <w:szCs w:val="22"/>
          <w:highlight w:val="none"/>
        </w:rPr>
      </w:pPr>
    </w:p>
    <w:p w14:paraId="7074A22B">
      <w:pPr>
        <w:widowControl/>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特此承诺！</w:t>
      </w:r>
    </w:p>
    <w:p w14:paraId="34B694F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166E689">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F44EF3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748711A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6332C25F">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75E0E4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D4E3AAD">
      <w:pPr>
        <w:snapToGrid w:val="0"/>
        <w:spacing w:line="360" w:lineRule="auto"/>
        <w:rPr>
          <w:rFonts w:hint="eastAsia" w:ascii="宋体" w:hAnsi="宋体" w:cs="宋体"/>
          <w:color w:val="auto"/>
          <w:highlight w:val="none"/>
        </w:rPr>
      </w:pPr>
    </w:p>
    <w:p w14:paraId="0D89659C">
      <w:pPr>
        <w:snapToGrid w:val="0"/>
        <w:spacing w:line="360" w:lineRule="auto"/>
        <w:rPr>
          <w:rFonts w:hint="eastAsia" w:ascii="宋体" w:hAnsi="宋体" w:cs="宋体"/>
          <w:color w:val="auto"/>
          <w:highlight w:val="none"/>
        </w:rPr>
      </w:pPr>
    </w:p>
    <w:p w14:paraId="2945D50A">
      <w:pPr>
        <w:pStyle w:val="2"/>
        <w:snapToGrid w:val="0"/>
        <w:rPr>
          <w:rFonts w:hint="eastAsia" w:ascii="宋体" w:hAnsi="宋体" w:eastAsia="宋体"/>
          <w:color w:val="auto"/>
          <w:highlight w:val="none"/>
        </w:rPr>
      </w:pPr>
      <w:bookmarkStart w:id="88" w:name="_Toc27119254"/>
      <w:bookmarkStart w:id="89" w:name="_Toc33194405"/>
      <w:r>
        <w:rPr>
          <w:rFonts w:hint="eastAsia" w:ascii="宋体" w:hAnsi="宋体" w:eastAsia="宋体"/>
          <w:color w:val="auto"/>
          <w:highlight w:val="none"/>
        </w:rPr>
        <w:t>三、具有履行合同所必需的场地、设备和专业技术能力的承诺函</w:t>
      </w:r>
      <w:bookmarkEnd w:id="88"/>
      <w:bookmarkEnd w:id="89"/>
    </w:p>
    <w:p w14:paraId="0D1E8764">
      <w:pPr>
        <w:snapToGrid w:val="0"/>
        <w:spacing w:line="360" w:lineRule="auto"/>
        <w:rPr>
          <w:rFonts w:hint="eastAsia" w:ascii="宋体" w:hAnsi="宋体" w:cs="宋体"/>
          <w:color w:val="auto"/>
          <w:highlight w:val="none"/>
        </w:rPr>
      </w:pPr>
    </w:p>
    <w:p w14:paraId="220D3D60">
      <w:pPr>
        <w:snapToGrid w:val="0"/>
        <w:spacing w:line="360" w:lineRule="auto"/>
        <w:rPr>
          <w:rFonts w:hint="eastAsia" w:ascii="宋体" w:hAnsi="宋体" w:cs="宋体"/>
          <w:color w:val="auto"/>
          <w:highlight w:val="none"/>
        </w:rPr>
      </w:pPr>
    </w:p>
    <w:p w14:paraId="49C1AE45">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B1E05A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承诺具有履行合同所必需的场地、设备和专业技术能力。如有虚假，采购人可取消我方任何资格（投标/中标/签订合同），我方对此无任何异议。</w:t>
      </w:r>
    </w:p>
    <w:p w14:paraId="1BE6745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D8621E4">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09F62C0">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36EA36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3930DC0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6930D806">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0C3C50C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08FFAA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7C3DBC3">
      <w:p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四、依法缴纳税收和社会保障资金的承诺函</w:t>
      </w:r>
    </w:p>
    <w:p w14:paraId="09524811">
      <w:pPr>
        <w:spacing w:line="360" w:lineRule="auto"/>
        <w:rPr>
          <w:rFonts w:hint="eastAsia" w:ascii="宋体" w:hAnsi="宋体" w:cs="宋体"/>
          <w:b/>
          <w:color w:val="auto"/>
          <w:kern w:val="0"/>
          <w:sz w:val="24"/>
          <w:szCs w:val="28"/>
          <w:highlight w:val="none"/>
          <w:u w:val="single"/>
        </w:rPr>
      </w:pPr>
    </w:p>
    <w:p w14:paraId="2781209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06E709E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14:paraId="3F966E98">
      <w:pPr>
        <w:spacing w:line="360" w:lineRule="auto"/>
        <w:ind w:firstLine="440" w:firstLineChars="200"/>
        <w:rPr>
          <w:rFonts w:hint="eastAsia" w:ascii="宋体" w:hAnsi="宋体" w:cs="宋体"/>
          <w:color w:val="auto"/>
          <w:kern w:val="0"/>
          <w:sz w:val="22"/>
          <w:szCs w:val="22"/>
          <w:highlight w:val="none"/>
        </w:rPr>
      </w:pPr>
    </w:p>
    <w:p w14:paraId="6317B104">
      <w:pPr>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74D64C8D">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2DDBD017">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400095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3FE9E94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D399DE8">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14FB7C1">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606AF00">
      <w:pPr>
        <w:widowControl/>
        <w:snapToGrid w:val="0"/>
        <w:spacing w:line="360" w:lineRule="auto"/>
        <w:ind w:firstLine="480" w:firstLineChars="200"/>
        <w:jc w:val="left"/>
        <w:rPr>
          <w:rFonts w:hint="eastAsia" w:ascii="宋体" w:hAnsi="宋体" w:cs="宋体"/>
          <w:color w:val="auto"/>
          <w:kern w:val="0"/>
          <w:sz w:val="24"/>
          <w:highlight w:val="none"/>
        </w:rPr>
      </w:pPr>
    </w:p>
    <w:p w14:paraId="34C7BDC3">
      <w:pPr>
        <w:widowControl/>
        <w:snapToGrid w:val="0"/>
        <w:spacing w:line="360" w:lineRule="auto"/>
        <w:jc w:val="left"/>
        <w:rPr>
          <w:rFonts w:hint="eastAsia" w:ascii="宋体" w:hAnsi="宋体" w:cs="宋体"/>
          <w:color w:val="auto"/>
          <w:kern w:val="0"/>
          <w:szCs w:val="21"/>
          <w:highlight w:val="none"/>
        </w:rPr>
      </w:pPr>
    </w:p>
    <w:p w14:paraId="239436B9">
      <w:pPr>
        <w:pStyle w:val="2"/>
        <w:numPr>
          <w:ilvl w:val="0"/>
          <w:numId w:val="5"/>
        </w:numPr>
        <w:snapToGrid w:val="0"/>
        <w:rPr>
          <w:rFonts w:hint="eastAsia" w:ascii="宋体" w:hAnsi="宋体" w:eastAsia="宋体"/>
          <w:color w:val="auto"/>
          <w:highlight w:val="none"/>
        </w:rPr>
      </w:pPr>
      <w:bookmarkStart w:id="90" w:name="_Toc6606"/>
      <w:bookmarkStart w:id="91" w:name="_Toc33194406"/>
      <w:bookmarkStart w:id="92" w:name="_Toc11360"/>
      <w:bookmarkStart w:id="93" w:name="_Toc18304"/>
      <w:bookmarkStart w:id="94" w:name="_Toc28957"/>
      <w:bookmarkStart w:id="95" w:name="_Toc14589"/>
      <w:bookmarkStart w:id="96" w:name="_Toc14988"/>
      <w:bookmarkStart w:id="97" w:name="_Toc31784"/>
      <w:bookmarkStart w:id="98" w:name="_Toc31544"/>
      <w:bookmarkStart w:id="99" w:name="_Toc10630"/>
      <w:bookmarkStart w:id="100" w:name="_Toc27119255"/>
      <w:bookmarkStart w:id="101" w:name="_Toc13669"/>
      <w:r>
        <w:rPr>
          <w:rFonts w:hint="eastAsia" w:ascii="宋体" w:hAnsi="宋体" w:eastAsia="宋体"/>
          <w:color w:val="auto"/>
          <w:highlight w:val="none"/>
        </w:rPr>
        <w:t>参加政府采购活动前3年内在经营活动中没有重大违法记录的</w:t>
      </w:r>
    </w:p>
    <w:p w14:paraId="2693B074">
      <w:pPr>
        <w:pStyle w:val="2"/>
        <w:snapToGrid w:val="0"/>
        <w:rPr>
          <w:rFonts w:hint="eastAsia" w:ascii="宋体" w:hAnsi="宋体" w:eastAsia="宋体"/>
          <w:color w:val="auto"/>
          <w:highlight w:val="none"/>
        </w:rPr>
      </w:pPr>
      <w:r>
        <w:rPr>
          <w:rFonts w:hint="eastAsia" w:ascii="宋体" w:hAnsi="宋体" w:eastAsia="宋体"/>
          <w:color w:val="auto"/>
          <w:highlight w:val="none"/>
        </w:rPr>
        <w:t>声明函</w:t>
      </w:r>
      <w:bookmarkEnd w:id="90"/>
      <w:bookmarkEnd w:id="91"/>
      <w:bookmarkEnd w:id="92"/>
      <w:bookmarkEnd w:id="93"/>
      <w:bookmarkEnd w:id="94"/>
      <w:bookmarkEnd w:id="95"/>
      <w:bookmarkEnd w:id="96"/>
      <w:bookmarkEnd w:id="97"/>
      <w:bookmarkEnd w:id="98"/>
      <w:bookmarkEnd w:id="99"/>
      <w:bookmarkEnd w:id="100"/>
      <w:bookmarkEnd w:id="101"/>
    </w:p>
    <w:p w14:paraId="52EA2023">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7000310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（供应商）</w:t>
      </w:r>
      <w:r>
        <w:rPr>
          <w:rFonts w:hint="eastAsia" w:ascii="宋体" w:hAnsi="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F4D163E">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691BE41D">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23B9D144">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6DBFF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5C12A56">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F5701D0">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C758B9D">
      <w:pPr>
        <w:spacing w:line="360" w:lineRule="auto"/>
        <w:jc w:val="center"/>
        <w:rPr>
          <w:rFonts w:hint="eastAsia" w:ascii="宋体" w:hAnsi="宋体" w:cs="宋体"/>
          <w:b/>
          <w:color w:val="auto"/>
          <w:kern w:val="36"/>
          <w:sz w:val="32"/>
          <w:szCs w:val="28"/>
          <w:highlight w:val="none"/>
        </w:rPr>
      </w:pPr>
    </w:p>
    <w:p w14:paraId="3BE16EE0">
      <w:pPr>
        <w:spacing w:line="360" w:lineRule="auto"/>
        <w:jc w:val="center"/>
        <w:rPr>
          <w:rFonts w:hint="eastAsia" w:ascii="宋体" w:hAnsi="宋体" w:cs="宋体"/>
          <w:b/>
          <w:color w:val="auto"/>
          <w:w w:val="80"/>
          <w:kern w:val="0"/>
          <w:sz w:val="32"/>
          <w:szCs w:val="32"/>
          <w:highlight w:val="none"/>
        </w:rPr>
      </w:pPr>
      <w:r>
        <w:rPr>
          <w:rFonts w:hint="eastAsia" w:ascii="宋体" w:hAnsi="宋体" w:cs="宋体"/>
          <w:b/>
          <w:color w:val="auto"/>
          <w:kern w:val="36"/>
          <w:sz w:val="32"/>
          <w:szCs w:val="28"/>
          <w:highlight w:val="none"/>
        </w:rPr>
        <w:t>六、</w:t>
      </w:r>
      <w:r>
        <w:rPr>
          <w:rFonts w:hint="eastAsia" w:ascii="宋体" w:hAnsi="宋体" w:cs="宋体"/>
          <w:b/>
          <w:color w:val="auto"/>
          <w:kern w:val="0"/>
          <w:sz w:val="32"/>
          <w:szCs w:val="32"/>
          <w:highlight w:val="none"/>
        </w:rPr>
        <w:t>与参加本次项目同一合同项下政府采购活动的其他供应商不存在单位负责人为同一人或者直接控股、管理关系的承诺函</w:t>
      </w:r>
    </w:p>
    <w:p w14:paraId="1C89BFB2">
      <w:pPr>
        <w:shd w:val="clear" w:color="auto" w:fill="FFFFFF"/>
        <w:snapToGrid w:val="0"/>
        <w:spacing w:line="360" w:lineRule="auto"/>
        <w:rPr>
          <w:rFonts w:hint="eastAsia" w:ascii="宋体" w:hAnsi="宋体" w:cs="宋体"/>
          <w:color w:val="auto"/>
          <w:sz w:val="24"/>
          <w:highlight w:val="none"/>
        </w:rPr>
      </w:pPr>
    </w:p>
    <w:p w14:paraId="16434408">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6F9238CD">
      <w:pPr>
        <w:spacing w:before="31" w:beforeLines="10"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我方郑重承诺，我方此次</w:t>
      </w:r>
      <w:r>
        <w:rPr>
          <w:rFonts w:hint="eastAsia" w:ascii="宋体" w:hAnsi="宋体" w:cs="宋体"/>
          <w:color w:val="auto"/>
          <w:kern w:val="0"/>
          <w:sz w:val="22"/>
          <w:szCs w:val="22"/>
          <w:highlight w:val="none"/>
          <w:u w:val="single"/>
        </w:rPr>
        <w:t xml:space="preserve">         （项目名称）              </w:t>
      </w:r>
      <w:r>
        <w:rPr>
          <w:rFonts w:hint="eastAsia" w:ascii="宋体" w:hAnsi="宋体" w:cs="宋体"/>
          <w:color w:val="auto"/>
          <w:kern w:val="0"/>
          <w:sz w:val="22"/>
          <w:szCs w:val="22"/>
          <w:highlight w:val="none"/>
        </w:rPr>
        <w:t>的投标，与参加本次项目同一合同项下政府采购活动的其他供应商不存在单位负责人为同一人或者直接控股、管理关系。如有虚假或隐瞒，愿意承担一切后果。</w:t>
      </w:r>
    </w:p>
    <w:p w14:paraId="0E4AC6F0">
      <w:pPr>
        <w:shd w:val="clear" w:color="auto" w:fill="FFFFFF"/>
        <w:snapToGrid w:val="0"/>
        <w:spacing w:line="400" w:lineRule="exact"/>
        <w:jc w:val="center"/>
        <w:rPr>
          <w:rFonts w:hint="eastAsia" w:ascii="宋体" w:hAnsi="宋体" w:cs="宋体"/>
          <w:b/>
          <w:color w:val="auto"/>
          <w:kern w:val="36"/>
          <w:sz w:val="22"/>
          <w:szCs w:val="22"/>
          <w:highlight w:val="none"/>
        </w:rPr>
      </w:pPr>
    </w:p>
    <w:p w14:paraId="05430E23">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34309A80">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3F38016C">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6E59048C">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4E4B98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1D23BD7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9A55FD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1336305">
      <w:pPr>
        <w:spacing w:line="360" w:lineRule="auto"/>
        <w:rPr>
          <w:rFonts w:hint="eastAsia" w:ascii="宋体" w:hAnsi="宋体" w:cs="宋体"/>
          <w:b/>
          <w:color w:val="auto"/>
          <w:kern w:val="0"/>
          <w:sz w:val="32"/>
          <w:szCs w:val="32"/>
          <w:highlight w:val="none"/>
        </w:rPr>
      </w:pPr>
    </w:p>
    <w:p w14:paraId="030EA115">
      <w:pPr>
        <w:spacing w:line="360" w:lineRule="auto"/>
        <w:jc w:val="left"/>
        <w:rPr>
          <w:rFonts w:hint="eastAsia" w:ascii="宋体" w:hAnsi="宋体" w:cs="宋体"/>
          <w:b/>
          <w:color w:val="auto"/>
          <w:kern w:val="36"/>
          <w:sz w:val="32"/>
          <w:szCs w:val="28"/>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36"/>
          <w:sz w:val="32"/>
          <w:szCs w:val="28"/>
          <w:highlight w:val="none"/>
        </w:rPr>
        <w:t>投标供应商没有失信记录承诺函</w:t>
      </w:r>
    </w:p>
    <w:p w14:paraId="5DE4944C">
      <w:pPr>
        <w:shd w:val="clear" w:color="auto" w:fill="FFFFFF"/>
        <w:snapToGrid w:val="0"/>
        <w:spacing w:line="400" w:lineRule="exact"/>
        <w:rPr>
          <w:rFonts w:hint="eastAsia" w:ascii="宋体" w:hAnsi="宋体" w:cs="宋体"/>
          <w:color w:val="auto"/>
          <w:sz w:val="22"/>
          <w:szCs w:val="22"/>
          <w:highlight w:val="none"/>
        </w:rPr>
      </w:pPr>
    </w:p>
    <w:p w14:paraId="1D36E32E">
      <w:pPr>
        <w:shd w:val="clear" w:color="auto" w:fill="FFFFFF"/>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衢州市生态环境局</w:t>
      </w:r>
      <w:r>
        <w:rPr>
          <w:rFonts w:hint="eastAsia" w:ascii="宋体" w:hAnsi="宋体" w:cs="宋体"/>
          <w:color w:val="auto"/>
          <w:sz w:val="22"/>
          <w:szCs w:val="22"/>
          <w:highlight w:val="none"/>
        </w:rPr>
        <w:t>、浙江中兰工程项目管理有限公司</w:t>
      </w:r>
      <w:r>
        <w:rPr>
          <w:rFonts w:hint="eastAsia" w:ascii="宋体" w:hAnsi="宋体" w:cs="宋体"/>
          <w:color w:val="auto"/>
          <w:kern w:val="0"/>
          <w:sz w:val="22"/>
          <w:szCs w:val="22"/>
          <w:highlight w:val="none"/>
        </w:rPr>
        <w:t>：</w:t>
      </w:r>
    </w:p>
    <w:p w14:paraId="1F47B0AF">
      <w:pPr>
        <w:spacing w:line="400" w:lineRule="exact"/>
        <w:ind w:firstLine="399" w:firstLineChars="202"/>
        <w:jc w:val="left"/>
        <w:rPr>
          <w:rFonts w:hint="eastAsia" w:ascii="宋体" w:hAnsi="宋体" w:cs="宋体"/>
          <w:color w:val="auto"/>
          <w:spacing w:val="-11"/>
          <w:kern w:val="0"/>
          <w:sz w:val="22"/>
          <w:szCs w:val="22"/>
          <w:highlight w:val="none"/>
        </w:rPr>
      </w:pPr>
      <w:r>
        <w:rPr>
          <w:rFonts w:hint="eastAsia" w:ascii="宋体" w:hAnsi="宋体" w:cs="宋体"/>
          <w:color w:val="auto"/>
          <w:spacing w:val="-11"/>
          <w:kern w:val="0"/>
          <w:sz w:val="22"/>
          <w:szCs w:val="22"/>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29314FE1">
      <w:pPr>
        <w:shd w:val="clear" w:color="auto" w:fill="FFFFFF"/>
        <w:snapToGrid w:val="0"/>
        <w:spacing w:line="400" w:lineRule="exact"/>
        <w:rPr>
          <w:rFonts w:hint="eastAsia" w:ascii="宋体" w:hAnsi="宋体" w:cs="宋体"/>
          <w:color w:val="auto"/>
          <w:sz w:val="22"/>
          <w:szCs w:val="22"/>
          <w:highlight w:val="none"/>
        </w:rPr>
      </w:pPr>
    </w:p>
    <w:p w14:paraId="168454DE">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1DEE66C9">
      <w:pPr>
        <w:widowControl/>
        <w:snapToGrid w:val="0"/>
        <w:spacing w:line="400" w:lineRule="exact"/>
        <w:ind w:firstLine="440" w:firstLineChars="200"/>
        <w:jc w:val="left"/>
        <w:rPr>
          <w:rFonts w:hint="eastAsia" w:ascii="宋体" w:hAnsi="宋体" w:cs="宋体"/>
          <w:color w:val="auto"/>
          <w:kern w:val="0"/>
          <w:sz w:val="22"/>
          <w:szCs w:val="22"/>
          <w:highlight w:val="none"/>
        </w:rPr>
      </w:pPr>
    </w:p>
    <w:p w14:paraId="61ACE47F">
      <w:pPr>
        <w:widowControl/>
        <w:snapToGrid w:val="0"/>
        <w:spacing w:line="40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F56BFD2">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54D880BA">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p>
    <w:p w14:paraId="21E859FA">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13F38D99">
      <w:pPr>
        <w:widowControl/>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6113B9B">
      <w:pPr>
        <w:spacing w:line="360" w:lineRule="auto"/>
        <w:jc w:val="center"/>
        <w:rPr>
          <w:rFonts w:hint="eastAsia" w:ascii="宋体" w:hAnsi="宋体" w:cs="宋体"/>
          <w:b/>
          <w:color w:val="auto"/>
          <w:kern w:val="36"/>
          <w:sz w:val="30"/>
          <w:szCs w:val="30"/>
          <w:highlight w:val="none"/>
        </w:rPr>
      </w:pPr>
    </w:p>
    <w:p w14:paraId="7BE107BF">
      <w:pPr>
        <w:pageBreakBefore/>
        <w:shd w:val="clear" w:color="auto" w:fill="FFFFFF"/>
        <w:snapToGrid w:val="0"/>
        <w:spacing w:line="360" w:lineRule="auto"/>
        <w:jc w:val="center"/>
        <w:outlineLvl w:val="2"/>
        <w:rPr>
          <w:rFonts w:hint="eastAsia" w:ascii="宋体" w:hAnsi="宋体" w:cs="宋体"/>
          <w:color w:val="auto"/>
          <w:spacing w:val="-11"/>
          <w:sz w:val="28"/>
          <w:szCs w:val="28"/>
          <w:highlight w:val="none"/>
        </w:rPr>
      </w:pPr>
      <w:r>
        <w:rPr>
          <w:rFonts w:hint="eastAsia" w:ascii="宋体" w:hAnsi="宋体" w:cs="宋体"/>
          <w:b/>
          <w:bCs/>
          <w:color w:val="auto"/>
          <w:spacing w:val="-11"/>
          <w:sz w:val="28"/>
          <w:szCs w:val="28"/>
          <w:highlight w:val="none"/>
        </w:rPr>
        <w:t>八、中小企业声明函、监狱企业、残疾人福利性单位及其他相关的充分的证明材料</w:t>
      </w:r>
    </w:p>
    <w:p w14:paraId="39776F0D">
      <w:pPr>
        <w:pStyle w:val="37"/>
        <w:spacing w:before="157" w:beforeLines="50" w:after="157" w:afterLines="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中小企业声明函（服务）</w:t>
      </w:r>
    </w:p>
    <w:p w14:paraId="3BF9314E">
      <w:pPr>
        <w:pStyle w:val="9"/>
        <w:autoSpaceDE w:val="0"/>
        <w:autoSpaceDN w:val="0"/>
        <w:spacing w:after="0" w:line="380" w:lineRule="exact"/>
        <w:ind w:right="-54" w:firstLine="480" w:firstLineChars="200"/>
        <w:rPr>
          <w:rFonts w:hint="eastAsia" w:ascii="宋体" w:hAnsi="宋体" w:cs="宋体"/>
          <w:color w:val="auto"/>
          <w:sz w:val="24"/>
          <w:highlight w:val="none"/>
        </w:rPr>
      </w:pPr>
    </w:p>
    <w:p w14:paraId="6C2E3045">
      <w:pPr>
        <w:pStyle w:val="9"/>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 xml:space="preserve">  （单位名称） </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（项目名称）  </w:t>
      </w:r>
      <w:r>
        <w:rPr>
          <w:rFonts w:hint="eastAsia" w:ascii="宋体" w:hAnsi="宋体" w:cs="宋体"/>
          <w:color w:val="auto"/>
          <w:sz w:val="22"/>
          <w:szCs w:val="22"/>
          <w:highlight w:val="none"/>
        </w:rPr>
        <w:t>采购活动，</w:t>
      </w:r>
      <w:r>
        <w:rPr>
          <w:rFonts w:hint="eastAsia" w:ascii="宋体" w:hAnsi="宋体" w:cs="宋体"/>
          <w:bCs/>
          <w:color w:val="auto"/>
          <w:sz w:val="22"/>
          <w:szCs w:val="22"/>
          <w:highlight w:val="none"/>
        </w:rPr>
        <w:t>服</w:t>
      </w:r>
      <w:r>
        <w:rPr>
          <w:rFonts w:hint="eastAsia" w:ascii="宋体" w:hAnsi="宋体" w:cs="宋体"/>
          <w:color w:val="auto"/>
          <w:sz w:val="22"/>
          <w:szCs w:val="22"/>
          <w:highlight w:val="none"/>
        </w:rPr>
        <w:t>务全部由符合政策要求的中小企业承接。相关企业（含联合体中的中小企业、签订分包意向协议的中小企业）的具体情况如下：</w:t>
      </w:r>
    </w:p>
    <w:p w14:paraId="59D7B15C">
      <w:pPr>
        <w:pStyle w:val="9"/>
        <w:autoSpaceDE w:val="0"/>
        <w:autoSpaceDN w:val="0"/>
        <w:spacing w:after="0" w:line="380" w:lineRule="exact"/>
        <w:ind w:right="-54" w:firstLine="440" w:firstLineChars="200"/>
        <w:rPr>
          <w:rFonts w:hint="eastAsia" w:ascii="宋体" w:hAnsi="宋体" w:cs="宋体"/>
          <w:color w:val="auto"/>
          <w:w w:val="99"/>
          <w:sz w:val="22"/>
          <w:szCs w:val="22"/>
          <w:highlight w:val="none"/>
        </w:rPr>
      </w:pPr>
      <w:r>
        <w:rPr>
          <w:rFonts w:hint="eastAsia" w:ascii="宋体" w:hAnsi="宋体" w:cs="宋体"/>
          <w:color w:val="auto"/>
          <w:sz w:val="22"/>
          <w:szCs w:val="22"/>
          <w:highlight w:val="none"/>
        </w:rPr>
        <w:t>1.</w:t>
      </w:r>
      <w:r>
        <w:rPr>
          <w:rFonts w:hint="eastAsia" w:ascii="宋体" w:hAnsi="宋体" w:cs="宋体"/>
          <w:color w:val="auto"/>
          <w:w w:val="96"/>
          <w:sz w:val="22"/>
          <w:szCs w:val="22"/>
          <w:highlight w:val="none"/>
          <w:u w:val="single"/>
        </w:rPr>
        <w:t>（标的名称）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属于</w:t>
      </w:r>
      <w:r>
        <w:rPr>
          <w:rFonts w:hint="eastAsia" w:ascii="宋体" w:hAnsi="宋体" w:cs="宋体"/>
          <w:color w:val="auto"/>
          <w:w w:val="96"/>
          <w:sz w:val="22"/>
          <w:szCs w:val="22"/>
          <w:highlight w:val="none"/>
        </w:rPr>
        <w:t>（</w:t>
      </w:r>
      <w:r>
        <w:rPr>
          <w:rFonts w:hint="eastAsia" w:ascii="宋体" w:hAnsi="宋体" w:cs="宋体"/>
          <w:color w:val="auto"/>
          <w:w w:val="96"/>
          <w:sz w:val="22"/>
          <w:szCs w:val="22"/>
          <w:highlight w:val="none"/>
          <w:u w:val="single"/>
        </w:rPr>
        <w:t>采购文件中明确的所属行业）</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承建（承接）企业为</w:t>
      </w:r>
      <w:r>
        <w:rPr>
          <w:rFonts w:hint="eastAsia" w:ascii="宋体" w:hAnsi="宋体" w:cs="宋体"/>
          <w:color w:val="auto"/>
          <w:w w:val="96"/>
          <w:sz w:val="22"/>
          <w:szCs w:val="22"/>
          <w:highlight w:val="none"/>
          <w:u w:val="single"/>
        </w:rPr>
        <w:t>（企业名称）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w w:val="99"/>
          <w:sz w:val="22"/>
          <w:szCs w:val="22"/>
          <w:highlight w:val="none"/>
          <w:u w:val="single"/>
        </w:rPr>
        <w:t xml:space="preserve">  </w:t>
      </w:r>
      <w:r>
        <w:rPr>
          <w:rFonts w:hint="eastAsia" w:ascii="宋体" w:hAnsi="宋体" w:cs="宋体"/>
          <w:color w:val="auto"/>
          <w:sz w:val="22"/>
          <w:szCs w:val="22"/>
          <w:highlight w:val="none"/>
        </w:rPr>
        <w:t>人</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w:t>
      </w: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（中型企业、</w:t>
      </w:r>
      <w:r>
        <w:rPr>
          <w:rFonts w:hint="eastAsia" w:ascii="宋体" w:hAnsi="宋体" w:cs="宋体"/>
          <w:color w:val="auto"/>
          <w:w w:val="96"/>
          <w:sz w:val="22"/>
          <w:szCs w:val="22"/>
          <w:highlight w:val="none"/>
          <w:u w:val="single"/>
        </w:rPr>
        <w:t>小型企业、微型企业）</w:t>
      </w:r>
      <w:r>
        <w:rPr>
          <w:rFonts w:hint="eastAsia" w:ascii="宋体" w:hAnsi="宋体" w:cs="宋体"/>
          <w:color w:val="auto"/>
          <w:w w:val="99"/>
          <w:sz w:val="22"/>
          <w:szCs w:val="22"/>
          <w:highlight w:val="none"/>
        </w:rPr>
        <w:t>；</w:t>
      </w:r>
    </w:p>
    <w:p w14:paraId="32322B81">
      <w:pPr>
        <w:pStyle w:val="9"/>
        <w:autoSpaceDE w:val="0"/>
        <w:autoSpaceDN w:val="0"/>
        <w:spacing w:after="0" w:line="380" w:lineRule="exact"/>
        <w:ind w:right="-54" w:firstLine="440" w:firstLineChars="200"/>
        <w:rPr>
          <w:rFonts w:hint="eastAsia" w:ascii="宋体" w:hAnsi="宋体" w:cs="宋体"/>
          <w:color w:val="auto"/>
          <w:w w:val="99"/>
          <w:sz w:val="22"/>
          <w:szCs w:val="22"/>
          <w:highlight w:val="none"/>
        </w:rPr>
      </w:pPr>
      <w:r>
        <w:rPr>
          <w:rFonts w:hint="eastAsia" w:ascii="宋体" w:hAnsi="宋体" w:cs="宋体"/>
          <w:color w:val="auto"/>
          <w:sz w:val="22"/>
          <w:szCs w:val="22"/>
          <w:highlight w:val="none"/>
        </w:rPr>
        <w:t>2.</w:t>
      </w:r>
      <w:r>
        <w:rPr>
          <w:rFonts w:hint="eastAsia" w:ascii="宋体" w:hAnsi="宋体" w:cs="宋体"/>
          <w:color w:val="auto"/>
          <w:w w:val="96"/>
          <w:sz w:val="22"/>
          <w:szCs w:val="22"/>
          <w:highlight w:val="none"/>
          <w:u w:val="single"/>
        </w:rPr>
        <w:t>（标的名称）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属于</w:t>
      </w:r>
      <w:r>
        <w:rPr>
          <w:rFonts w:hint="eastAsia" w:ascii="宋体" w:hAnsi="宋体" w:cs="宋体"/>
          <w:color w:val="auto"/>
          <w:w w:val="96"/>
          <w:sz w:val="22"/>
          <w:szCs w:val="22"/>
          <w:highlight w:val="none"/>
        </w:rPr>
        <w:t>（</w:t>
      </w:r>
      <w:r>
        <w:rPr>
          <w:rFonts w:hint="eastAsia" w:ascii="宋体" w:hAnsi="宋体" w:cs="宋体"/>
          <w:color w:val="auto"/>
          <w:w w:val="96"/>
          <w:sz w:val="22"/>
          <w:szCs w:val="22"/>
          <w:highlight w:val="none"/>
          <w:u w:val="single"/>
        </w:rPr>
        <w:t>采购文件中明确的所属行业）</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承建（承接）企业为</w:t>
      </w:r>
      <w:r>
        <w:rPr>
          <w:rFonts w:hint="eastAsia" w:ascii="宋体" w:hAnsi="宋体" w:cs="宋体"/>
          <w:color w:val="auto"/>
          <w:w w:val="96"/>
          <w:sz w:val="22"/>
          <w:szCs w:val="22"/>
          <w:highlight w:val="none"/>
          <w:u w:val="single"/>
        </w:rPr>
        <w:t>（企业名称）</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从业人员</w:t>
      </w:r>
      <w:r>
        <w:rPr>
          <w:rFonts w:hint="eastAsia" w:ascii="宋体" w:hAnsi="宋体" w:cs="宋体"/>
          <w:color w:val="auto"/>
          <w:w w:val="99"/>
          <w:sz w:val="22"/>
          <w:szCs w:val="22"/>
          <w:highlight w:val="none"/>
          <w:u w:val="single"/>
        </w:rPr>
        <w:t xml:space="preserve">    </w:t>
      </w:r>
      <w:r>
        <w:rPr>
          <w:rFonts w:hint="eastAsia" w:ascii="宋体" w:hAnsi="宋体" w:cs="宋体"/>
          <w:color w:val="auto"/>
          <w:sz w:val="22"/>
          <w:szCs w:val="22"/>
          <w:highlight w:val="none"/>
        </w:rPr>
        <w:t>人</w:t>
      </w:r>
      <w:r>
        <w:rPr>
          <w:rFonts w:hint="eastAsia" w:ascii="宋体" w:hAnsi="宋体" w:cs="宋体"/>
          <w:color w:val="auto"/>
          <w:w w:val="99"/>
          <w:sz w:val="22"/>
          <w:szCs w:val="22"/>
          <w:highlight w:val="none"/>
        </w:rPr>
        <w:t>，</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万元</w:t>
      </w: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w:t>
      </w:r>
      <w:r>
        <w:rPr>
          <w:rFonts w:hint="eastAsia" w:ascii="宋体" w:hAnsi="宋体" w:cs="宋体"/>
          <w:i/>
          <w:color w:val="auto"/>
          <w:w w:val="96"/>
          <w:sz w:val="22"/>
          <w:szCs w:val="22"/>
          <w:highlight w:val="none"/>
          <w:u w:val="single"/>
        </w:rPr>
        <w:t>□中型企业、□小型企业、□微型企业</w:t>
      </w:r>
      <w:r>
        <w:rPr>
          <w:rFonts w:hint="eastAsia" w:ascii="宋体" w:hAnsi="宋体" w:cs="宋体"/>
          <w:color w:val="auto"/>
          <w:w w:val="96"/>
          <w:sz w:val="22"/>
          <w:szCs w:val="22"/>
          <w:highlight w:val="none"/>
          <w:u w:val="single"/>
        </w:rPr>
        <w:t>）</w:t>
      </w:r>
      <w:r>
        <w:rPr>
          <w:rFonts w:hint="eastAsia" w:ascii="宋体" w:hAnsi="宋体" w:cs="宋体"/>
          <w:color w:val="auto"/>
          <w:w w:val="99"/>
          <w:sz w:val="22"/>
          <w:szCs w:val="22"/>
          <w:highlight w:val="none"/>
        </w:rPr>
        <w:t>；</w:t>
      </w:r>
    </w:p>
    <w:p w14:paraId="50E673E0">
      <w:pPr>
        <w:pStyle w:val="9"/>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5C8F6E9D">
      <w:pPr>
        <w:pStyle w:val="9"/>
        <w:autoSpaceDE w:val="0"/>
        <w:autoSpaceDN w:val="0"/>
        <w:spacing w:after="0" w:line="380" w:lineRule="exact"/>
        <w:ind w:right="-54" w:firstLine="440" w:firstLineChars="200"/>
        <w:rPr>
          <w:rFonts w:hint="eastAsia" w:ascii="宋体" w:hAnsi="宋体" w:cs="宋体"/>
          <w:color w:val="auto"/>
          <w:sz w:val="22"/>
          <w:szCs w:val="22"/>
          <w:highlight w:val="none"/>
        </w:rPr>
      </w:pPr>
    </w:p>
    <w:p w14:paraId="4EE485D1">
      <w:pPr>
        <w:pStyle w:val="9"/>
        <w:autoSpaceDE w:val="0"/>
        <w:autoSpaceDN w:val="0"/>
        <w:spacing w:after="0" w:line="380" w:lineRule="exact"/>
        <w:ind w:right="-54"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49EB0EE5">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16F49529">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7D9A3921">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企业名称（盖章）：</w:t>
      </w:r>
    </w:p>
    <w:p w14:paraId="54B66295">
      <w:pPr>
        <w:widowControl/>
        <w:snapToGrid w:val="0"/>
        <w:spacing w:line="380" w:lineRule="exact"/>
        <w:ind w:firstLine="4400" w:firstLineChars="20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49889F95">
      <w:pPr>
        <w:pStyle w:val="20"/>
        <w:spacing w:before="0" w:beforeAutospacing="0" w:after="0" w:afterAutospacing="0" w:line="360" w:lineRule="auto"/>
        <w:ind w:firstLine="440" w:firstLineChars="200"/>
        <w:jc w:val="both"/>
        <w:rPr>
          <w:rFonts w:hint="eastAsia" w:cs="宋体"/>
          <w:color w:val="auto"/>
          <w:sz w:val="22"/>
          <w:szCs w:val="22"/>
          <w:highlight w:val="none"/>
        </w:rPr>
      </w:pPr>
    </w:p>
    <w:p w14:paraId="3754271B">
      <w:pPr>
        <w:pStyle w:val="20"/>
        <w:spacing w:before="0" w:beforeAutospacing="0" w:after="0" w:afterAutospacing="0" w:line="240" w:lineRule="atLeast"/>
        <w:ind w:firstLine="440" w:firstLineChars="200"/>
        <w:jc w:val="both"/>
        <w:rPr>
          <w:rFonts w:hint="eastAsia"/>
          <w:color w:val="auto"/>
          <w:sz w:val="22"/>
          <w:szCs w:val="22"/>
          <w:highlight w:val="none"/>
        </w:rPr>
      </w:pPr>
      <w:r>
        <w:rPr>
          <w:rFonts w:hint="eastAsia" w:ascii="宋体" w:hAnsi="宋体" w:cs="宋体"/>
          <w:color w:val="auto"/>
          <w:sz w:val="22"/>
          <w:szCs w:val="22"/>
          <w:highlight w:val="none"/>
          <w:vertAlign w:val="superscript"/>
        </w:rPr>
        <w:t>1</w:t>
      </w:r>
      <w:r>
        <w:rPr>
          <w:rFonts w:hint="eastAsia" w:ascii="宋体" w:hAnsi="宋体" w:cs="宋体"/>
          <w:color w:val="auto"/>
          <w:sz w:val="22"/>
          <w:szCs w:val="22"/>
          <w:highlight w:val="none"/>
        </w:rPr>
        <w:t>从业人员、营业收入、资产总额填报上一年度数据，无上一年度数据的新成立企业可不填报。</w:t>
      </w:r>
    </w:p>
    <w:p w14:paraId="3F2B8E47">
      <w:pPr>
        <w:widowControl/>
        <w:pBdr>
          <w:bottom w:val="single" w:color="auto" w:sz="6" w:space="1"/>
        </w:pBdr>
        <w:snapToGrid w:val="0"/>
        <w:spacing w:line="380" w:lineRule="exact"/>
        <w:jc w:val="left"/>
        <w:rPr>
          <w:rFonts w:hint="eastAsia" w:ascii="宋体" w:hAnsi="宋体" w:cs="宋体"/>
          <w:color w:val="auto"/>
          <w:kern w:val="0"/>
          <w:sz w:val="22"/>
          <w:szCs w:val="22"/>
          <w:highlight w:val="none"/>
        </w:rPr>
      </w:pPr>
    </w:p>
    <w:p w14:paraId="12DAF2DB">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填写说明：</w:t>
      </w:r>
    </w:p>
    <w:p w14:paraId="7F77E8A6">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1）投标人为中型、小型、微型企业的提供此函；</w:t>
      </w:r>
    </w:p>
    <w:p w14:paraId="494A1CDA">
      <w:pPr>
        <w:widowControl/>
        <w:snapToGrid w:val="0"/>
        <w:spacing w:line="38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小企业应当按照《政府采购促进中小企业发展管理办法》规定和《中小企业划型标准规定》（工信部联企业〔2011〕300号），如实填写并提交《中小企业声明函》。未按要求出具声明函的，投标报价不予扣减，中型企业不享受价格扣除。</w:t>
      </w:r>
    </w:p>
    <w:p w14:paraId="571B6658">
      <w:pPr>
        <w:widowControl/>
        <w:snapToGrid w:val="0"/>
        <w:spacing w:line="380" w:lineRule="exact"/>
        <w:ind w:firstLine="440" w:firstLineChars="200"/>
        <w:jc w:val="left"/>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3）小型、微型企业参加政府采购活动时，应提供：a）《中小企业声明函》；上述证明材料提供不齐全的，不能享受价格扣除。</w:t>
      </w:r>
    </w:p>
    <w:p w14:paraId="7B207835">
      <w:pPr>
        <w:widowControl/>
        <w:snapToGrid w:val="0"/>
        <w:spacing w:line="360" w:lineRule="auto"/>
        <w:ind w:firstLine="442" w:firstLineChars="200"/>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▲投标人提供的中小企业声明函与实际情况不符的，视为投标人提供虚假材料投标的，投标无效。</w:t>
      </w:r>
    </w:p>
    <w:p w14:paraId="42DB8301">
      <w:pPr>
        <w:widowControl/>
        <w:snapToGrid w:val="0"/>
        <w:spacing w:line="520" w:lineRule="exact"/>
        <w:ind w:firstLine="827" w:firstLineChars="200"/>
        <w:jc w:val="center"/>
        <w:rPr>
          <w:rFonts w:hint="eastAsia" w:ascii="宋体" w:hAnsi="宋体" w:cs="宋体"/>
          <w:b/>
          <w:color w:val="auto"/>
          <w:spacing w:val="6"/>
          <w:sz w:val="40"/>
          <w:szCs w:val="40"/>
          <w:highlight w:val="none"/>
        </w:rPr>
      </w:pPr>
    </w:p>
    <w:p w14:paraId="3054036A">
      <w:pPr>
        <w:widowControl/>
        <w:snapToGrid w:val="0"/>
        <w:spacing w:line="520" w:lineRule="exact"/>
        <w:jc w:val="center"/>
        <w:rPr>
          <w:rFonts w:hint="eastAsia" w:ascii="宋体" w:hAnsi="宋体" w:cs="宋体"/>
          <w:b/>
          <w:color w:val="auto"/>
          <w:spacing w:val="6"/>
          <w:sz w:val="40"/>
          <w:szCs w:val="40"/>
          <w:highlight w:val="none"/>
        </w:rPr>
      </w:pPr>
    </w:p>
    <w:p w14:paraId="74ECA7E4">
      <w:pPr>
        <w:widowControl/>
        <w:snapToGrid w:val="0"/>
        <w:spacing w:line="520" w:lineRule="exact"/>
        <w:jc w:val="center"/>
        <w:rPr>
          <w:rFonts w:hint="eastAsia" w:ascii="宋体" w:hAnsi="宋体" w:cs="宋体"/>
          <w:b/>
          <w:color w:val="auto"/>
          <w:spacing w:val="6"/>
          <w:sz w:val="40"/>
          <w:szCs w:val="40"/>
          <w:highlight w:val="none"/>
        </w:rPr>
      </w:pPr>
    </w:p>
    <w:p w14:paraId="7B6EA875">
      <w:pPr>
        <w:widowControl/>
        <w:snapToGrid w:val="0"/>
        <w:spacing w:line="520" w:lineRule="exact"/>
        <w:jc w:val="center"/>
        <w:rPr>
          <w:rFonts w:hint="eastAsia" w:ascii="宋体" w:hAnsi="宋体" w:cs="宋体"/>
          <w:color w:val="auto"/>
          <w:kern w:val="0"/>
          <w:sz w:val="24"/>
          <w:highlight w:val="none"/>
        </w:rPr>
      </w:pPr>
      <w:r>
        <w:rPr>
          <w:rFonts w:hint="eastAsia" w:ascii="宋体" w:hAnsi="宋体" w:cs="宋体"/>
          <w:b/>
          <w:color w:val="auto"/>
          <w:spacing w:val="6"/>
          <w:sz w:val="40"/>
          <w:szCs w:val="40"/>
          <w:highlight w:val="none"/>
        </w:rPr>
        <w:t>监狱或戒毒企业声明函</w:t>
      </w:r>
    </w:p>
    <w:p w14:paraId="0F965C2B">
      <w:pPr>
        <w:widowControl/>
        <w:snapToGrid w:val="0"/>
        <w:spacing w:line="38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【不属于监狱或戒毒企业的无需填写、递交】</w:t>
      </w:r>
    </w:p>
    <w:p w14:paraId="5DF49DA9">
      <w:pPr>
        <w:pStyle w:val="2"/>
        <w:rPr>
          <w:rFonts w:hint="eastAsia"/>
          <w:color w:val="auto"/>
          <w:sz w:val="22"/>
          <w:szCs w:val="22"/>
          <w:highlight w:val="none"/>
        </w:rPr>
      </w:pPr>
    </w:p>
    <w:p w14:paraId="4293DE6B">
      <w:pPr>
        <w:spacing w:line="38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本企业郑重声明，本企业为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（省、自治区、直辖市）监狱管理局（戒毒所）所属企业。本企业参加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项目采购活动提供本企业制造的货物，由本企业承担工程、提供服务，或者提供其他</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（省、自治区、直辖市）监狱管理局（戒毒所）所属企业制造的货物。</w:t>
      </w:r>
    </w:p>
    <w:p w14:paraId="51FBCB14">
      <w:pPr>
        <w:spacing w:line="380" w:lineRule="exact"/>
        <w:ind w:firstLine="464" w:firstLineChars="200"/>
        <w:rPr>
          <w:rFonts w:hint="eastAsia" w:ascii="宋体" w:hAnsi="宋体" w:cs="宋体"/>
          <w:color w:val="auto"/>
          <w:spacing w:val="6"/>
          <w:sz w:val="22"/>
          <w:szCs w:val="22"/>
          <w:highlight w:val="none"/>
        </w:rPr>
      </w:pPr>
    </w:p>
    <w:p w14:paraId="38F6C2C8">
      <w:pPr>
        <w:spacing w:line="380" w:lineRule="exact"/>
        <w:ind w:firstLine="696" w:firstLineChars="300"/>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本企业对上述</w:t>
      </w:r>
      <w:r>
        <w:rPr>
          <w:rFonts w:hint="eastAsia" w:ascii="宋体" w:hAnsi="宋体" w:cs="宋体"/>
          <w:color w:val="auto"/>
          <w:kern w:val="0"/>
          <w:sz w:val="22"/>
          <w:szCs w:val="22"/>
          <w:highlight w:val="none"/>
        </w:rPr>
        <w:t>声明</w:t>
      </w:r>
      <w:r>
        <w:rPr>
          <w:rFonts w:hint="eastAsia" w:ascii="宋体" w:hAnsi="宋体" w:cs="宋体"/>
          <w:color w:val="auto"/>
          <w:spacing w:val="6"/>
          <w:sz w:val="22"/>
          <w:szCs w:val="22"/>
          <w:highlight w:val="none"/>
        </w:rPr>
        <w:t>的真实性负责。如有虚假，将依法承担相应责任。</w:t>
      </w:r>
    </w:p>
    <w:p w14:paraId="3D249CC4">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2120B98F">
      <w:pPr>
        <w:widowControl/>
        <w:snapToGrid w:val="0"/>
        <w:spacing w:line="380" w:lineRule="exact"/>
        <w:ind w:firstLine="5500" w:firstLineChars="25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单位名称（盖章）：</w:t>
      </w:r>
    </w:p>
    <w:p w14:paraId="12FA0ADE">
      <w:pPr>
        <w:widowControl/>
        <w:snapToGrid w:val="0"/>
        <w:spacing w:line="380" w:lineRule="exact"/>
        <w:ind w:firstLine="5280" w:firstLineChars="24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CDFA9B0">
      <w:pPr>
        <w:widowControl/>
        <w:snapToGrid w:val="0"/>
        <w:spacing w:line="380" w:lineRule="exact"/>
        <w:ind w:firstLine="440" w:firstLineChars="200"/>
        <w:jc w:val="left"/>
        <w:rPr>
          <w:rFonts w:hint="eastAsia" w:ascii="宋体" w:hAnsi="宋体" w:cs="宋体"/>
          <w:color w:val="auto"/>
          <w:kern w:val="0"/>
          <w:sz w:val="22"/>
          <w:szCs w:val="22"/>
          <w:highlight w:val="none"/>
        </w:rPr>
      </w:pPr>
    </w:p>
    <w:p w14:paraId="35F153FD">
      <w:pPr>
        <w:widowControl/>
        <w:snapToGrid w:val="0"/>
        <w:spacing w:line="380" w:lineRule="exact"/>
        <w:jc w:val="left"/>
        <w:rPr>
          <w:rFonts w:hint="eastAsia" w:ascii="宋体" w:hAnsi="宋体" w:cs="宋体"/>
          <w:color w:val="auto"/>
          <w:kern w:val="0"/>
          <w:sz w:val="22"/>
          <w:szCs w:val="22"/>
          <w:highlight w:val="none"/>
        </w:rPr>
      </w:pPr>
    </w:p>
    <w:p w14:paraId="053DDFA7">
      <w:pPr>
        <w:pStyle w:val="45"/>
        <w:snapToGrid w:val="0"/>
        <w:spacing w:line="380" w:lineRule="exact"/>
        <w:ind w:firstLine="480"/>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监狱企业视同小微企业，参加本项目投标的，视为小型、微型企业，享受小微企业政策扶持。</w:t>
      </w:r>
      <w:r>
        <w:rPr>
          <w:rFonts w:hint="eastAsia" w:ascii="宋体" w:hAnsi="宋体" w:cs="宋体"/>
          <w:b/>
          <w:bCs/>
          <w:color w:val="auto"/>
          <w:sz w:val="22"/>
          <w:szCs w:val="22"/>
          <w:highlight w:val="none"/>
        </w:rPr>
        <w:t>【注：提供《监狱企业声明函》及其相关的充分的证明材料（供应商为监狱企业的证明文件：省级以上监狱管理局、戒毒管理局（含新疆生产建设兵团）出具。）</w:t>
      </w:r>
    </w:p>
    <w:p w14:paraId="0D6204FF">
      <w:pPr>
        <w:widowControl/>
        <w:snapToGrid w:val="0"/>
        <w:spacing w:line="360" w:lineRule="auto"/>
        <w:ind w:firstLine="440" w:firstLineChars="200"/>
        <w:jc w:val="left"/>
        <w:rPr>
          <w:rFonts w:hint="eastAsia" w:ascii="宋体" w:hAnsi="宋体" w:cs="宋体"/>
          <w:color w:val="auto"/>
          <w:kern w:val="0"/>
          <w:sz w:val="22"/>
          <w:szCs w:val="22"/>
          <w:highlight w:val="none"/>
        </w:rPr>
      </w:pPr>
    </w:p>
    <w:p w14:paraId="476DCF5E">
      <w:pPr>
        <w:pStyle w:val="2"/>
        <w:rPr>
          <w:rFonts w:hint="eastAsia" w:ascii="宋体" w:hAnsi="宋体"/>
          <w:color w:val="auto"/>
          <w:kern w:val="0"/>
          <w:sz w:val="24"/>
          <w:highlight w:val="none"/>
        </w:rPr>
      </w:pPr>
    </w:p>
    <w:p w14:paraId="53A42CB8">
      <w:pPr>
        <w:rPr>
          <w:rFonts w:hint="eastAsia"/>
          <w:b/>
          <w:bCs/>
          <w:color w:val="auto"/>
          <w:sz w:val="36"/>
          <w:szCs w:val="36"/>
          <w:highlight w:val="none"/>
        </w:rPr>
      </w:pPr>
    </w:p>
    <w:p w14:paraId="5FEAA03F">
      <w:pPr>
        <w:jc w:val="center"/>
        <w:rPr>
          <w:rFonts w:hint="eastAsia"/>
          <w:b/>
          <w:bCs/>
          <w:color w:val="auto"/>
          <w:sz w:val="36"/>
          <w:szCs w:val="36"/>
          <w:highlight w:val="none"/>
        </w:rPr>
      </w:pPr>
      <w:r>
        <w:rPr>
          <w:rFonts w:hint="eastAsia"/>
          <w:b/>
          <w:bCs/>
          <w:color w:val="auto"/>
          <w:sz w:val="36"/>
          <w:szCs w:val="36"/>
          <w:highlight w:val="none"/>
        </w:rPr>
        <w:br w:type="page"/>
      </w:r>
      <w:r>
        <w:rPr>
          <w:rFonts w:hint="eastAsia"/>
          <w:b/>
          <w:bCs/>
          <w:color w:val="auto"/>
          <w:sz w:val="36"/>
          <w:szCs w:val="36"/>
          <w:highlight w:val="none"/>
        </w:rPr>
        <w:t>残疾人福利性单位声明函</w:t>
      </w:r>
    </w:p>
    <w:p w14:paraId="072288D4">
      <w:pPr>
        <w:widowControl/>
        <w:snapToGrid w:val="0"/>
        <w:spacing w:line="380" w:lineRule="exact"/>
        <w:ind w:firstLine="440" w:firstLineChars="2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28FFA5C3">
      <w:pPr>
        <w:spacing w:line="380" w:lineRule="exact"/>
        <w:ind w:firstLine="440" w:firstLineChars="200"/>
        <w:rPr>
          <w:rFonts w:hint="eastAsia" w:ascii="宋体" w:hAnsi="宋体" w:cs="宋体"/>
          <w:color w:val="auto"/>
          <w:sz w:val="22"/>
          <w:szCs w:val="22"/>
          <w:highlight w:val="none"/>
        </w:rPr>
      </w:pPr>
    </w:p>
    <w:p w14:paraId="477FD645">
      <w:pPr>
        <w:spacing w:line="380" w:lineRule="exact"/>
        <w:ind w:firstLine="440" w:firstLineChars="200"/>
        <w:rPr>
          <w:rFonts w:hint="eastAsia" w:ascii="宋体" w:hAnsi="宋体" w:cs="宋体"/>
          <w:color w:val="auto"/>
          <w:spacing w:val="6"/>
          <w:sz w:val="22"/>
          <w:szCs w:val="22"/>
          <w:highlight w:val="none"/>
          <w:u w:val="singl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2"/>
          <w:szCs w:val="22"/>
          <w:highlight w:val="none"/>
          <w:u w:val="single"/>
        </w:rPr>
        <w:t xml:space="preserve">   </w:t>
      </w:r>
    </w:p>
    <w:p w14:paraId="68434A76">
      <w:pPr>
        <w:spacing w:line="380" w:lineRule="exact"/>
        <w:rPr>
          <w:rFonts w:hint="eastAsia" w:ascii="宋体" w:hAnsi="宋体" w:cs="宋体"/>
          <w:color w:val="auto"/>
          <w:sz w:val="22"/>
          <w:szCs w:val="22"/>
          <w:highlight w:val="none"/>
        </w:rPr>
      </w:pP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pacing w:val="6"/>
          <w:sz w:val="22"/>
          <w:szCs w:val="22"/>
          <w:highlight w:val="none"/>
          <w:u w:val="single"/>
        </w:rPr>
        <w:t xml:space="preserve">            </w:t>
      </w:r>
      <w:r>
        <w:rPr>
          <w:rFonts w:hint="eastAsia" w:ascii="宋体" w:hAnsi="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2FD68190">
      <w:pPr>
        <w:snapToGrid w:val="0"/>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1A918BDE">
      <w:pPr>
        <w:snapToGrid w:val="0"/>
        <w:spacing w:line="380" w:lineRule="exact"/>
        <w:ind w:firstLine="440" w:firstLineChars="200"/>
        <w:rPr>
          <w:rFonts w:hint="eastAsia" w:ascii="宋体" w:hAnsi="宋体" w:cs="宋体"/>
          <w:color w:val="auto"/>
          <w:sz w:val="22"/>
          <w:szCs w:val="22"/>
          <w:highlight w:val="none"/>
        </w:rPr>
      </w:pPr>
    </w:p>
    <w:p w14:paraId="56AF9019">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单位名称（盖章）：</w:t>
      </w:r>
    </w:p>
    <w:p w14:paraId="117E4321">
      <w:pPr>
        <w:tabs>
          <w:tab w:val="left" w:pos="4860"/>
        </w:tabs>
        <w:snapToGrid w:val="0"/>
        <w:spacing w:line="380" w:lineRule="exact"/>
        <w:ind w:right="1560"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EDBA945">
      <w:pPr>
        <w:tabs>
          <w:tab w:val="left" w:pos="4860"/>
        </w:tabs>
        <w:snapToGrid w:val="0"/>
        <w:spacing w:line="380" w:lineRule="exact"/>
        <w:ind w:right="1560" w:firstLine="5280" w:firstLineChars="24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4FF3E903">
      <w:pPr>
        <w:pStyle w:val="37"/>
        <w:spacing w:line="380" w:lineRule="exact"/>
        <w:ind w:firstLine="440" w:firstLineChars="200"/>
        <w:rPr>
          <w:rFonts w:hint="eastAsia"/>
          <w:color w:val="auto"/>
          <w:sz w:val="22"/>
          <w:szCs w:val="22"/>
          <w:highlight w:val="none"/>
        </w:rPr>
      </w:pPr>
      <w:r>
        <w:rPr>
          <w:rFonts w:hint="eastAsia" w:ascii="宋体" w:hAnsi="宋体" w:cs="宋体"/>
          <w:color w:val="auto"/>
          <w:sz w:val="22"/>
          <w:szCs w:val="22"/>
          <w:highlight w:val="none"/>
        </w:rPr>
        <w:t>残疾人福利性单位参加投标，</w:t>
      </w:r>
      <w:r>
        <w:rPr>
          <w:rFonts w:hint="eastAsia" w:ascii="宋体" w:hAnsi="宋体" w:cs="宋体"/>
          <w:b/>
          <w:bCs/>
          <w:color w:val="auto"/>
          <w:sz w:val="22"/>
          <w:szCs w:val="22"/>
          <w:highlight w:val="none"/>
        </w:rPr>
        <w:t>符合《财政部、民政部、中国残疾人联合会关于促进残疾人就业政府采购政策的通知》（财库〔2017〕141号）政策规定的，提供《残疾人福利性单位声明函》</w:t>
      </w:r>
      <w:r>
        <w:rPr>
          <w:rFonts w:hint="eastAsia" w:ascii="宋体" w:hAnsi="宋体" w:cs="宋体"/>
          <w:color w:val="auto"/>
          <w:sz w:val="22"/>
          <w:szCs w:val="22"/>
          <w:highlight w:val="none"/>
        </w:rPr>
        <w:t>，视为小型、微型企业，享受小微企业政策扶持。</w:t>
      </w:r>
    </w:p>
    <w:p w14:paraId="4F71FBED">
      <w:pPr>
        <w:pStyle w:val="45"/>
        <w:snapToGrid w:val="0"/>
        <w:spacing w:line="360" w:lineRule="auto"/>
        <w:ind w:left="360" w:firstLine="0" w:firstLineChars="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扶持政策说明：</w:t>
      </w:r>
    </w:p>
    <w:p w14:paraId="252C262B">
      <w:pPr>
        <w:snapToGrid w:val="0"/>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1、监狱企业视同小微企业，参加本项目投标的，享受小微企业同等的价格扣除。【注：提供《监狱企业声明函》及其相关的充分的证明材料】。</w:t>
      </w:r>
    </w:p>
    <w:p w14:paraId="34FBCC70">
      <w:pPr>
        <w:bidi w:val="0"/>
        <w:jc w:val="center"/>
        <w:rPr>
          <w:rFonts w:hint="eastAsia" w:ascii="宋体" w:hAnsi="宋体" w:cs="宋体"/>
          <w:color w:val="auto"/>
          <w:sz w:val="22"/>
          <w:szCs w:val="22"/>
          <w:highlight w:val="none"/>
        </w:rPr>
      </w:pPr>
    </w:p>
    <w:p w14:paraId="67DFE573">
      <w:pPr>
        <w:bidi w:val="0"/>
        <w:ind w:firstLine="220" w:firstLineChars="10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2、残疾人福利性单位参加投标【提供《残疾人福利性单位声明函》】，视为小型、微型企业，享受小微企业政策扶持。</w:t>
      </w:r>
    </w:p>
    <w:p w14:paraId="19C5A5F8">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7A2A9A46">
      <w:pPr>
        <w:bidi w:val="0"/>
        <w:jc w:val="center"/>
        <w:rPr>
          <w:rFonts w:hint="eastAsia" w:ascii="宋体" w:hAnsi="宋体" w:eastAsia="宋体" w:cs="宋体"/>
          <w:b/>
          <w:i w:val="0"/>
          <w:iCs w:val="0"/>
          <w:color w:val="auto"/>
          <w:kern w:val="36"/>
          <w:sz w:val="32"/>
          <w:szCs w:val="28"/>
          <w:highlight w:val="none"/>
          <w:lang w:val="en-US" w:eastAsia="zh-CN" w:bidi="ar-SA"/>
        </w:rPr>
      </w:pPr>
      <w:r>
        <w:rPr>
          <w:rFonts w:hint="eastAsia" w:ascii="宋体" w:hAnsi="宋体" w:eastAsia="宋体" w:cs="宋体"/>
          <w:b/>
          <w:i w:val="0"/>
          <w:iCs w:val="0"/>
          <w:color w:val="auto"/>
          <w:kern w:val="36"/>
          <w:sz w:val="32"/>
          <w:szCs w:val="28"/>
          <w:highlight w:val="none"/>
          <w:lang w:val="en-US" w:eastAsia="zh-CN" w:bidi="ar-SA"/>
        </w:rPr>
        <w:t>商务</w:t>
      </w:r>
      <w:bookmarkEnd w:id="86"/>
      <w:bookmarkStart w:id="102" w:name="_Toc354996709"/>
      <w:r>
        <w:rPr>
          <w:rFonts w:hint="eastAsia" w:ascii="宋体" w:hAnsi="宋体" w:eastAsia="宋体" w:cs="宋体"/>
          <w:b/>
          <w:i w:val="0"/>
          <w:iCs w:val="0"/>
          <w:color w:val="auto"/>
          <w:kern w:val="36"/>
          <w:sz w:val="32"/>
          <w:szCs w:val="28"/>
          <w:highlight w:val="none"/>
          <w:lang w:val="en-US" w:eastAsia="zh-CN" w:bidi="ar-SA"/>
        </w:rPr>
        <w:t>技术文件</w:t>
      </w:r>
      <w:bookmarkEnd w:id="87"/>
    </w:p>
    <w:p w14:paraId="01973EB9">
      <w:pPr>
        <w:shd w:val="clear" w:color="auto" w:fill="FFFFFF"/>
        <w:snapToGrid w:val="0"/>
        <w:spacing w:line="360" w:lineRule="auto"/>
        <w:jc w:val="center"/>
        <w:rPr>
          <w:rFonts w:hint="eastAsia" w:ascii="宋体" w:hAnsi="宋体" w:cs="宋体"/>
          <w:b/>
          <w:i w:val="0"/>
          <w:iCs w:val="0"/>
          <w:color w:val="auto"/>
          <w:kern w:val="0"/>
          <w:sz w:val="28"/>
          <w:szCs w:val="28"/>
          <w:highlight w:val="none"/>
        </w:rPr>
      </w:pPr>
      <w:bookmarkStart w:id="103" w:name="_Toc20721"/>
      <w:bookmarkStart w:id="104" w:name="_Toc25554"/>
      <w:bookmarkStart w:id="105" w:name="_Toc13349"/>
      <w:bookmarkStart w:id="106" w:name="_Toc27129"/>
      <w:bookmarkStart w:id="107" w:name="_Toc20650"/>
      <w:bookmarkStart w:id="108" w:name="_Toc10347"/>
      <w:bookmarkStart w:id="109" w:name="_Toc13194"/>
      <w:bookmarkStart w:id="110" w:name="_Toc7803"/>
      <w:bookmarkStart w:id="111" w:name="_Toc7049"/>
      <w:bookmarkStart w:id="112" w:name="_Toc31837"/>
      <w:bookmarkStart w:id="113" w:name="_Toc3604"/>
      <w:r>
        <w:rPr>
          <w:rFonts w:hint="eastAsia" w:ascii="宋体" w:hAnsi="宋体" w:cs="宋体"/>
          <w:b/>
          <w:i w:val="0"/>
          <w:iCs w:val="0"/>
          <w:color w:val="auto"/>
          <w:kern w:val="0"/>
          <w:sz w:val="28"/>
          <w:szCs w:val="28"/>
          <w:highlight w:val="none"/>
        </w:rPr>
        <w:t>目录</w:t>
      </w:r>
      <w:bookmarkEnd w:id="103"/>
      <w:bookmarkEnd w:id="104"/>
      <w:bookmarkEnd w:id="105"/>
      <w:bookmarkEnd w:id="106"/>
      <w:bookmarkEnd w:id="107"/>
      <w:bookmarkEnd w:id="108"/>
      <w:bookmarkEnd w:id="109"/>
      <w:bookmarkEnd w:id="110"/>
      <w:bookmarkEnd w:id="111"/>
      <w:bookmarkEnd w:id="112"/>
      <w:bookmarkEnd w:id="113"/>
    </w:p>
    <w:p w14:paraId="472D549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（1）供应商自评表………………………………………………………………………………</w:t>
      </w:r>
      <w:r>
        <w:rPr>
          <w:rFonts w:hint="eastAsia" w:ascii="宋体" w:hAnsi="宋体" w:eastAsia="宋体" w:cs="宋体"/>
          <w:i w:val="0"/>
          <w:iCs w:val="0"/>
          <w:color w:val="auto"/>
          <w:kern w:val="0"/>
          <w:sz w:val="22"/>
          <w:szCs w:val="22"/>
          <w:highlight w:val="none"/>
          <w:lang w:val="zh-CN" w:eastAsia="zh-CN"/>
        </w:rPr>
        <w:t>（页码）</w:t>
      </w:r>
    </w:p>
    <w:p w14:paraId="22588C9E">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2</w:t>
      </w:r>
      <w:r>
        <w:rPr>
          <w:rFonts w:hint="eastAsia" w:ascii="宋体" w:hAnsi="宋体" w:eastAsia="宋体" w:cs="宋体"/>
          <w:i w:val="0"/>
          <w:iCs w:val="0"/>
          <w:color w:val="auto"/>
          <w:kern w:val="0"/>
          <w:sz w:val="22"/>
          <w:szCs w:val="22"/>
          <w:highlight w:val="none"/>
          <w:lang w:val="zh-CN"/>
        </w:rPr>
        <w:t>）法定代表人资格证明书或法定代表人授权委托书………………………………………</w:t>
      </w:r>
      <w:r>
        <w:rPr>
          <w:rFonts w:hint="eastAsia" w:ascii="宋体" w:hAnsi="宋体" w:eastAsia="宋体" w:cs="宋体"/>
          <w:i w:val="0"/>
          <w:iCs w:val="0"/>
          <w:color w:val="auto"/>
          <w:kern w:val="0"/>
          <w:sz w:val="22"/>
          <w:szCs w:val="22"/>
          <w:highlight w:val="none"/>
          <w:lang w:val="zh-CN" w:eastAsia="zh-CN"/>
        </w:rPr>
        <w:t>（页码）</w:t>
      </w:r>
    </w:p>
    <w:p w14:paraId="4E3A8D12">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3</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投标人基本情况表</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（页码）</w:t>
      </w:r>
    </w:p>
    <w:p w14:paraId="42A811EF">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4</w:t>
      </w:r>
      <w:r>
        <w:rPr>
          <w:rFonts w:hint="eastAsia" w:ascii="宋体" w:hAnsi="宋体" w:eastAsia="宋体" w:cs="宋体"/>
          <w:i w:val="0"/>
          <w:iCs w:val="0"/>
          <w:color w:val="auto"/>
          <w:kern w:val="0"/>
          <w:sz w:val="22"/>
          <w:szCs w:val="22"/>
          <w:highlight w:val="none"/>
          <w:lang w:val="zh-CN"/>
        </w:rPr>
        <w:t>）类</w:t>
      </w:r>
      <w:r>
        <w:rPr>
          <w:rFonts w:hint="eastAsia" w:ascii="宋体" w:hAnsi="宋体" w:cs="宋体"/>
          <w:i w:val="0"/>
          <w:iCs w:val="0"/>
          <w:color w:val="auto"/>
          <w:kern w:val="0"/>
          <w:sz w:val="22"/>
          <w:szCs w:val="22"/>
          <w:highlight w:val="none"/>
          <w:lang w:val="zh-CN"/>
        </w:rPr>
        <w:t>似</w:t>
      </w:r>
      <w:r>
        <w:rPr>
          <w:rFonts w:hint="eastAsia" w:ascii="宋体" w:hAnsi="宋体" w:eastAsia="宋体" w:cs="宋体"/>
          <w:i w:val="0"/>
          <w:iCs w:val="0"/>
          <w:color w:val="auto"/>
          <w:kern w:val="0"/>
          <w:sz w:val="22"/>
          <w:szCs w:val="22"/>
          <w:highlight w:val="none"/>
          <w:lang w:val="zh-CN" w:eastAsia="zh-CN"/>
        </w:rPr>
        <w:t>业绩</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380FB824">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5</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技术力量</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07F800DF">
      <w:pPr>
        <w:numPr>
          <w:ilvl w:val="0"/>
          <w:numId w:val="0"/>
        </w:numPr>
        <w:snapToGrid w:val="0"/>
        <w:spacing w:line="420" w:lineRule="exact"/>
        <w:ind w:leftChars="100"/>
        <w:rPr>
          <w:rFonts w:hint="eastAsia" w:ascii="宋体" w:hAnsi="宋体" w:eastAsia="宋体" w:cs="宋体"/>
          <w:i w:val="0"/>
          <w:iCs w:val="0"/>
          <w:color w:val="auto"/>
          <w:kern w:val="0"/>
          <w:sz w:val="22"/>
          <w:szCs w:val="22"/>
          <w:highlight w:val="none"/>
          <w:lang w:val="en-US" w:eastAsia="zh-CN"/>
        </w:rPr>
      </w:pP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en-US" w:eastAsia="zh-CN"/>
        </w:rPr>
        <w:t>6</w:t>
      </w:r>
      <w:r>
        <w:rPr>
          <w:rFonts w:hint="eastAsia" w:ascii="宋体" w:hAnsi="宋体" w:eastAsia="宋体" w:cs="宋体"/>
          <w:i w:val="0"/>
          <w:iCs w:val="0"/>
          <w:color w:val="auto"/>
          <w:kern w:val="0"/>
          <w:sz w:val="22"/>
          <w:szCs w:val="22"/>
          <w:highlight w:val="none"/>
          <w:lang w:val="zh-CN"/>
        </w:rPr>
        <w:t>）</w:t>
      </w:r>
      <w:r>
        <w:rPr>
          <w:rFonts w:hint="eastAsia" w:ascii="宋体" w:hAnsi="宋体" w:eastAsia="宋体" w:cs="宋体"/>
          <w:i w:val="0"/>
          <w:iCs w:val="0"/>
          <w:color w:val="auto"/>
          <w:kern w:val="0"/>
          <w:sz w:val="22"/>
          <w:szCs w:val="22"/>
          <w:highlight w:val="none"/>
          <w:lang w:val="zh-CN" w:eastAsia="zh-CN"/>
        </w:rPr>
        <w:t>服务方案</w:t>
      </w:r>
      <w:r>
        <w:rPr>
          <w:rFonts w:hint="eastAsia" w:ascii="宋体" w:hAnsi="宋体" w:cs="宋体"/>
          <w:i w:val="0"/>
          <w:iCs w:val="0"/>
          <w:color w:val="auto"/>
          <w:kern w:val="0"/>
          <w:sz w:val="22"/>
          <w:szCs w:val="22"/>
          <w:highlight w:val="none"/>
          <w:lang w:val="zh-CN" w:eastAsia="zh-CN"/>
        </w:rPr>
        <w:t>、</w:t>
      </w:r>
      <w:r>
        <w:rPr>
          <w:rFonts w:hint="eastAsia" w:ascii="宋体" w:hAnsi="宋体" w:eastAsia="宋体" w:cs="宋体"/>
          <w:i w:val="0"/>
          <w:iCs w:val="0"/>
          <w:color w:val="auto"/>
          <w:kern w:val="0"/>
          <w:sz w:val="22"/>
          <w:szCs w:val="22"/>
          <w:highlight w:val="none"/>
          <w:lang w:val="en-US" w:eastAsia="zh-CN"/>
        </w:rPr>
        <w:t>技术方案</w:t>
      </w:r>
      <w:r>
        <w:rPr>
          <w:rFonts w:hint="eastAsia" w:ascii="宋体" w:hAnsi="宋体" w:cs="宋体"/>
          <w:i w:val="0"/>
          <w:iCs w:val="0"/>
          <w:color w:val="auto"/>
          <w:kern w:val="0"/>
          <w:sz w:val="22"/>
          <w:szCs w:val="22"/>
          <w:highlight w:val="none"/>
          <w:lang w:val="en-US" w:eastAsia="zh-CN"/>
        </w:rPr>
        <w:t>等</w:t>
      </w:r>
      <w:r>
        <w:rPr>
          <w:rFonts w:hint="eastAsia" w:ascii="宋体" w:hAnsi="宋体" w:cs="宋体"/>
          <w:i w:val="0"/>
          <w:iCs w:val="0"/>
          <w:color w:val="auto"/>
          <w:kern w:val="0"/>
          <w:sz w:val="22"/>
          <w:szCs w:val="22"/>
          <w:highlight w:val="none"/>
          <w:lang w:val="zh-CN" w:eastAsia="zh-CN"/>
        </w:rPr>
        <w:t>由投标人根据技术部分评分细则并结合自身情况编制</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2BE2D72">
      <w:pPr>
        <w:numPr>
          <w:ilvl w:val="0"/>
          <w:numId w:val="0"/>
        </w:numPr>
        <w:snapToGrid w:val="0"/>
        <w:spacing w:line="420" w:lineRule="exact"/>
        <w:ind w:leftChars="100"/>
        <w:rPr>
          <w:rFonts w:hint="eastAsia"/>
        </w:rPr>
      </w:pPr>
      <w:r>
        <w:rPr>
          <w:rFonts w:hint="eastAsia" w:ascii="宋体" w:hAnsi="宋体" w:eastAsia="宋体" w:cs="宋体"/>
          <w:i w:val="0"/>
          <w:iCs w:val="0"/>
          <w:color w:val="auto"/>
          <w:kern w:val="0"/>
          <w:sz w:val="22"/>
          <w:szCs w:val="22"/>
          <w:highlight w:val="none"/>
          <w:lang w:val="zh-CN"/>
        </w:rPr>
        <w:t>（</w:t>
      </w:r>
      <w:r>
        <w:rPr>
          <w:rFonts w:hint="eastAsia" w:ascii="宋体" w:hAnsi="宋体" w:cs="宋体"/>
          <w:i w:val="0"/>
          <w:iCs w:val="0"/>
          <w:color w:val="auto"/>
          <w:kern w:val="0"/>
          <w:sz w:val="22"/>
          <w:szCs w:val="22"/>
          <w:highlight w:val="none"/>
          <w:lang w:val="en-US" w:eastAsia="zh-CN"/>
        </w:rPr>
        <w:t>7</w:t>
      </w:r>
      <w:r>
        <w:rPr>
          <w:rFonts w:hint="eastAsia" w:ascii="宋体" w:hAnsi="宋体" w:eastAsia="宋体" w:cs="宋体"/>
          <w:i w:val="0"/>
          <w:iCs w:val="0"/>
          <w:color w:val="auto"/>
          <w:kern w:val="0"/>
          <w:sz w:val="22"/>
          <w:szCs w:val="22"/>
          <w:highlight w:val="none"/>
          <w:lang w:val="zh-CN"/>
        </w:rPr>
        <w:t>）供应商认为需要提供的其他相关资料（如有）</w:t>
      </w:r>
      <w:r>
        <w:rPr>
          <w:rFonts w:hint="eastAsia" w:ascii="宋体" w:hAnsi="宋体" w:cs="宋体"/>
          <w:i w:val="0"/>
          <w:iCs w:val="0"/>
          <w:color w:val="auto"/>
          <w:kern w:val="0"/>
          <w:sz w:val="24"/>
          <w:highlight w:val="none"/>
        </w:rPr>
        <w:t>………………………………………</w:t>
      </w:r>
      <w:r>
        <w:rPr>
          <w:rFonts w:hint="eastAsia" w:ascii="宋体" w:hAnsi="宋体" w:eastAsia="宋体" w:cs="宋体"/>
          <w:i w:val="0"/>
          <w:iCs w:val="0"/>
          <w:color w:val="auto"/>
          <w:kern w:val="0"/>
          <w:sz w:val="22"/>
          <w:szCs w:val="22"/>
          <w:highlight w:val="none"/>
          <w:lang w:val="zh-CN" w:eastAsia="zh-CN"/>
        </w:rPr>
        <w:t>（页码）</w:t>
      </w:r>
    </w:p>
    <w:p w14:paraId="48CECFD0">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p>
    <w:p w14:paraId="2B062F45">
      <w:pPr>
        <w:shd w:val="clear" w:color="auto" w:fill="FFFFFF"/>
        <w:snapToGrid w:val="0"/>
        <w:spacing w:line="360" w:lineRule="auto"/>
        <w:ind w:firstLine="440" w:firstLineChars="200"/>
        <w:jc w:val="left"/>
        <w:rPr>
          <w:rFonts w:hint="eastAsia" w:ascii="宋体" w:hAnsi="宋体" w:cs="宋体"/>
          <w:i w:val="0"/>
          <w:iCs w:val="0"/>
          <w:color w:val="auto"/>
          <w:sz w:val="22"/>
          <w:szCs w:val="22"/>
          <w:highlight w:val="none"/>
        </w:rPr>
      </w:pPr>
      <w:r>
        <w:rPr>
          <w:rFonts w:hint="eastAsia" w:ascii="宋体" w:hAnsi="宋体" w:cs="宋体"/>
          <w:i w:val="0"/>
          <w:iCs w:val="0"/>
          <w:color w:val="auto"/>
          <w:sz w:val="22"/>
          <w:szCs w:val="22"/>
          <w:highlight w:val="none"/>
        </w:rPr>
        <w:t>注：以上目录是编制投标技术文件的基本格式要求，各投标人可根据自身情况进一步细化。</w:t>
      </w:r>
    </w:p>
    <w:p w14:paraId="7FF648BA">
      <w:pPr>
        <w:pStyle w:val="9"/>
        <w:rPr>
          <w:rFonts w:hint="eastAsia" w:ascii="宋体" w:hAnsi="宋体" w:cs="宋体"/>
          <w:b/>
          <w:bCs/>
          <w:color w:val="auto"/>
          <w:sz w:val="24"/>
          <w:highlight w:val="none"/>
        </w:rPr>
      </w:pPr>
    </w:p>
    <w:p w14:paraId="42B88321">
      <w:pPr>
        <w:pStyle w:val="10"/>
        <w:rPr>
          <w:rFonts w:hint="eastAsia"/>
        </w:rPr>
      </w:pPr>
    </w:p>
    <w:p w14:paraId="5F48CDDC">
      <w:pPr>
        <w:rPr>
          <w:rFonts w:hint="eastAsia" w:ascii="宋体" w:hAnsi="宋体" w:cs="宋体"/>
          <w:b/>
          <w:bCs/>
          <w:color w:val="auto"/>
          <w:sz w:val="24"/>
          <w:highlight w:val="none"/>
        </w:rPr>
      </w:pPr>
    </w:p>
    <w:p w14:paraId="60E49777">
      <w:pPr>
        <w:pStyle w:val="9"/>
        <w:rPr>
          <w:rFonts w:hint="eastAsia" w:ascii="宋体" w:hAnsi="宋体" w:cs="宋体"/>
          <w:b/>
          <w:bCs/>
          <w:color w:val="auto"/>
          <w:sz w:val="24"/>
          <w:highlight w:val="none"/>
        </w:rPr>
      </w:pPr>
    </w:p>
    <w:p w14:paraId="7851A891">
      <w:pPr>
        <w:pStyle w:val="10"/>
        <w:rPr>
          <w:rFonts w:hint="eastAsia" w:ascii="宋体" w:hAnsi="宋体" w:cs="宋体"/>
          <w:b/>
          <w:bCs/>
          <w:color w:val="auto"/>
          <w:sz w:val="24"/>
          <w:highlight w:val="none"/>
        </w:rPr>
      </w:pPr>
    </w:p>
    <w:p w14:paraId="3B56E3C1">
      <w:pPr>
        <w:rPr>
          <w:rFonts w:hint="eastAsia" w:ascii="宋体" w:hAnsi="宋体" w:cs="宋体"/>
          <w:b/>
          <w:bCs/>
          <w:color w:val="auto"/>
          <w:sz w:val="24"/>
          <w:highlight w:val="none"/>
        </w:rPr>
      </w:pPr>
    </w:p>
    <w:p w14:paraId="39847C68">
      <w:pPr>
        <w:pStyle w:val="9"/>
        <w:rPr>
          <w:rFonts w:hint="eastAsia" w:ascii="宋体" w:hAnsi="宋体" w:cs="宋体"/>
          <w:b/>
          <w:bCs/>
          <w:color w:val="auto"/>
          <w:sz w:val="24"/>
          <w:highlight w:val="none"/>
        </w:rPr>
      </w:pPr>
    </w:p>
    <w:p w14:paraId="71FDAE01">
      <w:pPr>
        <w:pStyle w:val="10"/>
        <w:rPr>
          <w:rFonts w:hint="eastAsia" w:ascii="宋体" w:hAnsi="宋体" w:cs="宋体"/>
          <w:b/>
          <w:bCs/>
          <w:color w:val="auto"/>
          <w:sz w:val="24"/>
          <w:highlight w:val="none"/>
        </w:rPr>
      </w:pPr>
    </w:p>
    <w:p w14:paraId="4B9ED5B5">
      <w:pPr>
        <w:rPr>
          <w:rFonts w:hint="eastAsia" w:ascii="宋体" w:hAnsi="宋体" w:cs="宋体"/>
          <w:b/>
          <w:bCs/>
          <w:color w:val="auto"/>
          <w:sz w:val="24"/>
          <w:highlight w:val="none"/>
        </w:rPr>
      </w:pPr>
    </w:p>
    <w:p w14:paraId="4096FE49">
      <w:pPr>
        <w:pStyle w:val="9"/>
        <w:rPr>
          <w:rFonts w:hint="eastAsia" w:ascii="宋体" w:hAnsi="宋体" w:cs="宋体"/>
          <w:b/>
          <w:bCs/>
          <w:color w:val="auto"/>
          <w:sz w:val="24"/>
          <w:highlight w:val="none"/>
        </w:rPr>
      </w:pPr>
    </w:p>
    <w:p w14:paraId="706DB02A">
      <w:pPr>
        <w:pStyle w:val="10"/>
        <w:rPr>
          <w:rFonts w:hint="eastAsia" w:ascii="宋体" w:hAnsi="宋体" w:cs="宋体"/>
          <w:b/>
          <w:bCs/>
          <w:color w:val="auto"/>
          <w:sz w:val="24"/>
          <w:highlight w:val="none"/>
        </w:rPr>
      </w:pPr>
    </w:p>
    <w:p w14:paraId="65A476B1">
      <w:pPr>
        <w:rPr>
          <w:rFonts w:hint="eastAsia" w:ascii="宋体" w:hAnsi="宋体" w:cs="宋体"/>
          <w:b/>
          <w:bCs/>
          <w:color w:val="auto"/>
          <w:sz w:val="24"/>
          <w:highlight w:val="none"/>
        </w:rPr>
      </w:pPr>
    </w:p>
    <w:p w14:paraId="214895F8">
      <w:pPr>
        <w:pStyle w:val="9"/>
        <w:rPr>
          <w:rFonts w:hint="eastAsia" w:ascii="宋体" w:hAnsi="宋体" w:cs="宋体"/>
          <w:b/>
          <w:bCs/>
          <w:color w:val="auto"/>
          <w:sz w:val="24"/>
          <w:highlight w:val="none"/>
        </w:rPr>
      </w:pPr>
    </w:p>
    <w:p w14:paraId="6414BD83">
      <w:pPr>
        <w:spacing w:line="340" w:lineRule="exact"/>
        <w:jc w:val="center"/>
        <w:rPr>
          <w:rFonts w:hint="eastAsia" w:ascii="宋体" w:hAnsi="宋体" w:cs="宋体"/>
          <w:b/>
          <w:color w:val="auto"/>
          <w:sz w:val="24"/>
          <w:highlight w:val="none"/>
          <w:lang w:val="en-US" w:eastAsia="zh-CN"/>
        </w:rPr>
      </w:pPr>
    </w:p>
    <w:p w14:paraId="75C88E7B">
      <w:pPr>
        <w:pStyle w:val="23"/>
        <w:rPr>
          <w:rFonts w:hint="eastAsia" w:ascii="宋体" w:hAnsi="宋体" w:cs="宋体"/>
          <w:b/>
          <w:color w:val="auto"/>
          <w:sz w:val="24"/>
          <w:highlight w:val="none"/>
          <w:lang w:val="en-US" w:eastAsia="zh-CN"/>
        </w:rPr>
      </w:pPr>
    </w:p>
    <w:p w14:paraId="4BDF35CC">
      <w:pPr>
        <w:pStyle w:val="10"/>
        <w:rPr>
          <w:rFonts w:hint="eastAsia"/>
          <w:color w:val="auto"/>
          <w:highlight w:val="none"/>
          <w:lang w:val="en-US" w:eastAsia="zh-CN"/>
        </w:rPr>
      </w:pPr>
    </w:p>
    <w:p w14:paraId="2B60A1E2">
      <w:pPr>
        <w:rPr>
          <w:rFonts w:hint="eastAsia"/>
          <w:color w:val="auto"/>
          <w:highlight w:val="none"/>
          <w:lang w:val="en-US" w:eastAsia="zh-CN"/>
        </w:rPr>
      </w:pPr>
    </w:p>
    <w:p w14:paraId="772E51D2">
      <w:pPr>
        <w:spacing w:line="340" w:lineRule="exact"/>
        <w:jc w:val="center"/>
        <w:rPr>
          <w:rFonts w:hint="eastAsia" w:ascii="宋体" w:hAnsi="宋体" w:cs="宋体"/>
          <w:b/>
          <w:color w:val="auto"/>
          <w:sz w:val="24"/>
          <w:highlight w:val="none"/>
          <w:lang w:val="en-US" w:eastAsia="zh-CN"/>
        </w:rPr>
      </w:pPr>
    </w:p>
    <w:p w14:paraId="0985C672">
      <w:pPr>
        <w:pStyle w:val="9"/>
        <w:rPr>
          <w:rFonts w:hint="eastAsia" w:ascii="宋体" w:hAnsi="宋体" w:cs="宋体"/>
          <w:b/>
          <w:color w:val="auto"/>
          <w:sz w:val="24"/>
          <w:highlight w:val="none"/>
          <w:lang w:val="en-US" w:eastAsia="zh-CN"/>
        </w:rPr>
      </w:pPr>
    </w:p>
    <w:p w14:paraId="14D983EA">
      <w:pPr>
        <w:pStyle w:val="10"/>
        <w:rPr>
          <w:rFonts w:hint="eastAsia" w:ascii="宋体" w:hAnsi="宋体" w:cs="宋体"/>
          <w:b/>
          <w:color w:val="auto"/>
          <w:sz w:val="24"/>
          <w:highlight w:val="none"/>
          <w:lang w:val="en-US" w:eastAsia="zh-CN"/>
        </w:rPr>
      </w:pPr>
    </w:p>
    <w:p w14:paraId="18AE1447">
      <w:pPr>
        <w:rPr>
          <w:rFonts w:hint="eastAsia" w:ascii="宋体" w:hAnsi="宋体" w:cs="宋体"/>
          <w:b/>
          <w:color w:val="auto"/>
          <w:sz w:val="24"/>
          <w:highlight w:val="none"/>
          <w:lang w:val="en-US" w:eastAsia="zh-CN"/>
        </w:rPr>
      </w:pPr>
    </w:p>
    <w:p w14:paraId="37EC7DC4">
      <w:pPr>
        <w:pStyle w:val="9"/>
        <w:rPr>
          <w:rFonts w:hint="eastAsia"/>
          <w:lang w:val="en-US" w:eastAsia="zh-CN"/>
        </w:rPr>
      </w:pPr>
    </w:p>
    <w:p w14:paraId="37F39E32">
      <w:pPr>
        <w:spacing w:line="340" w:lineRule="exact"/>
        <w:jc w:val="center"/>
        <w:rPr>
          <w:rFonts w:hint="eastAsia" w:ascii="宋体" w:hAnsi="宋体" w:cs="宋体"/>
          <w:b/>
          <w:color w:val="auto"/>
          <w:sz w:val="24"/>
          <w:highlight w:val="none"/>
          <w:lang w:val="en-US" w:eastAsia="zh-CN"/>
        </w:rPr>
      </w:pPr>
    </w:p>
    <w:p w14:paraId="1D89B2F6">
      <w:pPr>
        <w:spacing w:line="3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1.商务</w:t>
      </w:r>
      <w:r>
        <w:rPr>
          <w:rFonts w:hint="eastAsia" w:ascii="宋体" w:hAnsi="宋体" w:cs="宋体"/>
          <w:b/>
          <w:color w:val="auto"/>
          <w:sz w:val="28"/>
          <w:szCs w:val="28"/>
          <w:highlight w:val="none"/>
        </w:rPr>
        <w:t>自评分表</w:t>
      </w:r>
    </w:p>
    <w:p w14:paraId="11934E24">
      <w:pPr>
        <w:pStyle w:val="2"/>
        <w:rPr>
          <w:rFonts w:hint="eastAsia"/>
        </w:rPr>
      </w:pPr>
    </w:p>
    <w:tbl>
      <w:tblPr>
        <w:tblStyle w:val="24"/>
        <w:tblW w:w="9431" w:type="dxa"/>
        <w:jc w:val="center"/>
        <w:tblLayout w:type="fixed"/>
        <w:tblCellMar>
          <w:top w:w="0" w:type="dxa"/>
          <w:left w:w="108" w:type="dxa"/>
          <w:bottom w:w="0" w:type="dxa"/>
          <w:right w:w="108" w:type="dxa"/>
        </w:tblCellMar>
      </w:tblPr>
      <w:tblGrid>
        <w:gridCol w:w="1241"/>
        <w:gridCol w:w="5063"/>
        <w:gridCol w:w="1280"/>
        <w:gridCol w:w="1105"/>
        <w:gridCol w:w="742"/>
      </w:tblGrid>
      <w:tr w14:paraId="725A6D14">
        <w:tblPrEx>
          <w:tblCellMar>
            <w:top w:w="0" w:type="dxa"/>
            <w:left w:w="108" w:type="dxa"/>
            <w:bottom w:w="0" w:type="dxa"/>
            <w:right w:w="108" w:type="dxa"/>
          </w:tblCellMar>
        </w:tblPrEx>
        <w:trPr>
          <w:trHeight w:val="1132" w:hRule="atLeast"/>
          <w:jc w:val="center"/>
        </w:trPr>
        <w:tc>
          <w:tcPr>
            <w:tcW w:w="1241" w:type="dxa"/>
            <w:tcBorders>
              <w:top w:val="single" w:color="auto" w:sz="4" w:space="0"/>
              <w:left w:val="single" w:color="auto" w:sz="4" w:space="0"/>
              <w:bottom w:val="nil"/>
              <w:right w:val="single" w:color="auto" w:sz="4" w:space="0"/>
            </w:tcBorders>
            <w:shd w:val="clear" w:color="000000" w:fill="FFFFFF"/>
            <w:noWrap w:val="0"/>
            <w:vAlign w:val="center"/>
          </w:tcPr>
          <w:p w14:paraId="2168BD0A">
            <w:pPr>
              <w:jc w:val="center"/>
              <w:rPr>
                <w:rFonts w:ascii="宋体" w:hAnsi="宋体" w:cs="宋体"/>
                <w:b/>
                <w:color w:val="auto"/>
                <w:sz w:val="24"/>
                <w:highlight w:val="none"/>
              </w:rPr>
            </w:pPr>
            <w:r>
              <w:rPr>
                <w:rFonts w:ascii="宋体" w:hAnsi="宋体" w:cs="宋体"/>
                <w:b/>
                <w:color w:val="auto"/>
                <w:sz w:val="24"/>
                <w:highlight w:val="none"/>
              </w:rPr>
              <w:t>评分项目</w:t>
            </w: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11D58845">
            <w:pPr>
              <w:jc w:val="center"/>
              <w:rPr>
                <w:rFonts w:ascii="宋体" w:hAnsi="宋体" w:cs="宋体"/>
                <w:b/>
                <w:color w:val="auto"/>
                <w:sz w:val="24"/>
                <w:highlight w:val="none"/>
              </w:rPr>
            </w:pPr>
            <w:r>
              <w:rPr>
                <w:rFonts w:ascii="宋体" w:hAnsi="宋体" w:cs="宋体"/>
                <w:b/>
                <w:color w:val="auto"/>
                <w:sz w:val="24"/>
                <w:highlight w:val="none"/>
              </w:rPr>
              <w:t>评分内容</w:t>
            </w: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4E8A90A">
            <w:pPr>
              <w:jc w:val="center"/>
              <w:rPr>
                <w:rFonts w:ascii="宋体" w:hAnsi="宋体" w:cs="宋体"/>
                <w:b/>
                <w:color w:val="auto"/>
                <w:sz w:val="24"/>
                <w:highlight w:val="none"/>
              </w:rPr>
            </w:pPr>
            <w:r>
              <w:rPr>
                <w:rFonts w:ascii="宋体" w:hAnsi="宋体" w:cs="宋体"/>
                <w:b/>
                <w:color w:val="auto"/>
                <w:sz w:val="24"/>
                <w:highlight w:val="none"/>
              </w:rPr>
              <w:t>分范围值</w:t>
            </w: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6620B367">
            <w:pPr>
              <w:jc w:val="center"/>
              <w:rPr>
                <w:rFonts w:ascii="宋体" w:hAnsi="宋体" w:cs="宋体"/>
                <w:b/>
                <w:color w:val="auto"/>
                <w:sz w:val="24"/>
                <w:highlight w:val="none"/>
              </w:rPr>
            </w:pPr>
            <w:r>
              <w:rPr>
                <w:rFonts w:ascii="宋体" w:hAnsi="宋体" w:cs="宋体"/>
                <w:b/>
                <w:color w:val="auto"/>
                <w:sz w:val="24"/>
                <w:highlight w:val="none"/>
              </w:rPr>
              <w:t>资料所在页码</w:t>
            </w: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497A1FFA">
            <w:pPr>
              <w:jc w:val="center"/>
              <w:rPr>
                <w:rFonts w:ascii="宋体" w:hAnsi="宋体" w:cs="宋体"/>
                <w:b/>
                <w:color w:val="auto"/>
                <w:sz w:val="24"/>
                <w:highlight w:val="none"/>
              </w:rPr>
            </w:pPr>
            <w:r>
              <w:rPr>
                <w:rFonts w:ascii="宋体" w:hAnsi="宋体" w:cs="宋体"/>
                <w:b/>
                <w:color w:val="auto"/>
                <w:sz w:val="24"/>
                <w:highlight w:val="none"/>
              </w:rPr>
              <w:t>备注</w:t>
            </w:r>
          </w:p>
        </w:tc>
      </w:tr>
      <w:tr w14:paraId="461AB6E4">
        <w:tblPrEx>
          <w:tblCellMar>
            <w:top w:w="0" w:type="dxa"/>
            <w:left w:w="108" w:type="dxa"/>
            <w:bottom w:w="0" w:type="dxa"/>
            <w:right w:w="108" w:type="dxa"/>
          </w:tblCellMar>
        </w:tblPrEx>
        <w:trPr>
          <w:trHeight w:val="716" w:hRule="atLeast"/>
          <w:jc w:val="center"/>
        </w:trPr>
        <w:tc>
          <w:tcPr>
            <w:tcW w:w="1241" w:type="dxa"/>
            <w:tcBorders>
              <w:top w:val="single" w:color="auto" w:sz="4" w:space="0"/>
              <w:left w:val="single" w:color="auto" w:sz="4" w:space="0"/>
              <w:bottom w:val="nil"/>
              <w:right w:val="single" w:color="auto" w:sz="4" w:space="0"/>
            </w:tcBorders>
            <w:shd w:val="clear" w:color="000000" w:fill="FFFFFF"/>
            <w:noWrap w:val="0"/>
            <w:vAlign w:val="center"/>
          </w:tcPr>
          <w:p w14:paraId="206A6B30">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6BA12A72">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026AE5B">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C484423">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5C7D8137">
            <w:pPr>
              <w:jc w:val="center"/>
              <w:rPr>
                <w:rFonts w:ascii="宋体" w:hAnsi="宋体" w:cs="宋体"/>
                <w:bCs/>
                <w:color w:val="auto"/>
                <w:sz w:val="24"/>
                <w:highlight w:val="none"/>
              </w:rPr>
            </w:pPr>
          </w:p>
        </w:tc>
      </w:tr>
      <w:tr w14:paraId="0B3B8093">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300623">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64D3E9EA">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334C5F8">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86F7568">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6EEF754A">
            <w:pPr>
              <w:jc w:val="center"/>
              <w:rPr>
                <w:rFonts w:ascii="宋体" w:hAnsi="宋体" w:cs="宋体"/>
                <w:bCs/>
                <w:color w:val="auto"/>
                <w:sz w:val="24"/>
                <w:highlight w:val="none"/>
              </w:rPr>
            </w:pPr>
          </w:p>
        </w:tc>
      </w:tr>
      <w:tr w14:paraId="6C027D1B">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A13531">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7393D789">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32A6526">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6B55D194">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32420697">
            <w:pPr>
              <w:jc w:val="center"/>
              <w:rPr>
                <w:rFonts w:ascii="宋体" w:hAnsi="宋体" w:cs="宋体"/>
                <w:bCs/>
                <w:color w:val="auto"/>
                <w:sz w:val="24"/>
                <w:highlight w:val="none"/>
              </w:rPr>
            </w:pPr>
          </w:p>
        </w:tc>
      </w:tr>
      <w:tr w14:paraId="3B0A06AC">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24063C">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397A740B">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2BDCD201">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7060482A">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7F0C1648">
            <w:pPr>
              <w:jc w:val="center"/>
              <w:rPr>
                <w:rFonts w:ascii="宋体" w:hAnsi="宋体" w:cs="宋体"/>
                <w:bCs/>
                <w:color w:val="auto"/>
                <w:sz w:val="24"/>
                <w:highlight w:val="none"/>
              </w:rPr>
            </w:pPr>
          </w:p>
        </w:tc>
      </w:tr>
      <w:tr w14:paraId="29D3E572">
        <w:tblPrEx>
          <w:tblCellMar>
            <w:top w:w="0" w:type="dxa"/>
            <w:left w:w="108" w:type="dxa"/>
            <w:bottom w:w="0" w:type="dxa"/>
            <w:right w:w="108" w:type="dxa"/>
          </w:tblCellMar>
        </w:tblPrEx>
        <w:trPr>
          <w:trHeight w:val="601"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2A427">
            <w:pPr>
              <w:jc w:val="left"/>
              <w:rPr>
                <w:rFonts w:ascii="宋体" w:hAnsi="宋体" w:cs="宋体"/>
                <w:color w:val="auto"/>
                <w:sz w:val="24"/>
                <w:highlight w:val="none"/>
              </w:rPr>
            </w:pPr>
          </w:p>
        </w:tc>
        <w:tc>
          <w:tcPr>
            <w:tcW w:w="5063" w:type="dxa"/>
            <w:tcBorders>
              <w:top w:val="single" w:color="auto" w:sz="4" w:space="0"/>
              <w:left w:val="nil"/>
              <w:bottom w:val="single" w:color="auto" w:sz="4" w:space="0"/>
              <w:right w:val="single" w:color="auto" w:sz="4" w:space="0"/>
            </w:tcBorders>
            <w:shd w:val="clear" w:color="000000" w:fill="FFFFFF"/>
            <w:noWrap w:val="0"/>
            <w:vAlign w:val="center"/>
          </w:tcPr>
          <w:p w14:paraId="705A9445">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72E11C2D">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24DEC0F0">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1F1B6C7D">
            <w:pPr>
              <w:jc w:val="center"/>
              <w:rPr>
                <w:rFonts w:ascii="宋体" w:hAnsi="宋体" w:cs="宋体"/>
                <w:bCs/>
                <w:color w:val="auto"/>
                <w:sz w:val="24"/>
                <w:highlight w:val="none"/>
              </w:rPr>
            </w:pPr>
          </w:p>
        </w:tc>
      </w:tr>
      <w:tr w14:paraId="54B4FB6A">
        <w:tblPrEx>
          <w:tblCellMar>
            <w:top w:w="0" w:type="dxa"/>
            <w:left w:w="108" w:type="dxa"/>
            <w:bottom w:w="0" w:type="dxa"/>
            <w:right w:w="108" w:type="dxa"/>
          </w:tblCellMar>
        </w:tblPrEx>
        <w:trPr>
          <w:trHeight w:val="612" w:hRule="atLeast"/>
          <w:jc w:val="center"/>
        </w:trPr>
        <w:tc>
          <w:tcPr>
            <w:tcW w:w="12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341155">
            <w:pPr>
              <w:jc w:val="left"/>
              <w:rPr>
                <w:rFonts w:ascii="宋体" w:hAnsi="宋体" w:cs="宋体"/>
                <w:color w:val="auto"/>
                <w:sz w:val="24"/>
                <w:highlight w:val="none"/>
              </w:rPr>
            </w:pPr>
          </w:p>
        </w:tc>
        <w:tc>
          <w:tcPr>
            <w:tcW w:w="50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AE90C0">
            <w:pPr>
              <w:jc w:val="left"/>
              <w:rPr>
                <w:rFonts w:ascii="宋体" w:hAnsi="宋体" w:cs="宋体"/>
                <w:color w:val="auto"/>
                <w:sz w:val="24"/>
                <w:highlight w:val="none"/>
              </w:rPr>
            </w:pPr>
          </w:p>
        </w:tc>
        <w:tc>
          <w:tcPr>
            <w:tcW w:w="1280" w:type="dxa"/>
            <w:tcBorders>
              <w:top w:val="single" w:color="auto" w:sz="4" w:space="0"/>
              <w:left w:val="nil"/>
              <w:bottom w:val="single" w:color="auto" w:sz="4" w:space="0"/>
              <w:right w:val="single" w:color="auto" w:sz="4" w:space="0"/>
            </w:tcBorders>
            <w:shd w:val="clear" w:color="000000" w:fill="FFFFFF"/>
            <w:noWrap w:val="0"/>
            <w:vAlign w:val="center"/>
          </w:tcPr>
          <w:p w14:paraId="756901E3">
            <w:pPr>
              <w:jc w:val="center"/>
              <w:rPr>
                <w:rFonts w:ascii="宋体" w:hAnsi="宋体" w:cs="宋体"/>
                <w:bCs/>
                <w:color w:val="auto"/>
                <w:sz w:val="24"/>
                <w:highlight w:val="none"/>
              </w:rPr>
            </w:pPr>
          </w:p>
        </w:tc>
        <w:tc>
          <w:tcPr>
            <w:tcW w:w="1105" w:type="dxa"/>
            <w:tcBorders>
              <w:top w:val="single" w:color="auto" w:sz="4" w:space="0"/>
              <w:left w:val="nil"/>
              <w:bottom w:val="single" w:color="auto" w:sz="4" w:space="0"/>
              <w:right w:val="single" w:color="auto" w:sz="4" w:space="0"/>
            </w:tcBorders>
            <w:shd w:val="clear" w:color="000000" w:fill="FFFFFF"/>
            <w:noWrap w:val="0"/>
            <w:vAlign w:val="center"/>
          </w:tcPr>
          <w:p w14:paraId="2FB6FABB">
            <w:pPr>
              <w:jc w:val="center"/>
              <w:rPr>
                <w:rFonts w:ascii="宋体" w:hAnsi="宋体" w:cs="宋体"/>
                <w:bCs/>
                <w:color w:val="auto"/>
                <w:sz w:val="24"/>
                <w:highlight w:val="none"/>
              </w:rPr>
            </w:pPr>
          </w:p>
        </w:tc>
        <w:tc>
          <w:tcPr>
            <w:tcW w:w="742" w:type="dxa"/>
            <w:tcBorders>
              <w:top w:val="single" w:color="auto" w:sz="4" w:space="0"/>
              <w:left w:val="nil"/>
              <w:bottom w:val="single" w:color="auto" w:sz="4" w:space="0"/>
              <w:right w:val="single" w:color="auto" w:sz="4" w:space="0"/>
            </w:tcBorders>
            <w:shd w:val="clear" w:color="000000" w:fill="FFFFFF"/>
            <w:noWrap w:val="0"/>
            <w:vAlign w:val="center"/>
          </w:tcPr>
          <w:p w14:paraId="4BA6E423">
            <w:pPr>
              <w:jc w:val="center"/>
              <w:rPr>
                <w:rFonts w:ascii="宋体" w:hAnsi="宋体" w:cs="宋体"/>
                <w:bCs/>
                <w:color w:val="auto"/>
                <w:sz w:val="24"/>
                <w:highlight w:val="none"/>
              </w:rPr>
            </w:pPr>
          </w:p>
        </w:tc>
      </w:tr>
    </w:tbl>
    <w:p w14:paraId="3713F26B">
      <w:pPr>
        <w:spacing w:line="300" w:lineRule="exact"/>
        <w:jc w:val="both"/>
        <w:rPr>
          <w:rFonts w:hint="eastAsia" w:hAnsi="宋体" w:eastAsia="宋体" w:cs="宋体"/>
          <w:color w:val="auto"/>
          <w:sz w:val="22"/>
          <w:szCs w:val="22"/>
          <w:highlight w:val="none"/>
        </w:rPr>
      </w:pPr>
      <w:r>
        <w:rPr>
          <w:rFonts w:ascii="宋体" w:hAnsi="宋体" w:cs="宋体"/>
          <w:color w:val="auto"/>
          <w:sz w:val="24"/>
          <w:highlight w:val="none"/>
        </w:rPr>
        <w:t>注：此表</w:t>
      </w:r>
      <w:r>
        <w:rPr>
          <w:rFonts w:hint="eastAsia" w:ascii="宋体" w:hAnsi="宋体" w:cs="宋体"/>
          <w:color w:val="auto"/>
          <w:sz w:val="24"/>
          <w:highlight w:val="none"/>
        </w:rPr>
        <w:t>附于</w:t>
      </w:r>
      <w:r>
        <w:rPr>
          <w:rFonts w:ascii="宋体" w:hAnsi="宋体" w:cs="宋体"/>
          <w:color w:val="auto"/>
          <w:sz w:val="24"/>
          <w:highlight w:val="none"/>
        </w:rPr>
        <w:t xml:space="preserve">商务技术文件目录之后。   </w:t>
      </w:r>
      <w:r>
        <w:rPr>
          <w:rFonts w:hint="eastAsia" w:ascii="宋体" w:hAnsi="宋体" w:cs="宋体"/>
          <w:color w:val="auto"/>
          <w:sz w:val="24"/>
          <w:szCs w:val="24"/>
          <w:highlight w:val="none"/>
          <w:lang w:val="en-US" w:eastAsia="zh-CN"/>
        </w:rPr>
        <w:t xml:space="preserve">         </w:t>
      </w:r>
      <w:r>
        <w:rPr>
          <w:rFonts w:hint="eastAsia" w:hAnsi="宋体" w:eastAsia="宋体" w:cs="宋体"/>
          <w:color w:val="auto"/>
          <w:sz w:val="22"/>
          <w:szCs w:val="22"/>
          <w:highlight w:val="none"/>
          <w:lang w:val="en-US" w:eastAsia="zh-CN"/>
        </w:rPr>
        <w:t xml:space="preserve"> </w:t>
      </w:r>
      <w:r>
        <w:rPr>
          <w:rFonts w:hint="eastAsia" w:hAnsi="宋体" w:eastAsia="宋体" w:cs="宋体"/>
          <w:color w:val="auto"/>
          <w:sz w:val="22"/>
          <w:szCs w:val="22"/>
          <w:highlight w:val="none"/>
        </w:rPr>
        <w:t xml:space="preserve"> </w:t>
      </w:r>
    </w:p>
    <w:p w14:paraId="4BDA7CE0">
      <w:pPr>
        <w:spacing w:line="300" w:lineRule="exact"/>
        <w:jc w:val="center"/>
        <w:rPr>
          <w:rFonts w:hint="eastAsia" w:hAnsi="宋体" w:eastAsia="宋体" w:cs="宋体"/>
          <w:color w:val="auto"/>
          <w:sz w:val="22"/>
          <w:szCs w:val="22"/>
          <w:highlight w:val="none"/>
        </w:rPr>
      </w:pPr>
    </w:p>
    <w:p w14:paraId="54AD39EF">
      <w:pPr>
        <w:spacing w:line="300" w:lineRule="exact"/>
        <w:jc w:val="center"/>
        <w:rPr>
          <w:rFonts w:hint="eastAsia" w:hAnsi="宋体" w:eastAsia="宋体" w:cs="宋体"/>
          <w:color w:val="auto"/>
          <w:sz w:val="22"/>
          <w:szCs w:val="22"/>
          <w:highlight w:val="none"/>
        </w:rPr>
      </w:pPr>
    </w:p>
    <w:p w14:paraId="1502DCD2">
      <w:pPr>
        <w:spacing w:line="300" w:lineRule="exact"/>
        <w:jc w:val="center"/>
        <w:rPr>
          <w:rFonts w:hint="eastAsia" w:hAnsi="宋体" w:eastAsia="宋体" w:cs="宋体"/>
          <w:color w:val="auto"/>
          <w:sz w:val="22"/>
          <w:szCs w:val="22"/>
          <w:highlight w:val="none"/>
        </w:rPr>
      </w:pPr>
    </w:p>
    <w:p w14:paraId="782089C3">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投标人名称（盖章） ：</w:t>
      </w:r>
    </w:p>
    <w:p w14:paraId="02F3BB62">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222E528D">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7C286F06">
      <w:pP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br w:type="page"/>
      </w:r>
    </w:p>
    <w:p w14:paraId="49EC56C3">
      <w:pPr>
        <w:pStyle w:val="11"/>
        <w:snapToGrid w:val="0"/>
        <w:spacing w:line="360" w:lineRule="auto"/>
        <w:ind w:firstLine="643" w:firstLineChars="200"/>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val="zh-CN"/>
        </w:rPr>
        <w:t>、法定代表人资格证明书或法定代表人授权委托书</w:t>
      </w:r>
    </w:p>
    <w:p w14:paraId="712B5842">
      <w:pPr>
        <w:pStyle w:val="11"/>
        <w:snapToGrid w:val="0"/>
        <w:spacing w:line="360"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.1法定代表人资格证明书</w:t>
      </w:r>
    </w:p>
    <w:p w14:paraId="5A1883CE">
      <w:pPr>
        <w:adjustRightInd w:val="0"/>
        <w:snapToGrid w:val="0"/>
        <w:spacing w:line="360" w:lineRule="auto"/>
        <w:rPr>
          <w:rFonts w:hint="eastAsia" w:ascii="宋体" w:hAnsi="宋体" w:cs="宋体"/>
          <w:color w:val="auto"/>
          <w:sz w:val="24"/>
          <w:highlight w:val="none"/>
        </w:rPr>
      </w:pPr>
    </w:p>
    <w:p w14:paraId="4E4934D2">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14:paraId="14EEEF9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13D05473">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33340CD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70C5DFE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p>
    <w:p w14:paraId="04BA415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5AD06138">
      <w:pPr>
        <w:tabs>
          <w:tab w:val="left" w:pos="8640"/>
        </w:tabs>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467B8622">
      <w:pPr>
        <w:tabs>
          <w:tab w:val="left" w:pos="8640"/>
        </w:tabs>
        <w:adjustRightInd w:val="0"/>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投标供应商：</w:t>
      </w:r>
      <w:r>
        <w:rPr>
          <w:rFonts w:hint="eastAsia" w:ascii="宋体" w:hAnsi="宋体" w:cs="宋体"/>
          <w:color w:val="auto"/>
          <w:sz w:val="24"/>
          <w:highlight w:val="none"/>
          <w:u w:val="single"/>
        </w:rPr>
        <w:t xml:space="preserve">           （公章）</w:t>
      </w:r>
    </w:p>
    <w:p w14:paraId="7F66487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84DD68">
      <w:pPr>
        <w:spacing w:line="360" w:lineRule="auto"/>
        <w:rPr>
          <w:rFonts w:hint="eastAsia" w:ascii="宋体" w:hAnsi="宋体" w:cs="宋体"/>
          <w:b/>
          <w:color w:val="auto"/>
          <w:sz w:val="24"/>
          <w:highlight w:val="none"/>
        </w:rPr>
      </w:pPr>
    </w:p>
    <w:p w14:paraId="26110073">
      <w:p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.2法定代表人授权委托书</w:t>
      </w:r>
    </w:p>
    <w:p w14:paraId="156D231B">
      <w:pPr>
        <w:tabs>
          <w:tab w:val="left" w:pos="8100"/>
          <w:tab w:val="left" w:pos="8280"/>
        </w:tabs>
        <w:adjustRightInd w:val="0"/>
        <w:snapToGrid w:val="0"/>
        <w:spacing w:line="360" w:lineRule="auto"/>
        <w:ind w:right="32" w:firstLine="480" w:firstLineChars="200"/>
        <w:rPr>
          <w:rFonts w:hint="eastAsia" w:ascii="宋体" w:hAnsi="宋体" w:cs="宋体"/>
          <w:color w:val="auto"/>
          <w:sz w:val="24"/>
          <w:highlight w:val="none"/>
        </w:rPr>
      </w:pPr>
    </w:p>
    <w:p w14:paraId="1ECCA5D2">
      <w:pPr>
        <w:tabs>
          <w:tab w:val="left" w:pos="8100"/>
          <w:tab w:val="left" w:pos="8280"/>
        </w:tabs>
        <w:adjustRightInd w:val="0"/>
        <w:snapToGrid w:val="0"/>
        <w:spacing w:line="360" w:lineRule="auto"/>
        <w:ind w:right="32"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本人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（姓名、身份证号）为我方代理人。代理人根据授权，以我方名义签署、签署、澄清、说明、补正、递交、撤回、修改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(项目名称)响应文件、签订合同和处理有关事宜，其法律后果由我方承担。</w:t>
      </w:r>
    </w:p>
    <w:p w14:paraId="19CBDFA8">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F2960C">
      <w:pPr>
        <w:adjustRightInd w:val="0"/>
        <w:snapToGrid w:val="0"/>
        <w:spacing w:line="360" w:lineRule="auto"/>
        <w:ind w:right="567"/>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607F52D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14:paraId="3266957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（签字或盖章） </w:t>
      </w:r>
    </w:p>
    <w:p w14:paraId="1E079A2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45F106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14251A2">
      <w:pPr>
        <w:adjustRightInd w:val="0"/>
        <w:snapToGrid w:val="0"/>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5FF9B0E">
      <w:pPr>
        <w:spacing w:line="360" w:lineRule="auto"/>
        <w:ind w:left="1018" w:leftChars="485" w:firstLine="2702" w:firstLineChars="1126"/>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9549AE">
      <w:pPr>
        <w:spacing w:line="360" w:lineRule="auto"/>
        <w:rPr>
          <w:rFonts w:hint="eastAsia" w:ascii="宋体" w:hAnsi="宋体" w:eastAsia="宋体" w:cs="宋体"/>
          <w:b/>
          <w:color w:val="auto"/>
          <w:sz w:val="24"/>
          <w:highlight w:val="none"/>
        </w:rPr>
      </w:pPr>
    </w:p>
    <w:p w14:paraId="7B1C9E5A">
      <w:pPr>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lang w:val="zh-CN"/>
        </w:rPr>
        <w:t>法定代表人及委托代理人的身份证</w:t>
      </w:r>
    </w:p>
    <w:p w14:paraId="0E780111">
      <w:pPr>
        <w:spacing w:before="94" w:line="225" w:lineRule="auto"/>
        <w:ind w:left="3648"/>
        <w:rPr>
          <w:rFonts w:hint="eastAsia" w:ascii="宋体" w:hAnsi="宋体" w:eastAsia="宋体" w:cs="宋体"/>
          <w:color w:val="auto"/>
          <w:sz w:val="29"/>
          <w:szCs w:val="29"/>
          <w:highlight w:val="none"/>
        </w:rPr>
      </w:pPr>
      <w:r>
        <w:rPr>
          <w:rFonts w:hint="eastAsia" w:ascii="宋体" w:hAnsi="宋体" w:eastAsia="宋体" w:cs="宋体"/>
          <w:b/>
          <w:bCs/>
          <w:color w:val="auto"/>
          <w:spacing w:val="5"/>
          <w:sz w:val="29"/>
          <w:szCs w:val="29"/>
          <w:highlight w:val="none"/>
          <w:lang w:val="en-US" w:eastAsia="zh-CN"/>
        </w:rPr>
        <w:t>3.</w:t>
      </w:r>
      <w:r>
        <w:rPr>
          <w:rFonts w:hint="eastAsia" w:ascii="宋体" w:hAnsi="宋体" w:eastAsia="宋体" w:cs="宋体"/>
          <w:b/>
          <w:bCs/>
          <w:color w:val="auto"/>
          <w:spacing w:val="5"/>
          <w:sz w:val="29"/>
          <w:szCs w:val="29"/>
          <w:highlight w:val="none"/>
        </w:rPr>
        <w:t>投标人基本情况表</w:t>
      </w:r>
    </w:p>
    <w:p w14:paraId="2E899818">
      <w:pPr>
        <w:spacing w:line="40" w:lineRule="exact"/>
        <w:rPr>
          <w:rFonts w:hint="eastAsia" w:ascii="宋体" w:hAnsi="宋体" w:eastAsia="宋体" w:cs="宋体"/>
          <w:color w:val="auto"/>
          <w:highlight w:val="none"/>
        </w:rPr>
      </w:pPr>
    </w:p>
    <w:tbl>
      <w:tblPr>
        <w:tblStyle w:val="24"/>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9"/>
        <w:gridCol w:w="1949"/>
        <w:gridCol w:w="1979"/>
        <w:gridCol w:w="719"/>
        <w:gridCol w:w="720"/>
        <w:gridCol w:w="805"/>
      </w:tblGrid>
      <w:tr w14:paraId="5F3B1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129" w:type="dxa"/>
            <w:noWrap w:val="0"/>
            <w:vAlign w:val="top"/>
          </w:tcPr>
          <w:p w14:paraId="66070BCA">
            <w:pPr>
              <w:spacing w:before="192" w:line="228" w:lineRule="auto"/>
              <w:ind w:left="97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投标人名称</w:t>
            </w:r>
          </w:p>
        </w:tc>
        <w:tc>
          <w:tcPr>
            <w:tcW w:w="6172" w:type="dxa"/>
            <w:gridSpan w:val="5"/>
            <w:noWrap w:val="0"/>
            <w:vAlign w:val="top"/>
          </w:tcPr>
          <w:p w14:paraId="5279E859">
            <w:pPr>
              <w:rPr>
                <w:rFonts w:hint="eastAsia" w:ascii="宋体" w:hAnsi="宋体" w:eastAsia="宋体" w:cs="宋体"/>
                <w:color w:val="auto"/>
                <w:highlight w:val="none"/>
              </w:rPr>
            </w:pPr>
          </w:p>
        </w:tc>
      </w:tr>
      <w:tr w14:paraId="5E4F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noWrap w:val="0"/>
            <w:vAlign w:val="top"/>
          </w:tcPr>
          <w:p w14:paraId="6BAA4513">
            <w:pPr>
              <w:spacing w:before="187" w:line="237" w:lineRule="auto"/>
              <w:ind w:left="1331"/>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地址</w:t>
            </w:r>
          </w:p>
        </w:tc>
        <w:tc>
          <w:tcPr>
            <w:tcW w:w="6172" w:type="dxa"/>
            <w:gridSpan w:val="5"/>
            <w:noWrap w:val="0"/>
            <w:vAlign w:val="top"/>
          </w:tcPr>
          <w:p w14:paraId="36A06ABE">
            <w:pPr>
              <w:rPr>
                <w:rFonts w:hint="eastAsia" w:ascii="宋体" w:hAnsi="宋体" w:eastAsia="宋体" w:cs="宋体"/>
                <w:color w:val="auto"/>
                <w:highlight w:val="none"/>
              </w:rPr>
            </w:pPr>
          </w:p>
        </w:tc>
      </w:tr>
      <w:tr w14:paraId="5F02E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29" w:type="dxa"/>
            <w:noWrap w:val="0"/>
            <w:vAlign w:val="top"/>
          </w:tcPr>
          <w:p w14:paraId="062903F2">
            <w:pPr>
              <w:spacing w:line="247" w:lineRule="auto"/>
              <w:rPr>
                <w:rFonts w:hint="eastAsia" w:ascii="宋体" w:hAnsi="宋体" w:eastAsia="宋体" w:cs="宋体"/>
                <w:color w:val="auto"/>
                <w:highlight w:val="none"/>
              </w:rPr>
            </w:pPr>
          </w:p>
          <w:p w14:paraId="670A4664">
            <w:pPr>
              <w:spacing w:before="75" w:line="228" w:lineRule="auto"/>
              <w:ind w:left="109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经营范围</w:t>
            </w:r>
          </w:p>
        </w:tc>
        <w:tc>
          <w:tcPr>
            <w:tcW w:w="1949" w:type="dxa"/>
            <w:noWrap w:val="0"/>
            <w:vAlign w:val="top"/>
          </w:tcPr>
          <w:p w14:paraId="42CD18AC">
            <w:pPr>
              <w:rPr>
                <w:rFonts w:hint="eastAsia" w:ascii="宋体" w:hAnsi="宋体" w:eastAsia="宋体" w:cs="宋体"/>
                <w:color w:val="auto"/>
                <w:highlight w:val="none"/>
              </w:rPr>
            </w:pPr>
          </w:p>
        </w:tc>
        <w:tc>
          <w:tcPr>
            <w:tcW w:w="1979" w:type="dxa"/>
            <w:noWrap w:val="0"/>
            <w:vAlign w:val="top"/>
          </w:tcPr>
          <w:p w14:paraId="0B8CF803">
            <w:pPr>
              <w:spacing w:line="247" w:lineRule="auto"/>
              <w:rPr>
                <w:rFonts w:hint="eastAsia" w:ascii="宋体" w:hAnsi="宋体" w:eastAsia="宋体" w:cs="宋体"/>
                <w:color w:val="auto"/>
                <w:highlight w:val="none"/>
              </w:rPr>
            </w:pPr>
          </w:p>
          <w:p w14:paraId="4EFEFEAF">
            <w:pPr>
              <w:spacing w:before="75" w:line="227" w:lineRule="auto"/>
              <w:ind w:left="52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企业类型</w:t>
            </w:r>
          </w:p>
        </w:tc>
        <w:tc>
          <w:tcPr>
            <w:tcW w:w="2244" w:type="dxa"/>
            <w:gridSpan w:val="3"/>
            <w:noWrap w:val="0"/>
            <w:vAlign w:val="top"/>
          </w:tcPr>
          <w:p w14:paraId="3FF8379D">
            <w:pPr>
              <w:spacing w:before="144" w:line="258" w:lineRule="auto"/>
              <w:ind w:left="535" w:right="159" w:hanging="35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（大型、中型、小</w:t>
            </w:r>
            <w:r>
              <w:rPr>
                <w:rFonts w:hint="eastAsia" w:ascii="宋体" w:hAnsi="宋体" w:eastAsia="宋体" w:cs="宋体"/>
                <w:color w:val="auto"/>
                <w:spacing w:val="2"/>
                <w:sz w:val="23"/>
                <w:szCs w:val="23"/>
                <w:highlight w:val="none"/>
              </w:rPr>
              <w:t xml:space="preserve"> </w:t>
            </w:r>
            <w:r>
              <w:rPr>
                <w:rFonts w:hint="eastAsia" w:ascii="宋体" w:hAnsi="宋体" w:eastAsia="宋体" w:cs="宋体"/>
                <w:color w:val="auto"/>
                <w:spacing w:val="4"/>
                <w:sz w:val="23"/>
                <w:szCs w:val="23"/>
                <w:highlight w:val="none"/>
              </w:rPr>
              <w:t>型、微型）</w:t>
            </w:r>
          </w:p>
        </w:tc>
      </w:tr>
      <w:tr w14:paraId="5E637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129" w:type="dxa"/>
            <w:noWrap w:val="0"/>
            <w:vAlign w:val="top"/>
          </w:tcPr>
          <w:p w14:paraId="081AF279">
            <w:pPr>
              <w:spacing w:before="190" w:line="229" w:lineRule="auto"/>
              <w:ind w:left="1093"/>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成立时间</w:t>
            </w:r>
          </w:p>
        </w:tc>
        <w:tc>
          <w:tcPr>
            <w:tcW w:w="1949" w:type="dxa"/>
            <w:noWrap w:val="0"/>
            <w:vAlign w:val="top"/>
          </w:tcPr>
          <w:p w14:paraId="42C40EB2">
            <w:pPr>
              <w:rPr>
                <w:rFonts w:hint="eastAsia" w:ascii="宋体" w:hAnsi="宋体" w:eastAsia="宋体" w:cs="宋体"/>
                <w:color w:val="auto"/>
                <w:highlight w:val="none"/>
              </w:rPr>
            </w:pPr>
          </w:p>
        </w:tc>
        <w:tc>
          <w:tcPr>
            <w:tcW w:w="1979" w:type="dxa"/>
            <w:noWrap w:val="0"/>
            <w:vAlign w:val="top"/>
          </w:tcPr>
          <w:p w14:paraId="72EBE1E8">
            <w:pPr>
              <w:spacing w:before="190" w:line="228" w:lineRule="auto"/>
              <w:ind w:left="51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经济性质</w:t>
            </w:r>
          </w:p>
        </w:tc>
        <w:tc>
          <w:tcPr>
            <w:tcW w:w="2244" w:type="dxa"/>
            <w:gridSpan w:val="3"/>
            <w:noWrap w:val="0"/>
            <w:vAlign w:val="top"/>
          </w:tcPr>
          <w:p w14:paraId="7A0EA6DF">
            <w:pPr>
              <w:rPr>
                <w:rFonts w:hint="eastAsia" w:ascii="宋体" w:hAnsi="宋体" w:eastAsia="宋体" w:cs="宋体"/>
                <w:color w:val="auto"/>
                <w:highlight w:val="none"/>
              </w:rPr>
            </w:pPr>
          </w:p>
        </w:tc>
      </w:tr>
      <w:tr w14:paraId="3DAA2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129" w:type="dxa"/>
            <w:noWrap w:val="0"/>
            <w:vAlign w:val="top"/>
          </w:tcPr>
          <w:p w14:paraId="5EFC446A">
            <w:pPr>
              <w:spacing w:before="120" w:line="193" w:lineRule="auto"/>
              <w:ind w:left="972"/>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法定代表人</w:t>
            </w:r>
          </w:p>
          <w:p w14:paraId="2562B51F">
            <w:pPr>
              <w:spacing w:line="227" w:lineRule="auto"/>
              <w:ind w:left="98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（负责人）</w:t>
            </w:r>
          </w:p>
        </w:tc>
        <w:tc>
          <w:tcPr>
            <w:tcW w:w="1949" w:type="dxa"/>
            <w:noWrap w:val="0"/>
            <w:vAlign w:val="top"/>
          </w:tcPr>
          <w:p w14:paraId="31BB995C">
            <w:pPr>
              <w:rPr>
                <w:rFonts w:hint="eastAsia" w:ascii="宋体" w:hAnsi="宋体" w:eastAsia="宋体" w:cs="宋体"/>
                <w:color w:val="auto"/>
                <w:highlight w:val="none"/>
              </w:rPr>
            </w:pPr>
          </w:p>
        </w:tc>
        <w:tc>
          <w:tcPr>
            <w:tcW w:w="1979" w:type="dxa"/>
            <w:noWrap w:val="0"/>
            <w:vAlign w:val="top"/>
          </w:tcPr>
          <w:p w14:paraId="6D7CD556">
            <w:pPr>
              <w:spacing w:before="240" w:line="230" w:lineRule="auto"/>
              <w:ind w:left="51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联系电话</w:t>
            </w:r>
          </w:p>
        </w:tc>
        <w:tc>
          <w:tcPr>
            <w:tcW w:w="2244" w:type="dxa"/>
            <w:gridSpan w:val="3"/>
            <w:noWrap w:val="0"/>
            <w:vAlign w:val="top"/>
          </w:tcPr>
          <w:p w14:paraId="401A2780">
            <w:pPr>
              <w:rPr>
                <w:rFonts w:hint="eastAsia" w:ascii="宋体" w:hAnsi="宋体" w:eastAsia="宋体" w:cs="宋体"/>
                <w:color w:val="auto"/>
                <w:highlight w:val="none"/>
              </w:rPr>
            </w:pPr>
          </w:p>
        </w:tc>
      </w:tr>
      <w:tr w14:paraId="64E1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vMerge w:val="restart"/>
            <w:tcBorders>
              <w:bottom w:val="nil"/>
            </w:tcBorders>
            <w:noWrap w:val="0"/>
            <w:vAlign w:val="top"/>
          </w:tcPr>
          <w:p w14:paraId="0D2A8DF5">
            <w:pPr>
              <w:spacing w:line="364" w:lineRule="auto"/>
              <w:rPr>
                <w:rFonts w:hint="eastAsia" w:ascii="宋体" w:hAnsi="宋体" w:eastAsia="宋体" w:cs="宋体"/>
                <w:color w:val="auto"/>
                <w:highlight w:val="none"/>
              </w:rPr>
            </w:pPr>
          </w:p>
          <w:p w14:paraId="54A980A7">
            <w:pPr>
              <w:spacing w:before="75" w:line="227" w:lineRule="auto"/>
              <w:ind w:left="10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注册资本</w:t>
            </w:r>
          </w:p>
        </w:tc>
        <w:tc>
          <w:tcPr>
            <w:tcW w:w="1949" w:type="dxa"/>
            <w:vMerge w:val="restart"/>
            <w:tcBorders>
              <w:bottom w:val="nil"/>
            </w:tcBorders>
            <w:noWrap w:val="0"/>
            <w:vAlign w:val="top"/>
          </w:tcPr>
          <w:p w14:paraId="3B65021F">
            <w:pPr>
              <w:rPr>
                <w:rFonts w:hint="eastAsia" w:ascii="宋体" w:hAnsi="宋体" w:eastAsia="宋体" w:cs="宋体"/>
                <w:color w:val="auto"/>
                <w:highlight w:val="none"/>
              </w:rPr>
            </w:pPr>
          </w:p>
        </w:tc>
        <w:tc>
          <w:tcPr>
            <w:tcW w:w="1979" w:type="dxa"/>
            <w:vMerge w:val="restart"/>
            <w:tcBorders>
              <w:bottom w:val="nil"/>
            </w:tcBorders>
            <w:noWrap w:val="0"/>
            <w:vAlign w:val="top"/>
          </w:tcPr>
          <w:p w14:paraId="66B050C8">
            <w:pPr>
              <w:spacing w:line="365" w:lineRule="auto"/>
              <w:rPr>
                <w:rFonts w:hint="eastAsia" w:ascii="宋体" w:hAnsi="宋体" w:eastAsia="宋体" w:cs="宋体"/>
                <w:color w:val="auto"/>
                <w:highlight w:val="none"/>
              </w:rPr>
            </w:pPr>
          </w:p>
          <w:p w14:paraId="0B375AF3">
            <w:pPr>
              <w:spacing w:before="75" w:line="227" w:lineRule="auto"/>
              <w:ind w:left="39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技术人员数</w:t>
            </w:r>
          </w:p>
        </w:tc>
        <w:tc>
          <w:tcPr>
            <w:tcW w:w="719" w:type="dxa"/>
            <w:noWrap w:val="0"/>
            <w:vAlign w:val="top"/>
          </w:tcPr>
          <w:p w14:paraId="71CA50F2">
            <w:pPr>
              <w:spacing w:before="154" w:line="227" w:lineRule="auto"/>
              <w:ind w:left="13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高级</w:t>
            </w:r>
          </w:p>
        </w:tc>
        <w:tc>
          <w:tcPr>
            <w:tcW w:w="720" w:type="dxa"/>
            <w:noWrap w:val="0"/>
            <w:vAlign w:val="top"/>
          </w:tcPr>
          <w:p w14:paraId="2561FD06">
            <w:pPr>
              <w:spacing w:before="154" w:line="228" w:lineRule="auto"/>
              <w:ind w:left="15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中级</w:t>
            </w:r>
          </w:p>
        </w:tc>
        <w:tc>
          <w:tcPr>
            <w:tcW w:w="805" w:type="dxa"/>
            <w:noWrap w:val="0"/>
            <w:vAlign w:val="top"/>
          </w:tcPr>
          <w:p w14:paraId="28A92DDC">
            <w:pPr>
              <w:spacing w:before="153" w:line="230" w:lineRule="auto"/>
              <w:ind w:left="16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初级</w:t>
            </w:r>
          </w:p>
        </w:tc>
      </w:tr>
      <w:tr w14:paraId="73FC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vMerge w:val="continue"/>
            <w:tcBorders>
              <w:top w:val="nil"/>
            </w:tcBorders>
            <w:noWrap w:val="0"/>
            <w:vAlign w:val="top"/>
          </w:tcPr>
          <w:p w14:paraId="6DD4F1BD">
            <w:pPr>
              <w:rPr>
                <w:rFonts w:hint="eastAsia" w:ascii="宋体" w:hAnsi="宋体" w:eastAsia="宋体" w:cs="宋体"/>
                <w:color w:val="auto"/>
                <w:highlight w:val="none"/>
              </w:rPr>
            </w:pPr>
          </w:p>
        </w:tc>
        <w:tc>
          <w:tcPr>
            <w:tcW w:w="1949" w:type="dxa"/>
            <w:vMerge w:val="continue"/>
            <w:tcBorders>
              <w:top w:val="nil"/>
            </w:tcBorders>
            <w:noWrap w:val="0"/>
            <w:vAlign w:val="top"/>
          </w:tcPr>
          <w:p w14:paraId="0175433E">
            <w:pPr>
              <w:rPr>
                <w:rFonts w:hint="eastAsia" w:ascii="宋体" w:hAnsi="宋体" w:eastAsia="宋体" w:cs="宋体"/>
                <w:color w:val="auto"/>
                <w:highlight w:val="none"/>
              </w:rPr>
            </w:pPr>
          </w:p>
        </w:tc>
        <w:tc>
          <w:tcPr>
            <w:tcW w:w="1979" w:type="dxa"/>
            <w:vMerge w:val="continue"/>
            <w:tcBorders>
              <w:top w:val="nil"/>
            </w:tcBorders>
            <w:noWrap w:val="0"/>
            <w:vAlign w:val="top"/>
          </w:tcPr>
          <w:p w14:paraId="403B5E15">
            <w:pPr>
              <w:rPr>
                <w:rFonts w:hint="eastAsia" w:ascii="宋体" w:hAnsi="宋体" w:eastAsia="宋体" w:cs="宋体"/>
                <w:color w:val="auto"/>
                <w:highlight w:val="none"/>
              </w:rPr>
            </w:pPr>
          </w:p>
        </w:tc>
        <w:tc>
          <w:tcPr>
            <w:tcW w:w="719" w:type="dxa"/>
            <w:noWrap w:val="0"/>
            <w:vAlign w:val="top"/>
          </w:tcPr>
          <w:p w14:paraId="1076328C">
            <w:pPr>
              <w:rPr>
                <w:rFonts w:hint="eastAsia" w:ascii="宋体" w:hAnsi="宋体" w:eastAsia="宋体" w:cs="宋体"/>
                <w:color w:val="auto"/>
                <w:highlight w:val="none"/>
              </w:rPr>
            </w:pPr>
          </w:p>
        </w:tc>
        <w:tc>
          <w:tcPr>
            <w:tcW w:w="720" w:type="dxa"/>
            <w:noWrap w:val="0"/>
            <w:vAlign w:val="top"/>
          </w:tcPr>
          <w:p w14:paraId="7A26EFE0">
            <w:pPr>
              <w:rPr>
                <w:rFonts w:hint="eastAsia" w:ascii="宋体" w:hAnsi="宋体" w:eastAsia="宋体" w:cs="宋体"/>
                <w:color w:val="auto"/>
                <w:highlight w:val="none"/>
              </w:rPr>
            </w:pPr>
          </w:p>
        </w:tc>
        <w:tc>
          <w:tcPr>
            <w:tcW w:w="805" w:type="dxa"/>
            <w:noWrap w:val="0"/>
            <w:vAlign w:val="top"/>
          </w:tcPr>
          <w:p w14:paraId="2F625533">
            <w:pPr>
              <w:rPr>
                <w:rFonts w:hint="eastAsia" w:ascii="宋体" w:hAnsi="宋体" w:eastAsia="宋体" w:cs="宋体"/>
                <w:color w:val="auto"/>
                <w:highlight w:val="none"/>
              </w:rPr>
            </w:pPr>
          </w:p>
        </w:tc>
      </w:tr>
      <w:tr w14:paraId="29A3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noWrap w:val="0"/>
            <w:vAlign w:val="top"/>
          </w:tcPr>
          <w:p w14:paraId="15CEF324">
            <w:pPr>
              <w:spacing w:before="154" w:line="227" w:lineRule="auto"/>
              <w:ind w:left="1101"/>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资产总额</w:t>
            </w:r>
          </w:p>
        </w:tc>
        <w:tc>
          <w:tcPr>
            <w:tcW w:w="1949" w:type="dxa"/>
            <w:noWrap w:val="0"/>
            <w:vAlign w:val="top"/>
          </w:tcPr>
          <w:p w14:paraId="3B70A812">
            <w:pPr>
              <w:rPr>
                <w:rFonts w:hint="eastAsia" w:ascii="宋体" w:hAnsi="宋体" w:eastAsia="宋体" w:cs="宋体"/>
                <w:color w:val="auto"/>
                <w:highlight w:val="none"/>
              </w:rPr>
            </w:pPr>
          </w:p>
        </w:tc>
        <w:tc>
          <w:tcPr>
            <w:tcW w:w="1979" w:type="dxa"/>
            <w:noWrap w:val="0"/>
            <w:vAlign w:val="top"/>
          </w:tcPr>
          <w:p w14:paraId="75E7453A">
            <w:pPr>
              <w:spacing w:before="154" w:line="227" w:lineRule="auto"/>
              <w:ind w:left="39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所有者权益</w:t>
            </w:r>
          </w:p>
        </w:tc>
        <w:tc>
          <w:tcPr>
            <w:tcW w:w="2244" w:type="dxa"/>
            <w:gridSpan w:val="3"/>
            <w:noWrap w:val="0"/>
            <w:vAlign w:val="top"/>
          </w:tcPr>
          <w:p w14:paraId="53715902">
            <w:pPr>
              <w:rPr>
                <w:rFonts w:hint="eastAsia" w:ascii="宋体" w:hAnsi="宋体" w:eastAsia="宋体" w:cs="宋体"/>
                <w:color w:val="auto"/>
                <w:highlight w:val="none"/>
              </w:rPr>
            </w:pPr>
          </w:p>
        </w:tc>
      </w:tr>
      <w:tr w14:paraId="039B9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noWrap w:val="0"/>
            <w:vAlign w:val="top"/>
          </w:tcPr>
          <w:p w14:paraId="163155D8">
            <w:pPr>
              <w:spacing w:before="153" w:line="228" w:lineRule="auto"/>
              <w:ind w:left="97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工商登记号</w:t>
            </w:r>
          </w:p>
        </w:tc>
        <w:tc>
          <w:tcPr>
            <w:tcW w:w="1949" w:type="dxa"/>
            <w:noWrap w:val="0"/>
            <w:vAlign w:val="top"/>
          </w:tcPr>
          <w:p w14:paraId="039EE33E">
            <w:pPr>
              <w:rPr>
                <w:rFonts w:hint="eastAsia" w:ascii="宋体" w:hAnsi="宋体" w:eastAsia="宋体" w:cs="宋体"/>
                <w:color w:val="auto"/>
                <w:highlight w:val="none"/>
              </w:rPr>
            </w:pPr>
          </w:p>
        </w:tc>
        <w:tc>
          <w:tcPr>
            <w:tcW w:w="1979" w:type="dxa"/>
            <w:noWrap w:val="0"/>
            <w:vAlign w:val="top"/>
          </w:tcPr>
          <w:p w14:paraId="46A4E08B">
            <w:pPr>
              <w:spacing w:before="153" w:line="227" w:lineRule="auto"/>
              <w:ind w:left="39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税务登记号</w:t>
            </w:r>
          </w:p>
        </w:tc>
        <w:tc>
          <w:tcPr>
            <w:tcW w:w="2244" w:type="dxa"/>
            <w:gridSpan w:val="3"/>
            <w:noWrap w:val="0"/>
            <w:vAlign w:val="top"/>
          </w:tcPr>
          <w:p w14:paraId="41F62DAD">
            <w:pPr>
              <w:rPr>
                <w:rFonts w:hint="eastAsia" w:ascii="宋体" w:hAnsi="宋体" w:eastAsia="宋体" w:cs="宋体"/>
                <w:color w:val="auto"/>
                <w:highlight w:val="none"/>
              </w:rPr>
            </w:pPr>
          </w:p>
        </w:tc>
      </w:tr>
      <w:tr w14:paraId="18FD9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129" w:type="dxa"/>
            <w:noWrap w:val="0"/>
            <w:vAlign w:val="top"/>
          </w:tcPr>
          <w:p w14:paraId="34E72732">
            <w:pPr>
              <w:spacing w:before="154" w:line="227" w:lineRule="auto"/>
              <w:ind w:left="85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是否依法纳税</w:t>
            </w:r>
          </w:p>
        </w:tc>
        <w:tc>
          <w:tcPr>
            <w:tcW w:w="1949" w:type="dxa"/>
            <w:noWrap w:val="0"/>
            <w:vAlign w:val="top"/>
          </w:tcPr>
          <w:p w14:paraId="71ECBF2B">
            <w:pPr>
              <w:rPr>
                <w:rFonts w:hint="eastAsia" w:ascii="宋体" w:hAnsi="宋体" w:eastAsia="宋体" w:cs="宋体"/>
                <w:color w:val="auto"/>
                <w:highlight w:val="none"/>
              </w:rPr>
            </w:pPr>
          </w:p>
        </w:tc>
        <w:tc>
          <w:tcPr>
            <w:tcW w:w="1979" w:type="dxa"/>
            <w:noWrap w:val="0"/>
            <w:vAlign w:val="top"/>
          </w:tcPr>
          <w:p w14:paraId="73DBD1D5">
            <w:pPr>
              <w:spacing w:before="155" w:line="227" w:lineRule="auto"/>
              <w:ind w:left="28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是否参加社保</w:t>
            </w:r>
          </w:p>
        </w:tc>
        <w:tc>
          <w:tcPr>
            <w:tcW w:w="2244" w:type="dxa"/>
            <w:gridSpan w:val="3"/>
            <w:noWrap w:val="0"/>
            <w:vAlign w:val="top"/>
          </w:tcPr>
          <w:p w14:paraId="01F2494A">
            <w:pPr>
              <w:rPr>
                <w:rFonts w:hint="eastAsia" w:ascii="宋体" w:hAnsi="宋体" w:eastAsia="宋体" w:cs="宋体"/>
                <w:color w:val="auto"/>
                <w:highlight w:val="none"/>
              </w:rPr>
            </w:pPr>
          </w:p>
        </w:tc>
      </w:tr>
      <w:tr w14:paraId="0711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3129" w:type="dxa"/>
            <w:noWrap w:val="0"/>
            <w:vAlign w:val="top"/>
          </w:tcPr>
          <w:p w14:paraId="4EFD98CF">
            <w:pPr>
              <w:spacing w:line="249" w:lineRule="auto"/>
              <w:rPr>
                <w:rFonts w:hint="eastAsia" w:ascii="宋体" w:hAnsi="宋体" w:eastAsia="宋体" w:cs="宋体"/>
                <w:color w:val="auto"/>
                <w:highlight w:val="none"/>
              </w:rPr>
            </w:pPr>
          </w:p>
          <w:p w14:paraId="2963CD41">
            <w:pPr>
              <w:spacing w:line="250" w:lineRule="auto"/>
              <w:rPr>
                <w:rFonts w:hint="eastAsia" w:ascii="宋体" w:hAnsi="宋体" w:eastAsia="宋体" w:cs="宋体"/>
                <w:color w:val="auto"/>
                <w:highlight w:val="none"/>
              </w:rPr>
            </w:pPr>
          </w:p>
          <w:p w14:paraId="681A7D88">
            <w:pPr>
              <w:spacing w:line="250" w:lineRule="auto"/>
              <w:rPr>
                <w:rFonts w:hint="eastAsia" w:ascii="宋体" w:hAnsi="宋体" w:eastAsia="宋体" w:cs="宋体"/>
                <w:color w:val="auto"/>
                <w:highlight w:val="none"/>
              </w:rPr>
            </w:pPr>
          </w:p>
          <w:p w14:paraId="4C962457">
            <w:pPr>
              <w:spacing w:line="250" w:lineRule="auto"/>
              <w:rPr>
                <w:rFonts w:hint="eastAsia" w:ascii="宋体" w:hAnsi="宋体" w:eastAsia="宋体" w:cs="宋体"/>
                <w:color w:val="auto"/>
                <w:highlight w:val="none"/>
              </w:rPr>
            </w:pPr>
          </w:p>
          <w:p w14:paraId="2BA868F9">
            <w:pPr>
              <w:spacing w:line="250" w:lineRule="auto"/>
              <w:rPr>
                <w:rFonts w:hint="eastAsia" w:ascii="宋体" w:hAnsi="宋体" w:eastAsia="宋体" w:cs="宋体"/>
                <w:color w:val="auto"/>
                <w:highlight w:val="none"/>
              </w:rPr>
            </w:pPr>
          </w:p>
          <w:p w14:paraId="6DB8FB32">
            <w:pPr>
              <w:spacing w:before="75" w:line="227" w:lineRule="auto"/>
              <w:ind w:left="6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售后服务机构情况</w:t>
            </w:r>
          </w:p>
        </w:tc>
        <w:tc>
          <w:tcPr>
            <w:tcW w:w="6172" w:type="dxa"/>
            <w:gridSpan w:val="5"/>
            <w:noWrap w:val="0"/>
            <w:vAlign w:val="top"/>
          </w:tcPr>
          <w:p w14:paraId="59355A88">
            <w:pPr>
              <w:spacing w:line="267" w:lineRule="auto"/>
              <w:rPr>
                <w:rFonts w:hint="eastAsia" w:ascii="宋体" w:hAnsi="宋体" w:eastAsia="宋体" w:cs="宋体"/>
                <w:color w:val="auto"/>
                <w:highlight w:val="none"/>
              </w:rPr>
            </w:pPr>
          </w:p>
          <w:p w14:paraId="12F3C73D">
            <w:pPr>
              <w:spacing w:line="267" w:lineRule="auto"/>
              <w:rPr>
                <w:rFonts w:hint="eastAsia" w:ascii="宋体" w:hAnsi="宋体" w:eastAsia="宋体" w:cs="宋体"/>
                <w:color w:val="auto"/>
                <w:highlight w:val="none"/>
              </w:rPr>
            </w:pPr>
          </w:p>
          <w:p w14:paraId="407E2E67">
            <w:pPr>
              <w:spacing w:before="74" w:line="360" w:lineRule="exact"/>
              <w:ind w:left="174"/>
              <w:rPr>
                <w:rFonts w:hint="eastAsia" w:ascii="宋体" w:hAnsi="宋体" w:eastAsia="宋体" w:cs="宋体"/>
                <w:color w:val="auto"/>
                <w:sz w:val="23"/>
                <w:szCs w:val="23"/>
                <w:highlight w:val="none"/>
              </w:rPr>
            </w:pPr>
            <w:r>
              <w:rPr>
                <w:rFonts w:hint="eastAsia" w:ascii="宋体" w:hAnsi="宋体" w:eastAsia="宋体" w:cs="宋体"/>
                <w:color w:val="auto"/>
                <w:spacing w:val="7"/>
                <w:position w:val="9"/>
                <w:sz w:val="23"/>
                <w:szCs w:val="23"/>
                <w:highlight w:val="none"/>
              </w:rPr>
              <w:t>服务中心名称：</w:t>
            </w:r>
          </w:p>
          <w:p w14:paraId="5815DCF6">
            <w:pPr>
              <w:spacing w:line="236" w:lineRule="auto"/>
              <w:ind w:left="174"/>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地址：</w:t>
            </w:r>
          </w:p>
          <w:p w14:paraId="4B1861BE">
            <w:pPr>
              <w:spacing w:before="65" w:line="227"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人员状况：</w:t>
            </w:r>
          </w:p>
          <w:p w14:paraId="7B8AA46E">
            <w:pPr>
              <w:spacing w:before="76" w:line="229" w:lineRule="auto"/>
              <w:ind w:left="17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联系方式：</w:t>
            </w:r>
          </w:p>
          <w:p w14:paraId="06D78F67">
            <w:pPr>
              <w:spacing w:before="75" w:line="227" w:lineRule="auto"/>
              <w:ind w:left="18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（可另附纸说明）</w:t>
            </w:r>
          </w:p>
        </w:tc>
      </w:tr>
    </w:tbl>
    <w:p w14:paraId="0B62AA30">
      <w:pPr>
        <w:spacing w:before="108" w:line="219"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pacing w:val="-3"/>
          <w:sz w:val="22"/>
          <w:szCs w:val="22"/>
          <w:highlight w:val="none"/>
        </w:rPr>
        <w:t>注：请附相关资料（</w:t>
      </w:r>
      <w:r>
        <w:rPr>
          <w:rFonts w:hint="eastAsia" w:ascii="宋体" w:hAnsi="宋体" w:eastAsia="宋体" w:cs="宋体"/>
          <w:b/>
          <w:bCs/>
          <w:sz w:val="22"/>
          <w:szCs w:val="22"/>
          <w:highlight w:val="none"/>
        </w:rPr>
        <w:t>有效的质量管理体系认证证书</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环境管理体系认证证书</w:t>
      </w:r>
      <w:r>
        <w:rPr>
          <w:rFonts w:hint="eastAsia" w:ascii="宋体" w:hAnsi="宋体" w:eastAsia="宋体" w:cs="宋体"/>
          <w:b/>
          <w:bCs/>
          <w:color w:val="auto"/>
          <w:sz w:val="22"/>
          <w:szCs w:val="22"/>
          <w:highlight w:val="none"/>
        </w:rPr>
        <w:t>扫描件</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3"/>
          <w:sz w:val="22"/>
          <w:szCs w:val="22"/>
          <w:highlight w:val="none"/>
        </w:rPr>
        <w:t>。</w:t>
      </w:r>
    </w:p>
    <w:p w14:paraId="28D00272">
      <w:pPr>
        <w:spacing w:line="261" w:lineRule="auto"/>
        <w:rPr>
          <w:rFonts w:hint="eastAsia" w:ascii="宋体" w:hAnsi="宋体" w:eastAsia="宋体" w:cs="宋体"/>
          <w:color w:val="auto"/>
          <w:highlight w:val="none"/>
        </w:rPr>
      </w:pPr>
    </w:p>
    <w:p w14:paraId="735C67DE">
      <w:pPr>
        <w:spacing w:line="262" w:lineRule="auto"/>
        <w:rPr>
          <w:rFonts w:hint="eastAsia" w:ascii="宋体" w:hAnsi="宋体" w:eastAsia="宋体" w:cs="宋体"/>
          <w:color w:val="auto"/>
          <w:highlight w:val="none"/>
        </w:rPr>
      </w:pPr>
    </w:p>
    <w:p w14:paraId="34EF692E">
      <w:pPr>
        <w:spacing w:line="262" w:lineRule="auto"/>
        <w:rPr>
          <w:rFonts w:hint="eastAsia" w:ascii="宋体" w:hAnsi="宋体" w:eastAsia="宋体" w:cs="宋体"/>
          <w:color w:val="auto"/>
          <w:highlight w:val="none"/>
        </w:rPr>
      </w:pPr>
    </w:p>
    <w:p w14:paraId="688BDE8C">
      <w:pPr>
        <w:keepNext w:val="0"/>
        <w:keepLines w:val="0"/>
        <w:pageBreakBefore w:val="0"/>
        <w:widowControl/>
        <w:shd w:val="clear" w:color="auto" w:fill="auto"/>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 ：</w:t>
      </w:r>
    </w:p>
    <w:p w14:paraId="1C0784D9">
      <w:pPr>
        <w:keepNext w:val="0"/>
        <w:keepLines w:val="0"/>
        <w:pageBreakBefore w:val="0"/>
        <w:widowControl/>
        <w:shd w:val="clear" w:color="auto" w:fill="auto"/>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6984FBE8">
      <w:pPr>
        <w:shd w:val="clear" w:color="auto" w:fill="auto"/>
        <w:spacing w:line="353" w:lineRule="exact"/>
        <w:ind w:right="264"/>
        <w:jc w:val="center"/>
        <w:rPr>
          <w:rFonts w:hint="eastAsia" w:ascii="宋体" w:hAnsi="宋体"/>
          <w:b/>
          <w:color w:val="auto"/>
          <w:sz w:val="24"/>
          <w:highlight w:val="none"/>
          <w:lang w:val="en-US" w:eastAsia="zh-CN"/>
        </w:rPr>
      </w:pP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301DD047">
      <w:pPr>
        <w:shd w:val="clear" w:color="auto" w:fill="auto"/>
        <w:spacing w:line="353" w:lineRule="exact"/>
        <w:ind w:right="264"/>
        <w:rPr>
          <w:rFonts w:hint="eastAsia" w:ascii="宋体" w:hAnsi="宋体"/>
          <w:b/>
          <w:color w:val="auto"/>
          <w:sz w:val="24"/>
          <w:highlight w:val="none"/>
          <w:lang w:val="en-US" w:eastAsia="zh-CN"/>
        </w:rPr>
      </w:pPr>
    </w:p>
    <w:p w14:paraId="524B8FF4">
      <w:pPr>
        <w:shd w:val="clear" w:color="auto" w:fill="auto"/>
        <w:spacing w:line="353" w:lineRule="exact"/>
        <w:ind w:right="264"/>
        <w:rPr>
          <w:rFonts w:hint="eastAsia" w:ascii="宋体" w:hAnsi="宋体"/>
          <w:b/>
          <w:color w:val="auto"/>
          <w:sz w:val="24"/>
          <w:highlight w:val="none"/>
          <w:lang w:val="en-US" w:eastAsia="zh-CN"/>
        </w:rPr>
      </w:pPr>
    </w:p>
    <w:p w14:paraId="2FB84DBC">
      <w:pPr>
        <w:shd w:val="clear" w:color="auto" w:fill="auto"/>
        <w:spacing w:line="353" w:lineRule="exact"/>
        <w:ind w:right="264"/>
        <w:rPr>
          <w:rFonts w:hint="eastAsia" w:ascii="宋体" w:hAnsi="宋体"/>
          <w:b/>
          <w:color w:val="auto"/>
          <w:sz w:val="24"/>
          <w:highlight w:val="none"/>
          <w:lang w:val="en-US" w:eastAsia="zh-CN"/>
        </w:rPr>
      </w:pPr>
    </w:p>
    <w:p w14:paraId="07462C47">
      <w:pPr>
        <w:shd w:val="clear" w:color="auto" w:fill="auto"/>
        <w:spacing w:line="353" w:lineRule="exact"/>
        <w:ind w:right="264"/>
        <w:rPr>
          <w:rFonts w:hint="eastAsia" w:ascii="宋体" w:hAnsi="宋体"/>
          <w:b/>
          <w:color w:val="auto"/>
          <w:sz w:val="24"/>
          <w:highlight w:val="none"/>
          <w:lang w:val="en-US" w:eastAsia="zh-CN"/>
        </w:rPr>
      </w:pPr>
    </w:p>
    <w:p w14:paraId="1381F714">
      <w:pPr>
        <w:shd w:val="clear" w:color="auto" w:fill="auto"/>
        <w:spacing w:line="353" w:lineRule="exact"/>
        <w:ind w:right="264"/>
        <w:rPr>
          <w:rFonts w:hint="eastAsia" w:ascii="宋体" w:hAnsi="宋体"/>
          <w:b/>
          <w:color w:val="auto"/>
          <w:sz w:val="24"/>
          <w:highlight w:val="none"/>
          <w:lang w:val="en-US" w:eastAsia="zh-CN"/>
        </w:rPr>
      </w:pPr>
    </w:p>
    <w:p w14:paraId="296949CC">
      <w:pPr>
        <w:shd w:val="clear" w:color="auto" w:fill="auto"/>
        <w:spacing w:line="600" w:lineRule="exact"/>
        <w:jc w:val="center"/>
        <w:rPr>
          <w:rFonts w:hint="eastAsia" w:ascii="宋体" w:hAnsi="宋体" w:cs="Times New Roman"/>
          <w:b/>
          <w:bCs/>
          <w:color w:val="auto"/>
          <w:sz w:val="28"/>
          <w:szCs w:val="28"/>
          <w:highlight w:val="none"/>
        </w:rPr>
      </w:pPr>
      <w:r>
        <w:rPr>
          <w:rFonts w:hint="eastAsia" w:ascii="宋体" w:hAnsi="宋体" w:cs="Times New Roman"/>
          <w:b/>
          <w:bCs/>
          <w:color w:val="auto"/>
          <w:sz w:val="28"/>
          <w:szCs w:val="28"/>
          <w:highlight w:val="none"/>
          <w:lang w:val="en-US" w:eastAsia="zh-CN"/>
        </w:rPr>
        <w:t>4.</w:t>
      </w:r>
      <w:r>
        <w:rPr>
          <w:rFonts w:hint="eastAsia" w:ascii="宋体" w:hAnsi="宋体" w:cs="Times New Roman"/>
          <w:b/>
          <w:bCs/>
          <w:color w:val="auto"/>
          <w:sz w:val="28"/>
          <w:szCs w:val="28"/>
          <w:highlight w:val="none"/>
          <w:lang w:val="zh-CN"/>
        </w:rPr>
        <w:t>类似业绩</w:t>
      </w:r>
    </w:p>
    <w:p w14:paraId="6976D79D">
      <w:pPr>
        <w:pStyle w:val="23"/>
        <w:shd w:val="clear" w:color="auto" w:fill="auto"/>
        <w:ind w:left="0" w:leftChars="0" w:firstLine="0" w:firstLineChars="0"/>
        <w:rPr>
          <w:rFonts w:hint="eastAsia"/>
          <w:color w:val="auto"/>
          <w:sz w:val="24"/>
          <w:szCs w:val="24"/>
          <w:highlight w:val="none"/>
          <w:lang w:val="en-US" w:eastAsia="zh-CN"/>
        </w:rPr>
      </w:pPr>
    </w:p>
    <w:tbl>
      <w:tblPr>
        <w:tblStyle w:val="24"/>
        <w:tblW w:w="4998" w:type="pct"/>
        <w:jc w:val="center"/>
        <w:tblLayout w:type="autofit"/>
        <w:tblCellMar>
          <w:top w:w="0" w:type="dxa"/>
          <w:left w:w="0" w:type="dxa"/>
          <w:bottom w:w="0" w:type="dxa"/>
          <w:right w:w="0" w:type="dxa"/>
        </w:tblCellMar>
      </w:tblPr>
      <w:tblGrid>
        <w:gridCol w:w="931"/>
        <w:gridCol w:w="2056"/>
        <w:gridCol w:w="1556"/>
        <w:gridCol w:w="1556"/>
        <w:gridCol w:w="1787"/>
        <w:gridCol w:w="1768"/>
      </w:tblGrid>
      <w:tr w14:paraId="019374F5">
        <w:tblPrEx>
          <w:tblCellMar>
            <w:top w:w="0" w:type="dxa"/>
            <w:left w:w="0" w:type="dxa"/>
            <w:bottom w:w="0" w:type="dxa"/>
            <w:right w:w="0" w:type="dxa"/>
          </w:tblCellMar>
        </w:tblPrEx>
        <w:trPr>
          <w:trHeight w:val="850" w:hRule="atLeast"/>
          <w:jc w:val="center"/>
        </w:trPr>
        <w:tc>
          <w:tcPr>
            <w:tcW w:w="482" w:type="pct"/>
            <w:tcBorders>
              <w:top w:val="single" w:color="auto" w:sz="8" w:space="0"/>
              <w:left w:val="single" w:color="auto" w:sz="8" w:space="0"/>
              <w:right w:val="single" w:color="auto" w:sz="8" w:space="0"/>
            </w:tcBorders>
            <w:noWrap w:val="0"/>
            <w:vAlign w:val="center"/>
          </w:tcPr>
          <w:p w14:paraId="4F2E3C8B">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64" w:type="pct"/>
            <w:tcBorders>
              <w:top w:val="single" w:color="auto" w:sz="8" w:space="0"/>
              <w:bottom w:val="single" w:color="auto" w:sz="4" w:space="0"/>
              <w:right w:val="single" w:color="auto" w:sz="8" w:space="0"/>
            </w:tcBorders>
            <w:noWrap w:val="0"/>
            <w:vAlign w:val="center"/>
          </w:tcPr>
          <w:p w14:paraId="2C1D7EC5">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805" w:type="pct"/>
            <w:tcBorders>
              <w:top w:val="single" w:color="auto" w:sz="8" w:space="0"/>
              <w:right w:val="single" w:color="auto" w:sz="8" w:space="0"/>
            </w:tcBorders>
            <w:noWrap w:val="0"/>
            <w:vAlign w:val="center"/>
          </w:tcPr>
          <w:p w14:paraId="6003506E">
            <w:pPr>
              <w:shd w:val="clear" w:color="auto" w:fill="auto"/>
              <w:spacing w:line="274"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业主单位名称</w:t>
            </w:r>
          </w:p>
        </w:tc>
        <w:tc>
          <w:tcPr>
            <w:tcW w:w="805" w:type="pct"/>
            <w:tcBorders>
              <w:top w:val="single" w:color="auto" w:sz="8" w:space="0"/>
              <w:right w:val="single" w:color="auto" w:sz="8" w:space="0"/>
            </w:tcBorders>
            <w:noWrap w:val="0"/>
            <w:vAlign w:val="center"/>
          </w:tcPr>
          <w:p w14:paraId="0C84C24F">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内容概要</w:t>
            </w:r>
          </w:p>
        </w:tc>
        <w:tc>
          <w:tcPr>
            <w:tcW w:w="925" w:type="pct"/>
            <w:tcBorders>
              <w:top w:val="single" w:color="auto" w:sz="8" w:space="0"/>
              <w:right w:val="single" w:color="auto" w:sz="8" w:space="0"/>
            </w:tcBorders>
            <w:noWrap w:val="0"/>
            <w:vAlign w:val="center"/>
          </w:tcPr>
          <w:p w14:paraId="02A547A0">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合同金额（元）</w:t>
            </w:r>
          </w:p>
        </w:tc>
        <w:tc>
          <w:tcPr>
            <w:tcW w:w="915" w:type="pct"/>
            <w:tcBorders>
              <w:top w:val="single" w:color="auto" w:sz="8" w:space="0"/>
              <w:right w:val="single" w:color="auto" w:sz="8" w:space="0"/>
            </w:tcBorders>
            <w:noWrap w:val="0"/>
            <w:vAlign w:val="center"/>
          </w:tcPr>
          <w:p w14:paraId="297E5943">
            <w:pPr>
              <w:shd w:val="clear" w:color="auto" w:fill="auto"/>
              <w:spacing w:line="274" w:lineRule="exact"/>
              <w:jc w:val="center"/>
              <w:rPr>
                <w:rFonts w:ascii="宋体" w:cs="宋体"/>
                <w:color w:val="auto"/>
                <w:sz w:val="24"/>
                <w:szCs w:val="24"/>
                <w:highlight w:val="none"/>
              </w:rPr>
            </w:pPr>
            <w:r>
              <w:rPr>
                <w:rFonts w:hint="eastAsia" w:ascii="宋体" w:hAnsi="宋体" w:cs="宋体"/>
                <w:color w:val="auto"/>
                <w:sz w:val="24"/>
                <w:szCs w:val="24"/>
                <w:highlight w:val="none"/>
              </w:rPr>
              <w:t>实施时间</w:t>
            </w:r>
          </w:p>
        </w:tc>
      </w:tr>
      <w:tr w14:paraId="159E462B">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7F2EED75">
            <w:pPr>
              <w:shd w:val="clear" w:color="auto" w:fill="auto"/>
              <w:spacing w:line="274" w:lineRule="exact"/>
              <w:jc w:val="center"/>
              <w:rPr>
                <w:rFonts w:ascii="宋体"/>
                <w:color w:val="auto"/>
                <w:w w:val="99"/>
                <w:sz w:val="24"/>
                <w:szCs w:val="24"/>
                <w:highlight w:val="none"/>
              </w:rPr>
            </w:pPr>
            <w:r>
              <w:rPr>
                <w:rFonts w:ascii="宋体" w:hAnsi="宋体"/>
                <w:color w:val="auto"/>
                <w:w w:val="99"/>
                <w:sz w:val="24"/>
                <w:szCs w:val="24"/>
                <w:highlight w:val="none"/>
              </w:rPr>
              <w:t>1</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5F6C89A">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AEC0CFB">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7BE632A">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CF13AC4">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9BA99B9">
            <w:pPr>
              <w:shd w:val="clear" w:color="auto" w:fill="auto"/>
              <w:spacing w:line="240" w:lineRule="atLeast"/>
              <w:jc w:val="center"/>
              <w:rPr>
                <w:rFonts w:ascii="Times New Roman" w:hAnsi="Times New Roman"/>
                <w:color w:val="auto"/>
                <w:sz w:val="24"/>
                <w:szCs w:val="24"/>
                <w:highlight w:val="none"/>
              </w:rPr>
            </w:pPr>
          </w:p>
        </w:tc>
      </w:tr>
      <w:tr w14:paraId="2EFFBF3A">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705DA51D">
            <w:pPr>
              <w:shd w:val="clear" w:color="auto" w:fill="auto"/>
              <w:spacing w:line="274" w:lineRule="exact"/>
              <w:jc w:val="center"/>
              <w:rPr>
                <w:rFonts w:ascii="宋体"/>
                <w:color w:val="auto"/>
                <w:w w:val="99"/>
                <w:sz w:val="24"/>
                <w:szCs w:val="24"/>
                <w:highlight w:val="none"/>
              </w:rPr>
            </w:pPr>
            <w:r>
              <w:rPr>
                <w:rFonts w:ascii="宋体" w:hAnsi="宋体"/>
                <w:color w:val="auto"/>
                <w:w w:val="99"/>
                <w:sz w:val="24"/>
                <w:szCs w:val="24"/>
                <w:highlight w:val="none"/>
              </w:rPr>
              <w:t>2</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62A0BA1">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385CB3C8">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1FF5E91">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A64ADA6">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E83BF12">
            <w:pPr>
              <w:shd w:val="clear" w:color="auto" w:fill="auto"/>
              <w:spacing w:line="240" w:lineRule="atLeast"/>
              <w:jc w:val="center"/>
              <w:rPr>
                <w:rFonts w:ascii="Times New Roman" w:hAnsi="Times New Roman"/>
                <w:color w:val="auto"/>
                <w:sz w:val="24"/>
                <w:szCs w:val="24"/>
                <w:highlight w:val="none"/>
              </w:rPr>
            </w:pPr>
          </w:p>
        </w:tc>
      </w:tr>
      <w:tr w14:paraId="603565C9">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B28FA18">
            <w:pPr>
              <w:shd w:val="clear" w:color="auto" w:fill="auto"/>
              <w:spacing w:line="240" w:lineRule="atLeast"/>
              <w:jc w:val="center"/>
              <w:rPr>
                <w:rFonts w:ascii="Times New Roman" w:hAnsi="Times New Roman"/>
                <w:color w:val="auto"/>
                <w:sz w:val="24"/>
                <w:szCs w:val="24"/>
                <w:highlight w:val="none"/>
              </w:rPr>
            </w:pPr>
            <w:r>
              <w:rPr>
                <w:rFonts w:ascii="Times New Roman" w:hAnsi="Times New Roman"/>
                <w:color w:val="auto"/>
                <w:sz w:val="24"/>
                <w:szCs w:val="24"/>
                <w:highlight w:val="none"/>
              </w:rPr>
              <w:t>...</w:t>
            </w: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40ACA1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76E435B7">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7DBC6F5">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1E847DB5">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F73D3CB">
            <w:pPr>
              <w:shd w:val="clear" w:color="auto" w:fill="auto"/>
              <w:spacing w:line="240" w:lineRule="atLeast"/>
              <w:jc w:val="center"/>
              <w:rPr>
                <w:rFonts w:ascii="Times New Roman" w:hAnsi="Times New Roman"/>
                <w:color w:val="auto"/>
                <w:sz w:val="24"/>
                <w:szCs w:val="24"/>
                <w:highlight w:val="none"/>
              </w:rPr>
            </w:pPr>
          </w:p>
        </w:tc>
      </w:tr>
      <w:tr w14:paraId="51B0548B">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299CC3A5">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00F4EF8">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20A397BE">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6600057F">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20BCFB03">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38CA7DB">
            <w:pPr>
              <w:shd w:val="clear" w:color="auto" w:fill="auto"/>
              <w:spacing w:line="240" w:lineRule="atLeast"/>
              <w:jc w:val="center"/>
              <w:rPr>
                <w:rFonts w:ascii="Times New Roman" w:hAnsi="Times New Roman"/>
                <w:color w:val="auto"/>
                <w:sz w:val="24"/>
                <w:szCs w:val="24"/>
                <w:highlight w:val="none"/>
              </w:rPr>
            </w:pPr>
          </w:p>
        </w:tc>
      </w:tr>
      <w:tr w14:paraId="35794CD8">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46831436">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BF229B1">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08C6C3A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1889D276">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35E45512">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01772C9B">
            <w:pPr>
              <w:shd w:val="clear" w:color="auto" w:fill="auto"/>
              <w:spacing w:line="240" w:lineRule="atLeast"/>
              <w:jc w:val="center"/>
              <w:rPr>
                <w:rFonts w:ascii="Times New Roman" w:hAnsi="Times New Roman"/>
                <w:color w:val="auto"/>
                <w:sz w:val="24"/>
                <w:szCs w:val="24"/>
                <w:highlight w:val="none"/>
              </w:rPr>
            </w:pPr>
          </w:p>
        </w:tc>
      </w:tr>
      <w:tr w14:paraId="4EC97EFF">
        <w:tblPrEx>
          <w:tblCellMar>
            <w:top w:w="0" w:type="dxa"/>
            <w:left w:w="0" w:type="dxa"/>
            <w:bottom w:w="0" w:type="dxa"/>
            <w:right w:w="0" w:type="dxa"/>
          </w:tblCellMar>
        </w:tblPrEx>
        <w:trPr>
          <w:trHeight w:val="680" w:hRule="atLeast"/>
          <w:jc w:val="center"/>
        </w:trPr>
        <w:tc>
          <w:tcPr>
            <w:tcW w:w="482" w:type="pct"/>
            <w:tcBorders>
              <w:top w:val="single" w:color="auto" w:sz="4" w:space="0"/>
              <w:left w:val="single" w:color="auto" w:sz="4" w:space="0"/>
              <w:bottom w:val="single" w:color="auto" w:sz="4" w:space="0"/>
              <w:right w:val="single" w:color="auto" w:sz="4" w:space="0"/>
            </w:tcBorders>
            <w:noWrap w:val="0"/>
            <w:vAlign w:val="center"/>
          </w:tcPr>
          <w:p w14:paraId="16B74141">
            <w:pPr>
              <w:shd w:val="clear" w:color="auto" w:fill="auto"/>
              <w:spacing w:line="240" w:lineRule="atLeast"/>
              <w:jc w:val="center"/>
              <w:rPr>
                <w:rFonts w:ascii="Times New Roman" w:hAnsi="Times New Roman"/>
                <w:color w:val="auto"/>
                <w:sz w:val="24"/>
                <w:szCs w:val="24"/>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57D87A4E">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5EADBA84">
            <w:pPr>
              <w:shd w:val="clear" w:color="auto" w:fill="auto"/>
              <w:spacing w:line="240" w:lineRule="atLeast"/>
              <w:jc w:val="center"/>
              <w:rPr>
                <w:rFonts w:ascii="Times New Roman" w:hAnsi="Times New Roman"/>
                <w:color w:val="auto"/>
                <w:sz w:val="24"/>
                <w:szCs w:val="24"/>
                <w:highlight w:val="none"/>
              </w:rPr>
            </w:pPr>
          </w:p>
        </w:tc>
        <w:tc>
          <w:tcPr>
            <w:tcW w:w="805" w:type="pct"/>
            <w:tcBorders>
              <w:top w:val="single" w:color="auto" w:sz="4" w:space="0"/>
              <w:left w:val="single" w:color="auto" w:sz="4" w:space="0"/>
              <w:bottom w:val="single" w:color="auto" w:sz="4" w:space="0"/>
              <w:right w:val="single" w:color="auto" w:sz="4" w:space="0"/>
            </w:tcBorders>
            <w:noWrap w:val="0"/>
            <w:vAlign w:val="center"/>
          </w:tcPr>
          <w:p w14:paraId="500285FA">
            <w:pPr>
              <w:shd w:val="clear" w:color="auto" w:fill="auto"/>
              <w:spacing w:line="240" w:lineRule="atLeast"/>
              <w:jc w:val="center"/>
              <w:rPr>
                <w:rFonts w:ascii="Times New Roman" w:hAnsi="Times New Roman"/>
                <w:color w:val="auto"/>
                <w:sz w:val="24"/>
                <w:szCs w:val="24"/>
                <w:highlight w:val="none"/>
              </w:rPr>
            </w:pPr>
          </w:p>
        </w:tc>
        <w:tc>
          <w:tcPr>
            <w:tcW w:w="925" w:type="pct"/>
            <w:tcBorders>
              <w:top w:val="single" w:color="auto" w:sz="4" w:space="0"/>
              <w:left w:val="single" w:color="auto" w:sz="4" w:space="0"/>
              <w:bottom w:val="single" w:color="auto" w:sz="4" w:space="0"/>
              <w:right w:val="single" w:color="auto" w:sz="4" w:space="0"/>
            </w:tcBorders>
            <w:noWrap w:val="0"/>
            <w:vAlign w:val="center"/>
          </w:tcPr>
          <w:p w14:paraId="764242B7">
            <w:pPr>
              <w:shd w:val="clear" w:color="auto" w:fill="auto"/>
              <w:spacing w:line="240" w:lineRule="atLeast"/>
              <w:jc w:val="center"/>
              <w:rPr>
                <w:rFonts w:ascii="Times New Roman" w:hAnsi="Times New Roman"/>
                <w:color w:val="auto"/>
                <w:sz w:val="24"/>
                <w:szCs w:val="24"/>
                <w:highlight w:val="none"/>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2735966F">
            <w:pPr>
              <w:shd w:val="clear" w:color="auto" w:fill="auto"/>
              <w:spacing w:line="240" w:lineRule="atLeast"/>
              <w:jc w:val="center"/>
              <w:rPr>
                <w:rFonts w:ascii="Times New Roman" w:hAnsi="Times New Roman"/>
                <w:color w:val="auto"/>
                <w:sz w:val="24"/>
                <w:szCs w:val="24"/>
                <w:highlight w:val="none"/>
              </w:rPr>
            </w:pPr>
          </w:p>
        </w:tc>
      </w:tr>
    </w:tbl>
    <w:p w14:paraId="11D1ADC2">
      <w:pPr>
        <w:shd w:val="clear" w:color="auto" w:fill="auto"/>
        <w:spacing w:line="1" w:lineRule="exact"/>
        <w:rPr>
          <w:rFonts w:ascii="Times New Roman" w:hAnsi="Times New Roman"/>
          <w:color w:val="auto"/>
          <w:sz w:val="24"/>
          <w:szCs w:val="24"/>
          <w:highlight w:val="none"/>
        </w:rPr>
      </w:pPr>
    </w:p>
    <w:p w14:paraId="29038D24">
      <w:pPr>
        <w:shd w:val="clear" w:color="auto" w:fill="auto"/>
        <w:spacing w:line="274" w:lineRule="exact"/>
        <w:ind w:left="260"/>
        <w:rPr>
          <w:rFonts w:ascii="宋体"/>
          <w:b/>
          <w:bCs/>
          <w:color w:val="auto"/>
          <w:sz w:val="24"/>
          <w:szCs w:val="24"/>
          <w:highlight w:val="none"/>
        </w:rPr>
      </w:pPr>
    </w:p>
    <w:p w14:paraId="48C819F0">
      <w:pPr>
        <w:shd w:val="clear" w:color="auto" w:fill="auto"/>
        <w:spacing w:line="274" w:lineRule="exact"/>
        <w:ind w:left="260"/>
        <w:rPr>
          <w:rFonts w:ascii="宋体"/>
          <w:b/>
          <w:bCs/>
          <w:color w:val="auto"/>
          <w:sz w:val="24"/>
          <w:szCs w:val="24"/>
          <w:highlight w:val="none"/>
        </w:rPr>
      </w:pPr>
      <w:r>
        <w:rPr>
          <w:rFonts w:hint="eastAsia" w:ascii="宋体" w:hAnsi="宋体"/>
          <w:b/>
          <w:bCs/>
          <w:color w:val="auto"/>
          <w:sz w:val="24"/>
          <w:szCs w:val="24"/>
          <w:highlight w:val="none"/>
        </w:rPr>
        <w:t>注：涉及评分项的其它证明材料附后。</w:t>
      </w:r>
    </w:p>
    <w:p w14:paraId="29B0FAF0">
      <w:pPr>
        <w:shd w:val="clear" w:color="auto" w:fill="auto"/>
        <w:spacing w:line="274" w:lineRule="exact"/>
        <w:ind w:left="260"/>
        <w:rPr>
          <w:rFonts w:ascii="宋体"/>
          <w:color w:val="auto"/>
          <w:sz w:val="24"/>
          <w:szCs w:val="24"/>
          <w:highlight w:val="none"/>
        </w:rPr>
      </w:pPr>
    </w:p>
    <w:p w14:paraId="6C6A4A78">
      <w:pPr>
        <w:shd w:val="clear" w:color="auto" w:fill="auto"/>
        <w:spacing w:line="200" w:lineRule="exact"/>
        <w:rPr>
          <w:rFonts w:ascii="Times New Roman" w:hAnsi="Times New Roman"/>
          <w:color w:val="auto"/>
          <w:sz w:val="24"/>
          <w:szCs w:val="24"/>
          <w:highlight w:val="none"/>
        </w:rPr>
      </w:pPr>
    </w:p>
    <w:p w14:paraId="2661726E">
      <w:pPr>
        <w:shd w:val="clear" w:color="auto" w:fill="auto"/>
        <w:spacing w:line="200" w:lineRule="exact"/>
        <w:rPr>
          <w:rFonts w:ascii="Times New Roman" w:hAnsi="Times New Roman"/>
          <w:color w:val="auto"/>
          <w:sz w:val="24"/>
          <w:szCs w:val="24"/>
          <w:highlight w:val="none"/>
        </w:rPr>
      </w:pPr>
    </w:p>
    <w:p w14:paraId="0AE193D7">
      <w:pPr>
        <w:shd w:val="clear" w:color="auto" w:fill="auto"/>
        <w:spacing w:line="200" w:lineRule="exact"/>
        <w:rPr>
          <w:rFonts w:ascii="Times New Roman" w:hAnsi="Times New Roman"/>
          <w:color w:val="auto"/>
          <w:sz w:val="24"/>
          <w:szCs w:val="24"/>
          <w:highlight w:val="none"/>
        </w:rPr>
      </w:pPr>
    </w:p>
    <w:p w14:paraId="005F8C7B">
      <w:pPr>
        <w:shd w:val="clear" w:color="auto" w:fill="auto"/>
        <w:spacing w:line="200" w:lineRule="exact"/>
        <w:rPr>
          <w:rFonts w:ascii="Times New Roman" w:hAnsi="Times New Roman"/>
          <w:color w:val="auto"/>
          <w:sz w:val="24"/>
          <w:szCs w:val="24"/>
          <w:highlight w:val="none"/>
        </w:rPr>
      </w:pPr>
    </w:p>
    <w:p w14:paraId="54280FB9">
      <w:pPr>
        <w:pStyle w:val="9"/>
        <w:shd w:val="clear" w:color="auto" w:fill="auto"/>
        <w:rPr>
          <w:rFonts w:ascii="Times New Roman" w:hAnsi="Times New Roman"/>
          <w:color w:val="auto"/>
          <w:sz w:val="24"/>
          <w:szCs w:val="24"/>
          <w:highlight w:val="none"/>
        </w:rPr>
      </w:pPr>
    </w:p>
    <w:p w14:paraId="175F55D2">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投标人名称（盖章） ：</w:t>
      </w:r>
    </w:p>
    <w:p w14:paraId="77974704">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法定代表人或</w:t>
      </w: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lang w:val="zh-CN"/>
        </w:rPr>
        <w:t>：</w:t>
      </w:r>
    </w:p>
    <w:p w14:paraId="2A987F85">
      <w:pPr>
        <w:keepNext w:val="0"/>
        <w:keepLines w:val="0"/>
        <w:pageBreakBefore w:val="0"/>
        <w:widowControl/>
        <w:shd w:val="clear" w:color="auto" w:fill="auto"/>
        <w:kinsoku/>
        <w:wordWrap/>
        <w:overflowPunct/>
        <w:topLinePunct w:val="0"/>
        <w:autoSpaceDE/>
        <w:autoSpaceDN/>
        <w:bidi w:val="0"/>
        <w:adjustRightInd/>
        <w:snapToGrid w:val="0"/>
        <w:spacing w:line="420" w:lineRule="exact"/>
        <w:ind w:firstLine="360" w:firstLineChars="150"/>
        <w:jc w:val="center"/>
        <w:textAlignment w:val="auto"/>
        <w:rPr>
          <w:rFonts w:ascii="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期：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月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日</w:t>
      </w:r>
    </w:p>
    <w:p w14:paraId="27DC9C43">
      <w:pPr>
        <w:bidi w:val="0"/>
        <w:jc w:val="center"/>
        <w:rPr>
          <w:rFonts w:hint="eastAsia" w:ascii="宋体" w:hAnsi="宋体" w:eastAsia="宋体" w:cs="Times New Roman"/>
          <w:b/>
          <w:bCs/>
          <w:color w:val="auto"/>
          <w:sz w:val="28"/>
          <w:szCs w:val="28"/>
          <w:highlight w:val="none"/>
          <w:lang w:val="zh-CN"/>
        </w:rPr>
      </w:pPr>
      <w:r>
        <w:rPr>
          <w:rFonts w:hint="eastAsia" w:ascii="宋体" w:hAnsi="宋体" w:eastAsia="宋体" w:cs="宋体"/>
          <w:i w:val="0"/>
          <w:iCs w:val="0"/>
          <w:color w:val="auto"/>
          <w:sz w:val="24"/>
          <w:highlight w:val="none"/>
        </w:rPr>
        <w:br w:type="page"/>
      </w:r>
      <w:bookmarkEnd w:id="102"/>
      <w:r>
        <w:rPr>
          <w:rFonts w:hint="eastAsia" w:ascii="宋体" w:hAnsi="宋体" w:cs="Times New Roman"/>
          <w:b/>
          <w:bCs/>
          <w:color w:val="auto"/>
          <w:sz w:val="28"/>
          <w:szCs w:val="28"/>
          <w:highlight w:val="none"/>
          <w:lang w:val="en-US" w:eastAsia="zh-CN"/>
        </w:rPr>
        <w:t>5.</w:t>
      </w:r>
      <w:r>
        <w:rPr>
          <w:rFonts w:hint="eastAsia" w:ascii="宋体" w:hAnsi="宋体" w:cs="Times New Roman"/>
          <w:b/>
          <w:bCs/>
          <w:color w:val="auto"/>
          <w:sz w:val="28"/>
          <w:szCs w:val="28"/>
          <w:highlight w:val="none"/>
          <w:lang w:val="zh-CN"/>
        </w:rPr>
        <w:t>技术力量</w:t>
      </w:r>
    </w:p>
    <w:tbl>
      <w:tblPr>
        <w:tblStyle w:val="2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2"/>
        <w:gridCol w:w="2071"/>
        <w:gridCol w:w="2038"/>
        <w:gridCol w:w="1583"/>
        <w:gridCol w:w="1677"/>
        <w:gridCol w:w="1257"/>
      </w:tblGrid>
      <w:tr w14:paraId="17B5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center"/>
          </w:tcPr>
          <w:p w14:paraId="29EDB127">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1051" w:type="pct"/>
            <w:tcBorders>
              <w:top w:val="single" w:color="auto" w:sz="4" w:space="0"/>
              <w:left w:val="single" w:color="auto" w:sz="4" w:space="0"/>
              <w:bottom w:val="single" w:color="auto" w:sz="4" w:space="0"/>
              <w:right w:val="single" w:color="auto" w:sz="4" w:space="0"/>
            </w:tcBorders>
            <w:noWrap w:val="0"/>
            <w:vAlign w:val="center"/>
          </w:tcPr>
          <w:p w14:paraId="1F3E408B">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在本项目中担任职务或岗位</w:t>
            </w:r>
          </w:p>
        </w:tc>
        <w:tc>
          <w:tcPr>
            <w:tcW w:w="1034" w:type="pct"/>
            <w:tcBorders>
              <w:top w:val="single" w:color="auto" w:sz="4" w:space="0"/>
              <w:left w:val="single" w:color="auto" w:sz="4" w:space="0"/>
              <w:bottom w:val="single" w:color="auto" w:sz="4" w:space="0"/>
              <w:right w:val="single" w:color="auto" w:sz="4" w:space="0"/>
            </w:tcBorders>
            <w:noWrap w:val="0"/>
            <w:vAlign w:val="center"/>
          </w:tcPr>
          <w:p w14:paraId="470CD3D0">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专业技术资格</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3ACADBC4">
            <w:pPr>
              <w:snapToGrid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证书编号</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4635DA72">
            <w:pPr>
              <w:snapToGrid w:val="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参加本单位工作时间</w:t>
            </w:r>
          </w:p>
        </w:tc>
        <w:tc>
          <w:tcPr>
            <w:tcW w:w="638" w:type="pct"/>
            <w:tcBorders>
              <w:top w:val="single" w:color="auto" w:sz="4" w:space="0"/>
              <w:left w:val="single" w:color="auto" w:sz="4" w:space="0"/>
              <w:bottom w:val="single" w:color="auto" w:sz="4" w:space="0"/>
              <w:right w:val="single" w:color="auto" w:sz="4" w:space="0"/>
            </w:tcBorders>
            <w:noWrap w:val="0"/>
            <w:vAlign w:val="center"/>
          </w:tcPr>
          <w:p w14:paraId="7812F225">
            <w:pPr>
              <w:snapToGrid w:val="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eastAsia="zh-CN"/>
              </w:rPr>
              <w:t>备注</w:t>
            </w:r>
          </w:p>
        </w:tc>
      </w:tr>
      <w:tr w14:paraId="656EB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35379E3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39D07E7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2479C8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0B164B8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2C4A9CD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691E12F7">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79DE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2146421A">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77AEB5F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BFD58E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118B941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6FFC2A8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617B8B6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2EF3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2DD0C02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1FBC84B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501B3E89">
            <w:pPr>
              <w:pStyle w:val="12"/>
              <w:snapToGrid w:val="0"/>
              <w:spacing w:before="160" w:beforeLines="50" w:after="50" w:line="460" w:lineRule="exact"/>
              <w:ind w:left="5250"/>
              <w:rPr>
                <w:rFonts w:hint="eastAsia" w:ascii="宋体" w:hAnsi="宋体" w:eastAsia="宋体" w:cs="宋体"/>
                <w:i w:val="0"/>
                <w:iCs w:val="0"/>
                <w:color w:val="auto"/>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6F7ED119">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748E715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A9B21DE">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7D47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3ABF463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2D7BBA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468A6FB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3E9C9A3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4D0ED976">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C5EC51A">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64497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5223F14B">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4A73AFF0">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2330F4FC">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30F400DD">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6496EC9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273BE726">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46FCD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610E78D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6EA64445">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11E7ECB7">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646695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33CC74FE">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0AE11C1F">
            <w:pPr>
              <w:snapToGrid w:val="0"/>
              <w:spacing w:before="160" w:beforeLines="50" w:after="50" w:line="460" w:lineRule="exact"/>
              <w:rPr>
                <w:rFonts w:hint="eastAsia" w:ascii="宋体" w:hAnsi="宋体" w:eastAsia="宋体" w:cs="宋体"/>
                <w:i w:val="0"/>
                <w:iCs w:val="0"/>
                <w:color w:val="auto"/>
                <w:sz w:val="28"/>
                <w:szCs w:val="28"/>
                <w:highlight w:val="none"/>
              </w:rPr>
            </w:pPr>
          </w:p>
        </w:tc>
      </w:tr>
      <w:tr w14:paraId="1C218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0" w:type="pct"/>
            <w:tcBorders>
              <w:top w:val="single" w:color="auto" w:sz="4" w:space="0"/>
              <w:left w:val="single" w:color="auto" w:sz="4" w:space="0"/>
              <w:bottom w:val="single" w:color="auto" w:sz="4" w:space="0"/>
              <w:right w:val="single" w:color="auto" w:sz="4" w:space="0"/>
            </w:tcBorders>
            <w:noWrap w:val="0"/>
            <w:vAlign w:val="top"/>
          </w:tcPr>
          <w:p w14:paraId="6751BB8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51" w:type="pct"/>
            <w:tcBorders>
              <w:top w:val="single" w:color="auto" w:sz="4" w:space="0"/>
              <w:left w:val="single" w:color="auto" w:sz="4" w:space="0"/>
              <w:bottom w:val="single" w:color="auto" w:sz="4" w:space="0"/>
              <w:right w:val="single" w:color="auto" w:sz="4" w:space="0"/>
            </w:tcBorders>
            <w:noWrap w:val="0"/>
            <w:vAlign w:val="top"/>
          </w:tcPr>
          <w:p w14:paraId="2B1FCD64">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1034" w:type="pct"/>
            <w:tcBorders>
              <w:top w:val="single" w:color="auto" w:sz="4" w:space="0"/>
              <w:left w:val="single" w:color="auto" w:sz="4" w:space="0"/>
              <w:bottom w:val="single" w:color="auto" w:sz="4" w:space="0"/>
              <w:right w:val="single" w:color="auto" w:sz="4" w:space="0"/>
            </w:tcBorders>
            <w:noWrap w:val="0"/>
            <w:vAlign w:val="top"/>
          </w:tcPr>
          <w:p w14:paraId="35FD2588">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03" w:type="pct"/>
            <w:tcBorders>
              <w:top w:val="single" w:color="auto" w:sz="4" w:space="0"/>
              <w:left w:val="single" w:color="auto" w:sz="4" w:space="0"/>
              <w:bottom w:val="single" w:color="auto" w:sz="4" w:space="0"/>
              <w:right w:val="single" w:color="auto" w:sz="4" w:space="0"/>
            </w:tcBorders>
            <w:noWrap w:val="0"/>
            <w:vAlign w:val="top"/>
          </w:tcPr>
          <w:p w14:paraId="52B67AF2">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851" w:type="pct"/>
            <w:tcBorders>
              <w:top w:val="single" w:color="auto" w:sz="4" w:space="0"/>
              <w:left w:val="single" w:color="auto" w:sz="4" w:space="0"/>
              <w:bottom w:val="single" w:color="auto" w:sz="4" w:space="0"/>
              <w:right w:val="single" w:color="auto" w:sz="4" w:space="0"/>
            </w:tcBorders>
            <w:noWrap w:val="0"/>
            <w:vAlign w:val="top"/>
          </w:tcPr>
          <w:p w14:paraId="777B26D3">
            <w:pPr>
              <w:snapToGrid w:val="0"/>
              <w:spacing w:before="160" w:beforeLines="50" w:after="50" w:line="460" w:lineRule="exact"/>
              <w:rPr>
                <w:rFonts w:hint="eastAsia" w:ascii="宋体" w:hAnsi="宋体" w:eastAsia="宋体" w:cs="宋体"/>
                <w:i w:val="0"/>
                <w:iCs w:val="0"/>
                <w:color w:val="auto"/>
                <w:sz w:val="28"/>
                <w:szCs w:val="28"/>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top"/>
          </w:tcPr>
          <w:p w14:paraId="349CDE60">
            <w:pPr>
              <w:snapToGrid w:val="0"/>
              <w:spacing w:before="160" w:beforeLines="50" w:after="50" w:line="460" w:lineRule="exact"/>
              <w:rPr>
                <w:rFonts w:hint="eastAsia" w:ascii="宋体" w:hAnsi="宋体" w:eastAsia="宋体" w:cs="宋体"/>
                <w:i w:val="0"/>
                <w:iCs w:val="0"/>
                <w:color w:val="auto"/>
                <w:sz w:val="28"/>
                <w:szCs w:val="28"/>
                <w:highlight w:val="none"/>
              </w:rPr>
            </w:pPr>
          </w:p>
        </w:tc>
      </w:tr>
    </w:tbl>
    <w:p w14:paraId="733953FC">
      <w:pPr>
        <w:snapToGrid w:val="0"/>
        <w:spacing w:before="50" w:after="160" w:afterLines="50" w:line="460" w:lineRule="exact"/>
        <w:ind w:left="900" w:leftChars="200" w:hanging="480" w:hanging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注：在填写时，如本表格不适合投标供应商的实际情况，可根据本表格式自行划表填写。 </w:t>
      </w:r>
    </w:p>
    <w:p w14:paraId="6C6F562F">
      <w:pPr>
        <w:snapToGrid w:val="0"/>
        <w:spacing w:before="50" w:after="160" w:afterLines="50" w:line="460" w:lineRule="exact"/>
        <w:jc w:val="left"/>
        <w:rPr>
          <w:rFonts w:hint="eastAsia" w:ascii="宋体" w:hAnsi="宋体" w:eastAsia="宋体" w:cs="宋体"/>
          <w:i w:val="0"/>
          <w:iCs w:val="0"/>
          <w:color w:val="auto"/>
          <w:sz w:val="28"/>
          <w:szCs w:val="28"/>
          <w:highlight w:val="none"/>
        </w:rPr>
      </w:pPr>
    </w:p>
    <w:p w14:paraId="427D90B8">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lang w:eastAsia="zh-CN"/>
        </w:rPr>
        <w:t>投标人</w:t>
      </w:r>
      <w:r>
        <w:rPr>
          <w:rFonts w:hint="eastAsia" w:ascii="宋体" w:hAnsi="宋体" w:cs="宋体"/>
          <w:i w:val="0"/>
          <w:iCs w:val="0"/>
          <w:color w:val="auto"/>
          <w:kern w:val="0"/>
          <w:sz w:val="24"/>
          <w:szCs w:val="24"/>
          <w:highlight w:val="none"/>
        </w:rPr>
        <w:t>名称（盖章） ：</w:t>
      </w:r>
    </w:p>
    <w:p w14:paraId="2E5470C9">
      <w:pPr>
        <w:widowControl/>
        <w:snapToGrid w:val="0"/>
        <w:spacing w:line="360" w:lineRule="auto"/>
        <w:ind w:firstLine="3840" w:firstLineChars="16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法定代表人或</w:t>
      </w:r>
      <w:r>
        <w:rPr>
          <w:rFonts w:hint="eastAsia" w:ascii="宋体" w:hAnsi="宋体" w:cs="宋体"/>
          <w:i w:val="0"/>
          <w:iCs w:val="0"/>
          <w:color w:val="auto"/>
          <w:kern w:val="0"/>
          <w:sz w:val="24"/>
          <w:szCs w:val="24"/>
          <w:highlight w:val="none"/>
          <w:lang w:eastAsia="zh-CN"/>
        </w:rPr>
        <w:t>委托代理人</w:t>
      </w:r>
      <w:r>
        <w:rPr>
          <w:rFonts w:hint="eastAsia" w:ascii="宋体" w:hAnsi="宋体" w:cs="宋体"/>
          <w:i w:val="0"/>
          <w:iCs w:val="0"/>
          <w:color w:val="auto"/>
          <w:kern w:val="0"/>
          <w:sz w:val="24"/>
          <w:szCs w:val="24"/>
          <w:highlight w:val="none"/>
        </w:rPr>
        <w:t>（签字或盖章）：</w:t>
      </w:r>
    </w:p>
    <w:p w14:paraId="271BC260">
      <w:pPr>
        <w:widowControl/>
        <w:snapToGrid w:val="0"/>
        <w:spacing w:line="360" w:lineRule="auto"/>
        <w:ind w:firstLine="4320" w:firstLineChars="1800"/>
        <w:jc w:val="left"/>
        <w:rPr>
          <w:rFonts w:hint="eastAsia" w:ascii="宋体" w:hAnsi="宋体" w:cs="宋体"/>
          <w:i w:val="0"/>
          <w:iCs w:val="0"/>
          <w:color w:val="auto"/>
          <w:kern w:val="0"/>
          <w:sz w:val="24"/>
          <w:szCs w:val="24"/>
          <w:highlight w:val="none"/>
        </w:rPr>
      </w:pPr>
      <w:r>
        <w:rPr>
          <w:rFonts w:hint="eastAsia" w:ascii="宋体" w:hAnsi="宋体" w:cs="宋体"/>
          <w:i w:val="0"/>
          <w:iCs w:val="0"/>
          <w:color w:val="auto"/>
          <w:kern w:val="0"/>
          <w:sz w:val="24"/>
          <w:szCs w:val="24"/>
          <w:highlight w:val="none"/>
        </w:rPr>
        <w:t>日期：     年  月  日</w:t>
      </w:r>
    </w:p>
    <w:p w14:paraId="37DF66A8">
      <w:pPr>
        <w:shd w:val="clear" w:color="auto" w:fill="FFFFFF"/>
        <w:snapToGrid w:val="0"/>
        <w:spacing w:line="360" w:lineRule="auto"/>
        <w:ind w:firstLine="360" w:firstLineChars="150"/>
        <w:rPr>
          <w:rFonts w:hint="eastAsia" w:ascii="宋体" w:hAnsi="宋体" w:cs="宋体"/>
          <w:i w:val="0"/>
          <w:iCs w:val="0"/>
          <w:color w:val="auto"/>
          <w:kern w:val="0"/>
          <w:sz w:val="24"/>
          <w:highlight w:val="none"/>
          <w:lang w:val="zh-CN"/>
        </w:rPr>
      </w:pPr>
    </w:p>
    <w:p w14:paraId="18ECD493">
      <w:pPr>
        <w:spacing w:line="480" w:lineRule="auto"/>
        <w:ind w:firstLine="4620" w:firstLineChars="1950"/>
        <w:jc w:val="left"/>
        <w:rPr>
          <w:rStyle w:val="58"/>
          <w:rFonts w:hint="eastAsia" w:ascii="宋体" w:hAnsi="宋体" w:eastAsia="宋体" w:cs="宋体"/>
          <w:b/>
          <w:i w:val="0"/>
          <w:iCs w:val="0"/>
          <w:color w:val="auto"/>
          <w:kern w:val="0"/>
          <w:highlight w:val="none"/>
        </w:rPr>
      </w:pPr>
    </w:p>
    <w:p w14:paraId="2F381F53">
      <w:pPr>
        <w:pStyle w:val="49"/>
        <w:spacing w:line="480" w:lineRule="exact"/>
        <w:jc w:val="center"/>
        <w:outlineLvl w:val="2"/>
        <w:rPr>
          <w:rFonts w:hint="eastAsia" w:ascii="宋体" w:hAnsi="宋体" w:eastAsia="宋体" w:cs="宋体"/>
          <w:b/>
          <w:i w:val="0"/>
          <w:iCs w:val="0"/>
          <w:color w:val="auto"/>
          <w:kern w:val="2"/>
          <w:highlight w:val="none"/>
        </w:rPr>
      </w:pPr>
    </w:p>
    <w:p w14:paraId="2CFC1877">
      <w:pPr>
        <w:pStyle w:val="11"/>
        <w:snapToGrid w:val="0"/>
        <w:spacing w:line="360" w:lineRule="auto"/>
        <w:outlineLvl w:val="2"/>
        <w:rPr>
          <w:rFonts w:hint="eastAsia" w:ascii="宋体" w:hAnsi="宋体" w:eastAsia="宋体" w:cs="宋体"/>
          <w:b/>
          <w:i w:val="0"/>
          <w:iCs w:val="0"/>
          <w:color w:val="auto"/>
          <w:sz w:val="32"/>
          <w:szCs w:val="32"/>
          <w:highlight w:val="none"/>
          <w:lang w:val="zh-CN"/>
        </w:rPr>
      </w:pPr>
    </w:p>
    <w:p w14:paraId="7A755ACF">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02483F96">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6FD9444D">
      <w:pPr>
        <w:snapToGrid w:val="0"/>
        <w:spacing w:before="160" w:beforeLines="50" w:after="50"/>
        <w:jc w:val="center"/>
        <w:rPr>
          <w:rFonts w:hint="eastAsia" w:ascii="宋体" w:hAnsi="宋体" w:eastAsia="宋体" w:cs="宋体"/>
          <w:b/>
          <w:i w:val="0"/>
          <w:iCs w:val="0"/>
          <w:color w:val="auto"/>
          <w:sz w:val="32"/>
          <w:szCs w:val="32"/>
          <w:highlight w:val="none"/>
          <w:lang w:eastAsia="zh-CN"/>
        </w:rPr>
      </w:pPr>
    </w:p>
    <w:p w14:paraId="3C193E5F">
      <w:pPr>
        <w:pStyle w:val="30"/>
        <w:rPr>
          <w:rFonts w:hint="eastAsia"/>
          <w:i w:val="0"/>
          <w:iCs w:val="0"/>
          <w:color w:val="auto"/>
          <w:highlight w:val="none"/>
        </w:rPr>
      </w:pPr>
    </w:p>
    <w:p w14:paraId="76710279">
      <w:pPr>
        <w:bidi w:val="0"/>
        <w:jc w:val="center"/>
        <w:rPr>
          <w:rFonts w:hint="eastAsia" w:ascii="宋体" w:hAnsi="宋体" w:eastAsia="宋体" w:cs="Times New Roman"/>
          <w:b/>
          <w:bCs/>
          <w:color w:val="auto"/>
          <w:sz w:val="28"/>
          <w:szCs w:val="28"/>
          <w:highlight w:val="none"/>
          <w:lang w:val="en-US" w:eastAsia="zh-CN"/>
        </w:rPr>
      </w:pPr>
      <w:bookmarkStart w:id="114" w:name="_Toc33194407"/>
      <w:bookmarkStart w:id="115" w:name="_Toc354996707"/>
      <w:bookmarkStart w:id="116" w:name="_Toc233618989"/>
    </w:p>
    <w:p w14:paraId="783D67B0">
      <w:pPr>
        <w:bidi w:val="0"/>
        <w:jc w:val="center"/>
        <w:rPr>
          <w:rFonts w:hint="eastAsia" w:ascii="宋体" w:hAnsi="宋体" w:eastAsia="宋体" w:cs="Times New Roman"/>
          <w:b/>
          <w:bCs/>
          <w:color w:val="auto"/>
          <w:sz w:val="28"/>
          <w:szCs w:val="28"/>
          <w:highlight w:val="none"/>
          <w:lang w:val="en-US" w:eastAsia="zh-CN"/>
        </w:rPr>
      </w:pPr>
    </w:p>
    <w:p w14:paraId="3AAF4524">
      <w:pPr>
        <w:bidi w:val="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报价文件</w:t>
      </w:r>
      <w:bookmarkEnd w:id="114"/>
      <w:bookmarkEnd w:id="115"/>
    </w:p>
    <w:p w14:paraId="10A82D7F">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 </w:t>
      </w:r>
    </w:p>
    <w:p w14:paraId="37FCA020">
      <w:pPr>
        <w:shd w:val="clear" w:color="auto" w:fill="FFFFFF"/>
        <w:snapToGrid w:val="0"/>
        <w:spacing w:line="360" w:lineRule="auto"/>
        <w:jc w:val="center"/>
        <w:rPr>
          <w:rFonts w:hint="eastAsia"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目录</w:t>
      </w:r>
    </w:p>
    <w:p w14:paraId="3A24A9C6">
      <w:pPr>
        <w:shd w:val="clear" w:color="auto" w:fill="FFFFFF"/>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）投标响应函…………………………………………………………………………（页码）</w:t>
      </w:r>
    </w:p>
    <w:p w14:paraId="0DCF1E1B">
      <w:pPr>
        <w:shd w:val="clear" w:color="auto" w:fill="FFFFFF"/>
        <w:snapToGrid w:val="0"/>
        <w:spacing w:line="360" w:lineRule="auto"/>
        <w:rPr>
          <w:rFonts w:hint="eastAsia" w:ascii="宋体" w:hAnsi="宋体" w:eastAsia="宋体" w:cs="宋体"/>
          <w:b/>
          <w:bCs/>
          <w:i w:val="0"/>
          <w:iCs w:val="0"/>
          <w:color w:val="auto"/>
          <w:kern w:val="0"/>
          <w:sz w:val="24"/>
          <w:highlight w:val="none"/>
          <w:lang w:val="zh-CN"/>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rPr>
        <w:t>）开标一览表…………………………………………………………………………（页码）</w:t>
      </w:r>
    </w:p>
    <w:p w14:paraId="19AA55C0">
      <w:pPr>
        <w:shd w:val="clear" w:color="auto" w:fill="FFFFFF"/>
        <w:snapToGrid w:val="0"/>
        <w:spacing w:line="360" w:lineRule="auto"/>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3</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eastAsia="zh-CN"/>
        </w:rPr>
        <w:t>报价明细表</w:t>
      </w:r>
      <w:r>
        <w:rPr>
          <w:rFonts w:hint="eastAsia" w:ascii="宋体" w:hAnsi="宋体" w:cs="宋体"/>
          <w:i w:val="0"/>
          <w:iCs w:val="0"/>
          <w:color w:val="auto"/>
          <w:kern w:val="0"/>
          <w:sz w:val="24"/>
          <w:highlight w:val="none"/>
        </w:rPr>
        <w:t>…………………………………………………………………………（页码）</w:t>
      </w:r>
    </w:p>
    <w:p w14:paraId="7A0DCC89">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52F8368E">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37B8F749">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39D64EC">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6867E690">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3515CE7F">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3E5B082F">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26E795E4">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503C66">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2806C59">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729C98B">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3369B3">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66434E4C">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1709C3B">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4AF71068">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02997FFC">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87CFF3">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096B75F5">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CB69392">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6FCA17F7">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22FC6B55">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7DA1572B">
      <w:pPr>
        <w:pStyle w:val="23"/>
        <w:numPr>
          <w:ilvl w:val="0"/>
          <w:numId w:val="0"/>
        </w:numPr>
        <w:ind w:leftChars="0"/>
        <w:jc w:val="center"/>
        <w:rPr>
          <w:rFonts w:hint="eastAsia" w:ascii="宋体" w:hAnsi="宋体" w:eastAsia="宋体" w:cs="宋体"/>
          <w:b/>
          <w:bCs/>
          <w:i w:val="0"/>
          <w:iCs w:val="0"/>
          <w:color w:val="auto"/>
          <w:kern w:val="0"/>
          <w:sz w:val="24"/>
          <w:highlight w:val="none"/>
          <w:lang w:val="zh-CN"/>
        </w:rPr>
      </w:pPr>
    </w:p>
    <w:p w14:paraId="49E03126">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1B771E36">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04639AEB">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5691FE4">
      <w:pPr>
        <w:pageBreakBefore/>
        <w:shd w:val="clear" w:color="auto" w:fill="FFFFFF"/>
        <w:snapToGrid w:val="0"/>
        <w:spacing w:line="360" w:lineRule="auto"/>
        <w:ind w:firstLine="3253" w:firstLineChars="900"/>
        <w:outlineLvl w:val="2"/>
        <w:rPr>
          <w:rFonts w:hint="eastAsia" w:ascii="宋体" w:hAnsi="宋体" w:cs="宋体"/>
          <w:b/>
          <w:bCs/>
          <w:color w:val="auto"/>
          <w:sz w:val="32"/>
          <w:szCs w:val="32"/>
          <w:highlight w:val="none"/>
        </w:rPr>
      </w:pPr>
      <w:bookmarkStart w:id="117" w:name="_Toc233618990"/>
      <w:r>
        <w:rPr>
          <w:rFonts w:hint="eastAsia" w:ascii="宋体" w:hAnsi="宋体" w:cs="宋体"/>
          <w:b/>
          <w:bCs/>
          <w:color w:val="auto"/>
          <w:sz w:val="36"/>
          <w:szCs w:val="36"/>
          <w:highlight w:val="none"/>
        </w:rPr>
        <w:t>一、投标响应函</w:t>
      </w:r>
      <w:bookmarkEnd w:id="117"/>
    </w:p>
    <w:p w14:paraId="533001A7">
      <w:pPr>
        <w:shd w:val="clear" w:color="auto" w:fill="FFFFFF"/>
        <w:snapToGrid w:val="0"/>
        <w:spacing w:line="360" w:lineRule="auto"/>
        <w:rPr>
          <w:rFonts w:hint="eastAsia" w:ascii="宋体" w:hAnsi="宋体" w:cs="宋体"/>
          <w:color w:val="auto"/>
          <w:sz w:val="24"/>
          <w:highlight w:val="none"/>
        </w:rPr>
      </w:pPr>
    </w:p>
    <w:p w14:paraId="73D11B2B">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衢州市生态环境局、浙江中兰工程项目管理有限公司：</w:t>
      </w:r>
    </w:p>
    <w:p w14:paraId="06E54B87">
      <w:pPr>
        <w:shd w:val="clear" w:color="auto" w:fill="FFFFFF"/>
        <w:snapToGrid w:val="0"/>
        <w:spacing w:line="36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 xml:space="preserve">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(投标人全称)授权</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(全权代表姓名)</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sz w:val="22"/>
          <w:szCs w:val="22"/>
          <w:highlight w:val="none"/>
        </w:rPr>
        <w:t>(职务、职称)为全权代表，参加贵方组织的</w:t>
      </w:r>
      <w:r>
        <w:rPr>
          <w:rFonts w:hint="eastAsia" w:ascii="宋体" w:hAnsi="宋体" w:cs="宋体"/>
          <w:color w:val="auto"/>
          <w:kern w:val="0"/>
          <w:sz w:val="22"/>
          <w:szCs w:val="22"/>
          <w:highlight w:val="none"/>
          <w:u w:val="single"/>
        </w:rPr>
        <w:t xml:space="preserve">                    （项目名称）</w:t>
      </w:r>
      <w:r>
        <w:rPr>
          <w:rFonts w:hint="eastAsia" w:ascii="宋体" w:hAnsi="宋体" w:cs="宋体"/>
          <w:color w:val="auto"/>
          <w:kern w:val="0"/>
          <w:sz w:val="22"/>
          <w:szCs w:val="22"/>
          <w:highlight w:val="none"/>
        </w:rPr>
        <w:t xml:space="preserve"> </w:t>
      </w:r>
      <w:r>
        <w:rPr>
          <w:rFonts w:hint="eastAsia" w:ascii="宋体" w:hAnsi="宋体" w:cs="宋体"/>
          <w:color w:val="auto"/>
          <w:sz w:val="22"/>
          <w:szCs w:val="22"/>
          <w:highlight w:val="none"/>
        </w:rPr>
        <w:t>(招标编号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招标的有关活动，并对此项目进行投标。为此：</w:t>
      </w:r>
    </w:p>
    <w:p w14:paraId="24697BC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0C3C6E0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我方承诺已经具备《中华人民共和国政府采购法》中规定的参加政府采购活动的供应商应当具备的条件：</w:t>
      </w:r>
    </w:p>
    <w:p w14:paraId="12907C8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51B64D2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6DE68DB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797286F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4AF814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7B94A39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23D6313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4DE28E3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22550CF6">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(1)资格文件</w:t>
      </w:r>
    </w:p>
    <w:p w14:paraId="768E6E8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(2)报价文件；</w:t>
      </w:r>
    </w:p>
    <w:p w14:paraId="06A0E58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512417E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67183FE4">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689E9782">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68016A20">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01972B7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投标有效期内不撤销投标文件；强行撤销的，承诺按本项目预算金额的2%赔偿对招标代理机构造成的损失。</w:t>
      </w:r>
    </w:p>
    <w:p w14:paraId="07863DC1">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我方完全理解贵方不一定要接受最低价的投标。</w:t>
      </w:r>
    </w:p>
    <w:p w14:paraId="037A53E9">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如中标，按招标文件规定与招标人签订合同。如拒绝签订合同，承诺按本项目预算金额的2%对招标人进行赔偿；赔偿金额不足以弥补招标人损失的，承诺继续承担超过部分的损失。</w:t>
      </w:r>
    </w:p>
    <w:p w14:paraId="32FB0748">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如中标，按招标文件规定的招标代理服务费标准，承诺在签订合同前向招标代理机构支付招标代理服务费。</w:t>
      </w:r>
    </w:p>
    <w:p w14:paraId="0F2B733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我方愿意向贵方提供任何与该项投标有关的数据、情况和服务资料。若贵方需要，我方愿意提供我方作出的一切承诺的证明材料。</w:t>
      </w:r>
    </w:p>
    <w:p w14:paraId="2AB9F3DF">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7EDCF78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5D5983">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47FA0BBE">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D3F33EA">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(3)与采购人、其它供应商或者招标代理机构恶意串通的；</w:t>
      </w:r>
    </w:p>
    <w:p w14:paraId="1F74F13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(4)向采购人、招标代理机构行贿或者提供其他不正当利益的；</w:t>
      </w:r>
    </w:p>
    <w:p w14:paraId="083290C5">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(5)在招标采购过程中与采购人进行协商谈判的；</w:t>
      </w:r>
    </w:p>
    <w:p w14:paraId="75868BCB">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75AA6767">
      <w:pPr>
        <w:shd w:val="clear" w:color="auto" w:fill="FFFFFF"/>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供应商有前款第(1)至(5)项情形之一的，中标、成交无效。</w:t>
      </w:r>
    </w:p>
    <w:p w14:paraId="19A56527">
      <w:pPr>
        <w:shd w:val="clear" w:color="auto" w:fill="FFFFFF"/>
        <w:snapToGrid w:val="0"/>
        <w:spacing w:line="360" w:lineRule="auto"/>
        <w:rPr>
          <w:rFonts w:hint="eastAsia" w:ascii="宋体" w:hAnsi="宋体" w:cs="宋体"/>
          <w:color w:val="auto"/>
          <w:kern w:val="0"/>
          <w:sz w:val="22"/>
          <w:szCs w:val="22"/>
          <w:highlight w:val="none"/>
          <w:lang w:val="zh-CN"/>
        </w:rPr>
      </w:pPr>
    </w:p>
    <w:p w14:paraId="72AE5C66">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法定代表人或委托代理人（签字或盖章）</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5B66A276">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2B2805BB">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09FB2510">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p>
    <w:p w14:paraId="524EA867">
      <w:pPr>
        <w:shd w:val="clear" w:color="auto" w:fill="FFFFFF"/>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0FD1A28D">
      <w:pPr>
        <w:shd w:val="clear" w:color="auto" w:fill="FFFFFF"/>
        <w:snapToGrid w:val="0"/>
        <w:spacing w:line="360" w:lineRule="auto"/>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0437CC1">
      <w:pPr>
        <w:shd w:val="clear" w:color="auto" w:fill="FFFFFF"/>
        <w:snapToGrid w:val="0"/>
        <w:spacing w:line="360" w:lineRule="auto"/>
        <w:rPr>
          <w:rFonts w:hint="eastAsia" w:ascii="宋体" w:hAnsi="宋体" w:cs="宋体"/>
          <w:b/>
          <w:bCs/>
          <w:color w:val="auto"/>
          <w:kern w:val="0"/>
          <w:sz w:val="22"/>
          <w:szCs w:val="22"/>
          <w:highlight w:val="none"/>
          <w:lang w:val="zh-CN"/>
        </w:rPr>
      </w:pPr>
    </w:p>
    <w:p w14:paraId="609545F3">
      <w:pPr>
        <w:shd w:val="clear" w:color="auto" w:fill="FFFFFF"/>
        <w:snapToGrid w:val="0"/>
        <w:spacing w:line="360" w:lineRule="auto"/>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76088368">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4A53421D">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5F28BFD">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3F562477">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2047356C">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6FBE5D3D">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p>
    <w:p w14:paraId="50037051">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r>
        <w:rPr>
          <w:rFonts w:hint="eastAsia" w:ascii="宋体" w:hAnsi="宋体" w:cs="Times New Roman"/>
          <w:b/>
          <w:bCs/>
          <w:color w:val="auto"/>
          <w:kern w:val="2"/>
          <w:sz w:val="28"/>
          <w:szCs w:val="28"/>
          <w:highlight w:val="none"/>
          <w:lang w:val="en-US" w:eastAsia="zh-CN" w:bidi="ar-SA"/>
        </w:rPr>
        <w:t>2.</w:t>
      </w:r>
      <w:r>
        <w:rPr>
          <w:rFonts w:hint="eastAsia" w:ascii="宋体" w:hAnsi="宋体" w:eastAsia="宋体" w:cs="Times New Roman"/>
          <w:b/>
          <w:bCs/>
          <w:color w:val="auto"/>
          <w:kern w:val="2"/>
          <w:sz w:val="28"/>
          <w:szCs w:val="28"/>
          <w:highlight w:val="none"/>
          <w:lang w:val="zh-CN" w:eastAsia="zh-CN" w:bidi="ar-SA"/>
        </w:rPr>
        <w:t>开标一览表</w:t>
      </w:r>
    </w:p>
    <w:p w14:paraId="09A60B35">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项目编号：</w:t>
      </w:r>
    </w:p>
    <w:p w14:paraId="3EEB98EC">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项目名称：</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795"/>
        <w:gridCol w:w="2240"/>
        <w:gridCol w:w="1970"/>
        <w:gridCol w:w="1969"/>
      </w:tblGrid>
      <w:tr w14:paraId="1396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15" w:type="pct"/>
            <w:noWrap w:val="0"/>
            <w:vAlign w:val="center"/>
          </w:tcPr>
          <w:p w14:paraId="67DB264D">
            <w:pPr>
              <w:spacing w:line="380" w:lineRule="exact"/>
              <w:jc w:val="center"/>
              <w:rPr>
                <w:rFonts w:ascii="Simang"/>
                <w:color w:val="auto"/>
                <w:sz w:val="22"/>
                <w:szCs w:val="22"/>
                <w:highlight w:val="none"/>
              </w:rPr>
            </w:pPr>
            <w:r>
              <w:rPr>
                <w:rFonts w:hint="eastAsia" w:ascii="Simang" w:hAnsi="Simang"/>
                <w:color w:val="auto"/>
                <w:sz w:val="22"/>
                <w:szCs w:val="22"/>
                <w:highlight w:val="none"/>
              </w:rPr>
              <w:t>序号</w:t>
            </w:r>
          </w:p>
        </w:tc>
        <w:tc>
          <w:tcPr>
            <w:tcW w:w="1426" w:type="pct"/>
            <w:noWrap w:val="0"/>
            <w:vAlign w:val="center"/>
          </w:tcPr>
          <w:p w14:paraId="3828B625">
            <w:pPr>
              <w:pStyle w:val="6"/>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项目名称</w:t>
            </w:r>
          </w:p>
        </w:tc>
        <w:tc>
          <w:tcPr>
            <w:tcW w:w="1144" w:type="pct"/>
            <w:noWrap w:val="0"/>
            <w:vAlign w:val="center"/>
          </w:tcPr>
          <w:p w14:paraId="5F185613">
            <w:pPr>
              <w:pStyle w:val="6"/>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投标报价（元）</w:t>
            </w:r>
          </w:p>
        </w:tc>
        <w:tc>
          <w:tcPr>
            <w:tcW w:w="1006" w:type="pct"/>
            <w:noWrap w:val="0"/>
            <w:vAlign w:val="center"/>
          </w:tcPr>
          <w:p w14:paraId="159E6B79">
            <w:pPr>
              <w:pStyle w:val="6"/>
              <w:overflowPunct w:val="0"/>
              <w:spacing w:line="380" w:lineRule="exact"/>
              <w:ind w:firstLine="0"/>
              <w:jc w:val="center"/>
              <w:rPr>
                <w:rFonts w:ascii="Simang"/>
                <w:color w:val="auto"/>
                <w:sz w:val="22"/>
                <w:szCs w:val="22"/>
                <w:highlight w:val="none"/>
              </w:rPr>
            </w:pPr>
            <w:r>
              <w:rPr>
                <w:rFonts w:hint="eastAsia" w:ascii="Simang" w:hAnsi="Simang"/>
                <w:color w:val="auto"/>
                <w:sz w:val="22"/>
                <w:szCs w:val="22"/>
                <w:highlight w:val="none"/>
              </w:rPr>
              <w:t>服务期</w:t>
            </w:r>
            <w:r>
              <w:rPr>
                <w:rFonts w:ascii="Simang" w:hAnsi="Simang"/>
                <w:color w:val="auto"/>
                <w:sz w:val="22"/>
                <w:szCs w:val="22"/>
                <w:highlight w:val="none"/>
              </w:rPr>
              <w:t>/</w:t>
            </w:r>
            <w:r>
              <w:rPr>
                <w:rFonts w:hint="eastAsia" w:ascii="Simang" w:hAnsi="Simang"/>
                <w:color w:val="auto"/>
                <w:sz w:val="22"/>
                <w:szCs w:val="22"/>
                <w:highlight w:val="none"/>
              </w:rPr>
              <w:t>项目负责人</w:t>
            </w:r>
          </w:p>
        </w:tc>
        <w:tc>
          <w:tcPr>
            <w:tcW w:w="1006" w:type="pct"/>
            <w:noWrap w:val="0"/>
            <w:vAlign w:val="center"/>
          </w:tcPr>
          <w:p w14:paraId="2D6A77A8">
            <w:pPr>
              <w:pStyle w:val="6"/>
              <w:overflowPunct w:val="0"/>
              <w:spacing w:line="380" w:lineRule="exact"/>
              <w:ind w:firstLine="0"/>
              <w:jc w:val="center"/>
              <w:rPr>
                <w:rFonts w:hint="eastAsia" w:ascii="Simang" w:hAnsi="Simang" w:eastAsia="宋体"/>
                <w:color w:val="auto"/>
                <w:sz w:val="22"/>
                <w:szCs w:val="22"/>
                <w:highlight w:val="none"/>
                <w:lang w:eastAsia="zh-CN"/>
              </w:rPr>
            </w:pPr>
            <w:r>
              <w:rPr>
                <w:rFonts w:hint="eastAsia" w:ascii="Simang" w:hAnsi="Simang"/>
                <w:color w:val="auto"/>
                <w:sz w:val="22"/>
                <w:szCs w:val="22"/>
                <w:highlight w:val="none"/>
                <w:lang w:eastAsia="zh-CN"/>
              </w:rPr>
              <w:t>备注</w:t>
            </w:r>
          </w:p>
        </w:tc>
      </w:tr>
      <w:tr w14:paraId="300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415" w:type="pct"/>
            <w:noWrap w:val="0"/>
            <w:vAlign w:val="center"/>
          </w:tcPr>
          <w:p w14:paraId="27F0578C">
            <w:pPr>
              <w:spacing w:line="380" w:lineRule="exact"/>
              <w:jc w:val="center"/>
              <w:rPr>
                <w:rFonts w:hint="eastAsia" w:ascii="Simang" w:eastAsia="宋体"/>
                <w:color w:val="auto"/>
                <w:sz w:val="22"/>
                <w:szCs w:val="22"/>
                <w:highlight w:val="none"/>
                <w:lang w:val="en-US" w:eastAsia="zh-CN"/>
              </w:rPr>
            </w:pPr>
            <w:r>
              <w:rPr>
                <w:rFonts w:hint="eastAsia" w:ascii="Simang"/>
                <w:color w:val="auto"/>
                <w:sz w:val="22"/>
                <w:szCs w:val="22"/>
                <w:highlight w:val="none"/>
                <w:lang w:val="en-US" w:eastAsia="zh-CN"/>
              </w:rPr>
              <w:t>1</w:t>
            </w:r>
          </w:p>
        </w:tc>
        <w:tc>
          <w:tcPr>
            <w:tcW w:w="1426" w:type="pct"/>
            <w:noWrap w:val="0"/>
            <w:vAlign w:val="center"/>
          </w:tcPr>
          <w:p w14:paraId="47530F62">
            <w:pPr>
              <w:pStyle w:val="6"/>
              <w:overflowPunct w:val="0"/>
              <w:spacing w:line="380" w:lineRule="exact"/>
              <w:ind w:firstLine="0"/>
              <w:jc w:val="center"/>
              <w:rPr>
                <w:rFonts w:ascii="Simang"/>
                <w:color w:val="auto"/>
                <w:sz w:val="22"/>
                <w:szCs w:val="22"/>
                <w:highlight w:val="none"/>
              </w:rPr>
            </w:pPr>
            <w:r>
              <w:rPr>
                <w:rFonts w:hint="eastAsia" w:ascii="Simang"/>
                <w:color w:val="auto"/>
                <w:sz w:val="22"/>
                <w:szCs w:val="22"/>
                <w:highlight w:val="none"/>
                <w:lang w:eastAsia="zh-CN"/>
              </w:rPr>
              <w:t>2025年建设项目环境影响评价技术评估项目</w:t>
            </w:r>
          </w:p>
        </w:tc>
        <w:tc>
          <w:tcPr>
            <w:tcW w:w="1144" w:type="pct"/>
            <w:noWrap w:val="0"/>
            <w:vAlign w:val="center"/>
          </w:tcPr>
          <w:p w14:paraId="7BD964E3">
            <w:pPr>
              <w:pStyle w:val="6"/>
              <w:overflowPunct w:val="0"/>
              <w:spacing w:line="380" w:lineRule="exact"/>
              <w:ind w:firstLine="0"/>
              <w:jc w:val="center"/>
              <w:rPr>
                <w:rFonts w:ascii="Simang"/>
                <w:color w:val="auto"/>
                <w:sz w:val="22"/>
                <w:szCs w:val="22"/>
                <w:highlight w:val="none"/>
              </w:rPr>
            </w:pPr>
          </w:p>
        </w:tc>
        <w:tc>
          <w:tcPr>
            <w:tcW w:w="1006" w:type="pct"/>
            <w:noWrap w:val="0"/>
            <w:vAlign w:val="center"/>
          </w:tcPr>
          <w:p w14:paraId="5A7B4548">
            <w:pPr>
              <w:pStyle w:val="6"/>
              <w:overflowPunct w:val="0"/>
              <w:spacing w:line="380" w:lineRule="exact"/>
              <w:ind w:firstLine="0"/>
              <w:jc w:val="center"/>
              <w:rPr>
                <w:rFonts w:ascii="Simang"/>
                <w:color w:val="auto"/>
                <w:sz w:val="22"/>
                <w:szCs w:val="22"/>
                <w:highlight w:val="none"/>
              </w:rPr>
            </w:pPr>
          </w:p>
        </w:tc>
        <w:tc>
          <w:tcPr>
            <w:tcW w:w="1006" w:type="pct"/>
            <w:noWrap w:val="0"/>
            <w:vAlign w:val="center"/>
          </w:tcPr>
          <w:p w14:paraId="7D743D16">
            <w:pPr>
              <w:pStyle w:val="6"/>
              <w:overflowPunct w:val="0"/>
              <w:spacing w:line="380" w:lineRule="exact"/>
              <w:ind w:firstLine="0"/>
              <w:jc w:val="center"/>
              <w:rPr>
                <w:rFonts w:ascii="Simang"/>
                <w:color w:val="auto"/>
                <w:sz w:val="22"/>
                <w:szCs w:val="22"/>
                <w:highlight w:val="none"/>
              </w:rPr>
            </w:pPr>
          </w:p>
        </w:tc>
      </w:tr>
      <w:tr w14:paraId="2ADD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415" w:type="pct"/>
            <w:vMerge w:val="restart"/>
            <w:noWrap w:val="0"/>
            <w:vAlign w:val="center"/>
          </w:tcPr>
          <w:p w14:paraId="38B65E01">
            <w:pPr>
              <w:pStyle w:val="6"/>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总报价（元）</w:t>
            </w:r>
          </w:p>
        </w:tc>
        <w:tc>
          <w:tcPr>
            <w:tcW w:w="3577" w:type="pct"/>
            <w:gridSpan w:val="3"/>
            <w:noWrap w:val="0"/>
            <w:vAlign w:val="center"/>
          </w:tcPr>
          <w:p w14:paraId="598F3837">
            <w:pPr>
              <w:pStyle w:val="6"/>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大写：</w:t>
            </w:r>
          </w:p>
        </w:tc>
        <w:tc>
          <w:tcPr>
            <w:tcW w:w="1006" w:type="pct"/>
            <w:noWrap w:val="0"/>
            <w:vAlign w:val="center"/>
          </w:tcPr>
          <w:p w14:paraId="0B9858FA">
            <w:pPr>
              <w:pStyle w:val="6"/>
              <w:overflowPunct w:val="0"/>
              <w:spacing w:line="380" w:lineRule="exact"/>
              <w:ind w:firstLine="0"/>
              <w:rPr>
                <w:rFonts w:hint="eastAsia" w:ascii="Simang" w:hAnsi="Simang"/>
                <w:color w:val="auto"/>
                <w:sz w:val="22"/>
                <w:szCs w:val="22"/>
                <w:highlight w:val="none"/>
              </w:rPr>
            </w:pPr>
          </w:p>
        </w:tc>
      </w:tr>
      <w:tr w14:paraId="67CF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15" w:type="pct"/>
            <w:vMerge w:val="continue"/>
            <w:noWrap w:val="0"/>
            <w:vAlign w:val="center"/>
          </w:tcPr>
          <w:p w14:paraId="399679D0">
            <w:pPr>
              <w:pStyle w:val="6"/>
              <w:overflowPunct w:val="0"/>
              <w:spacing w:line="380" w:lineRule="exact"/>
              <w:ind w:firstLine="0"/>
              <w:rPr>
                <w:rFonts w:ascii="Simang"/>
                <w:color w:val="auto"/>
                <w:sz w:val="22"/>
                <w:szCs w:val="22"/>
                <w:highlight w:val="none"/>
              </w:rPr>
            </w:pPr>
          </w:p>
        </w:tc>
        <w:tc>
          <w:tcPr>
            <w:tcW w:w="3577" w:type="pct"/>
            <w:gridSpan w:val="3"/>
            <w:noWrap w:val="0"/>
            <w:vAlign w:val="center"/>
          </w:tcPr>
          <w:p w14:paraId="5F924423">
            <w:pPr>
              <w:pStyle w:val="6"/>
              <w:overflowPunct w:val="0"/>
              <w:spacing w:line="380" w:lineRule="exact"/>
              <w:ind w:firstLine="0"/>
              <w:rPr>
                <w:rFonts w:ascii="Simang"/>
                <w:color w:val="auto"/>
                <w:sz w:val="22"/>
                <w:szCs w:val="22"/>
                <w:highlight w:val="none"/>
              </w:rPr>
            </w:pPr>
            <w:r>
              <w:rPr>
                <w:rFonts w:hint="eastAsia" w:ascii="Simang" w:hAnsi="Simang"/>
                <w:color w:val="auto"/>
                <w:sz w:val="22"/>
                <w:szCs w:val="22"/>
                <w:highlight w:val="none"/>
              </w:rPr>
              <w:t>小写：</w:t>
            </w:r>
          </w:p>
        </w:tc>
        <w:tc>
          <w:tcPr>
            <w:tcW w:w="1006" w:type="pct"/>
            <w:noWrap w:val="0"/>
            <w:vAlign w:val="center"/>
          </w:tcPr>
          <w:p w14:paraId="3C1E6EB4">
            <w:pPr>
              <w:pStyle w:val="6"/>
              <w:overflowPunct w:val="0"/>
              <w:spacing w:line="380" w:lineRule="exact"/>
              <w:ind w:firstLine="0"/>
              <w:rPr>
                <w:rFonts w:hint="eastAsia" w:ascii="Simang" w:hAnsi="Simang"/>
                <w:color w:val="auto"/>
                <w:sz w:val="22"/>
                <w:szCs w:val="22"/>
                <w:highlight w:val="none"/>
              </w:rPr>
            </w:pPr>
          </w:p>
        </w:tc>
      </w:tr>
    </w:tbl>
    <w:p w14:paraId="72A23657">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报价一经涂改，应在涂改处加盖单位公章或者由法定代表人或授权委托人签字或盖章，否则其投标作无效标处理。</w:t>
      </w:r>
    </w:p>
    <w:p w14:paraId="0428559E">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b w:val="0"/>
          <w:bCs w:val="0"/>
          <w:i w:val="0"/>
          <w:iCs w:val="0"/>
          <w:color w:val="auto"/>
          <w:kern w:val="2"/>
          <w:sz w:val="22"/>
          <w:szCs w:val="22"/>
          <w:highlight w:val="none"/>
          <w:lang w:val="en-US" w:eastAsia="zh-CN" w:bidi="ar-SA"/>
        </w:rPr>
        <w:t>投标报价是履行合同的最终价格，包括但不限于</w:t>
      </w:r>
      <w:r>
        <w:rPr>
          <w:rFonts w:hint="default" w:ascii="宋体" w:hAnsi="宋体" w:eastAsia="宋体" w:cs="宋体"/>
          <w:b w:val="0"/>
          <w:bCs w:val="0"/>
          <w:i w:val="0"/>
          <w:iCs w:val="0"/>
          <w:color w:val="auto"/>
          <w:kern w:val="2"/>
          <w:sz w:val="22"/>
          <w:szCs w:val="22"/>
          <w:highlight w:val="none"/>
          <w:lang w:val="en-US" w:eastAsia="zh-CN" w:bidi="ar-SA"/>
        </w:rPr>
        <w:t>项目评估文件编制</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交通费</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资料费</w:t>
      </w:r>
      <w:r>
        <w:rPr>
          <w:rFonts w:hint="eastAsia" w:ascii="宋体" w:hAnsi="宋体" w:eastAsia="宋体" w:cs="宋体"/>
          <w:b w:val="0"/>
          <w:bCs w:val="0"/>
          <w:i w:val="0"/>
          <w:iCs w:val="0"/>
          <w:color w:val="auto"/>
          <w:kern w:val="2"/>
          <w:sz w:val="22"/>
          <w:szCs w:val="22"/>
          <w:highlight w:val="none"/>
          <w:lang w:val="en-US" w:eastAsia="zh-CN" w:bidi="ar-SA"/>
        </w:rPr>
        <w:t>、人工费、车辆费用、办公费用、工作过程的修改、提供深化整合和优化的技术服务费用、项目咨询费（含</w:t>
      </w:r>
      <w:r>
        <w:rPr>
          <w:rFonts w:hint="default" w:ascii="宋体" w:hAnsi="宋体" w:eastAsia="宋体" w:cs="宋体"/>
          <w:b w:val="0"/>
          <w:bCs w:val="0"/>
          <w:i w:val="0"/>
          <w:iCs w:val="0"/>
          <w:color w:val="auto"/>
          <w:kern w:val="2"/>
          <w:sz w:val="22"/>
          <w:szCs w:val="22"/>
          <w:highlight w:val="none"/>
          <w:lang w:val="en-US" w:eastAsia="zh-CN" w:bidi="ar-SA"/>
        </w:rPr>
        <w:t>决策建议</w:t>
      </w:r>
      <w:r>
        <w:rPr>
          <w:rFonts w:hint="eastAsia" w:ascii="宋体" w:hAnsi="宋体" w:eastAsia="宋体" w:cs="宋体"/>
          <w:b w:val="0"/>
          <w:bCs w:val="0"/>
          <w:i w:val="0"/>
          <w:iCs w:val="0"/>
          <w:color w:val="auto"/>
          <w:kern w:val="2"/>
          <w:sz w:val="22"/>
          <w:szCs w:val="22"/>
          <w:highlight w:val="none"/>
          <w:lang w:val="en-US" w:eastAsia="zh-CN" w:bidi="ar-SA"/>
        </w:rPr>
        <w:t>等）及与项目有关的专家评议评审费用、</w:t>
      </w:r>
      <w:r>
        <w:rPr>
          <w:rFonts w:hint="default" w:ascii="宋体" w:hAnsi="宋体" w:eastAsia="宋体" w:cs="宋体"/>
          <w:b w:val="0"/>
          <w:bCs w:val="0"/>
          <w:i w:val="0"/>
          <w:iCs w:val="0"/>
          <w:color w:val="auto"/>
          <w:kern w:val="2"/>
          <w:sz w:val="22"/>
          <w:szCs w:val="22"/>
          <w:highlight w:val="none"/>
          <w:lang w:val="en-US" w:eastAsia="zh-CN" w:bidi="ar-SA"/>
        </w:rPr>
        <w:t>会务费（含住宿、会场租用等）</w:t>
      </w:r>
      <w:r>
        <w:rPr>
          <w:rFonts w:hint="eastAsia" w:ascii="宋体" w:hAnsi="宋体" w:eastAsia="宋体" w:cs="宋体"/>
          <w:b w:val="0"/>
          <w:bCs w:val="0"/>
          <w:i w:val="0"/>
          <w:iCs w:val="0"/>
          <w:color w:val="auto"/>
          <w:kern w:val="2"/>
          <w:sz w:val="22"/>
          <w:szCs w:val="22"/>
          <w:highlight w:val="none"/>
          <w:lang w:val="en-US" w:eastAsia="zh-CN" w:bidi="ar-SA"/>
        </w:rPr>
        <w:t>后期有关本项目的服务咨询、保险费、税金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09ABB74E">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招标文件未列明，而投标人认为必需的费用也需列入报价。投标人在投标报价中应充分考虑所有可能发生的费用，否则招标人将视投标报价中已包括所有费用。</w:t>
      </w:r>
    </w:p>
    <w:p w14:paraId="25A0B72B">
      <w:pPr>
        <w:tabs>
          <w:tab w:val="left" w:pos="9180"/>
        </w:tabs>
        <w:snapToGrid w:val="0"/>
        <w:spacing w:line="360" w:lineRule="auto"/>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val="zh-CN"/>
        </w:rPr>
        <w:t>本投标文件及其所附文件涵盖了我方要约的全部内容。</w:t>
      </w:r>
    </w:p>
    <w:p w14:paraId="488A1511">
      <w:pPr>
        <w:pStyle w:val="11"/>
        <w:spacing w:line="380" w:lineRule="exact"/>
        <w:ind w:firstLine="3840"/>
        <w:rPr>
          <w:rFonts w:hAnsi="Simang"/>
          <w:color w:val="auto"/>
          <w:sz w:val="22"/>
          <w:szCs w:val="22"/>
          <w:highlight w:val="none"/>
        </w:rPr>
      </w:pPr>
    </w:p>
    <w:p w14:paraId="17D3CD06">
      <w:pPr>
        <w:pStyle w:val="11"/>
        <w:spacing w:line="380" w:lineRule="exact"/>
        <w:rPr>
          <w:rFonts w:hAnsi="Simang"/>
          <w:color w:val="auto"/>
          <w:sz w:val="22"/>
          <w:szCs w:val="22"/>
          <w:highlight w:val="none"/>
        </w:rPr>
      </w:pPr>
    </w:p>
    <w:p w14:paraId="408A2FFD">
      <w:pPr>
        <w:pStyle w:val="11"/>
        <w:spacing w:line="380" w:lineRule="exact"/>
        <w:rPr>
          <w:rFonts w:hAnsi="Simang"/>
          <w:color w:val="auto"/>
          <w:sz w:val="22"/>
          <w:szCs w:val="22"/>
          <w:highlight w:val="none"/>
        </w:rPr>
      </w:pPr>
    </w:p>
    <w:p w14:paraId="6179EE8C">
      <w:pPr>
        <w:pStyle w:val="11"/>
        <w:spacing w:line="380" w:lineRule="exact"/>
        <w:rPr>
          <w:rFonts w:hAnsi="Simang"/>
          <w:color w:val="auto"/>
          <w:sz w:val="22"/>
          <w:szCs w:val="22"/>
          <w:highlight w:val="none"/>
        </w:rPr>
      </w:pPr>
    </w:p>
    <w:p w14:paraId="345CD29D">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hAnsi="Simang"/>
          <w:color w:val="auto"/>
          <w:sz w:val="22"/>
          <w:szCs w:val="22"/>
          <w:highlight w:val="none"/>
        </w:rPr>
        <w:t>　</w:t>
      </w:r>
      <w:r>
        <w:rPr>
          <w:rFonts w:hint="eastAsia" w:ascii="宋体" w:hAnsi="宋体" w:cs="宋体"/>
          <w:i w:val="0"/>
          <w:iCs w:val="0"/>
          <w:color w:val="auto"/>
          <w:kern w:val="0"/>
          <w:sz w:val="22"/>
          <w:szCs w:val="22"/>
          <w:highlight w:val="none"/>
          <w:lang w:eastAsia="zh-CN"/>
        </w:rPr>
        <w:t>投标人</w:t>
      </w:r>
      <w:r>
        <w:rPr>
          <w:rFonts w:hint="eastAsia" w:ascii="宋体" w:hAnsi="宋体" w:cs="宋体"/>
          <w:i w:val="0"/>
          <w:iCs w:val="0"/>
          <w:color w:val="auto"/>
          <w:kern w:val="0"/>
          <w:sz w:val="22"/>
          <w:szCs w:val="22"/>
          <w:highlight w:val="none"/>
        </w:rPr>
        <w:t>名称（盖章） ：</w:t>
      </w:r>
    </w:p>
    <w:p w14:paraId="7C7E02BA">
      <w:pPr>
        <w:widowControl/>
        <w:snapToGrid w:val="0"/>
        <w:spacing w:line="360" w:lineRule="auto"/>
        <w:ind w:firstLine="3520" w:firstLineChars="16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法定代表人或</w:t>
      </w:r>
      <w:r>
        <w:rPr>
          <w:rFonts w:hint="eastAsia" w:ascii="宋体" w:hAnsi="宋体" w:cs="宋体"/>
          <w:i w:val="0"/>
          <w:iCs w:val="0"/>
          <w:color w:val="auto"/>
          <w:kern w:val="0"/>
          <w:sz w:val="22"/>
          <w:szCs w:val="22"/>
          <w:highlight w:val="none"/>
          <w:lang w:eastAsia="zh-CN"/>
        </w:rPr>
        <w:t>委托代理人</w:t>
      </w:r>
      <w:r>
        <w:rPr>
          <w:rFonts w:hint="eastAsia" w:ascii="宋体" w:hAnsi="宋体" w:cs="宋体"/>
          <w:i w:val="0"/>
          <w:iCs w:val="0"/>
          <w:color w:val="auto"/>
          <w:kern w:val="0"/>
          <w:sz w:val="22"/>
          <w:szCs w:val="22"/>
          <w:highlight w:val="none"/>
        </w:rPr>
        <w:t>（签字或盖章）：</w:t>
      </w:r>
    </w:p>
    <w:p w14:paraId="4A04DDBC">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日期：     年  月  日</w:t>
      </w:r>
    </w:p>
    <w:p w14:paraId="63A59891">
      <w:pPr>
        <w:pStyle w:val="11"/>
        <w:wordWrap w:val="0"/>
        <w:spacing w:line="380" w:lineRule="exact"/>
        <w:ind w:right="480" w:firstLine="4320" w:firstLineChars="1800"/>
        <w:rPr>
          <w:rFonts w:hint="eastAsia" w:hAnsi="Simang"/>
          <w:color w:val="auto"/>
          <w:sz w:val="24"/>
          <w:szCs w:val="24"/>
          <w:highlight w:val="none"/>
        </w:rPr>
      </w:pPr>
    </w:p>
    <w:p w14:paraId="5EE98A48">
      <w:pPr>
        <w:shd w:val="clear" w:color="auto" w:fill="auto"/>
        <w:tabs>
          <w:tab w:val="left" w:pos="3880"/>
        </w:tabs>
        <w:spacing w:line="500" w:lineRule="exact"/>
        <w:jc w:val="both"/>
        <w:rPr>
          <w:rFonts w:hint="eastAsia" w:ascii="宋体" w:hAnsi="宋体" w:eastAsia="宋体" w:cs="宋体"/>
          <w:color w:val="auto"/>
          <w:spacing w:val="0"/>
          <w:kern w:val="0"/>
          <w:sz w:val="22"/>
          <w:highlight w:val="none"/>
        </w:rPr>
      </w:pPr>
    </w:p>
    <w:p w14:paraId="6C061995">
      <w:pPr>
        <w:pStyle w:val="23"/>
        <w:numPr>
          <w:ilvl w:val="0"/>
          <w:numId w:val="0"/>
        </w:numPr>
        <w:ind w:leftChars="0"/>
        <w:jc w:val="center"/>
        <w:rPr>
          <w:rFonts w:hint="eastAsia" w:ascii="宋体" w:hAnsi="宋体" w:eastAsia="宋体" w:cs="Times New Roman"/>
          <w:b/>
          <w:bCs/>
          <w:color w:val="auto"/>
          <w:kern w:val="2"/>
          <w:sz w:val="28"/>
          <w:szCs w:val="28"/>
          <w:highlight w:val="none"/>
          <w:lang w:val="zh-CN" w:eastAsia="zh-CN" w:bidi="ar-SA"/>
        </w:rPr>
      </w:pPr>
      <w:r>
        <w:rPr>
          <w:rFonts w:hint="eastAsia" w:ascii="宋体" w:hAnsi="宋体" w:eastAsia="宋体" w:cs="Times New Roman"/>
          <w:b/>
          <w:bCs/>
          <w:color w:val="auto"/>
          <w:kern w:val="2"/>
          <w:sz w:val="28"/>
          <w:szCs w:val="28"/>
          <w:highlight w:val="none"/>
          <w:lang w:val="zh-CN" w:eastAsia="zh-CN" w:bidi="ar-SA"/>
        </w:rPr>
        <w:t>报价明细清单</w:t>
      </w:r>
    </w:p>
    <w:p w14:paraId="02866971">
      <w:pPr>
        <w:spacing w:line="380" w:lineRule="exact"/>
        <w:ind w:firstLine="260" w:firstLineChars="100"/>
        <w:rPr>
          <w:rFonts w:ascii="Simang"/>
          <w:color w:val="auto"/>
          <w:spacing w:val="20"/>
          <w:sz w:val="22"/>
          <w:szCs w:val="22"/>
          <w:highlight w:val="none"/>
        </w:rPr>
      </w:pPr>
      <w:r>
        <w:rPr>
          <w:rFonts w:hint="eastAsia" w:ascii="Simang" w:hAnsi="Simang"/>
          <w:color w:val="auto"/>
          <w:spacing w:val="20"/>
          <w:sz w:val="22"/>
          <w:szCs w:val="22"/>
          <w:highlight w:val="none"/>
        </w:rPr>
        <w:t>项目编号：</w:t>
      </w:r>
    </w:p>
    <w:p w14:paraId="04B03996">
      <w:pPr>
        <w:spacing w:line="380" w:lineRule="exact"/>
        <w:ind w:firstLine="260" w:firstLineChars="100"/>
        <w:rPr>
          <w:rFonts w:hint="eastAsia" w:ascii="Simang" w:hAnsi="Simang"/>
          <w:color w:val="auto"/>
          <w:spacing w:val="20"/>
          <w:sz w:val="22"/>
          <w:szCs w:val="22"/>
          <w:highlight w:val="none"/>
        </w:rPr>
      </w:pPr>
      <w:r>
        <w:rPr>
          <w:rFonts w:hint="eastAsia" w:ascii="Simang" w:hAnsi="Simang"/>
          <w:color w:val="auto"/>
          <w:spacing w:val="20"/>
          <w:sz w:val="22"/>
          <w:szCs w:val="22"/>
          <w:highlight w:val="none"/>
        </w:rPr>
        <w:t>项目名称：</w:t>
      </w:r>
    </w:p>
    <w:tbl>
      <w:tblPr>
        <w:tblStyle w:val="24"/>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74"/>
        <w:gridCol w:w="1869"/>
        <w:gridCol w:w="1218"/>
        <w:gridCol w:w="1216"/>
        <w:gridCol w:w="1215"/>
      </w:tblGrid>
      <w:tr w14:paraId="29DB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4" w:type="pct"/>
            <w:noWrap w:val="0"/>
            <w:vAlign w:val="center"/>
          </w:tcPr>
          <w:p w14:paraId="4F32B692">
            <w:pPr>
              <w:spacing w:line="440" w:lineRule="exact"/>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序号</w:t>
            </w:r>
          </w:p>
        </w:tc>
        <w:tc>
          <w:tcPr>
            <w:tcW w:w="1594" w:type="pct"/>
            <w:shd w:val="clear" w:color="auto" w:fill="auto"/>
            <w:noWrap w:val="0"/>
            <w:vAlign w:val="center"/>
          </w:tcPr>
          <w:p w14:paraId="22F977BD">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工作</w:t>
            </w:r>
            <w:r>
              <w:rPr>
                <w:rFonts w:hint="eastAsia" w:ascii="宋体" w:hAnsi="宋体" w:eastAsia="宋体" w:cs="宋体"/>
                <w:b/>
                <w:color w:val="auto"/>
                <w:sz w:val="22"/>
                <w:szCs w:val="22"/>
                <w:highlight w:val="none"/>
              </w:rPr>
              <w:t>内容</w:t>
            </w:r>
          </w:p>
        </w:tc>
        <w:tc>
          <w:tcPr>
            <w:tcW w:w="969" w:type="pct"/>
            <w:shd w:val="clear" w:color="auto" w:fill="auto"/>
            <w:noWrap w:val="0"/>
            <w:vAlign w:val="center"/>
          </w:tcPr>
          <w:p w14:paraId="645EFB2F">
            <w:pPr>
              <w:spacing w:line="4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最高</w:t>
            </w:r>
            <w:r>
              <w:rPr>
                <w:rFonts w:hint="eastAsia" w:ascii="宋体" w:hAnsi="宋体" w:eastAsia="宋体" w:cs="宋体"/>
                <w:b/>
                <w:color w:val="auto"/>
                <w:sz w:val="22"/>
                <w:szCs w:val="22"/>
                <w:highlight w:val="none"/>
                <w:lang w:eastAsia="zh-CN"/>
              </w:rPr>
              <w:t>单价</w:t>
            </w:r>
            <w:r>
              <w:rPr>
                <w:rFonts w:hint="eastAsia" w:ascii="宋体" w:hAnsi="宋体" w:eastAsia="宋体" w:cs="宋体"/>
                <w:b/>
                <w:color w:val="auto"/>
                <w:sz w:val="22"/>
                <w:szCs w:val="22"/>
                <w:highlight w:val="none"/>
                <w:lang w:val="en-US" w:eastAsia="zh-CN"/>
              </w:rPr>
              <w:t>限价</w:t>
            </w:r>
          </w:p>
          <w:p w14:paraId="5F3E8E01">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个</w:t>
            </w:r>
            <w:r>
              <w:rPr>
                <w:rFonts w:hint="eastAsia" w:ascii="宋体" w:hAnsi="宋体" w:eastAsia="宋体" w:cs="宋体"/>
                <w:b/>
                <w:color w:val="auto"/>
                <w:sz w:val="22"/>
                <w:szCs w:val="22"/>
                <w:highlight w:val="none"/>
                <w:lang w:eastAsia="zh-CN"/>
              </w:rPr>
              <w:t>）</w:t>
            </w:r>
          </w:p>
        </w:tc>
        <w:tc>
          <w:tcPr>
            <w:tcW w:w="631" w:type="pct"/>
            <w:shd w:val="clear" w:color="auto" w:fill="auto"/>
            <w:noWrap w:val="0"/>
            <w:vAlign w:val="center"/>
          </w:tcPr>
          <w:p w14:paraId="773AE2E7">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数量（个）</w:t>
            </w:r>
          </w:p>
        </w:tc>
        <w:tc>
          <w:tcPr>
            <w:tcW w:w="630" w:type="pct"/>
            <w:shd w:val="clear" w:color="auto" w:fill="auto"/>
            <w:noWrap w:val="0"/>
            <w:vAlign w:val="center"/>
          </w:tcPr>
          <w:p w14:paraId="03F29E87">
            <w:pPr>
              <w:spacing w:line="44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投标报</w:t>
            </w:r>
          </w:p>
          <w:p w14:paraId="39723B53">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eastAsia="zh-CN"/>
              </w:rPr>
              <w:t>单价</w:t>
            </w:r>
          </w:p>
        </w:tc>
        <w:tc>
          <w:tcPr>
            <w:tcW w:w="630" w:type="pct"/>
            <w:shd w:val="clear" w:color="auto" w:fill="auto"/>
            <w:noWrap w:val="0"/>
            <w:vAlign w:val="center"/>
          </w:tcPr>
          <w:p w14:paraId="7654A3F9">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eastAsia="zh-CN"/>
              </w:rPr>
              <w:t>投标报价小计</w:t>
            </w:r>
          </w:p>
        </w:tc>
      </w:tr>
      <w:tr w14:paraId="3EBE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4" w:type="pct"/>
            <w:noWrap w:val="0"/>
            <w:vAlign w:val="center"/>
          </w:tcPr>
          <w:p w14:paraId="2F87CCE7">
            <w:pPr>
              <w:spacing w:line="440" w:lineRule="exact"/>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w:t>
            </w:r>
          </w:p>
        </w:tc>
        <w:tc>
          <w:tcPr>
            <w:tcW w:w="1594" w:type="pct"/>
            <w:shd w:val="clear" w:color="auto" w:fill="auto"/>
            <w:noWrap w:val="0"/>
            <w:vAlign w:val="center"/>
          </w:tcPr>
          <w:p w14:paraId="3BEE1807">
            <w:pPr>
              <w:spacing w:line="440" w:lineRule="exact"/>
              <w:jc w:val="center"/>
              <w:rPr>
                <w:rFonts w:hint="eastAsia" w:ascii="宋体" w:hAnsi="宋体" w:eastAsia="宋体" w:cs="宋体"/>
                <w:b/>
                <w:color w:val="auto"/>
                <w:sz w:val="22"/>
                <w:szCs w:val="22"/>
                <w:highlight w:val="none"/>
                <w:lang w:val="en-US" w:eastAsia="zh-CN"/>
              </w:rPr>
            </w:pPr>
            <w:r>
              <w:rPr>
                <w:rFonts w:hint="default" w:ascii="Times New Roman" w:hAnsi="Times New Roman" w:eastAsia="仿宋_GB2312" w:cs="Times New Roman"/>
                <w:color w:val="auto"/>
                <w:sz w:val="24"/>
                <w:szCs w:val="24"/>
                <w:highlight w:val="none"/>
                <w:lang w:eastAsia="zh-CN"/>
              </w:rPr>
              <w:t>环境影响报告书（表）编制规范性检查技术评估</w:t>
            </w:r>
          </w:p>
        </w:tc>
        <w:tc>
          <w:tcPr>
            <w:tcW w:w="969" w:type="pct"/>
            <w:shd w:val="clear" w:color="auto" w:fill="auto"/>
            <w:noWrap w:val="0"/>
            <w:vAlign w:val="center"/>
          </w:tcPr>
          <w:p w14:paraId="28E8F07E">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20000元</w:t>
            </w:r>
          </w:p>
        </w:tc>
        <w:tc>
          <w:tcPr>
            <w:tcW w:w="631" w:type="pct"/>
            <w:shd w:val="clear" w:color="auto" w:fill="auto"/>
            <w:noWrap w:val="0"/>
            <w:vAlign w:val="center"/>
          </w:tcPr>
          <w:p w14:paraId="6D580D25">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约60</w:t>
            </w:r>
          </w:p>
        </w:tc>
        <w:tc>
          <w:tcPr>
            <w:tcW w:w="630" w:type="pct"/>
            <w:shd w:val="clear" w:color="auto" w:fill="auto"/>
            <w:noWrap w:val="0"/>
            <w:vAlign w:val="center"/>
          </w:tcPr>
          <w:p w14:paraId="6CE55F39">
            <w:pPr>
              <w:spacing w:line="440" w:lineRule="exact"/>
              <w:jc w:val="center"/>
              <w:rPr>
                <w:rFonts w:hint="eastAsia" w:ascii="宋体" w:hAnsi="宋体" w:eastAsia="宋体" w:cs="宋体"/>
                <w:b/>
                <w:color w:val="auto"/>
                <w:sz w:val="22"/>
                <w:szCs w:val="22"/>
                <w:highlight w:val="none"/>
                <w:lang w:eastAsia="zh-CN"/>
              </w:rPr>
            </w:pPr>
          </w:p>
        </w:tc>
        <w:tc>
          <w:tcPr>
            <w:tcW w:w="630" w:type="pct"/>
            <w:shd w:val="clear" w:color="auto" w:fill="auto"/>
            <w:noWrap w:val="0"/>
            <w:vAlign w:val="center"/>
          </w:tcPr>
          <w:p w14:paraId="531FF550">
            <w:pPr>
              <w:spacing w:line="440" w:lineRule="exact"/>
              <w:jc w:val="center"/>
              <w:rPr>
                <w:rFonts w:hint="eastAsia" w:ascii="宋体" w:hAnsi="宋体" w:eastAsia="宋体" w:cs="宋体"/>
                <w:b/>
                <w:color w:val="auto"/>
                <w:sz w:val="22"/>
                <w:szCs w:val="22"/>
                <w:highlight w:val="none"/>
                <w:lang w:eastAsia="zh-CN"/>
              </w:rPr>
            </w:pPr>
          </w:p>
        </w:tc>
      </w:tr>
      <w:tr w14:paraId="60C5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4" w:type="pct"/>
            <w:shd w:val="clear" w:color="auto" w:fill="auto"/>
            <w:noWrap w:val="0"/>
            <w:vAlign w:val="center"/>
          </w:tcPr>
          <w:p w14:paraId="24AF6057">
            <w:pPr>
              <w:pStyle w:val="30"/>
              <w:ind w:firstLine="221" w:firstLineChars="100"/>
              <w:jc w:val="both"/>
              <w:rPr>
                <w:rFonts w:hint="eastAsia" w:ascii="黑体" w:hAnsi="Calibri" w:eastAsia="黑体" w:cs="黑体"/>
                <w:color w:val="000000"/>
                <w:sz w:val="24"/>
                <w:szCs w:val="24"/>
                <w:lang w:val="en-US" w:eastAsia="zh-CN" w:bidi="ar-SA"/>
              </w:rPr>
            </w:pPr>
            <w:r>
              <w:rPr>
                <w:rFonts w:hint="eastAsia" w:ascii="宋体" w:hAnsi="宋体" w:cs="宋体"/>
                <w:b/>
                <w:color w:val="auto"/>
                <w:sz w:val="22"/>
                <w:szCs w:val="22"/>
                <w:highlight w:val="none"/>
                <w:lang w:val="en-US" w:eastAsia="zh-CN"/>
              </w:rPr>
              <w:t>2</w:t>
            </w:r>
          </w:p>
        </w:tc>
        <w:tc>
          <w:tcPr>
            <w:tcW w:w="1594" w:type="pct"/>
            <w:shd w:val="clear" w:color="auto" w:fill="auto"/>
            <w:noWrap w:val="0"/>
            <w:vAlign w:val="center"/>
          </w:tcPr>
          <w:p w14:paraId="76D8F69E">
            <w:pPr>
              <w:spacing w:line="440" w:lineRule="exact"/>
              <w:jc w:val="center"/>
              <w:rPr>
                <w:rFonts w:hint="default" w:ascii="宋体" w:hAnsi="宋体" w:eastAsia="宋体" w:cs="宋体"/>
                <w:b/>
                <w:color w:val="auto"/>
                <w:kern w:val="2"/>
                <w:sz w:val="22"/>
                <w:szCs w:val="22"/>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环保决策咨询</w:t>
            </w:r>
          </w:p>
        </w:tc>
        <w:tc>
          <w:tcPr>
            <w:tcW w:w="969" w:type="pct"/>
            <w:shd w:val="clear" w:color="auto" w:fill="auto"/>
            <w:noWrap w:val="0"/>
            <w:vAlign w:val="center"/>
          </w:tcPr>
          <w:p w14:paraId="1BFB9649">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10000万</w:t>
            </w:r>
          </w:p>
        </w:tc>
        <w:tc>
          <w:tcPr>
            <w:tcW w:w="631" w:type="pct"/>
            <w:shd w:val="clear" w:color="auto" w:fill="auto"/>
            <w:noWrap w:val="0"/>
            <w:vAlign w:val="center"/>
          </w:tcPr>
          <w:p w14:paraId="72EC42B8">
            <w:pPr>
              <w:spacing w:line="44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eastAsia="zh-CN"/>
              </w:rPr>
              <w:t>约</w:t>
            </w:r>
            <w:r>
              <w:rPr>
                <w:rFonts w:hint="eastAsia" w:ascii="宋体" w:hAnsi="宋体" w:cs="宋体"/>
                <w:b/>
                <w:color w:val="auto"/>
                <w:sz w:val="22"/>
                <w:szCs w:val="22"/>
                <w:highlight w:val="none"/>
                <w:lang w:val="en-US" w:eastAsia="zh-CN"/>
              </w:rPr>
              <w:t>10</w:t>
            </w:r>
          </w:p>
        </w:tc>
        <w:tc>
          <w:tcPr>
            <w:tcW w:w="630" w:type="pct"/>
            <w:shd w:val="clear" w:color="auto" w:fill="auto"/>
            <w:noWrap w:val="0"/>
            <w:vAlign w:val="center"/>
          </w:tcPr>
          <w:p w14:paraId="53A42823">
            <w:pPr>
              <w:spacing w:line="440" w:lineRule="exact"/>
              <w:jc w:val="center"/>
              <w:rPr>
                <w:rFonts w:hint="eastAsia" w:ascii="宋体" w:hAnsi="宋体" w:eastAsia="宋体" w:cs="宋体"/>
                <w:b/>
                <w:color w:val="auto"/>
                <w:kern w:val="2"/>
                <w:sz w:val="22"/>
                <w:szCs w:val="22"/>
                <w:highlight w:val="none"/>
                <w:lang w:val="en-US" w:eastAsia="zh-CN" w:bidi="ar-SA"/>
              </w:rPr>
            </w:pPr>
          </w:p>
        </w:tc>
        <w:tc>
          <w:tcPr>
            <w:tcW w:w="630" w:type="pct"/>
            <w:shd w:val="clear" w:color="auto" w:fill="auto"/>
            <w:noWrap w:val="0"/>
            <w:vAlign w:val="center"/>
          </w:tcPr>
          <w:p w14:paraId="19358225">
            <w:pPr>
              <w:spacing w:line="440" w:lineRule="exact"/>
              <w:jc w:val="center"/>
              <w:rPr>
                <w:rFonts w:hint="eastAsia" w:ascii="宋体" w:hAnsi="宋体" w:eastAsia="宋体" w:cs="宋体"/>
                <w:b/>
                <w:color w:val="auto"/>
                <w:kern w:val="2"/>
                <w:sz w:val="22"/>
                <w:szCs w:val="22"/>
                <w:highlight w:val="none"/>
                <w:lang w:val="en-US" w:eastAsia="zh-CN" w:bidi="ar-SA"/>
              </w:rPr>
            </w:pPr>
          </w:p>
        </w:tc>
      </w:tr>
      <w:tr w14:paraId="65D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4" w:type="pct"/>
            <w:noWrap w:val="0"/>
            <w:vAlign w:val="center"/>
          </w:tcPr>
          <w:p w14:paraId="0A2B6A8F">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1594" w:type="pct"/>
            <w:noWrap w:val="0"/>
            <w:vAlign w:val="center"/>
          </w:tcPr>
          <w:p w14:paraId="72DCD678">
            <w:pPr>
              <w:spacing w:line="440" w:lineRule="exact"/>
              <w:jc w:val="center"/>
              <w:rPr>
                <w:rFonts w:hint="eastAsia" w:ascii="宋体" w:hAnsi="宋体" w:eastAsia="宋体" w:cs="宋体"/>
                <w:b/>
                <w:color w:val="auto"/>
                <w:sz w:val="22"/>
                <w:szCs w:val="22"/>
                <w:highlight w:val="none"/>
                <w:lang w:eastAsia="zh-CN"/>
              </w:rPr>
            </w:pPr>
            <w:r>
              <w:rPr>
                <w:rFonts w:hint="default" w:ascii="Times New Roman" w:hAnsi="Times New Roman" w:eastAsia="仿宋_GB2312" w:cs="Times New Roman"/>
                <w:color w:val="auto"/>
                <w:sz w:val="24"/>
                <w:szCs w:val="24"/>
                <w:highlight w:val="none"/>
                <w:lang w:val="en-US"/>
              </w:rPr>
              <w:t>环评质量技术复核服务</w:t>
            </w:r>
          </w:p>
        </w:tc>
        <w:tc>
          <w:tcPr>
            <w:tcW w:w="969" w:type="pct"/>
            <w:noWrap w:val="0"/>
            <w:vAlign w:val="center"/>
          </w:tcPr>
          <w:p w14:paraId="36CFB5DD">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2000元</w:t>
            </w:r>
          </w:p>
        </w:tc>
        <w:tc>
          <w:tcPr>
            <w:tcW w:w="631" w:type="pct"/>
            <w:noWrap w:val="0"/>
            <w:vAlign w:val="center"/>
          </w:tcPr>
          <w:p w14:paraId="4AA13687">
            <w:pPr>
              <w:spacing w:line="440" w:lineRule="exact"/>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eastAsia="zh-CN"/>
              </w:rPr>
              <w:t>约</w:t>
            </w:r>
            <w:r>
              <w:rPr>
                <w:rFonts w:hint="eastAsia" w:ascii="宋体" w:hAnsi="宋体" w:cs="宋体"/>
                <w:b/>
                <w:color w:val="auto"/>
                <w:sz w:val="22"/>
                <w:szCs w:val="22"/>
                <w:highlight w:val="none"/>
                <w:lang w:val="en-US" w:eastAsia="zh-CN"/>
              </w:rPr>
              <w:t>150</w:t>
            </w:r>
          </w:p>
        </w:tc>
        <w:tc>
          <w:tcPr>
            <w:tcW w:w="630" w:type="pct"/>
            <w:noWrap w:val="0"/>
            <w:vAlign w:val="center"/>
          </w:tcPr>
          <w:p w14:paraId="0146CA7C">
            <w:pPr>
              <w:spacing w:line="440" w:lineRule="exact"/>
              <w:jc w:val="center"/>
              <w:rPr>
                <w:rFonts w:hint="eastAsia" w:ascii="宋体" w:hAnsi="宋体" w:eastAsia="宋体" w:cs="宋体"/>
                <w:b/>
                <w:color w:val="auto"/>
                <w:sz w:val="22"/>
                <w:szCs w:val="22"/>
                <w:highlight w:val="none"/>
                <w:lang w:eastAsia="zh-CN"/>
              </w:rPr>
            </w:pPr>
          </w:p>
        </w:tc>
        <w:tc>
          <w:tcPr>
            <w:tcW w:w="630" w:type="pct"/>
            <w:noWrap w:val="0"/>
            <w:vAlign w:val="center"/>
          </w:tcPr>
          <w:p w14:paraId="26AEB5E3">
            <w:pPr>
              <w:spacing w:line="440" w:lineRule="exact"/>
              <w:jc w:val="center"/>
              <w:rPr>
                <w:rFonts w:hint="eastAsia" w:ascii="宋体" w:hAnsi="宋体" w:eastAsia="宋体" w:cs="宋体"/>
                <w:b/>
                <w:color w:val="auto"/>
                <w:sz w:val="22"/>
                <w:szCs w:val="22"/>
                <w:highlight w:val="none"/>
                <w:lang w:eastAsia="zh-CN"/>
              </w:rPr>
            </w:pPr>
          </w:p>
        </w:tc>
      </w:tr>
      <w:tr w14:paraId="6EC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4" w:type="pct"/>
            <w:noWrap w:val="0"/>
            <w:vAlign w:val="center"/>
          </w:tcPr>
          <w:p w14:paraId="459BE68E">
            <w:pPr>
              <w:pStyle w:val="30"/>
              <w:jc w:val="center"/>
              <w:rPr>
                <w:rFonts w:hint="default"/>
                <w:lang w:val="en-US" w:eastAsia="zh-CN"/>
              </w:rPr>
            </w:pPr>
            <w:r>
              <w:rPr>
                <w:rFonts w:hint="eastAsia"/>
                <w:lang w:val="en-US" w:eastAsia="zh-CN"/>
              </w:rPr>
              <w:t>...</w:t>
            </w:r>
          </w:p>
        </w:tc>
        <w:tc>
          <w:tcPr>
            <w:tcW w:w="1594" w:type="pct"/>
            <w:noWrap w:val="0"/>
            <w:vAlign w:val="center"/>
          </w:tcPr>
          <w:p w14:paraId="589BD8DC">
            <w:pPr>
              <w:spacing w:line="440" w:lineRule="exact"/>
              <w:jc w:val="center"/>
              <w:rPr>
                <w:rFonts w:hint="eastAsia" w:ascii="宋体" w:hAnsi="宋体" w:eastAsia="宋体" w:cs="宋体"/>
                <w:b/>
                <w:color w:val="auto"/>
                <w:sz w:val="22"/>
                <w:szCs w:val="22"/>
                <w:highlight w:val="none"/>
                <w:lang w:eastAsia="zh-CN"/>
              </w:rPr>
            </w:pPr>
          </w:p>
        </w:tc>
        <w:tc>
          <w:tcPr>
            <w:tcW w:w="969" w:type="pct"/>
            <w:noWrap w:val="0"/>
            <w:vAlign w:val="center"/>
          </w:tcPr>
          <w:p w14:paraId="26A3BA76">
            <w:pPr>
              <w:spacing w:line="440" w:lineRule="exact"/>
              <w:jc w:val="center"/>
              <w:rPr>
                <w:rFonts w:hint="default" w:ascii="宋体" w:hAnsi="宋体" w:eastAsia="宋体" w:cs="宋体"/>
                <w:b/>
                <w:color w:val="auto"/>
                <w:sz w:val="22"/>
                <w:szCs w:val="22"/>
                <w:highlight w:val="none"/>
                <w:lang w:val="en-US" w:eastAsia="zh-CN"/>
              </w:rPr>
            </w:pPr>
          </w:p>
        </w:tc>
        <w:tc>
          <w:tcPr>
            <w:tcW w:w="631" w:type="pct"/>
            <w:noWrap w:val="0"/>
            <w:vAlign w:val="center"/>
          </w:tcPr>
          <w:p w14:paraId="2909BB96">
            <w:pPr>
              <w:spacing w:line="440" w:lineRule="exact"/>
              <w:jc w:val="center"/>
              <w:rPr>
                <w:rFonts w:hint="default" w:ascii="宋体" w:hAnsi="宋体" w:eastAsia="宋体" w:cs="宋体"/>
                <w:b/>
                <w:color w:val="auto"/>
                <w:sz w:val="22"/>
                <w:szCs w:val="22"/>
                <w:highlight w:val="none"/>
                <w:lang w:val="en-US" w:eastAsia="zh-CN"/>
              </w:rPr>
            </w:pPr>
          </w:p>
        </w:tc>
        <w:tc>
          <w:tcPr>
            <w:tcW w:w="630" w:type="pct"/>
            <w:noWrap w:val="0"/>
            <w:vAlign w:val="center"/>
          </w:tcPr>
          <w:p w14:paraId="1AE404C0">
            <w:pPr>
              <w:spacing w:line="440" w:lineRule="exact"/>
              <w:jc w:val="center"/>
              <w:rPr>
                <w:rFonts w:hint="eastAsia" w:ascii="宋体" w:hAnsi="宋体" w:eastAsia="宋体" w:cs="宋体"/>
                <w:b/>
                <w:color w:val="auto"/>
                <w:sz w:val="22"/>
                <w:szCs w:val="22"/>
                <w:highlight w:val="none"/>
                <w:lang w:eastAsia="zh-CN"/>
              </w:rPr>
            </w:pPr>
          </w:p>
        </w:tc>
        <w:tc>
          <w:tcPr>
            <w:tcW w:w="630" w:type="pct"/>
            <w:noWrap w:val="0"/>
            <w:vAlign w:val="center"/>
          </w:tcPr>
          <w:p w14:paraId="04D740BC">
            <w:pPr>
              <w:spacing w:line="440" w:lineRule="exact"/>
              <w:jc w:val="center"/>
              <w:rPr>
                <w:rFonts w:hint="eastAsia" w:ascii="宋体" w:hAnsi="宋体" w:eastAsia="宋体" w:cs="宋体"/>
                <w:b/>
                <w:color w:val="auto"/>
                <w:sz w:val="22"/>
                <w:szCs w:val="22"/>
                <w:highlight w:val="none"/>
                <w:lang w:eastAsia="zh-CN"/>
              </w:rPr>
            </w:pPr>
          </w:p>
        </w:tc>
      </w:tr>
      <w:tr w14:paraId="7A9D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00" w:type="pct"/>
            <w:gridSpan w:val="6"/>
            <w:noWrap w:val="0"/>
            <w:vAlign w:val="center"/>
          </w:tcPr>
          <w:p w14:paraId="5E129609">
            <w:pPr>
              <w:spacing w:line="440" w:lineRule="exact"/>
              <w:jc w:val="both"/>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合计：人民币</w:t>
            </w:r>
            <w:r>
              <w:rPr>
                <w:rFonts w:hint="eastAsia" w:ascii="宋体" w:hAnsi="宋体" w:eastAsia="宋体" w:cs="宋体"/>
                <w:color w:val="auto"/>
                <w:sz w:val="22"/>
                <w:szCs w:val="22"/>
                <w:highlight w:val="none"/>
                <w:lang w:val="en-US" w:eastAsia="zh-CN"/>
              </w:rPr>
              <w:t xml:space="preserve"> 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小写：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p>
        </w:tc>
      </w:tr>
    </w:tbl>
    <w:p w14:paraId="6F2198A8">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Simang" w:hAnsi="Simang" w:eastAsia="宋体" w:cs="Times New Roman"/>
          <w:color w:val="auto"/>
          <w:sz w:val="22"/>
          <w:szCs w:val="22"/>
          <w:highlight w:val="none"/>
          <w:lang w:val="en-US" w:eastAsia="zh-CN"/>
        </w:rPr>
        <w:t>注：</w:t>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报价一经涂改，应在涂改处加盖单位公章或者由法定代表人或授权委托人签字或盖章，否则其投标作无效标处理。</w:t>
      </w:r>
    </w:p>
    <w:p w14:paraId="01E77DB5">
      <w:pPr>
        <w:pStyle w:val="11"/>
        <w:pageBreakBefore w:val="0"/>
        <w:kinsoku/>
        <w:overflowPunct/>
        <w:topLinePunct w:val="0"/>
        <w:bidi w:val="0"/>
        <w:snapToGrid w:val="0"/>
        <w:spacing w:line="420" w:lineRule="exact"/>
        <w:ind w:left="0" w:leftChars="0" w:firstLine="440" w:firstLineChars="200"/>
        <w:textAlignment w:val="auto"/>
        <w:rPr>
          <w:rFonts w:hint="eastAsia" w:ascii="宋体" w:hAnsi="宋体" w:eastAsia="宋体" w:cs="宋体"/>
          <w:b w:val="0"/>
          <w:bCs w:val="0"/>
          <w:i w:val="0"/>
          <w:iCs w:val="0"/>
          <w:color w:val="auto"/>
          <w:kern w:val="2"/>
          <w:sz w:val="22"/>
          <w:szCs w:val="22"/>
          <w:highlight w:val="none"/>
          <w:lang w:val="en-US"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b w:val="0"/>
          <w:bCs w:val="0"/>
          <w:i w:val="0"/>
          <w:iCs w:val="0"/>
          <w:color w:val="auto"/>
          <w:kern w:val="2"/>
          <w:sz w:val="22"/>
          <w:szCs w:val="22"/>
          <w:highlight w:val="none"/>
          <w:lang w:val="en-US" w:eastAsia="zh-CN" w:bidi="ar-SA"/>
        </w:rPr>
        <w:t>投标报价是履行合同的最终价格，包括但不限于</w:t>
      </w:r>
      <w:r>
        <w:rPr>
          <w:rFonts w:hint="default" w:ascii="宋体" w:hAnsi="宋体" w:eastAsia="宋体" w:cs="宋体"/>
          <w:b w:val="0"/>
          <w:bCs w:val="0"/>
          <w:i w:val="0"/>
          <w:iCs w:val="0"/>
          <w:color w:val="auto"/>
          <w:kern w:val="2"/>
          <w:sz w:val="22"/>
          <w:szCs w:val="22"/>
          <w:highlight w:val="none"/>
          <w:lang w:val="en-US" w:eastAsia="zh-CN" w:bidi="ar-SA"/>
        </w:rPr>
        <w:t>项目评估文件编制</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交通费</w:t>
      </w:r>
      <w:r>
        <w:rPr>
          <w:rFonts w:hint="eastAsia" w:ascii="宋体" w:hAnsi="宋体" w:eastAsia="宋体" w:cs="宋体"/>
          <w:b w:val="0"/>
          <w:bCs w:val="0"/>
          <w:i w:val="0"/>
          <w:iCs w:val="0"/>
          <w:color w:val="auto"/>
          <w:kern w:val="2"/>
          <w:sz w:val="22"/>
          <w:szCs w:val="22"/>
          <w:highlight w:val="none"/>
          <w:lang w:val="en-US" w:eastAsia="zh-CN" w:bidi="ar-SA"/>
        </w:rPr>
        <w:t>、</w:t>
      </w:r>
      <w:r>
        <w:rPr>
          <w:rFonts w:hint="default" w:ascii="宋体" w:hAnsi="宋体" w:eastAsia="宋体" w:cs="宋体"/>
          <w:b w:val="0"/>
          <w:bCs w:val="0"/>
          <w:i w:val="0"/>
          <w:iCs w:val="0"/>
          <w:color w:val="auto"/>
          <w:kern w:val="2"/>
          <w:sz w:val="22"/>
          <w:szCs w:val="22"/>
          <w:highlight w:val="none"/>
          <w:lang w:val="en-US" w:eastAsia="zh-CN" w:bidi="ar-SA"/>
        </w:rPr>
        <w:t>资料费</w:t>
      </w:r>
      <w:r>
        <w:rPr>
          <w:rFonts w:hint="eastAsia" w:ascii="宋体" w:hAnsi="宋体" w:eastAsia="宋体" w:cs="宋体"/>
          <w:b w:val="0"/>
          <w:bCs w:val="0"/>
          <w:i w:val="0"/>
          <w:iCs w:val="0"/>
          <w:color w:val="auto"/>
          <w:kern w:val="2"/>
          <w:sz w:val="22"/>
          <w:szCs w:val="22"/>
          <w:highlight w:val="none"/>
          <w:lang w:val="en-US" w:eastAsia="zh-CN" w:bidi="ar-SA"/>
        </w:rPr>
        <w:t>、人工费、车辆费用、办公费用、工作过程的修改、提供深化整合和优化的技术服务费用、项目咨询费（含</w:t>
      </w:r>
      <w:r>
        <w:rPr>
          <w:rFonts w:hint="default" w:ascii="宋体" w:hAnsi="宋体" w:eastAsia="宋体" w:cs="宋体"/>
          <w:b w:val="0"/>
          <w:bCs w:val="0"/>
          <w:i w:val="0"/>
          <w:iCs w:val="0"/>
          <w:color w:val="auto"/>
          <w:kern w:val="2"/>
          <w:sz w:val="22"/>
          <w:szCs w:val="22"/>
          <w:highlight w:val="none"/>
          <w:lang w:val="en-US" w:eastAsia="zh-CN" w:bidi="ar-SA"/>
        </w:rPr>
        <w:t>决策建议</w:t>
      </w:r>
      <w:r>
        <w:rPr>
          <w:rFonts w:hint="eastAsia" w:ascii="宋体" w:hAnsi="宋体" w:eastAsia="宋体" w:cs="宋体"/>
          <w:b w:val="0"/>
          <w:bCs w:val="0"/>
          <w:i w:val="0"/>
          <w:iCs w:val="0"/>
          <w:color w:val="auto"/>
          <w:kern w:val="2"/>
          <w:sz w:val="22"/>
          <w:szCs w:val="22"/>
          <w:highlight w:val="none"/>
          <w:lang w:val="en-US" w:eastAsia="zh-CN" w:bidi="ar-SA"/>
        </w:rPr>
        <w:t>等）及与项目有关的专家评议评审费用、</w:t>
      </w:r>
      <w:r>
        <w:rPr>
          <w:rFonts w:hint="default" w:ascii="宋体" w:hAnsi="宋体" w:eastAsia="宋体" w:cs="宋体"/>
          <w:b w:val="0"/>
          <w:bCs w:val="0"/>
          <w:i w:val="0"/>
          <w:iCs w:val="0"/>
          <w:color w:val="auto"/>
          <w:kern w:val="2"/>
          <w:sz w:val="22"/>
          <w:szCs w:val="22"/>
          <w:highlight w:val="none"/>
          <w:lang w:val="en-US" w:eastAsia="zh-CN" w:bidi="ar-SA"/>
        </w:rPr>
        <w:t>会务费（含住宿、会场租用等）</w:t>
      </w:r>
      <w:r>
        <w:rPr>
          <w:rFonts w:hint="eastAsia" w:ascii="宋体" w:hAnsi="宋体" w:eastAsia="宋体" w:cs="宋体"/>
          <w:b w:val="0"/>
          <w:bCs w:val="0"/>
          <w:i w:val="0"/>
          <w:iCs w:val="0"/>
          <w:color w:val="auto"/>
          <w:kern w:val="2"/>
          <w:sz w:val="22"/>
          <w:szCs w:val="22"/>
          <w:highlight w:val="none"/>
          <w:lang w:val="en-US" w:eastAsia="zh-CN" w:bidi="ar-SA"/>
        </w:rPr>
        <w:t>后期有关本项目的服务咨询、保险费、税金等的政策性文件规定及合同包含的所有风险、责任等各项全部费用。投标人应根据自身实际报价时予以考虑，如有漏项，视同已包含在其它项目中，价格不作调整，成交后不允许擅自改变服务内容、质量标准、期限和追加项目费用。</w:t>
      </w:r>
    </w:p>
    <w:p w14:paraId="2E897A1C">
      <w:pPr>
        <w:tabs>
          <w:tab w:val="left" w:pos="9180"/>
        </w:tabs>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招标文件未列明，而投标人认为必需的费用也需列入报价。投标人在投标报价中应充分考虑所有可能发生的费用，否则招标人将视投标报价中已包括所有费用。</w:t>
      </w:r>
    </w:p>
    <w:p w14:paraId="4872AB34">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cs="Times New Roman"/>
          <w:color w:val="auto"/>
          <w:sz w:val="22"/>
          <w:szCs w:val="22"/>
          <w:highlight w:val="none"/>
          <w:lang w:val="en-US" w:eastAsia="zh-CN"/>
        </w:rPr>
        <w:t>4.</w:t>
      </w:r>
      <w:r>
        <w:rPr>
          <w:rFonts w:hint="eastAsia" w:ascii="Simang" w:hAnsi="Simang" w:eastAsia="宋体" w:cs="Times New Roman"/>
          <w:color w:val="auto"/>
          <w:sz w:val="22"/>
          <w:szCs w:val="22"/>
          <w:highlight w:val="none"/>
          <w:lang w:val="en-US" w:eastAsia="zh-CN"/>
        </w:rPr>
        <w:t>以上表格要求按细分项目报价，与项目有关的费用均应计入</w:t>
      </w:r>
      <w:r>
        <w:rPr>
          <w:rFonts w:hint="eastAsia" w:ascii="Simang" w:hAnsi="Simang" w:cs="Times New Roman"/>
          <w:color w:val="auto"/>
          <w:sz w:val="22"/>
          <w:szCs w:val="22"/>
          <w:highlight w:val="none"/>
          <w:lang w:val="en-US" w:eastAsia="zh-CN"/>
        </w:rPr>
        <w:t>投标</w:t>
      </w:r>
      <w:r>
        <w:rPr>
          <w:rFonts w:hint="eastAsia" w:ascii="Simang" w:hAnsi="Simang" w:eastAsia="宋体" w:cs="Times New Roman"/>
          <w:color w:val="auto"/>
          <w:sz w:val="22"/>
          <w:szCs w:val="22"/>
          <w:highlight w:val="none"/>
          <w:lang w:val="en-US" w:eastAsia="zh-CN"/>
        </w:rPr>
        <w:t>报价。投标报价明细表为投标人对投标总价形成的具体分解，投标人应详细列表说明。</w:t>
      </w:r>
    </w:p>
    <w:p w14:paraId="54BD175E">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eastAsia="宋体" w:cs="Times New Roman"/>
          <w:color w:val="auto"/>
          <w:sz w:val="22"/>
          <w:szCs w:val="22"/>
          <w:highlight w:val="none"/>
          <w:lang w:val="en-US" w:eastAsia="zh-CN"/>
        </w:rPr>
        <w:t>1.不提供投标报价明细表将视为没有实质性响应采购文件。</w:t>
      </w:r>
    </w:p>
    <w:p w14:paraId="30E43E13">
      <w:pPr>
        <w:numPr>
          <w:ilvl w:val="0"/>
          <w:numId w:val="0"/>
        </w:numPr>
        <w:spacing w:line="380" w:lineRule="exact"/>
        <w:ind w:firstLine="440" w:firstLineChars="200"/>
        <w:rPr>
          <w:rFonts w:hint="eastAsia" w:ascii="Simang" w:hAnsi="Simang" w:eastAsia="宋体" w:cs="Times New Roman"/>
          <w:color w:val="auto"/>
          <w:sz w:val="22"/>
          <w:szCs w:val="22"/>
          <w:highlight w:val="none"/>
          <w:lang w:val="en-US" w:eastAsia="zh-CN"/>
        </w:rPr>
      </w:pPr>
      <w:r>
        <w:rPr>
          <w:rFonts w:hint="eastAsia" w:ascii="Simang" w:hAnsi="Simang" w:eastAsia="宋体" w:cs="Times New Roman"/>
          <w:color w:val="auto"/>
          <w:sz w:val="22"/>
          <w:szCs w:val="22"/>
          <w:highlight w:val="none"/>
          <w:lang w:val="en-US" w:eastAsia="zh-CN"/>
        </w:rPr>
        <w:t>2.此表的</w:t>
      </w:r>
      <w:r>
        <w:rPr>
          <w:rFonts w:hint="eastAsia" w:ascii="Simang" w:hAnsi="Simang" w:cs="Times New Roman"/>
          <w:color w:val="auto"/>
          <w:sz w:val="22"/>
          <w:szCs w:val="22"/>
          <w:highlight w:val="none"/>
          <w:lang w:val="en-US" w:eastAsia="zh-CN"/>
        </w:rPr>
        <w:t>合计</w:t>
      </w:r>
      <w:r>
        <w:rPr>
          <w:rFonts w:hint="eastAsia" w:ascii="Simang" w:hAnsi="Simang" w:eastAsia="宋体" w:cs="Times New Roman"/>
          <w:color w:val="auto"/>
          <w:sz w:val="22"/>
          <w:szCs w:val="22"/>
          <w:highlight w:val="none"/>
          <w:lang w:val="en-US" w:eastAsia="zh-CN"/>
        </w:rPr>
        <w:t>应与 “开标一览表”报价总价相一致。</w:t>
      </w:r>
    </w:p>
    <w:p w14:paraId="72AD6DE6">
      <w:pPr>
        <w:numPr>
          <w:ilvl w:val="0"/>
          <w:numId w:val="0"/>
        </w:numPr>
        <w:spacing w:line="380" w:lineRule="exact"/>
        <w:ind w:firstLine="440" w:firstLineChars="200"/>
        <w:rPr>
          <w:rFonts w:hAnsi="Simang"/>
          <w:color w:val="auto"/>
          <w:sz w:val="22"/>
          <w:szCs w:val="22"/>
          <w:highlight w:val="none"/>
        </w:rPr>
      </w:pPr>
      <w:r>
        <w:rPr>
          <w:rFonts w:hint="eastAsia" w:ascii="Simang" w:hAnsi="Simang" w:eastAsia="宋体" w:cs="Times New Roman"/>
          <w:color w:val="auto"/>
          <w:sz w:val="22"/>
          <w:szCs w:val="22"/>
          <w:highlight w:val="none"/>
          <w:lang w:val="en-US" w:eastAsia="zh-CN"/>
        </w:rPr>
        <w:t>3.此表可根据实际情况自行调整。</w:t>
      </w:r>
    </w:p>
    <w:bookmarkEnd w:id="38"/>
    <w:bookmarkEnd w:id="39"/>
    <w:bookmarkEnd w:id="40"/>
    <w:bookmarkEnd w:id="41"/>
    <w:bookmarkEnd w:id="116"/>
    <w:p w14:paraId="7986F9F7">
      <w:pPr>
        <w:pStyle w:val="11"/>
        <w:spacing w:line="380" w:lineRule="exact"/>
        <w:rPr>
          <w:rFonts w:hAnsi="Simang"/>
          <w:color w:val="auto"/>
          <w:sz w:val="22"/>
          <w:szCs w:val="22"/>
          <w:highlight w:val="none"/>
        </w:rPr>
      </w:pPr>
    </w:p>
    <w:p w14:paraId="15B89695">
      <w:pPr>
        <w:widowControl/>
        <w:snapToGrid w:val="0"/>
        <w:spacing w:line="360" w:lineRule="auto"/>
        <w:ind w:firstLine="3960" w:firstLineChars="18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lang w:eastAsia="zh-CN"/>
        </w:rPr>
        <w:t>投标人</w:t>
      </w:r>
      <w:r>
        <w:rPr>
          <w:rFonts w:hint="eastAsia" w:ascii="宋体" w:hAnsi="宋体" w:cs="宋体"/>
          <w:i w:val="0"/>
          <w:iCs w:val="0"/>
          <w:color w:val="auto"/>
          <w:kern w:val="0"/>
          <w:sz w:val="22"/>
          <w:szCs w:val="22"/>
          <w:highlight w:val="none"/>
        </w:rPr>
        <w:t>名称（盖章） ：</w:t>
      </w:r>
    </w:p>
    <w:p w14:paraId="280F8883">
      <w:pPr>
        <w:widowControl/>
        <w:snapToGrid w:val="0"/>
        <w:spacing w:line="360" w:lineRule="auto"/>
        <w:ind w:firstLine="3520" w:firstLineChars="1600"/>
        <w:jc w:val="left"/>
        <w:rPr>
          <w:rFonts w:hint="eastAsia" w:ascii="宋体" w:hAnsi="宋体" w:cs="宋体"/>
          <w:i w:val="0"/>
          <w:iCs w:val="0"/>
          <w:color w:val="auto"/>
          <w:kern w:val="0"/>
          <w:sz w:val="22"/>
          <w:szCs w:val="22"/>
          <w:highlight w:val="none"/>
        </w:rPr>
      </w:pPr>
      <w:r>
        <w:rPr>
          <w:rFonts w:hint="eastAsia" w:ascii="宋体" w:hAnsi="宋体" w:cs="宋体"/>
          <w:i w:val="0"/>
          <w:iCs w:val="0"/>
          <w:color w:val="auto"/>
          <w:kern w:val="0"/>
          <w:sz w:val="22"/>
          <w:szCs w:val="22"/>
          <w:highlight w:val="none"/>
        </w:rPr>
        <w:t>法定代表人或</w:t>
      </w:r>
      <w:r>
        <w:rPr>
          <w:rFonts w:hint="eastAsia" w:ascii="宋体" w:hAnsi="宋体" w:cs="宋体"/>
          <w:i w:val="0"/>
          <w:iCs w:val="0"/>
          <w:color w:val="auto"/>
          <w:kern w:val="0"/>
          <w:sz w:val="22"/>
          <w:szCs w:val="22"/>
          <w:highlight w:val="none"/>
          <w:lang w:eastAsia="zh-CN"/>
        </w:rPr>
        <w:t>委托代理人</w:t>
      </w:r>
      <w:r>
        <w:rPr>
          <w:rFonts w:hint="eastAsia" w:ascii="宋体" w:hAnsi="宋体" w:cs="宋体"/>
          <w:i w:val="0"/>
          <w:iCs w:val="0"/>
          <w:color w:val="auto"/>
          <w:kern w:val="0"/>
          <w:sz w:val="22"/>
          <w:szCs w:val="22"/>
          <w:highlight w:val="none"/>
        </w:rPr>
        <w:t>（签字或盖章）：</w:t>
      </w:r>
    </w:p>
    <w:p w14:paraId="2BB11FF8">
      <w:pPr>
        <w:widowControl/>
        <w:snapToGrid w:val="0"/>
        <w:spacing w:line="360" w:lineRule="auto"/>
        <w:ind w:firstLine="3960" w:firstLineChars="1800"/>
        <w:jc w:val="left"/>
        <w:rPr>
          <w:rFonts w:hint="eastAsia" w:ascii="宋体" w:hAnsi="宋体" w:cs="宋体"/>
          <w:i w:val="0"/>
          <w:iCs w:val="0"/>
          <w:color w:val="auto"/>
          <w:kern w:val="0"/>
          <w:sz w:val="22"/>
          <w:szCs w:val="22"/>
          <w:highlight w:val="none"/>
          <w:lang w:eastAsia="zh-CN"/>
        </w:rPr>
      </w:pPr>
      <w:r>
        <w:rPr>
          <w:rFonts w:hint="eastAsia" w:ascii="宋体" w:hAnsi="宋体" w:cs="宋体"/>
          <w:i w:val="0"/>
          <w:iCs w:val="0"/>
          <w:color w:val="auto"/>
          <w:kern w:val="0"/>
          <w:sz w:val="22"/>
          <w:szCs w:val="22"/>
          <w:highlight w:val="none"/>
        </w:rPr>
        <w:t>日期：     年  月  日</w:t>
      </w:r>
      <w:r>
        <w:rPr>
          <w:rFonts w:hint="eastAsia" w:ascii="宋体" w:hAnsi="宋体" w:cs="宋体"/>
          <w:i w:val="0"/>
          <w:iCs w:val="0"/>
          <w:color w:val="auto"/>
          <w:kern w:val="0"/>
          <w:sz w:val="22"/>
          <w:szCs w:val="22"/>
          <w:highlight w:val="none"/>
        </w:rPr>
        <w:br w:type="textWrapping"/>
      </w:r>
    </w:p>
    <w:sectPr>
      <w:headerReference r:id="rId7" w:type="default"/>
      <w:footerReference r:id="rId8" w:type="default"/>
      <w:pgSz w:w="11906" w:h="16838"/>
      <w:pgMar w:top="1134" w:right="1134" w:bottom="1134" w:left="1134" w:header="794" w:footer="794" w:gutter="0"/>
      <w:pgBorders w:zOrder="back">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ang">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3D72">
    <w:pPr>
      <w:pBdr>
        <w:bottom w:val="single" w:color="auto" w:sz="4" w:space="0"/>
      </w:pBdr>
      <w:spacing w:before="24" w:beforeLines="10"/>
      <w:jc w:val="both"/>
      <w:rPr>
        <w:rFonts w:hint="eastAsia"/>
        <w:sz w:val="2"/>
        <w:szCs w:val="2"/>
        <w:lang w:val="en-US"/>
      </w:rPr>
    </w:pPr>
  </w:p>
  <w:p w14:paraId="21AF6DA5">
    <w:pPr>
      <w:pStyle w:val="14"/>
      <w:keepNext w:val="0"/>
      <w:keepLines w:val="0"/>
      <w:pageBreakBefore w:val="0"/>
      <w:widowControl w:val="0"/>
      <w:kinsoku/>
      <w:wordWrap/>
      <w:overflowPunct/>
      <w:topLinePunct w:val="0"/>
      <w:autoSpaceDE/>
      <w:autoSpaceDN/>
      <w:bidi w:val="0"/>
      <w:adjustRightInd/>
      <w:snapToGrid w:val="0"/>
      <w:spacing w:before="0" w:beforeLines="50"/>
      <w:textAlignment w:val="auto"/>
      <w:rPr>
        <w:rFonts w:hint="default"/>
        <w:lang w:val="en-US" w:eastAsia="zh-CN"/>
      </w:rPr>
    </w:pPr>
    <w:r>
      <w:rPr>
        <w:sz w:val="24"/>
        <w:szCs w:val="24"/>
      </w:rPr>
      <w:drawing>
        <wp:inline distT="0" distB="0" distL="114300" distR="114300">
          <wp:extent cx="1152525" cy="125730"/>
          <wp:effectExtent l="0" t="0" r="9525" b="762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290F">
    <w:pPr>
      <w:pStyle w:val="14"/>
      <w:framePr w:wrap="around" w:vAnchor="text" w:hAnchor="margin" w:xAlign="center" w:y="1"/>
      <w:rPr>
        <w:rStyle w:val="27"/>
      </w:rPr>
    </w:pPr>
    <w:r>
      <w:fldChar w:fldCharType="begin"/>
    </w:r>
    <w:r>
      <w:rPr>
        <w:rStyle w:val="27"/>
      </w:rPr>
      <w:instrText xml:space="preserve">PAGE  </w:instrText>
    </w:r>
    <w:r>
      <w:fldChar w:fldCharType="end"/>
    </w:r>
  </w:p>
  <w:p w14:paraId="0308D40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5C0B">
    <w:pPr>
      <w:pBdr>
        <w:bottom w:val="single" w:color="auto" w:sz="4" w:space="0"/>
      </w:pBdr>
      <w:spacing w:before="24" w:beforeLines="10"/>
      <w:jc w:val="both"/>
      <w:rPr>
        <w:rFonts w:hint="eastAsia"/>
        <w:sz w:val="2"/>
        <w:szCs w:val="2"/>
        <w:lang w:val="en-US"/>
      </w:rPr>
    </w:pPr>
  </w:p>
  <w:p w14:paraId="449CBDF6">
    <w:pPr>
      <w:pStyle w:val="14"/>
      <w:rPr>
        <w:rFonts w:hint="default"/>
        <w:lang w:val="en-US" w:eastAsia="zh-CN"/>
      </w:rPr>
    </w:pPr>
    <w:r>
      <w:rPr>
        <w:sz w:val="24"/>
        <w:szCs w:val="24"/>
      </w:rPr>
      <w:drawing>
        <wp:inline distT="0" distB="0" distL="114300" distR="114300">
          <wp:extent cx="1152525" cy="125730"/>
          <wp:effectExtent l="0" t="0" r="9525" b="762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AC27">
    <w:pPr>
      <w:pBdr>
        <w:bottom w:val="single" w:color="auto" w:sz="4" w:space="0"/>
      </w:pBdr>
      <w:spacing w:before="24" w:beforeLines="10"/>
      <w:jc w:val="both"/>
      <w:rPr>
        <w:rFonts w:hint="eastAsia"/>
        <w:sz w:val="2"/>
        <w:szCs w:val="2"/>
        <w:lang w:val="en-US"/>
      </w:rPr>
    </w:pPr>
  </w:p>
  <w:p w14:paraId="356008EE">
    <w:pPr>
      <w:pStyle w:val="14"/>
    </w:pPr>
    <w:r>
      <w:rPr>
        <w:sz w:val="24"/>
        <w:szCs w:val="24"/>
      </w:rPr>
      <w:drawing>
        <wp:inline distT="0" distB="0" distL="114300" distR="114300">
          <wp:extent cx="1152525" cy="125730"/>
          <wp:effectExtent l="0" t="0" r="9525" b="762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1152525" cy="12573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5B92">
    <w:pPr>
      <w:pBdr>
        <w:bottom w:val="single" w:color="auto" w:sz="4" w:space="0"/>
      </w:pBdr>
      <w:spacing w:before="24" w:beforeLines="10"/>
      <w:jc w:val="both"/>
      <w:rPr>
        <w:rFonts w:hint="eastAsia"/>
        <w:lang w:val="en-US"/>
      </w:rPr>
    </w:pPr>
    <w:r>
      <w:rPr>
        <w:rFonts w:hint="eastAsia" w:ascii="Times New Roman" w:hAnsi="Times New Roman" w:eastAsia="宋体" w:cs="Times New Roman"/>
        <w:sz w:val="21"/>
        <w:szCs w:val="22"/>
        <w:lang w:val="en-US" w:eastAsia="zh-CN" w:bidi="ar"/>
      </w:rPr>
      <w:t xml:space="preserve">         </w:t>
    </w:r>
    <w:r>
      <w:rPr>
        <w:rFonts w:hint="eastAsia" w:ascii="Times New Roman" w:hAnsi="Times New Roman" w:cs="Times New Roman"/>
        <w:sz w:val="21"/>
        <w:szCs w:val="22"/>
        <w:lang w:val="en-US" w:eastAsia="zh-CN" w:bidi="ar"/>
      </w:rPr>
      <w:t xml:space="preserve">       </w:t>
    </w:r>
    <w:r>
      <w:rPr>
        <w:rFonts w:hint="eastAsia" w:ascii="Times New Roman" w:hAnsi="Times New Roman" w:eastAsia="宋体" w:cs="Times New Roman"/>
        <w:sz w:val="21"/>
        <w:szCs w:val="22"/>
        <w:lang w:val="en-US" w:eastAsia="zh-CN" w:bidi="ar"/>
      </w:rPr>
      <w:t xml:space="preserve">   </w:t>
    </w:r>
    <w:r>
      <w:rPr>
        <w:rFonts w:hint="eastAsia" w:ascii="宋体" w:hAnsi="宋体" w:eastAsia="宋体" w:cs="宋体"/>
        <w:color w:val="auto"/>
        <w:sz w:val="20"/>
        <w:szCs w:val="22"/>
        <w:lang w:eastAsia="zh-CN"/>
      </w:rPr>
      <w:t>2025年建设项目环境影响评价技术评估项目</w:t>
    </w:r>
    <w:r>
      <w:rPr>
        <w:rFonts w:hint="eastAsia" w:ascii="宋体" w:hAnsi="宋体" w:eastAsia="宋体" w:cs="宋体"/>
        <w:color w:val="auto"/>
        <w:sz w:val="20"/>
        <w:szCs w:val="22"/>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49F1">
    <w:pPr>
      <w:pBdr>
        <w:bottom w:val="single" w:color="auto" w:sz="4" w:space="0"/>
      </w:pBdr>
      <w:spacing w:before="24" w:beforeLines="10"/>
      <w:jc w:val="left"/>
      <w:rPr>
        <w:rFonts w:hint="eastAsia" w:ascii="宋体" w:hAnsi="宋体" w:eastAsia="宋体" w:cs="宋体"/>
      </w:rPr>
    </w:pPr>
    <w:r>
      <w:rPr>
        <w:rFonts w:hint="eastAsia" w:ascii="Times New Roman" w:hAnsi="Times New Roman" w:eastAsia="宋体" w:cs="Times New Roman"/>
        <w:sz w:val="21"/>
        <w:szCs w:val="22"/>
        <w:lang w:val="en-US" w:eastAsia="zh-CN" w:bidi="ar"/>
      </w:rPr>
      <w:t xml:space="preserve">          </w:t>
    </w:r>
    <w:r>
      <w:rPr>
        <w:rFonts w:hint="eastAsia" w:ascii="Times New Roman" w:hAnsi="Times New Roman" w:cs="Times New Roman"/>
        <w:sz w:val="21"/>
        <w:szCs w:val="22"/>
        <w:lang w:val="en-US" w:eastAsia="zh-CN" w:bidi="ar"/>
      </w:rPr>
      <w:t xml:space="preserve">         </w:t>
    </w:r>
    <w:r>
      <w:rPr>
        <w:rFonts w:hint="eastAsia" w:ascii="宋体" w:hAnsi="宋体" w:eastAsia="宋体" w:cs="宋体"/>
        <w:sz w:val="20"/>
        <w:szCs w:val="22"/>
        <w:lang w:eastAsia="zh-CN"/>
      </w:rPr>
      <w:t>2025年建设项目环境影响评价技术评估项目</w:t>
    </w:r>
    <w:r>
      <w:rPr>
        <w:rFonts w:hint="eastAsia" w:ascii="宋体" w:hAnsi="宋体" w:eastAsia="宋体" w:cs="宋体"/>
        <w:sz w:val="20"/>
        <w:szCs w:val="22"/>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1">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2">
    <w:nsid w:val="272D4929"/>
    <w:multiLevelType w:val="singleLevel"/>
    <w:tmpl w:val="272D4929"/>
    <w:lvl w:ilvl="0" w:tentative="0">
      <w:start w:val="5"/>
      <w:numFmt w:val="chineseCounting"/>
      <w:suff w:val="nothing"/>
      <w:lvlText w:val="%1、"/>
      <w:lvlJc w:val="left"/>
      <w:rPr>
        <w:rFonts w:hint="eastAsia"/>
      </w:rPr>
    </w:lvl>
  </w:abstractNum>
  <w:abstractNum w:abstractNumId="3">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65316F3"/>
    <w:multiLevelType w:val="multilevel"/>
    <w:tmpl w:val="765316F3"/>
    <w:lvl w:ilvl="0" w:tentative="0">
      <w:start w:val="1"/>
      <w:numFmt w:val="chineseCountingThousand"/>
      <w:pStyle w:val="3"/>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4"/>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k0YjEyODI4MmU2NTFiMmNlN2ZjZTQ2M2RkOTkifQ=="/>
  </w:docVars>
  <w:rsids>
    <w:rsidRoot w:val="00172A27"/>
    <w:rsid w:val="000E3C3A"/>
    <w:rsid w:val="009561CD"/>
    <w:rsid w:val="00982C18"/>
    <w:rsid w:val="00B261DF"/>
    <w:rsid w:val="00B40FFC"/>
    <w:rsid w:val="00C152A3"/>
    <w:rsid w:val="00DC7E03"/>
    <w:rsid w:val="021859CA"/>
    <w:rsid w:val="034B6F45"/>
    <w:rsid w:val="039F53D9"/>
    <w:rsid w:val="03DC128F"/>
    <w:rsid w:val="04293179"/>
    <w:rsid w:val="0447238F"/>
    <w:rsid w:val="046525E3"/>
    <w:rsid w:val="04B50112"/>
    <w:rsid w:val="04E14FA5"/>
    <w:rsid w:val="050E7A42"/>
    <w:rsid w:val="05374D31"/>
    <w:rsid w:val="058368B9"/>
    <w:rsid w:val="0655344D"/>
    <w:rsid w:val="06C61D87"/>
    <w:rsid w:val="06E725B8"/>
    <w:rsid w:val="07087054"/>
    <w:rsid w:val="07136F54"/>
    <w:rsid w:val="075E313A"/>
    <w:rsid w:val="07AF4DEA"/>
    <w:rsid w:val="07BB1AF8"/>
    <w:rsid w:val="07FA7BFC"/>
    <w:rsid w:val="083C5BAA"/>
    <w:rsid w:val="089E4667"/>
    <w:rsid w:val="08AB0998"/>
    <w:rsid w:val="08F916AB"/>
    <w:rsid w:val="09FF40B7"/>
    <w:rsid w:val="0A4511BB"/>
    <w:rsid w:val="0A481820"/>
    <w:rsid w:val="0A8017D6"/>
    <w:rsid w:val="0B094FB3"/>
    <w:rsid w:val="0BAC3F4E"/>
    <w:rsid w:val="0BB01EE3"/>
    <w:rsid w:val="0BBC16CE"/>
    <w:rsid w:val="0BD601B2"/>
    <w:rsid w:val="0CF27B7A"/>
    <w:rsid w:val="0D1B387B"/>
    <w:rsid w:val="0D52226A"/>
    <w:rsid w:val="0D5B656C"/>
    <w:rsid w:val="0D7C74B9"/>
    <w:rsid w:val="0DAD6EE3"/>
    <w:rsid w:val="0ECF5777"/>
    <w:rsid w:val="0F0865BF"/>
    <w:rsid w:val="0F0E21D5"/>
    <w:rsid w:val="0F4D527A"/>
    <w:rsid w:val="0F623A78"/>
    <w:rsid w:val="0F6611A1"/>
    <w:rsid w:val="0F7F5A22"/>
    <w:rsid w:val="0F8347B8"/>
    <w:rsid w:val="0F892AFC"/>
    <w:rsid w:val="0FA35C35"/>
    <w:rsid w:val="0FCD0D3B"/>
    <w:rsid w:val="0FD7713F"/>
    <w:rsid w:val="0FFFD9E5"/>
    <w:rsid w:val="101660A3"/>
    <w:rsid w:val="10AE63D3"/>
    <w:rsid w:val="10DC4EDC"/>
    <w:rsid w:val="10DF64CC"/>
    <w:rsid w:val="12021424"/>
    <w:rsid w:val="1238629D"/>
    <w:rsid w:val="12724255"/>
    <w:rsid w:val="128A7BFE"/>
    <w:rsid w:val="12EF2F55"/>
    <w:rsid w:val="133D5234"/>
    <w:rsid w:val="13675A6C"/>
    <w:rsid w:val="13746362"/>
    <w:rsid w:val="13D46336"/>
    <w:rsid w:val="14584EBE"/>
    <w:rsid w:val="14C27361"/>
    <w:rsid w:val="15054F9B"/>
    <w:rsid w:val="1551661C"/>
    <w:rsid w:val="15971EAA"/>
    <w:rsid w:val="15BE5711"/>
    <w:rsid w:val="161F225D"/>
    <w:rsid w:val="166242C9"/>
    <w:rsid w:val="16984C85"/>
    <w:rsid w:val="16CA31BB"/>
    <w:rsid w:val="178928FF"/>
    <w:rsid w:val="17947B6C"/>
    <w:rsid w:val="17B54008"/>
    <w:rsid w:val="17F51B0A"/>
    <w:rsid w:val="17F55537"/>
    <w:rsid w:val="1899402E"/>
    <w:rsid w:val="19924EC5"/>
    <w:rsid w:val="19972D2D"/>
    <w:rsid w:val="19D84294"/>
    <w:rsid w:val="19F91EC3"/>
    <w:rsid w:val="1A2E524E"/>
    <w:rsid w:val="1A653E94"/>
    <w:rsid w:val="1A7F226D"/>
    <w:rsid w:val="1A813D33"/>
    <w:rsid w:val="1B794E26"/>
    <w:rsid w:val="1BAE2757"/>
    <w:rsid w:val="1C716618"/>
    <w:rsid w:val="1C965A39"/>
    <w:rsid w:val="1CEC449F"/>
    <w:rsid w:val="1CF20C22"/>
    <w:rsid w:val="1DE5461A"/>
    <w:rsid w:val="1E012691"/>
    <w:rsid w:val="1E026010"/>
    <w:rsid w:val="1E5C3BA8"/>
    <w:rsid w:val="1E636935"/>
    <w:rsid w:val="1E7B090C"/>
    <w:rsid w:val="1E927DC3"/>
    <w:rsid w:val="1EAC78EB"/>
    <w:rsid w:val="1EC90A11"/>
    <w:rsid w:val="1F2E4D8B"/>
    <w:rsid w:val="20020E1C"/>
    <w:rsid w:val="20136B65"/>
    <w:rsid w:val="201B2617"/>
    <w:rsid w:val="20B35E4D"/>
    <w:rsid w:val="20C563D0"/>
    <w:rsid w:val="21CE280F"/>
    <w:rsid w:val="21F84296"/>
    <w:rsid w:val="2223595C"/>
    <w:rsid w:val="22E93A8B"/>
    <w:rsid w:val="23856AE5"/>
    <w:rsid w:val="238D3293"/>
    <w:rsid w:val="23BF18A2"/>
    <w:rsid w:val="23DB3E1C"/>
    <w:rsid w:val="24422B08"/>
    <w:rsid w:val="24601F27"/>
    <w:rsid w:val="246D3414"/>
    <w:rsid w:val="24A6745A"/>
    <w:rsid w:val="24B47998"/>
    <w:rsid w:val="24D14B1D"/>
    <w:rsid w:val="24D3401A"/>
    <w:rsid w:val="24E42CC3"/>
    <w:rsid w:val="24F471DA"/>
    <w:rsid w:val="256D7EC8"/>
    <w:rsid w:val="25783B09"/>
    <w:rsid w:val="26094B48"/>
    <w:rsid w:val="26C84813"/>
    <w:rsid w:val="27070CA1"/>
    <w:rsid w:val="27145D36"/>
    <w:rsid w:val="271F0F09"/>
    <w:rsid w:val="274E68CF"/>
    <w:rsid w:val="281445B1"/>
    <w:rsid w:val="284B35A2"/>
    <w:rsid w:val="28CD1A76"/>
    <w:rsid w:val="28E32D7E"/>
    <w:rsid w:val="28E35C0A"/>
    <w:rsid w:val="28E43FD9"/>
    <w:rsid w:val="29021EFC"/>
    <w:rsid w:val="29305074"/>
    <w:rsid w:val="294017AD"/>
    <w:rsid w:val="2A6A0C40"/>
    <w:rsid w:val="2A796DED"/>
    <w:rsid w:val="2B0D6FF4"/>
    <w:rsid w:val="2B2C6DA1"/>
    <w:rsid w:val="2B342280"/>
    <w:rsid w:val="2BC2788C"/>
    <w:rsid w:val="2C9B424D"/>
    <w:rsid w:val="2D0842EC"/>
    <w:rsid w:val="2DD75F3B"/>
    <w:rsid w:val="2E131F13"/>
    <w:rsid w:val="2EA051F4"/>
    <w:rsid w:val="2EDA116B"/>
    <w:rsid w:val="2EED3C40"/>
    <w:rsid w:val="2F3C6811"/>
    <w:rsid w:val="311A3F60"/>
    <w:rsid w:val="31300A69"/>
    <w:rsid w:val="31761D23"/>
    <w:rsid w:val="319317D8"/>
    <w:rsid w:val="319C2399"/>
    <w:rsid w:val="32110C25"/>
    <w:rsid w:val="326723C9"/>
    <w:rsid w:val="32E461DF"/>
    <w:rsid w:val="32EB3B6C"/>
    <w:rsid w:val="33D85935"/>
    <w:rsid w:val="33EB43B1"/>
    <w:rsid w:val="33F80268"/>
    <w:rsid w:val="34610F2B"/>
    <w:rsid w:val="346D7945"/>
    <w:rsid w:val="34AE2BA6"/>
    <w:rsid w:val="34D820BC"/>
    <w:rsid w:val="34FD107E"/>
    <w:rsid w:val="35161C98"/>
    <w:rsid w:val="364A6DFC"/>
    <w:rsid w:val="36C90C98"/>
    <w:rsid w:val="36CD6D52"/>
    <w:rsid w:val="37114E56"/>
    <w:rsid w:val="37152F66"/>
    <w:rsid w:val="377A05B4"/>
    <w:rsid w:val="37F614CD"/>
    <w:rsid w:val="380F3E59"/>
    <w:rsid w:val="388B682F"/>
    <w:rsid w:val="38A144CB"/>
    <w:rsid w:val="393E624D"/>
    <w:rsid w:val="39782086"/>
    <w:rsid w:val="39EF2D3F"/>
    <w:rsid w:val="3AA73F41"/>
    <w:rsid w:val="3B0E2C31"/>
    <w:rsid w:val="3B1B48C3"/>
    <w:rsid w:val="3B2F56F7"/>
    <w:rsid w:val="3BDB4052"/>
    <w:rsid w:val="3BF13DBB"/>
    <w:rsid w:val="3CA77AD9"/>
    <w:rsid w:val="3E07344C"/>
    <w:rsid w:val="3E3A1D6B"/>
    <w:rsid w:val="3E744AE0"/>
    <w:rsid w:val="3EF203D3"/>
    <w:rsid w:val="3F3B4045"/>
    <w:rsid w:val="40302BBE"/>
    <w:rsid w:val="407A6D31"/>
    <w:rsid w:val="410E533E"/>
    <w:rsid w:val="418B439F"/>
    <w:rsid w:val="41FB828E"/>
    <w:rsid w:val="420367D0"/>
    <w:rsid w:val="423430E3"/>
    <w:rsid w:val="42DE7BFD"/>
    <w:rsid w:val="42E85BD7"/>
    <w:rsid w:val="431A65CE"/>
    <w:rsid w:val="438450E4"/>
    <w:rsid w:val="43DE6E79"/>
    <w:rsid w:val="44296F6C"/>
    <w:rsid w:val="44435A79"/>
    <w:rsid w:val="44795BA3"/>
    <w:rsid w:val="45EC21CF"/>
    <w:rsid w:val="45EF5010"/>
    <w:rsid w:val="464C1448"/>
    <w:rsid w:val="478832E0"/>
    <w:rsid w:val="4863780A"/>
    <w:rsid w:val="48DB1B1D"/>
    <w:rsid w:val="48E760FA"/>
    <w:rsid w:val="494D2C73"/>
    <w:rsid w:val="49EA1876"/>
    <w:rsid w:val="4A9D2A5F"/>
    <w:rsid w:val="4AB967D3"/>
    <w:rsid w:val="4AE625DA"/>
    <w:rsid w:val="4B2F4A2C"/>
    <w:rsid w:val="4BE17A4B"/>
    <w:rsid w:val="4C394C32"/>
    <w:rsid w:val="4CAB5192"/>
    <w:rsid w:val="4CE0234D"/>
    <w:rsid w:val="4D0B39EB"/>
    <w:rsid w:val="4D7730CE"/>
    <w:rsid w:val="4DA558C9"/>
    <w:rsid w:val="4DD212AB"/>
    <w:rsid w:val="4E284D90"/>
    <w:rsid w:val="4ED843C0"/>
    <w:rsid w:val="4FF44135"/>
    <w:rsid w:val="50964BE1"/>
    <w:rsid w:val="51A745E9"/>
    <w:rsid w:val="51CF256A"/>
    <w:rsid w:val="52345356"/>
    <w:rsid w:val="52F72A1E"/>
    <w:rsid w:val="53702486"/>
    <w:rsid w:val="538C24DB"/>
    <w:rsid w:val="543A0030"/>
    <w:rsid w:val="55AF7001"/>
    <w:rsid w:val="55F62E55"/>
    <w:rsid w:val="56301CA4"/>
    <w:rsid w:val="56372BEA"/>
    <w:rsid w:val="56993CBC"/>
    <w:rsid w:val="56BA2896"/>
    <w:rsid w:val="5707385F"/>
    <w:rsid w:val="57A4664F"/>
    <w:rsid w:val="57E52069"/>
    <w:rsid w:val="57F653E1"/>
    <w:rsid w:val="583E7210"/>
    <w:rsid w:val="587E08A4"/>
    <w:rsid w:val="58F13DA6"/>
    <w:rsid w:val="59432883"/>
    <w:rsid w:val="59E67E35"/>
    <w:rsid w:val="59E97ABD"/>
    <w:rsid w:val="5A5A722B"/>
    <w:rsid w:val="5A5D23AA"/>
    <w:rsid w:val="5A5E603B"/>
    <w:rsid w:val="5A853D5C"/>
    <w:rsid w:val="5A8D6159"/>
    <w:rsid w:val="5A960A6F"/>
    <w:rsid w:val="5AA630C5"/>
    <w:rsid w:val="5AE554CA"/>
    <w:rsid w:val="5B15431B"/>
    <w:rsid w:val="5B6713F9"/>
    <w:rsid w:val="5BBB1DA7"/>
    <w:rsid w:val="5BD72611"/>
    <w:rsid w:val="5C025C15"/>
    <w:rsid w:val="5C394202"/>
    <w:rsid w:val="5C3B17E6"/>
    <w:rsid w:val="5C464802"/>
    <w:rsid w:val="5CB564CD"/>
    <w:rsid w:val="5D0B07E3"/>
    <w:rsid w:val="5DCC6531"/>
    <w:rsid w:val="5E311563"/>
    <w:rsid w:val="5E8A398A"/>
    <w:rsid w:val="5EB273E9"/>
    <w:rsid w:val="5EEB7DAF"/>
    <w:rsid w:val="5F36047A"/>
    <w:rsid w:val="5F5F1359"/>
    <w:rsid w:val="5F925E43"/>
    <w:rsid w:val="5F951CED"/>
    <w:rsid w:val="60025ECE"/>
    <w:rsid w:val="603D1A42"/>
    <w:rsid w:val="608C5500"/>
    <w:rsid w:val="60EA0B9E"/>
    <w:rsid w:val="60FC49E6"/>
    <w:rsid w:val="612A651B"/>
    <w:rsid w:val="61363BD9"/>
    <w:rsid w:val="621F1A8A"/>
    <w:rsid w:val="624A693F"/>
    <w:rsid w:val="632E7338"/>
    <w:rsid w:val="638B693E"/>
    <w:rsid w:val="63A94DAB"/>
    <w:rsid w:val="650D4260"/>
    <w:rsid w:val="669E7DFC"/>
    <w:rsid w:val="66B669C0"/>
    <w:rsid w:val="67193AFD"/>
    <w:rsid w:val="672D7FEF"/>
    <w:rsid w:val="676B4401"/>
    <w:rsid w:val="67B87265"/>
    <w:rsid w:val="67D87EA2"/>
    <w:rsid w:val="687C38D6"/>
    <w:rsid w:val="689E33B9"/>
    <w:rsid w:val="68AF22DC"/>
    <w:rsid w:val="69DB27E1"/>
    <w:rsid w:val="6A5F6E3B"/>
    <w:rsid w:val="6A8854C3"/>
    <w:rsid w:val="6B0F143C"/>
    <w:rsid w:val="6B8F6BC3"/>
    <w:rsid w:val="6B91613A"/>
    <w:rsid w:val="6BEA3CBA"/>
    <w:rsid w:val="6BF87B65"/>
    <w:rsid w:val="6C1E5B9B"/>
    <w:rsid w:val="6C222F81"/>
    <w:rsid w:val="6C8D4C7B"/>
    <w:rsid w:val="6CDD3BFA"/>
    <w:rsid w:val="6D3117A3"/>
    <w:rsid w:val="6D91799F"/>
    <w:rsid w:val="6DF350A8"/>
    <w:rsid w:val="6E731EBF"/>
    <w:rsid w:val="6E753571"/>
    <w:rsid w:val="6E7C2336"/>
    <w:rsid w:val="6E815015"/>
    <w:rsid w:val="6F683FF5"/>
    <w:rsid w:val="6FAB0ABE"/>
    <w:rsid w:val="6FAC02B2"/>
    <w:rsid w:val="7033127C"/>
    <w:rsid w:val="706E7218"/>
    <w:rsid w:val="70F4000E"/>
    <w:rsid w:val="716D26D9"/>
    <w:rsid w:val="71BF45AE"/>
    <w:rsid w:val="720115AB"/>
    <w:rsid w:val="727108D0"/>
    <w:rsid w:val="72894548"/>
    <w:rsid w:val="728D2D95"/>
    <w:rsid w:val="72990E32"/>
    <w:rsid w:val="72D64091"/>
    <w:rsid w:val="73197269"/>
    <w:rsid w:val="73410663"/>
    <w:rsid w:val="73616A57"/>
    <w:rsid w:val="73AE009E"/>
    <w:rsid w:val="73DE4104"/>
    <w:rsid w:val="74254B78"/>
    <w:rsid w:val="742B63F1"/>
    <w:rsid w:val="7488616A"/>
    <w:rsid w:val="74890E95"/>
    <w:rsid w:val="74914CAE"/>
    <w:rsid w:val="755C6FBF"/>
    <w:rsid w:val="758071C0"/>
    <w:rsid w:val="763868EC"/>
    <w:rsid w:val="76962A74"/>
    <w:rsid w:val="76FC3965"/>
    <w:rsid w:val="76FF2D0F"/>
    <w:rsid w:val="7769145F"/>
    <w:rsid w:val="78152360"/>
    <w:rsid w:val="78EA2C9F"/>
    <w:rsid w:val="79086474"/>
    <w:rsid w:val="79FF2949"/>
    <w:rsid w:val="7A4255C1"/>
    <w:rsid w:val="7A94326A"/>
    <w:rsid w:val="7B1237B7"/>
    <w:rsid w:val="7B2576B3"/>
    <w:rsid w:val="7BDB1AE1"/>
    <w:rsid w:val="7BE569D2"/>
    <w:rsid w:val="7BEE5135"/>
    <w:rsid w:val="7C26686F"/>
    <w:rsid w:val="7C3A1515"/>
    <w:rsid w:val="7D100C84"/>
    <w:rsid w:val="7D9836B6"/>
    <w:rsid w:val="7DF744BD"/>
    <w:rsid w:val="7E5B5A8F"/>
    <w:rsid w:val="7E700FC1"/>
    <w:rsid w:val="7EA21C13"/>
    <w:rsid w:val="7F875650"/>
    <w:rsid w:val="7FBC2CE2"/>
    <w:rsid w:val="7FBFA58E"/>
    <w:rsid w:val="7FD85EAB"/>
    <w:rsid w:val="9FA71588"/>
    <w:rsid w:val="D7FFF55C"/>
    <w:rsid w:val="DCBFA228"/>
    <w:rsid w:val="ED99ABC9"/>
    <w:rsid w:val="F5ED65D2"/>
    <w:rsid w:val="FDA7F465"/>
    <w:rsid w:val="FDB3F5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3">
    <w:name w:val="heading 2"/>
    <w:basedOn w:val="1"/>
    <w:next w:val="1"/>
    <w:link w:val="32"/>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4">
    <w:name w:val="heading 3"/>
    <w:basedOn w:val="1"/>
    <w:next w:val="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widowControl/>
      <w:tabs>
        <w:tab w:val="left" w:pos="390"/>
        <w:tab w:val="left" w:pos="454"/>
      </w:tabs>
      <w:spacing w:after="156" w:afterLines="50"/>
      <w:ind w:left="454" w:hanging="284"/>
      <w:jc w:val="left"/>
    </w:pPr>
    <w:rPr>
      <w:rFonts w:ascii="Calibri" w:hAnsi="Calibri"/>
      <w:kern w:val="0"/>
      <w:sz w:val="24"/>
      <w:szCs w:val="20"/>
    </w:rPr>
  </w:style>
  <w:style w:type="paragraph" w:styleId="6">
    <w:name w:val="Normal Indent"/>
    <w:basedOn w:val="1"/>
    <w:next w:val="7"/>
    <w:qFormat/>
    <w:uiPriority w:val="99"/>
    <w:pPr>
      <w:ind w:firstLine="420"/>
    </w:pPr>
    <w:rPr>
      <w:szCs w:val="20"/>
    </w:rPr>
  </w:style>
  <w:style w:type="paragraph" w:styleId="7">
    <w:name w:val="Body Text Indent"/>
    <w:basedOn w:val="1"/>
    <w:next w:val="1"/>
    <w:qFormat/>
    <w:uiPriority w:val="0"/>
    <w:pPr>
      <w:spacing w:line="480" w:lineRule="atLeast"/>
      <w:ind w:firstLine="570"/>
    </w:pPr>
    <w:rPr>
      <w:rFonts w:ascii="??" w:hAnsi="??" w:eastAsia="??"/>
      <w:sz w:val="28"/>
      <w:szCs w:val="28"/>
    </w:rPr>
  </w:style>
  <w:style w:type="paragraph" w:styleId="8">
    <w:name w:val="annotation text"/>
    <w:basedOn w:val="1"/>
    <w:link w:val="33"/>
    <w:unhideWhenUsed/>
    <w:qFormat/>
    <w:uiPriority w:val="99"/>
    <w:pPr>
      <w:jc w:val="left"/>
    </w:pPr>
  </w:style>
  <w:style w:type="paragraph" w:styleId="9">
    <w:name w:val="Body Text"/>
    <w:basedOn w:val="1"/>
    <w:next w:val="10"/>
    <w:qFormat/>
    <w:uiPriority w:val="0"/>
    <w:pPr>
      <w:spacing w:after="120" w:afterLines="0" w:afterAutospacing="0"/>
    </w:pPr>
  </w:style>
  <w:style w:type="paragraph" w:styleId="10">
    <w:name w:val="Body Text First Indent"/>
    <w:basedOn w:val="9"/>
    <w:next w:val="1"/>
    <w:qFormat/>
    <w:uiPriority w:val="0"/>
    <w:pPr>
      <w:autoSpaceDE w:val="0"/>
      <w:autoSpaceDN w:val="0"/>
      <w:adjustRightInd w:val="0"/>
      <w:ind w:firstLine="420" w:firstLineChars="100"/>
      <w:textAlignment w:val="baseline"/>
    </w:pPr>
    <w:rPr>
      <w:sz w:val="24"/>
      <w:szCs w:val="20"/>
    </w:rPr>
  </w:style>
  <w:style w:type="paragraph" w:styleId="11">
    <w:name w:val="Plain Text"/>
    <w:basedOn w:val="1"/>
    <w:next w:val="12"/>
    <w:qFormat/>
    <w:uiPriority w:val="0"/>
    <w:rPr>
      <w:rFonts w:ascii="??" w:hAnsi="??" w:eastAsia="??"/>
      <w:szCs w:val="21"/>
    </w:rPr>
  </w:style>
  <w:style w:type="paragraph" w:styleId="12">
    <w:name w:val="Date"/>
    <w:basedOn w:val="1"/>
    <w:next w:val="1"/>
    <w:qFormat/>
    <w:uiPriority w:val="0"/>
    <w:pPr>
      <w:ind w:leftChars="2500"/>
    </w:pPr>
    <w:rPr>
      <w:rFonts w:hint="eastAsia" w:ascii="宋体" w:hAnsi="宋体"/>
      <w:snapToGrid/>
      <w:kern w:val="2"/>
      <w:sz w:val="24"/>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6">
    <w:name w:val="Body Text Indent 3"/>
    <w:basedOn w:val="1"/>
    <w:qFormat/>
    <w:uiPriority w:val="0"/>
    <w:pPr>
      <w:ind w:firstLine="420"/>
    </w:pPr>
    <w:rPr>
      <w:sz w:val="24"/>
    </w:rPr>
  </w:style>
  <w:style w:type="paragraph" w:styleId="17">
    <w:name w:val="table of figures"/>
    <w:basedOn w:val="1"/>
    <w:next w:val="1"/>
    <w:qFormat/>
    <w:uiPriority w:val="0"/>
    <w:pPr>
      <w:ind w:left="560" w:hanging="560"/>
      <w:jc w:val="left"/>
    </w:pPr>
    <w:rPr>
      <w:smallCaps/>
      <w:sz w:val="20"/>
    </w:rPr>
  </w:style>
  <w:style w:type="paragraph" w:styleId="18">
    <w:name w:val="toc 2"/>
    <w:basedOn w:val="1"/>
    <w:next w:val="1"/>
    <w:qFormat/>
    <w:uiPriority w:val="0"/>
    <w:pPr>
      <w:ind w:left="420" w:leftChars="200"/>
    </w:pPr>
  </w:style>
  <w:style w:type="paragraph" w:styleId="19">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2">
    <w:name w:val="annotation subject"/>
    <w:basedOn w:val="8"/>
    <w:next w:val="8"/>
    <w:link w:val="35"/>
    <w:qFormat/>
    <w:uiPriority w:val="0"/>
    <w:rPr>
      <w:b/>
      <w:bCs/>
    </w:rPr>
  </w:style>
  <w:style w:type="paragraph" w:styleId="23">
    <w:name w:val="Body Text First Indent 2"/>
    <w:basedOn w:val="9"/>
    <w:next w:val="1"/>
    <w:qFormat/>
    <w:uiPriority w:val="99"/>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paragraph" w:customStyle="1" w:styleId="30">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2 字符"/>
    <w:link w:val="3"/>
    <w:qFormat/>
    <w:uiPriority w:val="0"/>
    <w:rPr>
      <w:rFonts w:ascii="Arial" w:hAnsi="Arial" w:eastAsia="??" w:cs="Arial"/>
      <w:b/>
      <w:bCs/>
      <w:szCs w:val="32"/>
    </w:rPr>
  </w:style>
  <w:style w:type="character" w:customStyle="1" w:styleId="33">
    <w:name w:val="批注文字 Char"/>
    <w:link w:val="8"/>
    <w:qFormat/>
    <w:uiPriority w:val="99"/>
    <w:rPr>
      <w:rFonts w:ascii="等线" w:hAnsi="等线"/>
      <w:kern w:val="2"/>
      <w:sz w:val="21"/>
      <w:szCs w:val="24"/>
    </w:rPr>
  </w:style>
  <w:style w:type="character" w:customStyle="1" w:styleId="34">
    <w:name w:val="批注框文本 Char"/>
    <w:link w:val="13"/>
    <w:qFormat/>
    <w:uiPriority w:val="0"/>
    <w:rPr>
      <w:rFonts w:ascii="等线" w:hAnsi="等线"/>
      <w:kern w:val="2"/>
      <w:sz w:val="18"/>
      <w:szCs w:val="18"/>
    </w:rPr>
  </w:style>
  <w:style w:type="character" w:customStyle="1" w:styleId="35">
    <w:name w:val="批注主题 Char"/>
    <w:link w:val="22"/>
    <w:qFormat/>
    <w:uiPriority w:val="0"/>
    <w:rPr>
      <w:rFonts w:ascii="等线" w:hAnsi="等线"/>
      <w:b/>
      <w:bCs/>
      <w:kern w:val="2"/>
      <w:sz w:val="21"/>
      <w:szCs w:val="24"/>
    </w:rPr>
  </w:style>
  <w:style w:type="paragraph" w:customStyle="1" w:styleId="3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37">
    <w:name w:val="表格文字"/>
    <w:basedOn w:val="1"/>
    <w:next w:val="9"/>
    <w:qFormat/>
    <w:uiPriority w:val="0"/>
    <w:rPr>
      <w:sz w:val="18"/>
    </w:rPr>
  </w:style>
  <w:style w:type="paragraph" w:customStyle="1" w:styleId="38">
    <w:name w:val="文章正文"/>
    <w:basedOn w:val="1"/>
    <w:qFormat/>
    <w:uiPriority w:val="0"/>
    <w:pPr>
      <w:spacing w:line="360" w:lineRule="auto"/>
      <w:ind w:firstLine="200" w:firstLineChars="200"/>
    </w:pPr>
    <w:rPr>
      <w:rFonts w:ascii="Calibri" w:hAnsi="Calibri" w:cs="Times New Roman"/>
      <w:snapToGrid/>
      <w:sz w:val="24"/>
      <w:szCs w:val="24"/>
    </w:rPr>
  </w:style>
  <w:style w:type="character" w:customStyle="1" w:styleId="39">
    <w:name w:val="正文2 Char Char"/>
    <w:link w:val="40"/>
    <w:qFormat/>
    <w:uiPriority w:val="0"/>
    <w:rPr>
      <w:rFonts w:ascii="Calibri" w:hAnsi="Calibri" w:eastAsia="??"/>
      <w:kern w:val="2"/>
      <w:sz w:val="24"/>
      <w:szCs w:val="28"/>
    </w:rPr>
  </w:style>
  <w:style w:type="paragraph" w:customStyle="1" w:styleId="40">
    <w:name w:val="正文2"/>
    <w:basedOn w:val="1"/>
    <w:link w:val="39"/>
    <w:qFormat/>
    <w:uiPriority w:val="0"/>
    <w:pPr>
      <w:spacing w:before="156" w:line="360" w:lineRule="auto"/>
      <w:ind w:firstLine="200" w:firstLineChars="200"/>
    </w:pPr>
    <w:rPr>
      <w:rFonts w:ascii="Calibri" w:hAnsi="Calibri" w:eastAsia="??"/>
      <w:sz w:val="24"/>
      <w:szCs w:val="28"/>
    </w:rPr>
  </w:style>
  <w:style w:type="paragraph" w:customStyle="1" w:styleId="41">
    <w:name w:val="无间隔1"/>
    <w:qFormat/>
    <w:uiPriority w:val="0"/>
    <w:rPr>
      <w:rFonts w:ascii="Times New Roman" w:hAnsi="Times New Roman" w:eastAsia="宋体" w:cs="Times New Roman"/>
      <w:sz w:val="22"/>
      <w:szCs w:val="22"/>
      <w:lang w:val="en-US" w:eastAsia="en-US" w:bidi="ar-SA"/>
    </w:rPr>
  </w:style>
  <w:style w:type="paragraph" w:customStyle="1" w:styleId="42">
    <w:name w:val="样式2"/>
    <w:basedOn w:val="17"/>
    <w:qFormat/>
    <w:uiPriority w:val="0"/>
    <w:pPr>
      <w:ind w:left="200" w:leftChars="200" w:hanging="200" w:hangingChars="200"/>
      <w:jc w:val="both"/>
    </w:pPr>
    <w:rPr>
      <w:rFonts w:ascii="Times New Roman" w:hAnsi="Times New Roman"/>
      <w:smallCaps w:val="0"/>
      <w:sz w:val="21"/>
    </w:rPr>
  </w:style>
  <w:style w:type="paragraph" w:customStyle="1" w:styleId="43">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45">
    <w:name w:val="List Paragraph"/>
    <w:basedOn w:val="1"/>
    <w:qFormat/>
    <w:uiPriority w:val="0"/>
    <w:pPr>
      <w:ind w:firstLine="420" w:firstLineChars="200"/>
    </w:pPr>
    <w:rPr>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Normal Indent1"/>
    <w:basedOn w:val="1"/>
    <w:qFormat/>
    <w:uiPriority w:val="0"/>
    <w:pPr>
      <w:ind w:firstLine="420" w:firstLineChars="200"/>
    </w:pPr>
  </w:style>
  <w:style w:type="paragraph" w:customStyle="1" w:styleId="49">
    <w:name w:val="Normal_9"/>
    <w:qFormat/>
    <w:uiPriority w:val="0"/>
    <w:rPr>
      <w:rFonts w:ascii="Times New Roman" w:hAnsi="Times New Roman" w:eastAsia="Times New Roman" w:cs="Times New Roman"/>
      <w:sz w:val="24"/>
      <w:szCs w:val="24"/>
      <w:lang w:val="en-US" w:eastAsia="zh-CN" w:bidi="ar-SA"/>
    </w:rPr>
  </w:style>
  <w:style w:type="paragraph" w:customStyle="1" w:styleId="50">
    <w:name w:val="_Style 49"/>
    <w:unhideWhenUsed/>
    <w:qFormat/>
    <w:uiPriority w:val="99"/>
    <w:rPr>
      <w:rFonts w:ascii="等线" w:hAnsi="等线" w:eastAsia="宋体" w:cs="Times New Roman"/>
      <w:kern w:val="2"/>
      <w:sz w:val="21"/>
      <w:szCs w:val="24"/>
      <w:lang w:val="en-US" w:eastAsia="zh-CN" w:bidi="ar-SA"/>
    </w:rPr>
  </w:style>
  <w:style w:type="paragraph" w:customStyle="1" w:styleId="51">
    <w:name w:val="No Spacing"/>
    <w:qFormat/>
    <w:uiPriority w:val="0"/>
    <w:rPr>
      <w:rFonts w:ascii="Calibri" w:hAnsi="Calibri" w:eastAsia="??" w:cs="宋体"/>
      <w:sz w:val="22"/>
      <w:szCs w:val="22"/>
      <w:lang w:val="en-US" w:eastAsia="en-US" w:bidi="ar-SA"/>
    </w:rPr>
  </w:style>
  <w:style w:type="paragraph" w:customStyle="1" w:styleId="52">
    <w:name w:val="正文_1_0"/>
    <w:qFormat/>
    <w:uiPriority w:val="1"/>
    <w:pPr>
      <w:jc w:val="both"/>
    </w:pPr>
    <w:rPr>
      <w:rFonts w:ascii="Calibri" w:hAnsi="Calibri" w:eastAsia="宋体" w:cs="Times New Roman"/>
      <w:sz w:val="21"/>
      <w:szCs w:val="21"/>
      <w:lang w:val="en-US" w:eastAsia="zh-CN" w:bidi="ar-SA"/>
    </w:rPr>
  </w:style>
  <w:style w:type="paragraph" w:customStyle="1" w:styleId="53">
    <w:name w:val="_Style 8"/>
    <w:basedOn w:val="1"/>
    <w:next w:val="1"/>
    <w:qFormat/>
    <w:uiPriority w:val="0"/>
    <w:pPr>
      <w:pBdr>
        <w:top w:val="single" w:color="auto" w:sz="6" w:space="1"/>
      </w:pBdr>
      <w:jc w:val="center"/>
    </w:pPr>
    <w:rPr>
      <w:rFonts w:ascii="Arial" w:eastAsia="宋体"/>
      <w:vanish/>
      <w:sz w:val="16"/>
    </w:rPr>
  </w:style>
  <w:style w:type="paragraph" w:customStyle="1" w:styleId="54">
    <w:name w:val="Table Paragraph"/>
    <w:basedOn w:val="1"/>
    <w:qFormat/>
    <w:uiPriority w:val="1"/>
    <w:rPr>
      <w:rFonts w:ascii="宋体" w:hAnsi="宋体" w:eastAsia="宋体" w:cs="宋体"/>
      <w:lang w:val="zh-CN" w:eastAsia="zh-CN" w:bidi="zh-CN"/>
    </w:rPr>
  </w:style>
  <w:style w:type="paragraph" w:customStyle="1" w:styleId="55">
    <w:name w:val="_Style 7"/>
    <w:basedOn w:val="1"/>
    <w:next w:val="1"/>
    <w:qFormat/>
    <w:uiPriority w:val="0"/>
    <w:pPr>
      <w:pBdr>
        <w:bottom w:val="single" w:color="auto" w:sz="6" w:space="1"/>
      </w:pBdr>
      <w:jc w:val="center"/>
    </w:pPr>
    <w:rPr>
      <w:rFonts w:ascii="Arial" w:eastAsia="宋体"/>
      <w:vanish/>
      <w:sz w:val="16"/>
    </w:rPr>
  </w:style>
  <w:style w:type="paragraph" w:customStyle="1" w:styleId="56">
    <w:name w:val="纯文本2"/>
    <w:basedOn w:val="1"/>
    <w:qFormat/>
    <w:uiPriority w:val="0"/>
    <w:pPr>
      <w:adjustRightInd w:val="0"/>
      <w:textAlignment w:val="baseline"/>
    </w:pPr>
    <w:rPr>
      <w:rFonts w:ascii="宋体" w:hAnsi="Courier New" w:eastAsia="楷体_GB2312"/>
      <w:sz w:val="28"/>
      <w:szCs w:val="20"/>
    </w:rPr>
  </w:style>
  <w:style w:type="paragraph" w:customStyle="1" w:styleId="57">
    <w:name w:val="[Normal]"/>
    <w:qFormat/>
    <w:uiPriority w:val="0"/>
    <w:rPr>
      <w:rFonts w:ascii="宋体" w:hAnsi="宋体" w:eastAsia="宋体" w:cs="Times New Roman"/>
      <w:sz w:val="24"/>
      <w:szCs w:val="22"/>
      <w:lang w:val="zh-CN" w:eastAsia="zh-CN" w:bidi="ar-SA"/>
    </w:rPr>
  </w:style>
  <w:style w:type="character" w:customStyle="1" w:styleId="58">
    <w:name w:val="标题 1 Char Char"/>
    <w:basedOn w:val="26"/>
    <w:qFormat/>
    <w:uiPriority w:val="0"/>
    <w:rPr>
      <w:rFonts w:eastAsia="宋体"/>
      <w:bCs/>
      <w:spacing w:val="-2"/>
      <w:sz w:val="24"/>
      <w:szCs w:val="24"/>
      <w:lang w:val="en-US" w:eastAsia="zh-CN"/>
    </w:rPr>
  </w:style>
  <w:style w:type="paragraph" w:customStyle="1" w:styleId="59">
    <w:name w:val="Fließtext"/>
    <w:basedOn w:val="1"/>
    <w:qFormat/>
    <w:uiPriority w:val="0"/>
    <w:pPr>
      <w:overflowPunct w:val="0"/>
      <w:autoSpaceDE w:val="0"/>
      <w:autoSpaceDN w:val="0"/>
      <w:adjustRightInd w:val="0"/>
      <w:textAlignment w:val="baseline"/>
    </w:pPr>
    <w:rPr>
      <w:kern w:val="28"/>
      <w:szCs w:val="20"/>
    </w:rPr>
  </w:style>
  <w:style w:type="paragraph" w:customStyle="1" w:styleId="60">
    <w:name w:val="Intense Quote"/>
    <w:basedOn w:val="1"/>
    <w:next w:val="1"/>
    <w:qFormat/>
    <w:uiPriority w:val="0"/>
    <w:pPr>
      <w:pBdr>
        <w:top w:val="single" w:color="4F81BD" w:sz="4" w:space="10"/>
        <w:bottom w:val="single" w:color="4F81BD" w:sz="4" w:space="10"/>
      </w:pBdr>
      <w:spacing w:before="360" w:after="360"/>
      <w:ind w:left="864" w:right="864"/>
      <w:jc w:val="center"/>
    </w:pPr>
    <w:rPr>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8050</Words>
  <Characters>9254</Characters>
  <Lines>254</Lines>
  <Paragraphs>71</Paragraphs>
  <TotalTime>22</TotalTime>
  <ScaleCrop>false</ScaleCrop>
  <LinksUpToDate>false</LinksUpToDate>
  <CharactersWithSpaces>9494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cp:lastPrinted>2023-06-13T17:41:00Z</cp:lastPrinted>
  <dcterms:modified xsi:type="dcterms:W3CDTF">2025-06-27T10:58:36Z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B2C3BE2D1D7C450D90B2F7C5C7CD98E7_13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eyJoZGlkIjoiMGQzNjU0MTgwOTk1MWRkYzg5Y2U1OTg5NDg2YWE0ZWEiLCJ1c2VySWQiOiI0OTk5MjQyMzEifQ==</vt:lpwstr>
  </property>
</Properties>
</file>