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9" w:firstLineChars="500"/>
        <w:jc w:val="both"/>
        <w:rPr>
          <w:rFonts w:ascii="宋体" w:hAnsi="Calibri"/>
          <w:b/>
          <w:sz w:val="44"/>
          <w:szCs w:val="44"/>
        </w:rPr>
      </w:pPr>
      <w:bookmarkStart w:id="6" w:name="_GoBack"/>
      <w:bookmarkEnd w:id="6"/>
      <w:r>
        <w:rPr>
          <w:rFonts w:hint="eastAsia" w:ascii="宋体" w:hAnsi="Calibri"/>
          <w:b/>
          <w:sz w:val="44"/>
          <w:szCs w:val="44"/>
        </w:rPr>
        <w:t>政府采购招标文件确认表</w:t>
      </w:r>
    </w:p>
    <w:p>
      <w:pPr>
        <w:spacing w:line="360" w:lineRule="auto"/>
        <w:jc w:val="center"/>
        <w:rPr>
          <w:rFonts w:hint="eastAsia" w:ascii="仿宋_GB2312" w:hAnsi="Calibri" w:eastAsia="仿宋_GB2312"/>
          <w:sz w:val="44"/>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486"/>
        <w:gridCol w:w="3360"/>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80" w:hRule="exact"/>
          <w:jc w:val="center"/>
        </w:trPr>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44" w:firstLine="270"/>
              <w:rPr>
                <w:rFonts w:ascii="仿宋_GB2312" w:hAnsi="Calibri" w:eastAsia="仿宋_GB2312"/>
                <w:sz w:val="30"/>
              </w:rPr>
            </w:pPr>
            <w:r>
              <w:rPr>
                <w:rFonts w:hint="eastAsia" w:ascii="仿宋_GB2312" w:hAnsi="Calibri" w:eastAsia="仿宋_GB2312"/>
                <w:sz w:val="30"/>
              </w:rPr>
              <w:t>采购单位</w:t>
            </w:r>
          </w:p>
        </w:tc>
        <w:tc>
          <w:tcPr>
            <w:tcW w:w="704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Calibri" w:eastAsia="仿宋_GB2312"/>
                <w:sz w:val="30"/>
              </w:rPr>
            </w:pPr>
            <w:r>
              <w:rPr>
                <w:rFonts w:hint="eastAsia" w:ascii="仿宋_GB2312" w:hAnsi="Calibri" w:eastAsia="仿宋_GB2312"/>
                <w:sz w:val="30"/>
              </w:rPr>
              <w:t>磐安县公安局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08" w:hRule="exact"/>
          <w:jc w:val="center"/>
        </w:trPr>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44" w:firstLine="270"/>
              <w:rPr>
                <w:rFonts w:ascii="仿宋_GB2312" w:hAnsi="Calibri" w:eastAsia="仿宋_GB2312"/>
                <w:sz w:val="30"/>
              </w:rPr>
            </w:pPr>
            <w:r>
              <w:rPr>
                <w:rFonts w:hint="eastAsia" w:ascii="仿宋_GB2312" w:hAnsi="Calibri" w:eastAsia="仿宋_GB2312"/>
                <w:sz w:val="30"/>
              </w:rPr>
              <w:t>招标单位</w:t>
            </w:r>
          </w:p>
        </w:tc>
        <w:tc>
          <w:tcPr>
            <w:tcW w:w="704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Calibri" w:eastAsia="仿宋_GB2312"/>
                <w:sz w:val="30"/>
              </w:rPr>
            </w:pPr>
            <w:r>
              <w:rPr>
                <w:rFonts w:hint="eastAsia" w:ascii="仿宋_GB2312" w:hAnsi="Calibri" w:eastAsia="仿宋_GB2312"/>
                <w:sz w:val="30"/>
              </w:rPr>
              <w:t>金华市政府采购中心磐安县分中心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69" w:hRule="exact"/>
          <w:jc w:val="center"/>
        </w:trPr>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44" w:firstLine="270"/>
              <w:rPr>
                <w:rFonts w:hint="eastAsia" w:ascii="仿宋_GB2312" w:hAnsi="Calibri" w:eastAsia="仿宋_GB2312"/>
                <w:sz w:val="30"/>
              </w:rPr>
            </w:pPr>
            <w:r>
              <w:rPr>
                <w:rFonts w:hint="eastAsia" w:ascii="仿宋_GB2312" w:hAnsi="Calibri" w:eastAsia="仿宋_GB2312"/>
                <w:sz w:val="30"/>
              </w:rPr>
              <w:t>招标项目名称</w:t>
            </w:r>
          </w:p>
        </w:tc>
        <w:tc>
          <w:tcPr>
            <w:tcW w:w="704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Calibri" w:eastAsia="仿宋_GB2312"/>
                <w:sz w:val="30"/>
                <w:szCs w:val="30"/>
              </w:rPr>
            </w:pPr>
            <w:r>
              <w:rPr>
                <w:rFonts w:hint="eastAsia" w:ascii="仿宋_GB2312" w:hAnsi="Calibri" w:eastAsia="仿宋_GB2312"/>
                <w:sz w:val="30"/>
              </w:rPr>
              <w:t>磐安县公安局安文***业务用房迁建工程一体化办案中心设备采购及安装服务项目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53" w:hRule="exact"/>
          <w:jc w:val="center"/>
        </w:trPr>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44" w:firstLine="270"/>
              <w:jc w:val="center"/>
              <w:rPr>
                <w:rFonts w:ascii="仿宋_GB2312" w:hAnsi="Calibri" w:eastAsia="仿宋_GB2312"/>
                <w:sz w:val="30"/>
              </w:rPr>
            </w:pPr>
            <w:r>
              <w:rPr>
                <w:rFonts w:hint="eastAsia" w:ascii="仿宋_GB2312" w:hAnsi="Calibri" w:eastAsia="仿宋_GB2312"/>
                <w:sz w:val="28"/>
                <w:szCs w:val="28"/>
              </w:rPr>
              <w:t>财政审核编号</w:t>
            </w:r>
          </w:p>
        </w:tc>
        <w:tc>
          <w:tcPr>
            <w:tcW w:w="704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Calibri" w:eastAsia="仿宋_GB2312"/>
                <w:sz w:val="28"/>
                <w:szCs w:val="28"/>
              </w:rPr>
            </w:pPr>
            <w:r>
              <w:rPr>
                <w:rFonts w:hint="eastAsia" w:ascii="仿宋_GB2312" w:hAnsi="Calibri" w:eastAsia="仿宋_GB2312"/>
                <w:sz w:val="28"/>
                <w:szCs w:val="28"/>
              </w:rPr>
              <w:t>磐财采确临【2019】930号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18" w:hRule="exact"/>
          <w:jc w:val="center"/>
        </w:trPr>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44" w:firstLine="270"/>
              <w:rPr>
                <w:rFonts w:ascii="仿宋_GB2312" w:hAnsi="Calibri" w:eastAsia="仿宋_GB2312"/>
                <w:sz w:val="30"/>
              </w:rPr>
            </w:pPr>
            <w:r>
              <w:rPr>
                <w:rFonts w:hint="eastAsia" w:ascii="仿宋_GB2312" w:hAnsi="Calibri" w:eastAsia="仿宋_GB2312"/>
                <w:sz w:val="30"/>
              </w:rPr>
              <w:t>招标项目编号</w:t>
            </w:r>
          </w:p>
        </w:tc>
        <w:tc>
          <w:tcPr>
            <w:tcW w:w="704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Calibri" w:eastAsia="仿宋_GB2312"/>
                <w:sz w:val="30"/>
              </w:rPr>
            </w:pPr>
            <w:r>
              <w:rPr>
                <w:rFonts w:hint="eastAsia" w:ascii="仿宋_GB2312" w:eastAsia="仿宋_GB2312"/>
                <w:sz w:val="30"/>
              </w:rPr>
              <w:t>PACG2019-GK-0</w:t>
            </w:r>
            <w:r>
              <w:rPr>
                <w:rFonts w:hint="eastAsia" w:ascii="仿宋_GB2312" w:eastAsia="仿宋_GB2312"/>
                <w:sz w:val="30"/>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97" w:hRule="atLeast"/>
          <w:jc w:val="center"/>
        </w:trPr>
        <w:tc>
          <w:tcPr>
            <w:tcW w:w="3186" w:type="dxa"/>
            <w:gridSpan w:val="2"/>
            <w:tcBorders>
              <w:top w:val="single" w:color="auto" w:sz="4" w:space="0"/>
              <w:left w:val="single" w:color="auto" w:sz="4" w:space="0"/>
              <w:right w:val="single" w:color="auto" w:sz="4" w:space="0"/>
            </w:tcBorders>
            <w:noWrap w:val="0"/>
            <w:vAlign w:val="top"/>
          </w:tcPr>
          <w:p>
            <w:pPr>
              <w:ind w:firstLine="228"/>
              <w:rPr>
                <w:rFonts w:hint="eastAsia" w:ascii="仿宋_GB2312" w:hAnsi="Calibri" w:eastAsia="仿宋_GB2312"/>
                <w:sz w:val="30"/>
              </w:rPr>
            </w:pPr>
          </w:p>
          <w:p>
            <w:pPr>
              <w:ind w:firstLine="228"/>
              <w:rPr>
                <w:rFonts w:hint="eastAsia" w:ascii="仿宋_GB2312" w:hAnsi="Calibri" w:eastAsia="仿宋_GB2312"/>
                <w:sz w:val="30"/>
              </w:rPr>
            </w:pPr>
          </w:p>
          <w:p>
            <w:pPr>
              <w:ind w:firstLine="228"/>
              <w:rPr>
                <w:rFonts w:ascii="仿宋_GB2312" w:hAnsi="Calibri" w:eastAsia="仿宋_GB2312"/>
                <w:sz w:val="30"/>
              </w:rPr>
            </w:pPr>
            <w:r>
              <w:rPr>
                <w:rFonts w:hint="eastAsia" w:ascii="仿宋_GB2312" w:hAnsi="Calibri" w:eastAsia="仿宋_GB2312"/>
                <w:sz w:val="30"/>
              </w:rPr>
              <w:t>单位领导签名:</w:t>
            </w:r>
          </w:p>
          <w:p>
            <w:pPr>
              <w:rPr>
                <w:rFonts w:hint="eastAsia" w:ascii="仿宋_GB2312" w:hAnsi="Calibri" w:eastAsia="仿宋_GB2312"/>
                <w:sz w:val="30"/>
              </w:rPr>
            </w:pPr>
          </w:p>
          <w:p>
            <w:pPr>
              <w:ind w:firstLine="228"/>
              <w:rPr>
                <w:rFonts w:hint="eastAsia" w:ascii="仿宋_GB2312" w:hAnsi="Calibri" w:eastAsia="仿宋_GB2312"/>
                <w:sz w:val="30"/>
              </w:rPr>
            </w:pPr>
          </w:p>
          <w:p>
            <w:pPr>
              <w:ind w:firstLine="300" w:firstLineChars="100"/>
              <w:rPr>
                <w:rFonts w:hint="eastAsia" w:ascii="仿宋_GB2312" w:hAnsi="Calibri" w:eastAsia="仿宋_GB2312"/>
                <w:sz w:val="30"/>
              </w:rPr>
            </w:pPr>
            <w:r>
              <w:rPr>
                <w:rFonts w:hint="eastAsia" w:ascii="仿宋_GB2312" w:hAnsi="Calibri" w:eastAsia="仿宋_GB2312"/>
                <w:sz w:val="30"/>
              </w:rPr>
              <w:t xml:space="preserve">采购单位：（盖章） </w:t>
            </w:r>
          </w:p>
          <w:p>
            <w:pPr>
              <w:ind w:firstLine="228"/>
              <w:rPr>
                <w:rFonts w:hint="eastAsia" w:ascii="仿宋_GB2312" w:hAnsi="Calibri" w:eastAsia="仿宋_GB2312"/>
                <w:sz w:val="30"/>
              </w:rPr>
            </w:pPr>
          </w:p>
          <w:p>
            <w:pPr>
              <w:rPr>
                <w:rFonts w:hint="eastAsia" w:ascii="仿宋_GB2312" w:hAnsi="Calibri" w:eastAsia="仿宋_GB2312"/>
                <w:sz w:val="30"/>
              </w:rPr>
            </w:pPr>
          </w:p>
          <w:p>
            <w:pPr>
              <w:ind w:firstLine="300" w:firstLineChars="100"/>
              <w:rPr>
                <w:rFonts w:hint="eastAsia" w:ascii="仿宋_GB2312" w:hAnsi="Calibri" w:eastAsia="仿宋_GB2312"/>
                <w:sz w:val="30"/>
              </w:rPr>
            </w:pPr>
            <w:r>
              <w:rPr>
                <w:rFonts w:hint="eastAsia" w:ascii="仿宋_GB2312" w:hAnsi="Calibri" w:eastAsia="仿宋_GB2312"/>
                <w:sz w:val="30"/>
              </w:rPr>
              <w:t>经办人：（签名）</w:t>
            </w:r>
          </w:p>
          <w:p>
            <w:pPr>
              <w:ind w:firstLine="300" w:firstLineChars="100"/>
              <w:rPr>
                <w:rFonts w:hint="eastAsia" w:ascii="仿宋_GB2312" w:hAnsi="Calibri" w:eastAsia="仿宋_GB2312"/>
                <w:sz w:val="30"/>
              </w:rPr>
            </w:pPr>
          </w:p>
          <w:p>
            <w:pPr>
              <w:ind w:right="312"/>
              <w:rPr>
                <w:rFonts w:hint="eastAsia" w:ascii="仿宋_GB2312" w:hAnsi="Calibri" w:eastAsia="仿宋_GB2312"/>
                <w:sz w:val="30"/>
              </w:rPr>
            </w:pPr>
            <w:r>
              <w:rPr>
                <w:rFonts w:hint="eastAsia" w:ascii="宋体" w:hAnsi="宋体"/>
                <w:b/>
                <w:bCs/>
                <w:w w:val="95"/>
                <w:sz w:val="30"/>
                <w:szCs w:val="30"/>
              </w:rPr>
              <w:t>2019</w:t>
            </w:r>
            <w:r>
              <w:rPr>
                <w:rFonts w:ascii="宋体" w:hAnsi="宋体"/>
                <w:b/>
                <w:bCs/>
                <w:w w:val="95"/>
                <w:sz w:val="30"/>
                <w:szCs w:val="30"/>
              </w:rPr>
              <w:t>年</w:t>
            </w:r>
            <w:r>
              <w:rPr>
                <w:rFonts w:hint="eastAsia" w:ascii="宋体" w:hAnsi="宋体"/>
                <w:b/>
                <w:bCs/>
                <w:w w:val="95"/>
                <w:sz w:val="30"/>
                <w:szCs w:val="30"/>
                <w:lang w:val="en-US" w:eastAsia="zh-CN"/>
              </w:rPr>
              <w:t>8</w:t>
            </w:r>
            <w:r>
              <w:rPr>
                <w:rFonts w:hint="eastAsia" w:ascii="宋体" w:hAnsi="宋体"/>
                <w:b/>
                <w:bCs/>
                <w:w w:val="95"/>
                <w:sz w:val="30"/>
                <w:szCs w:val="30"/>
              </w:rPr>
              <w:t>月</w:t>
            </w:r>
            <w:r>
              <w:rPr>
                <w:rFonts w:hint="eastAsia" w:ascii="宋体" w:hAnsi="宋体"/>
                <w:b/>
                <w:bCs/>
                <w:w w:val="95"/>
                <w:sz w:val="30"/>
                <w:szCs w:val="30"/>
                <w:lang w:val="en-US" w:eastAsia="zh-CN"/>
              </w:rPr>
              <w:t>5</w:t>
            </w:r>
            <w:r>
              <w:rPr>
                <w:rFonts w:hint="eastAsia" w:ascii="宋体" w:hAnsi="宋体"/>
                <w:b/>
                <w:bCs/>
                <w:w w:val="95"/>
                <w:sz w:val="30"/>
                <w:szCs w:val="30"/>
              </w:rPr>
              <w:t>日</w:t>
            </w:r>
            <w:r>
              <w:rPr>
                <w:rFonts w:hint="eastAsia" w:ascii="仿宋_GB2312" w:hAnsi="Calibri" w:eastAsia="仿宋_GB2312"/>
                <w:sz w:val="30"/>
              </w:rPr>
              <w:t xml:space="preserve"> </w:t>
            </w:r>
          </w:p>
          <w:p>
            <w:pPr>
              <w:ind w:right="312" w:firstLine="300" w:firstLineChars="100"/>
              <w:rPr>
                <w:rFonts w:ascii="仿宋_GB2312" w:hAnsi="Calibri" w:eastAsia="仿宋_GB2312"/>
                <w:sz w:val="30"/>
              </w:rPr>
            </w:pPr>
          </w:p>
        </w:tc>
        <w:tc>
          <w:tcPr>
            <w:tcW w:w="3360" w:type="dxa"/>
            <w:tcBorders>
              <w:top w:val="single" w:color="auto" w:sz="4" w:space="0"/>
              <w:left w:val="single" w:color="auto" w:sz="4" w:space="0"/>
              <w:right w:val="single" w:color="auto" w:sz="4" w:space="0"/>
            </w:tcBorders>
            <w:noWrap w:val="0"/>
            <w:vAlign w:val="top"/>
          </w:tcPr>
          <w:p>
            <w:pPr>
              <w:widowControl/>
              <w:jc w:val="left"/>
              <w:rPr>
                <w:rFonts w:ascii="仿宋_GB2312" w:hAnsi="Calibri" w:eastAsia="仿宋_GB2312"/>
                <w:sz w:val="30"/>
              </w:rPr>
            </w:pPr>
          </w:p>
          <w:p>
            <w:pPr>
              <w:widowControl/>
              <w:jc w:val="left"/>
              <w:rPr>
                <w:rFonts w:ascii="仿宋_GB2312" w:hAnsi="Calibri" w:eastAsia="仿宋_GB2312"/>
                <w:sz w:val="30"/>
              </w:rPr>
            </w:pPr>
          </w:p>
          <w:p>
            <w:pPr>
              <w:widowControl/>
              <w:jc w:val="left"/>
              <w:rPr>
                <w:rFonts w:ascii="仿宋_GB2312" w:hAnsi="Calibri" w:eastAsia="仿宋_GB2312"/>
                <w:sz w:val="30"/>
              </w:rPr>
            </w:pPr>
          </w:p>
          <w:p>
            <w:pPr>
              <w:widowControl/>
              <w:jc w:val="left"/>
              <w:rPr>
                <w:rFonts w:ascii="仿宋_GB2312" w:hAnsi="Calibri" w:eastAsia="仿宋_GB2312"/>
                <w:sz w:val="30"/>
              </w:rPr>
            </w:pPr>
          </w:p>
          <w:p>
            <w:pPr>
              <w:widowControl/>
              <w:jc w:val="left"/>
              <w:rPr>
                <w:rFonts w:ascii="仿宋_GB2312" w:hAnsi="Calibri" w:eastAsia="仿宋_GB2312"/>
                <w:sz w:val="30"/>
              </w:rPr>
            </w:pPr>
          </w:p>
          <w:p>
            <w:pPr>
              <w:rPr>
                <w:rFonts w:hint="eastAsia" w:ascii="仿宋_GB2312" w:hAnsi="Calibri" w:eastAsia="仿宋_GB2312"/>
                <w:sz w:val="30"/>
              </w:rPr>
            </w:pPr>
            <w:r>
              <w:rPr>
                <w:rFonts w:hint="eastAsia" w:ascii="仿宋_GB2312" w:hAnsi="Calibri" w:eastAsia="仿宋_GB2312"/>
                <w:sz w:val="30"/>
              </w:rPr>
              <w:t xml:space="preserve">政府采购中心：（盖章） </w:t>
            </w:r>
          </w:p>
          <w:p>
            <w:pPr>
              <w:widowControl/>
              <w:jc w:val="left"/>
              <w:rPr>
                <w:rFonts w:ascii="仿宋_GB2312" w:hAnsi="Calibri" w:eastAsia="仿宋_GB2312"/>
                <w:sz w:val="30"/>
              </w:rPr>
            </w:pPr>
          </w:p>
          <w:p>
            <w:pPr>
              <w:widowControl/>
              <w:jc w:val="left"/>
              <w:rPr>
                <w:rFonts w:ascii="仿宋_GB2312" w:hAnsi="Calibri" w:eastAsia="仿宋_GB2312"/>
                <w:sz w:val="30"/>
              </w:rPr>
            </w:pPr>
          </w:p>
          <w:p>
            <w:pPr>
              <w:widowControl/>
              <w:jc w:val="left"/>
              <w:rPr>
                <w:rFonts w:ascii="仿宋_GB2312" w:hAnsi="Calibri" w:eastAsia="仿宋_GB2312"/>
                <w:sz w:val="30"/>
              </w:rPr>
            </w:pPr>
          </w:p>
          <w:p>
            <w:pPr>
              <w:widowControl/>
              <w:jc w:val="left"/>
              <w:rPr>
                <w:rFonts w:ascii="仿宋_GB2312" w:hAnsi="Calibri" w:eastAsia="仿宋_GB2312"/>
                <w:sz w:val="30"/>
              </w:rPr>
            </w:pPr>
          </w:p>
          <w:p>
            <w:pPr>
              <w:ind w:right="312"/>
              <w:rPr>
                <w:rFonts w:hint="eastAsia" w:ascii="仿宋_GB2312" w:hAnsi="Calibri" w:eastAsia="宋体"/>
                <w:sz w:val="30"/>
                <w:lang w:val="en-US" w:eastAsia="zh-CN"/>
              </w:rPr>
            </w:pPr>
            <w:r>
              <w:rPr>
                <w:rFonts w:hint="eastAsia" w:ascii="宋体" w:hAnsi="宋体"/>
                <w:b/>
                <w:bCs/>
                <w:w w:val="95"/>
                <w:sz w:val="30"/>
                <w:szCs w:val="30"/>
              </w:rPr>
              <w:t>2019</w:t>
            </w:r>
            <w:r>
              <w:rPr>
                <w:rFonts w:ascii="宋体" w:hAnsi="宋体"/>
                <w:b/>
                <w:bCs/>
                <w:w w:val="95"/>
                <w:sz w:val="30"/>
                <w:szCs w:val="30"/>
              </w:rPr>
              <w:t>年</w:t>
            </w:r>
            <w:r>
              <w:rPr>
                <w:rFonts w:hint="eastAsia" w:ascii="宋体" w:hAnsi="宋体"/>
                <w:b/>
                <w:bCs/>
                <w:w w:val="95"/>
                <w:sz w:val="30"/>
                <w:szCs w:val="30"/>
                <w:lang w:val="en-US" w:eastAsia="zh-CN"/>
              </w:rPr>
              <w:t>8</w:t>
            </w:r>
            <w:r>
              <w:rPr>
                <w:rFonts w:hint="eastAsia" w:ascii="宋体" w:hAnsi="宋体"/>
                <w:b/>
                <w:bCs/>
                <w:w w:val="95"/>
                <w:sz w:val="30"/>
                <w:szCs w:val="30"/>
              </w:rPr>
              <w:t>月</w:t>
            </w:r>
            <w:r>
              <w:rPr>
                <w:rFonts w:hint="eastAsia" w:ascii="宋体" w:hAnsi="宋体"/>
                <w:b/>
                <w:bCs/>
                <w:w w:val="95"/>
                <w:sz w:val="30"/>
                <w:szCs w:val="30"/>
                <w:lang w:val="en-US" w:eastAsia="zh-CN"/>
              </w:rPr>
              <w:t>5日</w:t>
            </w:r>
          </w:p>
        </w:tc>
        <w:tc>
          <w:tcPr>
            <w:tcW w:w="3202" w:type="dxa"/>
            <w:tcBorders>
              <w:top w:val="single" w:color="auto" w:sz="4" w:space="0"/>
              <w:left w:val="single" w:color="auto" w:sz="4" w:space="0"/>
              <w:right w:val="single" w:color="auto" w:sz="4" w:space="0"/>
            </w:tcBorders>
            <w:noWrap w:val="0"/>
            <w:vAlign w:val="top"/>
          </w:tcPr>
          <w:p>
            <w:pPr>
              <w:widowControl/>
              <w:jc w:val="left"/>
              <w:rPr>
                <w:rFonts w:ascii="仿宋_GB2312" w:hAnsi="Calibri" w:eastAsia="仿宋_GB2312"/>
                <w:sz w:val="30"/>
              </w:rPr>
            </w:pPr>
          </w:p>
          <w:p>
            <w:pPr>
              <w:widowControl/>
              <w:jc w:val="left"/>
              <w:rPr>
                <w:rFonts w:ascii="仿宋_GB2312" w:hAnsi="Calibri" w:eastAsia="仿宋_GB2312"/>
                <w:sz w:val="30"/>
              </w:rPr>
            </w:pPr>
          </w:p>
          <w:p>
            <w:pPr>
              <w:widowControl/>
              <w:jc w:val="left"/>
              <w:rPr>
                <w:rFonts w:ascii="仿宋_GB2312" w:hAnsi="Calibri" w:eastAsia="仿宋_GB2312"/>
                <w:sz w:val="30"/>
              </w:rPr>
            </w:pPr>
          </w:p>
          <w:p>
            <w:pPr>
              <w:widowControl/>
              <w:jc w:val="left"/>
              <w:rPr>
                <w:rFonts w:ascii="仿宋_GB2312" w:hAnsi="Calibri" w:eastAsia="仿宋_GB2312"/>
                <w:sz w:val="30"/>
              </w:rPr>
            </w:pPr>
          </w:p>
          <w:p>
            <w:pPr>
              <w:widowControl/>
              <w:jc w:val="left"/>
              <w:rPr>
                <w:rFonts w:ascii="仿宋_GB2312" w:hAnsi="Calibri" w:eastAsia="仿宋_GB2312"/>
                <w:sz w:val="30"/>
              </w:rPr>
            </w:pPr>
          </w:p>
          <w:p>
            <w:pPr>
              <w:rPr>
                <w:rFonts w:hint="eastAsia" w:ascii="仿宋_GB2312" w:hAnsi="Calibri" w:eastAsia="仿宋_GB2312"/>
                <w:sz w:val="30"/>
              </w:rPr>
            </w:pPr>
            <w:r>
              <w:rPr>
                <w:rFonts w:hint="eastAsia" w:ascii="仿宋_GB2312" w:hAnsi="Calibri" w:eastAsia="仿宋_GB2312"/>
                <w:sz w:val="30"/>
              </w:rPr>
              <w:t xml:space="preserve">财政局采购监管科：（盖章） </w:t>
            </w:r>
          </w:p>
          <w:p>
            <w:pPr>
              <w:widowControl/>
              <w:jc w:val="left"/>
              <w:rPr>
                <w:rFonts w:ascii="仿宋_GB2312" w:hAnsi="Calibri" w:eastAsia="仿宋_GB2312"/>
                <w:sz w:val="30"/>
              </w:rPr>
            </w:pPr>
          </w:p>
          <w:p>
            <w:pPr>
              <w:widowControl/>
              <w:jc w:val="left"/>
              <w:rPr>
                <w:rFonts w:ascii="仿宋_GB2312" w:hAnsi="Calibri" w:eastAsia="仿宋_GB2312"/>
                <w:sz w:val="30"/>
              </w:rPr>
            </w:pPr>
          </w:p>
          <w:p>
            <w:pPr>
              <w:widowControl/>
              <w:jc w:val="left"/>
              <w:rPr>
                <w:rFonts w:ascii="仿宋_GB2312" w:hAnsi="Calibri" w:eastAsia="仿宋_GB2312"/>
                <w:sz w:val="30"/>
              </w:rPr>
            </w:pPr>
          </w:p>
          <w:p>
            <w:pPr>
              <w:ind w:right="312"/>
              <w:rPr>
                <w:rFonts w:hint="eastAsia" w:ascii="仿宋_GB2312" w:hAnsi="Calibri" w:eastAsia="仿宋_GB2312"/>
                <w:sz w:val="30"/>
              </w:rPr>
            </w:pPr>
            <w:r>
              <w:rPr>
                <w:rFonts w:hint="eastAsia" w:ascii="宋体" w:hAnsi="宋体"/>
                <w:b/>
                <w:bCs/>
                <w:w w:val="95"/>
                <w:sz w:val="30"/>
                <w:szCs w:val="30"/>
              </w:rPr>
              <w:t>2019</w:t>
            </w:r>
            <w:r>
              <w:rPr>
                <w:rFonts w:ascii="宋体" w:hAnsi="宋体"/>
                <w:b/>
                <w:bCs/>
                <w:w w:val="95"/>
                <w:sz w:val="30"/>
                <w:szCs w:val="30"/>
              </w:rPr>
              <w:t>年</w:t>
            </w:r>
            <w:r>
              <w:rPr>
                <w:rFonts w:hint="eastAsia" w:ascii="宋体" w:hAnsi="宋体"/>
                <w:b/>
                <w:bCs/>
                <w:w w:val="95"/>
                <w:sz w:val="30"/>
                <w:szCs w:val="30"/>
                <w:lang w:val="en-US" w:eastAsia="zh-CN"/>
              </w:rPr>
              <w:t>8</w:t>
            </w:r>
            <w:r>
              <w:rPr>
                <w:rFonts w:hint="eastAsia" w:ascii="宋体" w:hAnsi="宋体"/>
                <w:b/>
                <w:bCs/>
                <w:w w:val="95"/>
                <w:sz w:val="30"/>
                <w:szCs w:val="30"/>
              </w:rPr>
              <w:t>月</w:t>
            </w:r>
            <w:r>
              <w:rPr>
                <w:rFonts w:hint="eastAsia" w:ascii="宋体" w:hAnsi="宋体"/>
                <w:b/>
                <w:bCs/>
                <w:w w:val="95"/>
                <w:sz w:val="30"/>
                <w:szCs w:val="30"/>
                <w:lang w:val="en-US" w:eastAsia="zh-CN"/>
              </w:rPr>
              <w:t>5日</w:t>
            </w:r>
          </w:p>
        </w:tc>
      </w:tr>
    </w:tbl>
    <w:p>
      <w:pPr>
        <w:spacing w:before="120" w:beforeLines="50" w:line="360" w:lineRule="auto"/>
        <w:jc w:val="center"/>
        <w:rPr>
          <w:rFonts w:hint="eastAsia" w:ascii="黑体" w:hAnsi="宋体" w:eastAsia="黑体"/>
          <w:b/>
          <w:color w:val="000000"/>
          <w:sz w:val="48"/>
          <w:szCs w:val="48"/>
        </w:rPr>
      </w:pPr>
    </w:p>
    <w:p>
      <w:pPr>
        <w:rPr>
          <w:rFonts w:hint="eastAsia" w:ascii="华文新魏" w:hAnsi="宋体" w:eastAsia="华文新魏"/>
          <w:b/>
          <w:sz w:val="48"/>
          <w:szCs w:val="52"/>
        </w:rPr>
      </w:pPr>
    </w:p>
    <w:p>
      <w:pPr>
        <w:rPr>
          <w:rFonts w:hint="eastAsia" w:ascii="华文新魏" w:hAnsi="宋体" w:eastAsia="华文新魏"/>
          <w:b/>
          <w:sz w:val="48"/>
          <w:szCs w:val="52"/>
        </w:rPr>
      </w:pPr>
    </w:p>
    <w:p>
      <w:pPr>
        <w:spacing w:before="120" w:beforeLines="50" w:line="900" w:lineRule="exact"/>
        <w:jc w:val="center"/>
        <w:rPr>
          <w:rFonts w:hint="eastAsia" w:ascii="黑体" w:hAnsi="宋体" w:eastAsia="黑体"/>
          <w:b/>
          <w:bCs/>
          <w:color w:val="000000"/>
          <w:sz w:val="44"/>
          <w:szCs w:val="44"/>
        </w:rPr>
      </w:pPr>
      <w:r>
        <w:rPr>
          <w:rFonts w:hint="eastAsia" w:ascii="黑体" w:hAnsi="宋体" w:eastAsia="黑体"/>
          <w:b/>
          <w:bCs/>
          <w:color w:val="000000"/>
          <w:sz w:val="44"/>
          <w:szCs w:val="44"/>
        </w:rPr>
        <w:t>磐安县公安局安文***业务用房迁建工程一体化办案中心设备采购及安装服务项目</w:t>
      </w:r>
    </w:p>
    <w:p>
      <w:pPr>
        <w:spacing w:before="120" w:beforeLines="50"/>
        <w:jc w:val="center"/>
        <w:rPr>
          <w:rFonts w:hint="eastAsia" w:ascii="黑体" w:hAnsi="宋体" w:eastAsia="黑体"/>
          <w:b/>
          <w:color w:val="000000"/>
          <w:sz w:val="44"/>
          <w:szCs w:val="44"/>
        </w:rPr>
      </w:pPr>
    </w:p>
    <w:p>
      <w:pPr>
        <w:spacing w:before="120" w:beforeLines="50"/>
        <w:jc w:val="center"/>
        <w:rPr>
          <w:rFonts w:hint="eastAsia" w:ascii="宋体" w:hAnsi="宋体"/>
          <w:color w:val="000000"/>
          <w:sz w:val="72"/>
          <w:szCs w:val="72"/>
        </w:rPr>
      </w:pPr>
      <w:r>
        <w:rPr>
          <w:rFonts w:hint="eastAsia" w:ascii="宋体" w:hAnsi="宋体"/>
          <w:color w:val="000000"/>
          <w:sz w:val="72"/>
          <w:szCs w:val="72"/>
        </w:rPr>
        <w:t>公开招标采购文件</w:t>
      </w:r>
    </w:p>
    <w:p>
      <w:pPr>
        <w:spacing w:before="120" w:beforeLines="50"/>
        <w:jc w:val="center"/>
        <w:rPr>
          <w:rFonts w:ascii="宋体" w:hAnsi="宋体"/>
          <w:color w:val="000000"/>
          <w:sz w:val="72"/>
          <w:szCs w:val="72"/>
        </w:rPr>
      </w:pPr>
    </w:p>
    <w:p>
      <w:pPr>
        <w:snapToGrid w:val="0"/>
        <w:spacing w:before="120" w:beforeLines="50"/>
        <w:jc w:val="center"/>
        <w:rPr>
          <w:rFonts w:hint="eastAsia" w:ascii="宋体" w:hAnsi="宋体"/>
          <w:color w:val="000000"/>
          <w:sz w:val="30"/>
          <w:szCs w:val="72"/>
        </w:rPr>
      </w:pPr>
      <w:r>
        <w:rPr>
          <w:rFonts w:ascii="仿宋_GB2312" w:hAnsi="新宋体" w:eastAsia="仿宋_GB2312"/>
          <w:b/>
          <w:bCs/>
          <w:sz w:val="32"/>
        </w:rPr>
        <w:drawing>
          <wp:inline distT="0" distB="0" distL="114300" distR="114300">
            <wp:extent cx="2534285" cy="899795"/>
            <wp:effectExtent l="0" t="0" r="18415" b="14605"/>
            <wp:docPr id="1" name="图片 1" descr="政府采购图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政府采购图案"/>
                    <pic:cNvPicPr>
                      <a:picLocks noChangeAspect="1"/>
                    </pic:cNvPicPr>
                  </pic:nvPicPr>
                  <pic:blipFill>
                    <a:blip r:embed="rId13"/>
                    <a:stretch>
                      <a:fillRect/>
                    </a:stretch>
                  </pic:blipFill>
                  <pic:spPr>
                    <a:xfrm>
                      <a:off x="0" y="0"/>
                      <a:ext cx="2534285" cy="899795"/>
                    </a:xfrm>
                    <a:prstGeom prst="rect">
                      <a:avLst/>
                    </a:prstGeom>
                    <a:noFill/>
                    <a:ln>
                      <a:noFill/>
                    </a:ln>
                  </pic:spPr>
                </pic:pic>
              </a:graphicData>
            </a:graphic>
          </wp:inline>
        </w:drawing>
      </w:r>
    </w:p>
    <w:p>
      <w:pPr>
        <w:snapToGrid w:val="0"/>
        <w:spacing w:before="120" w:beforeLines="50"/>
        <w:rPr>
          <w:rFonts w:hint="eastAsia" w:ascii="宋体" w:hAnsi="宋体"/>
          <w:color w:val="000000"/>
          <w:sz w:val="30"/>
          <w:szCs w:val="72"/>
        </w:rPr>
      </w:pPr>
    </w:p>
    <w:p>
      <w:pPr>
        <w:snapToGrid w:val="0"/>
        <w:spacing w:before="120" w:beforeLines="50"/>
        <w:rPr>
          <w:rFonts w:hint="eastAsia" w:ascii="宋体" w:hAnsi="宋体"/>
          <w:color w:val="000000"/>
          <w:sz w:val="30"/>
          <w:szCs w:val="72"/>
        </w:rPr>
      </w:pPr>
    </w:p>
    <w:p>
      <w:pPr>
        <w:snapToGrid w:val="0"/>
        <w:spacing w:before="120" w:beforeLines="50"/>
        <w:rPr>
          <w:rFonts w:hint="eastAsia" w:ascii="宋体" w:hAnsi="宋体"/>
          <w:color w:val="000000"/>
          <w:sz w:val="30"/>
          <w:szCs w:val="72"/>
        </w:rPr>
      </w:pPr>
    </w:p>
    <w:p>
      <w:pPr>
        <w:snapToGrid w:val="0"/>
        <w:spacing w:before="120" w:beforeLines="50"/>
        <w:rPr>
          <w:rFonts w:hint="eastAsia" w:ascii="宋体" w:hAnsi="宋体"/>
          <w:color w:val="000000"/>
          <w:sz w:val="30"/>
          <w:szCs w:val="72"/>
        </w:rPr>
      </w:pPr>
    </w:p>
    <w:p>
      <w:pPr>
        <w:snapToGrid w:val="0"/>
        <w:spacing w:before="120" w:beforeLines="50" w:after="120" w:afterLines="50"/>
        <w:rPr>
          <w:rFonts w:hint="eastAsia" w:ascii="宋体" w:hAnsi="宋体"/>
          <w:b/>
          <w:bCs/>
          <w:color w:val="000000"/>
          <w:sz w:val="28"/>
          <w:szCs w:val="28"/>
        </w:rPr>
      </w:pPr>
      <w:r>
        <w:rPr>
          <w:rFonts w:ascii="宋体" w:hAnsi="宋体"/>
          <w:b/>
          <w:bCs/>
          <w:sz w:val="30"/>
          <w:szCs w:val="30"/>
        </w:rPr>
        <w:t>项目编号：</w:t>
      </w:r>
      <w:r>
        <w:rPr>
          <w:rFonts w:hint="eastAsia" w:ascii="仿宋_GB2312" w:eastAsia="仿宋_GB2312"/>
          <w:sz w:val="30"/>
        </w:rPr>
        <w:t>PACG2019-GK-0</w:t>
      </w:r>
      <w:r>
        <w:rPr>
          <w:rFonts w:hint="eastAsia" w:ascii="仿宋_GB2312" w:eastAsia="仿宋_GB2312"/>
          <w:sz w:val="30"/>
          <w:lang w:val="en-US" w:eastAsia="zh-CN"/>
        </w:rPr>
        <w:t>31</w:t>
      </w:r>
    </w:p>
    <w:p>
      <w:pPr>
        <w:snapToGrid w:val="0"/>
        <w:spacing w:before="120" w:beforeLines="50" w:after="120" w:afterLines="50"/>
        <w:ind w:left="1506" w:hanging="1506" w:hangingChars="500"/>
        <w:rPr>
          <w:rFonts w:hint="eastAsia" w:ascii="宋体" w:hAnsi="宋体"/>
          <w:b/>
          <w:bCs/>
          <w:sz w:val="30"/>
          <w:szCs w:val="30"/>
        </w:rPr>
      </w:pPr>
      <w:r>
        <w:rPr>
          <w:rFonts w:hint="eastAsia" w:ascii="宋体" w:hAnsi="宋体"/>
          <w:b/>
          <w:bCs/>
          <w:sz w:val="30"/>
          <w:szCs w:val="30"/>
        </w:rPr>
        <w:t>项目名称：</w:t>
      </w:r>
      <w:r>
        <w:rPr>
          <w:rFonts w:hint="eastAsia" w:ascii="仿宋_GB2312" w:eastAsia="仿宋_GB2312"/>
          <w:sz w:val="30"/>
        </w:rPr>
        <w:t>磐安县公安局安文***业务用房迁建工程一体化执法办案中心设备采购及安装服务项目</w:t>
      </w:r>
    </w:p>
    <w:p>
      <w:pPr>
        <w:snapToGrid w:val="0"/>
        <w:spacing w:before="120" w:beforeLines="50" w:after="120" w:afterLines="50"/>
        <w:rPr>
          <w:rFonts w:hint="eastAsia" w:ascii="宋体" w:hAnsi="宋体"/>
          <w:b/>
          <w:bCs/>
          <w:sz w:val="30"/>
          <w:szCs w:val="30"/>
        </w:rPr>
      </w:pPr>
      <w:r>
        <w:rPr>
          <w:rFonts w:ascii="宋体" w:hAnsi="宋体"/>
          <w:b/>
          <w:bCs/>
          <w:w w:val="95"/>
          <w:sz w:val="30"/>
          <w:szCs w:val="30"/>
        </w:rPr>
        <w:t>采购单位：</w:t>
      </w:r>
      <w:r>
        <w:rPr>
          <w:rFonts w:hint="eastAsia" w:ascii="仿宋_GB2312" w:eastAsia="仿宋_GB2312"/>
          <w:sz w:val="30"/>
        </w:rPr>
        <w:t>磐安县公安局</w:t>
      </w:r>
    </w:p>
    <w:p>
      <w:pPr>
        <w:snapToGrid w:val="0"/>
        <w:spacing w:before="120" w:beforeLines="50" w:after="120" w:afterLines="50"/>
        <w:rPr>
          <w:rFonts w:hint="eastAsia" w:ascii="宋体" w:hAnsi="宋体"/>
          <w:b/>
          <w:color w:val="000000"/>
          <w:sz w:val="30"/>
          <w:szCs w:val="48"/>
        </w:rPr>
      </w:pPr>
      <w:r>
        <w:rPr>
          <w:rFonts w:hint="eastAsia" w:ascii="宋体" w:hAnsi="宋体"/>
          <w:b/>
          <w:bCs/>
          <w:w w:val="95"/>
          <w:sz w:val="30"/>
          <w:szCs w:val="30"/>
        </w:rPr>
        <w:t>招标</w:t>
      </w:r>
      <w:r>
        <w:rPr>
          <w:rFonts w:ascii="宋体" w:hAnsi="宋体"/>
          <w:b/>
          <w:bCs/>
          <w:w w:val="95"/>
          <w:sz w:val="30"/>
          <w:szCs w:val="30"/>
        </w:rPr>
        <w:t>机构：</w:t>
      </w:r>
      <w:r>
        <w:rPr>
          <w:rFonts w:hint="eastAsia" w:ascii="仿宋_GB2312" w:hAnsi="Calibri" w:eastAsia="仿宋_GB2312"/>
          <w:sz w:val="30"/>
        </w:rPr>
        <w:t>金华市政府采购中心磐安县分中心</w:t>
      </w:r>
    </w:p>
    <w:p>
      <w:pPr>
        <w:snapToGrid w:val="0"/>
        <w:spacing w:before="120" w:beforeLines="50"/>
        <w:ind w:left="384" w:leftChars="183" w:firstLine="4599" w:firstLineChars="1607"/>
        <w:rPr>
          <w:rFonts w:hint="eastAsia" w:ascii="宋体" w:hAnsi="宋体"/>
          <w:b/>
          <w:bCs/>
          <w:w w:val="95"/>
          <w:sz w:val="30"/>
          <w:szCs w:val="30"/>
        </w:rPr>
      </w:pPr>
    </w:p>
    <w:p>
      <w:pPr>
        <w:snapToGrid w:val="0"/>
        <w:spacing w:before="120" w:beforeLines="50"/>
        <w:ind w:left="384" w:leftChars="183" w:firstLine="4599" w:firstLineChars="1607"/>
        <w:rPr>
          <w:rFonts w:ascii="宋体" w:hAnsi="宋体"/>
          <w:sz w:val="30"/>
          <w:szCs w:val="20"/>
        </w:rPr>
      </w:pPr>
      <w:r>
        <w:rPr>
          <w:rFonts w:ascii="宋体" w:hAnsi="宋体"/>
          <w:b/>
          <w:bCs/>
          <w:w w:val="95"/>
          <w:sz w:val="30"/>
          <w:szCs w:val="30"/>
        </w:rPr>
        <w:t>201</w:t>
      </w:r>
      <w:r>
        <w:rPr>
          <w:rFonts w:hint="eastAsia" w:ascii="宋体" w:hAnsi="宋体"/>
          <w:b/>
          <w:bCs/>
          <w:w w:val="95"/>
          <w:sz w:val="30"/>
          <w:szCs w:val="30"/>
        </w:rPr>
        <w:t>9</w:t>
      </w:r>
      <w:r>
        <w:rPr>
          <w:rFonts w:ascii="宋体" w:hAnsi="宋体"/>
          <w:b/>
          <w:bCs/>
          <w:w w:val="95"/>
          <w:sz w:val="30"/>
          <w:szCs w:val="30"/>
        </w:rPr>
        <w:t>年</w:t>
      </w:r>
      <w:r>
        <w:rPr>
          <w:rFonts w:hint="eastAsia" w:ascii="宋体" w:hAnsi="宋体"/>
          <w:b/>
          <w:bCs/>
          <w:w w:val="95"/>
          <w:sz w:val="30"/>
          <w:szCs w:val="30"/>
          <w:lang w:val="en-US" w:eastAsia="zh-CN"/>
        </w:rPr>
        <w:t>8</w:t>
      </w:r>
      <w:r>
        <w:rPr>
          <w:rFonts w:hint="eastAsia" w:ascii="宋体" w:hAnsi="宋体"/>
          <w:b/>
          <w:bCs/>
          <w:w w:val="95"/>
          <w:sz w:val="30"/>
          <w:szCs w:val="30"/>
        </w:rPr>
        <w:t>月</w:t>
      </w:r>
      <w:r>
        <w:rPr>
          <w:rFonts w:hint="eastAsia" w:ascii="宋体" w:hAnsi="宋体"/>
          <w:b/>
          <w:bCs/>
          <w:w w:val="95"/>
          <w:sz w:val="30"/>
          <w:szCs w:val="30"/>
          <w:lang w:val="en-US" w:eastAsia="zh-CN"/>
        </w:rPr>
        <w:t>5</w:t>
      </w:r>
      <w:r>
        <w:rPr>
          <w:rFonts w:hint="eastAsia" w:ascii="宋体" w:hAnsi="宋体"/>
          <w:b/>
          <w:bCs/>
          <w:w w:val="95"/>
          <w:sz w:val="30"/>
          <w:szCs w:val="30"/>
        </w:rPr>
        <w:t>日</w:t>
      </w: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kern w:val="0"/>
          <w:sz w:val="20"/>
          <w:szCs w:val="20"/>
        </w:rPr>
      </w:pPr>
    </w:p>
    <w:p>
      <w:pPr>
        <w:widowControl/>
        <w:jc w:val="left"/>
        <w:rPr>
          <w:rFonts w:hint="eastAsia"/>
        </w:rPr>
      </w:pPr>
    </w:p>
    <w:p>
      <w:pPr>
        <w:tabs>
          <w:tab w:val="left" w:pos="1200"/>
          <w:tab w:val="left" w:pos="1211"/>
        </w:tabs>
        <w:spacing w:before="120" w:beforeLines="50" w:after="120" w:afterLines="50" w:line="360" w:lineRule="auto"/>
        <w:ind w:firstLine="3520" w:firstLineChars="800"/>
        <w:rPr>
          <w:rFonts w:hint="eastAsia" w:ascii="创艺简标宋" w:hAnsi="宋体" w:eastAsia="创艺简标宋"/>
          <w:sz w:val="44"/>
          <w:szCs w:val="44"/>
        </w:rPr>
      </w:pPr>
      <w:r>
        <w:rPr>
          <w:rFonts w:hint="eastAsia" w:ascii="创艺简标宋" w:hAnsi="宋体" w:eastAsia="创艺简标宋"/>
          <w:sz w:val="44"/>
          <w:szCs w:val="44"/>
        </w:rPr>
        <w:t>目    录</w:t>
      </w:r>
    </w:p>
    <w:p>
      <w:pPr>
        <w:numPr>
          <w:ilvl w:val="0"/>
          <w:numId w:val="8"/>
        </w:numPr>
        <w:spacing w:before="120" w:beforeLines="50" w:line="480" w:lineRule="exact"/>
        <w:rPr>
          <w:rFonts w:ascii="宋体" w:hAnsi="宋体"/>
          <w:sz w:val="30"/>
          <w:szCs w:val="20"/>
        </w:rPr>
      </w:pPr>
      <w:r>
        <w:rPr>
          <w:rFonts w:hint="eastAsia" w:ascii="宋体" w:hAnsi="宋体"/>
          <w:sz w:val="30"/>
        </w:rPr>
        <w:t>公开招标采购公告</w:t>
      </w:r>
    </w:p>
    <w:p>
      <w:pPr>
        <w:numPr>
          <w:ilvl w:val="0"/>
          <w:numId w:val="8"/>
        </w:numPr>
        <w:spacing w:before="120" w:beforeLines="50" w:line="480" w:lineRule="exact"/>
        <w:rPr>
          <w:rFonts w:ascii="宋体" w:hAnsi="宋体"/>
          <w:sz w:val="30"/>
          <w:szCs w:val="20"/>
        </w:rPr>
      </w:pPr>
      <w:r>
        <w:rPr>
          <w:rFonts w:hint="eastAsia" w:ascii="宋体" w:hAnsi="宋体"/>
          <w:sz w:val="30"/>
        </w:rPr>
        <w:t>招标需求</w:t>
      </w:r>
    </w:p>
    <w:p>
      <w:pPr>
        <w:numPr>
          <w:ilvl w:val="0"/>
          <w:numId w:val="8"/>
        </w:numPr>
        <w:spacing w:before="120" w:beforeLines="50" w:line="480" w:lineRule="exact"/>
        <w:rPr>
          <w:rFonts w:ascii="宋体" w:hAnsi="宋体"/>
          <w:sz w:val="30"/>
          <w:szCs w:val="20"/>
        </w:rPr>
      </w:pPr>
      <w:r>
        <w:rPr>
          <w:rFonts w:hint="eastAsia" w:ascii="宋体" w:hAnsi="宋体"/>
          <w:sz w:val="30"/>
        </w:rPr>
        <w:t>投标人须知</w:t>
      </w:r>
    </w:p>
    <w:p>
      <w:pPr>
        <w:numPr>
          <w:ilvl w:val="0"/>
          <w:numId w:val="8"/>
        </w:numPr>
        <w:spacing w:before="120" w:beforeLines="50" w:line="480" w:lineRule="exact"/>
        <w:rPr>
          <w:rFonts w:ascii="宋体" w:hAnsi="宋体"/>
          <w:sz w:val="30"/>
          <w:szCs w:val="20"/>
        </w:rPr>
      </w:pPr>
      <w:r>
        <w:rPr>
          <w:rFonts w:hint="eastAsia" w:ascii="宋体" w:hAnsi="宋体"/>
          <w:sz w:val="30"/>
        </w:rPr>
        <w:t>评标办法及评分标准</w:t>
      </w:r>
    </w:p>
    <w:p>
      <w:pPr>
        <w:numPr>
          <w:ilvl w:val="0"/>
          <w:numId w:val="8"/>
        </w:numPr>
        <w:spacing w:before="120" w:beforeLines="50" w:line="480" w:lineRule="exact"/>
        <w:rPr>
          <w:rFonts w:ascii="宋体" w:hAnsi="宋体"/>
          <w:sz w:val="30"/>
          <w:szCs w:val="20"/>
        </w:rPr>
      </w:pPr>
      <w:r>
        <w:rPr>
          <w:rFonts w:hint="eastAsia" w:ascii="宋体" w:hAnsi="宋体"/>
          <w:sz w:val="30"/>
        </w:rPr>
        <w:t>政府采购合同主要条款</w:t>
      </w:r>
    </w:p>
    <w:p>
      <w:pPr>
        <w:numPr>
          <w:ilvl w:val="0"/>
          <w:numId w:val="8"/>
        </w:numPr>
        <w:spacing w:before="120" w:beforeLines="50" w:line="480" w:lineRule="exact"/>
        <w:rPr>
          <w:rFonts w:ascii="宋体" w:hAnsi="宋体"/>
          <w:sz w:val="30"/>
          <w:szCs w:val="20"/>
        </w:rPr>
      </w:pPr>
      <w:r>
        <w:rPr>
          <w:rFonts w:hint="eastAsia" w:ascii="宋体" w:hAnsi="宋体"/>
          <w:sz w:val="30"/>
        </w:rPr>
        <w:t>投标文件格式</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sectPr>
          <w:headerReference r:id="rId3" w:type="default"/>
          <w:footerReference r:id="rId4" w:type="default"/>
          <w:footerReference r:id="rId5" w:type="even"/>
          <w:pgSz w:w="11906" w:h="16838"/>
          <w:pgMar w:top="1474" w:right="1134" w:bottom="1134" w:left="1361" w:header="851" w:footer="851" w:gutter="0"/>
          <w:cols w:space="720" w:num="1"/>
          <w:docGrid w:linePitch="312" w:charSpace="0"/>
        </w:sectPr>
      </w:pPr>
    </w:p>
    <w:p>
      <w:pPr>
        <w:keepNext/>
        <w:keepLines/>
        <w:spacing w:before="120" w:after="120" w:line="578" w:lineRule="auto"/>
        <w:jc w:val="center"/>
        <w:outlineLvl w:val="0"/>
        <w:rPr>
          <w:rFonts w:hint="eastAsia" w:ascii="Calibri" w:hAnsi="Calibri"/>
          <w:b/>
          <w:bCs/>
          <w:kern w:val="44"/>
          <w:sz w:val="32"/>
          <w:szCs w:val="44"/>
        </w:rPr>
      </w:pPr>
      <w:r>
        <w:rPr>
          <w:rFonts w:hint="eastAsia" w:ascii="Calibri" w:hAnsi="Calibri"/>
          <w:b/>
          <w:bCs/>
          <w:kern w:val="44"/>
          <w:sz w:val="32"/>
          <w:szCs w:val="44"/>
        </w:rPr>
        <w:t>第一章  公开招标采购公告</w:t>
      </w:r>
    </w:p>
    <w:p>
      <w:pPr>
        <w:keepNext w:val="0"/>
        <w:keepLines w:val="0"/>
        <w:pageBreakBefore w:val="0"/>
        <w:widowControl w:val="0"/>
        <w:kinsoku/>
        <w:wordWrap/>
        <w:overflowPunct/>
        <w:topLinePunct w:val="0"/>
        <w:autoSpaceDE/>
        <w:autoSpaceDN/>
        <w:bidi w:val="0"/>
        <w:snapToGrid w:val="0"/>
        <w:spacing w:after="50" w:line="40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根据</w:t>
      </w:r>
      <w:r>
        <w:rPr>
          <w:rFonts w:hint="eastAsia" w:ascii="宋体" w:hAnsi="宋体" w:eastAsia="宋体" w:cs="宋体"/>
          <w:b w:val="0"/>
          <w:bCs w:val="0"/>
          <w:kern w:val="0"/>
          <w:sz w:val="24"/>
          <w:szCs w:val="24"/>
          <w:u w:val="single"/>
        </w:rPr>
        <w:t>《中华人民共和国政府采购法》、《中华人民共和国政府采购法实施条例》、《政府采购货物和服务招标投标管理办法》</w:t>
      </w:r>
      <w:r>
        <w:rPr>
          <w:rFonts w:hint="eastAsia" w:ascii="宋体" w:hAnsi="宋体" w:eastAsia="宋体" w:cs="宋体"/>
          <w:b w:val="0"/>
          <w:bCs w:val="0"/>
          <w:kern w:val="0"/>
          <w:sz w:val="24"/>
          <w:szCs w:val="24"/>
        </w:rPr>
        <w:t>等规定，现就磐安县公安局安文***业务用房迁建工程一体化执法办案中心设备采购及安装服务项目进行公开招标采购，欢迎提供本次货物、服务的生产制造厂商或其合格代理商前来投标</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一、项目编号：</w:t>
      </w:r>
      <w:r>
        <w:rPr>
          <w:rFonts w:hint="eastAsia" w:ascii="宋体" w:hAnsi="宋体" w:eastAsia="宋体" w:cs="宋体"/>
          <w:b w:val="0"/>
          <w:bCs w:val="0"/>
          <w:kern w:val="0"/>
          <w:sz w:val="24"/>
          <w:szCs w:val="24"/>
          <w:lang w:val="en-US" w:eastAsia="zh-CN"/>
        </w:rPr>
        <w:t>PACG2019-GK-031</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二、采购组织类型：政府集中-委托本级集采</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三、采购方式：公开招标</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四、采购内容及数量</w:t>
      </w:r>
    </w:p>
    <w:tbl>
      <w:tblPr>
        <w:tblStyle w:val="52"/>
        <w:tblW w:w="0" w:type="auto"/>
        <w:tblInd w:w="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2"/>
        <w:gridCol w:w="3827"/>
        <w:gridCol w:w="1417"/>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4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240" w:firstLineChars="1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序号</w:t>
            </w:r>
          </w:p>
        </w:tc>
        <w:tc>
          <w:tcPr>
            <w:tcW w:w="38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1440" w:firstLineChars="6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项目内容</w:t>
            </w:r>
          </w:p>
        </w:tc>
        <w:tc>
          <w:tcPr>
            <w:tcW w:w="14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数量</w:t>
            </w:r>
          </w:p>
        </w:tc>
        <w:tc>
          <w:tcPr>
            <w:tcW w:w="226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预算金额（万元）</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（即最高限价）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46" w:hRule="atLeast"/>
        </w:trPr>
        <w:tc>
          <w:tcPr>
            <w:tcW w:w="14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p>
        </w:tc>
        <w:tc>
          <w:tcPr>
            <w:tcW w:w="3827"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磐安县公安局安文***业务用房迁建工程一体化执法办案中心设备采购及安装服务项目</w:t>
            </w:r>
          </w:p>
        </w:tc>
        <w:tc>
          <w:tcPr>
            <w:tcW w:w="14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1批</w:t>
            </w:r>
          </w:p>
        </w:tc>
        <w:tc>
          <w:tcPr>
            <w:tcW w:w="226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508.6695</w:t>
            </w:r>
          </w:p>
        </w:tc>
      </w:tr>
    </w:tbl>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五、合格投标人的资格要求</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1、符合《中华人民共和国政府采购法》第二十二条的要求；</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2、供应商未被列入失信被执行人名单、重大税收违法案件当事人名单、政府采购严重违法失信行为记录名单，信用信息以信用中国网站（www.creditchina.gov.cn）、中国政府采购网（www.ccgp.gov.cn）公布为准。</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sz w:val="24"/>
          <w:szCs w:val="24"/>
        </w:rPr>
        <w:t>3、</w:t>
      </w:r>
      <w:r>
        <w:rPr>
          <w:rFonts w:hint="eastAsia" w:ascii="宋体" w:hAnsi="宋体" w:eastAsia="宋体" w:cs="宋体"/>
          <w:b w:val="0"/>
          <w:bCs w:val="0"/>
          <w:kern w:val="0"/>
          <w:sz w:val="24"/>
          <w:szCs w:val="24"/>
        </w:rPr>
        <w:t>本项目不得转包，谢绝联合体投标。</w:t>
      </w:r>
    </w:p>
    <w:p>
      <w:pPr>
        <w:keepNext w:val="0"/>
        <w:keepLines w:val="0"/>
        <w:pageBreakBefore w:val="0"/>
        <w:widowControl w:val="0"/>
        <w:kinsoku/>
        <w:wordWrap/>
        <w:overflowPunct/>
        <w:topLinePunct w:val="0"/>
        <w:autoSpaceDE/>
        <w:autoSpaceDN/>
        <w:bidi w:val="0"/>
        <w:snapToGrid w:val="0"/>
        <w:spacing w:line="400" w:lineRule="exact"/>
        <w:ind w:right="218" w:rightChars="104" w:firstLine="540" w:firstLineChars="225"/>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六、招投标报名及招标文件的获取：</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（1）网上报名：</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A、由投标单位通过浙江省政府采购网(www.zjzfcg.gov.cn/)上的报名系统进行报名（首次参加投标的单位应先登录浙江省政府采购网(www.zjzfcg.gov.cn/)进行账户注册，注册完毕待审核成功后方可登录报名，注册咨询电话：400-881-7190；注册流程见网址</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http://www.zjzfcg.gov.cn/register/2017-07-24/6728.html?_=2017-11-13%2011:10:28）；</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val="en-US" w:eastAsia="zh-CN"/>
        </w:rPr>
        <w:t>B</w:t>
      </w:r>
      <w:r>
        <w:rPr>
          <w:rFonts w:hint="eastAsia" w:ascii="宋体" w:hAnsi="宋体" w:eastAsia="宋体" w:cs="宋体"/>
          <w:b w:val="0"/>
          <w:bCs w:val="0"/>
          <w:kern w:val="0"/>
          <w:sz w:val="24"/>
          <w:szCs w:val="24"/>
        </w:rPr>
        <w:t>、网上报名者，资格审查资料扫描件在响应附件处上传，完成后单独装订成册快递到金华市公共资源交易中心磐安县分中心二科（政府采购中心）</w:t>
      </w:r>
      <w:r>
        <w:rPr>
          <w:rFonts w:hint="eastAsia" w:ascii="宋体" w:hAnsi="宋体" w:eastAsia="宋体" w:cs="宋体"/>
          <w:b w:val="0"/>
          <w:bCs w:val="0"/>
          <w:kern w:val="0"/>
          <w:sz w:val="24"/>
          <w:szCs w:val="24"/>
          <w:lang w:eastAsia="zh-CN"/>
        </w:rPr>
        <w:t>：</w:t>
      </w:r>
    </w:p>
    <w:p>
      <w:pPr>
        <w:keepNext w:val="0"/>
        <w:keepLines w:val="0"/>
        <w:pageBreakBefore w:val="0"/>
        <w:widowControl w:val="0"/>
        <w:kinsoku/>
        <w:wordWrap/>
        <w:overflowPunct/>
        <w:topLinePunct w:val="0"/>
        <w:autoSpaceDE/>
        <w:autoSpaceDN/>
        <w:bidi w:val="0"/>
        <w:spacing w:line="400" w:lineRule="exact"/>
        <w:ind w:left="50" w:leftChars="24" w:right="60" w:firstLine="753" w:firstLineChars="314"/>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1.企业营业执照副本（复印件）；</w:t>
      </w:r>
    </w:p>
    <w:p>
      <w:pPr>
        <w:keepNext w:val="0"/>
        <w:keepLines w:val="0"/>
        <w:pageBreakBefore w:val="0"/>
        <w:widowControl w:val="0"/>
        <w:kinsoku/>
        <w:wordWrap/>
        <w:overflowPunct/>
        <w:topLinePunct w:val="0"/>
        <w:autoSpaceDE/>
        <w:autoSpaceDN/>
        <w:bidi w:val="0"/>
        <w:spacing w:line="400" w:lineRule="exact"/>
        <w:ind w:left="50" w:leftChars="24" w:right="60" w:firstLine="753" w:firstLineChars="314"/>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2.法定代表人授权委托书（原件）、被授权人身份证（复印件）；</w:t>
      </w:r>
    </w:p>
    <w:p>
      <w:pPr>
        <w:keepNext w:val="0"/>
        <w:keepLines w:val="0"/>
        <w:pageBreakBefore w:val="0"/>
        <w:widowControl w:val="0"/>
        <w:kinsoku/>
        <w:wordWrap/>
        <w:overflowPunct/>
        <w:topLinePunct w:val="0"/>
        <w:autoSpaceDE/>
        <w:autoSpaceDN/>
        <w:bidi w:val="0"/>
        <w:spacing w:line="400" w:lineRule="exact"/>
        <w:ind w:left="50" w:leftChars="24" w:right="60" w:firstLine="753" w:firstLineChars="314"/>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3.投标报名表及供应商市场行为信誉情况承诺书原件等</w:t>
      </w:r>
      <w:r>
        <w:rPr>
          <w:rFonts w:hint="eastAsia" w:ascii="宋体" w:hAnsi="宋体" w:eastAsia="宋体" w:cs="宋体"/>
          <w:b w:val="0"/>
          <w:bCs w:val="0"/>
          <w:color w:val="3366FF"/>
          <w:sz w:val="24"/>
          <w:szCs w:val="24"/>
        </w:rPr>
        <w:t>资料</w:t>
      </w:r>
      <w:r>
        <w:rPr>
          <w:rFonts w:hint="eastAsia" w:ascii="宋体" w:hAnsi="宋体" w:eastAsia="宋体" w:cs="宋体"/>
          <w:b w:val="0"/>
          <w:bCs w:val="0"/>
          <w:sz w:val="24"/>
          <w:szCs w:val="24"/>
        </w:rPr>
        <w:t>；</w:t>
      </w:r>
    </w:p>
    <w:p>
      <w:pPr>
        <w:keepNext w:val="0"/>
        <w:keepLines w:val="0"/>
        <w:pageBreakBefore w:val="0"/>
        <w:widowControl w:val="0"/>
        <w:kinsoku/>
        <w:wordWrap/>
        <w:overflowPunct/>
        <w:topLinePunct w:val="0"/>
        <w:autoSpaceDE/>
        <w:autoSpaceDN/>
        <w:bidi w:val="0"/>
        <w:spacing w:line="400" w:lineRule="exact"/>
        <w:ind w:left="50" w:leftChars="24" w:right="60" w:firstLine="753" w:firstLineChars="314"/>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4.以上原件、复印件均需加盖单位公章。</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 w:val="0"/>
          <w:bCs w:val="0"/>
          <w:dstrike/>
          <w:sz w:val="24"/>
          <w:szCs w:val="24"/>
        </w:rPr>
      </w:pPr>
      <w:r>
        <w:rPr>
          <w:rFonts w:hint="eastAsia" w:ascii="宋体" w:hAnsi="宋体" w:eastAsia="宋体" w:cs="宋体"/>
          <w:b w:val="0"/>
          <w:bCs w:val="0"/>
          <w:sz w:val="24"/>
          <w:szCs w:val="24"/>
        </w:rPr>
        <w:t>（3）在报名截止时间之后至开标截止时间止，仍允许供应商在</w:t>
      </w:r>
      <w:r>
        <w:rPr>
          <w:rFonts w:hint="eastAsia" w:ascii="宋体" w:hAnsi="宋体" w:eastAsia="宋体" w:cs="宋体"/>
          <w:b w:val="0"/>
          <w:bCs w:val="0"/>
          <w:kern w:val="0"/>
          <w:sz w:val="24"/>
          <w:szCs w:val="24"/>
        </w:rPr>
        <w:t>浙江省政府采购网(www.zjzfcg.gov.cn/)报名系统</w:t>
      </w:r>
      <w:r>
        <w:rPr>
          <w:rFonts w:hint="eastAsia" w:ascii="宋体" w:hAnsi="宋体" w:eastAsia="宋体" w:cs="宋体"/>
          <w:b w:val="0"/>
          <w:bCs w:val="0"/>
          <w:sz w:val="24"/>
          <w:szCs w:val="24"/>
        </w:rPr>
        <w:t>中继续报名并获取招标文件，但在“投标人澄清时间”截止之后获取采购文件的潜在投标人如对采购文件有异议的，金华市公共资源交易中心磐安分中心可不予受理、答复。</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（4）招标文件的获取方式：招标人不再向投标人提供纸质招标文件，请投标人自行在下列网址下载电子版的招标文件，招标文件不收工本费。</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浙江省政府采购网(</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"http://www.zjzfcg.gov.cn/"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kern w:val="0"/>
          <w:sz w:val="24"/>
          <w:szCs w:val="24"/>
        </w:rPr>
        <w:t>www.zjzfcg.gov.cn</w:t>
      </w:r>
      <w:r>
        <w:rPr>
          <w:rFonts w:hint="eastAsia" w:ascii="宋体" w:hAnsi="宋体" w:eastAsia="宋体" w:cs="宋体"/>
          <w:b w:val="0"/>
          <w:bCs w:val="0"/>
          <w:kern w:val="0"/>
          <w:sz w:val="24"/>
          <w:szCs w:val="24"/>
        </w:rPr>
        <w:fldChar w:fldCharType="end"/>
      </w:r>
      <w:r>
        <w:rPr>
          <w:rFonts w:hint="eastAsia" w:ascii="宋体" w:hAnsi="宋体" w:eastAsia="宋体" w:cs="宋体"/>
          <w:b w:val="0"/>
          <w:bCs w:val="0"/>
          <w:kern w:val="0"/>
          <w:sz w:val="24"/>
          <w:szCs w:val="24"/>
        </w:rPr>
        <w:t>)</w:t>
      </w:r>
    </w:p>
    <w:p>
      <w:pPr>
        <w:keepNext w:val="0"/>
        <w:keepLines w:val="0"/>
        <w:pageBreakBefore w:val="0"/>
        <w:widowControl w:val="0"/>
        <w:kinsoku/>
        <w:wordWrap/>
        <w:overflowPunct/>
        <w:topLinePunct w:val="0"/>
        <w:autoSpaceDE/>
        <w:autoSpaceDN/>
        <w:bidi w:val="0"/>
        <w:snapToGrid w:val="0"/>
        <w:spacing w:line="400" w:lineRule="exact"/>
        <w:ind w:right="218" w:rightChars="104" w:firstLine="540" w:firstLineChars="225"/>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七、投标保证金：免交。</w:t>
      </w:r>
    </w:p>
    <w:p>
      <w:pPr>
        <w:keepNext w:val="0"/>
        <w:keepLines w:val="0"/>
        <w:pageBreakBefore w:val="0"/>
        <w:widowControl w:val="0"/>
        <w:kinsoku/>
        <w:wordWrap/>
        <w:overflowPunct/>
        <w:topLinePunct w:val="0"/>
        <w:autoSpaceDE/>
        <w:autoSpaceDN/>
        <w:bidi w:val="0"/>
        <w:snapToGrid w:val="0"/>
        <w:spacing w:line="400" w:lineRule="exact"/>
        <w:ind w:right="218" w:rightChars="104" w:firstLine="540" w:firstLineChars="225"/>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八、投标截止时间和地点：</w:t>
      </w:r>
    </w:p>
    <w:p>
      <w:pPr>
        <w:keepNext w:val="0"/>
        <w:keepLines w:val="0"/>
        <w:pageBreakBefore w:val="0"/>
        <w:widowControl w:val="0"/>
        <w:kinsoku/>
        <w:wordWrap/>
        <w:overflowPunct/>
        <w:topLinePunct w:val="0"/>
        <w:autoSpaceDE/>
        <w:autoSpaceDN/>
        <w:bidi w:val="0"/>
        <w:snapToGrid w:val="0"/>
        <w:spacing w:line="400" w:lineRule="exact"/>
        <w:ind w:right="218" w:rightChars="104" w:firstLine="540" w:firstLineChars="225"/>
        <w:textAlignment w:val="auto"/>
        <w:rPr>
          <w:rFonts w:hint="eastAsia" w:ascii="宋体" w:hAnsi="宋体" w:eastAsia="宋体" w:cs="宋体"/>
          <w:b w:val="0"/>
          <w:bCs w:val="0"/>
          <w:color w:val="FF0000"/>
          <w:sz w:val="24"/>
          <w:szCs w:val="24"/>
        </w:rPr>
      </w:pPr>
      <w:r>
        <w:rPr>
          <w:rFonts w:hint="eastAsia" w:ascii="宋体" w:hAnsi="宋体" w:eastAsia="宋体" w:cs="宋体"/>
          <w:b w:val="0"/>
          <w:bCs w:val="0"/>
          <w:sz w:val="24"/>
          <w:szCs w:val="24"/>
        </w:rPr>
        <w:t xml:space="preserve"> </w:t>
      </w:r>
      <w:r>
        <w:rPr>
          <w:rFonts w:hint="eastAsia" w:ascii="宋体" w:hAnsi="宋体" w:eastAsia="宋体" w:cs="宋体"/>
          <w:b w:val="0"/>
          <w:bCs w:val="0"/>
          <w:color w:val="FF0000"/>
          <w:sz w:val="24"/>
          <w:szCs w:val="24"/>
        </w:rPr>
        <w:t>投标人应于</w:t>
      </w:r>
      <w:r>
        <w:rPr>
          <w:rFonts w:hint="eastAsia" w:ascii="宋体" w:hAnsi="宋体" w:eastAsia="宋体" w:cs="宋体"/>
          <w:b w:val="0"/>
          <w:bCs w:val="0"/>
          <w:color w:val="FF0000"/>
          <w:sz w:val="24"/>
          <w:szCs w:val="24"/>
          <w:highlight w:val="green"/>
        </w:rPr>
        <w:t>2019年</w:t>
      </w:r>
      <w:r>
        <w:rPr>
          <w:rFonts w:hint="eastAsia" w:ascii="宋体" w:hAnsi="宋体" w:eastAsia="宋体" w:cs="宋体"/>
          <w:b w:val="0"/>
          <w:bCs w:val="0"/>
          <w:color w:val="FF0000"/>
          <w:sz w:val="24"/>
          <w:szCs w:val="24"/>
          <w:highlight w:val="green"/>
          <w:lang w:val="en-US" w:eastAsia="zh-CN"/>
        </w:rPr>
        <w:t>8</w:t>
      </w:r>
      <w:r>
        <w:rPr>
          <w:rFonts w:hint="eastAsia" w:ascii="宋体" w:hAnsi="宋体" w:eastAsia="宋体" w:cs="宋体"/>
          <w:b w:val="0"/>
          <w:bCs w:val="0"/>
          <w:color w:val="FF0000"/>
          <w:sz w:val="24"/>
          <w:szCs w:val="24"/>
          <w:highlight w:val="green"/>
        </w:rPr>
        <w:t>月</w:t>
      </w:r>
      <w:r>
        <w:rPr>
          <w:rFonts w:hint="eastAsia" w:ascii="宋体" w:hAnsi="宋体" w:eastAsia="宋体" w:cs="宋体"/>
          <w:b w:val="0"/>
          <w:bCs w:val="0"/>
          <w:color w:val="FF0000"/>
          <w:sz w:val="24"/>
          <w:szCs w:val="24"/>
          <w:highlight w:val="green"/>
          <w:lang w:val="en-US" w:eastAsia="zh-CN"/>
        </w:rPr>
        <w:t>28</w:t>
      </w:r>
      <w:r>
        <w:rPr>
          <w:rFonts w:hint="eastAsia" w:ascii="宋体" w:hAnsi="宋体" w:eastAsia="宋体" w:cs="宋体"/>
          <w:b w:val="0"/>
          <w:bCs w:val="0"/>
          <w:color w:val="FF0000"/>
          <w:sz w:val="24"/>
          <w:szCs w:val="24"/>
          <w:highlight w:val="green"/>
        </w:rPr>
        <w:t>日上午9:</w:t>
      </w:r>
      <w:r>
        <w:rPr>
          <w:rFonts w:hint="eastAsia" w:ascii="宋体" w:hAnsi="宋体" w:eastAsia="宋体" w:cs="宋体"/>
          <w:b w:val="0"/>
          <w:bCs w:val="0"/>
          <w:color w:val="FF0000"/>
          <w:sz w:val="24"/>
          <w:szCs w:val="24"/>
          <w:highlight w:val="green"/>
          <w:lang w:val="en-US" w:eastAsia="zh-CN"/>
        </w:rPr>
        <w:t>30时</w:t>
      </w:r>
      <w:r>
        <w:rPr>
          <w:rFonts w:hint="eastAsia" w:ascii="宋体" w:hAnsi="宋体" w:eastAsia="宋体" w:cs="宋体"/>
          <w:b w:val="0"/>
          <w:bCs w:val="0"/>
          <w:color w:val="FF0000"/>
          <w:sz w:val="24"/>
          <w:szCs w:val="24"/>
        </w:rPr>
        <w:t>前将投标文件密封送交到金华市公共资源交易中心磐安县分中心开标室二（安文街道花月路211号建设大厦22楼），逾期送达或未密封将拒绝接收。</w:t>
      </w:r>
    </w:p>
    <w:p>
      <w:pPr>
        <w:keepNext w:val="0"/>
        <w:keepLines w:val="0"/>
        <w:pageBreakBefore w:val="0"/>
        <w:widowControl w:val="0"/>
        <w:kinsoku/>
        <w:wordWrap/>
        <w:overflowPunct/>
        <w:topLinePunct w:val="0"/>
        <w:autoSpaceDE/>
        <w:autoSpaceDN/>
        <w:bidi w:val="0"/>
        <w:snapToGrid w:val="0"/>
        <w:spacing w:line="400" w:lineRule="exact"/>
        <w:ind w:right="218" w:rightChars="104" w:firstLine="540" w:firstLineChars="225"/>
        <w:textAlignment w:val="auto"/>
        <w:rPr>
          <w:rFonts w:hint="eastAsia" w:ascii="宋体" w:hAnsi="宋体" w:eastAsia="宋体" w:cs="宋体"/>
          <w:b w:val="0"/>
          <w:bCs w:val="0"/>
          <w:color w:val="FF0000"/>
          <w:sz w:val="24"/>
          <w:szCs w:val="24"/>
        </w:rPr>
      </w:pPr>
      <w:r>
        <w:rPr>
          <w:rFonts w:hint="eastAsia" w:ascii="宋体" w:hAnsi="宋体" w:eastAsia="宋体" w:cs="宋体"/>
          <w:b w:val="0"/>
          <w:bCs w:val="0"/>
          <w:sz w:val="24"/>
          <w:szCs w:val="24"/>
        </w:rPr>
        <w:t>九、开标时间及地点</w:t>
      </w:r>
      <w:r>
        <w:rPr>
          <w:rFonts w:hint="eastAsia" w:ascii="宋体" w:hAnsi="宋体" w:eastAsia="宋体" w:cs="宋体"/>
          <w:b w:val="0"/>
          <w:bCs w:val="0"/>
          <w:color w:val="FF0000"/>
          <w:sz w:val="24"/>
          <w:szCs w:val="24"/>
        </w:rPr>
        <w:t>：</w:t>
      </w:r>
    </w:p>
    <w:p>
      <w:pPr>
        <w:keepNext w:val="0"/>
        <w:keepLines w:val="0"/>
        <w:pageBreakBefore w:val="0"/>
        <w:widowControl w:val="0"/>
        <w:kinsoku/>
        <w:wordWrap/>
        <w:overflowPunct/>
        <w:topLinePunct w:val="0"/>
        <w:autoSpaceDE/>
        <w:autoSpaceDN/>
        <w:bidi w:val="0"/>
        <w:snapToGrid w:val="0"/>
        <w:spacing w:line="400" w:lineRule="exact"/>
        <w:ind w:right="218" w:rightChars="104" w:firstLine="540" w:firstLineChars="225"/>
        <w:textAlignment w:val="auto"/>
        <w:rPr>
          <w:rFonts w:hint="eastAsia" w:ascii="宋体" w:hAnsi="宋体" w:eastAsia="宋体" w:cs="宋体"/>
          <w:b w:val="0"/>
          <w:bCs w:val="0"/>
          <w:color w:val="FF0000"/>
          <w:sz w:val="24"/>
          <w:szCs w:val="24"/>
        </w:rPr>
      </w:pPr>
      <w:r>
        <w:rPr>
          <w:rFonts w:hint="eastAsia" w:ascii="宋体" w:hAnsi="宋体" w:eastAsia="宋体" w:cs="宋体"/>
          <w:b w:val="0"/>
          <w:bCs w:val="0"/>
          <w:color w:val="FF0000"/>
          <w:sz w:val="24"/>
          <w:szCs w:val="24"/>
        </w:rPr>
        <w:t>本次招标将于</w:t>
      </w:r>
      <w:r>
        <w:rPr>
          <w:rFonts w:hint="eastAsia" w:ascii="宋体" w:hAnsi="宋体" w:eastAsia="宋体" w:cs="宋体"/>
          <w:b w:val="0"/>
          <w:bCs w:val="0"/>
          <w:color w:val="FF0000"/>
          <w:sz w:val="24"/>
          <w:szCs w:val="24"/>
          <w:highlight w:val="green"/>
        </w:rPr>
        <w:t>2019年</w:t>
      </w:r>
      <w:r>
        <w:rPr>
          <w:rFonts w:hint="eastAsia" w:ascii="宋体" w:hAnsi="宋体" w:eastAsia="宋体" w:cs="宋体"/>
          <w:b w:val="0"/>
          <w:bCs w:val="0"/>
          <w:color w:val="FF0000"/>
          <w:sz w:val="24"/>
          <w:szCs w:val="24"/>
          <w:highlight w:val="green"/>
          <w:lang w:val="en-US" w:eastAsia="zh-CN"/>
        </w:rPr>
        <w:t>8</w:t>
      </w:r>
      <w:r>
        <w:rPr>
          <w:rFonts w:hint="eastAsia" w:ascii="宋体" w:hAnsi="宋体" w:eastAsia="宋体" w:cs="宋体"/>
          <w:b w:val="0"/>
          <w:bCs w:val="0"/>
          <w:color w:val="FF0000"/>
          <w:sz w:val="24"/>
          <w:szCs w:val="24"/>
          <w:highlight w:val="green"/>
        </w:rPr>
        <w:t>月</w:t>
      </w:r>
      <w:r>
        <w:rPr>
          <w:rFonts w:hint="eastAsia" w:ascii="宋体" w:hAnsi="宋体" w:eastAsia="宋体" w:cs="宋体"/>
          <w:b w:val="0"/>
          <w:bCs w:val="0"/>
          <w:color w:val="FF0000"/>
          <w:sz w:val="24"/>
          <w:szCs w:val="24"/>
          <w:highlight w:val="green"/>
          <w:lang w:val="en-US" w:eastAsia="zh-CN"/>
        </w:rPr>
        <w:t>28</w:t>
      </w:r>
      <w:r>
        <w:rPr>
          <w:rFonts w:hint="eastAsia" w:ascii="宋体" w:hAnsi="宋体" w:eastAsia="宋体" w:cs="宋体"/>
          <w:b w:val="0"/>
          <w:bCs w:val="0"/>
          <w:color w:val="FF0000"/>
          <w:sz w:val="24"/>
          <w:szCs w:val="24"/>
          <w:highlight w:val="green"/>
        </w:rPr>
        <w:t>日上午9:</w:t>
      </w:r>
      <w:r>
        <w:rPr>
          <w:rFonts w:hint="eastAsia" w:ascii="宋体" w:hAnsi="宋体" w:eastAsia="宋体" w:cs="宋体"/>
          <w:b w:val="0"/>
          <w:bCs w:val="0"/>
          <w:color w:val="FF0000"/>
          <w:sz w:val="24"/>
          <w:szCs w:val="24"/>
          <w:highlight w:val="green"/>
          <w:lang w:val="en-US" w:eastAsia="zh-CN"/>
        </w:rPr>
        <w:t>30时</w:t>
      </w:r>
      <w:r>
        <w:rPr>
          <w:rFonts w:hint="eastAsia" w:ascii="宋体" w:hAnsi="宋体" w:eastAsia="宋体" w:cs="宋体"/>
          <w:b w:val="0"/>
          <w:bCs w:val="0"/>
          <w:sz w:val="24"/>
          <w:szCs w:val="24"/>
        </w:rPr>
        <w:t>在金华市公共资源交易中心磐安县分中心开标室二（安文街道花月路211号建设大厦22楼）开标，投标人派代表参加开标会议时，法定代表人应携带法定代表人材料和身份证；授权代表应携带法定代表人授权委托书、身份证等有效材料出席开标会议。</w:t>
      </w:r>
    </w:p>
    <w:p>
      <w:pPr>
        <w:keepNext w:val="0"/>
        <w:keepLines w:val="0"/>
        <w:pageBreakBefore w:val="0"/>
        <w:widowControl w:val="0"/>
        <w:kinsoku/>
        <w:wordWrap/>
        <w:overflowPunct/>
        <w:topLinePunct w:val="0"/>
        <w:autoSpaceDE/>
        <w:autoSpaceDN/>
        <w:bidi w:val="0"/>
        <w:snapToGrid w:val="0"/>
        <w:spacing w:line="400" w:lineRule="exact"/>
        <w:ind w:right="218" w:rightChars="104" w:firstLine="540" w:firstLineChars="225"/>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投标人未派代表参加开标会议的（含未携带以上规定资料参加开标会议的），视同认可开标结果，不得对开标过程及开标结果提出</w:t>
      </w:r>
      <w:bookmarkStart w:id="0" w:name="_GoBack"/>
      <w:bookmarkEnd w:id="0"/>
      <w:r>
        <w:rPr>
          <w:rFonts w:hint="eastAsia" w:ascii="宋体" w:hAnsi="宋体" w:eastAsia="宋体" w:cs="宋体"/>
          <w:b w:val="0"/>
          <w:bCs w:val="0"/>
          <w:sz w:val="24"/>
          <w:szCs w:val="24"/>
        </w:rPr>
        <w:t>质疑。</w:t>
      </w:r>
    </w:p>
    <w:p>
      <w:pPr>
        <w:keepNext w:val="0"/>
        <w:keepLines w:val="0"/>
        <w:pageBreakBefore w:val="0"/>
        <w:widowControl w:val="0"/>
        <w:kinsoku/>
        <w:wordWrap/>
        <w:overflowPunct/>
        <w:topLinePunct w:val="0"/>
        <w:autoSpaceDE/>
        <w:autoSpaceDN/>
        <w:bidi w:val="0"/>
        <w:snapToGrid w:val="0"/>
        <w:spacing w:line="400" w:lineRule="exact"/>
        <w:ind w:right="218" w:rightChars="104" w:firstLine="540" w:firstLineChars="225"/>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公告期限:本项目公告期限为5个工作日（以公告发布次日开始计算）</w:t>
      </w:r>
    </w:p>
    <w:p>
      <w:pPr>
        <w:keepNext w:val="0"/>
        <w:keepLines w:val="0"/>
        <w:pageBreakBefore w:val="0"/>
        <w:widowControl w:val="0"/>
        <w:kinsoku/>
        <w:wordWrap/>
        <w:overflowPunct/>
        <w:topLinePunct w:val="0"/>
        <w:autoSpaceDE/>
        <w:autoSpaceDN/>
        <w:bidi w:val="0"/>
        <w:snapToGrid w:val="0"/>
        <w:spacing w:line="400" w:lineRule="exact"/>
        <w:ind w:firstLine="420"/>
        <w:textAlignment w:val="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十、业务咨询：</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金华市政府采购中心磐安县分中心联系人：周乐飞 陈娅妮</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联系电话：0579-84665308     传真：0579-84665305</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地址：磐安县安文镇花月路211号21楼县公共资源交易中心二科</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sz w:val="24"/>
          <w:szCs w:val="24"/>
        </w:rPr>
        <w:t>磐安县公安局   联系人： 张飞仁   陈栋</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联系电话：              地址：  </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政府采购行政监管及投诉受理部门联系人：  </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磐安县财政局政府采购监管科，  联系人：陈巧慧      联系电话：0579-84883829</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地址: 磐安县安文镇文溪南街88号</w:t>
      </w:r>
    </w:p>
    <w:p>
      <w:pPr>
        <w:keepNext w:val="0"/>
        <w:keepLines w:val="0"/>
        <w:pageBreakBefore w:val="0"/>
        <w:widowControl w:val="0"/>
        <w:kinsoku/>
        <w:wordWrap/>
        <w:overflowPunct/>
        <w:topLinePunct w:val="0"/>
        <w:autoSpaceDE/>
        <w:autoSpaceDN/>
        <w:bidi w:val="0"/>
        <w:snapToGrid w:val="0"/>
        <w:spacing w:line="400" w:lineRule="exact"/>
        <w:ind w:firstLine="420"/>
        <w:textAlignment w:val="auto"/>
        <w:rPr>
          <w:rFonts w:hint="eastAsia" w:ascii="宋体" w:hAnsi="宋体" w:eastAsia="宋体" w:cs="宋体"/>
          <w:b w:val="0"/>
          <w:bCs w:val="0"/>
          <w:color w:val="000000"/>
          <w:sz w:val="24"/>
          <w:szCs w:val="24"/>
          <w:u w:val="single"/>
        </w:rPr>
      </w:pPr>
    </w:p>
    <w:p>
      <w:pPr>
        <w:keepNext w:val="0"/>
        <w:keepLines w:val="0"/>
        <w:pageBreakBefore w:val="0"/>
        <w:widowControl w:val="0"/>
        <w:kinsoku/>
        <w:wordWrap/>
        <w:overflowPunct/>
        <w:topLinePunct w:val="0"/>
        <w:autoSpaceDE/>
        <w:autoSpaceDN/>
        <w:bidi w:val="0"/>
        <w:snapToGrid w:val="0"/>
        <w:spacing w:line="400" w:lineRule="exact"/>
        <w:ind w:left="238"/>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p>
      <w:pPr>
        <w:keepNext w:val="0"/>
        <w:keepLines w:val="0"/>
        <w:pageBreakBefore w:val="0"/>
        <w:widowControl w:val="0"/>
        <w:kinsoku/>
        <w:wordWrap/>
        <w:overflowPunct/>
        <w:topLinePunct w:val="0"/>
        <w:autoSpaceDE/>
        <w:autoSpaceDN/>
        <w:bidi w:val="0"/>
        <w:snapToGrid w:val="0"/>
        <w:spacing w:line="400" w:lineRule="exact"/>
        <w:ind w:left="238"/>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金华市政府采购中心磐安县分中心</w:t>
      </w:r>
    </w:p>
    <w:p>
      <w:pPr>
        <w:keepNext w:val="0"/>
        <w:keepLines w:val="0"/>
        <w:pageBreakBefore w:val="0"/>
        <w:widowControl w:val="0"/>
        <w:kinsoku/>
        <w:wordWrap/>
        <w:overflowPunct/>
        <w:topLinePunct w:val="0"/>
        <w:autoSpaceDE/>
        <w:autoSpaceDN/>
        <w:bidi w:val="0"/>
        <w:adjustRightInd w:val="0"/>
        <w:snapToGrid w:val="0"/>
        <w:spacing w:line="400" w:lineRule="exact"/>
        <w:ind w:firstLine="120" w:firstLineChars="5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2019年</w:t>
      </w: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月</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日</w:t>
      </w:r>
    </w:p>
    <w:p>
      <w:pPr>
        <w:keepNext w:val="0"/>
        <w:keepLines w:val="0"/>
        <w:pageBreakBefore w:val="0"/>
        <w:widowControl w:val="0"/>
        <w:kinsoku/>
        <w:wordWrap/>
        <w:overflowPunct/>
        <w:topLinePunct w:val="0"/>
        <w:autoSpaceDE/>
        <w:autoSpaceDN/>
        <w:bidi w:val="0"/>
        <w:snapToGrid w:val="0"/>
        <w:spacing w:line="400" w:lineRule="exact"/>
        <w:ind w:firstLine="540" w:firstLineChars="225"/>
        <w:textAlignment w:val="auto"/>
        <w:rPr>
          <w:rFonts w:hint="eastAsia" w:ascii="宋体" w:hAnsi="宋体" w:eastAsia="宋体" w:cs="宋体"/>
          <w:b w:val="0"/>
          <w:bCs w:val="0"/>
          <w:sz w:val="24"/>
          <w:szCs w:val="24"/>
        </w:rPr>
        <w:sectPr>
          <w:pgSz w:w="11906" w:h="16838"/>
          <w:pgMar w:top="1474" w:right="1134" w:bottom="1134" w:left="1361" w:header="851" w:footer="851" w:gutter="0"/>
          <w:cols w:space="720" w:num="1"/>
          <w:docGrid w:linePitch="312" w:charSpace="0"/>
        </w:sectPr>
      </w:pPr>
    </w:p>
    <w:p>
      <w:pPr>
        <w:keepNext/>
        <w:keepLines/>
        <w:numPr>
          <w:ilvl w:val="0"/>
          <w:numId w:val="9"/>
        </w:numPr>
        <w:spacing w:before="120" w:after="120" w:line="578" w:lineRule="auto"/>
        <w:jc w:val="center"/>
        <w:outlineLvl w:val="0"/>
        <w:rPr>
          <w:rFonts w:hint="eastAsia" w:ascii="宋体" w:hAnsi="宋体" w:cs="Arial"/>
          <w:b/>
          <w:bCs/>
          <w:sz w:val="32"/>
          <w:szCs w:val="32"/>
          <w:u w:val="single"/>
        </w:rPr>
      </w:pPr>
      <w:r>
        <w:rPr>
          <w:rFonts w:hint="eastAsia" w:ascii="宋体" w:hAnsi="宋体" w:cs="Arial"/>
          <w:b/>
          <w:bCs/>
          <w:sz w:val="32"/>
          <w:szCs w:val="32"/>
          <w:u w:val="single"/>
        </w:rPr>
        <w:t>招标需求</w:t>
      </w:r>
    </w:p>
    <w:p>
      <w:pPr>
        <w:snapToGrid w:val="0"/>
        <w:ind w:firstLine="422" w:firstLineChars="200"/>
        <w:jc w:val="left"/>
        <w:rPr>
          <w:rFonts w:hint="eastAsia" w:ascii="宋体" w:hAnsi="宋体" w:eastAsia="宋体" w:cs="宋体"/>
          <w:b/>
          <w:bCs/>
          <w:sz w:val="21"/>
          <w:szCs w:val="21"/>
          <w:u w:val="single"/>
        </w:rPr>
      </w:pPr>
      <w:bookmarkStart w:id="1" w:name="_Toc253388747"/>
      <w:r>
        <w:rPr>
          <w:rFonts w:hint="eastAsia" w:ascii="宋体" w:hAnsi="宋体" w:eastAsia="宋体" w:cs="宋体"/>
          <w:b/>
          <w:bCs/>
          <w:sz w:val="21"/>
          <w:szCs w:val="21"/>
          <w:u w:val="single"/>
        </w:rPr>
        <w:t>（▲条款为实质性条款，不允许负偏离，否则作无效标处理；★条款为重要项，负偏离将导致严重扣分）</w:t>
      </w:r>
    </w:p>
    <w:bookmarkEnd w:id="1"/>
    <w:p>
      <w:pPr>
        <w:rPr>
          <w:rFonts w:hint="eastAsia" w:ascii="宋体" w:hAnsi="宋体" w:eastAsia="宋体" w:cs="宋体"/>
          <w:b/>
          <w:bCs/>
          <w:sz w:val="21"/>
          <w:szCs w:val="21"/>
        </w:rPr>
      </w:pPr>
    </w:p>
    <w:p>
      <w:pPr>
        <w:spacing w:line="560" w:lineRule="atLeast"/>
        <w:jc w:val="left"/>
        <w:rPr>
          <w:rFonts w:hint="eastAsia" w:ascii="宋体" w:hAnsi="宋体" w:eastAsia="宋体" w:cs="宋体"/>
          <w:b/>
          <w:kern w:val="0"/>
          <w:sz w:val="21"/>
          <w:szCs w:val="21"/>
        </w:rPr>
      </w:pPr>
      <w:r>
        <w:rPr>
          <w:rFonts w:hint="eastAsia" w:ascii="宋体" w:hAnsi="宋体" w:eastAsia="宋体" w:cs="宋体"/>
          <w:b/>
          <w:kern w:val="0"/>
          <w:sz w:val="21"/>
          <w:szCs w:val="21"/>
        </w:rPr>
        <w:t>一、建设背景</w:t>
      </w:r>
    </w:p>
    <w:p>
      <w:pPr>
        <w:spacing w:line="560" w:lineRule="atLeast"/>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为适应以审判为中心的诉讼制度，全面深化公安改革，持续推进公安机关执法规范化建设，扎实建立硬件建设标准化、组织管理精细化、案件办理集约化、执法行为规范化的执法办案管理中心。</w:t>
      </w:r>
    </w:p>
    <w:p>
      <w:pPr>
        <w:spacing w:line="560" w:lineRule="atLeast"/>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进一步深化执法规范化建设、全面建设法治公安，按照全面深化公安改革的总体要求，严格落实“四个一律”，全面提升办案区管理精细化、智能化、流程化、实战化水平，促进公安机关严格公正文明规范执法，为提升执法公信力、维护社会公平正义提供有力支撑和保障。结合磐安县公安局实践经验，拟建设辅助办案场所规范执法，确保办案场所统一管理、案件集中办理，打造案件集中审理、全程闭环、全程监督的执法办案新模式。</w:t>
      </w:r>
    </w:p>
    <w:p>
      <w:pPr>
        <w:spacing w:line="560" w:lineRule="atLeast"/>
        <w:ind w:firstLine="420" w:firstLineChars="200"/>
        <w:jc w:val="left"/>
        <w:rPr>
          <w:rFonts w:hint="eastAsia" w:ascii="宋体" w:hAnsi="宋体" w:eastAsia="宋体" w:cs="宋体"/>
          <w:sz w:val="21"/>
          <w:szCs w:val="21"/>
        </w:rPr>
      </w:pPr>
      <w:r>
        <w:rPr>
          <w:rFonts w:hint="eastAsia" w:ascii="宋体" w:hAnsi="宋体" w:eastAsia="宋体" w:cs="宋体"/>
          <w:sz w:val="21"/>
          <w:szCs w:val="21"/>
        </w:rPr>
        <w:t>通过磐安县公安局一体化办案中心的建设既解决了日常办案中存在的问题，也降低了民警的工作量、提高了工作效率；既公正文明了执法规范，同时也极大的促进了执法公信力、维护了社会公平正义。</w:t>
      </w:r>
    </w:p>
    <w:p>
      <w:pPr>
        <w:spacing w:line="560" w:lineRule="atLeast"/>
        <w:jc w:val="left"/>
        <w:rPr>
          <w:rFonts w:hint="eastAsia" w:ascii="宋体" w:hAnsi="宋体" w:eastAsia="宋体" w:cs="宋体"/>
          <w:sz w:val="21"/>
          <w:szCs w:val="21"/>
        </w:rPr>
      </w:pPr>
      <w:r>
        <w:rPr>
          <w:rFonts w:hint="eastAsia" w:ascii="宋体" w:hAnsi="宋体" w:eastAsia="宋体" w:cs="宋体"/>
          <w:sz w:val="21"/>
          <w:szCs w:val="21"/>
        </w:rPr>
        <w:t>二、项目要求</w:t>
      </w:r>
    </w:p>
    <w:tbl>
      <w:tblPr>
        <w:tblStyle w:val="52"/>
        <w:tblW w:w="0" w:type="auto"/>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
      <w:tblGrid>
        <w:gridCol w:w="1673"/>
        <w:gridCol w:w="765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8" w:type="dxa"/>
            <w:bottom w:w="0" w:type="dxa"/>
            <w:right w:w="108" w:type="dxa"/>
          </w:tblCellMar>
        </w:tblPrEx>
        <w:trPr>
          <w:wBefore w:w="0" w:type="dxa"/>
          <w:wAfter w:w="0" w:type="dxa"/>
          <w:trHeight w:val="310" w:hRule="atLeast"/>
        </w:trPr>
        <w:tc>
          <w:tcPr>
            <w:tcW w:w="167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rFonts w:hint="eastAsia" w:ascii="宋体" w:hAnsi="宋体" w:eastAsia="宋体" w:cs="宋体"/>
                <w:sz w:val="21"/>
                <w:szCs w:val="21"/>
              </w:rPr>
            </w:pPr>
            <w:r>
              <w:rPr>
                <w:rFonts w:hint="eastAsia" w:ascii="宋体" w:hAnsi="宋体" w:eastAsia="宋体" w:cs="宋体"/>
                <w:sz w:val="21"/>
                <w:szCs w:val="21"/>
              </w:rPr>
              <w:t>标项</w:t>
            </w:r>
          </w:p>
        </w:tc>
        <w:tc>
          <w:tcPr>
            <w:tcW w:w="765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spacing w:line="560" w:lineRule="atLeast"/>
              <w:jc w:val="left"/>
              <w:rPr>
                <w:rFonts w:hint="eastAsia" w:ascii="宋体" w:hAnsi="宋体" w:eastAsia="宋体" w:cs="宋体"/>
                <w:sz w:val="21"/>
                <w:szCs w:val="21"/>
              </w:rPr>
            </w:pPr>
            <w:r>
              <w:rPr>
                <w:rFonts w:hint="eastAsia" w:ascii="宋体" w:hAnsi="宋体" w:eastAsia="宋体" w:cs="宋体"/>
                <w:sz w:val="21"/>
                <w:szCs w:val="21"/>
              </w:rPr>
              <w:t>磐安县公安局安文***业务用房迁建工程一体化执法办案中心设备采购及安装服务项目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8" w:type="dxa"/>
            <w:bottom w:w="0" w:type="dxa"/>
            <w:right w:w="108" w:type="dxa"/>
          </w:tblCellMar>
        </w:tblPrEx>
        <w:trPr>
          <w:wBefore w:w="0" w:type="dxa"/>
          <w:wAfter w:w="0" w:type="dxa"/>
          <w:trHeight w:val="498" w:hRule="atLeast"/>
        </w:trPr>
        <w:tc>
          <w:tcPr>
            <w:tcW w:w="167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rFonts w:hint="eastAsia" w:ascii="宋体" w:hAnsi="宋体" w:eastAsia="宋体" w:cs="宋体"/>
                <w:sz w:val="21"/>
                <w:szCs w:val="21"/>
              </w:rPr>
            </w:pPr>
            <w:r>
              <w:rPr>
                <w:rFonts w:hint="eastAsia" w:ascii="宋体" w:hAnsi="宋体" w:eastAsia="宋体" w:cs="宋体"/>
                <w:sz w:val="21"/>
                <w:szCs w:val="21"/>
              </w:rPr>
              <w:t>采购内容</w:t>
            </w:r>
          </w:p>
        </w:tc>
        <w:tc>
          <w:tcPr>
            <w:tcW w:w="765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eastAsia="宋体" w:cs="宋体"/>
                <w:sz w:val="21"/>
                <w:szCs w:val="21"/>
              </w:rPr>
            </w:pPr>
            <w:r>
              <w:rPr>
                <w:rFonts w:hint="eastAsia" w:ascii="宋体" w:hAnsi="宋体" w:eastAsia="宋体" w:cs="宋体"/>
                <w:sz w:val="21"/>
                <w:szCs w:val="21"/>
              </w:rPr>
              <w:t>建设执法办案区、案件管理中心、涉案财物管理中心及配套安装服务，包括设备、材料的供货、安装、调试、试运行、相关检测、验收、交付使用、技术培训、售后服务等。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8" w:type="dxa"/>
            <w:bottom w:w="0" w:type="dxa"/>
            <w:right w:w="108" w:type="dxa"/>
          </w:tblCellMar>
        </w:tblPrEx>
        <w:trPr>
          <w:wBefore w:w="0" w:type="dxa"/>
          <w:wAfter w:w="0" w:type="dxa"/>
          <w:trHeight w:val="310" w:hRule="atLeast"/>
        </w:trPr>
        <w:tc>
          <w:tcPr>
            <w:tcW w:w="167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rFonts w:hint="eastAsia" w:ascii="宋体" w:hAnsi="宋体" w:eastAsia="宋体" w:cs="宋体"/>
                <w:sz w:val="21"/>
                <w:szCs w:val="21"/>
              </w:rPr>
            </w:pPr>
            <w:r>
              <w:rPr>
                <w:rFonts w:hint="eastAsia" w:ascii="宋体" w:hAnsi="宋体" w:eastAsia="宋体" w:cs="宋体"/>
                <w:sz w:val="21"/>
                <w:szCs w:val="21"/>
              </w:rPr>
              <w:t>规格及型号</w:t>
            </w:r>
          </w:p>
        </w:tc>
        <w:tc>
          <w:tcPr>
            <w:tcW w:w="765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eastAsia="宋体" w:cs="宋体"/>
                <w:sz w:val="21"/>
                <w:szCs w:val="21"/>
              </w:rPr>
            </w:pPr>
            <w:r>
              <w:rPr>
                <w:rFonts w:hint="eastAsia" w:ascii="宋体" w:hAnsi="宋体" w:eastAsia="宋体" w:cs="宋体"/>
                <w:sz w:val="21"/>
                <w:szCs w:val="21"/>
              </w:rPr>
              <w:t>详见技术需求表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8" w:type="dxa"/>
            <w:bottom w:w="0" w:type="dxa"/>
            <w:right w:w="108" w:type="dxa"/>
          </w:tblCellMar>
        </w:tblPrEx>
        <w:trPr>
          <w:wBefore w:w="0" w:type="dxa"/>
          <w:wAfter w:w="0" w:type="dxa"/>
          <w:trHeight w:val="310" w:hRule="atLeast"/>
        </w:trPr>
        <w:tc>
          <w:tcPr>
            <w:tcW w:w="167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rFonts w:hint="eastAsia" w:ascii="宋体" w:hAnsi="宋体" w:eastAsia="宋体" w:cs="宋体"/>
                <w:sz w:val="21"/>
                <w:szCs w:val="21"/>
              </w:rPr>
            </w:pPr>
            <w:r>
              <w:rPr>
                <w:rFonts w:hint="eastAsia" w:ascii="宋体" w:hAnsi="宋体" w:eastAsia="宋体" w:cs="宋体"/>
                <w:sz w:val="21"/>
                <w:szCs w:val="21"/>
              </w:rPr>
              <w:t>单位及数量</w:t>
            </w:r>
          </w:p>
        </w:tc>
        <w:tc>
          <w:tcPr>
            <w:tcW w:w="765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eastAsia="宋体" w:cs="宋体"/>
                <w:sz w:val="21"/>
                <w:szCs w:val="21"/>
              </w:rPr>
            </w:pPr>
            <w:r>
              <w:rPr>
                <w:rFonts w:hint="eastAsia" w:ascii="宋体" w:hAnsi="宋体" w:eastAsia="宋体" w:cs="宋体"/>
                <w:sz w:val="21"/>
                <w:szCs w:val="21"/>
              </w:rPr>
              <w:t>详见技术需求表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8" w:type="dxa"/>
            <w:bottom w:w="0" w:type="dxa"/>
            <w:right w:w="108" w:type="dxa"/>
          </w:tblCellMar>
        </w:tblPrEx>
        <w:trPr>
          <w:wBefore w:w="0" w:type="dxa"/>
          <w:wAfter w:w="0" w:type="dxa"/>
          <w:trHeight w:val="8198" w:hRule="atLeast"/>
        </w:trPr>
        <w:tc>
          <w:tcPr>
            <w:tcW w:w="167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rFonts w:hint="eastAsia" w:ascii="宋体" w:hAnsi="宋体" w:eastAsia="宋体" w:cs="宋体"/>
                <w:sz w:val="21"/>
                <w:szCs w:val="21"/>
              </w:rPr>
            </w:pPr>
            <w:r>
              <w:rPr>
                <w:rFonts w:hint="eastAsia" w:ascii="宋体" w:hAnsi="宋体" w:eastAsia="宋体" w:cs="宋体"/>
                <w:sz w:val="21"/>
                <w:szCs w:val="21"/>
              </w:rPr>
              <w:t>用途</w:t>
            </w:r>
          </w:p>
        </w:tc>
        <w:tc>
          <w:tcPr>
            <w:tcW w:w="765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spacing w:line="580" w:lineRule="exact"/>
              <w:jc w:val="left"/>
              <w:rPr>
                <w:rFonts w:hint="eastAsia" w:ascii="宋体" w:hAnsi="宋体" w:eastAsia="宋体" w:cs="宋体"/>
                <w:sz w:val="21"/>
                <w:szCs w:val="21"/>
              </w:rPr>
            </w:pPr>
            <w:r>
              <w:rPr>
                <w:rFonts w:hint="eastAsia" w:ascii="宋体" w:hAnsi="宋体" w:eastAsia="宋体" w:cs="宋体"/>
                <w:sz w:val="21"/>
                <w:szCs w:val="21"/>
              </w:rPr>
              <w:t>本项目按照《公安机关讯问犯罪嫌疑人录音录像工作规定》、《公安机关执法办案场所办案区使用管理规定》、《人民检察院讯问职务犯罪嫌疑人实行全程同步录音录像系统建设规范》、《关于进一步推进执法办案场所规范化改造加强使用管理的通知》、《公安机关执法办案场所设置规范》、《浙江省公安***执法办案功能区建设使用规范》（试行）等标准进行建设，以“建设与中国特色社会主义法治体系相适应的现代**运行机制”的总体要求，围绕法治公安建设目标，以严格规范公正文明执法为主线，以解决执法突出问题为导向，以科技信息技术为支撑，按照辅助办案、支撑办案、监督办案和安全规范、公正文明、融合共享、智能高效的思路，建设“空间集中、功能齐全、衔接流畅、管理集约”，集执法办案、案件管理、物证管理、执法执纪监督等多功能于一体的智能化执法办案管理中心，实现案件集中办理、警种合成作战、同步审核监督、全要素全流程管理的“一体化”执法办案和监督管理模式，不断提高执法办案和监督管理的规范化、集约化、智能化水平，推动全县公安机关执法规范化建设提档升级，提升执法公信力和群众满意度、获得感。</w:t>
            </w:r>
          </w:p>
        </w:tc>
      </w:tr>
    </w:tbl>
    <w:p>
      <w:pPr>
        <w:pStyle w:val="99"/>
        <w:pageBreakBefore/>
        <w:numPr>
          <w:ilvl w:val="0"/>
          <w:numId w:val="10"/>
        </w:numPr>
        <w:spacing w:line="560" w:lineRule="atLeast"/>
        <w:ind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技术需求表</w:t>
      </w:r>
    </w:p>
    <w:p>
      <w:pPr>
        <w:pStyle w:val="5"/>
        <w:numPr>
          <w:ilvl w:val="0"/>
          <w:numId w:val="11"/>
        </w:numPr>
        <w:spacing w:line="5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智能化范围</w:t>
      </w:r>
    </w:p>
    <w:tbl>
      <w:tblPr>
        <w:tblStyle w:val="52"/>
        <w:tblW w:w="0" w:type="auto"/>
        <w:tblInd w:w="0" w:type="dxa"/>
        <w:tblLayout w:type="fixed"/>
        <w:tblCellMar>
          <w:top w:w="0" w:type="dxa"/>
          <w:left w:w="0" w:type="dxa"/>
          <w:bottom w:w="0" w:type="dxa"/>
          <w:right w:w="0" w:type="dxa"/>
        </w:tblCellMar>
      </w:tblPr>
      <w:tblGrid>
        <w:gridCol w:w="522"/>
        <w:gridCol w:w="1365"/>
        <w:gridCol w:w="640"/>
        <w:gridCol w:w="610"/>
        <w:gridCol w:w="6304"/>
      </w:tblGrid>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bookmarkStart w:id="2" w:name="OLE_LINK1"/>
            <w:r>
              <w:rPr>
                <w:rFonts w:hint="eastAsia" w:ascii="宋体" w:hAnsi="宋体" w:eastAsia="宋体" w:cs="宋体"/>
                <w:color w:val="000000"/>
                <w:sz w:val="21"/>
                <w:szCs w:val="21"/>
              </w:rPr>
              <w:t>序号</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产品名称</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数量</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单位</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技术参数</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液晶电视机</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1、屏幕尺寸：55英寸</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2、屏幕比例：16:9</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3、屏幕分辨率：4K超清</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4、产品类型：智能电视</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5、工作电压：220V，能效等级：三级</w:t>
            </w:r>
          </w:p>
        </w:tc>
      </w:tr>
      <w:tr>
        <w:tblPrEx>
          <w:tblCellMar>
            <w:top w:w="0" w:type="dxa"/>
            <w:left w:w="0" w:type="dxa"/>
            <w:bottom w:w="0" w:type="dxa"/>
            <w:right w:w="0" w:type="dxa"/>
          </w:tblCellMar>
        </w:tblPrEx>
        <w:trPr>
          <w:wBefore w:w="0" w:type="dxa"/>
          <w:wAfter w:w="0" w:type="dxa"/>
          <w:trHeight w:val="309"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高清网络半球</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81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具有200万像素CMOS传感器。</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最大分辨率1920x1080。</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需具有20路取流路数能力，以满足更多用户同时在线访问摄像机视频。（公安部型式检验报告</w:t>
            </w:r>
            <w:r>
              <w:rPr>
                <w:rFonts w:hint="eastAsia" w:ascii="宋体" w:hAnsi="宋体" w:eastAsia="宋体" w:cs="宋体"/>
                <w:color w:val="000000"/>
                <w:sz w:val="21"/>
                <w:szCs w:val="21"/>
                <w:lang w:eastAsia="zh-CN"/>
              </w:rPr>
              <w:t>文件材料</w:t>
            </w:r>
            <w:r>
              <w:rPr>
                <w:rFonts w:hint="eastAsia" w:ascii="宋体" w:hAnsi="宋体" w:eastAsia="宋体" w:cs="宋体"/>
                <w:color w:val="000000"/>
                <w:sz w:val="21"/>
                <w:szCs w:val="21"/>
              </w:rPr>
              <w:t>）</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最低照度彩色：0.001lx，黑白:0.0001lx，灰度等级不小于11级。（公安部型式检验报告</w:t>
            </w:r>
            <w:r>
              <w:rPr>
                <w:rFonts w:hint="eastAsia" w:ascii="宋体" w:hAnsi="宋体" w:eastAsia="宋体" w:cs="宋体"/>
                <w:color w:val="000000"/>
                <w:sz w:val="21"/>
                <w:szCs w:val="21"/>
                <w:lang w:eastAsia="zh-CN"/>
              </w:rPr>
              <w:t>文件材料</w:t>
            </w:r>
            <w:r>
              <w:rPr>
                <w:rFonts w:hint="eastAsia" w:ascii="宋体" w:hAnsi="宋体" w:eastAsia="宋体" w:cs="宋体"/>
                <w:color w:val="000000"/>
                <w:sz w:val="21"/>
                <w:szCs w:val="21"/>
              </w:rPr>
              <w:t>）</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红外补光距离不小于50米。</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需支持三码流技术，可同时输出三路码流，主码流最高1920x1080@30fps，第三码流最大1920x1080@30fps，子码流704x576@30fps。</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在1920x1080@25fps下，清晰度不小于1000TVL。</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支持H.264、H.265、MJPEG视频编码格式，且具有HighProfile编码能力。</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信噪比不小于59dB。</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需具100dB宽动态。</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需支持8行字符显示，字体颜色可设置，需具有图片叠加到视频画面功能。</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支持区域遮盖功能，并能支持8块区域。</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需具有黑白名单功能，其中白名单可添加不小于10个IP地址。</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需具备人脸检测、区域入侵检测、越界检测、虚焦检测、进入区域、离开区域、徘徊、人员聚集、逆行、音频异常、场景变更等功能。</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可开启或关闭智能后检索功能。</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需具有电子防抖、ROI感兴趣区域、SVC可伸缩编码、自动增益、背光补偿、数字降噪、强光抑制、防红外过曝、走廊模式、视频水印等功能。</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摄像机能够在-30~60摄氏度，湿度小于93%环境下稳定工作。</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需具有2路报警输入、2路报警输出、1个音频输入、1个音频输出接口，需支持MP2L2、AAC和PCM音频编码。</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不低于IP67防尘防水等级。</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需具有1个RJ-4510M/100M自适应网络接口。</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需支持DC12V供电，且在不小于DC12V±30%范围内变化时可以正常工作。</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设备工作状态时，支持空气放电8kV，接触放电6kV，通讯端口支持6kV峰值电压。</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需支持本地SD卡存储，最大支持128G，并支持存储卡可使用时长显示。</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支持1个BNC模拟视频接口。</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同一静止场景相同图像质量下，设备在H.265编码方式时，开启智能编码功能和不开启智能编码相比，码率节约1/2。（公安部型式检验报告</w:t>
            </w:r>
            <w:r>
              <w:rPr>
                <w:rFonts w:hint="eastAsia" w:ascii="宋体" w:hAnsi="宋体" w:eastAsia="宋体" w:cs="宋体"/>
                <w:color w:val="000000"/>
                <w:sz w:val="21"/>
                <w:szCs w:val="21"/>
                <w:lang w:eastAsia="zh-CN"/>
              </w:rPr>
              <w:t>文件材料</w:t>
            </w:r>
            <w:r>
              <w:rPr>
                <w:rFonts w:hint="eastAsia" w:ascii="宋体" w:hAnsi="宋体" w:eastAsia="宋体" w:cs="宋体"/>
                <w:color w:val="000000"/>
                <w:sz w:val="21"/>
                <w:szCs w:val="21"/>
              </w:rPr>
              <w:t>）</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支持对存储卡进行读写锁定，锁定后的存储卡在移动终端需要密码才能访问。（公安部型式检验报告</w:t>
            </w:r>
            <w:r>
              <w:rPr>
                <w:rFonts w:hint="eastAsia" w:ascii="宋体" w:hAnsi="宋体" w:eastAsia="宋体" w:cs="宋体"/>
                <w:color w:val="000000"/>
                <w:sz w:val="21"/>
                <w:szCs w:val="21"/>
                <w:lang w:eastAsia="zh-CN"/>
              </w:rPr>
              <w:t>文件材料</w:t>
            </w:r>
            <w:r>
              <w:rPr>
                <w:rFonts w:hint="eastAsia" w:ascii="宋体" w:hAnsi="宋体" w:eastAsia="宋体" w:cs="宋体"/>
                <w:color w:val="000000"/>
                <w:sz w:val="21"/>
                <w:szCs w:val="21"/>
              </w:rPr>
              <w:t>）</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拾音器</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22</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只</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1、频率响应：50～8,500Hz (±3dB)；灵敏度：-10dB~+3dB(0dB = 1V/Pa,1kHz)</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2、信噪比：&gt;60dB；输出电平：1.4Vrms(max)；输出动态范围：78dB~87dB（AGC ON）</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3、等效噪声级：24dB-A；最大承受声压：120dB SPL(f=1KHz,THD 1%)</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 xml:space="preserve">4、输入动态范围：96dB；麦克风：全指向电容型咪头；输出阻抗：50Ω非平衡 </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5、信号处理电路：AGC自动增益，电子降噪系统；供电电源：7～12VDC</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6、工作电流：40mA；环境温度： -5°C ～ 50°C</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7、体积：102mm×75mm×26mm；重量：200克</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人脸识别终端</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5寸电容触摸屏。设备应能显示时间、日期、星期，及刷卡时显示工号、用户名、用户照片等信息。</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设备应具有中文语音提示功能。</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刷卡（人脸、指纹）时，设备可抓拍图片，并实时显示在显示屏上。</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抓拍图片可叠加显示卡号、用户名字等用户信息。</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设备应具有以下接口类型及相应数量：TCP/IP接口（支持10M/100Mbps，网速自适应）1个；WIFI接口1个；RS485通讯接口1个；Wiegand通讯接口1个；USB2.0接口1个；报警输入接口2个；门磁输入接口1个；开门按钮接口1个；电锁输出接口1个；报警输出接口1个。（以检测报告为准）</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1. 系统能将出入目标的识别信息及载体授权为钥匙，并记录于系统中，应能设定目标的出入授权，即：何时、何出入目标、可出入何出入口、可出入的次数和通行的方向等权限。</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2. 在网络系统中，除授权、查询、集中报警、异地核准控制等管理功能外，对所要求的功能均不应依赖中央管理机是否工作。</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3. 系统应能对门的开启方式，卡（人脸、指纹、密码）的各种使用权限进行组合设置，实现不同场景的权限管理：</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4. 反潜回（防跟随）功能</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5. 认证方式：人脸识别、刷卡、指纹、密码，支持上述任意一种、任意两组组合、任意三组组合和四组组合认证开门</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6. 多重卡认证开门</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7. 多重卡+中心远程认证开门</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8. 多重卡+超级密码开门</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9. 多重卡+超级卡开门</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10. 首卡开门</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11. 超级权限开门</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12. 中心远程开门</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13. 单向刷卡（指纹、人脸）和双向刷卡（指纹、人脸）开门</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设备应支持人脸识别模式1:1模式和1：N模式；人脸识别速度应≤1S；支持3000张人脸容量。</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设备支持人脸真人检测，只有当人脸识别后并检测为真人时，整体认证才能通过。</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设备可通过RS485协议或wiegand接口外接副读卡器，实现进出双向刷卡功能。</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设备具有门禁一体机和门禁读卡器两种工作模式：一体机模式下，可直接控制门开关；读卡器模式下，可通过wiegand协议接入门禁主机，通过门禁主机控制门开关。</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系统应具有手动或自动校时功能。</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系统及各主要组成部分应有表明其工作正常的自检功能。</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系统应支持最多5000张卡片管理；3000张人脸容量；5000枚指纹；支持最多10万条事件存储。</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发生以下情况时，系统应报警：</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1.当连续若干次在目标信息识读设备或管理/控制部分上实施错误操作时</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2.当未使用授权的钥匙而强行通过出入口时</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3.未经正常操作而使出入口开启时</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4.出入口开启时间超过设定值时</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5.设备被拆除时</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6.胁迫卡和胁迫码</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7.黑名单卡刷卡时</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8.接入系统平台后可支持视频联动报警功能</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系统应具有应急开启的方法。</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系统软件应具有看门狗检测功能。</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设备应具有2路入侵探测接口，能联动报警输出。</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设备应支持在线升级功能和本地U盘升级功能。</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设备应具备防拆功能，强力拆除时，可上传报警时间到中心。</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根据设定事件的联动关系，当检测到该事件发生时，可触发对应的动作。</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智能道闸</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1)电源电压：AC220±10% V、50HZ</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2)驱动电机：直流电机 24V/40W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3)工作环境温度：-15OC - 60 OC</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4)相对湿度：相对湿度≤90%、不凝露</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5)输入接口：12V电平信号或脉宽＞100ms的12V脉冲信号驱动电流＞10mA</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6)通道宽： 翼闸600mm  摆闸单台杆长600-900MM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7)通行速度： 30人/分钟（常开模式）、20人/分钟（常闭模式）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8)闸门开、关时间： 翼闸0.8秒，摆闸1－2秒。  </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智能双面鞋柜</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柜体：选用武钢生产的δ=0.8mm优质冷轧板，门为窄边圆弧工艺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应急开箱功能，特定情况下可通过管理员权限自动或手动开启箱门；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功率：待机：50W  开箱：85W</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门锁控制板：ARM® Cortex™-M0内核32位微控制器、30-40个I/O、工作频率最高可达50MHZ、8K字节片内Flash程序存储器擦写次数10万次以上、4K字节片内RAM数据存储器、芯片内EEPROM功能，擦写10万次以上;数据交互协议工业级Modbus协议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▲电控锁：采用电磁控制，终身免费换新锁</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存储芯片:Atmel工业级E2PROM 、存储数据量达到64Kbytes</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显示屏: 128*64背光点阵式液晶显示屏（蓝底白字），能显示时间、电源、箱门使用状态，操作引导</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键盘：管理（密码）键盘，16个独立键位，长期使用不变形不褪色</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操作系统：uC/OS II</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支持多副机级联</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可对接轨迹定位系统</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洗脚池.感应龙头</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隐藏式感应龙头.800*1200*130水池</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嫌疑人人脸采集设备</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视频清晰度：高清 1080P</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摄像头个数：双头</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视频有效分辨率：3840 x 1080</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摄像头视场角：136°</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感光芯片尺寸：1/2.9″</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视频拼接：左右 / 上下拼接 / 画中画</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硬件固化水印：支持</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摄像头强化功能：BLC/ WDR</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拾音器个数：双路</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指示灯：电源状态状态指示灯</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通讯接口：USB</w:t>
            </w:r>
          </w:p>
        </w:tc>
      </w:tr>
      <w:tr>
        <w:tblPrEx>
          <w:tblCellMar>
            <w:top w:w="0" w:type="dxa"/>
            <w:left w:w="0" w:type="dxa"/>
            <w:bottom w:w="0" w:type="dxa"/>
            <w:right w:w="0" w:type="dxa"/>
          </w:tblCellMar>
        </w:tblPrEx>
        <w:trPr>
          <w:wBefore w:w="0" w:type="dxa"/>
          <w:wAfter w:w="0" w:type="dxa"/>
          <w:trHeight w:val="66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人脸比对分析软件</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▲定制研发，通过采集设备抓拍嫌疑人照片，与后台公安数据库进行比对分析，获取嫌疑人基本信息。</w:t>
            </w:r>
            <w:r>
              <w:rPr>
                <w:rFonts w:hint="eastAsia" w:ascii="宋体" w:hAnsi="宋体" w:eastAsia="宋体" w:cs="宋体"/>
                <w:color w:val="000000"/>
                <w:kern w:val="0"/>
                <w:sz w:val="21"/>
                <w:szCs w:val="21"/>
                <w:highlight w:val="yellow"/>
                <w:lang w:bidi="ar"/>
              </w:rPr>
              <w:t>筛选出是否为在逃人员、重点人员等关键信息，给民警提供最有效的数据支撑，辅助侦查。</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手部位置感应器</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1、通讯接口：RJ45网口</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2、配备传感器数量：2个。</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3、启动时间：小于2S；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4、传感器感应距离：小于6CM；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5、提示功能：电源指示灯、工作状态指示灯、蜂鸣器提示。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6、安装方式：导轨安装；</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7、传感器延长线：3米</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8、软件功能：支持网络参数、上位机信息、设备信息、设备地址读取/设置；设备查找功能；远程设备重启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出具省级电子信息产品检验所出具的检验报告复印件加盖原厂公章。</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人身安全检查系统</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严格执行四个一律规定，强制进行人身安全检查，若不执行，则系统自动发出报警，规范执法过程，杜绝意外发生。</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1、人身安全检查情况登记表的形成及打印；</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2、信息采集登记表的形成及打印；</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3、随身物品登记表的形成及打印；</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4、人员流转登记记录的形成及打印；</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5、办案区使用情况登记表的形成及打印。</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射频读卡器</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1、电压：5V；</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2、读卡距离：0--20cm；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3、读卡时间：&lt;50ms；</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4、使用温度范围 -20~+60ºC</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5、卡触点可使用次数 10万次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6、与PC通讯类型 USB（USB无驱）</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7、操作系统 win7、win10</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随身财物高清摄像头</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400万像素2.5寸红外网络高清摄像机（带云台旋转）</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图像传感器:1/2.8＂ progressive scan CMOS</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最低照度:彩色：0.05Lux @ (F2.0，AGC ON)；黑白：0.005Lux @ (F2.0，AGC ON)；0 Lux with IR</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分辨率及帧率:主码流 50Hz:25fps (2560×1440), 60Hz: 30fps(2560×1440)</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视频压缩:H.265/H.264/MJPEG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红外照射距离:30米</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焦距:2.8-6mm，2倍光学变倍</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水平视角:100-45度(广角-望远)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光圈数:F1.8-F2.5</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刻度板</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随身财物摆放、测量尺寸</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称重设备</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精准电子天平0.01g</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人员高拍仪</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1、产品外观：直立式；图像模式：彩色图、黑白图、灰度图、去底色图</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2、光源：自然光、LED补光功能，三级按键调光；分辨率：1000万像素</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3、接口类型：USB2.0并兼容1.1；驱动：标准TWAIN驱动，定制SDK开发包及应用软件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4、集成模块：二代身份证阅读模块</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伤痕抓拍摄像机</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400万像素2.5寸红外网络高清摄像机（带云台旋转）</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图像传感器:1/2.8＂ progressive scan CMOS</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最低照度:彩色：0.05Lux @ (F2.0，AGC ON)；黑白：0.005Lux @ (F2.0，AGC ON)；0 Lux with IR</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分辨率及帧率:主码流 50Hz:25fps (2560×1440), 60Hz: 30fps(2560×1440)</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视频压缩:H.265/H.264/MJPEG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红外照射距离:30米</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焦距:2.8-6mm，2倍光学变倍</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水平视角:100-45度(广角-望远)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光圈数:F1.8-F2.5</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标准化信息采集设备</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套</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包括：采集工作台、打印机、足迹采集、活体指掌纹采集仪、条码阅读器、二代证阅读器、身高体重足长测量仪、照相设备、补光灯、标准化信息采集系统软件、计算机</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一、采集工作台：</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1、工作台外部尺寸为L1650mm×W690mm×H820mm(高度为桌面高度)，柜体台面采用木质面板和钢板结构结合，表面耐磨、易清洁，柜体框架全部采用Q235优质冷轧钢板折弯、冲压制作而成，坚固耐用。</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2、金属柜体采用高温亚光涂料喷涂处理，机柜涂层厚度在60μm~80μm之间，涂层的耐冲击指标符合GB/T1732-93规定标准，附着力指标符合GB/T9286-88规定标准。</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安全供电系统包括：220V10A进线电源插座1个（含1个备用保险）、1个防漏电空开、1个内部电源转接插座、工业PDU一套，工业PDU采用六位以上多功能插孔，为内部多个设备供电，最大线路电流：10A，额定输入电压：220V。</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4、工作台含工业通风设备，散热循环系统可将产品工作过程中产生的热量及时扩散出去，确保系统运行处于良好工况状态。                           </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工作环境：温度-15℃-40℃ 湿度≤75%；                                                                                                                                                                                      存储环境：温度 -5℃-50℃ 湿度≤75%； </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工作台所预留的内部位置能够安装电脑主机、打印机、指掌纹采集仪、手机信息采集仪、二代证阅读器、电子防潮设备、条码打印机、银行卡采集器等多种设备，键盘使用桌面下方活动托盘，液晶显示器通过显示器支架固定于中柜台面上，可前后左右大范围旋转调整，整体操作灵活方便。</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左右柜桌面均为模块化设计，可满足多种型号指掌纹采集仪、二代证阅读器、随身物品采集仪的安装嵌入（指掌纹采集仪尺寸应满足≤L400mm×W341mm×H314.5mm的要求）。工作台桌面集成随身物品采集区域，该区域包含刻度尺，刻度尺范围≥L300mm×W300mm,最小刻度为1mm。</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7、台体内置可手动控制的升降机构，可大范围自由升降，照相设备通过万向云台及补光灯支架固定在可调节相机杆上；高度调整范围（指距地面高度）：最低1490mm,最高1990mm。</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8、工作台外形边缘设计无尖锐棱角，全部做圆弧处理，防止碰撞自残。</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9、整个工作台能够分解为多个部件，便于拆装运输及用户场地进出。</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二、打印机类型:激光打印机</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幅面:A4 幅面</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最高分辨率:600*600dpi，优化1200dpi</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打印速度:30ppm</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纸张容量:250页</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打印介质:标准纸盒：普通纸、薄纸、再生纸;手动进纸槽：普通纸、薄纸、厚纸、再生纸、标签纸、信封</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内存:32MB</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兼容系统:Windows/Macintosh/Linux等</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三、足迹采集：通过USB与计算机相连接，自动采集嫌疑人行走中足印。</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采集到的足印图像完整、清晰、自动校正变形，自动 标注比例尺，可以1：1打印输出。</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可以采集精细的鞋子花纹，达到足印认定的精度要求。</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与《足印花纹自动识别系统》无缝结合，采集到得嫌疑人足印可以直接与现场库识别，提高破案效率。</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采集出来效果灰色，采集效果极佳，符合鉴定要求。</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（2）使用要求</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电源要求：220V交流电。</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计算机操作系统要求：Windows XP/Vista。</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计算机硬件要求：USB2.0。</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（3）技术参数</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外型尺寸：400mm(长) x 320mm (宽) x 140mm(高)</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电压：交流220V, 自配变压器</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工作电压：直流12V</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工作电流：1.75A</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图像区域：350mm(长) x 150mm(宽)</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图像灰度：256级</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物理分辨率：&gt;170DPI</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光学畸变：F&lt;0.1%</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采集速度：&lt;3秒</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接口：USB2.0   自动休眠    </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工作温度：摄氏-20至40度</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四、活体指掌纹采集仪：设计方式：单采集窗口设计（指掌一体化采集）可镶嵌在采集台中；</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有效采集区域：掌纹采集：≥4.6"×4.6"(117mm×117mm)</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四连指采集：≥3.2"×3.0" (81.2 mm×76.2mm)</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滚动指纹采集：≥1.28"×1.28" (32.5mm×32.5mm)</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分辨率：500dpi, 256灰度级</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遵循的标准：GA/T625-2010 GA/T626-2010 GA/T864-2010 GA/T865-2010 GA/T866-2010</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电源：USB 供电，工作温度：5℃-40℃，储藏温度：-20℃-80℃</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湿度范围：10%-75% 非冷凝状态</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体积≤300×195×190mm (长×宽×高)</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带加热功能。</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可提供指、掌纹特征提取及图像压缩功能模块。（可选项）</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可提供采集到的指、掌纹信息远程上报下载功能模块。（可选）</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五、条码阅读器：接口：USB2.0接口。光源：650nm；分辨率：0.1mm；传感器：线性激光传感器；处理器类型：32位处理器；工作频率：29.4912 MHz；扫描率：96 scans/sec；读取范围：10 ~ 200 mm (EAN/JAN 0.26mm)；光照环境：3000lux(阳光直射),5000lux(莹光)；扫描角度：前后± 5~55度,左右± 5-65度；工作温度范围：0 oC to 50 oC。可安装于本次提供的标准采集台内。</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六、二代证阅读器：符合《GA450-2003 台式居民身份证阅读器通用技术要求》、《1GA450-2003《 台式居民身份证阅读器通用技术要求》第1号修改单(草案)》、GA467-2004 居民身份证验证安全控制模块接口技术规范 》, 支持二代身份证信息读取功能，可以读取第二代身份证；实现所有身份证信息自动录入、上传；内嵌公安部安全模块，方便拆卸和维护；具有断电保护功能，独立电源开关。外观尺寸≤165×120×40mm；接口:USB接口；正面:电源指示灯、状态指示灯</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背面：SAM模块电源灯、SAM模块状态灯；外壳材料：高强度工程塑料。</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七、身高体重足长测量仪：设备组成：背景幕、体重测量模块、身高测量模块、足长（鞋长）测量模块、数据接收模块。</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标准身高背景幕：材料结实无反光，板面材料耐用可擦拭；表面喷绘刻度，浅灰色或白底，黑色刻度；背景板刻度包括左右两边身高刻度，刻度分值10mm；每10厘米刻度显示高度数字；背景板需提供对中线作为拍摄人像时对中调整，符合GA/T 706.1-2007标准。</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身高测量模块：超声波自动测量，测量范围120厘米~200厘米，分度：0.5厘米。</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体重测量模块：测量范围10~200公斤，分度0.1公斤。</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足长（鞋长）测量模块：测量范围：15厘米~36厘米，分度2.5毫米。</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设备上可显示测量结果：身高、体重、足长。</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数据接收模块接收到测量到的身高信息，自动触发人像拍摄设备的自动升降装置，将摄像头自动升降到相应高度。</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供电：DC12V/2A。</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自动测身高体重、鞋长等数据，测量结果数码显示，语音播报，身高分度值0.5CM，身、高测量范围80--200CM，体重分度值0.5KG，体重测量范围8--200KG。</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八、照相设备：工业级高清摄像头：像素≥500万像素彩色CMOS逐行扫描图像传感器，无压缩、无插补；</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24位真彩色；满足GA/T 706.1-2007标准</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接口类型：USB2.0（含USB延长线）；</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支持静态的图像捕捉（JPG、BMP）与动态AVI图像捕捉（MP4）；</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硬件及底层软件支持曝光时间、色差、亮度、对比度、饱和度等后期图像增强功能；</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支持标准C口镜头及各类定制镜头；</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九、补光灯：补光灯：160灯珠人像补光灯</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LED泡数量：160泡</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功率：9.6W</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色温：3200K或5600K</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调光：无极调光</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电压：DC-7-12V</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支撑座：L型小云台</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锂电池7.2V</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十、标准化信息采集系统软件：可提供指纹信息的采集、指纹图像质量监控，  支持采集平面指纹、滚动指纹、平面指纹采集功能支持四联指采集、自动切割，采集到的滚动指纹图像自动拼接，指纹图像质量监控，本地能够临时存储1万人员，不能接受下面的上报，不带有本地比对功能</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十一、商用台式机： I5-6500/4G/1T/USB3.0扩展卡*2/外置光驱</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人员信息管理系统</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通过系统建设，能够自动生成与办案场所相关的全部执法台账；能够形成以下规范表格并打印。能够对进出办案场所的人员流、物流在办案区的流转过程进行真实的记载和规范的管理；能够根据需求进行快速的检索和查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1、人身安全检查情况登记表的形成及打印；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2、信息采集登记表的形成及打印；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3、随身物品登记表的形成及打印；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4、人员流转登记记录的形成及打印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5、办案区使用情况登记表的形成及打印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出具人员信息管理系统软件著作权证书复印件并加盖原厂公章；出具人员管理系统软件著作权证书复印件并加盖原厂公章</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随身财物智能双面柜</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双向智能随身物品存取，规范随身财物存取，分大中小三种规格。与办案区业务系统无缝对接</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1、主柜要求：900mm*500mm*1980mm，带42寸红外触摸显示屏、21.5寸触摸显示屏。配备工控主机、读卡器、16口交换机 喇叭、电源盒、物品柜、主板、电控锁，内嵌2个22L存储盒，采用优质进口冷轧钢板（YK）</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2、副柜要求：960mm*500mm*1980mm,正反面共32个柜门。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3、为保证腕带或射频卡与系统之间兼容性，必须与轨迹查询联动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一对一控制，可通过命令实现格口号的自由更改，并且能够支持手动开箱，模块化设计，简洁高效</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彩色激光打印机</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1、产品类型：彩色激光打印机；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2、最大打印幅面：A4；</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3、黑白打印速度：16ppm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4、最高分辨率：600×600dpi</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5、墨粉盒打印量 黑色：1100页，青色/黄色/品红色：900页</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6、进纸盒容量：标配150页。</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紧急报警按钮</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1、报警按钮开关，钥匙复位；电压：12V/24V</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2、电流：0.3A；报警方式：常开/常闭；直接安装在墙面上或桌子上</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报警网络分机</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1、具有10M以太网口接口；具有标准的光电隔离RS485通讯接口</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2、具有4路光电隔离开关量输入（干接点信号或TTL电平信号）</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3、具有4路开关量输出（带DC12V电压输出，可直接接入报警指示灯等）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4、具有过流保护与电源防反接保护；可与同步录音录像软件网络联动报警</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金属探测器</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1、超高灵敏度；使用简单、方便，无需调整</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2、人性设计，美观大方，灵敏度极高；坚固耐用，一米高度自由落下无损伤</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金属探测安检门</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1、外接电源：215V~230V,频率：50/60HZ；功耗：35W</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2、工作环境：-20℃~45℃；工作频率：根据安装环境自行调节；整机重量：75公斤</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26</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信息采集台</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6.3</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m</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800*760免漆板框架石英石台面，加防撞嵌条.带门.抽屉</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27</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警用工具箱</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1900*1000*450智能金属柜</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28</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椅子</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35</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张</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实木办公桌椅子 （带扶手带靠背 凳面靠背人造革皮质）</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29</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椅子</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79</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张</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固定扶手.面料材质: 网布.钢制脚</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急救箱（带药品）</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1、规格350*230*230mm，净重：2.24kg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2、铝塑面板，铝合金框架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3、医用纱布、绷带、创可贴、透气胶带、碘伏消毒液、医用敷贴、酒精棉球</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4、三角绷带、压脉带、玻璃体温计、瞬冷水袋、酒精棉片、急救毯、呼吸面罩</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5、圆头剪刀、镊子、安全别针、高频救生哨</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31</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血压计</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1、显示方式：数字式显示，测量方法：示波测定法</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2、测量范围：压力0mmHg-299mmHg，0kPa-39.9kPa，脉搏数：40-180</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3、测量精度：3mmHg（0.4kPa）</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4、使用寿命：10000次</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32</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电子体温计</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1、温度范围：0℃-60℃，精度0.2℃，反应时间：小于1秒</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2、测量距离：1-10cm，重量：240g</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33</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医疗用床</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张</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用于医疗急救，定制</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34</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醒酒椅</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把</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材料：布料采用优质进口韩皮，经精选裁剪，用进口的高速衣车及粗线车制皮套，直接包面，选用如本产25#锰蛇簧垫底，多层强力拉筋包背，坐垫采用40密度特硬棉f底座，27密度优质海绵居中，22密度超软海绵外加喷塑垫底。规格：720*790*1240mm</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35</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亲情驿站</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授权通话，外壳高强度不锈钢SUS304材料，表面拉丝处理，耐磨抗腐蚀性强。外壳具有接地装置并与内部电路电气完全隔离，具有一定的电磁屏蔽作用，通过模具冲压而成，表面采用烤漆处理，抗腐蚀性强，具有防尘，抗噪，抗暴特性，整机防护等级达IP54，嵌入式（暗装），通话传输指标：SLR≤12，RLR≤-1，STMR≥10，输出阻抗：600Ω，外型尺寸250*150*45mm，重量：4.2kg</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36</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防睡报警器</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1、工作电源：12VDC安全电压供电,具有电源反极性保护功能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2、额定功率：≤4W</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3、通讯接口：RJ45网口</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4、防睡间隔时间：1-240分钟可设置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5、报警提示：声光告警；</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6、按钮：布放/撤防按钮；报警清除按钮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7、启动时间：小于2S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8、具有初始化端子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9、支持网络参数、上位机信息、报警间隔时间读取/设置；设备查找功能；远程设备重启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10、提示功能：电源指示灯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出具省级电子信息产品检验所出具的检验报告复印件并加盖原厂公章。</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37</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侯问看管桌</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张</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定制钢桌，用于民警日常操作，1600*800*760</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38</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尿样保管柜</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1、尺寸：535*520*1890mm，放置方式：立式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2、容量：250L，层数：4</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3、冷冻能力：7KG/24h以下，耗电：1kW/24h</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39</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高拍仪</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1、产品外观：直立式；图像模式：彩色图、黑白图、灰度图、去底色图</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2、光源：自然光、LED补光功能，三级按键调光；分辨率：1000万像素</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3、接口类型：USB2.0并兼容1.1；</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打印机</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1、产品类型：黑白激光打印机；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2、最大打印幅面：A4；</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3、黑白打印速度：18ppm；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4、最高分辨率：1200×1200dp；</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5、进纸盒容量：标配150页。</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41</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条形码扫描枪</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光源：红光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色彩：白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扫描速度：800次/秒</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扫描介质：手机/电脑屏幕/商品包装/快递单</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扫描范围：5cm-25cm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操作系统：windows7.8.10.xp</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接口：USB</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42</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尿检管理系统</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尿检管理系统是一款辅助**现场检测工作的软件，主要是对嫌疑人的尿液进行管理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通过刷卡自动获取嫌疑人信息，登记尿液采集信息之后，支持二维码标签打印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扫描二维码标签，可以自动获取嫌疑人信息，登记尿液检测信息，并支持双摄像头同时拍摄两张照片</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扫描二维码标签，可以自动获取嫌疑人及其尿液登记、检测信息，支持打印尿检报告，支持导出查询结果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出具尿检管理系统著作权证书复印件并加盖原厂公章</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43</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尿检台</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m</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800*760免漆板框架石英石台面，.带门.键盘托架</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44</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感应式洗手盆</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无悬挂点.水嘴隐藏.感应距离5/20CM.出水30秒自动关水</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46</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审讯专用特写\全景摄像机</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审讯室嫌疑人特写拍摄，高逼真、高还原度</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200万1/2.8”CMOS ICR日夜型半球型网络摄像机；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最小照度：0.01 Lux @(F1.2,AGC ON),0.014 Lux @(F1.4,AGC ON), 0 Lux with IR；</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镜头：2.8-12mm @ F1.4 水平视场角: 113°-33.8°；</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帧率：50Hz: 25fps (1920×1080,1280×960,1280×720)；</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数字宽动态；</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ROI支持三码流分别设置4个固定区域；</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支持Micro SD/SDHC/SDXC卡(128G)断网本地存储；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具备越界侦测、场景变更侦测、区域入侵侦测、音频异常侦测、虚焦侦测、移动侦测、人脸侦测、动态分析等多种报警功能；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1对3.5mm音频输入/输出外部接口；1对报警输入/输出接口；</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支持智能后检索，配合NVR支持事件的二次检索分析；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电源供应：DC12V、 PoE(802.3af)；</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-30℃~60℃,湿度小于95%(无凝结)；</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功耗：6W~9W MAX；</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47</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专业拾音器</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采用经过严格挑选的震膜电容咪头，具有很好的全指向特性。8-12v直流稳压电源供电,便于使用。拾音器采用高增益低噪声放大器，失真小、噪声低、频响效果好、音色圆润、音调柔和、性能稳定。高保真录音效果，是特别为审讯室录音设计的。频率响应 50～16KHz (±3dB) ；灵敏度-30dB；信噪比80dB（1米40 dB音源SPL）50dB(10米40 dB 音源SPL)1KHz at 1 Pa；拾音范围5-150平方米；音频传输距离3000米；等效噪声级24dB-A；输入动态范围96dB；输出阻抗最大600欧姆非平衡；信号处理电路，ANC环境噪声消除技术，AGC处理技术。</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48</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同步环境监测器</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1、工作电压：12VDC安全电压供电,具有电源反极性保护功能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2、时间制：24小时制；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3、时钟精度：在与计算机通讯时，自动同计算机时间保持同步，误差小于1秒；</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4、温度精度：±1℃（25℃时测量）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5、湿度精度：±5%（25℃，75%时测量）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6、通讯接口：支持RJ45网络通讯(以检验报告为准)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7、通讯协议：标准modbus协议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8、数字量：支持1路开关量状态采集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9、红外遥控功能：支持红外遥控调整日期和时间，修改设备地址，数码管自检</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10、安装：壁挂式，葫芦孔挂装；</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11、能与审讯软件对接，实现时间同步，数据叠加功能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出具省级电子信息产品检验所出具的检验报告复印件并加盖原厂公章。</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49</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高清同步录音录像主机</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功能：7寸高清触摸屏控制与显示、画中画合成、温湿度叠加、双光盘刻录、重点标记、一键录像、协同审讯等功能，实现全程同步录音录像，并实现硬盘存储、双光盘刻录备份。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1、8路720P或4路1080P高清输入；HDMI与VGA同源显示，分辨率最高可达1080P</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2、7寸高清触摸屏控制与显示；1大3小画中画合成，小画面位置和大小可调</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3、一键开启与停止刻录；一键开启画中画通道全天定时录像功能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4、审讯重点标记功能，光盘播放时按照标记位快速定位回放</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5、刻录过程中实时监测显示已刻录进度和光盘剩余时间</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6、双光驱同步直刻，硬盘与光盘同步双备份；标准DVD光盘或蓝光光盘刻录</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7、光盘不间断刻录；刻录完成自动生成光盘ID号，防止拷贝或篡改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8、双千兆网口，双网隔离等多种模式应用；数字水印加密技术，防止原始音视频数据被篡改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9、刻录光盘集成播放器，放入PC中能自动调用播放器播放录像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10、光盘刻录异常事后恢复刻录功能，双光盘同步恢复；讯问或笔录信息上传刻录</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11、支持实时温湿度信息叠加，支持片头片尾信息的叠加；所有通道声音波形实时显示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12、讯问记录查询和回放功；内嵌WEB浏览器，可实现远程预览、回放及配置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此项产品为审讯系统核心设备，出具国家安全防范报警系统产品质量监督检验中心（北京）和公安部安全与警用电子产品（质量检测中心）的检验报告（满足GB/T28181-2011《安全防范视频监控联网系统信息传输、交换、控制技术要求》的检验依据）复印件。出具国家安全防范报警系统产品质量监督检验中心（北京）/公安部安全与警用电子产品（质量检测中心）出具的检验报告复印件，应满足GA/T 882-2014标准。</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IP网络对讲分机</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1、通过局域网/广域网（LAN/WAN）传输，实现全球通话。壁挂式安装，超薄机身，一般安装在需要对讲的墙壁上，分配ip设置后接入网内即可实现对讲。</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2、联动控制：提供TCP指令、UDP指令、RS485接口、开关量接口。</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3、单键对讲终端。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4、铝拉丝面板，美观大方，坚固耐用。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5、具有回音消除功能，内置高灵敏度话筒、喇叭。采用PCM /SILK音频编解码方式，广播级音质，声音逼真、清晰、宏亮。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6、可呼叫主机及对讲（配套蓝牙耳机，可支持无线通讯）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7、免提式呼叫模式，方便快捷。</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8、可外接音箱。</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9、可通过局域网接收主机的广播或喊话。</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10、安装简捷，用RJ45标准网线，插入路由器LAN端(或交换机)任一端口。</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11、4路短路输入、2路短路输出，可结合一些辅助报警器材</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51</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一体化专用智能讯（询）问桌</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1、定制，集成式一体化钢桌；2、嵌入式安装电脑（系统：Windows7；显示器尺寸：18.5-19.5英寸;处理器：Intel i5；内存容量：8G；硬盘容量：1T  固态128 G）；3、打印机（最大打印幅面：A4；黑白打印速度：18ppm；最高分辨率：1200×1200dp；耗材类型：鼓粉一体；进纸盒容量：标配150页。）；4、示证电视（屏幕尺寸：32英寸；分辨率：720P（1366*768）、屏幕比例：16:9、能效等级:三级能效）；5、应急报警（具有10M以太网口接口。具有标准的光电隔离RS485通讯接口；具有4路光电隔离开关量输入（干接点信号或TTL电平信号；具有4路开关量输出（带DC12V电压输出，可直接接入报警指示灯等；具有过流保护与电源防反接保护；可与同步录音录像软件网络联动报警）等智能化设备。</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52</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审讯椅</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张</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钢制定做</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53</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智能控制终端</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1、通讯接口：RJ45网口</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2、辅助电源输出：带远程控制交流220V输出2路,各10A;带远程控制直流DC12V输出2路，共5A;(以检测报告为准)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3、开关量输入：4路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4、继电器输出：6路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5、RS232串口：1路RS232串口，波特率、数据位、停止位、检验位可设置(以检测报告为准)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6、RS485串口：2路带光电隔离的RS485串口，波特率、数据位、停止位、检验位可设置(以检测报告为准)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7、空开数量：6个</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箱体：</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全金属外壳</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底盒尺寸(mm)：宽400*高300*深115</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门板尺寸（mm）：宽425*高345*厚20</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安装方式：暗装（埋墙式）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出具智能运维管理软件著作权证书复印件并加盖原厂公章</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出具省级电子信息产品检验所出具的检验报告复印件并加盖原厂公章。</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54</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LED电子门牌</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1、室内P4.75双色；物理密度：44200点/m2；单元板608mm*152mm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2、单元板分辨率128*32点；工作电压：AC220V；</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3、通讯接口：RJ45网口(提供实物演示)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4、尺寸： 66*18*4cm</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55</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授令耳机</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只</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连接审讯终端电脑的音频输入输出口，作为声音输入输出功能</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56</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对讲设备</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1、工作电压：DC 12V/1A；输出功率：3W/3W(max)</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2、电源功率：≤5W；频率响应：100Hz-12KHz</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57</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紫外线消毒灯</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对特审室进行紫外线消毒，保证办案环境干净</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参数：光源类型: 紫外线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光源功率: 11-15W</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58</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鹅颈话筒</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使用UHF470-960MHz频段，避免干扰频率</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采用DSP高频及中频滤波，充分消除干扰信号</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采用低电压设计，电池电压低到2.2V仍可以工作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采用特别ALC电路不用担心音量过大而失真</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采用音频压缩扩展技术，减少噪音，动态范围加大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设有压缩减弱功能，有效减少回输啸叫</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独特的噪音静噪功能，拒绝外部干扰打开本机蔽音系统</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可接调音台和Karaok放大器，可用超长距离的连接线</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59</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功放</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插U盘 SD卡 带蓝牙功能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响应频率±3db: 25Hz-20KHz</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灵敏度: 90db</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阻抗:8欧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额定功率：150WX2</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净重:6KG</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60</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音箱</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十寸五单元三分频音箱。10寸 65芯音圈 140磁低音.两只3寸纸盆中音.两只3寸纸盆高音，频率响应:46Hz-20KHz±3dB  额定功率：150W 峰值功率：200W  灵敏度：94dB   最大声压级：116dB  指向特性：130°(W)×70°(H ) 阻抗：8Ω。</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61</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研判桌</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张</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三聚氰胺. 简约现代.120cm*240*76桌面厚5CM 带线盒 </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62</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休闲沙发</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材质:木.面料: 麻.填充物: 乳胶.长170CM.双人</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63</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休闲桌椅</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一桌四椅.风格: 北欧.框架结构</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64</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高精度定位基站</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39</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通讯距离：不小于20M（以检测报告为准）；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定位精度：定位误差小于10CM（以检测报告为准）；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状态灯：电源指示灯，运行指示灯；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通讯接口：RJ45以太网口，支持IP地址自动获取；</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天线方向：全向识别；</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工作电源：支持POE供电和外置DC12V电源供电；</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功率：小于2W；</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重量：≤300g；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安装方式：可吸顶安装；</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抗击强度：AC1500V,50HZ,1min,无击穿飞弧。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出具省级电子信息产品检验所出具的检验报告复印件并加盖原厂公章。</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65</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高精度定位单元</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58</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1、定位距离：室内空旷20M，室外空旷50M；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2、状态灯：电源指示灯，运行指示灯；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3、天线方向：全向识别；</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4、工作电源：DC12V电源供电；</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5、功率：小于1W；</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6、重量：≤300g；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7、安装方式：可吸顶安装；</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66</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腕带</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只</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1、外观：全硅胶材质；腕带佩戴方式；自带ID号</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2、工作电源：纽扣电池</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3、欠压提示：具有欠压提示功能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5、方向: 全向识别(以检测报告为准)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出具省级电子信息产品检验所出具的检验报告复印件并加盖原厂公章。</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67</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高精度定位心率腕带</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只</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1、数据发送间隔： 2次/秒（动态），1次/分钟（静态）；</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2、协议标准：IEEE 802.154-2011标准UWB；</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3、供电方式：可充电锂电池；</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4、充电接口：USB供电的磁吸式充电接口；</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5、心律测量功能：有；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6、温度测量功能：有；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7、电量指示：有；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8、防拆：物理防拆，电子防拆；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9、方向性: 全向识别；</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10、定位距离：不小于20M；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11、外观：腕带式；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具备省级电子信息产品检验所出具的检验报告复印件</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68</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民警定位卡片</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张</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1、工作频率：2.4G—2.4835GHz ; 3.5G—6.5GHz；13.56MHz；</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2、工作电流：0.5 MA；</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3、供电方式：可充电锂电池；</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4、充电方式：通用MICRO接口充电线；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5、单次工作时间：单次充满电可工作20-30天；</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6、电池性能：连续充放电1000次后，电池容量不低于额定容量的80%；</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7、欠压提示：有；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8、报警按钮：有；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9、方向性: 全向识别；</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10、定位距离：室内空旷20M；室外空旷50M；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11、外观尺寸：90*55*7MM（卡片式）。</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69</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语音自动播报系统</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自定义播报犯罪嫌疑人进入办案区或播报办案区相应规章制度。</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语音播报器</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1、工作电压：12VDC安全电压供电，具有电源反极性保护功能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2、通讯接口：RJ45网口(以检测报告为准)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3、输出接口：标准3.5音频接口(以检测报告为准)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4、启动时间：小于2S；</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5、功能特点：支持任意中文文本、英文文本的合成，并且支持中英文混读；</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6、软件功能：支持网络参数读取/设置；设备查找功能；远程设备重启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6、外形尺寸：118mm×75mm×38mm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须出具省级电子信息产品检验所出具的检验报告复印件并加盖原厂公章。</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扩声音箱</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只</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1、喇叭单元：4.5"*1；</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2、额定功率：6W</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3、输入电压：220V/50HZ；</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4、灵敏度：90dB；</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5、频率响应：110-16KHZ。</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72</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轨迹查询管理平台</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功能：能够从嫌疑人进入办案区开始所经过的走廊、功能房、审讯室等区域一直到犯罪嫌疑人离开办案区所有视频自动剪辑，封装到一张光盘，方便后续的案件移交、视频的督察审核、极大的提高工作效率。</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1、将多个分视频合成整段轨迹视频；能在客户端查看人员轨迹视频</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2、实时动态查看人员轨迹相关的记录；查询、备份、拷贝整段轨迹视频</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3、人员进出办案区有语音播报提示；卡的注册信息登记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4、读卡器设备的查询配置；房间管理配置信息功能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5、能显示房间状态并实现预约功能；记录人员轨迹信息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6、动态显示人员在房间的进出情况</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7、在审讯过程中卷宗信息可以直接读取信息采集系统中的数据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出具轨迹查询管理系统软件著作权证书复印件并加盖原厂公章</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出具轨迹服务软件著作权证书复印件并加盖原厂公章</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轨迹定位引擎服务器</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定位服务软件主要用于与网络RFID接收设备的通讯，包括接收和发送指令以及标签实时定位的计算，同时提供标准API接口，用于第三方的二次开发。</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定位服务器满足Hygon 3185 8C 3.0G 95W；DDR4 2666 8G 最大支持256G内存；1TB 3.5吋7.2K 6Gb SATA硬盘、支持4个3.5寸SAS/SATA热插拔硬盘；250W单电源；板载双千兆RJ45网卡、最高支持10个千兆网口</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二代身份证阅读器</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技术标准：符合居民身份证阅读器通用技术要求</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工作频率：13.56MHZ±7KHZ</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扫描速度：＜1秒</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扫描范围：3CM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操作系统：WinXP/Win7/Win8/Win10</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接口：USB2.0</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快办.办公桌</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张</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三聚氰胺. 简约现代.140cm*700*76 桌面厚5CM.带线盒 </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76</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智能案卷柜(主柜)</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系统配置：采用12寸触控显示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系统功能：具有语音提示、声光报警、酒精检测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身份识别：具有活体电容式指纹生物识别和刷卡识别功能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柜位管理：柜位分类为“在办”、“已结”、“未破”三种类型，柜位与警员一一绑定功能，1警员可以对应多个柜位，完成不同状态卷宗的分类管理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卷宗管理：平台新增卷宗、同步下发智能柜、卷宗领用/归还、同步案件移交</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报警功能：具有柜门超时未关闭、卷宗超时未归还、市电断开、通讯异常等报警功能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电源管理：内置备用电源，可持续使用超过8小时、8次操作使用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联网功能：与“网络卷宗管理平台”联网（YK）</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77</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智能案卷柜(辅柜)</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柜体尺寸：1900*1000*450；箱门尺寸：355.4*430*500；10门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1.板材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柜体选用武钢生产的δ=0.8mm优质冷轧板，经冷加工成型后，用二氧化碳气体保护焊焊接装配而成，特殊部位进行加强筋处理，保证柜体结构绝对坚固。（可选配窄边框或圆弧门加工工艺）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2.喷塑工艺：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2.1 前处理：去锈-中和-去油-中和-磷化-水洗-烘干-打磨-补腻-打磨。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2.2 后处理：静电粉体喷塑。</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2.3 表面处理:外表采用喷塑处理，外观无漏塑、气泡、结瘤、针孔、皱皮等缺陷；</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3.结构与外观</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3.1  标识：电器面板上所有标识正确，清晰、无遗漏；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3.2  柜体和箱门材料强度大于315N/mm2；</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3.3  箱门装配后轴与门框之间的间隙应大于2mm小于2.5mm，其它三面的间隙应大于1.5mm小于2mm，并保证箱门开关灵活（可选配箱门带透明亚克力可视窗）；</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3.4  箱门平整应保持一致，各箱门的高低差不能大于1mm；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3.5 线束固定：所有线束应捆扎到位，箱内不得有线束外露；</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3.6  应急开箱功能，特定情况下可通过管理员权限自动或手动开启箱门；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3.7 外接电源线，应能承受的拉力不小于49N，并不能使拉力传到内部的接线端；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3.8 箱号及说明：位置保持一致，字体不能倾斜，单字倾斜偏差不能大于0.5mm；</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卷宗管理平台</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1、将案卷与管理结合在一起，实现案卷登记、入库到出库、移交、销毁、遗失等全流程的管理，提供案卷审核、流转追溯、信息提醒、分级控制、查询统计、远程管理等各种便捷功能，即时反映案卷的状况。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操作符合日常案卷管理业务处理习惯，操作者只需录入通俗易懂的原始案卷信息，系统就自动编制，生成电子标签绑定，体现“一物一码”管理，从而实现全面查询和分析案卷登记、入库到出库、移交、销毁、遗失等全流程的信息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★出具“智能卷宗柜控制软件”的软件著作权证书复印件并加盖原厂公章；出具“智能卷宗管理系统软件”的软件著作权证书复印件并加盖原厂公章</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79</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RFID感应门</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 支持EPC C1 G2（ISO18000-6C）协议。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 工作频率902~928MHz。</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 输出功率30dbm。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 多标签读取能力强，极低漏读率。</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 天线特别设计，实现水平面窄波束设计，门禁覆盖区域准确，无盲点。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 防盗位离线报警模式，报警灵敏，安全可靠，基本实现零误报。</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 内置报警灯和蜂鸣器，实现多种方式报警提示。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 超高频RFID安全门摆放距离更加宽阔。</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9. 外观时尚，组装简便。</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80</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6人办公桌</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张</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三聚氰胺. 简约现代.360cm*120*76 桌面厚3.2CM带线盒</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81</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8人办公桌</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张</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三聚氰胺. 简约现代.480cm*120*76桌厚3.2CM带线盒</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82</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单人办公桌</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张</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三聚氰胺. 简约现代.140cm*700*76 桌面厚5CM.带线盒 </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83</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条形码打印机</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打印机类型：黑白打印机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色带宽度：110mm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打印方式：热敏或者热转印（可选）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打印宽度：106mm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支持纸张尺寸</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宽度：25mm~111mm</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84</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单人办公桌（一）</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张</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实木. 艺术风格.140cm*700*76 桌面厚5CM.带线盒 </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85</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全景摄像机</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200万3寸高清摄像机，网络：1920×1080@60fps；HD-SDI：1080I@50fps/60fps 1080P@50fps/60fps；0.05Lux/F2.0(彩色),0.005Lux/F2.0(黑白)；焦距：2.8-12mm，4倍光学；支持报警、音频；支持萤石云；支持宽动态、强光抑制、3D数字降噪；支持区域入侵、越界、移动侦测；水平键控速度最大60°/s，垂直键控速度最大50°/s，垂直范围0°~90°；H.265/H.264/MJPEG；最大支持128GB Micro SD卡；电源：DC12V，8W max；支持IP66；工作温度：-30℃-65℃。</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86</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示证展示台</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变焦：整机120倍放大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白平衡：自动/手动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输入端子：RGB输入输出：DB15FLC 各 2组</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音频输入：3.5插口2组</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麦克风输入：麦克风插座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HDMI输入：1组</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输出端子：RGB输出分辨率：XGA，720P SXGA，WXGA，1080P 16:9</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RS232接口</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镜头输出像素：500万</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音频输出：3.5插口1组</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视频输出：RCA 1组</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HDMI输出：1组</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产品尺寸：展开体积：510：530：570</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收拢体积：510：410：120mm</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87</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音箱</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声道系统:2.0声道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调节方式:旋钮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频响范围:80Hz-20kHz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输出功率:16W</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音箱材质:木质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频响范围：80Hz-20kHz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扬声器单元：采用38mm高音单元，采用100mm低音单元</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音频接口：3.5mm立体声输入，6.3mm立体声输入，RCA输入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输出功率:16W</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88</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高清远程提审主机</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支持H.323 多媒体框架协议，Q.931\H.221\H.225\H.241\H.245\RTP\RTCP 协议标准；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视音频采集低于200ms；支持视音频唇音同步； 视频输入最大支持1080P@60fps 编码；支持手动接听、自动接听、手动拒听、自动拒听、视频呼出等丰富的呼叫控制功能；支持H.264 视频编码；支持G711、G722 音频编码； 融合互通，可与业内主流标准终端和网络侧设备互通；丰富的 APII接；1个 HDMI 输出 口，1个 HDMI环通输出口， 1个 HDMI输入口；1个 VGA输出 口，1个 VGA环通输出口， 1个 VGA输入口 ；最大支持 6个 SDI输入 口；</w:t>
            </w:r>
          </w:p>
        </w:tc>
      </w:tr>
      <w:tr>
        <w:tblPrEx>
          <w:tblCellMar>
            <w:top w:w="0" w:type="dxa"/>
            <w:left w:w="0" w:type="dxa"/>
            <w:bottom w:w="0" w:type="dxa"/>
            <w:right w:w="0" w:type="dxa"/>
          </w:tblCellMar>
        </w:tblPrEx>
        <w:trPr>
          <w:wBefore w:w="0" w:type="dxa"/>
          <w:wAfter w:w="0" w:type="dxa"/>
          <w:trHeight w:val="66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89</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远程提审软件</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本地提审室显示看守所的音视频，看守所显示提审人员音视频，实现双方音视频沟通，并进行同步录音录像保存。</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90</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高清全景摄像机</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200万3寸高清摄像机，网络：1920×1080@60fps；HD-SDI：1080I@50fps/60fps 1080P@50fps/60fps；0.05Lux/F2.0(彩色),0.005Lux/F2.0(黑白)；焦距：2.8-12mm，4倍光学；支持报警、音频；支持萤石云；支持宽动态、强光抑制、3D数字降噪；支持区域入侵、越界、移动侦测；水平键控速度最大60°/s，垂直键控速度最大50°/s，垂直范围0°~90°；H.265/H.264/MJPEG；最大支持128GB Micro SD卡；电源：DC12V，8W max；支持IP66；工作温度：-30℃-65℃。</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91</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定向高保真拾音器</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类    型：背极式驻极体电容传声器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最大输入声压级：120dB（THD≤1%，2500Ω负载）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指 向 性：超心型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信 噪 比：72dB（1KHz@1Pa）</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频    响：80～13000Hz</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灵 敏 度：30mV/Pa（-30dB±2dB，@1KHz 2500Ω负载，0dB=1v/Pa）</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输出阻抗：200Ω（@1KHz）</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供    电：48V幻象供电</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外型尺寸：120×90×18mm</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92</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专业音频分配器</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音频分配器,1分2，输出信号不失真不互信干扰</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每路都能放大输出，隔离度好,输出信号不失真，不互相干扰,</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额定输入信号电平及阻抗，VS 0.8-1.0VP-P/75Ω定输出俏号</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电平及阻抗：VS0.8-1.0VP-P/75Ω</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93</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12U机柜</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12U优质冷轧钢机柜，宽*深*高：550mm*450*700</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94</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8口交换机</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8口百兆电口，网络标准：IEEE802.3,IEEE802.3U，速度10/100Mbps </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95</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物证取证摄像头（带云台）</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400万像素2.5寸红外网络高清摄像机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图像传感器:1/2.8＂ progressive scan CMOS</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最低照度:彩色：0.05Lux @ (F2.0，AGC ON)；黑白：0.005Lux @ (F2.0，AGC ON)；0 Lux with IR</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分辨率及帧率:主码流 50Hz:25fps (2560×1440), 60Hz: 30fps(2560×1440)</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视频压缩:H.265/H.264/MJPEG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红外照射距离:30米</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焦距:2.8-6mm，2倍光学变倍</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水平视角:100-45度(广角-望远)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光圈数:F1.8-F2.5</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96</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称重设备</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带通讯接口、与物证管理系统无缝对接,测量200公斤以内</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97</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360度示证台</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系统通过视频传输方式360度远程展示物证信息，360度转速能调，正反能调，能通过遥控器调节；展台直径60CM，厚度4.8cm厚，材料面板亚克力，并带有刻度。</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98</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涉案财物管理系统</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1、将涉案财物与管理结合在一起，实现涉案财物登记、入库到出库、移交、销毁、遗失等全流程的管理，提供涉案财物审核、流转追溯、信息提醒、分级控制、查询统计、远程管理等各种便捷功能，即时反映案卷的状况。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傻瓜化操作更符合日常案卷管理业务处理习惯，操作者只需录入通俗易懂的原始涉案财物信息，系统就自动编制，生成电子标签绑定，体现“一物一码”管理，从而实现全面查询和分析案卷登记、入库到出库、移交、销毁、遗失等全流程的信息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★出具涉案财物管理系统软件著作权证书复印件并加盖原厂公章</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99</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物证受理桌</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张</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800*760免漆板框架石英石台面，加防撞嵌条.抽屉</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100</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保管货架（2米）</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涉案物品存放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长*高*宽:2m*2m*0.6m</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101</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保管货架（1.5米）</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涉案物品存放</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长*高*宽:2m*1.5m*0.6m</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102</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温湿度传感器</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工作环境：温度-10℃～50℃,相对湿度0～95%；工作电源：DC5V；测温范围：-19℃～70℃；测温精度：误差不大于环境温度±1℃；湿度测量范围：10%～90%RH；精度：误差不大于环境湿度±5%； 通讯接口：RS485；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★出具省级电子产品检验所出具的检验报告复印件并加盖原厂公章</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103</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智能数据采集终端</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硬件参数：1: 工业级ARM9技术的CPU，主频200M、内存64M、 FLASH128M; 2: 5个光电隔离串口，2个RS232, 3个RS485,波特率1200-19200可设置; 3: 12路光电隔离数字输入，支持开关量（干节点）输入; 4: 6路开关量输出, 250V AC-3A，采用三端输出，NC，NO可选; 5: 8路模拟量输入，输入范围：0~5v/4~20mA；直流电量测量精度：&lt;0.5%，交流电量测量精度：&lt;2%，非电量测量精度：&lt;5%;6: 具备辅助电源输出，2组+12v输出接线端，输出功率最大40W；2组+5V输出接线端, 输出功率最大10w;7: 具备电源、运行、告警和串口收发指示；具备硬件看门狗功能;8: 1个自适应10/100M全双工以太网，已带隔离变压器和状态指示灯;9: IU标准机架安装，环境温度： -10℃到+50℃；设备温度： -20℃到+85℃；环境湿度：10%到90%相对湿度；额定工作电压： -48V DC/220V;最大额定功率：12W;  最小额定功率：6W;软件参数：1: 通讯协议符合 《中华人民共和国通信行业标准 YD/T 1363.3-2005 通信局（站）电源、空调及环境集中监控管理系统 第3部分：前端智能设备协议》;2: 硬件设备支持同时50个客户端连接与数据请求处理能力;3: 报警输入捕获能力小于20ms;4: 报警联动可设置，任意报警输入或模拟报警可以联动任意一路输出;5: 存储历史数据10万条，报警数据10万条;6: 支持远程web浏览数据;7: 支持远程配置、远程升级。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★出具省级电子产品检验所出具的检验报告复印件并加盖原厂公章</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104</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工业监控组态软件</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本监控系统能够对涉案财物管理中心内的电源、空调设备及环境量进行遥测、遥信、遥控、遥调，实时监视系统和设备的运行状态，记录和处理相关数据，及时侦测故障，通知人员处理，从而实现基站的无人值守，以及电源设备的集中监控维护管理，提高动力系统的可靠性，保障移动通信设备的安全正常运行。</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（1） 监控系统的软、硬件应采用模块化结构，使之具有最大的灵活性和扩展性，以适应不同规模监控系统网络和不同数量监控对象的需要，根据工程需要，可实现系统规模的方便扩容。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（2） 监控系统的采用不应影响被监控设备的正常工作；不应改变被监控设备的自动控制功能，并以自身控制功能为优先。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 监控系统应具有良好的电磁兼容性。被监控设备处于任何工作状态下，监控系统应能正常工作；同时监控设备本身不应产生影响被监控设备正常工作的电磁干扰。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 监控系统应能监控具有不同接地要求的多种设备，任何监控点的接入均不应破坏被监控设备的接地系统, 不应破坏或降低原有设备的电气绝缘隔离性能。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 监控系统应具有容错和自诊断功能，对数据紊乱、通信干扰等可自动恢复；对通信中断、软硬件故障等应能诊出故障并及时告警；监控系统故障时不应影响被监控设备的正常工作和控制功能。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★出具工业监控组态软件著作权证书复印件。</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105</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收纳盒</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180</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材质：进口PP材质，抗UV,防老化，容积：25L，尺寸：47cm*37cm*20.5cm</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毒物毒品保管柜</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1.规格1840*900*510（mm)。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2.外壳体全部采用1.5mm的冷轧钢板，柜体底座采用2.0mm的冷轧钢板,内外表面经酸洗磷化环氧树脂粉末喷涂，烘热固化处。</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内胆（上，下、左、右内衬板）全部采用实芯理化板或pp（聚丙烯树脂）板；柜底部设置90*50*145mm进风口，进风口底部有不锈钢可调风阀；柜体的底板中部有Φ10mm漏液孔，漏液孔上面盖上60目304*不锈钢网；柜体底部设h=160mm黄沙(防倒）挡板，柜体内部最下层留有可以存放不少于120mm厚黄沙的填埋腔，用于埋放金属钠、黄磷（白磷）等的易燃物品；柜底装有四个Φ60mm的移动钢轮，便于易燃品毒害品储存柜移动；前轮后有2个手动调节罗杆，方便易燃品毒害品储存柜定位。</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4、要求带双人双锁；</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107</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保险箱</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11mm防撬门板，1.2米高.5mm柜体，32mm精钢实心锁栓，内部配有密码小门独立空间，配有8mm钢化玻璃，承重60kg，两把B级主锁，电子密码面板，可设置两组开锁密码</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108</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智能物证柜</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尺寸：1700*1900*430；</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箱门规格（mm）：310*280.8*430</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每组24门，带网络通信接口；</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柜体：选用武钢生产的δ=0.8mm优质冷轧板，门为窄边圆弧工艺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应急开箱功能，特定情况下可通过管理员权限自动或手动开启箱门；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功率：待机：50W  开箱：85W</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门锁控制板：ARM® Cortex™-M0内核32位微控制器、30-40个I/O、工作频率最高可达50MHZ、8K字节片内Flash程序存储器擦写次数10万次以上、4K字节片内RAM数据存储器、芯片内EEPROM功能，擦写10万次以上;数据交互协议工业级Modbus协议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▲电控锁：采用电磁控制，终身免费换新锁</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存储芯片:Atmel工业级E2PROM 、存储数据量达到64Kbytes</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显示屏: 128*64背光点阵式液晶显示屏（蓝底白字），能显示时间、电源、箱门使用状态，操作引导</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键盘：管理（密码）键盘，16个独立键位，长期使用不变形不褪色</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操作系统：uC/OS II</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支持多副机级联</w:t>
            </w:r>
          </w:p>
        </w:tc>
      </w:tr>
      <w:tr>
        <w:tblPrEx>
          <w:tblCellMar>
            <w:top w:w="0" w:type="dxa"/>
            <w:left w:w="0" w:type="dxa"/>
            <w:bottom w:w="0" w:type="dxa"/>
            <w:right w:w="0" w:type="dxa"/>
          </w:tblCellMar>
        </w:tblPrEx>
        <w:trPr>
          <w:wBefore w:w="0" w:type="dxa"/>
          <w:wAfter w:w="0" w:type="dxa"/>
          <w:trHeight w:val="308"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109</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防磁柜</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1.柜体：整柜设计为双层钢板结构，外壳及内胆均采用1.2mm 的冷轧钢板，底座采用 1.5mm 的冷轧钢板, 内外表面经酸洗磷化特殊防磁图层，烘热固化处理，起到隔绝外磁场的作用，以此保护所存储的磁介质文件被外磁场磁化；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2.抽屉： 抽屉内部采用隔断式结构，每个抽屉内配有两块活动调整板，根据资料的大小自行调节，防止晃动或打乱；</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3.铰链：暗藏式铰链设计，美观大方，开门角度180度，减少外力直接作用于铰链，增加其使用寿命；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4.防磁性能：外界施加600mt的超强磁场直接作用于柜壁，柜内磁感应强度仅为0.3~0.6mt（行业通用标准，柜外施加200mt磁感应强度，柜内磁感应强度不高于5mt）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5.密封件：柜门与柜体之间应安装环保热膨胀密封条，密封性能优异。</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6.锁具：门安装有平面把手式机械钥匙锁，经久耐用。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出具计量局出具的防磁认证证书复印件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出具CE认证证书复印件</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110</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枪弹柜</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手枪轻狙枪柜，各12只，支持密码锁、指纹锁，尺寸1560*1000*500mm</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111</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冷藏物品冰柜</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1234x600x855mm开门方式: 蝴蝶门放置方式: 卧式功能: 冷藏冷冻容量: 301L(含)-400L(含)冷冻能力: 16kg/24h(含)-25kg/24h(含)耗电量: 0.70Kwh/24h(含)-0.99Kwh/24h</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112</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70寸液晶电视机</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屏幕尺寸:70英寸</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屏幕分辨率:超高清4K</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屏幕比例:16:9</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背光源:LED</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背光方式:侧入式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亮度:400nits以下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标称对比度:4000:1</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刷屏率:60HZ</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扫描方式:逐行扫描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响应时间:8ms</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支持格式（高清）:2160p</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113</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调音台</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话筒输入电平：+16dBu</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线路输入电平：+3dBu</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最大输出电平：19dBu</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信噪比：≥90dB</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耳机输出功率：100mV</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增益控制：单声道-26dB,0dB</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频率响应：20Hz-20KHz(+/-0.5dB)</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总谐波失真：＜0.05%</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均衡调节：低频80Hz+15dB 中频2.5KHz+15dB 高频12KHz+15dB</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114</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12人会议桌</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张</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三聚氰胺. 简约现代.400cm*150*76 桌面厚5CM.带线盒 </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115</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46寸液晶拼接单元</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块</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屏幕尺寸：46寸；类型：DID FHD_LED</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拼接缝隙≤3.5mm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亮度：500cd/m²；对比度：3500：1</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分辨率：1920*1080 8bit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有效显示范围：1018.08(H)x572.67(V)</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屏幕比例：16:9；可视角度：178°；标准颜色：16.7M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响应时间：8ms</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行频：54-69.5KHZ；场频：60HZ</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工作温度：0C°-50C°；工作湿度：10％-90％；海拔高度：≤5000m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存储温度：-20C°-60C°；存储湿度：5％-90％</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电源输入：AC100-240V,50/60HZ</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最大功率：180W</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外观尺寸：W1021.98mm *H576.57 mm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单元重量：19KG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1、采用3D高画质图像数字处理技术， 3D数字图像降噪技术；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2、采用RC智能自适应数字处理技术，使彩色转黑白的摄像头信号，能自动对图像的灰度等级、色温进行调整；提供CNAS认可的检测机构出具检测报告复印件；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3、智能温控及高温报警功能，温度超过设定值时，智能温控系统会自动出现高温提醒标志</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 4、整机全金属结构，无电磁辐射和抗电磁干扰；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5、智能开机延时引擎和智能工作计时引擎功能，有效地提高产品稳定性和可靠性；提供CNAS认可的检测机构出具检测报告复印件；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6、支持7x24小时不间断运行，整机平均无故障运行≥120000小时；提供CNAS认可的检测机构出具检测报告复印件。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7、液晶拼接屏必须提供产品3C认证证书，节能证书；需提供CB、CE、FCC、ROHS认证证书复印件；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8、液晶拼接单元提供防尘和抗震等级检验报告复印件。</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116</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原装机柜</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液晶拼接机柜采用优碳冷扎钢板数控剪板、折弯、焊接加工，无缝隙，不受热胀冷缩等环境影响，保证液晶拼接的顺利安装。</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单元机柜主体材料厚度不小于1.5mm，底座承重框架板材厚度不小于2.0mm，前后门板板材厚度不小于1.5mm；</w:t>
            </w:r>
          </w:p>
        </w:tc>
      </w:tr>
      <w:tr>
        <w:tblPrEx>
          <w:tblCellMar>
            <w:top w:w="0" w:type="dxa"/>
            <w:left w:w="0" w:type="dxa"/>
            <w:bottom w:w="0" w:type="dxa"/>
            <w:right w:w="0" w:type="dxa"/>
          </w:tblCellMar>
        </w:tblPrEx>
        <w:trPr>
          <w:wBefore w:w="0" w:type="dxa"/>
          <w:wAfter w:w="0" w:type="dxa"/>
          <w:trHeight w:val="72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117</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图像拼接处理器</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硬件：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1、支持CVBS、VGA、DVI、HDMI、SDI、YPbPr等多种信号输入，同时高清输入信号支持最大分辨率1920*1080P并向下兼容， 12路DVI信号输入输出。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2、支持DVI输出，同时支持最大分辨率1920×1080并向下兼容。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3、支持IP流媒体解码输入（满足H.265编码，RTSP取流的标准解码协议，单口支持4路4K/16路1080P/32路720P格式解码）。</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4、采用智能数字开窗、漫游、叠加图像处理技术，在一个公共区域内，区域内可实现4个窗口的叠加，实现图像跨屏、开窗、画中画、缩放、叠加、漫游等个性化显示，开窗输出全高清数字格式信号。</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5、纯硬件架构，板卡式结构，最大可扩展到64路信号源；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6、支持7x24小时不间断运行，整机平均无故障运行≥120000小时。</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提供CNAS认可的检测机构出具检测报告复印件。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软件：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1、系统管理平台基于Windows 2000/NT/XP/7中文操作系统，无需数据库支持，不需安装数据库引擎，方便维护、备份等系统管理。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2、控制软件通过RS232通讯接口与各拼接单元通信连接，实时控制，调整各显示单元的各种参数，并能自动参数保存。</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3、具有任意拼接组合，可实现单屏，多屏，开窗、漫游、叠加显示等功能，支持32个场景的设备本地存储和不限制数量的场景读取调用。支持场景自动定时轮巡。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4、支持RS232协议实时控制以及TCP/IP协议远程网络控制、WIFI无线控制。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5、支持对第三方矩阵集联控制，实现拼接系统与前端矩阵完全融合。</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6、具有自动记忆功能，断电后重启控制系统，能够自动恢复正常工作模式。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7、支持二次开发，提供SKD软件包的I/O协议开放，供系统集成或二次开发。</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118</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线缆</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根</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大屏专用电缆</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119</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双基色会标屏</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双基色屏，包含框架、控制系统、线缆附件等。高*宽=2M*0.5M，与大屏安装协调一体。</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120</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IP网络对讲主机</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1、采用10.2寸数字真彩屏，智能全触摸式操作，CMOS彩色摄像头，独立win ce操作系统，界面美观大方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2、6个快捷按键，操作更加灵活，便捷</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3、多级管理架构：系统有四级以上管理架构，能将不同级别的多个值班室寻呼话筒统一联网；系统有以太网的对方即可接入，支持跨网段、跨路由，可接入互联网。</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4、数字录音录像。寻呼话筒能对通话、广播过程进行录音录像，并可记录通话的时间，录音录像文件保存在寻呼话筒中，空闲时自动上传到服务器上，能有效节约寻</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5、转移托管功能：寻呼话筒上有“转移托管”菜单，按此菜单便可将所属对讲终端托管给其他寻呼话筒操作管理，托管时本机在对讲终端呼叫前45秒内能接受监仓对讲终端的呼叫。</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6、监听监视：可利用寻呼话筒或系统软件监听对讲终端周围的声音，当对讲终端带摄像头时，可监视监仓对讲终端周围的现场情况；监听监视时，能达到对讲终端无察觉。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7、免提通话方式，采用先进的回音消除技术，内置高灵敏度话筒及喇叭。融入了自主知识产权的数字音视频技术，采用PCM /SILK音频编解码方式，广播级音质，声音逼真、清晰、宏亮,配有音频输入输出口，可以接耳麦及音箱，具备2路短路输出口，可外接报警器等辅警器材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8、在网络中是平行架构，无主次之分，系统设备都属于网络设备，最大程度满足系统容量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9、免IP网络地址盒，管理主机寻呼话筒不限路数，不限管理IP网络对讲终端数量。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10、寻呼话筒间通话是双向视频，且屏幕是双屏显示，一屏显示对方，一屏显示本地，本地视频可以关闭或打开。</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11、具备来电显示功能、关机转移、无人接听转移、遇忙转移、手动转移等功能，最大限度的保证通话畅通。</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12、通话记录查询功能，可清晰的查看未接来电、已接来电、并具备回拨功能，通话录音录像文件保存pc机，方便调阅。</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13、报警查询功能，终端设备被触发时的报警信息、报警时间</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14、广播功能，可以对网络中系统终端进行广播（可分区、单个、多个、全部）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15、可远程开启门锁、道闸等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16、安装简捷，配有RJ45标准网线，插入路由器LAN端(或交换机)任一端口即可工作。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17、接口方式：RJ45网络接口。</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18、供电方式：外接12v直流电源</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121</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操作电脑</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55</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1、操作系统：win10/ win7</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2、CPU：I5-8500</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3、内存：8G DDR4 </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4、硬盘：1T ，128G SSD</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5、机箱：270mm*296mm*9.5mm，180W高效电源</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6、显示器：19.5英寸，LED背光IPS屏幕液晶显示</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7、鼠键：配套USB键鼠</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8、接口：DP/VGA/USB若干</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9、光驱：超薄DVDRW</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122</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监控操作台</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张</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钢制定制，1710*900*750mm</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123</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8人位会议长桌</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张</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900cm*80*76弧形控制台.钢木结构.带线盒</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124</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休闲卡座</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120CM*65*80免漆板支架油蜡皮沙发2张.120CM*60*75金属支架.三聚氰胺板台面.简约现代条桌1张</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125</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休闲沙发组</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组</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70CM*65*80实木支架油蜡皮单人沙发3张.直径60CM高70简约现代三聚氰胺板台面圆桌1张</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126</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办案区综合管理平台</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用于同步录音录像审讯，由同步录音录像、远程指挥、光盘同步刻录、电子笔录、讯问信息管理、集中存储、上下级数据同步等模块组成,完整的审讯过程与信息管理功能。支持文字语音指挥、录像数据水印加密、自定义重点标注、光盘同期刻录、录音录像剪辑等功能；人身安全检查功能：严格执行四个一律规定，进行人身安全检查，若不执行，则系统自动发出报警，规范执法过程，杜绝意外发生。并把检查信息关联到执法综合应用平台。人员轨迹查询管理功能：能够从犯罪嫌疑人进入办案区开始所经过的走廊、功能房、审讯室等区域一直到犯罪嫌疑人离开办案区所有视频按一人一案进行自动归档存储，方便后续的案件移交、视频的督察审核、极大的提高工作效率；尿检管理功能：管理犯罪嫌疑人的尿检信息并把信息关联到办案区系统。与审讯系统平台进行对接，绑定相关案件等信息，并实现相关音视频资料自动上传存储。也可实现审讯系统平台的电子笔录信息、卷宗信息等信息获取；也实现扁平化审讯指挥，具有实时视频查看和文字、语音等领导远程指挥功能；与轨迹查询系统平台进行对接，获取相关案件的人员登记信息、人员人身安全检查信息人员随身物品登记信息、人员信息采集信息、人员轨迹信息等，并实现每个流转表的查看、下载、预览、打印，也可以实现办案区人员信息登记表的查看、下载、预览、打印。平台系统架构，平台支持省级联网，也可以满足一个市级及区级的公安执法办案使用。可通过开始时间、结束时间、关键字类型及关键字进行案件的查询管理、查询、播放、下载、烧录等。办案区轨迹信息展示，可实现案件办案区人员轨迹信息以横向进度条直观进行展示，并可以进行各个轨迹信息点事后播放，也可以连续播放。也可以实现办案时间超时等信息以不同颜色提示。方便事后进行执法规范化管理。同一案件的展示方式，同一案件多次审讯办案，以第1次、第2次、第N次等进行直观的展示，并方便后期的统计分析。扁平化化指挥，领导可以在通过改平台系统在电子地图上直观的看到办案情况，并可以实时查看所有功能室的审讯情况，分析研讨案情，通过语音或者文字对办案人员下达指令。可切换其他人员审讯画面，以及时了解案件进展。</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出具办案区综合管理平台软件著作权、电子笔录软件著作权证书、集中存储软件著作权证书复印件并加盖原厂商公章。出具同步录音录像软件著作权证书、数字化监控指挥系统软件著作权证书、远程侦查指挥软件著作权证书复印件并加盖原厂商公章。</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127</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审讯打印刻录一体机</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设备内置1个刻录机和容纳50张光盘的盘筒，采用最新一代高速、高品质喷墨技术刻录专业、全彩色标签光盘。</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1、微压电喷墨打印技术；</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2、操作系统：win7、win10； </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3、6色墨水系统带来更好的光盘印刷质量；</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4、刻录机：数量1个；</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5、打印头：喷嘴数量黑色180个喷嘴，彩色180个喷嘴×5；</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6、打印方向：双向打印，单向打印；</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7、墨水类型：染料墨水 颜色青、洋红、黄、淡青、淡洋红、黑；</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8、打印分辨率：1440 dpi × 1440 dpi (质量模式)；</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9、1440 dpi × 720 dpi (速度模式)；</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10、功率:40W(运行), 28W(待机)</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11、电气规格: 电压AC 100V - AC 240V  频率50Hz - 60Hz</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12、接口:USB 2.0</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与办案系统对接，能实时刻录或事后烧录审讯音视频资源。实现光盘同期刻录、录音录像剪辑等功能，光盘刻录软件支持BD-R和DVD光盘刻录;</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具有封面自定义功能，封面打印显示卷宗名称、时间、日期等信息。</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128</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监控48盘位磁盘阵列</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单设备应配置≥64位多核处理器，≥4GB内存，内存支持扩展到≥32GB，需配置冗余金牌电源，支持双系统；</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单设备应标配≥2个千兆网口，可增扩≥2个万兆口或≥2个光纤接口或增配≥4个HDMI接口或≥2个SAS3.0接口</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应支持FCSAN、IPSAN、NAS存储功能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可接入2T/3T/4T/6T/8TSATA磁盘，支持磁盘交错启动和漫游，并支持在线热插拔；</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可接入硬盘≥48块，支持SATA和SAS混插，并支持≥12级扩展柜级联扩展；</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应能提供RAID0、1、3、5、6、10、50，60、JBOD模式，支持全局、局部等多种热备选择，支持坏盘自动重构；</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设备可对视音频、图片、智能数据（智能行为分析录像）流进行混合直存，无须存储服务器和图片服务器的参与，平台服务器宕机时，存储业务正常</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应能接入并存储1880Mbps视频图像，同时转发1880Mbps的视频图像；同时回放512Mbps的视频图像；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支持不低于600MBps图片并发输入，同时不低于600MBps图片并发输出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当RAID中某块工作正常的硬盘被误拔出后，60分钟内插回，该硬盘能恢复到原RAID中，系统自动恢复工作，而且会对拔掉的硬盘进行增量数据恢复（以公安部检测报告为准）。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在RAID内丢失2块（含）以上硬盘但至少有1块正常磁盘时，无需等待丢失盘恢复，保留的硬盘中的数据可正常读出，且新数据可正常写入（以公安部检测报告为准）。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支持接入单前端设备不超出30路码流冗余存储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根据数据对象的重要性（例如：系统信息、配置信息、报警录像、普通录像等）、访问频率等属性按照预先设定的分层存储区域可进行自动分层存储并可实现快速访问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设备在不增加任何外围服务器硬件的情况下可由存储设备直接进行虚拟化系统部署</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可接入MPEG4、H.264、H.265、Smart265、SVAC编码格式的前端设备并存储录像文件,可将大华、宇视、海康等厂商SDK封装格式的视频流转成标准（MPEG4、H.264、H.265、SVAC、4K等编码格式）PS流（ProgramStream）输出。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网络中断后重新恢复，设备可续存断网期间存储在前端设备中的录像文件，并可通过IE浏览器设置自动回传和手动回传。支持256路4M的录像回传。</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当录像视频流发生丢失5s以上可在日志中记录报警信息。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设备可同时支持视频、图片、智能流和文件直写存储。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支持多路文件采用非NAS方式直接上传存储，且速度可设置。（以公安部检测报告为准）。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具有ONVIF、PSIA、TCP/IP、UDP、SIP、RTSP、RTP、RTCP、iSCSI、CIFS(SMB)、NFS、FTP、HTTP、AFP、RSYNC、SNMP、YK、IPV4、IPV6设置选项，支持IP组播。</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129</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监控级存储硬盘</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62</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块</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4TB/64MB(6Gb/秒 NCQ)/5900RPM/SATA3</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130</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智能数据采集器</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开关量:干接点信号或TTL电平信号</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控制量:继电器1、2输出，5A/250VAC或3A/48VDC、继电器3-16输出，3A/250VAC或2A/48VDC</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通讯协议：支持Snmp、XML、ModBus TCP/IP协议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软件控制：配套软件支持B/S架构,C/S架构</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串行接口：1个，RJ45 带光电隔离独立的RS232接口、1个，RJ45 带光电隔离独立的RS485接口</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网络接口：1个，RJ45  10/100M带隔离变压器的工业以太网接口</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环境温度：-10℃到+50℃</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设备温度：-20℃到+85℃</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环境湿度：10%到90%RH</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额定工作电压：DC12V</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最大额定功率：11W</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最小额定功率：4W</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出具省级电子信息产品检验所出具的检测报告复印件并加盖公章</w:t>
            </w:r>
          </w:p>
        </w:tc>
      </w:tr>
      <w:tr>
        <w:tblPrEx>
          <w:tblCellMar>
            <w:top w:w="0" w:type="dxa"/>
            <w:left w:w="0" w:type="dxa"/>
            <w:bottom w:w="0" w:type="dxa"/>
            <w:right w:w="0" w:type="dxa"/>
          </w:tblCellMar>
        </w:tblPrEx>
        <w:trPr>
          <w:wBefore w:w="0" w:type="dxa"/>
          <w:wAfter w:w="0" w:type="dxa"/>
          <w:trHeight w:val="848"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131</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集中存储管理服务器</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用于系统软件的安装部署服务器</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windows server 2012系统，带有SQL 2008R2数据库</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E5-2620 V4(8核2.1GHz)×1 CPU/16GB DDR4×1/1TB 3.5寸 SATA企业级硬盘×2</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热插拔/SAS3008/DVD/1GbE×4/冗电/导轨/2U</w:t>
            </w:r>
          </w:p>
        </w:tc>
      </w:tr>
      <w:tr>
        <w:tblPrEx>
          <w:tblCellMar>
            <w:top w:w="0" w:type="dxa"/>
            <w:left w:w="0" w:type="dxa"/>
            <w:bottom w:w="0" w:type="dxa"/>
            <w:right w:w="0" w:type="dxa"/>
          </w:tblCellMar>
        </w:tblPrEx>
        <w:trPr>
          <w:wBefore w:w="0" w:type="dxa"/>
          <w:wAfter w:w="0" w:type="dxa"/>
          <w:trHeight w:val="2222"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132</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审讯专用磁盘阵列</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用于系统软件的安装部署服务器，作为数据资料的存储服务器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1、16盘位控制器磁盘阵列；640Mbps接入带宽,2个千兆网口（可扩展4个千兆或两个万兆）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2、流媒体模式：支持不低于320路视频与图片并发写入，转发不低于160路，回放不低于32路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3、视频流和图片进行混合直写存储；支持外接SAS扩展柜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4、64位多核处理器、4GB；支持RAID 0、1、3、5、6、10、50，60、JBOD模式</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133</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企业级硬盘</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块</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用于数据资料存储媒介，与审讯专用磁盘阵列配套使用，4TB/128MB(6Gb/秒 NCQ)/7200RPM/SATA3</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134</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48口汇聚交换机</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48个10/100/1000Base-T以太网端口,4个千兆SFP,PoE+，支持硬件ACL，</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基于端口的MAC过滤，支持MAC认证，支持基于端口的802.1X认证，支持RADIUS认证，支持Portal认证，支持端口隔离，支持端口风暴抑制，支持系统自防御，防止广播流、ARP、ICMP、TCP、蠕虫病毒、DOS等攻击CPU，支持DHCP Snooping，支持SNMP，支持WEB网管（支持HTTPS）支持DHCP-client，支持用户口令保护，支持命令行配置。</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135</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服务器标准机柜</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1、带斜条形孔的前门门条和三段式六角网孔后门，方便通风散热，提高内置设备运行可靠性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2、可同时安装脚轮和支脚；结构坚固，最大静载达800KG(带支脚）</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3、可关闭的上部、下部多处走线通道，底部大走线孔尺寸可按需调整</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4、可选配安装底座，达到固定机柜、底部过线、底部送冷风、防鼠的要求</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5、高效坚固的并柜连接</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标准42U机柜W*H*D 600*2000*1000前后网孔,镀锌喷塑，黑色亚光、柜体侧板、背板可拆卸，优质导轨 ，搁板，抽屉，电源插座，风机；</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136</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UPS主机</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主机≥20KVA，输入：单进单出和三进单出现场可调 支持N+1并机方式，最大并机数量3台，默认192VDC(可选204VDC/216VDC/228VDC/240VDC)</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需具备过充电及过放电保护，并说明过充电保护电压及过放电保护电压，充电模块必须具备过温保护功能，并提供过温保护专利。</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需具备电池冷启动功能,1 个 （适用SNMP 卡、 ModBus-RTU卡、干接点卡）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具备：TLC/广电认证/节能认证 工厂：需通过ISO9001/14001/18001认证，所供产品必须为自主研发。 </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137</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蓄电池</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64</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节</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单体电池电压12V，重量≥28Kg以上。100ah容量。与主机同一品牌.阀控密封式铅酸免维护蓄电池，采用优质的AGM隔板和高灵敏度的安全阀，减少使用过程中电解液的损耗，确保电池使用寿命；产品使用温度在25℃时，产品浮充设计寿命≥10年，具有小电流循环能力、深循环技术</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138</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电池柜</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只</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选用优质钢材，结构焊接牢固，承重力好。外形美观。组装方便灵活</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表面：酸洗，磷化，经典喷涂。4层框架结构，单层容纳8节电池，分4层。可装100AH电池32块。尺寸 780×880×1228</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139</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卡片发卡器</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USB接口，支持IC卡、CPU卡、二代身份证卡（序号）、ID（EM）卡发卡</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140</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读卡器</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读卡器应具有32位高速处理器，性能强劲。</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同时支持RS485和韦根协议。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符合ISO14443-A标准规范，内置Mifare读卡模块，读卡频率13.56MHz，支持Mifare卡识别，可读取Mifare卡号或Mifare卡内容，扇区采用加密处理，密钥可自定义，保障信息安全。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卡片识别距离：3~8CM。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读卡器带有按键。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读卡器支持在线升级。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读卡器内置看门狗程序，能够检控设备的异常运行状态，并执行修复处理，确保设备长期运行。</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读卡器支持防拆报警功能。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具有防水等级IP64。</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设备应具有CE、FCC、公安部检测报告。</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141</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开门按钮</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尺寸：长86x宽86</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结构：塑料面板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性能：最大耐电流1.25A 电压250v</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输出：常开</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类型：适合埋入式电器盒使用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重量：0.07kg</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142</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单门磁力锁</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280kg静态直线拉力</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可自行设定12VDC</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内置反向电流防护装置(MOV)</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门锁状态讯号输入(NONCCOM)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LED指示灯显示门锁状态</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防残磁设计，选用防磨损材料</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铝外壳采用高强度合金材料，阳极硬化处</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提供委托检验报告</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143</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磁力锁支架</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配套支架</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门口机电源（不带机箱）</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输入电压：100-240VAC</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输出电压：12VDC</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输出电流：4.17A</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输出功率：50W</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纹波与噪声：&lt; 150mVpp</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电压调整范围：11-14Vdc</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一般规范</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工作温度：-10℃~+70℃</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工作湿度：＜95%</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尺寸：98*97*38mm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重量：0.23kg</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145</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门控安全模块</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RS485通讯、电锁输出*1、门磁*1、开门开关*1，对门锁供电，1路门磁检测输入，1路开门开关输入，，可搭配DS-K1T105xx、DS-K1T200xx、DS-K1T300xx、DS-K1T500xx等一体机使用</w:t>
            </w:r>
          </w:p>
        </w:tc>
      </w:tr>
      <w:tr>
        <w:tblPrEx>
          <w:tblCellMar>
            <w:top w:w="0" w:type="dxa"/>
            <w:left w:w="0" w:type="dxa"/>
            <w:bottom w:w="0" w:type="dxa"/>
            <w:right w:w="0" w:type="dxa"/>
          </w:tblCellMar>
        </w:tblPrEx>
        <w:trPr>
          <w:wBefore w:w="0" w:type="dxa"/>
          <w:wAfter w:w="0" w:type="dxa"/>
          <w:trHeight w:val="44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146</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门禁控制器</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主机应具有丰富的通讯接口、控制接口及拓展接口：TCP/IP接口1个；上行RS485通讯接口2个；下行RS485通讯接口2个；wiegand通讯接口2个；可接入最多读卡器数量4个，其中2个RS485读卡器和2个wiegand读卡器；报警输入接口4个；事件输入接口2个；门磁输入接口1个；开门按钮接口1个；电锁输出接口1个；报警输出接口2个。</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主机应能同时接入RS485和wiegand接口的读卡器，能通过RS485接口连接读卡器组成环网，实现环路检测和冗余功能。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主机应能对门的开启方式，卡的各种使用权限进行组合设置，实现不同场景的权限管理，故应具有以下功能：反潜回（防跟随）功能；多重卡认证开门功能；多重卡+中心远程开门功能；多重卡+超级密码开门功能；多重卡+超级卡开门功能；超级权限开门；中心远程开门；支持身份证开门；支持银行卡开门；支持单向刷卡（指纹）和双向刷卡（指纹）开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主机应具有消防联动功能，当检测到消防信号后，可以自动打开门锁。</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主机应具有大容量存储能力，应最多支持10万卡片管理和30万事件记录存储。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主机应支持普通卡/残疾人卡/黑名单/巡更卡/来宾卡/胁迫卡/超级卡等多种卡片类型。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主机应具有应急响应功能，可应急开启和应急复位。</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主机应具有看门狗检测功能，保障主机长期稳定运行。</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主机应具防区报警功能，有4个防区输入端口，具有防短、防剪功能，能够联动报警输出。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主机应具有在线升级功能。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主机应具有备用电源功能，可内置蓄电池，当主机电源切断后，设备应能自动切换到蓄电池供电，使用主电源时应能自动给蓄电池充电。</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主机应具有防拆功能，主机机箱在被拆除时，能发出防拆报警警告。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主机应具有手动或自动校时功能。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系统平台应具有视频联动报警功能。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主机应支持脱机记录保持功能和记录储存空间不足警告功能，断电后数据可以永久保存。</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主机应具有极端恶劣环境下正常工作能力，工作温度应为：﹣40℃~﹢70℃。</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系统主要操作响应时间应小于2S，电控锁响应时间应小于等于1S，报警响应时间应小于等于1S。</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主机应具有公安部出具的检测报告。</w:t>
            </w:r>
          </w:p>
        </w:tc>
      </w:tr>
      <w:tr>
        <w:tblPrEx>
          <w:tblCellMar>
            <w:top w:w="0" w:type="dxa"/>
            <w:left w:w="0" w:type="dxa"/>
            <w:bottom w:w="0" w:type="dxa"/>
            <w:right w:w="0" w:type="dxa"/>
          </w:tblCellMar>
        </w:tblPrEx>
        <w:trPr>
          <w:wBefore w:w="0" w:type="dxa"/>
          <w:wAfter w:w="0" w:type="dxa"/>
          <w:trHeight w:val="33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147</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静音型双向流新风机</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风量500m3/h.功率60W*2静压170Pa噪音27dB</w:t>
            </w:r>
          </w:p>
        </w:tc>
      </w:tr>
      <w:tr>
        <w:tblPrEx>
          <w:tblCellMar>
            <w:top w:w="0" w:type="dxa"/>
            <w:left w:w="0" w:type="dxa"/>
            <w:bottom w:w="0" w:type="dxa"/>
            <w:right w:w="0" w:type="dxa"/>
          </w:tblCellMar>
        </w:tblPrEx>
        <w:trPr>
          <w:wBefore w:w="0" w:type="dxa"/>
          <w:wAfter w:w="0" w:type="dxa"/>
          <w:trHeight w:val="33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148</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静音型双向流新风机</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风量350m3/h.功率36W*2静压120Pa噪音24dB</w:t>
            </w:r>
          </w:p>
        </w:tc>
      </w:tr>
      <w:bookmarkEnd w:id="2"/>
      <w:tr>
        <w:tblPrEx>
          <w:tblCellMar>
            <w:top w:w="0" w:type="dxa"/>
            <w:left w:w="0" w:type="dxa"/>
            <w:bottom w:w="0" w:type="dxa"/>
            <w:right w:w="0" w:type="dxa"/>
          </w:tblCellMar>
        </w:tblPrEx>
        <w:trPr>
          <w:wBefore w:w="0" w:type="dxa"/>
          <w:wAfter w:w="0" w:type="dxa"/>
          <w:trHeight w:val="33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148</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光电感烟火灾探测器</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只</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工作电压：信号总线电压：总线24V   允许范围：16V～28V</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工作电流：监视电流≤0.8mA；报警电流≤1.8mA</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指示灯：报警确认灯，红色，巡检时闪烁，报警时常亮</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编码方式：电子编码（编码范围为1～242）</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保护面积：当空间高度为6米～12米时，一个探测器的保护面积，对一般保护场所而言为80平方米。空间高度为6米以下时，保护面积为60平方米。具体参数应以《火灾自动报警系统设计规范》（GB 50116）为准。</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线制：信号二总线无极性</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使用环境：温度：-10℃～+55℃；相对湿度≤95%，不凝露</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外形尺寸：直径103mm，高55mm（带底座）</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外壳防护等级：IP23</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安装孔距：45mm～75mm</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含底座</w:t>
            </w:r>
          </w:p>
        </w:tc>
      </w:tr>
      <w:tr>
        <w:tblPrEx>
          <w:tblCellMar>
            <w:top w:w="0" w:type="dxa"/>
            <w:left w:w="0" w:type="dxa"/>
            <w:bottom w:w="0" w:type="dxa"/>
            <w:right w:w="0" w:type="dxa"/>
          </w:tblCellMar>
        </w:tblPrEx>
        <w:trPr>
          <w:wBefore w:w="0" w:type="dxa"/>
          <w:wAfter w:w="0" w:type="dxa"/>
          <w:trHeight w:val="33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149</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感温火灾探测器</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只</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探测器类别：P（A1R 和 BS 可设，出厂默认类别在探测器铭牌上标注，船用应选择 BS 类别）</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工作电压：总线 24V，允许范围：16V～28V</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工作电流：监视电流≤0.8mA，报警电流≤1.8mA</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报警确认灯：红色（巡检时闪烁，报警时常亮）</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编码方式：十进制电子编码，编码范围在 1～242 之间</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探测角度≤45°</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保护面积：当空间高度小于 8m 时，一个探测器的保护面积，对一般保护现场而言为 20m2～30m2。</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具体参数应以《火灾自动报警系统设计规范》（GB 50116）为准。</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使用环境：温 度： A1R 类别：典型应用温度 25℃；范围 -10℃～50℃；BS 类别： 典型应用温度 40℃；范围 -10℃～65℃；相对湿度≤95%，不凝露</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外形尺寸：直径 103mm 高：58mm（带底座）</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外壳防护等级：IP33</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安装孔距：45mm～75mm</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含底座</w:t>
            </w:r>
          </w:p>
        </w:tc>
      </w:tr>
      <w:tr>
        <w:tblPrEx>
          <w:tblCellMar>
            <w:top w:w="0" w:type="dxa"/>
            <w:left w:w="0" w:type="dxa"/>
            <w:bottom w:w="0" w:type="dxa"/>
            <w:right w:w="0" w:type="dxa"/>
          </w:tblCellMar>
        </w:tblPrEx>
        <w:trPr>
          <w:wBefore w:w="0" w:type="dxa"/>
          <w:wAfter w:w="0" w:type="dxa"/>
          <w:trHeight w:val="33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150</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火灾声光警报器</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只</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工作电压：信号总线电压：脉动 24V 允许范围：16V～28V</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电源电压：DC24V 允许范围：DC20V～DC28V</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工作电流：总线监视电流≤0.8mA 电源监视电流≤10mA</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总线启动电流≤6mA 电源动作电流≤90mA</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闪光频率：1.1Hz～1.8Hz（DC20V～DC28V）</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火警声调声压级： 80dB～115dB（正前方 3m 水平处（A 计权））</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机关枪声调声压级：80dB～110dB（正前方 3m 水平处（A 计权））</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火警声调变调周期：3.2s～4.8s</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机关枪声调不涉及变调周期</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编码方式：采用电子编码方式，占一个总线编码点，编码范围可在 1～242 之间任意设定</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线制：四线制，与控制器采用无极性信号二总线连接，与电源线采用无极性二线制连接</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使用环境：温 度：-10℃～+50℃；相对湿度≤95%，不凝露</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使用场所：室内</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外形尺寸：144mm×90mm×60.5mm（带底壳）</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外壳防护等级：IP43</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安装孔距：65mm</w:t>
            </w:r>
          </w:p>
        </w:tc>
      </w:tr>
      <w:tr>
        <w:tblPrEx>
          <w:tblCellMar>
            <w:top w:w="0" w:type="dxa"/>
            <w:left w:w="0" w:type="dxa"/>
            <w:bottom w:w="0" w:type="dxa"/>
            <w:right w:w="0" w:type="dxa"/>
          </w:tblCellMar>
        </w:tblPrEx>
        <w:trPr>
          <w:wBefore w:w="0" w:type="dxa"/>
          <w:wAfter w:w="0" w:type="dxa"/>
          <w:trHeight w:val="33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151</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气体灭火控制器</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只</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工作电压：交流AC220V  50/60Hz ，允许电压变化范围 AC176V～AC264V；</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功耗：监视状态功耗≤20W；最大功耗≤150W；</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备用电源：2个DC12V/7Ah密封铅电池；</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气体喷洒输出：DC24V/3A，脉冲方式/持续方式，可调；</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电池充电电流：0.6A~0.8A；</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液晶屏规格：128×64点，可同屏显示32个汉字信息；</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容量</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可带1个区的气体灭火设备，实现对1个防护区的保护。其中所带设备及数量如下：电磁阀：1个，额定电压DC24V,最大电流3A；压力开关：1个，常开触点，动作时闭合；区域讯响器：1～5个，编码地址范围1～90；气体喷洒指示灯：1～5个，编码地址范围1～90；紧急启/停按钮和手自动转换开关：共1～10个，编码地址范围1～90；输出模块：1～3个，编码地址范围1～90；点型感烟探测器：1～20个，编码地址范围1～90；其它探测器（如感温、火焰等）：1～20个，编码地址范围1～90；手动报警按钮：1～10个，编码地址范围1～90；声光警报器：1～2个，非编码。</w:t>
            </w:r>
          </w:p>
        </w:tc>
      </w:tr>
      <w:tr>
        <w:tblPrEx>
          <w:tblCellMar>
            <w:top w:w="0" w:type="dxa"/>
            <w:left w:w="0" w:type="dxa"/>
            <w:bottom w:w="0" w:type="dxa"/>
            <w:right w:w="0" w:type="dxa"/>
          </w:tblCellMar>
        </w:tblPrEx>
        <w:trPr>
          <w:wBefore w:w="0" w:type="dxa"/>
          <w:wAfter w:w="0" w:type="dxa"/>
          <w:trHeight w:val="33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152</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气体释放警报器</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只</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工作电压：信号总线电压：脉动 24V 允许范围：16V～28V</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电源总线电压：DC24V 允许范围：DC20V～DC28V</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工作电流：信号总线监视电流≤1mA 电源总线监视电流≤2mA，信号总线动作电流≤2mA 电源总线动作电流≤30mA</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闪光频率：1.3Hz±20%</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编码方式：电子编码方式，编码范围可在 1～242 之间任意设定</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线制：与控制器采用四线连接。其中白色电缆线接总线，无极性；红黑电缆线接电源 DC24V，</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无极性。</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使用环境：</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温 度：-10℃～+50℃</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相对湿度≤95%，不凝露</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使用场所：室内</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外形尺寸：348mm×159mm×25mm</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外壳防护等级：IP42</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安装孔距：260mm</w:t>
            </w:r>
          </w:p>
        </w:tc>
      </w:tr>
      <w:tr>
        <w:tblPrEx>
          <w:tblCellMar>
            <w:top w:w="0" w:type="dxa"/>
            <w:left w:w="0" w:type="dxa"/>
            <w:bottom w:w="0" w:type="dxa"/>
            <w:right w:w="0" w:type="dxa"/>
          </w:tblCellMar>
        </w:tblPrEx>
        <w:trPr>
          <w:wBefore w:w="0" w:type="dxa"/>
          <w:wAfter w:w="0" w:type="dxa"/>
          <w:trHeight w:val="33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153</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紧急启/停按钮</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只</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工作电压：总线 24V，允许范围：16V~28V</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监视电流：≤0.8mA，报警电流≤10mA</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常开输出触点：额定值 DC60V、0.1A，接触电阻≤100m</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启动方式：击碎玻璃罩后，按下“按下喷洒”按键</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启动零件类型：重复使用型</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“按下喷洒”按键复位方式：用专用钥匙复位</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指示灯：“按下喷洒”按键：红色，按下时常亮</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“停止”按键：绿色，按下时常亮</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线 制：与气体灭火控制器采用无极性两线制连接</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使用环境：温 度：-10℃～+55℃；相对湿度≤95%，不凝露</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外形尺寸：112（长）mm133（高）mm65mm（厚）</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外壳防护等级：IP33</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安装孔距：45mm～65mm</w:t>
            </w:r>
          </w:p>
        </w:tc>
      </w:tr>
      <w:tr>
        <w:tblPrEx>
          <w:tblCellMar>
            <w:top w:w="0" w:type="dxa"/>
            <w:left w:w="0" w:type="dxa"/>
            <w:bottom w:w="0" w:type="dxa"/>
            <w:right w:w="0" w:type="dxa"/>
          </w:tblCellMar>
        </w:tblPrEx>
        <w:trPr>
          <w:wBefore w:w="0" w:type="dxa"/>
          <w:wAfter w:w="0" w:type="dxa"/>
          <w:trHeight w:val="33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154</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气体灭火装置</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只</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温度范围：-20℃-55℃；喷射时间≤5s；喷射滞后时间≤5s；喷口温度：在喷口正前方0.01m处≤180℃，0.05m处≤80℃；灭火装置箱体温度：箱体表面温度≤100℃；</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灭火密度: 130g/m2～150g/m2；</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最大安全电流及时间：150mA/5min；</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最大启动电流及时间：1A/5mS； </w:t>
            </w:r>
          </w:p>
        </w:tc>
      </w:tr>
      <w:tr>
        <w:tblPrEx>
          <w:tblCellMar>
            <w:top w:w="0" w:type="dxa"/>
            <w:left w:w="0" w:type="dxa"/>
            <w:bottom w:w="0" w:type="dxa"/>
            <w:right w:w="0" w:type="dxa"/>
          </w:tblCellMar>
        </w:tblPrEx>
        <w:trPr>
          <w:wBefore w:w="0" w:type="dxa"/>
          <w:wAfter w:w="0" w:type="dxa"/>
          <w:trHeight w:val="33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155</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语音识别转换</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套</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客户端软件：</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1、实时转写：支持在在2秒内即时展现转写结果；通过热词优化功能将此次审讯相关的关；键词进行添加，并且可以实时生效；系统自动将语气词和多余的词汇去除，以保证文稿的规整。</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2、实时编辑：在实时审讯转写过程中用户可以实时对转写出的结果进行编辑，并进行文字的排版布局。</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3、记录回放：基于内容识别和后处理技术，同步显示文字、标点，支持边点边听，针对可懂度较好的，可以直接跳听；红色高亮显示用户预设、自动抽取的关键词，快速了解关键信息，提供快速听音功能。</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4、笔录朗读：针对不认识字的嫌疑人可以通过机器朗读笔录的方式播放给犯罪嫌疑人听。</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5、自动升级：部署在各个讯问室或询问室的客户端软件支持自动升级，服务端只需一个指令即可实现所有客户端自动升级，减少维护时间。</w:t>
            </w:r>
          </w:p>
        </w:tc>
      </w:tr>
      <w:tr>
        <w:tblPrEx>
          <w:tblCellMar>
            <w:top w:w="0" w:type="dxa"/>
            <w:left w:w="0" w:type="dxa"/>
            <w:bottom w:w="0" w:type="dxa"/>
            <w:right w:w="0" w:type="dxa"/>
          </w:tblCellMar>
        </w:tblPrEx>
        <w:trPr>
          <w:wBefore w:w="0" w:type="dxa"/>
          <w:wAfter w:w="0" w:type="dxa"/>
          <w:trHeight w:val="330" w:hRule="atLeast"/>
        </w:trPr>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w:t>
            </w:r>
          </w:p>
        </w:tc>
        <w:tc>
          <w:tcPr>
            <w:tcW w:w="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套</w:t>
            </w:r>
          </w:p>
        </w:tc>
        <w:tc>
          <w:tcPr>
            <w:tcW w:w="6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第二代审讯专用麦克风阵列（多通道音频采集器）：</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1、音频采集器能够同步采集的语音通道数为16个通道；</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2、采集音频格式为16k Hz采样率，16位量化精度；</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3、支持语音播放音量调节，麦克风具有自动增益调节；</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4、拾音距离：问话方1到2米；答话方2到3米，最大可达5米；</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5、拾音角度：问话方180°，答话方±30°；</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6、问答两路麦克风输出的信噪比达到25dB以上；</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7、问话人和答话人的相互语音的隔离度达到25dB以上；</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8、供电接口:USB接口；</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9、供电需求：5V/300mA；</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10、系统兼容：XP、win7、win10；</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11、环境温度范围：-20~60℃；</w:t>
            </w:r>
          </w:p>
        </w:tc>
      </w:tr>
    </w:tbl>
    <w:p>
      <w:pPr>
        <w:pStyle w:val="5"/>
        <w:numPr>
          <w:ilvl w:val="0"/>
          <w:numId w:val="11"/>
        </w:numPr>
        <w:spacing w:line="500" w:lineRule="exact"/>
        <w:rPr>
          <w:rFonts w:hint="eastAsia" w:ascii="宋体" w:hAnsi="宋体" w:eastAsia="宋体" w:cs="宋体"/>
          <w:sz w:val="21"/>
          <w:szCs w:val="21"/>
        </w:rPr>
      </w:pPr>
      <w:r>
        <w:rPr>
          <w:rFonts w:hint="eastAsia" w:ascii="宋体" w:hAnsi="宋体" w:eastAsia="宋体" w:cs="宋体"/>
          <w:sz w:val="21"/>
          <w:szCs w:val="21"/>
        </w:rPr>
        <w:t>装修范围</w:t>
      </w:r>
    </w:p>
    <w:tbl>
      <w:tblPr>
        <w:tblStyle w:val="52"/>
        <w:tblW w:w="0" w:type="auto"/>
        <w:tblInd w:w="0" w:type="dxa"/>
        <w:tblLayout w:type="fixed"/>
        <w:tblCellMar>
          <w:top w:w="0" w:type="dxa"/>
          <w:left w:w="0" w:type="dxa"/>
          <w:bottom w:w="0" w:type="dxa"/>
          <w:right w:w="0" w:type="dxa"/>
        </w:tblCellMar>
      </w:tblPr>
      <w:tblGrid>
        <w:gridCol w:w="576"/>
        <w:gridCol w:w="3462"/>
        <w:gridCol w:w="655"/>
        <w:gridCol w:w="567"/>
        <w:gridCol w:w="4181"/>
      </w:tblGrid>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序号</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项目名称</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数量</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单位</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技术参数</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原墙拆除</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290</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原墙拆除</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轻质砖墙砌体</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390</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200厚砌蒸压砂加气混凝土砌块墙</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轻质砖墙面纤维网加固</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780</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墙面 钉(贴)玻璃纤维网格布</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红砖砌体</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砌筑多空红砖墙</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墙面水泥砂浆粉刷</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810</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水泥砂浆粉刷</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轻钢龙骨石膏板吊顶（三级）</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295.95</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18mm木工板基层. 石膏板饰面</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轻钢龙骨石膏板吊顶批腻子</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73.44</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墙面环保腻子 抹灰面~遍数3(遍)</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安检帘</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无悬挂点座.阻燃窗帘</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不锈钢门套</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18mm木工板基层.1.2拉丝不锈钢</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墙砖饰面</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85.32</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等同大楼其他卫生间</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蹲坑、专用隐藏式水箱、地台</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入墙式隐蔽水箱.无悬挂点</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感应式小便斗</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700*340.内藏式感应</w:t>
            </w:r>
          </w:p>
        </w:tc>
      </w:tr>
      <w:tr>
        <w:tblPrEx>
          <w:tblCellMar>
            <w:top w:w="0" w:type="dxa"/>
            <w:left w:w="0" w:type="dxa"/>
            <w:bottom w:w="0" w:type="dxa"/>
            <w:right w:w="0" w:type="dxa"/>
          </w:tblCellMar>
        </w:tblPrEx>
        <w:trPr>
          <w:wBefore w:w="0" w:type="dxa"/>
          <w:wAfter w:w="0" w:type="dxa"/>
          <w:trHeight w:val="54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隐藏龙头感应式洗手台</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感应距离5—20CM.6V.30秒自动关水.无悬挂点</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吸顶灯</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盏</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300*300.LED.11W.</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生态木吊顶</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43.32</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E0.防水.防腐.阻燃.12MM</w:t>
            </w:r>
          </w:p>
        </w:tc>
      </w:tr>
      <w:tr>
        <w:tblPrEx>
          <w:tblCellMar>
            <w:top w:w="0" w:type="dxa"/>
            <w:left w:w="0" w:type="dxa"/>
            <w:bottom w:w="0" w:type="dxa"/>
            <w:right w:w="0" w:type="dxa"/>
          </w:tblCellMar>
        </w:tblPrEx>
        <w:trPr>
          <w:wBefore w:w="0" w:type="dxa"/>
          <w:wAfter w:w="0" w:type="dxa"/>
          <w:trHeight w:val="54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集体侯问室玻璃隔断（原子玻璃）</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24.38</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8+8夹胶钢化防爆玻璃隔断. 1MM不锈钢包边</w:t>
            </w:r>
          </w:p>
        </w:tc>
      </w:tr>
      <w:tr>
        <w:tblPrEx>
          <w:tblCellMar>
            <w:top w:w="0" w:type="dxa"/>
            <w:left w:w="0" w:type="dxa"/>
            <w:bottom w:w="0" w:type="dxa"/>
            <w:right w:w="0" w:type="dxa"/>
          </w:tblCellMar>
        </w:tblPrEx>
        <w:trPr>
          <w:wBefore w:w="0" w:type="dxa"/>
          <w:wAfter w:w="0" w:type="dxa"/>
          <w:trHeight w:val="54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有框玻璃门（原子玻璃）</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樘</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6+6夹胶钢化防爆玻璃、暗锁.含五金 钢框.尺寸760mm*2050mm</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侯问区换气窗</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13.48</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m</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1.5MM金属Φ3MM穿孔板.宽350MM</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水晶板uv打印腰线</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96</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m</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9MM多层板基层.3MM亚克力.宽100MM</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地台浇筑</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水泥地台.圆角.2400*1800*150</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特殊讯问室玻璃隔断</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11.72</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10MM钢化玻璃.1MM不锈钢包边</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定制有框玻璃门</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樘</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6*6钢化玻璃.1MM不锈钢包边.2000MM*850MM</w:t>
            </w:r>
          </w:p>
        </w:tc>
      </w:tr>
      <w:tr>
        <w:tblPrEx>
          <w:tblCellMar>
            <w:top w:w="0" w:type="dxa"/>
            <w:left w:w="0" w:type="dxa"/>
            <w:bottom w:w="0" w:type="dxa"/>
            <w:right w:w="0" w:type="dxa"/>
          </w:tblCellMar>
        </w:tblPrEx>
        <w:trPr>
          <w:wBefore w:w="0" w:type="dxa"/>
          <w:wAfter w:w="0" w:type="dxa"/>
          <w:trHeight w:val="285"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专用原子辨认镜</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2.88</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12mm.耐冷热温差.耐1700℃高温</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身高刻度尺</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3MM雪弗板</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不锈钢踢脚线</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493.08</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m</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12mm黑色不锈钢，9mm木板基层</w:t>
            </w:r>
          </w:p>
        </w:tc>
      </w:tr>
      <w:tr>
        <w:tblPrEx>
          <w:tblCellMar>
            <w:top w:w="0" w:type="dxa"/>
            <w:left w:w="0" w:type="dxa"/>
            <w:bottom w:w="0" w:type="dxa"/>
            <w:right w:w="0" w:type="dxa"/>
          </w:tblCellMar>
        </w:tblPrEx>
        <w:trPr>
          <w:wBefore w:w="0" w:type="dxa"/>
          <w:wAfter w:w="0" w:type="dxa"/>
          <w:trHeight w:val="54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26</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600*600硅酸钙板吊顶</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698.01</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6mm矿棉板. 国标材质.不燃A1级.吸音.耐水</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27</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墙面专用腻子找平</w:t>
            </w:r>
          </w:p>
        </w:tc>
        <w:tc>
          <w:tcPr>
            <w:tcW w:w="655" w:type="dxa"/>
            <w:tcBorders>
              <w:top w:val="nil"/>
              <w:left w:val="nil"/>
              <w:bottom w:val="nil"/>
              <w:right w:val="nil"/>
            </w:tcBorders>
            <w:noWrap/>
            <w:tcMar>
              <w:top w:w="15" w:type="dxa"/>
              <w:left w:w="15" w:type="dxa"/>
              <w:right w:w="15" w:type="dxa"/>
            </w:tcMar>
            <w:vAlign w:val="center"/>
          </w:tcPr>
          <w:p>
            <w:pPr>
              <w:widowControl/>
              <w:jc w:val="righ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2474.4</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环保腻子 抹灰面~遍数3(遍)</w:t>
            </w:r>
          </w:p>
        </w:tc>
      </w:tr>
      <w:tr>
        <w:tblPrEx>
          <w:tblCellMar>
            <w:top w:w="0" w:type="dxa"/>
            <w:left w:w="0" w:type="dxa"/>
            <w:bottom w:w="0" w:type="dxa"/>
            <w:right w:w="0" w:type="dxa"/>
          </w:tblCellMar>
        </w:tblPrEx>
        <w:trPr>
          <w:wBefore w:w="0" w:type="dxa"/>
          <w:wAfter w:w="0" w:type="dxa"/>
          <w:trHeight w:val="54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28</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墙面1.2cm厚防撞吸音棉饰面</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1500.2</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12mm聚酯吸音棉 环保等级：E0级；吸音系数：0.8~1.0；耐磨损，抗冲击</w:t>
            </w:r>
          </w:p>
        </w:tc>
      </w:tr>
      <w:tr>
        <w:tblPrEx>
          <w:tblCellMar>
            <w:top w:w="0" w:type="dxa"/>
            <w:left w:w="0" w:type="dxa"/>
            <w:bottom w:w="0" w:type="dxa"/>
            <w:right w:w="0" w:type="dxa"/>
          </w:tblCellMar>
        </w:tblPrEx>
        <w:trPr>
          <w:wBefore w:w="0" w:type="dxa"/>
          <w:wAfter w:w="0" w:type="dxa"/>
          <w:trHeight w:val="81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29</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金属平板防火门（双开）</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樘</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烤漆平板门  耐火时间1.5H，门框厚度10CM,门扇厚度5.0 CM，门板厚度1.0MM 1500mm*2100mm</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600*600平板灯</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153</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盏</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58W.LED.双驱动</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31</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墙面乳胶漆刷白</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1334.71</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国标乳胶漆</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32</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筒灯</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149</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盏</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14W.LED.国标</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33</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射灯</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盏</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16W.LED.国标</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34</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灯带</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127.4</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m</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.LED.国标</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35</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木工板基层</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336</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E1.18MM木工板</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36</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镀锌方管隔断基层</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157.62</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30*50*1.5镀锌钢管</w:t>
            </w:r>
          </w:p>
        </w:tc>
      </w:tr>
      <w:tr>
        <w:tblPrEx>
          <w:tblCellMar>
            <w:top w:w="0" w:type="dxa"/>
            <w:left w:w="0" w:type="dxa"/>
            <w:bottom w:w="0" w:type="dxa"/>
            <w:right w:w="0" w:type="dxa"/>
          </w:tblCellMar>
        </w:tblPrEx>
        <w:trPr>
          <w:wBefore w:w="0" w:type="dxa"/>
          <w:wAfter w:w="0" w:type="dxa"/>
          <w:trHeight w:val="54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37</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成品套装实木门（单开）</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37</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樘</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燕尾槽收边.内部为杉木实心表面贴木皮材质.暗拉手（含五金）尺寸860mm*2150mm</w:t>
            </w:r>
          </w:p>
        </w:tc>
      </w:tr>
      <w:tr>
        <w:tblPrEx>
          <w:tblCellMar>
            <w:top w:w="0" w:type="dxa"/>
            <w:left w:w="0" w:type="dxa"/>
            <w:bottom w:w="0" w:type="dxa"/>
            <w:right w:w="0" w:type="dxa"/>
          </w:tblCellMar>
        </w:tblPrEx>
        <w:trPr>
          <w:wBefore w:w="0" w:type="dxa"/>
          <w:wAfter w:w="0" w:type="dxa"/>
          <w:trHeight w:val="54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38</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成品套装实木门（双开）</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樘</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燕尾槽收边.内部为杉木实心表面贴木皮材质.暗拉手（含五金）尺寸1500mm*2150mm</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39</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顶面不锈钢卡条</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86.4</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m</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1.0拉丝不锈钢.宽35MM</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卷帘</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阻燃窗帘</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41</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卫生间成品隔断</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3.44</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m</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16MM.防潮板.五金.门.高800MM</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42</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卫生间防水</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间</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国标防水剂3道</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43</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吊柜</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m</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E1.18MM免漆板.烤漆门.高750*380MM</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44</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墙面饰品</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项</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装饰画</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45</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蹲坑、水箱、地台</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后进前出，高度256MM.前排水</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46</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洗手台</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托架式洗脸盆安装 冷水</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47</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地面警示地贴</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项</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耐磨地贴.</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48</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会见室专用隔断</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6.4</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专用隔断.</w:t>
            </w:r>
          </w:p>
        </w:tc>
      </w:tr>
      <w:tr>
        <w:tblPrEx>
          <w:tblCellMar>
            <w:top w:w="0" w:type="dxa"/>
            <w:left w:w="0" w:type="dxa"/>
            <w:bottom w:w="0" w:type="dxa"/>
            <w:right w:w="0" w:type="dxa"/>
          </w:tblCellMar>
        </w:tblPrEx>
        <w:trPr>
          <w:wBefore w:w="0" w:type="dxa"/>
          <w:wAfter w:w="0" w:type="dxa"/>
          <w:trHeight w:val="54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49</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铝塑板装饰背景墙</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30*30mm镀锌方管铝塑板板厚3毫米,铝厚0.21毫米.干挂</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不锈钢字</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项</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304定制</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51</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轻钢龙骨石膏板吊顶批腻子</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58.2</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墙面环保腻子 抹灰面~遍数3(遍)</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52</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墙面吸音板饰面</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66.5</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18mm木工板基层. 实木吸音板饰面含线条</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53</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隐藏式窗帘盒</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14.74</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m</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18mm木工板基层. 石膏板板饰面</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54</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窗帘</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70</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阻燃窗帘</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55</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LED大屏不锈钢收口</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项</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1.0拉丝不锈钢，宽85MM</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56</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习近平语录</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项</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定制</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57</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轻钢龙骨石膏板吊顶（一级）</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14.42</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18mm木工板基层. 石膏板板饰面</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58</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轻钢龙骨石膏板吊顶批腻子</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14.42</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墙面环保腻子 抹灰面~遍数3(遍)</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59</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木工板基层木饰面吊顶</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17.32</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E1.18MM木工板基层.成品木饰面</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60</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木工板基层地台</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17.32</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E1.18MM木工板基层.</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61</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复合地板饰面</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17.32</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10MM.E1.耐磨转数:6000转(含)-9000转(不含）强化木地板饰面</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62</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墙面木饰面</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29</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E1.18MM木工板基层.成品木饰面</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63</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墙面装饰品</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项</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宣传画</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64</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铝方通吊顶</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49.99</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厚度:60*60*0.8mm.抗油污滚涂板</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65</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原顶乳胶漆饰面（黑色）</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65</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国标乳胶漆</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66</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铝合金中空百叶玻璃隔断</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98.22</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铝合金边框，双层钢化玻璃，内置百叶</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67</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电视机背景墙</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6.3</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18mm木工板基层. 石膏板板饰面</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68</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大理石背景墙</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12.88</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E1.18MM木工板基层.天然大理石</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69</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背景墙不锈钢收口</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63</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m</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1.0拉丝不锈钢，宽45MM</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背景墙软包饰面</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E1.18MM木工板基层.软包饰面</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背景有色墙乳胶漆饰面</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20.58</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国标乳胶漆</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72</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案管中心操作台</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6.58</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m</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750*760免漆板基层.门.抽屉.大理石台面</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休息室水吧台（含台盆1个）</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m</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550*820免漆板基层.门.抽屉.大理石台面</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装订室操作台</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7.9</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m</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600*820免漆板基层.门.抽屉.大理石台面</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水晶字.警徽</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项</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鎏金警徽.定制</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76</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宣传牌</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项</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定制</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77</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窗帘</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70.8</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阻燃窗帘</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卷帘</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52</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阻燃窗帘</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79</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条灯</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34</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盏</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120*70*45.LED.白光</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80</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工艺吊灯（一）</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盏</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50W.LED工艺吊灯</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81</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工艺吊灯（二）</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盏</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50W.LED工艺吊灯</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82</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管理室背景墙生态木饰面</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E1.18MM木工板基层.生态木饰面</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83</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管理室背景墙大理石饰面</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8.82</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E1.18MM木工板基层.大理石饰面</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84</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管理室操作台</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3.34</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m</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800*760MM免漆板基层.带抽屉.大理石台面</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85</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管理室防盗窗</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36.12</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304不锈钢.穿12圆钢</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86</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地面标志</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项</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耐磨地贴.定制</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87</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配线</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4000</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m</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BV1.5</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88</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配线</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7000</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m</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BV2.5</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89</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配线</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1000</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m</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BV4</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90</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配线</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600</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m</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BV6</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91</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配线</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120</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m</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YJV4*16+1*10</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配管KBG25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5450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m</w:t>
            </w:r>
          </w:p>
        </w:tc>
        <w:tc>
          <w:tcPr>
            <w:tcW w:w="41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1、砖、混凝土结构暗配电线管  公称口径25mm以内</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强电桥架150*100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220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m</w:t>
            </w:r>
          </w:p>
        </w:tc>
        <w:tc>
          <w:tcPr>
            <w:tcW w:w="41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1、钢制槽式桥架安装  宽＋高1200mm以下</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弱电桥架200*100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240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m</w:t>
            </w:r>
          </w:p>
        </w:tc>
        <w:tc>
          <w:tcPr>
            <w:tcW w:w="41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1、钢制槽式桥架安装  宽＋高1200mm以下</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95</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插座</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120</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只</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信息插座</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96</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插座</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140</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只</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五孔插座</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97</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KBG接线盒</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320</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只</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KBG</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98</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地插</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只</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地面插座</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99</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配电箱</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400*600嵌入式</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100</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水管</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120</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m</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PPR20水管</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101</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水管配件</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项</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PPR水管配件</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102</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下水管</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m</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PVC110管</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103</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下水管</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80</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m</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PVC50管</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104</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下水管配件</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项</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PVC配件</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105</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脚手架</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1320</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脚手架</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垃圾清运</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项</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垃圾清运</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107</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材料二次搬运费</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项</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材料二次搬运</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108</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制度牌.水晶字</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项</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600*900制度牌.300MM水晶字</w:t>
            </w:r>
          </w:p>
        </w:tc>
      </w:tr>
      <w:tr>
        <w:tblPrEx>
          <w:tblCellMar>
            <w:top w:w="0" w:type="dxa"/>
            <w:left w:w="0" w:type="dxa"/>
            <w:bottom w:w="0" w:type="dxa"/>
            <w:right w:w="0" w:type="dxa"/>
          </w:tblCellMar>
        </w:tblPrEx>
        <w:trPr>
          <w:wBefore w:w="0" w:type="dxa"/>
          <w:wAfter w:w="0" w:type="dxa"/>
          <w:trHeight w:val="270" w:hRule="atLeast"/>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109</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卫生清理</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1320</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卫生清理</w:t>
            </w:r>
          </w:p>
        </w:tc>
      </w:tr>
    </w:tbl>
    <w:p>
      <w:pPr>
        <w:adjustRightInd w:val="0"/>
        <w:snapToGrid w:val="0"/>
        <w:spacing w:line="400" w:lineRule="exact"/>
        <w:ind w:firstLine="482"/>
        <w:rPr>
          <w:rFonts w:hint="eastAsia" w:ascii="宋体" w:hAnsi="宋体" w:eastAsia="宋体" w:cs="宋体"/>
          <w:b/>
          <w:sz w:val="21"/>
          <w:szCs w:val="21"/>
        </w:rPr>
      </w:pPr>
      <w:r>
        <w:rPr>
          <w:rFonts w:hint="eastAsia" w:ascii="宋体" w:hAnsi="宋体" w:eastAsia="宋体" w:cs="宋体"/>
          <w:b/>
          <w:sz w:val="21"/>
          <w:szCs w:val="21"/>
        </w:rPr>
        <w:t>▲项目要求：</w:t>
      </w:r>
    </w:p>
    <w:p>
      <w:pPr>
        <w:adjustRightInd w:val="0"/>
        <w:snapToGrid w:val="0"/>
        <w:spacing w:line="400" w:lineRule="exact"/>
        <w:ind w:firstLine="482"/>
        <w:rPr>
          <w:rFonts w:hint="eastAsia" w:ascii="宋体" w:hAnsi="宋体" w:eastAsia="宋体" w:cs="宋体"/>
          <w:b/>
          <w:sz w:val="21"/>
          <w:szCs w:val="21"/>
        </w:rPr>
      </w:pPr>
      <w:r>
        <w:rPr>
          <w:rFonts w:hint="eastAsia" w:ascii="宋体" w:hAnsi="宋体" w:eastAsia="宋体" w:cs="宋体"/>
          <w:b/>
          <w:sz w:val="21"/>
          <w:szCs w:val="21"/>
        </w:rPr>
        <w:t>1、</w:t>
      </w:r>
      <w:r>
        <w:rPr>
          <w:rFonts w:hint="eastAsia" w:ascii="宋体" w:hAnsi="宋体" w:eastAsia="宋体" w:cs="宋体"/>
          <w:sz w:val="21"/>
          <w:szCs w:val="21"/>
        </w:rPr>
        <w:t>本项目软硬件产品与系统提供三年质保，其中服务器、存储、硬盘、摄像头、同步录音录像主机、轨迹定位系统、多道心理测试系统、卷宗管理平台、涉案财物管理系统、办案区综合管理平台等相关产品须在签订合同前提供原生产厂商三年质保函原件及授权函原件。</w:t>
      </w:r>
    </w:p>
    <w:p>
      <w:pPr>
        <w:adjustRightInd w:val="0"/>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2、投标人应确保所投系统与浙江省公安厅执法办案综合应用平台（二期）对接，此项为必须满足。在中标公告三天内，中标人需去业主单位演示平台对接情况（</w:t>
      </w:r>
      <w:r>
        <w:rPr>
          <w:rFonts w:hint="eastAsia" w:ascii="宋体" w:hAnsi="宋体" w:eastAsia="宋体" w:cs="宋体"/>
          <w:b/>
          <w:bCs/>
          <w:sz w:val="21"/>
          <w:szCs w:val="21"/>
        </w:rPr>
        <w:t>注：人员信息一次录入，民警无需重复操作</w:t>
      </w:r>
      <w:r>
        <w:rPr>
          <w:rFonts w:hint="eastAsia" w:ascii="宋体" w:hAnsi="宋体" w:eastAsia="宋体" w:cs="宋体"/>
          <w:sz w:val="21"/>
          <w:szCs w:val="21"/>
        </w:rPr>
        <w:t>）；如中标方无法实现以上所述功能，业主方可作废标处理。</w:t>
      </w:r>
    </w:p>
    <w:p>
      <w:pPr>
        <w:adjustRightInd w:val="0"/>
        <w:snapToGrid w:val="0"/>
        <w:spacing w:line="400" w:lineRule="exact"/>
        <w:ind w:firstLine="480"/>
        <w:rPr>
          <w:rFonts w:hint="eastAsia" w:ascii="宋体" w:hAnsi="宋体" w:eastAsia="宋体" w:cs="宋体"/>
          <w:sz w:val="21"/>
          <w:szCs w:val="21"/>
        </w:rPr>
      </w:pPr>
      <w:r>
        <w:rPr>
          <w:rFonts w:hint="eastAsia" w:ascii="宋体" w:hAnsi="宋体" w:eastAsia="宋体" w:cs="宋体"/>
          <w:sz w:val="21"/>
          <w:szCs w:val="21"/>
        </w:rPr>
        <w:t>3、中标单位应在签订采购合同之前提供所投产品到采购方进行实地性能、功能测试，如测试结果无法满足招标文件的要求,采购人有权取消其中标资格，不与中标单位签订采购合同。</w:t>
      </w:r>
    </w:p>
    <w:p>
      <w:pPr>
        <w:adjustRightInd w:val="0"/>
        <w:snapToGrid w:val="0"/>
        <w:spacing w:line="400" w:lineRule="exact"/>
        <w:ind w:firstLine="480"/>
        <w:rPr>
          <w:rFonts w:hint="eastAsia" w:ascii="宋体" w:hAnsi="宋体" w:eastAsia="宋体" w:cs="宋体"/>
          <w:sz w:val="21"/>
          <w:szCs w:val="21"/>
        </w:rPr>
      </w:pPr>
      <w:r>
        <w:rPr>
          <w:rFonts w:hint="eastAsia" w:ascii="宋体" w:hAnsi="宋体" w:eastAsia="宋体" w:cs="宋体"/>
          <w:sz w:val="21"/>
          <w:szCs w:val="21"/>
        </w:rPr>
        <w:t>4、报价含设备运输、安装、调试、所有辅助材料及人工费用，并包含项目集成、实施及线路改造等费用。</w:t>
      </w:r>
    </w:p>
    <w:p>
      <w:pPr>
        <w:adjustRightInd w:val="0"/>
        <w:snapToGrid w:val="0"/>
        <w:spacing w:line="400" w:lineRule="exact"/>
        <w:ind w:firstLine="480"/>
        <w:rPr>
          <w:rFonts w:hint="eastAsia" w:ascii="宋体" w:hAnsi="宋体" w:eastAsia="宋体" w:cs="宋体"/>
          <w:sz w:val="21"/>
          <w:szCs w:val="21"/>
        </w:rPr>
      </w:pPr>
      <w:r>
        <w:rPr>
          <w:rFonts w:hint="eastAsia" w:ascii="宋体" w:hAnsi="宋体" w:eastAsia="宋体" w:cs="宋体"/>
          <w:sz w:val="21"/>
          <w:szCs w:val="21"/>
        </w:rPr>
        <w:t>5、本项目所有货物最终用户应为磐安县公安局，到货验收时将通过设备厂商提供的售后服务电话确认所供货物的归属权及质保情况，如经查询，不符合招标要求的，将拒绝签收。</w:t>
      </w:r>
    </w:p>
    <w:p>
      <w:pPr>
        <w:adjustRightInd w:val="0"/>
        <w:snapToGrid w:val="0"/>
        <w:spacing w:line="400" w:lineRule="exact"/>
        <w:ind w:firstLine="480"/>
        <w:rPr>
          <w:rFonts w:hint="eastAsia" w:ascii="宋体" w:hAnsi="宋体" w:eastAsia="宋体" w:cs="宋体"/>
          <w:sz w:val="21"/>
          <w:szCs w:val="21"/>
        </w:rPr>
      </w:pPr>
      <w:r>
        <w:rPr>
          <w:rFonts w:hint="eastAsia" w:ascii="宋体" w:hAnsi="宋体" w:eastAsia="宋体" w:cs="宋体"/>
          <w:sz w:val="21"/>
          <w:szCs w:val="21"/>
        </w:rPr>
        <w:t>6、施工期限在合同签订后的90天内完成，如未完成一天扣1000元，不可抗原因除外。</w:t>
      </w:r>
    </w:p>
    <w:p>
      <w:pPr>
        <w:adjustRightInd w:val="0"/>
        <w:snapToGrid w:val="0"/>
        <w:spacing w:line="400" w:lineRule="exact"/>
        <w:ind w:firstLine="480"/>
        <w:rPr>
          <w:rFonts w:hint="eastAsia" w:ascii="宋体" w:hAnsi="宋体" w:eastAsia="宋体" w:cs="宋体"/>
          <w:sz w:val="21"/>
          <w:szCs w:val="21"/>
        </w:rPr>
      </w:pPr>
      <w:r>
        <w:rPr>
          <w:rFonts w:hint="eastAsia" w:ascii="宋体" w:hAnsi="宋体" w:eastAsia="宋体" w:cs="宋体"/>
          <w:sz w:val="21"/>
          <w:szCs w:val="21"/>
        </w:rPr>
        <w:t>7、本次投标需提供使用单位现场</w:t>
      </w:r>
      <w:bookmarkStart w:id="3" w:name="OLE_LINK7"/>
      <w:r>
        <w:rPr>
          <w:rFonts w:hint="eastAsia" w:ascii="宋体" w:hAnsi="宋体" w:eastAsia="宋体" w:cs="宋体"/>
          <w:sz w:val="21"/>
          <w:szCs w:val="21"/>
        </w:rPr>
        <w:t>勘查</w:t>
      </w:r>
      <w:bookmarkEnd w:id="3"/>
      <w:r>
        <w:rPr>
          <w:rFonts w:hint="eastAsia" w:ascii="宋体" w:hAnsi="宋体" w:eastAsia="宋体" w:cs="宋体"/>
          <w:sz w:val="21"/>
          <w:szCs w:val="21"/>
        </w:rPr>
        <w:t>盖章</w:t>
      </w:r>
      <w:r>
        <w:rPr>
          <w:rFonts w:hint="eastAsia" w:ascii="宋体" w:hAnsi="宋体" w:eastAsia="宋体" w:cs="宋体"/>
          <w:sz w:val="21"/>
          <w:szCs w:val="21"/>
          <w:lang w:eastAsia="zh-CN"/>
        </w:rPr>
        <w:t>文件材料</w:t>
      </w:r>
      <w:r>
        <w:rPr>
          <w:rFonts w:hint="eastAsia" w:ascii="宋体" w:hAnsi="宋体" w:eastAsia="宋体" w:cs="宋体"/>
          <w:sz w:val="21"/>
          <w:szCs w:val="21"/>
        </w:rPr>
        <w:t>，请先与使用单位联系并到使用单位进行现场勘查、设计（业主盖章）。</w:t>
      </w:r>
    </w:p>
    <w:p>
      <w:pPr>
        <w:pStyle w:val="28"/>
        <w:numPr>
          <w:ilvl w:val="0"/>
          <w:numId w:val="0"/>
        </w:numPr>
        <w:snapToGrid w:val="0"/>
        <w:spacing w:before="120" w:after="120" w:line="240" w:lineRule="auto"/>
        <w:rPr>
          <w:rFonts w:hint="eastAsia" w:ascii="宋体" w:hAnsi="宋体" w:eastAsia="宋体" w:cs="宋体"/>
          <w:sz w:val="21"/>
          <w:szCs w:val="21"/>
        </w:rPr>
        <w:sectPr>
          <w:footerReference r:id="rId9" w:type="first"/>
          <w:headerReference r:id="rId6" w:type="default"/>
          <w:footerReference r:id="rId7" w:type="default"/>
          <w:footerReference r:id="rId8" w:type="even"/>
          <w:pgSz w:w="11906" w:h="16838"/>
          <w:pgMar w:top="1474" w:right="1134" w:bottom="1134" w:left="1361" w:header="851" w:footer="851" w:gutter="0"/>
          <w:cols w:space="720" w:num="1"/>
          <w:docGrid w:linePitch="312" w:charSpace="0"/>
        </w:sectPr>
      </w:pPr>
    </w:p>
    <w:p>
      <w:pPr>
        <w:pStyle w:val="3"/>
        <w:rPr>
          <w:rFonts w:hint="eastAsia"/>
        </w:rPr>
      </w:pPr>
      <w:r>
        <w:rPr>
          <w:rFonts w:hint="eastAsia"/>
        </w:rPr>
        <w:t>第三章  投标人须知</w:t>
      </w:r>
    </w:p>
    <w:p>
      <w:pPr>
        <w:adjustRightInd w:val="0"/>
        <w:snapToGrid w:val="0"/>
        <w:spacing w:before="120" w:beforeLines="50" w:after="120" w:afterLines="50"/>
        <w:ind w:left="238"/>
        <w:jc w:val="center"/>
        <w:outlineLvl w:val="1"/>
        <w:rPr>
          <w:rFonts w:ascii="宋体" w:hAnsi="宋体"/>
          <w:b/>
          <w:szCs w:val="28"/>
        </w:rPr>
      </w:pPr>
      <w:r>
        <w:rPr>
          <w:rFonts w:hint="eastAsia" w:ascii="宋体" w:hAnsi="宋体"/>
          <w:b/>
          <w:szCs w:val="28"/>
        </w:rPr>
        <w:t>前附表</w:t>
      </w:r>
    </w:p>
    <w:tbl>
      <w:tblPr>
        <w:tblStyle w:val="5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90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24"/>
                <w:szCs w:val="20"/>
              </w:rPr>
            </w:pPr>
            <w:r>
              <w:rPr>
                <w:rFonts w:hint="eastAsia" w:ascii="宋体" w:hAnsi="宋体"/>
                <w:sz w:val="24"/>
              </w:rPr>
              <w:t>序号</w:t>
            </w:r>
          </w:p>
        </w:tc>
        <w:tc>
          <w:tcPr>
            <w:tcW w:w="90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24"/>
                <w:szCs w:val="20"/>
              </w:rPr>
            </w:pPr>
            <w:r>
              <w:rPr>
                <w:rFonts w:hint="eastAsia" w:ascii="宋体" w:hAnsi="宋体"/>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24"/>
                <w:szCs w:val="20"/>
              </w:rPr>
            </w:pPr>
            <w:r>
              <w:rPr>
                <w:rFonts w:ascii="宋体" w:hAnsi="宋体"/>
                <w:sz w:val="24"/>
              </w:rPr>
              <w:t>1</w:t>
            </w:r>
          </w:p>
        </w:tc>
        <w:tc>
          <w:tcPr>
            <w:tcW w:w="90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sz w:val="24"/>
                <w:szCs w:val="20"/>
              </w:rPr>
            </w:pPr>
            <w:r>
              <w:rPr>
                <w:rFonts w:hint="eastAsia" w:ascii="宋体" w:hAnsi="宋体"/>
                <w:sz w:val="24"/>
              </w:rPr>
              <w:t>项目名称：磐安县公安局安文***业务用房迁建工程一体化执法办案中心设备采购及安装服务项目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85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24"/>
                <w:szCs w:val="20"/>
              </w:rPr>
            </w:pPr>
            <w:r>
              <w:rPr>
                <w:rFonts w:ascii="宋体" w:hAnsi="宋体"/>
                <w:sz w:val="24"/>
              </w:rPr>
              <w:t>2</w:t>
            </w:r>
          </w:p>
        </w:tc>
        <w:tc>
          <w:tcPr>
            <w:tcW w:w="90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sz w:val="24"/>
              </w:rPr>
            </w:pPr>
            <w:r>
              <w:rPr>
                <w:rFonts w:hint="eastAsia" w:ascii="宋体" w:hAnsi="宋体"/>
                <w:sz w:val="24"/>
              </w:rPr>
              <w:t>采购数量及单位：</w:t>
            </w:r>
          </w:p>
          <w:tbl>
            <w:tblPr>
              <w:tblStyle w:val="5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6028"/>
              <w:gridCol w:w="736"/>
              <w:gridCol w:w="12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19" w:type="dxa"/>
                  <w:noWrap w:val="0"/>
                  <w:vAlign w:val="center"/>
                </w:tcPr>
                <w:p>
                  <w:pPr>
                    <w:spacing w:line="560" w:lineRule="exact"/>
                    <w:jc w:val="center"/>
                    <w:rPr>
                      <w:rFonts w:ascii="宋体" w:hAnsi="宋体" w:cs="宋体"/>
                      <w:b/>
                      <w:kern w:val="1"/>
                      <w:sz w:val="24"/>
                    </w:rPr>
                  </w:pPr>
                  <w:r>
                    <w:rPr>
                      <w:rFonts w:hint="eastAsia" w:ascii="宋体" w:hAnsi="宋体" w:cs="宋体"/>
                      <w:b/>
                      <w:kern w:val="1"/>
                      <w:sz w:val="24"/>
                    </w:rPr>
                    <w:t>包项</w:t>
                  </w:r>
                </w:p>
              </w:tc>
              <w:tc>
                <w:tcPr>
                  <w:tcW w:w="6028" w:type="dxa"/>
                  <w:noWrap w:val="0"/>
                  <w:vAlign w:val="center"/>
                </w:tcPr>
                <w:p>
                  <w:pPr>
                    <w:spacing w:line="560" w:lineRule="exact"/>
                    <w:jc w:val="center"/>
                    <w:rPr>
                      <w:rFonts w:ascii="宋体" w:hAnsi="宋体" w:cs="宋体"/>
                      <w:b/>
                      <w:kern w:val="1"/>
                      <w:sz w:val="24"/>
                    </w:rPr>
                  </w:pPr>
                  <w:r>
                    <w:rPr>
                      <w:rFonts w:hint="eastAsia" w:ascii="宋体" w:hAnsi="宋体" w:cs="宋体"/>
                      <w:b/>
                      <w:kern w:val="1"/>
                      <w:sz w:val="24"/>
                    </w:rPr>
                    <w:t>内容</w:t>
                  </w:r>
                </w:p>
              </w:tc>
              <w:tc>
                <w:tcPr>
                  <w:tcW w:w="736" w:type="dxa"/>
                  <w:noWrap w:val="0"/>
                  <w:vAlign w:val="center"/>
                </w:tcPr>
                <w:p>
                  <w:pPr>
                    <w:spacing w:line="560" w:lineRule="exact"/>
                    <w:jc w:val="center"/>
                    <w:rPr>
                      <w:rFonts w:ascii="宋体" w:hAnsi="宋体" w:cs="宋体"/>
                      <w:b/>
                      <w:kern w:val="1"/>
                      <w:sz w:val="24"/>
                    </w:rPr>
                  </w:pPr>
                  <w:r>
                    <w:rPr>
                      <w:rFonts w:hint="eastAsia" w:ascii="宋体" w:hAnsi="宋体" w:cs="宋体"/>
                      <w:b/>
                      <w:kern w:val="1"/>
                      <w:sz w:val="24"/>
                    </w:rPr>
                    <w:t>数量</w:t>
                  </w:r>
                </w:p>
              </w:tc>
              <w:tc>
                <w:tcPr>
                  <w:tcW w:w="1262" w:type="dxa"/>
                  <w:tcBorders>
                    <w:right w:val="single" w:color="auto" w:sz="4" w:space="0"/>
                  </w:tcBorders>
                  <w:noWrap w:val="0"/>
                  <w:vAlign w:val="center"/>
                </w:tcPr>
                <w:p>
                  <w:pPr>
                    <w:spacing w:line="560" w:lineRule="exact"/>
                    <w:jc w:val="center"/>
                    <w:rPr>
                      <w:rFonts w:ascii="宋体" w:hAnsi="宋体" w:cs="宋体"/>
                      <w:b/>
                      <w:kern w:val="1"/>
                      <w:sz w:val="24"/>
                    </w:rPr>
                  </w:pPr>
                  <w:r>
                    <w:rPr>
                      <w:rFonts w:hint="eastAsia" w:ascii="宋体" w:hAnsi="宋体" w:cs="宋体"/>
                      <w:b/>
                      <w:kern w:val="1"/>
                      <w:sz w:val="24"/>
                    </w:rPr>
                    <w:t>预算合计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46" w:hRule="atLeast"/>
              </w:trPr>
              <w:tc>
                <w:tcPr>
                  <w:tcW w:w="919" w:type="dxa"/>
                  <w:noWrap w:val="0"/>
                  <w:vAlign w:val="center"/>
                </w:tcPr>
                <w:p>
                  <w:pPr>
                    <w:spacing w:line="560" w:lineRule="exact"/>
                    <w:jc w:val="center"/>
                    <w:rPr>
                      <w:rFonts w:hint="eastAsia" w:ascii="宋体" w:hAnsi="宋体" w:cs="宋体"/>
                      <w:kern w:val="1"/>
                      <w:sz w:val="24"/>
                    </w:rPr>
                  </w:pPr>
                  <w:r>
                    <w:rPr>
                      <w:rFonts w:hint="eastAsia" w:ascii="宋体" w:hAnsi="宋体" w:cs="宋体"/>
                      <w:kern w:val="1"/>
                      <w:sz w:val="24"/>
                    </w:rPr>
                    <w:t>共一个包</w:t>
                  </w:r>
                </w:p>
              </w:tc>
              <w:tc>
                <w:tcPr>
                  <w:tcW w:w="6028" w:type="dxa"/>
                  <w:noWrap w:val="0"/>
                  <w:vAlign w:val="center"/>
                </w:tcPr>
                <w:p>
                  <w:pPr>
                    <w:tabs>
                      <w:tab w:val="left" w:pos="851"/>
                      <w:tab w:val="center" w:pos="5812"/>
                      <w:tab w:val="decimal" w:pos="7229"/>
                      <w:tab w:val="decimal" w:pos="8789"/>
                    </w:tabs>
                    <w:spacing w:line="560" w:lineRule="exact"/>
                    <w:ind w:right="-4"/>
                    <w:jc w:val="center"/>
                    <w:rPr>
                      <w:rFonts w:hint="eastAsia" w:ascii="宋体" w:hAnsi="宋体" w:cs="宋体"/>
                      <w:kern w:val="1"/>
                      <w:sz w:val="24"/>
                    </w:rPr>
                  </w:pPr>
                  <w:r>
                    <w:rPr>
                      <w:rFonts w:hint="eastAsia" w:ascii="宋体" w:hAnsi="宋体" w:cs="宋体"/>
                      <w:kern w:val="1"/>
                      <w:sz w:val="24"/>
                    </w:rPr>
                    <w:t>磐安县公安局安文派出所业务用房迁建工程一体化执法办案中心设备采购及安装服务项目</w:t>
                  </w:r>
                </w:p>
              </w:tc>
              <w:tc>
                <w:tcPr>
                  <w:tcW w:w="736" w:type="dxa"/>
                  <w:noWrap w:val="0"/>
                  <w:vAlign w:val="center"/>
                </w:tcPr>
                <w:p>
                  <w:pPr>
                    <w:tabs>
                      <w:tab w:val="left" w:pos="851"/>
                      <w:tab w:val="center" w:pos="5812"/>
                      <w:tab w:val="decimal" w:pos="7229"/>
                      <w:tab w:val="decimal" w:pos="8789"/>
                    </w:tabs>
                    <w:spacing w:line="560" w:lineRule="exact"/>
                    <w:ind w:right="-6"/>
                    <w:jc w:val="center"/>
                    <w:rPr>
                      <w:rFonts w:hint="eastAsia" w:ascii="宋体" w:hAnsi="宋体" w:cs="宋体"/>
                      <w:kern w:val="1"/>
                      <w:sz w:val="24"/>
                    </w:rPr>
                  </w:pPr>
                  <w:r>
                    <w:rPr>
                      <w:rFonts w:hint="eastAsia" w:ascii="宋体" w:hAnsi="宋体" w:cs="宋体"/>
                      <w:kern w:val="1"/>
                      <w:sz w:val="24"/>
                    </w:rPr>
                    <w:t>1套</w:t>
                  </w:r>
                </w:p>
              </w:tc>
              <w:tc>
                <w:tcPr>
                  <w:tcW w:w="1262" w:type="dxa"/>
                  <w:tcBorders>
                    <w:right w:val="single" w:color="auto" w:sz="4" w:space="0"/>
                  </w:tcBorders>
                  <w:noWrap w:val="0"/>
                  <w:vAlign w:val="center"/>
                </w:tcPr>
                <w:p>
                  <w:pPr>
                    <w:tabs>
                      <w:tab w:val="left" w:pos="851"/>
                      <w:tab w:val="center" w:pos="5812"/>
                      <w:tab w:val="decimal" w:pos="7229"/>
                      <w:tab w:val="decimal" w:pos="8789"/>
                    </w:tabs>
                    <w:spacing w:line="560" w:lineRule="exact"/>
                    <w:ind w:right="-4"/>
                    <w:jc w:val="center"/>
                    <w:rPr>
                      <w:rFonts w:hint="eastAsia" w:ascii="宋体" w:hAnsi="宋体" w:cs="宋体"/>
                      <w:kern w:val="1"/>
                      <w:sz w:val="24"/>
                    </w:rPr>
                  </w:pPr>
                  <w:r>
                    <w:rPr>
                      <w:rFonts w:hint="eastAsia" w:ascii="宋体" w:hAnsi="宋体" w:cs="宋体"/>
                      <w:kern w:val="1"/>
                      <w:sz w:val="24"/>
                    </w:rPr>
                    <w:t>508.6695万元</w:t>
                  </w:r>
                </w:p>
              </w:tc>
            </w:tr>
          </w:tbl>
          <w:p>
            <w:pPr>
              <w:adjustRightInd w:val="0"/>
              <w:snapToGrid w:val="0"/>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4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24"/>
                <w:szCs w:val="20"/>
              </w:rPr>
            </w:pPr>
            <w:r>
              <w:rPr>
                <w:rFonts w:ascii="宋体" w:hAnsi="宋体"/>
                <w:sz w:val="24"/>
              </w:rPr>
              <w:t>3</w:t>
            </w:r>
          </w:p>
        </w:tc>
        <w:tc>
          <w:tcPr>
            <w:tcW w:w="909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 w:val="24"/>
                <w:szCs w:val="20"/>
              </w:rPr>
            </w:pPr>
            <w:r>
              <w:rPr>
                <w:rFonts w:hint="eastAsia" w:ascii="宋体" w:hAnsi="宋体"/>
                <w:sz w:val="24"/>
              </w:rPr>
              <w:t>投标报价及费用：</w:t>
            </w:r>
            <w:r>
              <w:rPr>
                <w:rFonts w:ascii="宋体" w:hAnsi="宋体"/>
                <w:sz w:val="24"/>
              </w:rPr>
              <w:t>1</w:t>
            </w:r>
            <w:r>
              <w:rPr>
                <w:rFonts w:hint="eastAsia" w:ascii="宋体" w:hAnsi="宋体"/>
                <w:sz w:val="24"/>
              </w:rPr>
              <w:t>、本项目投标应以人民币报价；</w:t>
            </w:r>
            <w:r>
              <w:rPr>
                <w:rFonts w:ascii="宋体" w:hAnsi="宋体"/>
                <w:sz w:val="24"/>
              </w:rPr>
              <w:t>2</w:t>
            </w:r>
            <w:r>
              <w:rPr>
                <w:rFonts w:hint="eastAsia" w:ascii="宋体" w:hAnsi="宋体"/>
                <w:sz w:val="24"/>
              </w:rPr>
              <w:t>、不论投标结果如何，投标人均应自行承担所有与投标有关的全部费用；</w:t>
            </w:r>
            <w:r>
              <w:rPr>
                <w:rFonts w:ascii="宋体" w:hAnsi="宋体"/>
                <w:sz w:val="24"/>
              </w:rPr>
              <w:t>3</w:t>
            </w:r>
            <w:r>
              <w:rPr>
                <w:rFonts w:hint="eastAsia" w:ascii="宋体" w:hAnsi="宋体"/>
                <w:sz w:val="24"/>
              </w:rPr>
              <w:t>、本项目免收代理服务费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86"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24"/>
                <w:szCs w:val="20"/>
              </w:rPr>
            </w:pPr>
            <w:r>
              <w:rPr>
                <w:rFonts w:hint="eastAsia" w:ascii="宋体" w:hAnsi="宋体"/>
                <w:sz w:val="24"/>
              </w:rPr>
              <w:t>4</w:t>
            </w:r>
          </w:p>
        </w:tc>
        <w:tc>
          <w:tcPr>
            <w:tcW w:w="90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 xml:space="preserve">实施时间: </w:t>
            </w:r>
            <w:r>
              <w:rPr>
                <w:rFonts w:hint="eastAsia" w:ascii="宋体" w:hAnsi="宋体"/>
                <w:sz w:val="24"/>
                <w:lang w:val="zh-TW"/>
              </w:rPr>
              <w:t>在中标合同签订后</w:t>
            </w:r>
            <w:r>
              <w:rPr>
                <w:rFonts w:hint="eastAsia" w:ascii="宋体" w:hAnsi="宋体"/>
                <w:sz w:val="24"/>
              </w:rPr>
              <w:t>90</w:t>
            </w:r>
            <w:r>
              <w:rPr>
                <w:rFonts w:hint="eastAsia" w:ascii="宋体" w:hAnsi="宋体"/>
                <w:sz w:val="24"/>
                <w:lang w:val="zh-TW"/>
              </w:rPr>
              <w:t>天内完成项目的安装、调试与初步验收；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084"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szCs w:val="20"/>
              </w:rPr>
            </w:pPr>
            <w:r>
              <w:rPr>
                <w:rFonts w:hint="eastAsia" w:ascii="宋体" w:hAnsi="宋体"/>
                <w:sz w:val="24"/>
                <w:szCs w:val="20"/>
              </w:rPr>
              <w:t>5</w:t>
            </w:r>
          </w:p>
        </w:tc>
        <w:tc>
          <w:tcPr>
            <w:tcW w:w="909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b/>
                <w:sz w:val="24"/>
                <w:szCs w:val="20"/>
              </w:rPr>
            </w:pPr>
            <w:r>
              <w:rPr>
                <w:rFonts w:hint="eastAsia" w:ascii="宋体" w:hAnsi="宋体"/>
                <w:sz w:val="24"/>
              </w:rPr>
              <w:t>答疑与澄清：投标人如认为招标文件表述不清晰、存在歧视性、排他性或者其他违法内容的，应当于</w:t>
            </w:r>
            <w:r>
              <w:rPr>
                <w:rFonts w:ascii="宋体" w:hAnsi="宋体"/>
                <w:sz w:val="24"/>
              </w:rPr>
              <w:t xml:space="preserve"> </w:t>
            </w:r>
            <w:r>
              <w:rPr>
                <w:rFonts w:hint="eastAsia" w:ascii="宋体" w:hAnsi="宋体"/>
                <w:sz w:val="24"/>
                <w:u w:val="single"/>
              </w:rPr>
              <w:t>2019年</w:t>
            </w:r>
            <w:r>
              <w:rPr>
                <w:rFonts w:hint="eastAsia" w:ascii="宋体" w:hAnsi="宋体"/>
                <w:sz w:val="24"/>
                <w:u w:val="single"/>
                <w:lang w:val="en-US" w:eastAsia="zh-CN"/>
              </w:rPr>
              <w:t>8</w:t>
            </w:r>
            <w:r>
              <w:rPr>
                <w:rFonts w:hint="eastAsia" w:ascii="宋体" w:hAnsi="宋体"/>
                <w:sz w:val="24"/>
                <w:u w:val="single"/>
              </w:rPr>
              <w:t>月</w:t>
            </w:r>
            <w:r>
              <w:rPr>
                <w:rFonts w:hint="eastAsia" w:ascii="宋体" w:hAnsi="宋体"/>
                <w:sz w:val="24"/>
                <w:u w:val="single"/>
                <w:lang w:val="en-US" w:eastAsia="zh-CN"/>
              </w:rPr>
              <w:t>12</w:t>
            </w:r>
            <w:r>
              <w:rPr>
                <w:rFonts w:hint="eastAsia" w:ascii="宋体" w:hAnsi="宋体"/>
                <w:sz w:val="24"/>
                <w:u w:val="single"/>
              </w:rPr>
              <w:t>日</w:t>
            </w:r>
            <w:r>
              <w:rPr>
                <w:rFonts w:hint="eastAsia" w:ascii="宋体" w:hAnsi="宋体"/>
                <w:sz w:val="24"/>
              </w:rPr>
              <w:t>前，以书面形式要求招标采购单位作出书面解释、澄清或者向招标采购单位提出书面意见；招标采购单位将组织答疑；答疑内容是招标文件的组成部份，并将以书面形式送达所有已报名的投标人；因其他紧急情况影响本项目正常招标活动的，招标采购单位将于投标截止日期</w:t>
            </w:r>
            <w:r>
              <w:rPr>
                <w:rFonts w:ascii="宋体" w:hAnsi="宋体"/>
                <w:sz w:val="24"/>
              </w:rPr>
              <w:t>5</w:t>
            </w:r>
            <w:r>
              <w:rPr>
                <w:rFonts w:hint="eastAsia" w:ascii="宋体" w:hAnsi="宋体"/>
                <w:sz w:val="24"/>
              </w:rPr>
              <w:t>天前书面通知所有已报名的投标人。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6"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szCs w:val="20"/>
              </w:rPr>
            </w:pPr>
            <w:r>
              <w:rPr>
                <w:rFonts w:hint="eastAsia" w:ascii="宋体" w:hAnsi="宋体"/>
                <w:sz w:val="24"/>
                <w:szCs w:val="20"/>
              </w:rPr>
              <w:t>6</w:t>
            </w:r>
          </w:p>
        </w:tc>
        <w:tc>
          <w:tcPr>
            <w:tcW w:w="90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b/>
                <w:sz w:val="24"/>
              </w:rPr>
            </w:pPr>
            <w:r>
              <w:rPr>
                <w:rFonts w:hint="eastAsia" w:ascii="宋体" w:hAnsi="宋体"/>
                <w:b/>
                <w:sz w:val="24"/>
              </w:rPr>
              <w:t>投标文件组成：</w:t>
            </w:r>
          </w:p>
          <w:p>
            <w:pPr>
              <w:autoSpaceDE w:val="0"/>
              <w:autoSpaceDN w:val="0"/>
              <w:snapToGrid w:val="0"/>
              <w:textAlignment w:val="bottom"/>
              <w:rPr>
                <w:rFonts w:hint="eastAsia" w:ascii="宋体" w:hAnsi="宋体"/>
                <w:b/>
                <w:sz w:val="24"/>
              </w:rPr>
            </w:pPr>
            <w:r>
              <w:rPr>
                <w:rFonts w:hint="eastAsia" w:ascii="宋体" w:hAnsi="宋体"/>
                <w:b/>
                <w:sz w:val="24"/>
              </w:rPr>
              <w:t>1、资格审查资料</w:t>
            </w:r>
            <w:r>
              <w:rPr>
                <w:rFonts w:hint="eastAsia" w:ascii="宋体" w:hAnsi="宋体"/>
                <w:b/>
                <w:sz w:val="24"/>
                <w:u w:val="single"/>
              </w:rPr>
              <w:t xml:space="preserve">1 </w:t>
            </w:r>
            <w:r>
              <w:rPr>
                <w:rFonts w:hint="eastAsia" w:ascii="宋体" w:hAnsi="宋体"/>
                <w:b/>
                <w:sz w:val="24"/>
              </w:rPr>
              <w:t>份</w:t>
            </w:r>
            <w:r>
              <w:rPr>
                <w:rFonts w:hint="eastAsia" w:ascii="宋体" w:hAnsi="宋体" w:cs="Arial"/>
                <w:b/>
                <w:sz w:val="24"/>
              </w:rPr>
              <w:t>（单独密封）</w:t>
            </w:r>
            <w:r>
              <w:rPr>
                <w:rFonts w:hint="eastAsia" w:ascii="宋体" w:hAnsi="宋体"/>
                <w:b/>
                <w:sz w:val="24"/>
              </w:rPr>
              <w:t>；</w:t>
            </w:r>
          </w:p>
          <w:p>
            <w:pPr>
              <w:autoSpaceDE w:val="0"/>
              <w:autoSpaceDN w:val="0"/>
              <w:snapToGrid w:val="0"/>
              <w:textAlignment w:val="bottom"/>
              <w:rPr>
                <w:rFonts w:hint="eastAsia" w:ascii="宋体" w:hAnsi="宋体" w:cs="Arial"/>
                <w:b/>
                <w:sz w:val="24"/>
              </w:rPr>
            </w:pPr>
            <w:r>
              <w:rPr>
                <w:rFonts w:hint="eastAsia" w:ascii="宋体" w:hAnsi="宋体"/>
                <w:b/>
                <w:sz w:val="24"/>
              </w:rPr>
              <w:t>2、开标一览表</w:t>
            </w:r>
            <w:r>
              <w:rPr>
                <w:rFonts w:hint="eastAsia" w:ascii="宋体" w:hAnsi="宋体"/>
                <w:b/>
                <w:sz w:val="24"/>
                <w:u w:val="single"/>
              </w:rPr>
              <w:t xml:space="preserve"> </w:t>
            </w:r>
            <w:r>
              <w:rPr>
                <w:rFonts w:hint="eastAsia" w:ascii="宋体" w:hAnsi="宋体" w:cs="Arial"/>
                <w:b/>
                <w:sz w:val="24"/>
                <w:u w:val="single"/>
              </w:rPr>
              <w:t xml:space="preserve">1 </w:t>
            </w:r>
            <w:r>
              <w:rPr>
                <w:rFonts w:hint="eastAsia" w:ascii="宋体" w:hAnsi="宋体" w:cs="Arial"/>
                <w:b/>
                <w:sz w:val="24"/>
              </w:rPr>
              <w:t>份（单独密封）；</w:t>
            </w:r>
          </w:p>
          <w:p>
            <w:pPr>
              <w:autoSpaceDE w:val="0"/>
              <w:autoSpaceDN w:val="0"/>
              <w:snapToGrid w:val="0"/>
              <w:textAlignment w:val="bottom"/>
              <w:rPr>
                <w:rFonts w:hint="eastAsia" w:ascii="宋体" w:hAnsi="宋体"/>
                <w:b/>
                <w:sz w:val="24"/>
              </w:rPr>
            </w:pPr>
            <w:r>
              <w:rPr>
                <w:rFonts w:hint="eastAsia" w:ascii="宋体" w:hAnsi="宋体" w:cs="Arial"/>
                <w:b/>
                <w:sz w:val="24"/>
              </w:rPr>
              <w:t>3、技术商务标</w:t>
            </w:r>
            <w:r>
              <w:rPr>
                <w:rFonts w:hint="eastAsia" w:ascii="宋体" w:hAnsi="宋体"/>
                <w:b/>
                <w:sz w:val="24"/>
              </w:rPr>
              <w:t>正本</w:t>
            </w:r>
            <w:r>
              <w:rPr>
                <w:rFonts w:hint="eastAsia" w:ascii="宋体" w:hAnsi="宋体"/>
                <w:b/>
                <w:sz w:val="24"/>
                <w:u w:val="single"/>
              </w:rPr>
              <w:t xml:space="preserve"> 1 </w:t>
            </w:r>
            <w:r>
              <w:rPr>
                <w:rFonts w:hint="eastAsia" w:ascii="宋体" w:hAnsi="宋体"/>
                <w:b/>
                <w:sz w:val="24"/>
              </w:rPr>
              <w:t>份，副本</w:t>
            </w:r>
            <w:r>
              <w:rPr>
                <w:rFonts w:hint="eastAsia" w:ascii="宋体" w:hAnsi="宋体"/>
                <w:b/>
                <w:sz w:val="24"/>
                <w:u w:val="single"/>
              </w:rPr>
              <w:t xml:space="preserve">  4 </w:t>
            </w:r>
            <w:r>
              <w:rPr>
                <w:rFonts w:hint="eastAsia" w:ascii="宋体" w:hAnsi="宋体" w:cs="Arial"/>
                <w:b/>
                <w:sz w:val="24"/>
                <w:u w:val="single"/>
              </w:rPr>
              <w:t xml:space="preserve"> </w:t>
            </w:r>
            <w:r>
              <w:rPr>
                <w:rFonts w:hint="eastAsia" w:ascii="宋体" w:hAnsi="宋体"/>
                <w:b/>
                <w:sz w:val="24"/>
              </w:rPr>
              <w:t>份</w:t>
            </w:r>
            <w:r>
              <w:rPr>
                <w:rFonts w:hint="eastAsia" w:ascii="宋体" w:hAnsi="宋体" w:cs="Arial"/>
                <w:b/>
                <w:sz w:val="24"/>
              </w:rPr>
              <w:t>（单独密封）</w:t>
            </w:r>
          </w:p>
          <w:p>
            <w:pPr>
              <w:autoSpaceDE w:val="0"/>
              <w:autoSpaceDN w:val="0"/>
              <w:snapToGrid w:val="0"/>
              <w:textAlignment w:val="bottom"/>
              <w:rPr>
                <w:rFonts w:hint="eastAsia" w:ascii="宋体" w:hAnsi="宋体"/>
                <w:b/>
                <w:sz w:val="24"/>
              </w:rPr>
            </w:pPr>
            <w:r>
              <w:rPr>
                <w:rFonts w:hint="eastAsia" w:ascii="宋体" w:hAnsi="宋体"/>
                <w:b/>
                <w:sz w:val="24"/>
              </w:rPr>
              <w:t>4、报价文件正本</w:t>
            </w:r>
            <w:r>
              <w:rPr>
                <w:rFonts w:hint="eastAsia" w:ascii="宋体" w:hAnsi="宋体"/>
                <w:b/>
                <w:sz w:val="24"/>
                <w:u w:val="single"/>
              </w:rPr>
              <w:t xml:space="preserve">  1 </w:t>
            </w:r>
            <w:r>
              <w:rPr>
                <w:rFonts w:hint="eastAsia" w:ascii="宋体" w:hAnsi="宋体"/>
                <w:b/>
                <w:sz w:val="24"/>
              </w:rPr>
              <w:t>份，副本</w:t>
            </w:r>
            <w:r>
              <w:rPr>
                <w:rFonts w:hint="eastAsia" w:ascii="宋体" w:hAnsi="宋体"/>
                <w:b/>
                <w:sz w:val="24"/>
                <w:u w:val="single"/>
              </w:rPr>
              <w:t xml:space="preserve">  4 </w:t>
            </w:r>
            <w:r>
              <w:rPr>
                <w:rFonts w:hint="eastAsia" w:ascii="宋体" w:hAnsi="宋体" w:cs="Arial"/>
                <w:b/>
                <w:sz w:val="24"/>
                <w:u w:val="single"/>
              </w:rPr>
              <w:t xml:space="preserve"> </w:t>
            </w:r>
            <w:r>
              <w:rPr>
                <w:rFonts w:hint="eastAsia" w:ascii="宋体" w:hAnsi="宋体"/>
                <w:b/>
                <w:sz w:val="24"/>
              </w:rPr>
              <w:t>份</w:t>
            </w:r>
            <w:r>
              <w:rPr>
                <w:rFonts w:hint="eastAsia" w:ascii="宋体" w:hAnsi="宋体" w:cs="Arial"/>
                <w:b/>
                <w:sz w:val="24"/>
              </w:rPr>
              <w:t>（单独密封）</w:t>
            </w:r>
            <w:r>
              <w:rPr>
                <w:rFonts w:hint="eastAsia" w:ascii="宋体" w:hAnsi="宋体"/>
                <w:b/>
                <w:sz w:val="24"/>
              </w:rPr>
              <w:t>。</w:t>
            </w:r>
          </w:p>
          <w:p>
            <w:pPr>
              <w:autoSpaceDE w:val="0"/>
              <w:autoSpaceDN w:val="0"/>
              <w:snapToGrid w:val="0"/>
              <w:textAlignment w:val="bottom"/>
              <w:rPr>
                <w:rFonts w:hint="eastAsia" w:ascii="宋体" w:hAnsi="宋体"/>
                <w:sz w:val="24"/>
                <w:szCs w:val="20"/>
              </w:rPr>
            </w:pPr>
            <w:r>
              <w:rPr>
                <w:rFonts w:hint="eastAsia" w:ascii="宋体" w:hAnsi="宋体"/>
                <w:b/>
                <w:sz w:val="24"/>
              </w:rPr>
              <w:t>注意：投多个包项的，以包为单位分别制作投标文件。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szCs w:val="20"/>
              </w:rPr>
            </w:pPr>
            <w:r>
              <w:rPr>
                <w:rFonts w:hint="eastAsia" w:ascii="宋体" w:hAnsi="宋体"/>
                <w:sz w:val="24"/>
                <w:szCs w:val="20"/>
              </w:rPr>
              <w:t>7</w:t>
            </w:r>
          </w:p>
        </w:tc>
        <w:tc>
          <w:tcPr>
            <w:tcW w:w="909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 w:val="24"/>
                <w:szCs w:val="20"/>
              </w:rPr>
            </w:pPr>
            <w:r>
              <w:rPr>
                <w:rFonts w:hint="eastAsia" w:ascii="宋体" w:hAnsi="宋体"/>
                <w:sz w:val="24"/>
              </w:rPr>
              <w:t>投标截止时间及投标地点：</w:t>
            </w:r>
            <w:r>
              <w:rPr>
                <w:rFonts w:hint="eastAsia" w:ascii="宋体" w:hAnsi="宋体"/>
                <w:color w:val="000000"/>
                <w:sz w:val="24"/>
                <w:highlight w:val="red"/>
              </w:rPr>
              <w:t>2019年8 月</w:t>
            </w:r>
            <w:r>
              <w:rPr>
                <w:rFonts w:hint="eastAsia" w:ascii="宋体" w:hAnsi="宋体"/>
                <w:color w:val="000000"/>
                <w:sz w:val="24"/>
                <w:highlight w:val="red"/>
                <w:lang w:val="en-US" w:eastAsia="zh-CN"/>
              </w:rPr>
              <w:t>28日</w:t>
            </w:r>
            <w:r>
              <w:rPr>
                <w:rFonts w:hint="eastAsia" w:ascii="宋体" w:hAnsi="宋体"/>
                <w:color w:val="000000"/>
                <w:sz w:val="24"/>
                <w:highlight w:val="red"/>
              </w:rPr>
              <w:t>上午09：30</w:t>
            </w:r>
            <w:r>
              <w:rPr>
                <w:rFonts w:hint="eastAsia" w:ascii="宋体" w:hAnsi="宋体"/>
                <w:color w:val="000000"/>
                <w:sz w:val="24"/>
                <w:highlight w:val="red"/>
                <w:lang w:eastAsia="zh-CN"/>
              </w:rPr>
              <w:t>时</w:t>
            </w:r>
            <w:r>
              <w:rPr>
                <w:rFonts w:hint="eastAsia" w:ascii="宋体" w:hAnsi="宋体"/>
                <w:color w:val="000000"/>
                <w:sz w:val="24"/>
              </w:rPr>
              <w:t>整在金华市公共资源交易中心磐安县分中心（安文镇</w:t>
            </w:r>
            <w:r>
              <w:rPr>
                <w:rFonts w:hint="eastAsia" w:ascii="宋体" w:hAnsi="宋体" w:cs="Arial"/>
                <w:color w:val="000000"/>
                <w:sz w:val="24"/>
              </w:rPr>
              <w:t>花月路211号建设大厦22楼</w:t>
            </w:r>
            <w:r>
              <w:rPr>
                <w:rFonts w:hint="eastAsia" w:ascii="宋体" w:hAnsi="宋体"/>
                <w:color w:val="000000"/>
                <w:sz w:val="24"/>
              </w:rPr>
              <w:t>）</w:t>
            </w:r>
            <w:r>
              <w:rPr>
                <w:rFonts w:hint="eastAsia" w:ascii="宋体" w:hAnsi="宋体"/>
                <w:color w:val="000000"/>
                <w:sz w:val="24"/>
                <w:u w:val="single"/>
              </w:rPr>
              <w:t>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sz w:val="24"/>
                <w:szCs w:val="20"/>
                <w:lang w:eastAsia="zh-CN"/>
              </w:rPr>
            </w:pPr>
            <w:r>
              <w:rPr>
                <w:rFonts w:hint="eastAsia" w:ascii="宋体" w:hAnsi="宋体"/>
                <w:sz w:val="24"/>
                <w:lang w:val="en-US" w:eastAsia="zh-CN"/>
              </w:rPr>
              <w:t>8</w:t>
            </w:r>
          </w:p>
        </w:tc>
        <w:tc>
          <w:tcPr>
            <w:tcW w:w="90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sz w:val="24"/>
                <w:szCs w:val="20"/>
              </w:rPr>
            </w:pPr>
            <w:r>
              <w:rPr>
                <w:rFonts w:hint="eastAsia" w:ascii="宋体" w:hAnsi="宋体"/>
                <w:sz w:val="24"/>
              </w:rPr>
              <w:t>评标办法及评分标准：综合评分法，具体标准见第四章内容。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8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sz w:val="24"/>
                <w:szCs w:val="20"/>
                <w:lang w:eastAsia="zh-CN"/>
              </w:rPr>
            </w:pPr>
            <w:r>
              <w:rPr>
                <w:rFonts w:hint="eastAsia" w:ascii="宋体" w:hAnsi="宋体"/>
                <w:sz w:val="24"/>
                <w:lang w:val="en-US" w:eastAsia="zh-CN"/>
              </w:rPr>
              <w:t>9</w:t>
            </w:r>
          </w:p>
        </w:tc>
        <w:tc>
          <w:tcPr>
            <w:tcW w:w="90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sz w:val="24"/>
                <w:szCs w:val="20"/>
              </w:rPr>
            </w:pPr>
            <w:r>
              <w:rPr>
                <w:rFonts w:hint="eastAsia" w:ascii="宋体" w:hAnsi="宋体"/>
                <w:sz w:val="24"/>
              </w:rPr>
              <w:t>中标公告：评标结束后，采购结果经采购人确认后，中标公告公示于</w:t>
            </w:r>
            <w:r>
              <w:rPr>
                <w:rFonts w:hint="eastAsia" w:ascii="宋体" w:hAnsi="宋体" w:cs="Arial"/>
                <w:sz w:val="24"/>
              </w:rPr>
              <w:t>浙江省政府采购网、</w:t>
            </w:r>
            <w:r>
              <w:rPr>
                <w:rFonts w:ascii="宋体" w:hAnsi="宋体" w:cs="Arial"/>
                <w:sz w:val="24"/>
              </w:rPr>
              <w:t xml:space="preserve"> </w:t>
            </w:r>
            <w:r>
              <w:rPr>
                <w:rFonts w:hint="eastAsia" w:ascii="宋体" w:hAnsi="宋体" w:cs="Arial"/>
                <w:sz w:val="24"/>
              </w:rPr>
              <w:t>磐安县公共资源交易网等网站或媒体。</w:t>
            </w:r>
            <w:r>
              <w:rPr>
                <w:rFonts w:hint="eastAsia" w:ascii="宋体" w:hAnsi="宋体"/>
                <w:sz w:val="24"/>
                <w:szCs w:val="20"/>
              </w:rPr>
              <w:t>中标通知书：发中标公告同时签发中标通知书。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1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sz w:val="24"/>
                <w:szCs w:val="20"/>
                <w:lang w:eastAsia="zh-CN"/>
              </w:rPr>
            </w:pPr>
            <w:r>
              <w:rPr>
                <w:rFonts w:ascii="宋体" w:hAnsi="宋体"/>
                <w:sz w:val="24"/>
              </w:rPr>
              <w:t>1</w:t>
            </w:r>
            <w:r>
              <w:rPr>
                <w:rFonts w:hint="eastAsia" w:ascii="宋体" w:hAnsi="宋体"/>
                <w:sz w:val="24"/>
                <w:lang w:val="en-US" w:eastAsia="zh-CN"/>
              </w:rPr>
              <w:t>0</w:t>
            </w:r>
          </w:p>
        </w:tc>
        <w:tc>
          <w:tcPr>
            <w:tcW w:w="90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sz w:val="24"/>
                <w:szCs w:val="20"/>
              </w:rPr>
            </w:pPr>
            <w:r>
              <w:rPr>
                <w:rFonts w:hint="eastAsia" w:ascii="宋体" w:hAnsi="宋体"/>
                <w:sz w:val="24"/>
              </w:rPr>
              <w:t>签订合同时间：中标通知书发出后</w:t>
            </w:r>
            <w:r>
              <w:rPr>
                <w:rFonts w:hint="eastAsia" w:ascii="宋体" w:hAnsi="宋体"/>
                <w:sz w:val="24"/>
                <w:u w:val="single"/>
              </w:rPr>
              <w:t xml:space="preserve">  30  </w:t>
            </w:r>
            <w:r>
              <w:rPr>
                <w:rFonts w:hint="eastAsia" w:ascii="宋体" w:hAnsi="宋体"/>
                <w:sz w:val="24"/>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6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sz w:val="24"/>
                <w:szCs w:val="20"/>
                <w:lang w:eastAsia="zh-CN"/>
              </w:rPr>
            </w:pPr>
            <w:r>
              <w:rPr>
                <w:rFonts w:hint="eastAsia" w:ascii="宋体" w:hAnsi="宋体"/>
                <w:sz w:val="24"/>
              </w:rPr>
              <w:t>1</w:t>
            </w:r>
            <w:r>
              <w:rPr>
                <w:rFonts w:hint="eastAsia" w:ascii="宋体" w:hAnsi="宋体"/>
                <w:sz w:val="24"/>
                <w:lang w:val="en-US" w:eastAsia="zh-CN"/>
              </w:rPr>
              <w:t>1</w:t>
            </w:r>
          </w:p>
        </w:tc>
        <w:tc>
          <w:tcPr>
            <w:tcW w:w="90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sz w:val="24"/>
                <w:szCs w:val="20"/>
              </w:rPr>
            </w:pPr>
            <w:r>
              <w:rPr>
                <w:rFonts w:hint="eastAsia" w:ascii="宋体" w:hAnsi="宋体"/>
                <w:sz w:val="24"/>
              </w:rPr>
              <w:t>履约保证金的收取及退还</w:t>
            </w:r>
            <w:r>
              <w:rPr>
                <w:rFonts w:ascii="宋体" w:hAnsi="宋体"/>
                <w:sz w:val="24"/>
              </w:rPr>
              <w:t>:</w:t>
            </w:r>
            <w:r>
              <w:rPr>
                <w:rFonts w:hint="eastAsia" w:ascii="宋体" w:hAnsi="宋体"/>
                <w:sz w:val="24"/>
              </w:rPr>
              <w:t xml:space="preserve"> 按不超过合同总金额的</w:t>
            </w:r>
            <w:r>
              <w:rPr>
                <w:rFonts w:hint="eastAsia" w:ascii="宋体" w:hAnsi="宋体"/>
                <w:sz w:val="24"/>
                <w:u w:val="single"/>
              </w:rPr>
              <w:t xml:space="preserve"> 5 </w:t>
            </w:r>
            <w:r>
              <w:rPr>
                <w:rFonts w:hint="eastAsia" w:ascii="宋体" w:hAnsi="宋体"/>
                <w:sz w:val="24"/>
              </w:rPr>
              <w:t>%计收，合同履行完毕（验收合格）后5日内无息退还。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25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sz w:val="24"/>
                <w:szCs w:val="20"/>
                <w:lang w:eastAsia="zh-CN"/>
              </w:rPr>
            </w:pPr>
            <w:r>
              <w:rPr>
                <w:rFonts w:hint="eastAsia" w:ascii="宋体" w:hAnsi="宋体"/>
                <w:sz w:val="24"/>
                <w:szCs w:val="20"/>
              </w:rPr>
              <w:t>1</w:t>
            </w:r>
            <w:r>
              <w:rPr>
                <w:rFonts w:hint="eastAsia" w:ascii="宋体" w:hAnsi="宋体"/>
                <w:sz w:val="24"/>
                <w:szCs w:val="20"/>
                <w:lang w:val="en-US" w:eastAsia="zh-CN"/>
              </w:rPr>
              <w:t>2</w:t>
            </w:r>
          </w:p>
        </w:tc>
        <w:tc>
          <w:tcPr>
            <w:tcW w:w="90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sz w:val="24"/>
              </w:rPr>
            </w:pPr>
            <w:r>
              <w:rPr>
                <w:rFonts w:hint="eastAsia" w:ascii="宋体" w:hAnsi="宋体"/>
                <w:sz w:val="24"/>
              </w:rPr>
              <w:t>付款方式：合同签订并进场施工后支付合同总金额的15%，主要设备到货后支付至合同总金额的30%，项目完工后支付至合同总金额的60%，项目验收合格后支付至合同总金额的95%；质保到期限后再支付合同总金额的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sz w:val="24"/>
                <w:szCs w:val="20"/>
                <w:lang w:eastAsia="zh-CN"/>
              </w:rPr>
            </w:pPr>
            <w:r>
              <w:rPr>
                <w:rFonts w:ascii="宋体" w:hAnsi="宋体"/>
                <w:sz w:val="24"/>
              </w:rPr>
              <w:t>1</w:t>
            </w:r>
            <w:r>
              <w:rPr>
                <w:rFonts w:hint="eastAsia" w:ascii="宋体" w:hAnsi="宋体"/>
                <w:sz w:val="24"/>
                <w:lang w:val="en-US" w:eastAsia="zh-CN"/>
              </w:rPr>
              <w:t>3</w:t>
            </w:r>
          </w:p>
        </w:tc>
        <w:tc>
          <w:tcPr>
            <w:tcW w:w="90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sz w:val="24"/>
                <w:szCs w:val="20"/>
              </w:rPr>
            </w:pPr>
            <w:r>
              <w:rPr>
                <w:rFonts w:hint="eastAsia" w:ascii="宋体" w:hAnsi="宋体"/>
                <w:sz w:val="24"/>
              </w:rPr>
              <w:t>采购资金来源：</w:t>
            </w:r>
            <w:r>
              <w:rPr>
                <w:rFonts w:hint="eastAsia" w:ascii="宋体" w:hAnsi="宋体"/>
                <w:sz w:val="24"/>
                <w:u w:val="single"/>
              </w:rPr>
              <w:t xml:space="preserve"> 财政性资金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1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4</w:t>
            </w:r>
          </w:p>
        </w:tc>
        <w:tc>
          <w:tcPr>
            <w:tcW w:w="90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b/>
                <w:sz w:val="24"/>
                <w:u w:val="single"/>
              </w:rPr>
            </w:pPr>
            <w:r>
              <w:rPr>
                <w:rFonts w:hint="eastAsia" w:ascii="宋体" w:hAnsi="宋体"/>
                <w:sz w:val="24"/>
              </w:rPr>
              <w:t>预算金额：</w:t>
            </w:r>
            <w:r>
              <w:rPr>
                <w:rFonts w:hint="eastAsia" w:ascii="宋体" w:hAnsi="宋体"/>
                <w:sz w:val="24"/>
                <w:u w:val="single"/>
              </w:rPr>
              <w:t>508.6695</w:t>
            </w:r>
            <w:r>
              <w:rPr>
                <w:rFonts w:hint="eastAsia" w:ascii="宋体" w:hAnsi="宋体"/>
                <w:sz w:val="24"/>
                <w:u w:val="single"/>
                <w:lang w:eastAsia="zh-CN"/>
              </w:rPr>
              <w:t>万元</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6"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sz w:val="24"/>
                <w:szCs w:val="20"/>
                <w:lang w:eastAsia="zh-CN"/>
              </w:rPr>
            </w:pPr>
            <w:r>
              <w:rPr>
                <w:rFonts w:ascii="宋体" w:hAnsi="宋体"/>
                <w:sz w:val="24"/>
              </w:rPr>
              <w:t>1</w:t>
            </w:r>
            <w:r>
              <w:rPr>
                <w:rFonts w:hint="eastAsia" w:ascii="宋体" w:hAnsi="宋体"/>
                <w:sz w:val="24"/>
                <w:lang w:val="en-US" w:eastAsia="zh-CN"/>
              </w:rPr>
              <w:t>5</w:t>
            </w:r>
          </w:p>
        </w:tc>
        <w:tc>
          <w:tcPr>
            <w:tcW w:w="909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 w:val="24"/>
                <w:szCs w:val="20"/>
              </w:rPr>
            </w:pPr>
            <w:r>
              <w:rPr>
                <w:rFonts w:hint="eastAsia" w:ascii="宋体" w:hAnsi="宋体"/>
                <w:sz w:val="24"/>
              </w:rPr>
              <w:t>付款形式：财政授权支付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6"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6</w:t>
            </w:r>
          </w:p>
        </w:tc>
        <w:tc>
          <w:tcPr>
            <w:tcW w:w="909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szCs w:val="21"/>
              </w:rPr>
            </w:pPr>
            <w:r>
              <w:rPr>
                <w:rFonts w:hint="eastAsia" w:ascii="宋体" w:hAnsi="宋体"/>
                <w:sz w:val="24"/>
              </w:rPr>
              <w:t xml:space="preserve">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6"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7</w:t>
            </w:r>
          </w:p>
        </w:tc>
        <w:tc>
          <w:tcPr>
            <w:tcW w:w="909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szCs w:val="21"/>
              </w:rPr>
            </w:pPr>
            <w:r>
              <w:rPr>
                <w:rFonts w:hint="eastAsia" w:ascii="宋体" w:hAnsi="宋体"/>
                <w:sz w:val="24"/>
              </w:rPr>
              <w:t>投标产品若属于节能环保产品的，请提供财政部、环境保护保部发布有效期内环境标志产品政府采购清单以及财政部、发改委联合发布有效期内节能产品政府采购清单。招标需求中要求提供的产品属于节能清单中政府强制采购节能产品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宋体" w:hAnsi="宋体" w:eastAsia="宋体"/>
                <w:sz w:val="24"/>
                <w:szCs w:val="20"/>
                <w:lang w:val="en-US" w:eastAsia="zh-CN"/>
              </w:rPr>
            </w:pPr>
            <w:r>
              <w:rPr>
                <w:rFonts w:hint="eastAsia" w:ascii="宋体" w:hAnsi="宋体"/>
                <w:sz w:val="24"/>
                <w:lang w:val="en-US" w:eastAsia="zh-CN"/>
              </w:rPr>
              <w:t>18</w:t>
            </w:r>
          </w:p>
        </w:tc>
        <w:tc>
          <w:tcPr>
            <w:tcW w:w="909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 w:val="24"/>
                <w:szCs w:val="20"/>
              </w:rPr>
            </w:pPr>
            <w:r>
              <w:rPr>
                <w:rFonts w:hint="eastAsia" w:ascii="宋体" w:hAnsi="宋体"/>
                <w:sz w:val="24"/>
              </w:rPr>
              <w:t>投标文件有效期：60</w:t>
            </w:r>
            <w:r>
              <w:rPr>
                <w:rFonts w:hint="eastAsia" w:ascii="宋体" w:hAnsi="宋体" w:cs="Arial"/>
                <w:sz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宋体" w:hAnsi="宋体" w:eastAsia="宋体"/>
                <w:sz w:val="24"/>
                <w:szCs w:val="20"/>
                <w:lang w:val="en-US" w:eastAsia="zh-CN"/>
              </w:rPr>
            </w:pPr>
            <w:r>
              <w:rPr>
                <w:rFonts w:hint="eastAsia" w:ascii="宋体" w:hAnsi="宋体"/>
                <w:sz w:val="24"/>
                <w:lang w:val="en-US" w:eastAsia="zh-CN"/>
              </w:rPr>
              <w:t>19</w:t>
            </w:r>
          </w:p>
        </w:tc>
        <w:tc>
          <w:tcPr>
            <w:tcW w:w="909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 w:val="24"/>
                <w:szCs w:val="20"/>
              </w:rPr>
            </w:pPr>
            <w:r>
              <w:rPr>
                <w:rFonts w:hint="eastAsia" w:ascii="宋体" w:hAnsi="宋体"/>
                <w:sz w:val="24"/>
              </w:rPr>
              <w:t>解释：本招标文件的解释权属于招标采购单位。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4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sz w:val="24"/>
                <w:lang w:eastAsia="zh-CN"/>
              </w:rPr>
            </w:pPr>
            <w:r>
              <w:rPr>
                <w:rFonts w:hint="eastAsia" w:ascii="宋体" w:hAnsi="宋体"/>
                <w:sz w:val="24"/>
              </w:rPr>
              <w:t>2</w:t>
            </w:r>
            <w:r>
              <w:rPr>
                <w:rFonts w:hint="eastAsia" w:ascii="宋体" w:hAnsi="宋体"/>
                <w:sz w:val="24"/>
                <w:lang w:val="en-US" w:eastAsia="zh-CN"/>
              </w:rPr>
              <w:t>0</w:t>
            </w:r>
          </w:p>
        </w:tc>
        <w:tc>
          <w:tcPr>
            <w:tcW w:w="909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b/>
                <w:bCs/>
                <w:sz w:val="24"/>
              </w:rPr>
            </w:pPr>
            <w:r>
              <w:rPr>
                <w:rFonts w:hint="eastAsia" w:ascii="宋体" w:hAnsi="宋体"/>
                <w:b/>
                <w:bCs/>
                <w:sz w:val="24"/>
              </w:rPr>
              <w:t>注意事项：</w:t>
            </w:r>
          </w:p>
          <w:p>
            <w:pPr>
              <w:snapToGrid w:val="0"/>
              <w:spacing w:line="360" w:lineRule="exact"/>
              <w:rPr>
                <w:rFonts w:ascii="宋体" w:hAnsi="宋体"/>
                <w:sz w:val="24"/>
              </w:rPr>
            </w:pPr>
            <w:r>
              <w:rPr>
                <w:rFonts w:hint="eastAsia" w:ascii="宋体" w:hAnsi="宋体"/>
                <w:sz w:val="24"/>
              </w:rPr>
              <w:t>1．投标人如发现采购文件及其评标办法中歧视性不公正条款或违法违规等内容时，请于答疑截止日期前同时向采购人、采购代理机构反映，逾期不得再对采购文件的条款提出质疑。</w:t>
            </w:r>
          </w:p>
          <w:p>
            <w:pPr>
              <w:snapToGrid w:val="0"/>
              <w:rPr>
                <w:rFonts w:hint="eastAsia" w:ascii="宋体" w:hAnsi="宋体"/>
                <w:sz w:val="24"/>
              </w:rPr>
            </w:pPr>
            <w:r>
              <w:rPr>
                <w:rFonts w:hint="eastAsia" w:ascii="宋体" w:hAnsi="宋体"/>
                <w:sz w:val="24"/>
              </w:rPr>
              <w:t>2．该项目中标公示期间，投标人不得通过非正当途径、更不得通过非正当手段获取法律法规规定评标委员会（包括其他相关人员）应当保密的相关内容。即便由此获得资料（提供来源并经查实的例外）并作为向采购人或采购代理机构或监督管理部门提出异（质）疑或投诉或法院起诉的理由，均属于非法索取的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4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sz w:val="24"/>
                <w:lang w:eastAsia="zh-CN"/>
              </w:rPr>
            </w:pPr>
            <w:r>
              <w:rPr>
                <w:rFonts w:hint="eastAsia" w:ascii="宋体" w:hAnsi="宋体"/>
                <w:sz w:val="24"/>
              </w:rPr>
              <w:t>2</w:t>
            </w:r>
            <w:r>
              <w:rPr>
                <w:rFonts w:hint="eastAsia" w:ascii="宋体" w:hAnsi="宋体"/>
                <w:sz w:val="24"/>
                <w:lang w:val="en-US" w:eastAsia="zh-CN"/>
              </w:rPr>
              <w:t>1</w:t>
            </w:r>
          </w:p>
        </w:tc>
        <w:tc>
          <w:tcPr>
            <w:tcW w:w="909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b/>
                <w:bCs/>
                <w:sz w:val="24"/>
              </w:rPr>
            </w:pPr>
            <w:r>
              <w:rPr>
                <w:rFonts w:hint="eastAsia" w:ascii="宋体" w:hAnsi="宋体"/>
                <w:b/>
                <w:bCs/>
                <w:sz w:val="24"/>
              </w:rPr>
              <w:t>特别说明：</w:t>
            </w:r>
          </w:p>
          <w:p>
            <w:pPr>
              <w:snapToGrid w:val="0"/>
              <w:spacing w:line="360" w:lineRule="exact"/>
              <w:rPr>
                <w:rFonts w:hint="eastAsia" w:ascii="宋体" w:hAnsi="宋体"/>
                <w:sz w:val="24"/>
              </w:rPr>
            </w:pPr>
            <w:r>
              <w:rPr>
                <w:rFonts w:hint="eastAsia" w:ascii="宋体" w:hAnsi="宋体"/>
                <w:sz w:val="24"/>
              </w:rPr>
              <w:t>1、小微企业有关政策：</w:t>
            </w:r>
          </w:p>
          <w:p>
            <w:pPr>
              <w:snapToGrid w:val="0"/>
              <w:spacing w:line="360" w:lineRule="exact"/>
              <w:rPr>
                <w:rFonts w:hint="eastAsia" w:ascii="宋体" w:hAnsi="宋体"/>
                <w:sz w:val="24"/>
              </w:rPr>
            </w:pPr>
            <w:r>
              <w:rPr>
                <w:rFonts w:hint="eastAsia" w:ascii="宋体" w:hAnsi="宋体"/>
                <w:sz w:val="24"/>
              </w:rPr>
              <w:t>1）根据财库〔2011〕181号的相关规定，在评审时对小型和微型企业的投标报价给予 6 %的扣除，取扣除后的价格作为最终投标报价（此最终投标报价仅作为价格分计算）。属于小型和微型企业的，投标文件中必须同时提供《中小企业声明函》、“国家企业信用信息公示系统——小微企业名录”页面查询结果（查询时间为投标前一周内，并加盖单位公章）。(注：未提供以上材料的，均不给予价格扣除）</w:t>
            </w:r>
          </w:p>
          <w:p>
            <w:pPr>
              <w:snapToGrid w:val="0"/>
              <w:spacing w:line="360" w:lineRule="exact"/>
              <w:rPr>
                <w:rFonts w:hint="eastAsia" w:ascii="宋体" w:hAnsi="宋体"/>
                <w:sz w:val="24"/>
              </w:rPr>
            </w:pPr>
            <w:r>
              <w:rPr>
                <w:rFonts w:hint="eastAsia" w:ascii="宋体" w:hAnsi="宋体"/>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rPr>
                <w:rFonts w:hint="eastAsia" w:ascii="宋体" w:hAnsi="宋体"/>
                <w:sz w:val="24"/>
              </w:rPr>
            </w:pPr>
            <w:r>
              <w:rPr>
                <w:rFonts w:hint="eastAsia" w:ascii="宋体" w:hAnsi="宋体"/>
                <w:sz w:val="24"/>
              </w:rPr>
              <w:t>2、本招标文件投标须知内容与前附表不一致的，以前附表为准。</w:t>
            </w:r>
          </w:p>
        </w:tc>
      </w:tr>
    </w:tbl>
    <w:p>
      <w:pPr>
        <w:pStyle w:val="28"/>
        <w:numPr>
          <w:ilvl w:val="0"/>
          <w:numId w:val="0"/>
        </w:numPr>
        <w:tabs>
          <w:tab w:val="left" w:pos="1200"/>
        </w:tabs>
        <w:snapToGrid w:val="0"/>
        <w:spacing w:before="120" w:after="120" w:line="240" w:lineRule="auto"/>
        <w:rPr>
          <w:rFonts w:hint="eastAsia" w:hAnsi="宋体"/>
          <w:b/>
          <w:sz w:val="28"/>
          <w:szCs w:val="28"/>
        </w:rPr>
      </w:pPr>
    </w:p>
    <w:p>
      <w:pPr>
        <w:pStyle w:val="28"/>
        <w:numPr>
          <w:ilvl w:val="0"/>
          <w:numId w:val="0"/>
        </w:numPr>
        <w:tabs>
          <w:tab w:val="left" w:pos="1200"/>
        </w:tabs>
        <w:snapToGrid w:val="0"/>
        <w:spacing w:before="120" w:after="120" w:line="240" w:lineRule="auto"/>
        <w:rPr>
          <w:rFonts w:hint="eastAsia" w:hAnsi="宋体"/>
          <w:b/>
          <w:sz w:val="28"/>
          <w:szCs w:val="28"/>
        </w:rPr>
      </w:pPr>
      <w:r>
        <w:rPr>
          <w:rFonts w:hint="eastAsia" w:hAnsi="宋体"/>
          <w:b/>
          <w:sz w:val="28"/>
          <w:szCs w:val="28"/>
        </w:rPr>
        <w:t>一   总  则</w:t>
      </w:r>
    </w:p>
    <w:p>
      <w:pPr>
        <w:snapToGrid w:val="0"/>
        <w:ind w:firstLine="472" w:firstLineChars="196"/>
        <w:jc w:val="left"/>
        <w:outlineLvl w:val="1"/>
        <w:rPr>
          <w:rFonts w:ascii="宋体" w:hAnsi="宋体"/>
          <w:b/>
          <w:sz w:val="24"/>
          <w:szCs w:val="20"/>
        </w:rPr>
      </w:pPr>
      <w:r>
        <w:rPr>
          <w:rFonts w:hint="eastAsia" w:ascii="宋体" w:hAnsi="宋体"/>
          <w:b/>
          <w:sz w:val="24"/>
        </w:rPr>
        <w:t>（一）</w:t>
      </w:r>
      <w:r>
        <w:rPr>
          <w:rFonts w:ascii="宋体" w:hAnsi="宋体"/>
          <w:b/>
          <w:sz w:val="24"/>
        </w:rPr>
        <w:t xml:space="preserve"> 适用范围</w:t>
      </w:r>
    </w:p>
    <w:p>
      <w:pPr>
        <w:snapToGrid w:val="0"/>
        <w:ind w:firstLine="480" w:firstLineChars="200"/>
        <w:jc w:val="left"/>
        <w:rPr>
          <w:rFonts w:ascii="宋体" w:hAnsi="宋体"/>
          <w:sz w:val="24"/>
          <w:szCs w:val="20"/>
        </w:rPr>
      </w:pPr>
      <w:r>
        <w:rPr>
          <w:rFonts w:hint="eastAsia" w:ascii="宋体" w:hAnsi="宋体"/>
          <w:sz w:val="24"/>
        </w:rPr>
        <w:t>本招标文件适用于磐安县公安局安文***业务用房迁建工程一体化执法办案中心设备采购及安装服务项目的招标、投标、评标、定标、验收、合同履约、付款等行为（法律、法规另有规定的，从其规定）。</w:t>
      </w:r>
    </w:p>
    <w:p>
      <w:pPr>
        <w:snapToGrid w:val="0"/>
        <w:spacing w:before="120" w:beforeLines="50"/>
        <w:ind w:firstLine="354" w:firstLineChars="147"/>
        <w:jc w:val="left"/>
        <w:outlineLvl w:val="1"/>
        <w:rPr>
          <w:rFonts w:ascii="宋体" w:hAnsi="宋体"/>
          <w:b/>
          <w:sz w:val="24"/>
          <w:szCs w:val="20"/>
        </w:rPr>
      </w:pPr>
      <w:r>
        <w:rPr>
          <w:rFonts w:hint="eastAsia" w:ascii="宋体" w:hAnsi="宋体"/>
          <w:b/>
          <w:sz w:val="24"/>
        </w:rPr>
        <w:t>（二）定义</w:t>
      </w:r>
    </w:p>
    <w:p>
      <w:pPr>
        <w:snapToGrid w:val="0"/>
        <w:ind w:firstLine="480" w:firstLineChars="200"/>
        <w:jc w:val="left"/>
        <w:rPr>
          <w:rFonts w:hint="eastAsia" w:ascii="宋体" w:hAnsi="宋体" w:eastAsia="宋体"/>
          <w:sz w:val="24"/>
          <w:lang w:eastAsia="zh-CN"/>
        </w:rPr>
      </w:pPr>
      <w:r>
        <w:rPr>
          <w:rFonts w:ascii="宋体" w:hAnsi="宋体"/>
          <w:sz w:val="24"/>
        </w:rPr>
        <w:t>1</w:t>
      </w:r>
      <w:r>
        <w:rPr>
          <w:rFonts w:hint="eastAsia" w:ascii="宋体" w:hAnsi="宋体"/>
          <w:sz w:val="24"/>
        </w:rPr>
        <w:t>.</w:t>
      </w:r>
      <w:r>
        <w:rPr>
          <w:rFonts w:ascii="宋体" w:hAnsi="宋体"/>
          <w:sz w:val="24"/>
        </w:rPr>
        <w:t>招标采购单位系指组织本次招标的</w:t>
      </w:r>
      <w:r>
        <w:rPr>
          <w:rFonts w:hint="eastAsia" w:ascii="宋体" w:hAnsi="宋体"/>
          <w:sz w:val="24"/>
        </w:rPr>
        <w:t>金华市政府采购中心磐安分中心</w:t>
      </w:r>
      <w:r>
        <w:rPr>
          <w:rFonts w:ascii="宋体" w:hAnsi="宋体"/>
          <w:sz w:val="24"/>
        </w:rPr>
        <w:t>（“招标</w:t>
      </w:r>
      <w:r>
        <w:rPr>
          <w:rFonts w:hint="eastAsia" w:ascii="宋体" w:hAnsi="宋体"/>
          <w:sz w:val="24"/>
        </w:rPr>
        <w:t>方</w:t>
      </w:r>
      <w:r>
        <w:rPr>
          <w:rFonts w:ascii="宋体" w:hAnsi="宋体"/>
          <w:sz w:val="24"/>
        </w:rPr>
        <w:t>”）和</w:t>
      </w:r>
      <w:r>
        <w:rPr>
          <w:rFonts w:hint="eastAsia" w:ascii="宋体" w:hAnsi="宋体"/>
          <w:sz w:val="24"/>
        </w:rPr>
        <w:t>磐安县公安局（“采购人”）</w:t>
      </w:r>
      <w:r>
        <w:rPr>
          <w:rFonts w:ascii="宋体" w:hAnsi="宋体"/>
          <w:sz w:val="24"/>
        </w:rPr>
        <w:t>。</w:t>
      </w:r>
    </w:p>
    <w:p>
      <w:pPr>
        <w:snapToGrid w:val="0"/>
        <w:ind w:firstLine="480" w:firstLineChars="200"/>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投标人”系指</w:t>
      </w:r>
      <w:r>
        <w:rPr>
          <w:rFonts w:hint="eastAsia" w:ascii="宋体" w:hAnsi="宋体"/>
          <w:sz w:val="24"/>
        </w:rPr>
        <w:t>响应招标、参加投标竞争的法人、其他组织或者自然人</w:t>
      </w:r>
      <w:r>
        <w:rPr>
          <w:rFonts w:ascii="宋体" w:hAnsi="宋体"/>
          <w:sz w:val="24"/>
        </w:rPr>
        <w:t>。</w:t>
      </w:r>
    </w:p>
    <w:p>
      <w:pPr>
        <w:snapToGrid w:val="0"/>
        <w:ind w:firstLine="480" w:firstLineChars="200"/>
        <w:jc w:val="left"/>
        <w:rPr>
          <w:rFonts w:ascii="宋体" w:hAnsi="宋体"/>
          <w:sz w:val="24"/>
        </w:rPr>
      </w:pPr>
      <w:r>
        <w:rPr>
          <w:rFonts w:ascii="宋体" w:hAnsi="宋体"/>
          <w:sz w:val="24"/>
        </w:rPr>
        <w:t>3</w:t>
      </w:r>
      <w:r>
        <w:rPr>
          <w:rFonts w:hint="eastAsia" w:ascii="宋体" w:hAnsi="宋体"/>
          <w:sz w:val="24"/>
        </w:rPr>
        <w:t>.</w:t>
      </w:r>
      <w:r>
        <w:rPr>
          <w:rFonts w:ascii="宋体" w:hAnsi="宋体"/>
          <w:sz w:val="24"/>
        </w:rPr>
        <w:t>“产品”系指供方按招标文件规定，须向采购人提供的一切设备、保险、税金、备品备件、工具、手册及其它有关技术资料和材料。</w:t>
      </w:r>
    </w:p>
    <w:p>
      <w:pPr>
        <w:snapToGrid w:val="0"/>
        <w:ind w:firstLine="480" w:firstLineChars="200"/>
        <w:jc w:val="left"/>
        <w:rPr>
          <w:rFonts w:ascii="宋体" w:hAnsi="宋体"/>
          <w:sz w:val="24"/>
        </w:rPr>
      </w:pPr>
      <w:r>
        <w:rPr>
          <w:rFonts w:ascii="宋体" w:hAnsi="宋体"/>
          <w:sz w:val="24"/>
        </w:rPr>
        <w:t>4</w:t>
      </w:r>
      <w:r>
        <w:rPr>
          <w:rFonts w:hint="eastAsia" w:ascii="宋体" w:hAnsi="宋体"/>
          <w:sz w:val="24"/>
        </w:rPr>
        <w:t>.</w:t>
      </w:r>
      <w:r>
        <w:rPr>
          <w:rFonts w:ascii="宋体" w:hAnsi="宋体"/>
          <w:sz w:val="24"/>
        </w:rPr>
        <w:t>“服务”系指招标文件规定投标人须承担的安装、调试、技术协助、校准、培训、技术指导以及其他类似的义务。</w:t>
      </w:r>
    </w:p>
    <w:p>
      <w:pPr>
        <w:snapToGrid w:val="0"/>
        <w:ind w:firstLine="480" w:firstLineChars="200"/>
        <w:jc w:val="left"/>
        <w:rPr>
          <w:rFonts w:ascii="宋体" w:hAnsi="宋体"/>
          <w:sz w:val="24"/>
        </w:rPr>
      </w:pPr>
      <w:r>
        <w:rPr>
          <w:rFonts w:ascii="宋体" w:hAnsi="宋体"/>
          <w:sz w:val="24"/>
        </w:rPr>
        <w:t>5</w:t>
      </w:r>
      <w:r>
        <w:rPr>
          <w:rFonts w:hint="eastAsia" w:ascii="宋体" w:hAnsi="宋体"/>
          <w:sz w:val="24"/>
        </w:rPr>
        <w:t>.</w:t>
      </w:r>
      <w:r>
        <w:rPr>
          <w:rFonts w:ascii="宋体" w:hAnsi="宋体"/>
          <w:sz w:val="24"/>
        </w:rPr>
        <w:t>“项目”系指投标人按招标文件规定向采购人提供的产品和服务。</w:t>
      </w:r>
    </w:p>
    <w:p>
      <w:pPr>
        <w:snapToGrid w:val="0"/>
        <w:ind w:firstLine="480" w:firstLineChars="200"/>
        <w:jc w:val="left"/>
        <w:rPr>
          <w:rFonts w:ascii="宋体" w:hAnsi="宋体"/>
          <w:sz w:val="24"/>
        </w:rPr>
      </w:pPr>
      <w:r>
        <w:rPr>
          <w:rFonts w:ascii="宋体" w:hAnsi="宋体"/>
          <w:sz w:val="24"/>
        </w:rPr>
        <w:t>6</w:t>
      </w:r>
      <w:r>
        <w:rPr>
          <w:rFonts w:hint="eastAsia" w:ascii="宋体" w:hAnsi="宋体"/>
          <w:sz w:val="24"/>
        </w:rPr>
        <w:t>.</w:t>
      </w:r>
      <w:r>
        <w:rPr>
          <w:rFonts w:ascii="宋体" w:hAnsi="宋体"/>
          <w:sz w:val="24"/>
        </w:rPr>
        <w:t>“书面形式”包括信函、传真、电报等。</w:t>
      </w:r>
    </w:p>
    <w:p>
      <w:pPr>
        <w:snapToGrid w:val="0"/>
        <w:ind w:firstLine="480" w:firstLineChars="200"/>
        <w:jc w:val="left"/>
        <w:rPr>
          <w:rFonts w:ascii="宋体" w:hAnsi="宋体"/>
          <w:sz w:val="24"/>
          <w:szCs w:val="20"/>
        </w:rPr>
      </w:pPr>
      <w:r>
        <w:rPr>
          <w:rFonts w:ascii="宋体" w:hAnsi="宋体"/>
          <w:sz w:val="24"/>
        </w:rPr>
        <w:t>7</w:t>
      </w:r>
      <w:r>
        <w:rPr>
          <w:rFonts w:hint="eastAsia" w:ascii="宋体" w:hAnsi="宋体"/>
          <w:sz w:val="24"/>
        </w:rPr>
        <w:t>. 凡是标有“▲”符号或标有“必须”字眼描述的条款以及项目的数量、工期（交货期）、付款方式、质保期、投标有效期</w:t>
      </w:r>
      <w:r>
        <w:rPr>
          <w:rFonts w:hint="eastAsia" w:ascii="宋体" w:hAnsi="宋体" w:cs="宋体"/>
          <w:sz w:val="24"/>
          <w:lang w:bidi="ar"/>
        </w:rPr>
        <w:t>均属于实质性条款，不允许负偏离，否则作无效标处理。</w:t>
      </w:r>
    </w:p>
    <w:p>
      <w:pPr>
        <w:snapToGrid w:val="0"/>
        <w:spacing w:before="120" w:beforeLines="50"/>
        <w:ind w:firstLine="472" w:firstLineChars="196"/>
        <w:jc w:val="left"/>
        <w:outlineLvl w:val="1"/>
        <w:rPr>
          <w:rFonts w:ascii="宋体" w:hAnsi="宋体"/>
          <w:b/>
          <w:sz w:val="24"/>
          <w:szCs w:val="20"/>
        </w:rPr>
      </w:pPr>
      <w:r>
        <w:rPr>
          <w:rFonts w:hint="eastAsia" w:ascii="宋体" w:hAnsi="宋体"/>
          <w:b/>
          <w:sz w:val="24"/>
        </w:rPr>
        <w:t>（三）招标方式</w:t>
      </w:r>
    </w:p>
    <w:p>
      <w:pPr>
        <w:snapToGrid w:val="0"/>
        <w:ind w:firstLine="480" w:firstLineChars="200"/>
        <w:jc w:val="left"/>
        <w:rPr>
          <w:rFonts w:ascii="宋体" w:hAnsi="宋体"/>
          <w:sz w:val="24"/>
          <w:szCs w:val="20"/>
        </w:rPr>
      </w:pPr>
      <w:r>
        <w:rPr>
          <w:rFonts w:ascii="宋体" w:hAnsi="宋体"/>
          <w:sz w:val="24"/>
        </w:rPr>
        <w:t>本次招标采用公开招标方式进行。</w:t>
      </w:r>
    </w:p>
    <w:p>
      <w:pPr>
        <w:snapToGrid w:val="0"/>
        <w:spacing w:before="120" w:beforeLines="50"/>
        <w:ind w:firstLine="472" w:firstLineChars="196"/>
        <w:jc w:val="left"/>
        <w:outlineLvl w:val="1"/>
        <w:rPr>
          <w:rFonts w:ascii="宋体" w:hAnsi="宋体"/>
          <w:b/>
          <w:sz w:val="24"/>
          <w:szCs w:val="20"/>
        </w:rPr>
      </w:pPr>
      <w:r>
        <w:rPr>
          <w:rFonts w:hint="eastAsia" w:ascii="宋体" w:hAnsi="宋体"/>
          <w:b/>
          <w:sz w:val="24"/>
        </w:rPr>
        <w:t>（四）投标委托</w:t>
      </w:r>
    </w:p>
    <w:p>
      <w:pPr>
        <w:pStyle w:val="21"/>
        <w:snapToGrid w:val="0"/>
        <w:spacing w:line="240" w:lineRule="auto"/>
        <w:ind w:firstLine="464" w:firstLineChars="200"/>
        <w:jc w:val="left"/>
        <w:rPr>
          <w:rFonts w:hAnsi="宋体"/>
          <w:sz w:val="24"/>
          <w:szCs w:val="24"/>
        </w:rPr>
      </w:pPr>
      <w:r>
        <w:rPr>
          <w:rFonts w:hAnsi="宋体"/>
          <w:sz w:val="24"/>
          <w:szCs w:val="24"/>
        </w:rPr>
        <w:t>投标人代表须携带</w:t>
      </w:r>
      <w:r>
        <w:rPr>
          <w:rFonts w:hint="eastAsia" w:hAnsi="宋体"/>
          <w:sz w:val="24"/>
          <w:szCs w:val="24"/>
        </w:rPr>
        <w:t>有效</w:t>
      </w:r>
      <w:r>
        <w:rPr>
          <w:rFonts w:hAnsi="宋体"/>
          <w:sz w:val="24"/>
          <w:szCs w:val="24"/>
        </w:rPr>
        <w:t>身份证</w:t>
      </w:r>
      <w:r>
        <w:rPr>
          <w:rFonts w:hint="eastAsia" w:hAnsi="宋体"/>
          <w:sz w:val="24"/>
          <w:szCs w:val="24"/>
        </w:rPr>
        <w:t>件</w:t>
      </w:r>
      <w:r>
        <w:rPr>
          <w:rFonts w:hAnsi="宋体"/>
          <w:sz w:val="24"/>
          <w:szCs w:val="24"/>
        </w:rPr>
        <w:t>。如投标人代表不是法定代表人，须有法定代表人出具的授权委托书（正本用原件，副本用复印件，格式见第四部分）。</w:t>
      </w:r>
    </w:p>
    <w:p>
      <w:pPr>
        <w:snapToGrid w:val="0"/>
        <w:spacing w:before="120" w:beforeLines="50"/>
        <w:ind w:firstLine="472" w:firstLineChars="196"/>
        <w:jc w:val="left"/>
        <w:outlineLvl w:val="1"/>
        <w:rPr>
          <w:rFonts w:ascii="宋体" w:hAnsi="宋体"/>
          <w:b/>
          <w:sz w:val="24"/>
          <w:szCs w:val="20"/>
        </w:rPr>
      </w:pPr>
      <w:r>
        <w:rPr>
          <w:rFonts w:hint="eastAsia" w:ascii="宋体" w:hAnsi="宋体"/>
          <w:b/>
          <w:sz w:val="24"/>
        </w:rPr>
        <w:t>（五）投标费用</w:t>
      </w:r>
    </w:p>
    <w:p>
      <w:pPr>
        <w:snapToGrid w:val="0"/>
        <w:ind w:firstLine="480" w:firstLineChars="200"/>
        <w:jc w:val="left"/>
        <w:rPr>
          <w:rFonts w:ascii="宋体" w:hAnsi="宋体"/>
          <w:sz w:val="24"/>
          <w:szCs w:val="20"/>
        </w:rPr>
      </w:pPr>
      <w:r>
        <w:rPr>
          <w:rFonts w:hint="eastAsia" w:ascii="宋体" w:hAnsi="宋体"/>
          <w:sz w:val="24"/>
        </w:rPr>
        <w:t>不论投标结果如何，投标人均应自行承担所有与投标有关的全部费用（招标文件有相反规定除外）。</w:t>
      </w:r>
    </w:p>
    <w:p>
      <w:pPr>
        <w:snapToGrid w:val="0"/>
        <w:spacing w:before="120" w:beforeLines="50"/>
        <w:ind w:firstLine="472" w:firstLineChars="196"/>
        <w:jc w:val="left"/>
        <w:outlineLvl w:val="1"/>
        <w:rPr>
          <w:rFonts w:hint="eastAsia" w:ascii="宋体" w:hAnsi="宋体"/>
          <w:b/>
          <w:sz w:val="24"/>
        </w:rPr>
      </w:pPr>
      <w:r>
        <w:rPr>
          <w:rFonts w:hint="eastAsia" w:ascii="宋体" w:hAnsi="宋体"/>
          <w:b/>
          <w:sz w:val="24"/>
        </w:rPr>
        <w:t>（六）联合体投标</w:t>
      </w:r>
    </w:p>
    <w:p>
      <w:pPr>
        <w:snapToGrid w:val="0"/>
        <w:ind w:firstLine="720" w:firstLineChars="300"/>
        <w:jc w:val="left"/>
        <w:rPr>
          <w:rFonts w:hint="eastAsia" w:ascii="宋体" w:hAnsi="宋体" w:cs="Arial"/>
          <w:sz w:val="24"/>
        </w:rPr>
      </w:pPr>
      <w:r>
        <w:rPr>
          <w:rFonts w:hint="eastAsia" w:ascii="宋体" w:hAnsi="宋体" w:cs="Arial"/>
          <w:sz w:val="24"/>
        </w:rPr>
        <w:t>本项目不接受联合体投标。</w:t>
      </w:r>
    </w:p>
    <w:p>
      <w:pPr>
        <w:snapToGrid w:val="0"/>
        <w:spacing w:before="120" w:beforeLines="50"/>
        <w:ind w:firstLine="472" w:firstLineChars="196"/>
        <w:jc w:val="left"/>
        <w:outlineLvl w:val="1"/>
        <w:rPr>
          <w:rFonts w:hint="eastAsia" w:ascii="宋体" w:hAnsi="宋体"/>
          <w:b/>
          <w:sz w:val="24"/>
        </w:rPr>
      </w:pPr>
      <w:r>
        <w:rPr>
          <w:rFonts w:hint="eastAsia" w:ascii="宋体" w:hAnsi="宋体"/>
          <w:b/>
          <w:sz w:val="24"/>
        </w:rPr>
        <w:t>（七）转包与分包</w:t>
      </w:r>
    </w:p>
    <w:p>
      <w:pPr>
        <w:snapToGrid w:val="0"/>
        <w:ind w:firstLine="480" w:firstLineChars="200"/>
        <w:rPr>
          <w:rFonts w:ascii="宋体" w:hAnsi="宋体" w:cs="宋体"/>
          <w:kern w:val="0"/>
          <w:sz w:val="24"/>
          <w:szCs w:val="20"/>
        </w:rPr>
      </w:pPr>
      <w:r>
        <w:rPr>
          <w:rFonts w:ascii="宋体" w:hAnsi="宋体" w:cs="宋体"/>
          <w:kern w:val="0"/>
          <w:sz w:val="24"/>
        </w:rPr>
        <w:t>1</w:t>
      </w:r>
      <w:r>
        <w:rPr>
          <w:rFonts w:hint="eastAsia" w:ascii="宋体" w:hAnsi="宋体" w:cs="宋体"/>
          <w:kern w:val="0"/>
          <w:sz w:val="24"/>
        </w:rPr>
        <w:t>.</w:t>
      </w:r>
      <w:r>
        <w:rPr>
          <w:rFonts w:ascii="宋体" w:hAnsi="宋体" w:cs="宋体"/>
          <w:kern w:val="0"/>
          <w:sz w:val="24"/>
        </w:rPr>
        <w:t>本项目不允许转包。</w:t>
      </w:r>
    </w:p>
    <w:p>
      <w:pPr>
        <w:snapToGrid w:val="0"/>
        <w:ind w:firstLine="480" w:firstLineChars="200"/>
        <w:rPr>
          <w:rFonts w:hint="eastAsia" w:ascii="宋体" w:hAnsi="宋体"/>
          <w:sz w:val="24"/>
          <w:szCs w:val="20"/>
        </w:rPr>
      </w:pPr>
      <w:r>
        <w:rPr>
          <w:rFonts w:ascii="宋体" w:hAnsi="宋体" w:cs="宋体"/>
          <w:kern w:val="0"/>
          <w:sz w:val="24"/>
        </w:rPr>
        <w:t>2</w:t>
      </w:r>
      <w:r>
        <w:rPr>
          <w:rFonts w:hint="eastAsia" w:ascii="宋体" w:hAnsi="宋体" w:cs="宋体"/>
          <w:kern w:val="0"/>
          <w:sz w:val="24"/>
        </w:rPr>
        <w:t>.</w:t>
      </w:r>
      <w:r>
        <w:rPr>
          <w:rFonts w:ascii="宋体" w:hAnsi="宋体" w:cs="宋体"/>
          <w:kern w:val="0"/>
          <w:sz w:val="24"/>
        </w:rPr>
        <w:t>本项目不可以分包</w:t>
      </w:r>
      <w:r>
        <w:rPr>
          <w:rFonts w:hint="eastAsia" w:ascii="宋体" w:hAnsi="宋体" w:cs="宋体"/>
          <w:kern w:val="0"/>
          <w:sz w:val="24"/>
        </w:rPr>
        <w:t>。</w:t>
      </w:r>
    </w:p>
    <w:p>
      <w:pPr>
        <w:snapToGrid w:val="0"/>
        <w:spacing w:before="120" w:beforeLines="50"/>
        <w:ind w:firstLine="472" w:firstLineChars="196"/>
        <w:jc w:val="left"/>
        <w:outlineLvl w:val="1"/>
        <w:rPr>
          <w:rFonts w:hint="eastAsia" w:ascii="宋体" w:hAnsi="宋体"/>
          <w:b/>
          <w:sz w:val="24"/>
        </w:rPr>
      </w:pPr>
      <w:r>
        <w:rPr>
          <w:rFonts w:hint="eastAsia" w:ascii="宋体" w:hAnsi="宋体"/>
          <w:b/>
          <w:sz w:val="24"/>
        </w:rPr>
        <w:t>（八）特别说明：</w:t>
      </w:r>
    </w:p>
    <w:p>
      <w:pPr>
        <w:snapToGrid w:val="0"/>
        <w:spacing w:line="360" w:lineRule="exact"/>
        <w:ind w:firstLine="472" w:firstLineChars="196"/>
        <w:rPr>
          <w:rFonts w:hint="eastAsia" w:ascii="Arial" w:hAnsi="Arial" w:cs="Arial"/>
          <w:b/>
          <w:kern w:val="0"/>
          <w:sz w:val="24"/>
        </w:rPr>
      </w:pPr>
      <w:r>
        <w:rPr>
          <w:rFonts w:hint="eastAsia" w:ascii="宋体" w:hAnsi="宋体"/>
          <w:b/>
          <w:sz w:val="24"/>
        </w:rPr>
        <w:t>1.根据</w:t>
      </w:r>
      <w:r>
        <w:rPr>
          <w:rFonts w:ascii="宋体" w:hAnsi="宋体"/>
          <w:b/>
          <w:sz w:val="24"/>
        </w:rPr>
        <w:t>《政府采购货物和服务招标投标管理办法》（财政部令第</w:t>
      </w:r>
      <w:r>
        <w:rPr>
          <w:rFonts w:hint="eastAsia" w:ascii="宋体" w:hAnsi="宋体"/>
          <w:b/>
          <w:sz w:val="24"/>
        </w:rPr>
        <w:t>87</w:t>
      </w:r>
      <w:r>
        <w:rPr>
          <w:rFonts w:ascii="宋体" w:hAnsi="宋体"/>
          <w:b/>
          <w:sz w:val="24"/>
        </w:rPr>
        <w:t>号）</w:t>
      </w:r>
      <w:r>
        <w:rPr>
          <w:rFonts w:hint="eastAsia" w:ascii="宋体" w:hAnsi="宋体"/>
          <w:b/>
          <w:sz w:val="24"/>
        </w:rPr>
        <w:t>的规定。</w:t>
      </w:r>
      <w:r>
        <w:rPr>
          <w:rFonts w:ascii="Arial" w:hAnsi="Arial" w:cs="Arial"/>
          <w:b/>
          <w:kern w:val="0"/>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w:t>
      </w:r>
      <w:r>
        <w:rPr>
          <w:rFonts w:hint="eastAsia" w:ascii="Arial" w:hAnsi="Arial" w:cs="Arial"/>
          <w:b/>
          <w:kern w:val="0"/>
          <w:sz w:val="24"/>
        </w:rPr>
        <w:t>（技术商务分高的获得中标人推荐资格）</w:t>
      </w:r>
      <w:r>
        <w:rPr>
          <w:rFonts w:ascii="Arial" w:hAnsi="Arial" w:cs="Arial"/>
          <w:b/>
          <w:kern w:val="0"/>
          <w:sz w:val="24"/>
        </w:rPr>
        <w:t>确定一个投标人获得中标人推荐资格，其他同品牌投标人不作为中标候选人。</w:t>
      </w:r>
    </w:p>
    <w:p>
      <w:pPr>
        <w:snapToGrid w:val="0"/>
        <w:spacing w:line="360" w:lineRule="exact"/>
        <w:ind w:firstLine="472" w:firstLineChars="196"/>
        <w:rPr>
          <w:rFonts w:hint="eastAsia" w:ascii="宋体" w:hAnsi="宋体"/>
          <w:b/>
          <w:sz w:val="24"/>
        </w:rPr>
      </w:pPr>
      <w:r>
        <w:rPr>
          <w:rFonts w:hint="eastAsia" w:ascii="宋体" w:hAnsi="宋体"/>
          <w:b/>
          <w:bCs/>
          <w:sz w:val="24"/>
        </w:rPr>
        <w:t>非单一产品采购项目，多家投标人提供相同品牌核心产品的预算金额占本项目所列核心产品预算总额的80%以上的，按前款规定处理。</w:t>
      </w:r>
    </w:p>
    <w:p>
      <w:pPr>
        <w:snapToGrid w:val="0"/>
        <w:spacing w:line="360" w:lineRule="exact"/>
        <w:ind w:firstLine="480" w:firstLineChars="200"/>
        <w:rPr>
          <w:rFonts w:hint="eastAsia" w:ascii="宋体" w:hAnsi="宋体"/>
          <w:bCs/>
          <w:sz w:val="24"/>
        </w:rPr>
      </w:pPr>
      <w:r>
        <w:rPr>
          <w:rFonts w:hint="eastAsia" w:ascii="宋体" w:hAnsi="宋体"/>
          <w:bCs/>
          <w:sz w:val="24"/>
        </w:rPr>
        <w:t>2.投标人投标所使用的业绩必须为本企业所拥有。在组织商务、技术评审或资格性审查时，不得将属于供应商母公司（总机构）或者同一母公司下属的其他子公司的人员、业绩等，作为该供应商的资信文件予以确认或审查通过。</w:t>
      </w:r>
    </w:p>
    <w:p>
      <w:pPr>
        <w:snapToGrid w:val="0"/>
        <w:spacing w:line="360" w:lineRule="exact"/>
        <w:ind w:firstLine="480" w:firstLineChars="200"/>
        <w:rPr>
          <w:rFonts w:hint="eastAsia" w:ascii="宋体" w:hAnsi="宋体"/>
          <w:bCs/>
          <w:sz w:val="24"/>
        </w:rPr>
      </w:pPr>
      <w:r>
        <w:rPr>
          <w:rFonts w:hint="eastAsia" w:ascii="宋体" w:hAnsi="宋体"/>
          <w:bCs/>
          <w:sz w:val="24"/>
        </w:rPr>
        <w:t>3.投标人应仔细阅读招标文件的所有内容，按照招标文件的要求提交投标文件，并对所提供的全部资料的真实性承担法律责任。</w:t>
      </w:r>
    </w:p>
    <w:p>
      <w:pPr>
        <w:snapToGrid w:val="0"/>
        <w:spacing w:line="360" w:lineRule="exact"/>
        <w:ind w:firstLine="480" w:firstLineChars="200"/>
        <w:rPr>
          <w:rFonts w:hint="eastAsia" w:ascii="宋体" w:hAnsi="宋体"/>
          <w:bCs/>
          <w:sz w:val="24"/>
        </w:rPr>
      </w:pPr>
      <w:r>
        <w:rPr>
          <w:rFonts w:hint="eastAsia" w:ascii="宋体" w:hAnsi="宋体"/>
          <w:bCs/>
          <w:sz w:val="24"/>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napToGrid w:val="0"/>
        <w:spacing w:line="360" w:lineRule="exact"/>
        <w:ind w:firstLine="480" w:firstLineChars="200"/>
        <w:rPr>
          <w:rFonts w:ascii="宋体" w:hAnsi="宋体"/>
          <w:bCs/>
          <w:sz w:val="24"/>
        </w:rPr>
      </w:pPr>
      <w:r>
        <w:rPr>
          <w:rFonts w:hint="eastAsia" w:ascii="宋体" w:hAnsi="宋体"/>
          <w:bCs/>
          <w:sz w:val="24"/>
        </w:rPr>
        <w:t>5.根据浙江省财政厅、浙江省监察厅《关于进一步规范政府采购活动的若干意见》（浙财采监字﹝2007）2号）规定，采购响应（指投标或谈判、报价，下同）截止时间止及评审期间，出现有效供应商不足3家的，如采购文件事先已在指定媒体公开征求了供应商意见且无重大异议，或经专家论证且出具了“供应商资格条件和项目技术指标等没有歧视性和倾向性”意见的，同时采购信息已在省级以上政府采购指定媒体和当地主流媒体公告，采购文件的发售和截止时间符合法定或该文件规定的，可以按原采购方式继续进行采购活动。但出现下列情形的，采购组织机构一般应降低供应商特定资格条件或采购技术标 准，重新组织采购活动：</w:t>
      </w:r>
    </w:p>
    <w:p>
      <w:pPr>
        <w:snapToGrid w:val="0"/>
        <w:spacing w:line="360" w:lineRule="exact"/>
        <w:ind w:firstLine="480" w:firstLineChars="200"/>
        <w:rPr>
          <w:rFonts w:ascii="宋体" w:hAnsi="宋体"/>
          <w:bCs/>
          <w:sz w:val="24"/>
        </w:rPr>
      </w:pPr>
      <w:r>
        <w:rPr>
          <w:rFonts w:hint="eastAsia" w:ascii="宋体" w:hAnsi="宋体"/>
          <w:bCs/>
          <w:sz w:val="24"/>
        </w:rPr>
        <w:t>　　（1）截止时间止仅有1家供应商参加或评审后只有1家供应商作出实质性响 应；</w:t>
      </w:r>
    </w:p>
    <w:p>
      <w:pPr>
        <w:snapToGrid w:val="0"/>
        <w:spacing w:line="360" w:lineRule="exact"/>
        <w:ind w:firstLine="480" w:firstLineChars="200"/>
        <w:rPr>
          <w:rFonts w:ascii="宋体" w:hAnsi="宋体"/>
          <w:bCs/>
          <w:sz w:val="24"/>
        </w:rPr>
      </w:pPr>
      <w:r>
        <w:rPr>
          <w:rFonts w:hint="eastAsia" w:ascii="宋体" w:hAnsi="宋体"/>
          <w:bCs/>
          <w:sz w:val="24"/>
        </w:rPr>
        <w:t>　　（2）采购文件中已指定了有关产品的品牌且有效响应的品牌不足3个 的；</w:t>
      </w:r>
    </w:p>
    <w:p>
      <w:pPr>
        <w:snapToGrid w:val="0"/>
        <w:spacing w:line="360" w:lineRule="exact"/>
        <w:ind w:firstLine="480" w:firstLineChars="200"/>
        <w:rPr>
          <w:rFonts w:ascii="宋体" w:hAnsi="宋体"/>
          <w:bCs/>
          <w:sz w:val="24"/>
        </w:rPr>
      </w:pPr>
      <w:r>
        <w:rPr>
          <w:rFonts w:hint="eastAsia" w:ascii="宋体" w:hAnsi="宋体"/>
          <w:bCs/>
          <w:sz w:val="24"/>
        </w:rPr>
        <w:t>　　（3）二分之一以上的评审人员认为供应商报价明显高于市场平均价 的；</w:t>
      </w:r>
    </w:p>
    <w:p>
      <w:pPr>
        <w:snapToGrid w:val="0"/>
        <w:spacing w:line="360" w:lineRule="exact"/>
        <w:ind w:firstLine="480" w:firstLineChars="200"/>
        <w:rPr>
          <w:rFonts w:ascii="宋体" w:hAnsi="宋体"/>
          <w:bCs/>
          <w:sz w:val="24"/>
        </w:rPr>
      </w:pPr>
      <w:r>
        <w:rPr>
          <w:rFonts w:hint="eastAsia" w:ascii="宋体" w:hAnsi="宋体"/>
          <w:bCs/>
          <w:sz w:val="24"/>
        </w:rPr>
        <w:t>　　（4）供应商报价超过预算价的。</w:t>
      </w:r>
    </w:p>
    <w:p>
      <w:pPr>
        <w:snapToGrid w:val="0"/>
        <w:spacing w:line="360" w:lineRule="exact"/>
        <w:ind w:firstLine="480" w:firstLineChars="200"/>
        <w:rPr>
          <w:rFonts w:hint="eastAsia" w:ascii="宋体" w:hAnsi="宋体"/>
          <w:bCs/>
          <w:sz w:val="24"/>
        </w:rPr>
      </w:pPr>
      <w:r>
        <w:rPr>
          <w:rFonts w:hint="eastAsia" w:ascii="宋体" w:hAnsi="宋体"/>
          <w:bCs/>
          <w:sz w:val="24"/>
        </w:rPr>
        <w:t>6.根据财政部、国家发展改革委《关于调整公布第二十四期节能产品政府采购清单的通知》（财库〔2018〕73号）的规定，第二十四期节能清单中的台式计算机，便携式计算机，平板式微型计算机，激光打印机，针式打印机，显示设备，制冷压缩机，空调机组，专用制冷、空调设备，镇流器，空调机，电热水器，普通照明用双端荧光灯，电视设备，视频设备，便器，水嘴等品目为政府强制采购的节能产品（具体品目以“▲”标注）。采购人需购买的产品属于政府强制采购节能产品范围，但在第二十四期节能清单中无对应细化分类且节能清单中的产品确实无法满足工作需要的，允许在节能清单之外采购。</w:t>
      </w:r>
    </w:p>
    <w:p>
      <w:pPr>
        <w:snapToGrid w:val="0"/>
        <w:spacing w:line="360" w:lineRule="exact"/>
        <w:ind w:firstLine="480" w:firstLineChars="200"/>
        <w:rPr>
          <w:rFonts w:hint="eastAsia" w:ascii="宋体" w:hAnsi="宋体"/>
          <w:bCs/>
          <w:sz w:val="24"/>
        </w:rPr>
      </w:pPr>
      <w:r>
        <w:rPr>
          <w:rFonts w:hint="eastAsia" w:ascii="宋体" w:hAnsi="宋体"/>
          <w:bCs/>
          <w:sz w:val="24"/>
        </w:rPr>
        <w:t>▲投标人须在投标文件中提供所投产品在《第二十四期节能产品政府采购清单》中所处的页码、截图等文件材料材料。</w:t>
      </w:r>
    </w:p>
    <w:p>
      <w:pPr>
        <w:pStyle w:val="28"/>
        <w:numPr>
          <w:ilvl w:val="0"/>
          <w:numId w:val="0"/>
        </w:numPr>
        <w:tabs>
          <w:tab w:val="left" w:pos="1200"/>
        </w:tabs>
        <w:snapToGrid w:val="0"/>
        <w:spacing w:before="0" w:beforeLines="0" w:after="0" w:afterLines="0" w:line="240" w:lineRule="auto"/>
        <w:ind w:firstLine="472" w:firstLineChars="196"/>
        <w:outlineLvl w:val="1"/>
        <w:rPr>
          <w:rFonts w:hAnsi="宋体"/>
          <w:b/>
          <w:bCs/>
        </w:rPr>
      </w:pPr>
      <w:r>
        <w:rPr>
          <w:rFonts w:hAnsi="宋体"/>
          <w:b/>
          <w:bCs/>
        </w:rPr>
        <w:t>（九）质疑和投诉</w:t>
      </w:r>
    </w:p>
    <w:p>
      <w:pPr>
        <w:pStyle w:val="28"/>
        <w:numPr>
          <w:ilvl w:val="0"/>
          <w:numId w:val="0"/>
        </w:numPr>
        <w:tabs>
          <w:tab w:val="left" w:pos="1200"/>
        </w:tabs>
        <w:snapToGrid w:val="0"/>
        <w:spacing w:before="0" w:beforeLines="0" w:after="0" w:afterLines="0" w:line="240" w:lineRule="auto"/>
        <w:ind w:firstLine="480" w:firstLineChars="200"/>
        <w:rPr>
          <w:rFonts w:hAnsi="宋体"/>
          <w:bCs/>
        </w:rPr>
      </w:pPr>
      <w:r>
        <w:rPr>
          <w:rFonts w:hAnsi="宋体"/>
          <w:bCs/>
        </w:rPr>
        <w:t>1</w:t>
      </w:r>
      <w:r>
        <w:rPr>
          <w:rFonts w:hint="eastAsia" w:hAnsi="宋体"/>
          <w:bCs/>
        </w:rPr>
        <w:t>.</w:t>
      </w:r>
      <w:r>
        <w:rPr>
          <w:rFonts w:hAnsi="宋体"/>
          <w:bCs/>
        </w:rPr>
        <w:t>投标人认为招标文件、招标过程</w:t>
      </w:r>
      <w:r>
        <w:rPr>
          <w:rFonts w:hint="eastAsia" w:hAnsi="宋体"/>
          <w:bCs/>
        </w:rPr>
        <w:t>或</w:t>
      </w:r>
      <w:r>
        <w:rPr>
          <w:rFonts w:hAnsi="宋体"/>
          <w:bCs/>
        </w:rPr>
        <w:t>中标结果使自己的合法权益受到损害的，应当在知道或者应知其权益受到损害之日起七个工作日内，以书面形式向采购人、采购代理机构提出质疑。</w:t>
      </w:r>
      <w:r>
        <w:rPr>
          <w:rFonts w:hAnsi="宋体"/>
        </w:rPr>
        <w:t>投标人对招标采购单位的质疑答复不满意或者招标采购单位未在规定时间内作出答复的，可以在答复期满后十五个工作日内向同级采购监管部门投诉。</w:t>
      </w:r>
    </w:p>
    <w:p>
      <w:pPr>
        <w:pStyle w:val="28"/>
        <w:numPr>
          <w:ilvl w:val="0"/>
          <w:numId w:val="0"/>
        </w:numPr>
        <w:tabs>
          <w:tab w:val="left" w:pos="1200"/>
        </w:tabs>
        <w:snapToGrid w:val="0"/>
        <w:spacing w:beforeLines="0" w:afterLines="0" w:line="240" w:lineRule="auto"/>
        <w:ind w:firstLine="480" w:firstLineChars="200"/>
        <w:rPr>
          <w:rFonts w:hint="eastAsia" w:hAnsi="宋体"/>
          <w:bCs/>
        </w:rPr>
      </w:pPr>
      <w:r>
        <w:rPr>
          <w:rFonts w:hAnsi="宋体"/>
          <w:bCs/>
        </w:rPr>
        <w:t>2</w:t>
      </w:r>
      <w:r>
        <w:rPr>
          <w:rFonts w:hint="eastAsia" w:hAnsi="宋体"/>
          <w:bCs/>
        </w:rPr>
        <w:t>.</w:t>
      </w:r>
      <w:r>
        <w:rPr>
          <w:rFonts w:hAnsi="宋体"/>
          <w:bCs/>
        </w:rPr>
        <w:t>质疑、投诉应当采用书面形式，质疑书、投诉书均应明确阐述招标文件、招标过程</w:t>
      </w:r>
      <w:r>
        <w:rPr>
          <w:rFonts w:hint="eastAsia" w:hAnsi="宋体"/>
          <w:bCs/>
        </w:rPr>
        <w:t>或</w:t>
      </w:r>
      <w:r>
        <w:rPr>
          <w:rFonts w:hAnsi="宋体"/>
          <w:bCs/>
        </w:rPr>
        <w:t>中标结果中使自己合法权益受到损害的实质性内容，提供相关事实、依据和证据及其来源或线索，便于有关单位调查、答复和处理</w:t>
      </w:r>
      <w:r>
        <w:rPr>
          <w:rFonts w:hint="eastAsia" w:hAnsi="宋体"/>
          <w:bCs/>
        </w:rPr>
        <w:t>。</w:t>
      </w:r>
    </w:p>
    <w:p>
      <w:pPr>
        <w:pStyle w:val="28"/>
        <w:numPr>
          <w:ilvl w:val="0"/>
          <w:numId w:val="0"/>
        </w:numPr>
        <w:tabs>
          <w:tab w:val="left" w:pos="1200"/>
        </w:tabs>
        <w:snapToGrid w:val="0"/>
        <w:spacing w:beforeLines="0" w:afterLines="0" w:line="240" w:lineRule="auto"/>
        <w:ind w:firstLine="551" w:firstLineChars="196"/>
        <w:outlineLvl w:val="0"/>
        <w:rPr>
          <w:rFonts w:hAnsi="宋体"/>
          <w:b/>
          <w:sz w:val="28"/>
          <w:szCs w:val="28"/>
        </w:rPr>
      </w:pPr>
      <w:r>
        <w:rPr>
          <w:rFonts w:hAnsi="宋体"/>
          <w:b/>
          <w:sz w:val="28"/>
          <w:szCs w:val="28"/>
        </w:rPr>
        <w:t>二  招标文件</w:t>
      </w:r>
    </w:p>
    <w:p>
      <w:pPr>
        <w:snapToGrid w:val="0"/>
        <w:ind w:firstLine="472" w:firstLineChars="196"/>
        <w:jc w:val="left"/>
        <w:rPr>
          <w:rFonts w:ascii="宋体" w:hAnsi="宋体"/>
          <w:b/>
          <w:sz w:val="24"/>
          <w:szCs w:val="20"/>
        </w:rPr>
      </w:pPr>
      <w:r>
        <w:rPr>
          <w:rFonts w:hint="eastAsia" w:ascii="宋体" w:hAnsi="宋体"/>
          <w:b/>
          <w:sz w:val="24"/>
        </w:rPr>
        <w:t>（一）招标文件的构成。本招标文件由以下部份组成：</w:t>
      </w:r>
    </w:p>
    <w:p>
      <w:pPr>
        <w:snapToGrid w:val="0"/>
        <w:ind w:firstLine="480" w:firstLineChars="200"/>
        <w:jc w:val="left"/>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招标公告</w:t>
      </w:r>
    </w:p>
    <w:p>
      <w:pPr>
        <w:snapToGrid w:val="0"/>
        <w:ind w:firstLine="480" w:firstLineChars="200"/>
        <w:jc w:val="left"/>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招标需求</w:t>
      </w:r>
    </w:p>
    <w:p>
      <w:pPr>
        <w:snapToGrid w:val="0"/>
        <w:ind w:firstLine="480" w:firstLineChars="200"/>
        <w:jc w:val="left"/>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投标人须知</w:t>
      </w:r>
    </w:p>
    <w:p>
      <w:pPr>
        <w:snapToGrid w:val="0"/>
        <w:ind w:firstLine="480" w:firstLineChars="200"/>
        <w:jc w:val="left"/>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评标办法及标准</w:t>
      </w:r>
    </w:p>
    <w:p>
      <w:pPr>
        <w:snapToGrid w:val="0"/>
        <w:ind w:firstLine="480" w:firstLineChars="200"/>
        <w:jc w:val="left"/>
        <w:rPr>
          <w:rFonts w:ascii="宋体" w:hAnsi="宋体"/>
          <w:sz w:val="24"/>
          <w:szCs w:val="20"/>
        </w:rPr>
      </w:pPr>
      <w:r>
        <w:rPr>
          <w:rFonts w:ascii="宋体" w:hAnsi="宋体"/>
          <w:sz w:val="24"/>
        </w:rPr>
        <w:t>5</w:t>
      </w:r>
      <w:r>
        <w:rPr>
          <w:rFonts w:hint="eastAsia" w:ascii="宋体" w:hAnsi="宋体"/>
          <w:sz w:val="24"/>
        </w:rPr>
        <w:t>.</w:t>
      </w:r>
      <w:r>
        <w:rPr>
          <w:rFonts w:ascii="宋体" w:hAnsi="宋体"/>
          <w:sz w:val="24"/>
        </w:rPr>
        <w:t>合同主要条款</w:t>
      </w:r>
    </w:p>
    <w:p>
      <w:pPr>
        <w:snapToGrid w:val="0"/>
        <w:ind w:firstLine="480" w:firstLineChars="200"/>
        <w:jc w:val="left"/>
        <w:rPr>
          <w:rFonts w:hint="eastAsia" w:ascii="宋体" w:hAnsi="宋体"/>
          <w:sz w:val="24"/>
        </w:rPr>
      </w:pPr>
      <w:r>
        <w:rPr>
          <w:rFonts w:ascii="宋体" w:hAnsi="宋体"/>
          <w:sz w:val="24"/>
        </w:rPr>
        <w:t>6</w:t>
      </w:r>
      <w:r>
        <w:rPr>
          <w:rFonts w:hint="eastAsia" w:ascii="宋体" w:hAnsi="宋体"/>
          <w:sz w:val="24"/>
        </w:rPr>
        <w:t>.</w:t>
      </w:r>
      <w:r>
        <w:rPr>
          <w:rFonts w:ascii="宋体" w:hAnsi="宋体"/>
          <w:sz w:val="24"/>
        </w:rPr>
        <w:t>投标文件格式</w:t>
      </w:r>
    </w:p>
    <w:p>
      <w:pPr>
        <w:snapToGrid w:val="0"/>
        <w:ind w:firstLine="480" w:firstLineChars="200"/>
        <w:jc w:val="left"/>
        <w:rPr>
          <w:rFonts w:hint="eastAsia" w:ascii="宋体" w:hAnsi="宋体"/>
          <w:sz w:val="24"/>
          <w:szCs w:val="20"/>
        </w:rPr>
      </w:pPr>
      <w:r>
        <w:rPr>
          <w:rFonts w:hint="eastAsia" w:ascii="宋体" w:hAnsi="宋体"/>
          <w:sz w:val="24"/>
        </w:rPr>
        <w:t>7.本项目</w:t>
      </w:r>
      <w:r>
        <w:rPr>
          <w:rFonts w:ascii="宋体" w:hAnsi="宋体"/>
          <w:sz w:val="24"/>
        </w:rPr>
        <w:t>招标文件</w:t>
      </w:r>
      <w:r>
        <w:rPr>
          <w:rFonts w:hint="eastAsia" w:ascii="宋体" w:hAnsi="宋体"/>
          <w:sz w:val="24"/>
        </w:rPr>
        <w:t>的</w:t>
      </w:r>
      <w:r>
        <w:rPr>
          <w:rFonts w:ascii="宋体" w:hAnsi="宋体"/>
          <w:sz w:val="24"/>
        </w:rPr>
        <w:t>澄清、答复、修改、补充的内容</w:t>
      </w:r>
    </w:p>
    <w:p>
      <w:pPr>
        <w:snapToGrid w:val="0"/>
        <w:spacing w:before="120" w:beforeLines="50"/>
        <w:ind w:firstLine="472" w:firstLineChars="196"/>
        <w:jc w:val="left"/>
        <w:rPr>
          <w:rFonts w:ascii="宋体" w:hAnsi="宋体"/>
          <w:b/>
          <w:sz w:val="24"/>
          <w:szCs w:val="20"/>
        </w:rPr>
      </w:pPr>
      <w:r>
        <w:rPr>
          <w:rFonts w:hint="eastAsia" w:ascii="宋体" w:hAnsi="宋体"/>
          <w:b/>
          <w:sz w:val="24"/>
        </w:rPr>
        <w:t>（二）投标人的风险</w:t>
      </w:r>
    </w:p>
    <w:p>
      <w:pPr>
        <w:pStyle w:val="40"/>
        <w:rPr>
          <w:rFonts w:ascii="宋体" w:eastAsia="宋体"/>
          <w:color w:val="auto"/>
          <w:szCs w:val="20"/>
        </w:rPr>
      </w:pPr>
      <w:r>
        <w:rPr>
          <w:rFonts w:hint="eastAsia" w:ascii="宋体" w:eastAsia="宋体"/>
          <w:color w:val="auto"/>
        </w:rPr>
        <w:t>投标人没有按照招标文件要求提供全部资料，或者投标人没有对招标文件在各方面作出实质性响应是投标人的风险，并可能导致其投标被拒绝。</w:t>
      </w:r>
    </w:p>
    <w:p>
      <w:pPr>
        <w:pStyle w:val="13"/>
        <w:widowControl w:val="0"/>
        <w:numPr>
          <w:ilvl w:val="0"/>
          <w:numId w:val="0"/>
        </w:numPr>
        <w:snapToGrid w:val="0"/>
        <w:spacing w:before="120" w:beforeLines="50" w:after="0" w:afterLines="0"/>
        <w:ind w:firstLine="472" w:firstLineChars="196"/>
        <w:rPr>
          <w:rFonts w:ascii="宋体" w:hAnsi="宋体"/>
          <w:b/>
          <w:szCs w:val="24"/>
        </w:rPr>
      </w:pPr>
      <w:r>
        <w:rPr>
          <w:rFonts w:hint="eastAsia" w:ascii="宋体" w:hAnsi="宋体"/>
          <w:b/>
          <w:szCs w:val="24"/>
        </w:rPr>
        <w:t>（三）招标文件的澄清与修改</w:t>
      </w:r>
      <w:r>
        <w:rPr>
          <w:rFonts w:ascii="宋体" w:hAnsi="宋体"/>
          <w:b/>
          <w:szCs w:val="24"/>
        </w:rPr>
        <w:t xml:space="preserve"> </w:t>
      </w:r>
    </w:p>
    <w:p>
      <w:pPr>
        <w:pStyle w:val="28"/>
        <w:numPr>
          <w:ilvl w:val="0"/>
          <w:numId w:val="0"/>
        </w:numPr>
        <w:tabs>
          <w:tab w:val="left" w:pos="1200"/>
        </w:tabs>
        <w:snapToGrid w:val="0"/>
        <w:spacing w:before="0" w:beforeLines="0" w:after="0" w:afterLines="0" w:line="240" w:lineRule="auto"/>
        <w:ind w:firstLine="480" w:firstLineChars="200"/>
        <w:rPr>
          <w:rFonts w:hAnsi="宋体"/>
        </w:rPr>
      </w:pPr>
      <w:r>
        <w:rPr>
          <w:rFonts w:hAnsi="宋体"/>
        </w:rPr>
        <w:t>1</w:t>
      </w:r>
      <w:r>
        <w:rPr>
          <w:rFonts w:hint="eastAsia" w:hAnsi="宋体"/>
        </w:rPr>
        <w:t>.</w:t>
      </w:r>
      <w:r>
        <w:rPr>
          <w:rFonts w:hAnsi="宋体"/>
          <w:bCs/>
        </w:rPr>
        <w:t>投标人应认真</w:t>
      </w:r>
      <w:r>
        <w:rPr>
          <w:rFonts w:hint="eastAsia" w:hAnsi="宋体"/>
          <w:bCs/>
        </w:rPr>
        <w:t>仔细</w:t>
      </w:r>
      <w:r>
        <w:rPr>
          <w:rFonts w:hAnsi="宋体"/>
          <w:bCs/>
        </w:rPr>
        <w:t>阅读本招标文件，发现其中有误或有不合理要求的，投标人必须在</w:t>
      </w:r>
      <w:r>
        <w:rPr>
          <w:rFonts w:hint="eastAsia" w:hAnsi="宋体"/>
          <w:bCs/>
          <w:u w:val="single"/>
        </w:rPr>
        <w:t xml:space="preserve"> </w:t>
      </w:r>
      <w:r>
        <w:rPr>
          <w:rFonts w:hint="eastAsia" w:hAnsi="宋体"/>
          <w:bCs/>
          <w:highlight w:val="green"/>
          <w:u w:val="single"/>
        </w:rPr>
        <w:t>2019年</w:t>
      </w:r>
      <w:r>
        <w:rPr>
          <w:rFonts w:hint="eastAsia" w:hAnsi="宋体"/>
          <w:bCs/>
          <w:highlight w:val="green"/>
          <w:u w:val="single"/>
          <w:lang w:val="en-US" w:eastAsia="zh-CN"/>
        </w:rPr>
        <w:t>8</w:t>
      </w:r>
      <w:r>
        <w:rPr>
          <w:rFonts w:hint="eastAsia" w:hAnsi="宋体"/>
          <w:bCs/>
          <w:highlight w:val="green"/>
          <w:u w:val="single"/>
        </w:rPr>
        <w:t>月</w:t>
      </w:r>
      <w:r>
        <w:rPr>
          <w:rFonts w:hint="eastAsia" w:hAnsi="宋体"/>
          <w:bCs/>
          <w:highlight w:val="green"/>
          <w:u w:val="single"/>
          <w:lang w:val="en-US" w:eastAsia="zh-CN"/>
        </w:rPr>
        <w:t>1</w:t>
      </w:r>
      <w:r>
        <w:rPr>
          <w:rFonts w:hint="eastAsia" w:hAnsi="宋体"/>
          <w:bCs/>
          <w:highlight w:val="green"/>
          <w:u w:val="single"/>
          <w:lang w:val="en-US" w:eastAsia="zh-CN"/>
        </w:rPr>
        <w:t>2</w:t>
      </w:r>
      <w:r>
        <w:rPr>
          <w:rFonts w:hint="eastAsia" w:hAnsi="宋体"/>
          <w:bCs/>
          <w:highlight w:val="green"/>
          <w:u w:val="single"/>
        </w:rPr>
        <w:t>日16：00</w:t>
      </w:r>
      <w:r>
        <w:rPr>
          <w:rFonts w:hAnsi="宋体"/>
          <w:bCs/>
          <w:u w:val="single"/>
        </w:rPr>
        <w:t>前</w:t>
      </w:r>
      <w:r>
        <w:rPr>
          <w:rFonts w:hAnsi="宋体"/>
          <w:bCs/>
        </w:rPr>
        <w:t>以书面形式要求招标采购单位澄清</w:t>
      </w:r>
      <w:r>
        <w:rPr>
          <w:rFonts w:hAnsi="宋体"/>
        </w:rPr>
        <w:t>。采购代理机构对已发出的招标文件进行必要澄清、答复、修改或补充的，应当在招标文件要求提交投标文件截止时间五日前，在财政部门指定的政府采购信息发布媒体上发布更正公告，并以书面形式通知所有招标文件收受人。</w:t>
      </w:r>
    </w:p>
    <w:p>
      <w:pPr>
        <w:pStyle w:val="28"/>
        <w:numPr>
          <w:ilvl w:val="0"/>
          <w:numId w:val="0"/>
        </w:numPr>
        <w:tabs>
          <w:tab w:val="left" w:pos="1200"/>
        </w:tabs>
        <w:snapToGrid w:val="0"/>
        <w:spacing w:before="0" w:beforeLines="0" w:after="0" w:afterLines="0" w:line="240" w:lineRule="auto"/>
        <w:ind w:firstLine="480" w:firstLineChars="200"/>
        <w:rPr>
          <w:rFonts w:hAnsi="宋体"/>
        </w:rPr>
      </w:pPr>
      <w:r>
        <w:rPr>
          <w:rFonts w:hAnsi="宋体"/>
        </w:rPr>
        <w:t>2</w:t>
      </w:r>
      <w:r>
        <w:rPr>
          <w:rFonts w:hint="eastAsia" w:hAnsi="宋体"/>
        </w:rPr>
        <w:t>.</w:t>
      </w:r>
      <w:r>
        <w:rPr>
          <w:rFonts w:hAnsi="宋体"/>
        </w:rPr>
        <w:t>采购代理机构必须以书面形式答复投标人要求澄清的问题，并将不包含问题来源的答复书面通知所有购买招标文件的投标人；除书面答复以外的其他澄清方式及澄清内容均无效。</w:t>
      </w:r>
    </w:p>
    <w:p>
      <w:pPr>
        <w:pStyle w:val="28"/>
        <w:numPr>
          <w:ilvl w:val="0"/>
          <w:numId w:val="0"/>
        </w:numPr>
        <w:tabs>
          <w:tab w:val="left" w:pos="1200"/>
        </w:tabs>
        <w:snapToGrid w:val="0"/>
        <w:spacing w:before="0" w:beforeLines="0" w:after="0" w:afterLines="0" w:line="240" w:lineRule="auto"/>
        <w:ind w:firstLine="480" w:firstLineChars="200"/>
        <w:rPr>
          <w:rFonts w:hAnsi="宋体"/>
        </w:rPr>
      </w:pPr>
      <w:r>
        <w:rPr>
          <w:rFonts w:hint="eastAsia" w:hAnsi="宋体"/>
        </w:rPr>
        <w:t>3.</w:t>
      </w:r>
      <w:r>
        <w:rPr>
          <w:rFonts w:hAnsi="宋体"/>
        </w:rPr>
        <w:t>招标文件澄清、答复、修改、补充的内容为招标文件的组成部分。当招标文件与招标文件的答复、澄清、修改、补充通知就同一内容的表述不一致时，以最后发出的书面文件为准。</w:t>
      </w:r>
    </w:p>
    <w:p>
      <w:pPr>
        <w:pStyle w:val="28"/>
        <w:numPr>
          <w:ilvl w:val="0"/>
          <w:numId w:val="0"/>
        </w:numPr>
        <w:tabs>
          <w:tab w:val="left" w:pos="1200"/>
        </w:tabs>
        <w:snapToGrid w:val="0"/>
        <w:spacing w:before="0" w:beforeLines="0" w:after="0" w:afterLines="0" w:line="240" w:lineRule="auto"/>
        <w:ind w:firstLine="480" w:firstLineChars="200"/>
        <w:rPr>
          <w:rFonts w:hAnsi="宋体"/>
        </w:rPr>
      </w:pPr>
      <w:r>
        <w:rPr>
          <w:rFonts w:hint="eastAsia" w:hAnsi="宋体"/>
        </w:rPr>
        <w:t>4.</w:t>
      </w:r>
      <w:r>
        <w:rPr>
          <w:rFonts w:hAnsi="宋体"/>
        </w:rPr>
        <w:t>招标文件的澄清、答复、修改或补充都应该通过本代理机构以法定形式发布，采购人非通过本机构，不得擅自澄清、答复、修改或补充招标文件。</w:t>
      </w:r>
    </w:p>
    <w:p>
      <w:pPr>
        <w:pStyle w:val="28"/>
        <w:numPr>
          <w:ilvl w:val="0"/>
          <w:numId w:val="0"/>
        </w:numPr>
        <w:tabs>
          <w:tab w:val="left" w:pos="1200"/>
        </w:tabs>
        <w:snapToGrid w:val="0"/>
        <w:spacing w:beforeLines="0" w:afterLines="0" w:line="240" w:lineRule="auto"/>
        <w:ind w:firstLine="551" w:firstLineChars="196"/>
        <w:outlineLvl w:val="0"/>
        <w:rPr>
          <w:rFonts w:hint="eastAsia" w:hAnsi="宋体"/>
          <w:b/>
          <w:sz w:val="28"/>
          <w:szCs w:val="28"/>
        </w:rPr>
      </w:pPr>
      <w:r>
        <w:rPr>
          <w:rFonts w:hAnsi="宋体"/>
          <w:b/>
          <w:sz w:val="28"/>
          <w:szCs w:val="28"/>
        </w:rPr>
        <w:t>三、投标文件的编制</w:t>
      </w:r>
    </w:p>
    <w:p>
      <w:pPr>
        <w:ind w:firstLine="420"/>
        <w:rPr>
          <w:rFonts w:hint="eastAsia"/>
          <w:b/>
          <w:bCs/>
          <w:sz w:val="24"/>
        </w:rPr>
      </w:pPr>
      <w:r>
        <w:rPr>
          <w:rFonts w:hint="eastAsia"/>
          <w:b/>
          <w:bCs/>
          <w:sz w:val="24"/>
        </w:rPr>
        <w:t>技术商务文件当中不得出现本次投标的报价信息，否则作为无效投标处理。</w:t>
      </w:r>
    </w:p>
    <w:p>
      <w:pPr>
        <w:snapToGrid w:val="0"/>
        <w:ind w:firstLine="472" w:firstLineChars="196"/>
        <w:jc w:val="left"/>
        <w:outlineLvl w:val="0"/>
        <w:rPr>
          <w:rFonts w:ascii="宋体" w:hAnsi="宋体"/>
          <w:b/>
          <w:sz w:val="24"/>
          <w:szCs w:val="20"/>
        </w:rPr>
      </w:pPr>
      <w:r>
        <w:rPr>
          <w:rFonts w:hint="eastAsia" w:ascii="宋体" w:hAnsi="宋体"/>
          <w:b/>
          <w:sz w:val="24"/>
        </w:rPr>
        <w:t>（一）投标文件的组成</w:t>
      </w:r>
    </w:p>
    <w:p>
      <w:pPr>
        <w:snapToGrid w:val="0"/>
        <w:ind w:firstLine="480" w:firstLineChars="200"/>
        <w:jc w:val="left"/>
        <w:rPr>
          <w:rFonts w:ascii="宋体" w:hAnsi="宋体"/>
          <w:sz w:val="24"/>
          <w:szCs w:val="20"/>
        </w:rPr>
      </w:pPr>
      <w:r>
        <w:rPr>
          <w:rFonts w:hint="eastAsia" w:ascii="宋体" w:hAnsi="宋体"/>
          <w:sz w:val="24"/>
        </w:rPr>
        <w:t>投标文件由资格审查资料、技术商务文件和报价文件三部份组成。</w:t>
      </w:r>
    </w:p>
    <w:p>
      <w:pPr>
        <w:snapToGrid w:val="0"/>
        <w:ind w:firstLine="472" w:firstLineChars="196"/>
        <w:jc w:val="left"/>
        <w:rPr>
          <w:rFonts w:hint="eastAsia" w:ascii="宋体" w:hAnsi="宋体"/>
          <w:b/>
          <w:sz w:val="24"/>
        </w:rPr>
      </w:pPr>
      <w:r>
        <w:rPr>
          <w:rFonts w:hint="eastAsia" w:ascii="宋体" w:hAnsi="宋体"/>
          <w:b/>
          <w:sz w:val="24"/>
        </w:rPr>
        <w:t>1.资格审查资料（资格审查资料中的证件原件投标截止时间前在开标现场查验，无需装入资格审查资料包装袋内，复印件装入资格审查资料包装袋内）：（1份，无需注明正副本）</w:t>
      </w:r>
    </w:p>
    <w:p>
      <w:pPr>
        <w:snapToGrid w:val="0"/>
        <w:ind w:firstLine="470" w:firstLineChars="196"/>
        <w:jc w:val="left"/>
        <w:rPr>
          <w:rFonts w:hint="eastAsia" w:ascii="宋体" w:hAnsi="宋体"/>
          <w:sz w:val="24"/>
        </w:rPr>
      </w:pPr>
      <w:r>
        <w:rPr>
          <w:rFonts w:hint="eastAsia" w:ascii="宋体" w:hAnsi="宋体"/>
          <w:sz w:val="24"/>
        </w:rPr>
        <w:t>（1）企业法人营业执照原件及复印件；</w:t>
      </w:r>
    </w:p>
    <w:p>
      <w:pPr>
        <w:snapToGrid w:val="0"/>
        <w:ind w:firstLine="470" w:firstLineChars="196"/>
        <w:jc w:val="left"/>
        <w:rPr>
          <w:rFonts w:hint="eastAsia" w:ascii="宋体" w:hAnsi="宋体"/>
          <w:sz w:val="24"/>
        </w:rPr>
      </w:pPr>
      <w:r>
        <w:rPr>
          <w:rFonts w:hint="eastAsia" w:ascii="宋体" w:hAnsi="宋体"/>
          <w:sz w:val="24"/>
        </w:rPr>
        <w:t>（2）法定代表人授权委托书及经办人身份证件及复印件；</w:t>
      </w:r>
    </w:p>
    <w:p>
      <w:pPr>
        <w:snapToGrid w:val="0"/>
        <w:ind w:firstLine="470" w:firstLineChars="196"/>
        <w:jc w:val="left"/>
        <w:rPr>
          <w:rFonts w:hint="eastAsia" w:ascii="宋体" w:hAnsi="宋体"/>
          <w:sz w:val="24"/>
        </w:rPr>
      </w:pPr>
      <w:r>
        <w:rPr>
          <w:rFonts w:hint="eastAsia" w:ascii="宋体" w:hAnsi="宋体"/>
          <w:sz w:val="24"/>
        </w:rPr>
        <w:t>（3）资格要求中需要提供的证书和资料；</w:t>
      </w:r>
    </w:p>
    <w:p>
      <w:pPr>
        <w:snapToGrid w:val="0"/>
        <w:ind w:firstLine="470" w:firstLineChars="196"/>
        <w:jc w:val="left"/>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w:t>
      </w:r>
      <w:r>
        <w:rPr>
          <w:rFonts w:hint="eastAsia" w:ascii="宋体" w:hAnsi="宋体"/>
          <w:color w:val="000000"/>
          <w:sz w:val="24"/>
        </w:rPr>
        <w:t>无围标串标等负面行为承诺书</w:t>
      </w:r>
      <w:r>
        <w:rPr>
          <w:rFonts w:hint="eastAsia" w:ascii="宋体" w:hAnsi="宋体"/>
          <w:color w:val="000000"/>
          <w:sz w:val="24"/>
          <w:lang w:eastAsia="zh-CN"/>
        </w:rPr>
        <w:t>；</w:t>
      </w:r>
    </w:p>
    <w:p>
      <w:pPr>
        <w:snapToGrid w:val="0"/>
        <w:ind w:firstLine="470" w:firstLineChars="196"/>
        <w:jc w:val="left"/>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）以上复印件均需加盖单位公章。</w:t>
      </w:r>
    </w:p>
    <w:p>
      <w:pPr>
        <w:snapToGrid w:val="0"/>
        <w:spacing w:before="120" w:beforeLines="50"/>
        <w:ind w:firstLine="472" w:firstLineChars="196"/>
        <w:jc w:val="left"/>
        <w:rPr>
          <w:rFonts w:hint="eastAsia" w:ascii="宋体" w:hAnsi="宋体"/>
          <w:b/>
          <w:sz w:val="24"/>
        </w:rPr>
      </w:pPr>
      <w:r>
        <w:rPr>
          <w:rFonts w:hint="eastAsia" w:ascii="宋体" w:hAnsi="宋体"/>
          <w:b/>
          <w:sz w:val="24"/>
        </w:rPr>
        <w:t>2.技术商务</w:t>
      </w:r>
      <w:r>
        <w:rPr>
          <w:rFonts w:ascii="宋体" w:hAnsi="宋体"/>
          <w:b/>
          <w:sz w:val="24"/>
        </w:rPr>
        <w:t>文件：</w:t>
      </w:r>
      <w:r>
        <w:rPr>
          <w:rFonts w:hint="eastAsia" w:ascii="宋体" w:hAnsi="宋体"/>
          <w:b/>
          <w:sz w:val="24"/>
        </w:rPr>
        <w:t>（正本1份，副本4份）</w:t>
      </w:r>
    </w:p>
    <w:p>
      <w:pPr>
        <w:snapToGrid w:val="0"/>
        <w:spacing w:before="120" w:beforeLines="50"/>
        <w:ind w:firstLine="472" w:firstLineChars="196"/>
        <w:jc w:val="left"/>
        <w:rPr>
          <w:rFonts w:hint="eastAsia" w:ascii="宋体" w:hAnsi="宋体"/>
          <w:b/>
          <w:sz w:val="24"/>
          <w:szCs w:val="20"/>
        </w:rPr>
      </w:pPr>
      <w:r>
        <w:rPr>
          <w:rFonts w:hint="eastAsia" w:ascii="宋体" w:hAnsi="宋体"/>
          <w:b/>
          <w:sz w:val="24"/>
        </w:rPr>
        <w:t>商务部份包括以下内容：</w:t>
      </w:r>
    </w:p>
    <w:p>
      <w:pPr>
        <w:snapToGrid w:val="0"/>
        <w:ind w:firstLine="472" w:firstLineChars="196"/>
        <w:jc w:val="left"/>
        <w:rPr>
          <w:rFonts w:hint="eastAsia" w:ascii="宋体" w:hAnsi="宋体"/>
          <w:sz w:val="24"/>
          <w:szCs w:val="20"/>
        </w:rPr>
      </w:pPr>
      <w:r>
        <w:rPr>
          <w:rFonts w:hint="eastAsia" w:ascii="宋体" w:hAnsi="宋体"/>
          <w:b/>
          <w:sz w:val="24"/>
        </w:rPr>
        <w:t>（</w:t>
      </w:r>
      <w:r>
        <w:rPr>
          <w:rFonts w:ascii="宋体" w:hAnsi="宋体"/>
          <w:sz w:val="24"/>
        </w:rPr>
        <w:t>1）</w:t>
      </w:r>
      <w:r>
        <w:rPr>
          <w:rFonts w:hint="eastAsia" w:ascii="宋体" w:hAnsi="宋体"/>
          <w:sz w:val="24"/>
        </w:rPr>
        <w:t>投标声明书</w:t>
      </w:r>
      <w:r>
        <w:rPr>
          <w:rFonts w:ascii="宋体" w:hAnsi="宋体"/>
          <w:sz w:val="24"/>
        </w:rPr>
        <w:t xml:space="preserve"> (格式见附件) ；</w:t>
      </w:r>
    </w:p>
    <w:p>
      <w:pPr>
        <w:snapToGrid w:val="0"/>
        <w:ind w:firstLine="472" w:firstLineChars="196"/>
        <w:jc w:val="left"/>
        <w:rPr>
          <w:rFonts w:ascii="宋体" w:hAnsi="宋体"/>
          <w:sz w:val="24"/>
          <w:szCs w:val="20"/>
        </w:rPr>
      </w:pPr>
      <w:r>
        <w:rPr>
          <w:rFonts w:hint="eastAsia" w:ascii="宋体" w:hAnsi="宋体"/>
          <w:b/>
          <w:sz w:val="24"/>
        </w:rPr>
        <w:t>（</w:t>
      </w:r>
      <w:r>
        <w:rPr>
          <w:rFonts w:ascii="宋体" w:hAnsi="宋体"/>
          <w:sz w:val="24"/>
        </w:rPr>
        <w:t>2）法定代表人授权委托书(格式见附件)；</w:t>
      </w:r>
    </w:p>
    <w:p>
      <w:pPr>
        <w:snapToGrid w:val="0"/>
        <w:ind w:firstLine="472" w:firstLineChars="196"/>
        <w:jc w:val="left"/>
        <w:rPr>
          <w:rFonts w:ascii="宋体" w:hAnsi="宋体"/>
          <w:sz w:val="24"/>
          <w:szCs w:val="20"/>
        </w:rPr>
      </w:pPr>
      <w:r>
        <w:rPr>
          <w:rFonts w:hint="eastAsia" w:ascii="宋体" w:hAnsi="宋体"/>
          <w:b/>
          <w:sz w:val="24"/>
        </w:rPr>
        <w:t>（</w:t>
      </w:r>
      <w:r>
        <w:rPr>
          <w:rFonts w:ascii="宋体" w:hAnsi="宋体"/>
          <w:sz w:val="24"/>
        </w:rPr>
        <w:t>3）</w:t>
      </w:r>
      <w:r>
        <w:rPr>
          <w:rFonts w:hint="eastAsia" w:ascii="宋体" w:hAnsi="宋体"/>
          <w:sz w:val="24"/>
        </w:rPr>
        <w:t>最近一个季度依法缴纳税收和社保费的</w:t>
      </w:r>
      <w:r>
        <w:rPr>
          <w:rFonts w:hint="eastAsia" w:ascii="宋体" w:hAnsi="宋体"/>
          <w:sz w:val="24"/>
          <w:lang w:eastAsia="zh-CN"/>
        </w:rPr>
        <w:t>文件材料</w:t>
      </w:r>
      <w:r>
        <w:rPr>
          <w:rFonts w:hint="eastAsia" w:ascii="宋体" w:hAnsi="宋体"/>
          <w:sz w:val="24"/>
        </w:rPr>
        <w:t>[税费凭证复印件，或者依法缴纳税费或依法免缴税费的</w:t>
      </w:r>
      <w:r>
        <w:rPr>
          <w:rFonts w:hint="eastAsia" w:ascii="宋体" w:hAnsi="宋体"/>
          <w:sz w:val="24"/>
          <w:lang w:eastAsia="zh-CN"/>
        </w:rPr>
        <w:t>文件材料</w:t>
      </w:r>
      <w:r>
        <w:rPr>
          <w:rFonts w:hint="eastAsia" w:ascii="宋体" w:hAnsi="宋体"/>
          <w:sz w:val="24"/>
        </w:rPr>
        <w:t>（复印件，原件备查并一年内有效，格式自拟）]</w:t>
      </w:r>
    </w:p>
    <w:p>
      <w:pPr>
        <w:snapToGrid w:val="0"/>
        <w:ind w:firstLine="472" w:firstLineChars="196"/>
        <w:jc w:val="left"/>
        <w:rPr>
          <w:rFonts w:ascii="宋体" w:hAnsi="宋体"/>
          <w:sz w:val="24"/>
          <w:szCs w:val="20"/>
        </w:rPr>
      </w:pPr>
      <w:r>
        <w:rPr>
          <w:rFonts w:hint="eastAsia" w:ascii="宋体" w:hAnsi="宋体"/>
          <w:b/>
          <w:sz w:val="24"/>
        </w:rPr>
        <w:t>（</w:t>
      </w:r>
      <w:r>
        <w:rPr>
          <w:rFonts w:ascii="宋体" w:hAnsi="宋体"/>
          <w:sz w:val="24"/>
        </w:rPr>
        <w:t>4）营业执照</w:t>
      </w:r>
      <w:r>
        <w:rPr>
          <w:rFonts w:hint="eastAsia" w:ascii="宋体" w:hAnsi="宋体"/>
          <w:sz w:val="24"/>
        </w:rPr>
        <w:t>副本复印件</w:t>
      </w:r>
      <w:r>
        <w:rPr>
          <w:rFonts w:ascii="宋体" w:hAnsi="宋体"/>
          <w:sz w:val="24"/>
        </w:rPr>
        <w:t>;</w:t>
      </w:r>
    </w:p>
    <w:p>
      <w:pPr>
        <w:snapToGrid w:val="0"/>
        <w:ind w:firstLine="472" w:firstLineChars="196"/>
        <w:jc w:val="left"/>
        <w:rPr>
          <w:rFonts w:hint="eastAsia" w:ascii="宋体" w:hAnsi="宋体"/>
          <w:sz w:val="24"/>
          <w:szCs w:val="20"/>
        </w:rPr>
      </w:pPr>
      <w:r>
        <w:rPr>
          <w:rFonts w:hint="eastAsia" w:ascii="宋体" w:hAnsi="宋体"/>
          <w:b/>
          <w:sz w:val="24"/>
        </w:rPr>
        <w:t>（</w:t>
      </w:r>
      <w:r>
        <w:rPr>
          <w:rFonts w:ascii="宋体" w:hAnsi="宋体"/>
          <w:sz w:val="24"/>
        </w:rPr>
        <w:t>5）产品销售许可证;</w:t>
      </w:r>
    </w:p>
    <w:p>
      <w:pPr>
        <w:snapToGrid w:val="0"/>
        <w:ind w:firstLine="472" w:firstLineChars="196"/>
        <w:jc w:val="left"/>
        <w:rPr>
          <w:rFonts w:ascii="宋体" w:hAnsi="宋体"/>
          <w:sz w:val="24"/>
          <w:szCs w:val="20"/>
        </w:rPr>
      </w:pPr>
      <w:r>
        <w:rPr>
          <w:rFonts w:hint="eastAsia" w:ascii="宋体" w:hAnsi="宋体"/>
          <w:b/>
          <w:sz w:val="24"/>
        </w:rPr>
        <w:t>（</w:t>
      </w:r>
      <w:r>
        <w:rPr>
          <w:rFonts w:ascii="宋体" w:hAnsi="宋体"/>
          <w:sz w:val="24"/>
        </w:rPr>
        <w:t>6）安全生产许可证或者产品代理资格文件；</w:t>
      </w:r>
    </w:p>
    <w:p>
      <w:pPr>
        <w:snapToGrid w:val="0"/>
        <w:ind w:firstLine="472" w:firstLineChars="196"/>
        <w:jc w:val="left"/>
        <w:rPr>
          <w:rFonts w:ascii="宋体" w:hAnsi="宋体"/>
          <w:sz w:val="24"/>
          <w:szCs w:val="20"/>
        </w:rPr>
      </w:pPr>
      <w:r>
        <w:rPr>
          <w:rFonts w:hint="eastAsia" w:ascii="宋体" w:hAnsi="宋体"/>
          <w:b/>
          <w:sz w:val="24"/>
        </w:rPr>
        <w:t>（</w:t>
      </w:r>
      <w:r>
        <w:rPr>
          <w:rFonts w:ascii="宋体" w:hAnsi="宋体"/>
          <w:sz w:val="24"/>
        </w:rPr>
        <w:t>7）</w:t>
      </w:r>
      <w:r>
        <w:rPr>
          <w:rFonts w:hint="eastAsia" w:ascii="宋体" w:hAnsi="宋体"/>
          <w:sz w:val="24"/>
        </w:rPr>
        <w:t>类似案例成功的业绩（投标人同类项目实施情况一览表、合同复印件、用户验收报告、用户评价）；</w:t>
      </w:r>
    </w:p>
    <w:p>
      <w:pPr>
        <w:snapToGrid w:val="0"/>
        <w:ind w:firstLine="472" w:firstLineChars="196"/>
        <w:jc w:val="left"/>
        <w:rPr>
          <w:rFonts w:hint="eastAsia" w:ascii="宋体" w:hAnsi="宋体"/>
          <w:sz w:val="24"/>
        </w:rPr>
      </w:pPr>
      <w:r>
        <w:rPr>
          <w:rFonts w:hint="eastAsia" w:ascii="宋体" w:hAnsi="宋体"/>
          <w:b/>
          <w:sz w:val="24"/>
        </w:rPr>
        <w:t>（</w:t>
      </w:r>
      <w:r>
        <w:rPr>
          <w:rFonts w:ascii="宋体" w:hAnsi="宋体"/>
          <w:sz w:val="24"/>
        </w:rPr>
        <w:t>8）</w:t>
      </w:r>
      <w:r>
        <w:rPr>
          <w:rFonts w:hint="eastAsia" w:ascii="宋体" w:hAnsi="宋体"/>
          <w:sz w:val="24"/>
        </w:rPr>
        <w:t>其他特殊资质证书</w:t>
      </w:r>
      <w:r>
        <w:rPr>
          <w:rFonts w:ascii="宋体" w:hAnsi="宋体"/>
          <w:sz w:val="24"/>
        </w:rPr>
        <w:t>（如</w:t>
      </w:r>
      <w:r>
        <w:rPr>
          <w:rFonts w:hint="eastAsia" w:ascii="宋体" w:hAnsi="宋体"/>
          <w:sz w:val="24"/>
        </w:rPr>
        <w:t>本地化服务能力等，必须为投标人本身所拥有的资质，而不寻求外部的合作或委托等）</w:t>
      </w:r>
    </w:p>
    <w:p>
      <w:pPr>
        <w:snapToGrid w:val="0"/>
        <w:ind w:firstLine="480" w:firstLineChars="200"/>
        <w:jc w:val="left"/>
        <w:rPr>
          <w:rFonts w:ascii="宋体" w:hAnsi="宋体"/>
          <w:sz w:val="24"/>
          <w:szCs w:val="20"/>
        </w:rPr>
      </w:pPr>
      <w:r>
        <w:rPr>
          <w:rFonts w:hint="eastAsia" w:ascii="宋体" w:hAnsi="宋体"/>
          <w:sz w:val="24"/>
        </w:rPr>
        <w:t>（9）自主创新、节能环保等方面的资质证书；</w:t>
      </w:r>
    </w:p>
    <w:p>
      <w:pPr>
        <w:snapToGrid w:val="0"/>
        <w:ind w:firstLine="470" w:firstLineChars="196"/>
        <w:jc w:val="left"/>
        <w:rPr>
          <w:rFonts w:ascii="宋体" w:hAnsi="宋体"/>
          <w:sz w:val="24"/>
          <w:szCs w:val="20"/>
        </w:rPr>
      </w:pPr>
      <w:r>
        <w:rPr>
          <w:rFonts w:hint="eastAsia" w:ascii="宋体" w:hAnsi="宋体"/>
          <w:sz w:val="24"/>
        </w:rPr>
        <w:t>（10</w:t>
      </w:r>
      <w:r>
        <w:rPr>
          <w:rFonts w:ascii="宋体" w:hAnsi="宋体"/>
          <w:sz w:val="24"/>
        </w:rPr>
        <w:t>）</w:t>
      </w:r>
      <w:r>
        <w:rPr>
          <w:rFonts w:hint="eastAsia" w:ascii="宋体" w:hAnsi="宋体"/>
          <w:sz w:val="24"/>
        </w:rPr>
        <w:t>自主品牌投标人的信誉、荣誉证书；</w:t>
      </w:r>
    </w:p>
    <w:p>
      <w:pPr>
        <w:snapToGrid w:val="0"/>
        <w:ind w:firstLine="470" w:firstLineChars="196"/>
        <w:jc w:val="left"/>
        <w:rPr>
          <w:rFonts w:ascii="宋体" w:hAnsi="宋体"/>
          <w:sz w:val="24"/>
          <w:szCs w:val="20"/>
        </w:rPr>
      </w:pPr>
      <w:r>
        <w:rPr>
          <w:rFonts w:hint="eastAsia" w:ascii="宋体" w:hAnsi="宋体"/>
          <w:sz w:val="24"/>
        </w:rPr>
        <w:t>（</w:t>
      </w:r>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投标人质量管理和质量保证体系等方面的认证证书；</w:t>
      </w:r>
    </w:p>
    <w:p>
      <w:pPr>
        <w:snapToGrid w:val="0"/>
        <w:ind w:firstLine="470" w:firstLineChars="196"/>
        <w:jc w:val="left"/>
        <w:rPr>
          <w:rFonts w:ascii="宋体" w:hAnsi="宋体"/>
          <w:sz w:val="24"/>
          <w:szCs w:val="20"/>
        </w:rPr>
      </w:pPr>
      <w:r>
        <w:rPr>
          <w:rFonts w:hint="eastAsia" w:ascii="宋体" w:hAnsi="宋体"/>
          <w:sz w:val="24"/>
        </w:rPr>
        <w:t>（</w:t>
      </w:r>
      <w:r>
        <w:rPr>
          <w:rFonts w:ascii="宋体" w:hAnsi="宋体"/>
          <w:sz w:val="24"/>
        </w:rPr>
        <w:t>1</w:t>
      </w:r>
      <w:r>
        <w:rPr>
          <w:rFonts w:hint="eastAsia" w:ascii="宋体" w:hAnsi="宋体"/>
          <w:sz w:val="24"/>
        </w:rPr>
        <w:t>2</w:t>
      </w:r>
      <w:r>
        <w:rPr>
          <w:rFonts w:ascii="宋体" w:hAnsi="宋体"/>
          <w:sz w:val="24"/>
        </w:rPr>
        <w:t>）</w:t>
      </w:r>
      <w:r>
        <w:rPr>
          <w:rFonts w:hint="eastAsia" w:ascii="宋体" w:hAnsi="宋体"/>
          <w:sz w:val="24"/>
        </w:rPr>
        <w:t>投标人认为可以</w:t>
      </w:r>
      <w:r>
        <w:rPr>
          <w:rFonts w:hint="eastAsia" w:ascii="宋体" w:hAnsi="宋体"/>
          <w:sz w:val="24"/>
          <w:lang w:eastAsia="zh-CN"/>
        </w:rPr>
        <w:t>文件材料</w:t>
      </w:r>
      <w:r>
        <w:rPr>
          <w:rFonts w:hint="eastAsia" w:ascii="宋体" w:hAnsi="宋体"/>
          <w:sz w:val="24"/>
        </w:rPr>
        <w:t>其能力或业绩的其他材料；</w:t>
      </w:r>
    </w:p>
    <w:p>
      <w:pPr>
        <w:snapToGrid w:val="0"/>
        <w:ind w:firstLine="470" w:firstLineChars="196"/>
        <w:jc w:val="left"/>
        <w:rPr>
          <w:rFonts w:ascii="宋体" w:hAnsi="宋体"/>
          <w:sz w:val="24"/>
          <w:szCs w:val="20"/>
        </w:rPr>
      </w:pPr>
      <w:r>
        <w:rPr>
          <w:rFonts w:hint="eastAsia" w:ascii="宋体" w:hAnsi="宋体"/>
          <w:sz w:val="24"/>
        </w:rPr>
        <w:t>（</w:t>
      </w:r>
      <w:r>
        <w:rPr>
          <w:rFonts w:ascii="宋体" w:hAnsi="宋体"/>
          <w:sz w:val="24"/>
        </w:rPr>
        <w:t>1</w:t>
      </w:r>
      <w:r>
        <w:rPr>
          <w:rFonts w:hint="eastAsia" w:ascii="宋体" w:hAnsi="宋体"/>
          <w:sz w:val="24"/>
        </w:rPr>
        <w:t>3</w:t>
      </w:r>
      <w:r>
        <w:rPr>
          <w:rFonts w:ascii="宋体" w:hAnsi="宋体"/>
          <w:sz w:val="24"/>
        </w:rPr>
        <w:t>）</w:t>
      </w:r>
      <w:r>
        <w:rPr>
          <w:rFonts w:hint="eastAsia" w:ascii="宋体" w:hAnsi="宋体"/>
          <w:sz w:val="24"/>
        </w:rPr>
        <w:t>投标人关于产品生产时间、升级或者更新淘汰计划、配件供应以及本单位债务纠纷、违法违规记录等方面的情况（内容见投标声明书）</w:t>
      </w:r>
    </w:p>
    <w:p>
      <w:pPr>
        <w:snapToGrid w:val="0"/>
        <w:ind w:firstLine="470" w:firstLineChars="196"/>
        <w:jc w:val="left"/>
        <w:rPr>
          <w:rFonts w:ascii="宋体" w:hAnsi="宋体"/>
          <w:sz w:val="24"/>
          <w:szCs w:val="20"/>
        </w:rPr>
      </w:pPr>
      <w:r>
        <w:rPr>
          <w:rFonts w:hint="eastAsia" w:ascii="宋体" w:hAnsi="宋体"/>
          <w:sz w:val="24"/>
        </w:rPr>
        <w:t>（</w:t>
      </w:r>
      <w:r>
        <w:rPr>
          <w:rFonts w:ascii="宋体" w:hAnsi="宋体"/>
          <w:sz w:val="24"/>
        </w:rPr>
        <w:t>1</w:t>
      </w:r>
      <w:r>
        <w:rPr>
          <w:rFonts w:hint="eastAsia" w:ascii="宋体" w:hAnsi="宋体"/>
          <w:sz w:val="24"/>
        </w:rPr>
        <w:t>4</w:t>
      </w:r>
      <w:r>
        <w:rPr>
          <w:rFonts w:ascii="宋体" w:hAnsi="宋体"/>
          <w:sz w:val="24"/>
        </w:rPr>
        <w:t>）</w:t>
      </w:r>
      <w:r>
        <w:rPr>
          <w:rFonts w:hint="eastAsia" w:ascii="宋体" w:hAnsi="宋体"/>
          <w:sz w:val="24"/>
        </w:rPr>
        <w:t>投标人情况介绍；</w:t>
      </w:r>
    </w:p>
    <w:p>
      <w:pPr>
        <w:snapToGrid w:val="0"/>
        <w:ind w:firstLine="470" w:firstLineChars="196"/>
        <w:jc w:val="left"/>
        <w:rPr>
          <w:rFonts w:hint="eastAsia" w:ascii="宋体" w:hAnsi="宋体"/>
          <w:sz w:val="24"/>
          <w:szCs w:val="20"/>
        </w:rPr>
      </w:pPr>
      <w:r>
        <w:rPr>
          <w:rFonts w:hint="eastAsia" w:ascii="宋体" w:hAnsi="宋体"/>
          <w:sz w:val="24"/>
        </w:rPr>
        <w:t>（</w:t>
      </w:r>
      <w:r>
        <w:rPr>
          <w:rFonts w:ascii="宋体" w:hAnsi="宋体"/>
          <w:sz w:val="24"/>
        </w:rPr>
        <w:t>1</w:t>
      </w:r>
      <w:r>
        <w:rPr>
          <w:rFonts w:hint="eastAsia" w:ascii="宋体" w:hAnsi="宋体"/>
          <w:sz w:val="24"/>
        </w:rPr>
        <w:t>5</w:t>
      </w:r>
      <w:r>
        <w:rPr>
          <w:rFonts w:ascii="宋体" w:hAnsi="宋体"/>
          <w:sz w:val="24"/>
        </w:rPr>
        <w:t>）</w:t>
      </w:r>
      <w:r>
        <w:rPr>
          <w:rFonts w:hint="eastAsia" w:ascii="宋体" w:hAnsi="宋体"/>
          <w:sz w:val="24"/>
        </w:rPr>
        <w:t>商务响应表（格式见附件）；</w:t>
      </w:r>
    </w:p>
    <w:p>
      <w:pPr>
        <w:snapToGrid w:val="0"/>
        <w:ind w:firstLine="472" w:firstLineChars="196"/>
        <w:jc w:val="left"/>
        <w:rPr>
          <w:rFonts w:ascii="宋体" w:hAnsi="宋体"/>
          <w:b/>
          <w:bCs/>
          <w:sz w:val="24"/>
          <w:szCs w:val="20"/>
        </w:rPr>
      </w:pPr>
      <w:r>
        <w:rPr>
          <w:rFonts w:ascii="宋体" w:hAnsi="宋体"/>
          <w:b/>
          <w:bCs/>
          <w:sz w:val="24"/>
        </w:rPr>
        <w:t>技术</w:t>
      </w:r>
      <w:r>
        <w:rPr>
          <w:rFonts w:hint="eastAsia" w:ascii="宋体" w:hAnsi="宋体"/>
          <w:b/>
          <w:bCs/>
          <w:sz w:val="24"/>
        </w:rPr>
        <w:t>部份包括以下内容：</w:t>
      </w:r>
    </w:p>
    <w:p>
      <w:pPr>
        <w:snapToGrid w:val="0"/>
        <w:ind w:firstLine="480" w:firstLineChars="200"/>
        <w:jc w:val="left"/>
        <w:rPr>
          <w:rFonts w:hint="eastAsia" w:ascii="宋体" w:hAnsi="宋体"/>
          <w:sz w:val="24"/>
          <w:szCs w:val="20"/>
        </w:rPr>
      </w:pPr>
      <w:r>
        <w:rPr>
          <w:rFonts w:hint="eastAsia" w:ascii="宋体" w:hAnsi="宋体"/>
          <w:sz w:val="24"/>
        </w:rPr>
        <w:t>（1）</w:t>
      </w:r>
      <w:r>
        <w:rPr>
          <w:rFonts w:ascii="宋体" w:hAnsi="宋体"/>
          <w:sz w:val="24"/>
        </w:rPr>
        <w:t>对本项目系统总体要求的理解</w:t>
      </w:r>
      <w:r>
        <w:rPr>
          <w:rFonts w:hint="eastAsia" w:ascii="宋体" w:hAnsi="宋体"/>
          <w:sz w:val="24"/>
        </w:rPr>
        <w:t>；</w:t>
      </w:r>
    </w:p>
    <w:p>
      <w:pPr>
        <w:snapToGrid w:val="0"/>
        <w:ind w:firstLine="480" w:firstLineChars="200"/>
        <w:jc w:val="left"/>
        <w:rPr>
          <w:rFonts w:ascii="宋体" w:hAnsi="宋体"/>
          <w:sz w:val="24"/>
          <w:szCs w:val="20"/>
        </w:rPr>
      </w:pPr>
      <w:r>
        <w:rPr>
          <w:rFonts w:hint="eastAsia" w:ascii="宋体" w:hAnsi="宋体"/>
          <w:sz w:val="24"/>
        </w:rPr>
        <w:t>（2</w:t>
      </w:r>
      <w:r>
        <w:rPr>
          <w:rFonts w:ascii="宋体" w:hAnsi="宋体"/>
          <w:sz w:val="24"/>
        </w:rPr>
        <w:t>）</w:t>
      </w:r>
      <w:r>
        <w:rPr>
          <w:rFonts w:hint="eastAsia" w:ascii="宋体" w:hAnsi="宋体"/>
          <w:sz w:val="24"/>
        </w:rPr>
        <w:t>与省厅执法办案平台无缝对接方案</w:t>
      </w:r>
      <w:r>
        <w:rPr>
          <w:rFonts w:ascii="宋体" w:hAnsi="宋体"/>
          <w:sz w:val="24"/>
        </w:rPr>
        <w:t>；</w:t>
      </w:r>
    </w:p>
    <w:p>
      <w:pPr>
        <w:snapToGrid w:val="0"/>
        <w:ind w:firstLine="480" w:firstLineChars="200"/>
        <w:jc w:val="left"/>
        <w:rPr>
          <w:rFonts w:ascii="宋体" w:hAnsi="宋体"/>
          <w:sz w:val="24"/>
          <w:szCs w:val="20"/>
        </w:rPr>
      </w:pPr>
      <w:r>
        <w:rPr>
          <w:rFonts w:hint="eastAsia" w:ascii="宋体" w:hAnsi="宋体"/>
          <w:sz w:val="24"/>
        </w:rPr>
        <w:t>（3</w:t>
      </w:r>
      <w:r>
        <w:rPr>
          <w:rFonts w:ascii="宋体" w:hAnsi="宋体"/>
          <w:sz w:val="24"/>
        </w:rPr>
        <w:t>）设备</w:t>
      </w:r>
      <w:r>
        <w:rPr>
          <w:rFonts w:hint="eastAsia" w:ascii="宋体" w:hAnsi="宋体"/>
          <w:sz w:val="24"/>
        </w:rPr>
        <w:t>详细</w:t>
      </w:r>
      <w:r>
        <w:rPr>
          <w:rFonts w:ascii="宋体" w:hAnsi="宋体"/>
          <w:sz w:val="24"/>
        </w:rPr>
        <w:t>配置清单（均不含报价）；</w:t>
      </w:r>
    </w:p>
    <w:p>
      <w:pPr>
        <w:snapToGrid w:val="0"/>
        <w:ind w:firstLine="480" w:firstLineChars="200"/>
        <w:jc w:val="left"/>
        <w:rPr>
          <w:rFonts w:ascii="宋体" w:hAnsi="宋体"/>
          <w:sz w:val="24"/>
          <w:szCs w:val="20"/>
        </w:rPr>
      </w:pPr>
      <w:r>
        <w:rPr>
          <w:rFonts w:hint="eastAsia" w:ascii="宋体" w:hAnsi="宋体"/>
          <w:sz w:val="24"/>
        </w:rPr>
        <w:t>（4</w:t>
      </w:r>
      <w:r>
        <w:rPr>
          <w:rFonts w:ascii="宋体" w:hAnsi="宋体"/>
          <w:sz w:val="24"/>
        </w:rPr>
        <w:t>）技术响应表；</w:t>
      </w:r>
    </w:p>
    <w:p>
      <w:pPr>
        <w:snapToGrid w:val="0"/>
        <w:ind w:firstLine="480" w:firstLineChars="200"/>
        <w:jc w:val="left"/>
        <w:rPr>
          <w:rFonts w:ascii="宋体" w:hAnsi="宋体"/>
          <w:sz w:val="24"/>
          <w:szCs w:val="20"/>
        </w:rPr>
      </w:pPr>
      <w:r>
        <w:rPr>
          <w:rFonts w:hint="eastAsia" w:ascii="宋体" w:hAnsi="宋体"/>
          <w:sz w:val="24"/>
        </w:rPr>
        <w:t>（5</w:t>
      </w:r>
      <w:r>
        <w:rPr>
          <w:rFonts w:ascii="宋体" w:hAnsi="宋体"/>
          <w:sz w:val="24"/>
        </w:rPr>
        <w:t>）投标人建议的安装、调试、验收方法或方案；</w:t>
      </w:r>
    </w:p>
    <w:p>
      <w:pPr>
        <w:snapToGrid w:val="0"/>
        <w:ind w:firstLine="480" w:firstLineChars="200"/>
        <w:jc w:val="left"/>
        <w:rPr>
          <w:rFonts w:ascii="宋体" w:hAnsi="宋体"/>
          <w:sz w:val="24"/>
          <w:szCs w:val="20"/>
        </w:rPr>
      </w:pPr>
      <w:r>
        <w:rPr>
          <w:rFonts w:hint="eastAsia" w:ascii="宋体" w:hAnsi="宋体"/>
          <w:sz w:val="24"/>
        </w:rPr>
        <w:t>（6</w:t>
      </w:r>
      <w:r>
        <w:rPr>
          <w:rFonts w:ascii="宋体" w:hAnsi="宋体"/>
          <w:sz w:val="24"/>
        </w:rPr>
        <w:t>）技术服务、技术培训、售后服务的内容和措施；</w:t>
      </w:r>
    </w:p>
    <w:p>
      <w:pPr>
        <w:snapToGrid w:val="0"/>
        <w:ind w:firstLine="480" w:firstLineChars="200"/>
        <w:jc w:val="left"/>
        <w:rPr>
          <w:rFonts w:hint="eastAsia" w:ascii="宋体" w:hAnsi="宋体"/>
          <w:sz w:val="24"/>
          <w:szCs w:val="20"/>
        </w:rPr>
      </w:pPr>
      <w:r>
        <w:rPr>
          <w:rFonts w:hint="eastAsia" w:ascii="宋体" w:hAnsi="宋体"/>
          <w:sz w:val="24"/>
        </w:rPr>
        <w:t>（7</w:t>
      </w:r>
      <w:r>
        <w:rPr>
          <w:rFonts w:ascii="宋体" w:hAnsi="宋体"/>
          <w:sz w:val="24"/>
        </w:rPr>
        <w:t>）项目</w:t>
      </w:r>
      <w:r>
        <w:rPr>
          <w:rFonts w:hint="eastAsia" w:ascii="宋体" w:hAnsi="宋体"/>
          <w:sz w:val="24"/>
        </w:rPr>
        <w:t>实施方案；</w:t>
      </w:r>
    </w:p>
    <w:p>
      <w:pPr>
        <w:snapToGrid w:val="0"/>
        <w:ind w:firstLine="480" w:firstLineChars="200"/>
        <w:jc w:val="left"/>
        <w:rPr>
          <w:rFonts w:ascii="宋体" w:hAnsi="宋体"/>
          <w:sz w:val="24"/>
          <w:szCs w:val="20"/>
        </w:rPr>
      </w:pPr>
      <w:r>
        <w:rPr>
          <w:rFonts w:hint="eastAsia" w:ascii="宋体" w:hAnsi="宋体"/>
          <w:sz w:val="24"/>
        </w:rPr>
        <w:t>（8</w:t>
      </w:r>
      <w:r>
        <w:rPr>
          <w:rFonts w:ascii="宋体" w:hAnsi="宋体"/>
          <w:sz w:val="24"/>
        </w:rPr>
        <w:t xml:space="preserve">）优惠条件：投标人承诺给予招标人的各种优惠条件，包括售后服务、备品备件、专用耗材等方面的优惠； </w:t>
      </w:r>
    </w:p>
    <w:p>
      <w:pPr>
        <w:snapToGrid w:val="0"/>
        <w:ind w:firstLine="480" w:firstLineChars="200"/>
        <w:jc w:val="left"/>
        <w:rPr>
          <w:rFonts w:ascii="宋体" w:hAnsi="宋体"/>
          <w:sz w:val="24"/>
          <w:szCs w:val="20"/>
        </w:rPr>
      </w:pPr>
      <w:r>
        <w:rPr>
          <w:rFonts w:hint="eastAsia" w:ascii="宋体" w:hAnsi="宋体"/>
          <w:sz w:val="24"/>
        </w:rPr>
        <w:t>（9</w:t>
      </w:r>
      <w:r>
        <w:rPr>
          <w:rFonts w:ascii="宋体" w:hAnsi="宋体"/>
          <w:sz w:val="24"/>
        </w:rPr>
        <w:t>）投标人对本项目的合理化建议和改进措施；</w:t>
      </w:r>
    </w:p>
    <w:p>
      <w:pPr>
        <w:snapToGrid w:val="0"/>
        <w:ind w:firstLine="480" w:firstLineChars="200"/>
        <w:jc w:val="left"/>
        <w:rPr>
          <w:rFonts w:ascii="宋体" w:hAnsi="宋体"/>
          <w:sz w:val="24"/>
          <w:szCs w:val="20"/>
        </w:rPr>
      </w:pPr>
      <w:r>
        <w:rPr>
          <w:rFonts w:hint="eastAsia" w:ascii="宋体" w:hAnsi="宋体"/>
          <w:sz w:val="24"/>
        </w:rPr>
        <w:t>（10</w:t>
      </w:r>
      <w:r>
        <w:rPr>
          <w:rFonts w:ascii="宋体" w:hAnsi="宋体"/>
          <w:sz w:val="24"/>
        </w:rPr>
        <w:t>）投标人需要说明的其他文件和说明（格式略）。</w:t>
      </w:r>
    </w:p>
    <w:p>
      <w:pPr>
        <w:snapToGrid w:val="0"/>
        <w:jc w:val="left"/>
        <w:rPr>
          <w:rFonts w:ascii="宋体" w:hAnsi="宋体"/>
          <w:b/>
          <w:sz w:val="24"/>
          <w:szCs w:val="20"/>
        </w:rPr>
      </w:pPr>
    </w:p>
    <w:p>
      <w:pPr>
        <w:snapToGrid w:val="0"/>
        <w:ind w:firstLine="472" w:firstLineChars="196"/>
        <w:jc w:val="left"/>
        <w:rPr>
          <w:rFonts w:hint="eastAsia" w:ascii="宋体" w:hAnsi="宋体"/>
          <w:b/>
          <w:sz w:val="24"/>
          <w:szCs w:val="20"/>
        </w:rPr>
      </w:pPr>
      <w:r>
        <w:rPr>
          <w:rFonts w:hint="eastAsia" w:ascii="宋体" w:hAnsi="宋体"/>
          <w:b/>
          <w:sz w:val="24"/>
        </w:rPr>
        <w:t>3.</w:t>
      </w:r>
      <w:r>
        <w:rPr>
          <w:rFonts w:ascii="宋体" w:hAnsi="宋体"/>
          <w:b/>
          <w:sz w:val="24"/>
        </w:rPr>
        <w:t>报价文件：</w:t>
      </w:r>
      <w:r>
        <w:rPr>
          <w:rFonts w:hint="eastAsia" w:ascii="宋体" w:hAnsi="宋体"/>
          <w:b/>
          <w:sz w:val="24"/>
        </w:rPr>
        <w:t>（正本1份，副本4份）</w:t>
      </w:r>
    </w:p>
    <w:p>
      <w:pPr>
        <w:tabs>
          <w:tab w:val="left" w:pos="3870"/>
          <w:tab w:val="left" w:pos="4085"/>
        </w:tabs>
        <w:snapToGrid w:val="0"/>
        <w:ind w:firstLine="480" w:firstLineChars="200"/>
        <w:jc w:val="left"/>
        <w:rPr>
          <w:rFonts w:hint="eastAsia" w:ascii="宋体" w:hAnsi="宋体"/>
          <w:sz w:val="24"/>
          <w:szCs w:val="20"/>
        </w:rPr>
      </w:pPr>
      <w:r>
        <w:rPr>
          <w:rFonts w:hint="eastAsia" w:ascii="宋体" w:hAnsi="宋体"/>
          <w:sz w:val="24"/>
        </w:rPr>
        <w:t xml:space="preserve">（1）投标函（格式见附件）； </w:t>
      </w:r>
    </w:p>
    <w:p>
      <w:pPr>
        <w:pStyle w:val="30"/>
        <w:snapToGrid w:val="0"/>
        <w:ind w:leftChars="0" w:firstLine="480" w:firstLineChars="200"/>
        <w:rPr>
          <w:rFonts w:ascii="宋体" w:hAnsi="宋体" w:eastAsia="宋体"/>
          <w:sz w:val="24"/>
          <w:szCs w:val="24"/>
        </w:rPr>
      </w:pPr>
      <w:r>
        <w:rPr>
          <w:rFonts w:hint="eastAsia" w:ascii="宋体" w:hAnsi="宋体" w:eastAsia="宋体"/>
          <w:sz w:val="24"/>
        </w:rPr>
        <w:t>（2</w:t>
      </w:r>
      <w:r>
        <w:rPr>
          <w:rFonts w:ascii="宋体" w:hAnsi="宋体" w:eastAsia="宋体"/>
          <w:sz w:val="24"/>
          <w:szCs w:val="24"/>
        </w:rPr>
        <w:t>）投标报价明细表（格式见附件）；</w:t>
      </w:r>
    </w:p>
    <w:p>
      <w:pPr>
        <w:snapToGrid w:val="0"/>
        <w:ind w:firstLine="480" w:firstLineChars="200"/>
        <w:jc w:val="left"/>
        <w:rPr>
          <w:rFonts w:ascii="宋体" w:hAnsi="宋体"/>
          <w:sz w:val="24"/>
        </w:rPr>
      </w:pPr>
      <w:r>
        <w:rPr>
          <w:rFonts w:hint="eastAsia" w:ascii="宋体" w:hAnsi="宋体"/>
          <w:sz w:val="24"/>
        </w:rPr>
        <w:t>（</w:t>
      </w:r>
      <w:r>
        <w:rPr>
          <w:rFonts w:hint="eastAsia" w:ascii="宋体" w:hAnsi="宋体"/>
          <w:sz w:val="24"/>
          <w:lang w:val="en-US" w:eastAsia="zh-CN"/>
        </w:rPr>
        <w:t>3</w:t>
      </w:r>
      <w:r>
        <w:rPr>
          <w:rFonts w:ascii="宋体" w:hAnsi="宋体"/>
          <w:sz w:val="24"/>
        </w:rPr>
        <w:t>）开标一览表（</w:t>
      </w:r>
      <w:r>
        <w:rPr>
          <w:rFonts w:hint="eastAsia" w:ascii="宋体" w:hAnsi="宋体"/>
          <w:b/>
          <w:sz w:val="24"/>
        </w:rPr>
        <w:t>份数：1份，</w:t>
      </w:r>
      <w:r>
        <w:rPr>
          <w:rFonts w:hint="eastAsia" w:ascii="宋体" w:hAnsi="宋体"/>
          <w:sz w:val="24"/>
        </w:rPr>
        <w:t>请单独封装，</w:t>
      </w:r>
      <w:r>
        <w:rPr>
          <w:rFonts w:ascii="宋体" w:hAnsi="宋体"/>
          <w:sz w:val="24"/>
        </w:rPr>
        <w:t>格式见附件）；</w:t>
      </w:r>
    </w:p>
    <w:p>
      <w:pPr>
        <w:snapToGrid w:val="0"/>
        <w:spacing w:line="360" w:lineRule="exact"/>
        <w:ind w:firstLine="470" w:firstLineChars="196"/>
        <w:jc w:val="left"/>
        <w:rPr>
          <w:rFonts w:hint="eastAsia" w:ascii="宋体" w:hAnsi="宋体"/>
          <w:sz w:val="24"/>
        </w:rPr>
      </w:pPr>
      <w:r>
        <w:rPr>
          <w:rFonts w:hint="eastAsia" w:ascii="宋体" w:hAnsi="宋体"/>
          <w:sz w:val="24"/>
        </w:rPr>
        <w:t>（4</w:t>
      </w:r>
      <w:r>
        <w:rPr>
          <w:rFonts w:ascii="宋体" w:hAnsi="宋体"/>
          <w:sz w:val="24"/>
        </w:rPr>
        <w:t>）</w:t>
      </w:r>
      <w:r>
        <w:rPr>
          <w:rFonts w:hint="eastAsia" w:ascii="宋体" w:hAnsi="宋体"/>
          <w:sz w:val="24"/>
        </w:rPr>
        <w:t>中小企业声明函（附件4.4小微企业投标时适用，提供中小企业名录查询结果截图http://xwqy.gsxt.gov.cn，不提供不予抵扣）</w:t>
      </w:r>
    </w:p>
    <w:p>
      <w:pPr>
        <w:snapToGrid w:val="0"/>
        <w:spacing w:line="360" w:lineRule="exact"/>
        <w:ind w:firstLine="470" w:firstLineChars="196"/>
        <w:jc w:val="left"/>
        <w:rPr>
          <w:rFonts w:hint="eastAsia" w:ascii="宋体" w:hAnsi="宋体"/>
          <w:sz w:val="24"/>
        </w:rPr>
      </w:pPr>
      <w:r>
        <w:rPr>
          <w:rFonts w:hint="eastAsia" w:ascii="宋体" w:hAnsi="宋体"/>
          <w:sz w:val="24"/>
        </w:rPr>
        <w:t>（5）残疾人福利性单位声明函（附件4.5：残疾人福利性单位投标时适用）</w:t>
      </w:r>
    </w:p>
    <w:p>
      <w:pPr>
        <w:snapToGrid w:val="0"/>
        <w:spacing w:line="360" w:lineRule="exact"/>
        <w:ind w:firstLine="470" w:firstLineChars="196"/>
        <w:jc w:val="left"/>
        <w:rPr>
          <w:rFonts w:hint="eastAsia" w:ascii="宋体" w:hAnsi="宋体"/>
          <w:sz w:val="24"/>
        </w:rPr>
      </w:pPr>
      <w:r>
        <w:rPr>
          <w:rFonts w:hint="eastAsia" w:ascii="宋体" w:hAnsi="宋体"/>
          <w:sz w:val="24"/>
        </w:rPr>
        <w:t>（6）政府采购政策情况表（附件4.6：小微企业、残疾人福利性单位、监狱企业投标时适用）</w:t>
      </w:r>
    </w:p>
    <w:p>
      <w:pPr>
        <w:snapToGrid w:val="0"/>
        <w:spacing w:line="360" w:lineRule="exact"/>
        <w:ind w:firstLine="470" w:firstLineChars="196"/>
        <w:jc w:val="left"/>
        <w:rPr>
          <w:rFonts w:hint="eastAsia" w:ascii="宋体" w:hAnsi="宋体"/>
          <w:sz w:val="24"/>
        </w:rPr>
      </w:pPr>
      <w:r>
        <w:rPr>
          <w:rFonts w:hint="eastAsia" w:ascii="宋体" w:hAnsi="宋体"/>
          <w:sz w:val="24"/>
        </w:rPr>
        <w:t>（7）制造企业情况表：（小微企业提供其他小微企业生产的产品时适用,提供中小企业名录查询结果截图</w:t>
      </w:r>
      <w:r>
        <w:rPr>
          <w:rFonts w:ascii="宋体" w:hAnsi="宋体"/>
          <w:sz w:val="24"/>
        </w:rPr>
        <w:t>http://xwqy.gsxt.gov.cn</w:t>
      </w:r>
      <w:r>
        <w:rPr>
          <w:rFonts w:hint="eastAsia" w:ascii="宋体" w:hAnsi="宋体"/>
          <w:sz w:val="24"/>
        </w:rPr>
        <w:t>，不提供不予抵扣）</w:t>
      </w:r>
    </w:p>
    <w:p>
      <w:pPr>
        <w:snapToGrid w:val="0"/>
        <w:spacing w:line="360" w:lineRule="exact"/>
        <w:ind w:firstLine="470" w:firstLineChars="196"/>
        <w:jc w:val="left"/>
      </w:pPr>
      <w:r>
        <w:rPr>
          <w:rFonts w:hint="eastAsia" w:ascii="宋体" w:hAnsi="宋体"/>
          <w:sz w:val="24"/>
        </w:rPr>
        <w:t>（8</w:t>
      </w:r>
      <w:r>
        <w:rPr>
          <w:rFonts w:ascii="宋体" w:hAnsi="宋体"/>
          <w:sz w:val="24"/>
        </w:rPr>
        <w:t>）投标人</w:t>
      </w:r>
      <w:r>
        <w:rPr>
          <w:rFonts w:hint="eastAsia" w:ascii="宋体" w:hAnsi="宋体"/>
          <w:sz w:val="24"/>
        </w:rPr>
        <w:t>针对报价</w:t>
      </w:r>
      <w:r>
        <w:rPr>
          <w:rFonts w:ascii="宋体" w:hAnsi="宋体"/>
          <w:sz w:val="24"/>
        </w:rPr>
        <w:t>需要说明的其他文件和说明</w:t>
      </w:r>
      <w:r>
        <w:rPr>
          <w:rFonts w:hint="eastAsia" w:ascii="宋体" w:hAnsi="宋体"/>
          <w:sz w:val="24"/>
        </w:rPr>
        <w:t>（不允许含报价）</w:t>
      </w:r>
      <w:r>
        <w:rPr>
          <w:rFonts w:ascii="宋体" w:hAnsi="宋体"/>
          <w:sz w:val="24"/>
        </w:rPr>
        <w:t>。</w:t>
      </w:r>
    </w:p>
    <w:p>
      <w:pPr>
        <w:pStyle w:val="44"/>
        <w:widowControl w:val="0"/>
        <w:spacing w:before="0" w:afterLines="0" w:line="240" w:lineRule="auto"/>
        <w:ind w:firstLine="480" w:firstLineChars="200"/>
        <w:rPr>
          <w:rFonts w:hint="eastAsia"/>
          <w:color w:val="auto"/>
        </w:rPr>
      </w:pPr>
      <w:r>
        <w:rPr>
          <w:rFonts w:hint="eastAsia" w:cs="宋体"/>
          <w:color w:val="auto"/>
          <w:kern w:val="0"/>
        </w:rPr>
        <w:t>▲</w:t>
      </w:r>
      <w:r>
        <w:rPr>
          <w:b/>
          <w:bCs/>
          <w:color w:val="auto"/>
        </w:rPr>
        <w:t>注：法定代表人授权委托书、投标声明书必须由法定代表人签名并加盖单位公章。投标函、开标一览表</w:t>
      </w:r>
      <w:r>
        <w:rPr>
          <w:rFonts w:hint="eastAsia"/>
          <w:b/>
          <w:bCs/>
          <w:color w:val="auto"/>
        </w:rPr>
        <w:t>必须由法定代表人或授权代表签名并加盖单位公章。</w:t>
      </w:r>
    </w:p>
    <w:p>
      <w:pPr>
        <w:snapToGrid w:val="0"/>
        <w:ind w:firstLine="470" w:firstLineChars="196"/>
        <w:jc w:val="left"/>
        <w:outlineLvl w:val="0"/>
        <w:rPr>
          <w:rFonts w:ascii="宋体" w:hAnsi="宋体"/>
          <w:b/>
          <w:sz w:val="24"/>
          <w:szCs w:val="20"/>
        </w:rPr>
      </w:pPr>
      <w:r>
        <w:rPr>
          <w:rFonts w:hint="eastAsia" w:ascii="宋体" w:hAnsi="宋体" w:cs="宋体"/>
          <w:kern w:val="0"/>
          <w:sz w:val="24"/>
        </w:rPr>
        <w:t>▲</w:t>
      </w:r>
      <w:r>
        <w:rPr>
          <w:rFonts w:hint="eastAsia" w:ascii="宋体" w:hAnsi="宋体"/>
          <w:b/>
          <w:sz w:val="24"/>
        </w:rPr>
        <w:t>（二）投标文件的语言及计量</w:t>
      </w:r>
    </w:p>
    <w:p>
      <w:pPr>
        <w:snapToGrid w:val="0"/>
        <w:ind w:firstLine="480" w:firstLineChars="200"/>
        <w:jc w:val="left"/>
        <w:rPr>
          <w:rFonts w:ascii="宋体" w:hAnsi="宋体"/>
          <w:sz w:val="24"/>
          <w:szCs w:val="20"/>
        </w:rPr>
      </w:pPr>
      <w:r>
        <w:rPr>
          <w:rFonts w:ascii="宋体" w:hAnsi="宋体"/>
          <w:sz w:val="24"/>
        </w:rPr>
        <w:t>1投标文件以及投标方与招标方就有关投标事宜的所有来往函电，均应以中文汉语书写。除签名、盖章、专用名称等特殊情形外，以中文汉语以外的文字表述的投标文件视同未提供。</w:t>
      </w:r>
    </w:p>
    <w:p>
      <w:pPr>
        <w:snapToGrid w:val="0"/>
        <w:ind w:firstLine="480" w:firstLineChars="200"/>
        <w:jc w:val="left"/>
        <w:rPr>
          <w:rFonts w:ascii="宋体" w:hAnsi="宋体"/>
          <w:sz w:val="24"/>
          <w:szCs w:val="20"/>
        </w:rPr>
      </w:pPr>
      <w:r>
        <w:rPr>
          <w:rFonts w:ascii="宋体" w:hAnsi="宋体"/>
          <w:sz w:val="24"/>
        </w:rPr>
        <w:t>2投标计量单位，招标文件已有明确规定的，使用招标文件规定的计量单位；招标文件没有规定的，应采用中华人民共和国法定计量单位（货币单位：人民币元），否则视同未响应。</w:t>
      </w:r>
    </w:p>
    <w:p>
      <w:pPr>
        <w:snapToGrid w:val="0"/>
        <w:spacing w:before="120" w:beforeLines="50"/>
        <w:ind w:firstLine="411" w:firstLineChars="196"/>
        <w:jc w:val="left"/>
        <w:outlineLvl w:val="0"/>
        <w:rPr>
          <w:rFonts w:ascii="宋体" w:hAnsi="宋体"/>
          <w:b/>
          <w:sz w:val="24"/>
          <w:szCs w:val="20"/>
        </w:rPr>
      </w:pPr>
      <w:r>
        <w:rPr>
          <w:rFonts w:hint="eastAsia" w:hAnsi="宋体" w:cs="宋体"/>
          <w:kern w:val="0"/>
        </w:rPr>
        <w:t>▲</w:t>
      </w:r>
      <w:r>
        <w:rPr>
          <w:rFonts w:hint="eastAsia" w:ascii="宋体" w:hAnsi="宋体"/>
          <w:b/>
          <w:sz w:val="24"/>
        </w:rPr>
        <w:t>（三）投标报价</w:t>
      </w:r>
    </w:p>
    <w:p>
      <w:pPr>
        <w:pStyle w:val="28"/>
        <w:numPr>
          <w:ilvl w:val="0"/>
          <w:numId w:val="0"/>
        </w:numPr>
        <w:tabs>
          <w:tab w:val="left" w:pos="1200"/>
        </w:tabs>
        <w:snapToGrid w:val="0"/>
        <w:spacing w:before="0" w:beforeLines="0" w:after="0" w:afterLines="0" w:line="240" w:lineRule="auto"/>
        <w:ind w:firstLine="480" w:firstLineChars="200"/>
        <w:jc w:val="left"/>
        <w:rPr>
          <w:rFonts w:hAnsi="宋体"/>
        </w:rPr>
      </w:pPr>
      <w:r>
        <w:rPr>
          <w:rFonts w:hAnsi="宋体"/>
        </w:rPr>
        <w:t>1</w:t>
      </w:r>
      <w:r>
        <w:rPr>
          <w:rFonts w:hint="eastAsia" w:hAnsi="宋体"/>
        </w:rPr>
        <w:t>.</w:t>
      </w:r>
      <w:r>
        <w:rPr>
          <w:rFonts w:hAnsi="宋体"/>
        </w:rPr>
        <w:t>投标报价应按招标文件中相关附表格式填写。</w:t>
      </w:r>
    </w:p>
    <w:p>
      <w:pPr>
        <w:pStyle w:val="28"/>
        <w:numPr>
          <w:ilvl w:val="0"/>
          <w:numId w:val="0"/>
        </w:numPr>
        <w:tabs>
          <w:tab w:val="left" w:pos="1200"/>
        </w:tabs>
        <w:snapToGrid w:val="0"/>
        <w:spacing w:beforeLines="0" w:afterLines="0" w:line="240" w:lineRule="auto"/>
        <w:ind w:firstLine="480" w:firstLineChars="200"/>
        <w:jc w:val="left"/>
        <w:rPr>
          <w:rFonts w:hAnsi="宋体"/>
        </w:rPr>
      </w:pPr>
      <w:r>
        <w:rPr>
          <w:rFonts w:hAnsi="宋体"/>
        </w:rPr>
        <w:t>2</w:t>
      </w:r>
      <w:r>
        <w:rPr>
          <w:rFonts w:hint="eastAsia" w:hAnsi="宋体"/>
        </w:rPr>
        <w:t>.</w:t>
      </w:r>
      <w:r>
        <w:rPr>
          <w:rFonts w:hAnsi="宋体"/>
        </w:rPr>
        <w:t>投标报价是履行合同的最终价格，应包括货款、标准附件、备品备件、专用工具、包装、运输、装卸、保险、税金、货到就位以及安装、调试、培训、保修等一切税金和费用。</w:t>
      </w:r>
    </w:p>
    <w:p>
      <w:pPr>
        <w:tabs>
          <w:tab w:val="left" w:pos="525"/>
        </w:tabs>
        <w:snapToGrid w:val="0"/>
        <w:ind w:firstLine="480" w:firstLineChars="200"/>
        <w:jc w:val="left"/>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投标文件只允许有一个报价，有选择的</w:t>
      </w:r>
      <w:r>
        <w:rPr>
          <w:rFonts w:hint="eastAsia" w:ascii="宋体" w:hAnsi="宋体"/>
          <w:sz w:val="24"/>
        </w:rPr>
        <w:t>或有条件的</w:t>
      </w:r>
      <w:r>
        <w:rPr>
          <w:rFonts w:ascii="宋体" w:hAnsi="宋体"/>
          <w:sz w:val="24"/>
        </w:rPr>
        <w:t>报价将不予接受。</w:t>
      </w:r>
    </w:p>
    <w:p>
      <w:pPr>
        <w:pStyle w:val="13"/>
        <w:widowControl w:val="0"/>
        <w:numPr>
          <w:ilvl w:val="0"/>
          <w:numId w:val="0"/>
        </w:numPr>
        <w:snapToGrid w:val="0"/>
        <w:spacing w:before="120" w:beforeLines="50" w:afterLines="0"/>
        <w:ind w:firstLine="470" w:firstLineChars="196"/>
        <w:rPr>
          <w:rFonts w:ascii="宋体" w:hAnsi="宋体"/>
          <w:b/>
          <w:szCs w:val="24"/>
        </w:rPr>
      </w:pPr>
      <w:r>
        <w:rPr>
          <w:rFonts w:hint="eastAsia" w:ascii="宋体" w:hAnsi="宋体" w:cs="宋体"/>
        </w:rPr>
        <w:t>▲</w:t>
      </w:r>
      <w:r>
        <w:rPr>
          <w:rFonts w:hint="eastAsia" w:ascii="宋体" w:hAnsi="宋体"/>
          <w:b/>
          <w:szCs w:val="24"/>
        </w:rPr>
        <w:t>（四）投标文件的有效期</w:t>
      </w:r>
    </w:p>
    <w:p>
      <w:pPr>
        <w:pStyle w:val="13"/>
        <w:widowControl w:val="0"/>
        <w:numPr>
          <w:ilvl w:val="0"/>
          <w:numId w:val="0"/>
        </w:numPr>
        <w:snapToGrid w:val="0"/>
        <w:spacing w:afterLines="0"/>
        <w:ind w:firstLine="480" w:firstLineChars="200"/>
        <w:rPr>
          <w:rFonts w:ascii="宋体" w:hAnsi="宋体"/>
          <w:szCs w:val="24"/>
        </w:rPr>
      </w:pPr>
      <w:r>
        <w:rPr>
          <w:rFonts w:ascii="宋体" w:hAnsi="宋体"/>
          <w:szCs w:val="24"/>
        </w:rPr>
        <w:t>1</w:t>
      </w:r>
      <w:r>
        <w:rPr>
          <w:rFonts w:hint="eastAsia" w:ascii="宋体" w:hAnsi="宋体"/>
          <w:szCs w:val="24"/>
        </w:rPr>
        <w:t>.</w:t>
      </w:r>
      <w:r>
        <w:rPr>
          <w:rFonts w:ascii="宋体" w:hAnsi="宋体"/>
          <w:szCs w:val="24"/>
        </w:rPr>
        <w:t>自投标截止日起</w:t>
      </w:r>
      <w:r>
        <w:rPr>
          <w:rFonts w:hint="eastAsia" w:ascii="宋体" w:hAnsi="宋体"/>
          <w:szCs w:val="24"/>
          <w:u w:val="single"/>
        </w:rPr>
        <w:t>60</w:t>
      </w:r>
      <w:r>
        <w:rPr>
          <w:rFonts w:ascii="宋体" w:hAnsi="宋体"/>
          <w:szCs w:val="24"/>
          <w:u w:val="single"/>
        </w:rPr>
        <w:t xml:space="preserve"> </w:t>
      </w:r>
      <w:r>
        <w:rPr>
          <w:rFonts w:ascii="宋体" w:hAnsi="宋体"/>
          <w:szCs w:val="24"/>
        </w:rPr>
        <w:t>天投标</w:t>
      </w:r>
      <w:r>
        <w:rPr>
          <w:rFonts w:hint="eastAsia" w:ascii="宋体" w:hAnsi="宋体"/>
          <w:szCs w:val="24"/>
        </w:rPr>
        <w:t>文件</w:t>
      </w:r>
      <w:r>
        <w:rPr>
          <w:rFonts w:ascii="宋体" w:hAnsi="宋体"/>
          <w:szCs w:val="24"/>
        </w:rPr>
        <w:t>应保持有效。有效期</w:t>
      </w:r>
      <w:r>
        <w:rPr>
          <w:rFonts w:hint="eastAsia" w:ascii="宋体" w:hAnsi="宋体"/>
          <w:szCs w:val="24"/>
        </w:rPr>
        <w:t>不足</w:t>
      </w:r>
      <w:r>
        <w:rPr>
          <w:rFonts w:ascii="宋体" w:hAnsi="宋体"/>
          <w:szCs w:val="24"/>
        </w:rPr>
        <w:t>的投标</w:t>
      </w:r>
      <w:r>
        <w:rPr>
          <w:rFonts w:hint="eastAsia" w:ascii="宋体" w:hAnsi="宋体"/>
          <w:szCs w:val="24"/>
        </w:rPr>
        <w:t>文件</w:t>
      </w:r>
      <w:r>
        <w:rPr>
          <w:rFonts w:ascii="宋体" w:hAnsi="宋体"/>
          <w:szCs w:val="24"/>
        </w:rPr>
        <w:t>将被拒绝。</w:t>
      </w:r>
    </w:p>
    <w:p>
      <w:pPr>
        <w:pStyle w:val="13"/>
        <w:widowControl w:val="0"/>
        <w:numPr>
          <w:ilvl w:val="0"/>
          <w:numId w:val="0"/>
        </w:numPr>
        <w:snapToGrid w:val="0"/>
        <w:spacing w:afterLines="0"/>
        <w:ind w:firstLine="480" w:firstLineChars="200"/>
        <w:rPr>
          <w:rFonts w:hint="eastAsia" w:ascii="宋体" w:hAnsi="宋体" w:cs="宋体"/>
        </w:rPr>
      </w:pPr>
      <w:r>
        <w:rPr>
          <w:rFonts w:hint="eastAsia" w:ascii="宋体" w:hAnsi="宋体" w:cs="宋体"/>
        </w:rPr>
        <w:t>2.在特殊情况下，招标人可与投标人协商延长投标书的有效期，这种要求和答复均以书面形式进行。</w:t>
      </w:r>
    </w:p>
    <w:p>
      <w:pPr>
        <w:pStyle w:val="13"/>
        <w:widowControl w:val="0"/>
        <w:numPr>
          <w:ilvl w:val="0"/>
          <w:numId w:val="0"/>
        </w:numPr>
        <w:snapToGrid w:val="0"/>
        <w:spacing w:afterLines="0"/>
        <w:ind w:firstLine="480" w:firstLineChars="200"/>
        <w:rPr>
          <w:rFonts w:hint="eastAsia" w:ascii="宋体" w:hAnsi="宋体" w:cs="宋体"/>
        </w:rPr>
      </w:pPr>
      <w:r>
        <w:rPr>
          <w:rFonts w:hint="eastAsia" w:ascii="宋体" w:hAnsi="宋体" w:cs="宋体"/>
        </w:rPr>
        <w:t xml:space="preserve">3.投标人可拒绝接受延期要求而不会导致投标保证金被没收。同意延长有效期的投标人需要相应延长投标保证金的有效期，但不能修改投标文件。 </w:t>
      </w:r>
    </w:p>
    <w:p>
      <w:pPr>
        <w:pStyle w:val="13"/>
        <w:widowControl w:val="0"/>
        <w:numPr>
          <w:ilvl w:val="0"/>
          <w:numId w:val="0"/>
        </w:numPr>
        <w:snapToGrid w:val="0"/>
        <w:spacing w:afterLines="0"/>
        <w:ind w:firstLine="480" w:firstLineChars="200"/>
        <w:rPr>
          <w:rFonts w:ascii="宋体" w:hAnsi="宋体" w:cs="宋体"/>
        </w:rPr>
      </w:pPr>
      <w:r>
        <w:rPr>
          <w:rFonts w:hint="eastAsia" w:ascii="宋体" w:hAnsi="宋体" w:cs="宋体"/>
        </w:rPr>
        <w:t>4.中标人的投标文件自开标之日起至合同履行完毕止均应保持有效。</w:t>
      </w:r>
    </w:p>
    <w:p>
      <w:pPr>
        <w:pStyle w:val="13"/>
        <w:widowControl w:val="0"/>
        <w:numPr>
          <w:ilvl w:val="0"/>
          <w:numId w:val="0"/>
        </w:numPr>
        <w:snapToGrid w:val="0"/>
        <w:spacing w:afterLines="0"/>
        <w:ind w:firstLine="482" w:firstLineChars="200"/>
        <w:rPr>
          <w:rFonts w:hint="eastAsia" w:ascii="宋体" w:hAnsi="宋体" w:cs="宋体"/>
        </w:rPr>
      </w:pPr>
      <w:r>
        <w:rPr>
          <w:rFonts w:hint="eastAsia" w:ascii="宋体" w:hAnsi="宋体"/>
          <w:b/>
        </w:rPr>
        <w:t>（五）投标文件的签署和份数</w:t>
      </w:r>
    </w:p>
    <w:p>
      <w:pPr>
        <w:snapToGrid w:val="0"/>
        <w:ind w:firstLine="480" w:firstLineChars="200"/>
        <w:jc w:val="left"/>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投标人应</w:t>
      </w:r>
      <w:r>
        <w:rPr>
          <w:rFonts w:hint="eastAsia" w:ascii="宋体" w:hAnsi="宋体"/>
          <w:sz w:val="24"/>
        </w:rPr>
        <w:t>按</w:t>
      </w:r>
      <w:r>
        <w:rPr>
          <w:rFonts w:ascii="宋体" w:hAnsi="宋体"/>
          <w:sz w:val="24"/>
        </w:rPr>
        <w:t>本招标文件规定的格式和顺序编制、装订投标文件</w:t>
      </w:r>
      <w:r>
        <w:rPr>
          <w:rFonts w:hint="eastAsia" w:ascii="宋体" w:hAnsi="宋体"/>
          <w:sz w:val="24"/>
        </w:rPr>
        <w:t>并标注页码</w:t>
      </w:r>
      <w:r>
        <w:rPr>
          <w:rFonts w:ascii="宋体" w:hAnsi="宋体"/>
          <w:sz w:val="24"/>
        </w:rPr>
        <w:t>，投标文件内容不完整、编排混乱导致投标文件被误读、漏读或者查找不到相关内容的，是投标人的责任。</w:t>
      </w:r>
    </w:p>
    <w:p>
      <w:pPr>
        <w:snapToGrid w:val="0"/>
        <w:ind w:firstLine="480" w:firstLineChars="200"/>
        <w:jc w:val="left"/>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投标人应按</w:t>
      </w:r>
      <w:r>
        <w:rPr>
          <w:rFonts w:hint="eastAsia" w:ascii="宋体" w:hAnsi="宋体"/>
          <w:sz w:val="24"/>
        </w:rPr>
        <w:t>技术商务标、投标报价文件</w:t>
      </w:r>
      <w:r>
        <w:rPr>
          <w:rFonts w:hint="eastAsia" w:ascii="宋体" w:hAnsi="宋体"/>
          <w:b/>
          <w:sz w:val="24"/>
        </w:rPr>
        <w:t>正本各1份，副本各</w:t>
      </w:r>
      <w:r>
        <w:rPr>
          <w:rFonts w:ascii="宋体" w:hAnsi="宋体"/>
          <w:b/>
          <w:sz w:val="24"/>
          <w:u w:val="single"/>
        </w:rPr>
        <w:t xml:space="preserve"> </w:t>
      </w:r>
      <w:r>
        <w:rPr>
          <w:rFonts w:hint="eastAsia" w:ascii="宋体" w:hAnsi="宋体"/>
          <w:b/>
          <w:sz w:val="24"/>
          <w:u w:val="single"/>
        </w:rPr>
        <w:t>4</w:t>
      </w:r>
      <w:r>
        <w:rPr>
          <w:rFonts w:ascii="宋体" w:hAnsi="宋体"/>
          <w:b/>
          <w:sz w:val="24"/>
          <w:u w:val="single"/>
        </w:rPr>
        <w:t xml:space="preserve"> </w:t>
      </w:r>
      <w:r>
        <w:rPr>
          <w:rFonts w:hint="eastAsia" w:ascii="宋体" w:hAnsi="宋体"/>
          <w:b/>
          <w:sz w:val="24"/>
        </w:rPr>
        <w:t>份，</w:t>
      </w:r>
      <w:r>
        <w:rPr>
          <w:rFonts w:hint="eastAsia" w:ascii="宋体" w:hAnsi="宋体" w:cs="宋体"/>
          <w:b/>
          <w:sz w:val="24"/>
          <w:lang w:bidi="ar"/>
        </w:rPr>
        <w:t>资格审查资料</w:t>
      </w:r>
      <w:r>
        <w:rPr>
          <w:rFonts w:hint="eastAsia" w:ascii="宋体" w:hAnsi="宋体" w:cs="宋体"/>
          <w:b/>
          <w:sz w:val="24"/>
          <w:u w:val="single"/>
          <w:lang w:bidi="ar"/>
        </w:rPr>
        <w:t>1</w:t>
      </w:r>
      <w:r>
        <w:rPr>
          <w:rFonts w:hint="eastAsia" w:ascii="宋体" w:hAnsi="宋体" w:cs="宋体"/>
          <w:b/>
          <w:sz w:val="24"/>
          <w:lang w:bidi="ar"/>
        </w:rPr>
        <w:t>份</w:t>
      </w:r>
      <w:r>
        <w:rPr>
          <w:rFonts w:hint="eastAsia" w:ascii="宋体" w:hAnsi="宋体"/>
          <w:sz w:val="24"/>
        </w:rPr>
        <w:t>分别编制并单独装订成册，投标文件的封面应注明“正本”、“副本”字样</w:t>
      </w:r>
      <w:r>
        <w:rPr>
          <w:rFonts w:hint="eastAsia" w:ascii="宋体" w:hAnsi="宋体" w:cs="宋体"/>
          <w:b/>
          <w:sz w:val="24"/>
          <w:lang w:bidi="ar"/>
        </w:rPr>
        <w:t>(资格审查资料无需注明正副本)</w:t>
      </w:r>
      <w:r>
        <w:rPr>
          <w:rFonts w:hint="eastAsia" w:ascii="宋体" w:hAnsi="宋体"/>
          <w:sz w:val="24"/>
        </w:rPr>
        <w:t>。活页装订的投标文件将被拒绝。</w:t>
      </w:r>
    </w:p>
    <w:p>
      <w:pPr>
        <w:snapToGrid w:val="0"/>
        <w:ind w:firstLine="480" w:firstLineChars="200"/>
        <w:jc w:val="left"/>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投标文件的正本需打印或用不褪色的墨水填写，投标文件正本除本</w:t>
      </w:r>
      <w:r>
        <w:rPr>
          <w:rFonts w:hint="eastAsia" w:ascii="宋体" w:hAnsi="宋体"/>
          <w:sz w:val="24"/>
        </w:rPr>
        <w:t>《</w:t>
      </w:r>
      <w:r>
        <w:rPr>
          <w:rFonts w:ascii="宋体" w:hAnsi="宋体"/>
          <w:sz w:val="24"/>
        </w:rPr>
        <w:t>投标人须知</w:t>
      </w:r>
      <w:r>
        <w:rPr>
          <w:rFonts w:hint="eastAsia" w:ascii="宋体" w:hAnsi="宋体"/>
          <w:sz w:val="24"/>
        </w:rPr>
        <w:t>》</w:t>
      </w:r>
      <w:r>
        <w:rPr>
          <w:rFonts w:ascii="宋体" w:hAnsi="宋体"/>
          <w:sz w:val="24"/>
        </w:rPr>
        <w:t>中规定的可提供复印件外均须提供原件。副本为正本的复印件。</w:t>
      </w:r>
    </w:p>
    <w:p>
      <w:pPr>
        <w:snapToGrid w:val="0"/>
        <w:ind w:firstLine="480" w:firstLineChars="200"/>
        <w:jc w:val="left"/>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投标文件须由投标人在规定位置盖章并由法定代表人或法定代表</w:t>
      </w:r>
      <w:r>
        <w:rPr>
          <w:rFonts w:hint="eastAsia" w:ascii="宋体" w:hAnsi="宋体"/>
          <w:sz w:val="24"/>
        </w:rPr>
        <w:t>人的</w:t>
      </w:r>
      <w:r>
        <w:rPr>
          <w:rFonts w:ascii="宋体" w:hAnsi="宋体"/>
          <w:sz w:val="24"/>
        </w:rPr>
        <w:t>授权</w:t>
      </w:r>
      <w:r>
        <w:rPr>
          <w:rFonts w:hint="eastAsia" w:ascii="宋体" w:hAnsi="宋体"/>
          <w:sz w:val="24"/>
        </w:rPr>
        <w:t>委托</w:t>
      </w:r>
      <w:r>
        <w:rPr>
          <w:rFonts w:ascii="宋体" w:hAnsi="宋体"/>
          <w:sz w:val="24"/>
        </w:rPr>
        <w:t>人签署，投标人应写全称。</w:t>
      </w:r>
    </w:p>
    <w:p>
      <w:pPr>
        <w:snapToGrid w:val="0"/>
        <w:ind w:firstLine="480" w:firstLineChars="200"/>
        <w:jc w:val="left"/>
        <w:rPr>
          <w:rFonts w:ascii="宋体" w:hAnsi="宋体"/>
          <w:sz w:val="24"/>
          <w:szCs w:val="20"/>
        </w:rPr>
      </w:pPr>
      <w:r>
        <w:rPr>
          <w:rFonts w:ascii="宋体" w:hAnsi="宋体"/>
          <w:sz w:val="24"/>
        </w:rPr>
        <w:t>5</w:t>
      </w:r>
      <w:r>
        <w:rPr>
          <w:rFonts w:hint="eastAsia" w:ascii="宋体" w:hAnsi="宋体"/>
          <w:sz w:val="24"/>
        </w:rPr>
        <w:t>.</w:t>
      </w:r>
      <w:r>
        <w:rPr>
          <w:rFonts w:ascii="宋体" w:hAnsi="宋体"/>
          <w:sz w:val="24"/>
        </w:rPr>
        <w:t>投标文件不得涂改，若有修改错漏处，须加盖单位公章或者法定代表人或授权委托人签字或盖章。投标文件因字迹潦草或表达不清所引起的后果由投标人负责。</w:t>
      </w:r>
    </w:p>
    <w:p>
      <w:pPr>
        <w:snapToGrid w:val="0"/>
        <w:spacing w:before="120" w:beforeLines="50"/>
        <w:ind w:firstLine="472" w:firstLineChars="196"/>
        <w:jc w:val="left"/>
        <w:outlineLvl w:val="0"/>
        <w:rPr>
          <w:rFonts w:hint="eastAsia" w:ascii="宋体" w:hAnsi="宋体"/>
          <w:b/>
          <w:sz w:val="24"/>
        </w:rPr>
      </w:pPr>
      <w:r>
        <w:rPr>
          <w:rFonts w:hint="eastAsia" w:ascii="宋体" w:hAnsi="宋体"/>
          <w:b/>
          <w:sz w:val="24"/>
        </w:rPr>
        <w:t>（六）投标文件的包装、递交、修改和撤回</w:t>
      </w:r>
    </w:p>
    <w:p>
      <w:pPr>
        <w:snapToGrid w:val="0"/>
        <w:ind w:firstLine="420"/>
        <w:jc w:val="left"/>
        <w:rPr>
          <w:rFonts w:hint="eastAsia" w:ascii="宋体" w:hAnsi="宋体"/>
          <w:sz w:val="24"/>
        </w:rPr>
      </w:pPr>
      <w:r>
        <w:rPr>
          <w:rFonts w:hint="eastAsia" w:ascii="宋体" w:hAnsi="宋体"/>
          <w:sz w:val="24"/>
        </w:rPr>
        <w:t>1.投标人应按</w:t>
      </w:r>
      <w:r>
        <w:rPr>
          <w:rFonts w:hint="eastAsia" w:ascii="宋体" w:hAnsi="宋体" w:cs="宋体"/>
          <w:b/>
          <w:sz w:val="24"/>
          <w:lang w:bidi="ar"/>
        </w:rPr>
        <w:t>资格审查资料、</w:t>
      </w:r>
      <w:r>
        <w:rPr>
          <w:rFonts w:hint="eastAsia" w:ascii="宋体" w:hAnsi="宋体"/>
          <w:sz w:val="24"/>
        </w:rPr>
        <w:t>技术商务文件、报价文件三部分密封封装投标文件，其中《开标一览表》（格式见附件）应单独用小信封密封。投标文件的包装封面上应注明投标人名称、投标人地址、投标文件名称（技术商务文件、报价文件、投标报价一览表等）、投标项目名称、项目编号、标项及“开标时启封”字样，并加盖投标人公章。</w:t>
      </w:r>
      <w:r>
        <w:rPr>
          <w:rFonts w:hint="eastAsia" w:ascii="宋体" w:hAnsi="宋体" w:cs="宋体"/>
          <w:b/>
          <w:sz w:val="24"/>
          <w:lang w:bidi="ar"/>
        </w:rPr>
        <w:t>（</w:t>
      </w:r>
      <w:r>
        <w:rPr>
          <w:rFonts w:hint="eastAsia" w:ascii="宋体" w:hAnsi="宋体" w:cs="宋体"/>
          <w:b/>
          <w:sz w:val="24"/>
          <w:u w:val="single"/>
          <w:lang w:bidi="ar"/>
        </w:rPr>
        <w:t>资格审查资料、技术商务标内不能有商务报价出现，否则作无效标处理）</w:t>
      </w:r>
      <w:r>
        <w:rPr>
          <w:rFonts w:hint="eastAsia" w:ascii="宋体" w:hAnsi="宋体" w:cs="宋体"/>
          <w:b/>
          <w:sz w:val="24"/>
          <w:lang w:bidi="ar"/>
        </w:rPr>
        <w:t>。</w:t>
      </w:r>
    </w:p>
    <w:p>
      <w:pPr>
        <w:snapToGrid w:val="0"/>
        <w:ind w:firstLine="420"/>
        <w:jc w:val="left"/>
        <w:rPr>
          <w:rFonts w:hint="eastAsia" w:ascii="宋体" w:hAnsi="宋体"/>
          <w:sz w:val="24"/>
        </w:rPr>
      </w:pPr>
      <w:r>
        <w:rPr>
          <w:rFonts w:hint="eastAsia" w:ascii="宋体" w:hAnsi="宋体"/>
          <w:sz w:val="24"/>
        </w:rPr>
        <w:t>2.未按规定密封或标记的投标文件将被拒绝，由此造成投标文件被误投或提前拆封的风险由投标人承担。</w:t>
      </w:r>
    </w:p>
    <w:p>
      <w:pPr>
        <w:snapToGrid w:val="0"/>
        <w:ind w:firstLine="420"/>
        <w:jc w:val="left"/>
        <w:rPr>
          <w:rFonts w:hint="eastAsia" w:ascii="宋体" w:hAnsi="宋体"/>
          <w:sz w:val="24"/>
        </w:rPr>
      </w:pPr>
      <w:r>
        <w:rPr>
          <w:rFonts w:hint="eastAsia" w:ascii="宋体" w:hAnsi="宋体"/>
          <w:sz w:val="24"/>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snapToGrid w:val="0"/>
        <w:spacing w:before="120" w:beforeLines="50"/>
        <w:ind w:firstLine="472" w:firstLineChars="196"/>
        <w:jc w:val="left"/>
        <w:outlineLvl w:val="0"/>
        <w:rPr>
          <w:rFonts w:hint="eastAsia" w:ascii="宋体" w:hAnsi="宋体"/>
          <w:b/>
          <w:sz w:val="24"/>
        </w:rPr>
      </w:pPr>
      <w:r>
        <w:rPr>
          <w:rFonts w:hint="eastAsia" w:ascii="宋体" w:hAnsi="宋体"/>
          <w:b/>
          <w:sz w:val="24"/>
        </w:rPr>
        <w:t>（七）投标无效的情形</w:t>
      </w:r>
    </w:p>
    <w:p>
      <w:pPr>
        <w:snapToGrid w:val="0"/>
        <w:ind w:firstLine="480" w:firstLineChars="200"/>
        <w:rPr>
          <w:rFonts w:ascii="宋体" w:hAnsi="宋体"/>
          <w:bCs/>
          <w:sz w:val="24"/>
          <w:szCs w:val="20"/>
        </w:rPr>
      </w:pPr>
      <w:r>
        <w:rPr>
          <w:rFonts w:hint="eastAsia" w:ascii="宋体" w:hAnsi="宋体"/>
          <w:bCs/>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ind w:firstLine="472" w:firstLineChars="196"/>
        <w:rPr>
          <w:rFonts w:ascii="宋体" w:hAnsi="宋体"/>
          <w:b/>
          <w:bCs/>
          <w:sz w:val="24"/>
          <w:szCs w:val="20"/>
        </w:rPr>
      </w:pPr>
      <w:r>
        <w:rPr>
          <w:rFonts w:ascii="宋体" w:hAnsi="宋体"/>
          <w:b/>
          <w:bCs/>
          <w:sz w:val="24"/>
        </w:rPr>
        <w:t>1</w:t>
      </w:r>
      <w:r>
        <w:rPr>
          <w:rFonts w:hint="eastAsia" w:ascii="宋体" w:hAnsi="宋体"/>
          <w:b/>
          <w:bCs/>
          <w:sz w:val="24"/>
        </w:rPr>
        <w:t>.</w:t>
      </w:r>
      <w:r>
        <w:rPr>
          <w:rFonts w:ascii="宋体" w:hAnsi="宋体"/>
          <w:b/>
          <w:bCs/>
          <w:sz w:val="24"/>
        </w:rPr>
        <w:t>在符合性审查和商务评审时，如发现下列情形之一的，投标文件将被视为无效：</w:t>
      </w:r>
    </w:p>
    <w:p>
      <w:pPr>
        <w:snapToGrid w:val="0"/>
        <w:ind w:firstLine="472" w:firstLineChars="196"/>
        <w:rPr>
          <w:rFonts w:hint="eastAsia" w:ascii="宋体" w:hAnsi="宋体"/>
          <w:sz w:val="24"/>
          <w:szCs w:val="20"/>
        </w:rPr>
      </w:pPr>
      <w:r>
        <w:rPr>
          <w:rFonts w:hint="eastAsia" w:ascii="宋体" w:hAnsi="宋体"/>
          <w:b/>
          <w:sz w:val="24"/>
        </w:rPr>
        <w:t>（</w:t>
      </w:r>
      <w:r>
        <w:rPr>
          <w:rFonts w:hint="eastAsia" w:ascii="宋体" w:hAnsi="宋体"/>
          <w:sz w:val="24"/>
        </w:rPr>
        <w:t>1</w:t>
      </w:r>
      <w:r>
        <w:rPr>
          <w:rFonts w:ascii="宋体" w:hAnsi="宋体"/>
          <w:sz w:val="24"/>
        </w:rPr>
        <w:t>）超出经营范围投标的</w:t>
      </w:r>
      <w:r>
        <w:rPr>
          <w:rFonts w:hint="eastAsia" w:ascii="宋体" w:hAnsi="宋体"/>
          <w:sz w:val="24"/>
        </w:rPr>
        <w:t>；</w:t>
      </w:r>
    </w:p>
    <w:p>
      <w:pPr>
        <w:snapToGrid w:val="0"/>
        <w:ind w:firstLine="472" w:firstLineChars="196"/>
        <w:rPr>
          <w:rFonts w:ascii="宋体" w:hAnsi="宋体"/>
          <w:sz w:val="24"/>
          <w:szCs w:val="20"/>
        </w:rPr>
      </w:pPr>
      <w:r>
        <w:rPr>
          <w:rFonts w:hint="eastAsia" w:ascii="宋体" w:hAnsi="宋体"/>
          <w:b/>
          <w:sz w:val="24"/>
        </w:rPr>
        <w:t>（</w:t>
      </w:r>
      <w:r>
        <w:rPr>
          <w:rFonts w:hint="eastAsia" w:ascii="宋体" w:hAnsi="宋体"/>
          <w:sz w:val="24"/>
        </w:rPr>
        <w:t>2</w:t>
      </w:r>
      <w:r>
        <w:rPr>
          <w:rFonts w:ascii="宋体" w:hAnsi="宋体"/>
          <w:sz w:val="24"/>
        </w:rPr>
        <w:t>）资格</w:t>
      </w:r>
      <w:r>
        <w:rPr>
          <w:rFonts w:hint="eastAsia" w:ascii="宋体" w:hAnsi="宋体"/>
          <w:sz w:val="24"/>
          <w:lang w:eastAsia="zh-CN"/>
        </w:rPr>
        <w:t>文件材料</w:t>
      </w:r>
      <w:r>
        <w:rPr>
          <w:rFonts w:ascii="宋体" w:hAnsi="宋体"/>
          <w:sz w:val="24"/>
        </w:rPr>
        <w:t>文件不全的，或者不符合招标文件标明的资格要求的</w:t>
      </w:r>
    </w:p>
    <w:p>
      <w:pPr>
        <w:snapToGrid w:val="0"/>
        <w:ind w:firstLine="472" w:firstLineChars="196"/>
        <w:rPr>
          <w:rFonts w:ascii="宋体" w:hAnsi="宋体"/>
          <w:bCs/>
          <w:kern w:val="0"/>
          <w:sz w:val="24"/>
          <w:szCs w:val="20"/>
        </w:rPr>
      </w:pPr>
      <w:r>
        <w:rPr>
          <w:rFonts w:hint="eastAsia" w:ascii="宋体" w:hAnsi="宋体"/>
          <w:b/>
          <w:sz w:val="24"/>
        </w:rPr>
        <w:t>（</w:t>
      </w:r>
      <w:r>
        <w:rPr>
          <w:rFonts w:hint="eastAsia" w:ascii="宋体" w:hAnsi="宋体"/>
          <w:sz w:val="24"/>
        </w:rPr>
        <w:t>3</w:t>
      </w:r>
      <w:r>
        <w:rPr>
          <w:rFonts w:ascii="宋体" w:hAnsi="宋体"/>
          <w:sz w:val="24"/>
        </w:rPr>
        <w:t>）投标文件无法定代表人签字,或未</w:t>
      </w:r>
      <w:r>
        <w:rPr>
          <w:rFonts w:hint="eastAsia" w:ascii="宋体" w:hAnsi="宋体"/>
          <w:bCs/>
          <w:kern w:val="0"/>
          <w:sz w:val="24"/>
        </w:rPr>
        <w:t>提供法定代表人授权委托书、投标声明书或者填写项目不齐全的；</w:t>
      </w:r>
    </w:p>
    <w:p>
      <w:pPr>
        <w:snapToGrid w:val="0"/>
        <w:ind w:firstLine="472" w:firstLineChars="196"/>
        <w:rPr>
          <w:rFonts w:ascii="宋体" w:hAnsi="宋体"/>
          <w:sz w:val="24"/>
          <w:szCs w:val="20"/>
        </w:rPr>
      </w:pPr>
      <w:r>
        <w:rPr>
          <w:rFonts w:hint="eastAsia" w:ascii="宋体" w:hAnsi="宋体"/>
          <w:b/>
          <w:sz w:val="24"/>
        </w:rPr>
        <w:t>（</w:t>
      </w:r>
      <w:r>
        <w:rPr>
          <w:rFonts w:hint="eastAsia" w:ascii="宋体" w:hAnsi="宋体"/>
          <w:sz w:val="24"/>
        </w:rPr>
        <w:t>4</w:t>
      </w:r>
      <w:r>
        <w:rPr>
          <w:rFonts w:ascii="宋体" w:hAnsi="宋体"/>
          <w:sz w:val="24"/>
        </w:rPr>
        <w:t>）</w:t>
      </w:r>
      <w:r>
        <w:rPr>
          <w:rFonts w:hint="eastAsia" w:ascii="宋体" w:hAnsi="宋体"/>
          <w:sz w:val="24"/>
        </w:rPr>
        <w:t>投标代表人未能出具身份</w:t>
      </w:r>
      <w:r>
        <w:rPr>
          <w:rFonts w:hint="eastAsia" w:ascii="宋体" w:hAnsi="宋体"/>
          <w:sz w:val="24"/>
          <w:lang w:eastAsia="zh-CN"/>
        </w:rPr>
        <w:t>文件材料</w:t>
      </w:r>
      <w:r>
        <w:rPr>
          <w:rFonts w:hint="eastAsia" w:ascii="宋体" w:hAnsi="宋体"/>
          <w:sz w:val="24"/>
        </w:rPr>
        <w:t>或与法定代表人授权委托人身份不符的；</w:t>
      </w:r>
      <w:r>
        <w:rPr>
          <w:rFonts w:ascii="宋体" w:hAnsi="宋体"/>
          <w:sz w:val="24"/>
        </w:rPr>
        <w:t xml:space="preserve"> </w:t>
      </w:r>
    </w:p>
    <w:p>
      <w:pPr>
        <w:pStyle w:val="21"/>
        <w:snapToGrid w:val="0"/>
        <w:spacing w:line="240" w:lineRule="auto"/>
        <w:ind w:firstLine="457" w:firstLineChars="196"/>
        <w:rPr>
          <w:rFonts w:hAnsi="宋体"/>
          <w:snapToGrid w:val="0"/>
          <w:sz w:val="24"/>
          <w:szCs w:val="24"/>
        </w:rPr>
      </w:pPr>
      <w:r>
        <w:rPr>
          <w:rFonts w:hAnsi="宋体"/>
          <w:b/>
          <w:sz w:val="24"/>
        </w:rPr>
        <w:t>（</w:t>
      </w:r>
      <w:r>
        <w:rPr>
          <w:rFonts w:hint="eastAsia" w:hAnsi="宋体"/>
          <w:snapToGrid w:val="0"/>
          <w:sz w:val="24"/>
          <w:szCs w:val="24"/>
        </w:rPr>
        <w:t>5</w:t>
      </w:r>
      <w:r>
        <w:rPr>
          <w:rFonts w:hAnsi="宋体"/>
          <w:snapToGrid w:val="0"/>
          <w:sz w:val="24"/>
          <w:szCs w:val="24"/>
        </w:rPr>
        <w:t>）</w:t>
      </w:r>
      <w:r>
        <w:rPr>
          <w:rFonts w:hAnsi="宋体"/>
          <w:sz w:val="24"/>
        </w:rPr>
        <w:t>投标文件格式不规范、项目不齐全或者内容虚假的；</w:t>
      </w:r>
    </w:p>
    <w:p>
      <w:pPr>
        <w:pStyle w:val="21"/>
        <w:snapToGrid w:val="0"/>
        <w:spacing w:line="240" w:lineRule="auto"/>
        <w:ind w:firstLine="457" w:firstLineChars="196"/>
        <w:rPr>
          <w:rFonts w:hAnsi="宋体"/>
          <w:snapToGrid w:val="0"/>
          <w:sz w:val="24"/>
          <w:szCs w:val="24"/>
        </w:rPr>
      </w:pPr>
      <w:r>
        <w:rPr>
          <w:rFonts w:hAnsi="宋体"/>
          <w:b/>
          <w:sz w:val="24"/>
        </w:rPr>
        <w:t>（</w:t>
      </w:r>
      <w:r>
        <w:rPr>
          <w:rFonts w:hint="eastAsia" w:hAnsi="宋体"/>
          <w:sz w:val="24"/>
        </w:rPr>
        <w:t>6</w:t>
      </w:r>
      <w:r>
        <w:rPr>
          <w:rFonts w:hAnsi="宋体"/>
          <w:sz w:val="24"/>
        </w:rPr>
        <w:t>）投标文件的实质性内容未使用中文表述、意思表述不明确、前后矛盾或者使用计量单位不符合招标文件要求的（经评标委员会认定</w:t>
      </w:r>
      <w:r>
        <w:rPr>
          <w:rFonts w:hint="eastAsia" w:hAnsi="宋体"/>
          <w:sz w:val="24"/>
        </w:rPr>
        <w:t>并</w:t>
      </w:r>
      <w:r>
        <w:rPr>
          <w:rFonts w:hAnsi="宋体"/>
          <w:sz w:val="24"/>
        </w:rPr>
        <w:t>允许其当场更正的笔误除外）</w:t>
      </w:r>
    </w:p>
    <w:p>
      <w:pPr>
        <w:pStyle w:val="21"/>
        <w:snapToGrid w:val="0"/>
        <w:spacing w:line="240" w:lineRule="auto"/>
        <w:ind w:firstLine="457" w:firstLineChars="196"/>
        <w:rPr>
          <w:rFonts w:hAnsi="宋体"/>
          <w:snapToGrid w:val="0"/>
          <w:sz w:val="24"/>
          <w:szCs w:val="24"/>
        </w:rPr>
      </w:pPr>
      <w:r>
        <w:rPr>
          <w:rFonts w:hAnsi="宋体"/>
          <w:b/>
          <w:sz w:val="24"/>
        </w:rPr>
        <w:t>（</w:t>
      </w:r>
      <w:r>
        <w:rPr>
          <w:rFonts w:hint="eastAsia" w:hAnsi="宋体"/>
          <w:snapToGrid w:val="0"/>
          <w:sz w:val="24"/>
          <w:szCs w:val="24"/>
        </w:rPr>
        <w:t>7</w:t>
      </w:r>
      <w:r>
        <w:rPr>
          <w:rFonts w:hAnsi="宋体"/>
          <w:snapToGrid w:val="0"/>
          <w:sz w:val="24"/>
          <w:szCs w:val="24"/>
        </w:rPr>
        <w:t>）投标有效期、交货时间、质保期等商务条款不能满足招标文件要求的；</w:t>
      </w:r>
    </w:p>
    <w:p>
      <w:pPr>
        <w:pStyle w:val="21"/>
        <w:snapToGrid w:val="0"/>
        <w:spacing w:line="240" w:lineRule="auto"/>
        <w:ind w:firstLine="457" w:firstLineChars="196"/>
        <w:rPr>
          <w:rFonts w:hint="eastAsia" w:hAnsi="宋体"/>
          <w:sz w:val="24"/>
        </w:rPr>
      </w:pPr>
      <w:r>
        <w:rPr>
          <w:rFonts w:hAnsi="宋体"/>
          <w:b/>
          <w:sz w:val="24"/>
        </w:rPr>
        <w:t>（</w:t>
      </w:r>
      <w:r>
        <w:rPr>
          <w:rFonts w:hint="eastAsia" w:hAnsi="宋体"/>
          <w:sz w:val="24"/>
        </w:rPr>
        <w:t>8</w:t>
      </w:r>
      <w:r>
        <w:rPr>
          <w:rFonts w:hAnsi="宋体"/>
          <w:sz w:val="24"/>
        </w:rPr>
        <w:t>）</w:t>
      </w:r>
      <w:r>
        <w:rPr>
          <w:rFonts w:hint="eastAsia" w:hAnsi="宋体"/>
          <w:sz w:val="24"/>
        </w:rPr>
        <w:t>未实质性</w:t>
      </w:r>
      <w:r>
        <w:rPr>
          <w:rFonts w:hAnsi="宋体"/>
          <w:sz w:val="24"/>
        </w:rPr>
        <w:t>响应招标文件要求或者投标文件有招标方不能接受的附加条件的</w:t>
      </w:r>
      <w:r>
        <w:rPr>
          <w:rFonts w:hint="eastAsia" w:hAnsi="宋体"/>
          <w:sz w:val="24"/>
        </w:rPr>
        <w:t>。</w:t>
      </w:r>
    </w:p>
    <w:p>
      <w:pPr>
        <w:pStyle w:val="21"/>
        <w:snapToGrid w:val="0"/>
        <w:spacing w:line="240" w:lineRule="auto"/>
        <w:ind w:firstLine="454" w:firstLineChars="196"/>
        <w:rPr>
          <w:rFonts w:hint="eastAsia" w:hAnsi="宋体"/>
          <w:sz w:val="24"/>
        </w:rPr>
      </w:pPr>
      <w:r>
        <w:rPr>
          <w:rFonts w:hint="eastAsia" w:hAnsi="宋体"/>
          <w:sz w:val="24"/>
        </w:rPr>
        <w:t>（9）有下列情形之一的，视为投标人串通投标，其投标无效:</w:t>
      </w:r>
    </w:p>
    <w:p>
      <w:pPr>
        <w:pStyle w:val="21"/>
        <w:snapToGrid w:val="0"/>
        <w:spacing w:line="240" w:lineRule="auto"/>
        <w:ind w:firstLine="454" w:firstLineChars="196"/>
        <w:rPr>
          <w:rFonts w:hint="eastAsia" w:hAnsi="宋体"/>
          <w:sz w:val="24"/>
        </w:rPr>
      </w:pPr>
      <w:r>
        <w:rPr>
          <w:rFonts w:hint="eastAsia" w:hAnsi="宋体"/>
          <w:sz w:val="24"/>
        </w:rPr>
        <w:t>A.不同投标人的投标文件由同一单位或者个人编制；</w:t>
      </w:r>
    </w:p>
    <w:p>
      <w:pPr>
        <w:pStyle w:val="21"/>
        <w:snapToGrid w:val="0"/>
        <w:spacing w:line="240" w:lineRule="auto"/>
        <w:ind w:firstLine="454" w:firstLineChars="196"/>
        <w:rPr>
          <w:rFonts w:hint="eastAsia" w:hAnsi="宋体"/>
          <w:sz w:val="24"/>
        </w:rPr>
      </w:pPr>
      <w:r>
        <w:rPr>
          <w:rFonts w:hint="eastAsia" w:hAnsi="宋体"/>
          <w:sz w:val="24"/>
        </w:rPr>
        <w:t>B.不同投标人委托同一单位或者个人办理投标事宜；</w:t>
      </w:r>
    </w:p>
    <w:p>
      <w:pPr>
        <w:pStyle w:val="21"/>
        <w:snapToGrid w:val="0"/>
        <w:spacing w:line="240" w:lineRule="auto"/>
        <w:ind w:firstLine="454" w:firstLineChars="196"/>
        <w:rPr>
          <w:rFonts w:hint="eastAsia" w:hAnsi="宋体"/>
          <w:sz w:val="24"/>
        </w:rPr>
      </w:pPr>
      <w:r>
        <w:rPr>
          <w:rFonts w:hint="eastAsia" w:hAnsi="宋体"/>
          <w:sz w:val="24"/>
        </w:rPr>
        <w:t>C.不同投标人的投标文件载明的项目管理成员或者联系人员为同一人；</w:t>
      </w:r>
    </w:p>
    <w:p>
      <w:pPr>
        <w:pStyle w:val="21"/>
        <w:snapToGrid w:val="0"/>
        <w:spacing w:line="240" w:lineRule="auto"/>
        <w:ind w:firstLine="454" w:firstLineChars="196"/>
        <w:rPr>
          <w:rFonts w:hint="eastAsia" w:hAnsi="宋体"/>
          <w:sz w:val="24"/>
        </w:rPr>
      </w:pPr>
      <w:r>
        <w:rPr>
          <w:rFonts w:hint="eastAsia" w:hAnsi="宋体"/>
          <w:sz w:val="24"/>
        </w:rPr>
        <w:t>D.不同投标人的投标文件异常一致或者投标报价呈规律性差异；</w:t>
      </w:r>
    </w:p>
    <w:p>
      <w:pPr>
        <w:pStyle w:val="21"/>
        <w:snapToGrid w:val="0"/>
        <w:spacing w:line="240" w:lineRule="auto"/>
        <w:ind w:firstLine="454" w:firstLineChars="196"/>
        <w:rPr>
          <w:rFonts w:hint="eastAsia" w:hAnsi="宋体"/>
          <w:sz w:val="24"/>
        </w:rPr>
      </w:pPr>
      <w:r>
        <w:rPr>
          <w:rFonts w:hint="eastAsia" w:hAnsi="宋体"/>
          <w:sz w:val="24"/>
        </w:rPr>
        <w:t>E.不同投标人的投标文件相互混装；</w:t>
      </w:r>
    </w:p>
    <w:p>
      <w:pPr>
        <w:pStyle w:val="21"/>
        <w:snapToGrid w:val="0"/>
        <w:spacing w:line="240" w:lineRule="auto"/>
        <w:ind w:firstLine="454" w:firstLineChars="196"/>
        <w:rPr>
          <w:rFonts w:hint="eastAsia" w:hAnsi="宋体"/>
          <w:sz w:val="24"/>
        </w:rPr>
      </w:pPr>
      <w:r>
        <w:rPr>
          <w:rFonts w:hint="eastAsia" w:hAnsi="宋体"/>
          <w:sz w:val="24"/>
        </w:rPr>
        <w:t>F.不同投标人的投标保证金从同一单位或者个人的账户转出。</w:t>
      </w:r>
    </w:p>
    <w:p>
      <w:pPr>
        <w:pStyle w:val="21"/>
        <w:snapToGrid w:val="0"/>
        <w:spacing w:line="240" w:lineRule="auto"/>
        <w:ind w:firstLine="454" w:firstLineChars="196"/>
        <w:rPr>
          <w:rFonts w:hint="eastAsia" w:hAnsi="宋体"/>
          <w:sz w:val="24"/>
        </w:rPr>
      </w:pPr>
      <w:r>
        <w:rPr>
          <w:rFonts w:hint="eastAsia" w:hAnsi="宋体"/>
          <w:sz w:val="24"/>
        </w:rPr>
        <w:t>（10）本项目投标截止之日前三年内，相关主体在“信用中国”网站(</w:t>
      </w:r>
      <w:r>
        <w:rPr>
          <w:rFonts w:hint="eastAsia" w:hAnsi="宋体"/>
          <w:sz w:val="24"/>
        </w:rPr>
        <w:fldChar w:fldCharType="begin"/>
      </w:r>
      <w:r>
        <w:rPr>
          <w:rFonts w:hint="eastAsia" w:hAnsi="宋体"/>
          <w:sz w:val="24"/>
        </w:rPr>
        <w:instrText xml:space="preserve"> HYPERLINK "http://www.creditchina.gov.cn" </w:instrText>
      </w:r>
      <w:r>
        <w:rPr>
          <w:rFonts w:hint="eastAsia" w:hAnsi="宋体"/>
          <w:sz w:val="24"/>
        </w:rPr>
        <w:fldChar w:fldCharType="separate"/>
      </w:r>
      <w:r>
        <w:rPr>
          <w:rFonts w:hint="eastAsia" w:hAnsi="宋体"/>
          <w:sz w:val="24"/>
        </w:rPr>
        <w:t>www.creditchina.gov.cn</w:t>
      </w:r>
      <w:r>
        <w:rPr>
          <w:rFonts w:hint="eastAsia" w:hAnsi="宋体"/>
          <w:sz w:val="24"/>
        </w:rPr>
        <w:fldChar w:fldCharType="end"/>
      </w:r>
      <w:r>
        <w:rPr>
          <w:rFonts w:hint="eastAsia" w:hAnsi="宋体"/>
          <w:sz w:val="24"/>
        </w:rPr>
        <w:t>)、中国政府采购网(</w:t>
      </w:r>
      <w:r>
        <w:rPr>
          <w:rFonts w:hint="eastAsia" w:hAnsi="宋体"/>
          <w:sz w:val="24"/>
        </w:rPr>
        <w:fldChar w:fldCharType="begin"/>
      </w:r>
      <w:r>
        <w:rPr>
          <w:rFonts w:hint="eastAsia" w:hAnsi="宋体"/>
          <w:sz w:val="24"/>
        </w:rPr>
        <w:instrText xml:space="preserve"> HYPERLINK "http://www.ccgp.gov.cn" </w:instrText>
      </w:r>
      <w:r>
        <w:rPr>
          <w:rFonts w:hint="eastAsia" w:hAnsi="宋体"/>
          <w:sz w:val="24"/>
        </w:rPr>
        <w:fldChar w:fldCharType="separate"/>
      </w:r>
      <w:r>
        <w:rPr>
          <w:rFonts w:hint="eastAsia" w:hAnsi="宋体"/>
          <w:sz w:val="24"/>
        </w:rPr>
        <w:t>www.ccgp.gov.cn</w:t>
      </w:r>
      <w:r>
        <w:rPr>
          <w:rFonts w:hint="eastAsia" w:hAnsi="宋体"/>
          <w:sz w:val="24"/>
        </w:rPr>
        <w:fldChar w:fldCharType="end"/>
      </w:r>
      <w:r>
        <w:rPr>
          <w:rFonts w:hint="eastAsia" w:hAnsi="宋体"/>
          <w:sz w:val="24"/>
        </w:rPr>
        <w:t>)有失信行为或被列入受惩黑名单。</w:t>
      </w:r>
    </w:p>
    <w:p>
      <w:pPr>
        <w:pStyle w:val="21"/>
        <w:snapToGrid w:val="0"/>
        <w:spacing w:line="240" w:lineRule="auto"/>
        <w:ind w:firstLine="454" w:firstLineChars="196"/>
        <w:rPr>
          <w:rFonts w:hint="eastAsia" w:hAnsi="宋体"/>
          <w:sz w:val="24"/>
        </w:rPr>
      </w:pPr>
      <w:r>
        <w:rPr>
          <w:rFonts w:hint="eastAsia" w:hAnsi="宋体"/>
          <w:sz w:val="24"/>
        </w:rPr>
        <w:t>（11）法律、法规和招标文件规定的其他无效情形。</w:t>
      </w:r>
    </w:p>
    <w:p>
      <w:pPr>
        <w:pStyle w:val="21"/>
        <w:snapToGrid w:val="0"/>
        <w:spacing w:line="240" w:lineRule="auto"/>
        <w:ind w:firstLine="454" w:firstLineChars="196"/>
        <w:rPr>
          <w:rFonts w:hint="eastAsia" w:hAnsi="宋体"/>
          <w:sz w:val="24"/>
        </w:rPr>
      </w:pPr>
    </w:p>
    <w:p>
      <w:pPr>
        <w:pStyle w:val="21"/>
        <w:snapToGrid w:val="0"/>
        <w:spacing w:line="240" w:lineRule="auto"/>
        <w:ind w:firstLine="457" w:firstLineChars="196"/>
        <w:rPr>
          <w:rFonts w:hAnsi="宋体"/>
          <w:b/>
          <w:bCs/>
          <w:sz w:val="24"/>
        </w:rPr>
      </w:pPr>
      <w:r>
        <w:rPr>
          <w:rFonts w:hAnsi="宋体"/>
          <w:b/>
          <w:bCs/>
          <w:sz w:val="24"/>
        </w:rPr>
        <w:t>2</w:t>
      </w:r>
      <w:r>
        <w:rPr>
          <w:rFonts w:hint="eastAsia" w:hAnsi="宋体"/>
          <w:b/>
          <w:bCs/>
          <w:sz w:val="24"/>
        </w:rPr>
        <w:t>.</w:t>
      </w:r>
      <w:r>
        <w:rPr>
          <w:rFonts w:hAnsi="宋体"/>
          <w:b/>
          <w:bCs/>
          <w:sz w:val="24"/>
        </w:rPr>
        <w:t>在技术评审时，如发现下列情形之一的，投标文件将被视为无效：</w:t>
      </w:r>
    </w:p>
    <w:p>
      <w:pPr>
        <w:tabs>
          <w:tab w:val="left" w:pos="1440"/>
        </w:tabs>
        <w:ind w:firstLine="472" w:firstLineChars="196"/>
        <w:rPr>
          <w:rFonts w:hint="eastAsia" w:hAnsi="宋体"/>
          <w:b/>
          <w:snapToGrid w:val="0"/>
          <w:sz w:val="24"/>
          <w:szCs w:val="28"/>
        </w:rPr>
      </w:pPr>
      <w:r>
        <w:rPr>
          <w:rFonts w:hAnsi="宋体"/>
          <w:b/>
          <w:sz w:val="24"/>
        </w:rPr>
        <w:t>（</w:t>
      </w:r>
      <w:r>
        <w:rPr>
          <w:rFonts w:hAnsi="宋体"/>
          <w:sz w:val="24"/>
        </w:rPr>
        <w:t>1）</w:t>
      </w:r>
      <w:r>
        <w:rPr>
          <w:rFonts w:hint="eastAsia" w:ascii="仿宋_GB2312" w:hAnsi="宋体"/>
          <w:b/>
          <w:sz w:val="24"/>
          <w:szCs w:val="28"/>
        </w:rPr>
        <w:t>投标货物的</w:t>
      </w:r>
      <w:r>
        <w:rPr>
          <w:rFonts w:hint="eastAsia" w:hAnsi="宋体"/>
          <w:b/>
          <w:snapToGrid w:val="0"/>
          <w:sz w:val="24"/>
          <w:szCs w:val="28"/>
        </w:rPr>
        <w:t>技术规范、技术标准明显不符合国家强制性要求的；</w:t>
      </w:r>
    </w:p>
    <w:p>
      <w:pPr>
        <w:pStyle w:val="21"/>
        <w:snapToGrid w:val="0"/>
        <w:spacing w:line="240" w:lineRule="auto"/>
        <w:ind w:firstLine="457" w:firstLineChars="196"/>
        <w:rPr>
          <w:rFonts w:hAnsi="宋体"/>
          <w:sz w:val="24"/>
        </w:rPr>
      </w:pPr>
      <w:r>
        <w:rPr>
          <w:rFonts w:hAnsi="宋体"/>
          <w:b/>
          <w:sz w:val="24"/>
        </w:rPr>
        <w:t>（</w:t>
      </w:r>
      <w:r>
        <w:rPr>
          <w:rFonts w:hAnsi="宋体"/>
          <w:sz w:val="24"/>
        </w:rPr>
        <w:t>2）未提供或未如实提供投标货物的技术参数，或者投标文件标明的响应或偏离与事实不符或虚假投标的；</w:t>
      </w:r>
    </w:p>
    <w:p>
      <w:pPr>
        <w:pStyle w:val="21"/>
        <w:snapToGrid w:val="0"/>
        <w:spacing w:line="240" w:lineRule="auto"/>
        <w:ind w:firstLine="457" w:firstLineChars="196"/>
        <w:rPr>
          <w:rFonts w:hAnsi="宋体"/>
          <w:sz w:val="24"/>
        </w:rPr>
      </w:pPr>
      <w:r>
        <w:rPr>
          <w:rFonts w:hAnsi="宋体"/>
          <w:b/>
          <w:sz w:val="24"/>
        </w:rPr>
        <w:t>（</w:t>
      </w:r>
      <w:r>
        <w:rPr>
          <w:rFonts w:hAnsi="宋体"/>
          <w:sz w:val="24"/>
        </w:rPr>
        <w:t>3）</w:t>
      </w:r>
      <w:r>
        <w:rPr>
          <w:rFonts w:hAnsi="宋体"/>
          <w:snapToGrid w:val="0"/>
          <w:sz w:val="24"/>
        </w:rPr>
        <w:t>明显不符合招标文件</w:t>
      </w:r>
      <w:r>
        <w:rPr>
          <w:rFonts w:hint="eastAsia" w:hAnsi="宋体"/>
          <w:snapToGrid w:val="0"/>
          <w:sz w:val="24"/>
        </w:rPr>
        <w:t>要求</w:t>
      </w:r>
      <w:r>
        <w:rPr>
          <w:rFonts w:hAnsi="宋体"/>
          <w:snapToGrid w:val="0"/>
          <w:sz w:val="24"/>
        </w:rPr>
        <w:t>的规格型号、质量标准，或者</w:t>
      </w:r>
      <w:r>
        <w:rPr>
          <w:rFonts w:hint="eastAsia" w:hAnsi="宋体"/>
          <w:snapToGrid w:val="0"/>
          <w:sz w:val="24"/>
        </w:rPr>
        <w:t>与</w:t>
      </w:r>
      <w:r>
        <w:rPr>
          <w:rFonts w:hAnsi="宋体"/>
          <w:sz w:val="24"/>
        </w:rPr>
        <w:t>招标文件中标“</w:t>
      </w:r>
      <w:r>
        <w:rPr>
          <w:rFonts w:hint="eastAsia" w:hAnsi="宋体"/>
          <w:sz w:val="24"/>
        </w:rPr>
        <w:t>▲</w:t>
      </w:r>
      <w:r>
        <w:rPr>
          <w:rFonts w:hAnsi="宋体"/>
          <w:sz w:val="24"/>
        </w:rPr>
        <w:t>”的技术指标、主要功能项目发生实质性偏离的；</w:t>
      </w:r>
    </w:p>
    <w:p>
      <w:pPr>
        <w:pStyle w:val="21"/>
        <w:snapToGrid w:val="0"/>
        <w:spacing w:line="240" w:lineRule="auto"/>
        <w:ind w:firstLine="457" w:firstLineChars="196"/>
        <w:rPr>
          <w:rFonts w:hint="eastAsia" w:hAnsi="宋体"/>
          <w:sz w:val="24"/>
        </w:rPr>
      </w:pPr>
      <w:r>
        <w:rPr>
          <w:rFonts w:hAnsi="宋体"/>
          <w:b/>
          <w:sz w:val="24"/>
        </w:rPr>
        <w:t>（</w:t>
      </w:r>
      <w:r>
        <w:rPr>
          <w:rFonts w:hAnsi="宋体"/>
          <w:sz w:val="24"/>
        </w:rPr>
        <w:t>4）</w:t>
      </w:r>
      <w:r>
        <w:rPr>
          <w:rFonts w:hint="eastAsia" w:hAnsi="宋体"/>
          <w:sz w:val="24"/>
        </w:rPr>
        <w:t>设备</w:t>
      </w:r>
      <w:r>
        <w:rPr>
          <w:rFonts w:hAnsi="宋体"/>
          <w:sz w:val="24"/>
        </w:rPr>
        <w:t>允许偏离的技术、性能指标或者辅助功能项目发生负偏离</w:t>
      </w:r>
      <w:r>
        <w:rPr>
          <w:rFonts w:hint="eastAsia" w:hAnsi="宋体"/>
          <w:sz w:val="24"/>
        </w:rPr>
        <w:t>，评委认为偏离整个项目所要达到的主要功能需求</w:t>
      </w:r>
      <w:r>
        <w:rPr>
          <w:rFonts w:hAnsi="宋体"/>
          <w:sz w:val="24"/>
        </w:rPr>
        <w:t>的；</w:t>
      </w:r>
    </w:p>
    <w:p>
      <w:pPr>
        <w:tabs>
          <w:tab w:val="left" w:pos="1440"/>
        </w:tabs>
        <w:ind w:firstLine="470" w:firstLineChars="196"/>
        <w:rPr>
          <w:rFonts w:hint="eastAsia" w:ascii="仿宋_GB2312" w:hAnsi="宋体"/>
          <w:b/>
          <w:kern w:val="0"/>
          <w:sz w:val="24"/>
          <w:szCs w:val="28"/>
        </w:rPr>
      </w:pPr>
      <w:r>
        <w:rPr>
          <w:rFonts w:hint="eastAsia" w:hAnsi="宋体"/>
          <w:sz w:val="24"/>
        </w:rPr>
        <w:t>（5）</w:t>
      </w:r>
      <w:r>
        <w:rPr>
          <w:rFonts w:hint="eastAsia" w:ascii="仿宋_GB2312" w:hAnsi="宋体"/>
          <w:b/>
          <w:spacing w:val="-8"/>
          <w:sz w:val="24"/>
        </w:rPr>
        <w:t>技术标投标品牌型号、数量等与价格标报价明细表中品牌型号、数量等不一致的</w:t>
      </w:r>
      <w:r>
        <w:rPr>
          <w:rFonts w:hint="eastAsia" w:ascii="仿宋_GB2312" w:hAnsi="宋体"/>
          <w:b/>
          <w:sz w:val="24"/>
          <w:szCs w:val="28"/>
        </w:rPr>
        <w:t>；</w:t>
      </w:r>
    </w:p>
    <w:p>
      <w:pPr>
        <w:pStyle w:val="21"/>
        <w:snapToGrid w:val="0"/>
        <w:spacing w:line="240" w:lineRule="auto"/>
        <w:ind w:firstLine="457" w:firstLineChars="196"/>
        <w:rPr>
          <w:rFonts w:hAnsi="宋体"/>
          <w:sz w:val="24"/>
        </w:rPr>
      </w:pPr>
      <w:r>
        <w:rPr>
          <w:rFonts w:hint="eastAsia" w:hAnsi="宋体"/>
          <w:b/>
          <w:sz w:val="24"/>
        </w:rPr>
        <w:t>（6）</w:t>
      </w:r>
      <w:r>
        <w:rPr>
          <w:rFonts w:hAnsi="宋体"/>
          <w:sz w:val="24"/>
        </w:rPr>
        <w:t>投标技术方案不明确，存在一个或一个以上备选（替代）投标方案的；</w:t>
      </w:r>
    </w:p>
    <w:p>
      <w:pPr>
        <w:pStyle w:val="21"/>
        <w:snapToGrid w:val="0"/>
        <w:spacing w:line="240" w:lineRule="auto"/>
        <w:ind w:firstLine="466" w:firstLineChars="200"/>
        <w:rPr>
          <w:rFonts w:hint="eastAsia" w:hAnsi="宋体"/>
          <w:sz w:val="24"/>
        </w:rPr>
      </w:pPr>
      <w:r>
        <w:rPr>
          <w:rFonts w:hint="eastAsia" w:hAnsi="宋体"/>
          <w:b/>
          <w:sz w:val="24"/>
        </w:rPr>
        <w:t>（7）</w:t>
      </w:r>
      <w:r>
        <w:rPr>
          <w:rFonts w:hint="eastAsia" w:hAnsi="宋体"/>
          <w:sz w:val="24"/>
        </w:rPr>
        <w:t>与其他参加本次投标供应商的投标文件（技术文件）的文字表述内容相同连续20行以上或者差错相同2处以上的（招标文件中复制粘贴而来的除外）；</w:t>
      </w:r>
    </w:p>
    <w:p>
      <w:pPr>
        <w:pStyle w:val="21"/>
        <w:snapToGrid w:val="0"/>
        <w:spacing w:line="240" w:lineRule="auto"/>
        <w:ind w:firstLine="466" w:firstLineChars="200"/>
        <w:rPr>
          <w:rFonts w:hint="eastAsia" w:hAnsi="宋体"/>
          <w:b/>
          <w:sz w:val="24"/>
        </w:rPr>
      </w:pPr>
      <w:r>
        <w:rPr>
          <w:rFonts w:hint="eastAsia" w:hAnsi="宋体"/>
          <w:b/>
          <w:sz w:val="24"/>
        </w:rPr>
        <w:t>（8）在技术商务标中出现投标报价的。</w:t>
      </w:r>
    </w:p>
    <w:p>
      <w:pPr>
        <w:pStyle w:val="21"/>
        <w:snapToGrid w:val="0"/>
        <w:spacing w:line="240" w:lineRule="auto"/>
        <w:ind w:firstLine="457" w:firstLineChars="196"/>
        <w:rPr>
          <w:rFonts w:hint="eastAsia" w:hAnsi="宋体"/>
          <w:b/>
          <w:bCs/>
          <w:sz w:val="24"/>
        </w:rPr>
      </w:pPr>
    </w:p>
    <w:p>
      <w:pPr>
        <w:pStyle w:val="21"/>
        <w:snapToGrid w:val="0"/>
        <w:spacing w:line="240" w:lineRule="auto"/>
        <w:ind w:firstLine="457" w:firstLineChars="196"/>
        <w:rPr>
          <w:rFonts w:hAnsi="宋体"/>
          <w:b/>
          <w:bCs/>
          <w:sz w:val="24"/>
        </w:rPr>
      </w:pPr>
      <w:r>
        <w:rPr>
          <w:rFonts w:hAnsi="宋体"/>
          <w:b/>
          <w:bCs/>
          <w:sz w:val="24"/>
        </w:rPr>
        <w:t>3</w:t>
      </w:r>
      <w:r>
        <w:rPr>
          <w:rFonts w:hint="eastAsia" w:hAnsi="宋体"/>
          <w:b/>
          <w:bCs/>
          <w:sz w:val="24"/>
        </w:rPr>
        <w:t>.</w:t>
      </w:r>
      <w:r>
        <w:rPr>
          <w:rFonts w:hAnsi="宋体"/>
          <w:b/>
          <w:bCs/>
          <w:sz w:val="24"/>
        </w:rPr>
        <w:t>在报价评审时，如发现下列情形之一的，投标文件将被视为无效：</w:t>
      </w:r>
    </w:p>
    <w:p>
      <w:pPr>
        <w:pStyle w:val="21"/>
        <w:snapToGrid w:val="0"/>
        <w:spacing w:line="240" w:lineRule="auto"/>
        <w:ind w:firstLine="457" w:firstLineChars="196"/>
        <w:rPr>
          <w:rFonts w:hAnsi="宋体"/>
          <w:sz w:val="24"/>
        </w:rPr>
      </w:pPr>
      <w:r>
        <w:rPr>
          <w:rFonts w:hAnsi="宋体"/>
          <w:b/>
          <w:sz w:val="24"/>
        </w:rPr>
        <w:t>（</w:t>
      </w:r>
      <w:r>
        <w:rPr>
          <w:rFonts w:hAnsi="宋体"/>
          <w:sz w:val="24"/>
        </w:rPr>
        <w:t>1）未采用人民币报价或者未按照招标文件标明的币种报价的；</w:t>
      </w:r>
    </w:p>
    <w:p>
      <w:pPr>
        <w:pStyle w:val="21"/>
        <w:snapToGrid w:val="0"/>
        <w:spacing w:line="240" w:lineRule="auto"/>
        <w:ind w:firstLine="457" w:firstLineChars="196"/>
        <w:rPr>
          <w:rFonts w:hint="eastAsia" w:hAnsi="宋体"/>
          <w:sz w:val="24"/>
        </w:rPr>
      </w:pPr>
      <w:r>
        <w:rPr>
          <w:rFonts w:hAnsi="宋体"/>
          <w:b/>
          <w:sz w:val="24"/>
        </w:rPr>
        <w:t>（</w:t>
      </w:r>
      <w:r>
        <w:rPr>
          <w:rFonts w:hAnsi="宋体"/>
          <w:sz w:val="24"/>
        </w:rPr>
        <w:t>2）报价超出最高限价，或者超出采购预算金额</w:t>
      </w:r>
      <w:r>
        <w:rPr>
          <w:rFonts w:hint="eastAsia" w:hAnsi="宋体"/>
          <w:sz w:val="24"/>
        </w:rPr>
        <w:t>，</w:t>
      </w:r>
      <w:r>
        <w:rPr>
          <w:rFonts w:hAnsi="宋体"/>
          <w:sz w:val="24"/>
        </w:rPr>
        <w:t>采购人不能支付的</w:t>
      </w:r>
      <w:r>
        <w:rPr>
          <w:rFonts w:hint="eastAsia" w:hAnsi="宋体"/>
          <w:sz w:val="24"/>
        </w:rPr>
        <w:t>；</w:t>
      </w:r>
    </w:p>
    <w:p>
      <w:pPr>
        <w:pStyle w:val="21"/>
        <w:snapToGrid w:val="0"/>
        <w:spacing w:line="240" w:lineRule="auto"/>
        <w:ind w:firstLine="464" w:firstLineChars="200"/>
        <w:rPr>
          <w:rFonts w:hint="eastAsia" w:hAnsi="宋体"/>
          <w:sz w:val="24"/>
        </w:rPr>
      </w:pPr>
      <w:r>
        <w:rPr>
          <w:rFonts w:hint="eastAsia" w:hAnsi="宋体"/>
          <w:sz w:val="24"/>
        </w:rPr>
        <w:t>（3）</w:t>
      </w:r>
      <w:r>
        <w:rPr>
          <w:rFonts w:hint="eastAsia" w:hAnsi="宋体"/>
          <w:spacing w:val="-12"/>
          <w:sz w:val="24"/>
          <w:szCs w:val="24"/>
        </w:rPr>
        <w:t>投标报价具有选择性，或者开标价格与投标文件承诺的优惠（折扣）价格不一致的；</w:t>
      </w:r>
    </w:p>
    <w:p>
      <w:pPr>
        <w:pStyle w:val="21"/>
        <w:snapToGrid w:val="0"/>
        <w:spacing w:line="240" w:lineRule="auto"/>
        <w:ind w:firstLine="464" w:firstLineChars="200"/>
        <w:rPr>
          <w:rFonts w:hint="eastAsia" w:hAnsi="宋体"/>
          <w:sz w:val="24"/>
        </w:rPr>
      </w:pPr>
      <w:r>
        <w:rPr>
          <w:rFonts w:hint="eastAsia" w:hAnsi="宋体"/>
          <w:sz w:val="24"/>
        </w:rPr>
        <w:t xml:space="preserve">（4）投标报价明细表总额与开标一览表总价不一致，且高于总价5％的。 </w:t>
      </w:r>
    </w:p>
    <w:p>
      <w:pPr>
        <w:pStyle w:val="21"/>
        <w:snapToGrid w:val="0"/>
        <w:spacing w:line="240" w:lineRule="auto"/>
        <w:ind w:firstLine="464" w:firstLineChars="200"/>
        <w:rPr>
          <w:rFonts w:hint="eastAsia" w:hAnsi="宋体"/>
          <w:sz w:val="24"/>
        </w:rPr>
      </w:pPr>
      <w:r>
        <w:rPr>
          <w:rFonts w:hint="eastAsia" w:hAnsi="宋体"/>
          <w:sz w:val="24"/>
        </w:rPr>
        <w:t>（5）评标委员会认为投标人的报价明显低于其他通过符合性审查投标人的报价，有可能影响产品质量或者不能诚信履约的，应当要求其在评标现场合理的时间内提供书面说明，必要时提交相关</w:t>
      </w:r>
      <w:r>
        <w:rPr>
          <w:rFonts w:hint="eastAsia" w:hAnsi="宋体"/>
          <w:sz w:val="24"/>
          <w:lang w:eastAsia="zh-CN"/>
        </w:rPr>
        <w:t>文件材料</w:t>
      </w:r>
      <w:r>
        <w:rPr>
          <w:rFonts w:hint="eastAsia" w:hAnsi="宋体"/>
          <w:sz w:val="24"/>
        </w:rPr>
        <w:t>材料；投标人不能</w:t>
      </w:r>
      <w:r>
        <w:rPr>
          <w:rFonts w:hint="eastAsia" w:hAnsi="宋体"/>
          <w:sz w:val="24"/>
          <w:lang w:eastAsia="zh-CN"/>
        </w:rPr>
        <w:t>文件材料</w:t>
      </w:r>
      <w:r>
        <w:rPr>
          <w:rFonts w:hint="eastAsia" w:hAnsi="宋体"/>
          <w:sz w:val="24"/>
        </w:rPr>
        <w:t xml:space="preserve">其报价合理性的，评标委员会应当将其作为无效投标处理。 </w:t>
      </w:r>
    </w:p>
    <w:p>
      <w:pPr>
        <w:pStyle w:val="21"/>
        <w:snapToGrid w:val="0"/>
        <w:spacing w:line="240" w:lineRule="auto"/>
        <w:ind w:firstLine="464" w:firstLineChars="200"/>
        <w:rPr>
          <w:rFonts w:hint="eastAsia" w:hAnsi="宋体"/>
          <w:sz w:val="24"/>
        </w:rPr>
      </w:pPr>
      <w:r>
        <w:rPr>
          <w:rFonts w:hint="eastAsia" w:hAnsi="宋体"/>
          <w:sz w:val="24"/>
        </w:rPr>
        <w:t xml:space="preserve">                                                                                                    </w:t>
      </w:r>
    </w:p>
    <w:p>
      <w:pPr>
        <w:pStyle w:val="21"/>
        <w:snapToGrid w:val="0"/>
        <w:spacing w:line="240" w:lineRule="auto"/>
        <w:ind w:firstLine="466" w:firstLineChars="200"/>
        <w:rPr>
          <w:rFonts w:hAnsi="宋体"/>
          <w:b/>
          <w:sz w:val="24"/>
        </w:rPr>
      </w:pPr>
      <w:r>
        <w:rPr>
          <w:rFonts w:hAnsi="宋体"/>
          <w:b/>
          <w:sz w:val="24"/>
        </w:rPr>
        <w:t>4</w:t>
      </w:r>
      <w:r>
        <w:rPr>
          <w:rFonts w:hint="eastAsia" w:hAnsi="宋体"/>
          <w:b/>
          <w:sz w:val="24"/>
        </w:rPr>
        <w:t>.</w:t>
      </w:r>
      <w:r>
        <w:rPr>
          <w:rFonts w:hAnsi="宋体"/>
          <w:b/>
          <w:sz w:val="24"/>
        </w:rPr>
        <w:t>被拒绝的投标文件为无效。</w:t>
      </w:r>
    </w:p>
    <w:p>
      <w:pPr>
        <w:pStyle w:val="21"/>
        <w:snapToGrid w:val="0"/>
        <w:spacing w:line="240" w:lineRule="auto"/>
        <w:ind w:firstLine="457" w:firstLineChars="196"/>
        <w:rPr>
          <w:rFonts w:hAnsi="宋体"/>
          <w:b/>
          <w:sz w:val="24"/>
        </w:rPr>
      </w:pPr>
    </w:p>
    <w:p>
      <w:pPr>
        <w:pStyle w:val="28"/>
        <w:pageBreakBefore/>
        <w:numPr>
          <w:ilvl w:val="0"/>
          <w:numId w:val="0"/>
        </w:numPr>
        <w:tabs>
          <w:tab w:val="left" w:pos="1200"/>
        </w:tabs>
        <w:snapToGrid w:val="0"/>
        <w:spacing w:beforeLines="0" w:afterLines="0" w:line="240" w:lineRule="auto"/>
        <w:ind w:firstLine="551" w:firstLineChars="196"/>
        <w:outlineLvl w:val="0"/>
        <w:rPr>
          <w:rFonts w:hint="eastAsia" w:hAnsi="宋体"/>
          <w:b/>
          <w:sz w:val="28"/>
          <w:szCs w:val="28"/>
        </w:rPr>
      </w:pPr>
      <w:r>
        <w:rPr>
          <w:rFonts w:hint="eastAsia" w:hAnsi="宋体"/>
          <w:b/>
          <w:sz w:val="28"/>
          <w:szCs w:val="28"/>
        </w:rPr>
        <w:t>四、开标</w:t>
      </w:r>
    </w:p>
    <w:p>
      <w:pPr>
        <w:pStyle w:val="28"/>
        <w:numPr>
          <w:ilvl w:val="0"/>
          <w:numId w:val="0"/>
        </w:numPr>
        <w:tabs>
          <w:tab w:val="left" w:pos="1200"/>
        </w:tabs>
        <w:snapToGrid w:val="0"/>
        <w:spacing w:beforeLines="0" w:after="0" w:afterLines="0" w:line="240" w:lineRule="auto"/>
        <w:ind w:firstLine="472" w:firstLineChars="196"/>
        <w:rPr>
          <w:rFonts w:hAnsi="宋体"/>
          <w:b/>
        </w:rPr>
      </w:pPr>
      <w:r>
        <w:rPr>
          <w:rFonts w:hAnsi="宋体"/>
          <w:b/>
        </w:rPr>
        <w:t>（一）开标准备</w:t>
      </w:r>
    </w:p>
    <w:p>
      <w:pPr>
        <w:pStyle w:val="28"/>
        <w:numPr>
          <w:ilvl w:val="0"/>
          <w:numId w:val="0"/>
        </w:numPr>
        <w:tabs>
          <w:tab w:val="left" w:pos="1200"/>
        </w:tabs>
        <w:snapToGrid w:val="0"/>
        <w:spacing w:before="0" w:beforeLines="0" w:after="0" w:afterLines="0" w:line="240" w:lineRule="auto"/>
        <w:ind w:firstLine="480" w:firstLineChars="200"/>
        <w:rPr>
          <w:rFonts w:hAnsi="宋体"/>
          <w:bCs/>
        </w:rPr>
      </w:pPr>
      <w:r>
        <w:rPr>
          <w:rFonts w:hAnsi="宋体"/>
          <w:bCs/>
        </w:rPr>
        <w:t>采购代理机构将在规定的时间和地点进行开标，投标人的法定代表人或其授权代表应参加开标会并签到。投标人的法定代表人或其授权代表未按时签到的，视同放弃开标监督权利、认可开标结果。</w:t>
      </w:r>
    </w:p>
    <w:p>
      <w:pPr>
        <w:pStyle w:val="28"/>
        <w:numPr>
          <w:ilvl w:val="0"/>
          <w:numId w:val="0"/>
        </w:numPr>
        <w:tabs>
          <w:tab w:val="left" w:pos="1200"/>
        </w:tabs>
        <w:snapToGrid w:val="0"/>
        <w:spacing w:beforeLines="0" w:afterLines="0" w:line="240" w:lineRule="auto"/>
        <w:ind w:firstLine="472" w:firstLineChars="196"/>
        <w:rPr>
          <w:rFonts w:hAnsi="宋体"/>
          <w:b/>
        </w:rPr>
      </w:pPr>
      <w:r>
        <w:rPr>
          <w:rFonts w:hAnsi="宋体"/>
          <w:b/>
        </w:rPr>
        <w:t>（二） 开标程序：</w:t>
      </w:r>
    </w:p>
    <w:p>
      <w:pPr>
        <w:pStyle w:val="28"/>
        <w:numPr>
          <w:ilvl w:val="0"/>
          <w:numId w:val="0"/>
        </w:numPr>
        <w:tabs>
          <w:tab w:val="left" w:pos="1200"/>
        </w:tabs>
        <w:snapToGrid w:val="0"/>
        <w:spacing w:beforeLines="0" w:afterLines="0" w:line="240" w:lineRule="auto"/>
        <w:ind w:firstLine="480" w:firstLineChars="200"/>
        <w:rPr>
          <w:rFonts w:hAnsi="宋体"/>
        </w:rPr>
      </w:pPr>
      <w:r>
        <w:rPr>
          <w:rFonts w:hAnsi="宋体"/>
        </w:rPr>
        <w:t>1</w:t>
      </w:r>
      <w:r>
        <w:rPr>
          <w:rFonts w:hint="eastAsia" w:hAnsi="宋体"/>
        </w:rPr>
        <w:t>.</w:t>
      </w:r>
      <w:r>
        <w:rPr>
          <w:rFonts w:hAnsi="宋体"/>
        </w:rPr>
        <w:t>开标会由采购代理机构主持，主持人宣布开标会议开始；</w:t>
      </w:r>
    </w:p>
    <w:p>
      <w:pPr>
        <w:pStyle w:val="28"/>
        <w:numPr>
          <w:ilvl w:val="0"/>
          <w:numId w:val="0"/>
        </w:numPr>
        <w:tabs>
          <w:tab w:val="left" w:pos="1200"/>
        </w:tabs>
        <w:snapToGrid w:val="0"/>
        <w:spacing w:beforeLines="0" w:afterLines="0" w:line="240" w:lineRule="auto"/>
        <w:ind w:firstLine="480" w:firstLineChars="200"/>
        <w:rPr>
          <w:rFonts w:hAnsi="宋体"/>
        </w:rPr>
      </w:pPr>
      <w:r>
        <w:rPr>
          <w:rFonts w:hAnsi="宋体"/>
        </w:rPr>
        <w:t>2</w:t>
      </w:r>
      <w:r>
        <w:rPr>
          <w:rFonts w:hint="eastAsia" w:hAnsi="宋体"/>
        </w:rPr>
        <w:t>.主持人</w:t>
      </w:r>
      <w:r>
        <w:rPr>
          <w:rFonts w:hAnsi="宋体"/>
        </w:rPr>
        <w:t xml:space="preserve">介绍参加开标会的人员名单； </w:t>
      </w:r>
    </w:p>
    <w:p>
      <w:pPr>
        <w:pStyle w:val="28"/>
        <w:numPr>
          <w:ilvl w:val="0"/>
          <w:numId w:val="0"/>
        </w:numPr>
        <w:tabs>
          <w:tab w:val="left" w:pos="1200"/>
        </w:tabs>
        <w:snapToGrid w:val="0"/>
        <w:spacing w:beforeLines="0" w:afterLines="0" w:line="240" w:lineRule="auto"/>
        <w:ind w:firstLine="480" w:firstLineChars="200"/>
        <w:rPr>
          <w:rFonts w:hAnsi="宋体"/>
        </w:rPr>
      </w:pPr>
      <w:r>
        <w:rPr>
          <w:rFonts w:hAnsi="宋体"/>
        </w:rPr>
        <w:t>3</w:t>
      </w:r>
      <w:r>
        <w:rPr>
          <w:rFonts w:hint="eastAsia" w:hAnsi="宋体"/>
        </w:rPr>
        <w:t>.主持人</w:t>
      </w:r>
      <w:r>
        <w:rPr>
          <w:rFonts w:hAnsi="宋体"/>
        </w:rPr>
        <w:t>宣布评标期间的有关事项；</w:t>
      </w:r>
    </w:p>
    <w:p>
      <w:pPr>
        <w:pStyle w:val="28"/>
        <w:numPr>
          <w:ilvl w:val="0"/>
          <w:numId w:val="0"/>
        </w:numPr>
        <w:tabs>
          <w:tab w:val="left" w:pos="1200"/>
        </w:tabs>
        <w:snapToGrid w:val="0"/>
        <w:spacing w:beforeLines="0" w:afterLines="0" w:line="240" w:lineRule="auto"/>
        <w:ind w:firstLine="480" w:firstLineChars="200"/>
        <w:rPr>
          <w:rFonts w:hAnsi="宋体"/>
        </w:rPr>
      </w:pPr>
      <w:r>
        <w:rPr>
          <w:rFonts w:hAnsi="宋体"/>
        </w:rPr>
        <w:t>4</w:t>
      </w:r>
      <w:r>
        <w:rPr>
          <w:rFonts w:hint="eastAsia" w:hAnsi="宋体"/>
        </w:rPr>
        <w:t>. 投标人或其当场推荐的代表</w:t>
      </w:r>
      <w:r>
        <w:rPr>
          <w:rFonts w:hAnsi="宋体"/>
        </w:rPr>
        <w:t>检</w:t>
      </w:r>
      <w:r>
        <w:rPr>
          <w:rFonts w:hint="eastAsia" w:hAnsi="宋体"/>
        </w:rPr>
        <w:t>查</w:t>
      </w:r>
      <w:r>
        <w:rPr>
          <w:rFonts w:hAnsi="宋体"/>
        </w:rPr>
        <w:t>投标文件密封的完整性并签字确认；</w:t>
      </w:r>
    </w:p>
    <w:p>
      <w:pPr>
        <w:pStyle w:val="28"/>
        <w:numPr>
          <w:ilvl w:val="0"/>
          <w:numId w:val="0"/>
        </w:numPr>
        <w:tabs>
          <w:tab w:val="left" w:pos="1200"/>
        </w:tabs>
        <w:snapToGrid w:val="0"/>
        <w:spacing w:beforeLines="0" w:afterLines="0" w:line="240" w:lineRule="auto"/>
        <w:ind w:firstLine="480" w:firstLineChars="200"/>
        <w:rPr>
          <w:rFonts w:hint="eastAsia" w:hAnsi="宋体"/>
        </w:rPr>
      </w:pPr>
      <w:r>
        <w:rPr>
          <w:rFonts w:hAnsi="宋体"/>
        </w:rPr>
        <w:t>5</w:t>
      </w:r>
      <w:r>
        <w:rPr>
          <w:rFonts w:hint="eastAsia" w:hAnsi="宋体"/>
        </w:rPr>
        <w:t>.</w:t>
      </w:r>
      <w:r>
        <w:rPr>
          <w:rFonts w:hAnsi="宋体"/>
        </w:rPr>
        <w:t>按各投标人提交投标文件时间的先后顺序打开</w:t>
      </w:r>
      <w:r>
        <w:rPr>
          <w:rFonts w:hint="eastAsia" w:hAnsi="宋体"/>
        </w:rPr>
        <w:t>技术商务标</w:t>
      </w:r>
      <w:r>
        <w:rPr>
          <w:rFonts w:hAnsi="宋体"/>
        </w:rPr>
        <w:t>，清点投标文件正本、副本数量，</w:t>
      </w:r>
      <w:r>
        <w:rPr>
          <w:rFonts w:hint="eastAsia" w:hAnsi="宋体"/>
        </w:rPr>
        <w:t>并对投标人进行资格性初审，</w:t>
      </w:r>
      <w:r>
        <w:rPr>
          <w:rFonts w:hAnsi="宋体"/>
        </w:rPr>
        <w:t>符合招标文件要求的送评标室评审；不符合要求的，当场退还投标人，并由投标人代表签字确认</w:t>
      </w:r>
      <w:r>
        <w:rPr>
          <w:rFonts w:hint="eastAsia" w:hAnsi="宋体"/>
        </w:rPr>
        <w:t>；</w:t>
      </w:r>
    </w:p>
    <w:p>
      <w:pPr>
        <w:pStyle w:val="28"/>
        <w:numPr>
          <w:ilvl w:val="0"/>
          <w:numId w:val="0"/>
        </w:numPr>
        <w:tabs>
          <w:tab w:val="left" w:pos="1200"/>
        </w:tabs>
        <w:snapToGrid w:val="0"/>
        <w:spacing w:beforeLines="0" w:afterLines="0" w:line="240" w:lineRule="auto"/>
        <w:ind w:firstLine="480" w:firstLineChars="200"/>
        <w:rPr>
          <w:rFonts w:hAnsi="宋体"/>
        </w:rPr>
      </w:pPr>
      <w:r>
        <w:rPr>
          <w:rFonts w:hAnsi="宋体"/>
        </w:rPr>
        <w:t>6</w:t>
      </w:r>
      <w:r>
        <w:rPr>
          <w:rFonts w:hint="eastAsia" w:hAnsi="宋体"/>
        </w:rPr>
        <w:t>.技术商务</w:t>
      </w:r>
      <w:r>
        <w:rPr>
          <w:rFonts w:hAnsi="宋体"/>
        </w:rPr>
        <w:t>评分结束后，由主持人公布无效投标的投标人名单、投标无效的原因及其他有效投标的评分结果；</w:t>
      </w:r>
    </w:p>
    <w:p>
      <w:pPr>
        <w:pStyle w:val="28"/>
        <w:numPr>
          <w:ilvl w:val="0"/>
          <w:numId w:val="0"/>
        </w:numPr>
        <w:tabs>
          <w:tab w:val="left" w:pos="1200"/>
        </w:tabs>
        <w:snapToGrid w:val="0"/>
        <w:spacing w:beforeLines="0" w:afterLines="0" w:line="240" w:lineRule="auto"/>
        <w:ind w:firstLine="480" w:firstLineChars="200"/>
        <w:rPr>
          <w:rFonts w:hint="eastAsia" w:hAnsi="宋体"/>
        </w:rPr>
      </w:pPr>
      <w:r>
        <w:rPr>
          <w:rFonts w:hAnsi="宋体"/>
        </w:rPr>
        <w:t>7</w:t>
      </w:r>
      <w:r>
        <w:rPr>
          <w:rFonts w:hint="eastAsia" w:hAnsi="宋体"/>
        </w:rPr>
        <w:t>.</w:t>
      </w:r>
      <w:r>
        <w:rPr>
          <w:rFonts w:hAnsi="宋体"/>
        </w:rPr>
        <w:t>由主持人公布预算价或标底,宣读《投标报价一览表》中的投标人名称及在其投标文件中承诺的投标报价、投标内容（投标设备名称、型号或者服务项目名称），以及采购代理机构认为有必要宣读的其他内容。</w:t>
      </w:r>
    </w:p>
    <w:p>
      <w:pPr>
        <w:pStyle w:val="28"/>
        <w:numPr>
          <w:ilvl w:val="0"/>
          <w:numId w:val="0"/>
        </w:numPr>
        <w:tabs>
          <w:tab w:val="left" w:pos="1200"/>
        </w:tabs>
        <w:snapToGrid w:val="0"/>
        <w:spacing w:beforeLines="0" w:afterLines="0" w:line="240" w:lineRule="auto"/>
        <w:ind w:firstLine="480" w:firstLineChars="200"/>
        <w:rPr>
          <w:rFonts w:hAnsi="宋体"/>
        </w:rPr>
      </w:pPr>
      <w:r>
        <w:rPr>
          <w:rFonts w:hAnsi="宋体"/>
        </w:rPr>
        <w:t>8、采购代理机构做开标记录, 投标人代表对开标记录进行当场校核及勘误，并签字确认；同时由记录人、监督人当场签字确认。投标人代表未到场签字确认</w:t>
      </w:r>
      <w:r>
        <w:rPr>
          <w:rFonts w:hint="eastAsia" w:hAnsi="宋体"/>
        </w:rPr>
        <w:t>或者拒绝签字确认</w:t>
      </w:r>
      <w:r>
        <w:rPr>
          <w:rFonts w:hAnsi="宋体"/>
        </w:rPr>
        <w:t>的，不影响评标过程。</w:t>
      </w:r>
    </w:p>
    <w:p>
      <w:pPr>
        <w:pStyle w:val="28"/>
        <w:numPr>
          <w:ilvl w:val="0"/>
          <w:numId w:val="0"/>
        </w:numPr>
        <w:tabs>
          <w:tab w:val="left" w:pos="1200"/>
        </w:tabs>
        <w:snapToGrid w:val="0"/>
        <w:spacing w:beforeLines="0" w:afterLines="0" w:line="240" w:lineRule="auto"/>
        <w:ind w:left="479"/>
        <w:rPr>
          <w:rFonts w:hAnsi="宋体"/>
        </w:rPr>
      </w:pPr>
      <w:r>
        <w:rPr>
          <w:rFonts w:hint="eastAsia" w:hAnsi="宋体"/>
        </w:rPr>
        <w:t>9.</w:t>
      </w:r>
      <w:r>
        <w:rPr>
          <w:rFonts w:hAnsi="宋体"/>
        </w:rPr>
        <w:t>开标会议结束。</w:t>
      </w:r>
    </w:p>
    <w:p>
      <w:pPr>
        <w:pStyle w:val="28"/>
        <w:numPr>
          <w:ilvl w:val="0"/>
          <w:numId w:val="0"/>
        </w:numPr>
        <w:tabs>
          <w:tab w:val="left" w:pos="1200"/>
        </w:tabs>
        <w:snapToGrid w:val="0"/>
        <w:spacing w:beforeLines="0" w:afterLines="0" w:line="240" w:lineRule="auto"/>
        <w:ind w:firstLine="551" w:firstLineChars="196"/>
        <w:outlineLvl w:val="0"/>
        <w:rPr>
          <w:rFonts w:hint="eastAsia" w:hAnsi="宋体"/>
          <w:b/>
          <w:sz w:val="28"/>
          <w:szCs w:val="28"/>
        </w:rPr>
      </w:pPr>
      <w:r>
        <w:rPr>
          <w:rFonts w:hint="eastAsia" w:hAnsi="宋体"/>
          <w:b/>
          <w:sz w:val="28"/>
          <w:szCs w:val="28"/>
        </w:rPr>
        <w:t>五、评标</w:t>
      </w:r>
    </w:p>
    <w:p>
      <w:pPr>
        <w:pStyle w:val="28"/>
        <w:numPr>
          <w:ilvl w:val="0"/>
          <w:numId w:val="0"/>
        </w:numPr>
        <w:tabs>
          <w:tab w:val="left" w:pos="1200"/>
        </w:tabs>
        <w:snapToGrid w:val="0"/>
        <w:spacing w:beforeLines="0" w:afterLines="0" w:line="240" w:lineRule="auto"/>
        <w:ind w:left="479"/>
        <w:rPr>
          <w:rFonts w:hAnsi="宋体"/>
          <w:b/>
        </w:rPr>
      </w:pPr>
      <w:r>
        <w:rPr>
          <w:rFonts w:hAnsi="宋体"/>
          <w:b/>
        </w:rPr>
        <w:t>（一）组建评标委员会</w:t>
      </w:r>
    </w:p>
    <w:p>
      <w:pPr>
        <w:pStyle w:val="28"/>
        <w:numPr>
          <w:ilvl w:val="0"/>
          <w:numId w:val="0"/>
        </w:numPr>
        <w:tabs>
          <w:tab w:val="left" w:pos="1200"/>
        </w:tabs>
        <w:snapToGrid w:val="0"/>
        <w:spacing w:beforeLines="0" w:afterLines="0" w:line="240" w:lineRule="auto"/>
        <w:ind w:firstLine="480" w:firstLineChars="200"/>
        <w:rPr>
          <w:rFonts w:hAnsi="宋体"/>
        </w:rPr>
      </w:pPr>
      <w:r>
        <w:rPr>
          <w:rFonts w:hint="eastAsia" w:hAnsi="宋体"/>
        </w:rPr>
        <w:t>本项目评标委员会由政府采购评审专家≧5人单数组成，其中采购人代表不超过评委总数的1/3。</w:t>
      </w:r>
    </w:p>
    <w:p>
      <w:pPr>
        <w:pStyle w:val="28"/>
        <w:numPr>
          <w:ilvl w:val="0"/>
          <w:numId w:val="0"/>
        </w:numPr>
        <w:tabs>
          <w:tab w:val="left" w:pos="1200"/>
        </w:tabs>
        <w:snapToGrid w:val="0"/>
        <w:spacing w:beforeLines="0" w:afterLines="0" w:line="240" w:lineRule="auto"/>
        <w:ind w:left="479"/>
        <w:rPr>
          <w:rFonts w:hAnsi="宋体"/>
          <w:b/>
        </w:rPr>
      </w:pPr>
      <w:r>
        <w:rPr>
          <w:rFonts w:hAnsi="宋体"/>
          <w:b/>
        </w:rPr>
        <w:t>（二）评标的方式</w:t>
      </w:r>
    </w:p>
    <w:p>
      <w:pPr>
        <w:pStyle w:val="28"/>
        <w:numPr>
          <w:ilvl w:val="0"/>
          <w:numId w:val="0"/>
        </w:numPr>
        <w:tabs>
          <w:tab w:val="left" w:pos="1200"/>
        </w:tabs>
        <w:snapToGrid w:val="0"/>
        <w:spacing w:beforeLines="0" w:afterLines="0" w:line="240" w:lineRule="auto"/>
        <w:ind w:left="479"/>
        <w:rPr>
          <w:rFonts w:hAnsi="宋体"/>
        </w:rPr>
      </w:pPr>
      <w:r>
        <w:rPr>
          <w:rFonts w:hAnsi="宋体"/>
        </w:rPr>
        <w:t>本项目采用不公开方式评标，评标的依据为招标文件和投标文件。</w:t>
      </w:r>
    </w:p>
    <w:p>
      <w:pPr>
        <w:pStyle w:val="28"/>
        <w:numPr>
          <w:ilvl w:val="0"/>
          <w:numId w:val="0"/>
        </w:numPr>
        <w:tabs>
          <w:tab w:val="left" w:pos="1200"/>
        </w:tabs>
        <w:snapToGrid w:val="0"/>
        <w:spacing w:beforeLines="0" w:afterLines="0" w:line="240" w:lineRule="auto"/>
        <w:ind w:left="479"/>
        <w:rPr>
          <w:rFonts w:hAnsi="宋体"/>
          <w:b/>
        </w:rPr>
      </w:pPr>
      <w:r>
        <w:rPr>
          <w:rFonts w:hAnsi="宋体"/>
          <w:b/>
        </w:rPr>
        <w:t>（三）</w:t>
      </w:r>
      <w:r>
        <w:rPr>
          <w:rFonts w:hAnsi="宋体"/>
          <w:b/>
          <w:bCs/>
        </w:rPr>
        <w:t>评标程序</w:t>
      </w:r>
    </w:p>
    <w:p>
      <w:pPr>
        <w:snapToGrid w:val="0"/>
        <w:ind w:firstLine="472" w:firstLineChars="196"/>
        <w:rPr>
          <w:rFonts w:ascii="宋体" w:hAnsi="宋体"/>
          <w:b/>
          <w:bCs/>
          <w:sz w:val="24"/>
          <w:szCs w:val="20"/>
        </w:rPr>
      </w:pPr>
      <w:r>
        <w:rPr>
          <w:rFonts w:ascii="宋体" w:hAnsi="宋体"/>
          <w:b/>
          <w:bCs/>
          <w:sz w:val="24"/>
        </w:rPr>
        <w:t>1</w:t>
      </w:r>
      <w:r>
        <w:rPr>
          <w:rFonts w:hint="eastAsia" w:ascii="宋体" w:hAnsi="宋体"/>
          <w:b/>
          <w:bCs/>
          <w:sz w:val="24"/>
        </w:rPr>
        <w:t>.</w:t>
      </w:r>
      <w:r>
        <w:rPr>
          <w:rFonts w:ascii="宋体" w:hAnsi="宋体"/>
          <w:b/>
          <w:bCs/>
          <w:sz w:val="24"/>
        </w:rPr>
        <w:t>形式审查</w:t>
      </w:r>
    </w:p>
    <w:p>
      <w:pPr>
        <w:snapToGrid w:val="0"/>
        <w:ind w:firstLine="480" w:firstLineChars="200"/>
        <w:rPr>
          <w:rFonts w:hint="eastAsia" w:ascii="宋体" w:hAnsi="宋体"/>
          <w:b/>
          <w:sz w:val="24"/>
          <w:szCs w:val="20"/>
        </w:rPr>
      </w:pPr>
      <w:r>
        <w:rPr>
          <w:rFonts w:hint="eastAsia" w:ascii="宋体" w:hAnsi="宋体"/>
          <w:sz w:val="24"/>
        </w:rPr>
        <w:t>采购人代表和代理机构工作人员协助评标委员会对投标人的资格</w:t>
      </w:r>
      <w:r>
        <w:rPr>
          <w:rFonts w:ascii="宋体" w:hAnsi="宋体"/>
          <w:sz w:val="24"/>
        </w:rPr>
        <w:t>和投标文件的完整性、合法性等进行审查。</w:t>
      </w:r>
    </w:p>
    <w:p>
      <w:pPr>
        <w:snapToGrid w:val="0"/>
        <w:ind w:firstLine="472" w:firstLineChars="196"/>
        <w:rPr>
          <w:rFonts w:ascii="宋体" w:hAnsi="宋体"/>
          <w:b/>
          <w:bCs/>
          <w:sz w:val="24"/>
          <w:szCs w:val="20"/>
        </w:rPr>
      </w:pPr>
      <w:r>
        <w:rPr>
          <w:rFonts w:ascii="宋体" w:hAnsi="宋体"/>
          <w:b/>
          <w:bCs/>
          <w:sz w:val="24"/>
        </w:rPr>
        <w:t>2</w:t>
      </w:r>
      <w:r>
        <w:rPr>
          <w:rFonts w:hint="eastAsia" w:ascii="宋体" w:hAnsi="宋体"/>
          <w:b/>
          <w:bCs/>
          <w:sz w:val="24"/>
        </w:rPr>
        <w:t>.</w:t>
      </w:r>
      <w:r>
        <w:rPr>
          <w:rFonts w:ascii="宋体" w:hAnsi="宋体"/>
          <w:b/>
          <w:bCs/>
          <w:sz w:val="24"/>
        </w:rPr>
        <w:t>实质审查与比较</w:t>
      </w:r>
    </w:p>
    <w:p>
      <w:pPr>
        <w:snapToGrid w:val="0"/>
        <w:ind w:firstLine="480" w:firstLineChars="200"/>
        <w:rPr>
          <w:rFonts w:ascii="宋体" w:hAnsi="宋体"/>
          <w:sz w:val="24"/>
          <w:szCs w:val="20"/>
        </w:rPr>
      </w:pPr>
      <w:r>
        <w:rPr>
          <w:rFonts w:hint="eastAsia" w:ascii="宋体" w:hAnsi="宋体"/>
          <w:sz w:val="24"/>
        </w:rPr>
        <w:t>（</w:t>
      </w:r>
      <w:r>
        <w:rPr>
          <w:rFonts w:ascii="宋体" w:hAnsi="宋体"/>
          <w:sz w:val="24"/>
        </w:rPr>
        <w:t>1）评标委员会审查投标文件的实质性内容是否符合招标文件的实质性要求。</w:t>
      </w:r>
    </w:p>
    <w:p>
      <w:pPr>
        <w:snapToGrid w:val="0"/>
        <w:ind w:firstLine="480" w:firstLineChars="200"/>
        <w:rPr>
          <w:rFonts w:ascii="宋体" w:hAnsi="宋体"/>
          <w:sz w:val="24"/>
          <w:szCs w:val="20"/>
        </w:rPr>
      </w:pPr>
      <w:r>
        <w:rPr>
          <w:rFonts w:hint="eastAsia" w:ascii="宋体" w:hAnsi="宋体"/>
          <w:sz w:val="24"/>
        </w:rPr>
        <w:t>（</w:t>
      </w:r>
      <w:r>
        <w:rPr>
          <w:rFonts w:ascii="宋体" w:hAnsi="宋体"/>
          <w:sz w:val="24"/>
        </w:rPr>
        <w:t>2）评标委员会将根据投标人的投标文件进行审查、核对,如有疑问,将对投标人进行询标,投标人要向评标委员会澄清有关问题,并最终以书面形式进行答复。</w:t>
      </w:r>
    </w:p>
    <w:p>
      <w:pPr>
        <w:snapToGrid w:val="0"/>
        <w:rPr>
          <w:rFonts w:ascii="宋体" w:hAnsi="宋体"/>
          <w:sz w:val="24"/>
          <w:szCs w:val="20"/>
        </w:rPr>
      </w:pPr>
      <w:r>
        <w:rPr>
          <w:rFonts w:hint="eastAsia" w:ascii="宋体" w:hAnsi="宋体"/>
          <w:sz w:val="24"/>
        </w:rPr>
        <w:t>投标人代表未到场或者拒绝澄清或者澄清的内容改变了投标文件的实质性内容的，评标委员会有权对该投标文件作出不利于投标人的评判。</w:t>
      </w:r>
    </w:p>
    <w:p>
      <w:pPr>
        <w:snapToGrid w:val="0"/>
        <w:ind w:firstLine="480" w:firstLineChars="200"/>
        <w:rPr>
          <w:rFonts w:ascii="宋体" w:hAnsi="宋体"/>
          <w:sz w:val="24"/>
          <w:szCs w:val="20"/>
        </w:rPr>
      </w:pPr>
      <w:r>
        <w:rPr>
          <w:rFonts w:hint="eastAsia" w:ascii="宋体" w:hAnsi="宋体"/>
          <w:sz w:val="24"/>
        </w:rPr>
        <w:t>（</w:t>
      </w:r>
      <w:r>
        <w:rPr>
          <w:rFonts w:ascii="宋体" w:hAnsi="宋体"/>
          <w:sz w:val="24"/>
        </w:rPr>
        <w:t>3）各投标人的技术</w:t>
      </w:r>
      <w:r>
        <w:rPr>
          <w:rFonts w:hint="eastAsia" w:ascii="宋体" w:hAnsi="宋体"/>
          <w:sz w:val="24"/>
        </w:rPr>
        <w:t>商务</w:t>
      </w:r>
      <w:r>
        <w:rPr>
          <w:rFonts w:ascii="宋体" w:hAnsi="宋体"/>
          <w:sz w:val="24"/>
        </w:rPr>
        <w:t>得分为所有评委的有效评分的算术平均数</w:t>
      </w:r>
      <w:r>
        <w:rPr>
          <w:rFonts w:hint="eastAsia" w:ascii="宋体" w:hAnsi="宋体"/>
          <w:sz w:val="24"/>
        </w:rPr>
        <w:t>，</w:t>
      </w:r>
      <w:r>
        <w:rPr>
          <w:rFonts w:ascii="宋体" w:hAnsi="宋体"/>
          <w:sz w:val="24"/>
        </w:rPr>
        <w:t>由指定专人进行计算复核。</w:t>
      </w:r>
    </w:p>
    <w:p>
      <w:pPr>
        <w:snapToGrid w:val="0"/>
        <w:ind w:firstLine="480" w:firstLineChars="200"/>
        <w:rPr>
          <w:rFonts w:hint="eastAsia" w:ascii="宋体" w:hAnsi="宋体"/>
          <w:sz w:val="24"/>
          <w:szCs w:val="20"/>
        </w:rPr>
      </w:pPr>
      <w:r>
        <w:rPr>
          <w:rFonts w:hint="eastAsia" w:ascii="宋体" w:hAnsi="宋体"/>
          <w:sz w:val="24"/>
        </w:rPr>
        <w:t>（</w:t>
      </w:r>
      <w:r>
        <w:rPr>
          <w:rFonts w:ascii="宋体" w:hAnsi="宋体"/>
          <w:sz w:val="24"/>
        </w:rPr>
        <w:t>4）</w:t>
      </w:r>
      <w:r>
        <w:rPr>
          <w:rFonts w:hint="eastAsia" w:ascii="宋体" w:hAnsi="宋体"/>
          <w:sz w:val="24"/>
        </w:rPr>
        <w:t>代理机构工作人员协助</w:t>
      </w:r>
      <w:r>
        <w:rPr>
          <w:rFonts w:ascii="宋体" w:hAnsi="宋体"/>
          <w:sz w:val="24"/>
        </w:rPr>
        <w:t>评标委员会根据</w:t>
      </w:r>
      <w:r>
        <w:rPr>
          <w:rFonts w:hint="eastAsia" w:ascii="宋体" w:hAnsi="宋体"/>
          <w:sz w:val="24"/>
        </w:rPr>
        <w:t>本项目的评分标准</w:t>
      </w:r>
      <w:r>
        <w:rPr>
          <w:rFonts w:ascii="宋体" w:hAnsi="宋体"/>
          <w:sz w:val="24"/>
        </w:rPr>
        <w:t>计算各投标人的报价得分</w:t>
      </w:r>
      <w:r>
        <w:rPr>
          <w:rFonts w:hint="eastAsia" w:ascii="宋体" w:hAnsi="宋体"/>
          <w:sz w:val="24"/>
        </w:rPr>
        <w:t>。</w:t>
      </w:r>
    </w:p>
    <w:p>
      <w:pPr>
        <w:snapToGrid w:val="0"/>
        <w:ind w:firstLine="480" w:firstLineChars="200"/>
        <w:rPr>
          <w:rFonts w:ascii="宋体" w:hAnsi="宋体"/>
          <w:sz w:val="24"/>
          <w:szCs w:val="20"/>
        </w:rPr>
      </w:pPr>
      <w:r>
        <w:rPr>
          <w:rFonts w:hint="eastAsia" w:ascii="宋体" w:hAnsi="宋体"/>
          <w:sz w:val="24"/>
        </w:rPr>
        <w:t>（</w:t>
      </w:r>
      <w:r>
        <w:rPr>
          <w:rFonts w:ascii="宋体" w:hAnsi="宋体"/>
          <w:sz w:val="24"/>
        </w:rPr>
        <w:t>5）评标委员会完成评标后,评委对各部分得分汇总,</w:t>
      </w:r>
      <w:r>
        <w:rPr>
          <w:rFonts w:hint="eastAsia" w:ascii="宋体" w:hAnsi="宋体"/>
          <w:sz w:val="24"/>
        </w:rPr>
        <w:t>计算</w:t>
      </w:r>
      <w:r>
        <w:rPr>
          <w:rFonts w:ascii="宋体" w:hAnsi="宋体"/>
          <w:sz w:val="24"/>
        </w:rPr>
        <w:t>出本项目</w:t>
      </w:r>
      <w:r>
        <w:rPr>
          <w:rFonts w:hint="eastAsia" w:ascii="宋体" w:hAnsi="宋体"/>
          <w:sz w:val="24"/>
        </w:rPr>
        <w:t>最终得分、性价比、评标价等</w:t>
      </w:r>
      <w:r>
        <w:rPr>
          <w:rFonts w:ascii="宋体" w:hAnsi="宋体"/>
          <w:sz w:val="24"/>
        </w:rPr>
        <w:t>。评标委员会按评标原则推荐中标候选人同时起草评标报告。</w:t>
      </w:r>
    </w:p>
    <w:p>
      <w:pPr>
        <w:snapToGrid w:val="0"/>
        <w:ind w:firstLine="480" w:firstLineChars="200"/>
        <w:rPr>
          <w:rFonts w:ascii="宋体" w:hAnsi="宋体"/>
          <w:b/>
          <w:sz w:val="24"/>
          <w:szCs w:val="20"/>
        </w:rPr>
      </w:pPr>
      <w:r>
        <w:rPr>
          <w:rFonts w:hint="eastAsia" w:ascii="宋体" w:hAnsi="宋体"/>
          <w:sz w:val="24"/>
        </w:rPr>
        <w:t>（四）</w:t>
      </w:r>
      <w:r>
        <w:rPr>
          <w:rFonts w:hint="eastAsia" w:ascii="宋体" w:hAnsi="宋体"/>
          <w:b/>
          <w:sz w:val="24"/>
        </w:rPr>
        <w:t>澄清问题的形式</w:t>
      </w:r>
    </w:p>
    <w:p>
      <w:pPr>
        <w:snapToGrid w:val="0"/>
        <w:ind w:firstLine="480" w:firstLineChars="200"/>
        <w:rPr>
          <w:rFonts w:ascii="宋体" w:hAnsi="宋体"/>
          <w:sz w:val="24"/>
          <w:szCs w:val="20"/>
        </w:rPr>
      </w:pPr>
      <w:r>
        <w:rPr>
          <w:rFonts w:hint="eastAsia" w:ascii="宋体" w:hAnsi="宋体"/>
          <w:sz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28"/>
        <w:numPr>
          <w:ilvl w:val="0"/>
          <w:numId w:val="0"/>
        </w:numPr>
        <w:tabs>
          <w:tab w:val="left" w:pos="1200"/>
        </w:tabs>
        <w:snapToGrid w:val="0"/>
        <w:spacing w:beforeLines="0" w:afterLines="0" w:line="240" w:lineRule="auto"/>
        <w:ind w:left="479"/>
        <w:rPr>
          <w:rFonts w:hAnsi="宋体"/>
          <w:b/>
        </w:rPr>
      </w:pPr>
      <w:r>
        <w:rPr>
          <w:rFonts w:hAnsi="宋体"/>
        </w:rPr>
        <w:t>（五）</w:t>
      </w:r>
      <w:r>
        <w:rPr>
          <w:rFonts w:hAnsi="宋体"/>
          <w:b/>
        </w:rPr>
        <w:t>错误修正</w:t>
      </w:r>
    </w:p>
    <w:p>
      <w:pPr>
        <w:pStyle w:val="28"/>
        <w:numPr>
          <w:ilvl w:val="0"/>
          <w:numId w:val="0"/>
        </w:numPr>
        <w:tabs>
          <w:tab w:val="left" w:pos="1200"/>
        </w:tabs>
        <w:snapToGrid w:val="0"/>
        <w:spacing w:beforeLines="0" w:afterLines="0" w:line="260" w:lineRule="exact"/>
        <w:ind w:left="479" w:leftChars="228" w:firstLine="120" w:firstLineChars="50"/>
        <w:rPr>
          <w:rFonts w:hAnsi="宋体"/>
        </w:rPr>
      </w:pPr>
      <w:r>
        <w:rPr>
          <w:rFonts w:hAnsi="宋体"/>
        </w:rPr>
        <w:t>投标文件如果出现计算或表达上的错误，修正错误的原则如下：</w:t>
      </w:r>
    </w:p>
    <w:p>
      <w:pPr>
        <w:snapToGrid w:val="0"/>
        <w:spacing w:line="260" w:lineRule="exact"/>
        <w:ind w:firstLine="480" w:firstLineChars="200"/>
        <w:rPr>
          <w:rFonts w:hint="eastAsia" w:ascii="宋体" w:hAnsi="宋体"/>
          <w:sz w:val="24"/>
          <w:szCs w:val="20"/>
        </w:rPr>
      </w:pPr>
      <w:r>
        <w:rPr>
          <w:rFonts w:ascii="宋体" w:hAnsi="宋体"/>
          <w:sz w:val="24"/>
        </w:rPr>
        <w:t>1</w:t>
      </w:r>
      <w:r>
        <w:rPr>
          <w:rFonts w:hint="eastAsia" w:ascii="宋体" w:hAnsi="宋体"/>
          <w:sz w:val="24"/>
        </w:rPr>
        <w:t>.开标一览表总价与投标报价明细表汇总数不一致的，</w:t>
      </w:r>
      <w:r>
        <w:rPr>
          <w:rFonts w:hint="eastAsia" w:ascii="宋体" w:hAnsi="宋体" w:cs="Arial"/>
          <w:kern w:val="0"/>
          <w:sz w:val="24"/>
        </w:rPr>
        <w:t>以开标一览表为准；</w:t>
      </w:r>
    </w:p>
    <w:p>
      <w:pPr>
        <w:pStyle w:val="28"/>
        <w:numPr>
          <w:ilvl w:val="0"/>
          <w:numId w:val="0"/>
        </w:numPr>
        <w:tabs>
          <w:tab w:val="left" w:pos="1200"/>
        </w:tabs>
        <w:snapToGrid w:val="0"/>
        <w:spacing w:beforeLines="0" w:afterLines="0" w:line="260" w:lineRule="exact"/>
        <w:ind w:firstLine="480" w:firstLineChars="200"/>
        <w:rPr>
          <w:rFonts w:hint="eastAsia" w:hAnsi="宋体"/>
        </w:rPr>
      </w:pPr>
      <w:r>
        <w:rPr>
          <w:rFonts w:hAnsi="宋体"/>
        </w:rPr>
        <w:t>2</w:t>
      </w:r>
      <w:r>
        <w:rPr>
          <w:rFonts w:hint="eastAsia" w:hAnsi="宋体"/>
        </w:rPr>
        <w:t>.</w:t>
      </w:r>
      <w:r>
        <w:rPr>
          <w:rFonts w:hAnsi="宋体"/>
        </w:rPr>
        <w:t>投标文件的大写金额和小写金额不一致的，以大写金额为准；</w:t>
      </w:r>
    </w:p>
    <w:p>
      <w:pPr>
        <w:pStyle w:val="28"/>
        <w:numPr>
          <w:ilvl w:val="0"/>
          <w:numId w:val="0"/>
        </w:numPr>
        <w:tabs>
          <w:tab w:val="left" w:pos="1200"/>
        </w:tabs>
        <w:snapToGrid w:val="0"/>
        <w:spacing w:beforeLines="0" w:afterLines="0" w:line="260" w:lineRule="exact"/>
        <w:ind w:firstLine="480" w:firstLineChars="200"/>
        <w:rPr>
          <w:rFonts w:hint="eastAsia" w:hAnsi="宋体"/>
        </w:rPr>
      </w:pPr>
      <w:r>
        <w:rPr>
          <w:rFonts w:hint="eastAsia" w:hAnsi="宋体"/>
        </w:rPr>
        <w:t>3.单价金额小数点或者百分比有明显错位的，以开标一览表的总价为准，并修改单价；</w:t>
      </w:r>
    </w:p>
    <w:p>
      <w:pPr>
        <w:pStyle w:val="28"/>
        <w:numPr>
          <w:ilvl w:val="0"/>
          <w:numId w:val="0"/>
        </w:numPr>
        <w:tabs>
          <w:tab w:val="left" w:pos="1200"/>
        </w:tabs>
        <w:snapToGrid w:val="0"/>
        <w:spacing w:beforeLines="0" w:afterLines="0" w:line="260" w:lineRule="exact"/>
        <w:ind w:firstLine="480" w:firstLineChars="200"/>
        <w:rPr>
          <w:rFonts w:hAnsi="宋体"/>
        </w:rPr>
      </w:pPr>
      <w:r>
        <w:rPr>
          <w:rFonts w:hint="eastAsia" w:hAnsi="宋体"/>
        </w:rPr>
        <w:t>4.</w:t>
      </w:r>
      <w:r>
        <w:rPr>
          <w:rFonts w:hAnsi="宋体"/>
        </w:rPr>
        <w:t>总价金额与按单价汇总金额不一致的，以单价金额计算结果为准；</w:t>
      </w:r>
    </w:p>
    <w:p>
      <w:pPr>
        <w:pStyle w:val="28"/>
        <w:numPr>
          <w:ilvl w:val="0"/>
          <w:numId w:val="0"/>
        </w:numPr>
        <w:tabs>
          <w:tab w:val="left" w:pos="1200"/>
        </w:tabs>
        <w:snapToGrid w:val="0"/>
        <w:spacing w:beforeLines="0" w:afterLines="0" w:line="260" w:lineRule="exact"/>
        <w:ind w:firstLine="480" w:firstLineChars="200"/>
        <w:rPr>
          <w:rFonts w:hAnsi="宋体"/>
        </w:rPr>
      </w:pPr>
      <w:r>
        <w:rPr>
          <w:rFonts w:hint="eastAsia" w:hAnsi="宋体"/>
        </w:rPr>
        <w:t>5.</w:t>
      </w:r>
      <w:r>
        <w:rPr>
          <w:rFonts w:hAnsi="宋体"/>
        </w:rPr>
        <w:t>对不同文字文本投标文件的解释发生异议的，以中文文本为准。</w:t>
      </w:r>
    </w:p>
    <w:p>
      <w:pPr>
        <w:pStyle w:val="28"/>
        <w:numPr>
          <w:ilvl w:val="0"/>
          <w:numId w:val="0"/>
        </w:numPr>
        <w:tabs>
          <w:tab w:val="left" w:pos="1200"/>
        </w:tabs>
        <w:snapToGrid w:val="0"/>
        <w:spacing w:beforeLines="0" w:afterLines="0" w:line="240" w:lineRule="auto"/>
        <w:ind w:firstLine="472" w:firstLineChars="196"/>
        <w:rPr>
          <w:rFonts w:hAnsi="宋体"/>
          <w:b/>
          <w:bCs/>
        </w:rPr>
      </w:pPr>
      <w:r>
        <w:rPr>
          <w:rFonts w:hAnsi="宋体"/>
          <w:b/>
          <w:bCs/>
        </w:rPr>
        <w:t>按上述修正错误的原则及方法调整或修正投标文件的投标报价，投标人同意</w:t>
      </w:r>
      <w:r>
        <w:rPr>
          <w:rFonts w:hint="eastAsia" w:hAnsi="宋体"/>
          <w:b/>
          <w:bCs/>
        </w:rPr>
        <w:t>并签字确认</w:t>
      </w:r>
      <w:r>
        <w:rPr>
          <w:rFonts w:hAnsi="宋体"/>
          <w:b/>
          <w:bCs/>
        </w:rPr>
        <w:t>后，调整后的投标报价对投标人具有约束作用。如果投标人不接受修正后的报价，则其投标将</w:t>
      </w:r>
      <w:r>
        <w:rPr>
          <w:rFonts w:hint="eastAsia" w:hAnsi="宋体"/>
          <w:b/>
          <w:bCs/>
        </w:rPr>
        <w:t>作为无效投标处理</w:t>
      </w:r>
      <w:r>
        <w:rPr>
          <w:rFonts w:hAnsi="宋体"/>
          <w:b/>
          <w:bCs/>
        </w:rPr>
        <w:t>。</w:t>
      </w:r>
    </w:p>
    <w:p>
      <w:pPr>
        <w:pStyle w:val="28"/>
        <w:numPr>
          <w:ilvl w:val="0"/>
          <w:numId w:val="0"/>
        </w:numPr>
        <w:tabs>
          <w:tab w:val="left" w:pos="630"/>
          <w:tab w:val="left" w:pos="1200"/>
        </w:tabs>
        <w:snapToGrid w:val="0"/>
        <w:spacing w:beforeLines="0" w:afterLines="0" w:line="240" w:lineRule="auto"/>
        <w:ind w:firstLine="472" w:firstLineChars="196"/>
        <w:rPr>
          <w:rFonts w:hAnsi="宋体"/>
          <w:b/>
        </w:rPr>
      </w:pPr>
      <w:r>
        <w:rPr>
          <w:rFonts w:hAnsi="宋体"/>
          <w:b/>
        </w:rPr>
        <w:t>（六）评标原则和评标办法</w:t>
      </w:r>
    </w:p>
    <w:p>
      <w:pPr>
        <w:pStyle w:val="28"/>
        <w:numPr>
          <w:ilvl w:val="0"/>
          <w:numId w:val="0"/>
        </w:numPr>
        <w:tabs>
          <w:tab w:val="left" w:pos="1200"/>
        </w:tabs>
        <w:snapToGrid w:val="0"/>
        <w:spacing w:beforeLines="0" w:afterLines="0" w:line="240" w:lineRule="auto"/>
        <w:ind w:firstLine="480" w:firstLineChars="200"/>
        <w:rPr>
          <w:rFonts w:hAnsi="宋体"/>
        </w:rPr>
      </w:pPr>
      <w:r>
        <w:rPr>
          <w:rFonts w:hAnsi="宋体"/>
        </w:rPr>
        <w:t>1</w:t>
      </w:r>
      <w:r>
        <w:rPr>
          <w:rFonts w:hint="eastAsia" w:hAnsi="宋体"/>
        </w:rPr>
        <w:t>.</w:t>
      </w:r>
      <w:r>
        <w:rPr>
          <w:rFonts w:hAnsi="宋体"/>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8"/>
        <w:numPr>
          <w:ilvl w:val="0"/>
          <w:numId w:val="0"/>
        </w:numPr>
        <w:tabs>
          <w:tab w:val="left" w:pos="1200"/>
        </w:tabs>
        <w:snapToGrid w:val="0"/>
        <w:spacing w:beforeLines="0" w:afterLines="0" w:line="240" w:lineRule="auto"/>
        <w:ind w:firstLine="480" w:firstLineChars="200"/>
        <w:rPr>
          <w:rFonts w:hAnsi="宋体"/>
        </w:rPr>
      </w:pPr>
      <w:r>
        <w:rPr>
          <w:rFonts w:hAnsi="宋体"/>
        </w:rPr>
        <w:t>2</w:t>
      </w:r>
      <w:r>
        <w:rPr>
          <w:rFonts w:hint="eastAsia" w:hAnsi="宋体"/>
        </w:rPr>
        <w:t>.</w:t>
      </w:r>
      <w:r>
        <w:rPr>
          <w:rFonts w:hAnsi="宋体"/>
        </w:rPr>
        <w:t>评标办法。本项目评标办法是</w:t>
      </w:r>
      <w:r>
        <w:rPr>
          <w:rFonts w:hAnsi="宋体"/>
          <w:u w:val="single"/>
        </w:rPr>
        <w:t xml:space="preserve"> </w:t>
      </w:r>
      <w:r>
        <w:rPr>
          <w:rFonts w:hint="eastAsia" w:hAnsi="宋体"/>
          <w:u w:val="single"/>
        </w:rPr>
        <w:t>综合评分法</w:t>
      </w:r>
      <w:r>
        <w:rPr>
          <w:rFonts w:hAnsi="宋体"/>
          <w:u w:val="single"/>
        </w:rPr>
        <w:t xml:space="preserve"> </w:t>
      </w:r>
      <w:r>
        <w:rPr>
          <w:rFonts w:hAnsi="宋体"/>
        </w:rPr>
        <w:t>，具体评标内容及评分标准等详见《第四章：评标办法及评分标准》。</w:t>
      </w:r>
    </w:p>
    <w:p>
      <w:pPr>
        <w:pStyle w:val="28"/>
        <w:numPr>
          <w:ilvl w:val="0"/>
          <w:numId w:val="0"/>
        </w:numPr>
        <w:tabs>
          <w:tab w:val="left" w:pos="1200"/>
        </w:tabs>
        <w:snapToGrid w:val="0"/>
        <w:spacing w:beforeLines="0" w:afterLines="0" w:line="240" w:lineRule="auto"/>
        <w:ind w:firstLine="472" w:firstLineChars="196"/>
        <w:rPr>
          <w:rFonts w:hAnsi="宋体"/>
          <w:b/>
        </w:rPr>
      </w:pPr>
      <w:r>
        <w:rPr>
          <w:rFonts w:hAnsi="宋体"/>
          <w:b/>
        </w:rPr>
        <w:t>（七）评标过程的监控</w:t>
      </w:r>
    </w:p>
    <w:p>
      <w:pPr>
        <w:pStyle w:val="28"/>
        <w:numPr>
          <w:ilvl w:val="0"/>
          <w:numId w:val="0"/>
        </w:numPr>
        <w:tabs>
          <w:tab w:val="left" w:pos="1200"/>
        </w:tabs>
        <w:snapToGrid w:val="0"/>
        <w:spacing w:beforeLines="0" w:afterLines="0" w:line="240" w:lineRule="auto"/>
        <w:ind w:firstLine="480" w:firstLineChars="200"/>
        <w:rPr>
          <w:rFonts w:hAnsi="宋体"/>
        </w:rPr>
      </w:pPr>
      <w:r>
        <w:rPr>
          <w:rFonts w:hAnsi="宋体"/>
        </w:rPr>
        <w:t>本项目评标过程</w:t>
      </w:r>
      <w:r>
        <w:rPr>
          <w:rFonts w:hint="eastAsia" w:hAnsi="宋体"/>
        </w:rPr>
        <w:t>实行全程录音、录像监控并</w:t>
      </w:r>
      <w:r>
        <w:rPr>
          <w:rFonts w:hAnsi="宋体"/>
        </w:rPr>
        <w:t>聘请</w:t>
      </w:r>
      <w:r>
        <w:rPr>
          <w:rFonts w:hAnsi="宋体"/>
          <w:u w:val="single"/>
        </w:rPr>
        <w:t xml:space="preserve"> </w:t>
      </w:r>
      <w:r>
        <w:rPr>
          <w:rFonts w:hint="eastAsia" w:hAnsi="宋体"/>
          <w:u w:val="single"/>
        </w:rPr>
        <w:t>磐安县公证处</w:t>
      </w:r>
      <w:r>
        <w:rPr>
          <w:rFonts w:hAnsi="宋体"/>
          <w:u w:val="single"/>
        </w:rPr>
        <w:t xml:space="preserve">  </w:t>
      </w:r>
      <w:r>
        <w:rPr>
          <w:rFonts w:hint="eastAsia" w:hAnsi="宋体"/>
        </w:rPr>
        <w:t>和</w:t>
      </w:r>
      <w:r>
        <w:rPr>
          <w:rFonts w:hAnsi="宋体"/>
          <w:u w:val="single"/>
        </w:rPr>
        <w:t xml:space="preserve">  </w:t>
      </w:r>
      <w:r>
        <w:rPr>
          <w:rFonts w:hint="eastAsia" w:hAnsi="宋体"/>
          <w:u w:val="single"/>
        </w:rPr>
        <w:t>邀请政府采购监督部门派员</w:t>
      </w:r>
      <w:r>
        <w:rPr>
          <w:rFonts w:hAnsi="宋体"/>
        </w:rPr>
        <w:t>进行现场监督，投标人在评标过程中所进行的</w:t>
      </w:r>
      <w:r>
        <w:rPr>
          <w:rFonts w:hint="eastAsia" w:hAnsi="宋体"/>
        </w:rPr>
        <w:t>试</w:t>
      </w:r>
      <w:r>
        <w:rPr>
          <w:rFonts w:hAnsi="宋体"/>
        </w:rPr>
        <w:t>图影响评标结果的不公正活动，可能导致其投标被拒绝。</w:t>
      </w:r>
    </w:p>
    <w:p>
      <w:pPr>
        <w:pStyle w:val="28"/>
        <w:numPr>
          <w:ilvl w:val="0"/>
          <w:numId w:val="0"/>
        </w:numPr>
        <w:tabs>
          <w:tab w:val="left" w:pos="1200"/>
        </w:tabs>
        <w:snapToGrid w:val="0"/>
        <w:spacing w:beforeLines="0" w:afterLines="0" w:line="240" w:lineRule="auto"/>
        <w:ind w:firstLine="551" w:firstLineChars="196"/>
        <w:outlineLvl w:val="0"/>
        <w:rPr>
          <w:rFonts w:hint="eastAsia" w:hAnsi="宋体"/>
          <w:b/>
          <w:sz w:val="28"/>
          <w:szCs w:val="28"/>
        </w:rPr>
      </w:pPr>
      <w:r>
        <w:rPr>
          <w:rFonts w:hint="eastAsia" w:hAnsi="宋体"/>
          <w:b/>
          <w:sz w:val="28"/>
          <w:szCs w:val="28"/>
        </w:rPr>
        <w:t>六、定标</w:t>
      </w:r>
    </w:p>
    <w:p>
      <w:pPr>
        <w:pStyle w:val="28"/>
        <w:numPr>
          <w:ilvl w:val="0"/>
          <w:numId w:val="0"/>
        </w:numPr>
        <w:tabs>
          <w:tab w:val="left" w:pos="1200"/>
        </w:tabs>
        <w:snapToGrid w:val="0"/>
        <w:spacing w:before="0" w:beforeLines="0" w:after="0" w:afterLines="0" w:line="240" w:lineRule="auto"/>
        <w:ind w:firstLine="472" w:firstLineChars="196"/>
        <w:rPr>
          <w:rFonts w:hAnsi="宋体"/>
          <w:b/>
          <w:bCs/>
          <w:szCs w:val="20"/>
        </w:rPr>
      </w:pPr>
      <w:r>
        <w:rPr>
          <w:rFonts w:hint="eastAsia" w:hAnsi="宋体"/>
          <w:b/>
          <w:bCs/>
        </w:rPr>
        <w:t>（一）确定中标人。本项目由采购人（或采购人事先授权评标委员会）确定中标人。</w:t>
      </w:r>
    </w:p>
    <w:p>
      <w:pPr>
        <w:snapToGrid w:val="0"/>
        <w:ind w:firstLine="480" w:firstLineChars="200"/>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采购代理机构在评标结束后2个工作日内将评标报告交采购人确认，同时在发布招标公告的网站上对评标结果进行公示。</w:t>
      </w:r>
    </w:p>
    <w:p>
      <w:pPr>
        <w:snapToGrid w:val="0"/>
        <w:ind w:firstLine="480" w:firstLineChars="200"/>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投标</w:t>
      </w:r>
      <w:r>
        <w:rPr>
          <w:rFonts w:ascii="宋体" w:hAnsi="宋体"/>
          <w:spacing w:val="-6"/>
          <w:sz w:val="24"/>
        </w:rPr>
        <w:t>人对评标结果无异议的，采购人应在收到评标报告后5个工作日内对评标结果进行确认。如有投标人对评标结果提出质疑的，采购人可在质疑处理完毕后确</w:t>
      </w:r>
      <w:r>
        <w:rPr>
          <w:rFonts w:ascii="宋体" w:hAnsi="宋体"/>
          <w:sz w:val="24"/>
        </w:rPr>
        <w:t>定中标人。</w:t>
      </w:r>
    </w:p>
    <w:p>
      <w:pPr>
        <w:snapToGrid w:val="0"/>
        <w:ind w:firstLine="480" w:firstLineChars="200"/>
        <w:rPr>
          <w:rFonts w:ascii="宋体" w:hAnsi="宋体"/>
          <w:sz w:val="24"/>
          <w:szCs w:val="20"/>
        </w:rPr>
      </w:pPr>
      <w:r>
        <w:rPr>
          <w:rFonts w:hint="eastAsia" w:ascii="宋体" w:hAnsi="宋体"/>
          <w:sz w:val="24"/>
        </w:rPr>
        <w:t>3.采购人依法确定中标人后</w:t>
      </w:r>
      <w:r>
        <w:rPr>
          <w:rFonts w:ascii="宋体" w:hAnsi="宋体"/>
          <w:sz w:val="24"/>
        </w:rPr>
        <w:t>，采购代理机构以书面形式发出《中标通知书》,并同时在相关网站上发布中标公告。</w:t>
      </w:r>
    </w:p>
    <w:p>
      <w:pPr>
        <w:pStyle w:val="28"/>
        <w:numPr>
          <w:ilvl w:val="0"/>
          <w:numId w:val="0"/>
        </w:numPr>
        <w:tabs>
          <w:tab w:val="left" w:pos="1200"/>
        </w:tabs>
        <w:snapToGrid w:val="0"/>
        <w:spacing w:beforeLines="0" w:afterLines="0" w:line="240" w:lineRule="auto"/>
        <w:ind w:firstLine="551" w:firstLineChars="196"/>
        <w:outlineLvl w:val="0"/>
        <w:rPr>
          <w:rFonts w:hint="eastAsia" w:hAnsi="宋体"/>
          <w:b/>
          <w:sz w:val="28"/>
          <w:szCs w:val="28"/>
        </w:rPr>
      </w:pPr>
      <w:r>
        <w:rPr>
          <w:rFonts w:hint="eastAsia" w:hAnsi="宋体"/>
          <w:b/>
          <w:sz w:val="28"/>
          <w:szCs w:val="28"/>
        </w:rPr>
        <w:t>七、合同授予</w:t>
      </w:r>
    </w:p>
    <w:p>
      <w:pPr>
        <w:snapToGrid w:val="0"/>
        <w:ind w:firstLine="472" w:firstLineChars="196"/>
        <w:rPr>
          <w:rFonts w:ascii="宋体" w:hAnsi="宋体"/>
          <w:b/>
          <w:bCs/>
          <w:sz w:val="24"/>
          <w:szCs w:val="20"/>
        </w:rPr>
      </w:pPr>
      <w:r>
        <w:rPr>
          <w:rFonts w:hint="eastAsia" w:ascii="宋体" w:hAnsi="宋体"/>
          <w:b/>
          <w:bCs/>
          <w:sz w:val="24"/>
        </w:rPr>
        <w:t>（一）签订合同</w:t>
      </w:r>
    </w:p>
    <w:p>
      <w:pPr>
        <w:snapToGrid w:val="0"/>
        <w:ind w:firstLine="480" w:firstLineChars="200"/>
        <w:rPr>
          <w:rFonts w:ascii="宋体" w:hAnsi="宋体"/>
          <w:sz w:val="24"/>
          <w:szCs w:val="20"/>
        </w:rPr>
      </w:pPr>
      <w:r>
        <w:rPr>
          <w:rFonts w:ascii="宋体" w:hAnsi="宋体"/>
          <w:sz w:val="24"/>
        </w:rPr>
        <w:t>1</w:t>
      </w:r>
      <w:r>
        <w:rPr>
          <w:rFonts w:hint="eastAsia" w:ascii="宋体" w:hAnsi="宋体"/>
          <w:sz w:val="24"/>
        </w:rPr>
        <w:t>.采购人与</w:t>
      </w:r>
      <w:r>
        <w:rPr>
          <w:rFonts w:ascii="宋体" w:hAnsi="宋体"/>
          <w:sz w:val="24"/>
        </w:rPr>
        <w:t>中标人应</w:t>
      </w:r>
      <w:r>
        <w:rPr>
          <w:rFonts w:hint="eastAsia" w:ascii="宋体" w:hAnsi="宋体"/>
          <w:sz w:val="24"/>
        </w:rPr>
        <w:t>当在《</w:t>
      </w:r>
      <w:r>
        <w:rPr>
          <w:rFonts w:ascii="宋体" w:hAnsi="宋体"/>
          <w:sz w:val="24"/>
        </w:rPr>
        <w:t>中标通知书</w:t>
      </w:r>
      <w:r>
        <w:rPr>
          <w:rFonts w:hint="eastAsia" w:ascii="宋体" w:hAnsi="宋体"/>
          <w:sz w:val="24"/>
        </w:rPr>
        <w:t>》发出之日起</w:t>
      </w:r>
      <w:r>
        <w:rPr>
          <w:rFonts w:hint="eastAsia" w:ascii="宋体" w:hAnsi="宋体"/>
          <w:sz w:val="24"/>
          <w:u w:val="single"/>
        </w:rPr>
        <w:t xml:space="preserve"> 10 </w:t>
      </w:r>
      <w:r>
        <w:rPr>
          <w:rFonts w:hint="eastAsia" w:ascii="宋体" w:hAnsi="宋体"/>
          <w:sz w:val="24"/>
        </w:rPr>
        <w:t>日内签订政府采购合同。同时，采购代理机构对合同内容进行审查，如发现与采购结果和投标承诺内容不一致的，应予以纠正。</w:t>
      </w:r>
    </w:p>
    <w:p>
      <w:pPr>
        <w:snapToGrid w:val="0"/>
        <w:ind w:firstLine="480" w:firstLineChars="200"/>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中标人拖延、拒签合同的,将被扣罚投标保证金并取消中标资格。</w:t>
      </w:r>
    </w:p>
    <w:p>
      <w:pPr>
        <w:pStyle w:val="28"/>
        <w:numPr>
          <w:ilvl w:val="0"/>
          <w:numId w:val="0"/>
        </w:numPr>
        <w:tabs>
          <w:tab w:val="left" w:pos="1200"/>
        </w:tabs>
        <w:snapToGrid w:val="0"/>
        <w:spacing w:beforeLines="0" w:afterLines="0" w:line="240" w:lineRule="auto"/>
        <w:ind w:firstLine="472" w:firstLineChars="196"/>
        <w:rPr>
          <w:rFonts w:hAnsi="宋体"/>
          <w:b/>
        </w:rPr>
      </w:pPr>
      <w:r>
        <w:rPr>
          <w:rFonts w:hAnsi="宋体"/>
          <w:b/>
        </w:rPr>
        <w:t>（二）履约保证金及质量保</w:t>
      </w:r>
      <w:r>
        <w:rPr>
          <w:rFonts w:hint="eastAsia" w:hAnsi="宋体"/>
          <w:b/>
        </w:rPr>
        <w:t>证</w:t>
      </w:r>
      <w:r>
        <w:rPr>
          <w:rFonts w:hAnsi="宋体"/>
          <w:b/>
        </w:rPr>
        <w:t>金</w:t>
      </w:r>
    </w:p>
    <w:p>
      <w:pPr>
        <w:pStyle w:val="28"/>
        <w:numPr>
          <w:ilvl w:val="0"/>
          <w:numId w:val="0"/>
        </w:numPr>
        <w:tabs>
          <w:tab w:val="left" w:pos="1200"/>
        </w:tabs>
        <w:snapToGrid w:val="0"/>
        <w:spacing w:beforeLines="0" w:afterLines="0" w:line="240" w:lineRule="auto"/>
        <w:ind w:firstLine="480" w:firstLineChars="200"/>
        <w:rPr>
          <w:rFonts w:hAnsi="宋体"/>
        </w:rPr>
      </w:pPr>
      <w:r>
        <w:rPr>
          <w:rFonts w:hAnsi="宋体"/>
        </w:rPr>
        <w:t>1</w:t>
      </w:r>
      <w:r>
        <w:rPr>
          <w:rFonts w:hint="eastAsia" w:hAnsi="宋体"/>
        </w:rPr>
        <w:t>.</w:t>
      </w:r>
      <w:r>
        <w:rPr>
          <w:rFonts w:hAnsi="宋体"/>
        </w:rPr>
        <w:t>签订合同前，中标人应按采购代理机构根据招标文件确定的履约保证金的金额，向采购代理机构交纳履约保证金，否则，采购代理机构将没收中标人的全部投标保证金。</w:t>
      </w:r>
    </w:p>
    <w:p>
      <w:pPr>
        <w:pStyle w:val="28"/>
        <w:numPr>
          <w:ilvl w:val="0"/>
          <w:numId w:val="0"/>
        </w:numPr>
        <w:tabs>
          <w:tab w:val="left" w:pos="1200"/>
        </w:tabs>
        <w:snapToGrid w:val="0"/>
        <w:spacing w:beforeLines="0" w:afterLines="0" w:line="240" w:lineRule="auto"/>
        <w:ind w:firstLine="480" w:firstLineChars="200"/>
        <w:rPr>
          <w:rFonts w:hAnsi="宋体"/>
        </w:rPr>
      </w:pPr>
      <w:r>
        <w:rPr>
          <w:rFonts w:hAnsi="宋体"/>
        </w:rPr>
        <w:t>2</w:t>
      </w:r>
      <w:r>
        <w:rPr>
          <w:rFonts w:hint="eastAsia" w:hAnsi="宋体"/>
        </w:rPr>
        <w:t>.</w:t>
      </w:r>
      <w:r>
        <w:rPr>
          <w:rFonts w:hAnsi="宋体"/>
        </w:rPr>
        <w:t>签订合同后，如中标人不按双方合同约定履约，则没收其全部履约保证金，履约保证金不足以赔偿损失的，按实际损失赔偿。</w:t>
      </w:r>
    </w:p>
    <w:p>
      <w:pPr>
        <w:pStyle w:val="28"/>
        <w:numPr>
          <w:ilvl w:val="0"/>
          <w:numId w:val="0"/>
        </w:numPr>
        <w:tabs>
          <w:tab w:val="left" w:pos="1200"/>
        </w:tabs>
        <w:snapToGrid w:val="0"/>
        <w:spacing w:beforeLines="0" w:afterLines="0" w:line="240" w:lineRule="auto"/>
        <w:ind w:firstLine="480" w:firstLineChars="200"/>
        <w:rPr>
          <w:rFonts w:hint="eastAsia" w:hAnsi="宋体"/>
        </w:rPr>
      </w:pPr>
      <w:r>
        <w:rPr>
          <w:rFonts w:hAnsi="宋体"/>
        </w:rPr>
        <w:t>3</w:t>
      </w:r>
      <w:r>
        <w:rPr>
          <w:rFonts w:hint="eastAsia" w:hAnsi="宋体"/>
        </w:rPr>
        <w:t>.</w:t>
      </w:r>
      <w:r>
        <w:rPr>
          <w:rFonts w:hAnsi="宋体"/>
        </w:rPr>
        <w:t>履约保证金在中标人按合同约定交货验收合格后</w:t>
      </w:r>
      <w:r>
        <w:rPr>
          <w:rFonts w:hint="eastAsia" w:hAnsi="宋体"/>
        </w:rPr>
        <w:t>无息退还</w:t>
      </w:r>
      <w:r>
        <w:rPr>
          <w:rFonts w:hAnsi="宋体"/>
        </w:rPr>
        <w:t>。</w:t>
      </w:r>
    </w:p>
    <w:p>
      <w:pPr>
        <w:widowControl/>
        <w:spacing w:line="360" w:lineRule="auto"/>
        <w:ind w:firstLine="480" w:firstLineChars="200"/>
        <w:jc w:val="left"/>
        <w:rPr>
          <w:rFonts w:ascii="宋体" w:hAnsi="宋体"/>
          <w:sz w:val="24"/>
        </w:rPr>
      </w:pPr>
      <w:r>
        <w:rPr>
          <w:rFonts w:hint="eastAsia" w:ascii="宋体" w:hAnsi="宋体"/>
          <w:sz w:val="24"/>
        </w:rPr>
        <w:t>4、付款方式：合同签订并进场施工后支付合同总金额的15%，主要设备到货后支付至合同总金额的30%，项目完工后支付至合同总金额的60%，项目验收合格后支付至合同总金额的95%；质保到期限后再支付合同总金额的5%。</w:t>
      </w:r>
    </w:p>
    <w:p>
      <w:pPr>
        <w:widowControl/>
        <w:spacing w:line="360" w:lineRule="auto"/>
        <w:ind w:firstLine="482" w:firstLineChars="200"/>
        <w:jc w:val="left"/>
        <w:rPr>
          <w:rFonts w:hint="eastAsia" w:cs="Arial"/>
          <w:b/>
          <w:sz w:val="24"/>
        </w:rPr>
      </w:pPr>
      <w:r>
        <w:rPr>
          <w:rFonts w:hint="eastAsia" w:cs="Arial"/>
          <w:b/>
          <w:sz w:val="24"/>
        </w:rPr>
        <w:t>5、履约保证金交纳账户：交纳至磐安县公安局指定账户。</w:t>
      </w:r>
    </w:p>
    <w:p>
      <w:pPr>
        <w:pStyle w:val="28"/>
        <w:numPr>
          <w:ilvl w:val="0"/>
          <w:numId w:val="0"/>
        </w:numPr>
        <w:tabs>
          <w:tab w:val="left" w:pos="1200"/>
        </w:tabs>
        <w:snapToGrid w:val="0"/>
        <w:spacing w:before="120" w:after="120" w:line="240" w:lineRule="auto"/>
        <w:ind w:left="840"/>
        <w:jc w:val="center"/>
        <w:rPr>
          <w:rFonts w:ascii="黑体" w:hAnsi="宋体" w:eastAsia="黑体"/>
          <w:sz w:val="30"/>
          <w:szCs w:val="30"/>
        </w:rPr>
      </w:pPr>
      <w:r>
        <w:rPr>
          <w:rFonts w:hAnsi="宋体"/>
        </w:rPr>
        <w:br w:type="page"/>
      </w:r>
      <w:r>
        <w:rPr>
          <w:rStyle w:val="75"/>
          <w:rFonts w:hint="eastAsia"/>
        </w:rPr>
        <w:t>第四章  评标办法及评分标准</w:t>
      </w:r>
    </w:p>
    <w:p>
      <w:pPr>
        <w:spacing w:before="120" w:beforeLines="50" w:after="120" w:afterLines="50" w:line="400" w:lineRule="exact"/>
        <w:ind w:firstLine="480" w:firstLineChars="200"/>
        <w:rPr>
          <w:rFonts w:hint="eastAsia" w:ascii="宋体" w:hAnsi="宋体"/>
          <w:sz w:val="24"/>
        </w:rPr>
      </w:pPr>
      <w:r>
        <w:rPr>
          <w:rFonts w:hint="eastAsia" w:ascii="宋体" w:hAnsi="宋体"/>
          <w:sz w:val="24"/>
        </w:rPr>
        <w:t>为公正、公平、科学地选择中标人，根据《中华人民共和国政府采购法》等有关法律法规的规定，并结合本项目的实际，制定本办法。</w:t>
      </w:r>
    </w:p>
    <w:p>
      <w:pPr>
        <w:spacing w:before="120" w:beforeLines="50" w:after="120" w:afterLines="50" w:line="400" w:lineRule="exact"/>
        <w:ind w:firstLine="480" w:firstLineChars="200"/>
        <w:rPr>
          <w:rFonts w:hint="eastAsia" w:ascii="宋体" w:hAnsi="宋体"/>
          <w:bCs/>
          <w:sz w:val="24"/>
          <w:szCs w:val="48"/>
        </w:rPr>
      </w:pPr>
      <w:r>
        <w:rPr>
          <w:rFonts w:hint="eastAsia" w:ascii="宋体" w:hAnsi="宋体"/>
          <w:sz w:val="24"/>
        </w:rPr>
        <w:t>本办法适用于磐安县公安局安文***业务用房迁建工程一体化执法办案中心设备采购及安装服务项目</w:t>
      </w:r>
      <w:r>
        <w:rPr>
          <w:rFonts w:hint="eastAsia" w:ascii="宋体" w:hAnsi="宋体"/>
          <w:bCs/>
          <w:sz w:val="24"/>
          <w:szCs w:val="48"/>
        </w:rPr>
        <w:t>的评标。</w:t>
      </w:r>
    </w:p>
    <w:p>
      <w:pPr>
        <w:spacing w:before="120" w:beforeLines="50" w:after="120" w:afterLines="50" w:line="360" w:lineRule="auto"/>
        <w:ind w:firstLine="480" w:firstLineChars="200"/>
        <w:rPr>
          <w:rFonts w:hint="eastAsia" w:ascii="宋体" w:hAnsi="宋体"/>
          <w:bCs/>
          <w:sz w:val="24"/>
        </w:rPr>
      </w:pPr>
      <w:r>
        <w:rPr>
          <w:rFonts w:hint="eastAsia" w:ascii="宋体" w:hAnsi="宋体"/>
          <w:sz w:val="24"/>
        </w:rPr>
        <w:t>本次项目评标采用综合评分法，总分为100分，其中技术商务分</w:t>
      </w:r>
      <w:r>
        <w:rPr>
          <w:rFonts w:hint="eastAsia" w:ascii="宋体" w:hAnsi="宋体"/>
          <w:sz w:val="24"/>
          <w:u w:val="single"/>
        </w:rPr>
        <w:t xml:space="preserve"> 70 </w:t>
      </w:r>
      <w:r>
        <w:rPr>
          <w:rFonts w:hint="eastAsia" w:ascii="宋体" w:hAnsi="宋体"/>
          <w:sz w:val="24"/>
        </w:rPr>
        <w:t>分、价格分</w:t>
      </w:r>
      <w:r>
        <w:rPr>
          <w:rFonts w:hint="eastAsia" w:ascii="宋体" w:hAnsi="宋体"/>
          <w:sz w:val="24"/>
          <w:u w:val="single"/>
        </w:rPr>
        <w:t xml:space="preserve"> 30 </w:t>
      </w:r>
      <w:r>
        <w:rPr>
          <w:rFonts w:hint="eastAsia" w:ascii="宋体" w:hAnsi="宋体"/>
          <w:sz w:val="24"/>
        </w:rPr>
        <w:t>分等二部分。合格投标人的评标得分为各项目汇总得分，中标候选资格按评标得分由高到低顺序排列，得分相同的，按投标报价由低到高顺序排列；得分且投标报价相同的，按技术商务得分由高到低顺序排列。得分、报价、技术商务分均相同时，以抽签决定。排名第一的的投标人为中标候选人,排名第二的投标人为候补中标候选人……其他投标人中标候选资格依此类推。</w:t>
      </w:r>
      <w:r>
        <w:rPr>
          <w:rFonts w:hint="eastAsia" w:ascii="宋体" w:hAnsi="宋体"/>
          <w:bCs/>
          <w:sz w:val="24"/>
        </w:rPr>
        <w:t>评分过程中采用四舍五入法，并保留小数2位。</w:t>
      </w:r>
    </w:p>
    <w:p>
      <w:pPr>
        <w:spacing w:before="120" w:beforeLines="50" w:after="120" w:afterLines="50" w:line="360" w:lineRule="auto"/>
        <w:rPr>
          <w:rFonts w:hint="eastAsia" w:ascii="宋体" w:hAnsi="宋体"/>
          <w:b/>
          <w:bCs/>
          <w:sz w:val="24"/>
        </w:rPr>
      </w:pPr>
      <w:r>
        <w:rPr>
          <w:rFonts w:hint="eastAsia" w:ascii="宋体" w:hAnsi="宋体"/>
          <w:b/>
          <w:bCs/>
          <w:sz w:val="24"/>
        </w:rPr>
        <w:t>一、技术商务分70分</w:t>
      </w:r>
    </w:p>
    <w:tbl>
      <w:tblPr>
        <w:tblStyle w:val="52"/>
        <w:tblW w:w="0" w:type="auto"/>
        <w:tblInd w:w="0" w:type="dxa"/>
        <w:tblLayout w:type="fixed"/>
        <w:tblCellMar>
          <w:top w:w="0" w:type="dxa"/>
          <w:left w:w="0" w:type="dxa"/>
          <w:bottom w:w="0" w:type="dxa"/>
          <w:right w:w="0" w:type="dxa"/>
        </w:tblCellMar>
      </w:tblPr>
      <w:tblGrid>
        <w:gridCol w:w="876"/>
        <w:gridCol w:w="1107"/>
        <w:gridCol w:w="6667"/>
        <w:gridCol w:w="791"/>
      </w:tblGrid>
      <w:tr>
        <w:tblPrEx>
          <w:tblCellMar>
            <w:top w:w="0" w:type="dxa"/>
            <w:left w:w="0" w:type="dxa"/>
            <w:bottom w:w="0" w:type="dxa"/>
            <w:right w:w="0" w:type="dxa"/>
          </w:tblCellMar>
        </w:tblPrEx>
        <w:trPr>
          <w:trHeight w:val="570" w:hRule="atLeast"/>
        </w:trPr>
        <w:tc>
          <w:tcPr>
            <w:tcW w:w="8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技术资信商务分</w:t>
            </w:r>
          </w:p>
        </w:tc>
        <w:tc>
          <w:tcPr>
            <w:tcW w:w="1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分类</w:t>
            </w:r>
          </w:p>
        </w:tc>
        <w:tc>
          <w:tcPr>
            <w:tcW w:w="6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分项</w:t>
            </w: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分值</w:t>
            </w:r>
          </w:p>
        </w:tc>
      </w:tr>
      <w:tr>
        <w:tblPrEx>
          <w:tblCellMar>
            <w:top w:w="0" w:type="dxa"/>
            <w:left w:w="0" w:type="dxa"/>
            <w:bottom w:w="0" w:type="dxa"/>
            <w:right w:w="0" w:type="dxa"/>
          </w:tblCellMar>
        </w:tblPrEx>
        <w:trPr>
          <w:trHeight w:val="1425" w:hRule="atLeast"/>
        </w:trPr>
        <w:tc>
          <w:tcPr>
            <w:tcW w:w="8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r>
              <w:rPr>
                <w:rFonts w:hint="eastAsia" w:ascii="宋体" w:hAnsi="宋体" w:cs="宋体"/>
                <w:color w:val="000000"/>
                <w:sz w:val="24"/>
              </w:rPr>
              <w:t>70</w:t>
            </w:r>
          </w:p>
        </w:tc>
        <w:tc>
          <w:tcPr>
            <w:tcW w:w="110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项目总体方案设计</w:t>
            </w:r>
          </w:p>
        </w:tc>
        <w:tc>
          <w:tcPr>
            <w:tcW w:w="6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投标方案与需求的吻合程度，包括方案的科学性、先进性、可靠性、成熟性、经济性、合理性和扩展性；投标方案总体设计、建设方案、软件开发方案和产品选型等，详细阐述系统的体系架构、功能模块、实现思路和关键技术，以及对功能设计和实施计划的建议，根据评委横向比对打分。</w:t>
            </w: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r>
      <w:tr>
        <w:tblPrEx>
          <w:tblCellMar>
            <w:top w:w="0" w:type="dxa"/>
            <w:left w:w="0" w:type="dxa"/>
            <w:bottom w:w="0" w:type="dxa"/>
            <w:right w:w="0" w:type="dxa"/>
          </w:tblCellMar>
        </w:tblPrEx>
        <w:trPr>
          <w:trHeight w:val="855" w:hRule="atLeast"/>
        </w:trPr>
        <w:tc>
          <w:tcPr>
            <w:tcW w:w="8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6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根据现场踏勘的实际情况，按照采购清单设备提供各功能区的平面布局、立体效果图,包括：局部细节、各功能区展示等内容，根据评委横向比对打分。</w:t>
            </w: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w:t>
            </w:r>
          </w:p>
        </w:tc>
      </w:tr>
      <w:tr>
        <w:tblPrEx>
          <w:tblCellMar>
            <w:top w:w="0" w:type="dxa"/>
            <w:left w:w="0" w:type="dxa"/>
            <w:bottom w:w="0" w:type="dxa"/>
            <w:right w:w="0" w:type="dxa"/>
          </w:tblCellMar>
        </w:tblPrEx>
        <w:trPr>
          <w:trHeight w:val="1070" w:hRule="atLeast"/>
        </w:trPr>
        <w:tc>
          <w:tcPr>
            <w:tcW w:w="8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与省厅执法办案平台无缝对接</w:t>
            </w:r>
          </w:p>
        </w:tc>
        <w:tc>
          <w:tcPr>
            <w:tcW w:w="6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要求所投应用平台系统与省厅执法办案平台无缝对接，提供省内其他公安局已对接成功</w:t>
            </w:r>
            <w:r>
              <w:rPr>
                <w:rFonts w:hint="eastAsia" w:ascii="宋体" w:hAnsi="宋体" w:cs="宋体"/>
                <w:color w:val="000000"/>
                <w:kern w:val="0"/>
                <w:sz w:val="24"/>
                <w:lang w:eastAsia="zh-CN" w:bidi="ar"/>
              </w:rPr>
              <w:t>文件材料</w:t>
            </w:r>
            <w:r>
              <w:rPr>
                <w:rFonts w:hint="eastAsia" w:ascii="宋体" w:hAnsi="宋体" w:cs="宋体"/>
                <w:color w:val="000000"/>
                <w:kern w:val="0"/>
                <w:sz w:val="24"/>
                <w:lang w:bidi="ar"/>
              </w:rPr>
              <w:t>的得分，每提供一个得1分，不提供不得分，最高得5分。</w:t>
            </w: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r>
      <w:tr>
        <w:tblPrEx>
          <w:tblCellMar>
            <w:top w:w="0" w:type="dxa"/>
            <w:left w:w="0" w:type="dxa"/>
            <w:bottom w:w="0" w:type="dxa"/>
            <w:right w:w="0" w:type="dxa"/>
          </w:tblCellMar>
        </w:tblPrEx>
        <w:trPr>
          <w:trHeight w:val="1710" w:hRule="atLeast"/>
        </w:trPr>
        <w:tc>
          <w:tcPr>
            <w:tcW w:w="8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技术规格符合情况</w:t>
            </w:r>
          </w:p>
        </w:tc>
        <w:tc>
          <w:tcPr>
            <w:tcW w:w="6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满足招标文件内全部设备基本技术参数配置及性能、功能要求等得25分；打“★”符号及有实质性性能指标或参数要求的，每有一项性能指标或技术参数不满足的扣1分，扣完为止。对其他主要需求指标及参数属正偏或高配的有实质性正偏离的并且对本项目有实质性的使用价值，每项加0.5-1分，最高加2分，无实质性意义的不加分，正偏离加分由评委共同认定。</w:t>
            </w: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27</w:t>
            </w:r>
          </w:p>
        </w:tc>
      </w:tr>
      <w:tr>
        <w:tblPrEx>
          <w:tblCellMar>
            <w:top w:w="0" w:type="dxa"/>
            <w:left w:w="0" w:type="dxa"/>
            <w:bottom w:w="0" w:type="dxa"/>
            <w:right w:w="0" w:type="dxa"/>
          </w:tblCellMar>
        </w:tblPrEx>
        <w:trPr>
          <w:trHeight w:val="4370" w:hRule="atLeast"/>
        </w:trPr>
        <w:tc>
          <w:tcPr>
            <w:tcW w:w="8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现场实际设备演示兼容性、可靠性</w:t>
            </w:r>
          </w:p>
        </w:tc>
        <w:tc>
          <w:tcPr>
            <w:tcW w:w="6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2"/>
              </w:numPr>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视频轨迹联动：分为实时在地图上显示所处位置并与视频同步联动和轨迹视频同步回放，此项演示得0-2分。</w:t>
            </w:r>
          </w:p>
          <w:p>
            <w:pPr>
              <w:widowControl/>
              <w:numPr>
                <w:ilvl w:val="0"/>
                <w:numId w:val="12"/>
              </w:numPr>
              <w:jc w:val="left"/>
              <w:textAlignment w:val="center"/>
              <w:rPr>
                <w:rFonts w:hint="eastAsia" w:ascii="宋体" w:hAnsi="宋体" w:cs="宋体"/>
                <w:color w:val="000000"/>
                <w:sz w:val="24"/>
              </w:rPr>
            </w:pPr>
            <w:r>
              <w:rPr>
                <w:rFonts w:hint="eastAsia" w:ascii="宋体" w:hAnsi="宋体" w:cs="宋体"/>
                <w:color w:val="000000"/>
                <w:kern w:val="0"/>
                <w:sz w:val="24"/>
                <w:lang w:bidi="ar"/>
              </w:rPr>
              <w:t>轨迹定位精度演示：比较定位产品实际精度，此项演示得0-2分。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3、视频整合：把视频轨迹内各时间段视频按时间顺序形成目录形式合成一个案件文件夹，此项演示得0-2分。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4、同步环境监测器：自动校准时间，并把温湿度叠加到审讯视频中，此项演示得0-2分。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5、手部位置感应器（人身安全检查功能）：严格执行“四个一律”规定，进行人身安全检查，若不执行，系统自动发出报警，此项演示得0-2分。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注：要求投标人提前在现场搭建好环境并提供实物设备演示，远程演示或视频演示不得分。</w:t>
            </w: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r>
      <w:tr>
        <w:tblPrEx>
          <w:tblCellMar>
            <w:top w:w="0" w:type="dxa"/>
            <w:left w:w="0" w:type="dxa"/>
            <w:bottom w:w="0" w:type="dxa"/>
            <w:right w:w="0" w:type="dxa"/>
          </w:tblCellMar>
        </w:tblPrEx>
        <w:trPr>
          <w:trHeight w:val="1710" w:hRule="atLeast"/>
        </w:trPr>
        <w:tc>
          <w:tcPr>
            <w:tcW w:w="8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项目组织实施能力</w:t>
            </w:r>
          </w:p>
        </w:tc>
        <w:tc>
          <w:tcPr>
            <w:tcW w:w="6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1、据各响应供应商针对本项目的实施方案、对实施时间表安排合理性、参与项目人员的技术基础和素质、类似项目工作经验、施工的质量保证进行对比打分，优的得4分，一般的得2分，未提供的不得分。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2、投标单位参与项目成员具有中级职称及以上的每个证书得1分，最高得2分；（复印件加盖公章）</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3.必须提供以上人员本单位近一年的社保</w:t>
            </w:r>
            <w:r>
              <w:rPr>
                <w:rFonts w:hint="eastAsia" w:ascii="宋体" w:hAnsi="宋体" w:cs="宋体"/>
                <w:color w:val="000000"/>
                <w:kern w:val="0"/>
                <w:sz w:val="24"/>
                <w:lang w:eastAsia="zh-CN" w:bidi="ar"/>
              </w:rPr>
              <w:t>文件材料</w:t>
            </w:r>
            <w:r>
              <w:rPr>
                <w:rFonts w:hint="eastAsia" w:ascii="宋体" w:hAnsi="宋体" w:cs="宋体"/>
                <w:color w:val="000000"/>
                <w:kern w:val="0"/>
                <w:sz w:val="24"/>
                <w:lang w:bidi="ar"/>
              </w:rPr>
              <w:t>。</w:t>
            </w: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w:t>
            </w:r>
          </w:p>
        </w:tc>
      </w:tr>
      <w:tr>
        <w:tblPrEx>
          <w:tblCellMar>
            <w:top w:w="0" w:type="dxa"/>
            <w:left w:w="0" w:type="dxa"/>
            <w:bottom w:w="0" w:type="dxa"/>
            <w:right w:w="0" w:type="dxa"/>
          </w:tblCellMar>
        </w:tblPrEx>
        <w:trPr>
          <w:trHeight w:val="450" w:hRule="atLeast"/>
        </w:trPr>
        <w:tc>
          <w:tcPr>
            <w:tcW w:w="8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现场勘查</w:t>
            </w:r>
          </w:p>
        </w:tc>
        <w:tc>
          <w:tcPr>
            <w:tcW w:w="6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提供现场实地勘查</w:t>
            </w:r>
            <w:r>
              <w:rPr>
                <w:rFonts w:hint="eastAsia" w:ascii="宋体" w:hAnsi="宋体" w:cs="宋体"/>
                <w:color w:val="000000"/>
                <w:kern w:val="0"/>
                <w:sz w:val="24"/>
                <w:lang w:eastAsia="zh-CN" w:bidi="ar"/>
              </w:rPr>
              <w:t>文件材料</w:t>
            </w:r>
            <w:r>
              <w:rPr>
                <w:rFonts w:hint="eastAsia" w:ascii="宋体" w:hAnsi="宋体" w:cs="宋体"/>
                <w:color w:val="000000"/>
                <w:kern w:val="0"/>
                <w:sz w:val="24"/>
                <w:lang w:bidi="ar"/>
              </w:rPr>
              <w:t>文件（经业主盖章）</w:t>
            </w: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2</w:t>
            </w:r>
          </w:p>
        </w:tc>
      </w:tr>
      <w:tr>
        <w:tblPrEx>
          <w:tblCellMar>
            <w:top w:w="0" w:type="dxa"/>
            <w:left w:w="0" w:type="dxa"/>
            <w:bottom w:w="0" w:type="dxa"/>
            <w:right w:w="0" w:type="dxa"/>
          </w:tblCellMar>
        </w:tblPrEx>
        <w:trPr>
          <w:trHeight w:val="1140" w:hRule="atLeast"/>
        </w:trPr>
        <w:tc>
          <w:tcPr>
            <w:tcW w:w="8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业绩案例</w:t>
            </w:r>
          </w:p>
        </w:tc>
        <w:tc>
          <w:tcPr>
            <w:tcW w:w="6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1、提供2018年以来浙江省内公安执法办案区建设类项目业绩</w:t>
            </w:r>
            <w:r>
              <w:rPr>
                <w:rFonts w:hint="eastAsia" w:ascii="宋体" w:hAnsi="宋体" w:cs="宋体"/>
                <w:color w:val="000000"/>
                <w:kern w:val="0"/>
                <w:sz w:val="24"/>
                <w:lang w:eastAsia="zh-CN" w:bidi="ar"/>
              </w:rPr>
              <w:t>文件材料</w:t>
            </w:r>
            <w:r>
              <w:rPr>
                <w:rFonts w:hint="eastAsia" w:ascii="宋体" w:hAnsi="宋体" w:cs="宋体"/>
                <w:color w:val="000000"/>
                <w:kern w:val="0"/>
                <w:sz w:val="24"/>
                <w:lang w:bidi="ar"/>
              </w:rPr>
              <w:t>的，县市级公安机关局属综合一体化执法办案中心建设项目的，每提供1个，得1分；基层***一体化执法办案中心建设项目得，每提供1个，得0.2分。采取部分功能改造的建设项目不得分。</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2、以盖章齐全的合同为凭证。（复印件加盖公章）</w:t>
            </w: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5</w:t>
            </w:r>
          </w:p>
        </w:tc>
      </w:tr>
      <w:tr>
        <w:tblPrEx>
          <w:tblCellMar>
            <w:top w:w="0" w:type="dxa"/>
            <w:left w:w="0" w:type="dxa"/>
            <w:bottom w:w="0" w:type="dxa"/>
            <w:right w:w="0" w:type="dxa"/>
          </w:tblCellMar>
        </w:tblPrEx>
        <w:trPr>
          <w:trHeight w:val="1260" w:hRule="atLeast"/>
        </w:trPr>
        <w:tc>
          <w:tcPr>
            <w:tcW w:w="8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售后服务方案</w:t>
            </w:r>
          </w:p>
        </w:tc>
        <w:tc>
          <w:tcPr>
            <w:tcW w:w="6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投标人在本省设有公司或者办事处并配有维修人员的（须于投标截止时间前提供营业执照等相关</w:t>
            </w:r>
            <w:r>
              <w:rPr>
                <w:rFonts w:hint="eastAsia" w:ascii="宋体" w:hAnsi="宋体" w:cs="宋体"/>
                <w:color w:val="000000"/>
                <w:kern w:val="0"/>
                <w:sz w:val="24"/>
                <w:lang w:eastAsia="zh-CN" w:bidi="ar"/>
              </w:rPr>
              <w:t>文件材料</w:t>
            </w:r>
            <w:r>
              <w:rPr>
                <w:rFonts w:hint="eastAsia" w:ascii="宋体" w:hAnsi="宋体" w:cs="宋体"/>
                <w:color w:val="000000"/>
                <w:kern w:val="0"/>
                <w:sz w:val="24"/>
                <w:lang w:bidi="ar"/>
              </w:rPr>
              <w:t>原件），根据售后服务承诺的范围和完善程度（包括服务标准，人员配备，故障响应修复时间方式及保障措施）综合打分得0-4分</w:t>
            </w: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4</w:t>
            </w:r>
          </w:p>
        </w:tc>
      </w:tr>
    </w:tbl>
    <w:p>
      <w:pPr>
        <w:spacing w:before="120" w:beforeLines="50" w:after="120" w:afterLines="50" w:line="360" w:lineRule="auto"/>
        <w:rPr>
          <w:rFonts w:hint="eastAsia" w:ascii="宋体" w:hAnsi="宋体"/>
          <w:b/>
          <w:bCs/>
          <w:sz w:val="24"/>
        </w:rPr>
      </w:pPr>
    </w:p>
    <w:p>
      <w:pPr>
        <w:spacing w:before="120" w:beforeLines="50" w:after="120" w:afterLines="50" w:line="400" w:lineRule="exact"/>
        <w:rPr>
          <w:rFonts w:hint="eastAsia" w:ascii="宋体" w:hAnsi="宋体"/>
          <w:b/>
          <w:bCs/>
          <w:sz w:val="24"/>
        </w:rPr>
      </w:pPr>
      <w:r>
        <w:rPr>
          <w:rFonts w:hint="eastAsia" w:ascii="宋体" w:hAnsi="宋体"/>
          <w:b/>
          <w:bCs/>
          <w:sz w:val="24"/>
        </w:rPr>
        <w:t>说明：技术、商务分的计算</w:t>
      </w:r>
    </w:p>
    <w:p>
      <w:pPr>
        <w:spacing w:before="120" w:beforeLines="50" w:after="120" w:afterLines="50" w:line="400" w:lineRule="exact"/>
        <w:ind w:firstLine="480" w:firstLineChars="200"/>
        <w:rPr>
          <w:rFonts w:hint="eastAsia" w:ascii="宋体" w:hAnsi="宋体"/>
          <w:b/>
          <w:bCs/>
          <w:sz w:val="24"/>
        </w:rPr>
      </w:pPr>
      <w:r>
        <w:rPr>
          <w:rFonts w:hint="eastAsia" w:ascii="宋体" w:hAnsi="宋体"/>
          <w:sz w:val="24"/>
        </w:rPr>
        <w:t>技术、商务分按照评标委员会成员的独立评分结果汇总数的算术平均分计算，计算公式为：技术商务资信及其他分=（评标委员会所有成员评分合计数）/（评标委员会组成人员数）</w:t>
      </w:r>
    </w:p>
    <w:p>
      <w:pPr>
        <w:spacing w:before="120" w:after="120"/>
        <w:rPr>
          <w:b/>
          <w:sz w:val="24"/>
        </w:rPr>
      </w:pPr>
      <w:r>
        <w:rPr>
          <w:rFonts w:hint="eastAsia"/>
          <w:b/>
          <w:sz w:val="24"/>
        </w:rPr>
        <w:t>二、投标报价（30分）</w:t>
      </w:r>
    </w:p>
    <w:p>
      <w:pPr>
        <w:spacing w:before="120" w:after="120"/>
        <w:ind w:firstLine="480" w:firstLineChars="200"/>
        <w:rPr>
          <w:rFonts w:hint="eastAsia" w:ascii="宋体" w:hAnsi="宋体"/>
          <w:sz w:val="24"/>
        </w:rPr>
      </w:pPr>
      <w:r>
        <w:rPr>
          <w:rFonts w:hint="eastAsia" w:ascii="宋体" w:hAnsi="宋体"/>
          <w:sz w:val="24"/>
        </w:rPr>
        <w:t>即满足招标文件要求且投标价格最低的投标报价为评标基准价，其价格分为满分。其他投标人的价格统一按照下列公式计算：</w:t>
      </w:r>
    </w:p>
    <w:p>
      <w:pPr>
        <w:spacing w:before="120" w:beforeLines="50" w:after="120" w:afterLines="50" w:line="400" w:lineRule="exact"/>
        <w:rPr>
          <w:rFonts w:hint="eastAsia"/>
          <w:sz w:val="24"/>
        </w:rPr>
      </w:pPr>
      <w:r>
        <w:rPr>
          <w:rFonts w:hint="eastAsia"/>
          <w:sz w:val="24"/>
        </w:rPr>
        <w:t>投标报价得分=(评标基准价／投标报价)×30</w:t>
      </w:r>
    </w:p>
    <w:p>
      <w:pPr>
        <w:spacing w:before="120" w:after="120"/>
        <w:ind w:firstLine="480" w:firstLineChars="200"/>
        <w:rPr>
          <w:rFonts w:hint="eastAsia" w:ascii="宋体" w:hAnsi="宋体"/>
          <w:sz w:val="24"/>
        </w:rPr>
      </w:pPr>
      <w:r>
        <w:rPr>
          <w:rFonts w:hint="eastAsia" w:ascii="宋体" w:hAnsi="宋体"/>
          <w:sz w:val="24"/>
        </w:rPr>
        <w:t>1、根据浙江省财政厅浙江省中小企业局转发财政部工业和信息化部关于印发《政府采购促进中小企业发展暂行办法》的通知（浙财采监【2012】11号文）规定，参加浙江省政府采购的中小企业供应商，应根据浙江省财政厅《关于开展政府采购供应商网上注册登记和诚信管理工作的通知》（浙财采监【2010】8号文）的要求，通过浙江政府采购网申请注册加入政府采购供应商库。</w:t>
      </w:r>
    </w:p>
    <w:p>
      <w:pPr>
        <w:spacing w:before="120" w:after="120"/>
        <w:ind w:firstLine="480" w:firstLineChars="200"/>
        <w:rPr>
          <w:rFonts w:hint="eastAsia" w:ascii="宋体" w:hAnsi="宋体"/>
          <w:sz w:val="24"/>
        </w:rPr>
      </w:pPr>
      <w:r>
        <w:rPr>
          <w:rFonts w:hint="eastAsia" w:ascii="宋体" w:hAnsi="宋体"/>
          <w:sz w:val="24"/>
        </w:rPr>
        <w:t>2、已注册入库且符合《政府采购促进中小企业发展暂行办法》规定的小微企业条件的，在参加浙江省政府采购活动时可享受《政府采购促进中小企业发展暂行办法》规定的优惠政策。供应商应按照浙江省财政厅浙江省经济和信息化委员会《关于简化中小企业类别确认流程有关事项的通知》（浙财采监【2018】2号文）规定，在商务部分中提供《中小企业声明函》，并由评审小组在浙江政府采购网核查确认，可享受价格扣除后参与评审的优惠。</w:t>
      </w:r>
    </w:p>
    <w:p>
      <w:pPr>
        <w:spacing w:before="120" w:after="120"/>
        <w:ind w:firstLine="480" w:firstLineChars="200"/>
        <w:rPr>
          <w:rFonts w:hint="eastAsia" w:ascii="宋体" w:hAnsi="宋体"/>
          <w:sz w:val="24"/>
        </w:rPr>
      </w:pPr>
      <w:r>
        <w:rPr>
          <w:rFonts w:hint="eastAsia" w:ascii="宋体" w:hAnsi="宋体"/>
          <w:sz w:val="24"/>
        </w:rPr>
        <w:t>3、本项目根据《政府采购促进中小企业发展暂行办法》（财库【2011】181号）规定，对小型和微型企业的价格给予6%的扣除，用扣除后的价格参与评审。监狱企业视同小型、微型企业。</w:t>
      </w:r>
    </w:p>
    <w:p>
      <w:pPr>
        <w:spacing w:line="400" w:lineRule="exact"/>
        <w:ind w:firstLine="480" w:firstLineChars="200"/>
        <w:rPr>
          <w:rFonts w:hint="eastAsia" w:ascii="宋体" w:hAnsi="宋体"/>
          <w:sz w:val="24"/>
          <w:lang w:eastAsia="zh-CN"/>
        </w:rPr>
      </w:pPr>
      <w:r>
        <w:rPr>
          <w:rFonts w:hint="eastAsia" w:ascii="宋体" w:hAnsi="宋体"/>
          <w:sz w:val="24"/>
        </w:rPr>
        <w:t>此项由评标小组集体核实后</w:t>
      </w:r>
      <w:r>
        <w:rPr>
          <w:rFonts w:hint="eastAsia" w:ascii="宋体" w:hAnsi="宋体"/>
          <w:sz w:val="24"/>
          <w:lang w:eastAsia="zh-CN"/>
        </w:rPr>
        <w:t>按以下公式</w:t>
      </w:r>
      <w:r>
        <w:rPr>
          <w:rFonts w:hint="eastAsia" w:ascii="宋体" w:hAnsi="宋体"/>
          <w:sz w:val="24"/>
        </w:rPr>
        <w:t>打分</w:t>
      </w:r>
      <w:r>
        <w:rPr>
          <w:rFonts w:hint="eastAsia" w:ascii="宋体" w:hAnsi="宋体"/>
          <w:sz w:val="24"/>
          <w:lang w:eastAsia="zh-CN"/>
        </w:rPr>
        <w:t>：</w:t>
      </w:r>
    </w:p>
    <w:p>
      <w:pPr>
        <w:spacing w:line="400" w:lineRule="exact"/>
        <w:ind w:firstLine="480" w:firstLineChars="200"/>
        <w:rPr>
          <w:rFonts w:ascii="宋体" w:hAnsi="宋体" w:cs="宋体"/>
          <w:bCs/>
          <w:color w:val="000000"/>
          <w:sz w:val="24"/>
        </w:rPr>
      </w:pPr>
      <w:r>
        <w:rPr>
          <w:rFonts w:hint="eastAsia" w:ascii="宋体" w:hAnsi="宋体" w:cs="宋体"/>
          <w:bCs/>
          <w:color w:val="000000"/>
          <w:sz w:val="24"/>
        </w:rPr>
        <w:t>小微企业的评审价格=小微企业的投标报价 － 小型、微型企业生产的产品金额合计×6%</w:t>
      </w:r>
    </w:p>
    <w:p>
      <w:pPr>
        <w:spacing w:before="120" w:after="120"/>
        <w:ind w:firstLine="480" w:firstLineChars="200"/>
        <w:rPr>
          <w:rFonts w:hint="eastAsia"/>
          <w:sz w:val="24"/>
        </w:rPr>
      </w:pPr>
      <w:r>
        <w:rPr>
          <w:rFonts w:hint="eastAsia" w:ascii="宋体" w:hAnsi="宋体"/>
          <w:sz w:val="24"/>
        </w:rPr>
        <w:t>4、根据《中华人民共和国财政部令第87号》第六十条规定：“评标委员会认为投标人的报价明显低于其他通过符合性审查投标人的报价，有可能影响产品质量或者不能诚信履约的，应当要求其在评标现场合理的时间内提供书面说明，必要时提交相关</w:t>
      </w:r>
      <w:r>
        <w:rPr>
          <w:rFonts w:hint="eastAsia" w:ascii="宋体" w:hAnsi="宋体"/>
          <w:sz w:val="24"/>
          <w:lang w:eastAsia="zh-CN"/>
        </w:rPr>
        <w:t>文件材料</w:t>
      </w:r>
      <w:r>
        <w:rPr>
          <w:rFonts w:hint="eastAsia" w:ascii="宋体" w:hAnsi="宋体"/>
          <w:sz w:val="24"/>
        </w:rPr>
        <w:t>材料；投标人不能</w:t>
      </w:r>
      <w:r>
        <w:rPr>
          <w:rFonts w:hint="eastAsia" w:ascii="宋体" w:hAnsi="宋体"/>
          <w:sz w:val="24"/>
          <w:lang w:eastAsia="zh-CN"/>
        </w:rPr>
        <w:t>文件材料</w:t>
      </w:r>
      <w:r>
        <w:rPr>
          <w:rFonts w:hint="eastAsia" w:ascii="宋体" w:hAnsi="宋体"/>
          <w:sz w:val="24"/>
        </w:rPr>
        <w:t>其报价合理性的，评标委员会应当将其作为无效投标处理”。</w:t>
      </w:r>
    </w:p>
    <w:p>
      <w:pPr>
        <w:spacing w:before="120" w:beforeLines="50" w:after="120" w:afterLines="50" w:line="400" w:lineRule="exact"/>
        <w:rPr>
          <w:rFonts w:hint="eastAsia" w:ascii="宋体" w:hAnsi="宋体" w:cs="Arial"/>
          <w:b/>
          <w:sz w:val="30"/>
          <w:szCs w:val="30"/>
        </w:rPr>
      </w:pPr>
      <w:r>
        <w:rPr>
          <w:rFonts w:hint="eastAsia" w:ascii="宋体" w:hAnsi="宋体"/>
          <w:b/>
          <w:bCs/>
          <w:sz w:val="24"/>
        </w:rPr>
        <w:t>三、</w:t>
      </w:r>
      <w:r>
        <w:rPr>
          <w:rFonts w:hint="eastAsia" w:ascii="宋体" w:hAnsi="宋体"/>
          <w:b/>
          <w:sz w:val="28"/>
          <w:szCs w:val="28"/>
        </w:rPr>
        <w:t>投标人评标</w:t>
      </w:r>
      <w:r>
        <w:rPr>
          <w:rFonts w:hint="eastAsia" w:ascii="宋体" w:hAnsi="宋体"/>
          <w:b/>
          <w:bCs/>
          <w:sz w:val="28"/>
          <w:szCs w:val="28"/>
        </w:rPr>
        <w:t>综合得分=技术商务分+价格分</w:t>
      </w:r>
    </w:p>
    <w:p>
      <w:pPr>
        <w:adjustRightInd w:val="0"/>
        <w:jc w:val="center"/>
        <w:rPr>
          <w:rFonts w:hint="eastAsia" w:ascii="黑体" w:hAnsi="宋体" w:eastAsia="黑体"/>
          <w:sz w:val="30"/>
          <w:szCs w:val="30"/>
        </w:rPr>
      </w:pPr>
    </w:p>
    <w:p>
      <w:pPr>
        <w:adjustRightInd w:val="0"/>
        <w:jc w:val="center"/>
        <w:rPr>
          <w:rFonts w:hint="eastAsia" w:ascii="黑体" w:hAnsi="宋体" w:eastAsia="黑体"/>
          <w:sz w:val="30"/>
          <w:szCs w:val="30"/>
        </w:rPr>
      </w:pPr>
    </w:p>
    <w:p>
      <w:pPr>
        <w:adjustRightInd w:val="0"/>
        <w:jc w:val="center"/>
        <w:rPr>
          <w:rFonts w:hint="eastAsia" w:ascii="黑体" w:hAnsi="宋体" w:eastAsia="黑体"/>
          <w:sz w:val="30"/>
          <w:szCs w:val="30"/>
        </w:rPr>
        <w:sectPr>
          <w:pgSz w:w="11906" w:h="16838"/>
          <w:pgMar w:top="1474" w:right="1134" w:bottom="1418" w:left="1361" w:header="851" w:footer="851" w:gutter="0"/>
          <w:cols w:space="720" w:num="1"/>
          <w:docGrid w:linePitch="312" w:charSpace="0"/>
        </w:sectPr>
      </w:pPr>
    </w:p>
    <w:p>
      <w:pPr>
        <w:pStyle w:val="3"/>
        <w:rPr>
          <w:rFonts w:hint="eastAsia"/>
        </w:rPr>
      </w:pPr>
      <w:r>
        <w:rPr>
          <w:rFonts w:hint="eastAsia"/>
        </w:rPr>
        <w:t>第五章  合同主要条款</w:t>
      </w:r>
    </w:p>
    <w:p>
      <w:pPr>
        <w:pStyle w:val="28"/>
        <w:numPr>
          <w:ilvl w:val="0"/>
          <w:numId w:val="0"/>
        </w:numPr>
        <w:tabs>
          <w:tab w:val="left" w:pos="1200"/>
        </w:tabs>
        <w:snapToGrid w:val="0"/>
        <w:spacing w:before="120" w:after="120" w:line="240" w:lineRule="auto"/>
        <w:rPr>
          <w:rFonts w:hint="eastAsia" w:hAnsi="宋体"/>
        </w:rPr>
      </w:pPr>
    </w:p>
    <w:p>
      <w:pPr>
        <w:pStyle w:val="28"/>
        <w:numPr>
          <w:ilvl w:val="0"/>
          <w:numId w:val="0"/>
        </w:numPr>
        <w:tabs>
          <w:tab w:val="left" w:pos="1200"/>
        </w:tabs>
        <w:snapToGrid w:val="0"/>
        <w:spacing w:before="120" w:after="120" w:line="240" w:lineRule="auto"/>
        <w:rPr>
          <w:rFonts w:hAnsi="宋体"/>
        </w:rPr>
      </w:pPr>
      <w:r>
        <w:rPr>
          <w:rFonts w:hAnsi="宋体"/>
        </w:rPr>
        <w:t>项目名称：                                       项目编号：</w:t>
      </w:r>
    </w:p>
    <w:p>
      <w:pPr>
        <w:pStyle w:val="28"/>
        <w:numPr>
          <w:ilvl w:val="0"/>
          <w:numId w:val="0"/>
        </w:numPr>
        <w:tabs>
          <w:tab w:val="left" w:pos="1200"/>
        </w:tabs>
        <w:snapToGrid w:val="0"/>
        <w:spacing w:before="120" w:after="120" w:line="240" w:lineRule="auto"/>
        <w:rPr>
          <w:rFonts w:hAnsi="宋体"/>
        </w:rPr>
      </w:pPr>
      <w:r>
        <w:rPr>
          <w:rFonts w:hAnsi="宋体"/>
        </w:rPr>
        <w:t>甲方：（买方）</w:t>
      </w:r>
    </w:p>
    <w:p>
      <w:pPr>
        <w:pStyle w:val="28"/>
        <w:numPr>
          <w:ilvl w:val="0"/>
          <w:numId w:val="0"/>
        </w:numPr>
        <w:tabs>
          <w:tab w:val="left" w:pos="1200"/>
        </w:tabs>
        <w:snapToGrid w:val="0"/>
        <w:spacing w:before="120" w:after="120" w:line="240" w:lineRule="auto"/>
        <w:rPr>
          <w:rFonts w:hAnsi="宋体"/>
        </w:rPr>
      </w:pPr>
      <w:r>
        <w:rPr>
          <w:rFonts w:hAnsi="宋体"/>
        </w:rPr>
        <w:t>乙方：（卖方）</w:t>
      </w:r>
    </w:p>
    <w:p>
      <w:pPr>
        <w:pStyle w:val="28"/>
        <w:numPr>
          <w:ilvl w:val="0"/>
          <w:numId w:val="0"/>
        </w:numPr>
        <w:tabs>
          <w:tab w:val="left" w:pos="1200"/>
        </w:tabs>
        <w:snapToGrid w:val="0"/>
        <w:spacing w:before="120" w:after="120" w:line="240" w:lineRule="auto"/>
        <w:ind w:left="120" w:leftChars="57" w:firstLine="468" w:firstLineChars="195"/>
        <w:jc w:val="left"/>
        <w:rPr>
          <w:rFonts w:hAnsi="宋体"/>
          <w:b/>
        </w:rPr>
      </w:pPr>
      <w:r>
        <w:rPr>
          <w:rFonts w:hAnsi="宋体"/>
        </w:rPr>
        <w:t>甲、乙双方根据</w:t>
      </w:r>
      <w:r>
        <w:rPr>
          <w:rFonts w:hint="eastAsia" w:hAnsi="宋体"/>
          <w:u w:val="single"/>
        </w:rPr>
        <w:t>金华市公共资源交易中心磐安县分中心</w:t>
      </w:r>
      <w:r>
        <w:rPr>
          <w:rFonts w:hAnsi="宋体"/>
          <w:u w:val="single"/>
        </w:rPr>
        <w:t>关于</w:t>
      </w:r>
      <w:r>
        <w:rPr>
          <w:rFonts w:hint="eastAsia" w:hAnsi="宋体"/>
          <w:u w:val="single"/>
        </w:rPr>
        <w:t>磐安县公安局 （</w:t>
      </w:r>
      <w:r>
        <w:rPr>
          <w:rFonts w:hAnsi="宋体"/>
        </w:rPr>
        <w:t>单位</w:t>
      </w:r>
      <w:r>
        <w:rPr>
          <w:rFonts w:hint="eastAsia" w:hAnsi="宋体"/>
        </w:rPr>
        <w:t>名称）</w:t>
      </w:r>
      <w:r>
        <w:rPr>
          <w:rFonts w:hint="eastAsia" w:hAnsi="宋体"/>
          <w:u w:val="single"/>
        </w:rPr>
        <w:t xml:space="preserve"> 磐安县公安局安文***业务用房迁建工程一体化执法办案中心设备采购及安装服务项目</w:t>
      </w:r>
      <w:r>
        <w:rPr>
          <w:rFonts w:hAnsi="宋体"/>
        </w:rPr>
        <w:t>公开招标的结果，签署本合同。</w:t>
      </w:r>
    </w:p>
    <w:p>
      <w:pPr>
        <w:pStyle w:val="28"/>
        <w:numPr>
          <w:ilvl w:val="0"/>
          <w:numId w:val="0"/>
        </w:numPr>
        <w:tabs>
          <w:tab w:val="left" w:pos="1200"/>
        </w:tabs>
        <w:snapToGrid w:val="0"/>
        <w:spacing w:before="120" w:after="120" w:line="240" w:lineRule="auto"/>
        <w:ind w:firstLine="472" w:firstLineChars="196"/>
        <w:rPr>
          <w:rFonts w:hAnsi="宋体"/>
          <w:b/>
        </w:rPr>
      </w:pPr>
      <w:r>
        <w:rPr>
          <w:rFonts w:hAnsi="宋体"/>
          <w:b/>
        </w:rPr>
        <w:t>一、</w:t>
      </w:r>
      <w:r>
        <w:rPr>
          <w:rFonts w:hint="eastAsia" w:hAnsi="宋体"/>
          <w:b/>
        </w:rPr>
        <w:t>项目</w:t>
      </w:r>
      <w:r>
        <w:rPr>
          <w:rFonts w:hAnsi="宋体"/>
          <w:b/>
        </w:rPr>
        <w:t>内容</w:t>
      </w:r>
    </w:p>
    <w:p>
      <w:pPr>
        <w:pStyle w:val="28"/>
        <w:numPr>
          <w:ilvl w:val="0"/>
          <w:numId w:val="0"/>
        </w:numPr>
        <w:tabs>
          <w:tab w:val="left" w:pos="1200"/>
        </w:tabs>
        <w:snapToGrid w:val="0"/>
        <w:spacing w:before="120" w:after="120" w:line="240" w:lineRule="auto"/>
        <w:ind w:firstLine="480" w:firstLineChars="200"/>
        <w:rPr>
          <w:rFonts w:hAnsi="宋体"/>
        </w:rPr>
      </w:pPr>
      <w:r>
        <w:rPr>
          <w:rFonts w:hAnsi="宋体"/>
        </w:rPr>
        <w:t xml:space="preserve">1. </w:t>
      </w:r>
      <w:r>
        <w:rPr>
          <w:rFonts w:hint="eastAsia" w:hAnsi="宋体"/>
        </w:rPr>
        <w:t>项目</w:t>
      </w:r>
      <w:r>
        <w:rPr>
          <w:rFonts w:hAnsi="宋体"/>
        </w:rPr>
        <w:t>名称：</w:t>
      </w:r>
    </w:p>
    <w:p>
      <w:pPr>
        <w:pStyle w:val="28"/>
        <w:numPr>
          <w:ilvl w:val="0"/>
          <w:numId w:val="0"/>
        </w:numPr>
        <w:tabs>
          <w:tab w:val="left" w:pos="1200"/>
        </w:tabs>
        <w:snapToGrid w:val="0"/>
        <w:spacing w:before="120" w:after="120" w:line="240" w:lineRule="auto"/>
        <w:ind w:firstLine="480" w:firstLineChars="200"/>
        <w:rPr>
          <w:rFonts w:hAnsi="宋体"/>
        </w:rPr>
      </w:pPr>
      <w:r>
        <w:rPr>
          <w:rFonts w:hint="eastAsia" w:hAnsi="宋体"/>
        </w:rPr>
        <w:t>2</w:t>
      </w:r>
      <w:r>
        <w:rPr>
          <w:rFonts w:hAnsi="宋体"/>
        </w:rPr>
        <w:t>. 型号规格：</w:t>
      </w:r>
    </w:p>
    <w:p>
      <w:pPr>
        <w:pStyle w:val="28"/>
        <w:numPr>
          <w:ilvl w:val="0"/>
          <w:numId w:val="0"/>
        </w:numPr>
        <w:tabs>
          <w:tab w:val="left" w:pos="1200"/>
        </w:tabs>
        <w:snapToGrid w:val="0"/>
        <w:spacing w:before="120" w:after="120" w:line="240" w:lineRule="auto"/>
        <w:ind w:firstLine="480" w:firstLineChars="200"/>
        <w:rPr>
          <w:rFonts w:hAnsi="宋体"/>
        </w:rPr>
      </w:pPr>
      <w:r>
        <w:rPr>
          <w:rFonts w:hint="eastAsia" w:hAnsi="宋体"/>
        </w:rPr>
        <w:t>3</w:t>
      </w:r>
      <w:r>
        <w:rPr>
          <w:rFonts w:hAnsi="宋体"/>
        </w:rPr>
        <w:t>. 技术参数：</w:t>
      </w:r>
    </w:p>
    <w:p>
      <w:pPr>
        <w:pStyle w:val="28"/>
        <w:numPr>
          <w:ilvl w:val="0"/>
          <w:numId w:val="0"/>
        </w:numPr>
        <w:tabs>
          <w:tab w:val="left" w:pos="1200"/>
        </w:tabs>
        <w:snapToGrid w:val="0"/>
        <w:spacing w:before="120" w:after="120" w:line="240" w:lineRule="auto"/>
        <w:ind w:firstLine="480" w:firstLineChars="200"/>
        <w:rPr>
          <w:rFonts w:hAnsi="宋体"/>
        </w:rPr>
      </w:pPr>
      <w:r>
        <w:rPr>
          <w:rFonts w:hAnsi="宋体"/>
        </w:rPr>
        <w:t>4</w:t>
      </w:r>
      <w:r>
        <w:rPr>
          <w:rFonts w:hint="eastAsia" w:hAnsi="宋体"/>
        </w:rPr>
        <w:t>.</w:t>
      </w:r>
      <w:r>
        <w:rPr>
          <w:rFonts w:hAnsi="宋体"/>
        </w:rPr>
        <w:t xml:space="preserve"> 数量（单位）：</w:t>
      </w:r>
    </w:p>
    <w:p>
      <w:pPr>
        <w:pStyle w:val="28"/>
        <w:numPr>
          <w:ilvl w:val="0"/>
          <w:numId w:val="0"/>
        </w:numPr>
        <w:tabs>
          <w:tab w:val="left" w:pos="1200"/>
        </w:tabs>
        <w:snapToGrid w:val="0"/>
        <w:spacing w:before="120" w:after="120" w:line="240" w:lineRule="auto"/>
        <w:ind w:firstLine="472" w:firstLineChars="196"/>
        <w:rPr>
          <w:rFonts w:hAnsi="宋体"/>
          <w:b/>
        </w:rPr>
      </w:pPr>
      <w:r>
        <w:rPr>
          <w:rFonts w:hAnsi="宋体"/>
          <w:b/>
        </w:rPr>
        <w:t>二、合同金额</w:t>
      </w:r>
    </w:p>
    <w:p>
      <w:pPr>
        <w:pStyle w:val="28"/>
        <w:numPr>
          <w:ilvl w:val="0"/>
          <w:numId w:val="0"/>
        </w:numPr>
        <w:tabs>
          <w:tab w:val="left" w:pos="1200"/>
        </w:tabs>
        <w:snapToGrid w:val="0"/>
        <w:spacing w:before="120" w:after="120" w:line="240" w:lineRule="auto"/>
        <w:ind w:firstLine="480" w:firstLineChars="200"/>
        <w:rPr>
          <w:rFonts w:hAnsi="宋体"/>
        </w:rPr>
      </w:pPr>
      <w:r>
        <w:rPr>
          <w:rFonts w:hAnsi="宋体"/>
        </w:rPr>
        <w:t>本合同金额为（大写）：____________________________________元（￥_______________元）人民币。</w:t>
      </w:r>
    </w:p>
    <w:p>
      <w:pPr>
        <w:pStyle w:val="28"/>
        <w:numPr>
          <w:ilvl w:val="0"/>
          <w:numId w:val="0"/>
        </w:numPr>
        <w:tabs>
          <w:tab w:val="left" w:pos="1200"/>
        </w:tabs>
        <w:snapToGrid w:val="0"/>
        <w:spacing w:before="120" w:after="120" w:line="240" w:lineRule="auto"/>
        <w:ind w:firstLine="472" w:firstLineChars="196"/>
        <w:rPr>
          <w:rFonts w:hAnsi="宋体"/>
          <w:b/>
        </w:rPr>
      </w:pPr>
      <w:r>
        <w:rPr>
          <w:rFonts w:hAnsi="宋体"/>
          <w:b/>
        </w:rPr>
        <w:t>三、技术资料</w:t>
      </w:r>
    </w:p>
    <w:p>
      <w:pPr>
        <w:pStyle w:val="28"/>
        <w:numPr>
          <w:ilvl w:val="0"/>
          <w:numId w:val="0"/>
        </w:numPr>
        <w:tabs>
          <w:tab w:val="left" w:pos="1200"/>
        </w:tabs>
        <w:snapToGrid w:val="0"/>
        <w:spacing w:before="120" w:after="120" w:line="240" w:lineRule="auto"/>
        <w:ind w:firstLine="480" w:firstLineChars="200"/>
        <w:rPr>
          <w:rFonts w:hAnsi="宋体"/>
        </w:rPr>
      </w:pPr>
      <w:r>
        <w:rPr>
          <w:rFonts w:hAnsi="宋体"/>
        </w:rPr>
        <w:t>1</w:t>
      </w:r>
      <w:r>
        <w:rPr>
          <w:rFonts w:hint="eastAsia" w:hAnsi="宋体"/>
        </w:rPr>
        <w:t>.</w:t>
      </w:r>
      <w:r>
        <w:rPr>
          <w:rFonts w:hAnsi="宋体"/>
        </w:rPr>
        <w:t>乙方应按招标文件规定的时间向甲方提供使用货物的有关技术资料。</w:t>
      </w:r>
    </w:p>
    <w:p>
      <w:pPr>
        <w:pStyle w:val="28"/>
        <w:numPr>
          <w:ilvl w:val="0"/>
          <w:numId w:val="0"/>
        </w:numPr>
        <w:tabs>
          <w:tab w:val="left" w:pos="1200"/>
        </w:tabs>
        <w:snapToGrid w:val="0"/>
        <w:spacing w:before="120" w:after="120" w:line="240" w:lineRule="auto"/>
        <w:ind w:firstLine="480" w:firstLineChars="200"/>
        <w:rPr>
          <w:rFonts w:hAnsi="宋体"/>
        </w:rPr>
      </w:pPr>
      <w:r>
        <w:rPr>
          <w:rFonts w:hAnsi="宋体"/>
        </w:rPr>
        <w:t>2</w:t>
      </w:r>
      <w:r>
        <w:rPr>
          <w:rFonts w:hint="eastAsia" w:hAnsi="宋体"/>
        </w:rPr>
        <w:t>.</w:t>
      </w:r>
      <w:r>
        <w:rPr>
          <w:rFonts w:hAnsi="宋体"/>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8"/>
        <w:numPr>
          <w:ilvl w:val="0"/>
          <w:numId w:val="0"/>
        </w:numPr>
        <w:tabs>
          <w:tab w:val="left" w:pos="1200"/>
        </w:tabs>
        <w:snapToGrid w:val="0"/>
        <w:spacing w:before="120" w:after="120" w:line="240" w:lineRule="auto"/>
        <w:ind w:firstLine="472" w:firstLineChars="196"/>
        <w:rPr>
          <w:rFonts w:hAnsi="宋体"/>
          <w:b/>
        </w:rPr>
      </w:pPr>
      <w:r>
        <w:rPr>
          <w:rFonts w:hAnsi="宋体"/>
          <w:b/>
        </w:rPr>
        <w:t>四、知识产权</w:t>
      </w:r>
    </w:p>
    <w:p>
      <w:pPr>
        <w:pStyle w:val="28"/>
        <w:numPr>
          <w:ilvl w:val="0"/>
          <w:numId w:val="0"/>
        </w:numPr>
        <w:tabs>
          <w:tab w:val="left" w:pos="1200"/>
        </w:tabs>
        <w:snapToGrid w:val="0"/>
        <w:spacing w:before="120" w:after="120" w:line="240" w:lineRule="auto"/>
        <w:ind w:firstLine="480" w:firstLineChars="200"/>
        <w:rPr>
          <w:rFonts w:hAnsi="宋体"/>
          <w:bCs/>
        </w:rPr>
      </w:pPr>
      <w:r>
        <w:rPr>
          <w:rFonts w:hAnsi="宋体"/>
        </w:rPr>
        <w:t>乙方应保证所提供的货物或其任何一部分均不会侵犯任何第三方的知识产权</w:t>
      </w:r>
      <w:r>
        <w:rPr>
          <w:rFonts w:hAnsi="宋体"/>
          <w:bCs/>
        </w:rPr>
        <w:t>。</w:t>
      </w:r>
    </w:p>
    <w:p>
      <w:pPr>
        <w:pStyle w:val="28"/>
        <w:numPr>
          <w:ilvl w:val="0"/>
          <w:numId w:val="0"/>
        </w:numPr>
        <w:tabs>
          <w:tab w:val="left" w:pos="1200"/>
        </w:tabs>
        <w:snapToGrid w:val="0"/>
        <w:spacing w:before="120" w:after="120" w:line="240" w:lineRule="auto"/>
        <w:ind w:firstLine="472" w:firstLineChars="196"/>
        <w:rPr>
          <w:rFonts w:hAnsi="宋体"/>
          <w:u w:val="single"/>
        </w:rPr>
      </w:pPr>
      <w:r>
        <w:rPr>
          <w:rFonts w:hAnsi="宋体"/>
          <w:b/>
        </w:rPr>
        <w:t>五、产权担保</w:t>
      </w:r>
    </w:p>
    <w:p>
      <w:pPr>
        <w:pStyle w:val="28"/>
        <w:numPr>
          <w:ilvl w:val="0"/>
          <w:numId w:val="0"/>
        </w:numPr>
        <w:tabs>
          <w:tab w:val="left" w:pos="1200"/>
        </w:tabs>
        <w:snapToGrid w:val="0"/>
        <w:spacing w:before="120" w:after="120" w:line="240" w:lineRule="auto"/>
        <w:ind w:firstLine="480" w:firstLineChars="200"/>
        <w:rPr>
          <w:rFonts w:hAnsi="宋体"/>
          <w:u w:val="single"/>
        </w:rPr>
      </w:pPr>
      <w:r>
        <w:rPr>
          <w:rFonts w:hAnsi="宋体"/>
        </w:rPr>
        <w:t>乙方保证所交付的货物的所有权完全属于乙方且无任何抵押、查封等产权瑕疵。</w:t>
      </w:r>
    </w:p>
    <w:p>
      <w:pPr>
        <w:pStyle w:val="28"/>
        <w:numPr>
          <w:ilvl w:val="0"/>
          <w:numId w:val="0"/>
        </w:numPr>
        <w:tabs>
          <w:tab w:val="left" w:pos="1200"/>
        </w:tabs>
        <w:snapToGrid w:val="0"/>
        <w:spacing w:before="120" w:after="120" w:line="240" w:lineRule="auto"/>
        <w:ind w:firstLine="472" w:firstLineChars="196"/>
        <w:rPr>
          <w:rFonts w:hAnsi="宋体"/>
          <w:b/>
        </w:rPr>
      </w:pPr>
      <w:r>
        <w:rPr>
          <w:rFonts w:hAnsi="宋体"/>
          <w:b/>
        </w:rPr>
        <w:t>六、履约保证金</w:t>
      </w:r>
    </w:p>
    <w:p>
      <w:pPr>
        <w:pStyle w:val="28"/>
        <w:numPr>
          <w:ilvl w:val="0"/>
          <w:numId w:val="0"/>
        </w:numPr>
        <w:tabs>
          <w:tab w:val="left" w:pos="1200"/>
        </w:tabs>
        <w:snapToGrid w:val="0"/>
        <w:spacing w:before="120" w:after="120" w:line="240" w:lineRule="auto"/>
        <w:ind w:firstLine="480" w:firstLineChars="200"/>
        <w:rPr>
          <w:rFonts w:hAnsi="宋体"/>
        </w:rPr>
      </w:pPr>
      <w:r>
        <w:rPr>
          <w:rFonts w:hAnsi="宋体"/>
        </w:rPr>
        <w:t>乙方交纳人民币</w:t>
      </w:r>
      <w:r>
        <w:rPr>
          <w:rFonts w:hint="eastAsia" w:hAnsi="宋体"/>
          <w:u w:val="single"/>
        </w:rPr>
        <w:t xml:space="preserve">            </w:t>
      </w:r>
      <w:r>
        <w:rPr>
          <w:rFonts w:hAnsi="宋体"/>
        </w:rPr>
        <w:t>元作为本合同的履约保证金。</w:t>
      </w:r>
    </w:p>
    <w:p>
      <w:pPr>
        <w:pStyle w:val="28"/>
        <w:numPr>
          <w:ilvl w:val="0"/>
          <w:numId w:val="0"/>
        </w:numPr>
        <w:tabs>
          <w:tab w:val="left" w:pos="1200"/>
        </w:tabs>
        <w:snapToGrid w:val="0"/>
        <w:spacing w:before="120" w:after="120" w:line="240" w:lineRule="auto"/>
        <w:ind w:firstLine="472" w:firstLineChars="196"/>
        <w:rPr>
          <w:rFonts w:hAnsi="宋体"/>
          <w:b/>
        </w:rPr>
      </w:pPr>
      <w:r>
        <w:rPr>
          <w:rFonts w:hint="eastAsia" w:hAnsi="宋体"/>
          <w:b/>
        </w:rPr>
        <w:t>七、转包或分包</w:t>
      </w:r>
    </w:p>
    <w:p>
      <w:pPr>
        <w:snapToGrid w:val="0"/>
        <w:spacing w:before="120" w:beforeLines="50" w:after="120" w:afterLines="50"/>
        <w:rPr>
          <w:rFonts w:ascii="宋体" w:hAnsi="宋体"/>
          <w:sz w:val="24"/>
        </w:rPr>
      </w:pPr>
      <w:r>
        <w:rPr>
          <w:rFonts w:ascii="宋体" w:hAnsi="宋体"/>
          <w:sz w:val="24"/>
        </w:rPr>
        <w:t>1</w:t>
      </w:r>
      <w:r>
        <w:rPr>
          <w:rFonts w:hint="eastAsia" w:ascii="宋体" w:hAnsi="宋体"/>
          <w:sz w:val="24"/>
        </w:rPr>
        <w:t>.本合同范围的货物，应由</w:t>
      </w:r>
      <w:r>
        <w:rPr>
          <w:rFonts w:ascii="宋体" w:hAnsi="宋体"/>
          <w:sz w:val="24"/>
        </w:rPr>
        <w:t>乙</w:t>
      </w:r>
      <w:r>
        <w:rPr>
          <w:rFonts w:hint="eastAsia" w:ascii="宋体" w:hAnsi="宋体"/>
          <w:sz w:val="24"/>
        </w:rPr>
        <w:t>方直接供应，不得转让他人供应；</w:t>
      </w:r>
    </w:p>
    <w:p>
      <w:pPr>
        <w:snapToGrid w:val="0"/>
        <w:spacing w:before="120" w:beforeLines="50" w:after="120" w:afterLines="50"/>
        <w:rPr>
          <w:rFonts w:ascii="宋体" w:hAnsi="宋体"/>
          <w:sz w:val="24"/>
        </w:rPr>
      </w:pPr>
      <w:r>
        <w:rPr>
          <w:rFonts w:ascii="宋体" w:hAnsi="宋体"/>
          <w:sz w:val="24"/>
        </w:rPr>
        <w:t>2</w:t>
      </w:r>
      <w:r>
        <w:rPr>
          <w:rFonts w:hint="eastAsia" w:ascii="宋体" w:hAnsi="宋体"/>
          <w:sz w:val="24"/>
        </w:rPr>
        <w:t>.除非得到</w:t>
      </w:r>
      <w:r>
        <w:rPr>
          <w:rFonts w:ascii="宋体" w:hAnsi="宋体"/>
          <w:sz w:val="24"/>
        </w:rPr>
        <w:t>甲</w:t>
      </w:r>
      <w:r>
        <w:rPr>
          <w:rFonts w:hint="eastAsia" w:ascii="宋体" w:hAnsi="宋体"/>
          <w:sz w:val="24"/>
        </w:rPr>
        <w:t>方的书面同意，</w:t>
      </w:r>
      <w:r>
        <w:rPr>
          <w:rFonts w:ascii="宋体" w:hAnsi="宋体"/>
          <w:sz w:val="24"/>
        </w:rPr>
        <w:t>乙</w:t>
      </w:r>
      <w:r>
        <w:rPr>
          <w:rFonts w:hint="eastAsia" w:ascii="宋体" w:hAnsi="宋体"/>
          <w:sz w:val="24"/>
        </w:rPr>
        <w:t>方不得将本合同范围的货物全部或部分分包给他人供应；</w:t>
      </w:r>
    </w:p>
    <w:p>
      <w:pPr>
        <w:snapToGrid w:val="0"/>
        <w:spacing w:before="120" w:beforeLines="50" w:after="120" w:afterLines="50"/>
        <w:rPr>
          <w:rFonts w:ascii="宋体" w:hAnsi="宋体"/>
          <w:sz w:val="24"/>
        </w:rPr>
      </w:pPr>
      <w:r>
        <w:rPr>
          <w:rFonts w:ascii="宋体" w:hAnsi="宋体"/>
          <w:sz w:val="24"/>
        </w:rPr>
        <w:t>3</w:t>
      </w:r>
      <w:r>
        <w:rPr>
          <w:rFonts w:hint="eastAsia" w:ascii="宋体" w:hAnsi="宋体"/>
          <w:sz w:val="24"/>
        </w:rPr>
        <w:t>.如有转让和未经</w:t>
      </w:r>
      <w:r>
        <w:rPr>
          <w:rFonts w:ascii="宋体" w:hAnsi="宋体"/>
          <w:sz w:val="24"/>
        </w:rPr>
        <w:t>甲</w:t>
      </w:r>
      <w:r>
        <w:rPr>
          <w:rFonts w:hint="eastAsia" w:ascii="宋体" w:hAnsi="宋体"/>
          <w:sz w:val="24"/>
        </w:rPr>
        <w:t>方同意的分包行为，</w:t>
      </w:r>
      <w:r>
        <w:rPr>
          <w:rFonts w:ascii="宋体" w:hAnsi="宋体"/>
          <w:sz w:val="24"/>
        </w:rPr>
        <w:t>甲</w:t>
      </w:r>
      <w:r>
        <w:rPr>
          <w:rFonts w:hint="eastAsia" w:ascii="宋体" w:hAnsi="宋体"/>
          <w:sz w:val="24"/>
        </w:rPr>
        <w:t>方有权解除合同，没收履约保证金并追究乙方的违约责任。</w:t>
      </w:r>
    </w:p>
    <w:p>
      <w:pPr>
        <w:pStyle w:val="28"/>
        <w:numPr>
          <w:ilvl w:val="0"/>
          <w:numId w:val="0"/>
        </w:numPr>
        <w:tabs>
          <w:tab w:val="left" w:pos="1200"/>
        </w:tabs>
        <w:snapToGrid w:val="0"/>
        <w:spacing w:before="120" w:after="120" w:line="240" w:lineRule="auto"/>
        <w:ind w:firstLine="472" w:firstLineChars="196"/>
        <w:rPr>
          <w:rFonts w:hAnsi="宋体"/>
        </w:rPr>
      </w:pPr>
      <w:r>
        <w:rPr>
          <w:rFonts w:hAnsi="宋体"/>
          <w:b/>
        </w:rPr>
        <w:t>八、质保期和质保金</w:t>
      </w:r>
    </w:p>
    <w:p>
      <w:pPr>
        <w:pStyle w:val="28"/>
        <w:numPr>
          <w:ilvl w:val="0"/>
          <w:numId w:val="0"/>
        </w:numPr>
        <w:tabs>
          <w:tab w:val="left" w:pos="1200"/>
        </w:tabs>
        <w:snapToGrid w:val="0"/>
        <w:spacing w:before="120" w:after="120" w:line="240" w:lineRule="auto"/>
        <w:ind w:firstLine="480" w:firstLineChars="200"/>
        <w:rPr>
          <w:rFonts w:hAnsi="宋体"/>
        </w:rPr>
      </w:pPr>
      <w:r>
        <w:rPr>
          <w:rFonts w:hAnsi="宋体"/>
        </w:rPr>
        <w:t>1</w:t>
      </w:r>
      <w:r>
        <w:rPr>
          <w:rFonts w:hint="eastAsia" w:hAnsi="宋体"/>
        </w:rPr>
        <w:t>.</w:t>
      </w:r>
      <w:r>
        <w:rPr>
          <w:rFonts w:hAnsi="宋体"/>
        </w:rPr>
        <w:t xml:space="preserve"> 质保期</w:t>
      </w:r>
      <w:r>
        <w:rPr>
          <w:rFonts w:hAnsi="宋体"/>
          <w:u w:val="single"/>
        </w:rPr>
        <w:t xml:space="preserve">      </w:t>
      </w:r>
      <w:r>
        <w:rPr>
          <w:rFonts w:hAnsi="宋体"/>
        </w:rPr>
        <w:t>年。（自交货验收合格之日起计）</w:t>
      </w:r>
    </w:p>
    <w:p>
      <w:pPr>
        <w:pStyle w:val="28"/>
        <w:numPr>
          <w:ilvl w:val="0"/>
          <w:numId w:val="0"/>
        </w:numPr>
        <w:tabs>
          <w:tab w:val="left" w:pos="1200"/>
        </w:tabs>
        <w:snapToGrid w:val="0"/>
        <w:spacing w:before="120" w:after="120" w:line="240" w:lineRule="auto"/>
        <w:ind w:firstLine="480" w:firstLineChars="200"/>
        <w:rPr>
          <w:rFonts w:hAnsi="宋体"/>
        </w:rPr>
      </w:pPr>
      <w:r>
        <w:rPr>
          <w:rFonts w:hAnsi="宋体"/>
        </w:rPr>
        <w:t>2</w:t>
      </w:r>
      <w:r>
        <w:rPr>
          <w:rFonts w:hint="eastAsia" w:hAnsi="宋体"/>
        </w:rPr>
        <w:t>.</w:t>
      </w:r>
      <w:r>
        <w:rPr>
          <w:rFonts w:hAnsi="宋体"/>
        </w:rPr>
        <w:t xml:space="preserve"> 质保金</w:t>
      </w:r>
      <w:r>
        <w:rPr>
          <w:rFonts w:hAnsi="宋体"/>
          <w:u w:val="single"/>
        </w:rPr>
        <w:t xml:space="preserve">            </w:t>
      </w:r>
      <w:r>
        <w:rPr>
          <w:rFonts w:hAnsi="宋体"/>
        </w:rPr>
        <w:t>元。</w:t>
      </w:r>
    </w:p>
    <w:p>
      <w:pPr>
        <w:pStyle w:val="28"/>
        <w:numPr>
          <w:ilvl w:val="0"/>
          <w:numId w:val="0"/>
        </w:numPr>
        <w:tabs>
          <w:tab w:val="left" w:pos="1200"/>
        </w:tabs>
        <w:snapToGrid w:val="0"/>
        <w:spacing w:before="120" w:after="120" w:line="240" w:lineRule="auto"/>
        <w:ind w:firstLine="472" w:firstLineChars="196"/>
        <w:rPr>
          <w:rFonts w:hAnsi="宋体"/>
          <w:b/>
        </w:rPr>
      </w:pPr>
      <w:r>
        <w:rPr>
          <w:rFonts w:hAnsi="宋体"/>
          <w:b/>
        </w:rPr>
        <w:t>九、交货期、交货方式及交货地点</w:t>
      </w:r>
    </w:p>
    <w:p>
      <w:pPr>
        <w:pStyle w:val="28"/>
        <w:numPr>
          <w:ilvl w:val="0"/>
          <w:numId w:val="0"/>
        </w:numPr>
        <w:tabs>
          <w:tab w:val="left" w:pos="1200"/>
        </w:tabs>
        <w:snapToGrid w:val="0"/>
        <w:spacing w:before="120" w:after="120" w:line="240" w:lineRule="auto"/>
        <w:ind w:firstLine="480" w:firstLineChars="200"/>
        <w:rPr>
          <w:rFonts w:hAnsi="宋体"/>
          <w:bCs/>
        </w:rPr>
      </w:pPr>
      <w:r>
        <w:rPr>
          <w:rFonts w:hAnsi="宋体"/>
          <w:bCs/>
        </w:rPr>
        <w:t>1</w:t>
      </w:r>
      <w:r>
        <w:rPr>
          <w:rFonts w:hint="eastAsia" w:hAnsi="宋体"/>
          <w:bCs/>
        </w:rPr>
        <w:t>.</w:t>
      </w:r>
      <w:r>
        <w:rPr>
          <w:rFonts w:hAnsi="宋体"/>
          <w:bCs/>
        </w:rPr>
        <w:t xml:space="preserve"> 交货期：</w:t>
      </w:r>
    </w:p>
    <w:p>
      <w:pPr>
        <w:pStyle w:val="28"/>
        <w:numPr>
          <w:ilvl w:val="0"/>
          <w:numId w:val="0"/>
        </w:numPr>
        <w:tabs>
          <w:tab w:val="left" w:pos="1200"/>
        </w:tabs>
        <w:snapToGrid w:val="0"/>
        <w:spacing w:before="120" w:after="120" w:line="240" w:lineRule="auto"/>
        <w:ind w:firstLine="480" w:firstLineChars="200"/>
        <w:rPr>
          <w:rFonts w:hAnsi="宋体"/>
          <w:bCs/>
        </w:rPr>
      </w:pPr>
      <w:r>
        <w:rPr>
          <w:rFonts w:hAnsi="宋体"/>
          <w:bCs/>
        </w:rPr>
        <w:t>2</w:t>
      </w:r>
      <w:r>
        <w:rPr>
          <w:rFonts w:hint="eastAsia" w:hAnsi="宋体"/>
          <w:bCs/>
        </w:rPr>
        <w:t>.</w:t>
      </w:r>
      <w:r>
        <w:rPr>
          <w:rFonts w:hAnsi="宋体"/>
          <w:bCs/>
        </w:rPr>
        <w:t xml:space="preserve"> 交货方式：</w:t>
      </w:r>
    </w:p>
    <w:p>
      <w:pPr>
        <w:pStyle w:val="28"/>
        <w:numPr>
          <w:ilvl w:val="0"/>
          <w:numId w:val="0"/>
        </w:numPr>
        <w:tabs>
          <w:tab w:val="left" w:pos="1200"/>
        </w:tabs>
        <w:snapToGrid w:val="0"/>
        <w:spacing w:before="120" w:after="120" w:line="240" w:lineRule="auto"/>
        <w:ind w:firstLine="480" w:firstLineChars="200"/>
        <w:rPr>
          <w:rFonts w:hAnsi="宋体"/>
          <w:b/>
        </w:rPr>
      </w:pPr>
      <w:r>
        <w:rPr>
          <w:rFonts w:hAnsi="宋体"/>
          <w:bCs/>
        </w:rPr>
        <w:t>3</w:t>
      </w:r>
      <w:r>
        <w:rPr>
          <w:rFonts w:hint="eastAsia" w:hAnsi="宋体"/>
          <w:bCs/>
        </w:rPr>
        <w:t>.</w:t>
      </w:r>
      <w:r>
        <w:rPr>
          <w:rFonts w:hAnsi="宋体"/>
          <w:bCs/>
        </w:rPr>
        <w:t xml:space="preserve"> 交货地点：</w:t>
      </w:r>
    </w:p>
    <w:p>
      <w:pPr>
        <w:pStyle w:val="28"/>
        <w:numPr>
          <w:ilvl w:val="0"/>
          <w:numId w:val="0"/>
        </w:numPr>
        <w:tabs>
          <w:tab w:val="left" w:pos="1200"/>
        </w:tabs>
        <w:snapToGrid w:val="0"/>
        <w:spacing w:before="120" w:after="120" w:line="240" w:lineRule="auto"/>
        <w:ind w:firstLine="472" w:firstLineChars="196"/>
        <w:rPr>
          <w:rFonts w:hint="eastAsia" w:hAnsi="宋体"/>
          <w:b/>
        </w:rPr>
      </w:pPr>
    </w:p>
    <w:p>
      <w:pPr>
        <w:pStyle w:val="28"/>
        <w:numPr>
          <w:ilvl w:val="0"/>
          <w:numId w:val="0"/>
        </w:numPr>
        <w:tabs>
          <w:tab w:val="left" w:pos="1200"/>
        </w:tabs>
        <w:snapToGrid w:val="0"/>
        <w:spacing w:before="120" w:after="120" w:line="240" w:lineRule="auto"/>
        <w:ind w:firstLine="472" w:firstLineChars="196"/>
        <w:rPr>
          <w:rFonts w:hAnsi="宋体"/>
          <w:b/>
        </w:rPr>
      </w:pPr>
      <w:r>
        <w:rPr>
          <w:rFonts w:hAnsi="宋体"/>
          <w:b/>
        </w:rPr>
        <w:t>十、货款支付</w:t>
      </w:r>
    </w:p>
    <w:p>
      <w:pPr>
        <w:pStyle w:val="28"/>
        <w:numPr>
          <w:ilvl w:val="0"/>
          <w:numId w:val="0"/>
        </w:numPr>
        <w:tabs>
          <w:tab w:val="left" w:pos="1200"/>
        </w:tabs>
        <w:snapToGrid w:val="0"/>
        <w:spacing w:before="120" w:after="120" w:line="240" w:lineRule="auto"/>
        <w:ind w:firstLine="480" w:firstLineChars="200"/>
        <w:rPr>
          <w:rFonts w:hint="eastAsia" w:hAnsi="宋体"/>
          <w:bCs/>
        </w:rPr>
      </w:pPr>
      <w:r>
        <w:rPr>
          <w:rFonts w:hAnsi="宋体"/>
          <w:bCs/>
        </w:rPr>
        <w:t xml:space="preserve"> 付款方式：</w:t>
      </w:r>
      <w:r>
        <w:rPr>
          <w:rFonts w:hint="eastAsia" w:hAnsi="宋体"/>
          <w:bCs/>
        </w:rPr>
        <w:t>合同签订并进场施工后支付合同总金额的15%，主要设备到货后支付至合同总金额的30%，项目完工后支付至合同总金额的60%，项目验收合格后支付至合同总金额的95%；质保到期限后再支付合同总金额的5%。</w:t>
      </w:r>
    </w:p>
    <w:p>
      <w:pPr>
        <w:pStyle w:val="28"/>
        <w:numPr>
          <w:ilvl w:val="0"/>
          <w:numId w:val="0"/>
        </w:numPr>
        <w:tabs>
          <w:tab w:val="left" w:pos="1200"/>
        </w:tabs>
        <w:snapToGrid w:val="0"/>
        <w:spacing w:before="120" w:after="120" w:line="240" w:lineRule="auto"/>
        <w:ind w:firstLine="480" w:firstLineChars="200"/>
        <w:rPr>
          <w:rFonts w:hint="eastAsia" w:hAnsi="宋体"/>
          <w:bCs/>
        </w:rPr>
      </w:pPr>
      <w:r>
        <w:rPr>
          <w:rFonts w:hAnsi="宋体"/>
          <w:bCs/>
        </w:rPr>
        <w:t>2</w:t>
      </w:r>
      <w:r>
        <w:rPr>
          <w:rFonts w:hint="eastAsia" w:hAnsi="宋体"/>
          <w:bCs/>
        </w:rPr>
        <w:t>.</w:t>
      </w:r>
      <w:r>
        <w:rPr>
          <w:rFonts w:hAnsi="宋体"/>
        </w:rPr>
        <w:t>当采购数量与实际使用数量不一致时，乙</w:t>
      </w:r>
      <w:r>
        <w:rPr>
          <w:rFonts w:hint="eastAsia" w:hAnsi="宋体"/>
        </w:rPr>
        <w:t>方</w:t>
      </w:r>
      <w:r>
        <w:rPr>
          <w:rFonts w:hAnsi="宋体"/>
        </w:rPr>
        <w:t>应根据实际使用量供货，合同的最终结算金额按实际使用量乘以成交单价进行计算。</w:t>
      </w:r>
    </w:p>
    <w:p>
      <w:pPr>
        <w:snapToGrid w:val="0"/>
        <w:spacing w:before="120" w:beforeLines="50" w:after="120" w:afterLines="50"/>
        <w:ind w:firstLine="472" w:firstLineChars="196"/>
        <w:rPr>
          <w:rFonts w:ascii="宋体" w:hAnsi="宋体"/>
          <w:b/>
          <w:sz w:val="24"/>
          <w:szCs w:val="20"/>
        </w:rPr>
      </w:pPr>
      <w:r>
        <w:rPr>
          <w:rFonts w:hint="eastAsia" w:ascii="宋体" w:hAnsi="宋体"/>
          <w:b/>
          <w:sz w:val="24"/>
        </w:rPr>
        <w:t>十一、税费</w:t>
      </w:r>
    </w:p>
    <w:p>
      <w:pPr>
        <w:snapToGrid w:val="0"/>
        <w:spacing w:before="120" w:beforeLines="50" w:after="120" w:afterLines="50"/>
        <w:ind w:firstLine="480" w:firstLineChars="200"/>
        <w:rPr>
          <w:rFonts w:ascii="宋体" w:hAnsi="宋体"/>
          <w:sz w:val="24"/>
          <w:szCs w:val="20"/>
        </w:rPr>
      </w:pPr>
      <w:r>
        <w:rPr>
          <w:rFonts w:hint="eastAsia" w:ascii="宋体" w:hAnsi="宋体"/>
          <w:sz w:val="24"/>
        </w:rPr>
        <w:t>本合同执行中相关的一切税费均由</w:t>
      </w:r>
      <w:r>
        <w:rPr>
          <w:rFonts w:hAnsi="宋体"/>
          <w:sz w:val="24"/>
        </w:rPr>
        <w:t>乙</w:t>
      </w:r>
      <w:r>
        <w:rPr>
          <w:rFonts w:hint="eastAsia" w:ascii="宋体" w:hAnsi="宋体"/>
          <w:sz w:val="24"/>
        </w:rPr>
        <w:t>方负担。</w:t>
      </w:r>
    </w:p>
    <w:p>
      <w:pPr>
        <w:pStyle w:val="28"/>
        <w:numPr>
          <w:ilvl w:val="0"/>
          <w:numId w:val="0"/>
        </w:numPr>
        <w:tabs>
          <w:tab w:val="left" w:pos="1200"/>
        </w:tabs>
        <w:snapToGrid w:val="0"/>
        <w:spacing w:before="120" w:after="120" w:line="240" w:lineRule="auto"/>
        <w:ind w:firstLine="472" w:firstLineChars="196"/>
        <w:rPr>
          <w:rFonts w:hAnsi="宋体"/>
        </w:rPr>
      </w:pPr>
      <w:r>
        <w:rPr>
          <w:rFonts w:hAnsi="宋体"/>
          <w:b/>
        </w:rPr>
        <w:t>十二、质量保证及售后服务</w:t>
      </w:r>
    </w:p>
    <w:p>
      <w:pPr>
        <w:pStyle w:val="28"/>
        <w:numPr>
          <w:ilvl w:val="0"/>
          <w:numId w:val="0"/>
        </w:numPr>
        <w:tabs>
          <w:tab w:val="left" w:pos="1200"/>
        </w:tabs>
        <w:snapToGrid w:val="0"/>
        <w:spacing w:before="120" w:after="120" w:line="240" w:lineRule="auto"/>
        <w:ind w:firstLine="480" w:firstLineChars="200"/>
        <w:rPr>
          <w:rFonts w:hAnsi="宋体"/>
        </w:rPr>
      </w:pPr>
      <w:r>
        <w:rPr>
          <w:rFonts w:hAnsi="宋体"/>
        </w:rPr>
        <w:t>1</w:t>
      </w:r>
      <w:r>
        <w:rPr>
          <w:rFonts w:hint="eastAsia" w:hAnsi="宋体"/>
        </w:rPr>
        <w:t>.</w:t>
      </w:r>
      <w:r>
        <w:rPr>
          <w:rFonts w:hAnsi="宋体"/>
        </w:rPr>
        <w:t xml:space="preserve"> 乙方应按招标文件规定的货物性能、技术要求、质量标准向甲方提供未经使用的全新产品。</w:t>
      </w:r>
    </w:p>
    <w:p>
      <w:pPr>
        <w:pStyle w:val="28"/>
        <w:numPr>
          <w:ilvl w:val="0"/>
          <w:numId w:val="0"/>
        </w:numPr>
        <w:tabs>
          <w:tab w:val="left" w:pos="1200"/>
        </w:tabs>
        <w:snapToGrid w:val="0"/>
        <w:spacing w:before="120" w:after="120" w:line="240" w:lineRule="auto"/>
        <w:ind w:firstLine="480" w:firstLineChars="200"/>
        <w:rPr>
          <w:rFonts w:hAnsi="宋体"/>
        </w:rPr>
      </w:pPr>
      <w:r>
        <w:rPr>
          <w:rFonts w:hAnsi="宋体"/>
        </w:rPr>
        <w:t>2</w:t>
      </w:r>
      <w:r>
        <w:rPr>
          <w:rFonts w:hint="eastAsia" w:hAnsi="宋体"/>
        </w:rPr>
        <w:t>.</w:t>
      </w:r>
      <w:r>
        <w:rPr>
          <w:rFonts w:hAnsi="宋体"/>
        </w:rPr>
        <w:t xml:space="preserve"> 乙方提供的货物在质</w:t>
      </w:r>
      <w:r>
        <w:rPr>
          <w:rFonts w:hint="eastAsia" w:hAnsi="宋体"/>
        </w:rPr>
        <w:t>保</w:t>
      </w:r>
      <w:r>
        <w:rPr>
          <w:rFonts w:hAnsi="宋体"/>
        </w:rPr>
        <w:t>期内因货物本身的质量问题发生故障，乙方应负责免费更换。对达不到技术要求者，根据实际情况，经双方协商，可按以下办法处理：</w:t>
      </w:r>
    </w:p>
    <w:p>
      <w:pPr>
        <w:pStyle w:val="28"/>
        <w:numPr>
          <w:ilvl w:val="0"/>
          <w:numId w:val="0"/>
        </w:numPr>
        <w:tabs>
          <w:tab w:val="left" w:pos="1200"/>
        </w:tabs>
        <w:snapToGrid w:val="0"/>
        <w:spacing w:before="120" w:after="120" w:line="240" w:lineRule="auto"/>
        <w:ind w:firstLine="480" w:firstLineChars="200"/>
        <w:rPr>
          <w:rFonts w:hAnsi="宋体"/>
        </w:rPr>
      </w:pPr>
      <w:r>
        <w:rPr>
          <w:rFonts w:hAnsi="宋体"/>
        </w:rPr>
        <w:t>⑴更换：由乙方承担所发生的全部费用。</w:t>
      </w:r>
    </w:p>
    <w:p>
      <w:pPr>
        <w:pStyle w:val="28"/>
        <w:numPr>
          <w:ilvl w:val="0"/>
          <w:numId w:val="0"/>
        </w:numPr>
        <w:tabs>
          <w:tab w:val="left" w:pos="1200"/>
        </w:tabs>
        <w:snapToGrid w:val="0"/>
        <w:spacing w:before="120" w:after="120" w:line="240" w:lineRule="auto"/>
        <w:ind w:firstLine="480" w:firstLineChars="200"/>
        <w:rPr>
          <w:rFonts w:hAnsi="宋体"/>
        </w:rPr>
      </w:pPr>
      <w:r>
        <w:rPr>
          <w:rFonts w:hAnsi="宋体"/>
        </w:rPr>
        <w:t>⑵贬值处理：由甲乙双方合议定价。</w:t>
      </w:r>
    </w:p>
    <w:p>
      <w:pPr>
        <w:pStyle w:val="28"/>
        <w:numPr>
          <w:ilvl w:val="0"/>
          <w:numId w:val="0"/>
        </w:numPr>
        <w:tabs>
          <w:tab w:val="left" w:pos="1200"/>
        </w:tabs>
        <w:snapToGrid w:val="0"/>
        <w:spacing w:before="120" w:after="120" w:line="240" w:lineRule="auto"/>
        <w:ind w:left="420" w:leftChars="200"/>
        <w:rPr>
          <w:rFonts w:hAnsi="宋体"/>
        </w:rPr>
      </w:pPr>
      <w:r>
        <w:rPr>
          <w:rFonts w:hAnsi="宋体"/>
        </w:rPr>
        <w:t>⑶退货处理：乙方应退还甲方支付的合同款，同时应承担该货物的直接费用（运输、保险、检验、货款利息及银行手续费等）。</w:t>
      </w:r>
    </w:p>
    <w:p>
      <w:pPr>
        <w:pStyle w:val="28"/>
        <w:numPr>
          <w:ilvl w:val="0"/>
          <w:numId w:val="0"/>
        </w:numPr>
        <w:tabs>
          <w:tab w:val="left" w:pos="1200"/>
        </w:tabs>
        <w:snapToGrid w:val="0"/>
        <w:spacing w:before="120" w:after="120" w:line="240" w:lineRule="auto"/>
        <w:ind w:firstLine="480" w:firstLineChars="200"/>
        <w:rPr>
          <w:rFonts w:hAnsi="宋体"/>
        </w:rPr>
      </w:pPr>
      <w:r>
        <w:rPr>
          <w:rFonts w:hAnsi="宋体"/>
        </w:rPr>
        <w:t>3</w:t>
      </w:r>
      <w:r>
        <w:rPr>
          <w:rFonts w:hint="eastAsia" w:hAnsi="宋体"/>
        </w:rPr>
        <w:t>.</w:t>
      </w:r>
      <w:r>
        <w:rPr>
          <w:rFonts w:hAnsi="宋体"/>
        </w:rPr>
        <w:t xml:space="preserve"> 如在使用过程中发生质量问题，乙方在接到甲方通知后在</w:t>
      </w:r>
      <w:r>
        <w:rPr>
          <w:rFonts w:hint="eastAsia" w:hAnsi="宋体"/>
          <w:u w:val="single"/>
        </w:rPr>
        <w:t xml:space="preserve">    </w:t>
      </w:r>
      <w:r>
        <w:rPr>
          <w:rFonts w:hAnsi="宋体"/>
        </w:rPr>
        <w:t>小时内到达甲方现场。</w:t>
      </w:r>
    </w:p>
    <w:p>
      <w:pPr>
        <w:pStyle w:val="28"/>
        <w:numPr>
          <w:ilvl w:val="0"/>
          <w:numId w:val="0"/>
        </w:numPr>
        <w:tabs>
          <w:tab w:val="left" w:pos="1200"/>
        </w:tabs>
        <w:snapToGrid w:val="0"/>
        <w:spacing w:before="120" w:after="120" w:line="240" w:lineRule="auto"/>
        <w:ind w:firstLine="480" w:firstLineChars="200"/>
        <w:rPr>
          <w:rFonts w:hAnsi="宋体"/>
        </w:rPr>
      </w:pPr>
      <w:r>
        <w:rPr>
          <w:rFonts w:hAnsi="宋体"/>
        </w:rPr>
        <w:t>4</w:t>
      </w:r>
      <w:r>
        <w:rPr>
          <w:rFonts w:hint="eastAsia" w:hAnsi="宋体"/>
        </w:rPr>
        <w:t>.</w:t>
      </w:r>
      <w:r>
        <w:rPr>
          <w:rFonts w:hAnsi="宋体"/>
        </w:rPr>
        <w:t xml:space="preserve"> 在质保期内，乙方应对货物出现的质量及安全问题负责处理解决并承担一切费用。</w:t>
      </w:r>
    </w:p>
    <w:p>
      <w:pPr>
        <w:pStyle w:val="28"/>
        <w:numPr>
          <w:ilvl w:val="0"/>
          <w:numId w:val="0"/>
        </w:numPr>
        <w:tabs>
          <w:tab w:val="left" w:pos="1200"/>
        </w:tabs>
        <w:snapToGrid w:val="0"/>
        <w:spacing w:before="120" w:after="120" w:line="240" w:lineRule="auto"/>
        <w:ind w:firstLine="480" w:firstLineChars="200"/>
        <w:rPr>
          <w:rFonts w:hint="eastAsia" w:hAnsi="宋体"/>
        </w:rPr>
      </w:pPr>
      <w:r>
        <w:rPr>
          <w:rFonts w:hAnsi="宋体"/>
        </w:rPr>
        <w:t>5</w:t>
      </w:r>
      <w:r>
        <w:rPr>
          <w:rFonts w:hint="eastAsia" w:hAnsi="宋体"/>
        </w:rPr>
        <w:t>.</w:t>
      </w:r>
      <w:r>
        <w:rPr>
          <w:rFonts w:hAnsi="宋体"/>
        </w:rPr>
        <w:t>上述的货物免费保修期为</w:t>
      </w:r>
      <w:r>
        <w:rPr>
          <w:rFonts w:hAnsi="宋体"/>
          <w:u w:val="single"/>
        </w:rPr>
        <w:t xml:space="preserve">     </w:t>
      </w:r>
      <w:r>
        <w:rPr>
          <w:rFonts w:hAnsi="宋体"/>
        </w:rPr>
        <w:t>年，因人为因素出现的故障不在免费保修范围内。超过保修期的机器设备，终生维修，维修时只收部件成本费。</w:t>
      </w:r>
    </w:p>
    <w:p>
      <w:pPr>
        <w:pStyle w:val="28"/>
        <w:numPr>
          <w:ilvl w:val="0"/>
          <w:numId w:val="0"/>
        </w:numPr>
        <w:tabs>
          <w:tab w:val="left" w:pos="1200"/>
        </w:tabs>
        <w:snapToGrid w:val="0"/>
        <w:spacing w:before="120" w:after="120" w:line="240" w:lineRule="auto"/>
        <w:ind w:firstLine="482" w:firstLineChars="200"/>
        <w:rPr>
          <w:rFonts w:hint="eastAsia" w:hAnsi="宋体"/>
          <w:b/>
        </w:rPr>
      </w:pPr>
    </w:p>
    <w:p>
      <w:pPr>
        <w:pStyle w:val="28"/>
        <w:numPr>
          <w:ilvl w:val="0"/>
          <w:numId w:val="0"/>
        </w:numPr>
        <w:tabs>
          <w:tab w:val="left" w:pos="1200"/>
        </w:tabs>
        <w:snapToGrid w:val="0"/>
        <w:spacing w:before="120" w:after="120" w:line="240" w:lineRule="auto"/>
        <w:ind w:firstLine="482" w:firstLineChars="200"/>
        <w:rPr>
          <w:rFonts w:hAnsi="宋体"/>
        </w:rPr>
      </w:pPr>
      <w:r>
        <w:rPr>
          <w:rFonts w:hAnsi="宋体"/>
          <w:b/>
        </w:rPr>
        <w:t>十三、调试和验收</w:t>
      </w:r>
    </w:p>
    <w:p>
      <w:pPr>
        <w:pStyle w:val="28"/>
        <w:numPr>
          <w:ilvl w:val="0"/>
          <w:numId w:val="0"/>
        </w:numPr>
        <w:tabs>
          <w:tab w:val="left" w:pos="1200"/>
        </w:tabs>
        <w:snapToGrid w:val="0"/>
        <w:spacing w:before="120" w:after="120" w:line="240" w:lineRule="auto"/>
        <w:ind w:firstLine="480" w:firstLineChars="200"/>
        <w:jc w:val="left"/>
        <w:rPr>
          <w:rFonts w:hAnsi="宋体"/>
        </w:rPr>
      </w:pPr>
      <w:r>
        <w:rPr>
          <w:rFonts w:hAnsi="宋体"/>
        </w:rPr>
        <w:t>1</w:t>
      </w:r>
      <w:r>
        <w:rPr>
          <w:rFonts w:hint="eastAsia" w:hAnsi="宋体"/>
        </w:rPr>
        <w:t>.</w:t>
      </w:r>
      <w:r>
        <w:rPr>
          <w:rFonts w:hAnsi="宋体"/>
        </w:rPr>
        <w:t xml:space="preserve">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28"/>
        <w:numPr>
          <w:ilvl w:val="0"/>
          <w:numId w:val="0"/>
        </w:numPr>
        <w:tabs>
          <w:tab w:val="left" w:pos="1200"/>
        </w:tabs>
        <w:snapToGrid w:val="0"/>
        <w:spacing w:before="120" w:after="120" w:line="240" w:lineRule="auto"/>
        <w:ind w:firstLine="480" w:firstLineChars="200"/>
        <w:rPr>
          <w:rFonts w:hAnsi="宋体"/>
        </w:rPr>
      </w:pPr>
      <w:r>
        <w:rPr>
          <w:rFonts w:hAnsi="宋体"/>
        </w:rPr>
        <w:t>2</w:t>
      </w:r>
      <w:r>
        <w:rPr>
          <w:rFonts w:hint="eastAsia" w:hAnsi="宋体"/>
        </w:rPr>
        <w:t>.</w:t>
      </w:r>
      <w:r>
        <w:rPr>
          <w:rFonts w:hAnsi="宋体"/>
        </w:rPr>
        <w:t xml:space="preserve"> 乙方交货前应对产品作出全面检查和对验收文件进行整理，并列出清单，作为甲方收货验收和使用的技术条件依据，检验的结果应随货物交甲方。</w:t>
      </w:r>
    </w:p>
    <w:p>
      <w:pPr>
        <w:pStyle w:val="28"/>
        <w:numPr>
          <w:ilvl w:val="0"/>
          <w:numId w:val="0"/>
        </w:numPr>
        <w:tabs>
          <w:tab w:val="left" w:pos="1200"/>
        </w:tabs>
        <w:snapToGrid w:val="0"/>
        <w:spacing w:before="120" w:after="120" w:line="240" w:lineRule="auto"/>
        <w:ind w:firstLine="480" w:firstLineChars="200"/>
        <w:rPr>
          <w:rFonts w:hAnsi="宋体"/>
          <w:u w:val="single"/>
        </w:rPr>
      </w:pPr>
      <w:r>
        <w:rPr>
          <w:rFonts w:hAnsi="宋体"/>
        </w:rPr>
        <w:t>3</w:t>
      </w:r>
      <w:r>
        <w:rPr>
          <w:rFonts w:hint="eastAsia" w:hAnsi="宋体"/>
        </w:rPr>
        <w:t>.</w:t>
      </w:r>
      <w:r>
        <w:rPr>
          <w:rFonts w:hAnsi="宋体"/>
        </w:rPr>
        <w:t xml:space="preserve"> 甲方对乙方提供的货物在使用前进行调试时，乙方需负责安装并培训甲方的使用操作人员，并协助甲方一起调试，直到符合技术要求，甲方才做最终验收。</w:t>
      </w:r>
    </w:p>
    <w:p>
      <w:pPr>
        <w:pStyle w:val="28"/>
        <w:numPr>
          <w:ilvl w:val="0"/>
          <w:numId w:val="0"/>
        </w:numPr>
        <w:tabs>
          <w:tab w:val="left" w:pos="1200"/>
        </w:tabs>
        <w:snapToGrid w:val="0"/>
        <w:spacing w:before="120" w:after="120" w:line="240" w:lineRule="auto"/>
        <w:ind w:firstLine="480" w:firstLineChars="200"/>
        <w:rPr>
          <w:rFonts w:hAnsi="宋体"/>
        </w:rPr>
      </w:pPr>
      <w:r>
        <w:rPr>
          <w:rFonts w:hAnsi="宋体"/>
        </w:rPr>
        <w:t>4</w:t>
      </w:r>
      <w:r>
        <w:rPr>
          <w:rFonts w:hint="eastAsia" w:hAnsi="宋体"/>
        </w:rPr>
        <w:t>.</w:t>
      </w:r>
      <w:r>
        <w:rPr>
          <w:rFonts w:hAnsi="宋体"/>
        </w:rPr>
        <w:t xml:space="preserve"> 对技术复杂的货物，甲方应请国家认可的专业检测机构参与初步验收及最终验收，并由其出具质量检测报告。</w:t>
      </w:r>
    </w:p>
    <w:p>
      <w:pPr>
        <w:pStyle w:val="28"/>
        <w:numPr>
          <w:ilvl w:val="0"/>
          <w:numId w:val="0"/>
        </w:numPr>
        <w:tabs>
          <w:tab w:val="left" w:pos="1200"/>
        </w:tabs>
        <w:snapToGrid w:val="0"/>
        <w:spacing w:before="120" w:after="120" w:line="240" w:lineRule="auto"/>
        <w:ind w:firstLine="480" w:firstLineChars="200"/>
        <w:rPr>
          <w:rFonts w:hAnsi="宋体"/>
        </w:rPr>
      </w:pPr>
      <w:r>
        <w:rPr>
          <w:rFonts w:hAnsi="宋体"/>
        </w:rPr>
        <w:t>5</w:t>
      </w:r>
      <w:r>
        <w:rPr>
          <w:rFonts w:hint="eastAsia" w:hAnsi="宋体"/>
        </w:rPr>
        <w:t>.</w:t>
      </w:r>
      <w:r>
        <w:rPr>
          <w:rFonts w:hAnsi="宋体"/>
        </w:rPr>
        <w:t xml:space="preserve"> 验收时乙方必须在现场，验收完毕后作出验收结果报告；验收费用由乙方负责。</w:t>
      </w:r>
    </w:p>
    <w:p>
      <w:pPr>
        <w:pStyle w:val="28"/>
        <w:numPr>
          <w:ilvl w:val="0"/>
          <w:numId w:val="0"/>
        </w:numPr>
        <w:tabs>
          <w:tab w:val="left" w:pos="1200"/>
        </w:tabs>
        <w:snapToGrid w:val="0"/>
        <w:spacing w:before="120" w:after="120" w:line="240" w:lineRule="auto"/>
        <w:ind w:firstLine="472" w:firstLineChars="196"/>
        <w:rPr>
          <w:rFonts w:hint="eastAsia" w:hAnsi="宋体"/>
          <w:b/>
        </w:rPr>
      </w:pPr>
      <w:r>
        <w:rPr>
          <w:rFonts w:hint="eastAsia" w:hAnsi="宋体"/>
          <w:b/>
        </w:rPr>
        <w:t>说明：以上属于甲方的验收权限根据甲方与委托代理机构签订的委托代理协议，中标、成交金额在50万（含）以上、300万（不含）以下的采购项目，应成立验收小组开展项目验收，提交验收报告。</w:t>
      </w:r>
    </w:p>
    <w:p>
      <w:pPr>
        <w:pStyle w:val="28"/>
        <w:numPr>
          <w:ilvl w:val="0"/>
          <w:numId w:val="0"/>
        </w:numPr>
        <w:tabs>
          <w:tab w:val="left" w:pos="1200"/>
        </w:tabs>
        <w:snapToGrid w:val="0"/>
        <w:spacing w:before="120" w:after="120" w:line="240" w:lineRule="auto"/>
        <w:ind w:firstLine="472" w:firstLineChars="196"/>
        <w:rPr>
          <w:rFonts w:hAnsi="宋体"/>
          <w:b/>
        </w:rPr>
      </w:pPr>
      <w:r>
        <w:rPr>
          <w:rFonts w:hAnsi="宋体"/>
          <w:b/>
        </w:rPr>
        <w:t>十四、货物包装、发运及运输</w:t>
      </w:r>
    </w:p>
    <w:p>
      <w:pPr>
        <w:pStyle w:val="28"/>
        <w:numPr>
          <w:ilvl w:val="0"/>
          <w:numId w:val="0"/>
        </w:numPr>
        <w:tabs>
          <w:tab w:val="left" w:pos="1200"/>
        </w:tabs>
        <w:snapToGrid w:val="0"/>
        <w:spacing w:before="120" w:after="120" w:line="240" w:lineRule="auto"/>
        <w:ind w:firstLine="480" w:firstLineChars="200"/>
        <w:rPr>
          <w:rFonts w:hAnsi="宋体"/>
        </w:rPr>
      </w:pPr>
      <w:r>
        <w:rPr>
          <w:rFonts w:hAnsi="宋体"/>
        </w:rPr>
        <w:t>1</w:t>
      </w:r>
      <w:r>
        <w:rPr>
          <w:rFonts w:hint="eastAsia" w:hAnsi="宋体"/>
        </w:rPr>
        <w:t>.</w:t>
      </w:r>
      <w:r>
        <w:rPr>
          <w:rFonts w:hAnsi="宋体"/>
        </w:rPr>
        <w:t xml:space="preserve"> 乙方应在货物发运前对其进行满足运输距离、防潮、防震、防锈和防破损装卸等要求包装，以保证货物安全运达甲方指定地点。</w:t>
      </w:r>
    </w:p>
    <w:p>
      <w:pPr>
        <w:pStyle w:val="28"/>
        <w:numPr>
          <w:ilvl w:val="0"/>
          <w:numId w:val="0"/>
        </w:numPr>
        <w:tabs>
          <w:tab w:val="left" w:pos="1200"/>
        </w:tabs>
        <w:snapToGrid w:val="0"/>
        <w:spacing w:before="120" w:after="120" w:line="240" w:lineRule="auto"/>
        <w:ind w:firstLine="480" w:firstLineChars="200"/>
        <w:rPr>
          <w:rFonts w:hAnsi="宋体"/>
        </w:rPr>
      </w:pPr>
      <w:r>
        <w:rPr>
          <w:rFonts w:hAnsi="宋体"/>
        </w:rPr>
        <w:t>2</w:t>
      </w:r>
      <w:r>
        <w:rPr>
          <w:rFonts w:hint="eastAsia" w:hAnsi="宋体"/>
        </w:rPr>
        <w:t>.</w:t>
      </w:r>
      <w:r>
        <w:rPr>
          <w:rFonts w:hAnsi="宋体"/>
        </w:rPr>
        <w:t xml:space="preserve"> 使用说明书、质量检验</w:t>
      </w:r>
      <w:r>
        <w:rPr>
          <w:rFonts w:hint="eastAsia" w:hAnsi="宋体"/>
          <w:lang w:eastAsia="zh-CN"/>
        </w:rPr>
        <w:t>文件材料</w:t>
      </w:r>
      <w:r>
        <w:rPr>
          <w:rFonts w:hAnsi="宋体"/>
        </w:rPr>
        <w:t>书、随配附件和工具以及清单一并附于货物内。</w:t>
      </w:r>
    </w:p>
    <w:p>
      <w:pPr>
        <w:pStyle w:val="28"/>
        <w:numPr>
          <w:ilvl w:val="0"/>
          <w:numId w:val="0"/>
        </w:numPr>
        <w:tabs>
          <w:tab w:val="left" w:pos="1200"/>
        </w:tabs>
        <w:snapToGrid w:val="0"/>
        <w:spacing w:before="120" w:after="120" w:line="240" w:lineRule="auto"/>
        <w:ind w:firstLine="480" w:firstLineChars="200"/>
        <w:rPr>
          <w:rFonts w:hAnsi="宋体"/>
        </w:rPr>
      </w:pPr>
      <w:r>
        <w:rPr>
          <w:rFonts w:hAnsi="宋体"/>
        </w:rPr>
        <w:t>3</w:t>
      </w:r>
      <w:r>
        <w:rPr>
          <w:rFonts w:hint="eastAsia" w:hAnsi="宋体"/>
        </w:rPr>
        <w:t>.</w:t>
      </w:r>
      <w:r>
        <w:rPr>
          <w:rFonts w:hAnsi="宋体"/>
        </w:rPr>
        <w:t xml:space="preserve"> 乙方在货物发运手续办理完毕后24小时内或货到甲方48小时前通知甲方，以准备接货。</w:t>
      </w:r>
    </w:p>
    <w:p>
      <w:pPr>
        <w:pStyle w:val="28"/>
        <w:numPr>
          <w:ilvl w:val="0"/>
          <w:numId w:val="0"/>
        </w:numPr>
        <w:tabs>
          <w:tab w:val="left" w:pos="1200"/>
        </w:tabs>
        <w:snapToGrid w:val="0"/>
        <w:spacing w:before="120" w:after="120" w:line="240" w:lineRule="auto"/>
        <w:ind w:firstLine="480" w:firstLineChars="200"/>
        <w:rPr>
          <w:rFonts w:hAnsi="宋体"/>
        </w:rPr>
      </w:pPr>
      <w:r>
        <w:rPr>
          <w:rFonts w:hAnsi="宋体"/>
        </w:rPr>
        <w:t>4</w:t>
      </w:r>
      <w:r>
        <w:rPr>
          <w:rFonts w:hint="eastAsia" w:hAnsi="宋体"/>
        </w:rPr>
        <w:t>.</w:t>
      </w:r>
      <w:r>
        <w:rPr>
          <w:rFonts w:hAnsi="宋体"/>
        </w:rPr>
        <w:t xml:space="preserve"> 货物在交付甲方前发生的风险均由乙方负责。</w:t>
      </w:r>
    </w:p>
    <w:p>
      <w:pPr>
        <w:pStyle w:val="28"/>
        <w:numPr>
          <w:ilvl w:val="0"/>
          <w:numId w:val="0"/>
        </w:numPr>
        <w:tabs>
          <w:tab w:val="left" w:pos="1200"/>
        </w:tabs>
        <w:snapToGrid w:val="0"/>
        <w:spacing w:beforeLines="0" w:afterLines="0" w:line="240" w:lineRule="auto"/>
        <w:ind w:right="26" w:firstLine="480" w:firstLineChars="200"/>
        <w:rPr>
          <w:rFonts w:hAnsi="宋体"/>
        </w:rPr>
      </w:pPr>
      <w:r>
        <w:rPr>
          <w:rFonts w:hAnsi="宋体"/>
        </w:rPr>
        <w:t>5</w:t>
      </w:r>
      <w:r>
        <w:rPr>
          <w:rFonts w:hint="eastAsia" w:hAnsi="宋体"/>
        </w:rPr>
        <w:t>.</w:t>
      </w:r>
      <w:r>
        <w:rPr>
          <w:rFonts w:hAnsi="宋体"/>
        </w:rPr>
        <w:t xml:space="preserve"> 货物在规定的交付期限内由乙方送达甲方指定的地点视为交付，乙方同时需通知甲方货物已送达。</w:t>
      </w:r>
    </w:p>
    <w:p>
      <w:pPr>
        <w:pStyle w:val="28"/>
        <w:numPr>
          <w:ilvl w:val="0"/>
          <w:numId w:val="0"/>
        </w:numPr>
        <w:tabs>
          <w:tab w:val="left" w:pos="1200"/>
        </w:tabs>
        <w:snapToGrid w:val="0"/>
        <w:spacing w:before="120" w:after="120" w:line="240" w:lineRule="auto"/>
        <w:ind w:firstLine="472" w:firstLineChars="196"/>
        <w:rPr>
          <w:rFonts w:hAnsi="宋体"/>
          <w:b/>
        </w:rPr>
      </w:pPr>
      <w:r>
        <w:rPr>
          <w:rFonts w:hAnsi="宋体"/>
          <w:b/>
        </w:rPr>
        <w:t>十五、违约责任</w:t>
      </w:r>
    </w:p>
    <w:p>
      <w:pPr>
        <w:pStyle w:val="28"/>
        <w:numPr>
          <w:ilvl w:val="0"/>
          <w:numId w:val="0"/>
        </w:numPr>
        <w:tabs>
          <w:tab w:val="left" w:pos="1200"/>
        </w:tabs>
        <w:snapToGrid w:val="0"/>
        <w:spacing w:before="120" w:after="120" w:line="240" w:lineRule="auto"/>
        <w:ind w:firstLine="480" w:firstLineChars="200"/>
        <w:rPr>
          <w:rFonts w:hAnsi="宋体"/>
        </w:rPr>
      </w:pPr>
      <w:r>
        <w:rPr>
          <w:rFonts w:hAnsi="宋体"/>
        </w:rPr>
        <w:t>1</w:t>
      </w:r>
      <w:r>
        <w:rPr>
          <w:rFonts w:hint="eastAsia" w:hAnsi="宋体"/>
        </w:rPr>
        <w:t>.</w:t>
      </w:r>
      <w:r>
        <w:rPr>
          <w:rFonts w:hAnsi="宋体"/>
        </w:rPr>
        <w:t xml:space="preserve"> 甲方无正当理由拒收货物的，甲方向乙方偿付拒收货款总值的百分之五违约金。</w:t>
      </w:r>
    </w:p>
    <w:p>
      <w:pPr>
        <w:pStyle w:val="28"/>
        <w:numPr>
          <w:ilvl w:val="0"/>
          <w:numId w:val="0"/>
        </w:numPr>
        <w:tabs>
          <w:tab w:val="left" w:pos="1200"/>
        </w:tabs>
        <w:snapToGrid w:val="0"/>
        <w:spacing w:before="120" w:after="120" w:line="240" w:lineRule="auto"/>
        <w:ind w:firstLine="480" w:firstLineChars="200"/>
        <w:rPr>
          <w:rFonts w:hAnsi="宋体"/>
        </w:rPr>
      </w:pPr>
      <w:r>
        <w:rPr>
          <w:rFonts w:hAnsi="宋体"/>
        </w:rPr>
        <w:t>2</w:t>
      </w:r>
      <w:r>
        <w:rPr>
          <w:rFonts w:hint="eastAsia" w:hAnsi="宋体"/>
        </w:rPr>
        <w:t>.</w:t>
      </w:r>
      <w:r>
        <w:rPr>
          <w:rFonts w:hAnsi="宋体"/>
        </w:rPr>
        <w:t xml:space="preserve"> 甲方无故逾期验收和办理货款支付手续的,甲方应按逾期付款总额每日万分之五向乙方支付违约金。</w:t>
      </w:r>
    </w:p>
    <w:p>
      <w:pPr>
        <w:pStyle w:val="28"/>
        <w:numPr>
          <w:ilvl w:val="0"/>
          <w:numId w:val="0"/>
        </w:numPr>
        <w:tabs>
          <w:tab w:val="left" w:pos="1200"/>
        </w:tabs>
        <w:snapToGrid w:val="0"/>
        <w:spacing w:before="120" w:after="120" w:line="240" w:lineRule="auto"/>
        <w:ind w:firstLine="480" w:firstLineChars="200"/>
        <w:rPr>
          <w:rFonts w:hAnsi="宋体"/>
        </w:rPr>
      </w:pPr>
      <w:r>
        <w:rPr>
          <w:rFonts w:hAnsi="宋体"/>
        </w:rPr>
        <w:t>3</w:t>
      </w:r>
      <w:r>
        <w:rPr>
          <w:rFonts w:hint="eastAsia" w:hAnsi="宋体"/>
        </w:rPr>
        <w:t>.</w:t>
      </w:r>
      <w:r>
        <w:rPr>
          <w:rFonts w:hAnsi="宋体"/>
        </w:rPr>
        <w:t xml:space="preserve">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28"/>
        <w:numPr>
          <w:ilvl w:val="0"/>
          <w:numId w:val="0"/>
        </w:numPr>
        <w:tabs>
          <w:tab w:val="left" w:pos="1200"/>
        </w:tabs>
        <w:snapToGrid w:val="0"/>
        <w:spacing w:before="120" w:after="120" w:line="240" w:lineRule="auto"/>
        <w:ind w:firstLine="480" w:firstLineChars="200"/>
        <w:rPr>
          <w:rFonts w:hAnsi="宋体"/>
        </w:rPr>
      </w:pPr>
      <w:r>
        <w:rPr>
          <w:rFonts w:hAnsi="宋体"/>
        </w:rPr>
        <w:t>4</w:t>
      </w:r>
      <w:r>
        <w:rPr>
          <w:rFonts w:hint="eastAsia" w:hAnsi="宋体"/>
        </w:rPr>
        <w:t>.</w:t>
      </w:r>
      <w:r>
        <w:rPr>
          <w:rFonts w:hAnsi="宋体"/>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8"/>
        <w:numPr>
          <w:ilvl w:val="0"/>
          <w:numId w:val="0"/>
        </w:numPr>
        <w:tabs>
          <w:tab w:val="left" w:pos="1200"/>
        </w:tabs>
        <w:snapToGrid w:val="0"/>
        <w:spacing w:before="120" w:after="120" w:line="240" w:lineRule="auto"/>
        <w:ind w:firstLine="472" w:firstLineChars="196"/>
        <w:rPr>
          <w:rFonts w:hAnsi="宋体"/>
          <w:b/>
        </w:rPr>
      </w:pPr>
      <w:r>
        <w:rPr>
          <w:rFonts w:hAnsi="宋体"/>
          <w:b/>
        </w:rPr>
        <w:t>十六、不可抗力事件处理</w:t>
      </w:r>
    </w:p>
    <w:p>
      <w:pPr>
        <w:pStyle w:val="28"/>
        <w:numPr>
          <w:ilvl w:val="0"/>
          <w:numId w:val="0"/>
        </w:numPr>
        <w:tabs>
          <w:tab w:val="left" w:pos="1200"/>
        </w:tabs>
        <w:snapToGrid w:val="0"/>
        <w:spacing w:before="120" w:after="120" w:line="240" w:lineRule="auto"/>
        <w:ind w:firstLine="480" w:firstLineChars="200"/>
        <w:rPr>
          <w:rFonts w:hAnsi="宋体"/>
        </w:rPr>
      </w:pPr>
      <w:r>
        <w:rPr>
          <w:rFonts w:hAnsi="宋体"/>
        </w:rPr>
        <w:t>1</w:t>
      </w:r>
      <w:r>
        <w:rPr>
          <w:rFonts w:hint="eastAsia" w:hAnsi="宋体"/>
        </w:rPr>
        <w:t>.</w:t>
      </w:r>
      <w:r>
        <w:rPr>
          <w:rFonts w:hAnsi="宋体"/>
        </w:rPr>
        <w:t xml:space="preserve"> 在合同有效期内，任何一方因不可抗力事件导致不能履行合同，则合同履行期可延长，其延长期与不可抗力影响期相同。</w:t>
      </w:r>
    </w:p>
    <w:p>
      <w:pPr>
        <w:pStyle w:val="28"/>
        <w:numPr>
          <w:ilvl w:val="0"/>
          <w:numId w:val="0"/>
        </w:numPr>
        <w:tabs>
          <w:tab w:val="left" w:pos="1200"/>
        </w:tabs>
        <w:snapToGrid w:val="0"/>
        <w:spacing w:before="120" w:after="120" w:line="240" w:lineRule="auto"/>
        <w:ind w:firstLine="480" w:firstLineChars="200"/>
        <w:rPr>
          <w:rFonts w:hAnsi="宋体"/>
        </w:rPr>
      </w:pPr>
      <w:r>
        <w:rPr>
          <w:rFonts w:hAnsi="宋体"/>
        </w:rPr>
        <w:t>2</w:t>
      </w:r>
      <w:r>
        <w:rPr>
          <w:rFonts w:hint="eastAsia" w:hAnsi="宋体"/>
        </w:rPr>
        <w:t>.</w:t>
      </w:r>
      <w:r>
        <w:rPr>
          <w:rFonts w:hAnsi="宋体"/>
        </w:rPr>
        <w:t xml:space="preserve"> 不可抗力事件发生后，应立即通知对方，并寄送有关权威机构出具的</w:t>
      </w:r>
      <w:r>
        <w:rPr>
          <w:rFonts w:hint="eastAsia" w:hAnsi="宋体"/>
          <w:lang w:eastAsia="zh-CN"/>
        </w:rPr>
        <w:t>文件材料</w:t>
      </w:r>
      <w:r>
        <w:rPr>
          <w:rFonts w:hAnsi="宋体"/>
        </w:rPr>
        <w:t>。</w:t>
      </w:r>
    </w:p>
    <w:p>
      <w:pPr>
        <w:pStyle w:val="28"/>
        <w:numPr>
          <w:ilvl w:val="0"/>
          <w:numId w:val="0"/>
        </w:numPr>
        <w:tabs>
          <w:tab w:val="left" w:pos="1200"/>
        </w:tabs>
        <w:snapToGrid w:val="0"/>
        <w:spacing w:before="120" w:after="120" w:line="240" w:lineRule="auto"/>
        <w:ind w:firstLine="480" w:firstLineChars="200"/>
        <w:rPr>
          <w:rFonts w:hAnsi="宋体"/>
        </w:rPr>
      </w:pPr>
      <w:r>
        <w:rPr>
          <w:rFonts w:hAnsi="宋体"/>
        </w:rPr>
        <w:t>3</w:t>
      </w:r>
      <w:r>
        <w:rPr>
          <w:rFonts w:hint="eastAsia" w:hAnsi="宋体"/>
        </w:rPr>
        <w:t>.</w:t>
      </w:r>
      <w:r>
        <w:rPr>
          <w:rFonts w:hAnsi="宋体"/>
        </w:rPr>
        <w:t xml:space="preserve"> 不可抗力事件延续120天以上，双方应通过友好协商，确定是否继续履行合同。</w:t>
      </w:r>
    </w:p>
    <w:p>
      <w:pPr>
        <w:pStyle w:val="28"/>
        <w:numPr>
          <w:ilvl w:val="0"/>
          <w:numId w:val="0"/>
        </w:numPr>
        <w:tabs>
          <w:tab w:val="left" w:pos="1200"/>
        </w:tabs>
        <w:snapToGrid w:val="0"/>
        <w:spacing w:before="120" w:after="120" w:line="240" w:lineRule="auto"/>
        <w:ind w:firstLine="472" w:firstLineChars="196"/>
        <w:rPr>
          <w:rFonts w:hint="eastAsia" w:hAnsi="宋体"/>
          <w:b/>
        </w:rPr>
      </w:pPr>
    </w:p>
    <w:p>
      <w:pPr>
        <w:pStyle w:val="28"/>
        <w:numPr>
          <w:ilvl w:val="0"/>
          <w:numId w:val="0"/>
        </w:numPr>
        <w:tabs>
          <w:tab w:val="left" w:pos="1200"/>
        </w:tabs>
        <w:snapToGrid w:val="0"/>
        <w:spacing w:before="120" w:after="120" w:line="240" w:lineRule="auto"/>
        <w:ind w:firstLine="472" w:firstLineChars="196"/>
        <w:rPr>
          <w:rFonts w:hAnsi="宋体"/>
          <w:b/>
        </w:rPr>
      </w:pPr>
      <w:r>
        <w:rPr>
          <w:rFonts w:hAnsi="宋体"/>
          <w:b/>
        </w:rPr>
        <w:t>十七、诉讼</w:t>
      </w:r>
    </w:p>
    <w:p>
      <w:pPr>
        <w:pStyle w:val="28"/>
        <w:numPr>
          <w:ilvl w:val="0"/>
          <w:numId w:val="0"/>
        </w:numPr>
        <w:tabs>
          <w:tab w:val="left" w:pos="1200"/>
        </w:tabs>
        <w:snapToGrid w:val="0"/>
        <w:spacing w:before="120" w:after="120" w:line="240" w:lineRule="auto"/>
        <w:ind w:firstLine="480" w:firstLineChars="200"/>
        <w:rPr>
          <w:rFonts w:hAnsi="宋体"/>
        </w:rPr>
      </w:pPr>
      <w:r>
        <w:rPr>
          <w:rFonts w:hAnsi="宋体"/>
        </w:rPr>
        <w:t>双方在执行合同中所发生的一切争议，应通过协商解决。如协商不成，可向</w:t>
      </w:r>
      <w:r>
        <w:rPr>
          <w:rFonts w:hint="eastAsia" w:hAnsi="宋体"/>
        </w:rPr>
        <w:t>甲方所在</w:t>
      </w:r>
      <w:r>
        <w:rPr>
          <w:rFonts w:hAnsi="宋体"/>
        </w:rPr>
        <w:t>地法院起诉。</w:t>
      </w:r>
    </w:p>
    <w:p>
      <w:pPr>
        <w:pStyle w:val="28"/>
        <w:numPr>
          <w:ilvl w:val="0"/>
          <w:numId w:val="0"/>
        </w:numPr>
        <w:tabs>
          <w:tab w:val="left" w:pos="1200"/>
        </w:tabs>
        <w:snapToGrid w:val="0"/>
        <w:spacing w:before="120" w:after="120" w:line="240" w:lineRule="auto"/>
        <w:ind w:firstLine="472" w:firstLineChars="196"/>
        <w:rPr>
          <w:rFonts w:hAnsi="宋体"/>
          <w:b/>
        </w:rPr>
      </w:pPr>
      <w:r>
        <w:rPr>
          <w:rFonts w:hAnsi="宋体"/>
          <w:b/>
        </w:rPr>
        <w:t>十八、合同生效及其它</w:t>
      </w:r>
    </w:p>
    <w:p>
      <w:pPr>
        <w:pStyle w:val="28"/>
        <w:numPr>
          <w:ilvl w:val="0"/>
          <w:numId w:val="0"/>
        </w:numPr>
        <w:tabs>
          <w:tab w:val="left" w:pos="1200"/>
        </w:tabs>
        <w:snapToGrid w:val="0"/>
        <w:spacing w:before="120" w:after="120" w:line="240" w:lineRule="auto"/>
        <w:ind w:firstLine="480" w:firstLineChars="200"/>
        <w:rPr>
          <w:rFonts w:hAnsi="宋体"/>
        </w:rPr>
      </w:pPr>
      <w:r>
        <w:rPr>
          <w:rFonts w:hAnsi="宋体"/>
        </w:rPr>
        <w:t>1</w:t>
      </w:r>
      <w:r>
        <w:rPr>
          <w:rFonts w:hint="eastAsia" w:hAnsi="宋体"/>
        </w:rPr>
        <w:t>.</w:t>
      </w:r>
      <w:r>
        <w:rPr>
          <w:rFonts w:hAnsi="宋体"/>
        </w:rPr>
        <w:t xml:space="preserve"> 合同经双方法定代表人或授权代表签字并加盖单位公章后生效。</w:t>
      </w:r>
      <w:r>
        <w:rPr>
          <w:rFonts w:hint="eastAsia" w:hAnsi="宋体"/>
        </w:rPr>
        <w:t>但未经金华市公共资源交易中心磐安县分中心鉴证的合同，中心和采购办将不予备案。</w:t>
      </w:r>
    </w:p>
    <w:p>
      <w:pPr>
        <w:pStyle w:val="28"/>
        <w:numPr>
          <w:ilvl w:val="0"/>
          <w:numId w:val="0"/>
        </w:numPr>
        <w:tabs>
          <w:tab w:val="left" w:pos="1200"/>
        </w:tabs>
        <w:snapToGrid w:val="0"/>
        <w:spacing w:before="120" w:after="120" w:line="240" w:lineRule="auto"/>
        <w:ind w:firstLine="480" w:firstLineChars="200"/>
        <w:rPr>
          <w:rFonts w:hAnsi="宋体"/>
        </w:rPr>
      </w:pPr>
      <w:r>
        <w:rPr>
          <w:rFonts w:hAnsi="宋体"/>
        </w:rPr>
        <w:t>2</w:t>
      </w:r>
      <w:r>
        <w:rPr>
          <w:rFonts w:hint="eastAsia" w:hAnsi="宋体"/>
        </w:rPr>
        <w:t>.</w:t>
      </w:r>
      <w:r>
        <w:rPr>
          <w:rFonts w:hAnsi="宋体"/>
        </w:rPr>
        <w:t>合同执行中涉及采购资金和采购内容修改或补充的，须经财政部门审批，并签书面补充协议报政府采购监督管理部门备案，方可作为主合同不可分割的一部分。</w:t>
      </w:r>
    </w:p>
    <w:p>
      <w:pPr>
        <w:pStyle w:val="28"/>
        <w:numPr>
          <w:ilvl w:val="0"/>
          <w:numId w:val="0"/>
        </w:numPr>
        <w:tabs>
          <w:tab w:val="left" w:pos="1200"/>
        </w:tabs>
        <w:snapToGrid w:val="0"/>
        <w:spacing w:before="120" w:after="120" w:line="240" w:lineRule="auto"/>
        <w:ind w:firstLine="480" w:firstLineChars="200"/>
        <w:rPr>
          <w:rFonts w:hAnsi="宋体"/>
        </w:rPr>
      </w:pPr>
      <w:r>
        <w:rPr>
          <w:rFonts w:hAnsi="宋体"/>
        </w:rPr>
        <w:t>3</w:t>
      </w:r>
      <w:r>
        <w:rPr>
          <w:rFonts w:hint="eastAsia" w:hAnsi="宋体"/>
        </w:rPr>
        <w:t>.</w:t>
      </w:r>
      <w:r>
        <w:rPr>
          <w:rFonts w:hAnsi="宋体"/>
        </w:rPr>
        <w:t>本合同未尽事宜，遵照《合同法》有关条文执行。</w:t>
      </w:r>
    </w:p>
    <w:p>
      <w:pPr>
        <w:pStyle w:val="28"/>
        <w:numPr>
          <w:ilvl w:val="0"/>
          <w:numId w:val="0"/>
        </w:numPr>
        <w:tabs>
          <w:tab w:val="left" w:pos="1200"/>
        </w:tabs>
        <w:snapToGrid w:val="0"/>
        <w:spacing w:before="120" w:after="120" w:line="240" w:lineRule="auto"/>
        <w:ind w:firstLine="480" w:firstLineChars="200"/>
        <w:rPr>
          <w:rFonts w:hAnsi="宋体"/>
        </w:rPr>
      </w:pPr>
      <w:r>
        <w:rPr>
          <w:rFonts w:hAnsi="宋体"/>
        </w:rPr>
        <w:t>4</w:t>
      </w:r>
      <w:r>
        <w:rPr>
          <w:rFonts w:hint="eastAsia" w:hAnsi="宋体"/>
        </w:rPr>
        <w:t>.</w:t>
      </w:r>
      <w:r>
        <w:rPr>
          <w:rFonts w:hAnsi="宋体"/>
        </w:rPr>
        <w:t>本合同正本一式</w:t>
      </w:r>
      <w:r>
        <w:rPr>
          <w:rFonts w:hint="eastAsia" w:hAnsi="宋体"/>
        </w:rPr>
        <w:t>肆</w:t>
      </w:r>
      <w:r>
        <w:rPr>
          <w:rFonts w:hAnsi="宋体"/>
        </w:rPr>
        <w:t>份，具有同等法律效力，甲乙双方各执一份；</w:t>
      </w:r>
      <w:r>
        <w:rPr>
          <w:rFonts w:hint="eastAsia" w:hAnsi="宋体"/>
        </w:rPr>
        <w:t>采购代理机构存档1份，政府采购管理部门备案1份</w:t>
      </w:r>
      <w:r>
        <w:rPr>
          <w:rFonts w:hAnsi="宋体"/>
        </w:rPr>
        <w:t>。</w:t>
      </w:r>
    </w:p>
    <w:p>
      <w:pPr>
        <w:pStyle w:val="28"/>
        <w:numPr>
          <w:ilvl w:val="0"/>
          <w:numId w:val="0"/>
        </w:numPr>
        <w:tabs>
          <w:tab w:val="left" w:pos="1200"/>
        </w:tabs>
        <w:snapToGrid w:val="0"/>
        <w:spacing w:before="120" w:after="120" w:line="240" w:lineRule="auto"/>
        <w:rPr>
          <w:rFonts w:hint="eastAsia" w:hAnsi="宋体"/>
        </w:rPr>
      </w:pPr>
    </w:p>
    <w:p>
      <w:pPr>
        <w:pStyle w:val="28"/>
        <w:numPr>
          <w:ilvl w:val="0"/>
          <w:numId w:val="0"/>
        </w:numPr>
        <w:tabs>
          <w:tab w:val="left" w:pos="1200"/>
        </w:tabs>
        <w:snapToGrid w:val="0"/>
        <w:spacing w:before="120" w:after="120" w:line="240" w:lineRule="auto"/>
        <w:ind w:left="239" w:leftChars="114" w:firstLine="360" w:firstLineChars="150"/>
        <w:rPr>
          <w:rFonts w:hAnsi="宋体"/>
        </w:rPr>
      </w:pPr>
      <w:r>
        <w:rPr>
          <w:rFonts w:hAnsi="宋体"/>
        </w:rPr>
        <w:t>甲方：</w:t>
      </w:r>
      <w:r>
        <w:rPr>
          <w:rFonts w:hint="eastAsia" w:hAnsi="宋体"/>
        </w:rPr>
        <w:t xml:space="preserve">  </w:t>
      </w:r>
      <w:r>
        <w:rPr>
          <w:rFonts w:hAnsi="宋体"/>
        </w:rPr>
        <w:t xml:space="preserve">                                 乙方：</w:t>
      </w:r>
    </w:p>
    <w:p>
      <w:pPr>
        <w:pStyle w:val="28"/>
        <w:numPr>
          <w:ilvl w:val="0"/>
          <w:numId w:val="0"/>
        </w:numPr>
        <w:tabs>
          <w:tab w:val="left" w:pos="1200"/>
        </w:tabs>
        <w:snapToGrid w:val="0"/>
        <w:spacing w:before="120" w:after="120" w:line="240" w:lineRule="auto"/>
        <w:ind w:firstLine="600" w:firstLineChars="250"/>
        <w:rPr>
          <w:rFonts w:hAnsi="宋体"/>
        </w:rPr>
      </w:pPr>
      <w:r>
        <w:rPr>
          <w:rFonts w:hAnsi="宋体"/>
        </w:rPr>
        <w:t>地址：                                   地址：</w:t>
      </w:r>
    </w:p>
    <w:p>
      <w:pPr>
        <w:pStyle w:val="28"/>
        <w:numPr>
          <w:ilvl w:val="0"/>
          <w:numId w:val="0"/>
        </w:numPr>
        <w:tabs>
          <w:tab w:val="left" w:pos="1200"/>
        </w:tabs>
        <w:snapToGrid w:val="0"/>
        <w:spacing w:before="120" w:after="120" w:line="240" w:lineRule="auto"/>
        <w:ind w:firstLine="360" w:firstLineChars="150"/>
        <w:rPr>
          <w:rFonts w:hAnsi="宋体"/>
        </w:rPr>
      </w:pPr>
      <w:r>
        <w:rPr>
          <w:rFonts w:hAnsi="宋体"/>
        </w:rPr>
        <w:t xml:space="preserve"> 法定</w:t>
      </w:r>
      <w:r>
        <w:rPr>
          <w:rFonts w:hint="eastAsia" w:hAnsi="宋体"/>
        </w:rPr>
        <w:t>（授权）</w:t>
      </w:r>
      <w:r>
        <w:rPr>
          <w:rFonts w:hAnsi="宋体"/>
        </w:rPr>
        <w:t>代表人：                     法定</w:t>
      </w:r>
      <w:r>
        <w:rPr>
          <w:rFonts w:hint="eastAsia" w:hAnsi="宋体"/>
        </w:rPr>
        <w:t>（授权）</w:t>
      </w:r>
      <w:r>
        <w:rPr>
          <w:rFonts w:hAnsi="宋体"/>
        </w:rPr>
        <w:t>代表人：</w:t>
      </w:r>
    </w:p>
    <w:p>
      <w:pPr>
        <w:pStyle w:val="28"/>
        <w:numPr>
          <w:ilvl w:val="0"/>
          <w:numId w:val="0"/>
        </w:numPr>
        <w:tabs>
          <w:tab w:val="left" w:pos="1200"/>
        </w:tabs>
        <w:snapToGrid w:val="0"/>
        <w:spacing w:before="120" w:after="120" w:line="240" w:lineRule="auto"/>
        <w:ind w:firstLine="480" w:firstLineChars="200"/>
        <w:rPr>
          <w:rFonts w:hint="eastAsia" w:hAnsi="宋体"/>
        </w:rPr>
      </w:pPr>
      <w:r>
        <w:rPr>
          <w:rFonts w:hAnsi="宋体"/>
        </w:rPr>
        <w:t>签</w:t>
      </w:r>
      <w:r>
        <w:rPr>
          <w:rFonts w:hint="eastAsia" w:hAnsi="宋体"/>
        </w:rPr>
        <w:t>字日期</w:t>
      </w:r>
      <w:r>
        <w:rPr>
          <w:rFonts w:hAnsi="宋体"/>
        </w:rPr>
        <w:t xml:space="preserve">：      年  月  日  </w:t>
      </w:r>
      <w:r>
        <w:rPr>
          <w:rFonts w:hint="eastAsia" w:hAnsi="宋体"/>
        </w:rPr>
        <w:t xml:space="preserve">    </w:t>
      </w:r>
      <w:r>
        <w:rPr>
          <w:rFonts w:hAnsi="宋体"/>
        </w:rPr>
        <w:t xml:space="preserve">     签</w:t>
      </w:r>
      <w:r>
        <w:rPr>
          <w:rFonts w:hint="eastAsia" w:hAnsi="宋体"/>
        </w:rPr>
        <w:t>字</w:t>
      </w:r>
      <w:r>
        <w:rPr>
          <w:rFonts w:hAnsi="宋体"/>
        </w:rPr>
        <w:t>日期：      年  月  日</w:t>
      </w:r>
    </w:p>
    <w:p>
      <w:pPr>
        <w:pStyle w:val="28"/>
        <w:numPr>
          <w:ilvl w:val="0"/>
          <w:numId w:val="0"/>
        </w:numPr>
        <w:tabs>
          <w:tab w:val="left" w:pos="1200"/>
        </w:tabs>
        <w:snapToGrid w:val="0"/>
        <w:spacing w:before="120" w:after="120" w:line="240" w:lineRule="auto"/>
        <w:rPr>
          <w:rFonts w:hint="eastAsia" w:hAnsi="宋体"/>
        </w:rPr>
      </w:pPr>
    </w:p>
    <w:p>
      <w:pPr>
        <w:pStyle w:val="28"/>
        <w:numPr>
          <w:ilvl w:val="0"/>
          <w:numId w:val="0"/>
        </w:numPr>
        <w:tabs>
          <w:tab w:val="left" w:pos="1200"/>
        </w:tabs>
        <w:snapToGrid w:val="0"/>
        <w:spacing w:before="120" w:after="120" w:line="240" w:lineRule="auto"/>
        <w:ind w:firstLine="240" w:firstLineChars="100"/>
        <w:rPr>
          <w:rFonts w:hint="eastAsia" w:hAnsi="宋体"/>
        </w:rPr>
      </w:pPr>
      <w:r>
        <w:rPr>
          <w:rFonts w:hint="eastAsia" w:hAnsi="宋体"/>
        </w:rPr>
        <w:t>合同鉴证方（集采机构）:</w:t>
      </w:r>
    </w:p>
    <w:p>
      <w:pPr>
        <w:pStyle w:val="28"/>
        <w:numPr>
          <w:ilvl w:val="0"/>
          <w:numId w:val="0"/>
        </w:numPr>
        <w:tabs>
          <w:tab w:val="left" w:pos="1200"/>
        </w:tabs>
        <w:snapToGrid w:val="0"/>
        <w:spacing w:before="120" w:after="120" w:line="240" w:lineRule="auto"/>
        <w:ind w:firstLine="240" w:firstLineChars="100"/>
        <w:rPr>
          <w:rFonts w:hint="eastAsia" w:hAnsi="宋体"/>
        </w:rPr>
      </w:pPr>
      <w:r>
        <w:rPr>
          <w:rFonts w:hint="eastAsia" w:hAnsi="宋体"/>
        </w:rPr>
        <w:t>法定代表人或主要负责人:</w:t>
      </w:r>
    </w:p>
    <w:p>
      <w:pPr>
        <w:pStyle w:val="28"/>
        <w:numPr>
          <w:ilvl w:val="0"/>
          <w:numId w:val="0"/>
        </w:numPr>
        <w:tabs>
          <w:tab w:val="left" w:pos="1200"/>
        </w:tabs>
        <w:snapToGrid w:val="0"/>
        <w:spacing w:before="120" w:after="120" w:line="240" w:lineRule="auto"/>
        <w:ind w:firstLine="240" w:firstLineChars="100"/>
        <w:rPr>
          <w:rFonts w:hint="eastAsia" w:hAnsi="宋体"/>
        </w:rPr>
      </w:pPr>
      <w:r>
        <w:rPr>
          <w:rFonts w:hint="eastAsia" w:hAnsi="宋体"/>
        </w:rPr>
        <w:t>鉴证日期:</w:t>
      </w:r>
    </w:p>
    <w:p>
      <w:pPr>
        <w:pStyle w:val="28"/>
        <w:numPr>
          <w:ilvl w:val="0"/>
          <w:numId w:val="0"/>
        </w:numPr>
        <w:tabs>
          <w:tab w:val="left" w:pos="1200"/>
        </w:tabs>
        <w:snapToGrid w:val="0"/>
        <w:spacing w:before="120" w:after="120" w:line="240" w:lineRule="auto"/>
        <w:ind w:firstLine="240" w:firstLineChars="100"/>
        <w:rPr>
          <w:rFonts w:hint="eastAsia" w:hAnsi="宋体"/>
        </w:rPr>
      </w:pPr>
    </w:p>
    <w:p>
      <w:pPr>
        <w:pStyle w:val="28"/>
        <w:numPr>
          <w:ilvl w:val="0"/>
          <w:numId w:val="0"/>
        </w:numPr>
        <w:tabs>
          <w:tab w:val="left" w:pos="1200"/>
        </w:tabs>
        <w:snapToGrid w:val="0"/>
        <w:spacing w:before="120" w:after="120" w:line="240" w:lineRule="auto"/>
        <w:ind w:firstLine="280" w:firstLineChars="100"/>
        <w:rPr>
          <w:rFonts w:hint="eastAsia" w:hAnsi="宋体"/>
          <w:sz w:val="28"/>
          <w:szCs w:val="28"/>
        </w:rPr>
      </w:pPr>
      <w:r>
        <w:rPr>
          <w:rFonts w:hint="eastAsia"/>
          <w:sz w:val="28"/>
          <w:szCs w:val="28"/>
        </w:rPr>
        <w:t>提醒：政府采购合同双方必须</w:t>
      </w:r>
      <w:r>
        <w:rPr>
          <w:sz w:val="28"/>
          <w:szCs w:val="28"/>
        </w:rPr>
        <w:t>盖</w:t>
      </w:r>
      <w:r>
        <w:rPr>
          <w:sz w:val="28"/>
          <w:szCs w:val="28"/>
        </w:rPr>
        <w:fldChar w:fldCharType="begin"/>
      </w:r>
      <w:r>
        <w:rPr>
          <w:sz w:val="28"/>
          <w:szCs w:val="28"/>
        </w:rPr>
        <w:instrText xml:space="preserve"> HYPERLINK "http://www.baidu.com/s?wd=%E9%AA%91%E7%BC%9D%E7%AB%A0&amp;hl_tag=textlink&amp;tn=SE_hldp01350_v6v6zkg6" \t "_blank" </w:instrText>
      </w:r>
      <w:r>
        <w:rPr>
          <w:sz w:val="28"/>
          <w:szCs w:val="28"/>
        </w:rPr>
        <w:fldChar w:fldCharType="separate"/>
      </w:r>
      <w:r>
        <w:rPr>
          <w:rStyle w:val="64"/>
          <w:color w:val="auto"/>
          <w:sz w:val="28"/>
          <w:szCs w:val="28"/>
          <w:u w:val="none"/>
        </w:rPr>
        <w:t>骑缝章</w:t>
      </w:r>
      <w:r>
        <w:rPr>
          <w:sz w:val="28"/>
          <w:szCs w:val="28"/>
        </w:rPr>
        <w:fldChar w:fldCharType="end"/>
      </w:r>
      <w:r>
        <w:rPr>
          <w:rFonts w:hint="eastAsia"/>
          <w:sz w:val="28"/>
          <w:szCs w:val="28"/>
        </w:rPr>
        <w:t>。</w:t>
      </w:r>
    </w:p>
    <w:p>
      <w:pPr>
        <w:pStyle w:val="28"/>
        <w:numPr>
          <w:ilvl w:val="0"/>
          <w:numId w:val="0"/>
        </w:numPr>
        <w:tabs>
          <w:tab w:val="left" w:pos="1200"/>
        </w:tabs>
        <w:snapToGrid w:val="0"/>
        <w:spacing w:before="120" w:after="120" w:line="240" w:lineRule="auto"/>
        <w:ind w:firstLine="280" w:firstLineChars="100"/>
        <w:rPr>
          <w:rFonts w:hint="eastAsia" w:hAnsi="宋体"/>
          <w:sz w:val="28"/>
          <w:szCs w:val="28"/>
        </w:rPr>
      </w:pPr>
    </w:p>
    <w:p>
      <w:pPr>
        <w:snapToGrid w:val="0"/>
        <w:spacing w:before="120" w:beforeLines="50" w:after="120" w:afterLines="50"/>
        <w:ind w:firstLine="420" w:firstLineChars="200"/>
        <w:jc w:val="center"/>
        <w:rPr>
          <w:rFonts w:hAnsi="宋体"/>
        </w:rPr>
        <w:sectPr>
          <w:pgSz w:w="11906" w:h="16838"/>
          <w:pgMar w:top="1474" w:right="1134" w:bottom="1418" w:left="1361" w:header="851" w:footer="851" w:gutter="0"/>
          <w:cols w:space="720" w:num="1"/>
          <w:docGrid w:linePitch="312" w:charSpace="0"/>
        </w:sectPr>
      </w:pPr>
    </w:p>
    <w:p>
      <w:pPr>
        <w:pStyle w:val="3"/>
        <w:rPr>
          <w:rFonts w:hint="eastAsia"/>
        </w:rPr>
      </w:pPr>
      <w:r>
        <w:rPr>
          <w:rFonts w:hint="eastAsia"/>
        </w:rPr>
        <w:t>第六章　投标文件格式</w:t>
      </w:r>
    </w:p>
    <w:p>
      <w:pPr>
        <w:rPr>
          <w:rFonts w:hint="eastAsia"/>
        </w:rPr>
      </w:pPr>
    </w:p>
    <w:p>
      <w:pPr>
        <w:spacing w:line="360" w:lineRule="auto"/>
        <w:ind w:firstLine="420" w:firstLineChars="200"/>
        <w:rPr>
          <w:rFonts w:hint="eastAsia" w:ascii="宋体" w:hAnsi="宋体"/>
          <w:szCs w:val="21"/>
        </w:rPr>
      </w:pPr>
      <w:r>
        <w:rPr>
          <w:rFonts w:hint="eastAsia" w:ascii="宋体" w:hAnsi="宋体"/>
          <w:szCs w:val="21"/>
        </w:rPr>
        <w:t>价格标</w:t>
      </w:r>
    </w:p>
    <w:p>
      <w:pPr>
        <w:spacing w:line="360" w:lineRule="auto"/>
        <w:ind w:firstLine="420" w:firstLineChars="200"/>
        <w:rPr>
          <w:rFonts w:hint="eastAsia" w:ascii="宋体" w:hAnsi="宋体"/>
          <w:szCs w:val="21"/>
        </w:rPr>
      </w:pPr>
      <w:r>
        <w:rPr>
          <w:rFonts w:hint="eastAsia" w:ascii="宋体" w:hAnsi="宋体"/>
          <w:szCs w:val="21"/>
        </w:rPr>
        <w:t>1、封面</w:t>
      </w:r>
    </w:p>
    <w:p>
      <w:pPr>
        <w:spacing w:line="480" w:lineRule="auto"/>
        <w:ind w:firstLine="420" w:firstLineChars="200"/>
        <w:rPr>
          <w:rFonts w:hint="eastAsia" w:ascii="宋体" w:hAnsi="宋体"/>
          <w:szCs w:val="21"/>
        </w:rPr>
      </w:pPr>
      <w:r>
        <w:rPr>
          <w:rFonts w:hint="eastAsia" w:ascii="宋体" w:hAnsi="宋体"/>
          <w:szCs w:val="21"/>
        </w:rPr>
        <w:t>2：投标函</w:t>
      </w:r>
    </w:p>
    <w:p>
      <w:pPr>
        <w:spacing w:line="480" w:lineRule="auto"/>
        <w:ind w:firstLine="420" w:firstLineChars="200"/>
        <w:rPr>
          <w:rFonts w:hint="eastAsia" w:ascii="宋体" w:hAnsi="宋体"/>
          <w:szCs w:val="21"/>
        </w:rPr>
      </w:pPr>
      <w:r>
        <w:rPr>
          <w:rFonts w:hint="eastAsia" w:ascii="宋体" w:hAnsi="宋体"/>
          <w:szCs w:val="21"/>
        </w:rPr>
        <w:t>3：开标一览表</w:t>
      </w:r>
    </w:p>
    <w:p>
      <w:pPr>
        <w:spacing w:line="480" w:lineRule="auto"/>
        <w:ind w:firstLine="420" w:firstLineChars="200"/>
        <w:rPr>
          <w:rFonts w:hint="eastAsia" w:ascii="宋体" w:hAnsi="宋体"/>
          <w:szCs w:val="21"/>
        </w:rPr>
      </w:pPr>
      <w:r>
        <w:rPr>
          <w:rFonts w:hint="eastAsia" w:ascii="宋体" w:hAnsi="宋体"/>
          <w:szCs w:val="21"/>
        </w:rPr>
        <w:t>标术商务标</w:t>
      </w:r>
    </w:p>
    <w:p>
      <w:pPr>
        <w:spacing w:line="480" w:lineRule="auto"/>
        <w:ind w:firstLine="420" w:firstLineChars="200"/>
        <w:rPr>
          <w:rFonts w:hint="eastAsia" w:ascii="宋体" w:hAnsi="宋体"/>
          <w:szCs w:val="21"/>
        </w:rPr>
      </w:pPr>
      <w:r>
        <w:rPr>
          <w:rFonts w:hint="eastAsia" w:ascii="宋体" w:hAnsi="宋体"/>
          <w:szCs w:val="21"/>
        </w:rPr>
        <w:t>4、封面</w:t>
      </w:r>
    </w:p>
    <w:p>
      <w:pPr>
        <w:spacing w:line="480" w:lineRule="auto"/>
        <w:ind w:firstLine="420" w:firstLineChars="200"/>
        <w:rPr>
          <w:rFonts w:hint="eastAsia" w:ascii="宋体" w:hAnsi="宋体"/>
          <w:szCs w:val="21"/>
        </w:rPr>
      </w:pPr>
      <w:r>
        <w:rPr>
          <w:rFonts w:hint="eastAsia" w:ascii="宋体" w:hAnsi="宋体"/>
          <w:szCs w:val="21"/>
        </w:rPr>
        <w:t>5：投标声明书</w:t>
      </w:r>
    </w:p>
    <w:p>
      <w:pPr>
        <w:spacing w:line="480" w:lineRule="auto"/>
        <w:ind w:firstLine="420" w:firstLineChars="200"/>
        <w:rPr>
          <w:rFonts w:hint="eastAsia" w:ascii="宋体" w:hAnsi="宋体"/>
          <w:szCs w:val="21"/>
        </w:rPr>
      </w:pPr>
      <w:r>
        <w:rPr>
          <w:rFonts w:hint="eastAsia" w:ascii="宋体" w:hAnsi="宋体"/>
          <w:szCs w:val="21"/>
        </w:rPr>
        <w:t>6：设备详细配置清单</w:t>
      </w:r>
    </w:p>
    <w:p>
      <w:pPr>
        <w:spacing w:line="480" w:lineRule="auto"/>
        <w:ind w:firstLine="420" w:firstLineChars="200"/>
        <w:rPr>
          <w:rFonts w:hint="eastAsia" w:ascii="宋体" w:hAnsi="宋体"/>
          <w:szCs w:val="21"/>
        </w:rPr>
      </w:pPr>
      <w:r>
        <w:rPr>
          <w:rFonts w:hint="eastAsia" w:ascii="宋体" w:hAnsi="宋体"/>
          <w:szCs w:val="21"/>
        </w:rPr>
        <w:t>7：技术规格偏离表</w:t>
      </w:r>
    </w:p>
    <w:p>
      <w:pPr>
        <w:spacing w:line="480" w:lineRule="auto"/>
        <w:ind w:firstLine="420" w:firstLineChars="200"/>
        <w:rPr>
          <w:rFonts w:hint="eastAsia" w:ascii="宋体" w:hAnsi="宋体"/>
          <w:szCs w:val="21"/>
        </w:rPr>
      </w:pPr>
      <w:r>
        <w:rPr>
          <w:rFonts w:hint="eastAsia" w:ascii="宋体" w:hAnsi="宋体"/>
          <w:szCs w:val="21"/>
        </w:rPr>
        <w:t>8：商务偏离表</w:t>
      </w:r>
    </w:p>
    <w:p>
      <w:pPr>
        <w:spacing w:line="480" w:lineRule="auto"/>
        <w:ind w:firstLine="420" w:firstLineChars="200"/>
        <w:rPr>
          <w:rFonts w:hint="eastAsia" w:ascii="宋体" w:hAnsi="宋体"/>
          <w:szCs w:val="21"/>
        </w:rPr>
      </w:pPr>
      <w:r>
        <w:rPr>
          <w:rFonts w:hint="eastAsia" w:ascii="宋体" w:hAnsi="宋体"/>
          <w:szCs w:val="21"/>
        </w:rPr>
        <w:t>9：投标人资格</w:t>
      </w:r>
      <w:r>
        <w:rPr>
          <w:rFonts w:hint="eastAsia" w:ascii="宋体" w:hAnsi="宋体"/>
          <w:szCs w:val="21"/>
          <w:lang w:eastAsia="zh-CN"/>
        </w:rPr>
        <w:t>文件材料</w:t>
      </w:r>
      <w:r>
        <w:rPr>
          <w:rFonts w:hint="eastAsia" w:ascii="宋体" w:hAnsi="宋体"/>
          <w:szCs w:val="21"/>
        </w:rPr>
        <w:t>文件</w:t>
      </w:r>
    </w:p>
    <w:p>
      <w:pPr>
        <w:spacing w:line="480" w:lineRule="auto"/>
        <w:ind w:firstLine="420" w:firstLineChars="200"/>
        <w:rPr>
          <w:rFonts w:hint="eastAsia" w:ascii="宋体" w:hAnsi="宋体"/>
          <w:szCs w:val="21"/>
        </w:rPr>
      </w:pPr>
      <w:r>
        <w:rPr>
          <w:rFonts w:hint="eastAsia" w:ascii="宋体" w:hAnsi="宋体"/>
          <w:szCs w:val="21"/>
        </w:rPr>
        <w:t>10：相关设备各类认证证书</w:t>
      </w:r>
    </w:p>
    <w:p>
      <w:pPr>
        <w:spacing w:line="480" w:lineRule="auto"/>
        <w:ind w:firstLine="420" w:firstLineChars="200"/>
        <w:rPr>
          <w:rFonts w:hint="eastAsia" w:ascii="宋体" w:hAnsi="宋体"/>
          <w:szCs w:val="21"/>
        </w:rPr>
      </w:pPr>
      <w:r>
        <w:rPr>
          <w:rFonts w:hint="eastAsia" w:ascii="宋体" w:hAnsi="宋体"/>
          <w:szCs w:val="21"/>
        </w:rPr>
        <w:t xml:space="preserve">11：参投产品的出产时的检测报告原件或复印件（加盖投标方公章） </w:t>
      </w:r>
    </w:p>
    <w:p>
      <w:pPr>
        <w:spacing w:line="480" w:lineRule="auto"/>
        <w:ind w:firstLine="420" w:firstLineChars="200"/>
        <w:rPr>
          <w:rFonts w:hint="eastAsia" w:ascii="宋体" w:hAnsi="宋体"/>
          <w:szCs w:val="21"/>
        </w:rPr>
      </w:pPr>
      <w:r>
        <w:rPr>
          <w:rFonts w:hint="eastAsia" w:ascii="宋体" w:hAnsi="宋体"/>
          <w:szCs w:val="21"/>
        </w:rPr>
        <w:t>12：售后服务承诺书</w:t>
      </w:r>
    </w:p>
    <w:p>
      <w:pPr>
        <w:spacing w:line="480" w:lineRule="auto"/>
        <w:ind w:firstLine="420" w:firstLineChars="200"/>
        <w:rPr>
          <w:rFonts w:hint="eastAsia" w:ascii="宋体" w:hAnsi="宋体"/>
          <w:szCs w:val="21"/>
        </w:rPr>
      </w:pPr>
      <w:r>
        <w:rPr>
          <w:rFonts w:hint="eastAsia" w:ascii="宋体" w:hAnsi="宋体"/>
          <w:szCs w:val="21"/>
        </w:rPr>
        <w:t>13：法定代表人授权书</w:t>
      </w:r>
    </w:p>
    <w:p>
      <w:pPr>
        <w:spacing w:line="480" w:lineRule="auto"/>
        <w:ind w:firstLine="420" w:firstLineChars="200"/>
        <w:rPr>
          <w:rFonts w:hint="eastAsia" w:ascii="宋体" w:hAnsi="宋体"/>
          <w:szCs w:val="21"/>
        </w:rPr>
      </w:pPr>
      <w:r>
        <w:rPr>
          <w:rFonts w:hint="eastAsia" w:ascii="宋体" w:hAnsi="宋体"/>
          <w:szCs w:val="21"/>
        </w:rPr>
        <w:t>14：中小企业声明函</w:t>
      </w:r>
    </w:p>
    <w:p>
      <w:pPr>
        <w:pStyle w:val="46"/>
        <w:rPr>
          <w:rFonts w:hint="eastAsia"/>
          <w:sz w:val="21"/>
          <w:szCs w:val="21"/>
        </w:rPr>
      </w:pPr>
    </w:p>
    <w:p>
      <w:pPr>
        <w:pStyle w:val="46"/>
        <w:rPr>
          <w:rFonts w:hint="eastAsia"/>
          <w:sz w:val="21"/>
          <w:szCs w:val="21"/>
        </w:rPr>
      </w:pPr>
    </w:p>
    <w:p>
      <w:pPr>
        <w:pStyle w:val="46"/>
        <w:rPr>
          <w:rFonts w:hint="eastAsia"/>
          <w:sz w:val="21"/>
          <w:szCs w:val="21"/>
        </w:rPr>
      </w:pPr>
    </w:p>
    <w:p>
      <w:pPr>
        <w:wordWrap w:val="0"/>
        <w:spacing w:before="120" w:beforeLines="50"/>
        <w:jc w:val="right"/>
        <w:rPr>
          <w:rFonts w:hint="eastAsia" w:ascii="宋体" w:hAnsi="宋体"/>
          <w:kern w:val="0"/>
          <w:szCs w:val="21"/>
        </w:rPr>
      </w:pPr>
    </w:p>
    <w:p>
      <w:pPr>
        <w:wordWrap w:val="0"/>
        <w:spacing w:before="120" w:beforeLines="50"/>
        <w:jc w:val="right"/>
        <w:rPr>
          <w:rFonts w:hint="eastAsia" w:ascii="宋体" w:hAnsi="宋体"/>
          <w:kern w:val="0"/>
          <w:szCs w:val="21"/>
        </w:rPr>
      </w:pPr>
    </w:p>
    <w:p>
      <w:pPr>
        <w:wordWrap w:val="0"/>
        <w:spacing w:before="120" w:beforeLines="50"/>
        <w:jc w:val="right"/>
        <w:rPr>
          <w:rFonts w:hint="eastAsia" w:ascii="宋体" w:hAnsi="宋体"/>
          <w:kern w:val="0"/>
          <w:szCs w:val="21"/>
        </w:rPr>
      </w:pPr>
    </w:p>
    <w:p>
      <w:pPr>
        <w:wordWrap w:val="0"/>
        <w:spacing w:before="120" w:beforeLines="50"/>
        <w:jc w:val="right"/>
        <w:rPr>
          <w:rFonts w:hint="eastAsia" w:ascii="宋体" w:hAnsi="宋体"/>
          <w:kern w:val="0"/>
          <w:szCs w:val="21"/>
        </w:rPr>
      </w:pPr>
    </w:p>
    <w:p>
      <w:pPr>
        <w:wordWrap w:val="0"/>
        <w:spacing w:before="120" w:beforeLines="50"/>
        <w:jc w:val="right"/>
        <w:rPr>
          <w:rFonts w:hint="eastAsia" w:ascii="宋体" w:hAnsi="宋体"/>
          <w:kern w:val="0"/>
          <w:szCs w:val="21"/>
        </w:rPr>
      </w:pPr>
    </w:p>
    <w:p>
      <w:pPr>
        <w:wordWrap w:val="0"/>
        <w:spacing w:before="120" w:beforeLines="50"/>
        <w:jc w:val="right"/>
        <w:rPr>
          <w:rFonts w:hint="eastAsia" w:ascii="宋体" w:hAnsi="宋体"/>
          <w:kern w:val="0"/>
          <w:szCs w:val="21"/>
        </w:rPr>
      </w:pPr>
    </w:p>
    <w:p>
      <w:pPr>
        <w:wordWrap w:val="0"/>
        <w:spacing w:before="120" w:beforeLines="50"/>
        <w:jc w:val="right"/>
        <w:rPr>
          <w:rFonts w:hint="eastAsia" w:ascii="宋体" w:hAnsi="宋体"/>
          <w:kern w:val="0"/>
          <w:szCs w:val="21"/>
        </w:rPr>
      </w:pPr>
    </w:p>
    <w:p>
      <w:pPr>
        <w:wordWrap w:val="0"/>
        <w:spacing w:before="120" w:beforeLines="50"/>
        <w:jc w:val="right"/>
        <w:rPr>
          <w:rFonts w:hint="eastAsia" w:ascii="宋体" w:hAnsi="宋体"/>
          <w:kern w:val="0"/>
          <w:szCs w:val="21"/>
        </w:rPr>
      </w:pPr>
    </w:p>
    <w:p>
      <w:pPr>
        <w:wordWrap w:val="0"/>
        <w:spacing w:before="120" w:beforeLines="50"/>
        <w:jc w:val="right"/>
        <w:rPr>
          <w:rFonts w:hint="eastAsia" w:ascii="隶书" w:hAnsi="宋体" w:eastAsia="隶书"/>
          <w:b/>
          <w:i/>
          <w:sz w:val="24"/>
          <w:u w:val="single"/>
        </w:rPr>
      </w:pPr>
      <w:r>
        <w:rPr>
          <w:rFonts w:hint="eastAsia" w:ascii="宋体" w:hAnsi="宋体"/>
          <w:kern w:val="0"/>
          <w:szCs w:val="21"/>
        </w:rPr>
        <w:t>注：本封面格式为外封面格式内容，内封面格式内容须加</w:t>
      </w:r>
      <w:r>
        <w:rPr>
          <w:rFonts w:hint="eastAsia" w:ascii="宋体" w:hAnsi="宋体"/>
          <w:b/>
          <w:kern w:val="0"/>
          <w:sz w:val="24"/>
        </w:rPr>
        <w:t>正本（副本）</w:t>
      </w:r>
    </w:p>
    <w:p>
      <w:pPr>
        <w:spacing w:before="120" w:beforeLines="50"/>
        <w:jc w:val="center"/>
        <w:rPr>
          <w:rFonts w:hint="eastAsia" w:ascii="隶书" w:hAnsi="Arial Narrow" w:eastAsia="隶书"/>
          <w:sz w:val="48"/>
          <w:szCs w:val="48"/>
        </w:rPr>
      </w:pPr>
      <w:r>
        <w:rPr>
          <w:rFonts w:hint="eastAsia" w:ascii="隶书" w:hAnsi="宋体" w:eastAsia="隶书"/>
          <w:sz w:val="48"/>
          <w:szCs w:val="48"/>
        </w:rPr>
        <w:t xml:space="preserve">磐安县公安局安文***业务用房迁建工程一体化执法办案中心设备采购及安装服务项目（价格标） </w:t>
      </w:r>
    </w:p>
    <w:p>
      <w:pPr>
        <w:pStyle w:val="28"/>
        <w:numPr>
          <w:ilvl w:val="0"/>
          <w:numId w:val="0"/>
        </w:numPr>
        <w:snapToGrid w:val="0"/>
        <w:spacing w:before="190" w:beforeLines="0" w:after="190" w:afterLines="0" w:line="360" w:lineRule="auto"/>
        <w:ind w:left="851"/>
        <w:rPr>
          <w:rFonts w:ascii="楷体_GB2312" w:hAnsi="宋体" w:eastAsia="楷体_GB2312"/>
          <w:b/>
          <w:bCs/>
          <w:sz w:val="30"/>
          <w:szCs w:val="30"/>
        </w:rPr>
      </w:pPr>
    </w:p>
    <w:p>
      <w:pPr>
        <w:pStyle w:val="28"/>
        <w:numPr>
          <w:ilvl w:val="0"/>
          <w:numId w:val="0"/>
        </w:numPr>
        <w:snapToGrid w:val="0"/>
        <w:spacing w:before="190" w:beforeLines="0" w:after="190" w:afterLines="0" w:line="360" w:lineRule="auto"/>
        <w:ind w:left="5" w:right="600" w:hanging="5"/>
        <w:jc w:val="center"/>
        <w:rPr>
          <w:rFonts w:hint="eastAsia" w:ascii="楷体_GB2312" w:hAnsi="宋体" w:eastAsia="楷体_GB2312"/>
          <w:b/>
          <w:bCs/>
          <w:sz w:val="30"/>
          <w:szCs w:val="30"/>
          <w14:shadow w14:blurRad="50800" w14:dist="38100" w14:dir="2700000" w14:sx="100000" w14:sy="100000" w14:kx="0" w14:ky="0" w14:algn="tl">
            <w14:srgbClr w14:val="000000">
              <w14:alpha w14:val="60000"/>
            </w14:srgbClr>
          </w14:shadow>
        </w:rPr>
      </w:pPr>
      <w:r>
        <w:rPr>
          <w:rFonts w:hint="eastAsia" w:ascii="楷体_GB2312" w:hAnsi="宋体" w:eastAsia="楷体_GB2312"/>
          <w:b/>
          <w:bCs/>
          <w:sz w:val="30"/>
          <w:szCs w:val="30"/>
        </w:rPr>
        <w:t xml:space="preserve">    </w:t>
      </w:r>
      <w:r>
        <w:rPr>
          <w:rFonts w:ascii="楷体_GB2312" w:hAnsi="宋体" w:eastAsia="楷体_GB2312"/>
          <w:b/>
          <w:bCs/>
          <w:sz w:val="30"/>
          <w:szCs w:val="30"/>
        </w:rPr>
        <w:t>项目编号：</w:t>
      </w:r>
    </w:p>
    <w:p>
      <w:pPr>
        <w:spacing w:line="1200" w:lineRule="exact"/>
        <w:jc w:val="center"/>
        <w:rPr>
          <w:rFonts w:hint="eastAsia" w:ascii="隶书" w:hAnsi="Arial Narrow" w:eastAsia="隶书"/>
          <w:b/>
          <w:sz w:val="72"/>
          <w:szCs w:val="72"/>
        </w:rPr>
      </w:pPr>
      <w:r>
        <w:rPr>
          <w:rFonts w:hint="eastAsia" w:ascii="隶书" w:hAnsi="Arial Narrow" w:eastAsia="隶书"/>
          <w:b/>
          <w:sz w:val="72"/>
          <w:szCs w:val="72"/>
        </w:rPr>
        <w:t>投</w:t>
      </w:r>
    </w:p>
    <w:p>
      <w:pPr>
        <w:spacing w:line="1200" w:lineRule="exact"/>
        <w:jc w:val="center"/>
        <w:rPr>
          <w:rFonts w:hint="eastAsia" w:ascii="隶书" w:hAnsi="Arial Narrow" w:eastAsia="隶书"/>
          <w:b/>
          <w:sz w:val="72"/>
          <w:szCs w:val="72"/>
        </w:rPr>
      </w:pPr>
      <w:r>
        <w:rPr>
          <w:rFonts w:hint="eastAsia" w:ascii="隶书" w:hAnsi="Arial Narrow" w:eastAsia="隶书"/>
          <w:b/>
          <w:sz w:val="72"/>
          <w:szCs w:val="72"/>
        </w:rPr>
        <w:t>标</w:t>
      </w:r>
    </w:p>
    <w:p>
      <w:pPr>
        <w:spacing w:line="1200" w:lineRule="exact"/>
        <w:jc w:val="center"/>
        <w:rPr>
          <w:rFonts w:hint="eastAsia" w:ascii="隶书" w:hAnsi="Arial Narrow" w:eastAsia="隶书"/>
          <w:b/>
          <w:sz w:val="72"/>
          <w:szCs w:val="72"/>
        </w:rPr>
      </w:pPr>
      <w:r>
        <w:rPr>
          <w:rFonts w:hint="eastAsia" w:ascii="隶书" w:hAnsi="Arial Narrow" w:eastAsia="隶书"/>
          <w:b/>
          <w:sz w:val="72"/>
          <w:szCs w:val="72"/>
        </w:rPr>
        <w:t>文</w:t>
      </w:r>
    </w:p>
    <w:p>
      <w:pPr>
        <w:spacing w:line="1200" w:lineRule="exact"/>
        <w:jc w:val="center"/>
        <w:rPr>
          <w:rFonts w:hint="eastAsia" w:ascii="隶书" w:hAnsi="Arial Narrow" w:eastAsia="隶书"/>
          <w:b/>
          <w:sz w:val="72"/>
          <w:szCs w:val="72"/>
        </w:rPr>
      </w:pPr>
      <w:r>
        <w:rPr>
          <w:rFonts w:hint="eastAsia" w:ascii="隶书" w:hAnsi="Arial Narrow" w:eastAsia="隶书"/>
          <w:b/>
          <w:sz w:val="72"/>
          <w:szCs w:val="72"/>
        </w:rPr>
        <w:t>件</w:t>
      </w:r>
    </w:p>
    <w:p>
      <w:pPr>
        <w:pStyle w:val="28"/>
        <w:numPr>
          <w:ilvl w:val="0"/>
          <w:numId w:val="0"/>
        </w:numPr>
        <w:snapToGrid w:val="0"/>
        <w:spacing w:before="190" w:beforeLines="0" w:after="190" w:afterLines="0" w:line="360" w:lineRule="auto"/>
        <w:ind w:left="851"/>
        <w:rPr>
          <w:rFonts w:hint="eastAsia" w:ascii="楷体_GB2312" w:hAnsi="宋体" w:eastAsia="楷体_GB2312"/>
          <w:b/>
          <w:bCs/>
          <w:w w:val="95"/>
          <w:sz w:val="36"/>
          <w:szCs w:val="36"/>
        </w:rPr>
      </w:pPr>
    </w:p>
    <w:p>
      <w:pPr>
        <w:pStyle w:val="28"/>
        <w:numPr>
          <w:ilvl w:val="0"/>
          <w:numId w:val="0"/>
        </w:numPr>
        <w:snapToGrid w:val="0"/>
        <w:spacing w:before="190" w:beforeLines="0" w:after="190" w:afterLines="0" w:line="360" w:lineRule="auto"/>
        <w:ind w:left="851"/>
        <w:rPr>
          <w:rFonts w:ascii="隶书" w:hAnsi="Arial Narrow" w:eastAsia="隶书"/>
          <w:b/>
          <w:sz w:val="36"/>
          <w:szCs w:val="36"/>
        </w:rPr>
      </w:pPr>
      <w:r>
        <w:rPr>
          <w:rFonts w:ascii="楷体_GB2312" w:hAnsi="宋体" w:eastAsia="楷体_GB2312"/>
          <w:b/>
          <w:bCs/>
          <w:w w:val="95"/>
          <w:sz w:val="36"/>
          <w:szCs w:val="36"/>
        </w:rPr>
        <w:t>投标单位：</w:t>
      </w:r>
      <w:r>
        <w:rPr>
          <w:rFonts w:ascii="隶书" w:hAnsi="Arial Narrow" w:eastAsia="隶书"/>
          <w:b/>
          <w:sz w:val="36"/>
          <w:szCs w:val="36"/>
        </w:rPr>
        <w:t xml:space="preserve"> </w:t>
      </w:r>
    </w:p>
    <w:p>
      <w:pPr>
        <w:pStyle w:val="28"/>
        <w:numPr>
          <w:ilvl w:val="0"/>
          <w:numId w:val="0"/>
        </w:numPr>
        <w:snapToGrid w:val="0"/>
        <w:spacing w:before="190" w:beforeLines="0" w:after="190" w:afterLines="0" w:line="360" w:lineRule="auto"/>
        <w:ind w:left="851"/>
        <w:rPr>
          <w:rFonts w:ascii="隶书" w:hAnsi="Arial Narrow" w:eastAsia="隶书"/>
          <w:b/>
          <w:sz w:val="36"/>
          <w:szCs w:val="36"/>
        </w:rPr>
      </w:pPr>
      <w:r>
        <w:rPr>
          <w:rFonts w:ascii="楷体_GB2312" w:hAnsi="宋体" w:eastAsia="楷体_GB2312"/>
          <w:b/>
          <w:bCs/>
          <w:w w:val="95"/>
          <w:sz w:val="36"/>
          <w:szCs w:val="36"/>
        </w:rPr>
        <w:t>投标日期：</w:t>
      </w:r>
      <w:r>
        <w:rPr>
          <w:rFonts w:ascii="隶书" w:hAnsi="Arial Narrow" w:eastAsia="隶书"/>
          <w:b/>
          <w:sz w:val="36"/>
          <w:szCs w:val="36"/>
        </w:rPr>
        <w:t xml:space="preserve">          </w:t>
      </w:r>
    </w:p>
    <w:p>
      <w:pPr>
        <w:pStyle w:val="28"/>
        <w:numPr>
          <w:ilvl w:val="0"/>
          <w:numId w:val="0"/>
        </w:numPr>
        <w:snapToGrid w:val="0"/>
        <w:spacing w:before="190" w:beforeLines="0" w:after="190" w:afterLines="0" w:line="360" w:lineRule="auto"/>
        <w:ind w:left="851" w:firstLine="840" w:firstLineChars="300"/>
        <w:jc w:val="center"/>
        <w:rPr>
          <w:rFonts w:hint="eastAsia"/>
          <w:sz w:val="28"/>
          <w:szCs w:val="28"/>
        </w:rPr>
      </w:pPr>
      <w:r>
        <w:rPr>
          <w:rFonts w:hint="eastAsia"/>
          <w:sz w:val="28"/>
          <w:szCs w:val="28"/>
        </w:rPr>
        <w:t>于</w:t>
      </w:r>
      <w:r>
        <w:rPr>
          <w:sz w:val="28"/>
          <w:szCs w:val="28"/>
        </w:rPr>
        <w:t>201</w:t>
      </w:r>
      <w:r>
        <w:rPr>
          <w:rFonts w:hint="eastAsia"/>
          <w:sz w:val="28"/>
          <w:szCs w:val="28"/>
        </w:rPr>
        <w:t>9</w:t>
      </w:r>
      <w:r>
        <w:rPr>
          <w:sz w:val="28"/>
          <w:szCs w:val="28"/>
        </w:rPr>
        <w:t>年</w:t>
      </w:r>
      <w:r>
        <w:rPr>
          <w:rFonts w:hint="eastAsia"/>
          <w:sz w:val="28"/>
          <w:szCs w:val="28"/>
        </w:rPr>
        <w:t xml:space="preserve">  </w:t>
      </w:r>
      <w:r>
        <w:rPr>
          <w:sz w:val="28"/>
          <w:szCs w:val="28"/>
        </w:rPr>
        <w:t>月</w:t>
      </w:r>
      <w:r>
        <w:rPr>
          <w:rFonts w:hint="eastAsia"/>
          <w:sz w:val="28"/>
          <w:szCs w:val="28"/>
        </w:rPr>
        <w:t xml:space="preserve">   </w:t>
      </w:r>
      <w:r>
        <w:rPr>
          <w:sz w:val="28"/>
          <w:szCs w:val="28"/>
        </w:rPr>
        <w:t>日</w:t>
      </w:r>
      <w:r>
        <w:rPr>
          <w:rFonts w:hint="eastAsia"/>
          <w:sz w:val="28"/>
          <w:szCs w:val="28"/>
        </w:rPr>
        <w:t xml:space="preserve">   </w:t>
      </w:r>
      <w:r>
        <w:rPr>
          <w:sz w:val="28"/>
          <w:szCs w:val="28"/>
        </w:rPr>
        <w:t>时</w:t>
      </w:r>
      <w:r>
        <w:rPr>
          <w:rFonts w:hint="eastAsia"/>
          <w:sz w:val="28"/>
          <w:szCs w:val="28"/>
        </w:rPr>
        <w:t>前不得启封</w:t>
      </w:r>
    </w:p>
    <w:p>
      <w:pPr>
        <w:pStyle w:val="28"/>
        <w:numPr>
          <w:ilvl w:val="0"/>
          <w:numId w:val="0"/>
        </w:numPr>
        <w:snapToGrid w:val="0"/>
        <w:spacing w:before="190" w:beforeLines="0" w:after="190" w:afterLines="0" w:line="360" w:lineRule="auto"/>
        <w:ind w:left="851"/>
        <w:rPr>
          <w:rFonts w:hint="eastAsia" w:hAnsi="宋体"/>
          <w:sz w:val="28"/>
          <w:szCs w:val="28"/>
          <w:lang w:val="zh-CN"/>
        </w:rPr>
        <w:sectPr>
          <w:footerReference r:id="rId10" w:type="default"/>
          <w:footerReference r:id="rId11" w:type="even"/>
          <w:pgSz w:w="11906" w:h="16838"/>
          <w:pgMar w:top="1474" w:right="1134" w:bottom="1134" w:left="1361" w:header="851" w:footer="992" w:gutter="0"/>
          <w:cols w:space="720" w:num="1"/>
          <w:docGrid w:linePitch="602" w:charSpace="-1675"/>
        </w:sectPr>
      </w:pPr>
    </w:p>
    <w:p>
      <w:pPr>
        <w:spacing w:line="360" w:lineRule="auto"/>
        <w:jc w:val="center"/>
        <w:rPr>
          <w:b/>
          <w:bCs/>
        </w:rPr>
      </w:pPr>
      <w:r>
        <w:rPr>
          <w:b/>
          <w:bCs/>
        </w:rPr>
        <w:t>投  标  函</w:t>
      </w:r>
    </w:p>
    <w:p>
      <w:pPr>
        <w:spacing w:line="360" w:lineRule="auto"/>
      </w:pPr>
      <w:r>
        <w:t>致：金华市政府采购中心</w:t>
      </w:r>
      <w:r>
        <w:rPr>
          <w:rFonts w:hint="eastAsia"/>
        </w:rPr>
        <w:t>磐安县</w:t>
      </w:r>
      <w:r>
        <w:t>分中心</w:t>
      </w:r>
    </w:p>
    <w:p>
      <w:pPr>
        <w:spacing w:line="360" w:lineRule="auto"/>
      </w:pPr>
      <w:r>
        <w:t xml:space="preserve">     _________________________（投标人全称）授权_________________（全名、职务）为全权代表参加贵方组织的_________________________（招标项目名称、采购编号）招标的有关活动。为此提交下述文件。</w:t>
      </w:r>
    </w:p>
    <w:p>
      <w:pPr>
        <w:spacing w:line="360" w:lineRule="auto"/>
        <w:rPr>
          <w:rFonts w:hint="eastAsia"/>
        </w:rPr>
      </w:pPr>
      <w:r>
        <w:rPr>
          <w:rFonts w:hint="eastAsia"/>
        </w:rPr>
        <w:t>1、技术商务投标文件，正本一份，副本__份；</w:t>
      </w:r>
    </w:p>
    <w:p>
      <w:pPr>
        <w:spacing w:line="360" w:lineRule="auto"/>
        <w:rPr>
          <w:rFonts w:hint="eastAsia"/>
        </w:rPr>
      </w:pPr>
      <w:r>
        <w:rPr>
          <w:rFonts w:hint="eastAsia"/>
        </w:rPr>
        <w:t>2、价格投标文件，正本一份，副本__份；</w:t>
      </w:r>
    </w:p>
    <w:p>
      <w:pPr>
        <w:spacing w:line="360" w:lineRule="auto"/>
        <w:rPr>
          <w:rFonts w:hint="eastAsia"/>
        </w:rPr>
      </w:pPr>
      <w:r>
        <w:rPr>
          <w:rFonts w:hint="eastAsia"/>
        </w:rPr>
        <w:t>3、制造商货物授权书原件__份，具体为：</w:t>
      </w:r>
    </w:p>
    <w:p>
      <w:pPr>
        <w:spacing w:line="360" w:lineRule="auto"/>
        <w:rPr>
          <w:rFonts w:hint="eastAsia"/>
        </w:rPr>
      </w:pPr>
      <w:r>
        <w:rPr>
          <w:rFonts w:hint="eastAsia"/>
        </w:rPr>
        <w:t>4、资信</w:t>
      </w:r>
      <w:r>
        <w:rPr>
          <w:rFonts w:hint="eastAsia"/>
          <w:lang w:eastAsia="zh-CN"/>
        </w:rPr>
        <w:t>文件材料</w:t>
      </w:r>
      <w:r>
        <w:rPr>
          <w:rFonts w:hint="eastAsia"/>
        </w:rPr>
        <w:t>原件__份，具体为：</w:t>
      </w:r>
    </w:p>
    <w:p>
      <w:pPr>
        <w:spacing w:line="360" w:lineRule="auto"/>
        <w:rPr>
          <w:rFonts w:hint="eastAsia"/>
        </w:rPr>
      </w:pPr>
      <w:r>
        <w:rPr>
          <w:rFonts w:hint="eastAsia"/>
        </w:rPr>
        <w:t>5、其他：</w:t>
      </w:r>
    </w:p>
    <w:p>
      <w:pPr>
        <w:spacing w:line="360" w:lineRule="auto"/>
      </w:pPr>
      <w:r>
        <w:rPr>
          <w:rFonts w:hint="eastAsia"/>
        </w:rPr>
        <w:t>6、以</w:t>
      </w:r>
      <w:r>
        <w:t>_______________</w:t>
      </w:r>
      <w:r>
        <w:rPr>
          <w:rFonts w:hint="eastAsia"/>
        </w:rPr>
        <w:t>（提供形式）提供的投标保证金，金额为</w:t>
      </w:r>
      <w:r>
        <w:t>______________</w:t>
      </w:r>
      <w:r>
        <w:rPr>
          <w:rFonts w:hint="eastAsia"/>
        </w:rPr>
        <w:t>元。据此函，签字代表宣布同意如下：</w:t>
      </w:r>
    </w:p>
    <w:p>
      <w:pPr>
        <w:spacing w:line="360" w:lineRule="auto"/>
        <w:rPr>
          <w:rFonts w:hint="eastAsia"/>
        </w:rPr>
      </w:pPr>
      <w:r>
        <w:rPr>
          <w:rFonts w:hint="eastAsia"/>
        </w:rPr>
        <w:t>1）所附开标一览表中规定的应提供和支付的货物和服务投标总价为</w:t>
      </w:r>
      <w:r>
        <w:t>(</w:t>
      </w:r>
      <w:r>
        <w:rPr>
          <w:rFonts w:hint="eastAsia"/>
        </w:rPr>
        <w:t>人民币</w:t>
      </w:r>
      <w:r>
        <w:t>) ________________________________</w:t>
      </w:r>
      <w:r>
        <w:rPr>
          <w:rFonts w:hint="eastAsia"/>
        </w:rPr>
        <w:t>，</w:t>
      </w:r>
      <w:r>
        <w:t xml:space="preserve"> </w:t>
      </w:r>
      <w:r>
        <w:rPr>
          <w:rFonts w:hint="eastAsia"/>
        </w:rPr>
        <w:t>即______________________________________________</w:t>
      </w:r>
      <w:r>
        <w:t>(</w:t>
      </w:r>
      <w:r>
        <w:rPr>
          <w:rFonts w:hint="eastAsia"/>
        </w:rPr>
        <w:t>大写</w:t>
      </w:r>
      <w:r>
        <w:t>)</w:t>
      </w:r>
      <w:r>
        <w:rPr>
          <w:rFonts w:hint="eastAsia"/>
        </w:rPr>
        <w:t>。</w:t>
      </w:r>
    </w:p>
    <w:p>
      <w:pPr>
        <w:spacing w:line="360" w:lineRule="auto"/>
      </w:pPr>
      <w:r>
        <w:t>2</w:t>
      </w:r>
      <w:r>
        <w:rPr>
          <w:rFonts w:hint="eastAsia"/>
        </w:rPr>
        <w:t>)投标方已详细审查全部招标文件，我们完全理解并同意放弃对这方面有不明及误解的权利。</w:t>
      </w:r>
    </w:p>
    <w:p>
      <w:pPr>
        <w:spacing w:line="360" w:lineRule="auto"/>
      </w:pPr>
      <w:r>
        <w:t>3)</w:t>
      </w:r>
      <w:r>
        <w:rPr>
          <w:rFonts w:hint="eastAsia"/>
        </w:rPr>
        <w:t>投标方将按招标文件规定履行合同责任和义务。</w:t>
      </w:r>
    </w:p>
    <w:p>
      <w:pPr>
        <w:spacing w:line="360" w:lineRule="auto"/>
      </w:pPr>
      <w:r>
        <w:t>4)</w:t>
      </w:r>
      <w:r>
        <w:rPr>
          <w:rFonts w:hint="eastAsia"/>
        </w:rPr>
        <w:t>其投标自开标之日起有效期6</w:t>
      </w:r>
      <w:r>
        <w:t>0_</w:t>
      </w:r>
      <w:r>
        <w:rPr>
          <w:rFonts w:hint="eastAsia"/>
        </w:rPr>
        <w:t>个工作日。</w:t>
      </w:r>
    </w:p>
    <w:p>
      <w:pPr>
        <w:spacing w:line="360" w:lineRule="auto"/>
      </w:pPr>
      <w:r>
        <w:rPr>
          <w:rFonts w:hint="eastAsia"/>
        </w:rPr>
        <w:t>5)如果在规定的开标时间后，投标方在投标有效期内撤回投标，其投标保证金将被贵方没收。</w:t>
      </w:r>
    </w:p>
    <w:p>
      <w:pPr>
        <w:spacing w:line="360" w:lineRule="auto"/>
      </w:pPr>
      <w:r>
        <w:rPr>
          <w:rFonts w:hint="eastAsia"/>
        </w:rPr>
        <w:t>6)投标方同意提供按照贵方可能要求的与其投标有关的一切数据或资料，理解贵方不一定要接受最低价的投标或收到的任何投标。</w:t>
      </w:r>
    </w:p>
    <w:p>
      <w:pPr>
        <w:spacing w:line="360" w:lineRule="auto"/>
      </w:pPr>
      <w:r>
        <w:rPr>
          <w:rFonts w:hint="eastAsia"/>
        </w:rPr>
        <w:t>7)与本投标有关的一切正式往来通讯请寄：</w:t>
      </w:r>
    </w:p>
    <w:p>
      <w:pPr>
        <w:spacing w:line="360" w:lineRule="auto"/>
        <w:ind w:firstLine="420" w:firstLineChars="200"/>
        <w:jc w:val="left"/>
        <w:rPr>
          <w:rFonts w:ascii="宋体" w:hAnsi="宋体"/>
          <w:szCs w:val="21"/>
        </w:rPr>
      </w:pPr>
      <w:r>
        <w:rPr>
          <w:rFonts w:ascii="宋体" w:hAnsi="宋体"/>
          <w:szCs w:val="21"/>
        </w:rPr>
        <w:t xml:space="preserve">       </w:t>
      </w:r>
      <w:r>
        <w:rPr>
          <w:rFonts w:hint="eastAsia" w:ascii="宋体" w:hAnsi="宋体"/>
          <w:szCs w:val="21"/>
        </w:rPr>
        <w:t>地址：</w:t>
      </w:r>
      <w:r>
        <w:rPr>
          <w:rFonts w:ascii="宋体" w:hAnsi="宋体"/>
          <w:szCs w:val="21"/>
        </w:rPr>
        <w:t>______________________</w:t>
      </w:r>
      <w:r>
        <w:rPr>
          <w:rFonts w:hint="eastAsia" w:ascii="宋体" w:hAnsi="宋体"/>
          <w:szCs w:val="21"/>
        </w:rPr>
        <w:t>邮编：</w:t>
      </w:r>
      <w:r>
        <w:rPr>
          <w:rFonts w:ascii="宋体" w:hAnsi="宋体"/>
          <w:szCs w:val="21"/>
        </w:rPr>
        <w:t xml:space="preserve">______________________                </w:t>
      </w:r>
    </w:p>
    <w:p>
      <w:pPr>
        <w:spacing w:line="360" w:lineRule="auto"/>
        <w:ind w:firstLine="420" w:firstLineChars="200"/>
        <w:jc w:val="left"/>
        <w:rPr>
          <w:rFonts w:ascii="宋体" w:hAnsi="宋体"/>
          <w:szCs w:val="21"/>
        </w:rPr>
      </w:pPr>
      <w:r>
        <w:rPr>
          <w:rFonts w:ascii="宋体" w:hAnsi="宋体"/>
          <w:szCs w:val="21"/>
        </w:rPr>
        <w:t xml:space="preserve">       </w:t>
      </w:r>
      <w:r>
        <w:rPr>
          <w:rFonts w:hint="eastAsia" w:ascii="宋体" w:hAnsi="宋体"/>
          <w:szCs w:val="21"/>
        </w:rPr>
        <w:t>电话：</w:t>
      </w:r>
      <w:r>
        <w:rPr>
          <w:rFonts w:ascii="宋体" w:hAnsi="宋体"/>
          <w:szCs w:val="21"/>
        </w:rPr>
        <w:t>______________________</w:t>
      </w:r>
      <w:r>
        <w:rPr>
          <w:rFonts w:hint="eastAsia" w:ascii="宋体" w:hAnsi="宋体"/>
          <w:szCs w:val="21"/>
        </w:rPr>
        <w:t>传真：</w:t>
      </w:r>
      <w:r>
        <w:rPr>
          <w:rFonts w:ascii="宋体" w:hAnsi="宋体"/>
          <w:szCs w:val="21"/>
        </w:rPr>
        <w:t xml:space="preserve">______________________                </w:t>
      </w:r>
    </w:p>
    <w:p>
      <w:pPr>
        <w:spacing w:line="360" w:lineRule="auto"/>
        <w:ind w:firstLine="420" w:firstLineChars="200"/>
        <w:jc w:val="left"/>
        <w:rPr>
          <w:rFonts w:ascii="宋体" w:hAnsi="宋体"/>
          <w:szCs w:val="21"/>
        </w:rPr>
      </w:pPr>
      <w:r>
        <w:rPr>
          <w:rFonts w:ascii="宋体" w:hAnsi="宋体"/>
          <w:szCs w:val="21"/>
        </w:rPr>
        <w:t xml:space="preserve">       </w:t>
      </w:r>
      <w:r>
        <w:rPr>
          <w:rFonts w:hint="eastAsia" w:ascii="宋体" w:hAnsi="宋体"/>
          <w:szCs w:val="21"/>
        </w:rPr>
        <w:t>投标方名称</w:t>
      </w:r>
      <w:r>
        <w:rPr>
          <w:rFonts w:ascii="宋体" w:hAnsi="宋体"/>
          <w:szCs w:val="21"/>
        </w:rPr>
        <w:t>: ___________________________ (</w:t>
      </w:r>
      <w:r>
        <w:rPr>
          <w:rFonts w:hint="eastAsia" w:ascii="宋体" w:hAnsi="宋体"/>
          <w:szCs w:val="21"/>
        </w:rPr>
        <w:t>公章</w:t>
      </w: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 xml:space="preserve">       </w:t>
      </w:r>
      <w:r>
        <w:rPr>
          <w:rFonts w:hint="eastAsia" w:ascii="宋体" w:hAnsi="宋体"/>
          <w:szCs w:val="21"/>
        </w:rPr>
        <w:t>投标方法定代表人签章</w:t>
      </w:r>
      <w:r>
        <w:rPr>
          <w:rFonts w:ascii="宋体" w:hAnsi="宋体"/>
          <w:szCs w:val="21"/>
        </w:rPr>
        <w:t>: ______________________</w:t>
      </w:r>
    </w:p>
    <w:p>
      <w:pPr>
        <w:spacing w:line="360" w:lineRule="auto"/>
        <w:ind w:firstLine="420" w:firstLineChars="200"/>
        <w:jc w:val="center"/>
        <w:rPr>
          <w:rFonts w:hint="eastAsia" w:eastAsia="楷体_GB2312"/>
          <w:b/>
          <w:bCs/>
          <w:szCs w:val="28"/>
        </w:rPr>
      </w:pPr>
      <w:r>
        <w:rPr>
          <w:rFonts w:hint="eastAsia" w:ascii="宋体" w:hAnsi="宋体"/>
          <w:szCs w:val="21"/>
        </w:rPr>
        <w:t>投标日期</w:t>
      </w:r>
      <w:r>
        <w:rPr>
          <w:rFonts w:ascii="宋体" w:hAnsi="宋体"/>
          <w:szCs w:val="21"/>
        </w:rPr>
        <w:t>: _______</w:t>
      </w:r>
      <w:r>
        <w:rPr>
          <w:rFonts w:hint="eastAsia" w:ascii="宋体" w:hAnsi="宋体"/>
          <w:szCs w:val="21"/>
        </w:rPr>
        <w:t>年</w:t>
      </w:r>
      <w:r>
        <w:rPr>
          <w:rFonts w:ascii="宋体" w:hAnsi="宋体"/>
          <w:szCs w:val="21"/>
        </w:rPr>
        <w:t>____</w:t>
      </w:r>
      <w:r>
        <w:rPr>
          <w:rFonts w:hint="eastAsia" w:ascii="宋体" w:hAnsi="宋体"/>
          <w:szCs w:val="21"/>
        </w:rPr>
        <w:t>月</w:t>
      </w:r>
      <w:r>
        <w:rPr>
          <w:rFonts w:ascii="宋体" w:hAnsi="宋体"/>
          <w:szCs w:val="21"/>
        </w:rPr>
        <w:t>____</w:t>
      </w:r>
      <w:r>
        <w:rPr>
          <w:rFonts w:hint="eastAsia" w:ascii="宋体" w:hAnsi="宋体"/>
          <w:szCs w:val="21"/>
        </w:rPr>
        <w:t>日</w:t>
      </w:r>
      <w:r>
        <w:rPr>
          <w:rFonts w:ascii="宋体" w:hAnsi="宋体"/>
          <w:szCs w:val="21"/>
        </w:rPr>
        <w:t xml:space="preserve">  </w:t>
      </w:r>
      <w:r>
        <w:rPr>
          <w:rFonts w:hint="eastAsia" w:ascii="宋体" w:hAnsi="宋体"/>
          <w:szCs w:val="21"/>
        </w:rPr>
        <w:t>受权代表签字</w:t>
      </w:r>
      <w:r>
        <w:rPr>
          <w:rFonts w:ascii="宋体" w:hAnsi="宋体"/>
          <w:szCs w:val="21"/>
        </w:rPr>
        <w:t xml:space="preserve">: ____________  </w:t>
      </w:r>
      <w:r>
        <w:rPr>
          <w:b/>
          <w:bCs/>
          <w:szCs w:val="21"/>
        </w:rPr>
        <w:br w:type="page"/>
      </w:r>
      <w:r>
        <w:rPr>
          <w:rFonts w:hint="eastAsia" w:eastAsia="楷体_GB2312"/>
          <w:b/>
          <w:bCs/>
          <w:szCs w:val="28"/>
        </w:rPr>
        <w:t>开标一览表</w:t>
      </w:r>
    </w:p>
    <w:p>
      <w:pPr>
        <w:spacing w:line="360" w:lineRule="auto"/>
        <w:ind w:firstLine="3046" w:firstLineChars="1445"/>
        <w:rPr>
          <w:rFonts w:hint="eastAsia"/>
          <w:b/>
          <w:bCs/>
          <w:szCs w:val="28"/>
          <w:u w:val="single"/>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368"/>
        <w:gridCol w:w="2232"/>
        <w:gridCol w:w="1436"/>
        <w:gridCol w:w="1309"/>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67" w:hRule="atLeast"/>
          <w:jc w:val="center"/>
        </w:trPr>
        <w:tc>
          <w:tcPr>
            <w:tcW w:w="658" w:type="dxa"/>
            <w:noWrap w:val="0"/>
            <w:vAlign w:val="center"/>
          </w:tcPr>
          <w:p>
            <w:pPr>
              <w:jc w:val="center"/>
              <w:rPr>
                <w:rFonts w:hint="eastAsia" w:ascii="宋体" w:hAnsi="宋体"/>
                <w:b/>
                <w:bCs/>
                <w:szCs w:val="21"/>
              </w:rPr>
            </w:pPr>
            <w:r>
              <w:rPr>
                <w:rFonts w:hint="eastAsia" w:ascii="宋体" w:hAnsi="宋体"/>
                <w:b/>
                <w:bCs/>
                <w:szCs w:val="21"/>
              </w:rPr>
              <w:t>序号</w:t>
            </w:r>
          </w:p>
        </w:tc>
        <w:tc>
          <w:tcPr>
            <w:tcW w:w="1368" w:type="dxa"/>
            <w:noWrap w:val="0"/>
            <w:vAlign w:val="center"/>
          </w:tcPr>
          <w:p>
            <w:pPr>
              <w:jc w:val="center"/>
              <w:rPr>
                <w:rFonts w:hint="eastAsia" w:ascii="宋体" w:hAnsi="宋体"/>
                <w:b/>
                <w:bCs/>
                <w:szCs w:val="21"/>
              </w:rPr>
            </w:pPr>
            <w:r>
              <w:rPr>
                <w:rFonts w:hint="eastAsia" w:ascii="宋体" w:hAnsi="宋体"/>
                <w:b/>
                <w:bCs/>
                <w:szCs w:val="21"/>
              </w:rPr>
              <w:t>采购项目</w:t>
            </w:r>
          </w:p>
        </w:tc>
        <w:tc>
          <w:tcPr>
            <w:tcW w:w="2232" w:type="dxa"/>
            <w:noWrap w:val="0"/>
            <w:vAlign w:val="center"/>
          </w:tcPr>
          <w:p>
            <w:pPr>
              <w:jc w:val="center"/>
              <w:rPr>
                <w:rFonts w:hint="eastAsia" w:ascii="宋体" w:hAnsi="宋体"/>
                <w:b/>
                <w:bCs/>
                <w:szCs w:val="21"/>
              </w:rPr>
            </w:pPr>
            <w:r>
              <w:rPr>
                <w:rFonts w:hint="eastAsia" w:ascii="宋体" w:hAnsi="宋体"/>
                <w:b/>
                <w:bCs/>
                <w:szCs w:val="21"/>
              </w:rPr>
              <w:t>品牌和型号</w:t>
            </w:r>
          </w:p>
        </w:tc>
        <w:tc>
          <w:tcPr>
            <w:tcW w:w="1436" w:type="dxa"/>
            <w:noWrap w:val="0"/>
            <w:vAlign w:val="center"/>
          </w:tcPr>
          <w:p>
            <w:pPr>
              <w:jc w:val="center"/>
              <w:rPr>
                <w:rFonts w:hint="eastAsia" w:ascii="宋体" w:hAnsi="宋体"/>
                <w:b/>
                <w:bCs/>
                <w:szCs w:val="21"/>
              </w:rPr>
            </w:pPr>
            <w:r>
              <w:rPr>
                <w:rFonts w:hint="eastAsia" w:ascii="宋体" w:hAnsi="宋体"/>
                <w:b/>
                <w:bCs/>
                <w:szCs w:val="21"/>
              </w:rPr>
              <w:t>单价（元）</w:t>
            </w:r>
          </w:p>
        </w:tc>
        <w:tc>
          <w:tcPr>
            <w:tcW w:w="1309" w:type="dxa"/>
            <w:noWrap w:val="0"/>
            <w:vAlign w:val="center"/>
          </w:tcPr>
          <w:p>
            <w:pPr>
              <w:jc w:val="center"/>
              <w:rPr>
                <w:rFonts w:hint="eastAsia" w:ascii="宋体" w:hAnsi="宋体"/>
                <w:b/>
                <w:bCs/>
                <w:szCs w:val="21"/>
              </w:rPr>
            </w:pPr>
            <w:r>
              <w:rPr>
                <w:rFonts w:hint="eastAsia" w:ascii="宋体" w:hAnsi="宋体"/>
                <w:b/>
                <w:bCs/>
                <w:szCs w:val="21"/>
              </w:rPr>
              <w:t>数量</w:t>
            </w:r>
          </w:p>
        </w:tc>
        <w:tc>
          <w:tcPr>
            <w:tcW w:w="2470" w:type="dxa"/>
            <w:noWrap w:val="0"/>
            <w:vAlign w:val="center"/>
          </w:tcPr>
          <w:p>
            <w:pPr>
              <w:jc w:val="center"/>
              <w:rPr>
                <w:rFonts w:hint="eastAsia" w:ascii="宋体" w:hAnsi="宋体"/>
                <w:b/>
                <w:bCs/>
                <w:szCs w:val="21"/>
              </w:rPr>
            </w:pPr>
            <w:r>
              <w:rPr>
                <w:rFonts w:hint="eastAsia" w:ascii="宋体" w:hAnsi="宋体"/>
                <w:b/>
                <w:bCs/>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919" w:hRule="atLeast"/>
          <w:jc w:val="center"/>
        </w:trPr>
        <w:tc>
          <w:tcPr>
            <w:tcW w:w="658" w:type="dxa"/>
            <w:noWrap w:val="0"/>
            <w:vAlign w:val="center"/>
          </w:tcPr>
          <w:p>
            <w:pPr>
              <w:jc w:val="center"/>
              <w:rPr>
                <w:rFonts w:hint="eastAsia" w:ascii="宋体" w:hAnsi="宋体"/>
                <w:szCs w:val="21"/>
              </w:rPr>
            </w:pPr>
          </w:p>
        </w:tc>
        <w:tc>
          <w:tcPr>
            <w:tcW w:w="1368" w:type="dxa"/>
            <w:noWrap w:val="0"/>
            <w:vAlign w:val="center"/>
          </w:tcPr>
          <w:p>
            <w:pPr>
              <w:jc w:val="center"/>
              <w:rPr>
                <w:rFonts w:hint="eastAsia"/>
                <w:szCs w:val="21"/>
              </w:rPr>
            </w:pPr>
          </w:p>
        </w:tc>
        <w:tc>
          <w:tcPr>
            <w:tcW w:w="2232" w:type="dxa"/>
            <w:noWrap w:val="0"/>
            <w:vAlign w:val="center"/>
          </w:tcPr>
          <w:p>
            <w:pPr>
              <w:pStyle w:val="46"/>
              <w:rPr>
                <w:rFonts w:hint="eastAsia"/>
                <w:sz w:val="21"/>
                <w:szCs w:val="21"/>
              </w:rPr>
            </w:pPr>
          </w:p>
        </w:tc>
        <w:tc>
          <w:tcPr>
            <w:tcW w:w="1436" w:type="dxa"/>
            <w:noWrap w:val="0"/>
            <w:vAlign w:val="center"/>
          </w:tcPr>
          <w:p>
            <w:pPr>
              <w:jc w:val="center"/>
              <w:rPr>
                <w:rFonts w:hint="eastAsia" w:ascii="宋体" w:hAnsi="宋体"/>
                <w:szCs w:val="21"/>
              </w:rPr>
            </w:pPr>
          </w:p>
        </w:tc>
        <w:tc>
          <w:tcPr>
            <w:tcW w:w="1309" w:type="dxa"/>
            <w:noWrap w:val="0"/>
            <w:vAlign w:val="center"/>
          </w:tcPr>
          <w:p>
            <w:pPr>
              <w:jc w:val="center"/>
              <w:rPr>
                <w:rFonts w:hint="eastAsia" w:ascii="宋体" w:hAnsi="宋体"/>
                <w:szCs w:val="21"/>
              </w:rPr>
            </w:pPr>
          </w:p>
        </w:tc>
        <w:tc>
          <w:tcPr>
            <w:tcW w:w="2470" w:type="dxa"/>
            <w:noWrap w:val="0"/>
            <w:vAlign w:val="center"/>
          </w:tcPr>
          <w:p>
            <w:pPr>
              <w:pStyle w:val="46"/>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919" w:hRule="atLeast"/>
          <w:jc w:val="center"/>
        </w:trPr>
        <w:tc>
          <w:tcPr>
            <w:tcW w:w="658" w:type="dxa"/>
            <w:noWrap w:val="0"/>
            <w:vAlign w:val="center"/>
          </w:tcPr>
          <w:p>
            <w:pPr>
              <w:jc w:val="center"/>
              <w:rPr>
                <w:rFonts w:hint="eastAsia" w:ascii="宋体" w:hAnsi="宋体"/>
                <w:szCs w:val="21"/>
              </w:rPr>
            </w:pPr>
          </w:p>
        </w:tc>
        <w:tc>
          <w:tcPr>
            <w:tcW w:w="1368" w:type="dxa"/>
            <w:noWrap w:val="0"/>
            <w:vAlign w:val="center"/>
          </w:tcPr>
          <w:p>
            <w:pPr>
              <w:jc w:val="center"/>
              <w:rPr>
                <w:rFonts w:hint="eastAsia"/>
                <w:szCs w:val="21"/>
              </w:rPr>
            </w:pPr>
          </w:p>
        </w:tc>
        <w:tc>
          <w:tcPr>
            <w:tcW w:w="2232" w:type="dxa"/>
            <w:noWrap w:val="0"/>
            <w:vAlign w:val="center"/>
          </w:tcPr>
          <w:p>
            <w:pPr>
              <w:pStyle w:val="46"/>
              <w:rPr>
                <w:rFonts w:hint="eastAsia"/>
                <w:sz w:val="21"/>
                <w:szCs w:val="21"/>
              </w:rPr>
            </w:pPr>
          </w:p>
        </w:tc>
        <w:tc>
          <w:tcPr>
            <w:tcW w:w="1436" w:type="dxa"/>
            <w:noWrap w:val="0"/>
            <w:vAlign w:val="center"/>
          </w:tcPr>
          <w:p>
            <w:pPr>
              <w:jc w:val="center"/>
              <w:rPr>
                <w:rFonts w:hint="eastAsia" w:ascii="宋体" w:hAnsi="宋体"/>
                <w:szCs w:val="21"/>
              </w:rPr>
            </w:pPr>
          </w:p>
        </w:tc>
        <w:tc>
          <w:tcPr>
            <w:tcW w:w="1309" w:type="dxa"/>
            <w:noWrap w:val="0"/>
            <w:vAlign w:val="center"/>
          </w:tcPr>
          <w:p>
            <w:pPr>
              <w:jc w:val="center"/>
              <w:rPr>
                <w:rFonts w:hint="eastAsia" w:ascii="宋体" w:hAnsi="宋体"/>
                <w:szCs w:val="21"/>
              </w:rPr>
            </w:pPr>
          </w:p>
        </w:tc>
        <w:tc>
          <w:tcPr>
            <w:tcW w:w="2470" w:type="dxa"/>
            <w:noWrap w:val="0"/>
            <w:vAlign w:val="center"/>
          </w:tcPr>
          <w:p>
            <w:pPr>
              <w:pStyle w:val="46"/>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919" w:hRule="atLeast"/>
          <w:jc w:val="center"/>
        </w:trPr>
        <w:tc>
          <w:tcPr>
            <w:tcW w:w="658" w:type="dxa"/>
            <w:noWrap w:val="0"/>
            <w:vAlign w:val="center"/>
          </w:tcPr>
          <w:p>
            <w:pPr>
              <w:jc w:val="center"/>
              <w:rPr>
                <w:rFonts w:hint="eastAsia" w:ascii="宋体" w:hAnsi="宋体"/>
                <w:szCs w:val="21"/>
              </w:rPr>
            </w:pPr>
          </w:p>
        </w:tc>
        <w:tc>
          <w:tcPr>
            <w:tcW w:w="1368" w:type="dxa"/>
            <w:noWrap w:val="0"/>
            <w:vAlign w:val="center"/>
          </w:tcPr>
          <w:p>
            <w:pPr>
              <w:jc w:val="center"/>
              <w:rPr>
                <w:rFonts w:hint="eastAsia"/>
                <w:szCs w:val="21"/>
              </w:rPr>
            </w:pPr>
          </w:p>
        </w:tc>
        <w:tc>
          <w:tcPr>
            <w:tcW w:w="2232" w:type="dxa"/>
            <w:noWrap w:val="0"/>
            <w:vAlign w:val="center"/>
          </w:tcPr>
          <w:p>
            <w:pPr>
              <w:pStyle w:val="46"/>
              <w:rPr>
                <w:rFonts w:hint="eastAsia"/>
                <w:sz w:val="21"/>
                <w:szCs w:val="21"/>
              </w:rPr>
            </w:pPr>
          </w:p>
        </w:tc>
        <w:tc>
          <w:tcPr>
            <w:tcW w:w="1436" w:type="dxa"/>
            <w:noWrap w:val="0"/>
            <w:vAlign w:val="center"/>
          </w:tcPr>
          <w:p>
            <w:pPr>
              <w:jc w:val="center"/>
              <w:rPr>
                <w:rFonts w:hint="eastAsia" w:ascii="宋体" w:hAnsi="宋体"/>
                <w:szCs w:val="21"/>
              </w:rPr>
            </w:pPr>
          </w:p>
        </w:tc>
        <w:tc>
          <w:tcPr>
            <w:tcW w:w="1309" w:type="dxa"/>
            <w:noWrap w:val="0"/>
            <w:vAlign w:val="center"/>
          </w:tcPr>
          <w:p>
            <w:pPr>
              <w:jc w:val="center"/>
              <w:rPr>
                <w:rFonts w:hint="eastAsia" w:ascii="宋体" w:hAnsi="宋体"/>
                <w:szCs w:val="21"/>
              </w:rPr>
            </w:pPr>
          </w:p>
        </w:tc>
        <w:tc>
          <w:tcPr>
            <w:tcW w:w="2470" w:type="dxa"/>
            <w:noWrap w:val="0"/>
            <w:vAlign w:val="center"/>
          </w:tcPr>
          <w:p>
            <w:pPr>
              <w:pStyle w:val="46"/>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00" w:hRule="atLeast"/>
          <w:jc w:val="center"/>
        </w:trPr>
        <w:tc>
          <w:tcPr>
            <w:tcW w:w="9473" w:type="dxa"/>
            <w:gridSpan w:val="6"/>
            <w:noWrap w:val="0"/>
            <w:vAlign w:val="center"/>
          </w:tcPr>
          <w:p>
            <w:pPr>
              <w:spacing w:line="360" w:lineRule="auto"/>
              <w:rPr>
                <w:rFonts w:hint="eastAsia" w:ascii="宋体" w:hAnsi="宋体"/>
                <w:szCs w:val="21"/>
              </w:rPr>
            </w:pPr>
            <w:r>
              <w:rPr>
                <w:rFonts w:hint="eastAsia" w:ascii="宋体" w:hAnsi="宋体"/>
                <w:szCs w:val="21"/>
              </w:rPr>
              <w:t>合计：___________________________</w:t>
            </w:r>
          </w:p>
          <w:p>
            <w:pPr>
              <w:spacing w:line="360" w:lineRule="auto"/>
              <w:rPr>
                <w:rFonts w:hint="eastAsia" w:ascii="宋体" w:hAnsi="宋体"/>
                <w:szCs w:val="21"/>
              </w:rPr>
            </w:pPr>
            <w:r>
              <w:rPr>
                <w:rFonts w:hint="eastAsia" w:ascii="宋体" w:hAnsi="宋体"/>
                <w:szCs w:val="21"/>
              </w:rPr>
              <w:t>(大写)___________________________</w:t>
            </w:r>
          </w:p>
        </w:tc>
      </w:tr>
    </w:tbl>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投标人名称（盖章）：</w:t>
      </w:r>
      <w:r>
        <w:rPr>
          <w:rFonts w:ascii="宋体" w:hAnsi="宋体"/>
          <w:szCs w:val="21"/>
        </w:rPr>
        <w:t>____________________________</w:t>
      </w:r>
      <w:r>
        <w:rPr>
          <w:rFonts w:hint="eastAsia" w:ascii="宋体" w:hAnsi="宋体"/>
          <w:szCs w:val="21"/>
        </w:rPr>
        <w:t xml:space="preserve">  日</w:t>
      </w:r>
      <w:r>
        <w:rPr>
          <w:rFonts w:ascii="宋体" w:hAnsi="宋体"/>
          <w:szCs w:val="21"/>
        </w:rPr>
        <w:t xml:space="preserve">  </w:t>
      </w:r>
      <w:r>
        <w:rPr>
          <w:rFonts w:hint="eastAsia" w:ascii="宋体" w:hAnsi="宋体"/>
          <w:szCs w:val="21"/>
        </w:rPr>
        <w:t>期</w:t>
      </w:r>
      <w:r>
        <w:rPr>
          <w:rFonts w:ascii="宋体" w:hAnsi="宋体"/>
          <w:szCs w:val="21"/>
        </w:rPr>
        <w:t>:________________</w:t>
      </w:r>
    </w:p>
    <w:p>
      <w:pPr>
        <w:spacing w:line="360" w:lineRule="auto"/>
        <w:rPr>
          <w:rFonts w:hint="eastAsia" w:ascii="宋体" w:hAnsi="宋体"/>
          <w:szCs w:val="21"/>
          <w:u w:val="single"/>
        </w:rPr>
      </w:pPr>
      <w:r>
        <w:rPr>
          <w:rFonts w:hint="eastAsia" w:ascii="宋体" w:hAnsi="宋体"/>
          <w:szCs w:val="21"/>
        </w:rPr>
        <w:t>投标人法定代表人签章：</w:t>
      </w:r>
      <w:r>
        <w:rPr>
          <w:rFonts w:hint="eastAsia" w:ascii="宋体" w:hAnsi="宋体"/>
          <w:szCs w:val="21"/>
          <w:u w:val="single"/>
        </w:rPr>
        <w:t xml:space="preserve">                     </w:t>
      </w:r>
    </w:p>
    <w:p>
      <w:pPr>
        <w:spacing w:line="360" w:lineRule="auto"/>
        <w:rPr>
          <w:rFonts w:hint="eastAsia" w:ascii="宋体" w:hAnsi="宋体"/>
          <w:szCs w:val="21"/>
        </w:rPr>
      </w:pPr>
      <w:r>
        <w:rPr>
          <w:rFonts w:hint="eastAsia" w:ascii="宋体" w:hAnsi="宋体"/>
          <w:szCs w:val="21"/>
        </w:rPr>
        <w:t>投标人代表签字：</w:t>
      </w:r>
      <w:r>
        <w:rPr>
          <w:rFonts w:ascii="宋体" w:hAnsi="宋体"/>
          <w:szCs w:val="21"/>
        </w:rPr>
        <w:t xml:space="preserve">________________ </w:t>
      </w:r>
      <w:r>
        <w:rPr>
          <w:rFonts w:hint="eastAsia" w:ascii="宋体" w:hAnsi="宋体"/>
          <w:szCs w:val="21"/>
        </w:rPr>
        <w:t xml:space="preserve">                职</w:t>
      </w:r>
      <w:r>
        <w:rPr>
          <w:rFonts w:ascii="宋体" w:hAnsi="宋体"/>
          <w:szCs w:val="21"/>
        </w:rPr>
        <w:t xml:space="preserve">  </w:t>
      </w:r>
      <w:r>
        <w:rPr>
          <w:rFonts w:hint="eastAsia" w:ascii="宋体" w:hAnsi="宋体"/>
          <w:szCs w:val="21"/>
        </w:rPr>
        <w:t>务</w:t>
      </w:r>
      <w:r>
        <w:rPr>
          <w:rFonts w:ascii="宋体" w:hAnsi="宋体"/>
          <w:szCs w:val="21"/>
        </w:rPr>
        <w:t>:____________</w:t>
      </w:r>
    </w:p>
    <w:p>
      <w:pPr>
        <w:spacing w:line="360" w:lineRule="auto"/>
        <w:rPr>
          <w:rFonts w:hint="eastAsia" w:ascii="宋体" w:hAnsi="宋体"/>
          <w:szCs w:val="21"/>
        </w:rPr>
      </w:pPr>
      <w:r>
        <w:rPr>
          <w:rFonts w:hint="eastAsia" w:ascii="宋体" w:hAnsi="宋体"/>
          <w:szCs w:val="21"/>
        </w:rPr>
        <w:t>备注：</w:t>
      </w:r>
    </w:p>
    <w:p>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hint="eastAsia" w:ascii="宋体" w:hAnsi="宋体"/>
          <w:b/>
          <w:bCs/>
          <w:szCs w:val="21"/>
        </w:rPr>
        <w:t>投标报价为投标方所能承受的一次性最终、最低报价</w:t>
      </w:r>
      <w:r>
        <w:rPr>
          <w:rFonts w:hint="eastAsia" w:ascii="宋体" w:hAnsi="宋体"/>
          <w:szCs w:val="21"/>
        </w:rPr>
        <w:t>，以人民币为结算币种，包括</w:t>
      </w:r>
      <w:r>
        <w:rPr>
          <w:rFonts w:hint="eastAsia" w:ascii="宋体" w:hAnsi="宋体"/>
          <w:b/>
          <w:bCs/>
          <w:szCs w:val="21"/>
        </w:rPr>
        <w:t>货物价款必备的附件、运输、安装调试、验收、技术支持和税费等一切费用</w:t>
      </w:r>
      <w:r>
        <w:rPr>
          <w:rFonts w:hint="eastAsia" w:ascii="宋体" w:hAnsi="宋体"/>
          <w:szCs w:val="21"/>
        </w:rPr>
        <w:t>。</w:t>
      </w:r>
    </w:p>
    <w:p>
      <w:pPr>
        <w:spacing w:line="360" w:lineRule="auto"/>
        <w:ind w:firstLine="420" w:firstLineChars="200"/>
        <w:rPr>
          <w:rFonts w:hint="eastAsia"/>
          <w:szCs w:val="21"/>
        </w:rPr>
      </w:pPr>
      <w:r>
        <w:rPr>
          <w:rFonts w:hint="eastAsia" w:ascii="宋体" w:hAnsi="宋体"/>
          <w:szCs w:val="21"/>
        </w:rPr>
        <w:t>2、此表在不改变表式的情况下，可自行制作。</w:t>
      </w:r>
    </w:p>
    <w:p>
      <w:pPr>
        <w:spacing w:line="360" w:lineRule="auto"/>
        <w:ind w:left="504" w:leftChars="240" w:firstLine="210" w:firstLineChars="100"/>
        <w:rPr>
          <w:rFonts w:hint="eastAsia"/>
          <w:szCs w:val="21"/>
        </w:rPr>
      </w:pPr>
    </w:p>
    <w:p>
      <w:pPr>
        <w:rPr>
          <w:rFonts w:hint="eastAsia"/>
        </w:rPr>
        <w:sectPr>
          <w:pgSz w:w="11906" w:h="16838"/>
          <w:pgMar w:top="1474" w:right="1134" w:bottom="1134" w:left="1361" w:header="851" w:footer="992" w:gutter="0"/>
          <w:cols w:space="720" w:num="1"/>
          <w:docGrid w:linePitch="602" w:charSpace="-1675"/>
        </w:sectPr>
      </w:pPr>
    </w:p>
    <w:p>
      <w:pPr>
        <w:spacing w:before="120" w:beforeLines="50"/>
        <w:jc w:val="right"/>
        <w:rPr>
          <w:rFonts w:hint="eastAsia" w:ascii="隶书" w:hAnsi="宋体" w:eastAsia="隶书"/>
          <w:b/>
          <w:i/>
          <w:sz w:val="24"/>
          <w:u w:val="single"/>
        </w:rPr>
      </w:pPr>
      <w:r>
        <w:rPr>
          <w:rFonts w:hint="eastAsia" w:ascii="宋体" w:hAnsi="宋体"/>
          <w:kern w:val="0"/>
          <w:szCs w:val="21"/>
        </w:rPr>
        <w:t>注：本封面格式为外封面格式内容，内封面格式内容须加</w:t>
      </w:r>
      <w:r>
        <w:rPr>
          <w:rFonts w:hint="eastAsia" w:ascii="宋体" w:hAnsi="宋体"/>
          <w:b/>
          <w:kern w:val="0"/>
          <w:sz w:val="24"/>
        </w:rPr>
        <w:t>正本（副本）</w:t>
      </w:r>
    </w:p>
    <w:p>
      <w:pPr>
        <w:spacing w:before="120" w:beforeLines="50"/>
        <w:jc w:val="center"/>
        <w:rPr>
          <w:rFonts w:hint="eastAsia" w:ascii="隶书" w:hAnsi="Arial Narrow" w:eastAsia="隶书"/>
          <w:sz w:val="48"/>
          <w:szCs w:val="48"/>
        </w:rPr>
      </w:pPr>
      <w:r>
        <w:rPr>
          <w:rFonts w:hint="eastAsia" w:ascii="隶书" w:hAnsi="宋体" w:eastAsia="隶书"/>
          <w:sz w:val="48"/>
          <w:szCs w:val="48"/>
        </w:rPr>
        <w:t xml:space="preserve">磐安县公安局安文***业务用房迁建工程一体化执法办案中心设备采购及安装服务项目（技术商务标） </w:t>
      </w:r>
    </w:p>
    <w:p>
      <w:pPr>
        <w:pStyle w:val="28"/>
        <w:numPr>
          <w:ilvl w:val="0"/>
          <w:numId w:val="0"/>
        </w:numPr>
        <w:snapToGrid w:val="0"/>
        <w:spacing w:before="190" w:beforeLines="0" w:after="190" w:afterLines="0" w:line="360" w:lineRule="auto"/>
        <w:ind w:right="600"/>
        <w:jc w:val="left"/>
        <w:rPr>
          <w:rFonts w:ascii="楷体_GB2312" w:hAnsi="宋体" w:eastAsia="楷体_GB2312"/>
          <w:b/>
          <w:bCs/>
          <w:sz w:val="30"/>
          <w:szCs w:val="30"/>
        </w:rPr>
      </w:pPr>
    </w:p>
    <w:p>
      <w:pPr>
        <w:pStyle w:val="28"/>
        <w:numPr>
          <w:ilvl w:val="0"/>
          <w:numId w:val="0"/>
        </w:numPr>
        <w:snapToGrid w:val="0"/>
        <w:spacing w:before="190" w:beforeLines="0" w:after="190" w:afterLines="0" w:line="360" w:lineRule="auto"/>
        <w:ind w:right="600"/>
        <w:jc w:val="center"/>
        <w:rPr>
          <w:rFonts w:hint="eastAsia" w:ascii="楷体_GB2312" w:hAnsi="宋体" w:eastAsia="楷体_GB2312"/>
          <w:b/>
          <w:bCs/>
          <w:sz w:val="30"/>
          <w:szCs w:val="30"/>
          <w14:shadow w14:blurRad="50800" w14:dist="38100" w14:dir="2700000" w14:sx="100000" w14:sy="100000" w14:kx="0" w14:ky="0" w14:algn="tl">
            <w14:srgbClr w14:val="000000">
              <w14:alpha w14:val="60000"/>
            </w14:srgbClr>
          </w14:shadow>
        </w:rPr>
      </w:pPr>
      <w:r>
        <w:rPr>
          <w:rFonts w:hint="eastAsia" w:ascii="楷体_GB2312" w:hAnsi="宋体" w:eastAsia="楷体_GB2312"/>
          <w:b/>
          <w:bCs/>
          <w:sz w:val="30"/>
          <w:szCs w:val="30"/>
        </w:rPr>
        <w:t xml:space="preserve">     </w:t>
      </w:r>
      <w:r>
        <w:rPr>
          <w:rFonts w:ascii="楷体_GB2312" w:hAnsi="宋体" w:eastAsia="楷体_GB2312"/>
          <w:b/>
          <w:bCs/>
          <w:sz w:val="30"/>
          <w:szCs w:val="30"/>
        </w:rPr>
        <w:t>项目编号：</w:t>
      </w:r>
    </w:p>
    <w:p>
      <w:pPr>
        <w:pStyle w:val="28"/>
        <w:numPr>
          <w:ilvl w:val="0"/>
          <w:numId w:val="0"/>
        </w:numPr>
        <w:snapToGrid w:val="0"/>
        <w:spacing w:before="190" w:beforeLines="0" w:after="190" w:afterLines="0" w:line="360" w:lineRule="auto"/>
        <w:ind w:left="1785" w:leftChars="850" w:right="600"/>
        <w:jc w:val="left"/>
        <w:rPr>
          <w:rFonts w:ascii="楷体_GB2312" w:hAnsi="宋体" w:eastAsia="楷体_GB2312"/>
          <w:b/>
          <w:bCs/>
          <w:sz w:val="30"/>
          <w:szCs w:val="30"/>
          <w14:shadow w14:blurRad="50800" w14:dist="38100" w14:dir="2700000" w14:sx="100000" w14:sy="100000" w14:kx="0" w14:ky="0" w14:algn="tl">
            <w14:srgbClr w14:val="000000">
              <w14:alpha w14:val="60000"/>
            </w14:srgbClr>
          </w14:shadow>
        </w:rPr>
      </w:pPr>
    </w:p>
    <w:p>
      <w:pPr>
        <w:spacing w:line="1200" w:lineRule="exact"/>
        <w:jc w:val="center"/>
        <w:rPr>
          <w:rFonts w:hint="eastAsia" w:ascii="隶书" w:hAnsi="Arial Narrow" w:eastAsia="隶书"/>
          <w:b/>
          <w:sz w:val="72"/>
          <w:szCs w:val="72"/>
        </w:rPr>
      </w:pPr>
      <w:r>
        <w:rPr>
          <w:rFonts w:hint="eastAsia" w:ascii="隶书" w:hAnsi="Arial Narrow" w:eastAsia="隶书"/>
          <w:b/>
          <w:sz w:val="72"/>
          <w:szCs w:val="72"/>
        </w:rPr>
        <w:t>投</w:t>
      </w:r>
    </w:p>
    <w:p>
      <w:pPr>
        <w:spacing w:line="1200" w:lineRule="exact"/>
        <w:jc w:val="center"/>
        <w:rPr>
          <w:rFonts w:hint="eastAsia" w:ascii="隶书" w:hAnsi="Arial Narrow" w:eastAsia="隶书"/>
          <w:b/>
          <w:sz w:val="72"/>
          <w:szCs w:val="72"/>
        </w:rPr>
      </w:pPr>
      <w:r>
        <w:rPr>
          <w:rFonts w:hint="eastAsia" w:ascii="隶书" w:hAnsi="Arial Narrow" w:eastAsia="隶书"/>
          <w:b/>
          <w:sz w:val="72"/>
          <w:szCs w:val="72"/>
        </w:rPr>
        <w:t>标</w:t>
      </w:r>
    </w:p>
    <w:p>
      <w:pPr>
        <w:spacing w:line="1200" w:lineRule="exact"/>
        <w:jc w:val="center"/>
        <w:rPr>
          <w:rFonts w:hint="eastAsia" w:ascii="隶书" w:hAnsi="Arial Narrow" w:eastAsia="隶书"/>
          <w:b/>
          <w:sz w:val="72"/>
          <w:szCs w:val="72"/>
        </w:rPr>
      </w:pPr>
      <w:r>
        <w:rPr>
          <w:rFonts w:hint="eastAsia" w:ascii="隶书" w:hAnsi="Arial Narrow" w:eastAsia="隶书"/>
          <w:b/>
          <w:sz w:val="72"/>
          <w:szCs w:val="72"/>
        </w:rPr>
        <w:t>文</w:t>
      </w:r>
    </w:p>
    <w:p>
      <w:pPr>
        <w:spacing w:line="1200" w:lineRule="exact"/>
        <w:jc w:val="center"/>
        <w:rPr>
          <w:rFonts w:hint="eastAsia" w:ascii="隶书" w:hAnsi="Arial Narrow" w:eastAsia="隶书"/>
          <w:b/>
          <w:sz w:val="72"/>
          <w:szCs w:val="72"/>
        </w:rPr>
      </w:pPr>
      <w:r>
        <w:rPr>
          <w:rFonts w:hint="eastAsia" w:ascii="隶书" w:hAnsi="Arial Narrow" w:eastAsia="隶书"/>
          <w:b/>
          <w:sz w:val="72"/>
          <w:szCs w:val="72"/>
        </w:rPr>
        <w:t>件</w:t>
      </w:r>
    </w:p>
    <w:p>
      <w:pPr>
        <w:pStyle w:val="28"/>
        <w:numPr>
          <w:ilvl w:val="0"/>
          <w:numId w:val="0"/>
        </w:numPr>
        <w:snapToGrid w:val="0"/>
        <w:spacing w:before="190" w:beforeLines="0" w:after="190" w:afterLines="0" w:line="360" w:lineRule="auto"/>
        <w:ind w:left="851"/>
        <w:rPr>
          <w:rFonts w:ascii="隶书" w:hAnsi="Arial Narrow" w:eastAsia="隶书"/>
          <w:b/>
          <w:sz w:val="36"/>
          <w:szCs w:val="36"/>
        </w:rPr>
      </w:pPr>
      <w:r>
        <w:rPr>
          <w:rFonts w:ascii="楷体_GB2312" w:hAnsi="宋体" w:eastAsia="楷体_GB2312"/>
          <w:b/>
          <w:bCs/>
          <w:w w:val="95"/>
          <w:sz w:val="36"/>
          <w:szCs w:val="36"/>
        </w:rPr>
        <w:t>投标单位：</w:t>
      </w:r>
      <w:r>
        <w:rPr>
          <w:rFonts w:ascii="隶书" w:hAnsi="Arial Narrow" w:eastAsia="隶书"/>
          <w:b/>
          <w:sz w:val="36"/>
          <w:szCs w:val="36"/>
        </w:rPr>
        <w:t xml:space="preserve"> </w:t>
      </w:r>
    </w:p>
    <w:p>
      <w:pPr>
        <w:pStyle w:val="28"/>
        <w:numPr>
          <w:ilvl w:val="0"/>
          <w:numId w:val="0"/>
        </w:numPr>
        <w:snapToGrid w:val="0"/>
        <w:spacing w:before="190" w:beforeLines="0" w:after="190" w:afterLines="0" w:line="360" w:lineRule="auto"/>
        <w:ind w:left="851"/>
        <w:rPr>
          <w:rFonts w:ascii="隶书" w:hAnsi="Arial Narrow" w:eastAsia="隶书"/>
          <w:b/>
          <w:sz w:val="36"/>
          <w:szCs w:val="36"/>
        </w:rPr>
      </w:pPr>
      <w:r>
        <w:rPr>
          <w:rFonts w:ascii="楷体_GB2312" w:hAnsi="宋体" w:eastAsia="楷体_GB2312"/>
          <w:b/>
          <w:bCs/>
          <w:w w:val="95"/>
          <w:sz w:val="36"/>
          <w:szCs w:val="36"/>
        </w:rPr>
        <w:t>投标日期：</w:t>
      </w:r>
      <w:r>
        <w:rPr>
          <w:rFonts w:ascii="隶书" w:hAnsi="Arial Narrow" w:eastAsia="隶书"/>
          <w:b/>
          <w:sz w:val="36"/>
          <w:szCs w:val="36"/>
        </w:rPr>
        <w:t xml:space="preserve">          </w:t>
      </w:r>
    </w:p>
    <w:p>
      <w:pPr>
        <w:pStyle w:val="28"/>
        <w:numPr>
          <w:ilvl w:val="0"/>
          <w:numId w:val="0"/>
        </w:numPr>
        <w:snapToGrid w:val="0"/>
        <w:spacing w:before="190" w:beforeLines="0" w:after="190" w:afterLines="0" w:line="360" w:lineRule="auto"/>
        <w:ind w:left="851"/>
        <w:jc w:val="center"/>
        <w:rPr>
          <w:rFonts w:hint="eastAsia" w:hAnsi="宋体"/>
          <w:sz w:val="28"/>
          <w:szCs w:val="28"/>
          <w:lang w:val="zh-CN"/>
        </w:rPr>
      </w:pPr>
      <w:r>
        <w:rPr>
          <w:rFonts w:hint="eastAsia" w:hAnsi="宋体"/>
          <w:sz w:val="28"/>
          <w:szCs w:val="28"/>
          <w:lang w:val="zh-CN"/>
        </w:rPr>
        <w:t>于</w:t>
      </w:r>
      <w:r>
        <w:rPr>
          <w:rFonts w:hAnsi="宋体"/>
          <w:sz w:val="28"/>
          <w:szCs w:val="28"/>
          <w:lang w:val="zh-CN"/>
        </w:rPr>
        <w:t>201</w:t>
      </w:r>
      <w:r>
        <w:rPr>
          <w:rFonts w:hint="eastAsia" w:hAnsi="宋体"/>
          <w:sz w:val="28"/>
          <w:szCs w:val="28"/>
        </w:rPr>
        <w:t>9</w:t>
      </w:r>
      <w:r>
        <w:rPr>
          <w:rFonts w:hAnsi="宋体"/>
          <w:sz w:val="28"/>
          <w:szCs w:val="28"/>
          <w:lang w:val="zh-CN"/>
        </w:rPr>
        <w:t>年</w:t>
      </w:r>
      <w:r>
        <w:rPr>
          <w:rFonts w:hint="eastAsia" w:hAnsi="宋体"/>
          <w:sz w:val="28"/>
          <w:szCs w:val="28"/>
          <w:lang w:val="zh-CN"/>
        </w:rPr>
        <w:t xml:space="preserve">  </w:t>
      </w:r>
      <w:r>
        <w:rPr>
          <w:rFonts w:hAnsi="宋体"/>
          <w:sz w:val="28"/>
          <w:szCs w:val="28"/>
          <w:lang w:val="zh-CN"/>
        </w:rPr>
        <w:t>月</w:t>
      </w:r>
      <w:r>
        <w:rPr>
          <w:rFonts w:hint="eastAsia" w:hAnsi="宋体"/>
          <w:sz w:val="28"/>
          <w:szCs w:val="28"/>
          <w:lang w:val="zh-CN"/>
        </w:rPr>
        <w:t xml:space="preserve">   </w:t>
      </w:r>
      <w:r>
        <w:rPr>
          <w:rFonts w:hAnsi="宋体"/>
          <w:sz w:val="28"/>
          <w:szCs w:val="28"/>
          <w:lang w:val="zh-CN"/>
        </w:rPr>
        <w:t>日</w:t>
      </w:r>
      <w:r>
        <w:rPr>
          <w:rFonts w:hint="eastAsia" w:hAnsi="宋体"/>
          <w:sz w:val="28"/>
          <w:szCs w:val="28"/>
          <w:lang w:val="zh-CN"/>
        </w:rPr>
        <w:t xml:space="preserve">   </w:t>
      </w:r>
      <w:r>
        <w:rPr>
          <w:rFonts w:hAnsi="宋体"/>
          <w:sz w:val="28"/>
          <w:szCs w:val="28"/>
          <w:lang w:val="zh-CN"/>
        </w:rPr>
        <w:t>时</w:t>
      </w:r>
      <w:r>
        <w:rPr>
          <w:rFonts w:hint="eastAsia" w:hAnsi="宋体"/>
          <w:sz w:val="28"/>
          <w:szCs w:val="28"/>
          <w:lang w:val="zh-CN"/>
        </w:rPr>
        <w:t>前不得启封</w:t>
      </w:r>
    </w:p>
    <w:p>
      <w:pPr>
        <w:jc w:val="center"/>
        <w:rPr>
          <w:rFonts w:hint="eastAsia" w:eastAsia="楷体_GB2312"/>
          <w:b/>
          <w:bCs/>
          <w:szCs w:val="28"/>
        </w:rPr>
        <w:sectPr>
          <w:pgSz w:w="11906" w:h="16838"/>
          <w:pgMar w:top="1474" w:right="1134" w:bottom="1134" w:left="1361" w:header="851" w:footer="992" w:gutter="0"/>
          <w:cols w:space="720" w:num="1"/>
          <w:docGrid w:linePitch="602" w:charSpace="-1675"/>
        </w:sectPr>
      </w:pPr>
    </w:p>
    <w:p>
      <w:pPr>
        <w:jc w:val="center"/>
        <w:rPr>
          <w:rFonts w:hint="eastAsia" w:eastAsia="楷体_GB2312"/>
          <w:b/>
          <w:bCs/>
          <w:szCs w:val="28"/>
        </w:rPr>
      </w:pPr>
    </w:p>
    <w:p>
      <w:pPr>
        <w:jc w:val="center"/>
        <w:rPr>
          <w:rFonts w:hint="eastAsia" w:eastAsia="楷体_GB2312"/>
          <w:b/>
          <w:bCs/>
          <w:szCs w:val="28"/>
        </w:rPr>
      </w:pPr>
      <w:r>
        <w:rPr>
          <w:rFonts w:hint="eastAsia" w:eastAsia="楷体_GB2312"/>
          <w:b/>
          <w:bCs/>
          <w:szCs w:val="28"/>
        </w:rPr>
        <w:t>投标声明书</w:t>
      </w:r>
    </w:p>
    <w:p>
      <w:pPr>
        <w:snapToGrid w:val="0"/>
        <w:spacing w:before="120" w:beforeLines="50" w:after="50" w:line="336" w:lineRule="auto"/>
        <w:rPr>
          <w:rFonts w:ascii="宋体" w:hAnsi="宋体"/>
          <w:szCs w:val="21"/>
        </w:rPr>
      </w:pPr>
      <w:r>
        <w:rPr>
          <w:rFonts w:hint="eastAsia" w:ascii="宋体" w:hAnsi="宋体"/>
          <w:szCs w:val="21"/>
        </w:rPr>
        <w:t>致：</w:t>
      </w:r>
      <w:r>
        <w:rPr>
          <w:rFonts w:hint="eastAsia" w:ascii="宋体" w:hAnsi="宋体"/>
          <w:szCs w:val="21"/>
          <w:u w:val="single"/>
        </w:rPr>
        <w:t>金华市政府采购中心磐安县分中心</w:t>
      </w:r>
      <w:r>
        <w:rPr>
          <w:rFonts w:ascii="宋体" w:hAnsi="宋体"/>
          <w:szCs w:val="21"/>
        </w:rPr>
        <w:t>_</w:t>
      </w:r>
      <w:r>
        <w:rPr>
          <w:rFonts w:hint="eastAsia" w:ascii="宋体" w:hAnsi="宋体"/>
          <w:szCs w:val="21"/>
        </w:rPr>
        <w:t>：</w:t>
      </w:r>
    </w:p>
    <w:p>
      <w:pPr>
        <w:snapToGrid w:val="0"/>
        <w:spacing w:before="120" w:beforeLines="50" w:after="50" w:line="336" w:lineRule="auto"/>
        <w:ind w:firstLine="630" w:firstLineChars="300"/>
        <w:rPr>
          <w:rFonts w:ascii="宋体" w:hAnsi="宋体"/>
          <w:szCs w:val="21"/>
        </w:rPr>
      </w:pPr>
      <w:r>
        <w:rPr>
          <w:rFonts w:ascii="宋体" w:hAnsi="宋体"/>
          <w:szCs w:val="21"/>
        </w:rPr>
        <w:t>______</w:t>
      </w:r>
      <w:r>
        <w:rPr>
          <w:rFonts w:ascii="宋体" w:hAnsi="宋体"/>
          <w:szCs w:val="21"/>
          <w:u w:val="single"/>
        </w:rPr>
        <w:t>_     _</w:t>
      </w:r>
      <w:r>
        <w:rPr>
          <w:rFonts w:ascii="宋体" w:hAnsi="宋体"/>
          <w:szCs w:val="21"/>
        </w:rPr>
        <w:t>_</w:t>
      </w:r>
      <w:r>
        <w:rPr>
          <w:rFonts w:hint="eastAsia" w:ascii="宋体" w:hAnsi="宋体"/>
          <w:szCs w:val="21"/>
        </w:rPr>
        <w:t>（</w:t>
      </w:r>
      <w:r>
        <w:rPr>
          <w:rFonts w:hint="eastAsia" w:ascii="宋体" w:hAnsi="宋体"/>
          <w:i/>
          <w:szCs w:val="21"/>
        </w:rPr>
        <w:t>投标人名称</w:t>
      </w:r>
      <w:r>
        <w:rPr>
          <w:rFonts w:hint="eastAsia" w:ascii="宋体" w:hAnsi="宋体"/>
          <w:szCs w:val="21"/>
        </w:rPr>
        <w:t>）系中华人民共和国合法企业，经营地址</w:t>
      </w:r>
      <w:r>
        <w:rPr>
          <w:rFonts w:ascii="宋体" w:hAnsi="宋体"/>
          <w:szCs w:val="21"/>
          <w:u w:val="single"/>
        </w:rPr>
        <w:t xml:space="preserve">                               </w:t>
      </w:r>
      <w:r>
        <w:rPr>
          <w:rFonts w:hint="eastAsia" w:ascii="宋体" w:hAnsi="宋体"/>
          <w:szCs w:val="21"/>
        </w:rPr>
        <w:t>。</w:t>
      </w:r>
    </w:p>
    <w:p>
      <w:pPr>
        <w:snapToGrid w:val="0"/>
        <w:spacing w:before="120" w:beforeLines="50" w:after="50" w:line="336" w:lineRule="auto"/>
        <w:ind w:firstLine="645"/>
        <w:rPr>
          <w:rFonts w:ascii="宋体" w:hAnsi="宋体"/>
          <w:szCs w:val="21"/>
        </w:rPr>
      </w:pPr>
      <w:r>
        <w:rPr>
          <w:rFonts w:hint="eastAsia" w:ascii="宋体" w:hAnsi="宋体"/>
          <w:szCs w:val="21"/>
        </w:rPr>
        <w:t>我</w:t>
      </w:r>
      <w:r>
        <w:rPr>
          <w:rFonts w:ascii="宋体" w:hAnsi="宋体"/>
          <w:szCs w:val="21"/>
        </w:rPr>
        <w:t>___</w:t>
      </w:r>
      <w:r>
        <w:rPr>
          <w:rFonts w:ascii="宋体" w:hAnsi="宋体"/>
          <w:szCs w:val="21"/>
          <w:u w:val="single"/>
        </w:rPr>
        <w:t xml:space="preserve">    _</w:t>
      </w:r>
      <w:r>
        <w:rPr>
          <w:rFonts w:ascii="宋体" w:hAnsi="宋体"/>
          <w:szCs w:val="21"/>
        </w:rPr>
        <w:t>_</w:t>
      </w:r>
      <w:r>
        <w:rPr>
          <w:rFonts w:hint="eastAsia" w:ascii="宋体" w:hAnsi="宋体"/>
          <w:szCs w:val="21"/>
        </w:rPr>
        <w:t>（</w:t>
      </w:r>
      <w:r>
        <w:rPr>
          <w:rFonts w:hint="eastAsia" w:ascii="宋体" w:hAnsi="宋体"/>
          <w:i/>
          <w:szCs w:val="21"/>
        </w:rPr>
        <w:t>姓名</w:t>
      </w:r>
      <w:r>
        <w:rPr>
          <w:rFonts w:hint="eastAsia" w:ascii="宋体" w:hAnsi="宋体"/>
          <w:szCs w:val="21"/>
        </w:rPr>
        <w:t>）系</w:t>
      </w:r>
      <w:r>
        <w:rPr>
          <w:rFonts w:ascii="宋体" w:hAnsi="宋体"/>
          <w:szCs w:val="21"/>
        </w:rPr>
        <w:t>______</w:t>
      </w:r>
      <w:r>
        <w:rPr>
          <w:rFonts w:ascii="宋体" w:hAnsi="宋体"/>
          <w:szCs w:val="21"/>
          <w:u w:val="single"/>
        </w:rPr>
        <w:t>_     _</w:t>
      </w:r>
      <w:r>
        <w:rPr>
          <w:rFonts w:ascii="宋体" w:hAnsi="宋体"/>
          <w:szCs w:val="21"/>
        </w:rPr>
        <w:t>_</w:t>
      </w:r>
      <w:r>
        <w:rPr>
          <w:rFonts w:hint="eastAsia" w:ascii="宋体" w:hAnsi="宋体"/>
          <w:szCs w:val="21"/>
        </w:rPr>
        <w:t>（</w:t>
      </w:r>
      <w:r>
        <w:rPr>
          <w:rFonts w:hint="eastAsia" w:ascii="宋体" w:hAnsi="宋体"/>
          <w:i/>
          <w:szCs w:val="21"/>
        </w:rPr>
        <w:t>投标人名称</w:t>
      </w:r>
      <w:r>
        <w:rPr>
          <w:rFonts w:hint="eastAsia" w:ascii="宋体" w:hAnsi="宋体"/>
          <w:szCs w:val="21"/>
        </w:rPr>
        <w:t>）的法定代表人，我方愿意参加贵方组织的</w:t>
      </w:r>
      <w:r>
        <w:rPr>
          <w:rFonts w:ascii="宋体" w:hAnsi="宋体"/>
          <w:szCs w:val="21"/>
        </w:rPr>
        <w:t>_____</w:t>
      </w:r>
      <w:r>
        <w:rPr>
          <w:rFonts w:ascii="宋体" w:hAnsi="宋体"/>
          <w:szCs w:val="21"/>
          <w:u w:val="single"/>
        </w:rPr>
        <w:t>_              _     _</w:t>
      </w:r>
      <w:r>
        <w:rPr>
          <w:rFonts w:ascii="宋体" w:hAnsi="宋体"/>
          <w:szCs w:val="21"/>
        </w:rPr>
        <w:t>_</w:t>
      </w:r>
      <w:r>
        <w:rPr>
          <w:rFonts w:hint="eastAsia" w:ascii="宋体" w:hAnsi="宋体"/>
          <w:szCs w:val="21"/>
        </w:rPr>
        <w:t>项目的投标，为便于贵方公正、择优地确定中标人及其投标产品和服务，我方就本次投标有关事项郑重声明如下：</w:t>
      </w:r>
    </w:p>
    <w:p>
      <w:pPr>
        <w:snapToGrid w:val="0"/>
        <w:spacing w:line="336" w:lineRule="auto"/>
        <w:ind w:firstLine="420" w:firstLineChars="200"/>
        <w:rPr>
          <w:rFonts w:ascii="宋体" w:hAnsi="宋体"/>
          <w:szCs w:val="21"/>
        </w:rPr>
      </w:pPr>
      <w:r>
        <w:rPr>
          <w:rFonts w:ascii="宋体" w:hAnsi="宋体"/>
          <w:szCs w:val="21"/>
        </w:rPr>
        <w:t>1、我方向贵方提交的所有投标文件、资料都是准确的和真实的；</w:t>
      </w:r>
    </w:p>
    <w:p>
      <w:pPr>
        <w:snapToGrid w:val="0"/>
        <w:spacing w:before="120" w:beforeLines="50" w:line="336" w:lineRule="auto"/>
        <w:ind w:firstLine="420" w:firstLineChars="200"/>
        <w:rPr>
          <w:rFonts w:ascii="宋体" w:hAnsi="宋体"/>
          <w:szCs w:val="21"/>
        </w:rPr>
      </w:pPr>
      <w:r>
        <w:rPr>
          <w:rFonts w:ascii="宋体" w:hAnsi="宋体"/>
          <w:szCs w:val="21"/>
        </w:rPr>
        <w:t>2、我方不是采购人的附属机构；在获知本项目采购信息后，与采购人聘请的为此项目提供咨询服务的公司及其附属机构没有任何联系。</w:t>
      </w:r>
    </w:p>
    <w:p>
      <w:pPr>
        <w:snapToGrid w:val="0"/>
        <w:spacing w:before="120" w:beforeLines="50" w:line="336" w:lineRule="auto"/>
        <w:ind w:firstLine="420" w:firstLineChars="200"/>
        <w:rPr>
          <w:rFonts w:hint="eastAsia" w:ascii="宋体" w:hAnsi="宋体"/>
          <w:szCs w:val="21"/>
        </w:rPr>
      </w:pPr>
      <w:r>
        <w:rPr>
          <w:rFonts w:hint="eastAsia" w:ascii="宋体" w:hAnsi="宋体"/>
          <w:szCs w:val="21"/>
        </w:rPr>
        <w:t>3</w:t>
      </w:r>
      <w:r>
        <w:rPr>
          <w:rFonts w:ascii="宋体" w:hAnsi="宋体"/>
          <w:szCs w:val="21"/>
        </w:rPr>
        <w:t>、我方诚意提请贵方关注：有关该型号产品的</w:t>
      </w:r>
      <w:r>
        <w:rPr>
          <w:rFonts w:hint="eastAsia" w:ascii="宋体" w:hAnsi="宋体"/>
          <w:szCs w:val="21"/>
        </w:rPr>
        <w:t>生产、供货、售后服务以及性能等方面的重大决策和事项有：</w:t>
      </w:r>
    </w:p>
    <w:p>
      <w:pPr>
        <w:snapToGrid w:val="0"/>
        <w:spacing w:before="120" w:beforeLines="50" w:line="336" w:lineRule="auto"/>
        <w:ind w:firstLine="420" w:firstLineChars="200"/>
        <w:rPr>
          <w:rFonts w:hint="eastAsia" w:ascii="宋体" w:hAnsi="宋体"/>
          <w:szCs w:val="21"/>
        </w:rPr>
      </w:pPr>
    </w:p>
    <w:p>
      <w:pPr>
        <w:snapToGrid w:val="0"/>
        <w:spacing w:before="120" w:beforeLines="50" w:line="336" w:lineRule="auto"/>
        <w:ind w:firstLine="420" w:firstLineChars="200"/>
        <w:rPr>
          <w:rFonts w:hint="eastAsia" w:ascii="宋体" w:hAnsi="宋体"/>
          <w:szCs w:val="21"/>
        </w:rPr>
      </w:pPr>
    </w:p>
    <w:p>
      <w:pPr>
        <w:snapToGrid w:val="0"/>
        <w:spacing w:before="120" w:beforeLines="50" w:line="336" w:lineRule="auto"/>
        <w:ind w:firstLine="420" w:firstLineChars="200"/>
        <w:rPr>
          <w:rFonts w:ascii="宋体" w:hAnsi="宋体"/>
          <w:szCs w:val="21"/>
        </w:rPr>
      </w:pPr>
    </w:p>
    <w:p>
      <w:pPr>
        <w:pStyle w:val="21"/>
        <w:snapToGrid w:val="0"/>
        <w:spacing w:line="336" w:lineRule="auto"/>
        <w:ind w:firstLine="404" w:firstLineChars="200"/>
        <w:rPr>
          <w:rFonts w:hAnsi="宋体"/>
          <w:sz w:val="21"/>
          <w:szCs w:val="21"/>
        </w:rPr>
      </w:pPr>
      <w:r>
        <w:rPr>
          <w:rFonts w:hAnsi="宋体"/>
          <w:sz w:val="21"/>
          <w:szCs w:val="21"/>
        </w:rPr>
        <w:t>4、我方最近三年内的被公开披露或查处的违法违规行为有：</w:t>
      </w:r>
    </w:p>
    <w:p>
      <w:pPr>
        <w:pStyle w:val="23"/>
        <w:tabs>
          <w:tab w:val="left" w:pos="939"/>
        </w:tabs>
        <w:snapToGrid w:val="0"/>
        <w:spacing w:line="336" w:lineRule="auto"/>
        <w:ind w:left="716" w:leftChars="150" w:hanging="401" w:hangingChars="191"/>
        <w:rPr>
          <w:rFonts w:hint="eastAsia" w:ascii="宋体" w:hAnsi="宋体"/>
          <w:sz w:val="21"/>
          <w:szCs w:val="21"/>
        </w:rPr>
      </w:pPr>
    </w:p>
    <w:p>
      <w:pPr>
        <w:pStyle w:val="23"/>
        <w:tabs>
          <w:tab w:val="left" w:pos="939"/>
        </w:tabs>
        <w:snapToGrid w:val="0"/>
        <w:spacing w:line="336" w:lineRule="auto"/>
        <w:ind w:left="716" w:leftChars="150" w:hanging="401" w:hangingChars="191"/>
        <w:rPr>
          <w:rFonts w:hint="eastAsia" w:ascii="宋体" w:hAnsi="宋体"/>
          <w:sz w:val="21"/>
          <w:szCs w:val="21"/>
        </w:rPr>
      </w:pPr>
    </w:p>
    <w:p>
      <w:pPr>
        <w:pStyle w:val="23"/>
        <w:tabs>
          <w:tab w:val="left" w:pos="939"/>
        </w:tabs>
        <w:snapToGrid w:val="0"/>
        <w:spacing w:line="336" w:lineRule="auto"/>
        <w:ind w:left="716" w:leftChars="150" w:hanging="401" w:hangingChars="191"/>
        <w:rPr>
          <w:rFonts w:hint="eastAsia" w:ascii="宋体" w:hAnsi="宋体"/>
          <w:sz w:val="21"/>
          <w:szCs w:val="21"/>
        </w:rPr>
      </w:pPr>
    </w:p>
    <w:p>
      <w:pPr>
        <w:pStyle w:val="23"/>
        <w:tabs>
          <w:tab w:val="left" w:pos="939"/>
        </w:tabs>
        <w:snapToGrid w:val="0"/>
        <w:spacing w:line="336" w:lineRule="auto"/>
        <w:ind w:left="716" w:leftChars="150" w:hanging="401" w:hangingChars="191"/>
        <w:rPr>
          <w:rFonts w:hint="eastAsia" w:ascii="宋体" w:hAnsi="宋体"/>
          <w:sz w:val="21"/>
          <w:szCs w:val="21"/>
        </w:rPr>
      </w:pPr>
    </w:p>
    <w:p>
      <w:pPr>
        <w:pStyle w:val="23"/>
        <w:tabs>
          <w:tab w:val="left" w:pos="939"/>
        </w:tabs>
        <w:snapToGrid w:val="0"/>
        <w:spacing w:line="336" w:lineRule="auto"/>
        <w:ind w:left="716" w:leftChars="150" w:hanging="401" w:hangingChars="191"/>
        <w:rPr>
          <w:rFonts w:ascii="宋体" w:hAnsi="宋体"/>
          <w:sz w:val="21"/>
          <w:szCs w:val="21"/>
        </w:rPr>
      </w:pPr>
      <w:r>
        <w:rPr>
          <w:rFonts w:hint="eastAsia" w:ascii="宋体" w:hAnsi="宋体"/>
          <w:sz w:val="21"/>
          <w:szCs w:val="21"/>
        </w:rPr>
        <w:t>5、以上事项如有虚假或隐瞒，我方愿意承担一切后果和责任。</w:t>
      </w:r>
    </w:p>
    <w:p>
      <w:pPr>
        <w:pStyle w:val="415"/>
        <w:snapToGrid w:val="0"/>
        <w:spacing w:before="120" w:beforeLines="50" w:line="336" w:lineRule="auto"/>
        <w:ind w:firstLine="200"/>
        <w:rPr>
          <w:rFonts w:hint="eastAsia" w:ascii="宋体" w:hAnsi="宋体"/>
          <w:sz w:val="21"/>
          <w:szCs w:val="21"/>
        </w:rPr>
      </w:pPr>
    </w:p>
    <w:p>
      <w:pPr>
        <w:pStyle w:val="415"/>
        <w:snapToGrid w:val="0"/>
        <w:spacing w:before="120" w:beforeLines="50" w:line="336" w:lineRule="auto"/>
        <w:ind w:firstLine="200"/>
        <w:rPr>
          <w:rFonts w:hint="eastAsia" w:ascii="宋体" w:hAnsi="宋体"/>
          <w:sz w:val="21"/>
          <w:szCs w:val="21"/>
        </w:rPr>
      </w:pPr>
    </w:p>
    <w:p>
      <w:pPr>
        <w:snapToGrid w:val="0"/>
        <w:spacing w:before="120" w:beforeLines="50" w:line="336" w:lineRule="auto"/>
        <w:ind w:firstLine="200"/>
        <w:rPr>
          <w:rFonts w:ascii="宋体" w:hAnsi="宋体"/>
          <w:szCs w:val="21"/>
          <w:u w:val="single"/>
        </w:rPr>
      </w:pPr>
      <w:r>
        <w:rPr>
          <w:rFonts w:hint="eastAsia" w:ascii="宋体" w:hAnsi="宋体"/>
          <w:szCs w:val="21"/>
        </w:rPr>
        <w:t>法定代表人签字：</w:t>
      </w:r>
      <w:r>
        <w:rPr>
          <w:rFonts w:ascii="宋体" w:hAnsi="宋体"/>
          <w:szCs w:val="21"/>
          <w:u w:val="single"/>
        </w:rPr>
        <w:t xml:space="preserve">             </w:t>
      </w:r>
    </w:p>
    <w:p>
      <w:pPr>
        <w:snapToGrid w:val="0"/>
        <w:spacing w:before="120" w:beforeLines="50" w:after="50" w:line="336" w:lineRule="auto"/>
        <w:ind w:firstLine="210" w:firstLineChars="100"/>
        <w:rPr>
          <w:rFonts w:hint="eastAsia" w:ascii="宋体" w:hAnsi="宋体"/>
          <w:szCs w:val="21"/>
        </w:rPr>
      </w:pPr>
      <w:r>
        <w:rPr>
          <w:rFonts w:hint="eastAsia" w:ascii="宋体" w:hAnsi="宋体"/>
          <w:szCs w:val="21"/>
        </w:rPr>
        <w:t>投标人公章：</w:t>
      </w:r>
      <w:r>
        <w:rPr>
          <w:rFonts w:ascii="宋体" w:hAnsi="宋体"/>
          <w:szCs w:val="21"/>
          <w:u w:val="single"/>
        </w:rPr>
        <w:t xml:space="preserve">               </w:t>
      </w:r>
      <w:r>
        <w:rPr>
          <w:rFonts w:ascii="宋体" w:hAnsi="宋体"/>
          <w:szCs w:val="21"/>
        </w:rPr>
        <w:t xml:space="preserve">                      年    月    日</w:t>
      </w:r>
    </w:p>
    <w:p>
      <w:pPr>
        <w:pStyle w:val="46"/>
        <w:rPr>
          <w:rFonts w:hint="eastAsia"/>
          <w:sz w:val="21"/>
          <w:szCs w:val="21"/>
        </w:rPr>
      </w:pPr>
    </w:p>
    <w:p>
      <w:pPr>
        <w:pStyle w:val="46"/>
        <w:rPr>
          <w:rFonts w:hint="eastAsia"/>
          <w:sz w:val="21"/>
          <w:szCs w:val="21"/>
        </w:rPr>
      </w:pPr>
    </w:p>
    <w:p>
      <w:pPr>
        <w:pStyle w:val="46"/>
        <w:rPr>
          <w:rFonts w:hint="eastAsia"/>
          <w:sz w:val="21"/>
          <w:szCs w:val="21"/>
        </w:rPr>
        <w:sectPr>
          <w:pgSz w:w="11906" w:h="16838"/>
          <w:pgMar w:top="1474" w:right="1134" w:bottom="1134" w:left="1361" w:header="851" w:footer="992" w:gutter="0"/>
          <w:cols w:space="720" w:num="1"/>
          <w:docGrid w:linePitch="602" w:charSpace="-1675"/>
        </w:sectPr>
      </w:pPr>
    </w:p>
    <w:p>
      <w:pPr>
        <w:pStyle w:val="28"/>
        <w:numPr>
          <w:ilvl w:val="0"/>
          <w:numId w:val="0"/>
        </w:numPr>
        <w:spacing w:before="190" w:beforeLines="0" w:after="190" w:afterLines="0"/>
        <w:jc w:val="center"/>
        <w:rPr>
          <w:rFonts w:hint="eastAsia"/>
          <w:b/>
          <w:bCs/>
          <w:sz w:val="21"/>
        </w:rPr>
      </w:pPr>
      <w:r>
        <w:rPr>
          <w:rFonts w:ascii="Times New Roman" w:hAnsi="Times New Roman" w:eastAsia="楷体_GB2312"/>
          <w:b/>
          <w:bCs/>
          <w:sz w:val="28"/>
          <w:szCs w:val="28"/>
        </w:rPr>
        <w:t>设备详细配置清单</w:t>
      </w:r>
    </w:p>
    <w:tbl>
      <w:tblPr>
        <w:tblStyle w:val="52"/>
        <w:tblpPr w:leftFromText="180" w:rightFromText="180" w:vertAnchor="page" w:horzAnchor="margin" w:tblpY="30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988"/>
        <w:gridCol w:w="1864"/>
        <w:gridCol w:w="1007"/>
        <w:gridCol w:w="23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71" w:hRule="atLeast"/>
        </w:trPr>
        <w:tc>
          <w:tcPr>
            <w:tcW w:w="829" w:type="dxa"/>
            <w:noWrap w:val="0"/>
            <w:vAlign w:val="center"/>
          </w:tcPr>
          <w:p>
            <w:pPr>
              <w:jc w:val="center"/>
              <w:rPr>
                <w:rFonts w:ascii="宋体" w:hAnsi="宋体"/>
                <w:b/>
                <w:bCs/>
                <w:szCs w:val="21"/>
              </w:rPr>
            </w:pPr>
            <w:r>
              <w:rPr>
                <w:rFonts w:hint="eastAsia" w:ascii="宋体" w:hAnsi="宋体"/>
                <w:b/>
                <w:bCs/>
                <w:szCs w:val="21"/>
              </w:rPr>
              <w:t>序号</w:t>
            </w:r>
          </w:p>
        </w:tc>
        <w:tc>
          <w:tcPr>
            <w:tcW w:w="1988" w:type="dxa"/>
            <w:noWrap w:val="0"/>
            <w:vAlign w:val="center"/>
          </w:tcPr>
          <w:p>
            <w:pPr>
              <w:jc w:val="center"/>
              <w:rPr>
                <w:rFonts w:ascii="宋体" w:hAnsi="宋体"/>
                <w:b/>
                <w:bCs/>
                <w:szCs w:val="21"/>
              </w:rPr>
            </w:pPr>
            <w:r>
              <w:rPr>
                <w:rFonts w:hint="eastAsia" w:ascii="宋体" w:hAnsi="宋体"/>
                <w:b/>
                <w:bCs/>
                <w:szCs w:val="21"/>
              </w:rPr>
              <w:t>货物名称</w:t>
            </w:r>
          </w:p>
        </w:tc>
        <w:tc>
          <w:tcPr>
            <w:tcW w:w="1864" w:type="dxa"/>
            <w:noWrap w:val="0"/>
            <w:vAlign w:val="center"/>
          </w:tcPr>
          <w:p>
            <w:pPr>
              <w:jc w:val="center"/>
              <w:rPr>
                <w:rFonts w:ascii="宋体" w:hAnsi="宋体"/>
                <w:b/>
                <w:bCs/>
                <w:szCs w:val="21"/>
              </w:rPr>
            </w:pPr>
            <w:r>
              <w:rPr>
                <w:rFonts w:hint="eastAsia" w:ascii="宋体" w:hAnsi="宋体"/>
                <w:b/>
                <w:bCs/>
                <w:szCs w:val="21"/>
              </w:rPr>
              <w:t>品牌型号</w:t>
            </w:r>
          </w:p>
        </w:tc>
        <w:tc>
          <w:tcPr>
            <w:tcW w:w="1007" w:type="dxa"/>
            <w:noWrap w:val="0"/>
            <w:vAlign w:val="center"/>
          </w:tcPr>
          <w:p>
            <w:pPr>
              <w:jc w:val="center"/>
              <w:rPr>
                <w:rFonts w:ascii="宋体" w:hAnsi="宋体"/>
                <w:b/>
                <w:bCs/>
                <w:szCs w:val="21"/>
              </w:rPr>
            </w:pPr>
            <w:r>
              <w:rPr>
                <w:rFonts w:hint="eastAsia" w:ascii="宋体" w:hAnsi="宋体"/>
                <w:b/>
                <w:bCs/>
                <w:szCs w:val="21"/>
              </w:rPr>
              <w:t>数量</w:t>
            </w:r>
          </w:p>
        </w:tc>
        <w:tc>
          <w:tcPr>
            <w:tcW w:w="2340" w:type="dxa"/>
            <w:noWrap w:val="0"/>
            <w:vAlign w:val="center"/>
          </w:tcPr>
          <w:p>
            <w:pPr>
              <w:jc w:val="center"/>
              <w:rPr>
                <w:rFonts w:ascii="宋体" w:hAnsi="宋体"/>
                <w:b/>
                <w:bCs/>
                <w:szCs w:val="21"/>
              </w:rPr>
            </w:pPr>
            <w:r>
              <w:rPr>
                <w:rFonts w:hint="eastAsia" w:ascii="宋体" w:hAnsi="宋体"/>
                <w:b/>
                <w:bCs/>
                <w:szCs w:val="21"/>
              </w:rPr>
              <w:t>技术规格说明</w:t>
            </w:r>
          </w:p>
        </w:tc>
        <w:tc>
          <w:tcPr>
            <w:tcW w:w="1080" w:type="dxa"/>
            <w:noWrap w:val="0"/>
            <w:vAlign w:val="center"/>
          </w:tcPr>
          <w:p>
            <w:pPr>
              <w:jc w:val="center"/>
              <w:rPr>
                <w:rFonts w:hint="eastAsia" w:ascii="宋体" w:hAnsi="宋体"/>
                <w:b/>
                <w:bCs/>
                <w:szCs w:val="21"/>
              </w:rPr>
            </w:pPr>
            <w:r>
              <w:rPr>
                <w:rFonts w:hint="eastAsia" w:ascii="宋体" w:hAnsi="宋体"/>
                <w:b/>
                <w:bCs/>
                <w:szCs w:val="21"/>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9" w:hRule="exact"/>
        </w:trPr>
        <w:tc>
          <w:tcPr>
            <w:tcW w:w="829" w:type="dxa"/>
            <w:noWrap w:val="0"/>
            <w:vAlign w:val="center"/>
          </w:tcPr>
          <w:p>
            <w:pPr>
              <w:jc w:val="center"/>
              <w:rPr>
                <w:rFonts w:ascii="宋体" w:hAnsi="宋体" w:cs="Arial Unicode MS"/>
                <w:b/>
                <w:bCs/>
                <w:szCs w:val="21"/>
              </w:rPr>
            </w:pPr>
          </w:p>
        </w:tc>
        <w:tc>
          <w:tcPr>
            <w:tcW w:w="1988" w:type="dxa"/>
            <w:noWrap w:val="0"/>
            <w:vAlign w:val="center"/>
          </w:tcPr>
          <w:p>
            <w:pPr>
              <w:jc w:val="center"/>
              <w:rPr>
                <w:rFonts w:ascii="宋体" w:hAnsi="宋体" w:cs="Arial Unicode MS"/>
                <w:b/>
                <w:bCs/>
                <w:szCs w:val="21"/>
              </w:rPr>
            </w:pPr>
          </w:p>
        </w:tc>
        <w:tc>
          <w:tcPr>
            <w:tcW w:w="1864" w:type="dxa"/>
            <w:noWrap w:val="0"/>
            <w:vAlign w:val="center"/>
          </w:tcPr>
          <w:p>
            <w:pPr>
              <w:jc w:val="center"/>
              <w:rPr>
                <w:rFonts w:hint="eastAsia" w:ascii="宋体" w:hAnsi="宋体"/>
                <w:szCs w:val="21"/>
              </w:rPr>
            </w:pPr>
          </w:p>
        </w:tc>
        <w:tc>
          <w:tcPr>
            <w:tcW w:w="1007" w:type="dxa"/>
            <w:noWrap w:val="0"/>
            <w:vAlign w:val="center"/>
          </w:tcPr>
          <w:p>
            <w:pPr>
              <w:jc w:val="center"/>
              <w:rPr>
                <w:rFonts w:hint="eastAsia" w:ascii="宋体" w:hAnsi="宋体"/>
                <w:szCs w:val="21"/>
              </w:rPr>
            </w:pPr>
          </w:p>
        </w:tc>
        <w:tc>
          <w:tcPr>
            <w:tcW w:w="2340" w:type="dxa"/>
            <w:noWrap w:val="0"/>
            <w:vAlign w:val="center"/>
          </w:tcPr>
          <w:p>
            <w:pPr>
              <w:jc w:val="center"/>
              <w:rPr>
                <w:rFonts w:hint="eastAsia" w:ascii="宋体" w:hAnsi="宋体"/>
                <w:szCs w:val="21"/>
              </w:rPr>
            </w:pPr>
          </w:p>
        </w:tc>
        <w:tc>
          <w:tcPr>
            <w:tcW w:w="1080" w:type="dxa"/>
            <w:noWrap w:val="0"/>
            <w:vAlign w:val="center"/>
          </w:tcPr>
          <w:p>
            <w:pPr>
              <w:jc w:val="center"/>
              <w:rPr>
                <w:rFonts w:ascii="宋体" w:hAnsi="宋体" w:cs="Arial Unicode MS"/>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9" w:hRule="exact"/>
        </w:trPr>
        <w:tc>
          <w:tcPr>
            <w:tcW w:w="829" w:type="dxa"/>
            <w:noWrap w:val="0"/>
            <w:vAlign w:val="center"/>
          </w:tcPr>
          <w:p>
            <w:pPr>
              <w:jc w:val="center"/>
              <w:rPr>
                <w:rFonts w:ascii="宋体" w:hAnsi="宋体" w:cs="Arial Unicode MS"/>
                <w:b/>
                <w:bCs/>
                <w:szCs w:val="21"/>
              </w:rPr>
            </w:pPr>
          </w:p>
        </w:tc>
        <w:tc>
          <w:tcPr>
            <w:tcW w:w="1988" w:type="dxa"/>
            <w:noWrap w:val="0"/>
            <w:vAlign w:val="center"/>
          </w:tcPr>
          <w:p>
            <w:pPr>
              <w:jc w:val="center"/>
              <w:rPr>
                <w:rFonts w:ascii="宋体" w:hAnsi="宋体" w:cs="Arial Unicode MS"/>
                <w:b/>
                <w:bCs/>
                <w:szCs w:val="21"/>
              </w:rPr>
            </w:pPr>
          </w:p>
        </w:tc>
        <w:tc>
          <w:tcPr>
            <w:tcW w:w="1864" w:type="dxa"/>
            <w:noWrap w:val="0"/>
            <w:vAlign w:val="center"/>
          </w:tcPr>
          <w:p>
            <w:pPr>
              <w:jc w:val="center"/>
              <w:rPr>
                <w:rFonts w:ascii="宋体" w:hAnsi="宋体"/>
                <w:szCs w:val="21"/>
              </w:rPr>
            </w:pPr>
          </w:p>
        </w:tc>
        <w:tc>
          <w:tcPr>
            <w:tcW w:w="1007" w:type="dxa"/>
            <w:noWrap w:val="0"/>
            <w:vAlign w:val="center"/>
          </w:tcPr>
          <w:p>
            <w:pPr>
              <w:jc w:val="center"/>
              <w:rPr>
                <w:rFonts w:ascii="宋体" w:hAnsi="宋体"/>
                <w:szCs w:val="21"/>
              </w:rPr>
            </w:pPr>
          </w:p>
        </w:tc>
        <w:tc>
          <w:tcPr>
            <w:tcW w:w="2340" w:type="dxa"/>
            <w:noWrap w:val="0"/>
            <w:vAlign w:val="center"/>
          </w:tcPr>
          <w:p>
            <w:pPr>
              <w:jc w:val="center"/>
              <w:rPr>
                <w:rFonts w:hint="eastAsia" w:ascii="宋体" w:hAnsi="宋体"/>
                <w:szCs w:val="21"/>
              </w:rPr>
            </w:pPr>
          </w:p>
        </w:tc>
        <w:tc>
          <w:tcPr>
            <w:tcW w:w="1080" w:type="dxa"/>
            <w:noWrap w:val="0"/>
            <w:vAlign w:val="center"/>
          </w:tcPr>
          <w:p>
            <w:pPr>
              <w:jc w:val="center"/>
              <w:rPr>
                <w:rFonts w:ascii="宋体" w:hAnsi="宋体" w:cs="Arial Unicode MS"/>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9" w:hRule="exact"/>
        </w:trPr>
        <w:tc>
          <w:tcPr>
            <w:tcW w:w="829" w:type="dxa"/>
            <w:noWrap w:val="0"/>
            <w:vAlign w:val="center"/>
          </w:tcPr>
          <w:p>
            <w:pPr>
              <w:jc w:val="center"/>
              <w:rPr>
                <w:rFonts w:ascii="宋体" w:hAnsi="宋体" w:cs="Arial Unicode MS"/>
                <w:b/>
                <w:bCs/>
                <w:szCs w:val="21"/>
              </w:rPr>
            </w:pPr>
          </w:p>
        </w:tc>
        <w:tc>
          <w:tcPr>
            <w:tcW w:w="1988" w:type="dxa"/>
            <w:noWrap w:val="0"/>
            <w:vAlign w:val="center"/>
          </w:tcPr>
          <w:p>
            <w:pPr>
              <w:jc w:val="center"/>
              <w:rPr>
                <w:rFonts w:ascii="宋体" w:hAnsi="宋体" w:cs="Arial Unicode MS"/>
                <w:b/>
                <w:bCs/>
                <w:szCs w:val="21"/>
              </w:rPr>
            </w:pPr>
          </w:p>
        </w:tc>
        <w:tc>
          <w:tcPr>
            <w:tcW w:w="1864" w:type="dxa"/>
            <w:noWrap w:val="0"/>
            <w:vAlign w:val="center"/>
          </w:tcPr>
          <w:p>
            <w:pPr>
              <w:jc w:val="center"/>
              <w:rPr>
                <w:rFonts w:ascii="宋体" w:hAnsi="宋体"/>
                <w:szCs w:val="21"/>
              </w:rPr>
            </w:pPr>
          </w:p>
        </w:tc>
        <w:tc>
          <w:tcPr>
            <w:tcW w:w="1007" w:type="dxa"/>
            <w:noWrap w:val="0"/>
            <w:vAlign w:val="center"/>
          </w:tcPr>
          <w:p>
            <w:pPr>
              <w:jc w:val="center"/>
              <w:rPr>
                <w:rFonts w:ascii="宋体" w:hAnsi="宋体"/>
                <w:szCs w:val="21"/>
              </w:rPr>
            </w:pPr>
          </w:p>
        </w:tc>
        <w:tc>
          <w:tcPr>
            <w:tcW w:w="2340" w:type="dxa"/>
            <w:noWrap w:val="0"/>
            <w:vAlign w:val="center"/>
          </w:tcPr>
          <w:p>
            <w:pPr>
              <w:jc w:val="center"/>
              <w:rPr>
                <w:rFonts w:hint="eastAsia" w:ascii="宋体" w:hAnsi="宋体"/>
                <w:szCs w:val="21"/>
              </w:rPr>
            </w:pPr>
          </w:p>
        </w:tc>
        <w:tc>
          <w:tcPr>
            <w:tcW w:w="1080" w:type="dxa"/>
            <w:noWrap w:val="0"/>
            <w:vAlign w:val="center"/>
          </w:tcPr>
          <w:p>
            <w:pPr>
              <w:jc w:val="center"/>
              <w:rPr>
                <w:rFonts w:ascii="宋体" w:hAnsi="宋体" w:cs="Arial Unicode MS"/>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9" w:hRule="exact"/>
        </w:trPr>
        <w:tc>
          <w:tcPr>
            <w:tcW w:w="829" w:type="dxa"/>
            <w:noWrap w:val="0"/>
            <w:vAlign w:val="center"/>
          </w:tcPr>
          <w:p>
            <w:pPr>
              <w:jc w:val="center"/>
              <w:rPr>
                <w:rFonts w:ascii="宋体" w:hAnsi="宋体" w:cs="Arial Unicode MS"/>
                <w:b/>
                <w:bCs/>
                <w:szCs w:val="21"/>
              </w:rPr>
            </w:pPr>
          </w:p>
        </w:tc>
        <w:tc>
          <w:tcPr>
            <w:tcW w:w="1988" w:type="dxa"/>
            <w:noWrap w:val="0"/>
            <w:vAlign w:val="center"/>
          </w:tcPr>
          <w:p>
            <w:pPr>
              <w:jc w:val="center"/>
              <w:rPr>
                <w:rFonts w:ascii="宋体" w:hAnsi="宋体" w:cs="Arial Unicode MS"/>
                <w:b/>
                <w:bCs/>
                <w:szCs w:val="21"/>
              </w:rPr>
            </w:pPr>
          </w:p>
        </w:tc>
        <w:tc>
          <w:tcPr>
            <w:tcW w:w="1864" w:type="dxa"/>
            <w:noWrap w:val="0"/>
            <w:vAlign w:val="center"/>
          </w:tcPr>
          <w:p>
            <w:pPr>
              <w:jc w:val="center"/>
              <w:rPr>
                <w:rFonts w:ascii="宋体" w:hAnsi="宋体"/>
                <w:szCs w:val="21"/>
              </w:rPr>
            </w:pPr>
          </w:p>
        </w:tc>
        <w:tc>
          <w:tcPr>
            <w:tcW w:w="1007" w:type="dxa"/>
            <w:noWrap w:val="0"/>
            <w:vAlign w:val="center"/>
          </w:tcPr>
          <w:p>
            <w:pPr>
              <w:jc w:val="center"/>
              <w:rPr>
                <w:rFonts w:ascii="宋体" w:hAnsi="宋体"/>
                <w:szCs w:val="21"/>
              </w:rPr>
            </w:pPr>
          </w:p>
        </w:tc>
        <w:tc>
          <w:tcPr>
            <w:tcW w:w="2340" w:type="dxa"/>
            <w:noWrap w:val="0"/>
            <w:vAlign w:val="center"/>
          </w:tcPr>
          <w:p>
            <w:pPr>
              <w:jc w:val="center"/>
              <w:rPr>
                <w:rFonts w:hint="eastAsia" w:ascii="宋体" w:hAnsi="宋体"/>
                <w:szCs w:val="21"/>
              </w:rPr>
            </w:pPr>
          </w:p>
        </w:tc>
        <w:tc>
          <w:tcPr>
            <w:tcW w:w="1080" w:type="dxa"/>
            <w:noWrap w:val="0"/>
            <w:vAlign w:val="center"/>
          </w:tcPr>
          <w:p>
            <w:pPr>
              <w:jc w:val="center"/>
              <w:rPr>
                <w:rFonts w:ascii="宋体" w:hAnsi="宋体" w:cs="Arial Unicode MS"/>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9" w:hRule="exact"/>
        </w:trPr>
        <w:tc>
          <w:tcPr>
            <w:tcW w:w="829" w:type="dxa"/>
            <w:noWrap w:val="0"/>
            <w:vAlign w:val="center"/>
          </w:tcPr>
          <w:p>
            <w:pPr>
              <w:jc w:val="center"/>
              <w:rPr>
                <w:rFonts w:ascii="宋体" w:hAnsi="宋体" w:cs="Arial Unicode MS"/>
                <w:b/>
                <w:bCs/>
                <w:szCs w:val="21"/>
              </w:rPr>
            </w:pPr>
          </w:p>
        </w:tc>
        <w:tc>
          <w:tcPr>
            <w:tcW w:w="1988" w:type="dxa"/>
            <w:noWrap w:val="0"/>
            <w:vAlign w:val="center"/>
          </w:tcPr>
          <w:p>
            <w:pPr>
              <w:jc w:val="center"/>
              <w:rPr>
                <w:rFonts w:ascii="宋体" w:hAnsi="宋体" w:cs="Arial Unicode MS"/>
                <w:b/>
                <w:bCs/>
                <w:szCs w:val="21"/>
              </w:rPr>
            </w:pPr>
          </w:p>
        </w:tc>
        <w:tc>
          <w:tcPr>
            <w:tcW w:w="1864" w:type="dxa"/>
            <w:noWrap w:val="0"/>
            <w:vAlign w:val="center"/>
          </w:tcPr>
          <w:p>
            <w:pPr>
              <w:jc w:val="center"/>
              <w:rPr>
                <w:rFonts w:ascii="宋体" w:hAnsi="宋体" w:cs="Arial Unicode MS"/>
                <w:szCs w:val="21"/>
              </w:rPr>
            </w:pPr>
          </w:p>
        </w:tc>
        <w:tc>
          <w:tcPr>
            <w:tcW w:w="1007" w:type="dxa"/>
            <w:noWrap w:val="0"/>
            <w:vAlign w:val="center"/>
          </w:tcPr>
          <w:p>
            <w:pPr>
              <w:jc w:val="center"/>
              <w:rPr>
                <w:rFonts w:ascii="宋体" w:hAnsi="宋体" w:cs="Arial Unicode MS"/>
                <w:szCs w:val="21"/>
              </w:rPr>
            </w:pPr>
          </w:p>
        </w:tc>
        <w:tc>
          <w:tcPr>
            <w:tcW w:w="2340" w:type="dxa"/>
            <w:noWrap w:val="0"/>
            <w:vAlign w:val="center"/>
          </w:tcPr>
          <w:p>
            <w:pPr>
              <w:jc w:val="center"/>
              <w:rPr>
                <w:rFonts w:hint="eastAsia" w:ascii="宋体" w:hAnsi="宋体"/>
                <w:szCs w:val="21"/>
              </w:rPr>
            </w:pPr>
          </w:p>
        </w:tc>
        <w:tc>
          <w:tcPr>
            <w:tcW w:w="1080" w:type="dxa"/>
            <w:noWrap w:val="0"/>
            <w:vAlign w:val="center"/>
          </w:tcPr>
          <w:p>
            <w:pPr>
              <w:jc w:val="center"/>
              <w:rPr>
                <w:rFonts w:ascii="宋体" w:hAnsi="宋体" w:cs="Arial Unicode MS"/>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9" w:hRule="exact"/>
        </w:trPr>
        <w:tc>
          <w:tcPr>
            <w:tcW w:w="829" w:type="dxa"/>
            <w:noWrap w:val="0"/>
            <w:vAlign w:val="center"/>
          </w:tcPr>
          <w:p>
            <w:pPr>
              <w:jc w:val="center"/>
              <w:rPr>
                <w:rFonts w:ascii="宋体" w:hAnsi="宋体" w:cs="Arial Unicode MS"/>
                <w:b/>
                <w:bCs/>
                <w:szCs w:val="21"/>
              </w:rPr>
            </w:pPr>
          </w:p>
        </w:tc>
        <w:tc>
          <w:tcPr>
            <w:tcW w:w="1988" w:type="dxa"/>
            <w:noWrap w:val="0"/>
            <w:vAlign w:val="center"/>
          </w:tcPr>
          <w:p>
            <w:pPr>
              <w:jc w:val="center"/>
              <w:rPr>
                <w:rFonts w:ascii="宋体" w:hAnsi="宋体" w:cs="Arial Unicode MS"/>
                <w:b/>
                <w:bCs/>
                <w:szCs w:val="21"/>
              </w:rPr>
            </w:pPr>
          </w:p>
        </w:tc>
        <w:tc>
          <w:tcPr>
            <w:tcW w:w="1864" w:type="dxa"/>
            <w:noWrap w:val="0"/>
            <w:vAlign w:val="center"/>
          </w:tcPr>
          <w:p>
            <w:pPr>
              <w:jc w:val="center"/>
              <w:rPr>
                <w:rFonts w:ascii="宋体" w:hAnsi="宋体" w:cs="Arial Unicode MS"/>
                <w:szCs w:val="21"/>
              </w:rPr>
            </w:pPr>
          </w:p>
        </w:tc>
        <w:tc>
          <w:tcPr>
            <w:tcW w:w="1007" w:type="dxa"/>
            <w:noWrap w:val="0"/>
            <w:vAlign w:val="center"/>
          </w:tcPr>
          <w:p>
            <w:pPr>
              <w:jc w:val="center"/>
              <w:rPr>
                <w:rFonts w:ascii="宋体" w:hAnsi="宋体" w:cs="Arial Unicode MS"/>
                <w:szCs w:val="21"/>
              </w:rPr>
            </w:pPr>
          </w:p>
        </w:tc>
        <w:tc>
          <w:tcPr>
            <w:tcW w:w="2340" w:type="dxa"/>
            <w:noWrap w:val="0"/>
            <w:vAlign w:val="center"/>
          </w:tcPr>
          <w:p>
            <w:pPr>
              <w:jc w:val="center"/>
              <w:rPr>
                <w:rFonts w:hint="eastAsia" w:ascii="宋体" w:hAnsi="宋体"/>
                <w:szCs w:val="21"/>
              </w:rPr>
            </w:pPr>
          </w:p>
        </w:tc>
        <w:tc>
          <w:tcPr>
            <w:tcW w:w="1080" w:type="dxa"/>
            <w:noWrap w:val="0"/>
            <w:vAlign w:val="center"/>
          </w:tcPr>
          <w:p>
            <w:pPr>
              <w:jc w:val="center"/>
              <w:rPr>
                <w:rFonts w:ascii="宋体" w:hAnsi="宋体" w:cs="Arial Unicode MS"/>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9" w:hRule="exact"/>
        </w:trPr>
        <w:tc>
          <w:tcPr>
            <w:tcW w:w="829" w:type="dxa"/>
            <w:noWrap w:val="0"/>
            <w:vAlign w:val="center"/>
          </w:tcPr>
          <w:p>
            <w:pPr>
              <w:jc w:val="center"/>
              <w:rPr>
                <w:rFonts w:ascii="宋体" w:hAnsi="宋体" w:cs="Arial Unicode MS"/>
                <w:b/>
                <w:bCs/>
                <w:szCs w:val="21"/>
              </w:rPr>
            </w:pPr>
          </w:p>
        </w:tc>
        <w:tc>
          <w:tcPr>
            <w:tcW w:w="1988" w:type="dxa"/>
            <w:noWrap w:val="0"/>
            <w:vAlign w:val="center"/>
          </w:tcPr>
          <w:p>
            <w:pPr>
              <w:jc w:val="center"/>
              <w:rPr>
                <w:rFonts w:ascii="宋体" w:hAnsi="宋体" w:cs="Arial Unicode MS"/>
                <w:b/>
                <w:bCs/>
                <w:szCs w:val="21"/>
              </w:rPr>
            </w:pPr>
          </w:p>
        </w:tc>
        <w:tc>
          <w:tcPr>
            <w:tcW w:w="1864" w:type="dxa"/>
            <w:noWrap w:val="0"/>
            <w:vAlign w:val="center"/>
          </w:tcPr>
          <w:p>
            <w:pPr>
              <w:jc w:val="center"/>
              <w:rPr>
                <w:rFonts w:ascii="宋体" w:hAnsi="宋体" w:cs="Arial Unicode MS"/>
                <w:szCs w:val="21"/>
              </w:rPr>
            </w:pPr>
          </w:p>
        </w:tc>
        <w:tc>
          <w:tcPr>
            <w:tcW w:w="1007" w:type="dxa"/>
            <w:noWrap w:val="0"/>
            <w:vAlign w:val="center"/>
          </w:tcPr>
          <w:p>
            <w:pPr>
              <w:jc w:val="center"/>
              <w:rPr>
                <w:rFonts w:ascii="宋体" w:hAnsi="宋体" w:cs="Arial Unicode MS"/>
                <w:szCs w:val="21"/>
              </w:rPr>
            </w:pPr>
          </w:p>
        </w:tc>
        <w:tc>
          <w:tcPr>
            <w:tcW w:w="2340" w:type="dxa"/>
            <w:noWrap w:val="0"/>
            <w:vAlign w:val="center"/>
          </w:tcPr>
          <w:p>
            <w:pPr>
              <w:jc w:val="center"/>
              <w:rPr>
                <w:rFonts w:hint="eastAsia" w:ascii="宋体" w:hAnsi="宋体"/>
                <w:szCs w:val="21"/>
              </w:rPr>
            </w:pPr>
          </w:p>
        </w:tc>
        <w:tc>
          <w:tcPr>
            <w:tcW w:w="1080" w:type="dxa"/>
            <w:noWrap w:val="0"/>
            <w:vAlign w:val="center"/>
          </w:tcPr>
          <w:p>
            <w:pPr>
              <w:jc w:val="center"/>
              <w:rPr>
                <w:rFonts w:ascii="宋体" w:hAnsi="宋体" w:cs="Arial Unicode MS"/>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9" w:hRule="exact"/>
        </w:trPr>
        <w:tc>
          <w:tcPr>
            <w:tcW w:w="829" w:type="dxa"/>
            <w:noWrap w:val="0"/>
            <w:vAlign w:val="center"/>
          </w:tcPr>
          <w:p>
            <w:pPr>
              <w:jc w:val="center"/>
              <w:rPr>
                <w:rFonts w:ascii="宋体" w:hAnsi="宋体" w:cs="Arial Unicode MS"/>
                <w:b/>
                <w:bCs/>
                <w:szCs w:val="21"/>
              </w:rPr>
            </w:pPr>
          </w:p>
        </w:tc>
        <w:tc>
          <w:tcPr>
            <w:tcW w:w="1988" w:type="dxa"/>
            <w:noWrap w:val="0"/>
            <w:vAlign w:val="center"/>
          </w:tcPr>
          <w:p>
            <w:pPr>
              <w:jc w:val="center"/>
              <w:rPr>
                <w:rFonts w:ascii="宋体" w:hAnsi="宋体" w:cs="Arial Unicode MS"/>
                <w:b/>
                <w:bCs/>
                <w:szCs w:val="21"/>
              </w:rPr>
            </w:pPr>
          </w:p>
        </w:tc>
        <w:tc>
          <w:tcPr>
            <w:tcW w:w="1864" w:type="dxa"/>
            <w:noWrap w:val="0"/>
            <w:vAlign w:val="center"/>
          </w:tcPr>
          <w:p>
            <w:pPr>
              <w:jc w:val="center"/>
              <w:rPr>
                <w:rFonts w:ascii="宋体" w:hAnsi="宋体" w:cs="Arial Unicode MS"/>
                <w:szCs w:val="21"/>
              </w:rPr>
            </w:pPr>
          </w:p>
        </w:tc>
        <w:tc>
          <w:tcPr>
            <w:tcW w:w="1007" w:type="dxa"/>
            <w:noWrap w:val="0"/>
            <w:vAlign w:val="center"/>
          </w:tcPr>
          <w:p>
            <w:pPr>
              <w:jc w:val="center"/>
              <w:rPr>
                <w:rFonts w:ascii="宋体" w:hAnsi="宋体" w:cs="Arial Unicode MS"/>
                <w:szCs w:val="21"/>
              </w:rPr>
            </w:pPr>
          </w:p>
        </w:tc>
        <w:tc>
          <w:tcPr>
            <w:tcW w:w="2340" w:type="dxa"/>
            <w:noWrap w:val="0"/>
            <w:vAlign w:val="center"/>
          </w:tcPr>
          <w:p>
            <w:pPr>
              <w:jc w:val="center"/>
              <w:rPr>
                <w:rFonts w:hint="eastAsia" w:ascii="宋体" w:hAnsi="宋体"/>
                <w:szCs w:val="21"/>
              </w:rPr>
            </w:pPr>
          </w:p>
        </w:tc>
        <w:tc>
          <w:tcPr>
            <w:tcW w:w="1080" w:type="dxa"/>
            <w:noWrap w:val="0"/>
            <w:vAlign w:val="center"/>
          </w:tcPr>
          <w:p>
            <w:pPr>
              <w:jc w:val="center"/>
              <w:rPr>
                <w:rFonts w:ascii="宋体" w:hAnsi="宋体" w:cs="Arial Unicode MS"/>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9" w:hRule="exact"/>
        </w:trPr>
        <w:tc>
          <w:tcPr>
            <w:tcW w:w="829" w:type="dxa"/>
            <w:noWrap w:val="0"/>
            <w:vAlign w:val="center"/>
          </w:tcPr>
          <w:p>
            <w:pPr>
              <w:jc w:val="center"/>
              <w:rPr>
                <w:rFonts w:ascii="宋体" w:hAnsi="宋体" w:cs="Arial Unicode MS"/>
                <w:b/>
                <w:bCs/>
                <w:szCs w:val="21"/>
              </w:rPr>
            </w:pPr>
          </w:p>
        </w:tc>
        <w:tc>
          <w:tcPr>
            <w:tcW w:w="1988" w:type="dxa"/>
            <w:noWrap w:val="0"/>
            <w:vAlign w:val="center"/>
          </w:tcPr>
          <w:p>
            <w:pPr>
              <w:jc w:val="center"/>
              <w:rPr>
                <w:rFonts w:ascii="宋体" w:hAnsi="宋体" w:cs="Arial Unicode MS"/>
                <w:b/>
                <w:bCs/>
                <w:szCs w:val="21"/>
              </w:rPr>
            </w:pPr>
          </w:p>
        </w:tc>
        <w:tc>
          <w:tcPr>
            <w:tcW w:w="1864" w:type="dxa"/>
            <w:noWrap w:val="0"/>
            <w:vAlign w:val="center"/>
          </w:tcPr>
          <w:p>
            <w:pPr>
              <w:jc w:val="center"/>
              <w:rPr>
                <w:rFonts w:ascii="宋体" w:hAnsi="宋体" w:cs="Arial Unicode MS"/>
                <w:szCs w:val="21"/>
              </w:rPr>
            </w:pPr>
          </w:p>
        </w:tc>
        <w:tc>
          <w:tcPr>
            <w:tcW w:w="1007" w:type="dxa"/>
            <w:noWrap w:val="0"/>
            <w:vAlign w:val="center"/>
          </w:tcPr>
          <w:p>
            <w:pPr>
              <w:jc w:val="center"/>
              <w:rPr>
                <w:rFonts w:ascii="宋体" w:hAnsi="宋体" w:cs="Arial Unicode MS"/>
                <w:szCs w:val="21"/>
              </w:rPr>
            </w:pPr>
          </w:p>
        </w:tc>
        <w:tc>
          <w:tcPr>
            <w:tcW w:w="2340" w:type="dxa"/>
            <w:noWrap w:val="0"/>
            <w:vAlign w:val="center"/>
          </w:tcPr>
          <w:p>
            <w:pPr>
              <w:jc w:val="center"/>
              <w:rPr>
                <w:rFonts w:hint="eastAsia" w:ascii="宋体" w:hAnsi="宋体"/>
                <w:szCs w:val="21"/>
              </w:rPr>
            </w:pPr>
          </w:p>
        </w:tc>
        <w:tc>
          <w:tcPr>
            <w:tcW w:w="1080" w:type="dxa"/>
            <w:noWrap w:val="0"/>
            <w:vAlign w:val="center"/>
          </w:tcPr>
          <w:p>
            <w:pPr>
              <w:jc w:val="center"/>
              <w:rPr>
                <w:rFonts w:ascii="宋体" w:hAnsi="宋体" w:cs="Arial Unicode MS"/>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9" w:hRule="exact"/>
        </w:trPr>
        <w:tc>
          <w:tcPr>
            <w:tcW w:w="829" w:type="dxa"/>
            <w:noWrap w:val="0"/>
            <w:vAlign w:val="center"/>
          </w:tcPr>
          <w:p>
            <w:pPr>
              <w:jc w:val="center"/>
              <w:rPr>
                <w:rFonts w:ascii="宋体" w:hAnsi="宋体" w:cs="Arial Unicode MS"/>
                <w:b/>
                <w:bCs/>
                <w:szCs w:val="21"/>
              </w:rPr>
            </w:pPr>
          </w:p>
        </w:tc>
        <w:tc>
          <w:tcPr>
            <w:tcW w:w="1988" w:type="dxa"/>
            <w:noWrap w:val="0"/>
            <w:vAlign w:val="center"/>
          </w:tcPr>
          <w:p>
            <w:pPr>
              <w:jc w:val="center"/>
              <w:rPr>
                <w:rFonts w:ascii="宋体" w:hAnsi="宋体" w:cs="Arial Unicode MS"/>
                <w:b/>
                <w:bCs/>
                <w:szCs w:val="21"/>
              </w:rPr>
            </w:pPr>
          </w:p>
        </w:tc>
        <w:tc>
          <w:tcPr>
            <w:tcW w:w="1864" w:type="dxa"/>
            <w:noWrap w:val="0"/>
            <w:vAlign w:val="center"/>
          </w:tcPr>
          <w:p>
            <w:pPr>
              <w:jc w:val="center"/>
              <w:rPr>
                <w:rFonts w:ascii="宋体" w:hAnsi="宋体" w:cs="Arial Unicode MS"/>
                <w:szCs w:val="21"/>
              </w:rPr>
            </w:pPr>
          </w:p>
        </w:tc>
        <w:tc>
          <w:tcPr>
            <w:tcW w:w="1007" w:type="dxa"/>
            <w:noWrap w:val="0"/>
            <w:vAlign w:val="center"/>
          </w:tcPr>
          <w:p>
            <w:pPr>
              <w:jc w:val="center"/>
              <w:rPr>
                <w:rFonts w:ascii="宋体" w:hAnsi="宋体" w:cs="Arial Unicode MS"/>
                <w:szCs w:val="21"/>
              </w:rPr>
            </w:pPr>
          </w:p>
        </w:tc>
        <w:tc>
          <w:tcPr>
            <w:tcW w:w="2340" w:type="dxa"/>
            <w:noWrap w:val="0"/>
            <w:vAlign w:val="center"/>
          </w:tcPr>
          <w:p>
            <w:pPr>
              <w:jc w:val="center"/>
              <w:rPr>
                <w:rFonts w:hint="eastAsia" w:ascii="宋体" w:hAnsi="宋体"/>
                <w:szCs w:val="21"/>
              </w:rPr>
            </w:pPr>
          </w:p>
        </w:tc>
        <w:tc>
          <w:tcPr>
            <w:tcW w:w="1080" w:type="dxa"/>
            <w:noWrap w:val="0"/>
            <w:vAlign w:val="center"/>
          </w:tcPr>
          <w:p>
            <w:pPr>
              <w:jc w:val="center"/>
              <w:rPr>
                <w:rFonts w:ascii="宋体" w:hAnsi="宋体" w:cs="Arial Unicode MS"/>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9" w:hRule="exact"/>
        </w:trPr>
        <w:tc>
          <w:tcPr>
            <w:tcW w:w="829" w:type="dxa"/>
            <w:noWrap w:val="0"/>
            <w:vAlign w:val="center"/>
          </w:tcPr>
          <w:p>
            <w:pPr>
              <w:jc w:val="center"/>
              <w:rPr>
                <w:rFonts w:ascii="宋体" w:hAnsi="宋体" w:cs="Arial Unicode MS"/>
                <w:b/>
                <w:bCs/>
                <w:szCs w:val="21"/>
              </w:rPr>
            </w:pPr>
          </w:p>
        </w:tc>
        <w:tc>
          <w:tcPr>
            <w:tcW w:w="1988" w:type="dxa"/>
            <w:noWrap w:val="0"/>
            <w:vAlign w:val="center"/>
          </w:tcPr>
          <w:p>
            <w:pPr>
              <w:jc w:val="center"/>
              <w:rPr>
                <w:rFonts w:ascii="宋体" w:hAnsi="宋体" w:cs="Arial Unicode MS"/>
                <w:b/>
                <w:bCs/>
                <w:szCs w:val="21"/>
              </w:rPr>
            </w:pPr>
          </w:p>
        </w:tc>
        <w:tc>
          <w:tcPr>
            <w:tcW w:w="1864" w:type="dxa"/>
            <w:noWrap w:val="0"/>
            <w:vAlign w:val="center"/>
          </w:tcPr>
          <w:p>
            <w:pPr>
              <w:jc w:val="center"/>
              <w:rPr>
                <w:rFonts w:ascii="宋体" w:hAnsi="宋体" w:cs="Arial Unicode MS"/>
                <w:szCs w:val="21"/>
              </w:rPr>
            </w:pPr>
          </w:p>
        </w:tc>
        <w:tc>
          <w:tcPr>
            <w:tcW w:w="1007" w:type="dxa"/>
            <w:noWrap w:val="0"/>
            <w:vAlign w:val="center"/>
          </w:tcPr>
          <w:p>
            <w:pPr>
              <w:jc w:val="center"/>
              <w:rPr>
                <w:rFonts w:ascii="宋体" w:hAnsi="宋体" w:cs="Arial Unicode MS"/>
                <w:szCs w:val="21"/>
              </w:rPr>
            </w:pPr>
          </w:p>
        </w:tc>
        <w:tc>
          <w:tcPr>
            <w:tcW w:w="2340" w:type="dxa"/>
            <w:noWrap w:val="0"/>
            <w:vAlign w:val="center"/>
          </w:tcPr>
          <w:p>
            <w:pPr>
              <w:jc w:val="center"/>
              <w:rPr>
                <w:rFonts w:hint="eastAsia" w:ascii="宋体" w:hAnsi="宋体"/>
                <w:szCs w:val="21"/>
              </w:rPr>
            </w:pPr>
          </w:p>
        </w:tc>
        <w:tc>
          <w:tcPr>
            <w:tcW w:w="1080" w:type="dxa"/>
            <w:noWrap w:val="0"/>
            <w:vAlign w:val="center"/>
          </w:tcPr>
          <w:p>
            <w:pPr>
              <w:jc w:val="center"/>
              <w:rPr>
                <w:rFonts w:ascii="宋体" w:hAnsi="宋体" w:cs="Arial Unicode MS"/>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9" w:hRule="exact"/>
        </w:trPr>
        <w:tc>
          <w:tcPr>
            <w:tcW w:w="829" w:type="dxa"/>
            <w:noWrap w:val="0"/>
            <w:vAlign w:val="center"/>
          </w:tcPr>
          <w:p>
            <w:pPr>
              <w:jc w:val="center"/>
              <w:rPr>
                <w:rFonts w:ascii="宋体" w:hAnsi="宋体" w:cs="Arial Unicode MS"/>
                <w:b/>
                <w:bCs/>
                <w:szCs w:val="21"/>
              </w:rPr>
            </w:pPr>
          </w:p>
        </w:tc>
        <w:tc>
          <w:tcPr>
            <w:tcW w:w="1988" w:type="dxa"/>
            <w:noWrap w:val="0"/>
            <w:vAlign w:val="center"/>
          </w:tcPr>
          <w:p>
            <w:pPr>
              <w:jc w:val="center"/>
              <w:rPr>
                <w:rFonts w:ascii="宋体" w:hAnsi="宋体" w:cs="Arial Unicode MS"/>
                <w:b/>
                <w:bCs/>
                <w:szCs w:val="21"/>
              </w:rPr>
            </w:pPr>
          </w:p>
        </w:tc>
        <w:tc>
          <w:tcPr>
            <w:tcW w:w="1864" w:type="dxa"/>
            <w:noWrap w:val="0"/>
            <w:vAlign w:val="center"/>
          </w:tcPr>
          <w:p>
            <w:pPr>
              <w:jc w:val="center"/>
              <w:rPr>
                <w:rFonts w:ascii="宋体" w:hAnsi="宋体" w:cs="Arial Unicode MS"/>
                <w:szCs w:val="21"/>
              </w:rPr>
            </w:pPr>
          </w:p>
        </w:tc>
        <w:tc>
          <w:tcPr>
            <w:tcW w:w="1007" w:type="dxa"/>
            <w:noWrap w:val="0"/>
            <w:vAlign w:val="center"/>
          </w:tcPr>
          <w:p>
            <w:pPr>
              <w:jc w:val="center"/>
              <w:rPr>
                <w:rFonts w:ascii="宋体" w:hAnsi="宋体" w:cs="Arial Unicode MS"/>
                <w:szCs w:val="21"/>
              </w:rPr>
            </w:pPr>
          </w:p>
        </w:tc>
        <w:tc>
          <w:tcPr>
            <w:tcW w:w="2340" w:type="dxa"/>
            <w:noWrap w:val="0"/>
            <w:vAlign w:val="center"/>
          </w:tcPr>
          <w:p>
            <w:pPr>
              <w:jc w:val="center"/>
              <w:rPr>
                <w:rFonts w:hint="eastAsia" w:ascii="宋体" w:hAnsi="宋体"/>
                <w:szCs w:val="21"/>
              </w:rPr>
            </w:pPr>
          </w:p>
        </w:tc>
        <w:tc>
          <w:tcPr>
            <w:tcW w:w="1080" w:type="dxa"/>
            <w:noWrap w:val="0"/>
            <w:vAlign w:val="center"/>
          </w:tcPr>
          <w:p>
            <w:pPr>
              <w:jc w:val="center"/>
              <w:rPr>
                <w:rFonts w:ascii="宋体" w:hAnsi="宋体" w:cs="Arial Unicode MS"/>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9" w:hRule="exact"/>
        </w:trPr>
        <w:tc>
          <w:tcPr>
            <w:tcW w:w="829" w:type="dxa"/>
            <w:noWrap w:val="0"/>
            <w:vAlign w:val="center"/>
          </w:tcPr>
          <w:p>
            <w:pPr>
              <w:jc w:val="center"/>
              <w:rPr>
                <w:rFonts w:ascii="宋体" w:hAnsi="宋体" w:cs="Arial Unicode MS"/>
                <w:b/>
                <w:bCs/>
                <w:szCs w:val="21"/>
              </w:rPr>
            </w:pPr>
          </w:p>
        </w:tc>
        <w:tc>
          <w:tcPr>
            <w:tcW w:w="1988" w:type="dxa"/>
            <w:noWrap w:val="0"/>
            <w:vAlign w:val="center"/>
          </w:tcPr>
          <w:p>
            <w:pPr>
              <w:jc w:val="center"/>
              <w:rPr>
                <w:rFonts w:ascii="宋体" w:hAnsi="宋体" w:cs="Arial Unicode MS"/>
                <w:b/>
                <w:bCs/>
                <w:szCs w:val="21"/>
              </w:rPr>
            </w:pPr>
          </w:p>
        </w:tc>
        <w:tc>
          <w:tcPr>
            <w:tcW w:w="1864" w:type="dxa"/>
            <w:noWrap w:val="0"/>
            <w:vAlign w:val="center"/>
          </w:tcPr>
          <w:p>
            <w:pPr>
              <w:jc w:val="center"/>
              <w:rPr>
                <w:rFonts w:ascii="宋体" w:hAnsi="宋体" w:cs="Arial Unicode MS"/>
                <w:szCs w:val="21"/>
              </w:rPr>
            </w:pPr>
          </w:p>
        </w:tc>
        <w:tc>
          <w:tcPr>
            <w:tcW w:w="1007" w:type="dxa"/>
            <w:noWrap w:val="0"/>
            <w:vAlign w:val="center"/>
          </w:tcPr>
          <w:p>
            <w:pPr>
              <w:jc w:val="center"/>
              <w:rPr>
                <w:rFonts w:ascii="宋体" w:hAnsi="宋体" w:cs="Arial Unicode MS"/>
                <w:szCs w:val="21"/>
              </w:rPr>
            </w:pPr>
          </w:p>
        </w:tc>
        <w:tc>
          <w:tcPr>
            <w:tcW w:w="2340" w:type="dxa"/>
            <w:noWrap w:val="0"/>
            <w:vAlign w:val="center"/>
          </w:tcPr>
          <w:p>
            <w:pPr>
              <w:jc w:val="center"/>
              <w:rPr>
                <w:rFonts w:hint="eastAsia" w:ascii="宋体" w:hAnsi="宋体"/>
                <w:szCs w:val="21"/>
              </w:rPr>
            </w:pPr>
          </w:p>
        </w:tc>
        <w:tc>
          <w:tcPr>
            <w:tcW w:w="1080" w:type="dxa"/>
            <w:noWrap w:val="0"/>
            <w:vAlign w:val="center"/>
          </w:tcPr>
          <w:p>
            <w:pPr>
              <w:jc w:val="center"/>
              <w:rPr>
                <w:rFonts w:ascii="宋体" w:hAnsi="宋体" w:cs="Arial Unicode MS"/>
                <w:b/>
                <w:bCs/>
                <w:szCs w:val="21"/>
              </w:rPr>
            </w:pPr>
          </w:p>
        </w:tc>
      </w:tr>
    </w:tbl>
    <w:p>
      <w:pPr>
        <w:jc w:val="center"/>
        <w:rPr>
          <w:rFonts w:hint="eastAsia" w:ascii="宋体" w:hAnsi="宋体"/>
          <w:b/>
          <w:bCs/>
          <w:szCs w:val="21"/>
          <w:u w:val="single"/>
        </w:rPr>
      </w:pPr>
      <w:r>
        <w:rPr>
          <w:rFonts w:hint="eastAsia" w:ascii="宋体" w:hAnsi="宋体"/>
          <w:b/>
          <w:bCs/>
          <w:szCs w:val="21"/>
        </w:rPr>
        <w:t xml:space="preserve"> </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r>
        <w:rPr>
          <w:rFonts w:hint="eastAsia" w:ascii="宋体" w:hAnsi="宋体"/>
          <w:szCs w:val="21"/>
        </w:rPr>
        <w:t>投标人名称（盖章）：</w:t>
      </w:r>
      <w:r>
        <w:rPr>
          <w:rFonts w:ascii="宋体" w:hAnsi="宋体"/>
          <w:szCs w:val="21"/>
        </w:rPr>
        <w:t>____________________________</w:t>
      </w:r>
    </w:p>
    <w:p>
      <w:pPr>
        <w:spacing w:line="360" w:lineRule="auto"/>
        <w:ind w:firstLine="420" w:firstLineChars="200"/>
        <w:rPr>
          <w:rFonts w:hint="eastAsia" w:ascii="宋体" w:hAnsi="宋体"/>
          <w:szCs w:val="21"/>
        </w:rPr>
      </w:pPr>
      <w:r>
        <w:rPr>
          <w:rFonts w:hint="eastAsia" w:ascii="宋体" w:hAnsi="宋体"/>
          <w:szCs w:val="21"/>
        </w:rPr>
        <w:t>投标人代表签字：______________________________</w:t>
      </w:r>
    </w:p>
    <w:p>
      <w:pPr>
        <w:spacing w:line="360" w:lineRule="auto"/>
        <w:ind w:firstLine="420" w:firstLineChars="200"/>
        <w:rPr>
          <w:rFonts w:hint="eastAsia" w:ascii="宋体" w:hAnsi="宋体"/>
          <w:szCs w:val="21"/>
        </w:rPr>
      </w:pPr>
      <w:r>
        <w:rPr>
          <w:rFonts w:hint="eastAsia" w:ascii="宋体" w:hAnsi="宋体"/>
          <w:szCs w:val="21"/>
        </w:rPr>
        <w:t>此表可在不改变格式的情况下自行制作</w:t>
      </w:r>
    </w:p>
    <w:p>
      <w:pPr>
        <w:spacing w:line="360" w:lineRule="auto"/>
        <w:ind w:firstLine="420" w:firstLineChars="200"/>
        <w:rPr>
          <w:rFonts w:hint="eastAsia"/>
          <w:szCs w:val="21"/>
        </w:rPr>
      </w:pPr>
      <w:r>
        <w:rPr>
          <w:rFonts w:hint="eastAsia"/>
          <w:szCs w:val="21"/>
        </w:rPr>
        <w:t>备注：该表需详细填写，置于技术标中，用于技术评审。</w:t>
      </w:r>
    </w:p>
    <w:p>
      <w:pPr>
        <w:spacing w:line="360" w:lineRule="auto"/>
        <w:rPr>
          <w:rFonts w:hint="eastAsia" w:eastAsia="楷体_GB2312"/>
          <w:b/>
          <w:bCs/>
          <w:szCs w:val="21"/>
        </w:rPr>
      </w:pPr>
    </w:p>
    <w:p>
      <w:pPr>
        <w:spacing w:line="360" w:lineRule="auto"/>
        <w:rPr>
          <w:rFonts w:hint="eastAsia" w:eastAsia="楷体_GB2312"/>
          <w:b/>
          <w:bCs/>
          <w:szCs w:val="21"/>
        </w:rPr>
        <w:sectPr>
          <w:pgSz w:w="11906" w:h="16838"/>
          <w:pgMar w:top="1474" w:right="1134" w:bottom="1134" w:left="1361" w:header="851" w:footer="992" w:gutter="0"/>
          <w:cols w:space="720" w:num="1"/>
          <w:docGrid w:linePitch="602" w:charSpace="-1675"/>
        </w:sectPr>
      </w:pPr>
    </w:p>
    <w:p>
      <w:pPr>
        <w:spacing w:line="360" w:lineRule="auto"/>
        <w:jc w:val="center"/>
        <w:rPr>
          <w:rFonts w:hint="eastAsia" w:ascii="宋体" w:hAnsi="宋体" w:eastAsia="楷体_GB2312"/>
          <w:b/>
          <w:bCs/>
          <w:szCs w:val="28"/>
        </w:rPr>
      </w:pPr>
      <w:r>
        <w:rPr>
          <w:rFonts w:hint="eastAsia" w:eastAsia="楷体_GB2312"/>
          <w:b/>
          <w:bCs/>
          <w:szCs w:val="28"/>
        </w:rPr>
        <w:t>技术规格偏离表</w:t>
      </w:r>
    </w:p>
    <w:p>
      <w:pPr>
        <w:jc w:val="center"/>
        <w:rPr>
          <w:rFonts w:hint="eastAsia" w:ascii="宋体" w:hAnsi="宋体"/>
          <w:b/>
          <w:bCs/>
          <w:szCs w:val="21"/>
          <w:u w:val="single"/>
        </w:rPr>
      </w:pPr>
      <w:r>
        <w:rPr>
          <w:rFonts w:hint="eastAsia" w:ascii="宋体" w:hAnsi="宋体"/>
          <w:b/>
          <w:bCs/>
          <w:szCs w:val="21"/>
        </w:rPr>
        <w:t xml:space="preserve"> 　</w:t>
      </w:r>
    </w:p>
    <w:p>
      <w:pPr>
        <w:spacing w:line="360" w:lineRule="auto"/>
        <w:ind w:firstLine="420" w:firstLineChars="200"/>
        <w:rPr>
          <w:rFonts w:hint="eastAsia" w:ascii="宋体" w:hAnsi="宋体"/>
          <w:szCs w:val="21"/>
        </w:rPr>
      </w:pPr>
      <w:r>
        <w:rPr>
          <w:rFonts w:hint="eastAsia" w:ascii="宋体" w:hAnsi="宋体"/>
          <w:szCs w:val="21"/>
        </w:rPr>
        <w:t>投标人名称（盖章）：                          采购编号：</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223"/>
        <w:gridCol w:w="2250"/>
        <w:gridCol w:w="2181"/>
        <w:gridCol w:w="1031"/>
        <w:gridCol w:w="778"/>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58" w:hRule="atLeast"/>
        </w:trPr>
        <w:tc>
          <w:tcPr>
            <w:tcW w:w="626" w:type="dxa"/>
            <w:noWrap w:val="0"/>
            <w:vAlign w:val="center"/>
          </w:tcPr>
          <w:p>
            <w:pPr>
              <w:spacing w:line="360" w:lineRule="auto"/>
              <w:jc w:val="center"/>
              <w:rPr>
                <w:rFonts w:hint="eastAsia" w:ascii="宋体" w:hAnsi="宋体"/>
                <w:b/>
                <w:bCs/>
                <w:szCs w:val="21"/>
              </w:rPr>
            </w:pPr>
            <w:r>
              <w:rPr>
                <w:rFonts w:hint="eastAsia" w:ascii="宋体" w:hAnsi="宋体"/>
                <w:b/>
                <w:bCs/>
                <w:szCs w:val="21"/>
              </w:rPr>
              <w:t>序号</w:t>
            </w:r>
          </w:p>
        </w:tc>
        <w:tc>
          <w:tcPr>
            <w:tcW w:w="1223" w:type="dxa"/>
            <w:noWrap w:val="0"/>
            <w:vAlign w:val="center"/>
          </w:tcPr>
          <w:p>
            <w:pPr>
              <w:spacing w:line="360" w:lineRule="auto"/>
              <w:jc w:val="center"/>
              <w:rPr>
                <w:rFonts w:hint="eastAsia" w:ascii="宋体" w:hAnsi="宋体"/>
                <w:b/>
                <w:bCs/>
                <w:szCs w:val="21"/>
              </w:rPr>
            </w:pPr>
            <w:r>
              <w:rPr>
                <w:rFonts w:hint="eastAsia" w:ascii="宋体" w:hAnsi="宋体"/>
                <w:b/>
                <w:bCs/>
                <w:szCs w:val="21"/>
              </w:rPr>
              <w:t>货物名称</w:t>
            </w:r>
          </w:p>
        </w:tc>
        <w:tc>
          <w:tcPr>
            <w:tcW w:w="2250" w:type="dxa"/>
            <w:noWrap w:val="0"/>
            <w:vAlign w:val="center"/>
          </w:tcPr>
          <w:p>
            <w:pPr>
              <w:spacing w:line="360" w:lineRule="auto"/>
              <w:jc w:val="center"/>
              <w:rPr>
                <w:rFonts w:hint="eastAsia" w:ascii="宋体" w:hAnsi="宋体"/>
                <w:b/>
                <w:bCs/>
                <w:szCs w:val="21"/>
              </w:rPr>
            </w:pPr>
            <w:r>
              <w:rPr>
                <w:rFonts w:hint="eastAsia" w:ascii="宋体" w:hAnsi="宋体"/>
                <w:b/>
                <w:bCs/>
                <w:szCs w:val="21"/>
              </w:rPr>
              <w:t>招标文件规范要求</w:t>
            </w:r>
          </w:p>
        </w:tc>
        <w:tc>
          <w:tcPr>
            <w:tcW w:w="2181" w:type="dxa"/>
            <w:noWrap w:val="0"/>
            <w:vAlign w:val="center"/>
          </w:tcPr>
          <w:p>
            <w:pPr>
              <w:spacing w:line="360" w:lineRule="auto"/>
              <w:jc w:val="center"/>
              <w:rPr>
                <w:rFonts w:hint="eastAsia" w:ascii="宋体" w:hAnsi="宋体"/>
                <w:b/>
                <w:bCs/>
                <w:szCs w:val="21"/>
              </w:rPr>
            </w:pPr>
            <w:r>
              <w:rPr>
                <w:rFonts w:hint="eastAsia" w:ascii="宋体" w:hAnsi="宋体"/>
                <w:b/>
                <w:bCs/>
                <w:szCs w:val="21"/>
              </w:rPr>
              <w:t>投标文件对应规范</w:t>
            </w:r>
          </w:p>
        </w:tc>
        <w:tc>
          <w:tcPr>
            <w:tcW w:w="1031" w:type="dxa"/>
            <w:noWrap w:val="0"/>
            <w:vAlign w:val="center"/>
          </w:tcPr>
          <w:p>
            <w:pPr>
              <w:spacing w:line="360" w:lineRule="auto"/>
              <w:jc w:val="center"/>
              <w:rPr>
                <w:rFonts w:hint="eastAsia" w:ascii="宋体" w:hAnsi="宋体"/>
                <w:b/>
                <w:bCs/>
                <w:szCs w:val="21"/>
              </w:rPr>
            </w:pPr>
            <w:r>
              <w:rPr>
                <w:rFonts w:hint="eastAsia" w:ascii="宋体" w:hAnsi="宋体"/>
                <w:b/>
                <w:bCs/>
                <w:szCs w:val="21"/>
              </w:rPr>
              <w:t>是否响应</w:t>
            </w:r>
          </w:p>
        </w:tc>
        <w:tc>
          <w:tcPr>
            <w:tcW w:w="778" w:type="dxa"/>
            <w:noWrap w:val="0"/>
            <w:vAlign w:val="center"/>
          </w:tcPr>
          <w:p>
            <w:pPr>
              <w:spacing w:line="360" w:lineRule="auto"/>
              <w:jc w:val="center"/>
              <w:rPr>
                <w:rFonts w:hint="eastAsia" w:ascii="宋体" w:hAnsi="宋体"/>
                <w:b/>
                <w:bCs/>
                <w:szCs w:val="21"/>
              </w:rPr>
            </w:pPr>
            <w:r>
              <w:rPr>
                <w:rFonts w:hint="eastAsia" w:ascii="宋体" w:hAnsi="宋体"/>
                <w:b/>
                <w:bCs/>
                <w:szCs w:val="21"/>
              </w:rPr>
              <w:t>偏离</w:t>
            </w:r>
          </w:p>
        </w:tc>
        <w:tc>
          <w:tcPr>
            <w:tcW w:w="914" w:type="dxa"/>
            <w:noWrap w:val="0"/>
            <w:vAlign w:val="center"/>
          </w:tcPr>
          <w:p>
            <w:pPr>
              <w:spacing w:line="360" w:lineRule="auto"/>
              <w:jc w:val="center"/>
              <w:rPr>
                <w:rFonts w:hint="eastAsia" w:ascii="宋体" w:hAnsi="宋体"/>
                <w:b/>
                <w:bCs/>
                <w:szCs w:val="21"/>
              </w:rPr>
            </w:pPr>
            <w:r>
              <w:rPr>
                <w:rFonts w:hint="eastAsia" w:ascii="宋体" w:hAnsi="宋体"/>
                <w:b/>
                <w:bCs/>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79" w:hRule="atLeast"/>
        </w:trPr>
        <w:tc>
          <w:tcPr>
            <w:tcW w:w="626" w:type="dxa"/>
            <w:noWrap w:val="0"/>
            <w:vAlign w:val="top"/>
          </w:tcPr>
          <w:p>
            <w:pPr>
              <w:spacing w:line="360" w:lineRule="auto"/>
              <w:ind w:firstLine="420" w:firstLineChars="200"/>
              <w:rPr>
                <w:rFonts w:hint="eastAsia" w:ascii="宋体" w:hAnsi="宋体"/>
                <w:szCs w:val="21"/>
              </w:rPr>
            </w:pPr>
          </w:p>
        </w:tc>
        <w:tc>
          <w:tcPr>
            <w:tcW w:w="1223" w:type="dxa"/>
            <w:noWrap w:val="0"/>
            <w:vAlign w:val="top"/>
          </w:tcPr>
          <w:p>
            <w:pPr>
              <w:spacing w:line="360" w:lineRule="auto"/>
              <w:ind w:firstLine="420" w:firstLineChars="200"/>
              <w:rPr>
                <w:rFonts w:hint="eastAsia" w:ascii="宋体" w:hAnsi="宋体"/>
                <w:szCs w:val="21"/>
              </w:rPr>
            </w:pPr>
          </w:p>
        </w:tc>
        <w:tc>
          <w:tcPr>
            <w:tcW w:w="2250" w:type="dxa"/>
            <w:noWrap w:val="0"/>
            <w:vAlign w:val="top"/>
          </w:tcPr>
          <w:p>
            <w:pPr>
              <w:spacing w:line="360" w:lineRule="auto"/>
              <w:ind w:firstLine="420" w:firstLineChars="200"/>
              <w:rPr>
                <w:rFonts w:hint="eastAsia" w:ascii="宋体" w:hAnsi="宋体"/>
                <w:szCs w:val="21"/>
              </w:rPr>
            </w:pPr>
          </w:p>
        </w:tc>
        <w:tc>
          <w:tcPr>
            <w:tcW w:w="2181" w:type="dxa"/>
            <w:noWrap w:val="0"/>
            <w:vAlign w:val="top"/>
          </w:tcPr>
          <w:p>
            <w:pPr>
              <w:spacing w:line="360" w:lineRule="auto"/>
              <w:ind w:firstLine="420" w:firstLineChars="200"/>
              <w:rPr>
                <w:rFonts w:hint="eastAsia" w:ascii="宋体" w:hAnsi="宋体"/>
                <w:szCs w:val="21"/>
              </w:rPr>
            </w:pPr>
          </w:p>
        </w:tc>
        <w:tc>
          <w:tcPr>
            <w:tcW w:w="1031" w:type="dxa"/>
            <w:noWrap w:val="0"/>
            <w:vAlign w:val="top"/>
          </w:tcPr>
          <w:p>
            <w:pPr>
              <w:spacing w:line="360" w:lineRule="auto"/>
              <w:ind w:firstLine="420" w:firstLineChars="200"/>
              <w:rPr>
                <w:rFonts w:hint="eastAsia" w:ascii="宋体" w:hAnsi="宋体"/>
                <w:szCs w:val="21"/>
              </w:rPr>
            </w:pPr>
          </w:p>
        </w:tc>
        <w:tc>
          <w:tcPr>
            <w:tcW w:w="778" w:type="dxa"/>
            <w:noWrap w:val="0"/>
            <w:vAlign w:val="top"/>
          </w:tcPr>
          <w:p>
            <w:pPr>
              <w:spacing w:line="360" w:lineRule="auto"/>
              <w:ind w:firstLine="420" w:firstLineChars="200"/>
              <w:rPr>
                <w:rFonts w:hint="eastAsia" w:ascii="宋体" w:hAnsi="宋体"/>
                <w:szCs w:val="21"/>
              </w:rPr>
            </w:pPr>
          </w:p>
        </w:tc>
        <w:tc>
          <w:tcPr>
            <w:tcW w:w="914" w:type="dxa"/>
            <w:noWrap w:val="0"/>
            <w:vAlign w:val="top"/>
          </w:tcPr>
          <w:p>
            <w:pPr>
              <w:spacing w:line="360" w:lineRule="auto"/>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79" w:hRule="atLeast"/>
        </w:trPr>
        <w:tc>
          <w:tcPr>
            <w:tcW w:w="626" w:type="dxa"/>
            <w:noWrap w:val="0"/>
            <w:vAlign w:val="top"/>
          </w:tcPr>
          <w:p>
            <w:pPr>
              <w:spacing w:line="360" w:lineRule="auto"/>
              <w:ind w:firstLine="420" w:firstLineChars="200"/>
              <w:rPr>
                <w:rFonts w:hint="eastAsia" w:ascii="宋体" w:hAnsi="宋体"/>
                <w:szCs w:val="21"/>
              </w:rPr>
            </w:pPr>
          </w:p>
        </w:tc>
        <w:tc>
          <w:tcPr>
            <w:tcW w:w="1223" w:type="dxa"/>
            <w:noWrap w:val="0"/>
            <w:vAlign w:val="top"/>
          </w:tcPr>
          <w:p>
            <w:pPr>
              <w:spacing w:line="360" w:lineRule="auto"/>
              <w:ind w:firstLine="420" w:firstLineChars="200"/>
              <w:rPr>
                <w:rFonts w:hint="eastAsia" w:ascii="宋体" w:hAnsi="宋体"/>
                <w:szCs w:val="21"/>
              </w:rPr>
            </w:pPr>
          </w:p>
        </w:tc>
        <w:tc>
          <w:tcPr>
            <w:tcW w:w="2250" w:type="dxa"/>
            <w:noWrap w:val="0"/>
            <w:vAlign w:val="top"/>
          </w:tcPr>
          <w:p>
            <w:pPr>
              <w:spacing w:line="360" w:lineRule="auto"/>
              <w:ind w:firstLine="420" w:firstLineChars="200"/>
              <w:rPr>
                <w:rFonts w:hint="eastAsia" w:ascii="宋体" w:hAnsi="宋体"/>
                <w:szCs w:val="21"/>
              </w:rPr>
            </w:pPr>
          </w:p>
        </w:tc>
        <w:tc>
          <w:tcPr>
            <w:tcW w:w="2181" w:type="dxa"/>
            <w:noWrap w:val="0"/>
            <w:vAlign w:val="top"/>
          </w:tcPr>
          <w:p>
            <w:pPr>
              <w:spacing w:line="360" w:lineRule="auto"/>
              <w:ind w:firstLine="420" w:firstLineChars="200"/>
              <w:rPr>
                <w:rFonts w:hint="eastAsia" w:ascii="宋体" w:hAnsi="宋体"/>
                <w:szCs w:val="21"/>
              </w:rPr>
            </w:pPr>
          </w:p>
        </w:tc>
        <w:tc>
          <w:tcPr>
            <w:tcW w:w="1031" w:type="dxa"/>
            <w:noWrap w:val="0"/>
            <w:vAlign w:val="top"/>
          </w:tcPr>
          <w:p>
            <w:pPr>
              <w:spacing w:line="360" w:lineRule="auto"/>
              <w:ind w:firstLine="420" w:firstLineChars="200"/>
              <w:rPr>
                <w:rFonts w:hint="eastAsia" w:ascii="宋体" w:hAnsi="宋体"/>
                <w:szCs w:val="21"/>
              </w:rPr>
            </w:pPr>
          </w:p>
        </w:tc>
        <w:tc>
          <w:tcPr>
            <w:tcW w:w="778" w:type="dxa"/>
            <w:noWrap w:val="0"/>
            <w:vAlign w:val="top"/>
          </w:tcPr>
          <w:p>
            <w:pPr>
              <w:spacing w:line="360" w:lineRule="auto"/>
              <w:ind w:firstLine="420" w:firstLineChars="200"/>
              <w:rPr>
                <w:rFonts w:hint="eastAsia" w:ascii="宋体" w:hAnsi="宋体"/>
                <w:szCs w:val="21"/>
              </w:rPr>
            </w:pPr>
          </w:p>
        </w:tc>
        <w:tc>
          <w:tcPr>
            <w:tcW w:w="914" w:type="dxa"/>
            <w:noWrap w:val="0"/>
            <w:vAlign w:val="top"/>
          </w:tcPr>
          <w:p>
            <w:pPr>
              <w:spacing w:line="360" w:lineRule="auto"/>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79" w:hRule="atLeast"/>
        </w:trPr>
        <w:tc>
          <w:tcPr>
            <w:tcW w:w="626" w:type="dxa"/>
            <w:noWrap w:val="0"/>
            <w:vAlign w:val="top"/>
          </w:tcPr>
          <w:p>
            <w:pPr>
              <w:spacing w:line="360" w:lineRule="auto"/>
              <w:ind w:firstLine="420" w:firstLineChars="200"/>
              <w:rPr>
                <w:rFonts w:hint="eastAsia" w:ascii="宋体" w:hAnsi="宋体"/>
                <w:szCs w:val="21"/>
              </w:rPr>
            </w:pPr>
          </w:p>
        </w:tc>
        <w:tc>
          <w:tcPr>
            <w:tcW w:w="1223" w:type="dxa"/>
            <w:noWrap w:val="0"/>
            <w:vAlign w:val="top"/>
          </w:tcPr>
          <w:p>
            <w:pPr>
              <w:spacing w:line="360" w:lineRule="auto"/>
              <w:ind w:firstLine="420" w:firstLineChars="200"/>
              <w:rPr>
                <w:rFonts w:hint="eastAsia" w:ascii="宋体" w:hAnsi="宋体"/>
                <w:szCs w:val="21"/>
              </w:rPr>
            </w:pPr>
          </w:p>
        </w:tc>
        <w:tc>
          <w:tcPr>
            <w:tcW w:w="2250" w:type="dxa"/>
            <w:noWrap w:val="0"/>
            <w:vAlign w:val="top"/>
          </w:tcPr>
          <w:p>
            <w:pPr>
              <w:spacing w:line="360" w:lineRule="auto"/>
              <w:ind w:firstLine="420" w:firstLineChars="200"/>
              <w:rPr>
                <w:rFonts w:hint="eastAsia" w:ascii="宋体" w:hAnsi="宋体"/>
                <w:szCs w:val="21"/>
              </w:rPr>
            </w:pPr>
          </w:p>
        </w:tc>
        <w:tc>
          <w:tcPr>
            <w:tcW w:w="2181" w:type="dxa"/>
            <w:noWrap w:val="0"/>
            <w:vAlign w:val="top"/>
          </w:tcPr>
          <w:p>
            <w:pPr>
              <w:spacing w:line="360" w:lineRule="auto"/>
              <w:ind w:firstLine="420" w:firstLineChars="200"/>
              <w:rPr>
                <w:rFonts w:hint="eastAsia" w:ascii="宋体" w:hAnsi="宋体"/>
                <w:szCs w:val="21"/>
              </w:rPr>
            </w:pPr>
          </w:p>
        </w:tc>
        <w:tc>
          <w:tcPr>
            <w:tcW w:w="1031" w:type="dxa"/>
            <w:noWrap w:val="0"/>
            <w:vAlign w:val="top"/>
          </w:tcPr>
          <w:p>
            <w:pPr>
              <w:spacing w:line="360" w:lineRule="auto"/>
              <w:ind w:firstLine="420" w:firstLineChars="200"/>
              <w:rPr>
                <w:rFonts w:hint="eastAsia" w:ascii="宋体" w:hAnsi="宋体"/>
                <w:szCs w:val="21"/>
              </w:rPr>
            </w:pPr>
          </w:p>
        </w:tc>
        <w:tc>
          <w:tcPr>
            <w:tcW w:w="778" w:type="dxa"/>
            <w:noWrap w:val="0"/>
            <w:vAlign w:val="top"/>
          </w:tcPr>
          <w:p>
            <w:pPr>
              <w:spacing w:line="360" w:lineRule="auto"/>
              <w:ind w:firstLine="420" w:firstLineChars="200"/>
              <w:rPr>
                <w:rFonts w:hint="eastAsia" w:ascii="宋体" w:hAnsi="宋体"/>
                <w:szCs w:val="21"/>
              </w:rPr>
            </w:pPr>
          </w:p>
        </w:tc>
        <w:tc>
          <w:tcPr>
            <w:tcW w:w="914" w:type="dxa"/>
            <w:noWrap w:val="0"/>
            <w:vAlign w:val="top"/>
          </w:tcPr>
          <w:p>
            <w:pPr>
              <w:spacing w:line="360" w:lineRule="auto"/>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64" w:hRule="atLeast"/>
        </w:trPr>
        <w:tc>
          <w:tcPr>
            <w:tcW w:w="626" w:type="dxa"/>
            <w:noWrap w:val="0"/>
            <w:vAlign w:val="top"/>
          </w:tcPr>
          <w:p>
            <w:pPr>
              <w:spacing w:line="360" w:lineRule="auto"/>
              <w:ind w:firstLine="420" w:firstLineChars="200"/>
              <w:rPr>
                <w:rFonts w:hint="eastAsia" w:ascii="宋体" w:hAnsi="宋体"/>
                <w:szCs w:val="21"/>
              </w:rPr>
            </w:pPr>
          </w:p>
        </w:tc>
        <w:tc>
          <w:tcPr>
            <w:tcW w:w="1223" w:type="dxa"/>
            <w:noWrap w:val="0"/>
            <w:vAlign w:val="top"/>
          </w:tcPr>
          <w:p>
            <w:pPr>
              <w:spacing w:line="360" w:lineRule="auto"/>
              <w:ind w:firstLine="420" w:firstLineChars="200"/>
              <w:rPr>
                <w:rFonts w:hint="eastAsia" w:ascii="宋体" w:hAnsi="宋体"/>
                <w:szCs w:val="21"/>
              </w:rPr>
            </w:pPr>
          </w:p>
        </w:tc>
        <w:tc>
          <w:tcPr>
            <w:tcW w:w="2250" w:type="dxa"/>
            <w:noWrap w:val="0"/>
            <w:vAlign w:val="top"/>
          </w:tcPr>
          <w:p>
            <w:pPr>
              <w:spacing w:line="360" w:lineRule="auto"/>
              <w:ind w:firstLine="420" w:firstLineChars="200"/>
              <w:rPr>
                <w:rFonts w:hint="eastAsia" w:ascii="宋体" w:hAnsi="宋体"/>
                <w:szCs w:val="21"/>
              </w:rPr>
            </w:pPr>
          </w:p>
        </w:tc>
        <w:tc>
          <w:tcPr>
            <w:tcW w:w="2181" w:type="dxa"/>
            <w:noWrap w:val="0"/>
            <w:vAlign w:val="top"/>
          </w:tcPr>
          <w:p>
            <w:pPr>
              <w:spacing w:line="360" w:lineRule="auto"/>
              <w:ind w:firstLine="420" w:firstLineChars="200"/>
              <w:rPr>
                <w:rFonts w:hint="eastAsia" w:ascii="宋体" w:hAnsi="宋体"/>
                <w:szCs w:val="21"/>
              </w:rPr>
            </w:pPr>
          </w:p>
        </w:tc>
        <w:tc>
          <w:tcPr>
            <w:tcW w:w="1031" w:type="dxa"/>
            <w:noWrap w:val="0"/>
            <w:vAlign w:val="top"/>
          </w:tcPr>
          <w:p>
            <w:pPr>
              <w:spacing w:line="360" w:lineRule="auto"/>
              <w:ind w:firstLine="420" w:firstLineChars="200"/>
              <w:rPr>
                <w:rFonts w:hint="eastAsia" w:ascii="宋体" w:hAnsi="宋体"/>
                <w:szCs w:val="21"/>
              </w:rPr>
            </w:pPr>
          </w:p>
        </w:tc>
        <w:tc>
          <w:tcPr>
            <w:tcW w:w="778" w:type="dxa"/>
            <w:noWrap w:val="0"/>
            <w:vAlign w:val="top"/>
          </w:tcPr>
          <w:p>
            <w:pPr>
              <w:spacing w:line="360" w:lineRule="auto"/>
              <w:ind w:firstLine="420" w:firstLineChars="200"/>
              <w:rPr>
                <w:rFonts w:hint="eastAsia" w:ascii="宋体" w:hAnsi="宋体"/>
                <w:szCs w:val="21"/>
              </w:rPr>
            </w:pPr>
          </w:p>
        </w:tc>
        <w:tc>
          <w:tcPr>
            <w:tcW w:w="914" w:type="dxa"/>
            <w:noWrap w:val="0"/>
            <w:vAlign w:val="top"/>
          </w:tcPr>
          <w:p>
            <w:pPr>
              <w:spacing w:line="360" w:lineRule="auto"/>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79" w:hRule="atLeast"/>
        </w:trPr>
        <w:tc>
          <w:tcPr>
            <w:tcW w:w="626" w:type="dxa"/>
            <w:noWrap w:val="0"/>
            <w:vAlign w:val="top"/>
          </w:tcPr>
          <w:p>
            <w:pPr>
              <w:spacing w:line="360" w:lineRule="auto"/>
              <w:ind w:firstLine="420" w:firstLineChars="200"/>
              <w:rPr>
                <w:rFonts w:hint="eastAsia" w:ascii="宋体" w:hAnsi="宋体"/>
                <w:szCs w:val="21"/>
              </w:rPr>
            </w:pPr>
          </w:p>
        </w:tc>
        <w:tc>
          <w:tcPr>
            <w:tcW w:w="1223" w:type="dxa"/>
            <w:noWrap w:val="0"/>
            <w:vAlign w:val="top"/>
          </w:tcPr>
          <w:p>
            <w:pPr>
              <w:spacing w:line="360" w:lineRule="auto"/>
              <w:ind w:firstLine="420" w:firstLineChars="200"/>
              <w:rPr>
                <w:rFonts w:hint="eastAsia" w:ascii="宋体" w:hAnsi="宋体"/>
                <w:szCs w:val="21"/>
              </w:rPr>
            </w:pPr>
          </w:p>
        </w:tc>
        <w:tc>
          <w:tcPr>
            <w:tcW w:w="2250" w:type="dxa"/>
            <w:noWrap w:val="0"/>
            <w:vAlign w:val="top"/>
          </w:tcPr>
          <w:p>
            <w:pPr>
              <w:spacing w:line="360" w:lineRule="auto"/>
              <w:ind w:firstLine="420" w:firstLineChars="200"/>
              <w:rPr>
                <w:rFonts w:hint="eastAsia" w:ascii="宋体" w:hAnsi="宋体"/>
                <w:szCs w:val="21"/>
              </w:rPr>
            </w:pPr>
          </w:p>
        </w:tc>
        <w:tc>
          <w:tcPr>
            <w:tcW w:w="2181" w:type="dxa"/>
            <w:noWrap w:val="0"/>
            <w:vAlign w:val="top"/>
          </w:tcPr>
          <w:p>
            <w:pPr>
              <w:spacing w:line="360" w:lineRule="auto"/>
              <w:ind w:firstLine="420" w:firstLineChars="200"/>
              <w:rPr>
                <w:rFonts w:hint="eastAsia" w:ascii="宋体" w:hAnsi="宋体"/>
                <w:szCs w:val="21"/>
              </w:rPr>
            </w:pPr>
          </w:p>
        </w:tc>
        <w:tc>
          <w:tcPr>
            <w:tcW w:w="1031" w:type="dxa"/>
            <w:noWrap w:val="0"/>
            <w:vAlign w:val="top"/>
          </w:tcPr>
          <w:p>
            <w:pPr>
              <w:spacing w:line="360" w:lineRule="auto"/>
              <w:ind w:firstLine="420" w:firstLineChars="200"/>
              <w:rPr>
                <w:rFonts w:hint="eastAsia" w:ascii="宋体" w:hAnsi="宋体"/>
                <w:szCs w:val="21"/>
              </w:rPr>
            </w:pPr>
          </w:p>
        </w:tc>
        <w:tc>
          <w:tcPr>
            <w:tcW w:w="778" w:type="dxa"/>
            <w:noWrap w:val="0"/>
            <w:vAlign w:val="top"/>
          </w:tcPr>
          <w:p>
            <w:pPr>
              <w:spacing w:line="360" w:lineRule="auto"/>
              <w:ind w:firstLine="420" w:firstLineChars="200"/>
              <w:rPr>
                <w:rFonts w:hint="eastAsia" w:ascii="宋体" w:hAnsi="宋体"/>
                <w:szCs w:val="21"/>
              </w:rPr>
            </w:pPr>
          </w:p>
        </w:tc>
        <w:tc>
          <w:tcPr>
            <w:tcW w:w="914" w:type="dxa"/>
            <w:noWrap w:val="0"/>
            <w:vAlign w:val="top"/>
          </w:tcPr>
          <w:p>
            <w:pPr>
              <w:spacing w:line="360" w:lineRule="auto"/>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79" w:hRule="atLeast"/>
        </w:trPr>
        <w:tc>
          <w:tcPr>
            <w:tcW w:w="626" w:type="dxa"/>
            <w:noWrap w:val="0"/>
            <w:vAlign w:val="top"/>
          </w:tcPr>
          <w:p>
            <w:pPr>
              <w:spacing w:line="360" w:lineRule="auto"/>
              <w:ind w:firstLine="420" w:firstLineChars="200"/>
              <w:rPr>
                <w:rFonts w:hint="eastAsia" w:ascii="宋体" w:hAnsi="宋体"/>
                <w:szCs w:val="21"/>
              </w:rPr>
            </w:pPr>
          </w:p>
        </w:tc>
        <w:tc>
          <w:tcPr>
            <w:tcW w:w="1223" w:type="dxa"/>
            <w:noWrap w:val="0"/>
            <w:vAlign w:val="top"/>
          </w:tcPr>
          <w:p>
            <w:pPr>
              <w:spacing w:line="360" w:lineRule="auto"/>
              <w:ind w:firstLine="420" w:firstLineChars="200"/>
              <w:rPr>
                <w:rFonts w:hint="eastAsia" w:ascii="宋体" w:hAnsi="宋体"/>
                <w:szCs w:val="21"/>
              </w:rPr>
            </w:pPr>
          </w:p>
        </w:tc>
        <w:tc>
          <w:tcPr>
            <w:tcW w:w="2250" w:type="dxa"/>
            <w:noWrap w:val="0"/>
            <w:vAlign w:val="top"/>
          </w:tcPr>
          <w:p>
            <w:pPr>
              <w:spacing w:line="360" w:lineRule="auto"/>
              <w:ind w:firstLine="420" w:firstLineChars="200"/>
              <w:rPr>
                <w:rFonts w:hint="eastAsia" w:ascii="宋体" w:hAnsi="宋体"/>
                <w:szCs w:val="21"/>
              </w:rPr>
            </w:pPr>
          </w:p>
        </w:tc>
        <w:tc>
          <w:tcPr>
            <w:tcW w:w="2181" w:type="dxa"/>
            <w:noWrap w:val="0"/>
            <w:vAlign w:val="top"/>
          </w:tcPr>
          <w:p>
            <w:pPr>
              <w:spacing w:line="360" w:lineRule="auto"/>
              <w:ind w:firstLine="420" w:firstLineChars="200"/>
              <w:rPr>
                <w:rFonts w:hint="eastAsia" w:ascii="宋体" w:hAnsi="宋体"/>
                <w:szCs w:val="21"/>
              </w:rPr>
            </w:pPr>
          </w:p>
        </w:tc>
        <w:tc>
          <w:tcPr>
            <w:tcW w:w="1031" w:type="dxa"/>
            <w:noWrap w:val="0"/>
            <w:vAlign w:val="top"/>
          </w:tcPr>
          <w:p>
            <w:pPr>
              <w:spacing w:line="360" w:lineRule="auto"/>
              <w:ind w:firstLine="420" w:firstLineChars="200"/>
              <w:rPr>
                <w:rFonts w:hint="eastAsia" w:ascii="宋体" w:hAnsi="宋体"/>
                <w:szCs w:val="21"/>
              </w:rPr>
            </w:pPr>
          </w:p>
        </w:tc>
        <w:tc>
          <w:tcPr>
            <w:tcW w:w="778" w:type="dxa"/>
            <w:noWrap w:val="0"/>
            <w:vAlign w:val="top"/>
          </w:tcPr>
          <w:p>
            <w:pPr>
              <w:spacing w:line="360" w:lineRule="auto"/>
              <w:ind w:firstLine="420" w:firstLineChars="200"/>
              <w:rPr>
                <w:rFonts w:hint="eastAsia" w:ascii="宋体" w:hAnsi="宋体"/>
                <w:szCs w:val="21"/>
              </w:rPr>
            </w:pPr>
          </w:p>
        </w:tc>
        <w:tc>
          <w:tcPr>
            <w:tcW w:w="914" w:type="dxa"/>
            <w:noWrap w:val="0"/>
            <w:vAlign w:val="top"/>
          </w:tcPr>
          <w:p>
            <w:pPr>
              <w:spacing w:line="360" w:lineRule="auto"/>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79" w:hRule="atLeast"/>
        </w:trPr>
        <w:tc>
          <w:tcPr>
            <w:tcW w:w="626" w:type="dxa"/>
            <w:noWrap w:val="0"/>
            <w:vAlign w:val="top"/>
          </w:tcPr>
          <w:p>
            <w:pPr>
              <w:spacing w:line="360" w:lineRule="auto"/>
              <w:ind w:firstLine="420" w:firstLineChars="200"/>
              <w:rPr>
                <w:rFonts w:hint="eastAsia" w:ascii="宋体" w:hAnsi="宋体"/>
                <w:szCs w:val="21"/>
              </w:rPr>
            </w:pPr>
          </w:p>
        </w:tc>
        <w:tc>
          <w:tcPr>
            <w:tcW w:w="1223" w:type="dxa"/>
            <w:noWrap w:val="0"/>
            <w:vAlign w:val="top"/>
          </w:tcPr>
          <w:p>
            <w:pPr>
              <w:spacing w:line="360" w:lineRule="auto"/>
              <w:ind w:firstLine="420" w:firstLineChars="200"/>
              <w:rPr>
                <w:rFonts w:hint="eastAsia" w:ascii="宋体" w:hAnsi="宋体"/>
                <w:szCs w:val="21"/>
              </w:rPr>
            </w:pPr>
          </w:p>
        </w:tc>
        <w:tc>
          <w:tcPr>
            <w:tcW w:w="2250" w:type="dxa"/>
            <w:noWrap w:val="0"/>
            <w:vAlign w:val="top"/>
          </w:tcPr>
          <w:p>
            <w:pPr>
              <w:spacing w:line="360" w:lineRule="auto"/>
              <w:ind w:firstLine="420" w:firstLineChars="200"/>
              <w:rPr>
                <w:rFonts w:hint="eastAsia" w:ascii="宋体" w:hAnsi="宋体"/>
                <w:szCs w:val="21"/>
              </w:rPr>
            </w:pPr>
          </w:p>
        </w:tc>
        <w:tc>
          <w:tcPr>
            <w:tcW w:w="2181" w:type="dxa"/>
            <w:noWrap w:val="0"/>
            <w:vAlign w:val="top"/>
          </w:tcPr>
          <w:p>
            <w:pPr>
              <w:spacing w:line="360" w:lineRule="auto"/>
              <w:ind w:firstLine="420" w:firstLineChars="200"/>
              <w:rPr>
                <w:rFonts w:hint="eastAsia" w:ascii="宋体" w:hAnsi="宋体"/>
                <w:szCs w:val="21"/>
              </w:rPr>
            </w:pPr>
          </w:p>
        </w:tc>
        <w:tc>
          <w:tcPr>
            <w:tcW w:w="1031" w:type="dxa"/>
            <w:noWrap w:val="0"/>
            <w:vAlign w:val="top"/>
          </w:tcPr>
          <w:p>
            <w:pPr>
              <w:spacing w:line="360" w:lineRule="auto"/>
              <w:ind w:firstLine="420" w:firstLineChars="200"/>
              <w:rPr>
                <w:rFonts w:hint="eastAsia" w:ascii="宋体" w:hAnsi="宋体"/>
                <w:szCs w:val="21"/>
              </w:rPr>
            </w:pPr>
          </w:p>
        </w:tc>
        <w:tc>
          <w:tcPr>
            <w:tcW w:w="778" w:type="dxa"/>
            <w:noWrap w:val="0"/>
            <w:vAlign w:val="top"/>
          </w:tcPr>
          <w:p>
            <w:pPr>
              <w:spacing w:line="360" w:lineRule="auto"/>
              <w:ind w:firstLine="420" w:firstLineChars="200"/>
              <w:rPr>
                <w:rFonts w:hint="eastAsia" w:ascii="宋体" w:hAnsi="宋体"/>
                <w:szCs w:val="21"/>
              </w:rPr>
            </w:pPr>
          </w:p>
        </w:tc>
        <w:tc>
          <w:tcPr>
            <w:tcW w:w="914" w:type="dxa"/>
            <w:noWrap w:val="0"/>
            <w:vAlign w:val="top"/>
          </w:tcPr>
          <w:p>
            <w:pPr>
              <w:spacing w:line="360" w:lineRule="auto"/>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79" w:hRule="atLeast"/>
        </w:trPr>
        <w:tc>
          <w:tcPr>
            <w:tcW w:w="626" w:type="dxa"/>
            <w:noWrap w:val="0"/>
            <w:vAlign w:val="top"/>
          </w:tcPr>
          <w:p>
            <w:pPr>
              <w:spacing w:line="360" w:lineRule="auto"/>
              <w:ind w:firstLine="420" w:firstLineChars="200"/>
              <w:rPr>
                <w:rFonts w:hint="eastAsia" w:ascii="宋体" w:hAnsi="宋体"/>
                <w:szCs w:val="21"/>
              </w:rPr>
            </w:pPr>
          </w:p>
        </w:tc>
        <w:tc>
          <w:tcPr>
            <w:tcW w:w="1223" w:type="dxa"/>
            <w:noWrap w:val="0"/>
            <w:vAlign w:val="top"/>
          </w:tcPr>
          <w:p>
            <w:pPr>
              <w:spacing w:line="360" w:lineRule="auto"/>
              <w:ind w:firstLine="420" w:firstLineChars="200"/>
              <w:rPr>
                <w:rFonts w:hint="eastAsia" w:ascii="宋体" w:hAnsi="宋体"/>
                <w:szCs w:val="21"/>
              </w:rPr>
            </w:pPr>
          </w:p>
        </w:tc>
        <w:tc>
          <w:tcPr>
            <w:tcW w:w="2250" w:type="dxa"/>
            <w:noWrap w:val="0"/>
            <w:vAlign w:val="top"/>
          </w:tcPr>
          <w:p>
            <w:pPr>
              <w:spacing w:line="360" w:lineRule="auto"/>
              <w:ind w:firstLine="420" w:firstLineChars="200"/>
              <w:rPr>
                <w:rFonts w:hint="eastAsia" w:ascii="宋体" w:hAnsi="宋体"/>
                <w:szCs w:val="21"/>
              </w:rPr>
            </w:pPr>
          </w:p>
        </w:tc>
        <w:tc>
          <w:tcPr>
            <w:tcW w:w="2181" w:type="dxa"/>
            <w:noWrap w:val="0"/>
            <w:vAlign w:val="top"/>
          </w:tcPr>
          <w:p>
            <w:pPr>
              <w:spacing w:line="360" w:lineRule="auto"/>
              <w:ind w:firstLine="420" w:firstLineChars="200"/>
              <w:rPr>
                <w:rFonts w:hint="eastAsia" w:ascii="宋体" w:hAnsi="宋体"/>
                <w:szCs w:val="21"/>
              </w:rPr>
            </w:pPr>
          </w:p>
        </w:tc>
        <w:tc>
          <w:tcPr>
            <w:tcW w:w="1031" w:type="dxa"/>
            <w:noWrap w:val="0"/>
            <w:vAlign w:val="top"/>
          </w:tcPr>
          <w:p>
            <w:pPr>
              <w:spacing w:line="360" w:lineRule="auto"/>
              <w:ind w:firstLine="420" w:firstLineChars="200"/>
              <w:rPr>
                <w:rFonts w:hint="eastAsia" w:ascii="宋体" w:hAnsi="宋体"/>
                <w:szCs w:val="21"/>
              </w:rPr>
            </w:pPr>
          </w:p>
        </w:tc>
        <w:tc>
          <w:tcPr>
            <w:tcW w:w="778" w:type="dxa"/>
            <w:noWrap w:val="0"/>
            <w:vAlign w:val="top"/>
          </w:tcPr>
          <w:p>
            <w:pPr>
              <w:spacing w:line="360" w:lineRule="auto"/>
              <w:ind w:firstLine="420" w:firstLineChars="200"/>
              <w:rPr>
                <w:rFonts w:hint="eastAsia" w:ascii="宋体" w:hAnsi="宋体"/>
                <w:szCs w:val="21"/>
              </w:rPr>
            </w:pPr>
          </w:p>
        </w:tc>
        <w:tc>
          <w:tcPr>
            <w:tcW w:w="914" w:type="dxa"/>
            <w:noWrap w:val="0"/>
            <w:vAlign w:val="top"/>
          </w:tcPr>
          <w:p>
            <w:pPr>
              <w:spacing w:line="360" w:lineRule="auto"/>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79" w:hRule="atLeast"/>
        </w:trPr>
        <w:tc>
          <w:tcPr>
            <w:tcW w:w="626" w:type="dxa"/>
            <w:noWrap w:val="0"/>
            <w:vAlign w:val="top"/>
          </w:tcPr>
          <w:p>
            <w:pPr>
              <w:spacing w:line="360" w:lineRule="auto"/>
              <w:ind w:firstLine="420" w:firstLineChars="200"/>
              <w:rPr>
                <w:rFonts w:hint="eastAsia" w:ascii="宋体" w:hAnsi="宋体"/>
                <w:szCs w:val="21"/>
              </w:rPr>
            </w:pPr>
          </w:p>
        </w:tc>
        <w:tc>
          <w:tcPr>
            <w:tcW w:w="1223" w:type="dxa"/>
            <w:noWrap w:val="0"/>
            <w:vAlign w:val="top"/>
          </w:tcPr>
          <w:p>
            <w:pPr>
              <w:spacing w:line="360" w:lineRule="auto"/>
              <w:ind w:firstLine="420" w:firstLineChars="200"/>
              <w:rPr>
                <w:rFonts w:hint="eastAsia" w:ascii="宋体" w:hAnsi="宋体"/>
                <w:szCs w:val="21"/>
              </w:rPr>
            </w:pPr>
          </w:p>
        </w:tc>
        <w:tc>
          <w:tcPr>
            <w:tcW w:w="2250" w:type="dxa"/>
            <w:noWrap w:val="0"/>
            <w:vAlign w:val="top"/>
          </w:tcPr>
          <w:p>
            <w:pPr>
              <w:spacing w:line="360" w:lineRule="auto"/>
              <w:ind w:firstLine="420" w:firstLineChars="200"/>
              <w:rPr>
                <w:rFonts w:hint="eastAsia" w:ascii="宋体" w:hAnsi="宋体"/>
                <w:szCs w:val="21"/>
              </w:rPr>
            </w:pPr>
          </w:p>
        </w:tc>
        <w:tc>
          <w:tcPr>
            <w:tcW w:w="2181" w:type="dxa"/>
            <w:noWrap w:val="0"/>
            <w:vAlign w:val="top"/>
          </w:tcPr>
          <w:p>
            <w:pPr>
              <w:spacing w:line="360" w:lineRule="auto"/>
              <w:ind w:firstLine="420" w:firstLineChars="200"/>
              <w:rPr>
                <w:rFonts w:hint="eastAsia" w:ascii="宋体" w:hAnsi="宋体"/>
                <w:szCs w:val="21"/>
              </w:rPr>
            </w:pPr>
          </w:p>
        </w:tc>
        <w:tc>
          <w:tcPr>
            <w:tcW w:w="1031" w:type="dxa"/>
            <w:noWrap w:val="0"/>
            <w:vAlign w:val="top"/>
          </w:tcPr>
          <w:p>
            <w:pPr>
              <w:spacing w:line="360" w:lineRule="auto"/>
              <w:ind w:firstLine="420" w:firstLineChars="200"/>
              <w:rPr>
                <w:rFonts w:hint="eastAsia" w:ascii="宋体" w:hAnsi="宋体"/>
                <w:szCs w:val="21"/>
              </w:rPr>
            </w:pPr>
          </w:p>
        </w:tc>
        <w:tc>
          <w:tcPr>
            <w:tcW w:w="778" w:type="dxa"/>
            <w:noWrap w:val="0"/>
            <w:vAlign w:val="top"/>
          </w:tcPr>
          <w:p>
            <w:pPr>
              <w:spacing w:line="360" w:lineRule="auto"/>
              <w:ind w:firstLine="420" w:firstLineChars="200"/>
              <w:rPr>
                <w:rFonts w:hint="eastAsia" w:ascii="宋体" w:hAnsi="宋体"/>
                <w:szCs w:val="21"/>
              </w:rPr>
            </w:pPr>
          </w:p>
        </w:tc>
        <w:tc>
          <w:tcPr>
            <w:tcW w:w="914" w:type="dxa"/>
            <w:noWrap w:val="0"/>
            <w:vAlign w:val="top"/>
          </w:tcPr>
          <w:p>
            <w:pPr>
              <w:spacing w:line="360" w:lineRule="auto"/>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79" w:hRule="atLeast"/>
        </w:trPr>
        <w:tc>
          <w:tcPr>
            <w:tcW w:w="626" w:type="dxa"/>
            <w:noWrap w:val="0"/>
            <w:vAlign w:val="top"/>
          </w:tcPr>
          <w:p>
            <w:pPr>
              <w:spacing w:line="360" w:lineRule="auto"/>
              <w:ind w:firstLine="420" w:firstLineChars="200"/>
              <w:rPr>
                <w:rFonts w:hint="eastAsia" w:ascii="宋体" w:hAnsi="宋体"/>
                <w:szCs w:val="21"/>
              </w:rPr>
            </w:pPr>
          </w:p>
        </w:tc>
        <w:tc>
          <w:tcPr>
            <w:tcW w:w="1223" w:type="dxa"/>
            <w:noWrap w:val="0"/>
            <w:vAlign w:val="top"/>
          </w:tcPr>
          <w:p>
            <w:pPr>
              <w:spacing w:line="360" w:lineRule="auto"/>
              <w:ind w:firstLine="420" w:firstLineChars="200"/>
              <w:rPr>
                <w:rFonts w:hint="eastAsia" w:ascii="宋体" w:hAnsi="宋体"/>
                <w:szCs w:val="21"/>
              </w:rPr>
            </w:pPr>
          </w:p>
        </w:tc>
        <w:tc>
          <w:tcPr>
            <w:tcW w:w="2250" w:type="dxa"/>
            <w:noWrap w:val="0"/>
            <w:vAlign w:val="top"/>
          </w:tcPr>
          <w:p>
            <w:pPr>
              <w:spacing w:line="360" w:lineRule="auto"/>
              <w:ind w:firstLine="420" w:firstLineChars="200"/>
              <w:rPr>
                <w:rFonts w:hint="eastAsia" w:ascii="宋体" w:hAnsi="宋体"/>
                <w:szCs w:val="21"/>
              </w:rPr>
            </w:pPr>
          </w:p>
        </w:tc>
        <w:tc>
          <w:tcPr>
            <w:tcW w:w="2181" w:type="dxa"/>
            <w:noWrap w:val="0"/>
            <w:vAlign w:val="top"/>
          </w:tcPr>
          <w:p>
            <w:pPr>
              <w:spacing w:line="360" w:lineRule="auto"/>
              <w:ind w:firstLine="420" w:firstLineChars="200"/>
              <w:rPr>
                <w:rFonts w:hint="eastAsia" w:ascii="宋体" w:hAnsi="宋体"/>
                <w:szCs w:val="21"/>
              </w:rPr>
            </w:pPr>
          </w:p>
        </w:tc>
        <w:tc>
          <w:tcPr>
            <w:tcW w:w="1031" w:type="dxa"/>
            <w:noWrap w:val="0"/>
            <w:vAlign w:val="top"/>
          </w:tcPr>
          <w:p>
            <w:pPr>
              <w:spacing w:line="360" w:lineRule="auto"/>
              <w:ind w:firstLine="420" w:firstLineChars="200"/>
              <w:rPr>
                <w:rFonts w:hint="eastAsia" w:ascii="宋体" w:hAnsi="宋体"/>
                <w:szCs w:val="21"/>
              </w:rPr>
            </w:pPr>
          </w:p>
        </w:tc>
        <w:tc>
          <w:tcPr>
            <w:tcW w:w="778" w:type="dxa"/>
            <w:noWrap w:val="0"/>
            <w:vAlign w:val="top"/>
          </w:tcPr>
          <w:p>
            <w:pPr>
              <w:spacing w:line="360" w:lineRule="auto"/>
              <w:ind w:firstLine="420" w:firstLineChars="200"/>
              <w:rPr>
                <w:rFonts w:hint="eastAsia" w:ascii="宋体" w:hAnsi="宋体"/>
                <w:szCs w:val="21"/>
              </w:rPr>
            </w:pPr>
          </w:p>
        </w:tc>
        <w:tc>
          <w:tcPr>
            <w:tcW w:w="914" w:type="dxa"/>
            <w:noWrap w:val="0"/>
            <w:vAlign w:val="top"/>
          </w:tcPr>
          <w:p>
            <w:pPr>
              <w:spacing w:line="360" w:lineRule="auto"/>
              <w:ind w:firstLine="420" w:firstLineChars="200"/>
              <w:rPr>
                <w:rFonts w:hint="eastAsia" w:ascii="宋体" w:hAnsi="宋体"/>
                <w:szCs w:val="21"/>
              </w:rPr>
            </w:pPr>
          </w:p>
        </w:tc>
      </w:tr>
    </w:tbl>
    <w:p>
      <w:pPr>
        <w:spacing w:line="360" w:lineRule="auto"/>
        <w:ind w:firstLine="420" w:firstLineChars="200"/>
        <w:rPr>
          <w:rFonts w:hint="eastAsia" w:ascii="宋体" w:hAnsi="宋体"/>
          <w:szCs w:val="21"/>
        </w:rPr>
      </w:pPr>
      <w:r>
        <w:rPr>
          <w:rFonts w:hint="eastAsia" w:ascii="宋体" w:hAnsi="宋体"/>
          <w:szCs w:val="21"/>
        </w:rPr>
        <w:t xml:space="preserve">                                           投标人代表签名：</w:t>
      </w:r>
    </w:p>
    <w:p>
      <w:pPr>
        <w:spacing w:line="360" w:lineRule="auto"/>
        <w:ind w:firstLine="420" w:firstLineChars="200"/>
        <w:rPr>
          <w:rFonts w:hint="eastAsia" w:ascii="宋体" w:hAnsi="宋体"/>
          <w:szCs w:val="21"/>
        </w:rPr>
      </w:pPr>
      <w:r>
        <w:rPr>
          <w:rFonts w:hint="eastAsia" w:ascii="宋体" w:hAnsi="宋体"/>
          <w:szCs w:val="21"/>
        </w:rPr>
        <w:t xml:space="preserve">                                           投标人盖章：</w:t>
      </w:r>
    </w:p>
    <w:p>
      <w:pPr>
        <w:spacing w:line="360" w:lineRule="auto"/>
        <w:ind w:firstLine="420" w:firstLineChars="200"/>
        <w:rPr>
          <w:rFonts w:hint="eastAsia"/>
          <w:szCs w:val="21"/>
        </w:rPr>
      </w:pPr>
      <w:r>
        <w:rPr>
          <w:rFonts w:hint="eastAsia"/>
          <w:szCs w:val="21"/>
        </w:rPr>
        <w:t xml:space="preserve">                                           日      期：</w:t>
      </w:r>
    </w:p>
    <w:p>
      <w:pPr>
        <w:spacing w:line="360" w:lineRule="auto"/>
        <w:jc w:val="center"/>
        <w:rPr>
          <w:rFonts w:hint="eastAsia" w:eastAsia="楷体_GB2312"/>
          <w:b/>
          <w:bCs/>
          <w:szCs w:val="28"/>
        </w:rPr>
      </w:pPr>
    </w:p>
    <w:p>
      <w:pPr>
        <w:spacing w:line="360" w:lineRule="auto"/>
        <w:jc w:val="center"/>
        <w:rPr>
          <w:rFonts w:hint="eastAsia" w:eastAsia="楷体_GB2312"/>
          <w:b/>
          <w:bCs/>
          <w:szCs w:val="28"/>
        </w:rPr>
        <w:sectPr>
          <w:pgSz w:w="11906" w:h="16838"/>
          <w:pgMar w:top="1474" w:right="1134" w:bottom="1134" w:left="1361" w:header="851" w:footer="992" w:gutter="0"/>
          <w:cols w:space="720" w:num="1"/>
          <w:docGrid w:linePitch="602" w:charSpace="-1675"/>
        </w:sectPr>
      </w:pPr>
    </w:p>
    <w:p>
      <w:pPr>
        <w:spacing w:line="360" w:lineRule="auto"/>
        <w:jc w:val="center"/>
        <w:rPr>
          <w:rFonts w:hint="eastAsia" w:eastAsia="楷体_GB2312"/>
          <w:b/>
          <w:bCs/>
          <w:szCs w:val="28"/>
        </w:rPr>
      </w:pPr>
      <w:r>
        <w:rPr>
          <w:rFonts w:hint="eastAsia" w:eastAsia="楷体_GB2312"/>
          <w:b/>
          <w:bCs/>
          <w:szCs w:val="28"/>
        </w:rPr>
        <w:t>商 务 偏</w:t>
      </w:r>
      <w:r>
        <w:rPr>
          <w:rFonts w:eastAsia="楷体_GB2312"/>
          <w:b/>
          <w:bCs/>
          <w:szCs w:val="28"/>
        </w:rPr>
        <w:t xml:space="preserve"> </w:t>
      </w:r>
      <w:r>
        <w:rPr>
          <w:rFonts w:hint="eastAsia" w:eastAsia="楷体_GB2312"/>
          <w:b/>
          <w:bCs/>
          <w:szCs w:val="28"/>
        </w:rPr>
        <w:t>离</w:t>
      </w:r>
      <w:r>
        <w:rPr>
          <w:rFonts w:eastAsia="楷体_GB2312"/>
          <w:b/>
          <w:bCs/>
          <w:szCs w:val="28"/>
        </w:rPr>
        <w:t xml:space="preserve"> </w:t>
      </w:r>
      <w:r>
        <w:rPr>
          <w:rFonts w:hint="eastAsia" w:eastAsia="楷体_GB2312"/>
          <w:b/>
          <w:bCs/>
          <w:szCs w:val="28"/>
        </w:rPr>
        <w:t>表</w:t>
      </w:r>
    </w:p>
    <w:p>
      <w:pPr>
        <w:spacing w:line="360" w:lineRule="auto"/>
        <w:jc w:val="center"/>
        <w:rPr>
          <w:rFonts w:hint="eastAsia"/>
          <w:b/>
          <w:bCs/>
          <w:szCs w:val="21"/>
          <w:u w:val="single"/>
        </w:rPr>
      </w:pPr>
      <w:r>
        <w:rPr>
          <w:rFonts w:hint="eastAsia"/>
          <w:b/>
          <w:bCs/>
          <w:szCs w:val="21"/>
        </w:rPr>
        <w:t>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2045"/>
        <w:gridCol w:w="2629"/>
        <w:gridCol w:w="2426"/>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2" w:hRule="atLeas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20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内容</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招标文件</w:t>
            </w:r>
          </w:p>
          <w:p>
            <w:pPr>
              <w:spacing w:line="360" w:lineRule="auto"/>
              <w:jc w:val="center"/>
              <w:rPr>
                <w:rFonts w:ascii="宋体" w:hAnsi="宋体"/>
                <w:szCs w:val="21"/>
              </w:rPr>
            </w:pPr>
            <w:r>
              <w:rPr>
                <w:rFonts w:hint="eastAsia" w:ascii="宋体" w:hAnsi="宋体"/>
                <w:szCs w:val="21"/>
              </w:rPr>
              <w:t>规范要求</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投标文件</w:t>
            </w:r>
          </w:p>
          <w:p>
            <w:pPr>
              <w:spacing w:line="360" w:lineRule="auto"/>
              <w:jc w:val="center"/>
              <w:rPr>
                <w:rFonts w:ascii="宋体" w:hAnsi="宋体"/>
                <w:szCs w:val="21"/>
              </w:rPr>
            </w:pPr>
            <w:r>
              <w:rPr>
                <w:rFonts w:hint="eastAsia" w:ascii="宋体" w:hAnsi="宋体"/>
                <w:szCs w:val="21"/>
              </w:rPr>
              <w:t>对应规范</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备</w:t>
            </w:r>
            <w:r>
              <w:rPr>
                <w:rFonts w:ascii="宋体" w:hAnsi="宋体"/>
                <w:szCs w:val="21"/>
              </w:rPr>
              <w:t xml:space="preserve"> </w:t>
            </w:r>
            <w:r>
              <w:rPr>
                <w:rFonts w:hint="eastAsia" w:ascii="宋体" w:hAnsi="宋体"/>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95" w:hRule="atLeast"/>
          <w:jc w:val="center"/>
        </w:trPr>
        <w:tc>
          <w:tcPr>
            <w:tcW w:w="89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Cs w:val="21"/>
              </w:rPr>
            </w:pPr>
          </w:p>
        </w:tc>
        <w:tc>
          <w:tcPr>
            <w:tcW w:w="204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Cs w:val="21"/>
              </w:rPr>
            </w:pPr>
          </w:p>
        </w:tc>
        <w:tc>
          <w:tcPr>
            <w:tcW w:w="26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Cs w:val="21"/>
              </w:rPr>
            </w:pPr>
          </w:p>
        </w:tc>
        <w:tc>
          <w:tcPr>
            <w:tcW w:w="242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Cs w:val="21"/>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95" w:hRule="atLeast"/>
          <w:jc w:val="center"/>
        </w:trPr>
        <w:tc>
          <w:tcPr>
            <w:tcW w:w="89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Cs w:val="21"/>
              </w:rPr>
            </w:pPr>
          </w:p>
        </w:tc>
        <w:tc>
          <w:tcPr>
            <w:tcW w:w="204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Cs w:val="21"/>
              </w:rPr>
            </w:pPr>
          </w:p>
        </w:tc>
        <w:tc>
          <w:tcPr>
            <w:tcW w:w="26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Cs w:val="21"/>
              </w:rPr>
            </w:pPr>
          </w:p>
        </w:tc>
        <w:tc>
          <w:tcPr>
            <w:tcW w:w="242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Cs w:val="21"/>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95" w:hRule="atLeast"/>
          <w:jc w:val="center"/>
        </w:trPr>
        <w:tc>
          <w:tcPr>
            <w:tcW w:w="89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Cs w:val="21"/>
              </w:rPr>
            </w:pPr>
          </w:p>
        </w:tc>
        <w:tc>
          <w:tcPr>
            <w:tcW w:w="204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Cs w:val="21"/>
              </w:rPr>
            </w:pPr>
          </w:p>
        </w:tc>
        <w:tc>
          <w:tcPr>
            <w:tcW w:w="26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Cs w:val="21"/>
              </w:rPr>
            </w:pPr>
          </w:p>
        </w:tc>
        <w:tc>
          <w:tcPr>
            <w:tcW w:w="242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Cs w:val="21"/>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95" w:hRule="atLeast"/>
          <w:jc w:val="center"/>
        </w:trPr>
        <w:tc>
          <w:tcPr>
            <w:tcW w:w="89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Cs w:val="21"/>
              </w:rPr>
            </w:pPr>
          </w:p>
        </w:tc>
        <w:tc>
          <w:tcPr>
            <w:tcW w:w="204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Cs w:val="21"/>
              </w:rPr>
            </w:pPr>
          </w:p>
        </w:tc>
        <w:tc>
          <w:tcPr>
            <w:tcW w:w="26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Cs w:val="21"/>
              </w:rPr>
            </w:pPr>
          </w:p>
        </w:tc>
        <w:tc>
          <w:tcPr>
            <w:tcW w:w="242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Cs w:val="21"/>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95" w:hRule="atLeast"/>
          <w:jc w:val="center"/>
        </w:trPr>
        <w:tc>
          <w:tcPr>
            <w:tcW w:w="89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Cs w:val="21"/>
              </w:rPr>
            </w:pPr>
          </w:p>
        </w:tc>
        <w:tc>
          <w:tcPr>
            <w:tcW w:w="204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Cs w:val="21"/>
              </w:rPr>
            </w:pPr>
          </w:p>
        </w:tc>
        <w:tc>
          <w:tcPr>
            <w:tcW w:w="26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Cs w:val="21"/>
              </w:rPr>
            </w:pPr>
          </w:p>
        </w:tc>
        <w:tc>
          <w:tcPr>
            <w:tcW w:w="242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Cs w:val="21"/>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95" w:hRule="atLeast"/>
          <w:jc w:val="center"/>
        </w:trPr>
        <w:tc>
          <w:tcPr>
            <w:tcW w:w="89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Cs w:val="21"/>
              </w:rPr>
            </w:pPr>
          </w:p>
        </w:tc>
        <w:tc>
          <w:tcPr>
            <w:tcW w:w="204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Cs w:val="21"/>
              </w:rPr>
            </w:pPr>
          </w:p>
        </w:tc>
        <w:tc>
          <w:tcPr>
            <w:tcW w:w="26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Cs w:val="21"/>
              </w:rPr>
            </w:pPr>
          </w:p>
        </w:tc>
        <w:tc>
          <w:tcPr>
            <w:tcW w:w="242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Cs w:val="21"/>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95" w:hRule="atLeast"/>
          <w:jc w:val="center"/>
        </w:trPr>
        <w:tc>
          <w:tcPr>
            <w:tcW w:w="89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Cs w:val="21"/>
              </w:rPr>
            </w:pPr>
          </w:p>
        </w:tc>
        <w:tc>
          <w:tcPr>
            <w:tcW w:w="204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Cs w:val="21"/>
              </w:rPr>
            </w:pPr>
          </w:p>
        </w:tc>
        <w:tc>
          <w:tcPr>
            <w:tcW w:w="26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Cs w:val="21"/>
              </w:rPr>
            </w:pPr>
          </w:p>
        </w:tc>
        <w:tc>
          <w:tcPr>
            <w:tcW w:w="242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Cs w:val="21"/>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szCs w:val="21"/>
              </w:rPr>
            </w:pPr>
          </w:p>
        </w:tc>
      </w:tr>
    </w:tbl>
    <w:p>
      <w:pPr>
        <w:spacing w:line="360" w:lineRule="auto"/>
        <w:ind w:firstLine="420" w:firstLineChars="200"/>
        <w:rPr>
          <w:rFonts w:ascii="宋体" w:hAnsi="宋体"/>
          <w:szCs w:val="21"/>
        </w:rPr>
      </w:pPr>
    </w:p>
    <w:p>
      <w:pPr>
        <w:spacing w:line="360" w:lineRule="auto"/>
        <w:ind w:firstLine="420" w:firstLineChars="200"/>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935" w:firstLineChars="2350"/>
        <w:rPr>
          <w:rFonts w:hint="eastAsia" w:ascii="宋体" w:hAnsi="宋体"/>
          <w:szCs w:val="21"/>
        </w:rPr>
      </w:pPr>
      <w:r>
        <w:rPr>
          <w:rFonts w:hint="eastAsia" w:ascii="宋体" w:hAnsi="宋体"/>
          <w:szCs w:val="21"/>
        </w:rPr>
        <w:t>投标人代表签名：</w:t>
      </w:r>
    </w:p>
    <w:p>
      <w:pPr>
        <w:spacing w:line="360" w:lineRule="auto"/>
        <w:ind w:firstLine="420" w:firstLineChars="200"/>
        <w:rPr>
          <w:rFonts w:hint="eastAsia" w:ascii="宋体" w:hAnsi="宋体"/>
          <w:szCs w:val="21"/>
        </w:rPr>
      </w:pPr>
      <w:r>
        <w:rPr>
          <w:rFonts w:hint="eastAsia" w:ascii="宋体" w:hAnsi="宋体"/>
          <w:szCs w:val="21"/>
        </w:rPr>
        <w:t xml:space="preserve">                                           投标人盖章：</w:t>
      </w:r>
    </w:p>
    <w:p>
      <w:pPr>
        <w:spacing w:line="360" w:lineRule="auto"/>
        <w:ind w:firstLine="420" w:firstLineChars="200"/>
        <w:rPr>
          <w:rFonts w:hint="eastAsia"/>
          <w:szCs w:val="21"/>
        </w:rPr>
      </w:pPr>
      <w:r>
        <w:rPr>
          <w:rFonts w:hint="eastAsia"/>
          <w:szCs w:val="21"/>
        </w:rPr>
        <w:t xml:space="preserve">                                           日      期：</w:t>
      </w:r>
    </w:p>
    <w:p>
      <w:pPr>
        <w:spacing w:line="360" w:lineRule="auto"/>
        <w:rPr>
          <w:rFonts w:hint="eastAsia"/>
          <w:szCs w:val="21"/>
        </w:rPr>
      </w:pPr>
    </w:p>
    <w:p>
      <w:pPr>
        <w:spacing w:line="360" w:lineRule="auto"/>
        <w:jc w:val="center"/>
        <w:rPr>
          <w:rFonts w:hint="eastAsia" w:eastAsia="楷体_GB2312"/>
          <w:b/>
          <w:bCs/>
          <w:szCs w:val="28"/>
        </w:rPr>
      </w:pPr>
      <w:r>
        <w:rPr>
          <w:rFonts w:hint="eastAsia" w:eastAsia="楷体_GB2312"/>
          <w:b/>
          <w:bCs/>
          <w:szCs w:val="28"/>
        </w:rPr>
        <w:br w:type="page"/>
      </w:r>
      <w:r>
        <w:rPr>
          <w:rFonts w:hint="eastAsia" w:eastAsia="楷体_GB2312"/>
          <w:b/>
          <w:bCs/>
          <w:szCs w:val="28"/>
        </w:rPr>
        <w:t>售后服务承诺书</w:t>
      </w:r>
    </w:p>
    <w:p>
      <w:pPr>
        <w:spacing w:line="360" w:lineRule="auto"/>
        <w:ind w:firstLine="480"/>
        <w:rPr>
          <w:rFonts w:ascii="宋体" w:hAnsi="宋体"/>
          <w:szCs w:val="21"/>
        </w:rPr>
      </w:pPr>
      <w:r>
        <w:rPr>
          <w:rFonts w:ascii="宋体" w:hAnsi="宋体"/>
          <w:szCs w:val="21"/>
        </w:rPr>
        <w:t>1</w:t>
      </w:r>
      <w:r>
        <w:rPr>
          <w:rFonts w:hint="eastAsia" w:ascii="宋体" w:hAnsi="宋体"/>
          <w:szCs w:val="21"/>
        </w:rPr>
        <w:t>、产品质量、保修年限、范围、保修条件</w:t>
      </w:r>
    </w:p>
    <w:p>
      <w:pPr>
        <w:spacing w:line="360" w:lineRule="auto"/>
        <w:ind w:firstLine="480"/>
        <w:rPr>
          <w:rFonts w:ascii="宋体" w:hAnsi="宋体"/>
          <w:szCs w:val="21"/>
        </w:rPr>
      </w:pPr>
    </w:p>
    <w:p>
      <w:pPr>
        <w:spacing w:line="360" w:lineRule="auto"/>
        <w:rPr>
          <w:rFonts w:hint="eastAsia" w:ascii="宋体" w:hAnsi="宋体"/>
          <w:szCs w:val="21"/>
        </w:rPr>
      </w:pPr>
    </w:p>
    <w:p>
      <w:pPr>
        <w:spacing w:line="360" w:lineRule="auto"/>
        <w:ind w:firstLine="480"/>
        <w:rPr>
          <w:rFonts w:hint="eastAsia" w:ascii="宋体" w:hAnsi="宋体"/>
          <w:szCs w:val="21"/>
        </w:rPr>
      </w:pPr>
      <w:r>
        <w:rPr>
          <w:rFonts w:hint="eastAsia" w:ascii="宋体" w:hAnsi="宋体"/>
          <w:szCs w:val="21"/>
        </w:rPr>
        <w:t>2、工期、解决问题、排除故障的速度</w:t>
      </w:r>
    </w:p>
    <w:p>
      <w:pPr>
        <w:spacing w:line="360" w:lineRule="auto"/>
        <w:ind w:firstLine="480"/>
        <w:rPr>
          <w:rFonts w:hint="eastAsia" w:ascii="宋体" w:hAnsi="宋体"/>
          <w:szCs w:val="21"/>
        </w:rPr>
      </w:pPr>
    </w:p>
    <w:p>
      <w:pPr>
        <w:spacing w:line="360" w:lineRule="auto"/>
        <w:rPr>
          <w:rFonts w:hint="eastAsia" w:ascii="宋体" w:hAnsi="宋体"/>
          <w:szCs w:val="21"/>
        </w:rPr>
      </w:pPr>
    </w:p>
    <w:p>
      <w:pPr>
        <w:spacing w:line="360" w:lineRule="auto"/>
        <w:ind w:firstLine="480"/>
        <w:rPr>
          <w:rFonts w:ascii="宋体" w:hAnsi="宋体"/>
          <w:szCs w:val="21"/>
        </w:rPr>
      </w:pPr>
      <w:r>
        <w:rPr>
          <w:rFonts w:hint="eastAsia" w:ascii="宋体" w:hAnsi="宋体"/>
          <w:szCs w:val="21"/>
        </w:rPr>
        <w:t>3、设备使用的培训、指导</w:t>
      </w:r>
    </w:p>
    <w:p>
      <w:pPr>
        <w:spacing w:line="360" w:lineRule="auto"/>
        <w:ind w:firstLine="480"/>
        <w:rPr>
          <w:rFonts w:ascii="宋体" w:hAnsi="宋体"/>
          <w:szCs w:val="21"/>
        </w:rPr>
      </w:pPr>
    </w:p>
    <w:p>
      <w:pPr>
        <w:spacing w:line="360" w:lineRule="auto"/>
        <w:rPr>
          <w:rFonts w:hint="eastAsia" w:ascii="宋体" w:hAnsi="宋体"/>
          <w:szCs w:val="21"/>
        </w:rPr>
      </w:pPr>
    </w:p>
    <w:p>
      <w:pPr>
        <w:spacing w:line="360" w:lineRule="auto"/>
        <w:ind w:firstLine="480"/>
        <w:rPr>
          <w:rFonts w:ascii="宋体" w:hAnsi="宋体"/>
          <w:szCs w:val="21"/>
        </w:rPr>
      </w:pPr>
      <w:r>
        <w:rPr>
          <w:rFonts w:hint="eastAsia" w:ascii="宋体" w:hAnsi="宋体"/>
          <w:szCs w:val="21"/>
        </w:rPr>
        <w:t>4、售后服务方面的其他承诺（安装、定期巡检等）</w:t>
      </w:r>
    </w:p>
    <w:p>
      <w:pPr>
        <w:spacing w:line="360" w:lineRule="auto"/>
        <w:ind w:firstLine="480"/>
        <w:rPr>
          <w:rFonts w:ascii="宋体" w:hAnsi="宋体"/>
          <w:szCs w:val="21"/>
        </w:rPr>
      </w:pPr>
    </w:p>
    <w:p>
      <w:pPr>
        <w:spacing w:line="360" w:lineRule="auto"/>
        <w:rPr>
          <w:rFonts w:hint="eastAsia" w:ascii="宋体" w:hAnsi="宋体"/>
          <w:szCs w:val="21"/>
        </w:rPr>
      </w:pPr>
    </w:p>
    <w:p>
      <w:pPr>
        <w:spacing w:line="360" w:lineRule="auto"/>
        <w:ind w:firstLine="480"/>
        <w:rPr>
          <w:rFonts w:ascii="宋体" w:hAnsi="宋体"/>
          <w:szCs w:val="21"/>
        </w:rPr>
      </w:pPr>
      <w:r>
        <w:rPr>
          <w:rFonts w:hint="eastAsia" w:ascii="宋体" w:hAnsi="宋体"/>
          <w:szCs w:val="21"/>
        </w:rPr>
        <w:t>5、售后服务联系方式（联系人、联系电话、维修点等）</w:t>
      </w:r>
    </w:p>
    <w:p>
      <w:pPr>
        <w:spacing w:line="360" w:lineRule="auto"/>
        <w:ind w:firstLine="480"/>
        <w:rPr>
          <w:rFonts w:hint="eastAsia" w:ascii="宋体" w:hAnsi="宋体"/>
          <w:szCs w:val="21"/>
        </w:rPr>
      </w:pPr>
    </w:p>
    <w:p>
      <w:pPr>
        <w:spacing w:line="360" w:lineRule="auto"/>
        <w:rPr>
          <w:rFonts w:hint="eastAsia" w:ascii="宋体" w:hAnsi="宋体"/>
          <w:szCs w:val="21"/>
        </w:rPr>
      </w:pPr>
    </w:p>
    <w:p>
      <w:pPr>
        <w:spacing w:line="360" w:lineRule="auto"/>
        <w:ind w:firstLine="480"/>
        <w:rPr>
          <w:rFonts w:ascii="宋体" w:hAnsi="宋体"/>
          <w:szCs w:val="21"/>
        </w:rPr>
      </w:pPr>
      <w:r>
        <w:rPr>
          <w:rFonts w:hint="eastAsia" w:ascii="宋体" w:hAnsi="宋体"/>
          <w:szCs w:val="21"/>
        </w:rPr>
        <w:t>6、其他优惠条件</w:t>
      </w:r>
    </w:p>
    <w:p>
      <w:pPr>
        <w:spacing w:line="360" w:lineRule="auto"/>
        <w:rPr>
          <w:rFonts w:ascii="宋体" w:hAnsi="宋体"/>
          <w:szCs w:val="21"/>
        </w:rPr>
      </w:pPr>
    </w:p>
    <w:p>
      <w:pPr>
        <w:spacing w:line="360" w:lineRule="auto"/>
        <w:ind w:left="4620" w:leftChars="2200" w:firstLine="480"/>
        <w:rPr>
          <w:rFonts w:hint="eastAsia" w:ascii="宋体" w:hAnsi="宋体"/>
          <w:szCs w:val="21"/>
        </w:rPr>
      </w:pPr>
    </w:p>
    <w:p>
      <w:pPr>
        <w:spacing w:line="360" w:lineRule="auto"/>
        <w:ind w:left="3150" w:leftChars="1500"/>
        <w:rPr>
          <w:rFonts w:hint="eastAsia" w:ascii="宋体" w:hAnsi="宋体"/>
          <w:szCs w:val="21"/>
        </w:rPr>
      </w:pPr>
      <w:r>
        <w:rPr>
          <w:rFonts w:hint="eastAsia" w:ascii="宋体" w:hAnsi="宋体"/>
          <w:szCs w:val="21"/>
        </w:rPr>
        <w:t>投标单位 （盖章）：</w:t>
      </w:r>
      <w:r>
        <w:rPr>
          <w:rFonts w:ascii="宋体" w:hAnsi="宋体"/>
          <w:szCs w:val="21"/>
        </w:rPr>
        <w:t xml:space="preserve"> </w:t>
      </w:r>
    </w:p>
    <w:p>
      <w:pPr>
        <w:spacing w:line="360" w:lineRule="auto"/>
        <w:ind w:left="3150" w:leftChars="1500"/>
        <w:rPr>
          <w:rFonts w:hint="eastAsia" w:ascii="宋体" w:hAnsi="宋体"/>
          <w:szCs w:val="21"/>
        </w:rPr>
      </w:pPr>
      <w:r>
        <w:rPr>
          <w:rFonts w:hint="eastAsia" w:ascii="宋体" w:hAnsi="宋体"/>
          <w:szCs w:val="21"/>
        </w:rPr>
        <w:t>签字代表</w:t>
      </w:r>
      <w:r>
        <w:rPr>
          <w:rFonts w:ascii="宋体" w:hAnsi="宋体"/>
          <w:szCs w:val="21"/>
        </w:rPr>
        <w:t xml:space="preserve">  </w:t>
      </w:r>
      <w:r>
        <w:rPr>
          <w:rFonts w:hint="eastAsia" w:ascii="宋体" w:hAnsi="宋体"/>
          <w:szCs w:val="21"/>
        </w:rPr>
        <w:t>：</w:t>
      </w:r>
      <w:r>
        <w:rPr>
          <w:rFonts w:ascii="宋体" w:hAnsi="宋体"/>
          <w:szCs w:val="21"/>
        </w:rPr>
        <w:t xml:space="preserve"> </w:t>
      </w:r>
    </w:p>
    <w:p>
      <w:pPr>
        <w:spacing w:line="360" w:lineRule="auto"/>
        <w:ind w:firstLine="5460" w:firstLineChars="2600"/>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Style w:val="4"/>
        <w:jc w:val="center"/>
        <w:rPr>
          <w:rFonts w:ascii="Times New Roman" w:hAnsi="Times New Roman" w:eastAsia="楷体_GB2312"/>
          <w:sz w:val="28"/>
          <w:szCs w:val="28"/>
        </w:rPr>
      </w:pPr>
      <w:r>
        <w:rPr>
          <w:rFonts w:ascii="宋体" w:hAnsi="宋体" w:eastAsia="宋体"/>
          <w:bCs w:val="0"/>
          <w:sz w:val="21"/>
          <w:szCs w:val="21"/>
        </w:rPr>
        <w:br w:type="page"/>
      </w:r>
      <w:r>
        <w:rPr>
          <w:rFonts w:hint="eastAsia" w:ascii="Times New Roman" w:hAnsi="Times New Roman" w:eastAsia="楷体_GB2312"/>
          <w:sz w:val="28"/>
          <w:szCs w:val="28"/>
        </w:rPr>
        <w:t>法定代表人授权书</w:t>
      </w:r>
    </w:p>
    <w:p>
      <w:pPr>
        <w:spacing w:line="360" w:lineRule="auto"/>
        <w:rPr>
          <w:szCs w:val="21"/>
        </w:rPr>
      </w:pPr>
      <w:r>
        <w:rPr>
          <w:rFonts w:hint="eastAsia"/>
          <w:szCs w:val="21"/>
        </w:rPr>
        <w:t xml:space="preserve">    本授权书声明：注册于＿＿＿＿＿＿＿＿的＿＿＿＿＿＿公司的在下面签字的＿＿＿＿＿＿＿＿</w:t>
      </w:r>
      <w:r>
        <w:rPr>
          <w:szCs w:val="21"/>
        </w:rPr>
        <w:t>(</w:t>
      </w:r>
      <w:r>
        <w:rPr>
          <w:rFonts w:hint="eastAsia"/>
          <w:szCs w:val="21"/>
        </w:rPr>
        <w:t>法定代表人姓名、职务</w:t>
      </w:r>
      <w:r>
        <w:rPr>
          <w:szCs w:val="21"/>
        </w:rPr>
        <w:t>)</w:t>
      </w:r>
      <w:r>
        <w:rPr>
          <w:rFonts w:hint="eastAsia"/>
          <w:szCs w:val="21"/>
        </w:rPr>
        <w:t>代表本公司授权＿＿＿＿＿＿＿＿（单位）的在下面签字的＿＿＿＿＿＿＿＿＿＿ （被授权人的姓名、职务）为本公司的唯一合法代理人，就＿＿＿＿＿＿＿＿项目的投标及合同的执行完成，以本公司名义处理一切与之有关的事务。</w:t>
      </w:r>
    </w:p>
    <w:p>
      <w:pPr>
        <w:spacing w:line="360" w:lineRule="auto"/>
        <w:rPr>
          <w:rFonts w:hint="eastAsia"/>
          <w:b/>
          <w:szCs w:val="21"/>
        </w:rPr>
      </w:pPr>
      <w:r>
        <w:rPr>
          <w:rFonts w:hint="eastAsia"/>
          <w:b/>
          <w:szCs w:val="21"/>
        </w:rPr>
        <w:t>被授权人身份证复印件：</w:t>
      </w: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ind w:firstLine="1050" w:firstLineChars="500"/>
        <w:rPr>
          <w:szCs w:val="21"/>
        </w:rPr>
      </w:pPr>
      <w:r>
        <w:rPr>
          <w:szCs w:val="21"/>
        </w:rPr>
        <w:t xml:space="preserve"> </w:t>
      </w:r>
      <w:r>
        <w:rPr>
          <w:rFonts w:hint="eastAsia"/>
          <w:szCs w:val="21"/>
        </w:rPr>
        <w:t xml:space="preserve"> 法定代表人签字盖章：＿＿＿＿＿＿＿＿</w:t>
      </w:r>
    </w:p>
    <w:p>
      <w:pPr>
        <w:spacing w:line="360" w:lineRule="auto"/>
        <w:ind w:firstLine="210" w:firstLineChars="100"/>
        <w:rPr>
          <w:szCs w:val="21"/>
        </w:rPr>
      </w:pPr>
      <w:r>
        <w:rPr>
          <w:szCs w:val="21"/>
        </w:rPr>
        <w:t xml:space="preserve"> </w:t>
      </w:r>
      <w:r>
        <w:rPr>
          <w:rFonts w:hint="eastAsia"/>
          <w:szCs w:val="21"/>
        </w:rPr>
        <w:t>受权代表（被授权人）签字盖章：＿＿＿＿＿＿＿＿</w:t>
      </w:r>
    </w:p>
    <w:p>
      <w:pPr>
        <w:spacing w:line="360" w:lineRule="auto"/>
        <w:rPr>
          <w:szCs w:val="21"/>
        </w:rPr>
      </w:pPr>
      <w:r>
        <w:rPr>
          <w:szCs w:val="21"/>
        </w:rPr>
        <w:t xml:space="preserve">                   </w:t>
      </w:r>
      <w:r>
        <w:rPr>
          <w:rFonts w:hint="eastAsia"/>
          <w:szCs w:val="21"/>
        </w:rPr>
        <w:t xml:space="preserve">    单位名称：＿＿＿＿＿＿＿＿ </w:t>
      </w:r>
    </w:p>
    <w:p>
      <w:pPr>
        <w:spacing w:line="360" w:lineRule="auto"/>
        <w:rPr>
          <w:rFonts w:hint="eastAsia"/>
          <w:szCs w:val="21"/>
        </w:rPr>
      </w:pPr>
      <w:r>
        <w:rPr>
          <w:szCs w:val="21"/>
        </w:rPr>
        <w:t xml:space="preserve">           </w:t>
      </w:r>
      <w:r>
        <w:rPr>
          <w:rFonts w:hint="eastAsia"/>
          <w:szCs w:val="21"/>
        </w:rPr>
        <w:t xml:space="preserve"> </w:t>
      </w:r>
      <w:r>
        <w:rPr>
          <w:szCs w:val="21"/>
        </w:rPr>
        <w:t xml:space="preserve">           </w:t>
      </w:r>
      <w:r>
        <w:rPr>
          <w:rFonts w:hint="eastAsia"/>
          <w:szCs w:val="21"/>
        </w:rPr>
        <w:t xml:space="preserve">    地址：＿＿＿＿＿＿＿＿</w:t>
      </w:r>
    </w:p>
    <w:p>
      <w:pPr>
        <w:spacing w:line="360" w:lineRule="auto"/>
        <w:ind w:firstLine="2835" w:firstLineChars="1350"/>
        <w:rPr>
          <w:szCs w:val="21"/>
          <w:u w:val="single"/>
        </w:rPr>
      </w:pPr>
      <w:r>
        <w:rPr>
          <w:rFonts w:hint="eastAsia"/>
          <w:szCs w:val="21"/>
        </w:rPr>
        <w:t>时间：＿＿＿＿＿＿＿＿</w:t>
      </w:r>
    </w:p>
    <w:p>
      <w:pPr>
        <w:spacing w:line="360" w:lineRule="auto"/>
        <w:rPr>
          <w:rFonts w:hint="eastAsia"/>
          <w:szCs w:val="21"/>
        </w:rPr>
      </w:pPr>
    </w:p>
    <w:p>
      <w:pPr>
        <w:spacing w:line="360" w:lineRule="auto"/>
        <w:rPr>
          <w:rFonts w:hint="eastAsia"/>
          <w:szCs w:val="21"/>
        </w:rPr>
      </w:pPr>
    </w:p>
    <w:p>
      <w:pPr>
        <w:snapToGrid w:val="0"/>
        <w:spacing w:before="120" w:beforeLines="50" w:after="50" w:line="360" w:lineRule="auto"/>
        <w:jc w:val="center"/>
        <w:rPr>
          <w:rFonts w:ascii="Times New Roman" w:hAnsi="Times New Roman" w:eastAsia="仿宋_GB2312"/>
          <w:spacing w:val="8"/>
          <w:kern w:val="0"/>
          <w:sz w:val="32"/>
          <w:szCs w:val="32"/>
        </w:rPr>
      </w:pPr>
      <w:r>
        <w:rPr>
          <w:rFonts w:hint="eastAsia" w:ascii="Times New Roman" w:hAnsi="Times New Roman" w:eastAsia="楷体_GB2312"/>
          <w:sz w:val="28"/>
          <w:szCs w:val="28"/>
        </w:rPr>
        <w:br w:type="page"/>
      </w:r>
      <w:r>
        <w:rPr>
          <w:rFonts w:hint="eastAsia" w:ascii="宋体" w:hAnsi="宋体"/>
          <w:b/>
          <w:color w:val="0D0D0D"/>
          <w:sz w:val="24"/>
        </w:rPr>
        <w:t>无围标串标等负面行为承诺书</w:t>
      </w:r>
    </w:p>
    <w:p>
      <w:pPr>
        <w:snapToGrid w:val="0"/>
        <w:spacing w:before="120" w:beforeLines="50" w:after="50" w:line="360" w:lineRule="auto"/>
        <w:ind w:firstLine="720" w:firstLineChars="300"/>
        <w:rPr>
          <w:rFonts w:hint="eastAsia"/>
          <w:color w:val="0D0D0D"/>
          <w:sz w:val="24"/>
        </w:rPr>
      </w:pPr>
      <w:r>
        <w:rPr>
          <w:rFonts w:hint="eastAsia"/>
          <w:color w:val="0D0D0D"/>
          <w:sz w:val="24"/>
        </w:rPr>
        <w:t>本人作为经授权的投标人（或供应商、竞拍人等，下同）代表，清楚知晓我单位参与本项目投标（交易，下同），现对以下事项作出郑重承诺并签名：</w:t>
      </w:r>
    </w:p>
    <w:p>
      <w:pPr>
        <w:snapToGrid w:val="0"/>
        <w:spacing w:before="120" w:beforeLines="50" w:after="50" w:line="360" w:lineRule="auto"/>
        <w:ind w:firstLine="720" w:firstLineChars="300"/>
        <w:rPr>
          <w:rFonts w:hint="eastAsia"/>
          <w:color w:val="0D0D0D"/>
          <w:sz w:val="24"/>
        </w:rPr>
      </w:pPr>
      <w:r>
        <w:rPr>
          <w:rFonts w:hint="eastAsia"/>
          <w:color w:val="0D0D0D"/>
          <w:sz w:val="24"/>
        </w:rPr>
        <w:t>一、我单位和本人遵循公开、公平、公正、诚实守信的原则，所提供的一切材料均真实、有效、合法，依法依规参与本项目投标。</w:t>
      </w:r>
    </w:p>
    <w:p>
      <w:pPr>
        <w:snapToGrid w:val="0"/>
        <w:spacing w:before="120" w:beforeLines="50" w:after="50" w:line="360" w:lineRule="auto"/>
        <w:ind w:firstLine="720" w:firstLineChars="300"/>
        <w:rPr>
          <w:rFonts w:hint="eastAsia"/>
          <w:color w:val="0D0D0D"/>
          <w:sz w:val="24"/>
        </w:rPr>
      </w:pPr>
      <w:r>
        <w:rPr>
          <w:rFonts w:hint="eastAsia"/>
          <w:color w:val="0D0D0D"/>
          <w:sz w:val="24"/>
        </w:rPr>
        <w:t>二、我单位和本人在本项目招标投标活动中，拒绝参与围标串标，决不损害其它投标人、招标人（或采购人、拍卖人等，下同）的合法权益。</w:t>
      </w:r>
    </w:p>
    <w:p>
      <w:pPr>
        <w:snapToGrid w:val="0"/>
        <w:spacing w:before="120" w:beforeLines="50" w:after="50" w:line="360" w:lineRule="auto"/>
        <w:ind w:firstLine="720" w:firstLineChars="300"/>
        <w:rPr>
          <w:rFonts w:hint="eastAsia"/>
          <w:color w:val="0D0D0D"/>
          <w:sz w:val="24"/>
        </w:rPr>
      </w:pPr>
      <w:r>
        <w:rPr>
          <w:rFonts w:hint="eastAsia"/>
          <w:color w:val="0D0D0D"/>
          <w:sz w:val="24"/>
        </w:rPr>
        <w:t>三、我单位如被查实在本项目公共资源交易活动中存在围标串标等行为，本人作为违法行为直接责任人员，将承担被执行失信惩戒并被依法追究相关责任的后果。</w:t>
      </w:r>
    </w:p>
    <w:p>
      <w:pPr>
        <w:snapToGrid w:val="0"/>
        <w:spacing w:before="120" w:beforeLines="50" w:after="50" w:line="360" w:lineRule="auto"/>
        <w:rPr>
          <w:rFonts w:ascii="宋体" w:hAnsi="宋体"/>
          <w:color w:val="0D0D0D"/>
          <w:sz w:val="24"/>
          <w:szCs w:val="20"/>
          <w:u w:val="single"/>
        </w:rPr>
      </w:pPr>
      <w:r>
        <w:rPr>
          <w:rFonts w:ascii="Times New Roman" w:hAnsi="Times New Roman" w:eastAsia="仿宋_GB2312"/>
          <w:spacing w:val="8"/>
          <w:kern w:val="0"/>
          <w:sz w:val="32"/>
          <w:szCs w:val="32"/>
        </w:rPr>
        <w:t xml:space="preserve"> </w:t>
      </w:r>
      <w:r>
        <w:rPr>
          <w:rFonts w:hint="eastAsia" w:ascii="宋体" w:hAnsi="宋体"/>
          <w:color w:val="0D0D0D"/>
          <w:sz w:val="24"/>
        </w:rPr>
        <w:t>被授权人签名：法定代表人签名：</w:t>
      </w:r>
    </w:p>
    <w:p>
      <w:pPr>
        <w:snapToGrid w:val="0"/>
        <w:spacing w:before="120" w:beforeLines="50" w:after="50" w:line="360" w:lineRule="auto"/>
        <w:ind w:firstLine="960" w:firstLineChars="400"/>
        <w:rPr>
          <w:rFonts w:ascii="宋体" w:hAnsi="宋体"/>
          <w:color w:val="0D0D0D"/>
          <w:sz w:val="24"/>
          <w:szCs w:val="20"/>
        </w:rPr>
      </w:pPr>
      <w:r>
        <w:rPr>
          <w:rFonts w:hint="eastAsia" w:ascii="宋体" w:hAnsi="宋体"/>
          <w:color w:val="0D0D0D"/>
          <w:sz w:val="24"/>
        </w:rPr>
        <w:t>职务：职务：</w:t>
      </w:r>
    </w:p>
    <w:p>
      <w:pPr>
        <w:snapToGrid w:val="0"/>
        <w:spacing w:before="120" w:beforeLines="50" w:after="50" w:line="360" w:lineRule="auto"/>
        <w:rPr>
          <w:rFonts w:hint="eastAsia" w:ascii="宋体" w:hAnsi="宋体"/>
          <w:color w:val="0D0D0D"/>
          <w:sz w:val="24"/>
        </w:rPr>
      </w:pPr>
      <w:r>
        <w:rPr>
          <w:rFonts w:hint="eastAsia" w:ascii="宋体" w:hAnsi="宋体"/>
          <w:color w:val="0D0D0D"/>
          <w:sz w:val="24"/>
        </w:rPr>
        <w:t>被授权人身份证复印件：</w:t>
      </w:r>
    </w:p>
    <w:p>
      <w:pPr>
        <w:pStyle w:val="4"/>
        <w:jc w:val="center"/>
        <w:rPr>
          <w:rFonts w:hint="eastAsia" w:ascii="Times New Roman" w:hAnsi="Times New Roman" w:eastAsia="楷体_GB2312"/>
          <w:sz w:val="28"/>
          <w:szCs w:val="28"/>
        </w:rPr>
      </w:pPr>
    </w:p>
    <w:p>
      <w:pPr>
        <w:rPr>
          <w:rFonts w:hint="eastAsia" w:ascii="Times New Roman" w:hAnsi="Times New Roman" w:eastAsia="楷体_GB2312"/>
          <w:sz w:val="28"/>
          <w:szCs w:val="28"/>
        </w:rPr>
      </w:pPr>
    </w:p>
    <w:p>
      <w:pPr>
        <w:pStyle w:val="2"/>
        <w:rPr>
          <w:rFonts w:hint="eastAsia" w:ascii="Times New Roman" w:hAnsi="Times New Roman" w:eastAsia="楷体_GB2312"/>
          <w:sz w:val="28"/>
          <w:szCs w:val="28"/>
        </w:rPr>
      </w:pPr>
    </w:p>
    <w:p>
      <w:pPr>
        <w:pStyle w:val="2"/>
        <w:rPr>
          <w:rFonts w:hint="eastAsia" w:ascii="Times New Roman" w:hAnsi="Times New Roman" w:eastAsia="楷体_GB2312"/>
          <w:sz w:val="28"/>
          <w:szCs w:val="28"/>
        </w:rPr>
      </w:pPr>
    </w:p>
    <w:p>
      <w:pPr>
        <w:pStyle w:val="2"/>
        <w:rPr>
          <w:rFonts w:hint="eastAsia" w:ascii="Times New Roman" w:hAnsi="Times New Roman" w:eastAsia="楷体_GB2312"/>
          <w:sz w:val="28"/>
          <w:szCs w:val="28"/>
        </w:rPr>
      </w:pPr>
    </w:p>
    <w:p>
      <w:pPr>
        <w:pStyle w:val="2"/>
        <w:rPr>
          <w:rFonts w:hint="eastAsia" w:ascii="Times New Roman" w:hAnsi="Times New Roman" w:eastAsia="楷体_GB2312"/>
          <w:sz w:val="28"/>
          <w:szCs w:val="28"/>
        </w:rPr>
      </w:pPr>
    </w:p>
    <w:p>
      <w:pPr>
        <w:pStyle w:val="2"/>
        <w:rPr>
          <w:rFonts w:hint="eastAsia" w:ascii="Times New Roman" w:hAnsi="Times New Roman" w:eastAsia="楷体_GB2312"/>
          <w:sz w:val="28"/>
          <w:szCs w:val="28"/>
        </w:rPr>
      </w:pPr>
    </w:p>
    <w:p>
      <w:pPr>
        <w:pStyle w:val="2"/>
        <w:rPr>
          <w:rFonts w:hint="eastAsia" w:ascii="Times New Roman" w:hAnsi="Times New Roman" w:eastAsia="楷体_GB2312"/>
          <w:sz w:val="28"/>
          <w:szCs w:val="28"/>
        </w:rPr>
      </w:pPr>
    </w:p>
    <w:p>
      <w:pPr>
        <w:pStyle w:val="2"/>
        <w:rPr>
          <w:rFonts w:hint="eastAsia" w:ascii="Times New Roman" w:hAnsi="Times New Roman" w:eastAsia="楷体_GB2312"/>
          <w:sz w:val="28"/>
          <w:szCs w:val="28"/>
        </w:rPr>
      </w:pPr>
    </w:p>
    <w:p>
      <w:pPr>
        <w:pStyle w:val="2"/>
        <w:rPr>
          <w:rFonts w:hint="eastAsia" w:ascii="Times New Roman" w:hAnsi="Times New Roman" w:eastAsia="楷体_GB2312"/>
          <w:sz w:val="28"/>
          <w:szCs w:val="28"/>
        </w:rPr>
      </w:pPr>
    </w:p>
    <w:p>
      <w:pPr>
        <w:pStyle w:val="2"/>
        <w:rPr>
          <w:rFonts w:hint="eastAsia" w:ascii="Times New Roman" w:hAnsi="Times New Roman" w:eastAsia="楷体_GB2312"/>
          <w:sz w:val="28"/>
          <w:szCs w:val="28"/>
        </w:rPr>
      </w:pPr>
    </w:p>
    <w:p>
      <w:pPr>
        <w:pStyle w:val="2"/>
        <w:rPr>
          <w:rFonts w:hint="eastAsia" w:ascii="Times New Roman" w:hAnsi="Times New Roman" w:eastAsia="楷体_GB2312"/>
          <w:sz w:val="28"/>
          <w:szCs w:val="28"/>
        </w:rPr>
      </w:pPr>
    </w:p>
    <w:p>
      <w:pPr>
        <w:pStyle w:val="2"/>
        <w:rPr>
          <w:rFonts w:hint="eastAsia" w:ascii="Times New Roman" w:hAnsi="Times New Roman" w:eastAsia="楷体_GB2312"/>
          <w:sz w:val="28"/>
          <w:szCs w:val="28"/>
        </w:rPr>
      </w:pPr>
    </w:p>
    <w:p>
      <w:pPr>
        <w:pStyle w:val="2"/>
        <w:rPr>
          <w:rFonts w:hint="eastAsia" w:ascii="Times New Roman" w:hAnsi="Times New Roman" w:eastAsia="楷体_GB2312"/>
          <w:sz w:val="28"/>
          <w:szCs w:val="28"/>
        </w:rPr>
      </w:pPr>
    </w:p>
    <w:p>
      <w:pPr>
        <w:pStyle w:val="2"/>
        <w:rPr>
          <w:rFonts w:hint="eastAsia" w:ascii="Times New Roman" w:hAnsi="Times New Roman" w:eastAsia="楷体_GB2312"/>
          <w:sz w:val="28"/>
          <w:szCs w:val="28"/>
        </w:rPr>
      </w:pPr>
    </w:p>
    <w:p>
      <w:pPr>
        <w:pStyle w:val="2"/>
        <w:rPr>
          <w:rFonts w:hint="eastAsia" w:ascii="Times New Roman" w:hAnsi="Times New Roman" w:eastAsia="楷体_GB2312"/>
          <w:sz w:val="28"/>
          <w:szCs w:val="28"/>
        </w:rPr>
      </w:pPr>
    </w:p>
    <w:p>
      <w:pPr>
        <w:pStyle w:val="2"/>
        <w:rPr>
          <w:rFonts w:hint="eastAsia" w:ascii="Times New Roman" w:hAnsi="Times New Roman" w:eastAsia="楷体_GB2312"/>
          <w:sz w:val="28"/>
          <w:szCs w:val="28"/>
        </w:rPr>
      </w:pPr>
    </w:p>
    <w:p>
      <w:pPr>
        <w:pStyle w:val="4"/>
        <w:ind w:firstLine="3373" w:firstLineChars="1200"/>
        <w:jc w:val="both"/>
        <w:rPr>
          <w:rFonts w:ascii="Times New Roman" w:hAnsi="Times New Roman" w:eastAsia="楷体_GB2312"/>
          <w:sz w:val="28"/>
          <w:szCs w:val="28"/>
        </w:rPr>
      </w:pPr>
      <w:r>
        <w:rPr>
          <w:rFonts w:hint="eastAsia" w:ascii="Times New Roman" w:hAnsi="Times New Roman" w:eastAsia="楷体_GB2312"/>
          <w:sz w:val="28"/>
          <w:szCs w:val="28"/>
        </w:rPr>
        <w:t>中小企业声明函</w:t>
      </w:r>
    </w:p>
    <w:p>
      <w:pPr>
        <w:spacing w:line="588" w:lineRule="exact"/>
        <w:ind w:firstLine="444" w:firstLineChars="200"/>
        <w:rPr>
          <w:rFonts w:ascii="宋体" w:hAnsi="宋体"/>
          <w:spacing w:val="6"/>
          <w:szCs w:val="21"/>
        </w:rPr>
      </w:pPr>
      <w:r>
        <w:rPr>
          <w:rFonts w:hint="eastAsia" w:ascii="宋体" w:hAnsi="宋体"/>
          <w:spacing w:val="6"/>
          <w:szCs w:val="21"/>
        </w:rPr>
        <w:t>本公司郑重声明，根据《政府采购促进中小企业发展暂行办法》（财库[2011]181号）的规定，本公司为</w:t>
      </w:r>
      <w:bookmarkStart w:id="4" w:name="OLE_LINK5"/>
      <w:bookmarkStart w:id="5" w:name="OLE_LINK2"/>
      <w:r>
        <w:rPr>
          <w:rFonts w:hint="eastAsia" w:ascii="宋体" w:hAnsi="宋体"/>
          <w:spacing w:val="6"/>
          <w:szCs w:val="21"/>
        </w:rPr>
        <w:t>______（请填写：中型、小型、微型）企业</w:t>
      </w:r>
      <w:bookmarkEnd w:id="4"/>
      <w:bookmarkEnd w:id="5"/>
      <w:r>
        <w:rPr>
          <w:rFonts w:hint="eastAsia" w:ascii="宋体" w:hAnsi="宋体"/>
          <w:spacing w:val="6"/>
          <w:szCs w:val="21"/>
        </w:rPr>
        <w:t>。即，本公司同时满足以下条件：</w:t>
      </w:r>
    </w:p>
    <w:p>
      <w:pPr>
        <w:spacing w:line="588" w:lineRule="exact"/>
        <w:ind w:firstLine="444" w:firstLineChars="200"/>
        <w:rPr>
          <w:rFonts w:ascii="宋体" w:hAnsi="宋体"/>
          <w:spacing w:val="6"/>
          <w:szCs w:val="21"/>
        </w:rPr>
      </w:pPr>
      <w:r>
        <w:rPr>
          <w:rFonts w:hint="eastAsia" w:ascii="宋体" w:hAnsi="宋体"/>
          <w:spacing w:val="6"/>
          <w:szCs w:val="21"/>
        </w:rPr>
        <w:t>1.根据《工业和信息化部、国家统计局、国家发展和改革委员会、财政部关于印发中小企业划型标准规定的通知》（工信部联企业[2011]300号）规定的划分标准，本公司为______（请填写：中型、小型、微型）企业。</w:t>
      </w:r>
    </w:p>
    <w:p>
      <w:pPr>
        <w:spacing w:line="588" w:lineRule="exact"/>
        <w:ind w:firstLine="444" w:firstLineChars="200"/>
        <w:rPr>
          <w:rFonts w:ascii="宋体" w:hAnsi="宋体"/>
          <w:spacing w:val="6"/>
          <w:szCs w:val="21"/>
        </w:rPr>
      </w:pPr>
      <w:r>
        <w:rPr>
          <w:rFonts w:hint="eastAsia" w:ascii="宋体" w:hAnsi="宋体"/>
          <w:spacing w:val="6"/>
          <w:szCs w:val="21"/>
        </w:rPr>
        <w:t>2.本公司参加___</w:t>
      </w:r>
      <w:r>
        <w:rPr>
          <w:rFonts w:hint="eastAsia" w:ascii="宋体" w:hAnsi="宋体"/>
          <w:spacing w:val="6"/>
          <w:szCs w:val="21"/>
          <w:u w:val="single"/>
        </w:rPr>
        <w:t xml:space="preserve">        </w:t>
      </w:r>
      <w:r>
        <w:rPr>
          <w:rFonts w:hint="eastAsia" w:ascii="宋体" w:hAnsi="宋体"/>
          <w:spacing w:val="6"/>
          <w:szCs w:val="21"/>
        </w:rPr>
        <w:t>___单位的____</w:t>
      </w:r>
      <w:r>
        <w:rPr>
          <w:rFonts w:hint="eastAsia" w:ascii="宋体" w:hAnsi="宋体"/>
          <w:spacing w:val="6"/>
          <w:szCs w:val="21"/>
          <w:u w:val="single"/>
        </w:rPr>
        <w:t xml:space="preserve">         </w:t>
      </w:r>
      <w:r>
        <w:rPr>
          <w:rFonts w:hint="eastAsia" w:ascii="宋体" w:hAnsi="宋体"/>
          <w:spacing w:val="6"/>
          <w:szCs w:val="21"/>
        </w:rPr>
        <w:t>__项目采购活动提供本企业制造的货物，由本企业承担工程、提供服务，或者提供其他______（请填写：中型、小型、微型）企业制造的货物。本条所称货物不包括使用大型企业注册商标的货物。</w:t>
      </w:r>
    </w:p>
    <w:p>
      <w:pPr>
        <w:spacing w:line="588" w:lineRule="exact"/>
        <w:ind w:firstLine="444" w:firstLineChars="200"/>
        <w:rPr>
          <w:rFonts w:ascii="宋体" w:hAnsi="宋体"/>
          <w:spacing w:val="6"/>
          <w:szCs w:val="21"/>
        </w:rPr>
      </w:pPr>
      <w:r>
        <w:rPr>
          <w:rFonts w:hint="eastAsia" w:ascii="宋体" w:hAnsi="宋体"/>
          <w:spacing w:val="6"/>
          <w:szCs w:val="21"/>
        </w:rPr>
        <w:t>本公司对上述声明的真实性负责。如有虚假，将依法承担相应责任。</w:t>
      </w:r>
    </w:p>
    <w:p>
      <w:pPr>
        <w:spacing w:line="588" w:lineRule="exact"/>
        <w:ind w:firstLine="444" w:firstLineChars="200"/>
        <w:rPr>
          <w:rFonts w:ascii="宋体" w:hAnsi="宋体"/>
          <w:spacing w:val="6"/>
          <w:szCs w:val="21"/>
        </w:rPr>
      </w:pPr>
    </w:p>
    <w:p>
      <w:pPr>
        <w:spacing w:line="588" w:lineRule="exact"/>
        <w:ind w:firstLine="444" w:firstLineChars="200"/>
        <w:rPr>
          <w:rFonts w:ascii="宋体" w:hAnsi="宋体"/>
          <w:spacing w:val="6"/>
          <w:szCs w:val="21"/>
        </w:rPr>
      </w:pPr>
    </w:p>
    <w:p>
      <w:pPr>
        <w:tabs>
          <w:tab w:val="left" w:pos="4860"/>
        </w:tabs>
        <w:spacing w:line="588" w:lineRule="exact"/>
        <w:ind w:right="1560" w:firstLine="444" w:firstLineChars="200"/>
        <w:jc w:val="center"/>
        <w:rPr>
          <w:rFonts w:ascii="宋体" w:hAnsi="宋体"/>
          <w:spacing w:val="6"/>
          <w:szCs w:val="21"/>
        </w:rPr>
      </w:pPr>
      <w:r>
        <w:rPr>
          <w:rFonts w:hint="eastAsia" w:ascii="宋体" w:hAnsi="宋体"/>
          <w:spacing w:val="6"/>
          <w:szCs w:val="21"/>
        </w:rPr>
        <w:t xml:space="preserve">               企业名称（盖章）： </w:t>
      </w:r>
    </w:p>
    <w:p>
      <w:pPr>
        <w:rPr>
          <w:rFonts w:hint="eastAsia" w:ascii="宋体" w:hAnsi="宋体"/>
          <w:spacing w:val="6"/>
          <w:szCs w:val="21"/>
        </w:rPr>
      </w:pPr>
      <w:r>
        <w:rPr>
          <w:rFonts w:hint="eastAsia" w:ascii="宋体" w:hAnsi="宋体"/>
          <w:spacing w:val="6"/>
          <w:szCs w:val="21"/>
        </w:rPr>
        <w:t xml:space="preserve">                                  </w:t>
      </w:r>
    </w:p>
    <w:p>
      <w:pPr>
        <w:rPr>
          <w:rFonts w:hint="eastAsia" w:ascii="宋体" w:hAnsi="宋体"/>
          <w:szCs w:val="21"/>
        </w:rPr>
      </w:pPr>
      <w:r>
        <w:rPr>
          <w:rFonts w:hint="eastAsia" w:ascii="宋体" w:hAnsi="宋体"/>
          <w:spacing w:val="6"/>
          <w:szCs w:val="21"/>
        </w:rPr>
        <w:t xml:space="preserve">                                  日     期：</w:t>
      </w:r>
    </w:p>
    <w:p/>
    <w:p/>
    <w:p/>
    <w:p>
      <w:pPr>
        <w:widowControl/>
        <w:spacing w:before="100" w:beforeAutospacing="1" w:after="190"/>
        <w:jc w:val="center"/>
        <w:rPr>
          <w:rFonts w:hint="eastAsia" w:ascii="宋体" w:hAnsi="宋体" w:cs="Arial"/>
          <w:b/>
          <w:bCs/>
          <w:kern w:val="0"/>
          <w:sz w:val="30"/>
          <w:szCs w:val="30"/>
        </w:rPr>
      </w:pPr>
    </w:p>
    <w:p>
      <w:pPr>
        <w:widowControl/>
        <w:spacing w:before="100" w:beforeAutospacing="1" w:after="190"/>
        <w:jc w:val="center"/>
        <w:rPr>
          <w:rFonts w:hint="eastAsia" w:ascii="宋体" w:hAnsi="宋体" w:cs="Arial"/>
          <w:b/>
          <w:bCs/>
          <w:kern w:val="0"/>
          <w:sz w:val="30"/>
          <w:szCs w:val="30"/>
        </w:rPr>
      </w:pPr>
    </w:p>
    <w:p>
      <w:pPr>
        <w:widowControl/>
        <w:spacing w:before="100" w:beforeAutospacing="1" w:after="190"/>
        <w:jc w:val="center"/>
        <w:rPr>
          <w:rFonts w:hint="eastAsia" w:ascii="宋体" w:hAnsi="宋体" w:cs="Arial"/>
          <w:b/>
          <w:bCs/>
          <w:kern w:val="0"/>
          <w:sz w:val="30"/>
          <w:szCs w:val="30"/>
        </w:rPr>
      </w:pPr>
    </w:p>
    <w:p>
      <w:pPr>
        <w:widowControl/>
        <w:spacing w:before="100" w:beforeAutospacing="1" w:after="190"/>
        <w:jc w:val="center"/>
        <w:rPr>
          <w:rFonts w:hint="eastAsia" w:ascii="宋体" w:hAnsi="宋体" w:cs="Arial"/>
          <w:b/>
          <w:bCs/>
          <w:kern w:val="0"/>
          <w:sz w:val="30"/>
          <w:szCs w:val="30"/>
        </w:rPr>
      </w:pPr>
    </w:p>
    <w:p>
      <w:pPr>
        <w:widowControl/>
        <w:spacing w:before="100" w:beforeAutospacing="1" w:after="190"/>
        <w:jc w:val="center"/>
        <w:rPr>
          <w:rFonts w:hint="eastAsia" w:ascii="宋体" w:hAnsi="宋体" w:cs="Arial"/>
          <w:b/>
          <w:bCs/>
          <w:kern w:val="0"/>
          <w:sz w:val="30"/>
          <w:szCs w:val="30"/>
        </w:rPr>
      </w:pPr>
    </w:p>
    <w:p>
      <w:pPr>
        <w:widowControl/>
        <w:spacing w:before="100" w:beforeAutospacing="1" w:after="190"/>
        <w:jc w:val="center"/>
        <w:rPr>
          <w:rFonts w:hint="eastAsia" w:ascii="宋体" w:hAnsi="宋体" w:cs="Arial"/>
          <w:b/>
          <w:bCs/>
          <w:kern w:val="0"/>
          <w:sz w:val="30"/>
          <w:szCs w:val="30"/>
        </w:rPr>
      </w:pPr>
    </w:p>
    <w:p>
      <w:pPr>
        <w:widowControl/>
        <w:spacing w:before="100" w:beforeAutospacing="1" w:after="190"/>
        <w:jc w:val="center"/>
        <w:rPr>
          <w:rFonts w:hint="eastAsia" w:ascii="宋体" w:hAnsi="宋体" w:cs="Arial"/>
          <w:b/>
          <w:bCs/>
          <w:kern w:val="0"/>
          <w:sz w:val="30"/>
          <w:szCs w:val="30"/>
        </w:rPr>
      </w:pPr>
    </w:p>
    <w:p>
      <w:pPr>
        <w:widowControl/>
        <w:spacing w:before="100" w:beforeAutospacing="1" w:after="190"/>
        <w:jc w:val="center"/>
        <w:rPr>
          <w:rFonts w:ascii="宋体" w:hAnsi="宋体"/>
          <w:b/>
          <w:spacing w:val="6"/>
          <w:sz w:val="30"/>
          <w:szCs w:val="30"/>
        </w:rPr>
      </w:pPr>
      <w:r>
        <w:rPr>
          <w:rFonts w:hint="eastAsia" w:ascii="宋体" w:hAnsi="宋体" w:cs="Arial"/>
          <w:b/>
          <w:bCs/>
          <w:kern w:val="0"/>
          <w:sz w:val="30"/>
          <w:szCs w:val="30"/>
        </w:rPr>
        <w:t>残疾人福利性单位声明函</w:t>
      </w:r>
    </w:p>
    <w:p>
      <w:pPr>
        <w:spacing w:line="588" w:lineRule="exact"/>
        <w:ind w:firstLine="420" w:firstLineChars="200"/>
        <w:rPr>
          <w:rFonts w:ascii="宋体" w:hAnsi="宋体"/>
        </w:rPr>
      </w:pPr>
      <w:r>
        <w:rPr>
          <w:rFonts w:hint="eastAsia" w:ascii="宋体" w:hAnsi="宋体"/>
        </w:rPr>
        <w:t>本单位郑重声明，根据《财政部</w:t>
      </w:r>
      <w:r>
        <w:rPr>
          <w:rFonts w:ascii="宋体" w:hAnsi="宋体"/>
        </w:rPr>
        <w:t xml:space="preserve"> </w:t>
      </w:r>
      <w:r>
        <w:rPr>
          <w:rFonts w:hint="eastAsia" w:ascii="宋体" w:hAnsi="宋体"/>
        </w:rPr>
        <w:t>民政部</w:t>
      </w:r>
      <w:r>
        <w:rPr>
          <w:rFonts w:ascii="宋体" w:hAnsi="宋体"/>
        </w:rPr>
        <w:t xml:space="preserve"> </w:t>
      </w:r>
      <w:r>
        <w:rPr>
          <w:rFonts w:hint="eastAsia" w:ascii="宋体" w:hAnsi="宋体"/>
        </w:rPr>
        <w:t>中国残疾人联合会关于促进残疾人就业政府采购政策的通知》（财库〔</w:t>
      </w:r>
      <w:r>
        <w:rPr>
          <w:rFonts w:ascii="宋体" w:hAnsi="宋体"/>
        </w:rPr>
        <w:t>2017</w:t>
      </w:r>
      <w:r>
        <w:rPr>
          <w:rFonts w:hint="eastAsia" w:ascii="宋体" w:hAnsi="宋体"/>
        </w:rPr>
        <w:t>〕</w:t>
      </w:r>
      <w:r>
        <w:rPr>
          <w:rFonts w:ascii="宋体" w:hAnsi="宋体"/>
        </w:rPr>
        <w:t xml:space="preserve"> 141</w:t>
      </w:r>
      <w:r>
        <w:rPr>
          <w:rFonts w:hint="eastAsia" w:ascii="宋体" w:hAnsi="宋体"/>
        </w:rPr>
        <w:t>号）的规定，本单位为符合条件的残疾人福利性单位，且本单位参加</w:t>
      </w:r>
      <w:r>
        <w:rPr>
          <w:rFonts w:ascii="宋体" w:hAnsi="宋体"/>
        </w:rPr>
        <w:t>______</w:t>
      </w:r>
      <w:r>
        <w:rPr>
          <w:rFonts w:hint="eastAsia" w:ascii="宋体" w:hAnsi="宋体"/>
        </w:rPr>
        <w:t>单位的</w:t>
      </w:r>
      <w:r>
        <w:rPr>
          <w:rFonts w:ascii="宋体" w:hAnsi="宋体"/>
        </w:rPr>
        <w:t>______</w:t>
      </w:r>
      <w:r>
        <w:rPr>
          <w:rFonts w:hint="eastAsia" w:ascii="宋体" w:hAnsi="宋体"/>
        </w:rPr>
        <w:t>项目采购活动提供本单位制造的货物（由本单位承担工程</w:t>
      </w:r>
      <w:r>
        <w:rPr>
          <w:rFonts w:ascii="宋体" w:hAnsi="宋体"/>
        </w:rPr>
        <w:t>/</w:t>
      </w:r>
      <w:r>
        <w:rPr>
          <w:rFonts w:hint="eastAsia" w:ascii="宋体" w:hAnsi="宋体"/>
        </w:rPr>
        <w:t>提供服务），或者提供其他残疾人福利性单位制造的货物（不包括使用非残疾人福利性单位注册商标的货物）。</w:t>
      </w:r>
    </w:p>
    <w:p>
      <w:pPr>
        <w:spacing w:line="588" w:lineRule="exact"/>
        <w:ind w:firstLine="420" w:firstLineChars="200"/>
        <w:rPr>
          <w:rFonts w:ascii="宋体" w:hAnsi="宋体"/>
        </w:rPr>
      </w:pPr>
      <w:r>
        <w:rPr>
          <w:rFonts w:hint="eastAsia" w:ascii="宋体" w:hAnsi="宋体"/>
        </w:rPr>
        <w:t>本单位对上述声明的真实性负责。如有虚假，将依法承担相应责任。</w:t>
      </w:r>
    </w:p>
    <w:p>
      <w:pPr>
        <w:spacing w:line="588" w:lineRule="exact"/>
        <w:ind w:firstLine="624" w:firstLineChars="200"/>
        <w:rPr>
          <w:rFonts w:ascii="宋体" w:hAnsi="宋体"/>
          <w:spacing w:val="6"/>
          <w:sz w:val="30"/>
          <w:szCs w:val="30"/>
        </w:rPr>
      </w:pPr>
    </w:p>
    <w:p>
      <w:pPr>
        <w:spacing w:line="588" w:lineRule="exact"/>
        <w:ind w:firstLine="624" w:firstLineChars="200"/>
        <w:rPr>
          <w:rFonts w:ascii="宋体" w:hAnsi="宋体"/>
          <w:spacing w:val="6"/>
          <w:sz w:val="30"/>
          <w:szCs w:val="30"/>
        </w:rPr>
      </w:pPr>
    </w:p>
    <w:p>
      <w:pPr>
        <w:tabs>
          <w:tab w:val="left" w:pos="4860"/>
        </w:tabs>
        <w:spacing w:line="588" w:lineRule="exact"/>
        <w:ind w:right="1560" w:firstLine="624" w:firstLineChars="200"/>
        <w:jc w:val="center"/>
        <w:rPr>
          <w:rFonts w:ascii="宋体" w:hAnsi="宋体"/>
        </w:rPr>
      </w:pPr>
      <w:r>
        <w:rPr>
          <w:rFonts w:ascii="宋体" w:hAnsi="宋体"/>
          <w:spacing w:val="6"/>
          <w:sz w:val="30"/>
          <w:szCs w:val="30"/>
        </w:rPr>
        <w:t xml:space="preserve">               </w:t>
      </w:r>
      <w:r>
        <w:rPr>
          <w:rFonts w:hint="eastAsia" w:ascii="宋体" w:hAnsi="宋体"/>
          <w:spacing w:val="6"/>
          <w:sz w:val="30"/>
          <w:szCs w:val="30"/>
        </w:rPr>
        <w:t xml:space="preserve">                 </w:t>
      </w:r>
      <w:r>
        <w:rPr>
          <w:rFonts w:hint="eastAsia" w:ascii="宋体" w:hAnsi="宋体"/>
        </w:rPr>
        <w:t>单位名称（盖章）：</w:t>
      </w:r>
    </w:p>
    <w:p>
      <w:pPr>
        <w:rPr>
          <w:rFonts w:hint="eastAsia" w:ascii="宋体" w:hAnsi="宋体"/>
        </w:rPr>
      </w:pPr>
      <w:r>
        <w:rPr>
          <w:rFonts w:ascii="宋体" w:hAnsi="宋体"/>
        </w:rPr>
        <w:t xml:space="preserve">       </w:t>
      </w:r>
      <w:r>
        <w:rPr>
          <w:rFonts w:hint="eastAsia" w:ascii="宋体" w:hAnsi="宋体"/>
        </w:rPr>
        <w:t xml:space="preserve">                                                 日</w:t>
      </w:r>
      <w:r>
        <w:rPr>
          <w:rFonts w:ascii="宋体" w:hAnsi="宋体"/>
        </w:rPr>
        <w:t xml:space="preserve">  </w:t>
      </w:r>
      <w:r>
        <w:rPr>
          <w:rFonts w:hint="eastAsia" w:ascii="宋体" w:hAnsi="宋体"/>
        </w:rPr>
        <w:t>期：</w:t>
      </w:r>
    </w:p>
    <w:p>
      <w:pPr>
        <w:rPr>
          <w:rFonts w:hint="eastAsia" w:ascii="宋体" w:hAnsi="宋体"/>
        </w:rPr>
      </w:pPr>
    </w:p>
    <w:p>
      <w:pPr>
        <w:rPr>
          <w:rFonts w:hint="eastAsia" w:ascii="宋体" w:hAnsi="宋体"/>
        </w:rPr>
      </w:pPr>
    </w:p>
    <w:p>
      <w:pPr>
        <w:rPr>
          <w:rFonts w:hint="eastAsia" w:ascii="宋体" w:hAnsi="宋体"/>
        </w:rPr>
      </w:pPr>
    </w:p>
    <w:p>
      <w:pPr>
        <w:numPr>
          <w:ilvl w:val="0"/>
          <w:numId w:val="13"/>
        </w:numPr>
        <w:tabs>
          <w:tab w:val="left" w:pos="420"/>
          <w:tab w:val="clear" w:pos="1244"/>
        </w:tabs>
        <w:spacing w:before="100" w:beforeAutospacing="1" w:after="100" w:afterAutospacing="1" w:line="432" w:lineRule="auto"/>
        <w:ind w:hanging="1244"/>
        <w:rPr>
          <w:rFonts w:hint="eastAsia" w:ascii="宋体" w:hAnsi="宋体"/>
          <w:b/>
          <w:szCs w:val="21"/>
        </w:rPr>
      </w:pPr>
      <w:r>
        <w:rPr>
          <w:rFonts w:hint="eastAsia" w:ascii="宋体" w:hAnsi="宋体"/>
          <w:b/>
          <w:szCs w:val="21"/>
        </w:rPr>
        <w:t>残疾人福利性单位视同小型、微型企业，享受价格扣除。</w:t>
      </w:r>
    </w:p>
    <w:p>
      <w:pPr>
        <w:numPr>
          <w:ilvl w:val="0"/>
          <w:numId w:val="13"/>
        </w:numPr>
        <w:tabs>
          <w:tab w:val="left" w:pos="420"/>
          <w:tab w:val="clear" w:pos="1244"/>
        </w:tabs>
        <w:spacing w:before="100" w:beforeAutospacing="1" w:after="100" w:afterAutospacing="1" w:line="432" w:lineRule="auto"/>
        <w:ind w:hanging="1244"/>
        <w:rPr>
          <w:rFonts w:hint="eastAsia" w:ascii="宋体" w:hAnsi="宋体"/>
          <w:b/>
          <w:szCs w:val="21"/>
        </w:rPr>
      </w:pPr>
      <w:r>
        <w:rPr>
          <w:rFonts w:hint="eastAsia" w:ascii="宋体" w:hAnsi="宋体"/>
          <w:b/>
          <w:szCs w:val="21"/>
        </w:rPr>
        <w:t>残疾人福利性单位属于小型、微型企业的，不重复享受政策。</w:t>
      </w:r>
    </w:p>
    <w:p>
      <w:pPr>
        <w:numPr>
          <w:ilvl w:val="0"/>
          <w:numId w:val="13"/>
        </w:numPr>
        <w:tabs>
          <w:tab w:val="left" w:pos="420"/>
          <w:tab w:val="clear" w:pos="1244"/>
        </w:tabs>
        <w:spacing w:before="100" w:beforeAutospacing="1" w:after="100" w:afterAutospacing="1" w:line="432" w:lineRule="auto"/>
        <w:ind w:hanging="1244"/>
        <w:rPr>
          <w:rFonts w:hint="eastAsia" w:ascii="宋体" w:hAnsi="宋体"/>
          <w:b/>
          <w:szCs w:val="21"/>
        </w:rPr>
      </w:pPr>
      <w:r>
        <w:rPr>
          <w:rFonts w:hint="eastAsia" w:ascii="宋体" w:hAnsi="宋体"/>
          <w:b/>
          <w:szCs w:val="21"/>
        </w:rPr>
        <w:t>如中标人声明为残疾人福利性单位，本声明函将随中标结果同时公告，接受社会监督。</w:t>
      </w:r>
    </w:p>
    <w:p>
      <w:pPr>
        <w:snapToGrid w:val="0"/>
        <w:spacing w:before="120" w:beforeLines="50" w:after="50"/>
        <w:jc w:val="center"/>
        <w:rPr>
          <w:rFonts w:hint="eastAsia" w:ascii="宋体" w:hAnsi="宋体"/>
          <w:b/>
          <w:sz w:val="30"/>
          <w:szCs w:val="30"/>
        </w:rPr>
      </w:pPr>
    </w:p>
    <w:p>
      <w:pPr>
        <w:snapToGrid w:val="0"/>
        <w:spacing w:before="120" w:beforeLines="50" w:after="50"/>
        <w:jc w:val="center"/>
        <w:rPr>
          <w:rFonts w:hint="eastAsia" w:ascii="宋体" w:hAnsi="宋体"/>
          <w:b/>
          <w:sz w:val="30"/>
          <w:szCs w:val="30"/>
        </w:rPr>
      </w:pPr>
    </w:p>
    <w:p>
      <w:pPr>
        <w:snapToGrid w:val="0"/>
        <w:spacing w:before="120" w:beforeLines="50" w:after="50"/>
        <w:jc w:val="center"/>
        <w:rPr>
          <w:rFonts w:hint="eastAsia" w:ascii="宋体" w:hAnsi="宋体"/>
          <w:b/>
          <w:sz w:val="30"/>
          <w:szCs w:val="30"/>
        </w:rPr>
      </w:pPr>
    </w:p>
    <w:p>
      <w:pPr>
        <w:snapToGrid w:val="0"/>
        <w:spacing w:before="120" w:beforeLines="50" w:after="50"/>
        <w:jc w:val="center"/>
        <w:rPr>
          <w:rFonts w:hint="eastAsia" w:ascii="宋体" w:hAnsi="宋体"/>
          <w:b/>
          <w:sz w:val="30"/>
          <w:szCs w:val="30"/>
        </w:rPr>
      </w:pPr>
    </w:p>
    <w:p>
      <w:pPr>
        <w:snapToGrid w:val="0"/>
        <w:spacing w:before="120" w:beforeLines="50" w:after="50"/>
        <w:jc w:val="center"/>
        <w:rPr>
          <w:rFonts w:hint="eastAsia" w:ascii="宋体" w:hAnsi="宋体"/>
          <w:b/>
          <w:sz w:val="30"/>
          <w:szCs w:val="30"/>
        </w:rPr>
      </w:pPr>
    </w:p>
    <w:p>
      <w:pPr>
        <w:snapToGrid w:val="0"/>
        <w:spacing w:before="120" w:beforeLines="50" w:after="50"/>
        <w:jc w:val="center"/>
        <w:rPr>
          <w:rFonts w:hint="eastAsia" w:ascii="宋体" w:hAnsi="宋体"/>
          <w:b/>
          <w:sz w:val="30"/>
          <w:szCs w:val="30"/>
        </w:rPr>
      </w:pPr>
    </w:p>
    <w:p>
      <w:pPr>
        <w:snapToGrid w:val="0"/>
        <w:spacing w:before="120" w:beforeLines="50" w:after="50"/>
        <w:jc w:val="center"/>
        <w:rPr>
          <w:rFonts w:hint="eastAsia" w:ascii="宋体" w:hAnsi="宋体"/>
          <w:b/>
          <w:sz w:val="30"/>
          <w:szCs w:val="30"/>
        </w:rPr>
      </w:pPr>
    </w:p>
    <w:p>
      <w:pPr>
        <w:snapToGrid w:val="0"/>
        <w:spacing w:before="120" w:beforeLines="50" w:after="50"/>
        <w:jc w:val="center"/>
        <w:rPr>
          <w:rFonts w:hint="eastAsia" w:ascii="宋体" w:hAnsi="宋体"/>
          <w:b/>
          <w:sz w:val="30"/>
          <w:szCs w:val="30"/>
        </w:rPr>
      </w:pPr>
      <w:r>
        <w:rPr>
          <w:rFonts w:hint="eastAsia" w:ascii="宋体" w:hAnsi="宋体"/>
          <w:b/>
          <w:sz w:val="30"/>
          <w:szCs w:val="30"/>
        </w:rPr>
        <w:t>残疾人福利性单位残疾人聘用情况表</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2305"/>
        <w:gridCol w:w="2168"/>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line="360" w:lineRule="auto"/>
              <w:jc w:val="center"/>
              <w:rPr>
                <w:rFonts w:hint="eastAsia" w:ascii="宋体" w:hAnsi="宋体"/>
                <w:b/>
                <w:i/>
                <w:sz w:val="24"/>
                <w:u w:val="single"/>
              </w:rPr>
            </w:pPr>
            <w:r>
              <w:rPr>
                <w:rFonts w:hint="eastAsia" w:ascii="宋体" w:hAnsi="宋体"/>
                <w:b/>
                <w:i/>
                <w:sz w:val="24"/>
                <w:u w:val="single"/>
              </w:rPr>
              <w:t>序号</w:t>
            </w:r>
          </w:p>
        </w:tc>
        <w:tc>
          <w:tcPr>
            <w:tcW w:w="2305" w:type="dxa"/>
            <w:noWrap w:val="0"/>
            <w:vAlign w:val="top"/>
          </w:tcPr>
          <w:p>
            <w:pPr>
              <w:snapToGrid w:val="0"/>
              <w:spacing w:before="120" w:beforeLines="50" w:after="50" w:line="360" w:lineRule="auto"/>
              <w:jc w:val="center"/>
              <w:rPr>
                <w:rFonts w:hint="eastAsia" w:ascii="宋体" w:hAnsi="宋体"/>
                <w:b/>
                <w:i/>
                <w:sz w:val="24"/>
                <w:u w:val="single"/>
              </w:rPr>
            </w:pPr>
            <w:r>
              <w:rPr>
                <w:rFonts w:hint="eastAsia" w:ascii="宋体" w:hAnsi="宋体"/>
                <w:b/>
                <w:i/>
                <w:sz w:val="24"/>
                <w:u w:val="single"/>
              </w:rPr>
              <w:t>姓名</w:t>
            </w:r>
          </w:p>
        </w:tc>
        <w:tc>
          <w:tcPr>
            <w:tcW w:w="2168" w:type="dxa"/>
            <w:noWrap w:val="0"/>
            <w:vAlign w:val="top"/>
          </w:tcPr>
          <w:p>
            <w:pPr>
              <w:snapToGrid w:val="0"/>
              <w:spacing w:before="120" w:beforeLines="50" w:after="50" w:line="360" w:lineRule="auto"/>
              <w:jc w:val="center"/>
              <w:rPr>
                <w:rFonts w:hint="eastAsia" w:ascii="宋体" w:hAnsi="宋体"/>
                <w:b/>
                <w:i/>
                <w:sz w:val="24"/>
                <w:u w:val="single"/>
              </w:rPr>
            </w:pPr>
            <w:r>
              <w:rPr>
                <w:rFonts w:hint="eastAsia" w:ascii="宋体" w:hAnsi="宋体"/>
                <w:b/>
                <w:i/>
                <w:sz w:val="24"/>
                <w:u w:val="single"/>
              </w:rPr>
              <w:t>残疾人证号</w:t>
            </w:r>
          </w:p>
        </w:tc>
        <w:tc>
          <w:tcPr>
            <w:tcW w:w="1882" w:type="dxa"/>
            <w:noWrap w:val="0"/>
            <w:vAlign w:val="top"/>
          </w:tcPr>
          <w:p>
            <w:pPr>
              <w:snapToGrid w:val="0"/>
              <w:spacing w:before="120" w:beforeLines="50" w:after="50" w:line="360" w:lineRule="auto"/>
              <w:jc w:val="center"/>
              <w:rPr>
                <w:rFonts w:hint="eastAsia" w:ascii="宋体" w:hAnsi="宋体"/>
                <w:b/>
                <w:i/>
                <w:sz w:val="24"/>
                <w:u w:val="single"/>
              </w:rPr>
            </w:pPr>
            <w:r>
              <w:rPr>
                <w:rFonts w:hint="eastAsia" w:ascii="宋体" w:hAnsi="宋体"/>
                <w:b/>
                <w:i/>
                <w:sz w:val="24"/>
                <w:u w:val="single"/>
              </w:rPr>
              <w:t>聘用时间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line="360" w:lineRule="auto"/>
              <w:jc w:val="center"/>
              <w:rPr>
                <w:rFonts w:hint="eastAsia" w:ascii="宋体" w:hAnsi="宋体"/>
                <w:b/>
                <w:i/>
                <w:sz w:val="24"/>
                <w:u w:val="single"/>
              </w:rPr>
            </w:pPr>
          </w:p>
        </w:tc>
        <w:tc>
          <w:tcPr>
            <w:tcW w:w="2305" w:type="dxa"/>
            <w:noWrap w:val="0"/>
            <w:vAlign w:val="top"/>
          </w:tcPr>
          <w:p>
            <w:pPr>
              <w:snapToGrid w:val="0"/>
              <w:spacing w:before="120" w:beforeLines="50" w:after="50" w:line="360" w:lineRule="auto"/>
              <w:jc w:val="center"/>
              <w:rPr>
                <w:rFonts w:hint="eastAsia" w:ascii="宋体" w:hAnsi="宋体"/>
                <w:b/>
                <w:i/>
                <w:sz w:val="24"/>
                <w:u w:val="single"/>
              </w:rPr>
            </w:pPr>
          </w:p>
        </w:tc>
        <w:tc>
          <w:tcPr>
            <w:tcW w:w="2168" w:type="dxa"/>
            <w:noWrap w:val="0"/>
            <w:vAlign w:val="top"/>
          </w:tcPr>
          <w:p>
            <w:pPr>
              <w:snapToGrid w:val="0"/>
              <w:spacing w:before="120" w:beforeLines="50" w:after="50" w:line="360" w:lineRule="auto"/>
              <w:jc w:val="center"/>
              <w:rPr>
                <w:rFonts w:hint="eastAsia" w:ascii="宋体" w:hAnsi="宋体"/>
                <w:b/>
                <w:i/>
                <w:sz w:val="24"/>
                <w:u w:val="single"/>
              </w:rPr>
            </w:pPr>
          </w:p>
        </w:tc>
        <w:tc>
          <w:tcPr>
            <w:tcW w:w="1882" w:type="dxa"/>
            <w:noWrap w:val="0"/>
            <w:vAlign w:val="top"/>
          </w:tcPr>
          <w:p>
            <w:pPr>
              <w:snapToGrid w:val="0"/>
              <w:spacing w:before="120" w:beforeLines="50" w:after="50" w:line="360" w:lineRule="auto"/>
              <w:jc w:val="center"/>
              <w:rPr>
                <w:rFonts w:hint="eastAsia" w:ascii="宋体" w:hAnsi="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line="360" w:lineRule="auto"/>
              <w:jc w:val="center"/>
              <w:rPr>
                <w:rFonts w:hint="eastAsia" w:ascii="宋体" w:hAnsi="宋体"/>
                <w:b/>
                <w:i/>
                <w:sz w:val="24"/>
                <w:u w:val="single"/>
              </w:rPr>
            </w:pPr>
          </w:p>
        </w:tc>
        <w:tc>
          <w:tcPr>
            <w:tcW w:w="2305" w:type="dxa"/>
            <w:noWrap w:val="0"/>
            <w:vAlign w:val="top"/>
          </w:tcPr>
          <w:p>
            <w:pPr>
              <w:snapToGrid w:val="0"/>
              <w:spacing w:before="120" w:beforeLines="50" w:after="50" w:line="360" w:lineRule="auto"/>
              <w:jc w:val="center"/>
              <w:rPr>
                <w:rFonts w:hint="eastAsia" w:ascii="宋体" w:hAnsi="宋体"/>
                <w:b/>
                <w:i/>
                <w:sz w:val="24"/>
                <w:u w:val="single"/>
              </w:rPr>
            </w:pPr>
          </w:p>
        </w:tc>
        <w:tc>
          <w:tcPr>
            <w:tcW w:w="2168" w:type="dxa"/>
            <w:noWrap w:val="0"/>
            <w:vAlign w:val="top"/>
          </w:tcPr>
          <w:p>
            <w:pPr>
              <w:snapToGrid w:val="0"/>
              <w:spacing w:before="120" w:beforeLines="50" w:after="50" w:line="360" w:lineRule="auto"/>
              <w:jc w:val="center"/>
              <w:rPr>
                <w:rFonts w:hint="eastAsia" w:ascii="宋体" w:hAnsi="宋体"/>
                <w:b/>
                <w:i/>
                <w:sz w:val="24"/>
                <w:u w:val="single"/>
              </w:rPr>
            </w:pPr>
          </w:p>
        </w:tc>
        <w:tc>
          <w:tcPr>
            <w:tcW w:w="1882" w:type="dxa"/>
            <w:noWrap w:val="0"/>
            <w:vAlign w:val="top"/>
          </w:tcPr>
          <w:p>
            <w:pPr>
              <w:snapToGrid w:val="0"/>
              <w:spacing w:before="120" w:beforeLines="50" w:after="50" w:line="360" w:lineRule="auto"/>
              <w:jc w:val="center"/>
              <w:rPr>
                <w:rFonts w:hint="eastAsia" w:ascii="宋体" w:hAnsi="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line="360" w:lineRule="auto"/>
              <w:jc w:val="center"/>
              <w:rPr>
                <w:rFonts w:hint="eastAsia" w:ascii="宋体" w:hAnsi="宋体"/>
                <w:b/>
                <w:i/>
                <w:sz w:val="24"/>
                <w:u w:val="single"/>
              </w:rPr>
            </w:pPr>
          </w:p>
        </w:tc>
        <w:tc>
          <w:tcPr>
            <w:tcW w:w="2305" w:type="dxa"/>
            <w:noWrap w:val="0"/>
            <w:vAlign w:val="top"/>
          </w:tcPr>
          <w:p>
            <w:pPr>
              <w:snapToGrid w:val="0"/>
              <w:spacing w:before="120" w:beforeLines="50" w:after="50" w:line="360" w:lineRule="auto"/>
              <w:jc w:val="center"/>
              <w:rPr>
                <w:rFonts w:hint="eastAsia" w:ascii="宋体" w:hAnsi="宋体"/>
                <w:b/>
                <w:i/>
                <w:sz w:val="24"/>
                <w:u w:val="single"/>
              </w:rPr>
            </w:pPr>
          </w:p>
        </w:tc>
        <w:tc>
          <w:tcPr>
            <w:tcW w:w="2168" w:type="dxa"/>
            <w:noWrap w:val="0"/>
            <w:vAlign w:val="top"/>
          </w:tcPr>
          <w:p>
            <w:pPr>
              <w:snapToGrid w:val="0"/>
              <w:spacing w:before="120" w:beforeLines="50" w:after="50" w:line="360" w:lineRule="auto"/>
              <w:jc w:val="center"/>
              <w:rPr>
                <w:rFonts w:hint="eastAsia" w:ascii="宋体" w:hAnsi="宋体"/>
                <w:b/>
                <w:i/>
                <w:sz w:val="24"/>
                <w:u w:val="single"/>
              </w:rPr>
            </w:pPr>
          </w:p>
        </w:tc>
        <w:tc>
          <w:tcPr>
            <w:tcW w:w="1882" w:type="dxa"/>
            <w:noWrap w:val="0"/>
            <w:vAlign w:val="top"/>
          </w:tcPr>
          <w:p>
            <w:pPr>
              <w:snapToGrid w:val="0"/>
              <w:spacing w:before="120" w:beforeLines="50" w:after="50" w:line="360" w:lineRule="auto"/>
              <w:jc w:val="center"/>
              <w:rPr>
                <w:rFonts w:hint="eastAsia" w:ascii="宋体" w:hAnsi="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line="360" w:lineRule="auto"/>
              <w:jc w:val="center"/>
              <w:rPr>
                <w:rFonts w:hint="eastAsia" w:ascii="宋体" w:hAnsi="宋体"/>
                <w:b/>
                <w:i/>
                <w:sz w:val="24"/>
                <w:u w:val="single"/>
              </w:rPr>
            </w:pPr>
          </w:p>
        </w:tc>
        <w:tc>
          <w:tcPr>
            <w:tcW w:w="2305" w:type="dxa"/>
            <w:noWrap w:val="0"/>
            <w:vAlign w:val="top"/>
          </w:tcPr>
          <w:p>
            <w:pPr>
              <w:snapToGrid w:val="0"/>
              <w:spacing w:before="120" w:beforeLines="50" w:after="50" w:line="360" w:lineRule="auto"/>
              <w:jc w:val="center"/>
              <w:rPr>
                <w:rFonts w:hint="eastAsia" w:ascii="宋体" w:hAnsi="宋体"/>
                <w:b/>
                <w:i/>
                <w:sz w:val="24"/>
                <w:u w:val="single"/>
              </w:rPr>
            </w:pPr>
          </w:p>
        </w:tc>
        <w:tc>
          <w:tcPr>
            <w:tcW w:w="2168" w:type="dxa"/>
            <w:noWrap w:val="0"/>
            <w:vAlign w:val="top"/>
          </w:tcPr>
          <w:p>
            <w:pPr>
              <w:snapToGrid w:val="0"/>
              <w:spacing w:before="120" w:beforeLines="50" w:after="50" w:line="360" w:lineRule="auto"/>
              <w:jc w:val="center"/>
              <w:rPr>
                <w:rFonts w:hint="eastAsia" w:ascii="宋体" w:hAnsi="宋体"/>
                <w:b/>
                <w:i/>
                <w:sz w:val="24"/>
                <w:u w:val="single"/>
              </w:rPr>
            </w:pPr>
          </w:p>
        </w:tc>
        <w:tc>
          <w:tcPr>
            <w:tcW w:w="1882" w:type="dxa"/>
            <w:noWrap w:val="0"/>
            <w:vAlign w:val="top"/>
          </w:tcPr>
          <w:p>
            <w:pPr>
              <w:snapToGrid w:val="0"/>
              <w:spacing w:before="120" w:beforeLines="50" w:after="50" w:line="360" w:lineRule="auto"/>
              <w:jc w:val="center"/>
              <w:rPr>
                <w:rFonts w:hint="eastAsia" w:ascii="宋体" w:hAnsi="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line="360" w:lineRule="auto"/>
              <w:jc w:val="center"/>
              <w:rPr>
                <w:rFonts w:hint="eastAsia" w:ascii="宋体" w:hAnsi="宋体"/>
                <w:b/>
                <w:i/>
                <w:sz w:val="24"/>
                <w:u w:val="single"/>
              </w:rPr>
            </w:pPr>
          </w:p>
        </w:tc>
        <w:tc>
          <w:tcPr>
            <w:tcW w:w="2305" w:type="dxa"/>
            <w:noWrap w:val="0"/>
            <w:vAlign w:val="top"/>
          </w:tcPr>
          <w:p>
            <w:pPr>
              <w:snapToGrid w:val="0"/>
              <w:spacing w:before="120" w:beforeLines="50" w:after="50" w:line="360" w:lineRule="auto"/>
              <w:jc w:val="center"/>
              <w:rPr>
                <w:rFonts w:hint="eastAsia" w:ascii="宋体" w:hAnsi="宋体"/>
                <w:b/>
                <w:i/>
                <w:sz w:val="24"/>
                <w:u w:val="single"/>
              </w:rPr>
            </w:pPr>
          </w:p>
        </w:tc>
        <w:tc>
          <w:tcPr>
            <w:tcW w:w="2168" w:type="dxa"/>
            <w:noWrap w:val="0"/>
            <w:vAlign w:val="top"/>
          </w:tcPr>
          <w:p>
            <w:pPr>
              <w:snapToGrid w:val="0"/>
              <w:spacing w:before="120" w:beforeLines="50" w:after="50" w:line="360" w:lineRule="auto"/>
              <w:jc w:val="center"/>
              <w:rPr>
                <w:rFonts w:hint="eastAsia" w:ascii="宋体" w:hAnsi="宋体"/>
                <w:b/>
                <w:i/>
                <w:sz w:val="24"/>
                <w:u w:val="single"/>
              </w:rPr>
            </w:pPr>
          </w:p>
        </w:tc>
        <w:tc>
          <w:tcPr>
            <w:tcW w:w="1882" w:type="dxa"/>
            <w:noWrap w:val="0"/>
            <w:vAlign w:val="top"/>
          </w:tcPr>
          <w:p>
            <w:pPr>
              <w:snapToGrid w:val="0"/>
              <w:spacing w:before="120" w:beforeLines="50" w:after="50" w:line="360" w:lineRule="auto"/>
              <w:jc w:val="center"/>
              <w:rPr>
                <w:rFonts w:hint="eastAsia" w:ascii="宋体" w:hAnsi="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line="360" w:lineRule="auto"/>
              <w:jc w:val="center"/>
              <w:rPr>
                <w:rFonts w:hint="eastAsia" w:ascii="宋体" w:hAnsi="宋体"/>
                <w:b/>
                <w:i/>
                <w:sz w:val="24"/>
                <w:u w:val="single"/>
              </w:rPr>
            </w:pPr>
          </w:p>
        </w:tc>
        <w:tc>
          <w:tcPr>
            <w:tcW w:w="2305" w:type="dxa"/>
            <w:noWrap w:val="0"/>
            <w:vAlign w:val="top"/>
          </w:tcPr>
          <w:p>
            <w:pPr>
              <w:snapToGrid w:val="0"/>
              <w:spacing w:before="120" w:beforeLines="50" w:after="50" w:line="360" w:lineRule="auto"/>
              <w:jc w:val="center"/>
              <w:rPr>
                <w:rFonts w:hint="eastAsia" w:ascii="宋体" w:hAnsi="宋体"/>
                <w:b/>
                <w:i/>
                <w:sz w:val="24"/>
                <w:u w:val="single"/>
              </w:rPr>
            </w:pPr>
          </w:p>
        </w:tc>
        <w:tc>
          <w:tcPr>
            <w:tcW w:w="2168" w:type="dxa"/>
            <w:noWrap w:val="0"/>
            <w:vAlign w:val="top"/>
          </w:tcPr>
          <w:p>
            <w:pPr>
              <w:snapToGrid w:val="0"/>
              <w:spacing w:before="120" w:beforeLines="50" w:after="50" w:line="360" w:lineRule="auto"/>
              <w:jc w:val="center"/>
              <w:rPr>
                <w:rFonts w:hint="eastAsia" w:ascii="宋体" w:hAnsi="宋体"/>
                <w:b/>
                <w:i/>
                <w:sz w:val="24"/>
                <w:u w:val="single"/>
              </w:rPr>
            </w:pPr>
          </w:p>
        </w:tc>
        <w:tc>
          <w:tcPr>
            <w:tcW w:w="1882" w:type="dxa"/>
            <w:noWrap w:val="0"/>
            <w:vAlign w:val="top"/>
          </w:tcPr>
          <w:p>
            <w:pPr>
              <w:snapToGrid w:val="0"/>
              <w:spacing w:before="120" w:beforeLines="50" w:after="50" w:line="360" w:lineRule="auto"/>
              <w:jc w:val="center"/>
              <w:rPr>
                <w:rFonts w:hint="eastAsia" w:ascii="宋体" w:hAnsi="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line="360" w:lineRule="auto"/>
              <w:jc w:val="center"/>
              <w:rPr>
                <w:rFonts w:hint="eastAsia" w:ascii="宋体" w:hAnsi="宋体"/>
                <w:b/>
                <w:i/>
                <w:sz w:val="24"/>
                <w:u w:val="single"/>
              </w:rPr>
            </w:pPr>
          </w:p>
        </w:tc>
        <w:tc>
          <w:tcPr>
            <w:tcW w:w="2305" w:type="dxa"/>
            <w:noWrap w:val="0"/>
            <w:vAlign w:val="top"/>
          </w:tcPr>
          <w:p>
            <w:pPr>
              <w:snapToGrid w:val="0"/>
              <w:spacing w:before="120" w:beforeLines="50" w:after="50" w:line="360" w:lineRule="auto"/>
              <w:jc w:val="center"/>
              <w:rPr>
                <w:rFonts w:hint="eastAsia" w:ascii="宋体" w:hAnsi="宋体"/>
                <w:b/>
                <w:i/>
                <w:sz w:val="24"/>
                <w:u w:val="single"/>
              </w:rPr>
            </w:pPr>
          </w:p>
        </w:tc>
        <w:tc>
          <w:tcPr>
            <w:tcW w:w="2168" w:type="dxa"/>
            <w:noWrap w:val="0"/>
            <w:vAlign w:val="top"/>
          </w:tcPr>
          <w:p>
            <w:pPr>
              <w:snapToGrid w:val="0"/>
              <w:spacing w:before="120" w:beforeLines="50" w:after="50" w:line="360" w:lineRule="auto"/>
              <w:jc w:val="center"/>
              <w:rPr>
                <w:rFonts w:hint="eastAsia" w:ascii="宋体" w:hAnsi="宋体"/>
                <w:b/>
                <w:i/>
                <w:sz w:val="24"/>
                <w:u w:val="single"/>
              </w:rPr>
            </w:pPr>
          </w:p>
        </w:tc>
        <w:tc>
          <w:tcPr>
            <w:tcW w:w="1882" w:type="dxa"/>
            <w:noWrap w:val="0"/>
            <w:vAlign w:val="top"/>
          </w:tcPr>
          <w:p>
            <w:pPr>
              <w:snapToGrid w:val="0"/>
              <w:spacing w:before="120" w:beforeLines="50" w:after="50" w:line="360" w:lineRule="auto"/>
              <w:jc w:val="center"/>
              <w:rPr>
                <w:rFonts w:hint="eastAsia" w:ascii="宋体" w:hAnsi="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line="360" w:lineRule="auto"/>
              <w:jc w:val="center"/>
              <w:rPr>
                <w:rFonts w:hint="eastAsia" w:ascii="宋体" w:hAnsi="宋体"/>
                <w:b/>
                <w:i/>
                <w:sz w:val="24"/>
                <w:u w:val="single"/>
              </w:rPr>
            </w:pPr>
          </w:p>
        </w:tc>
        <w:tc>
          <w:tcPr>
            <w:tcW w:w="2305" w:type="dxa"/>
            <w:noWrap w:val="0"/>
            <w:vAlign w:val="top"/>
          </w:tcPr>
          <w:p>
            <w:pPr>
              <w:snapToGrid w:val="0"/>
              <w:spacing w:before="120" w:beforeLines="50" w:after="50" w:line="360" w:lineRule="auto"/>
              <w:jc w:val="center"/>
              <w:rPr>
                <w:rFonts w:hint="eastAsia" w:ascii="宋体" w:hAnsi="宋体"/>
                <w:b/>
                <w:i/>
                <w:sz w:val="24"/>
                <w:u w:val="single"/>
              </w:rPr>
            </w:pPr>
          </w:p>
        </w:tc>
        <w:tc>
          <w:tcPr>
            <w:tcW w:w="2168" w:type="dxa"/>
            <w:noWrap w:val="0"/>
            <w:vAlign w:val="top"/>
          </w:tcPr>
          <w:p>
            <w:pPr>
              <w:snapToGrid w:val="0"/>
              <w:spacing w:before="120" w:beforeLines="50" w:after="50" w:line="360" w:lineRule="auto"/>
              <w:jc w:val="center"/>
              <w:rPr>
                <w:rFonts w:hint="eastAsia" w:ascii="宋体" w:hAnsi="宋体"/>
                <w:b/>
                <w:i/>
                <w:sz w:val="24"/>
                <w:u w:val="single"/>
              </w:rPr>
            </w:pPr>
          </w:p>
        </w:tc>
        <w:tc>
          <w:tcPr>
            <w:tcW w:w="1882" w:type="dxa"/>
            <w:noWrap w:val="0"/>
            <w:vAlign w:val="top"/>
          </w:tcPr>
          <w:p>
            <w:pPr>
              <w:snapToGrid w:val="0"/>
              <w:spacing w:before="120" w:beforeLines="50" w:after="50" w:line="360" w:lineRule="auto"/>
              <w:jc w:val="center"/>
              <w:rPr>
                <w:rFonts w:hint="eastAsia" w:ascii="宋体" w:hAnsi="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line="360" w:lineRule="auto"/>
              <w:jc w:val="center"/>
              <w:rPr>
                <w:rFonts w:hint="eastAsia" w:ascii="宋体" w:hAnsi="宋体"/>
                <w:b/>
                <w:i/>
                <w:sz w:val="24"/>
                <w:u w:val="single"/>
              </w:rPr>
            </w:pPr>
          </w:p>
        </w:tc>
        <w:tc>
          <w:tcPr>
            <w:tcW w:w="2305" w:type="dxa"/>
            <w:noWrap w:val="0"/>
            <w:vAlign w:val="top"/>
          </w:tcPr>
          <w:p>
            <w:pPr>
              <w:snapToGrid w:val="0"/>
              <w:spacing w:before="120" w:beforeLines="50" w:after="50" w:line="360" w:lineRule="auto"/>
              <w:jc w:val="center"/>
              <w:rPr>
                <w:rFonts w:hint="eastAsia" w:ascii="宋体" w:hAnsi="宋体"/>
                <w:b/>
                <w:i/>
                <w:sz w:val="24"/>
                <w:u w:val="single"/>
              </w:rPr>
            </w:pPr>
          </w:p>
        </w:tc>
        <w:tc>
          <w:tcPr>
            <w:tcW w:w="2168" w:type="dxa"/>
            <w:noWrap w:val="0"/>
            <w:vAlign w:val="top"/>
          </w:tcPr>
          <w:p>
            <w:pPr>
              <w:snapToGrid w:val="0"/>
              <w:spacing w:before="120" w:beforeLines="50" w:after="50" w:line="360" w:lineRule="auto"/>
              <w:jc w:val="center"/>
              <w:rPr>
                <w:rFonts w:hint="eastAsia" w:ascii="宋体" w:hAnsi="宋体"/>
                <w:b/>
                <w:i/>
                <w:sz w:val="24"/>
                <w:u w:val="single"/>
              </w:rPr>
            </w:pPr>
          </w:p>
        </w:tc>
        <w:tc>
          <w:tcPr>
            <w:tcW w:w="1882" w:type="dxa"/>
            <w:noWrap w:val="0"/>
            <w:vAlign w:val="top"/>
          </w:tcPr>
          <w:p>
            <w:pPr>
              <w:snapToGrid w:val="0"/>
              <w:spacing w:before="120" w:beforeLines="50" w:after="50" w:line="360" w:lineRule="auto"/>
              <w:jc w:val="center"/>
              <w:rPr>
                <w:rFonts w:hint="eastAsia" w:ascii="宋体" w:hAnsi="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line="360" w:lineRule="auto"/>
              <w:jc w:val="center"/>
              <w:rPr>
                <w:rFonts w:hint="eastAsia" w:ascii="宋体" w:hAnsi="宋体"/>
                <w:b/>
                <w:i/>
                <w:sz w:val="24"/>
                <w:u w:val="single"/>
              </w:rPr>
            </w:pPr>
          </w:p>
        </w:tc>
        <w:tc>
          <w:tcPr>
            <w:tcW w:w="2305" w:type="dxa"/>
            <w:noWrap w:val="0"/>
            <w:vAlign w:val="top"/>
          </w:tcPr>
          <w:p>
            <w:pPr>
              <w:snapToGrid w:val="0"/>
              <w:spacing w:before="120" w:beforeLines="50" w:after="50" w:line="360" w:lineRule="auto"/>
              <w:jc w:val="center"/>
              <w:rPr>
                <w:rFonts w:hint="eastAsia" w:ascii="宋体" w:hAnsi="宋体"/>
                <w:b/>
                <w:i/>
                <w:sz w:val="24"/>
                <w:u w:val="single"/>
              </w:rPr>
            </w:pPr>
          </w:p>
        </w:tc>
        <w:tc>
          <w:tcPr>
            <w:tcW w:w="2168" w:type="dxa"/>
            <w:noWrap w:val="0"/>
            <w:vAlign w:val="top"/>
          </w:tcPr>
          <w:p>
            <w:pPr>
              <w:snapToGrid w:val="0"/>
              <w:spacing w:before="120" w:beforeLines="50" w:after="50" w:line="360" w:lineRule="auto"/>
              <w:jc w:val="center"/>
              <w:rPr>
                <w:rFonts w:hint="eastAsia" w:ascii="宋体" w:hAnsi="宋体"/>
                <w:b/>
                <w:i/>
                <w:sz w:val="24"/>
                <w:u w:val="single"/>
              </w:rPr>
            </w:pPr>
          </w:p>
        </w:tc>
        <w:tc>
          <w:tcPr>
            <w:tcW w:w="1882" w:type="dxa"/>
            <w:noWrap w:val="0"/>
            <w:vAlign w:val="top"/>
          </w:tcPr>
          <w:p>
            <w:pPr>
              <w:snapToGrid w:val="0"/>
              <w:spacing w:before="120" w:beforeLines="50" w:after="50" w:line="360" w:lineRule="auto"/>
              <w:jc w:val="center"/>
              <w:rPr>
                <w:rFonts w:hint="eastAsia" w:ascii="宋体" w:hAnsi="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line="360" w:lineRule="auto"/>
              <w:jc w:val="center"/>
              <w:rPr>
                <w:rFonts w:hint="eastAsia" w:ascii="宋体" w:hAnsi="宋体"/>
                <w:b/>
                <w:i/>
                <w:sz w:val="24"/>
                <w:u w:val="single"/>
              </w:rPr>
            </w:pPr>
          </w:p>
        </w:tc>
        <w:tc>
          <w:tcPr>
            <w:tcW w:w="2305" w:type="dxa"/>
            <w:noWrap w:val="0"/>
            <w:vAlign w:val="top"/>
          </w:tcPr>
          <w:p>
            <w:pPr>
              <w:snapToGrid w:val="0"/>
              <w:spacing w:before="120" w:beforeLines="50" w:after="50" w:line="360" w:lineRule="auto"/>
              <w:jc w:val="center"/>
              <w:rPr>
                <w:rFonts w:hint="eastAsia" w:ascii="宋体" w:hAnsi="宋体"/>
                <w:b/>
                <w:i/>
                <w:sz w:val="24"/>
                <w:u w:val="single"/>
              </w:rPr>
            </w:pPr>
          </w:p>
        </w:tc>
        <w:tc>
          <w:tcPr>
            <w:tcW w:w="2168" w:type="dxa"/>
            <w:noWrap w:val="0"/>
            <w:vAlign w:val="top"/>
          </w:tcPr>
          <w:p>
            <w:pPr>
              <w:snapToGrid w:val="0"/>
              <w:spacing w:before="120" w:beforeLines="50" w:after="50" w:line="360" w:lineRule="auto"/>
              <w:jc w:val="center"/>
              <w:rPr>
                <w:rFonts w:hint="eastAsia" w:ascii="宋体" w:hAnsi="宋体"/>
                <w:b/>
                <w:i/>
                <w:sz w:val="24"/>
                <w:u w:val="single"/>
              </w:rPr>
            </w:pPr>
          </w:p>
        </w:tc>
        <w:tc>
          <w:tcPr>
            <w:tcW w:w="1882" w:type="dxa"/>
            <w:noWrap w:val="0"/>
            <w:vAlign w:val="top"/>
          </w:tcPr>
          <w:p>
            <w:pPr>
              <w:snapToGrid w:val="0"/>
              <w:spacing w:before="120" w:beforeLines="50" w:after="50" w:line="360" w:lineRule="auto"/>
              <w:jc w:val="center"/>
              <w:rPr>
                <w:rFonts w:hint="eastAsia" w:ascii="宋体" w:hAnsi="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line="360" w:lineRule="auto"/>
              <w:jc w:val="center"/>
              <w:rPr>
                <w:rFonts w:hint="eastAsia" w:ascii="宋体" w:hAnsi="宋体"/>
                <w:b/>
                <w:i/>
                <w:sz w:val="24"/>
                <w:u w:val="single"/>
              </w:rPr>
            </w:pPr>
          </w:p>
        </w:tc>
        <w:tc>
          <w:tcPr>
            <w:tcW w:w="2305" w:type="dxa"/>
            <w:noWrap w:val="0"/>
            <w:vAlign w:val="top"/>
          </w:tcPr>
          <w:p>
            <w:pPr>
              <w:snapToGrid w:val="0"/>
              <w:spacing w:before="120" w:beforeLines="50" w:after="50" w:line="360" w:lineRule="auto"/>
              <w:jc w:val="center"/>
              <w:rPr>
                <w:rFonts w:hint="eastAsia" w:ascii="宋体" w:hAnsi="宋体"/>
                <w:b/>
                <w:i/>
                <w:sz w:val="24"/>
                <w:u w:val="single"/>
              </w:rPr>
            </w:pPr>
          </w:p>
        </w:tc>
        <w:tc>
          <w:tcPr>
            <w:tcW w:w="2168" w:type="dxa"/>
            <w:noWrap w:val="0"/>
            <w:vAlign w:val="top"/>
          </w:tcPr>
          <w:p>
            <w:pPr>
              <w:snapToGrid w:val="0"/>
              <w:spacing w:before="120" w:beforeLines="50" w:after="50" w:line="360" w:lineRule="auto"/>
              <w:jc w:val="center"/>
              <w:rPr>
                <w:rFonts w:hint="eastAsia" w:ascii="宋体" w:hAnsi="宋体"/>
                <w:b/>
                <w:i/>
                <w:sz w:val="24"/>
                <w:u w:val="single"/>
              </w:rPr>
            </w:pPr>
          </w:p>
        </w:tc>
        <w:tc>
          <w:tcPr>
            <w:tcW w:w="1882" w:type="dxa"/>
            <w:noWrap w:val="0"/>
            <w:vAlign w:val="top"/>
          </w:tcPr>
          <w:p>
            <w:pPr>
              <w:snapToGrid w:val="0"/>
              <w:spacing w:before="120" w:beforeLines="50" w:after="50" w:line="360" w:lineRule="auto"/>
              <w:jc w:val="center"/>
              <w:rPr>
                <w:rFonts w:hint="eastAsia" w:ascii="宋体" w:hAnsi="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line="360" w:lineRule="auto"/>
              <w:jc w:val="center"/>
              <w:rPr>
                <w:rFonts w:hint="eastAsia" w:ascii="宋体" w:hAnsi="宋体"/>
                <w:b/>
                <w:i/>
                <w:sz w:val="24"/>
                <w:u w:val="single"/>
              </w:rPr>
            </w:pPr>
          </w:p>
        </w:tc>
        <w:tc>
          <w:tcPr>
            <w:tcW w:w="2305" w:type="dxa"/>
            <w:noWrap w:val="0"/>
            <w:vAlign w:val="top"/>
          </w:tcPr>
          <w:p>
            <w:pPr>
              <w:snapToGrid w:val="0"/>
              <w:spacing w:before="120" w:beforeLines="50" w:after="50" w:line="360" w:lineRule="auto"/>
              <w:jc w:val="center"/>
              <w:rPr>
                <w:rFonts w:hint="eastAsia" w:ascii="宋体" w:hAnsi="宋体"/>
                <w:b/>
                <w:i/>
                <w:sz w:val="24"/>
                <w:u w:val="single"/>
              </w:rPr>
            </w:pPr>
          </w:p>
        </w:tc>
        <w:tc>
          <w:tcPr>
            <w:tcW w:w="2168" w:type="dxa"/>
            <w:noWrap w:val="0"/>
            <w:vAlign w:val="top"/>
          </w:tcPr>
          <w:p>
            <w:pPr>
              <w:snapToGrid w:val="0"/>
              <w:spacing w:before="120" w:beforeLines="50" w:after="50" w:line="360" w:lineRule="auto"/>
              <w:jc w:val="center"/>
              <w:rPr>
                <w:rFonts w:hint="eastAsia" w:ascii="宋体" w:hAnsi="宋体"/>
                <w:b/>
                <w:i/>
                <w:sz w:val="24"/>
                <w:u w:val="single"/>
              </w:rPr>
            </w:pPr>
          </w:p>
        </w:tc>
        <w:tc>
          <w:tcPr>
            <w:tcW w:w="1882" w:type="dxa"/>
            <w:noWrap w:val="0"/>
            <w:vAlign w:val="top"/>
          </w:tcPr>
          <w:p>
            <w:pPr>
              <w:snapToGrid w:val="0"/>
              <w:spacing w:before="120" w:beforeLines="50" w:after="50" w:line="360" w:lineRule="auto"/>
              <w:jc w:val="center"/>
              <w:rPr>
                <w:rFonts w:hint="eastAsia" w:ascii="宋体" w:hAnsi="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line="360" w:lineRule="auto"/>
              <w:jc w:val="center"/>
              <w:rPr>
                <w:rFonts w:hint="eastAsia" w:ascii="宋体" w:hAnsi="宋体"/>
                <w:b/>
                <w:i/>
                <w:sz w:val="24"/>
                <w:u w:val="single"/>
              </w:rPr>
            </w:pPr>
          </w:p>
        </w:tc>
        <w:tc>
          <w:tcPr>
            <w:tcW w:w="2305" w:type="dxa"/>
            <w:noWrap w:val="0"/>
            <w:vAlign w:val="top"/>
          </w:tcPr>
          <w:p>
            <w:pPr>
              <w:snapToGrid w:val="0"/>
              <w:spacing w:before="120" w:beforeLines="50" w:after="50" w:line="360" w:lineRule="auto"/>
              <w:jc w:val="center"/>
              <w:rPr>
                <w:rFonts w:hint="eastAsia" w:ascii="宋体" w:hAnsi="宋体"/>
                <w:b/>
                <w:i/>
                <w:sz w:val="24"/>
                <w:u w:val="single"/>
              </w:rPr>
            </w:pPr>
          </w:p>
        </w:tc>
        <w:tc>
          <w:tcPr>
            <w:tcW w:w="2168" w:type="dxa"/>
            <w:noWrap w:val="0"/>
            <w:vAlign w:val="top"/>
          </w:tcPr>
          <w:p>
            <w:pPr>
              <w:snapToGrid w:val="0"/>
              <w:spacing w:before="120" w:beforeLines="50" w:after="50" w:line="360" w:lineRule="auto"/>
              <w:jc w:val="center"/>
              <w:rPr>
                <w:rFonts w:hint="eastAsia" w:ascii="宋体" w:hAnsi="宋体"/>
                <w:b/>
                <w:i/>
                <w:sz w:val="24"/>
                <w:u w:val="single"/>
              </w:rPr>
            </w:pPr>
          </w:p>
        </w:tc>
        <w:tc>
          <w:tcPr>
            <w:tcW w:w="1882" w:type="dxa"/>
            <w:noWrap w:val="0"/>
            <w:vAlign w:val="top"/>
          </w:tcPr>
          <w:p>
            <w:pPr>
              <w:snapToGrid w:val="0"/>
              <w:spacing w:before="120" w:beforeLines="50" w:after="50" w:line="360" w:lineRule="auto"/>
              <w:jc w:val="center"/>
              <w:rPr>
                <w:rFonts w:hint="eastAsia" w:ascii="宋体" w:hAnsi="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line="360" w:lineRule="auto"/>
              <w:jc w:val="center"/>
              <w:rPr>
                <w:rFonts w:hint="eastAsia" w:ascii="宋体" w:hAnsi="宋体"/>
                <w:b/>
                <w:i/>
                <w:sz w:val="24"/>
                <w:u w:val="single"/>
              </w:rPr>
            </w:pPr>
          </w:p>
        </w:tc>
        <w:tc>
          <w:tcPr>
            <w:tcW w:w="2305" w:type="dxa"/>
            <w:noWrap w:val="0"/>
            <w:vAlign w:val="top"/>
          </w:tcPr>
          <w:p>
            <w:pPr>
              <w:snapToGrid w:val="0"/>
              <w:spacing w:before="120" w:beforeLines="50" w:after="50" w:line="360" w:lineRule="auto"/>
              <w:jc w:val="center"/>
              <w:rPr>
                <w:rFonts w:hint="eastAsia" w:ascii="宋体" w:hAnsi="宋体"/>
                <w:b/>
                <w:i/>
                <w:sz w:val="24"/>
                <w:u w:val="single"/>
              </w:rPr>
            </w:pPr>
          </w:p>
        </w:tc>
        <w:tc>
          <w:tcPr>
            <w:tcW w:w="2168" w:type="dxa"/>
            <w:noWrap w:val="0"/>
            <w:vAlign w:val="top"/>
          </w:tcPr>
          <w:p>
            <w:pPr>
              <w:snapToGrid w:val="0"/>
              <w:spacing w:before="120" w:beforeLines="50" w:after="50" w:line="360" w:lineRule="auto"/>
              <w:jc w:val="center"/>
              <w:rPr>
                <w:rFonts w:hint="eastAsia" w:ascii="宋体" w:hAnsi="宋体"/>
                <w:b/>
                <w:i/>
                <w:sz w:val="24"/>
                <w:u w:val="single"/>
              </w:rPr>
            </w:pPr>
          </w:p>
        </w:tc>
        <w:tc>
          <w:tcPr>
            <w:tcW w:w="1882" w:type="dxa"/>
            <w:noWrap w:val="0"/>
            <w:vAlign w:val="top"/>
          </w:tcPr>
          <w:p>
            <w:pPr>
              <w:snapToGrid w:val="0"/>
              <w:spacing w:before="120" w:beforeLines="50" w:after="50" w:line="360" w:lineRule="auto"/>
              <w:jc w:val="center"/>
              <w:rPr>
                <w:rFonts w:hint="eastAsia" w:ascii="宋体" w:hAnsi="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line="360" w:lineRule="auto"/>
              <w:jc w:val="center"/>
              <w:rPr>
                <w:rFonts w:hint="eastAsia" w:ascii="宋体" w:hAnsi="宋体"/>
                <w:b/>
                <w:i/>
                <w:sz w:val="24"/>
                <w:u w:val="single"/>
              </w:rPr>
            </w:pPr>
          </w:p>
        </w:tc>
        <w:tc>
          <w:tcPr>
            <w:tcW w:w="2305" w:type="dxa"/>
            <w:noWrap w:val="0"/>
            <w:vAlign w:val="top"/>
          </w:tcPr>
          <w:p>
            <w:pPr>
              <w:snapToGrid w:val="0"/>
              <w:spacing w:before="120" w:beforeLines="50" w:after="50" w:line="360" w:lineRule="auto"/>
              <w:jc w:val="center"/>
              <w:rPr>
                <w:rFonts w:hint="eastAsia" w:ascii="宋体" w:hAnsi="宋体"/>
                <w:b/>
                <w:i/>
                <w:sz w:val="24"/>
                <w:u w:val="single"/>
              </w:rPr>
            </w:pPr>
          </w:p>
        </w:tc>
        <w:tc>
          <w:tcPr>
            <w:tcW w:w="2168" w:type="dxa"/>
            <w:noWrap w:val="0"/>
            <w:vAlign w:val="top"/>
          </w:tcPr>
          <w:p>
            <w:pPr>
              <w:snapToGrid w:val="0"/>
              <w:spacing w:before="120" w:beforeLines="50" w:after="50" w:line="360" w:lineRule="auto"/>
              <w:jc w:val="center"/>
              <w:rPr>
                <w:rFonts w:hint="eastAsia" w:ascii="宋体" w:hAnsi="宋体"/>
                <w:b/>
                <w:i/>
                <w:sz w:val="24"/>
                <w:u w:val="single"/>
              </w:rPr>
            </w:pPr>
          </w:p>
        </w:tc>
        <w:tc>
          <w:tcPr>
            <w:tcW w:w="1882" w:type="dxa"/>
            <w:noWrap w:val="0"/>
            <w:vAlign w:val="top"/>
          </w:tcPr>
          <w:p>
            <w:pPr>
              <w:snapToGrid w:val="0"/>
              <w:spacing w:before="120" w:beforeLines="50" w:after="50" w:line="360" w:lineRule="auto"/>
              <w:jc w:val="center"/>
              <w:rPr>
                <w:rFonts w:hint="eastAsia" w:ascii="宋体" w:hAnsi="宋体"/>
                <w:b/>
                <w:i/>
                <w:sz w:val="24"/>
                <w:u w:val="single"/>
              </w:rPr>
            </w:pPr>
          </w:p>
        </w:tc>
      </w:tr>
    </w:tbl>
    <w:p>
      <w:pPr>
        <w:snapToGrid w:val="0"/>
        <w:spacing w:before="120" w:beforeLines="50" w:after="50"/>
        <w:rPr>
          <w:rFonts w:hint="eastAsia" w:ascii="宋体" w:hAnsi="宋体"/>
          <w:b/>
          <w:sz w:val="24"/>
        </w:rPr>
        <w:sectPr>
          <w:pgSz w:w="11906" w:h="16838"/>
          <w:pgMar w:top="1440" w:right="1803" w:bottom="1440" w:left="1803" w:header="851" w:footer="992" w:gutter="0"/>
          <w:cols w:space="720" w:num="1"/>
          <w:docGrid w:linePitch="312" w:charSpace="0"/>
        </w:sectPr>
      </w:pPr>
      <w:r>
        <w:rPr>
          <w:rFonts w:hint="eastAsia" w:ascii="宋体" w:hAnsi="宋体"/>
          <w:b/>
          <w:sz w:val="24"/>
        </w:rPr>
        <w:t>备注：本表后须附上所聘用残疾人员的残疾证、劳动合同、残疾人银行工资发放清单及足额缴纳的社会保险清单复印件，否则，视为非残疾人福利性单位不享受政策优惠。</w:t>
      </w:r>
    </w:p>
    <w:p>
      <w:pPr>
        <w:snapToGrid w:val="0"/>
        <w:spacing w:before="120" w:beforeLines="50" w:after="50"/>
        <w:jc w:val="left"/>
        <w:rPr>
          <w:rFonts w:hint="eastAsia" w:ascii="宋体" w:hAnsi="宋体"/>
          <w:sz w:val="28"/>
          <w:szCs w:val="36"/>
        </w:rPr>
      </w:pPr>
      <w:r>
        <w:rPr>
          <w:rFonts w:hint="eastAsia" w:ascii="宋体" w:hAnsi="宋体"/>
          <w:sz w:val="28"/>
          <w:szCs w:val="36"/>
        </w:rPr>
        <w:t xml:space="preserve"> </w:t>
      </w:r>
      <w:r>
        <w:rPr>
          <w:rFonts w:hint="eastAsia" w:ascii="宋体" w:hAnsi="宋体"/>
          <w:sz w:val="28"/>
          <w:szCs w:val="36"/>
          <w:lang w:val="en-US" w:eastAsia="zh-CN"/>
        </w:rPr>
        <w:t xml:space="preserve">                  </w:t>
      </w:r>
      <w:r>
        <w:rPr>
          <w:rFonts w:ascii="宋体" w:hAnsi="宋体"/>
          <w:sz w:val="28"/>
          <w:szCs w:val="36"/>
        </w:rPr>
        <w:t>政府采购政策情况表</w:t>
      </w:r>
      <w:r>
        <w:rPr>
          <w:rFonts w:hint="eastAsia" w:ascii="宋体" w:hAnsi="宋体"/>
          <w:sz w:val="28"/>
          <w:szCs w:val="36"/>
        </w:rPr>
        <w:t xml:space="preserve">                            </w:t>
      </w:r>
    </w:p>
    <w:p>
      <w:pPr>
        <w:snapToGrid w:val="0"/>
        <w:spacing w:before="120" w:beforeLines="50" w:after="50"/>
        <w:jc w:val="center"/>
        <w:rPr>
          <w:rFonts w:ascii="宋体" w:hAnsi="宋体"/>
          <w:b/>
          <w:sz w:val="28"/>
          <w:szCs w:val="28"/>
        </w:rPr>
      </w:pPr>
      <w:r>
        <w:rPr>
          <w:rFonts w:hint="eastAsia" w:ascii="宋体" w:hAnsi="宋体"/>
          <w:sz w:val="28"/>
          <w:szCs w:val="36"/>
        </w:rPr>
        <w:t xml:space="preserve"> </w:t>
      </w:r>
      <w:r>
        <w:rPr>
          <w:rFonts w:ascii="宋体" w:hAnsi="宋体"/>
          <w:b/>
          <w:kern w:val="0"/>
          <w:szCs w:val="21"/>
        </w:rPr>
        <w:t>项目</w:t>
      </w:r>
      <w:r>
        <w:rPr>
          <w:rFonts w:hint="eastAsia" w:ascii="宋体" w:hAnsi="宋体"/>
          <w:b/>
          <w:kern w:val="0"/>
          <w:szCs w:val="21"/>
        </w:rPr>
        <w:t>编号</w:t>
      </w:r>
      <w:r>
        <w:rPr>
          <w:rFonts w:ascii="宋体" w:hAnsi="宋体"/>
          <w:b/>
          <w:kern w:val="0"/>
          <w:szCs w:val="21"/>
        </w:rPr>
        <w:t>：</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049"/>
        <w:gridCol w:w="924"/>
        <w:gridCol w:w="1316"/>
        <w:gridCol w:w="1021"/>
        <w:gridCol w:w="982"/>
        <w:gridCol w:w="628"/>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77" w:hRule="atLeast"/>
          <w:jc w:val="center"/>
        </w:trPr>
        <w:tc>
          <w:tcPr>
            <w:tcW w:w="768" w:type="dxa"/>
            <w:vMerge w:val="restart"/>
            <w:noWrap w:val="0"/>
            <w:vAlign w:val="center"/>
          </w:tcPr>
          <w:p>
            <w:pPr>
              <w:pStyle w:val="459"/>
              <w:tabs>
                <w:tab w:val="left" w:pos="1260"/>
              </w:tabs>
              <w:snapToGrid w:val="0"/>
              <w:spacing w:line="360" w:lineRule="auto"/>
              <w:jc w:val="center"/>
              <w:rPr>
                <w:rFonts w:ascii="宋体" w:hAnsi="宋体"/>
                <w:szCs w:val="21"/>
                <w:lang w:val="en-GB"/>
              </w:rPr>
            </w:pPr>
            <w:r>
              <w:rPr>
                <w:rFonts w:ascii="宋体" w:hAnsi="宋体"/>
                <w:szCs w:val="21"/>
                <w:lang w:val="en-GB"/>
              </w:rPr>
              <w:t>中小企业</w:t>
            </w:r>
            <w:r>
              <w:rPr>
                <w:rFonts w:hint="eastAsia" w:ascii="宋体" w:hAnsi="宋体"/>
                <w:szCs w:val="21"/>
                <w:lang w:val="en-GB"/>
              </w:rPr>
              <w:t>、监狱企业及残疾人福利性单位</w:t>
            </w:r>
            <w:r>
              <w:rPr>
                <w:rFonts w:ascii="宋体" w:hAnsi="宋体"/>
                <w:szCs w:val="21"/>
                <w:lang w:val="en-GB"/>
              </w:rPr>
              <w:t>扶持政策</w:t>
            </w:r>
          </w:p>
        </w:tc>
        <w:tc>
          <w:tcPr>
            <w:tcW w:w="8808" w:type="dxa"/>
            <w:gridSpan w:val="7"/>
            <w:noWrap w:val="0"/>
            <w:vAlign w:val="center"/>
          </w:tcPr>
          <w:p>
            <w:pPr>
              <w:pStyle w:val="459"/>
              <w:tabs>
                <w:tab w:val="left" w:pos="1260"/>
              </w:tabs>
              <w:snapToGrid w:val="0"/>
              <w:spacing w:line="360" w:lineRule="auto"/>
              <w:rPr>
                <w:rFonts w:hint="eastAsia" w:ascii="宋体" w:hAnsi="宋体"/>
                <w:szCs w:val="21"/>
                <w:lang w:val="en-GB"/>
              </w:rPr>
            </w:pPr>
            <w:r>
              <w:rPr>
                <w:rFonts w:ascii="宋体" w:hAnsi="宋体"/>
                <w:szCs w:val="21"/>
                <w:lang w:val="en-GB"/>
              </w:rPr>
              <w:t>如属所列情形的，请在括号内打“√”</w:t>
            </w:r>
            <w:r>
              <w:rPr>
                <w:rFonts w:hint="eastAsia" w:ascii="宋体" w:hAnsi="宋体"/>
                <w:szCs w:val="21"/>
                <w:lang w:val="en-GB"/>
              </w:rPr>
              <w:t>，并</w:t>
            </w:r>
            <w:r>
              <w:rPr>
                <w:rFonts w:ascii="宋体" w:hAnsi="宋体"/>
                <w:szCs w:val="21"/>
              </w:rPr>
              <w:t>请填写下表内容</w:t>
            </w:r>
            <w:r>
              <w:rPr>
                <w:rFonts w:hint="eastAsia" w:ascii="宋体" w:hAnsi="宋体"/>
                <w:szCs w:val="21"/>
              </w:rPr>
              <w:t>：</w:t>
            </w:r>
          </w:p>
          <w:p>
            <w:pPr>
              <w:pStyle w:val="459"/>
              <w:tabs>
                <w:tab w:val="left" w:pos="1260"/>
              </w:tabs>
              <w:snapToGrid w:val="0"/>
              <w:spacing w:line="360" w:lineRule="auto"/>
              <w:rPr>
                <w:rFonts w:hint="eastAsia" w:ascii="宋体" w:hAnsi="宋体"/>
                <w:szCs w:val="21"/>
              </w:rPr>
            </w:pPr>
            <w:r>
              <w:rPr>
                <w:rFonts w:ascii="宋体" w:hAnsi="宋体"/>
                <w:szCs w:val="21"/>
              </w:rPr>
              <w:t>（  ）小型、微型企业投标且提供本企业制造的产品。</w:t>
            </w:r>
          </w:p>
          <w:p>
            <w:pPr>
              <w:pStyle w:val="459"/>
              <w:tabs>
                <w:tab w:val="left" w:pos="1260"/>
              </w:tabs>
              <w:snapToGrid w:val="0"/>
              <w:spacing w:line="360" w:lineRule="auto"/>
              <w:rPr>
                <w:rFonts w:hint="eastAsia" w:ascii="宋体" w:hAnsi="宋体"/>
                <w:szCs w:val="21"/>
              </w:rPr>
            </w:pPr>
            <w:r>
              <w:rPr>
                <w:rFonts w:ascii="宋体" w:hAnsi="宋体"/>
                <w:szCs w:val="21"/>
              </w:rPr>
              <w:t>（  ）小微企业投标且提供其它小型、微型企业产品</w:t>
            </w:r>
            <w:r>
              <w:rPr>
                <w:rFonts w:hint="eastAsia" w:ascii="宋体" w:hAnsi="宋体"/>
                <w:szCs w:val="21"/>
              </w:rPr>
              <w:t>。</w:t>
            </w:r>
          </w:p>
          <w:p>
            <w:pPr>
              <w:pStyle w:val="459"/>
              <w:tabs>
                <w:tab w:val="left" w:pos="1260"/>
              </w:tabs>
              <w:snapToGrid w:val="0"/>
              <w:spacing w:line="360" w:lineRule="auto"/>
              <w:rPr>
                <w:rFonts w:ascii="宋体" w:hAnsi="宋体"/>
                <w:szCs w:val="21"/>
              </w:rPr>
            </w:pPr>
            <w:r>
              <w:rPr>
                <w:rFonts w:hint="eastAsia" w:ascii="宋体" w:hAnsi="宋体"/>
                <w:szCs w:val="21"/>
              </w:rPr>
              <w:t>（  ）监狱企业投标</w:t>
            </w:r>
            <w:r>
              <w:rPr>
                <w:rFonts w:ascii="宋体" w:hAnsi="宋体"/>
                <w:szCs w:val="21"/>
              </w:rPr>
              <w:t>且提供本企业制造的产品。</w:t>
            </w:r>
          </w:p>
          <w:p>
            <w:pPr>
              <w:pStyle w:val="459"/>
              <w:tabs>
                <w:tab w:val="left" w:pos="1260"/>
              </w:tabs>
              <w:snapToGrid w:val="0"/>
              <w:spacing w:line="360" w:lineRule="auto"/>
              <w:rPr>
                <w:rFonts w:hint="eastAsia" w:ascii="宋体" w:hAnsi="宋体"/>
                <w:szCs w:val="21"/>
              </w:rPr>
            </w:pPr>
            <w:r>
              <w:rPr>
                <w:rFonts w:ascii="宋体" w:hAnsi="宋体"/>
                <w:szCs w:val="21"/>
              </w:rPr>
              <w:t>（  ）</w:t>
            </w:r>
            <w:r>
              <w:rPr>
                <w:rFonts w:hint="eastAsia" w:ascii="宋体" w:hAnsi="宋体"/>
                <w:szCs w:val="20"/>
              </w:rPr>
              <w:t>残疾人福利性单位投标</w:t>
            </w:r>
            <w:r>
              <w:rPr>
                <w:rFonts w:ascii="宋体" w:hAnsi="宋体"/>
                <w:szCs w:val="21"/>
              </w:rPr>
              <w:t>且提供本企业制造的产品</w:t>
            </w:r>
            <w:r>
              <w:rPr>
                <w:rFonts w:hint="eastAsia" w:ascii="宋体" w:hAnsi="宋体"/>
                <w:szCs w:val="21"/>
              </w:rPr>
              <w:t>。</w:t>
            </w:r>
          </w:p>
          <w:p>
            <w:pPr>
              <w:pStyle w:val="459"/>
              <w:tabs>
                <w:tab w:val="left" w:pos="1260"/>
              </w:tabs>
              <w:snapToGrid w:val="0"/>
              <w:spacing w:line="360" w:lineRule="auto"/>
              <w:rPr>
                <w:rFonts w:hint="eastAsia" w:ascii="宋体" w:hAnsi="宋体"/>
                <w:szCs w:val="21"/>
              </w:rPr>
            </w:pPr>
            <w:r>
              <w:rPr>
                <w:rFonts w:ascii="宋体" w:hAnsi="宋体"/>
                <w:szCs w:val="21"/>
              </w:rPr>
              <w:t>（  ）</w:t>
            </w:r>
            <w:r>
              <w:rPr>
                <w:rFonts w:hint="eastAsia" w:ascii="宋体" w:hAnsi="宋体"/>
                <w:szCs w:val="20"/>
              </w:rPr>
              <w:t>残疾人福利性单位投标</w:t>
            </w:r>
            <w:r>
              <w:rPr>
                <w:rFonts w:ascii="宋体" w:hAnsi="宋体"/>
                <w:szCs w:val="21"/>
              </w:rPr>
              <w:t>且提供其它</w:t>
            </w:r>
            <w:r>
              <w:rPr>
                <w:rFonts w:hint="eastAsia" w:ascii="宋体" w:hAnsi="宋体"/>
                <w:szCs w:val="20"/>
              </w:rPr>
              <w:t>残疾人福利性单位制造的</w:t>
            </w:r>
            <w:r>
              <w:rPr>
                <w:rFonts w:hint="eastAsia" w:ascii="宋体" w:hAnsi="宋体"/>
                <w:szCs w:val="21"/>
              </w:rPr>
              <w:t>货物</w:t>
            </w:r>
            <w:r>
              <w:rPr>
                <w:rFonts w:hint="eastAsia" w:ascii="宋体" w:hAnsi="宋体"/>
                <w:szCs w:val="20"/>
              </w:rPr>
              <w:t>（不包括使用非残疾人福利性单位注册商标的货物）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4" w:hRule="atLeast"/>
          <w:jc w:val="center"/>
        </w:trPr>
        <w:tc>
          <w:tcPr>
            <w:tcW w:w="768" w:type="dxa"/>
            <w:vMerge w:val="continue"/>
            <w:noWrap w:val="0"/>
            <w:vAlign w:val="center"/>
          </w:tcPr>
          <w:p>
            <w:pPr>
              <w:pStyle w:val="459"/>
              <w:tabs>
                <w:tab w:val="left" w:pos="1260"/>
              </w:tabs>
              <w:snapToGrid w:val="0"/>
              <w:spacing w:line="360" w:lineRule="auto"/>
              <w:jc w:val="center"/>
              <w:rPr>
                <w:rFonts w:ascii="宋体" w:hAnsi="宋体"/>
                <w:szCs w:val="21"/>
                <w:lang w:val="en-GB"/>
              </w:rPr>
            </w:pPr>
          </w:p>
        </w:tc>
        <w:tc>
          <w:tcPr>
            <w:tcW w:w="2049" w:type="dxa"/>
            <w:noWrap w:val="0"/>
            <w:vAlign w:val="center"/>
          </w:tcPr>
          <w:p>
            <w:pPr>
              <w:pStyle w:val="459"/>
              <w:tabs>
                <w:tab w:val="left" w:pos="1260"/>
              </w:tabs>
              <w:snapToGrid w:val="0"/>
              <w:spacing w:line="360" w:lineRule="auto"/>
              <w:jc w:val="center"/>
              <w:rPr>
                <w:rFonts w:ascii="宋体" w:hAnsi="宋体"/>
                <w:szCs w:val="21"/>
                <w:lang w:val="en-GB"/>
              </w:rPr>
            </w:pPr>
            <w:r>
              <w:rPr>
                <w:rFonts w:ascii="宋体" w:hAnsi="宋体"/>
                <w:szCs w:val="21"/>
                <w:lang w:val="en-GB"/>
              </w:rPr>
              <w:t>产品名称</w:t>
            </w:r>
          </w:p>
        </w:tc>
        <w:tc>
          <w:tcPr>
            <w:tcW w:w="924" w:type="dxa"/>
            <w:noWrap w:val="0"/>
            <w:vAlign w:val="center"/>
          </w:tcPr>
          <w:p>
            <w:pPr>
              <w:pStyle w:val="459"/>
              <w:tabs>
                <w:tab w:val="left" w:pos="1260"/>
              </w:tabs>
              <w:snapToGrid w:val="0"/>
              <w:spacing w:line="360" w:lineRule="auto"/>
              <w:jc w:val="center"/>
              <w:rPr>
                <w:rFonts w:ascii="宋体" w:hAnsi="宋体"/>
                <w:szCs w:val="21"/>
                <w:lang w:val="en-GB"/>
              </w:rPr>
            </w:pPr>
            <w:r>
              <w:rPr>
                <w:rFonts w:ascii="宋体" w:hAnsi="宋体"/>
                <w:szCs w:val="21"/>
                <w:lang w:val="en-GB"/>
              </w:rPr>
              <w:t>品牌</w:t>
            </w:r>
          </w:p>
        </w:tc>
        <w:tc>
          <w:tcPr>
            <w:tcW w:w="1316" w:type="dxa"/>
            <w:noWrap w:val="0"/>
            <w:vAlign w:val="center"/>
          </w:tcPr>
          <w:p>
            <w:pPr>
              <w:pStyle w:val="459"/>
              <w:tabs>
                <w:tab w:val="left" w:pos="1260"/>
              </w:tabs>
              <w:snapToGrid w:val="0"/>
              <w:spacing w:line="360" w:lineRule="auto"/>
              <w:jc w:val="center"/>
              <w:rPr>
                <w:rFonts w:ascii="宋体" w:hAnsi="宋体"/>
                <w:szCs w:val="21"/>
                <w:lang w:val="en-GB"/>
              </w:rPr>
            </w:pPr>
            <w:r>
              <w:rPr>
                <w:rFonts w:hint="eastAsia" w:ascii="宋体" w:hAnsi="宋体"/>
                <w:szCs w:val="21"/>
              </w:rPr>
              <w:t>型号、规格</w:t>
            </w:r>
          </w:p>
        </w:tc>
        <w:tc>
          <w:tcPr>
            <w:tcW w:w="1021" w:type="dxa"/>
            <w:noWrap w:val="0"/>
            <w:vAlign w:val="center"/>
          </w:tcPr>
          <w:p>
            <w:pPr>
              <w:pStyle w:val="459"/>
              <w:tabs>
                <w:tab w:val="left" w:pos="1260"/>
              </w:tabs>
              <w:snapToGrid w:val="0"/>
              <w:spacing w:line="360" w:lineRule="auto"/>
              <w:jc w:val="center"/>
              <w:rPr>
                <w:rFonts w:ascii="宋体" w:hAnsi="宋体"/>
                <w:szCs w:val="21"/>
                <w:lang w:val="en-GB"/>
              </w:rPr>
            </w:pPr>
            <w:r>
              <w:rPr>
                <w:rFonts w:ascii="宋体" w:hAnsi="宋体"/>
                <w:szCs w:val="21"/>
                <w:lang w:val="en-GB"/>
              </w:rPr>
              <w:t>制造商</w:t>
            </w:r>
          </w:p>
        </w:tc>
        <w:tc>
          <w:tcPr>
            <w:tcW w:w="982" w:type="dxa"/>
            <w:noWrap w:val="0"/>
            <w:vAlign w:val="center"/>
          </w:tcPr>
          <w:p>
            <w:pPr>
              <w:pStyle w:val="459"/>
              <w:tabs>
                <w:tab w:val="left" w:pos="1260"/>
              </w:tabs>
              <w:snapToGrid w:val="0"/>
              <w:jc w:val="center"/>
              <w:rPr>
                <w:rFonts w:hint="eastAsia" w:ascii="宋体" w:hAnsi="宋体"/>
                <w:szCs w:val="21"/>
                <w:lang w:val="en-GB"/>
              </w:rPr>
            </w:pPr>
            <w:r>
              <w:rPr>
                <w:rFonts w:hint="eastAsia" w:ascii="宋体" w:hAnsi="宋体"/>
                <w:szCs w:val="21"/>
                <w:lang w:val="en-GB"/>
              </w:rPr>
              <w:t>制造商</w:t>
            </w:r>
          </w:p>
          <w:p>
            <w:pPr>
              <w:pStyle w:val="459"/>
              <w:tabs>
                <w:tab w:val="left" w:pos="1260"/>
              </w:tabs>
              <w:snapToGrid w:val="0"/>
              <w:jc w:val="center"/>
              <w:rPr>
                <w:rFonts w:hint="eastAsia" w:ascii="宋体" w:hAnsi="宋体"/>
                <w:szCs w:val="21"/>
                <w:lang w:val="en-GB"/>
              </w:rPr>
            </w:pPr>
            <w:r>
              <w:rPr>
                <w:rFonts w:hint="eastAsia" w:ascii="宋体" w:hAnsi="宋体"/>
                <w:szCs w:val="21"/>
                <w:lang w:val="en-GB"/>
              </w:rPr>
              <w:t>企业类型</w:t>
            </w:r>
          </w:p>
        </w:tc>
        <w:tc>
          <w:tcPr>
            <w:tcW w:w="628" w:type="dxa"/>
            <w:noWrap w:val="0"/>
            <w:vAlign w:val="center"/>
          </w:tcPr>
          <w:p>
            <w:pPr>
              <w:pStyle w:val="459"/>
              <w:tabs>
                <w:tab w:val="left" w:pos="1260"/>
              </w:tabs>
              <w:snapToGrid w:val="0"/>
              <w:spacing w:line="360" w:lineRule="auto"/>
              <w:jc w:val="center"/>
              <w:rPr>
                <w:rFonts w:ascii="宋体" w:hAnsi="宋体"/>
                <w:szCs w:val="21"/>
                <w:lang w:val="en-GB"/>
              </w:rPr>
            </w:pPr>
            <w:r>
              <w:rPr>
                <w:rFonts w:ascii="宋体" w:hAnsi="宋体"/>
                <w:szCs w:val="21"/>
                <w:lang w:val="en-GB"/>
              </w:rPr>
              <w:t>金额</w:t>
            </w:r>
          </w:p>
        </w:tc>
        <w:tc>
          <w:tcPr>
            <w:tcW w:w="1888" w:type="dxa"/>
            <w:noWrap w:val="0"/>
            <w:vAlign w:val="center"/>
          </w:tcPr>
          <w:p>
            <w:pPr>
              <w:pStyle w:val="459"/>
              <w:tabs>
                <w:tab w:val="left" w:pos="1260"/>
              </w:tabs>
              <w:snapToGrid w:val="0"/>
              <w:jc w:val="center"/>
              <w:rPr>
                <w:rFonts w:hint="eastAsia" w:ascii="宋体" w:hAnsi="宋体"/>
                <w:szCs w:val="21"/>
                <w:lang w:val="en-GB"/>
              </w:rPr>
            </w:pPr>
            <w:r>
              <w:rPr>
                <w:rFonts w:hint="eastAsia" w:ascii="宋体" w:hAnsi="宋体"/>
                <w:szCs w:val="21"/>
                <w:lang w:val="en-GB"/>
              </w:rPr>
              <w:t>产品在开标一览表中</w:t>
            </w:r>
            <w:r>
              <w:rPr>
                <w:rFonts w:hint="eastAsia" w:ascii="宋体" w:hAnsi="宋体"/>
                <w:szCs w:val="21"/>
              </w:rPr>
              <w:t xml:space="preserve">              </w:t>
            </w:r>
            <w:r>
              <w:rPr>
                <w:rFonts w:hint="eastAsia" w:ascii="宋体" w:hAnsi="宋体"/>
                <w:szCs w:val="21"/>
                <w:lang w:val="en-GB"/>
              </w:rPr>
              <w:t>对应的序号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9" w:hRule="atLeast"/>
          <w:jc w:val="center"/>
        </w:trPr>
        <w:tc>
          <w:tcPr>
            <w:tcW w:w="768" w:type="dxa"/>
            <w:vMerge w:val="continue"/>
            <w:noWrap w:val="0"/>
            <w:vAlign w:val="center"/>
          </w:tcPr>
          <w:p>
            <w:pPr>
              <w:pStyle w:val="459"/>
              <w:tabs>
                <w:tab w:val="left" w:pos="1260"/>
              </w:tabs>
              <w:snapToGrid w:val="0"/>
              <w:spacing w:line="360" w:lineRule="auto"/>
              <w:jc w:val="center"/>
              <w:rPr>
                <w:rFonts w:ascii="宋体" w:hAnsi="宋体"/>
                <w:szCs w:val="21"/>
                <w:lang w:val="en-GB"/>
              </w:rPr>
            </w:pPr>
          </w:p>
        </w:tc>
        <w:tc>
          <w:tcPr>
            <w:tcW w:w="2049" w:type="dxa"/>
            <w:noWrap w:val="0"/>
            <w:vAlign w:val="center"/>
          </w:tcPr>
          <w:p>
            <w:pPr>
              <w:pStyle w:val="459"/>
              <w:tabs>
                <w:tab w:val="left" w:pos="1260"/>
              </w:tabs>
              <w:snapToGrid w:val="0"/>
              <w:spacing w:line="360" w:lineRule="auto"/>
              <w:jc w:val="center"/>
              <w:rPr>
                <w:rFonts w:ascii="宋体" w:hAnsi="宋体"/>
                <w:szCs w:val="21"/>
                <w:lang w:val="en-GB"/>
              </w:rPr>
            </w:pPr>
          </w:p>
        </w:tc>
        <w:tc>
          <w:tcPr>
            <w:tcW w:w="924" w:type="dxa"/>
            <w:noWrap w:val="0"/>
            <w:vAlign w:val="center"/>
          </w:tcPr>
          <w:p>
            <w:pPr>
              <w:pStyle w:val="459"/>
              <w:tabs>
                <w:tab w:val="left" w:pos="1260"/>
              </w:tabs>
              <w:snapToGrid w:val="0"/>
              <w:spacing w:line="360" w:lineRule="auto"/>
              <w:jc w:val="center"/>
              <w:rPr>
                <w:rFonts w:ascii="宋体" w:hAnsi="宋体"/>
                <w:szCs w:val="21"/>
                <w:lang w:val="en-GB"/>
              </w:rPr>
            </w:pPr>
          </w:p>
        </w:tc>
        <w:tc>
          <w:tcPr>
            <w:tcW w:w="1316" w:type="dxa"/>
            <w:noWrap w:val="0"/>
            <w:vAlign w:val="center"/>
          </w:tcPr>
          <w:p>
            <w:pPr>
              <w:pStyle w:val="459"/>
              <w:tabs>
                <w:tab w:val="left" w:pos="1260"/>
              </w:tabs>
              <w:snapToGrid w:val="0"/>
              <w:spacing w:line="360" w:lineRule="auto"/>
              <w:jc w:val="center"/>
              <w:rPr>
                <w:rFonts w:ascii="宋体" w:hAnsi="宋体"/>
                <w:szCs w:val="21"/>
                <w:lang w:val="en-GB"/>
              </w:rPr>
            </w:pPr>
          </w:p>
        </w:tc>
        <w:tc>
          <w:tcPr>
            <w:tcW w:w="1021" w:type="dxa"/>
            <w:noWrap w:val="0"/>
            <w:vAlign w:val="center"/>
          </w:tcPr>
          <w:p>
            <w:pPr>
              <w:pStyle w:val="459"/>
              <w:tabs>
                <w:tab w:val="left" w:pos="1260"/>
              </w:tabs>
              <w:snapToGrid w:val="0"/>
              <w:spacing w:line="360" w:lineRule="auto"/>
              <w:jc w:val="center"/>
              <w:rPr>
                <w:rFonts w:ascii="宋体" w:hAnsi="宋体"/>
                <w:szCs w:val="21"/>
                <w:lang w:val="en-GB"/>
              </w:rPr>
            </w:pPr>
          </w:p>
        </w:tc>
        <w:tc>
          <w:tcPr>
            <w:tcW w:w="982" w:type="dxa"/>
            <w:noWrap w:val="0"/>
            <w:vAlign w:val="center"/>
          </w:tcPr>
          <w:p>
            <w:pPr>
              <w:pStyle w:val="459"/>
              <w:tabs>
                <w:tab w:val="left" w:pos="1260"/>
              </w:tabs>
              <w:snapToGrid w:val="0"/>
              <w:spacing w:line="360" w:lineRule="auto"/>
              <w:jc w:val="center"/>
              <w:rPr>
                <w:rFonts w:ascii="宋体" w:hAnsi="宋体"/>
                <w:szCs w:val="21"/>
                <w:lang w:val="en-GB"/>
              </w:rPr>
            </w:pPr>
          </w:p>
        </w:tc>
        <w:tc>
          <w:tcPr>
            <w:tcW w:w="628" w:type="dxa"/>
            <w:noWrap w:val="0"/>
            <w:vAlign w:val="center"/>
          </w:tcPr>
          <w:p>
            <w:pPr>
              <w:pStyle w:val="459"/>
              <w:tabs>
                <w:tab w:val="left" w:pos="1260"/>
              </w:tabs>
              <w:snapToGrid w:val="0"/>
              <w:spacing w:line="360" w:lineRule="auto"/>
              <w:jc w:val="center"/>
              <w:rPr>
                <w:rFonts w:ascii="宋体" w:hAnsi="宋体"/>
                <w:szCs w:val="21"/>
                <w:lang w:val="en-GB"/>
              </w:rPr>
            </w:pPr>
          </w:p>
        </w:tc>
        <w:tc>
          <w:tcPr>
            <w:tcW w:w="1888" w:type="dxa"/>
            <w:noWrap w:val="0"/>
            <w:vAlign w:val="center"/>
          </w:tcPr>
          <w:p>
            <w:pPr>
              <w:pStyle w:val="459"/>
              <w:tabs>
                <w:tab w:val="left" w:pos="1260"/>
              </w:tabs>
              <w:snapToGrid w:val="0"/>
              <w:spacing w:line="360" w:lineRule="auto"/>
              <w:jc w:val="cente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jc w:val="center"/>
        </w:trPr>
        <w:tc>
          <w:tcPr>
            <w:tcW w:w="768" w:type="dxa"/>
            <w:vMerge w:val="continue"/>
            <w:noWrap w:val="0"/>
            <w:vAlign w:val="center"/>
          </w:tcPr>
          <w:p>
            <w:pPr>
              <w:pStyle w:val="459"/>
              <w:tabs>
                <w:tab w:val="left" w:pos="1260"/>
              </w:tabs>
              <w:snapToGrid w:val="0"/>
              <w:spacing w:line="360" w:lineRule="auto"/>
              <w:jc w:val="center"/>
              <w:rPr>
                <w:rFonts w:ascii="宋体" w:hAnsi="宋体"/>
                <w:szCs w:val="21"/>
                <w:lang w:val="en-GB"/>
              </w:rPr>
            </w:pPr>
          </w:p>
        </w:tc>
        <w:tc>
          <w:tcPr>
            <w:tcW w:w="2049" w:type="dxa"/>
            <w:noWrap w:val="0"/>
            <w:vAlign w:val="center"/>
          </w:tcPr>
          <w:p>
            <w:pPr>
              <w:pStyle w:val="459"/>
              <w:tabs>
                <w:tab w:val="left" w:pos="1260"/>
              </w:tabs>
              <w:snapToGrid w:val="0"/>
              <w:spacing w:line="360" w:lineRule="auto"/>
              <w:jc w:val="center"/>
              <w:rPr>
                <w:rFonts w:ascii="宋体" w:hAnsi="宋体"/>
                <w:szCs w:val="21"/>
                <w:lang w:val="en-GB"/>
              </w:rPr>
            </w:pPr>
          </w:p>
        </w:tc>
        <w:tc>
          <w:tcPr>
            <w:tcW w:w="924" w:type="dxa"/>
            <w:noWrap w:val="0"/>
            <w:vAlign w:val="center"/>
          </w:tcPr>
          <w:p>
            <w:pPr>
              <w:pStyle w:val="459"/>
              <w:tabs>
                <w:tab w:val="left" w:pos="1260"/>
              </w:tabs>
              <w:snapToGrid w:val="0"/>
              <w:spacing w:line="360" w:lineRule="auto"/>
              <w:jc w:val="center"/>
              <w:rPr>
                <w:rFonts w:ascii="宋体" w:hAnsi="宋体"/>
                <w:szCs w:val="21"/>
                <w:lang w:val="en-GB"/>
              </w:rPr>
            </w:pPr>
          </w:p>
        </w:tc>
        <w:tc>
          <w:tcPr>
            <w:tcW w:w="1316" w:type="dxa"/>
            <w:noWrap w:val="0"/>
            <w:vAlign w:val="center"/>
          </w:tcPr>
          <w:p>
            <w:pPr>
              <w:pStyle w:val="459"/>
              <w:tabs>
                <w:tab w:val="left" w:pos="1260"/>
              </w:tabs>
              <w:snapToGrid w:val="0"/>
              <w:spacing w:line="360" w:lineRule="auto"/>
              <w:jc w:val="center"/>
              <w:rPr>
                <w:rFonts w:ascii="宋体" w:hAnsi="宋体"/>
                <w:szCs w:val="21"/>
                <w:lang w:val="en-GB"/>
              </w:rPr>
            </w:pPr>
          </w:p>
        </w:tc>
        <w:tc>
          <w:tcPr>
            <w:tcW w:w="1021" w:type="dxa"/>
            <w:noWrap w:val="0"/>
            <w:vAlign w:val="center"/>
          </w:tcPr>
          <w:p>
            <w:pPr>
              <w:pStyle w:val="459"/>
              <w:tabs>
                <w:tab w:val="left" w:pos="1260"/>
              </w:tabs>
              <w:snapToGrid w:val="0"/>
              <w:spacing w:line="360" w:lineRule="auto"/>
              <w:jc w:val="center"/>
              <w:rPr>
                <w:rFonts w:ascii="宋体" w:hAnsi="宋体"/>
                <w:szCs w:val="21"/>
                <w:lang w:val="en-GB"/>
              </w:rPr>
            </w:pPr>
          </w:p>
        </w:tc>
        <w:tc>
          <w:tcPr>
            <w:tcW w:w="982" w:type="dxa"/>
            <w:noWrap w:val="0"/>
            <w:vAlign w:val="center"/>
          </w:tcPr>
          <w:p>
            <w:pPr>
              <w:pStyle w:val="459"/>
              <w:tabs>
                <w:tab w:val="left" w:pos="1260"/>
              </w:tabs>
              <w:snapToGrid w:val="0"/>
              <w:spacing w:line="360" w:lineRule="auto"/>
              <w:jc w:val="center"/>
              <w:rPr>
                <w:rFonts w:ascii="宋体" w:hAnsi="宋体"/>
                <w:szCs w:val="21"/>
                <w:lang w:val="en-GB"/>
              </w:rPr>
            </w:pPr>
          </w:p>
        </w:tc>
        <w:tc>
          <w:tcPr>
            <w:tcW w:w="628" w:type="dxa"/>
            <w:noWrap w:val="0"/>
            <w:vAlign w:val="center"/>
          </w:tcPr>
          <w:p>
            <w:pPr>
              <w:pStyle w:val="459"/>
              <w:tabs>
                <w:tab w:val="left" w:pos="1260"/>
              </w:tabs>
              <w:snapToGrid w:val="0"/>
              <w:spacing w:line="360" w:lineRule="auto"/>
              <w:jc w:val="center"/>
              <w:rPr>
                <w:rFonts w:ascii="宋体" w:hAnsi="宋体"/>
                <w:szCs w:val="21"/>
                <w:lang w:val="en-GB"/>
              </w:rPr>
            </w:pPr>
          </w:p>
        </w:tc>
        <w:tc>
          <w:tcPr>
            <w:tcW w:w="1888" w:type="dxa"/>
            <w:noWrap w:val="0"/>
            <w:vAlign w:val="center"/>
          </w:tcPr>
          <w:p>
            <w:pPr>
              <w:pStyle w:val="459"/>
              <w:tabs>
                <w:tab w:val="left" w:pos="1260"/>
              </w:tabs>
              <w:snapToGrid w:val="0"/>
              <w:spacing w:line="360" w:lineRule="auto"/>
              <w:jc w:val="cente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 w:hRule="atLeast"/>
          <w:jc w:val="center"/>
        </w:trPr>
        <w:tc>
          <w:tcPr>
            <w:tcW w:w="768" w:type="dxa"/>
            <w:vMerge w:val="continue"/>
            <w:noWrap w:val="0"/>
            <w:vAlign w:val="center"/>
          </w:tcPr>
          <w:p>
            <w:pPr>
              <w:pStyle w:val="459"/>
              <w:tabs>
                <w:tab w:val="left" w:pos="1260"/>
              </w:tabs>
              <w:snapToGrid w:val="0"/>
              <w:spacing w:line="360" w:lineRule="auto"/>
              <w:jc w:val="center"/>
              <w:rPr>
                <w:rFonts w:ascii="宋体" w:hAnsi="宋体"/>
                <w:szCs w:val="21"/>
                <w:lang w:val="en-GB"/>
              </w:rPr>
            </w:pPr>
          </w:p>
        </w:tc>
        <w:tc>
          <w:tcPr>
            <w:tcW w:w="2049" w:type="dxa"/>
            <w:noWrap w:val="0"/>
            <w:vAlign w:val="center"/>
          </w:tcPr>
          <w:p>
            <w:pPr>
              <w:pStyle w:val="459"/>
              <w:tabs>
                <w:tab w:val="left" w:pos="1260"/>
              </w:tabs>
              <w:snapToGrid w:val="0"/>
              <w:spacing w:line="360" w:lineRule="auto"/>
              <w:jc w:val="center"/>
              <w:rPr>
                <w:rFonts w:ascii="宋体" w:hAnsi="宋体"/>
                <w:szCs w:val="21"/>
                <w:lang w:val="en-GB"/>
              </w:rPr>
            </w:pPr>
          </w:p>
        </w:tc>
        <w:tc>
          <w:tcPr>
            <w:tcW w:w="924" w:type="dxa"/>
            <w:noWrap w:val="0"/>
            <w:vAlign w:val="center"/>
          </w:tcPr>
          <w:p>
            <w:pPr>
              <w:pStyle w:val="459"/>
              <w:tabs>
                <w:tab w:val="left" w:pos="1260"/>
              </w:tabs>
              <w:snapToGrid w:val="0"/>
              <w:spacing w:line="360" w:lineRule="auto"/>
              <w:jc w:val="center"/>
              <w:rPr>
                <w:rFonts w:ascii="宋体" w:hAnsi="宋体"/>
                <w:szCs w:val="21"/>
                <w:lang w:val="en-GB"/>
              </w:rPr>
            </w:pPr>
          </w:p>
        </w:tc>
        <w:tc>
          <w:tcPr>
            <w:tcW w:w="1316" w:type="dxa"/>
            <w:noWrap w:val="0"/>
            <w:vAlign w:val="center"/>
          </w:tcPr>
          <w:p>
            <w:pPr>
              <w:pStyle w:val="459"/>
              <w:tabs>
                <w:tab w:val="left" w:pos="1260"/>
              </w:tabs>
              <w:snapToGrid w:val="0"/>
              <w:spacing w:line="360" w:lineRule="auto"/>
              <w:jc w:val="center"/>
              <w:rPr>
                <w:rFonts w:ascii="宋体" w:hAnsi="宋体"/>
                <w:szCs w:val="21"/>
                <w:lang w:val="en-GB"/>
              </w:rPr>
            </w:pPr>
          </w:p>
        </w:tc>
        <w:tc>
          <w:tcPr>
            <w:tcW w:w="1021" w:type="dxa"/>
            <w:noWrap w:val="0"/>
            <w:vAlign w:val="center"/>
          </w:tcPr>
          <w:p>
            <w:pPr>
              <w:pStyle w:val="459"/>
              <w:tabs>
                <w:tab w:val="left" w:pos="1260"/>
              </w:tabs>
              <w:snapToGrid w:val="0"/>
              <w:spacing w:line="360" w:lineRule="auto"/>
              <w:jc w:val="center"/>
              <w:rPr>
                <w:rFonts w:ascii="宋体" w:hAnsi="宋体"/>
                <w:szCs w:val="21"/>
                <w:lang w:val="en-GB"/>
              </w:rPr>
            </w:pPr>
          </w:p>
        </w:tc>
        <w:tc>
          <w:tcPr>
            <w:tcW w:w="982" w:type="dxa"/>
            <w:noWrap w:val="0"/>
            <w:vAlign w:val="center"/>
          </w:tcPr>
          <w:p>
            <w:pPr>
              <w:pStyle w:val="459"/>
              <w:tabs>
                <w:tab w:val="left" w:pos="1260"/>
              </w:tabs>
              <w:snapToGrid w:val="0"/>
              <w:spacing w:line="360" w:lineRule="auto"/>
              <w:jc w:val="center"/>
              <w:rPr>
                <w:rFonts w:ascii="宋体" w:hAnsi="宋体"/>
                <w:szCs w:val="21"/>
                <w:lang w:val="en-GB"/>
              </w:rPr>
            </w:pPr>
          </w:p>
        </w:tc>
        <w:tc>
          <w:tcPr>
            <w:tcW w:w="628" w:type="dxa"/>
            <w:noWrap w:val="0"/>
            <w:vAlign w:val="center"/>
          </w:tcPr>
          <w:p>
            <w:pPr>
              <w:pStyle w:val="459"/>
              <w:tabs>
                <w:tab w:val="left" w:pos="1260"/>
              </w:tabs>
              <w:snapToGrid w:val="0"/>
              <w:spacing w:line="360" w:lineRule="auto"/>
              <w:jc w:val="center"/>
              <w:rPr>
                <w:rFonts w:ascii="宋体" w:hAnsi="宋体"/>
                <w:szCs w:val="21"/>
                <w:lang w:val="en-GB"/>
              </w:rPr>
            </w:pPr>
          </w:p>
        </w:tc>
        <w:tc>
          <w:tcPr>
            <w:tcW w:w="1888" w:type="dxa"/>
            <w:noWrap w:val="0"/>
            <w:vAlign w:val="center"/>
          </w:tcPr>
          <w:p>
            <w:pPr>
              <w:pStyle w:val="459"/>
              <w:tabs>
                <w:tab w:val="left" w:pos="1260"/>
              </w:tabs>
              <w:snapToGrid w:val="0"/>
              <w:spacing w:line="360" w:lineRule="auto"/>
              <w:jc w:val="cente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5" w:hRule="atLeast"/>
          <w:jc w:val="center"/>
        </w:trPr>
        <w:tc>
          <w:tcPr>
            <w:tcW w:w="768" w:type="dxa"/>
            <w:vMerge w:val="continue"/>
            <w:noWrap w:val="0"/>
            <w:vAlign w:val="center"/>
          </w:tcPr>
          <w:p>
            <w:pPr>
              <w:pStyle w:val="459"/>
              <w:tabs>
                <w:tab w:val="left" w:pos="1260"/>
              </w:tabs>
              <w:snapToGrid w:val="0"/>
              <w:spacing w:line="360" w:lineRule="auto"/>
              <w:jc w:val="center"/>
              <w:rPr>
                <w:rFonts w:ascii="宋体" w:hAnsi="宋体"/>
                <w:szCs w:val="21"/>
                <w:lang w:val="en-GB"/>
              </w:rPr>
            </w:pPr>
          </w:p>
        </w:tc>
        <w:tc>
          <w:tcPr>
            <w:tcW w:w="6292" w:type="dxa"/>
            <w:gridSpan w:val="5"/>
            <w:noWrap w:val="0"/>
            <w:vAlign w:val="center"/>
          </w:tcPr>
          <w:p>
            <w:pPr>
              <w:pStyle w:val="459"/>
              <w:tabs>
                <w:tab w:val="left" w:pos="1260"/>
              </w:tabs>
              <w:snapToGrid w:val="0"/>
              <w:spacing w:line="360" w:lineRule="auto"/>
              <w:jc w:val="center"/>
              <w:rPr>
                <w:rFonts w:ascii="宋体" w:hAnsi="宋体"/>
                <w:szCs w:val="21"/>
                <w:lang w:val="en-GB"/>
              </w:rPr>
            </w:pPr>
            <w:r>
              <w:rPr>
                <w:rFonts w:ascii="宋体" w:hAnsi="宋体"/>
                <w:szCs w:val="21"/>
              </w:rPr>
              <w:t>小型、微型企业产品</w:t>
            </w:r>
            <w:r>
              <w:rPr>
                <w:rFonts w:ascii="宋体" w:hAnsi="宋体"/>
                <w:szCs w:val="21"/>
                <w:lang w:val="en-GB"/>
              </w:rPr>
              <w:t>金额合计</w:t>
            </w:r>
          </w:p>
        </w:tc>
        <w:tc>
          <w:tcPr>
            <w:tcW w:w="2516" w:type="dxa"/>
            <w:gridSpan w:val="2"/>
            <w:noWrap w:val="0"/>
            <w:vAlign w:val="center"/>
          </w:tcPr>
          <w:p>
            <w:pPr>
              <w:pStyle w:val="459"/>
              <w:tabs>
                <w:tab w:val="left" w:pos="1260"/>
              </w:tabs>
              <w:snapToGrid w:val="0"/>
              <w:spacing w:line="360" w:lineRule="auto"/>
              <w:jc w:val="center"/>
              <w:rPr>
                <w:rFonts w:ascii="宋体" w:hAnsi="宋体"/>
                <w:szCs w:val="21"/>
                <w:lang w:val="en-GB"/>
              </w:rPr>
            </w:pPr>
          </w:p>
        </w:tc>
      </w:tr>
    </w:tbl>
    <w:p>
      <w:pPr>
        <w:spacing w:line="288" w:lineRule="auto"/>
        <w:ind w:firstLine="420" w:firstLineChars="200"/>
        <w:outlineLvl w:val="0"/>
        <w:rPr>
          <w:rFonts w:ascii="宋体" w:hAnsi="宋体"/>
          <w:szCs w:val="21"/>
        </w:rPr>
      </w:pPr>
      <w:r>
        <w:rPr>
          <w:rFonts w:ascii="宋体" w:hAnsi="宋体"/>
          <w:szCs w:val="21"/>
        </w:rPr>
        <w:t>填报要求：</w:t>
      </w:r>
    </w:p>
    <w:p>
      <w:pPr>
        <w:spacing w:line="288" w:lineRule="auto"/>
        <w:ind w:firstLine="420" w:firstLineChars="200"/>
        <w:outlineLvl w:val="0"/>
        <w:rPr>
          <w:rFonts w:hint="eastAsia" w:ascii="宋体" w:hAnsi="宋体"/>
          <w:szCs w:val="21"/>
        </w:rPr>
      </w:pPr>
      <w:r>
        <w:rPr>
          <w:rFonts w:ascii="宋体" w:hAnsi="宋体"/>
          <w:szCs w:val="21"/>
        </w:rPr>
        <w:t>1. 本表的</w:t>
      </w:r>
      <w:r>
        <w:rPr>
          <w:rFonts w:hint="eastAsia" w:ascii="宋体" w:hAnsi="宋体"/>
          <w:szCs w:val="21"/>
        </w:rPr>
        <w:t>“</w:t>
      </w:r>
      <w:r>
        <w:rPr>
          <w:rFonts w:ascii="宋体" w:hAnsi="宋体"/>
          <w:szCs w:val="21"/>
        </w:rPr>
        <w:t>产品名称</w:t>
      </w:r>
      <w:r>
        <w:rPr>
          <w:rFonts w:hint="eastAsia" w:ascii="宋体" w:hAnsi="宋体"/>
          <w:szCs w:val="21"/>
        </w:rPr>
        <w:t>”</w:t>
      </w:r>
      <w:r>
        <w:rPr>
          <w:rFonts w:ascii="宋体" w:hAnsi="宋体"/>
          <w:szCs w:val="21"/>
        </w:rPr>
        <w:t>、</w:t>
      </w:r>
      <w:r>
        <w:rPr>
          <w:rFonts w:hint="eastAsia" w:ascii="宋体" w:hAnsi="宋体"/>
          <w:szCs w:val="21"/>
        </w:rPr>
        <w:t>“品牌”、“型号、规格”</w:t>
      </w:r>
      <w:r>
        <w:rPr>
          <w:rFonts w:ascii="宋体" w:hAnsi="宋体"/>
          <w:szCs w:val="21"/>
        </w:rPr>
        <w:t>、金额应与《</w:t>
      </w:r>
      <w:r>
        <w:rPr>
          <w:rFonts w:hint="eastAsia" w:ascii="宋体" w:hAnsi="宋体"/>
          <w:szCs w:val="21"/>
        </w:rPr>
        <w:t>报价明细表</w:t>
      </w:r>
      <w:r>
        <w:rPr>
          <w:rFonts w:ascii="宋体" w:hAnsi="宋体"/>
          <w:szCs w:val="21"/>
        </w:rPr>
        <w:t>》</w:t>
      </w:r>
      <w:r>
        <w:rPr>
          <w:rFonts w:hint="eastAsia" w:ascii="宋体" w:hAnsi="宋体"/>
          <w:szCs w:val="21"/>
        </w:rPr>
        <w:t>的“</w:t>
      </w:r>
      <w:r>
        <w:rPr>
          <w:rFonts w:ascii="宋体" w:hAnsi="宋体"/>
          <w:szCs w:val="21"/>
        </w:rPr>
        <w:t>名称</w:t>
      </w:r>
      <w:r>
        <w:rPr>
          <w:rFonts w:hint="eastAsia" w:ascii="宋体" w:hAnsi="宋体"/>
          <w:szCs w:val="21"/>
        </w:rPr>
        <w:t>”、“</w:t>
      </w:r>
      <w:r>
        <w:rPr>
          <w:rFonts w:ascii="宋体" w:hAnsi="宋体"/>
          <w:szCs w:val="21"/>
        </w:rPr>
        <w:t>品牌</w:t>
      </w:r>
      <w:r>
        <w:rPr>
          <w:rFonts w:hint="eastAsia" w:ascii="宋体" w:hAnsi="宋体"/>
          <w:szCs w:val="21"/>
        </w:rPr>
        <w:t>”、“型号、规格”、“投标报价”</w:t>
      </w:r>
      <w:r>
        <w:rPr>
          <w:rFonts w:ascii="宋体" w:hAnsi="宋体"/>
          <w:szCs w:val="21"/>
        </w:rPr>
        <w:t>一致</w:t>
      </w:r>
      <w:r>
        <w:rPr>
          <w:rFonts w:hint="eastAsia" w:ascii="宋体" w:hAnsi="宋体"/>
          <w:szCs w:val="21"/>
        </w:rPr>
        <w:t>。</w:t>
      </w:r>
    </w:p>
    <w:p>
      <w:pPr>
        <w:spacing w:line="288" w:lineRule="auto"/>
        <w:ind w:firstLine="420" w:firstLineChars="200"/>
        <w:outlineLvl w:val="0"/>
        <w:rPr>
          <w:rFonts w:hint="eastAsia" w:ascii="宋体" w:hAnsi="宋体"/>
          <w:szCs w:val="21"/>
        </w:rPr>
      </w:pPr>
      <w:r>
        <w:rPr>
          <w:rFonts w:ascii="宋体" w:hAnsi="宋体"/>
          <w:szCs w:val="21"/>
        </w:rPr>
        <w:t>2. “制造商企业类型”栏填写内容</w:t>
      </w:r>
      <w:r>
        <w:rPr>
          <w:rFonts w:hint="eastAsia" w:ascii="宋体" w:hAnsi="宋体"/>
          <w:szCs w:val="21"/>
        </w:rPr>
        <w:t>应</w:t>
      </w:r>
      <w:r>
        <w:rPr>
          <w:rFonts w:ascii="宋体" w:hAnsi="宋体"/>
          <w:szCs w:val="21"/>
        </w:rPr>
        <w:t>为“小型”</w:t>
      </w:r>
      <w:r>
        <w:rPr>
          <w:rFonts w:hint="eastAsia" w:ascii="宋体" w:hAnsi="宋体"/>
          <w:szCs w:val="21"/>
        </w:rPr>
        <w:t>、</w:t>
      </w:r>
      <w:r>
        <w:rPr>
          <w:rFonts w:ascii="宋体" w:hAnsi="宋体"/>
          <w:szCs w:val="21"/>
        </w:rPr>
        <w:t>“微型”</w:t>
      </w:r>
      <w:r>
        <w:rPr>
          <w:rFonts w:hint="eastAsia" w:ascii="宋体" w:hAnsi="宋体"/>
          <w:szCs w:val="21"/>
        </w:rPr>
        <w:t>，并提供制造企业情况表（格式见附件5.5）</w:t>
      </w:r>
      <w:r>
        <w:rPr>
          <w:rFonts w:ascii="宋体" w:hAnsi="宋体"/>
          <w:szCs w:val="21"/>
        </w:rPr>
        <w:t>。</w:t>
      </w:r>
    </w:p>
    <w:p>
      <w:pPr>
        <w:spacing w:line="288" w:lineRule="auto"/>
        <w:ind w:firstLine="420" w:firstLineChars="200"/>
        <w:outlineLvl w:val="0"/>
        <w:rPr>
          <w:rFonts w:hint="eastAsia" w:ascii="宋体" w:hAnsi="宋体"/>
        </w:rPr>
      </w:pPr>
      <w:r>
        <w:rPr>
          <w:rFonts w:hint="eastAsia" w:ascii="宋体" w:hAnsi="宋体"/>
        </w:rPr>
        <w:t>3</w:t>
      </w:r>
      <w:r>
        <w:rPr>
          <w:rFonts w:ascii="宋体" w:hAnsi="宋体"/>
        </w:rPr>
        <w:t>. 请投标人正确填写本表，所填内容将作为</w:t>
      </w:r>
      <w:r>
        <w:rPr>
          <w:rFonts w:hint="eastAsia" w:ascii="宋体" w:hAnsi="宋体"/>
        </w:rPr>
        <w:t>报价的</w:t>
      </w:r>
      <w:r>
        <w:rPr>
          <w:rFonts w:ascii="宋体" w:hAnsi="宋体"/>
        </w:rPr>
        <w:t>评分依据。如果填写不完整或有误，不再享受上述政策优惠。</w:t>
      </w:r>
    </w:p>
    <w:p>
      <w:pPr>
        <w:spacing w:before="120" w:beforeLines="50" w:line="288" w:lineRule="auto"/>
        <w:ind w:right="-21" w:rightChars="-10" w:firstLine="10080" w:firstLineChars="4800"/>
        <w:rPr>
          <w:rFonts w:hint="eastAsia" w:ascii="宋体" w:hAnsi="宋体"/>
        </w:rPr>
      </w:pPr>
    </w:p>
    <w:p>
      <w:pPr>
        <w:spacing w:before="120" w:beforeLines="50" w:line="288" w:lineRule="auto"/>
        <w:ind w:right="-21" w:rightChars="-10"/>
        <w:jc w:val="right"/>
        <w:rPr>
          <w:rFonts w:hint="eastAsia" w:ascii="宋体" w:hAnsi="宋体"/>
        </w:rPr>
      </w:pPr>
      <w:r>
        <w:rPr>
          <w:rFonts w:hint="eastAsia" w:ascii="宋体" w:hAnsi="宋体"/>
        </w:rPr>
        <w:t>投标人（盖章）：</w:t>
      </w:r>
    </w:p>
    <w:p>
      <w:pPr>
        <w:spacing w:before="120" w:beforeLines="50" w:line="288" w:lineRule="auto"/>
        <w:ind w:right="-21" w:rightChars="-10"/>
        <w:jc w:val="right"/>
        <w:rPr>
          <w:rFonts w:hint="eastAsia" w:ascii="宋体" w:hAnsi="宋体"/>
        </w:rPr>
      </w:pPr>
      <w:r>
        <w:rPr>
          <w:rFonts w:hint="eastAsia" w:ascii="宋体" w:hAnsi="宋体"/>
        </w:rPr>
        <w:t>法定代表人或授权代表（签字或盖章）</w:t>
      </w:r>
    </w:p>
    <w:p/>
    <w:p/>
    <w:sectPr>
      <w:pgSz w:w="11906" w:h="16838"/>
      <w:pgMar w:top="1474" w:right="1134" w:bottom="1134" w:left="1361" w:header="851" w:footer="992" w:gutter="0"/>
      <w:cols w:space="720" w:num="1"/>
      <w:docGrid w:linePitch="602"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ont-weight : 700">
    <w:altName w:val="微软雅黑"/>
    <w:panose1 w:val="00000000000000000000"/>
    <w:charset w:val="00"/>
    <w:family w:val="auto"/>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体">
    <w:altName w:val="宋体"/>
    <w:panose1 w:val="00000000000000000000"/>
    <w:charset w:val="86"/>
    <w:family w:val="roman"/>
    <w:pitch w:val="default"/>
    <w:sig w:usb0="00000001" w:usb1="080E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金山简魏碑">
    <w:altName w:val="宋体"/>
    <w:panose1 w:val="00000000000000000000"/>
    <w:charset w:val="86"/>
    <w:family w:val="modern"/>
    <w:pitch w:val="default"/>
    <w:sig w:usb0="00000001" w:usb1="080E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roman"/>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长城仿宋">
    <w:altName w:val="黑体"/>
    <w:panose1 w:val="00000000000000000000"/>
    <w:charset w:val="86"/>
    <w:family w:val="modern"/>
    <w:pitch w:val="default"/>
    <w:sig w:usb0="00000001" w:usb1="080E0000" w:usb2="00000010" w:usb3="00000000" w:csb0="00040000" w:csb1="00000000"/>
  </w:font>
  <w:font w:name="Helvetica">
    <w:altName w:val="Arial"/>
    <w:panose1 w:val="020B0604020202020204"/>
    <w:charset w:val="00"/>
    <w:family w:val="swiss"/>
    <w:pitch w:val="default"/>
    <w:sig w:usb0="E0002EFF" w:usb1="C000785B"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创艺简标宋">
    <w:altName w:val="黑体"/>
    <w:panose1 w:val="00000000000000000000"/>
    <w:charset w:val="86"/>
    <w:family w:val="auto"/>
    <w:pitch w:val="default"/>
    <w:sig w:usb0="00000001" w:usb1="080E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PAGE   \* MERGEFORMAT</w:instrText>
    </w:r>
    <w:r>
      <w:fldChar w:fldCharType="separate"/>
    </w:r>
    <w:r>
      <w:rPr>
        <w:lang w:val="zh-CN"/>
      </w:rPr>
      <w:t>2</w:t>
    </w:r>
    <w:r>
      <w:fldChar w:fldCharType="end"/>
    </w:r>
  </w:p>
  <w:p>
    <w:pPr>
      <w:pStyle w:val="33"/>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outside" w:y="1"/>
      <w:rPr>
        <w:rStyle w:val="61"/>
      </w:rPr>
    </w:pPr>
    <w:r>
      <w:fldChar w:fldCharType="begin"/>
    </w:r>
    <w:r>
      <w:rPr>
        <w:rStyle w:val="61"/>
      </w:rPr>
      <w:instrText xml:space="preserve">PAGE  </w:instrText>
    </w:r>
    <w:r>
      <w:fldChar w:fldCharType="end"/>
    </w:r>
  </w:p>
  <w:p>
    <w:pPr>
      <w:pStyle w:val="3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3664" w:wrap="around" w:vAnchor="text" w:hAnchor="page" w:x="5368" w:y="46"/>
      <w:rPr>
        <w:rStyle w:val="61"/>
        <w:rFonts w:hint="eastAsia" w:ascii="宋体" w:hAnsi="宋体" w:eastAsia="宋体"/>
        <w:sz w:val="28"/>
        <w:szCs w:val="28"/>
      </w:rPr>
    </w:pPr>
    <w:r>
      <w:rPr>
        <w:rStyle w:val="61"/>
        <w:rFonts w:hint="eastAsia" w:ascii="宋体" w:hAnsi="宋体" w:eastAsia="宋体"/>
        <w:sz w:val="28"/>
        <w:szCs w:val="28"/>
      </w:rPr>
      <w:t xml:space="preserve">— </w:t>
    </w:r>
    <w:r>
      <w:rPr>
        <w:rFonts w:ascii="宋体" w:hAnsi="宋体" w:eastAsia="宋体"/>
        <w:sz w:val="28"/>
        <w:szCs w:val="28"/>
      </w:rPr>
      <w:fldChar w:fldCharType="begin"/>
    </w:r>
    <w:r>
      <w:rPr>
        <w:rStyle w:val="61"/>
        <w:rFonts w:ascii="宋体" w:hAnsi="宋体" w:eastAsia="宋体"/>
        <w:sz w:val="28"/>
        <w:szCs w:val="28"/>
      </w:rPr>
      <w:instrText xml:space="preserve">PAGE  </w:instrText>
    </w:r>
    <w:r>
      <w:rPr>
        <w:rFonts w:ascii="宋体" w:hAnsi="宋体" w:eastAsia="宋体"/>
        <w:sz w:val="28"/>
        <w:szCs w:val="28"/>
      </w:rPr>
      <w:fldChar w:fldCharType="separate"/>
    </w:r>
    <w:r>
      <w:rPr>
        <w:rStyle w:val="61"/>
        <w:rFonts w:ascii="宋体" w:hAnsi="宋体" w:eastAsia="宋体"/>
        <w:sz w:val="28"/>
        <w:szCs w:val="28"/>
        <w:lang/>
      </w:rPr>
      <w:t>19</w:t>
    </w:r>
    <w:r>
      <w:rPr>
        <w:rFonts w:ascii="宋体" w:hAnsi="宋体" w:eastAsia="宋体"/>
        <w:sz w:val="28"/>
        <w:szCs w:val="28"/>
      </w:rPr>
      <w:fldChar w:fldCharType="end"/>
    </w:r>
    <w:r>
      <w:rPr>
        <w:rStyle w:val="61"/>
        <w:rFonts w:hint="eastAsia" w:ascii="宋体" w:hAnsi="宋体" w:eastAsia="宋体"/>
        <w:sz w:val="28"/>
        <w:szCs w:val="28"/>
      </w:rPr>
      <w:t xml:space="preserve"> —</w:t>
    </w:r>
  </w:p>
  <w:p>
    <w:pPr>
      <w:pStyle w:val="33"/>
      <w:ind w:right="720" w:firstLine="180" w:firstLineChars="100"/>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outside" w:y="1"/>
      <w:rPr>
        <w:rStyle w:val="61"/>
      </w:rPr>
    </w:pPr>
    <w:r>
      <w:fldChar w:fldCharType="begin"/>
    </w:r>
    <w:r>
      <w:rPr>
        <w:rStyle w:val="61"/>
      </w:rPr>
      <w:instrText xml:space="preserve">PAGE  </w:instrText>
    </w:r>
    <w:r>
      <w:fldChar w:fldCharType="end"/>
    </w:r>
  </w:p>
  <w:p>
    <w:pPr>
      <w:pStyle w:val="3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hint="eastAsia"/>
      </w:rPr>
    </w:pP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rPr>
                              <w:rStyle w:val="61"/>
                              <w:rFonts w:hint="eastAsia"/>
                              <w:sz w:val="28"/>
                            </w:rPr>
                          </w:pPr>
                          <w:r>
                            <w:rPr>
                              <w:rStyle w:val="61"/>
                              <w:rFonts w:hint="eastAsia"/>
                              <w:sz w:val="28"/>
                            </w:rPr>
                            <w:t xml:space="preserve">— </w:t>
                          </w:r>
                          <w:r>
                            <w:rPr>
                              <w:sz w:val="28"/>
                            </w:rPr>
                            <w:fldChar w:fldCharType="begin"/>
                          </w:r>
                          <w:r>
                            <w:rPr>
                              <w:rStyle w:val="61"/>
                              <w:sz w:val="28"/>
                            </w:rPr>
                            <w:instrText xml:space="preserve"> PAGE </w:instrText>
                          </w:r>
                          <w:r>
                            <w:rPr>
                              <w:sz w:val="28"/>
                            </w:rPr>
                            <w:fldChar w:fldCharType="separate"/>
                          </w:r>
                          <w:r>
                            <w:rPr>
                              <w:rStyle w:val="61"/>
                              <w:sz w:val="28"/>
                              <w:lang/>
                            </w:rPr>
                            <w:t>65</w:t>
                          </w:r>
                          <w:r>
                            <w:rPr>
                              <w:sz w:val="28"/>
                            </w:rPr>
                            <w:fldChar w:fldCharType="end"/>
                          </w:r>
                          <w:r>
                            <w:rPr>
                              <w:rStyle w:val="61"/>
                              <w:rFonts w:hint="eastAsia"/>
                              <w:sz w:val="28"/>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98bSusgBAACZAwAADgAAAGRycy9lMm9Eb2MueG1srVPNjtMwEL4j8Q6W 79RpD6iKmq4WVYuQECAtPIDr2I0l/8njNukLwBtw4sKd5+pzMHaS7rJc9rAXZzwz/ma+byabm8Ea cpIRtHcNXS4qSqQTvtXu0NBvX+/erCmBxF3LjXeyoWcJ9Gb7+tWmD7Vc+c6bVkaCIA7qPjS0SynU jIHopOWw8EE6DCofLU94jQfWRt4jujVsVVVvWe9jG6IXEgC9uzFIJ8T4HECvlBZy58XRSpdG1CgN T0gJOh2Abku3SkmRPisFMhHTUGSayolF0N7nk203vD5EHjotphb4c1p4wsly7bDoFWrHEyfHqP+D slpED16lhfCWjUSKIshiWT3R5r7jQRYuKDWEq+jwcrDi0+lLJLpt6IoSxy0O/PLzx+XXn8vv72SZ 5ekD1Jh1HzAvDe/8gEsz+wGdmfWgos1f5EMwjuKer+LKIRGRH61X63WFIYGx+YL47OF5iJDeS29J NhoacXpFVH76CGlMnVNyNefvtDFlgsb940DM7GG597HHbKVhP0yE9r49I58eB99Qh3tOifngUNe8 I7MRZ2M/G8cQ9aErS5TrQbg9Jmyi9JYrjLBTYZxYYTdtV16Jx/eS9fBHbf8C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PfG0rrIAQAAmQMAAA4AAAAAAAAAAQAgAAAAHgEAAGRycy9lMm9Eb2Mu eG1sUEsFBgAAAAAGAAYAWQEAAFgFAAAAAA== ">
              <v:fill on="f" focussize="0,0"/>
              <v:stroke on="f"/>
              <v:imagedata o:title=""/>
              <o:lock v:ext="edit" aspectratio="f"/>
              <v:textbox inset="0mm,0mm,0mm,0mm" style="mso-fit-shape-to-text:t;">
                <w:txbxContent>
                  <w:p>
                    <w:pPr>
                      <w:pStyle w:val="33"/>
                      <w:rPr>
                        <w:rStyle w:val="61"/>
                        <w:rFonts w:hint="eastAsia"/>
                        <w:sz w:val="28"/>
                      </w:rPr>
                    </w:pPr>
                    <w:r>
                      <w:rPr>
                        <w:rStyle w:val="61"/>
                        <w:rFonts w:hint="eastAsia"/>
                        <w:sz w:val="28"/>
                      </w:rPr>
                      <w:t xml:space="preserve">— </w:t>
                    </w:r>
                    <w:r>
                      <w:rPr>
                        <w:sz w:val="28"/>
                      </w:rPr>
                      <w:fldChar w:fldCharType="begin"/>
                    </w:r>
                    <w:r>
                      <w:rPr>
                        <w:rStyle w:val="61"/>
                        <w:sz w:val="28"/>
                      </w:rPr>
                      <w:instrText xml:space="preserve"> PAGE </w:instrText>
                    </w:r>
                    <w:r>
                      <w:rPr>
                        <w:sz w:val="28"/>
                      </w:rPr>
                      <w:fldChar w:fldCharType="separate"/>
                    </w:r>
                    <w:r>
                      <w:rPr>
                        <w:rStyle w:val="61"/>
                        <w:sz w:val="28"/>
                        <w:lang/>
                      </w:rPr>
                      <w:t>65</w:t>
                    </w:r>
                    <w:r>
                      <w:rPr>
                        <w:sz w:val="28"/>
                      </w:rPr>
                      <w:fldChar w:fldCharType="end"/>
                    </w:r>
                    <w:r>
                      <w:rPr>
                        <w:rStyle w:val="61"/>
                        <w:rFonts w:hint="eastAsia"/>
                        <w:sz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outside" w:y="1"/>
      <w:rPr>
        <w:rStyle w:val="61"/>
      </w:rPr>
    </w:pPr>
    <w:r>
      <w:fldChar w:fldCharType="begin"/>
    </w:r>
    <w:r>
      <w:rPr>
        <w:rStyle w:val="61"/>
      </w:rPr>
      <w:instrText xml:space="preserve">PAGE  </w:instrText>
    </w:r>
    <w:r>
      <w:fldChar w:fldCharType="end"/>
    </w:r>
  </w:p>
  <w:p>
    <w:pPr>
      <w:pStyle w:val="3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8"/>
      <w:lvlText w:val="%1."/>
      <w:lvlJc w:val="left"/>
      <w:pPr>
        <w:tabs>
          <w:tab w:val="left" w:pos="1211"/>
        </w:tabs>
        <w:ind w:left="1211" w:hanging="360"/>
      </w:pPr>
    </w:lvl>
  </w:abstractNum>
  <w:abstractNum w:abstractNumId="1">
    <w:nsid w:val="0000000A"/>
    <w:multiLevelType w:val="singleLevel"/>
    <w:tmpl w:val="0000000A"/>
    <w:lvl w:ilvl="0" w:tentative="0">
      <w:start w:val="2"/>
      <w:numFmt w:val="chineseCounting"/>
      <w:suff w:val="space"/>
      <w:lvlText w:val="第%1章"/>
      <w:lvlJc w:val="left"/>
      <w:rPr>
        <w:rFonts w:hint="eastAsia"/>
      </w:rPr>
    </w:lvl>
  </w:abstractNum>
  <w:abstractNum w:abstractNumId="2">
    <w:nsid w:val="0000000C"/>
    <w:multiLevelType w:val="multilevel"/>
    <w:tmpl w:val="0000000C"/>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3">
    <w:nsid w:val="09890BCC"/>
    <w:multiLevelType w:val="multilevel"/>
    <w:tmpl w:val="09890BCC"/>
    <w:lvl w:ilvl="0" w:tentative="0">
      <w:start w:val="1"/>
      <w:numFmt w:val="decimal"/>
      <w:pStyle w:val="13"/>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171359DD"/>
    <w:multiLevelType w:val="multilevel"/>
    <w:tmpl w:val="171359D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pStyle w:val="24"/>
      <w:lvlText w:val=""/>
      <w:lvlJc w:val="left"/>
      <w:pPr>
        <w:tabs>
          <w:tab w:val="left" w:pos="3780"/>
        </w:tabs>
        <w:ind w:left="3780" w:hanging="420"/>
      </w:pPr>
      <w:rPr>
        <w:rFonts w:hint="default" w:ascii="Wingdings" w:hAnsi="Wingdings"/>
      </w:rPr>
    </w:lvl>
  </w:abstractNum>
  <w:abstractNum w:abstractNumId="5">
    <w:nsid w:val="17486058"/>
    <w:multiLevelType w:val="multilevel"/>
    <w:tmpl w:val="17486058"/>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pStyle w:val="399"/>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1F1468F9"/>
    <w:multiLevelType w:val="multilevel"/>
    <w:tmpl w:val="1F1468F9"/>
    <w:lvl w:ilvl="0" w:tentative="0">
      <w:start w:val="1"/>
      <w:numFmt w:val="japaneseCounting"/>
      <w:pStyle w:val="300"/>
      <w:lvlText w:val="%1、"/>
      <w:lvlJc w:val="left"/>
      <w:pPr>
        <w:tabs>
          <w:tab w:val="left" w:pos="1360"/>
        </w:tabs>
        <w:ind w:left="1360" w:hanging="720"/>
      </w:pPr>
      <w:rPr>
        <w:rFonts w:hint="default"/>
      </w:rPr>
    </w:lvl>
    <w:lvl w:ilvl="1" w:tentative="0">
      <w:start w:val="1"/>
      <w:numFmt w:val="lowerLetter"/>
      <w:pStyle w:val="247"/>
      <w:lvlText w:val="%2)"/>
      <w:lvlJc w:val="left"/>
      <w:pPr>
        <w:tabs>
          <w:tab w:val="left" w:pos="1480"/>
        </w:tabs>
        <w:ind w:left="1480" w:hanging="420"/>
      </w:pPr>
    </w:lvl>
    <w:lvl w:ilvl="2" w:tentative="0">
      <w:start w:val="1"/>
      <w:numFmt w:val="lowerRoman"/>
      <w:pStyle w:val="400"/>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7">
    <w:nsid w:val="23551D10"/>
    <w:multiLevelType w:val="singleLevel"/>
    <w:tmpl w:val="23551D10"/>
    <w:lvl w:ilvl="0" w:tentative="0">
      <w:start w:val="1"/>
      <w:numFmt w:val="decimal"/>
      <w:suff w:val="nothing"/>
      <w:lvlText w:val="%1、"/>
      <w:lvlJc w:val="left"/>
    </w:lvl>
  </w:abstractNum>
  <w:abstractNum w:abstractNumId="8">
    <w:nsid w:val="26845082"/>
    <w:multiLevelType w:val="multilevel"/>
    <w:tmpl w:val="26845082"/>
    <w:lvl w:ilvl="0" w:tentative="0">
      <w:start w:val="1"/>
      <w:numFmt w:val="decimal"/>
      <w:pStyle w:val="192"/>
      <w:lvlText w:val="%1."/>
      <w:lvlJc w:val="left"/>
      <w:pPr>
        <w:ind w:left="420" w:hanging="420"/>
      </w:pPr>
    </w:lvl>
    <w:lvl w:ilvl="1" w:tentative="0">
      <w:start w:val="1"/>
      <w:numFmt w:val="decimal"/>
      <w:lvlText w:val="(%2)"/>
      <w:lvlJc w:val="left"/>
      <w:pPr>
        <w:ind w:left="90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4048DF5"/>
    <w:multiLevelType w:val="singleLevel"/>
    <w:tmpl w:val="54048DF5"/>
    <w:lvl w:ilvl="0" w:tentative="0">
      <w:start w:val="3"/>
      <w:numFmt w:val="chineseCounting"/>
      <w:suff w:val="nothing"/>
      <w:lvlText w:val="%1、"/>
      <w:lvlJc w:val="left"/>
      <w:rPr>
        <w:rFonts w:hint="eastAsia"/>
      </w:rPr>
    </w:lvl>
  </w:abstractNum>
  <w:abstractNum w:abstractNumId="10">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11">
    <w:nsid w:val="6A9A5F31"/>
    <w:multiLevelType w:val="multilevel"/>
    <w:tmpl w:val="6A9A5F31"/>
    <w:lvl w:ilvl="0" w:tentative="0">
      <w:start w:val="1"/>
      <w:numFmt w:val="decimal"/>
      <w:pStyle w:val="335"/>
      <w:lvlText w:val="%1."/>
      <w:lvlJc w:val="left"/>
      <w:pPr>
        <w:tabs>
          <w:tab w:val="left" w:pos="1000"/>
        </w:tabs>
        <w:ind w:left="1000" w:hanging="36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pStyle w:val="204"/>
      <w:lvlText w:val="%9."/>
      <w:lvlJc w:val="right"/>
      <w:pPr>
        <w:tabs>
          <w:tab w:val="left" w:pos="4420"/>
        </w:tabs>
        <w:ind w:left="4420" w:hanging="420"/>
      </w:pPr>
    </w:lvl>
  </w:abstractNum>
  <w:abstractNum w:abstractNumId="12">
    <w:nsid w:val="76C50A8E"/>
    <w:multiLevelType w:val="singleLevel"/>
    <w:tmpl w:val="76C50A8E"/>
    <w:lvl w:ilvl="0" w:tentative="0">
      <w:start w:val="1"/>
      <w:numFmt w:val="decimal"/>
      <w:suff w:val="nothing"/>
      <w:lvlText w:val="%1、"/>
      <w:lvlJc w:val="left"/>
    </w:lvl>
  </w:abstractNum>
  <w:num w:numId="1">
    <w:abstractNumId w:val="3"/>
  </w:num>
  <w:num w:numId="2">
    <w:abstractNumId w:val="4"/>
  </w:num>
  <w:num w:numId="3">
    <w:abstractNumId w:val="0"/>
  </w:num>
  <w:num w:numId="4">
    <w:abstractNumId w:val="8"/>
  </w:num>
  <w:num w:numId="5">
    <w:abstractNumId w:val="11"/>
  </w:num>
  <w:num w:numId="6">
    <w:abstractNumId w:val="6"/>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7"/>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082"/>
    <w:rsid w:val="00000E1E"/>
    <w:rsid w:val="000035B3"/>
    <w:rsid w:val="000037C5"/>
    <w:rsid w:val="00003C25"/>
    <w:rsid w:val="00004978"/>
    <w:rsid w:val="00004EB4"/>
    <w:rsid w:val="00006947"/>
    <w:rsid w:val="00010291"/>
    <w:rsid w:val="0001072A"/>
    <w:rsid w:val="0001204A"/>
    <w:rsid w:val="000146C7"/>
    <w:rsid w:val="000153FC"/>
    <w:rsid w:val="00016D68"/>
    <w:rsid w:val="0001789F"/>
    <w:rsid w:val="00020EDC"/>
    <w:rsid w:val="00021B03"/>
    <w:rsid w:val="000237F8"/>
    <w:rsid w:val="00027C8F"/>
    <w:rsid w:val="000305F3"/>
    <w:rsid w:val="000322D7"/>
    <w:rsid w:val="00032E31"/>
    <w:rsid w:val="000332DF"/>
    <w:rsid w:val="00036834"/>
    <w:rsid w:val="00036FAC"/>
    <w:rsid w:val="00042D17"/>
    <w:rsid w:val="00044F74"/>
    <w:rsid w:val="00046743"/>
    <w:rsid w:val="00050E54"/>
    <w:rsid w:val="000522EB"/>
    <w:rsid w:val="00053B46"/>
    <w:rsid w:val="000554DC"/>
    <w:rsid w:val="00062B90"/>
    <w:rsid w:val="00063156"/>
    <w:rsid w:val="00067993"/>
    <w:rsid w:val="00067B6A"/>
    <w:rsid w:val="00072FCD"/>
    <w:rsid w:val="000809D0"/>
    <w:rsid w:val="0008421F"/>
    <w:rsid w:val="0008483C"/>
    <w:rsid w:val="000865EC"/>
    <w:rsid w:val="00091D2F"/>
    <w:rsid w:val="00093BD4"/>
    <w:rsid w:val="00093CD7"/>
    <w:rsid w:val="000944FE"/>
    <w:rsid w:val="000952B3"/>
    <w:rsid w:val="00095B50"/>
    <w:rsid w:val="000A13B7"/>
    <w:rsid w:val="000A38B1"/>
    <w:rsid w:val="000A3D8F"/>
    <w:rsid w:val="000A4D43"/>
    <w:rsid w:val="000A7327"/>
    <w:rsid w:val="000B1E80"/>
    <w:rsid w:val="000B2E3A"/>
    <w:rsid w:val="000B561D"/>
    <w:rsid w:val="000B639A"/>
    <w:rsid w:val="000B6461"/>
    <w:rsid w:val="000B6D01"/>
    <w:rsid w:val="000C0B78"/>
    <w:rsid w:val="000C6745"/>
    <w:rsid w:val="000D129C"/>
    <w:rsid w:val="000E6D2E"/>
    <w:rsid w:val="000E6E8A"/>
    <w:rsid w:val="000F0EB3"/>
    <w:rsid w:val="000F19E1"/>
    <w:rsid w:val="000F386F"/>
    <w:rsid w:val="000F4276"/>
    <w:rsid w:val="000F5C73"/>
    <w:rsid w:val="000F6546"/>
    <w:rsid w:val="001013DC"/>
    <w:rsid w:val="001066F7"/>
    <w:rsid w:val="0011192F"/>
    <w:rsid w:val="00111A49"/>
    <w:rsid w:val="00112AA9"/>
    <w:rsid w:val="00114743"/>
    <w:rsid w:val="00116A93"/>
    <w:rsid w:val="001173CE"/>
    <w:rsid w:val="001176A6"/>
    <w:rsid w:val="00120E99"/>
    <w:rsid w:val="00121A32"/>
    <w:rsid w:val="001220ED"/>
    <w:rsid w:val="001247B3"/>
    <w:rsid w:val="00126219"/>
    <w:rsid w:val="001312A6"/>
    <w:rsid w:val="001403C7"/>
    <w:rsid w:val="001428C2"/>
    <w:rsid w:val="00143C2B"/>
    <w:rsid w:val="0015299E"/>
    <w:rsid w:val="00152DE6"/>
    <w:rsid w:val="001566FC"/>
    <w:rsid w:val="001577EE"/>
    <w:rsid w:val="00160BDC"/>
    <w:rsid w:val="0016144E"/>
    <w:rsid w:val="00162802"/>
    <w:rsid w:val="00164789"/>
    <w:rsid w:val="00166D9B"/>
    <w:rsid w:val="00167E36"/>
    <w:rsid w:val="00171736"/>
    <w:rsid w:val="00171D69"/>
    <w:rsid w:val="001727C9"/>
    <w:rsid w:val="0017287F"/>
    <w:rsid w:val="001757E1"/>
    <w:rsid w:val="00177CBE"/>
    <w:rsid w:val="00196E8F"/>
    <w:rsid w:val="001A3014"/>
    <w:rsid w:val="001A678B"/>
    <w:rsid w:val="001A7C82"/>
    <w:rsid w:val="001B2880"/>
    <w:rsid w:val="001B3DF5"/>
    <w:rsid w:val="001B60FD"/>
    <w:rsid w:val="001C4CFF"/>
    <w:rsid w:val="001C7F6F"/>
    <w:rsid w:val="001D2F61"/>
    <w:rsid w:val="001D318B"/>
    <w:rsid w:val="001D33AC"/>
    <w:rsid w:val="001D480F"/>
    <w:rsid w:val="001D6C42"/>
    <w:rsid w:val="001D6E34"/>
    <w:rsid w:val="001E028C"/>
    <w:rsid w:val="001E17F9"/>
    <w:rsid w:val="001E3D61"/>
    <w:rsid w:val="001F11A0"/>
    <w:rsid w:val="001F11C5"/>
    <w:rsid w:val="001F1561"/>
    <w:rsid w:val="001F1566"/>
    <w:rsid w:val="001F278E"/>
    <w:rsid w:val="001F2F20"/>
    <w:rsid w:val="001F5CB8"/>
    <w:rsid w:val="001F70FE"/>
    <w:rsid w:val="001F7AC5"/>
    <w:rsid w:val="00200DB7"/>
    <w:rsid w:val="002041AA"/>
    <w:rsid w:val="002101CA"/>
    <w:rsid w:val="00212AF4"/>
    <w:rsid w:val="00213DBF"/>
    <w:rsid w:val="00214AA5"/>
    <w:rsid w:val="00215F85"/>
    <w:rsid w:val="00216013"/>
    <w:rsid w:val="002205F3"/>
    <w:rsid w:val="0022150D"/>
    <w:rsid w:val="00223FEF"/>
    <w:rsid w:val="002303F9"/>
    <w:rsid w:val="002305AF"/>
    <w:rsid w:val="00230F72"/>
    <w:rsid w:val="002329CC"/>
    <w:rsid w:val="00235DF2"/>
    <w:rsid w:val="00236520"/>
    <w:rsid w:val="002404A5"/>
    <w:rsid w:val="00243440"/>
    <w:rsid w:val="00243E89"/>
    <w:rsid w:val="002539EA"/>
    <w:rsid w:val="00255493"/>
    <w:rsid w:val="00261412"/>
    <w:rsid w:val="002631BF"/>
    <w:rsid w:val="00263C86"/>
    <w:rsid w:val="002642EF"/>
    <w:rsid w:val="002652D7"/>
    <w:rsid w:val="00265DFE"/>
    <w:rsid w:val="00267054"/>
    <w:rsid w:val="0027142C"/>
    <w:rsid w:val="002739DA"/>
    <w:rsid w:val="00273EBF"/>
    <w:rsid w:val="00275B83"/>
    <w:rsid w:val="0027602D"/>
    <w:rsid w:val="00280891"/>
    <w:rsid w:val="00287929"/>
    <w:rsid w:val="00287CFC"/>
    <w:rsid w:val="00290BB0"/>
    <w:rsid w:val="00291364"/>
    <w:rsid w:val="00291612"/>
    <w:rsid w:val="002A043C"/>
    <w:rsid w:val="002A05EC"/>
    <w:rsid w:val="002A19C6"/>
    <w:rsid w:val="002A2755"/>
    <w:rsid w:val="002A4A73"/>
    <w:rsid w:val="002B0CD0"/>
    <w:rsid w:val="002B0E79"/>
    <w:rsid w:val="002B1FC6"/>
    <w:rsid w:val="002B24BF"/>
    <w:rsid w:val="002B4A3B"/>
    <w:rsid w:val="002B4E9F"/>
    <w:rsid w:val="002B63A4"/>
    <w:rsid w:val="002B6F69"/>
    <w:rsid w:val="002B7F2F"/>
    <w:rsid w:val="002C03CD"/>
    <w:rsid w:val="002C20EC"/>
    <w:rsid w:val="002C5952"/>
    <w:rsid w:val="002C63B2"/>
    <w:rsid w:val="002D10CF"/>
    <w:rsid w:val="002D3A28"/>
    <w:rsid w:val="002D62DD"/>
    <w:rsid w:val="002E29D5"/>
    <w:rsid w:val="002E3C1F"/>
    <w:rsid w:val="002E4495"/>
    <w:rsid w:val="002E5AF8"/>
    <w:rsid w:val="002E5F63"/>
    <w:rsid w:val="002E7BA7"/>
    <w:rsid w:val="002F0ADC"/>
    <w:rsid w:val="002F1AC5"/>
    <w:rsid w:val="002F5B12"/>
    <w:rsid w:val="002F60BB"/>
    <w:rsid w:val="002F688D"/>
    <w:rsid w:val="0030266D"/>
    <w:rsid w:val="00311EB0"/>
    <w:rsid w:val="003155B0"/>
    <w:rsid w:val="0031606F"/>
    <w:rsid w:val="00316BDC"/>
    <w:rsid w:val="003211AE"/>
    <w:rsid w:val="00325E9E"/>
    <w:rsid w:val="00326592"/>
    <w:rsid w:val="00330911"/>
    <w:rsid w:val="003316A5"/>
    <w:rsid w:val="00335AB5"/>
    <w:rsid w:val="00341A5A"/>
    <w:rsid w:val="0034450E"/>
    <w:rsid w:val="00345DB7"/>
    <w:rsid w:val="003477E6"/>
    <w:rsid w:val="00355206"/>
    <w:rsid w:val="00356BA2"/>
    <w:rsid w:val="00365CDE"/>
    <w:rsid w:val="00370CC3"/>
    <w:rsid w:val="0037145C"/>
    <w:rsid w:val="0037179C"/>
    <w:rsid w:val="0037320A"/>
    <w:rsid w:val="0037325C"/>
    <w:rsid w:val="00377205"/>
    <w:rsid w:val="00382D2A"/>
    <w:rsid w:val="00387CA3"/>
    <w:rsid w:val="0039027D"/>
    <w:rsid w:val="003907E7"/>
    <w:rsid w:val="00394665"/>
    <w:rsid w:val="003A34BD"/>
    <w:rsid w:val="003A3786"/>
    <w:rsid w:val="003A477F"/>
    <w:rsid w:val="003A5AE9"/>
    <w:rsid w:val="003A675B"/>
    <w:rsid w:val="003B18A4"/>
    <w:rsid w:val="003B1C2E"/>
    <w:rsid w:val="003B40CA"/>
    <w:rsid w:val="003B4C61"/>
    <w:rsid w:val="003C257E"/>
    <w:rsid w:val="003C42CE"/>
    <w:rsid w:val="003C4501"/>
    <w:rsid w:val="003C6D5E"/>
    <w:rsid w:val="003C7265"/>
    <w:rsid w:val="003D2EE2"/>
    <w:rsid w:val="003D3CFA"/>
    <w:rsid w:val="003D4011"/>
    <w:rsid w:val="003D416B"/>
    <w:rsid w:val="003D48FC"/>
    <w:rsid w:val="003E04FD"/>
    <w:rsid w:val="003E3134"/>
    <w:rsid w:val="003E39AA"/>
    <w:rsid w:val="003E4FB0"/>
    <w:rsid w:val="003F3346"/>
    <w:rsid w:val="003F3E66"/>
    <w:rsid w:val="003F543C"/>
    <w:rsid w:val="003F62DA"/>
    <w:rsid w:val="003F7FC7"/>
    <w:rsid w:val="0040062E"/>
    <w:rsid w:val="00400A25"/>
    <w:rsid w:val="004018AF"/>
    <w:rsid w:val="004046AA"/>
    <w:rsid w:val="00405575"/>
    <w:rsid w:val="004137F0"/>
    <w:rsid w:val="00413DA9"/>
    <w:rsid w:val="00415185"/>
    <w:rsid w:val="004164B0"/>
    <w:rsid w:val="0041734C"/>
    <w:rsid w:val="00420F2A"/>
    <w:rsid w:val="00425461"/>
    <w:rsid w:val="00425E0F"/>
    <w:rsid w:val="00427480"/>
    <w:rsid w:val="00435E52"/>
    <w:rsid w:val="00436DFF"/>
    <w:rsid w:val="00437841"/>
    <w:rsid w:val="00441557"/>
    <w:rsid w:val="00443AF9"/>
    <w:rsid w:val="004447B9"/>
    <w:rsid w:val="00444807"/>
    <w:rsid w:val="00446247"/>
    <w:rsid w:val="0046071D"/>
    <w:rsid w:val="00460B1F"/>
    <w:rsid w:val="00464608"/>
    <w:rsid w:val="00470B48"/>
    <w:rsid w:val="004724E0"/>
    <w:rsid w:val="00472CC6"/>
    <w:rsid w:val="004743E1"/>
    <w:rsid w:val="00475380"/>
    <w:rsid w:val="00475426"/>
    <w:rsid w:val="00475A40"/>
    <w:rsid w:val="00475F87"/>
    <w:rsid w:val="00477A11"/>
    <w:rsid w:val="00480297"/>
    <w:rsid w:val="004803C4"/>
    <w:rsid w:val="00482EF5"/>
    <w:rsid w:val="00483866"/>
    <w:rsid w:val="00485195"/>
    <w:rsid w:val="00491722"/>
    <w:rsid w:val="004924D7"/>
    <w:rsid w:val="00493B78"/>
    <w:rsid w:val="00496544"/>
    <w:rsid w:val="00496A72"/>
    <w:rsid w:val="004A01DB"/>
    <w:rsid w:val="004A34C0"/>
    <w:rsid w:val="004A61A8"/>
    <w:rsid w:val="004A6326"/>
    <w:rsid w:val="004A6396"/>
    <w:rsid w:val="004B2291"/>
    <w:rsid w:val="004B26A5"/>
    <w:rsid w:val="004B403E"/>
    <w:rsid w:val="004C1391"/>
    <w:rsid w:val="004C3C6E"/>
    <w:rsid w:val="004C71B5"/>
    <w:rsid w:val="004C73FD"/>
    <w:rsid w:val="004D04E2"/>
    <w:rsid w:val="004D3580"/>
    <w:rsid w:val="004D731C"/>
    <w:rsid w:val="004E2614"/>
    <w:rsid w:val="004E2913"/>
    <w:rsid w:val="004E2C48"/>
    <w:rsid w:val="004E449C"/>
    <w:rsid w:val="004E60A2"/>
    <w:rsid w:val="004E72C6"/>
    <w:rsid w:val="004F08AA"/>
    <w:rsid w:val="004F3243"/>
    <w:rsid w:val="004F36ED"/>
    <w:rsid w:val="004F6EB7"/>
    <w:rsid w:val="00500276"/>
    <w:rsid w:val="005041D5"/>
    <w:rsid w:val="00510A15"/>
    <w:rsid w:val="00511076"/>
    <w:rsid w:val="0051335C"/>
    <w:rsid w:val="005146B5"/>
    <w:rsid w:val="005171D9"/>
    <w:rsid w:val="00521A3F"/>
    <w:rsid w:val="00522DA1"/>
    <w:rsid w:val="00524318"/>
    <w:rsid w:val="00525805"/>
    <w:rsid w:val="005267C1"/>
    <w:rsid w:val="00534344"/>
    <w:rsid w:val="00534DB3"/>
    <w:rsid w:val="00535250"/>
    <w:rsid w:val="00535A93"/>
    <w:rsid w:val="00536B89"/>
    <w:rsid w:val="00540531"/>
    <w:rsid w:val="005426DC"/>
    <w:rsid w:val="00545FE1"/>
    <w:rsid w:val="005466F8"/>
    <w:rsid w:val="00546DC3"/>
    <w:rsid w:val="005513C9"/>
    <w:rsid w:val="00553032"/>
    <w:rsid w:val="005532E4"/>
    <w:rsid w:val="00556B2A"/>
    <w:rsid w:val="00556FE0"/>
    <w:rsid w:val="00560E29"/>
    <w:rsid w:val="005624EF"/>
    <w:rsid w:val="00565239"/>
    <w:rsid w:val="0056543F"/>
    <w:rsid w:val="00565CC0"/>
    <w:rsid w:val="00567D1D"/>
    <w:rsid w:val="0057079F"/>
    <w:rsid w:val="00573CF4"/>
    <w:rsid w:val="00575005"/>
    <w:rsid w:val="00576C35"/>
    <w:rsid w:val="00580415"/>
    <w:rsid w:val="00583E9C"/>
    <w:rsid w:val="005840F8"/>
    <w:rsid w:val="00585D40"/>
    <w:rsid w:val="00590A45"/>
    <w:rsid w:val="005977B3"/>
    <w:rsid w:val="005A3998"/>
    <w:rsid w:val="005A4E12"/>
    <w:rsid w:val="005A6B19"/>
    <w:rsid w:val="005B1012"/>
    <w:rsid w:val="005B2610"/>
    <w:rsid w:val="005C0BDF"/>
    <w:rsid w:val="005C1272"/>
    <w:rsid w:val="005C3892"/>
    <w:rsid w:val="005C3C3A"/>
    <w:rsid w:val="005C7E8A"/>
    <w:rsid w:val="005D41BA"/>
    <w:rsid w:val="005D4616"/>
    <w:rsid w:val="005D4F61"/>
    <w:rsid w:val="005D6ED8"/>
    <w:rsid w:val="005E1890"/>
    <w:rsid w:val="005E18EA"/>
    <w:rsid w:val="005E3506"/>
    <w:rsid w:val="005E6B4A"/>
    <w:rsid w:val="005F01CB"/>
    <w:rsid w:val="005F0442"/>
    <w:rsid w:val="005F0D77"/>
    <w:rsid w:val="005F3A24"/>
    <w:rsid w:val="005F4284"/>
    <w:rsid w:val="005F5E90"/>
    <w:rsid w:val="005F6D13"/>
    <w:rsid w:val="00601006"/>
    <w:rsid w:val="006030E1"/>
    <w:rsid w:val="00611553"/>
    <w:rsid w:val="006115CD"/>
    <w:rsid w:val="00612D31"/>
    <w:rsid w:val="00613A1B"/>
    <w:rsid w:val="00613B77"/>
    <w:rsid w:val="00613C6E"/>
    <w:rsid w:val="00614022"/>
    <w:rsid w:val="00620BCB"/>
    <w:rsid w:val="006225A1"/>
    <w:rsid w:val="00623256"/>
    <w:rsid w:val="00624F0B"/>
    <w:rsid w:val="00625C7D"/>
    <w:rsid w:val="00625FE6"/>
    <w:rsid w:val="00626B51"/>
    <w:rsid w:val="00630604"/>
    <w:rsid w:val="006310D6"/>
    <w:rsid w:val="006313D5"/>
    <w:rsid w:val="00631CDF"/>
    <w:rsid w:val="0063215C"/>
    <w:rsid w:val="006345E2"/>
    <w:rsid w:val="006404F5"/>
    <w:rsid w:val="006410D6"/>
    <w:rsid w:val="006433FE"/>
    <w:rsid w:val="0065183A"/>
    <w:rsid w:val="00656C3D"/>
    <w:rsid w:val="00661D4F"/>
    <w:rsid w:val="00663309"/>
    <w:rsid w:val="00663B12"/>
    <w:rsid w:val="00667D94"/>
    <w:rsid w:val="00673266"/>
    <w:rsid w:val="00674207"/>
    <w:rsid w:val="00675660"/>
    <w:rsid w:val="00675BD9"/>
    <w:rsid w:val="00680FBD"/>
    <w:rsid w:val="006815E5"/>
    <w:rsid w:val="00682BBB"/>
    <w:rsid w:val="00684827"/>
    <w:rsid w:val="006867A7"/>
    <w:rsid w:val="00690F5D"/>
    <w:rsid w:val="0069211A"/>
    <w:rsid w:val="006944D8"/>
    <w:rsid w:val="00696846"/>
    <w:rsid w:val="006A2590"/>
    <w:rsid w:val="006A3228"/>
    <w:rsid w:val="006A78DE"/>
    <w:rsid w:val="006B06C2"/>
    <w:rsid w:val="006B211F"/>
    <w:rsid w:val="006B2F85"/>
    <w:rsid w:val="006B308D"/>
    <w:rsid w:val="006B42AA"/>
    <w:rsid w:val="006B7C6D"/>
    <w:rsid w:val="006C2E01"/>
    <w:rsid w:val="006C5FC3"/>
    <w:rsid w:val="006D0D9A"/>
    <w:rsid w:val="006D2200"/>
    <w:rsid w:val="006D4146"/>
    <w:rsid w:val="006D4A8B"/>
    <w:rsid w:val="006E1782"/>
    <w:rsid w:val="006E2524"/>
    <w:rsid w:val="006E5E9A"/>
    <w:rsid w:val="006E75D6"/>
    <w:rsid w:val="006F1226"/>
    <w:rsid w:val="006F28E4"/>
    <w:rsid w:val="006F2C87"/>
    <w:rsid w:val="006F435D"/>
    <w:rsid w:val="00700082"/>
    <w:rsid w:val="0070118A"/>
    <w:rsid w:val="00701AEE"/>
    <w:rsid w:val="007029FD"/>
    <w:rsid w:val="00704523"/>
    <w:rsid w:val="00705AC1"/>
    <w:rsid w:val="00706542"/>
    <w:rsid w:val="007075F4"/>
    <w:rsid w:val="00711970"/>
    <w:rsid w:val="00711A22"/>
    <w:rsid w:val="007158CA"/>
    <w:rsid w:val="0072033B"/>
    <w:rsid w:val="007205BC"/>
    <w:rsid w:val="00722D2F"/>
    <w:rsid w:val="00723868"/>
    <w:rsid w:val="00731EA0"/>
    <w:rsid w:val="0073264E"/>
    <w:rsid w:val="00736C25"/>
    <w:rsid w:val="00741182"/>
    <w:rsid w:val="00741479"/>
    <w:rsid w:val="007436D7"/>
    <w:rsid w:val="00743EFA"/>
    <w:rsid w:val="00745F47"/>
    <w:rsid w:val="00750A7F"/>
    <w:rsid w:val="00751A0F"/>
    <w:rsid w:val="0075483A"/>
    <w:rsid w:val="00755D7C"/>
    <w:rsid w:val="0075753C"/>
    <w:rsid w:val="0076284D"/>
    <w:rsid w:val="00763339"/>
    <w:rsid w:val="0076497C"/>
    <w:rsid w:val="00764CD9"/>
    <w:rsid w:val="007707E4"/>
    <w:rsid w:val="00772F9F"/>
    <w:rsid w:val="00774AF9"/>
    <w:rsid w:val="00777B73"/>
    <w:rsid w:val="00780595"/>
    <w:rsid w:val="00791767"/>
    <w:rsid w:val="00791938"/>
    <w:rsid w:val="00791B73"/>
    <w:rsid w:val="00791CCD"/>
    <w:rsid w:val="00793527"/>
    <w:rsid w:val="00794BC6"/>
    <w:rsid w:val="007956B5"/>
    <w:rsid w:val="007A49F3"/>
    <w:rsid w:val="007A518F"/>
    <w:rsid w:val="007A53C4"/>
    <w:rsid w:val="007A73C5"/>
    <w:rsid w:val="007B1044"/>
    <w:rsid w:val="007B3F53"/>
    <w:rsid w:val="007B709C"/>
    <w:rsid w:val="007C4083"/>
    <w:rsid w:val="007C4E63"/>
    <w:rsid w:val="007C70E8"/>
    <w:rsid w:val="007D31D7"/>
    <w:rsid w:val="007D382B"/>
    <w:rsid w:val="007D4310"/>
    <w:rsid w:val="007D446C"/>
    <w:rsid w:val="007D5B3F"/>
    <w:rsid w:val="007D5DF6"/>
    <w:rsid w:val="007D7265"/>
    <w:rsid w:val="007E132A"/>
    <w:rsid w:val="007E4C9E"/>
    <w:rsid w:val="007E60FF"/>
    <w:rsid w:val="007E6146"/>
    <w:rsid w:val="007E7402"/>
    <w:rsid w:val="007F004E"/>
    <w:rsid w:val="007F32D6"/>
    <w:rsid w:val="007F4B74"/>
    <w:rsid w:val="007F69F6"/>
    <w:rsid w:val="007F6A39"/>
    <w:rsid w:val="007F73B1"/>
    <w:rsid w:val="00804289"/>
    <w:rsid w:val="00805B69"/>
    <w:rsid w:val="00811B8D"/>
    <w:rsid w:val="008134C5"/>
    <w:rsid w:val="00814EB6"/>
    <w:rsid w:val="0081502C"/>
    <w:rsid w:val="00815CEE"/>
    <w:rsid w:val="00816F98"/>
    <w:rsid w:val="00817480"/>
    <w:rsid w:val="00820C46"/>
    <w:rsid w:val="00822EDD"/>
    <w:rsid w:val="00824BBB"/>
    <w:rsid w:val="00827231"/>
    <w:rsid w:val="008301EC"/>
    <w:rsid w:val="00831803"/>
    <w:rsid w:val="00831BB1"/>
    <w:rsid w:val="0083365D"/>
    <w:rsid w:val="00836047"/>
    <w:rsid w:val="00837A9E"/>
    <w:rsid w:val="00837DA8"/>
    <w:rsid w:val="008417BD"/>
    <w:rsid w:val="008422C9"/>
    <w:rsid w:val="008433B3"/>
    <w:rsid w:val="00843B14"/>
    <w:rsid w:val="00843FA9"/>
    <w:rsid w:val="008532BF"/>
    <w:rsid w:val="008579E6"/>
    <w:rsid w:val="00860B8B"/>
    <w:rsid w:val="00861A6D"/>
    <w:rsid w:val="00863A0D"/>
    <w:rsid w:val="00867428"/>
    <w:rsid w:val="00867CBE"/>
    <w:rsid w:val="00867F78"/>
    <w:rsid w:val="00867FEA"/>
    <w:rsid w:val="0087030E"/>
    <w:rsid w:val="00870B71"/>
    <w:rsid w:val="00871B99"/>
    <w:rsid w:val="00872097"/>
    <w:rsid w:val="00884DD0"/>
    <w:rsid w:val="008852B8"/>
    <w:rsid w:val="00886D72"/>
    <w:rsid w:val="008932DF"/>
    <w:rsid w:val="00897674"/>
    <w:rsid w:val="00897A59"/>
    <w:rsid w:val="008A11AB"/>
    <w:rsid w:val="008A1F70"/>
    <w:rsid w:val="008A2882"/>
    <w:rsid w:val="008A3050"/>
    <w:rsid w:val="008A51A6"/>
    <w:rsid w:val="008A630C"/>
    <w:rsid w:val="008A79B7"/>
    <w:rsid w:val="008B2B1A"/>
    <w:rsid w:val="008B60A5"/>
    <w:rsid w:val="008C1098"/>
    <w:rsid w:val="008C375B"/>
    <w:rsid w:val="008C3DAD"/>
    <w:rsid w:val="008C41F0"/>
    <w:rsid w:val="008C51C3"/>
    <w:rsid w:val="008C6F47"/>
    <w:rsid w:val="008C75E9"/>
    <w:rsid w:val="008C7C7E"/>
    <w:rsid w:val="008D070A"/>
    <w:rsid w:val="008D2B91"/>
    <w:rsid w:val="008E0C90"/>
    <w:rsid w:val="008E165C"/>
    <w:rsid w:val="008E27F4"/>
    <w:rsid w:val="008E6D6F"/>
    <w:rsid w:val="008F3025"/>
    <w:rsid w:val="008F3A2F"/>
    <w:rsid w:val="008F76F9"/>
    <w:rsid w:val="009102ED"/>
    <w:rsid w:val="009221A8"/>
    <w:rsid w:val="00923BEE"/>
    <w:rsid w:val="00932B39"/>
    <w:rsid w:val="0093461D"/>
    <w:rsid w:val="00934DD9"/>
    <w:rsid w:val="00941433"/>
    <w:rsid w:val="009479A4"/>
    <w:rsid w:val="00950BBE"/>
    <w:rsid w:val="00953E07"/>
    <w:rsid w:val="00954669"/>
    <w:rsid w:val="009551E4"/>
    <w:rsid w:val="009560C8"/>
    <w:rsid w:val="00962E52"/>
    <w:rsid w:val="009636E3"/>
    <w:rsid w:val="00964352"/>
    <w:rsid w:val="00970C2C"/>
    <w:rsid w:val="00971574"/>
    <w:rsid w:val="00973031"/>
    <w:rsid w:val="0098063C"/>
    <w:rsid w:val="00980743"/>
    <w:rsid w:val="00981FAE"/>
    <w:rsid w:val="00982338"/>
    <w:rsid w:val="00985525"/>
    <w:rsid w:val="009879DF"/>
    <w:rsid w:val="00991DF6"/>
    <w:rsid w:val="00996392"/>
    <w:rsid w:val="0099699D"/>
    <w:rsid w:val="00997AD4"/>
    <w:rsid w:val="009A0B6C"/>
    <w:rsid w:val="009A1889"/>
    <w:rsid w:val="009A1B83"/>
    <w:rsid w:val="009A2727"/>
    <w:rsid w:val="009A4AC2"/>
    <w:rsid w:val="009A4B88"/>
    <w:rsid w:val="009A4BF4"/>
    <w:rsid w:val="009A657C"/>
    <w:rsid w:val="009A7C04"/>
    <w:rsid w:val="009B3F36"/>
    <w:rsid w:val="009B4657"/>
    <w:rsid w:val="009B4B8E"/>
    <w:rsid w:val="009B7E63"/>
    <w:rsid w:val="009C0742"/>
    <w:rsid w:val="009C4579"/>
    <w:rsid w:val="009C469D"/>
    <w:rsid w:val="009C72C3"/>
    <w:rsid w:val="009D038D"/>
    <w:rsid w:val="009D0929"/>
    <w:rsid w:val="009D0AF0"/>
    <w:rsid w:val="009D21A6"/>
    <w:rsid w:val="009D372E"/>
    <w:rsid w:val="009D5F01"/>
    <w:rsid w:val="009E074A"/>
    <w:rsid w:val="009E540E"/>
    <w:rsid w:val="009E585D"/>
    <w:rsid w:val="009E5B3A"/>
    <w:rsid w:val="009E650A"/>
    <w:rsid w:val="009E7B76"/>
    <w:rsid w:val="009E7E69"/>
    <w:rsid w:val="009F0BF8"/>
    <w:rsid w:val="009F4CB0"/>
    <w:rsid w:val="009F6D83"/>
    <w:rsid w:val="009F790E"/>
    <w:rsid w:val="009F7DA6"/>
    <w:rsid w:val="00A004C9"/>
    <w:rsid w:val="00A03D87"/>
    <w:rsid w:val="00A0795C"/>
    <w:rsid w:val="00A07DED"/>
    <w:rsid w:val="00A10A82"/>
    <w:rsid w:val="00A12C92"/>
    <w:rsid w:val="00A14E8D"/>
    <w:rsid w:val="00A17D27"/>
    <w:rsid w:val="00A20EAC"/>
    <w:rsid w:val="00A21DBE"/>
    <w:rsid w:val="00A30F6B"/>
    <w:rsid w:val="00A3150E"/>
    <w:rsid w:val="00A323B1"/>
    <w:rsid w:val="00A32856"/>
    <w:rsid w:val="00A3314C"/>
    <w:rsid w:val="00A3327A"/>
    <w:rsid w:val="00A3457B"/>
    <w:rsid w:val="00A36133"/>
    <w:rsid w:val="00A376DE"/>
    <w:rsid w:val="00A4016C"/>
    <w:rsid w:val="00A41B20"/>
    <w:rsid w:val="00A46D9C"/>
    <w:rsid w:val="00A50A13"/>
    <w:rsid w:val="00A510D6"/>
    <w:rsid w:val="00A5257B"/>
    <w:rsid w:val="00A5492B"/>
    <w:rsid w:val="00A57C6E"/>
    <w:rsid w:val="00A61D84"/>
    <w:rsid w:val="00A63390"/>
    <w:rsid w:val="00A63701"/>
    <w:rsid w:val="00A64A50"/>
    <w:rsid w:val="00A66AD9"/>
    <w:rsid w:val="00A71F86"/>
    <w:rsid w:val="00A73903"/>
    <w:rsid w:val="00A749F6"/>
    <w:rsid w:val="00A74CFC"/>
    <w:rsid w:val="00A76927"/>
    <w:rsid w:val="00A76F17"/>
    <w:rsid w:val="00A87ADF"/>
    <w:rsid w:val="00A91EF2"/>
    <w:rsid w:val="00A92400"/>
    <w:rsid w:val="00A92A39"/>
    <w:rsid w:val="00A96060"/>
    <w:rsid w:val="00AA051D"/>
    <w:rsid w:val="00AB1761"/>
    <w:rsid w:val="00AB6F28"/>
    <w:rsid w:val="00AC32D8"/>
    <w:rsid w:val="00AC3AF9"/>
    <w:rsid w:val="00AC4254"/>
    <w:rsid w:val="00AC453C"/>
    <w:rsid w:val="00AC5844"/>
    <w:rsid w:val="00AC5D33"/>
    <w:rsid w:val="00AC72B7"/>
    <w:rsid w:val="00AD098D"/>
    <w:rsid w:val="00AD173E"/>
    <w:rsid w:val="00AD1C25"/>
    <w:rsid w:val="00AD4C10"/>
    <w:rsid w:val="00AD6E15"/>
    <w:rsid w:val="00AE5025"/>
    <w:rsid w:val="00AE7E52"/>
    <w:rsid w:val="00AF302E"/>
    <w:rsid w:val="00AF3594"/>
    <w:rsid w:val="00AF3ABC"/>
    <w:rsid w:val="00AF473B"/>
    <w:rsid w:val="00B00E05"/>
    <w:rsid w:val="00B01CF7"/>
    <w:rsid w:val="00B01E85"/>
    <w:rsid w:val="00B048C8"/>
    <w:rsid w:val="00B059D9"/>
    <w:rsid w:val="00B06A7A"/>
    <w:rsid w:val="00B10ADA"/>
    <w:rsid w:val="00B13AA8"/>
    <w:rsid w:val="00B150EA"/>
    <w:rsid w:val="00B16483"/>
    <w:rsid w:val="00B20515"/>
    <w:rsid w:val="00B21C34"/>
    <w:rsid w:val="00B22344"/>
    <w:rsid w:val="00B23822"/>
    <w:rsid w:val="00B34C39"/>
    <w:rsid w:val="00B35B7C"/>
    <w:rsid w:val="00B3617F"/>
    <w:rsid w:val="00B36D9D"/>
    <w:rsid w:val="00B406FC"/>
    <w:rsid w:val="00B4314F"/>
    <w:rsid w:val="00B5061F"/>
    <w:rsid w:val="00B50787"/>
    <w:rsid w:val="00B52827"/>
    <w:rsid w:val="00B65890"/>
    <w:rsid w:val="00B715BA"/>
    <w:rsid w:val="00B72599"/>
    <w:rsid w:val="00B72605"/>
    <w:rsid w:val="00B736DF"/>
    <w:rsid w:val="00B73CA5"/>
    <w:rsid w:val="00B74325"/>
    <w:rsid w:val="00B75DDE"/>
    <w:rsid w:val="00B76F4A"/>
    <w:rsid w:val="00B817F4"/>
    <w:rsid w:val="00B81C07"/>
    <w:rsid w:val="00B81E28"/>
    <w:rsid w:val="00B91E05"/>
    <w:rsid w:val="00BA4EF5"/>
    <w:rsid w:val="00BA668F"/>
    <w:rsid w:val="00BA776A"/>
    <w:rsid w:val="00BB0124"/>
    <w:rsid w:val="00BB25FC"/>
    <w:rsid w:val="00BB56E0"/>
    <w:rsid w:val="00BB7311"/>
    <w:rsid w:val="00BC0409"/>
    <w:rsid w:val="00BC40EE"/>
    <w:rsid w:val="00BC434F"/>
    <w:rsid w:val="00BC6322"/>
    <w:rsid w:val="00BC63D8"/>
    <w:rsid w:val="00BD2F2C"/>
    <w:rsid w:val="00BD39E6"/>
    <w:rsid w:val="00BE1AD0"/>
    <w:rsid w:val="00BE47B6"/>
    <w:rsid w:val="00BF1D5F"/>
    <w:rsid w:val="00BF20FE"/>
    <w:rsid w:val="00BF3485"/>
    <w:rsid w:val="00BF376D"/>
    <w:rsid w:val="00C021EB"/>
    <w:rsid w:val="00C03028"/>
    <w:rsid w:val="00C07824"/>
    <w:rsid w:val="00C11516"/>
    <w:rsid w:val="00C176AE"/>
    <w:rsid w:val="00C20517"/>
    <w:rsid w:val="00C24296"/>
    <w:rsid w:val="00C25E2B"/>
    <w:rsid w:val="00C26126"/>
    <w:rsid w:val="00C26883"/>
    <w:rsid w:val="00C26C6A"/>
    <w:rsid w:val="00C32E0B"/>
    <w:rsid w:val="00C339EF"/>
    <w:rsid w:val="00C348C2"/>
    <w:rsid w:val="00C36120"/>
    <w:rsid w:val="00C366EC"/>
    <w:rsid w:val="00C40F21"/>
    <w:rsid w:val="00C41FAE"/>
    <w:rsid w:val="00C423B3"/>
    <w:rsid w:val="00C42993"/>
    <w:rsid w:val="00C42AB8"/>
    <w:rsid w:val="00C4387F"/>
    <w:rsid w:val="00C45348"/>
    <w:rsid w:val="00C46834"/>
    <w:rsid w:val="00C4705F"/>
    <w:rsid w:val="00C47CE6"/>
    <w:rsid w:val="00C507C7"/>
    <w:rsid w:val="00C62D6C"/>
    <w:rsid w:val="00C6331B"/>
    <w:rsid w:val="00C64945"/>
    <w:rsid w:val="00C6709A"/>
    <w:rsid w:val="00C710C4"/>
    <w:rsid w:val="00C71DE8"/>
    <w:rsid w:val="00C72C45"/>
    <w:rsid w:val="00C739D6"/>
    <w:rsid w:val="00C7449C"/>
    <w:rsid w:val="00C756BD"/>
    <w:rsid w:val="00C804D0"/>
    <w:rsid w:val="00C83919"/>
    <w:rsid w:val="00C84D34"/>
    <w:rsid w:val="00C85017"/>
    <w:rsid w:val="00C87AD3"/>
    <w:rsid w:val="00C91B07"/>
    <w:rsid w:val="00C91C18"/>
    <w:rsid w:val="00C96505"/>
    <w:rsid w:val="00CA0147"/>
    <w:rsid w:val="00CA383F"/>
    <w:rsid w:val="00CA52CC"/>
    <w:rsid w:val="00CA5585"/>
    <w:rsid w:val="00CA59BC"/>
    <w:rsid w:val="00CA5EB7"/>
    <w:rsid w:val="00CA7EAC"/>
    <w:rsid w:val="00CB0099"/>
    <w:rsid w:val="00CB1301"/>
    <w:rsid w:val="00CB2368"/>
    <w:rsid w:val="00CB4D47"/>
    <w:rsid w:val="00CC3ED1"/>
    <w:rsid w:val="00CC5B2A"/>
    <w:rsid w:val="00CC6527"/>
    <w:rsid w:val="00CC6D88"/>
    <w:rsid w:val="00CD0025"/>
    <w:rsid w:val="00CD1E93"/>
    <w:rsid w:val="00CD5DFE"/>
    <w:rsid w:val="00CD7B51"/>
    <w:rsid w:val="00CE6774"/>
    <w:rsid w:val="00CE7BD4"/>
    <w:rsid w:val="00CE7C32"/>
    <w:rsid w:val="00CF11CC"/>
    <w:rsid w:val="00CF3A5F"/>
    <w:rsid w:val="00D0158D"/>
    <w:rsid w:val="00D03EAD"/>
    <w:rsid w:val="00D04C0C"/>
    <w:rsid w:val="00D050C7"/>
    <w:rsid w:val="00D0581E"/>
    <w:rsid w:val="00D05829"/>
    <w:rsid w:val="00D0598A"/>
    <w:rsid w:val="00D1176F"/>
    <w:rsid w:val="00D12128"/>
    <w:rsid w:val="00D13B1F"/>
    <w:rsid w:val="00D20B54"/>
    <w:rsid w:val="00D20F1A"/>
    <w:rsid w:val="00D23AD6"/>
    <w:rsid w:val="00D23EA4"/>
    <w:rsid w:val="00D26AC5"/>
    <w:rsid w:val="00D27F03"/>
    <w:rsid w:val="00D30DBF"/>
    <w:rsid w:val="00D30EA1"/>
    <w:rsid w:val="00D33621"/>
    <w:rsid w:val="00D345B7"/>
    <w:rsid w:val="00D35F6A"/>
    <w:rsid w:val="00D40442"/>
    <w:rsid w:val="00D41B7F"/>
    <w:rsid w:val="00D431A8"/>
    <w:rsid w:val="00D43D0B"/>
    <w:rsid w:val="00D452D5"/>
    <w:rsid w:val="00D45A75"/>
    <w:rsid w:val="00D54A0A"/>
    <w:rsid w:val="00D5501A"/>
    <w:rsid w:val="00D564ED"/>
    <w:rsid w:val="00D56CAA"/>
    <w:rsid w:val="00D5751A"/>
    <w:rsid w:val="00D57A3C"/>
    <w:rsid w:val="00D63BF2"/>
    <w:rsid w:val="00D6799E"/>
    <w:rsid w:val="00D71968"/>
    <w:rsid w:val="00D71BD4"/>
    <w:rsid w:val="00D72584"/>
    <w:rsid w:val="00D74A85"/>
    <w:rsid w:val="00D80BEF"/>
    <w:rsid w:val="00D82327"/>
    <w:rsid w:val="00D82C38"/>
    <w:rsid w:val="00D83601"/>
    <w:rsid w:val="00D83FCB"/>
    <w:rsid w:val="00D84BEC"/>
    <w:rsid w:val="00D8585A"/>
    <w:rsid w:val="00D860BD"/>
    <w:rsid w:val="00D86C07"/>
    <w:rsid w:val="00D92882"/>
    <w:rsid w:val="00D9385D"/>
    <w:rsid w:val="00D93C1F"/>
    <w:rsid w:val="00D9440C"/>
    <w:rsid w:val="00D95517"/>
    <w:rsid w:val="00DA0AAA"/>
    <w:rsid w:val="00DA0FB1"/>
    <w:rsid w:val="00DA2998"/>
    <w:rsid w:val="00DA3DC4"/>
    <w:rsid w:val="00DA40EE"/>
    <w:rsid w:val="00DA4AC2"/>
    <w:rsid w:val="00DA5CA0"/>
    <w:rsid w:val="00DA7A76"/>
    <w:rsid w:val="00DA7C2D"/>
    <w:rsid w:val="00DB14D3"/>
    <w:rsid w:val="00DB1617"/>
    <w:rsid w:val="00DB5BC2"/>
    <w:rsid w:val="00DB5CF1"/>
    <w:rsid w:val="00DB6F9E"/>
    <w:rsid w:val="00DC06BB"/>
    <w:rsid w:val="00DC2378"/>
    <w:rsid w:val="00DC51D8"/>
    <w:rsid w:val="00DC5961"/>
    <w:rsid w:val="00DD1D3C"/>
    <w:rsid w:val="00DD2ABD"/>
    <w:rsid w:val="00DD644C"/>
    <w:rsid w:val="00DE07DF"/>
    <w:rsid w:val="00DE2571"/>
    <w:rsid w:val="00DE38CD"/>
    <w:rsid w:val="00DE4490"/>
    <w:rsid w:val="00DE66DF"/>
    <w:rsid w:val="00DF0790"/>
    <w:rsid w:val="00DF3FF3"/>
    <w:rsid w:val="00DF45D2"/>
    <w:rsid w:val="00DF5AC6"/>
    <w:rsid w:val="00DF6597"/>
    <w:rsid w:val="00DF6676"/>
    <w:rsid w:val="00DF74A8"/>
    <w:rsid w:val="00E00FA1"/>
    <w:rsid w:val="00E02CCD"/>
    <w:rsid w:val="00E03221"/>
    <w:rsid w:val="00E03613"/>
    <w:rsid w:val="00E10C7A"/>
    <w:rsid w:val="00E1106E"/>
    <w:rsid w:val="00E12284"/>
    <w:rsid w:val="00E12DE3"/>
    <w:rsid w:val="00E170E5"/>
    <w:rsid w:val="00E17A50"/>
    <w:rsid w:val="00E229D1"/>
    <w:rsid w:val="00E23A99"/>
    <w:rsid w:val="00E253D3"/>
    <w:rsid w:val="00E26416"/>
    <w:rsid w:val="00E26855"/>
    <w:rsid w:val="00E31329"/>
    <w:rsid w:val="00E354DC"/>
    <w:rsid w:val="00E374C8"/>
    <w:rsid w:val="00E3778A"/>
    <w:rsid w:val="00E422C1"/>
    <w:rsid w:val="00E42D8B"/>
    <w:rsid w:val="00E44B31"/>
    <w:rsid w:val="00E4714C"/>
    <w:rsid w:val="00E50843"/>
    <w:rsid w:val="00E51429"/>
    <w:rsid w:val="00E52A67"/>
    <w:rsid w:val="00E53931"/>
    <w:rsid w:val="00E54E33"/>
    <w:rsid w:val="00E55021"/>
    <w:rsid w:val="00E5569C"/>
    <w:rsid w:val="00E61682"/>
    <w:rsid w:val="00E616A4"/>
    <w:rsid w:val="00E630CF"/>
    <w:rsid w:val="00E65180"/>
    <w:rsid w:val="00E65D8B"/>
    <w:rsid w:val="00E71C8C"/>
    <w:rsid w:val="00E75B6A"/>
    <w:rsid w:val="00E76349"/>
    <w:rsid w:val="00E76594"/>
    <w:rsid w:val="00E774FA"/>
    <w:rsid w:val="00E82F1A"/>
    <w:rsid w:val="00E8402C"/>
    <w:rsid w:val="00E865A2"/>
    <w:rsid w:val="00E8772D"/>
    <w:rsid w:val="00E92099"/>
    <w:rsid w:val="00E94835"/>
    <w:rsid w:val="00E95073"/>
    <w:rsid w:val="00E967C7"/>
    <w:rsid w:val="00EA3C1F"/>
    <w:rsid w:val="00EA47FE"/>
    <w:rsid w:val="00EA4AD3"/>
    <w:rsid w:val="00EA5875"/>
    <w:rsid w:val="00EB0971"/>
    <w:rsid w:val="00EB144E"/>
    <w:rsid w:val="00EB2BC0"/>
    <w:rsid w:val="00EB2BE3"/>
    <w:rsid w:val="00EC00CC"/>
    <w:rsid w:val="00EC0C45"/>
    <w:rsid w:val="00EC2D90"/>
    <w:rsid w:val="00EC3A73"/>
    <w:rsid w:val="00EC3CDF"/>
    <w:rsid w:val="00EC4285"/>
    <w:rsid w:val="00ED0A51"/>
    <w:rsid w:val="00EE346B"/>
    <w:rsid w:val="00EE63FF"/>
    <w:rsid w:val="00EF0828"/>
    <w:rsid w:val="00EF27B3"/>
    <w:rsid w:val="00EF511C"/>
    <w:rsid w:val="00F01A4B"/>
    <w:rsid w:val="00F01A62"/>
    <w:rsid w:val="00F0202A"/>
    <w:rsid w:val="00F03A47"/>
    <w:rsid w:val="00F05D56"/>
    <w:rsid w:val="00F06378"/>
    <w:rsid w:val="00F112B7"/>
    <w:rsid w:val="00F1197E"/>
    <w:rsid w:val="00F12B3D"/>
    <w:rsid w:val="00F16497"/>
    <w:rsid w:val="00F227C1"/>
    <w:rsid w:val="00F22CC7"/>
    <w:rsid w:val="00F2401E"/>
    <w:rsid w:val="00F24F41"/>
    <w:rsid w:val="00F27495"/>
    <w:rsid w:val="00F3076B"/>
    <w:rsid w:val="00F30A6F"/>
    <w:rsid w:val="00F323E0"/>
    <w:rsid w:val="00F33FA2"/>
    <w:rsid w:val="00F34D81"/>
    <w:rsid w:val="00F35674"/>
    <w:rsid w:val="00F369D6"/>
    <w:rsid w:val="00F37651"/>
    <w:rsid w:val="00F41BC1"/>
    <w:rsid w:val="00F50275"/>
    <w:rsid w:val="00F50581"/>
    <w:rsid w:val="00F51024"/>
    <w:rsid w:val="00F553A3"/>
    <w:rsid w:val="00F55680"/>
    <w:rsid w:val="00F56E8F"/>
    <w:rsid w:val="00F66B62"/>
    <w:rsid w:val="00F6720C"/>
    <w:rsid w:val="00F702FE"/>
    <w:rsid w:val="00F72330"/>
    <w:rsid w:val="00F72C20"/>
    <w:rsid w:val="00F7453C"/>
    <w:rsid w:val="00F74918"/>
    <w:rsid w:val="00F75C98"/>
    <w:rsid w:val="00F8030F"/>
    <w:rsid w:val="00F85724"/>
    <w:rsid w:val="00F87702"/>
    <w:rsid w:val="00F87F68"/>
    <w:rsid w:val="00F907B6"/>
    <w:rsid w:val="00F9553D"/>
    <w:rsid w:val="00FA01BB"/>
    <w:rsid w:val="00FA1A91"/>
    <w:rsid w:val="00FA49E6"/>
    <w:rsid w:val="00FA59BF"/>
    <w:rsid w:val="00FB0376"/>
    <w:rsid w:val="00FB11BA"/>
    <w:rsid w:val="00FB19A8"/>
    <w:rsid w:val="00FB27B7"/>
    <w:rsid w:val="00FB325B"/>
    <w:rsid w:val="00FB3477"/>
    <w:rsid w:val="00FB3C57"/>
    <w:rsid w:val="00FB5F3B"/>
    <w:rsid w:val="00FC0E71"/>
    <w:rsid w:val="00FC2104"/>
    <w:rsid w:val="00FC2D34"/>
    <w:rsid w:val="00FC5525"/>
    <w:rsid w:val="00FC704F"/>
    <w:rsid w:val="00FC71BA"/>
    <w:rsid w:val="00FC752C"/>
    <w:rsid w:val="00FD0C15"/>
    <w:rsid w:val="00FD0D7D"/>
    <w:rsid w:val="00FD111A"/>
    <w:rsid w:val="00FD2101"/>
    <w:rsid w:val="00FD3DCF"/>
    <w:rsid w:val="00FE4C39"/>
    <w:rsid w:val="00FF1310"/>
    <w:rsid w:val="00FF3547"/>
    <w:rsid w:val="00FF42A0"/>
    <w:rsid w:val="00FF58C6"/>
    <w:rsid w:val="011E45E0"/>
    <w:rsid w:val="03C37C12"/>
    <w:rsid w:val="04DD7172"/>
    <w:rsid w:val="06A51E5F"/>
    <w:rsid w:val="07875259"/>
    <w:rsid w:val="08567217"/>
    <w:rsid w:val="09B76700"/>
    <w:rsid w:val="0AA173F2"/>
    <w:rsid w:val="0AFA259B"/>
    <w:rsid w:val="0B1B777B"/>
    <w:rsid w:val="0EE66160"/>
    <w:rsid w:val="0EEA172E"/>
    <w:rsid w:val="0F634F6B"/>
    <w:rsid w:val="0F82761A"/>
    <w:rsid w:val="134A7B67"/>
    <w:rsid w:val="14C63DC9"/>
    <w:rsid w:val="16164649"/>
    <w:rsid w:val="16220F72"/>
    <w:rsid w:val="1780765F"/>
    <w:rsid w:val="18AE3002"/>
    <w:rsid w:val="1A13167A"/>
    <w:rsid w:val="1A7C6F5B"/>
    <w:rsid w:val="1BD65618"/>
    <w:rsid w:val="1DEF41FF"/>
    <w:rsid w:val="1F003D59"/>
    <w:rsid w:val="202B46B3"/>
    <w:rsid w:val="21611163"/>
    <w:rsid w:val="236D539D"/>
    <w:rsid w:val="23AD6B72"/>
    <w:rsid w:val="245B4CA0"/>
    <w:rsid w:val="25204278"/>
    <w:rsid w:val="26FD77C7"/>
    <w:rsid w:val="270C24FC"/>
    <w:rsid w:val="27C67660"/>
    <w:rsid w:val="28BD116E"/>
    <w:rsid w:val="299C323F"/>
    <w:rsid w:val="2A7C15AE"/>
    <w:rsid w:val="2ACB0B3A"/>
    <w:rsid w:val="2BEF6E3B"/>
    <w:rsid w:val="2C184155"/>
    <w:rsid w:val="2C871AB6"/>
    <w:rsid w:val="2CC22C50"/>
    <w:rsid w:val="2DF7347C"/>
    <w:rsid w:val="306D482A"/>
    <w:rsid w:val="30B83E64"/>
    <w:rsid w:val="323E46B5"/>
    <w:rsid w:val="32C825DA"/>
    <w:rsid w:val="32FB3CC4"/>
    <w:rsid w:val="33131901"/>
    <w:rsid w:val="33AB68F8"/>
    <w:rsid w:val="340A2ECB"/>
    <w:rsid w:val="372D7266"/>
    <w:rsid w:val="37BE4DA7"/>
    <w:rsid w:val="37F05F1F"/>
    <w:rsid w:val="390F7D33"/>
    <w:rsid w:val="3B3740DC"/>
    <w:rsid w:val="3BF61DB7"/>
    <w:rsid w:val="3D6213E5"/>
    <w:rsid w:val="3E4529CA"/>
    <w:rsid w:val="402558DA"/>
    <w:rsid w:val="422269EA"/>
    <w:rsid w:val="438A77F7"/>
    <w:rsid w:val="468D00F4"/>
    <w:rsid w:val="46904D2C"/>
    <w:rsid w:val="482C394E"/>
    <w:rsid w:val="4939334F"/>
    <w:rsid w:val="4A886739"/>
    <w:rsid w:val="4AD7309E"/>
    <w:rsid w:val="4B0155E4"/>
    <w:rsid w:val="4BFD6CD2"/>
    <w:rsid w:val="4E3E2CD8"/>
    <w:rsid w:val="4F2F576A"/>
    <w:rsid w:val="501E5423"/>
    <w:rsid w:val="50865892"/>
    <w:rsid w:val="519B55B4"/>
    <w:rsid w:val="51FB1823"/>
    <w:rsid w:val="53847D28"/>
    <w:rsid w:val="572D4CCB"/>
    <w:rsid w:val="577A7C4D"/>
    <w:rsid w:val="584453B4"/>
    <w:rsid w:val="5A7C4DC5"/>
    <w:rsid w:val="60672BEC"/>
    <w:rsid w:val="623A2473"/>
    <w:rsid w:val="65795262"/>
    <w:rsid w:val="6760439D"/>
    <w:rsid w:val="69BB50F6"/>
    <w:rsid w:val="6A162975"/>
    <w:rsid w:val="6A562196"/>
    <w:rsid w:val="6BA51C0C"/>
    <w:rsid w:val="6C4A5621"/>
    <w:rsid w:val="6E196DEB"/>
    <w:rsid w:val="6E217767"/>
    <w:rsid w:val="6EC22416"/>
    <w:rsid w:val="6F563125"/>
    <w:rsid w:val="733B5894"/>
    <w:rsid w:val="73AA0402"/>
    <w:rsid w:val="75851CEC"/>
    <w:rsid w:val="778045F3"/>
    <w:rsid w:val="79CF7B78"/>
    <w:rsid w:val="7DC73E43"/>
    <w:rsid w:val="7DED3A2A"/>
    <w:rsid w:val="7F57294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99"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qFormat="1" w:unhideWhenUsed="0" w:uiPriority="99"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name="Balloon Text"/>
    <w:lsdException w:qFormat="1" w:unhideWhenUsed="0"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iPriority="0"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link w:val="75"/>
    <w:qFormat/>
    <w:uiPriority w:val="0"/>
    <w:pPr>
      <w:keepNext/>
      <w:keepLines/>
      <w:spacing w:before="120" w:after="120" w:line="578" w:lineRule="auto"/>
      <w:jc w:val="center"/>
      <w:outlineLvl w:val="0"/>
    </w:pPr>
    <w:rPr>
      <w:rFonts w:ascii="Calibri" w:hAnsi="Calibri" w:eastAsia="宋体"/>
      <w:b/>
      <w:bCs/>
      <w:kern w:val="44"/>
      <w:sz w:val="32"/>
      <w:szCs w:val="44"/>
    </w:rPr>
  </w:style>
  <w:style w:type="paragraph" w:styleId="4">
    <w:name w:val="heading 2"/>
    <w:basedOn w:val="1"/>
    <w:next w:val="1"/>
    <w:link w:val="135"/>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13"/>
    <w:qFormat/>
    <w:uiPriority w:val="9"/>
    <w:pPr>
      <w:keepNext/>
      <w:keepLines/>
      <w:spacing w:before="120" w:after="120" w:line="360" w:lineRule="auto"/>
      <w:outlineLvl w:val="2"/>
    </w:pPr>
    <w:rPr>
      <w:b/>
      <w:bCs/>
      <w:szCs w:val="32"/>
    </w:rPr>
  </w:style>
  <w:style w:type="paragraph" w:styleId="6">
    <w:name w:val="heading 4"/>
    <w:basedOn w:val="1"/>
    <w:next w:val="1"/>
    <w:link w:val="86"/>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28"/>
    <w:qFormat/>
    <w:uiPriority w:val="9"/>
    <w:pPr>
      <w:keepNext/>
      <w:keepLines/>
      <w:spacing w:before="280" w:after="290" w:line="376" w:lineRule="auto"/>
      <w:outlineLvl w:val="4"/>
    </w:pPr>
    <w:rPr>
      <w:b/>
      <w:bCs/>
      <w:sz w:val="28"/>
      <w:szCs w:val="28"/>
    </w:rPr>
  </w:style>
  <w:style w:type="paragraph" w:styleId="8">
    <w:name w:val="heading 6"/>
    <w:basedOn w:val="1"/>
    <w:next w:val="1"/>
    <w:link w:val="80"/>
    <w:qFormat/>
    <w:uiPriority w:val="0"/>
    <w:pPr>
      <w:spacing w:before="240" w:after="60"/>
      <w:outlineLvl w:val="5"/>
    </w:pPr>
    <w:rPr>
      <w:i/>
      <w:iCs/>
      <w:sz w:val="22"/>
      <w:szCs w:val="20"/>
    </w:rPr>
  </w:style>
  <w:style w:type="paragraph" w:styleId="9">
    <w:name w:val="heading 7"/>
    <w:basedOn w:val="1"/>
    <w:next w:val="1"/>
    <w:link w:val="174"/>
    <w:qFormat/>
    <w:uiPriority w:val="0"/>
    <w:pPr>
      <w:keepNext/>
      <w:keepLines/>
      <w:spacing w:before="240" w:after="64" w:line="320" w:lineRule="auto"/>
      <w:outlineLvl w:val="6"/>
    </w:pPr>
    <w:rPr>
      <w:b/>
      <w:bCs/>
      <w:sz w:val="24"/>
    </w:rPr>
  </w:style>
  <w:style w:type="paragraph" w:styleId="10">
    <w:name w:val="heading 8"/>
    <w:basedOn w:val="1"/>
    <w:next w:val="1"/>
    <w:link w:val="180"/>
    <w:qFormat/>
    <w:uiPriority w:val="0"/>
    <w:pPr>
      <w:keepNext/>
      <w:keepLines/>
      <w:tabs>
        <w:tab w:val="left" w:pos="0"/>
      </w:tabs>
      <w:spacing w:before="240" w:after="64" w:line="320" w:lineRule="auto"/>
      <w:ind w:left="1440" w:hanging="1440"/>
      <w:outlineLvl w:val="7"/>
    </w:pPr>
    <w:rPr>
      <w:rFonts w:ascii="Cambria" w:hAnsi="Cambria"/>
      <w:sz w:val="24"/>
    </w:rPr>
  </w:style>
  <w:style w:type="paragraph" w:styleId="11">
    <w:name w:val="heading 9"/>
    <w:basedOn w:val="1"/>
    <w:next w:val="1"/>
    <w:link w:val="173"/>
    <w:qFormat/>
    <w:uiPriority w:val="0"/>
    <w:pPr>
      <w:spacing w:before="240" w:after="60"/>
      <w:outlineLvl w:val="8"/>
    </w:pPr>
    <w:rPr>
      <w:rFonts w:ascii="Arial" w:hAnsi="Arial"/>
      <w:b/>
      <w:i/>
      <w:iCs/>
      <w:sz w:val="18"/>
      <w:szCs w:val="20"/>
    </w:rPr>
  </w:style>
  <w:style w:type="character" w:default="1" w:styleId="59">
    <w:name w:val="Default Paragraph Font"/>
    <w:semiHidden/>
    <w:uiPriority w:val="0"/>
  </w:style>
  <w:style w:type="table" w:default="1" w:styleId="52">
    <w:name w:val="Normal Table"/>
    <w:semiHidden/>
    <w:uiPriority w:val="0"/>
    <w:tblPr>
      <w:tblStyle w:val="52"/>
      <w:tblCellMar>
        <w:top w:w="0" w:type="dxa"/>
        <w:left w:w="108" w:type="dxa"/>
        <w:bottom w:w="0" w:type="dxa"/>
        <w:right w:w="108" w:type="dxa"/>
      </w:tblCellMar>
    </w:tblPr>
  </w:style>
  <w:style w:type="paragraph" w:customStyle="1" w:styleId="2">
    <w:name w:val="Defaul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paragraph" w:styleId="12">
    <w:name w:val="toc 7"/>
    <w:basedOn w:val="1"/>
    <w:next w:val="1"/>
    <w:uiPriority w:val="0"/>
    <w:pPr>
      <w:ind w:left="1260"/>
      <w:jc w:val="left"/>
    </w:pPr>
    <w:rPr>
      <w:sz w:val="18"/>
      <w:szCs w:val="18"/>
    </w:rPr>
  </w:style>
  <w:style w:type="paragraph" w:styleId="13">
    <w:name w:val="List Number"/>
    <w:basedOn w:val="1"/>
    <w:uiPriority w:val="0"/>
    <w:pPr>
      <w:widowControl/>
      <w:numPr>
        <w:ilvl w:val="0"/>
        <w:numId w:val="1"/>
      </w:numPr>
      <w:tabs>
        <w:tab w:val="left" w:pos="454"/>
        <w:tab w:val="left" w:pos="720"/>
        <w:tab w:val="clear" w:pos="900"/>
      </w:tabs>
      <w:spacing w:after="50" w:afterLines="50"/>
      <w:ind w:left="454" w:hanging="284"/>
      <w:jc w:val="left"/>
    </w:pPr>
    <w:rPr>
      <w:kern w:val="0"/>
      <w:sz w:val="24"/>
      <w:szCs w:val="20"/>
    </w:rPr>
  </w:style>
  <w:style w:type="paragraph" w:styleId="14">
    <w:name w:val="Normal Indent"/>
    <w:basedOn w:val="1"/>
    <w:link w:val="68"/>
    <w:uiPriority w:val="0"/>
    <w:pPr>
      <w:ind w:firstLine="420"/>
    </w:pPr>
    <w:rPr>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12"/>
    <w:uiPriority w:val="99"/>
    <w:pPr>
      <w:shd w:val="clear" w:color="auto" w:fill="000080"/>
    </w:pPr>
    <w:rPr>
      <w:rFonts w:ascii="Calibri" w:hAnsi="Calibri"/>
      <w:szCs w:val="22"/>
    </w:rPr>
  </w:style>
  <w:style w:type="paragraph" w:styleId="17">
    <w:name w:val="annotation text"/>
    <w:basedOn w:val="1"/>
    <w:link w:val="127"/>
    <w:uiPriority w:val="0"/>
    <w:pPr>
      <w:jc w:val="left"/>
    </w:pPr>
  </w:style>
  <w:style w:type="paragraph" w:styleId="18">
    <w:name w:val="Salutation"/>
    <w:basedOn w:val="1"/>
    <w:next w:val="1"/>
    <w:uiPriority w:val="0"/>
    <w:pPr>
      <w:spacing w:line="520" w:lineRule="exact"/>
    </w:pPr>
    <w:rPr>
      <w:rFonts w:ascii="华文宋体" w:hAnsi="Arial Unicode MS" w:eastAsia="华文宋体"/>
      <w:sz w:val="24"/>
      <w:szCs w:val="20"/>
    </w:rPr>
  </w:style>
  <w:style w:type="paragraph" w:styleId="19">
    <w:name w:val="Body Text 3"/>
    <w:basedOn w:val="1"/>
    <w:link w:val="74"/>
    <w:uiPriority w:val="0"/>
    <w:pPr>
      <w:snapToGrid w:val="0"/>
      <w:spacing w:before="50" w:after="50"/>
    </w:pPr>
    <w:rPr>
      <w:rFonts w:hAnsi="宋体" w:eastAsia="仿宋_GB2312"/>
      <w:b/>
      <w:bCs/>
      <w:sz w:val="24"/>
      <w:szCs w:val="20"/>
    </w:rPr>
  </w:style>
  <w:style w:type="paragraph" w:styleId="20">
    <w:name w:val="Body Text"/>
    <w:basedOn w:val="1"/>
    <w:link w:val="105"/>
    <w:uiPriority w:val="0"/>
    <w:pPr>
      <w:spacing w:after="120"/>
    </w:pPr>
    <w:rPr>
      <w:sz w:val="28"/>
    </w:rPr>
  </w:style>
  <w:style w:type="paragraph" w:styleId="21">
    <w:name w:val="Body Text Indent"/>
    <w:basedOn w:val="1"/>
    <w:link w:val="106"/>
    <w:qFormat/>
    <w:uiPriority w:val="0"/>
    <w:pPr>
      <w:spacing w:line="200" w:lineRule="exact"/>
      <w:ind w:firstLine="301"/>
    </w:pPr>
    <w:rPr>
      <w:rFonts w:ascii="宋体" w:hAnsi="Courier New"/>
      <w:spacing w:val="-4"/>
      <w:sz w:val="18"/>
      <w:szCs w:val="20"/>
    </w:rPr>
  </w:style>
  <w:style w:type="paragraph" w:styleId="22">
    <w:name w:val="List Number 3"/>
    <w:basedOn w:val="1"/>
    <w:uiPriority w:val="0"/>
    <w:pPr>
      <w:tabs>
        <w:tab w:val="left" w:pos="1200"/>
      </w:tabs>
      <w:ind w:left="1200" w:leftChars="400" w:hanging="360" w:hangingChars="200"/>
    </w:pPr>
  </w:style>
  <w:style w:type="paragraph" w:styleId="23">
    <w:name w:val="List 2"/>
    <w:basedOn w:val="1"/>
    <w:uiPriority w:val="0"/>
    <w:pPr>
      <w:ind w:left="100" w:leftChars="200" w:hanging="200" w:hangingChars="200"/>
    </w:pPr>
    <w:rPr>
      <w:sz w:val="28"/>
    </w:rPr>
  </w:style>
  <w:style w:type="paragraph" w:styleId="24">
    <w:name w:val="List Continue"/>
    <w:basedOn w:val="1"/>
    <w:uiPriority w:val="0"/>
    <w:pPr>
      <w:numPr>
        <w:ilvl w:val="8"/>
        <w:numId w:val="2"/>
      </w:numPr>
      <w:tabs>
        <w:tab w:val="clear" w:pos="3780"/>
      </w:tabs>
      <w:spacing w:after="120"/>
      <w:ind w:left="420" w:leftChars="200" w:firstLine="0"/>
    </w:pPr>
  </w:style>
  <w:style w:type="paragraph" w:styleId="25">
    <w:name w:val="Block Text"/>
    <w:basedOn w:val="1"/>
    <w:uiPriority w:val="0"/>
    <w:pPr>
      <w:ind w:left="1200" w:right="-72" w:hanging="30"/>
    </w:pPr>
    <w:rPr>
      <w:rFonts w:ascii="Arial" w:hAnsi="Arial" w:eastAsia="幼圆" w:cs="Arial"/>
      <w:sz w:val="22"/>
      <w:szCs w:val="20"/>
    </w:rPr>
  </w:style>
  <w:style w:type="paragraph" w:styleId="26">
    <w:name w:val="toc 5"/>
    <w:basedOn w:val="1"/>
    <w:next w:val="1"/>
    <w:uiPriority w:val="0"/>
    <w:pPr>
      <w:ind w:left="840"/>
      <w:jc w:val="left"/>
    </w:pPr>
    <w:rPr>
      <w:sz w:val="18"/>
      <w:szCs w:val="18"/>
    </w:rPr>
  </w:style>
  <w:style w:type="paragraph" w:styleId="27">
    <w:name w:val="toc 3"/>
    <w:basedOn w:val="1"/>
    <w:next w:val="1"/>
    <w:uiPriority w:val="0"/>
    <w:pPr>
      <w:ind w:left="840" w:leftChars="400"/>
    </w:pPr>
  </w:style>
  <w:style w:type="paragraph" w:styleId="28">
    <w:name w:val="Plain Text"/>
    <w:basedOn w:val="1"/>
    <w:link w:val="152"/>
    <w:qFormat/>
    <w:uiPriority w:val="0"/>
    <w:pPr>
      <w:numPr>
        <w:ilvl w:val="0"/>
        <w:numId w:val="3"/>
      </w:numPr>
      <w:spacing w:before="156" w:beforeLines="50" w:after="156" w:afterLines="50" w:line="400" w:lineRule="exact"/>
    </w:pPr>
    <w:rPr>
      <w:rFonts w:ascii="宋体" w:hAnsi="Courier New"/>
      <w:sz w:val="24"/>
    </w:rPr>
  </w:style>
  <w:style w:type="paragraph" w:styleId="29">
    <w:name w:val="toc 8"/>
    <w:basedOn w:val="1"/>
    <w:next w:val="1"/>
    <w:uiPriority w:val="0"/>
    <w:pPr>
      <w:ind w:left="1470"/>
      <w:jc w:val="left"/>
    </w:pPr>
    <w:rPr>
      <w:sz w:val="18"/>
      <w:szCs w:val="18"/>
    </w:rPr>
  </w:style>
  <w:style w:type="paragraph" w:styleId="30">
    <w:name w:val="Date"/>
    <w:basedOn w:val="1"/>
    <w:next w:val="1"/>
    <w:link w:val="129"/>
    <w:uiPriority w:val="0"/>
    <w:pPr>
      <w:ind w:leftChars="2500"/>
    </w:pPr>
    <w:rPr>
      <w:rFonts w:eastAsia="楷体_GB2312"/>
      <w:sz w:val="32"/>
      <w:szCs w:val="20"/>
    </w:rPr>
  </w:style>
  <w:style w:type="paragraph" w:styleId="31">
    <w:name w:val="Body Text Indent 2"/>
    <w:basedOn w:val="1"/>
    <w:link w:val="76"/>
    <w:uiPriority w:val="0"/>
    <w:pPr>
      <w:snapToGrid w:val="0"/>
      <w:ind w:firstLine="542" w:firstLineChars="225"/>
    </w:pPr>
    <w:rPr>
      <w:rFonts w:ascii="仿宋_GB2312" w:hAnsi="宋体" w:cs="Arial"/>
      <w:b/>
      <w:bCs/>
      <w:color w:val="000000"/>
      <w:sz w:val="24"/>
    </w:rPr>
  </w:style>
  <w:style w:type="paragraph" w:styleId="32">
    <w:name w:val="Balloon Text"/>
    <w:basedOn w:val="1"/>
    <w:link w:val="83"/>
    <w:semiHidden/>
    <w:uiPriority w:val="99"/>
    <w:rPr>
      <w:rFonts w:ascii="Calibri" w:hAnsi="Calibri"/>
      <w:sz w:val="18"/>
      <w:szCs w:val="18"/>
    </w:rPr>
  </w:style>
  <w:style w:type="paragraph" w:styleId="33">
    <w:name w:val="footer"/>
    <w:basedOn w:val="1"/>
    <w:link w:val="116"/>
    <w:qFormat/>
    <w:uiPriority w:val="99"/>
    <w:pPr>
      <w:tabs>
        <w:tab w:val="center" w:pos="4153"/>
        <w:tab w:val="right" w:pos="8306"/>
      </w:tabs>
      <w:snapToGrid w:val="0"/>
      <w:jc w:val="left"/>
    </w:pPr>
    <w:rPr>
      <w:rFonts w:eastAsia="黑体"/>
      <w:snapToGrid w:val="0"/>
      <w:kern w:val="0"/>
      <w:sz w:val="18"/>
      <w:szCs w:val="18"/>
    </w:rPr>
  </w:style>
  <w:style w:type="paragraph" w:styleId="34">
    <w:name w:val="header"/>
    <w:basedOn w:val="1"/>
    <w:link w:val="71"/>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35">
    <w:name w:val="toc 1"/>
    <w:basedOn w:val="1"/>
    <w:next w:val="1"/>
    <w:uiPriority w:val="0"/>
    <w:pPr>
      <w:jc w:val="left"/>
    </w:pPr>
  </w:style>
  <w:style w:type="paragraph" w:styleId="36">
    <w:name w:val="toc 4"/>
    <w:basedOn w:val="1"/>
    <w:next w:val="1"/>
    <w:uiPriority w:val="0"/>
    <w:pPr>
      <w:ind w:left="630"/>
      <w:jc w:val="left"/>
    </w:pPr>
    <w:rPr>
      <w:rFonts w:eastAsia="楷体_GB2312"/>
      <w:i/>
      <w:szCs w:val="18"/>
    </w:rPr>
  </w:style>
  <w:style w:type="paragraph" w:styleId="37">
    <w:name w:val="List"/>
    <w:basedOn w:val="1"/>
    <w:uiPriority w:val="0"/>
    <w:pPr>
      <w:ind w:left="200" w:hanging="200" w:hangingChars="200"/>
    </w:pPr>
    <w:rPr>
      <w:sz w:val="28"/>
    </w:rPr>
  </w:style>
  <w:style w:type="paragraph" w:styleId="38">
    <w:name w:val="footnote text"/>
    <w:basedOn w:val="1"/>
    <w:link w:val="177"/>
    <w:uiPriority w:val="0"/>
    <w:pPr>
      <w:snapToGrid w:val="0"/>
      <w:jc w:val="left"/>
    </w:pPr>
    <w:rPr>
      <w:sz w:val="18"/>
      <w:szCs w:val="18"/>
    </w:rPr>
  </w:style>
  <w:style w:type="paragraph" w:styleId="39">
    <w:name w:val="toc 6"/>
    <w:basedOn w:val="1"/>
    <w:next w:val="1"/>
    <w:uiPriority w:val="0"/>
    <w:pPr>
      <w:ind w:left="1050"/>
      <w:jc w:val="left"/>
    </w:pPr>
    <w:rPr>
      <w:sz w:val="18"/>
      <w:szCs w:val="18"/>
    </w:rPr>
  </w:style>
  <w:style w:type="paragraph" w:styleId="40">
    <w:name w:val="Body Text Indent 3"/>
    <w:basedOn w:val="1"/>
    <w:link w:val="167"/>
    <w:uiPriority w:val="0"/>
    <w:pPr>
      <w:snapToGrid w:val="0"/>
      <w:ind w:firstLine="480" w:firstLineChars="200"/>
      <w:jc w:val="left"/>
    </w:pPr>
    <w:rPr>
      <w:rFonts w:ascii="仿宋_GB2312" w:hAnsi="宋体" w:eastAsia="仿宋_GB2312"/>
      <w:color w:val="000000"/>
      <w:sz w:val="24"/>
    </w:rPr>
  </w:style>
  <w:style w:type="paragraph" w:styleId="41">
    <w:name w:val="table of figures"/>
    <w:basedOn w:val="1"/>
    <w:next w:val="1"/>
    <w:uiPriority w:val="0"/>
    <w:pPr>
      <w:ind w:left="200" w:leftChars="200" w:hanging="200" w:hangingChars="200"/>
    </w:pPr>
  </w:style>
  <w:style w:type="paragraph" w:styleId="42">
    <w:name w:val="toc 2"/>
    <w:basedOn w:val="1"/>
    <w:next w:val="1"/>
    <w:uiPriority w:val="0"/>
    <w:pPr>
      <w:ind w:left="420" w:leftChars="200"/>
    </w:pPr>
  </w:style>
  <w:style w:type="paragraph" w:styleId="43">
    <w:name w:val="toc 9"/>
    <w:basedOn w:val="1"/>
    <w:next w:val="1"/>
    <w:uiPriority w:val="0"/>
    <w:pPr>
      <w:ind w:left="1680"/>
      <w:jc w:val="left"/>
    </w:pPr>
    <w:rPr>
      <w:sz w:val="18"/>
      <w:szCs w:val="18"/>
    </w:rPr>
  </w:style>
  <w:style w:type="paragraph" w:styleId="44">
    <w:name w:val="Body Text 2"/>
    <w:basedOn w:val="1"/>
    <w:link w:val="169"/>
    <w:uiPriority w:val="0"/>
    <w:pPr>
      <w:widowControl/>
      <w:snapToGrid w:val="0"/>
      <w:spacing w:before="50" w:after="156" w:afterLines="50" w:line="400" w:lineRule="exact"/>
      <w:jc w:val="left"/>
    </w:pPr>
    <w:rPr>
      <w:rFonts w:ascii="宋体" w:hAnsi="宋体"/>
      <w:color w:val="000000"/>
      <w:sz w:val="24"/>
    </w:rPr>
  </w:style>
  <w:style w:type="paragraph" w:styleId="45">
    <w:name w:val="HTML Preformatted"/>
    <w:basedOn w:val="1"/>
    <w:link w:val="13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6">
    <w:name w:val="Normal (Web)"/>
    <w:basedOn w:val="1"/>
    <w:uiPriority w:val="0"/>
    <w:pPr>
      <w:jc w:val="left"/>
    </w:pPr>
    <w:rPr>
      <w:kern w:val="0"/>
      <w:sz w:val="24"/>
      <w:szCs w:val="20"/>
    </w:rPr>
  </w:style>
  <w:style w:type="paragraph" w:styleId="47">
    <w:name w:val="index 1"/>
    <w:basedOn w:val="1"/>
    <w:next w:val="1"/>
    <w:uiPriority w:val="0"/>
    <w:pPr>
      <w:spacing w:line="360" w:lineRule="auto"/>
      <w:jc w:val="center"/>
    </w:pPr>
    <w:rPr>
      <w:rFonts w:ascii="宋体" w:hAnsi="宋体"/>
      <w:bCs/>
    </w:rPr>
  </w:style>
  <w:style w:type="paragraph" w:styleId="48">
    <w:name w:val="Title"/>
    <w:basedOn w:val="28"/>
    <w:next w:val="28"/>
    <w:link w:val="132"/>
    <w:qFormat/>
    <w:uiPriority w:val="0"/>
    <w:pPr>
      <w:numPr>
        <w:ilvl w:val="0"/>
        <w:numId w:val="0"/>
      </w:numPr>
      <w:tabs>
        <w:tab w:val="left" w:pos="1200"/>
      </w:tabs>
      <w:spacing w:before="0" w:beforeLines="0" w:after="0" w:afterLines="0" w:line="240" w:lineRule="auto"/>
    </w:pPr>
    <w:rPr>
      <w:rFonts w:ascii="Arial" w:hAnsi="Arial"/>
      <w:b/>
      <w:kern w:val="18"/>
      <w:sz w:val="30"/>
      <w:szCs w:val="20"/>
    </w:rPr>
  </w:style>
  <w:style w:type="paragraph" w:styleId="49">
    <w:name w:val="annotation subject"/>
    <w:basedOn w:val="17"/>
    <w:next w:val="17"/>
    <w:link w:val="136"/>
    <w:uiPriority w:val="0"/>
    <w:rPr>
      <w:b/>
      <w:bCs/>
    </w:rPr>
  </w:style>
  <w:style w:type="paragraph" w:styleId="50">
    <w:name w:val="Body Text First Indent"/>
    <w:basedOn w:val="20"/>
    <w:link w:val="78"/>
    <w:uiPriority w:val="0"/>
    <w:pPr>
      <w:ind w:firstLine="420" w:firstLineChars="100"/>
    </w:pPr>
    <w:rPr>
      <w:sz w:val="21"/>
    </w:rPr>
  </w:style>
  <w:style w:type="paragraph" w:styleId="51">
    <w:name w:val="Body Text First Indent 2"/>
    <w:basedOn w:val="21"/>
    <w:qFormat/>
    <w:uiPriority w:val="0"/>
    <w:pPr>
      <w:widowControl/>
      <w:ind w:firstLine="420" w:firstLineChars="200"/>
      <w:jc w:val="left"/>
    </w:pPr>
    <w:rPr>
      <w:sz w:val="24"/>
    </w:rPr>
  </w:style>
  <w:style w:type="table" w:styleId="53">
    <w:name w:val="Table Grid"/>
    <w:basedOn w:val="52"/>
    <w:qFormat/>
    <w:uiPriority w:val="39"/>
    <w:pPr>
      <w:widowControl w:val="0"/>
      <w:jc w:val="both"/>
    </w:pPr>
    <w:tblPr>
      <w:tblStyle w:val="5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4">
    <w:name w:val="Table Theme"/>
    <w:basedOn w:val="52"/>
    <w:uiPriority w:val="0"/>
    <w:pPr>
      <w:widowControl w:val="0"/>
      <w:jc w:val="both"/>
    </w:pPr>
    <w:tblPr>
      <w:tblStyle w:val="5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5">
    <w:name w:val="Table Elegant"/>
    <w:basedOn w:val="52"/>
    <w:uiPriority w:val="0"/>
    <w:pPr>
      <w:widowControl w:val="0"/>
      <w:jc w:val="both"/>
    </w:pPr>
    <w:tblPr>
      <w:tblStyle w:val="52"/>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52"/>
      </w:tblPr>
      <w:tcPr>
        <w:tcBorders>
          <w:top w:val="nil"/>
          <w:left w:val="nil"/>
          <w:bottom w:val="nil"/>
          <w:right w:val="nil"/>
          <w:insideH w:val="nil"/>
          <w:insideV w:val="nil"/>
          <w:tl2br w:val="nil"/>
          <w:tr2bl w:val="nil"/>
        </w:tcBorders>
      </w:tcPr>
    </w:tblStylePr>
  </w:style>
  <w:style w:type="table" w:styleId="56">
    <w:name w:val="Table Grid 1"/>
    <w:basedOn w:val="52"/>
    <w:uiPriority w:val="0"/>
    <w:pPr>
      <w:widowControl w:val="0"/>
      <w:jc w:val="both"/>
    </w:pPr>
    <w:tblPr>
      <w:tblStyle w:val="52"/>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blStyle w:val="52"/>
      </w:tblPr>
      <w:tcPr>
        <w:tcBorders>
          <w:top w:val="nil"/>
          <w:left w:val="nil"/>
          <w:bottom w:val="nil"/>
          <w:right w:val="nil"/>
          <w:insideH w:val="nil"/>
          <w:insideV w:val="nil"/>
          <w:tl2br w:val="nil"/>
          <w:tr2bl w:val="nil"/>
        </w:tcBorders>
      </w:tcPr>
    </w:tblStylePr>
    <w:tblStylePr w:type="lastCol">
      <w:rPr>
        <w:i/>
        <w:iCs/>
      </w:rPr>
      <w:tblPr>
        <w:tblStyle w:val="52"/>
      </w:tblPr>
      <w:tcPr>
        <w:tcBorders>
          <w:top w:val="nil"/>
          <w:left w:val="nil"/>
          <w:bottom w:val="nil"/>
          <w:right w:val="nil"/>
          <w:insideH w:val="nil"/>
          <w:insideV w:val="nil"/>
          <w:tl2br w:val="nil"/>
          <w:tr2bl w:val="nil"/>
        </w:tcBorders>
      </w:tcPr>
    </w:tblStylePr>
    <w:tblStylePr w:type="nwCell">
      <w:tblPr>
        <w:tblStyle w:val="52"/>
      </w:tblPr>
      <w:tcPr>
        <w:tcBorders>
          <w:top w:val="nil"/>
          <w:left w:val="nil"/>
          <w:bottom w:val="nil"/>
          <w:right w:val="nil"/>
          <w:insideH w:val="nil"/>
          <w:insideV w:val="nil"/>
          <w:tl2br w:val="single" w:color="000000" w:sz="6" w:space="0"/>
          <w:tr2bl w:val="nil"/>
        </w:tcBorders>
      </w:tcPr>
    </w:tblStylePr>
  </w:style>
  <w:style w:type="table" w:styleId="57">
    <w:name w:val="Table Professional"/>
    <w:basedOn w:val="52"/>
    <w:qFormat/>
    <w:uiPriority w:val="99"/>
    <w:pPr>
      <w:widowControl w:val="0"/>
      <w:jc w:val="both"/>
    </w:pPr>
    <w:tblPr>
      <w:tblStyle w:val="52"/>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blStyle w:val="52"/>
      </w:tblPr>
      <w:tcPr>
        <w:tcBorders>
          <w:top w:val="nil"/>
          <w:left w:val="nil"/>
          <w:bottom w:val="nil"/>
          <w:right w:val="nil"/>
          <w:insideH w:val="nil"/>
          <w:insideV w:val="nil"/>
          <w:tl2br w:val="nil"/>
          <w:tr2bl w:val="nil"/>
        </w:tcBorders>
        <w:shd w:val="solid" w:color="000000" w:fill="FFFFFF"/>
      </w:tcPr>
    </w:tblStylePr>
  </w:style>
  <w:style w:type="table" w:styleId="58">
    <w:name w:val="Colorful List Accent 1"/>
    <w:basedOn w:val="52"/>
    <w:unhideWhenUsed/>
    <w:uiPriority w:val="0"/>
    <w:rPr>
      <w:rFonts w:ascii="Calibri" w:hAnsi="Calibri"/>
      <w:kern w:val="2"/>
      <w:sz w:val="21"/>
      <w:szCs w:val="22"/>
    </w:rPr>
    <w:tblPr>
      <w:tblStyle w:val="52"/>
      <w:tblStyleRowBandSize w:val="1"/>
      <w:tblStyleColBandSize w:val="1"/>
    </w:tblPr>
    <w:tcPr>
      <w:shd w:val="clear" w:color="auto" w:fill="EDF2F8"/>
    </w:tcPr>
    <w:tblStylePr w:type="firstRow">
      <w:rPr>
        <w:b/>
        <w:bCs/>
        <w:color w:val="FFFFFF"/>
      </w:rPr>
      <w:tblPr>
        <w:tblStyle w:val="52"/>
      </w:tblPr>
      <w:tcPr>
        <w:tcBorders>
          <w:top w:val="nil"/>
          <w:left w:val="single" w:color="FFFFFF" w:sz="12" w:space="0"/>
          <w:bottom w:val="nil"/>
          <w:right w:val="nil"/>
          <w:insideH w:val="nil"/>
          <w:insideV w:val="nil"/>
          <w:tl2br w:val="nil"/>
          <w:tr2bl w:val="nil"/>
        </w:tcBorders>
        <w:shd w:val="clear" w:color="auto" w:fill="9E3A38"/>
      </w:tcPr>
    </w:tblStylePr>
    <w:tblStylePr w:type="lastRow">
      <w:rPr>
        <w:b/>
        <w:bCs/>
        <w:color w:val="9E3A38"/>
      </w:rPr>
      <w:tblPr>
        <w:tblStyle w:val="52"/>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blStyle w:val="52"/>
      </w:tblPr>
      <w:tcPr>
        <w:tcBorders>
          <w:top w:val="nil"/>
          <w:left w:val="nil"/>
          <w:bottom w:val="nil"/>
          <w:right w:val="nil"/>
          <w:insideH w:val="nil"/>
          <w:insideV w:val="nil"/>
          <w:tl2br w:val="nil"/>
          <w:tr2bl w:val="nil"/>
        </w:tcBorders>
        <w:shd w:val="clear" w:color="auto" w:fill="D3DFEE"/>
      </w:tcPr>
    </w:tblStylePr>
    <w:tblStylePr w:type="band1Horz">
      <w:tblPr>
        <w:tblStyle w:val="52"/>
      </w:tblPr>
      <w:tcPr>
        <w:shd w:val="clear" w:color="auto" w:fill="DBE5F1"/>
      </w:tcPr>
    </w:tblStylePr>
  </w:style>
  <w:style w:type="character" w:styleId="60">
    <w:name w:val="Strong"/>
    <w:qFormat/>
    <w:uiPriority w:val="22"/>
    <w:rPr>
      <w:b/>
    </w:rPr>
  </w:style>
  <w:style w:type="character" w:styleId="61">
    <w:name w:val="page number"/>
    <w:basedOn w:val="59"/>
    <w:uiPriority w:val="0"/>
  </w:style>
  <w:style w:type="character" w:styleId="62">
    <w:name w:val="FollowedHyperlink"/>
    <w:uiPriority w:val="0"/>
    <w:rPr>
      <w:color w:val="800080"/>
      <w:u w:val="single"/>
    </w:rPr>
  </w:style>
  <w:style w:type="character" w:styleId="63">
    <w:name w:val="Emphasis"/>
    <w:qFormat/>
    <w:uiPriority w:val="0"/>
    <w:rPr>
      <w:color w:val="CC0033"/>
    </w:rPr>
  </w:style>
  <w:style w:type="character" w:styleId="64">
    <w:name w:val="Hyperlink"/>
    <w:uiPriority w:val="0"/>
    <w:rPr>
      <w:color w:val="0000FF"/>
      <w:u w:val="single"/>
    </w:rPr>
  </w:style>
  <w:style w:type="character" w:styleId="65">
    <w:name w:val="annotation reference"/>
    <w:uiPriority w:val="0"/>
    <w:rPr>
      <w:sz w:val="21"/>
      <w:szCs w:val="21"/>
    </w:rPr>
  </w:style>
  <w:style w:type="character" w:styleId="66">
    <w:name w:val="footnote reference"/>
    <w:uiPriority w:val="0"/>
    <w:rPr>
      <w:vertAlign w:val="superscript"/>
    </w:rPr>
  </w:style>
  <w:style w:type="character" w:customStyle="1" w:styleId="67">
    <w:name w:val="Style 小四"/>
    <w:uiPriority w:val="0"/>
    <w:rPr>
      <w:rFonts w:eastAsia="宋体"/>
      <w:sz w:val="24"/>
    </w:rPr>
  </w:style>
  <w:style w:type="character" w:customStyle="1" w:styleId="68">
    <w:name w:val="正文缩进 Char"/>
    <w:link w:val="14"/>
    <w:uiPriority w:val="0"/>
    <w:rPr>
      <w:rFonts w:eastAsia="宋体"/>
      <w:kern w:val="2"/>
      <w:sz w:val="21"/>
      <w:lang w:val="en-US" w:eastAsia="zh-CN" w:bidi="ar-SA"/>
    </w:rPr>
  </w:style>
  <w:style w:type="character" w:customStyle="1" w:styleId="69">
    <w:name w:val="标题 3 字符"/>
    <w:semiHidden/>
    <w:uiPriority w:val="9"/>
    <w:rPr>
      <w:b/>
      <w:bCs/>
      <w:sz w:val="32"/>
      <w:szCs w:val="32"/>
    </w:rPr>
  </w:style>
  <w:style w:type="character" w:customStyle="1" w:styleId="70">
    <w:name w:val="标题 2 字符1"/>
    <w:uiPriority w:val="0"/>
    <w:rPr>
      <w:rFonts w:ascii="Arial" w:hAnsi="Arial" w:eastAsia="微软雅黑" w:cs="Times New Roman"/>
      <w:b/>
      <w:bCs/>
      <w:sz w:val="30"/>
      <w:szCs w:val="32"/>
    </w:rPr>
  </w:style>
  <w:style w:type="character" w:customStyle="1" w:styleId="71">
    <w:name w:val="页眉 Char"/>
    <w:link w:val="34"/>
    <w:locked/>
    <w:uiPriority w:val="99"/>
    <w:rPr>
      <w:rFonts w:eastAsia="仿宋_GB2312"/>
      <w:kern w:val="2"/>
      <w:sz w:val="18"/>
      <w:lang w:val="en-US" w:eastAsia="zh-CN" w:bidi="ar-SA"/>
    </w:rPr>
  </w:style>
  <w:style w:type="character" w:customStyle="1" w:styleId="72">
    <w:name w:val="small"/>
    <w:uiPriority w:val="0"/>
  </w:style>
  <w:style w:type="character" w:customStyle="1" w:styleId="73">
    <w:name w:val="unnamed11"/>
    <w:qFormat/>
    <w:uiPriority w:val="0"/>
    <w:rPr>
      <w:sz w:val="26"/>
    </w:rPr>
  </w:style>
  <w:style w:type="character" w:customStyle="1" w:styleId="74">
    <w:name w:val="正文文本 3 Char"/>
    <w:link w:val="19"/>
    <w:semiHidden/>
    <w:locked/>
    <w:uiPriority w:val="0"/>
    <w:rPr>
      <w:rFonts w:hAnsi="宋体" w:eastAsia="仿宋_GB2312"/>
      <w:b/>
      <w:bCs/>
      <w:kern w:val="2"/>
      <w:sz w:val="24"/>
      <w:lang w:val="en-US" w:eastAsia="zh-CN" w:bidi="ar-SA"/>
    </w:rPr>
  </w:style>
  <w:style w:type="character" w:customStyle="1" w:styleId="75">
    <w:name w:val="标题 1 Char"/>
    <w:link w:val="3"/>
    <w:locked/>
    <w:uiPriority w:val="0"/>
    <w:rPr>
      <w:rFonts w:ascii="Calibri" w:hAnsi="Calibri" w:eastAsia="宋体"/>
      <w:b/>
      <w:bCs/>
      <w:kern w:val="44"/>
      <w:sz w:val="32"/>
      <w:szCs w:val="44"/>
      <w:lang w:val="en-US" w:eastAsia="zh-CN" w:bidi="ar-SA"/>
    </w:rPr>
  </w:style>
  <w:style w:type="character" w:customStyle="1" w:styleId="76">
    <w:name w:val="正文文本缩进 2 Char"/>
    <w:link w:val="31"/>
    <w:uiPriority w:val="0"/>
    <w:rPr>
      <w:rFonts w:ascii="仿宋_GB2312" w:hAnsi="宋体" w:eastAsia="宋体" w:cs="Arial"/>
      <w:b/>
      <w:bCs/>
      <w:color w:val="000000"/>
      <w:kern w:val="2"/>
      <w:sz w:val="24"/>
      <w:szCs w:val="24"/>
      <w:lang w:val="en-US" w:eastAsia="zh-CN" w:bidi="ar-SA"/>
    </w:rPr>
  </w:style>
  <w:style w:type="character" w:customStyle="1" w:styleId="77">
    <w:name w:val="text-content11"/>
    <w:uiPriority w:val="0"/>
    <w:rPr>
      <w:rFonts w:hint="default" w:ascii="Tahoma" w:hAnsi="Tahoma" w:cs="Tahoma"/>
      <w:color w:val="555555"/>
      <w:sz w:val="18"/>
      <w:szCs w:val="18"/>
    </w:rPr>
  </w:style>
  <w:style w:type="character" w:customStyle="1" w:styleId="78">
    <w:name w:val="正文首行缩进 Char"/>
    <w:link w:val="50"/>
    <w:uiPriority w:val="0"/>
    <w:rPr>
      <w:rFonts w:eastAsia="宋体"/>
      <w:kern w:val="2"/>
      <w:sz w:val="21"/>
      <w:szCs w:val="24"/>
      <w:lang w:val="en-US" w:eastAsia="zh-CN" w:bidi="ar-SA"/>
    </w:rPr>
  </w:style>
  <w:style w:type="character" w:customStyle="1" w:styleId="79">
    <w:name w:val=" Char Char5"/>
    <w:uiPriority w:val="0"/>
    <w:rPr>
      <w:rFonts w:ascii="宋体" w:hAnsi="宋体" w:cs="Times New Roman"/>
      <w:kern w:val="2"/>
      <w:sz w:val="36"/>
      <w:szCs w:val="24"/>
    </w:rPr>
  </w:style>
  <w:style w:type="character" w:customStyle="1" w:styleId="80">
    <w:name w:val="标题 6 Char"/>
    <w:link w:val="8"/>
    <w:uiPriority w:val="0"/>
    <w:rPr>
      <w:rFonts w:eastAsia="宋体"/>
      <w:i/>
      <w:iCs/>
      <w:kern w:val="2"/>
      <w:sz w:val="22"/>
      <w:lang w:val="en-US" w:eastAsia="zh-CN" w:bidi="ar-SA"/>
    </w:rPr>
  </w:style>
  <w:style w:type="character" w:customStyle="1" w:styleId="81">
    <w:name w:val="tel17"/>
    <w:basedOn w:val="59"/>
    <w:uiPriority w:val="0"/>
  </w:style>
  <w:style w:type="character" w:customStyle="1" w:styleId="82">
    <w:name w:val="font3"/>
    <w:uiPriority w:val="0"/>
  </w:style>
  <w:style w:type="character" w:customStyle="1" w:styleId="83">
    <w:name w:val="批注框文本 Char"/>
    <w:link w:val="32"/>
    <w:semiHidden/>
    <w:locked/>
    <w:uiPriority w:val="99"/>
    <w:rPr>
      <w:rFonts w:ascii="Calibri" w:hAnsi="Calibri" w:eastAsia="宋体"/>
      <w:kern w:val="2"/>
      <w:sz w:val="18"/>
      <w:szCs w:val="18"/>
      <w:lang w:val="en-US" w:eastAsia="zh-CN" w:bidi="ar-SA"/>
    </w:rPr>
  </w:style>
  <w:style w:type="character" w:customStyle="1" w:styleId="84">
    <w:name w:val="列出段落 Char"/>
    <w:aliases w:val="编号 Char,列出段落3 Char"/>
    <w:link w:val="85"/>
    <w:uiPriority w:val="0"/>
    <w:rPr>
      <w:rFonts w:eastAsia="宋体"/>
      <w:kern w:val="2"/>
      <w:sz w:val="21"/>
      <w:szCs w:val="24"/>
      <w:lang w:val="en-US" w:eastAsia="zh-CN" w:bidi="ar-SA"/>
    </w:rPr>
  </w:style>
  <w:style w:type="paragraph" w:customStyle="1" w:styleId="85">
    <w:name w:val="列出段落3"/>
    <w:basedOn w:val="1"/>
    <w:link w:val="84"/>
    <w:qFormat/>
    <w:uiPriority w:val="0"/>
    <w:pPr>
      <w:ind w:firstLine="420" w:firstLineChars="200"/>
    </w:pPr>
  </w:style>
  <w:style w:type="character" w:customStyle="1" w:styleId="86">
    <w:name w:val="标题 4 Char"/>
    <w:link w:val="6"/>
    <w:uiPriority w:val="0"/>
    <w:rPr>
      <w:rFonts w:ascii="Arial" w:hAnsi="Arial" w:eastAsia="黑体"/>
      <w:b/>
      <w:bCs/>
      <w:kern w:val="2"/>
      <w:sz w:val="28"/>
      <w:szCs w:val="28"/>
      <w:lang w:val="en-US" w:eastAsia="zh-CN" w:bidi="ar-SA"/>
    </w:rPr>
  </w:style>
  <w:style w:type="character" w:customStyle="1" w:styleId="87">
    <w:name w:val="b11_01b Char Char"/>
    <w:uiPriority w:val="0"/>
    <w:rPr>
      <w:rFonts w:ascii="Verdana" w:hAnsi="Verdana" w:eastAsia="宋体"/>
      <w:b/>
      <w:bCs/>
      <w:color w:val="4A82CA"/>
      <w:sz w:val="17"/>
      <w:szCs w:val="17"/>
      <w:lang w:val="en-US" w:eastAsia="zh-CN" w:bidi="ar-SA"/>
    </w:rPr>
  </w:style>
  <w:style w:type="character" w:customStyle="1" w:styleId="88">
    <w:name w:val="font131"/>
    <w:uiPriority w:val="0"/>
    <w:rPr>
      <w:rFonts w:ascii="font-weight : 700" w:hAnsi="font-weight : 700" w:eastAsia="font-weight : 700" w:cs="font-weight : 700"/>
      <w:color w:val="000000"/>
      <w:sz w:val="20"/>
      <w:szCs w:val="20"/>
      <w:u w:val="none"/>
    </w:rPr>
  </w:style>
  <w:style w:type="character" w:customStyle="1" w:styleId="89">
    <w:name w:val="标准文本 Char"/>
    <w:link w:val="90"/>
    <w:locked/>
    <w:uiPriority w:val="0"/>
    <w:rPr>
      <w:rFonts w:ascii="宋体" w:hAnsi="宋体"/>
      <w:color w:val="000000"/>
      <w:szCs w:val="21"/>
      <w:lang w:bidi="ar-SA"/>
    </w:rPr>
  </w:style>
  <w:style w:type="paragraph" w:customStyle="1" w:styleId="90">
    <w:name w:val="标准文本"/>
    <w:basedOn w:val="1"/>
    <w:link w:val="89"/>
    <w:uiPriority w:val="0"/>
    <w:pPr>
      <w:tabs>
        <w:tab w:val="left" w:pos="3060"/>
        <w:tab w:val="left" w:pos="6048"/>
        <w:tab w:val="left" w:pos="7668"/>
      </w:tabs>
      <w:spacing w:line="312" w:lineRule="auto"/>
      <w:ind w:firstLine="420" w:firstLineChars="200"/>
    </w:pPr>
    <w:rPr>
      <w:rFonts w:ascii="宋体" w:hAnsi="宋体"/>
      <w:color w:val="000000"/>
      <w:kern w:val="0"/>
      <w:sz w:val="20"/>
      <w:szCs w:val="21"/>
    </w:rPr>
  </w:style>
  <w:style w:type="character" w:customStyle="1" w:styleId="91">
    <w:name w:val=" Char Char8"/>
    <w:uiPriority w:val="0"/>
    <w:rPr>
      <w:rFonts w:ascii="Times New Roman" w:hAnsi="Times New Roman" w:cs="Times New Roman"/>
      <w:kern w:val="2"/>
      <w:sz w:val="18"/>
      <w:szCs w:val="18"/>
    </w:rPr>
  </w:style>
  <w:style w:type="character" w:customStyle="1" w:styleId="92">
    <w:name w:val="ca-51"/>
    <w:uiPriority w:val="0"/>
    <w:rPr>
      <w:rFonts w:hint="eastAsia" w:ascii="宋体" w:hAnsi="宋体" w:eastAsia="宋体"/>
      <w:color w:val="000000"/>
      <w:sz w:val="24"/>
      <w:szCs w:val="24"/>
    </w:rPr>
  </w:style>
  <w:style w:type="character" w:customStyle="1" w:styleId="93">
    <w:name w:val="标题 2 字符"/>
    <w:semiHidden/>
    <w:uiPriority w:val="9"/>
    <w:rPr>
      <w:rFonts w:ascii="等线 Light" w:hAnsi="等线 Light" w:eastAsia="等线 Light" w:cs="Times New Roman"/>
      <w:b/>
      <w:bCs/>
      <w:sz w:val="32"/>
      <w:szCs w:val="32"/>
    </w:rPr>
  </w:style>
  <w:style w:type="character" w:customStyle="1" w:styleId="94">
    <w:name w:val="页脚 字符1"/>
    <w:uiPriority w:val="0"/>
    <w:rPr>
      <w:rFonts w:ascii="Times New Roman" w:hAnsi="Times New Roman" w:eastAsia="黑体" w:cs="Times New Roman"/>
      <w:snapToGrid w:val="0"/>
      <w:sz w:val="18"/>
      <w:szCs w:val="18"/>
      <w:lang w:val="en-US" w:eastAsia="zh-CN" w:bidi="ar-SA"/>
    </w:rPr>
  </w:style>
  <w:style w:type="character" w:customStyle="1" w:styleId="95">
    <w:name w:val="标题 4 Char1"/>
    <w:uiPriority w:val="0"/>
    <w:rPr>
      <w:rFonts w:ascii="Arial" w:hAnsi="Arial" w:eastAsia="黑体"/>
      <w:b/>
      <w:kern w:val="2"/>
      <w:sz w:val="28"/>
      <w:lang w:val="en-US" w:eastAsia="zh-CN"/>
    </w:rPr>
  </w:style>
  <w:style w:type="character" w:customStyle="1" w:styleId="96">
    <w:name w:val="H1 Char"/>
    <w:aliases w:val="PIM 1 Char,Heading 0 Char,Section Head Char,h1 Char,1st level Char,l1 Char,1 Char,H11 Char,H12 Char,H13 Char,H14 Char,H15 Char,H16 Char,H17 Char,Head 1 Char,Head 11 Char,Head 12 Char,Head 111 Char,Head 13 Char,Head 112 Char,Head 14 Char"/>
    <w:uiPriority w:val="0"/>
    <w:rPr>
      <w:rFonts w:cs="Times New Roman"/>
      <w:b/>
      <w:bCs/>
      <w:kern w:val="44"/>
      <w:sz w:val="44"/>
      <w:szCs w:val="44"/>
    </w:rPr>
  </w:style>
  <w:style w:type="character" w:customStyle="1" w:styleId="97">
    <w:name w:val="para1"/>
    <w:uiPriority w:val="0"/>
    <w:rPr>
      <w:rFonts w:hint="default" w:ascii="Arial" w:hAnsi="Arial"/>
      <w:sz w:val="18"/>
    </w:rPr>
  </w:style>
  <w:style w:type="character" w:customStyle="1" w:styleId="98">
    <w:name w:val="GP正文(首行缩进) Char Char"/>
    <w:link w:val="99"/>
    <w:locked/>
    <w:uiPriority w:val="0"/>
    <w:rPr>
      <w:rFonts w:hAnsi="宋体" w:eastAsia="微软雅黑"/>
      <w:sz w:val="24"/>
      <w:szCs w:val="24"/>
    </w:rPr>
  </w:style>
  <w:style w:type="paragraph" w:customStyle="1" w:styleId="99">
    <w:name w:val="GP正文(首行缩进)"/>
    <w:basedOn w:val="1"/>
    <w:link w:val="98"/>
    <w:qFormat/>
    <w:uiPriority w:val="0"/>
    <w:pPr>
      <w:spacing w:line="360" w:lineRule="auto"/>
      <w:ind w:firstLine="480" w:firstLineChars="200"/>
      <w:jc w:val="left"/>
    </w:pPr>
    <w:rPr>
      <w:rFonts w:hAnsi="宋体" w:eastAsia="微软雅黑"/>
      <w:kern w:val="0"/>
      <w:sz w:val="24"/>
    </w:rPr>
  </w:style>
  <w:style w:type="character" w:customStyle="1" w:styleId="100">
    <w:name w:val="正文2 Char"/>
    <w:link w:val="101"/>
    <w:uiPriority w:val="0"/>
    <w:rPr>
      <w:kern w:val="2"/>
      <w:sz w:val="24"/>
      <w:lang w:bidi="ar-SA"/>
    </w:rPr>
  </w:style>
  <w:style w:type="paragraph" w:customStyle="1" w:styleId="101">
    <w:name w:val="正文2"/>
    <w:basedOn w:val="1"/>
    <w:link w:val="100"/>
    <w:qFormat/>
    <w:uiPriority w:val="0"/>
    <w:pPr>
      <w:spacing w:before="156" w:line="360" w:lineRule="auto"/>
      <w:ind w:firstLine="510" w:firstLineChars="200"/>
    </w:pPr>
    <w:rPr>
      <w:sz w:val="24"/>
      <w:szCs w:val="20"/>
    </w:rPr>
  </w:style>
  <w:style w:type="character" w:customStyle="1" w:styleId="102">
    <w:name w:val="无间隔 Char"/>
    <w:link w:val="103"/>
    <w:uiPriority w:val="0"/>
    <w:rPr>
      <w:rFonts w:ascii="Calibri" w:hAnsi="Calibri"/>
      <w:sz w:val="22"/>
      <w:szCs w:val="22"/>
      <w:lang w:val="en-US" w:eastAsia="zh-CN" w:bidi="ar-SA"/>
    </w:rPr>
  </w:style>
  <w:style w:type="paragraph" w:styleId="103">
    <w:name w:val="No Spacing"/>
    <w:link w:val="102"/>
    <w:qFormat/>
    <w:uiPriority w:val="0"/>
    <w:rPr>
      <w:rFonts w:ascii="Calibri" w:hAnsi="Calibri"/>
      <w:sz w:val="22"/>
      <w:szCs w:val="22"/>
      <w:lang w:val="en-US" w:eastAsia="zh-CN" w:bidi="ar-SA"/>
    </w:rPr>
  </w:style>
  <w:style w:type="character" w:customStyle="1" w:styleId="104">
    <w:name w:val="标题 2 Char1"/>
    <w:locked/>
    <w:uiPriority w:val="0"/>
    <w:rPr>
      <w:rFonts w:ascii="Arial" w:hAnsi="Arial" w:eastAsia="黑体" w:cs="Times New Roman"/>
      <w:b/>
      <w:bCs/>
      <w:sz w:val="32"/>
      <w:szCs w:val="32"/>
    </w:rPr>
  </w:style>
  <w:style w:type="character" w:customStyle="1" w:styleId="105">
    <w:name w:val="正文文本 Char"/>
    <w:link w:val="20"/>
    <w:uiPriority w:val="0"/>
    <w:rPr>
      <w:rFonts w:eastAsia="宋体"/>
      <w:kern w:val="2"/>
      <w:sz w:val="28"/>
      <w:szCs w:val="24"/>
      <w:lang w:val="en-US" w:eastAsia="zh-CN" w:bidi="ar-SA"/>
    </w:rPr>
  </w:style>
  <w:style w:type="character" w:customStyle="1" w:styleId="106">
    <w:name w:val="正文文本缩进 Char"/>
    <w:link w:val="21"/>
    <w:qFormat/>
    <w:locked/>
    <w:uiPriority w:val="0"/>
    <w:rPr>
      <w:rFonts w:ascii="宋体" w:hAnsi="Courier New" w:eastAsia="宋体"/>
      <w:spacing w:val="-4"/>
      <w:kern w:val="2"/>
      <w:sz w:val="18"/>
      <w:lang w:val="en-US" w:eastAsia="zh-CN" w:bidi="ar-SA"/>
    </w:rPr>
  </w:style>
  <w:style w:type="character" w:customStyle="1" w:styleId="107">
    <w:name w:val="Body Text Indent 3 Char"/>
    <w:locked/>
    <w:uiPriority w:val="0"/>
    <w:rPr>
      <w:rFonts w:ascii="仿宋_GB2312" w:hAnsi="Times New Roman" w:eastAsia="仿宋_GB2312" w:cs="Times New Roman"/>
      <w:kern w:val="0"/>
      <w:sz w:val="20"/>
      <w:szCs w:val="20"/>
    </w:rPr>
  </w:style>
  <w:style w:type="character" w:customStyle="1" w:styleId="108">
    <w:name w:val="font21"/>
    <w:uiPriority w:val="0"/>
    <w:rPr>
      <w:rFonts w:hint="eastAsia" w:ascii="宋体" w:hAnsi="宋体" w:eastAsia="宋体"/>
      <w:color w:val="000000"/>
      <w:sz w:val="20"/>
      <w:szCs w:val="20"/>
      <w:u w:val="none"/>
    </w:rPr>
  </w:style>
  <w:style w:type="character" w:customStyle="1" w:styleId="109">
    <w:name w:val=" Char Char12"/>
    <w:locked/>
    <w:uiPriority w:val="0"/>
    <w:rPr>
      <w:rFonts w:cs="Times New Roman"/>
      <w:sz w:val="18"/>
      <w:szCs w:val="18"/>
    </w:rPr>
  </w:style>
  <w:style w:type="character" w:customStyle="1" w:styleId="110">
    <w:name w:val="ca-81"/>
    <w:uiPriority w:val="0"/>
    <w:rPr>
      <w:rFonts w:hint="eastAsia" w:ascii="仿宋体" w:eastAsia="仿宋体"/>
      <w:i/>
      <w:iCs/>
      <w:sz w:val="21"/>
      <w:szCs w:val="21"/>
    </w:rPr>
  </w:style>
  <w:style w:type="character" w:customStyle="1" w:styleId="111">
    <w:name w:val="标题 3 Char1"/>
    <w:aliases w:val="Heading 3 - old Char1,Heading 3 - old Char Char,标题 3 Char Char,小标题 Char,level_3 Char,PIM 3 Char,H3 Char,Level 3 Head Char,章标题1 Char,第二层条 Char,h3 Char,sect1.2.3 Char,Bold Head Char,bh Char,l3 Char,CT Char,prop3 Char,3 Char,3heading Char"/>
    <w:uiPriority w:val="0"/>
    <w:rPr>
      <w:rFonts w:ascii="宋体" w:hAnsi="宋体" w:eastAsia="黑体"/>
      <w:kern w:val="2"/>
      <w:sz w:val="28"/>
      <w:szCs w:val="32"/>
      <w:lang w:val="en-US" w:eastAsia="zh-CN" w:bidi="ar-SA"/>
    </w:rPr>
  </w:style>
  <w:style w:type="character" w:customStyle="1" w:styleId="112">
    <w:name w:val="文档结构图 Char"/>
    <w:link w:val="16"/>
    <w:uiPriority w:val="99"/>
    <w:rPr>
      <w:rFonts w:ascii="Calibri" w:hAnsi="Calibri" w:eastAsia="宋体"/>
      <w:kern w:val="2"/>
      <w:sz w:val="21"/>
      <w:szCs w:val="22"/>
      <w:lang w:bidi="ar-SA"/>
    </w:rPr>
  </w:style>
  <w:style w:type="character" w:customStyle="1" w:styleId="113">
    <w:name w:val="标题 3 Char"/>
    <w:link w:val="5"/>
    <w:uiPriority w:val="9"/>
    <w:rPr>
      <w:rFonts w:eastAsia="宋体"/>
      <w:b/>
      <w:bCs/>
      <w:kern w:val="2"/>
      <w:sz w:val="21"/>
      <w:szCs w:val="32"/>
      <w:lang w:val="en-US" w:eastAsia="zh-CN" w:bidi="ar-SA"/>
    </w:rPr>
  </w:style>
  <w:style w:type="character" w:customStyle="1" w:styleId="114">
    <w:name w:val="ca-41"/>
    <w:uiPriority w:val="0"/>
    <w:rPr>
      <w:rFonts w:hint="default" w:ascii="Times New Roman" w:hAnsi="Times New Roman" w:cs="Times New Roman"/>
      <w:sz w:val="21"/>
      <w:szCs w:val="21"/>
    </w:rPr>
  </w:style>
  <w:style w:type="character" w:customStyle="1" w:styleId="115">
    <w:name w:val=" Char Char7"/>
    <w:uiPriority w:val="0"/>
    <w:rPr>
      <w:rFonts w:ascii="Times New Roman" w:hAnsi="Times New Roman" w:cs="Times New Roman"/>
      <w:kern w:val="2"/>
      <w:sz w:val="16"/>
      <w:szCs w:val="16"/>
    </w:rPr>
  </w:style>
  <w:style w:type="character" w:customStyle="1" w:styleId="116">
    <w:name w:val="页脚 Char"/>
    <w:link w:val="33"/>
    <w:qFormat/>
    <w:uiPriority w:val="99"/>
    <w:rPr>
      <w:rFonts w:eastAsia="黑体"/>
      <w:snapToGrid w:val="0"/>
      <w:sz w:val="18"/>
      <w:szCs w:val="18"/>
      <w:lang w:val="en-US" w:eastAsia="zh-CN" w:bidi="ar-SA"/>
    </w:rPr>
  </w:style>
  <w:style w:type="character" w:customStyle="1" w:styleId="117">
    <w:name w:val="so-ask-best"/>
    <w:basedOn w:val="59"/>
    <w:uiPriority w:val="0"/>
  </w:style>
  <w:style w:type="character" w:customStyle="1" w:styleId="118">
    <w:name w:val="页眉 字符"/>
    <w:uiPriority w:val="99"/>
    <w:rPr>
      <w:sz w:val="18"/>
      <w:szCs w:val="18"/>
    </w:rPr>
  </w:style>
  <w:style w:type="character" w:customStyle="1" w:styleId="119">
    <w:name w:val="font101"/>
    <w:uiPriority w:val="0"/>
    <w:rPr>
      <w:rFonts w:ascii="Wingdings 2" w:hAnsi="Wingdings 2" w:eastAsia="Wingdings 2" w:cs="Wingdings 2"/>
      <w:color w:val="000000"/>
      <w:sz w:val="20"/>
      <w:szCs w:val="20"/>
      <w:u w:val="none"/>
    </w:rPr>
  </w:style>
  <w:style w:type="character" w:customStyle="1" w:styleId="120">
    <w:name w:val="font01"/>
    <w:uiPriority w:val="0"/>
    <w:rPr>
      <w:rFonts w:hint="default" w:ascii="Verdana" w:hAnsi="Verdana"/>
      <w:color w:val="000000"/>
      <w:sz w:val="20"/>
      <w:szCs w:val="20"/>
      <w:u w:val="none"/>
    </w:rPr>
  </w:style>
  <w:style w:type="character" w:customStyle="1" w:styleId="121">
    <w:name w:val="style61"/>
    <w:uiPriority w:val="0"/>
    <w:rPr>
      <w:b/>
      <w:bCs/>
      <w:color w:val="999999"/>
    </w:rPr>
  </w:style>
  <w:style w:type="character" w:customStyle="1" w:styleId="122">
    <w:name w:val="apple-style-span"/>
    <w:basedOn w:val="59"/>
    <w:uiPriority w:val="0"/>
  </w:style>
  <w:style w:type="character" w:customStyle="1" w:styleId="123">
    <w:name w:val="引文目录标题 Char"/>
    <w:uiPriority w:val="0"/>
    <w:rPr>
      <w:rFonts w:ascii="Arial" w:hAnsi="Arial" w:eastAsia="宋体"/>
      <w:kern w:val="2"/>
      <w:sz w:val="24"/>
      <w:lang w:val="en-US" w:eastAsia="zh-CN"/>
    </w:rPr>
  </w:style>
  <w:style w:type="character" w:customStyle="1" w:styleId="124">
    <w:name w:val="标题 1 字符"/>
    <w:uiPriority w:val="0"/>
    <w:rPr>
      <w:rFonts w:ascii="Times New Roman" w:hAnsi="Times New Roman" w:eastAsia="微软雅黑" w:cs="Times New Roman"/>
      <w:b/>
      <w:bCs/>
      <w:kern w:val="44"/>
      <w:sz w:val="32"/>
      <w:szCs w:val="44"/>
    </w:rPr>
  </w:style>
  <w:style w:type="character" w:customStyle="1" w:styleId="125">
    <w:name w:val="正文缩进 Char Char Char Char Char Char Char Char Char Char Char Char Char Char Char Char Char Char"/>
    <w:aliases w:val="表正文 Char Char Char Char Char Char Char Char Char Char Char Char,±íÕýÎÄ Char,±í Char,ÕýÎÄ·ÇËõ½ø Char,±í?y?? Char,?y???ÕýÎÄ Char"/>
    <w:uiPriority w:val="0"/>
    <w:rPr>
      <w:kern w:val="2"/>
      <w:sz w:val="21"/>
      <w:szCs w:val="24"/>
    </w:rPr>
  </w:style>
  <w:style w:type="character" w:customStyle="1" w:styleId="126">
    <w:name w:val="marklong"/>
    <w:uiPriority w:val="0"/>
  </w:style>
  <w:style w:type="character" w:customStyle="1" w:styleId="127">
    <w:name w:val="批注文字 Char"/>
    <w:link w:val="17"/>
    <w:uiPriority w:val="0"/>
    <w:rPr>
      <w:rFonts w:eastAsia="宋体"/>
      <w:kern w:val="2"/>
      <w:sz w:val="21"/>
      <w:szCs w:val="24"/>
      <w:lang w:val="en-US" w:eastAsia="zh-CN" w:bidi="ar-SA"/>
    </w:rPr>
  </w:style>
  <w:style w:type="character" w:customStyle="1" w:styleId="128">
    <w:name w:val="标题 5 Char"/>
    <w:link w:val="7"/>
    <w:uiPriority w:val="9"/>
    <w:rPr>
      <w:rFonts w:eastAsia="宋体"/>
      <w:b/>
      <w:bCs/>
      <w:kern w:val="2"/>
      <w:sz w:val="28"/>
      <w:szCs w:val="28"/>
      <w:lang w:val="en-US" w:eastAsia="zh-CN" w:bidi="ar-SA"/>
    </w:rPr>
  </w:style>
  <w:style w:type="character" w:customStyle="1" w:styleId="129">
    <w:name w:val="日期 Char"/>
    <w:link w:val="30"/>
    <w:uiPriority w:val="0"/>
    <w:rPr>
      <w:rFonts w:eastAsia="楷体_GB2312"/>
      <w:kern w:val="2"/>
      <w:sz w:val="32"/>
      <w:lang w:val="en-US" w:eastAsia="zh-CN" w:bidi="ar-SA"/>
    </w:rPr>
  </w:style>
  <w:style w:type="character" w:customStyle="1" w:styleId="130">
    <w:name w:val="HTML 预设格式 Char"/>
    <w:link w:val="45"/>
    <w:qFormat/>
    <w:uiPriority w:val="99"/>
    <w:rPr>
      <w:rFonts w:ascii="宋体" w:hAnsi="宋体" w:cs="宋体"/>
      <w:sz w:val="24"/>
      <w:szCs w:val="24"/>
    </w:rPr>
  </w:style>
  <w:style w:type="character" w:customStyle="1" w:styleId="131">
    <w:name w:val="param-name1"/>
    <w:uiPriority w:val="0"/>
    <w:rPr>
      <w:b/>
    </w:rPr>
  </w:style>
  <w:style w:type="character" w:customStyle="1" w:styleId="132">
    <w:name w:val="标题 Char"/>
    <w:link w:val="48"/>
    <w:qFormat/>
    <w:uiPriority w:val="0"/>
    <w:rPr>
      <w:rFonts w:ascii="Arial" w:hAnsi="Arial"/>
      <w:b/>
      <w:kern w:val="18"/>
      <w:sz w:val="30"/>
    </w:rPr>
  </w:style>
  <w:style w:type="character" w:customStyle="1" w:styleId="133">
    <w:name w:val="ca-21"/>
    <w:uiPriority w:val="0"/>
    <w:rPr>
      <w:rFonts w:hint="eastAsia" w:ascii="仿宋体" w:eastAsia="仿宋体"/>
      <w:sz w:val="21"/>
      <w:szCs w:val="21"/>
    </w:rPr>
  </w:style>
  <w:style w:type="character" w:customStyle="1" w:styleId="134">
    <w:name w:val="a-标题3 Char"/>
    <w:uiPriority w:val="0"/>
    <w:rPr>
      <w:rFonts w:ascii="楷体_GB2312" w:eastAsia="楷体_GB2312"/>
      <w:b/>
      <w:bCs/>
      <w:kern w:val="2"/>
      <w:sz w:val="28"/>
      <w:lang w:val="en-US" w:eastAsia="zh-CN" w:bidi="ar-SA"/>
    </w:rPr>
  </w:style>
  <w:style w:type="character" w:customStyle="1" w:styleId="135">
    <w:name w:val="标题 2 Char"/>
    <w:link w:val="4"/>
    <w:uiPriority w:val="0"/>
    <w:rPr>
      <w:rFonts w:ascii="Arial" w:hAnsi="Arial" w:eastAsia="黑体"/>
      <w:b/>
      <w:bCs/>
      <w:kern w:val="2"/>
      <w:sz w:val="32"/>
      <w:szCs w:val="32"/>
      <w:lang w:val="en-US" w:eastAsia="zh-CN" w:bidi="ar-SA"/>
    </w:rPr>
  </w:style>
  <w:style w:type="character" w:customStyle="1" w:styleId="136">
    <w:name w:val="批注主题 Char"/>
    <w:link w:val="49"/>
    <w:uiPriority w:val="0"/>
    <w:rPr>
      <w:rFonts w:eastAsia="宋体"/>
      <w:b/>
      <w:bCs/>
      <w:kern w:val="2"/>
      <w:sz w:val="21"/>
      <w:szCs w:val="24"/>
      <w:lang w:val="en-US" w:eastAsia="zh-CN" w:bidi="ar-SA"/>
    </w:rPr>
  </w:style>
  <w:style w:type="character" w:customStyle="1" w:styleId="137">
    <w:name w:val="页脚 字符"/>
    <w:uiPriority w:val="99"/>
    <w:rPr>
      <w:sz w:val="18"/>
      <w:szCs w:val="18"/>
    </w:rPr>
  </w:style>
  <w:style w:type="character" w:customStyle="1" w:styleId="138">
    <w:name w:val="font31"/>
    <w:uiPriority w:val="0"/>
    <w:rPr>
      <w:rFonts w:hint="eastAsia" w:ascii="仿宋" w:hAnsi="仿宋" w:eastAsia="仿宋" w:cs="仿宋"/>
      <w:color w:val="000000"/>
      <w:sz w:val="24"/>
      <w:szCs w:val="24"/>
      <w:u w:val="none"/>
    </w:rPr>
  </w:style>
  <w:style w:type="character" w:customStyle="1" w:styleId="139">
    <w:name w:val="c11"/>
    <w:uiPriority w:val="0"/>
    <w:rPr>
      <w:color w:val="999999"/>
    </w:rPr>
  </w:style>
  <w:style w:type="character" w:customStyle="1" w:styleId="140">
    <w:name w:val="正文文本样式 Char Char"/>
    <w:link w:val="141"/>
    <w:uiPriority w:val="0"/>
    <w:rPr>
      <w:sz w:val="24"/>
      <w:lang w:bidi="ar-SA"/>
    </w:rPr>
  </w:style>
  <w:style w:type="paragraph" w:customStyle="1" w:styleId="141">
    <w:name w:val="正文文本样式"/>
    <w:basedOn w:val="1"/>
    <w:link w:val="140"/>
    <w:uiPriority w:val="0"/>
    <w:pPr>
      <w:spacing w:line="360" w:lineRule="auto"/>
      <w:ind w:firstLine="482"/>
    </w:pPr>
    <w:rPr>
      <w:kern w:val="0"/>
      <w:sz w:val="24"/>
      <w:szCs w:val="20"/>
    </w:rPr>
  </w:style>
  <w:style w:type="character" w:customStyle="1" w:styleId="142">
    <w:name w:val="标题 Char1"/>
    <w:uiPriority w:val="0"/>
    <w:rPr>
      <w:rFonts w:ascii="Cambria" w:hAnsi="Cambria" w:eastAsia="宋体" w:cs="黑体"/>
      <w:b/>
      <w:bCs/>
      <w:sz w:val="32"/>
      <w:szCs w:val="32"/>
    </w:rPr>
  </w:style>
  <w:style w:type="character" w:customStyle="1" w:styleId="143">
    <w:name w:val="style421"/>
    <w:uiPriority w:val="0"/>
    <w:rPr>
      <w:sz w:val="18"/>
      <w:szCs w:val="18"/>
    </w:rPr>
  </w:style>
  <w:style w:type="character" w:customStyle="1" w:styleId="144">
    <w:name w:val="h Char"/>
    <w:aliases w:val="Header/Footer Char Char,页眉 Char1"/>
    <w:locked/>
    <w:uiPriority w:val="0"/>
    <w:rPr>
      <w:rFonts w:cs="Times New Roman"/>
      <w:sz w:val="18"/>
      <w:szCs w:val="18"/>
    </w:rPr>
  </w:style>
  <w:style w:type="character" w:customStyle="1" w:styleId="145">
    <w:name w:val="Heading 2 Char1 Char"/>
    <w:aliases w:val="Heading 2 Char Char Char,H2 Char Char Char,标题 1.1 Char Char Char,Title2 Char Char Char,h2 Char Char Char,Underrubrik1 Char Char Char,prop2 Char Char Char,标题二 Char Char Char,H21 Char Char Char,Heading 2 Hidden Char Char Char"/>
    <w:uiPriority w:val="0"/>
    <w:rPr>
      <w:rFonts w:ascii="Arial" w:hAnsi="Arial" w:eastAsia="黑体"/>
      <w:b/>
      <w:bCs/>
      <w:kern w:val="2"/>
      <w:sz w:val="32"/>
      <w:szCs w:val="32"/>
      <w:lang w:val="en-US" w:eastAsia="zh-CN" w:bidi="ar-SA"/>
    </w:rPr>
  </w:style>
  <w:style w:type="character" w:customStyle="1" w:styleId="146">
    <w:name w:val="Plain Text Char"/>
    <w:locked/>
    <w:uiPriority w:val="0"/>
    <w:rPr>
      <w:rFonts w:ascii="宋体" w:hAnsi="Courier New" w:eastAsia="宋体" w:cs="金山简魏碑"/>
      <w:sz w:val="21"/>
      <w:szCs w:val="21"/>
    </w:rPr>
  </w:style>
  <w:style w:type="character" w:customStyle="1" w:styleId="147">
    <w:name w:val="Char Char2"/>
    <w:uiPriority w:val="0"/>
    <w:rPr>
      <w:rFonts w:ascii="宋体" w:hAnsi="Courier New" w:eastAsia="宋体"/>
      <w:sz w:val="21"/>
      <w:lang w:val="en-US" w:eastAsia="zh-CN" w:bidi="ar-SA"/>
    </w:rPr>
  </w:style>
  <w:style w:type="character" w:customStyle="1" w:styleId="148">
    <w:name w:val="font112"/>
    <w:uiPriority w:val="0"/>
    <w:rPr>
      <w:rFonts w:ascii="Wingdings 2" w:hAnsi="Wingdings 2" w:eastAsia="Wingdings 2" w:cs="Wingdings 2"/>
      <w:color w:val="000000"/>
      <w:sz w:val="20"/>
      <w:szCs w:val="20"/>
      <w:u w:val="none"/>
    </w:rPr>
  </w:style>
  <w:style w:type="character" w:customStyle="1" w:styleId="149">
    <w:name w:val="style15"/>
    <w:uiPriority w:val="0"/>
  </w:style>
  <w:style w:type="character" w:customStyle="1" w:styleId="150">
    <w:name w:val="clearfix1"/>
    <w:basedOn w:val="59"/>
    <w:uiPriority w:val="0"/>
  </w:style>
  <w:style w:type="character" w:customStyle="1" w:styleId="151">
    <w:name w:val="Char Char3"/>
    <w:uiPriority w:val="0"/>
    <w:rPr>
      <w:rFonts w:ascii="Arial" w:hAnsi="Arial" w:eastAsia="黑体"/>
      <w:b/>
      <w:bCs/>
      <w:kern w:val="2"/>
      <w:sz w:val="32"/>
      <w:szCs w:val="32"/>
      <w:lang w:val="en-US" w:eastAsia="zh-CN" w:bidi="ar-SA"/>
    </w:rPr>
  </w:style>
  <w:style w:type="character" w:customStyle="1" w:styleId="152">
    <w:name w:val="纯文本 Char"/>
    <w:link w:val="28"/>
    <w:qFormat/>
    <w:uiPriority w:val="0"/>
    <w:rPr>
      <w:rFonts w:ascii="宋体" w:hAnsi="Courier New"/>
      <w:kern w:val="2"/>
      <w:sz w:val="24"/>
      <w:szCs w:val="24"/>
    </w:rPr>
  </w:style>
  <w:style w:type="character" w:customStyle="1" w:styleId="153">
    <w:name w:val="批注框文本 字符"/>
    <w:semiHidden/>
    <w:uiPriority w:val="99"/>
    <w:rPr>
      <w:sz w:val="18"/>
      <w:szCs w:val="18"/>
    </w:rPr>
  </w:style>
  <w:style w:type="character" w:customStyle="1" w:styleId="154">
    <w:name w:val="tel-desc1"/>
    <w:uiPriority w:val="0"/>
    <w:rPr>
      <w:color w:val="999999"/>
    </w:rPr>
  </w:style>
  <w:style w:type="character" w:customStyle="1" w:styleId="155">
    <w:name w:val="expanded1"/>
    <w:uiPriority w:val="0"/>
    <w:rPr>
      <w:rFonts w:hint="default" w:ascii="Verdana" w:hAnsi="Verdana"/>
      <w:color w:val="000066"/>
      <w:sz w:val="15"/>
      <w:szCs w:val="15"/>
    </w:rPr>
  </w:style>
  <w:style w:type="character" w:customStyle="1" w:styleId="156">
    <w:name w:val="批注文字 Char Char"/>
    <w:uiPriority w:val="0"/>
    <w:rPr>
      <w:kern w:val="2"/>
      <w:sz w:val="21"/>
    </w:rPr>
  </w:style>
  <w:style w:type="character" w:customStyle="1" w:styleId="157">
    <w:name w:val="apple-converted-space"/>
    <w:uiPriority w:val="0"/>
  </w:style>
  <w:style w:type="character" w:customStyle="1" w:styleId="158">
    <w:name w:val="自定义正文 Char Char"/>
    <w:link w:val="159"/>
    <w:uiPriority w:val="0"/>
    <w:rPr>
      <w:rFonts w:ascii="宋体" w:hAnsi="宋体" w:eastAsia="宋体"/>
      <w:kern w:val="2"/>
      <w:sz w:val="24"/>
      <w:szCs w:val="24"/>
      <w:lang w:bidi="ar-SA"/>
    </w:rPr>
  </w:style>
  <w:style w:type="paragraph" w:customStyle="1" w:styleId="159">
    <w:name w:val="自定义正文"/>
    <w:basedOn w:val="1"/>
    <w:link w:val="158"/>
    <w:uiPriority w:val="0"/>
    <w:pPr>
      <w:spacing w:after="60" w:line="360" w:lineRule="auto"/>
      <w:ind w:firstLine="200" w:firstLineChars="200"/>
      <w:jc w:val="left"/>
    </w:pPr>
    <w:rPr>
      <w:rFonts w:ascii="宋体" w:hAnsi="宋体"/>
      <w:sz w:val="24"/>
    </w:rPr>
  </w:style>
  <w:style w:type="character" w:customStyle="1" w:styleId="160">
    <w:name w:val="style71"/>
    <w:uiPriority w:val="0"/>
    <w:rPr>
      <w:color w:val="999999"/>
    </w:rPr>
  </w:style>
  <w:style w:type="character" w:customStyle="1" w:styleId="161">
    <w:name w:val="c01"/>
    <w:uiPriority w:val="0"/>
    <w:rPr>
      <w:color w:val="CC0000"/>
    </w:rPr>
  </w:style>
  <w:style w:type="character" w:customStyle="1" w:styleId="162">
    <w:name w:val="txt_cn_121"/>
    <w:uiPriority w:val="0"/>
    <w:rPr>
      <w:rFonts w:hint="default" w:ascii="Arial" w:hAnsi="Arial" w:cs="Arial"/>
      <w:color w:val="666666"/>
      <w:sz w:val="18"/>
      <w:szCs w:val="18"/>
      <w:u w:val="none"/>
    </w:rPr>
  </w:style>
  <w:style w:type="character" w:customStyle="1" w:styleId="163">
    <w:name w:val="杨俊标书正文 Char"/>
    <w:link w:val="164"/>
    <w:uiPriority w:val="0"/>
    <w:rPr>
      <w:rFonts w:ascii="宋体" w:hAnsi="宋体" w:eastAsia="宋体"/>
      <w:sz w:val="24"/>
      <w:szCs w:val="22"/>
      <w:lang w:bidi="ar-SA"/>
    </w:rPr>
  </w:style>
  <w:style w:type="paragraph" w:customStyle="1" w:styleId="164">
    <w:name w:val="杨俊标书正文"/>
    <w:basedOn w:val="1"/>
    <w:link w:val="163"/>
    <w:qFormat/>
    <w:uiPriority w:val="0"/>
    <w:pPr>
      <w:widowControl/>
      <w:spacing w:after="200" w:line="360" w:lineRule="auto"/>
      <w:ind w:firstLine="480" w:firstLineChars="200"/>
      <w:jc w:val="left"/>
    </w:pPr>
    <w:rPr>
      <w:rFonts w:ascii="宋体" w:hAnsi="宋体"/>
      <w:kern w:val="0"/>
      <w:sz w:val="24"/>
      <w:szCs w:val="22"/>
    </w:rPr>
  </w:style>
  <w:style w:type="character" w:customStyle="1" w:styleId="165">
    <w:name w:val="ca-1"/>
    <w:basedOn w:val="59"/>
    <w:uiPriority w:val="0"/>
  </w:style>
  <w:style w:type="character" w:customStyle="1" w:styleId="166">
    <w:name w:val="Footer Char"/>
    <w:locked/>
    <w:uiPriority w:val="0"/>
    <w:rPr>
      <w:rFonts w:cs="Times New Roman"/>
      <w:sz w:val="18"/>
      <w:szCs w:val="18"/>
    </w:rPr>
  </w:style>
  <w:style w:type="character" w:customStyle="1" w:styleId="167">
    <w:name w:val="正文文本缩进 3 Char"/>
    <w:link w:val="40"/>
    <w:uiPriority w:val="0"/>
    <w:rPr>
      <w:rFonts w:ascii="仿宋_GB2312" w:hAnsi="宋体" w:eastAsia="仿宋_GB2312"/>
      <w:color w:val="000000"/>
      <w:kern w:val="2"/>
      <w:sz w:val="24"/>
      <w:szCs w:val="24"/>
      <w:lang w:val="en-US" w:eastAsia="zh-CN" w:bidi="ar-SA"/>
    </w:rPr>
  </w:style>
  <w:style w:type="character" w:customStyle="1" w:styleId="168">
    <w:name w:val="style31"/>
    <w:uiPriority w:val="0"/>
    <w:rPr>
      <w:sz w:val="18"/>
    </w:rPr>
  </w:style>
  <w:style w:type="character" w:customStyle="1" w:styleId="169">
    <w:name w:val="正文文本 2 Char"/>
    <w:link w:val="44"/>
    <w:uiPriority w:val="0"/>
    <w:rPr>
      <w:rFonts w:ascii="宋体" w:hAnsi="宋体" w:eastAsia="宋体"/>
      <w:color w:val="000000"/>
      <w:kern w:val="2"/>
      <w:sz w:val="24"/>
      <w:szCs w:val="24"/>
      <w:lang w:val="en-US" w:eastAsia="zh-CN" w:bidi="ar-SA"/>
    </w:rPr>
  </w:style>
  <w:style w:type="character" w:customStyle="1" w:styleId="170">
    <w:name w:val="15"/>
    <w:uiPriority w:val="0"/>
    <w:rPr>
      <w:rFonts w:ascii="Verdana" w:hAnsi="Verdana" w:cs="Times New Roman"/>
      <w:color w:val="C90000"/>
      <w:sz w:val="18"/>
    </w:rPr>
  </w:style>
  <w:style w:type="character" w:customStyle="1" w:styleId="171">
    <w:name w:val="标题 1 Char Char"/>
    <w:uiPriority w:val="0"/>
    <w:rPr>
      <w:rFonts w:eastAsia="宋体"/>
      <w:b/>
      <w:spacing w:val="-2"/>
      <w:sz w:val="24"/>
      <w:lang w:val="en-US" w:eastAsia="zh-CN" w:bidi="ar-SA"/>
    </w:rPr>
  </w:style>
  <w:style w:type="character" w:customStyle="1" w:styleId="172">
    <w:name w:val="font121"/>
    <w:uiPriority w:val="0"/>
    <w:rPr>
      <w:rFonts w:hint="eastAsia" w:ascii="微软雅黑" w:hAnsi="微软雅黑" w:eastAsia="微软雅黑" w:cs="微软雅黑"/>
      <w:color w:val="000000"/>
      <w:sz w:val="20"/>
      <w:szCs w:val="20"/>
      <w:u w:val="none"/>
    </w:rPr>
  </w:style>
  <w:style w:type="character" w:customStyle="1" w:styleId="173">
    <w:name w:val="标题 9 Char"/>
    <w:link w:val="11"/>
    <w:uiPriority w:val="0"/>
    <w:rPr>
      <w:rFonts w:ascii="Arial" w:hAnsi="Arial" w:eastAsia="宋体"/>
      <w:b/>
      <w:i/>
      <w:iCs/>
      <w:kern w:val="2"/>
      <w:sz w:val="18"/>
      <w:lang w:val="en-US" w:eastAsia="zh-CN" w:bidi="ar-SA"/>
    </w:rPr>
  </w:style>
  <w:style w:type="character" w:customStyle="1" w:styleId="174">
    <w:name w:val="标题 7 Char"/>
    <w:link w:val="9"/>
    <w:uiPriority w:val="0"/>
    <w:rPr>
      <w:rFonts w:eastAsia="宋体"/>
      <w:b/>
      <w:bCs/>
      <w:kern w:val="2"/>
      <w:sz w:val="24"/>
      <w:szCs w:val="24"/>
      <w:lang w:val="en-US" w:eastAsia="zh-CN" w:bidi="ar-SA"/>
    </w:rPr>
  </w:style>
  <w:style w:type="character" w:customStyle="1" w:styleId="175">
    <w:name w:val="页眉 字符1"/>
    <w:uiPriority w:val="0"/>
    <w:rPr>
      <w:rFonts w:ascii="Times New Roman" w:hAnsi="Times New Roman" w:eastAsia="仿宋_GB2312" w:cs="Times New Roman"/>
      <w:kern w:val="2"/>
      <w:sz w:val="18"/>
      <w:lang w:val="en-US" w:eastAsia="zh-CN" w:bidi="ar-SA"/>
    </w:rPr>
  </w:style>
  <w:style w:type="character" w:customStyle="1" w:styleId="176">
    <w:name w:val="wenben11"/>
    <w:uiPriority w:val="0"/>
    <w:rPr>
      <w:sz w:val="18"/>
      <w:szCs w:val="18"/>
    </w:rPr>
  </w:style>
  <w:style w:type="character" w:customStyle="1" w:styleId="177">
    <w:name w:val="脚注文本 字符"/>
    <w:link w:val="38"/>
    <w:uiPriority w:val="0"/>
    <w:rPr>
      <w:kern w:val="2"/>
      <w:sz w:val="18"/>
      <w:szCs w:val="18"/>
    </w:rPr>
  </w:style>
  <w:style w:type="character" w:customStyle="1" w:styleId="178">
    <w:name w:val="标题 2 Char Char Char"/>
    <w:aliases w:val="H2 Char,Title2 Char,Heading 2 Hidden Char,Heading 2 CCBS Char,sect 1.2 Char,H21 Char,sect 1.21 Char,H22 Char,sect 1.22 Char,H211 Char,sect 1.211 Char,H23 Char,sect 1.23 Char,H212 Char,sect 1.212 Char,2nd level Char,2 Char,h2 Char"/>
    <w:uiPriority w:val="0"/>
    <w:rPr>
      <w:rFonts w:ascii="Arial" w:hAnsi="Arial" w:eastAsia="黑体"/>
      <w:b/>
      <w:bCs/>
      <w:kern w:val="2"/>
      <w:sz w:val="32"/>
      <w:szCs w:val="32"/>
      <w:lang w:val="en-US" w:eastAsia="zh-CN" w:bidi="ar-SA"/>
    </w:rPr>
  </w:style>
  <w:style w:type="character" w:customStyle="1" w:styleId="179">
    <w:name w:val="彩色列表 - 着色 1 Char"/>
    <w:locked/>
    <w:uiPriority w:val="0"/>
    <w:rPr>
      <w:rFonts w:ascii="Calibri" w:hAnsi="Calibri" w:eastAsia="宋体"/>
      <w:kern w:val="2"/>
      <w:sz w:val="21"/>
      <w:szCs w:val="22"/>
      <w:lang w:val="en-US" w:eastAsia="zh-CN" w:bidi="ar-SA"/>
    </w:rPr>
  </w:style>
  <w:style w:type="character" w:customStyle="1" w:styleId="180">
    <w:name w:val="标题 8 Char"/>
    <w:link w:val="10"/>
    <w:uiPriority w:val="0"/>
    <w:rPr>
      <w:rFonts w:ascii="Cambria" w:hAnsi="Cambria" w:eastAsia="宋体"/>
      <w:kern w:val="2"/>
      <w:sz w:val="24"/>
      <w:szCs w:val="24"/>
      <w:lang w:val="en-US" w:eastAsia="zh-CN" w:bidi="ar-SA"/>
    </w:rPr>
  </w:style>
  <w:style w:type="character" w:customStyle="1" w:styleId="181">
    <w:name w:val="纯文本 Char1"/>
    <w:aliases w:val="普通文字 Char Char1,纯文本 Char Char Char,普通文字 Char Char Char1,普通文字 Char Char Char Char,普通文字 Char1,纯文本 Char Char Char Char Char Char Char Char Char Char,纯文本 Char Char Char Char Char Char Char Char Char C Char,Texte Char,普通文字1 Char,普通文字2 Char1,小 Char"/>
    <w:locked/>
    <w:uiPriority w:val="0"/>
    <w:rPr>
      <w:rFonts w:ascii="宋体" w:hAnsi="Courier New" w:eastAsia="宋体"/>
      <w:sz w:val="24"/>
      <w:szCs w:val="24"/>
    </w:rPr>
  </w:style>
  <w:style w:type="character" w:customStyle="1" w:styleId="182">
    <w:name w:val="批注框文本 Char1"/>
    <w:uiPriority w:val="0"/>
    <w:rPr>
      <w:rFonts w:ascii="Times New Roman" w:hAnsi="Times New Roman" w:eastAsia="宋体" w:cs="Times New Roman"/>
      <w:sz w:val="18"/>
      <w:szCs w:val="18"/>
    </w:rPr>
  </w:style>
  <w:style w:type="character" w:customStyle="1" w:styleId="183">
    <w:name w:val="List Paragraph Char"/>
    <w:link w:val="184"/>
    <w:qFormat/>
    <w:uiPriority w:val="99"/>
    <w:rPr>
      <w:rFonts w:ascii="Calibri" w:hAnsi="Calibri" w:eastAsia="宋体"/>
      <w:kern w:val="2"/>
      <w:sz w:val="21"/>
      <w:szCs w:val="22"/>
      <w:lang w:bidi="ar-SA"/>
    </w:rPr>
  </w:style>
  <w:style w:type="paragraph" w:customStyle="1" w:styleId="184">
    <w:name w:val="列出段落1"/>
    <w:basedOn w:val="1"/>
    <w:link w:val="183"/>
    <w:qFormat/>
    <w:uiPriority w:val="99"/>
    <w:pPr>
      <w:ind w:firstLine="420" w:firstLineChars="200"/>
    </w:pPr>
    <w:rPr>
      <w:rFonts w:ascii="Calibri" w:hAnsi="Calibri"/>
      <w:szCs w:val="22"/>
    </w:rPr>
  </w:style>
  <w:style w:type="paragraph" w:customStyle="1" w:styleId="185">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186">
    <w:name w:val="xl100"/>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87">
    <w:name w:val="xl153"/>
    <w:basedOn w:val="1"/>
    <w:uiPriority w:val="0"/>
    <w:pPr>
      <w:widowControl/>
      <w:pBdr>
        <w:top w:val="single" w:color="auto" w:sz="4" w:space="0"/>
        <w:bottom w:val="single" w:color="auto" w:sz="4" w:space="0"/>
        <w:right w:val="single" w:color="auto" w:sz="4" w:space="0"/>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188">
    <w:name w:val="xl115"/>
    <w:basedOn w:val="1"/>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89">
    <w:name w:val="xl48"/>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90">
    <w:name w:val="列出段落11"/>
    <w:basedOn w:val="1"/>
    <w:uiPriority w:val="0"/>
    <w:pPr>
      <w:widowControl/>
      <w:spacing w:beforeLines="50" w:afterLines="50"/>
      <w:ind w:firstLine="420" w:firstLineChars="200"/>
      <w:jc w:val="left"/>
    </w:pPr>
  </w:style>
  <w:style w:type="paragraph" w:customStyle="1" w:styleId="191">
    <w:name w:val="xl96"/>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92">
    <w:name w:val="样式 标题 3 + 宋体 小四 段前: 0 磅 段后: 0 磅 行距: 1.5 倍行距"/>
    <w:basedOn w:val="5"/>
    <w:uiPriority w:val="0"/>
    <w:pPr>
      <w:numPr>
        <w:ilvl w:val="0"/>
        <w:numId w:val="4"/>
      </w:numPr>
      <w:tabs>
        <w:tab w:val="left" w:pos="720"/>
      </w:tabs>
      <w:spacing w:before="0" w:after="0"/>
      <w:ind w:left="720" w:hanging="360"/>
    </w:pPr>
    <w:rPr>
      <w:rFonts w:ascii="宋体" w:hAnsi="宋体" w:cs="宋体"/>
      <w:kern w:val="0"/>
      <w:sz w:val="24"/>
      <w:szCs w:val="20"/>
    </w:rPr>
  </w:style>
  <w:style w:type="paragraph" w:customStyle="1" w:styleId="193">
    <w:name w:val="样式 标题 3 + 左侧:  2 字符"/>
    <w:basedOn w:val="5"/>
    <w:uiPriority w:val="0"/>
    <w:pPr>
      <w:spacing w:line="240" w:lineRule="auto"/>
    </w:pPr>
    <w:rPr>
      <w:rFonts w:cs="宋体"/>
      <w:sz w:val="28"/>
      <w:szCs w:val="28"/>
    </w:rPr>
  </w:style>
  <w:style w:type="paragraph" w:customStyle="1" w:styleId="194">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195">
    <w:name w:val="Char Char Char"/>
    <w:basedOn w:val="1"/>
    <w:uiPriority w:val="0"/>
    <w:rPr>
      <w:rFonts w:ascii="Tahoma" w:hAnsi="Tahoma"/>
      <w:sz w:val="24"/>
      <w:szCs w:val="20"/>
    </w:rPr>
  </w:style>
  <w:style w:type="paragraph" w:customStyle="1" w:styleId="196">
    <w:name w:val="IBM 正文"/>
    <w:basedOn w:val="1"/>
    <w:uiPriority w:val="0"/>
    <w:pPr>
      <w:spacing w:line="360" w:lineRule="atLeast"/>
    </w:pPr>
    <w:rPr>
      <w:sz w:val="24"/>
      <w:szCs w:val="20"/>
    </w:rPr>
  </w:style>
  <w:style w:type="paragraph" w:customStyle="1" w:styleId="197">
    <w:name w:val="xl29"/>
    <w:basedOn w:val="1"/>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198">
    <w:name w:val="reader-word-layer reader-word-s1-1"/>
    <w:basedOn w:val="1"/>
    <w:uiPriority w:val="0"/>
    <w:pPr>
      <w:widowControl/>
      <w:spacing w:before="100" w:beforeAutospacing="1" w:after="100" w:afterAutospacing="1"/>
      <w:jc w:val="left"/>
    </w:pPr>
    <w:rPr>
      <w:rFonts w:ascii="宋体" w:hAnsi="宋体" w:cs="宋体"/>
      <w:kern w:val="0"/>
      <w:sz w:val="24"/>
    </w:rPr>
  </w:style>
  <w:style w:type="paragraph" w:customStyle="1" w:styleId="199">
    <w:name w:val="Ñù"/>
    <w:uiPriority w:val="0"/>
    <w:pPr>
      <w:overflowPunct w:val="0"/>
      <w:autoSpaceDE w:val="0"/>
      <w:autoSpaceDN w:val="0"/>
      <w:adjustRightInd w:val="0"/>
      <w:spacing w:line="400" w:lineRule="exact"/>
      <w:jc w:val="both"/>
      <w:textAlignment w:val="baseline"/>
    </w:pPr>
    <w:rPr>
      <w:sz w:val="24"/>
      <w:lang w:val="en-US" w:eastAsia="zh-CN" w:bidi="ar-SA"/>
    </w:rPr>
  </w:style>
  <w:style w:type="paragraph" w:customStyle="1" w:styleId="200">
    <w:name w:val="彩色列表 - 强调文字颜色 11"/>
    <w:basedOn w:val="1"/>
    <w:qFormat/>
    <w:uiPriority w:val="0"/>
    <w:pPr>
      <w:ind w:firstLine="420" w:firstLineChars="200"/>
    </w:pPr>
    <w:rPr>
      <w:rFonts w:ascii="Calibri" w:hAnsi="Calibri"/>
      <w:szCs w:val="22"/>
    </w:rPr>
  </w:style>
  <w:style w:type="paragraph" w:customStyle="1" w:styleId="201">
    <w:name w:val="xl97"/>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02">
    <w:name w:val="Char"/>
    <w:basedOn w:val="1"/>
    <w:uiPriority w:val="0"/>
    <w:rPr>
      <w:rFonts w:ascii="仿宋_GB2312" w:eastAsia="仿宋_GB2312"/>
      <w:b/>
      <w:sz w:val="32"/>
      <w:szCs w:val="32"/>
    </w:rPr>
  </w:style>
  <w:style w:type="paragraph" w:customStyle="1" w:styleId="203">
    <w:name w:val="修订1"/>
    <w:uiPriority w:val="0"/>
    <w:rPr>
      <w:kern w:val="2"/>
      <w:sz w:val="21"/>
      <w:szCs w:val="24"/>
      <w:lang w:val="en-US" w:eastAsia="zh-CN" w:bidi="ar-SA"/>
    </w:rPr>
  </w:style>
  <w:style w:type="paragraph" w:customStyle="1" w:styleId="204">
    <w:name w:val="列表延续"/>
    <w:basedOn w:val="1"/>
    <w:uiPriority w:val="0"/>
    <w:pPr>
      <w:numPr>
        <w:ilvl w:val="8"/>
        <w:numId w:val="5"/>
      </w:numPr>
      <w:adjustRightInd w:val="0"/>
      <w:spacing w:line="360" w:lineRule="auto"/>
      <w:textAlignment w:val="baseline"/>
    </w:pPr>
    <w:rPr>
      <w:rFonts w:eastAsia="楷体_GB2312"/>
      <w:kern w:val="28"/>
      <w:sz w:val="28"/>
      <w:szCs w:val="20"/>
    </w:rPr>
  </w:style>
  <w:style w:type="paragraph" w:customStyle="1" w:styleId="205">
    <w:name w:val="页脚1"/>
    <w:basedOn w:val="1"/>
    <w:uiPriority w:val="0"/>
    <w:pPr>
      <w:widowControl/>
      <w:tabs>
        <w:tab w:val="center" w:pos="4153"/>
        <w:tab w:val="right" w:pos="8306"/>
      </w:tabs>
      <w:snapToGrid w:val="0"/>
      <w:spacing w:beforeLines="50" w:afterLines="50"/>
      <w:jc w:val="left"/>
    </w:pPr>
    <w:rPr>
      <w:sz w:val="18"/>
      <w:szCs w:val="18"/>
    </w:rPr>
  </w:style>
  <w:style w:type="paragraph" w:customStyle="1" w:styleId="206">
    <w:name w:val="CCTV文档正文"/>
    <w:basedOn w:val="1"/>
    <w:uiPriority w:val="0"/>
    <w:pPr>
      <w:spacing w:line="360" w:lineRule="auto"/>
      <w:jc w:val="left"/>
    </w:pPr>
    <w:rPr>
      <w:sz w:val="24"/>
      <w:szCs w:val="21"/>
    </w:rPr>
  </w:style>
  <w:style w:type="paragraph" w:customStyle="1" w:styleId="207">
    <w:name w:val="Char Char Char Char Char Char1 Char Char Char Char Char Char Char Char Char Char Char Char"/>
    <w:basedOn w:val="1"/>
    <w:uiPriority w:val="0"/>
    <w:pPr>
      <w:adjustRightInd w:val="0"/>
      <w:spacing w:line="360" w:lineRule="auto"/>
    </w:pPr>
    <w:rPr>
      <w:rFonts w:eastAsia="Times New Roman"/>
      <w:kern w:val="0"/>
      <w:sz w:val="20"/>
      <w:szCs w:val="20"/>
    </w:rPr>
  </w:style>
  <w:style w:type="paragraph" w:customStyle="1" w:styleId="208">
    <w:name w:val="列出段落2"/>
    <w:basedOn w:val="1"/>
    <w:uiPriority w:val="0"/>
    <w:pPr>
      <w:ind w:firstLine="420" w:firstLineChars="200"/>
    </w:pPr>
    <w:rPr>
      <w:rFonts w:ascii="Calibri" w:hAnsi="Calibri" w:cs="黑体"/>
      <w:szCs w:val="22"/>
    </w:rPr>
  </w:style>
  <w:style w:type="paragraph" w:customStyle="1" w:styleId="209">
    <w:name w:val="xl106"/>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210">
    <w:name w:val="xl68"/>
    <w:basedOn w:val="1"/>
    <w:uiPriority w:val="0"/>
    <w:pPr>
      <w:widowControl/>
      <w:pBdr>
        <w:top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211">
    <w:name w:val="xl77"/>
    <w:basedOn w:val="1"/>
    <w:uiPriority w:val="0"/>
    <w:pPr>
      <w:widowControl/>
      <w:pBdr>
        <w:bottom w:val="single" w:color="auto" w:sz="4" w:space="0"/>
      </w:pBdr>
      <w:spacing w:before="100" w:beforeAutospacing="1" w:after="100" w:afterAutospacing="1"/>
      <w:jc w:val="right"/>
    </w:pPr>
    <w:rPr>
      <w:kern w:val="0"/>
      <w:sz w:val="22"/>
      <w:szCs w:val="20"/>
    </w:rPr>
  </w:style>
  <w:style w:type="paragraph" w:customStyle="1" w:styleId="212">
    <w:name w:val="text"/>
    <w:basedOn w:val="1"/>
    <w:uiPriority w:val="0"/>
    <w:pPr>
      <w:widowControl/>
      <w:spacing w:before="100" w:beforeAutospacing="1" w:after="100" w:afterAutospacing="1"/>
      <w:jc w:val="left"/>
    </w:pPr>
    <w:rPr>
      <w:rFonts w:ascii="宋体" w:hAnsi="宋体" w:cs="宋体"/>
      <w:kern w:val="0"/>
      <w:sz w:val="24"/>
    </w:rPr>
  </w:style>
  <w:style w:type="paragraph" w:customStyle="1" w:styleId="213">
    <w:name w:val="xl1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4">
    <w:name w:val="排版"/>
    <w:basedOn w:val="1"/>
    <w:next w:val="20"/>
    <w:uiPriority w:val="0"/>
    <w:pPr>
      <w:spacing w:line="600" w:lineRule="exact"/>
    </w:pPr>
    <w:rPr>
      <w:rFonts w:eastAsia="华文仿宋"/>
      <w:spacing w:val="6"/>
      <w:sz w:val="32"/>
      <w:szCs w:val="20"/>
    </w:rPr>
  </w:style>
  <w:style w:type="paragraph" w:customStyle="1" w:styleId="215">
    <w:name w:val="xl143"/>
    <w:basedOn w:val="1"/>
    <w:uiPriority w:val="0"/>
    <w:pPr>
      <w:widowControl/>
      <w:pBdr>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16">
    <w:name w:val="样式7"/>
    <w:basedOn w:val="1"/>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217">
    <w:name w:val="xl118"/>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18">
    <w:name w:val="xl43"/>
    <w:basedOn w:val="1"/>
    <w:uiPriority w:val="0"/>
    <w:pPr>
      <w:widowControl/>
      <w:spacing w:before="100" w:beforeAutospacing="1" w:after="100" w:afterAutospacing="1"/>
      <w:jc w:val="right"/>
      <w:textAlignment w:val="center"/>
    </w:pPr>
    <w:rPr>
      <w:kern w:val="0"/>
      <w:sz w:val="20"/>
      <w:szCs w:val="20"/>
    </w:rPr>
  </w:style>
  <w:style w:type="paragraph" w:customStyle="1" w:styleId="219">
    <w:name w:val="xl123"/>
    <w:basedOn w:val="1"/>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20">
    <w:name w:val="正文小4号"/>
    <w:basedOn w:val="1"/>
    <w:uiPriority w:val="0"/>
    <w:pPr>
      <w:spacing w:line="360" w:lineRule="auto"/>
      <w:ind w:firstLine="200" w:firstLineChars="200"/>
    </w:pPr>
    <w:rPr>
      <w:sz w:val="24"/>
    </w:rPr>
  </w:style>
  <w:style w:type="paragraph" w:customStyle="1" w:styleId="221">
    <w:name w:val="xl44"/>
    <w:basedOn w:val="1"/>
    <w:uiPriority w:val="0"/>
    <w:pPr>
      <w:widowControl/>
      <w:spacing w:before="100" w:beforeAutospacing="1" w:after="100" w:afterAutospacing="1"/>
      <w:jc w:val="right"/>
      <w:textAlignment w:val="center"/>
    </w:pPr>
    <w:rPr>
      <w:rFonts w:ascii="宋体" w:hAnsi="宋体"/>
      <w:kern w:val="0"/>
      <w:sz w:val="20"/>
      <w:szCs w:val="20"/>
    </w:rPr>
  </w:style>
  <w:style w:type="paragraph" w:customStyle="1" w:styleId="222">
    <w:name w:val="ST20_17"/>
    <w:basedOn w:val="6"/>
    <w:uiPriority w:val="0"/>
    <w:pPr>
      <w:autoSpaceDE w:val="0"/>
      <w:autoSpaceDN w:val="0"/>
      <w:adjustRightInd w:val="0"/>
      <w:spacing w:before="0" w:after="0" w:line="240" w:lineRule="atLeast"/>
      <w:textAlignment w:val="baseline"/>
      <w:outlineLvl w:val="9"/>
    </w:pPr>
    <w:rPr>
      <w:rFonts w:ascii="宋体" w:hAnsi="宋体" w:eastAsia="宋体" w:cs="Arial Unicode MS"/>
      <w:b w:val="0"/>
      <w:bCs w:val="0"/>
      <w:kern w:val="0"/>
      <w:sz w:val="24"/>
      <w:szCs w:val="20"/>
    </w:rPr>
  </w:style>
  <w:style w:type="paragraph" w:customStyle="1" w:styleId="223">
    <w:name w:val="正文文本 21"/>
    <w:basedOn w:val="1"/>
    <w:uiPriority w:val="0"/>
    <w:pPr>
      <w:adjustRightInd w:val="0"/>
      <w:spacing w:line="300" w:lineRule="auto"/>
      <w:jc w:val="center"/>
    </w:pPr>
    <w:rPr>
      <w:rFonts w:hint="eastAsia" w:ascii="宋体" w:hAnsi="宋体"/>
      <w:sz w:val="24"/>
      <w:szCs w:val="20"/>
    </w:rPr>
  </w:style>
  <w:style w:type="paragraph" w:customStyle="1" w:styleId="224">
    <w:name w:val="xl79"/>
    <w:basedOn w:val="1"/>
    <w:uiPriority w:val="0"/>
    <w:pPr>
      <w:widowControl/>
      <w:pBdr>
        <w:bottom w:val="single" w:color="auto" w:sz="4" w:space="0"/>
      </w:pBdr>
      <w:spacing w:before="100" w:beforeAutospacing="1" w:after="100" w:afterAutospacing="1"/>
      <w:jc w:val="right"/>
    </w:pPr>
    <w:rPr>
      <w:kern w:val="0"/>
      <w:sz w:val="22"/>
      <w:szCs w:val="20"/>
    </w:rPr>
  </w:style>
  <w:style w:type="paragraph" w:customStyle="1" w:styleId="225">
    <w:name w:val="标准正文"/>
    <w:basedOn w:val="21"/>
    <w:uiPriority w:val="0"/>
    <w:pPr>
      <w:widowControl/>
      <w:spacing w:beforeLines="50" w:after="120" w:afterLines="50" w:line="360" w:lineRule="auto"/>
      <w:ind w:firstLine="482"/>
    </w:pPr>
    <w:rPr>
      <w:rFonts w:ascii="Arial" w:hAnsi="Arial"/>
      <w:spacing w:val="0"/>
      <w:sz w:val="24"/>
    </w:rPr>
  </w:style>
  <w:style w:type="paragraph" w:customStyle="1" w:styleId="226">
    <w:name w:val="Char1 Char Char Char Char"/>
    <w:basedOn w:val="16"/>
    <w:uiPriority w:val="0"/>
    <w:pPr>
      <w:widowControl/>
      <w:spacing w:beforeLines="50" w:afterLines="50"/>
      <w:jc w:val="left"/>
    </w:pPr>
    <w:rPr>
      <w:rFonts w:ascii="Times New Roman" w:hAnsi="Times New Roman"/>
      <w:szCs w:val="20"/>
    </w:rPr>
  </w:style>
  <w:style w:type="paragraph" w:customStyle="1" w:styleId="227">
    <w:name w:val="xl82"/>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28">
    <w:name w:val="Char Char Char Char Char Char Char Char"/>
    <w:basedOn w:val="1"/>
    <w:uiPriority w:val="0"/>
    <w:rPr>
      <w:rFonts w:eastAsia="仿宋_GB2312"/>
      <w:sz w:val="28"/>
    </w:rPr>
  </w:style>
  <w:style w:type="paragraph" w:customStyle="1" w:styleId="229">
    <w:name w:val="xl60"/>
    <w:basedOn w:val="1"/>
    <w:uiPriority w:val="0"/>
    <w:pPr>
      <w:widowControl/>
      <w:pBdr>
        <w:bottom w:val="single" w:color="auto" w:sz="4" w:space="0"/>
      </w:pBdr>
      <w:spacing w:before="100" w:beforeAutospacing="1" w:after="100" w:afterAutospacing="1"/>
      <w:jc w:val="left"/>
    </w:pPr>
    <w:rPr>
      <w:rFonts w:ascii="宋体" w:hAnsi="宋体"/>
      <w:kern w:val="0"/>
      <w:sz w:val="22"/>
      <w:szCs w:val="20"/>
    </w:rPr>
  </w:style>
  <w:style w:type="paragraph" w:customStyle="1" w:styleId="230">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31">
    <w:name w:val="xl149"/>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32">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33">
    <w:name w:val="xl78"/>
    <w:basedOn w:val="1"/>
    <w:uiPriority w:val="0"/>
    <w:pPr>
      <w:widowControl/>
      <w:pBdr>
        <w:bottom w:val="single" w:color="auto" w:sz="4" w:space="0"/>
      </w:pBdr>
      <w:spacing w:before="100" w:beforeAutospacing="1" w:after="100" w:afterAutospacing="1"/>
      <w:jc w:val="right"/>
    </w:pPr>
    <w:rPr>
      <w:rFonts w:ascii="宋体" w:hAnsi="宋体"/>
      <w:kern w:val="0"/>
      <w:sz w:val="22"/>
      <w:szCs w:val="20"/>
    </w:rPr>
  </w:style>
  <w:style w:type="paragraph" w:customStyle="1" w:styleId="234">
    <w:name w:val="Char1 Char Char Char"/>
    <w:basedOn w:val="1"/>
    <w:uiPriority w:val="0"/>
    <w:rPr>
      <w:rFonts w:eastAsia="仿宋_GB2312"/>
      <w:sz w:val="28"/>
      <w:szCs w:val="20"/>
    </w:rPr>
  </w:style>
  <w:style w:type="paragraph" w:customStyle="1" w:styleId="235">
    <w:name w:val="xl111"/>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36">
    <w:name w:val="xl107"/>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37">
    <w:name w:val="xl65"/>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238">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239">
    <w:name w:val="font16"/>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240">
    <w:name w:val="标题6"/>
    <w:basedOn w:val="1"/>
    <w:next w:val="3"/>
    <w:uiPriority w:val="0"/>
    <w:pPr>
      <w:widowControl/>
      <w:snapToGrid w:val="0"/>
      <w:spacing w:beforeLines="50" w:afterLines="50" w:line="520" w:lineRule="atLeast"/>
      <w:ind w:firstLine="200" w:firstLineChars="200"/>
    </w:pPr>
  </w:style>
  <w:style w:type="paragraph" w:customStyle="1" w:styleId="241">
    <w:name w:val="实施日期"/>
    <w:basedOn w:val="1"/>
    <w:uiPriority w:val="0"/>
    <w:pPr>
      <w:framePr w:w="4000" w:h="473" w:hRule="exact" w:vSpace="180" w:wrap="around" w:vAnchor="margin" w:hAnchor="margin" w:xAlign="right" w:y="13511" w:anchorLock="1"/>
      <w:widowControl/>
      <w:tabs>
        <w:tab w:val="left" w:pos="360"/>
      </w:tabs>
      <w:jc w:val="right"/>
    </w:pPr>
    <w:rPr>
      <w:rFonts w:eastAsia="黑体"/>
      <w:kern w:val="0"/>
      <w:sz w:val="28"/>
      <w:szCs w:val="20"/>
    </w:rPr>
  </w:style>
  <w:style w:type="paragraph" w:customStyle="1" w:styleId="242">
    <w:name w:val="xl116"/>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43">
    <w:name w:val="xl71"/>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244">
    <w:name w:val="font11"/>
    <w:basedOn w:val="1"/>
    <w:uiPriority w:val="0"/>
    <w:pPr>
      <w:widowControl/>
      <w:spacing w:before="100" w:beforeAutospacing="1" w:after="100" w:afterAutospacing="1"/>
      <w:jc w:val="left"/>
    </w:pPr>
    <w:rPr>
      <w:kern w:val="0"/>
      <w:sz w:val="36"/>
      <w:szCs w:val="20"/>
    </w:rPr>
  </w:style>
  <w:style w:type="paragraph" w:customStyle="1" w:styleId="245">
    <w:name w:val="标题1正文"/>
    <w:basedOn w:val="1"/>
    <w:uiPriority w:val="0"/>
    <w:pPr>
      <w:spacing w:line="360" w:lineRule="auto"/>
      <w:ind w:left="105" w:leftChars="50" w:firstLine="315" w:firstLineChars="150"/>
      <w:jc w:val="left"/>
    </w:pPr>
    <w:rPr>
      <w:rFonts w:ascii="Arial" w:hAnsi="Arial"/>
      <w:kern w:val="0"/>
    </w:rPr>
  </w:style>
  <w:style w:type="paragraph" w:customStyle="1" w:styleId="246">
    <w:name w:val="xl91"/>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47">
    <w:name w:val="文2"/>
    <w:basedOn w:val="1"/>
    <w:uiPriority w:val="0"/>
    <w:pPr>
      <w:numPr>
        <w:ilvl w:val="1"/>
        <w:numId w:val="6"/>
      </w:numPr>
      <w:adjustRightInd w:val="0"/>
      <w:spacing w:before="60" w:after="60" w:line="400" w:lineRule="atLeast"/>
      <w:textAlignment w:val="baseline"/>
    </w:pPr>
    <w:rPr>
      <w:b/>
      <w:kern w:val="0"/>
      <w:sz w:val="24"/>
      <w:szCs w:val="20"/>
    </w:rPr>
  </w:style>
  <w:style w:type="paragraph" w:customStyle="1" w:styleId="248">
    <w:name w:val="_Style 3"/>
    <w:basedOn w:val="1"/>
    <w:qFormat/>
    <w:uiPriority w:val="34"/>
    <w:pPr>
      <w:ind w:firstLine="420" w:firstLineChars="200"/>
    </w:pPr>
    <w:rPr>
      <w:rFonts w:ascii="Verdana" w:hAnsi="Verdana" w:eastAsia="微软雅黑"/>
      <w:szCs w:val="20"/>
    </w:rPr>
  </w:style>
  <w:style w:type="paragraph" w:customStyle="1" w:styleId="249">
    <w:name w:val="默认段落字体 Para Char Char Char Char Char Char Char"/>
    <w:basedOn w:val="1"/>
    <w:uiPriority w:val="0"/>
    <w:pPr>
      <w:spacing w:line="360" w:lineRule="auto"/>
      <w:ind w:firstLine="200" w:firstLineChars="200"/>
    </w:pPr>
    <w:rPr>
      <w:rFonts w:ascii="Tahoma" w:hAnsi="Tahoma"/>
      <w:sz w:val="24"/>
      <w:szCs w:val="20"/>
    </w:rPr>
  </w:style>
  <w:style w:type="paragraph" w:customStyle="1" w:styleId="250">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51">
    <w:name w:val="List Paragraph"/>
    <w:basedOn w:val="1"/>
    <w:qFormat/>
    <w:uiPriority w:val="34"/>
    <w:pPr>
      <w:ind w:firstLine="420" w:firstLineChars="200"/>
    </w:pPr>
    <w:rPr>
      <w:rFonts w:ascii="Calibri" w:hAnsi="Calibri"/>
    </w:rPr>
  </w:style>
  <w:style w:type="paragraph" w:customStyle="1" w:styleId="252">
    <w:name w:val="xl150"/>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53">
    <w:name w:val="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254">
    <w:name w:val="xl51"/>
    <w:basedOn w:val="1"/>
    <w:uiPriority w:val="0"/>
    <w:pPr>
      <w:widowControl/>
      <w:pBdr>
        <w:top w:val="single" w:color="auto" w:sz="4" w:space="0"/>
        <w:bottom w:val="single" w:color="auto" w:sz="4" w:space="0"/>
      </w:pBdr>
      <w:spacing w:before="100" w:beforeAutospacing="1" w:after="100" w:afterAutospacing="1"/>
      <w:jc w:val="right"/>
      <w:textAlignment w:val="center"/>
    </w:pPr>
    <w:rPr>
      <w:kern w:val="0"/>
      <w:sz w:val="20"/>
      <w:szCs w:val="20"/>
    </w:rPr>
  </w:style>
  <w:style w:type="paragraph" w:customStyle="1" w:styleId="255">
    <w:name w:val="xl157"/>
    <w:basedOn w:val="1"/>
    <w:uiPriority w:val="0"/>
    <w:pPr>
      <w:widowControl/>
      <w:pBdr>
        <w:bottom w:val="single" w:color="auto" w:sz="4" w:space="0"/>
      </w:pBdr>
      <w:spacing w:before="100" w:beforeAutospacing="1" w:after="100" w:afterAutospacing="1"/>
      <w:jc w:val="right"/>
    </w:pPr>
    <w:rPr>
      <w:rFonts w:ascii="宋体" w:hAnsi="宋体" w:cs="宋体"/>
      <w:b/>
      <w:bCs/>
      <w:kern w:val="0"/>
      <w:sz w:val="24"/>
    </w:rPr>
  </w:style>
  <w:style w:type="paragraph" w:customStyle="1" w:styleId="256">
    <w:name w:val="Table Paragraph"/>
    <w:basedOn w:val="1"/>
    <w:qFormat/>
    <w:uiPriority w:val="1"/>
    <w:pPr>
      <w:jc w:val="left"/>
    </w:pPr>
    <w:rPr>
      <w:rFonts w:ascii="Calibri" w:hAnsi="Calibri"/>
      <w:kern w:val="0"/>
      <w:sz w:val="22"/>
      <w:szCs w:val="22"/>
      <w:lang w:eastAsia="en-US"/>
    </w:rPr>
  </w:style>
  <w:style w:type="paragraph" w:customStyle="1" w:styleId="257">
    <w:name w:val="样式2"/>
    <w:basedOn w:val="20"/>
    <w:uiPriority w:val="0"/>
    <w:pPr>
      <w:spacing w:after="0" w:line="400" w:lineRule="exact"/>
      <w:jc w:val="center"/>
    </w:pPr>
    <w:rPr>
      <w:rFonts w:ascii="宋体" w:hAnsi="宋体"/>
      <w:sz w:val="24"/>
      <w:szCs w:val="20"/>
    </w:rPr>
  </w:style>
  <w:style w:type="paragraph" w:customStyle="1" w:styleId="258">
    <w:name w:val="样式 小四 行距: 1.5 倍行距 首行缩进:  2 字符"/>
    <w:basedOn w:val="1"/>
    <w:uiPriority w:val="0"/>
    <w:pPr>
      <w:spacing w:line="360" w:lineRule="auto"/>
      <w:ind w:firstLine="480" w:firstLineChars="200"/>
    </w:pPr>
    <w:rPr>
      <w:rFonts w:cs="宋体"/>
      <w:sz w:val="24"/>
      <w:szCs w:val="20"/>
    </w:rPr>
  </w:style>
  <w:style w:type="paragraph" w:customStyle="1" w:styleId="259">
    <w:name w:val="表格"/>
    <w:basedOn w:val="1"/>
    <w:qFormat/>
    <w:uiPriority w:val="0"/>
    <w:pPr>
      <w:adjustRightInd w:val="0"/>
      <w:spacing w:line="360" w:lineRule="atLeast"/>
    </w:pPr>
    <w:rPr>
      <w:rFonts w:ascii="黑体" w:hAnsi="黑体" w:eastAsia="黑体" w:cs="Arial Unicode MS"/>
      <w:szCs w:val="21"/>
    </w:rPr>
  </w:style>
  <w:style w:type="paragraph" w:customStyle="1" w:styleId="260">
    <w:name w:val="样式 首行缩进:  0 字符"/>
    <w:basedOn w:val="1"/>
    <w:qFormat/>
    <w:uiPriority w:val="0"/>
    <w:pPr>
      <w:spacing w:line="360" w:lineRule="auto"/>
      <w:ind w:firstLine="200" w:firstLineChars="200"/>
    </w:pPr>
    <w:rPr>
      <w:rFonts w:ascii="Times New Roman" w:hAnsi="Times New Roman" w:cs="宋体"/>
      <w:sz w:val="24"/>
      <w:szCs w:val="20"/>
    </w:rPr>
  </w:style>
  <w:style w:type="paragraph" w:customStyle="1" w:styleId="261">
    <w:name w:val="xl64"/>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262">
    <w:name w:val="正文缩进1"/>
    <w:basedOn w:val="1"/>
    <w:uiPriority w:val="0"/>
    <w:pPr>
      <w:ind w:firstLine="420" w:firstLineChars="200"/>
    </w:pPr>
    <w:rPr>
      <w:szCs w:val="20"/>
    </w:rPr>
  </w:style>
  <w:style w:type="paragraph" w:customStyle="1" w:styleId="263">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64">
    <w:name w:val="xl148"/>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65">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66">
    <w:name w:val="font7"/>
    <w:basedOn w:val="1"/>
    <w:uiPriority w:val="0"/>
    <w:pPr>
      <w:widowControl/>
      <w:spacing w:before="100" w:beforeAutospacing="1" w:after="100" w:afterAutospacing="1"/>
      <w:jc w:val="left"/>
    </w:pPr>
    <w:rPr>
      <w:rFonts w:hint="eastAsia" w:ascii="宋体" w:hAnsi="宋体"/>
      <w:kern w:val="0"/>
      <w:sz w:val="22"/>
      <w:szCs w:val="20"/>
    </w:rPr>
  </w:style>
  <w:style w:type="paragraph" w:customStyle="1" w:styleId="267">
    <w:name w:val="other"/>
    <w:basedOn w:val="1"/>
    <w:uiPriority w:val="0"/>
    <w:pPr>
      <w:jc w:val="right"/>
    </w:pPr>
    <w:rPr>
      <w:rFonts w:eastAsia="华文中宋"/>
    </w:rPr>
  </w:style>
  <w:style w:type="paragraph" w:customStyle="1" w:styleId="268">
    <w:name w:val="xl83"/>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69">
    <w:name w:val="rmv"/>
    <w:basedOn w:val="1"/>
    <w:uiPriority w:val="0"/>
    <w:pPr>
      <w:widowControl/>
      <w:spacing w:before="100" w:beforeAutospacing="1" w:after="100" w:afterAutospacing="1"/>
      <w:jc w:val="left"/>
    </w:pPr>
    <w:rPr>
      <w:rFonts w:ascii="宋体" w:hAnsi="宋体" w:cs="宋体"/>
      <w:kern w:val="0"/>
      <w:sz w:val="24"/>
    </w:rPr>
  </w:style>
  <w:style w:type="paragraph" w:customStyle="1" w:styleId="270">
    <w:name w:val="xl67"/>
    <w:basedOn w:val="1"/>
    <w:uiPriority w:val="0"/>
    <w:pPr>
      <w:widowControl/>
      <w:pBdr>
        <w:top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271">
    <w:name w:val="Char3 Char Char Char"/>
    <w:basedOn w:val="1"/>
    <w:uiPriority w:val="0"/>
    <w:pPr>
      <w:widowControl/>
      <w:spacing w:after="160" w:line="240" w:lineRule="exact"/>
      <w:jc w:val="left"/>
    </w:pPr>
    <w:rPr>
      <w:szCs w:val="20"/>
    </w:rPr>
  </w:style>
  <w:style w:type="paragraph" w:customStyle="1" w:styleId="272">
    <w:name w:val="Proposals body"/>
    <w:basedOn w:val="1"/>
    <w:next w:val="1"/>
    <w:uiPriority w:val="0"/>
    <w:pPr>
      <w:widowControl/>
      <w:spacing w:line="360" w:lineRule="auto"/>
      <w:jc w:val="left"/>
    </w:pPr>
    <w:rPr>
      <w:rFonts w:ascii="宋体"/>
      <w:snapToGrid w:val="0"/>
      <w:color w:val="000000"/>
      <w:kern w:val="0"/>
      <w:sz w:val="24"/>
      <w:szCs w:val="20"/>
    </w:rPr>
  </w:style>
  <w:style w:type="paragraph" w:customStyle="1" w:styleId="273">
    <w:name w:val="a-标题3"/>
    <w:basedOn w:val="1"/>
    <w:uiPriority w:val="0"/>
    <w:pPr>
      <w:spacing w:line="440" w:lineRule="exact"/>
      <w:jc w:val="left"/>
    </w:pPr>
    <w:rPr>
      <w:rFonts w:ascii="楷体_GB2312" w:hAnsi="Arial Unicode MS" w:eastAsia="楷体_GB2312" w:cs="Arial Unicode MS"/>
      <w:b/>
      <w:sz w:val="28"/>
      <w:szCs w:val="20"/>
    </w:rPr>
  </w:style>
  <w:style w:type="paragraph" w:customStyle="1" w:styleId="274">
    <w:name w:val="xl121"/>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5">
    <w:name w:val="样式 标题 2 + 段前: 0.5 行 段后: 0.5 行"/>
    <w:basedOn w:val="4"/>
    <w:uiPriority w:val="0"/>
    <w:pPr>
      <w:adjustRightInd w:val="0"/>
      <w:spacing w:before="156" w:after="156" w:line="240" w:lineRule="auto"/>
      <w:ind w:firstLine="200" w:firstLineChars="200"/>
      <w:jc w:val="left"/>
      <w:textAlignment w:val="baseline"/>
    </w:pPr>
    <w:rPr>
      <w:rFonts w:ascii="Times New Roman" w:hAnsi="Times New Roman" w:cs="宋体"/>
      <w:b w:val="0"/>
      <w:kern w:val="0"/>
      <w:sz w:val="21"/>
      <w:szCs w:val="21"/>
    </w:rPr>
  </w:style>
  <w:style w:type="paragraph" w:customStyle="1" w:styleId="276">
    <w:name w:val="xl109"/>
    <w:basedOn w:val="1"/>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77">
    <w:name w:val="项目符号2"/>
    <w:basedOn w:val="141"/>
    <w:uiPriority w:val="0"/>
    <w:pPr>
      <w:tabs>
        <w:tab w:val="left" w:pos="735"/>
      </w:tabs>
      <w:ind w:left="735" w:hanging="420"/>
    </w:pPr>
  </w:style>
  <w:style w:type="paragraph" w:customStyle="1" w:styleId="278">
    <w:name w:val="xl108"/>
    <w:basedOn w:val="1"/>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79">
    <w:name w:val="xl84"/>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0">
    <w:name w:val="button"/>
    <w:basedOn w:val="1"/>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281">
    <w:name w:val="xl54"/>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82">
    <w:name w:val="表中"/>
    <w:basedOn w:val="1"/>
    <w:uiPriority w:val="0"/>
    <w:pPr>
      <w:adjustRightInd w:val="0"/>
      <w:spacing w:line="360" w:lineRule="atLeast"/>
      <w:jc w:val="center"/>
      <w:textAlignment w:val="baseline"/>
    </w:pPr>
    <w:rPr>
      <w:kern w:val="0"/>
      <w:szCs w:val="20"/>
    </w:rPr>
  </w:style>
  <w:style w:type="paragraph" w:customStyle="1" w:styleId="283">
    <w:name w:val="font18"/>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84">
    <w:name w:val="xl46"/>
    <w:basedOn w:val="1"/>
    <w:uiPriority w:val="0"/>
    <w:pPr>
      <w:widowControl/>
      <w:spacing w:before="100" w:beforeAutospacing="1" w:after="100" w:afterAutospacing="1"/>
      <w:jc w:val="center"/>
      <w:textAlignment w:val="center"/>
    </w:pPr>
    <w:rPr>
      <w:kern w:val="0"/>
      <w:sz w:val="20"/>
      <w:szCs w:val="20"/>
    </w:rPr>
  </w:style>
  <w:style w:type="paragraph" w:customStyle="1" w:styleId="285">
    <w:name w:val="font8"/>
    <w:basedOn w:val="1"/>
    <w:uiPriority w:val="0"/>
    <w:pPr>
      <w:widowControl/>
      <w:spacing w:before="100" w:beforeAutospacing="1" w:after="100" w:afterAutospacing="1"/>
      <w:jc w:val="left"/>
    </w:pPr>
    <w:rPr>
      <w:rFonts w:hint="eastAsia" w:ascii="宋体" w:hAnsi="宋体"/>
      <w:kern w:val="0"/>
      <w:sz w:val="20"/>
      <w:szCs w:val="20"/>
    </w:rPr>
  </w:style>
  <w:style w:type="paragraph" w:customStyle="1" w:styleId="286">
    <w:name w:val="图表文字"/>
    <w:qFormat/>
    <w:uiPriority w:val="0"/>
    <w:pPr>
      <w:tabs>
        <w:tab w:val="left" w:pos="3850"/>
      </w:tabs>
      <w:spacing w:line="320" w:lineRule="exact"/>
      <w:jc w:val="both"/>
    </w:pPr>
    <w:rPr>
      <w:sz w:val="21"/>
      <w:szCs w:val="21"/>
      <w:lang w:val="en-US" w:eastAsia="zh-CN" w:bidi="ar-SA"/>
    </w:rPr>
  </w:style>
  <w:style w:type="paragraph" w:customStyle="1" w:styleId="287">
    <w:name w:val="xl119"/>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8">
    <w:name w:val="二级条标题"/>
    <w:basedOn w:val="289"/>
    <w:next w:val="290"/>
    <w:uiPriority w:val="0"/>
    <w:pPr>
      <w:tabs>
        <w:tab w:val="left" w:pos="360"/>
      </w:tabs>
      <w:outlineLvl w:val="3"/>
    </w:pPr>
  </w:style>
  <w:style w:type="paragraph" w:customStyle="1" w:styleId="289">
    <w:name w:val="一级条标题"/>
    <w:next w:val="290"/>
    <w:uiPriority w:val="0"/>
    <w:pPr>
      <w:tabs>
        <w:tab w:val="left" w:pos="360"/>
      </w:tabs>
      <w:outlineLvl w:val="2"/>
    </w:pPr>
    <w:rPr>
      <w:rFonts w:eastAsia="黑体"/>
      <w:sz w:val="21"/>
      <w:lang w:val="en-US" w:eastAsia="zh-CN" w:bidi="ar-SA"/>
    </w:rPr>
  </w:style>
  <w:style w:type="paragraph" w:customStyle="1" w:styleId="290">
    <w:name w:val="段"/>
    <w:uiPriority w:val="0"/>
    <w:pPr>
      <w:autoSpaceDE w:val="0"/>
      <w:autoSpaceDN w:val="0"/>
      <w:ind w:firstLine="200" w:firstLineChars="200"/>
      <w:jc w:val="both"/>
    </w:pPr>
    <w:rPr>
      <w:rFonts w:ascii="宋体"/>
      <w:sz w:val="21"/>
      <w:lang w:val="en-US" w:eastAsia="zh-CN" w:bidi="ar-SA"/>
    </w:rPr>
  </w:style>
  <w:style w:type="paragraph" w:customStyle="1" w:styleId="291">
    <w:name w:val="xl72"/>
    <w:basedOn w:val="1"/>
    <w:uiPriority w:val="0"/>
    <w:pPr>
      <w:widowControl/>
      <w:pBdr>
        <w:top w:val="single" w:color="auto" w:sz="4" w:space="0"/>
      </w:pBdr>
      <w:spacing w:before="100" w:beforeAutospacing="1" w:after="100" w:afterAutospacing="1"/>
      <w:jc w:val="left"/>
    </w:pPr>
    <w:rPr>
      <w:rFonts w:ascii="宋体" w:hAnsi="宋体"/>
      <w:kern w:val="0"/>
      <w:sz w:val="24"/>
      <w:szCs w:val="20"/>
    </w:rPr>
  </w:style>
  <w:style w:type="paragraph" w:customStyle="1" w:styleId="292">
    <w:name w:val="正文表格内容（居中）"/>
    <w:basedOn w:val="1"/>
    <w:qFormat/>
    <w:uiPriority w:val="0"/>
    <w:pPr>
      <w:widowControl/>
      <w:jc w:val="center"/>
    </w:pPr>
    <w:rPr>
      <w:rFonts w:ascii="Arial" w:hAnsi="Arial" w:cs="Arial"/>
      <w:kern w:val="0"/>
      <w:szCs w:val="18"/>
    </w:rPr>
  </w:style>
  <w:style w:type="paragraph" w:customStyle="1" w:styleId="293">
    <w:name w:val="xl59"/>
    <w:basedOn w:val="1"/>
    <w:uiPriority w:val="0"/>
    <w:pPr>
      <w:widowControl/>
      <w:spacing w:before="100" w:beforeAutospacing="1" w:after="100" w:afterAutospacing="1"/>
      <w:jc w:val="center"/>
    </w:pPr>
    <w:rPr>
      <w:rFonts w:hint="eastAsia" w:ascii="黑体" w:hAnsi="宋体" w:eastAsia="黑体"/>
      <w:kern w:val="0"/>
      <w:sz w:val="36"/>
      <w:szCs w:val="20"/>
    </w:rPr>
  </w:style>
  <w:style w:type="paragraph" w:customStyle="1" w:styleId="294">
    <w:name w:val="No Spacing1"/>
    <w:uiPriority w:val="0"/>
    <w:rPr>
      <w:rFonts w:ascii="Calibri" w:hAnsi="Calibri"/>
      <w:sz w:val="22"/>
      <w:szCs w:val="22"/>
      <w:lang w:val="en-US" w:eastAsia="en-US" w:bidi="ar-SA"/>
    </w:rPr>
  </w:style>
  <w:style w:type="paragraph" w:customStyle="1" w:styleId="295">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96">
    <w:name w:val="正文1 New"/>
    <w:basedOn w:val="1"/>
    <w:uiPriority w:val="0"/>
    <w:pPr>
      <w:spacing w:line="360" w:lineRule="auto"/>
      <w:ind w:left="1260" w:leftChars="600" w:firstLine="540" w:firstLineChars="257"/>
    </w:pPr>
    <w:rPr>
      <w:rFonts w:ascii="宋体" w:hAnsi="宋体"/>
    </w:rPr>
  </w:style>
  <w:style w:type="paragraph" w:customStyle="1" w:styleId="297">
    <w:name w:val="xl99"/>
    <w:basedOn w:val="1"/>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98">
    <w:name w:val="xl110"/>
    <w:basedOn w:val="1"/>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99">
    <w:name w:val="xl151"/>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00">
    <w:name w:val="项目符号1"/>
    <w:basedOn w:val="141"/>
    <w:uiPriority w:val="0"/>
    <w:pPr>
      <w:numPr>
        <w:ilvl w:val="0"/>
        <w:numId w:val="6"/>
      </w:numPr>
      <w:tabs>
        <w:tab w:val="left" w:pos="420"/>
        <w:tab w:val="left" w:pos="900"/>
        <w:tab w:val="clear" w:pos="1360"/>
      </w:tabs>
      <w:ind w:left="720" w:hanging="420"/>
    </w:pPr>
  </w:style>
  <w:style w:type="paragraph" w:customStyle="1" w:styleId="301">
    <w:name w:val="xl76"/>
    <w:basedOn w:val="1"/>
    <w:uiPriority w:val="0"/>
    <w:pPr>
      <w:widowControl/>
      <w:pBdr>
        <w:bottom w:val="single" w:color="auto" w:sz="4" w:space="0"/>
      </w:pBdr>
      <w:spacing w:before="100" w:beforeAutospacing="1" w:after="100" w:afterAutospacing="1"/>
      <w:jc w:val="left"/>
    </w:pPr>
    <w:rPr>
      <w:rFonts w:ascii="宋体" w:hAnsi="宋体"/>
      <w:kern w:val="0"/>
      <w:sz w:val="22"/>
      <w:szCs w:val="20"/>
    </w:rPr>
  </w:style>
  <w:style w:type="paragraph" w:customStyle="1" w:styleId="302">
    <w:name w:val="样式 首行缩进:  2 字符 行距: 2 倍行距"/>
    <w:basedOn w:val="1"/>
    <w:uiPriority w:val="0"/>
    <w:pPr>
      <w:spacing w:line="360" w:lineRule="auto"/>
      <w:ind w:firstLine="200" w:firstLineChars="200"/>
    </w:pPr>
    <w:rPr>
      <w:rFonts w:cs="宋体"/>
      <w:sz w:val="24"/>
      <w:szCs w:val="20"/>
    </w:rPr>
  </w:style>
  <w:style w:type="paragraph" w:customStyle="1" w:styleId="303">
    <w:name w:val="xl1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4">
    <w:name w:val="封面标准文稿类别"/>
    <w:uiPriority w:val="0"/>
    <w:pPr>
      <w:spacing w:before="440" w:line="400" w:lineRule="exact"/>
      <w:jc w:val="center"/>
    </w:pPr>
    <w:rPr>
      <w:rFonts w:ascii="宋体" w:hAnsi="宋体"/>
      <w:sz w:val="24"/>
      <w:lang w:val="en-US" w:eastAsia="zh-CN" w:bidi="ar-SA"/>
    </w:rPr>
  </w:style>
  <w:style w:type="paragraph" w:customStyle="1" w:styleId="305">
    <w:name w:val="xl88"/>
    <w:basedOn w:val="1"/>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306">
    <w:name w:val="xl27"/>
    <w:basedOn w:val="1"/>
    <w:uiPriority w:val="0"/>
    <w:pPr>
      <w:widowControl/>
      <w:spacing w:before="100" w:beforeAutospacing="1" w:after="100" w:afterAutospacing="1"/>
      <w:jc w:val="left"/>
    </w:pPr>
    <w:rPr>
      <w:rFonts w:ascii="宋体" w:hAnsi="宋体"/>
      <w:kern w:val="0"/>
      <w:sz w:val="24"/>
      <w:szCs w:val="20"/>
    </w:rPr>
  </w:style>
  <w:style w:type="paragraph" w:customStyle="1" w:styleId="307">
    <w:name w:val="文档正文"/>
    <w:basedOn w:val="1"/>
    <w:uiPriority w:val="0"/>
    <w:pPr>
      <w:adjustRightInd w:val="0"/>
      <w:spacing w:line="312" w:lineRule="atLeast"/>
      <w:ind w:firstLine="567"/>
    </w:pPr>
    <w:rPr>
      <w:rFonts w:ascii="Arial" w:eastAsia="长城仿宋"/>
      <w:kern w:val="0"/>
      <w:sz w:val="28"/>
      <w:szCs w:val="20"/>
    </w:rPr>
  </w:style>
  <w:style w:type="paragraph" w:customStyle="1" w:styleId="308">
    <w:name w:val="正文文本样式 加粗"/>
    <w:basedOn w:val="141"/>
    <w:uiPriority w:val="0"/>
    <w:rPr>
      <w:b/>
    </w:rPr>
  </w:style>
  <w:style w:type="paragraph" w:customStyle="1" w:styleId="309">
    <w:name w:val="content"/>
    <w:basedOn w:val="1"/>
    <w:uiPriority w:val="0"/>
    <w:pPr>
      <w:widowControl/>
      <w:spacing w:before="100" w:beforeAutospacing="1" w:after="100" w:afterAutospacing="1"/>
      <w:jc w:val="left"/>
    </w:pPr>
    <w:rPr>
      <w:rFonts w:ascii="宋体" w:hAnsi="宋体" w:cs="宋体"/>
      <w:kern w:val="0"/>
      <w:sz w:val="24"/>
    </w:rPr>
  </w:style>
  <w:style w:type="paragraph" w:customStyle="1" w:styleId="310">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20"/>
    </w:rPr>
  </w:style>
  <w:style w:type="paragraph" w:customStyle="1" w:styleId="311">
    <w:name w:val="无间隔1"/>
    <w:qFormat/>
    <w:uiPriority w:val="0"/>
    <w:rPr>
      <w:rFonts w:ascii="Calibri" w:hAnsi="Calibri"/>
      <w:sz w:val="22"/>
      <w:szCs w:val="22"/>
      <w:lang w:val="en-US" w:eastAsia="en-US" w:bidi="ar-SA"/>
    </w:rPr>
  </w:style>
  <w:style w:type="paragraph" w:customStyle="1" w:styleId="312">
    <w:name w:val="Char Char Char Char Char Char Char Char Char"/>
    <w:basedOn w:val="1"/>
    <w:uiPriority w:val="0"/>
    <w:rPr>
      <w:rFonts w:ascii="Calibri" w:hAnsi="Calibri"/>
      <w:szCs w:val="22"/>
    </w:rPr>
  </w:style>
  <w:style w:type="paragraph" w:customStyle="1" w:styleId="313">
    <w:name w:val="xl147"/>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14">
    <w:name w:val="xl66"/>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15">
    <w:name w:val="xl145"/>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6">
    <w:name w:val="xl144"/>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7">
    <w:name w:val="font12"/>
    <w:basedOn w:val="1"/>
    <w:uiPriority w:val="0"/>
    <w:pPr>
      <w:widowControl/>
      <w:spacing w:before="100" w:beforeAutospacing="1" w:after="100" w:afterAutospacing="1"/>
      <w:jc w:val="left"/>
    </w:pPr>
    <w:rPr>
      <w:kern w:val="0"/>
      <w:sz w:val="18"/>
      <w:szCs w:val="20"/>
    </w:rPr>
  </w:style>
  <w:style w:type="paragraph" w:customStyle="1" w:styleId="318">
    <w:name w:val="xl133"/>
    <w:basedOn w:val="1"/>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19">
    <w:name w:val="CM58"/>
    <w:basedOn w:val="1"/>
    <w:next w:val="1"/>
    <w:uiPriority w:val="0"/>
    <w:pPr>
      <w:autoSpaceDE w:val="0"/>
      <w:autoSpaceDN w:val="0"/>
      <w:adjustRightInd w:val="0"/>
      <w:spacing w:after="298"/>
      <w:jc w:val="left"/>
    </w:pPr>
    <w:rPr>
      <w:rFonts w:ascii="宋体" w:hAnsi="宋体" w:cs="Arial Unicode MS"/>
      <w:kern w:val="0"/>
      <w:sz w:val="24"/>
    </w:rPr>
  </w:style>
  <w:style w:type="paragraph" w:customStyle="1" w:styleId="320">
    <w:name w:val="页眉1"/>
    <w:basedOn w:val="1"/>
    <w:uiPriority w:val="0"/>
    <w:pPr>
      <w:widowControl/>
      <w:pBdr>
        <w:bottom w:val="single" w:color="auto" w:sz="6" w:space="1"/>
      </w:pBdr>
      <w:tabs>
        <w:tab w:val="center" w:pos="4153"/>
        <w:tab w:val="right" w:pos="8306"/>
      </w:tabs>
      <w:snapToGrid w:val="0"/>
      <w:spacing w:beforeLines="50" w:afterLines="50"/>
      <w:jc w:val="center"/>
    </w:pPr>
    <w:rPr>
      <w:sz w:val="18"/>
      <w:szCs w:val="18"/>
    </w:rPr>
  </w:style>
  <w:style w:type="paragraph" w:customStyle="1" w:styleId="321">
    <w:name w:val="xl122"/>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22">
    <w:name w:val="xl137"/>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3">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24">
    <w:name w:val="Char Char1 Char Char Char Char1 Char Char Char"/>
    <w:basedOn w:val="1"/>
    <w:uiPriority w:val="0"/>
    <w:pPr>
      <w:adjustRightInd w:val="0"/>
      <w:spacing w:line="360" w:lineRule="atLeast"/>
      <w:textAlignment w:val="baseline"/>
    </w:pPr>
    <w:rPr>
      <w:rFonts w:ascii="Tahoma" w:hAnsi="Tahoma"/>
      <w:sz w:val="24"/>
      <w:szCs w:val="20"/>
    </w:rPr>
  </w:style>
  <w:style w:type="paragraph" w:customStyle="1" w:styleId="325">
    <w:name w:val="图表脚注"/>
    <w:next w:val="290"/>
    <w:uiPriority w:val="0"/>
    <w:pPr>
      <w:tabs>
        <w:tab w:val="left" w:pos="360"/>
      </w:tabs>
      <w:ind w:left="300" w:leftChars="200" w:hanging="100" w:hangingChars="100"/>
      <w:jc w:val="both"/>
    </w:pPr>
    <w:rPr>
      <w:rFonts w:ascii="宋体"/>
      <w:sz w:val="18"/>
      <w:lang w:val="en-US" w:eastAsia="zh-CN" w:bidi="ar-SA"/>
    </w:rPr>
  </w:style>
  <w:style w:type="paragraph" w:customStyle="1" w:styleId="326">
    <w:name w:val="表1"/>
    <w:basedOn w:val="1"/>
    <w:uiPriority w:val="0"/>
    <w:pPr>
      <w:tabs>
        <w:tab w:val="left" w:pos="780"/>
      </w:tabs>
      <w:overflowPunct w:val="0"/>
      <w:autoSpaceDE w:val="0"/>
      <w:autoSpaceDN w:val="0"/>
      <w:adjustRightInd w:val="0"/>
      <w:spacing w:before="200" w:line="320" w:lineRule="atLeast"/>
      <w:textAlignment w:val="baseline"/>
    </w:pPr>
    <w:rPr>
      <w:kern w:val="0"/>
      <w:sz w:val="24"/>
      <w:szCs w:val="20"/>
    </w:rPr>
  </w:style>
  <w:style w:type="paragraph" w:customStyle="1" w:styleId="327">
    <w:name w:val="前言、引言标题"/>
    <w:next w:val="1"/>
    <w:uiPriority w:val="0"/>
    <w:pPr>
      <w:shd w:val="clear" w:color="FFFFFF" w:fill="FFFFFF"/>
      <w:tabs>
        <w:tab w:val="left" w:pos="360"/>
      </w:tabs>
      <w:spacing w:before="640" w:after="560"/>
      <w:jc w:val="center"/>
      <w:outlineLvl w:val="0"/>
    </w:pPr>
    <w:rPr>
      <w:rFonts w:ascii="黑体" w:eastAsia="黑体"/>
      <w:sz w:val="32"/>
      <w:lang w:val="en-US" w:eastAsia="zh-CN" w:bidi="ar-SA"/>
    </w:rPr>
  </w:style>
  <w:style w:type="paragraph" w:customStyle="1" w:styleId="328">
    <w:name w:val="xl1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29">
    <w:name w:val="xl50"/>
    <w:basedOn w:val="1"/>
    <w:uiPriority w:val="0"/>
    <w:pPr>
      <w:widowControl/>
      <w:pBdr>
        <w:top w:val="single" w:color="auto" w:sz="4" w:space="0"/>
        <w:bottom w:val="single" w:color="auto" w:sz="4" w:space="0"/>
      </w:pBdr>
      <w:spacing w:before="100" w:beforeAutospacing="1" w:after="100" w:afterAutospacing="1"/>
      <w:jc w:val="left"/>
      <w:textAlignment w:val="center"/>
    </w:pPr>
    <w:rPr>
      <w:kern w:val="0"/>
      <w:sz w:val="20"/>
      <w:szCs w:val="20"/>
    </w:rPr>
  </w:style>
  <w:style w:type="paragraph" w:customStyle="1" w:styleId="330">
    <w:name w:val="章标题"/>
    <w:next w:val="290"/>
    <w:uiPriority w:val="0"/>
    <w:pPr>
      <w:spacing w:beforeLines="50" w:afterLines="50"/>
      <w:jc w:val="both"/>
      <w:outlineLvl w:val="1"/>
    </w:pPr>
    <w:rPr>
      <w:rFonts w:ascii="黑体" w:eastAsia="黑体"/>
      <w:sz w:val="21"/>
      <w:lang w:val="en-US" w:eastAsia="zh-CN" w:bidi="ar-SA"/>
    </w:rPr>
  </w:style>
  <w:style w:type="paragraph" w:customStyle="1" w:styleId="331">
    <w:name w:val="_Style 2"/>
    <w:basedOn w:val="1"/>
    <w:uiPriority w:val="0"/>
    <w:pPr>
      <w:ind w:firstLine="420" w:firstLineChars="200"/>
    </w:pPr>
    <w:rPr>
      <w:rFonts w:ascii="Calibri" w:hAnsi="Calibri"/>
    </w:rPr>
  </w:style>
  <w:style w:type="paragraph" w:customStyle="1" w:styleId="332">
    <w:name w:val="xl81"/>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33">
    <w:name w:val="xl24"/>
    <w:basedOn w:val="1"/>
    <w:uiPriority w:val="0"/>
    <w:pPr>
      <w:widowControl/>
      <w:spacing w:before="100" w:beforeAutospacing="1" w:after="100" w:afterAutospacing="1"/>
      <w:jc w:val="left"/>
    </w:pPr>
    <w:rPr>
      <w:rFonts w:ascii="宋体" w:hAnsi="宋体"/>
      <w:kern w:val="0"/>
      <w:sz w:val="22"/>
      <w:szCs w:val="20"/>
    </w:rPr>
  </w:style>
  <w:style w:type="paragraph" w:customStyle="1" w:styleId="334">
    <w:name w:val="表格1"/>
    <w:basedOn w:val="1"/>
    <w:uiPriority w:val="0"/>
    <w:pPr>
      <w:widowControl/>
      <w:topLinePunct/>
      <w:adjustRightInd w:val="0"/>
      <w:snapToGrid w:val="0"/>
    </w:pPr>
    <w:rPr>
      <w:rFonts w:ascii="仿宋_GB2312" w:hAnsi="宋体" w:eastAsia="仿宋_GB2312" w:cs="宋体"/>
      <w:b/>
      <w:kern w:val="0"/>
      <w:sz w:val="24"/>
    </w:rPr>
  </w:style>
  <w:style w:type="paragraph" w:customStyle="1" w:styleId="335">
    <w:name w:val="项目编号1"/>
    <w:basedOn w:val="1"/>
    <w:uiPriority w:val="0"/>
    <w:pPr>
      <w:numPr>
        <w:ilvl w:val="0"/>
        <w:numId w:val="5"/>
      </w:numPr>
      <w:spacing w:before="100" w:beforeAutospacing="1" w:after="100" w:afterAutospacing="1" w:line="360" w:lineRule="auto"/>
    </w:pPr>
    <w:rPr>
      <w:sz w:val="24"/>
    </w:rPr>
  </w:style>
  <w:style w:type="paragraph" w:customStyle="1" w:styleId="336">
    <w:name w:val="xl142"/>
    <w:basedOn w:val="1"/>
    <w:uiPriority w:val="0"/>
    <w:pPr>
      <w:widowControl/>
      <w:pBdr>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7">
    <w:name w:val="样式 宋体 小五 左 段前: 5 磅 段后: 5 磅 行距: 1.5 倍行距"/>
    <w:basedOn w:val="1"/>
    <w:uiPriority w:val="0"/>
    <w:pPr>
      <w:widowControl/>
      <w:tabs>
        <w:tab w:val="left" w:pos="5100"/>
      </w:tabs>
      <w:spacing w:line="0" w:lineRule="atLeast"/>
      <w:jc w:val="left"/>
    </w:pPr>
    <w:rPr>
      <w:rFonts w:ascii="宋体" w:hAnsi="宋体"/>
      <w:kern w:val="0"/>
      <w:szCs w:val="20"/>
    </w:rPr>
  </w:style>
  <w:style w:type="paragraph" w:customStyle="1" w:styleId="338">
    <w:name w:val="xl138"/>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39">
    <w:name w:val="xl75"/>
    <w:basedOn w:val="1"/>
    <w:uiPriority w:val="0"/>
    <w:pPr>
      <w:widowControl/>
      <w:spacing w:before="100" w:beforeAutospacing="1" w:after="100" w:afterAutospacing="1"/>
      <w:jc w:val="center"/>
    </w:pPr>
    <w:rPr>
      <w:rFonts w:hint="eastAsia" w:ascii="黑体" w:hAnsi="宋体" w:eastAsia="黑体"/>
      <w:kern w:val="0"/>
      <w:sz w:val="36"/>
      <w:szCs w:val="20"/>
    </w:rPr>
  </w:style>
  <w:style w:type="paragraph" w:customStyle="1" w:styleId="340">
    <w:name w:val="标准"/>
    <w:basedOn w:val="1"/>
    <w:uiPriority w:val="0"/>
    <w:pPr>
      <w:tabs>
        <w:tab w:val="left" w:pos="8279"/>
      </w:tabs>
      <w:adjustRightInd w:val="0"/>
      <w:jc w:val="left"/>
      <w:textAlignment w:val="baseline"/>
    </w:pPr>
    <w:rPr>
      <w:rFonts w:ascii="宋体"/>
      <w:b/>
      <w:spacing w:val="4"/>
      <w:kern w:val="0"/>
      <w:sz w:val="24"/>
      <w:szCs w:val="20"/>
    </w:rPr>
  </w:style>
  <w:style w:type="paragraph" w:customStyle="1" w:styleId="341">
    <w:name w:val="font19"/>
    <w:basedOn w:val="1"/>
    <w:uiPriority w:val="0"/>
    <w:pPr>
      <w:widowControl/>
      <w:spacing w:before="100" w:beforeAutospacing="1" w:after="100" w:afterAutospacing="1"/>
      <w:jc w:val="left"/>
    </w:pPr>
    <w:rPr>
      <w:rFonts w:ascii="宋体" w:hAnsi="宋体" w:cs="宋体"/>
      <w:b/>
      <w:bCs/>
      <w:color w:val="DD0806"/>
      <w:kern w:val="0"/>
      <w:sz w:val="20"/>
      <w:szCs w:val="20"/>
    </w:rPr>
  </w:style>
  <w:style w:type="paragraph" w:customStyle="1" w:styleId="342">
    <w:name w:val="xl90"/>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43">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44">
    <w:name w:val="xl52"/>
    <w:basedOn w:val="1"/>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345">
    <w:name w:val="[Normal]"/>
    <w:basedOn w:val="1"/>
    <w:uiPriority w:val="0"/>
    <w:pPr>
      <w:widowControl/>
      <w:jc w:val="left"/>
    </w:pPr>
    <w:rPr>
      <w:rFonts w:ascii="宋体" w:hAnsi="宋体"/>
      <w:kern w:val="0"/>
      <w:sz w:val="24"/>
    </w:rPr>
  </w:style>
  <w:style w:type="paragraph" w:customStyle="1" w:styleId="346">
    <w:name w:val="正文1"/>
    <w:uiPriority w:val="0"/>
    <w:pPr>
      <w:widowControl w:val="0"/>
      <w:adjustRightInd w:val="0"/>
      <w:spacing w:line="312" w:lineRule="atLeast"/>
      <w:jc w:val="both"/>
      <w:textAlignment w:val="baseline"/>
    </w:pPr>
    <w:rPr>
      <w:rFonts w:ascii="宋体" w:hAnsi="宋体"/>
      <w:sz w:val="24"/>
      <w:lang w:val="en-US" w:eastAsia="zh-CN" w:bidi="ar-SA"/>
    </w:rPr>
  </w:style>
  <w:style w:type="paragraph" w:customStyle="1" w:styleId="347">
    <w:name w:val="xl61"/>
    <w:basedOn w:val="1"/>
    <w:uiPriority w:val="0"/>
    <w:pPr>
      <w:widowControl/>
      <w:pBdr>
        <w:bottom w:val="single" w:color="auto" w:sz="4" w:space="0"/>
      </w:pBdr>
      <w:spacing w:before="100" w:beforeAutospacing="1" w:after="100" w:afterAutospacing="1"/>
      <w:jc w:val="center"/>
    </w:pPr>
    <w:rPr>
      <w:kern w:val="0"/>
      <w:sz w:val="22"/>
      <w:szCs w:val="20"/>
    </w:rPr>
  </w:style>
  <w:style w:type="paragraph" w:customStyle="1" w:styleId="348">
    <w:name w:val="xl140"/>
    <w:basedOn w:val="1"/>
    <w:uiPriority w:val="0"/>
    <w:pPr>
      <w:widowControl/>
      <w:pBdr>
        <w:top w:val="single" w:color="auto" w:sz="4" w:space="0"/>
        <w:left w:val="single" w:color="auto" w:sz="4" w:space="0"/>
        <w:right w:val="single" w:color="auto" w:sz="4" w:space="0"/>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349">
    <w:name w:val="SANGFOR_6_正文"/>
    <w:basedOn w:val="1"/>
    <w:qFormat/>
    <w:uiPriority w:val="0"/>
    <w:pPr>
      <w:spacing w:line="360" w:lineRule="auto"/>
    </w:pPr>
    <w:rPr>
      <w:rFonts w:ascii="Calibri" w:hAnsi="Calibri"/>
      <w:szCs w:val="21"/>
    </w:rPr>
  </w:style>
  <w:style w:type="paragraph" w:customStyle="1" w:styleId="350">
    <w:name w:val="样式1"/>
    <w:basedOn w:val="3"/>
    <w:uiPriority w:val="0"/>
    <w:pPr>
      <w:adjustRightInd w:val="0"/>
      <w:spacing w:before="240" w:after="240" w:line="360" w:lineRule="auto"/>
      <w:jc w:val="left"/>
      <w:textAlignment w:val="baseline"/>
    </w:pPr>
    <w:rPr>
      <w:rFonts w:ascii="宋体" w:hAnsi="宋体" w:cs="Arial Unicode MS"/>
      <w:bCs w:val="0"/>
      <w:sz w:val="32"/>
      <w:szCs w:val="20"/>
    </w:rPr>
  </w:style>
  <w:style w:type="paragraph" w:customStyle="1" w:styleId="351">
    <w:name w:val="font5"/>
    <w:basedOn w:val="1"/>
    <w:uiPriority w:val="0"/>
    <w:pPr>
      <w:widowControl/>
      <w:spacing w:before="100" w:beforeAutospacing="1" w:after="100" w:afterAutospacing="1"/>
      <w:jc w:val="left"/>
    </w:pPr>
    <w:rPr>
      <w:rFonts w:hint="eastAsia" w:ascii="宋体" w:hAnsi="宋体"/>
      <w:kern w:val="0"/>
      <w:sz w:val="18"/>
      <w:szCs w:val="20"/>
    </w:rPr>
  </w:style>
  <w:style w:type="paragraph" w:customStyle="1" w:styleId="352">
    <w:name w:val="Char Char Char Char Char Char Char"/>
    <w:basedOn w:val="1"/>
    <w:uiPriority w:val="0"/>
    <w:pPr>
      <w:tabs>
        <w:tab w:val="left" w:pos="432"/>
      </w:tabs>
      <w:ind w:left="432" w:hanging="432"/>
    </w:pPr>
    <w:rPr>
      <w:rFonts w:ascii="Tahoma" w:hAnsi="Tahoma"/>
      <w:sz w:val="24"/>
      <w:szCs w:val="20"/>
    </w:rPr>
  </w:style>
  <w:style w:type="paragraph" w:customStyle="1" w:styleId="353">
    <w:name w:val="xl155"/>
    <w:basedOn w:val="1"/>
    <w:uiPriority w:val="0"/>
    <w:pPr>
      <w:widowControl/>
      <w:pBdr>
        <w:top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54">
    <w:name w:val="xl45"/>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55">
    <w:name w:val="xl42"/>
    <w:basedOn w:val="1"/>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356">
    <w:name w:val="xl1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57">
    <w:name w:val="xl49"/>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58">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59">
    <w:name w:val="正文段"/>
    <w:basedOn w:val="1"/>
    <w:uiPriority w:val="0"/>
    <w:pPr>
      <w:widowControl/>
      <w:snapToGrid w:val="0"/>
      <w:spacing w:after="50" w:afterLines="50"/>
      <w:ind w:firstLine="200" w:firstLineChars="200"/>
    </w:pPr>
    <w:rPr>
      <w:kern w:val="0"/>
      <w:sz w:val="24"/>
      <w:szCs w:val="20"/>
    </w:rPr>
  </w:style>
  <w:style w:type="paragraph" w:customStyle="1" w:styleId="360">
    <w:name w:val="xl74"/>
    <w:basedOn w:val="1"/>
    <w:uiPriority w:val="0"/>
    <w:pPr>
      <w:widowControl/>
      <w:spacing w:before="100" w:beforeAutospacing="1" w:after="100" w:afterAutospacing="1"/>
      <w:jc w:val="left"/>
    </w:pPr>
    <w:rPr>
      <w:kern w:val="0"/>
      <w:sz w:val="24"/>
      <w:szCs w:val="20"/>
    </w:rPr>
  </w:style>
  <w:style w:type="paragraph" w:customStyle="1" w:styleId="361">
    <w:name w:val="章正文"/>
    <w:basedOn w:val="1"/>
    <w:uiPriority w:val="0"/>
    <w:pPr>
      <w:spacing w:beforeLines="50" w:after="120" w:line="300" w:lineRule="auto"/>
      <w:ind w:firstLine="480"/>
    </w:pPr>
    <w:rPr>
      <w:rFonts w:ascii="Helvetica" w:hAnsi="Helvetica"/>
      <w:kern w:val="0"/>
      <w:sz w:val="24"/>
    </w:rPr>
  </w:style>
  <w:style w:type="paragraph" w:customStyle="1" w:styleId="362">
    <w:name w:val="样式 样式 标题 2 + 段前: 0.5 行 段后: 0.5 行 + 首行缩进:  2 字符 段前: 0.5 行 段后: 0..."/>
    <w:basedOn w:val="275"/>
    <w:uiPriority w:val="0"/>
    <w:pPr>
      <w:spacing w:before="50" w:after="50"/>
      <w:ind w:firstLine="0" w:firstLineChars="0"/>
    </w:pPr>
    <w:rPr>
      <w:rFonts w:cs="Times New Roman"/>
      <w:bCs w:val="0"/>
      <w:szCs w:val="20"/>
    </w:rPr>
  </w:style>
  <w:style w:type="paragraph" w:customStyle="1" w:styleId="363">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64">
    <w:name w:val="Char Char1 Char Char Char Char Char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365">
    <w:name w:val="xl101"/>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66">
    <w:name w:val="xl1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67">
    <w:name w:val="xl13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68">
    <w:name w:val="xl80"/>
    <w:basedOn w:val="1"/>
    <w:uiPriority w:val="0"/>
    <w:pPr>
      <w:widowControl/>
      <w:pBdr>
        <w:bottom w:val="single" w:color="auto" w:sz="4" w:space="0"/>
      </w:pBdr>
      <w:spacing w:before="100" w:beforeAutospacing="1" w:after="100" w:afterAutospacing="1"/>
      <w:jc w:val="right"/>
    </w:pPr>
    <w:rPr>
      <w:rFonts w:ascii="宋体" w:hAnsi="宋体"/>
      <w:kern w:val="0"/>
      <w:sz w:val="22"/>
      <w:szCs w:val="20"/>
    </w:rPr>
  </w:style>
  <w:style w:type="paragraph" w:customStyle="1" w:styleId="369">
    <w:name w:val="xl98"/>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70">
    <w:name w:val="Char19"/>
    <w:basedOn w:val="1"/>
    <w:uiPriority w:val="0"/>
    <w:rPr>
      <w:szCs w:val="20"/>
    </w:rPr>
  </w:style>
  <w:style w:type="paragraph" w:customStyle="1" w:styleId="371">
    <w:name w:val="pa-2"/>
    <w:basedOn w:val="1"/>
    <w:uiPriority w:val="0"/>
    <w:pPr>
      <w:widowControl/>
      <w:spacing w:line="240" w:lineRule="atLeast"/>
    </w:pPr>
    <w:rPr>
      <w:rFonts w:ascii="宋体" w:hAnsi="宋体" w:cs="宋体"/>
      <w:kern w:val="0"/>
      <w:sz w:val="24"/>
    </w:rPr>
  </w:style>
  <w:style w:type="paragraph" w:customStyle="1" w:styleId="372">
    <w:name w:val="font17"/>
    <w:basedOn w:val="1"/>
    <w:uiPriority w:val="0"/>
    <w:pPr>
      <w:widowControl/>
      <w:spacing w:before="100" w:beforeAutospacing="1" w:after="100" w:afterAutospacing="1"/>
      <w:jc w:val="left"/>
    </w:pPr>
    <w:rPr>
      <w:rFonts w:ascii="宋体" w:hAnsi="宋体" w:cs="宋体"/>
      <w:color w:val="DD0806"/>
      <w:kern w:val="0"/>
      <w:sz w:val="20"/>
      <w:szCs w:val="20"/>
    </w:rPr>
  </w:style>
  <w:style w:type="paragraph" w:customStyle="1" w:styleId="373">
    <w:name w:val="xl53"/>
    <w:basedOn w:val="1"/>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374">
    <w:name w:val="Char Char Char Char Char Char1 Char"/>
    <w:basedOn w:val="1"/>
    <w:uiPriority w:val="0"/>
    <w:pPr>
      <w:widowControl/>
      <w:spacing w:after="160" w:line="240" w:lineRule="exact"/>
      <w:jc w:val="left"/>
    </w:pPr>
    <w:rPr>
      <w:rFonts w:ascii="Verdana" w:hAnsi="Verdana"/>
      <w:kern w:val="0"/>
      <w:szCs w:val="20"/>
      <w:lang w:eastAsia="en-US"/>
    </w:rPr>
  </w:style>
  <w:style w:type="paragraph" w:customStyle="1" w:styleId="375">
    <w:name w:val="样式"/>
    <w:uiPriority w:val="0"/>
    <w:pPr>
      <w:widowControl w:val="0"/>
      <w:adjustRightInd w:val="0"/>
      <w:spacing w:line="360" w:lineRule="auto"/>
      <w:ind w:firstLine="482"/>
      <w:jc w:val="both"/>
      <w:textAlignment w:val="baseline"/>
    </w:pPr>
    <w:rPr>
      <w:sz w:val="24"/>
      <w:lang w:val="en-US" w:eastAsia="zh-CN" w:bidi="ar-SA"/>
    </w:rPr>
  </w:style>
  <w:style w:type="paragraph" w:customStyle="1" w:styleId="376">
    <w:name w:val="xl57"/>
    <w:basedOn w:val="1"/>
    <w:uiPriority w:val="0"/>
    <w:pPr>
      <w:widowControl/>
      <w:spacing w:before="100" w:beforeAutospacing="1" w:after="100" w:afterAutospacing="1"/>
      <w:jc w:val="left"/>
      <w:textAlignment w:val="top"/>
    </w:pPr>
    <w:rPr>
      <w:rFonts w:ascii="宋体" w:hAnsi="宋体"/>
      <w:kern w:val="0"/>
      <w:sz w:val="20"/>
      <w:szCs w:val="20"/>
    </w:rPr>
  </w:style>
  <w:style w:type="paragraph" w:customStyle="1" w:styleId="377">
    <w:name w:val="Blockquote"/>
    <w:basedOn w:val="1"/>
    <w:uiPriority w:val="0"/>
    <w:pPr>
      <w:autoSpaceDE w:val="0"/>
      <w:autoSpaceDN w:val="0"/>
      <w:adjustRightInd w:val="0"/>
      <w:spacing w:before="100" w:after="100"/>
      <w:ind w:left="360" w:right="360"/>
      <w:jc w:val="left"/>
    </w:pPr>
    <w:rPr>
      <w:kern w:val="0"/>
      <w:sz w:val="24"/>
      <w:szCs w:val="20"/>
    </w:rPr>
  </w:style>
  <w:style w:type="paragraph" w:customStyle="1" w:styleId="378">
    <w:name w:val="表文字左边"/>
    <w:basedOn w:val="1"/>
    <w:uiPriority w:val="0"/>
    <w:pPr>
      <w:autoSpaceDE w:val="0"/>
      <w:autoSpaceDN w:val="0"/>
      <w:spacing w:line="320" w:lineRule="exact"/>
      <w:jc w:val="left"/>
      <w:textAlignment w:val="bottom"/>
    </w:pPr>
    <w:rPr>
      <w:rFonts w:ascii="宋体" w:hAnsi="宋体" w:cs="Arial Unicode MS"/>
      <w:sz w:val="28"/>
      <w:szCs w:val="20"/>
    </w:rPr>
  </w:style>
  <w:style w:type="paragraph" w:customStyle="1" w:styleId="379">
    <w:name w:val="xl56"/>
    <w:basedOn w:val="1"/>
    <w:uiPriority w:val="0"/>
    <w:pPr>
      <w:widowControl/>
      <w:pBdr>
        <w:top w:val="single" w:color="auto" w:sz="4" w:space="0"/>
        <w:bottom w:val="single" w:color="auto" w:sz="4" w:space="0"/>
      </w:pBdr>
      <w:spacing w:before="100" w:beforeAutospacing="1" w:after="100" w:afterAutospacing="1"/>
      <w:jc w:val="center"/>
      <w:textAlignment w:val="center"/>
    </w:pPr>
    <w:rPr>
      <w:kern w:val="0"/>
      <w:sz w:val="20"/>
      <w:szCs w:val="20"/>
    </w:rPr>
  </w:style>
  <w:style w:type="paragraph" w:customStyle="1" w:styleId="380">
    <w:name w:val="xl114"/>
    <w:basedOn w:val="1"/>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81">
    <w:name w:val="font0"/>
    <w:basedOn w:val="1"/>
    <w:uiPriority w:val="0"/>
    <w:pPr>
      <w:widowControl/>
      <w:spacing w:before="100" w:beforeAutospacing="1" w:after="100" w:afterAutospacing="1"/>
      <w:jc w:val="left"/>
    </w:pPr>
    <w:rPr>
      <w:rFonts w:hint="eastAsia" w:ascii="宋体" w:hAnsi="宋体"/>
      <w:kern w:val="0"/>
      <w:sz w:val="24"/>
      <w:szCs w:val="20"/>
    </w:rPr>
  </w:style>
  <w:style w:type="paragraph" w:customStyle="1" w:styleId="382">
    <w:name w:val="样式 标题 4H4Ref Heading 1rh1Heading sqlsect 1.2.3.4付标题PIM 4..."/>
    <w:basedOn w:val="6"/>
    <w:uiPriority w:val="0"/>
    <w:pPr>
      <w:spacing w:line="360" w:lineRule="auto"/>
    </w:pPr>
    <w:rPr>
      <w:rFonts w:ascii="楷体_GB2312" w:hAnsi="楷体_GB2312" w:eastAsia="宋体" w:cs="宋体"/>
      <w:szCs w:val="20"/>
    </w:rPr>
  </w:style>
  <w:style w:type="paragraph" w:customStyle="1" w:styleId="383">
    <w:name w:val="目录3"/>
    <w:basedOn w:val="1"/>
    <w:uiPriority w:val="0"/>
    <w:pPr>
      <w:adjustRightInd w:val="0"/>
      <w:spacing w:line="420" w:lineRule="atLeast"/>
      <w:ind w:left="454" w:firstLine="425"/>
      <w:jc w:val="left"/>
      <w:textAlignment w:val="baseline"/>
    </w:pPr>
    <w:rPr>
      <w:kern w:val="0"/>
      <w:szCs w:val="20"/>
    </w:rPr>
  </w:style>
  <w:style w:type="paragraph" w:customStyle="1" w:styleId="384">
    <w:name w:val="font9"/>
    <w:basedOn w:val="1"/>
    <w:uiPriority w:val="0"/>
    <w:pPr>
      <w:widowControl/>
      <w:spacing w:before="100" w:beforeAutospacing="1" w:after="100" w:afterAutospacing="1"/>
      <w:jc w:val="left"/>
    </w:pPr>
    <w:rPr>
      <w:kern w:val="0"/>
      <w:sz w:val="20"/>
      <w:szCs w:val="20"/>
    </w:rPr>
  </w:style>
  <w:style w:type="paragraph" w:customStyle="1" w:styleId="385">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86">
    <w:name w:val="xl26"/>
    <w:basedOn w:val="1"/>
    <w:uiPriority w:val="0"/>
    <w:pPr>
      <w:widowControl/>
      <w:spacing w:before="100" w:beforeAutospacing="1" w:after="100" w:afterAutospacing="1"/>
      <w:jc w:val="left"/>
    </w:pPr>
    <w:rPr>
      <w:rFonts w:ascii="宋体" w:hAnsi="宋体"/>
      <w:kern w:val="0"/>
      <w:sz w:val="24"/>
      <w:szCs w:val="20"/>
    </w:rPr>
  </w:style>
  <w:style w:type="paragraph" w:customStyle="1" w:styleId="387">
    <w:name w:val="xl94"/>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88">
    <w:name w:val="xl73"/>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89">
    <w:name w:val="技标2"/>
    <w:basedOn w:val="5"/>
    <w:uiPriority w:val="0"/>
    <w:pPr>
      <w:keepNext w:val="0"/>
      <w:keepLines w:val="0"/>
      <w:adjustRightInd w:val="0"/>
      <w:snapToGrid w:val="0"/>
      <w:spacing w:before="600" w:after="240" w:line="420" w:lineRule="atLeast"/>
      <w:jc w:val="center"/>
      <w:textAlignment w:val="baseline"/>
    </w:pPr>
    <w:rPr>
      <w:bCs w:val="0"/>
      <w:kern w:val="0"/>
      <w:sz w:val="28"/>
      <w:szCs w:val="20"/>
    </w:rPr>
  </w:style>
  <w:style w:type="paragraph" w:customStyle="1" w:styleId="390">
    <w:name w:val="xl28"/>
    <w:basedOn w:val="1"/>
    <w:uiPriority w:val="0"/>
    <w:pPr>
      <w:widowControl/>
      <w:spacing w:before="100" w:beforeAutospacing="1" w:after="100" w:afterAutospacing="1"/>
      <w:jc w:val="left"/>
    </w:pPr>
    <w:rPr>
      <w:rFonts w:ascii="宋体" w:hAnsi="宋体"/>
      <w:kern w:val="0"/>
      <w:sz w:val="24"/>
      <w:szCs w:val="20"/>
    </w:rPr>
  </w:style>
  <w:style w:type="paragraph" w:customStyle="1" w:styleId="391">
    <w:name w:val="xl1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92">
    <w:name w:val="默认段落字体 Para Char"/>
    <w:basedOn w:val="1"/>
    <w:qFormat/>
    <w:uiPriority w:val="0"/>
    <w:pPr>
      <w:widowControl/>
      <w:topLinePunct/>
      <w:adjustRightInd w:val="0"/>
      <w:snapToGrid w:val="0"/>
      <w:spacing w:before="160" w:after="160" w:line="240" w:lineRule="atLeast"/>
      <w:ind w:left="1701"/>
      <w:jc w:val="left"/>
    </w:pPr>
  </w:style>
  <w:style w:type="paragraph" w:customStyle="1" w:styleId="393">
    <w:name w:val="xl13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394">
    <w:name w:val="二级-章"/>
    <w:uiPriority w:val="0"/>
    <w:pPr>
      <w:tabs>
        <w:tab w:val="left" w:pos="1000"/>
      </w:tabs>
      <w:ind w:left="1000" w:hanging="360"/>
      <w:jc w:val="center"/>
      <w:outlineLvl w:val="1"/>
    </w:pPr>
    <w:rPr>
      <w:rFonts w:ascii="黑体" w:eastAsia="黑体"/>
      <w:sz w:val="36"/>
      <w:szCs w:val="36"/>
      <w:lang w:val="en-US" w:eastAsia="zh-CN" w:bidi="ar-SA"/>
    </w:rPr>
  </w:style>
  <w:style w:type="paragraph" w:customStyle="1" w:styleId="395">
    <w:name w:val="xl58"/>
    <w:basedOn w:val="1"/>
    <w:uiPriority w:val="0"/>
    <w:pPr>
      <w:widowControl/>
      <w:spacing w:before="100" w:beforeAutospacing="1" w:after="100" w:afterAutospacing="1"/>
      <w:jc w:val="left"/>
      <w:textAlignment w:val="top"/>
    </w:pPr>
    <w:rPr>
      <w:rFonts w:ascii="宋体" w:hAnsi="宋体"/>
      <w:kern w:val="0"/>
      <w:sz w:val="20"/>
      <w:szCs w:val="20"/>
    </w:rPr>
  </w:style>
  <w:style w:type="paragraph" w:customStyle="1" w:styleId="396">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97">
    <w:name w:val="xl120"/>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98">
    <w:name w:val="A正文"/>
    <w:basedOn w:val="1"/>
    <w:uiPriority w:val="0"/>
    <w:pPr>
      <w:widowControl/>
      <w:overflowPunct w:val="0"/>
      <w:autoSpaceDE w:val="0"/>
      <w:autoSpaceDN w:val="0"/>
      <w:adjustRightInd w:val="0"/>
      <w:spacing w:line="360" w:lineRule="auto"/>
      <w:ind w:firstLine="200" w:firstLineChars="200"/>
      <w:jc w:val="left"/>
      <w:textAlignment w:val="baseline"/>
    </w:pPr>
    <w:rPr>
      <w:rFonts w:eastAsia="仿宋_GB2312"/>
      <w:kern w:val="0"/>
      <w:sz w:val="24"/>
      <w:szCs w:val="20"/>
    </w:rPr>
  </w:style>
  <w:style w:type="paragraph" w:customStyle="1" w:styleId="399">
    <w:name w:val="说明书2级标题"/>
    <w:basedOn w:val="1"/>
    <w:next w:val="400"/>
    <w:uiPriority w:val="0"/>
    <w:pPr>
      <w:numPr>
        <w:ilvl w:val="2"/>
        <w:numId w:val="7"/>
      </w:numPr>
      <w:spacing w:beforeLines="100"/>
    </w:pPr>
    <w:rPr>
      <w:rFonts w:eastAsia="黑体"/>
      <w:sz w:val="28"/>
      <w:szCs w:val="28"/>
    </w:rPr>
  </w:style>
  <w:style w:type="paragraph" w:customStyle="1" w:styleId="400">
    <w:name w:val="说明书3级标题"/>
    <w:basedOn w:val="1"/>
    <w:next w:val="1"/>
    <w:uiPriority w:val="0"/>
    <w:pPr>
      <w:numPr>
        <w:ilvl w:val="2"/>
        <w:numId w:val="6"/>
      </w:numPr>
      <w:spacing w:line="360" w:lineRule="auto"/>
    </w:pPr>
    <w:rPr>
      <w:rFonts w:eastAsia="黑体"/>
      <w:sz w:val="24"/>
    </w:rPr>
  </w:style>
  <w:style w:type="paragraph" w:customStyle="1" w:styleId="401">
    <w:name w:val="Char Char1 Char"/>
    <w:basedOn w:val="1"/>
    <w:uiPriority w:val="0"/>
    <w:rPr>
      <w:rFonts w:ascii="仿宋_GB2312" w:eastAsia="仿宋_GB2312"/>
      <w:b/>
      <w:sz w:val="32"/>
      <w:szCs w:val="32"/>
    </w:rPr>
  </w:style>
  <w:style w:type="paragraph" w:customStyle="1" w:styleId="402">
    <w:name w:val="xl63"/>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403">
    <w:name w:val="xl47"/>
    <w:basedOn w:val="1"/>
    <w:uiPriority w:val="0"/>
    <w:pPr>
      <w:widowControl/>
      <w:spacing w:before="100" w:beforeAutospacing="1" w:after="100" w:afterAutospacing="1"/>
      <w:jc w:val="left"/>
      <w:textAlignment w:val="center"/>
    </w:pPr>
    <w:rPr>
      <w:rFonts w:ascii="宋体" w:hAnsi="宋体"/>
      <w:kern w:val="0"/>
      <w:sz w:val="18"/>
      <w:szCs w:val="20"/>
    </w:rPr>
  </w:style>
  <w:style w:type="paragraph" w:customStyle="1" w:styleId="404">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405">
    <w:name w:val="xl62"/>
    <w:basedOn w:val="1"/>
    <w:uiPriority w:val="0"/>
    <w:pPr>
      <w:widowControl/>
      <w:pBdr>
        <w:bottom w:val="single" w:color="auto" w:sz="4" w:space="0"/>
      </w:pBdr>
      <w:spacing w:before="100" w:beforeAutospacing="1" w:after="100" w:afterAutospacing="1"/>
      <w:jc w:val="center"/>
    </w:pPr>
    <w:rPr>
      <w:rFonts w:ascii="宋体" w:hAnsi="宋体"/>
      <w:kern w:val="0"/>
      <w:sz w:val="22"/>
      <w:szCs w:val="20"/>
    </w:rPr>
  </w:style>
  <w:style w:type="paragraph" w:customStyle="1" w:styleId="406">
    <w:name w:val="xl70"/>
    <w:basedOn w:val="1"/>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407">
    <w:name w:val="样式 标题 21.1 + 小四"/>
    <w:basedOn w:val="4"/>
    <w:uiPriority w:val="0"/>
    <w:pPr>
      <w:tabs>
        <w:tab w:val="left" w:pos="720"/>
      </w:tabs>
      <w:adjustRightInd w:val="0"/>
      <w:snapToGrid w:val="0"/>
      <w:spacing w:before="0" w:after="0" w:line="360" w:lineRule="auto"/>
      <w:textAlignment w:val="baseline"/>
    </w:pPr>
    <w:rPr>
      <w:rFonts w:ascii="Times New Roman" w:hAnsi="Times New Roman" w:eastAsia="宋体"/>
      <w:b w:val="0"/>
      <w:bCs w:val="0"/>
      <w:kern w:val="0"/>
      <w:sz w:val="24"/>
      <w:szCs w:val="20"/>
    </w:rPr>
  </w:style>
  <w:style w:type="paragraph" w:customStyle="1" w:styleId="408">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09">
    <w:name w:val="xl154"/>
    <w:basedOn w:val="1"/>
    <w:uiPriority w:val="0"/>
    <w:pPr>
      <w:widowControl/>
      <w:pBdr>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410">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411">
    <w:name w:val="Char Char Char Char Char Char"/>
    <w:basedOn w:val="1"/>
    <w:uiPriority w:val="0"/>
    <w:pPr>
      <w:jc w:val="center"/>
    </w:pPr>
    <w:rPr>
      <w:rFonts w:ascii="Tahoma" w:hAnsi="Tahoma"/>
      <w:sz w:val="24"/>
      <w:szCs w:val="20"/>
    </w:rPr>
  </w:style>
  <w:style w:type="paragraph" w:customStyle="1" w:styleId="412">
    <w:name w:val="Char Char Char Char Char Char1 Char Char Char Char Char Char Char Char Char"/>
    <w:basedOn w:val="1"/>
    <w:uiPriority w:val="0"/>
    <w:pPr>
      <w:adjustRightInd w:val="0"/>
      <w:spacing w:line="360" w:lineRule="auto"/>
    </w:pPr>
    <w:rPr>
      <w:rFonts w:eastAsia="Times New Roman"/>
      <w:kern w:val="0"/>
      <w:sz w:val="20"/>
      <w:szCs w:val="20"/>
    </w:rPr>
  </w:style>
  <w:style w:type="paragraph" w:customStyle="1" w:styleId="413">
    <w:name w:val="xl69"/>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414">
    <w:name w:val="标准标题2"/>
    <w:basedOn w:val="4"/>
    <w:uiPriority w:val="0"/>
    <w:pPr>
      <w:spacing w:line="360" w:lineRule="auto"/>
    </w:pPr>
    <w:rPr>
      <w:rFonts w:eastAsia="仿宋_GB2312"/>
      <w:bCs w:val="0"/>
      <w:sz w:val="28"/>
    </w:rPr>
  </w:style>
  <w:style w:type="paragraph" w:customStyle="1" w:styleId="415">
    <w:name w:val="默认段落字体 Para Char Char Char Char Char Char Char Char Char1 Char Char Char Char"/>
    <w:basedOn w:val="1"/>
    <w:uiPriority w:val="0"/>
    <w:rPr>
      <w:rFonts w:ascii="Tahoma" w:hAnsi="Tahoma"/>
      <w:sz w:val="24"/>
      <w:szCs w:val="20"/>
    </w:rPr>
  </w:style>
  <w:style w:type="paragraph" w:customStyle="1" w:styleId="416">
    <w:name w:val="xl152"/>
    <w:basedOn w:val="1"/>
    <w:uiPriority w:val="0"/>
    <w:pPr>
      <w:widowControl/>
      <w:pBdr>
        <w:top w:val="single" w:color="auto" w:sz="4" w:space="0"/>
        <w:left w:val="single" w:color="auto" w:sz="4" w:space="0"/>
        <w:bottom w:val="single" w:color="auto" w:sz="4" w:space="0"/>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417">
    <w:name w:val="font6"/>
    <w:basedOn w:val="1"/>
    <w:uiPriority w:val="0"/>
    <w:pPr>
      <w:widowControl/>
      <w:spacing w:before="100" w:beforeAutospacing="1" w:after="100" w:afterAutospacing="1"/>
      <w:jc w:val="left"/>
    </w:pPr>
    <w:rPr>
      <w:rFonts w:hint="eastAsia" w:ascii="黑体" w:hAnsi="宋体" w:eastAsia="黑体"/>
      <w:kern w:val="0"/>
      <w:sz w:val="36"/>
      <w:szCs w:val="20"/>
    </w:rPr>
  </w:style>
  <w:style w:type="paragraph" w:customStyle="1" w:styleId="418">
    <w:name w:val="xl55"/>
    <w:basedOn w:val="1"/>
    <w:uiPriority w:val="0"/>
    <w:pPr>
      <w:widowControl/>
      <w:pBdr>
        <w:top w:val="single" w:color="auto" w:sz="4" w:space="0"/>
        <w:bottom w:val="single" w:color="auto" w:sz="4" w:space="0"/>
      </w:pBdr>
      <w:spacing w:before="100" w:beforeAutospacing="1" w:after="100" w:afterAutospacing="1"/>
      <w:jc w:val="left"/>
      <w:textAlignment w:val="center"/>
    </w:pPr>
    <w:rPr>
      <w:kern w:val="0"/>
      <w:sz w:val="18"/>
      <w:szCs w:val="20"/>
    </w:rPr>
  </w:style>
  <w:style w:type="paragraph" w:customStyle="1" w:styleId="419">
    <w:name w:val="font10"/>
    <w:basedOn w:val="1"/>
    <w:uiPriority w:val="0"/>
    <w:pPr>
      <w:widowControl/>
      <w:spacing w:before="100" w:beforeAutospacing="1" w:after="100" w:afterAutospacing="1"/>
      <w:jc w:val="left"/>
    </w:pPr>
    <w:rPr>
      <w:kern w:val="0"/>
      <w:sz w:val="22"/>
      <w:szCs w:val="20"/>
    </w:rPr>
  </w:style>
  <w:style w:type="paragraph" w:customStyle="1" w:styleId="420">
    <w:name w:val="xl87"/>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21">
    <w:name w:val="font13"/>
    <w:basedOn w:val="1"/>
    <w:uiPriority w:val="0"/>
    <w:pPr>
      <w:widowControl/>
      <w:spacing w:before="100" w:beforeAutospacing="1" w:after="100" w:afterAutospacing="1"/>
      <w:jc w:val="left"/>
    </w:pPr>
    <w:rPr>
      <w:kern w:val="0"/>
      <w:sz w:val="18"/>
      <w:szCs w:val="20"/>
    </w:rPr>
  </w:style>
  <w:style w:type="paragraph" w:customStyle="1" w:styleId="422">
    <w:name w:val="xl141"/>
    <w:basedOn w:val="1"/>
    <w:uiPriority w:val="0"/>
    <w:pPr>
      <w:widowControl/>
      <w:pBdr>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423">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424">
    <w:name w:val="Char Char6"/>
    <w:basedOn w:val="1"/>
    <w:uiPriority w:val="0"/>
    <w:pPr>
      <w:adjustRightInd w:val="0"/>
      <w:spacing w:line="360" w:lineRule="auto"/>
      <w:ind w:firstLine="480"/>
    </w:pPr>
    <w:rPr>
      <w:rFonts w:ascii="宋体" w:hAnsi="宋体"/>
      <w:kern w:val="0"/>
      <w:sz w:val="24"/>
      <w:szCs w:val="20"/>
    </w:rPr>
  </w:style>
  <w:style w:type="paragraph" w:customStyle="1" w:styleId="425">
    <w:name w:val="正文文本缩进 31"/>
    <w:basedOn w:val="1"/>
    <w:uiPriority w:val="0"/>
    <w:pPr>
      <w:adjustRightInd w:val="0"/>
      <w:spacing w:line="360" w:lineRule="auto"/>
      <w:ind w:firstLine="420"/>
      <w:textAlignment w:val="baseline"/>
    </w:pPr>
    <w:rPr>
      <w:sz w:val="24"/>
      <w:szCs w:val="20"/>
    </w:rPr>
  </w:style>
  <w:style w:type="paragraph" w:customStyle="1" w:styleId="426">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styleId="427">
    <w:name w:val="List Paragraph"/>
    <w:basedOn w:val="1"/>
    <w:qFormat/>
    <w:uiPriority w:val="34"/>
    <w:pPr>
      <w:ind w:firstLine="420" w:firstLineChars="200"/>
    </w:pPr>
  </w:style>
  <w:style w:type="paragraph" w:customStyle="1" w:styleId="428">
    <w:name w:val="xl139"/>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29">
    <w:name w:val="样式 正文"/>
    <w:basedOn w:val="1"/>
    <w:next w:val="1"/>
    <w:uiPriority w:val="0"/>
    <w:pPr>
      <w:widowControl/>
      <w:spacing w:beforeLines="50" w:afterLines="50"/>
      <w:jc w:val="left"/>
    </w:pPr>
    <w:rPr>
      <w:rFonts w:ascii="宋体" w:cs="宋体"/>
      <w:snapToGrid w:val="0"/>
      <w:kern w:val="0"/>
      <w:szCs w:val="20"/>
    </w:rPr>
  </w:style>
  <w:style w:type="paragraph" w:customStyle="1" w:styleId="430">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20"/>
      <w:szCs w:val="20"/>
    </w:rPr>
  </w:style>
  <w:style w:type="paragraph" w:customStyle="1" w:styleId="431">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32">
    <w:name w:val="Char1"/>
    <w:basedOn w:val="1"/>
    <w:uiPriority w:val="0"/>
    <w:rPr>
      <w:rFonts w:ascii="仿宋_GB2312" w:eastAsia="仿宋_GB2312"/>
      <w:b/>
      <w:sz w:val="32"/>
      <w:szCs w:val="32"/>
    </w:rPr>
  </w:style>
  <w:style w:type="paragraph" w:customStyle="1" w:styleId="433">
    <w:name w:val="xl1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434">
    <w:name w:val="xl104"/>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435">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36">
    <w:name w:val="msolistparagraph"/>
    <w:basedOn w:val="1"/>
    <w:uiPriority w:val="0"/>
    <w:pPr>
      <w:widowControl/>
      <w:spacing w:before="100" w:beforeAutospacing="1" w:after="100" w:afterAutospacing="1"/>
      <w:jc w:val="left"/>
    </w:pPr>
    <w:rPr>
      <w:rFonts w:ascii="宋体" w:hAnsi="宋体" w:cs="宋体"/>
      <w:kern w:val="0"/>
      <w:sz w:val="24"/>
    </w:rPr>
  </w:style>
  <w:style w:type="paragraph" w:customStyle="1" w:styleId="437">
    <w:name w:val="font15"/>
    <w:basedOn w:val="1"/>
    <w:uiPriority w:val="0"/>
    <w:pPr>
      <w:widowControl/>
      <w:spacing w:before="100" w:beforeAutospacing="1" w:after="100" w:afterAutospacing="1"/>
      <w:jc w:val="left"/>
    </w:pPr>
    <w:rPr>
      <w:rFonts w:ascii="宋体" w:hAnsi="宋体" w:cs="宋体"/>
      <w:color w:val="DD0806"/>
      <w:kern w:val="0"/>
      <w:sz w:val="20"/>
      <w:szCs w:val="20"/>
    </w:rPr>
  </w:style>
  <w:style w:type="paragraph" w:customStyle="1" w:styleId="438">
    <w:name w:val="标3"/>
    <w:basedOn w:val="1"/>
    <w:uiPriority w:val="0"/>
    <w:pPr>
      <w:tabs>
        <w:tab w:val="left" w:pos="1200"/>
      </w:tabs>
      <w:adjustRightInd w:val="0"/>
      <w:snapToGrid w:val="0"/>
      <w:spacing w:before="50"/>
      <w:ind w:left="1200" w:leftChars="400" w:hanging="360" w:hangingChars="200"/>
      <w:outlineLvl w:val="2"/>
    </w:pPr>
    <w:rPr>
      <w:rFonts w:ascii="Arial Narrow" w:hAnsi="Arial Narrow" w:eastAsia="仿宋_GB2312"/>
      <w:sz w:val="28"/>
      <w:szCs w:val="20"/>
    </w:rPr>
  </w:style>
  <w:style w:type="paragraph" w:customStyle="1" w:styleId="439">
    <w:name w:val="批注框文本 Char Char"/>
    <w:basedOn w:val="1"/>
    <w:uiPriority w:val="0"/>
    <w:rPr>
      <w:sz w:val="18"/>
      <w:szCs w:val="20"/>
    </w:rPr>
  </w:style>
  <w:style w:type="paragraph" w:styleId="440">
    <w:name w:val=""/>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41">
    <w:name w:val="xl146"/>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442">
    <w:name w:val="p0"/>
    <w:basedOn w:val="1"/>
    <w:uiPriority w:val="0"/>
    <w:pPr>
      <w:widowControl/>
      <w:spacing w:line="520" w:lineRule="atLeast"/>
    </w:pPr>
    <w:rPr>
      <w:kern w:val="0"/>
      <w:sz w:val="28"/>
      <w:szCs w:val="28"/>
    </w:rPr>
  </w:style>
  <w:style w:type="paragraph" w:customStyle="1" w:styleId="443">
    <w:name w:val="reader-word-layer reader-word-s1-0 reader-word-s1-6"/>
    <w:basedOn w:val="1"/>
    <w:uiPriority w:val="0"/>
    <w:pPr>
      <w:widowControl/>
      <w:spacing w:before="100" w:beforeAutospacing="1" w:after="100" w:afterAutospacing="1"/>
      <w:jc w:val="left"/>
    </w:pPr>
    <w:rPr>
      <w:rFonts w:ascii="宋体" w:hAnsi="宋体" w:cs="宋体"/>
      <w:kern w:val="0"/>
      <w:sz w:val="24"/>
    </w:rPr>
  </w:style>
  <w:style w:type="paragraph" w:customStyle="1" w:styleId="444">
    <w:name w:val="xl131"/>
    <w:basedOn w:val="1"/>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445">
    <w:name w:val="font20"/>
    <w:basedOn w:val="1"/>
    <w:uiPriority w:val="0"/>
    <w:pPr>
      <w:widowControl/>
      <w:spacing w:before="100" w:beforeAutospacing="1" w:after="100" w:afterAutospacing="1"/>
      <w:jc w:val="left"/>
    </w:pPr>
    <w:rPr>
      <w:rFonts w:ascii="宋体" w:hAnsi="宋体" w:cs="宋体"/>
      <w:b/>
      <w:bCs/>
      <w:kern w:val="0"/>
      <w:sz w:val="20"/>
      <w:szCs w:val="20"/>
    </w:rPr>
  </w:style>
  <w:style w:type="paragraph" w:customStyle="1" w:styleId="446">
    <w:name w:val="Char Char Char 字元 字元"/>
    <w:basedOn w:val="1"/>
    <w:uiPriority w:val="0"/>
    <w:pPr>
      <w:spacing w:line="360" w:lineRule="auto"/>
      <w:ind w:firstLine="200" w:firstLineChars="200"/>
    </w:pPr>
    <w:rPr>
      <w:szCs w:val="20"/>
    </w:rPr>
  </w:style>
  <w:style w:type="paragraph" w:customStyle="1" w:styleId="447">
    <w:name w:val="Char Char Char Char"/>
    <w:basedOn w:val="1"/>
    <w:uiPriority w:val="0"/>
  </w:style>
  <w:style w:type="paragraph" w:customStyle="1" w:styleId="448">
    <w:name w:val="expanded"/>
    <w:basedOn w:val="1"/>
    <w:uiPriority w:val="0"/>
    <w:pPr>
      <w:widowControl/>
      <w:spacing w:before="100" w:beforeAutospacing="1" w:after="100" w:afterAutospacing="1" w:line="272" w:lineRule="atLeast"/>
      <w:jc w:val="left"/>
    </w:pPr>
    <w:rPr>
      <w:rFonts w:ascii="Verdana" w:hAnsi="Verdana" w:cs="Arial"/>
      <w:color w:val="000066"/>
      <w:kern w:val="0"/>
      <w:sz w:val="15"/>
      <w:szCs w:val="15"/>
    </w:rPr>
  </w:style>
  <w:style w:type="paragraph" w:customStyle="1" w:styleId="449">
    <w:name w:val="xl134"/>
    <w:basedOn w:val="1"/>
    <w:uiPriority w:val="0"/>
    <w:pPr>
      <w:widowControl/>
      <w:pBdr>
        <w:top w:val="single" w:color="auto" w:sz="4" w:space="0"/>
        <w:left w:val="single" w:color="auto" w:sz="4" w:space="0"/>
        <w:bottom w:val="single" w:color="auto" w:sz="4" w:space="0"/>
      </w:pBdr>
      <w:shd w:val="clear" w:color="auto" w:fill="C0C0C0"/>
      <w:spacing w:before="100" w:beforeAutospacing="1" w:after="100" w:afterAutospacing="1"/>
      <w:jc w:val="center"/>
      <w:textAlignment w:val="center"/>
    </w:pPr>
    <w:rPr>
      <w:b/>
      <w:bCs/>
      <w:kern w:val="0"/>
      <w:sz w:val="20"/>
      <w:szCs w:val="20"/>
    </w:rPr>
  </w:style>
  <w:style w:type="paragraph" w:customStyle="1" w:styleId="450">
    <w:name w:val="xl25"/>
    <w:basedOn w:val="1"/>
    <w:uiPriority w:val="0"/>
    <w:pPr>
      <w:widowControl/>
      <w:spacing w:before="100" w:beforeAutospacing="1" w:after="100" w:afterAutospacing="1"/>
      <w:jc w:val="center"/>
    </w:pPr>
    <w:rPr>
      <w:rFonts w:ascii="宋体" w:hAnsi="宋体" w:cs="Arial Unicode MS"/>
      <w:kern w:val="0"/>
      <w:sz w:val="24"/>
    </w:rPr>
  </w:style>
  <w:style w:type="paragraph" w:customStyle="1" w:styleId="451">
    <w:name w:val="_Style 103"/>
    <w:basedOn w:val="1"/>
    <w:next w:val="14"/>
    <w:uiPriority w:val="0"/>
    <w:pPr>
      <w:ind w:firstLine="420"/>
    </w:pPr>
    <w:rPr>
      <w:rFonts w:eastAsia="仿宋_GB2312"/>
      <w:sz w:val="32"/>
      <w:szCs w:val="20"/>
    </w:rPr>
  </w:style>
  <w:style w:type="paragraph" w:customStyle="1" w:styleId="452">
    <w:name w:val="xl135"/>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453">
    <w:name w:val="xl8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454">
    <w:name w:val="Char3 Char Char Char Char Char Char Char Char Char"/>
    <w:basedOn w:val="1"/>
    <w:uiPriority w:val="0"/>
    <w:pPr>
      <w:widowControl/>
      <w:tabs>
        <w:tab w:val="left" w:pos="960"/>
      </w:tabs>
      <w:ind w:left="960" w:hanging="420"/>
      <w:jc w:val="left"/>
    </w:pPr>
    <w:rPr>
      <w:rFonts w:ascii="宋体" w:hAnsi="宋体" w:cs="宋体"/>
      <w:kern w:val="0"/>
      <w:sz w:val="24"/>
    </w:rPr>
  </w:style>
  <w:style w:type="paragraph" w:customStyle="1" w:styleId="455">
    <w:name w:val="xl124"/>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6">
    <w:name w:val="xl156"/>
    <w:basedOn w:val="1"/>
    <w:uiPriority w:val="0"/>
    <w:pPr>
      <w:widowControl/>
      <w:spacing w:before="100" w:beforeAutospacing="1" w:after="100" w:afterAutospacing="1"/>
      <w:jc w:val="center"/>
    </w:pPr>
    <w:rPr>
      <w:rFonts w:ascii="宋体" w:hAnsi="宋体" w:cs="宋体"/>
      <w:b/>
      <w:bCs/>
      <w:kern w:val="0"/>
      <w:sz w:val="36"/>
      <w:szCs w:val="36"/>
    </w:rPr>
  </w:style>
  <w:style w:type="paragraph" w:customStyle="1" w:styleId="457">
    <w:name w:val="a-标题2"/>
    <w:basedOn w:val="1"/>
    <w:uiPriority w:val="0"/>
    <w:pPr>
      <w:spacing w:line="440" w:lineRule="exact"/>
      <w:jc w:val="left"/>
    </w:pPr>
    <w:rPr>
      <w:rFonts w:ascii="楷体_GB2312" w:hAnsi="Arial Unicode MS" w:eastAsia="楷体_GB2312" w:cs="Arial Unicode MS"/>
      <w:b/>
      <w:sz w:val="30"/>
      <w:szCs w:val="20"/>
    </w:rPr>
  </w:style>
  <w:style w:type="paragraph" w:customStyle="1" w:styleId="458">
    <w:name w:val="font14"/>
    <w:basedOn w:val="1"/>
    <w:uiPriority w:val="0"/>
    <w:pPr>
      <w:widowControl/>
      <w:spacing w:before="100" w:beforeAutospacing="1" w:after="100" w:afterAutospacing="1"/>
      <w:jc w:val="left"/>
    </w:pPr>
    <w:rPr>
      <w:kern w:val="0"/>
      <w:sz w:val="24"/>
      <w:szCs w:val="20"/>
    </w:rPr>
  </w:style>
  <w:style w:type="paragraph" w:customStyle="1" w:styleId="45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460">
    <w:name w:val="彩色网格 - 强调文字颜色 51"/>
    <w:basedOn w:val="52"/>
    <w:uiPriority w:val="0"/>
    <w:rPr>
      <w:color w:val="000000"/>
    </w:rPr>
    <w:tblPr>
      <w:tblStyle w:val="52"/>
      <w:tblStyleRowBandSize w:val="1"/>
      <w:tblStyleColBandSize w:val="1"/>
      <w:tblBorders>
        <w:insideH w:val="single" w:color="FFFFFF" w:sz="4" w:space="0"/>
      </w:tblBorders>
    </w:tblPr>
    <w:tcPr>
      <w:shd w:val="clear" w:color="auto" w:fill="DAEEF3"/>
    </w:tcPr>
    <w:tblStylePr w:type="firstRow">
      <w:rPr>
        <w:b/>
        <w:bCs/>
      </w:rPr>
      <w:tblPr>
        <w:tblStyle w:val="52"/>
      </w:tblPr>
      <w:tcPr>
        <w:shd w:val="clear" w:color="auto" w:fill="B6DDE8"/>
      </w:tcPr>
    </w:tblStylePr>
    <w:tblStylePr w:type="lastRow">
      <w:rPr>
        <w:b/>
        <w:bCs/>
        <w:color w:val="000000"/>
      </w:rPr>
      <w:tblPr>
        <w:tblStyle w:val="52"/>
      </w:tblPr>
      <w:tcPr>
        <w:shd w:val="clear" w:color="auto" w:fill="B6DDE8"/>
      </w:tcPr>
    </w:tblStylePr>
    <w:tblStylePr w:type="firstCol">
      <w:rPr>
        <w:color w:val="FFFFFF"/>
      </w:rPr>
      <w:tblPr>
        <w:tblStyle w:val="52"/>
      </w:tblPr>
      <w:tcPr>
        <w:shd w:val="clear" w:color="auto" w:fill="31849B"/>
      </w:tcPr>
    </w:tblStylePr>
    <w:tblStylePr w:type="lastCol">
      <w:rPr>
        <w:color w:val="FFFFFF"/>
      </w:rPr>
      <w:tblPr>
        <w:tblStyle w:val="52"/>
      </w:tblPr>
      <w:tcPr>
        <w:shd w:val="clear" w:color="auto" w:fill="31849B"/>
      </w:tcPr>
    </w:tblStylePr>
    <w:tblStylePr w:type="band1Vert">
      <w:tblPr>
        <w:tblStyle w:val="52"/>
      </w:tblPr>
      <w:tcPr>
        <w:shd w:val="clear" w:color="auto" w:fill="A5D5E2"/>
      </w:tcPr>
    </w:tblStylePr>
    <w:tblStylePr w:type="band1Horz">
      <w:tblPr>
        <w:tblStyle w:val="52"/>
      </w:tblPr>
      <w:tcPr>
        <w:shd w:val="clear" w:color="auto" w:fill="A5D5E2"/>
      </w:tcPr>
    </w:tblStylePr>
  </w:style>
  <w:style w:type="table" w:customStyle="1" w:styleId="461">
    <w:name w:val="Table Normal1"/>
    <w:semiHidden/>
    <w:uiPriority w:val="0"/>
    <w:rPr>
      <w:rFonts w:eastAsia="Times New Roman"/>
      <w:lang w:val="en-US" w:eastAsia="zh-CN" w:bidi="ar-SA"/>
    </w:rPr>
    <w:tblPr>
      <w:tblStyle w:val="52"/>
      <w:tblCellMar>
        <w:top w:w="0" w:type="dxa"/>
        <w:left w:w="108" w:type="dxa"/>
        <w:bottom w:w="0" w:type="dxa"/>
        <w:right w:w="108" w:type="dxa"/>
      </w:tblCellMar>
    </w:tblPr>
  </w:style>
  <w:style w:type="table" w:customStyle="1" w:styleId="462">
    <w:name w:val="彩色底纹 - 强调文字颜色 51"/>
    <w:basedOn w:val="52"/>
    <w:uiPriority w:val="0"/>
    <w:rPr>
      <w:color w:val="000000"/>
    </w:rPr>
    <w:tblPr>
      <w:tblStyle w:val="52"/>
      <w:tblStyleRowBandSize w:val="1"/>
      <w:tblStyleColBandSize w:val="1"/>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blStyle w:val="52"/>
      </w:tblPr>
      <w:tcPr>
        <w:tcBorders>
          <w:top w:val="nil"/>
          <w:left w:val="single" w:color="F79646" w:sz="24" w:space="0"/>
          <w:bottom w:val="nil"/>
          <w:right w:val="nil"/>
          <w:insideH w:val="nil"/>
          <w:insideV w:val="nil"/>
          <w:tl2br w:val="nil"/>
          <w:tr2bl w:val="nil"/>
        </w:tcBorders>
        <w:shd w:val="clear" w:color="auto" w:fill="FFFFFF"/>
      </w:tcPr>
    </w:tblStylePr>
    <w:tblStylePr w:type="lastRow">
      <w:rPr>
        <w:b/>
        <w:bCs/>
        <w:color w:val="FFFFFF"/>
      </w:rPr>
      <w:tblPr>
        <w:tblStyle w:val="52"/>
      </w:tblPr>
      <w:tcPr>
        <w:tcBorders>
          <w:top w:val="single" w:color="FFFFFF" w:sz="6" w:space="0"/>
          <w:left w:val="nil"/>
          <w:bottom w:val="nil"/>
          <w:right w:val="nil"/>
          <w:insideH w:val="nil"/>
          <w:insideV w:val="nil"/>
          <w:tl2br w:val="nil"/>
          <w:tr2bl w:val="nil"/>
        </w:tcBorders>
        <w:shd w:val="clear" w:color="auto" w:fill="276A7C"/>
      </w:tcPr>
    </w:tblStylePr>
    <w:tblStylePr w:type="firstCol">
      <w:rPr>
        <w:color w:val="FFFFFF"/>
      </w:rPr>
      <w:tblPr>
        <w:tblStyle w:val="52"/>
      </w:tblPr>
      <w:tcPr>
        <w:tcBorders>
          <w:top w:val="nil"/>
          <w:left w:val="nil"/>
          <w:bottom w:val="nil"/>
          <w:right w:val="nil"/>
          <w:insideH w:val="single" w:sz="4" w:space="0"/>
          <w:insideV w:val="nil"/>
          <w:tl2br w:val="nil"/>
          <w:tr2bl w:val="nil"/>
        </w:tcBorders>
        <w:shd w:val="clear" w:color="auto" w:fill="276A7C"/>
      </w:tcPr>
    </w:tblStylePr>
    <w:tblStylePr w:type="lastCol">
      <w:rPr>
        <w:color w:val="FFFFFF"/>
      </w:rPr>
      <w:tblPr>
        <w:tblStyle w:val="52"/>
      </w:tblPr>
      <w:tcPr>
        <w:tcBorders>
          <w:top w:val="nil"/>
          <w:left w:val="nil"/>
          <w:bottom w:val="nil"/>
          <w:right w:val="nil"/>
          <w:insideH w:val="nil"/>
          <w:insideV w:val="nil"/>
          <w:tl2br w:val="nil"/>
          <w:tr2bl w:val="nil"/>
        </w:tcBorders>
        <w:shd w:val="clear" w:color="auto" w:fill="276A7C"/>
      </w:tcPr>
    </w:tblStylePr>
    <w:tblStylePr w:type="band1Vert">
      <w:tblPr>
        <w:tblStyle w:val="52"/>
      </w:tblPr>
      <w:tcPr>
        <w:shd w:val="clear" w:color="auto" w:fill="B6DDE8"/>
      </w:tcPr>
    </w:tblStylePr>
    <w:tblStylePr w:type="band1Horz">
      <w:tblPr>
        <w:tblStyle w:val="52"/>
      </w:tblPr>
      <w:tcPr>
        <w:shd w:val="clear" w:color="auto" w:fill="A5D5E2"/>
      </w:tcPr>
    </w:tblStylePr>
    <w:tblStylePr w:type="neCell">
      <w:rPr>
        <w:color w:val="000000"/>
      </w:rPr>
    </w:tblStylePr>
    <w:tblStylePr w:type="nwCell">
      <w:rPr>
        <w:color w:val="000000"/>
      </w:rPr>
    </w:tblStylePr>
  </w:style>
  <w:style w:type="table" w:customStyle="1" w:styleId="463">
    <w:name w:val="网格型11"/>
    <w:basedOn w:val="52"/>
    <w:uiPriority w:val="0"/>
    <w:pPr>
      <w:widowControl w:val="0"/>
      <w:jc w:val="both"/>
    </w:pPr>
    <w:tblPr>
      <w:tblStyle w:val="5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4">
    <w:name w:val="中等深浅网格 1 - 强调文字颜色 51"/>
    <w:basedOn w:val="52"/>
    <w:uiPriority w:val="0"/>
    <w:tblPr>
      <w:tblStyle w:val="52"/>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blStyle w:val="52"/>
      </w:tblPr>
      <w:tcPr>
        <w:tcBorders>
          <w:top w:val="single" w:color="78C0D4"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blStyle w:val="52"/>
      </w:tblPr>
      <w:tcPr>
        <w:shd w:val="clear" w:color="auto" w:fill="A5D5E2"/>
      </w:tcPr>
    </w:tblStylePr>
    <w:tblStylePr w:type="band1Horz">
      <w:tblPr>
        <w:tblStyle w:val="52"/>
      </w:tblPr>
      <w:tcPr>
        <w:shd w:val="clear" w:color="auto" w:fill="A5D5E2"/>
      </w:tcPr>
    </w:tblStylePr>
  </w:style>
  <w:style w:type="table" w:customStyle="1" w:styleId="465">
    <w:name w:val="中等深浅列表 1 - 强调文字颜色 51"/>
    <w:basedOn w:val="52"/>
    <w:uiPriority w:val="0"/>
    <w:rPr>
      <w:color w:val="000000"/>
    </w:rPr>
    <w:tblPr>
      <w:tblStyle w:val="52"/>
      <w:tblStyleRowBandSize w:val="1"/>
      <w:tblStyleColBandSize w:val="1"/>
      <w:tblBorders>
        <w:top w:val="single" w:color="4BACC6" w:sz="8" w:space="0"/>
        <w:bottom w:val="single" w:color="4BACC6" w:sz="8" w:space="0"/>
      </w:tblBorders>
    </w:tblPr>
    <w:tblStylePr w:type="firstRow">
      <w:rPr>
        <w:rFonts w:eastAsia="黑体" w:cs="Times New Roman"/>
      </w:rPr>
      <w:tblPr>
        <w:tblStyle w:val="52"/>
      </w:tblPr>
      <w:tcPr>
        <w:tcBorders>
          <w:top w:val="nil"/>
          <w:left w:val="single" w:color="4BACC6" w:sz="8" w:space="0"/>
          <w:bottom w:val="nil"/>
          <w:right w:val="nil"/>
          <w:insideH w:val="nil"/>
          <w:insideV w:val="nil"/>
          <w:tl2br w:val="nil"/>
          <w:tr2bl w:val="nil"/>
        </w:tcBorders>
      </w:tcPr>
    </w:tblStylePr>
    <w:tblStylePr w:type="lastRow">
      <w:rPr>
        <w:b/>
        <w:bCs/>
        <w:color w:val="1F497D"/>
      </w:rPr>
      <w:tblPr>
        <w:tblStyle w:val="52"/>
      </w:tblPr>
      <w:tcPr>
        <w:tcBorders>
          <w:top w:val="single" w:color="4BACC6" w:sz="8" w:space="0"/>
          <w:left w:val="single" w:color="4BACC6" w:sz="8" w:space="0"/>
          <w:bottom w:val="nil"/>
          <w:right w:val="nil"/>
          <w:insideH w:val="nil"/>
          <w:insideV w:val="nil"/>
          <w:tl2br w:val="nil"/>
          <w:tr2bl w:val="nil"/>
        </w:tcBorders>
      </w:tcPr>
    </w:tblStylePr>
    <w:tblStylePr w:type="firstCol">
      <w:rPr>
        <w:b/>
        <w:bCs/>
      </w:rPr>
    </w:tblStylePr>
    <w:tblStylePr w:type="lastCol">
      <w:rPr>
        <w:b/>
        <w:bCs/>
      </w:rPr>
      <w:tblPr>
        <w:tblStyle w:val="52"/>
      </w:tblPr>
      <w:tcPr>
        <w:tcBorders>
          <w:top w:val="single" w:color="4BACC6" w:sz="8" w:space="0"/>
          <w:left w:val="single" w:color="4BACC6" w:sz="8" w:space="0"/>
          <w:bottom w:val="nil"/>
          <w:right w:val="nil"/>
          <w:insideH w:val="nil"/>
          <w:insideV w:val="nil"/>
          <w:tl2br w:val="nil"/>
          <w:tr2bl w:val="nil"/>
        </w:tcBorders>
      </w:tcPr>
    </w:tblStylePr>
    <w:tblStylePr w:type="band1Vert">
      <w:tblPr>
        <w:tblStyle w:val="52"/>
      </w:tblPr>
      <w:tcPr>
        <w:shd w:val="clear" w:color="auto" w:fill="D2EAF1"/>
      </w:tcPr>
    </w:tblStylePr>
    <w:tblStylePr w:type="band1Horz">
      <w:tblPr>
        <w:tblStyle w:val="52"/>
      </w:tblPr>
      <w:tcPr>
        <w:shd w:val="clear" w:color="auto" w:fill="D2EAF1"/>
      </w:tcPr>
    </w:tblStylePr>
  </w:style>
  <w:style w:type="table" w:customStyle="1" w:styleId="466">
    <w:name w:val="Table Normal"/>
    <w:semiHidden/>
    <w:uiPriority w:val="0"/>
    <w:rPr>
      <w:rFonts w:eastAsia="Times New Roman"/>
      <w:lang w:val="en-US" w:eastAsia="zh-CN" w:bidi="ar-SA"/>
    </w:rPr>
    <w:tblPr>
      <w:tblStyle w:val="52"/>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theme/theme1.xml" Type="http://schemas.openxmlformats.org/officeDocument/2006/relationships/theme"/><Relationship Id="rId13" Target="media/image1.jpeg" Type="http://schemas.openxmlformats.org/officeDocument/2006/relationships/image"/><Relationship Id="rId14" Target="../customXml/item1.xml" Type="http://schemas.openxmlformats.org/officeDocument/2006/relationships/customXml"/><Relationship Id="rId15" Target="numbering.xml" Type="http://schemas.openxmlformats.org/officeDocument/2006/relationships/numbering"/><Relationship Id="rId16"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pjjsj</Company>
  <Pages>73</Pages>
  <Words>9710</Words>
  <Characters>55353</Characters>
  <Lines>461</Lines>
  <Paragraphs>129</Paragraphs>
  <TotalTime>0</TotalTime>
  <ScaleCrop>false</ScaleCrop>
  <LinksUpToDate>false</LinksUpToDate>
  <CharactersWithSpaces>64934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2019-07-03T13:10:00Z</dcterms:created>
  <dc:creator>Lenovo User</dc:creator>
  <cp:lastModifiedBy>WPS_1701756769</cp:lastModifiedBy>
  <cp:lastPrinted>2018-04-17T01:35:00Z</cp:lastPrinted>
  <dcterms:modified xsi:type="dcterms:W3CDTF">2024-02-22T07:17:21Z</dcterms:modified>
  <cp:revision>43</cp:revision>
  <dc:title>浦江县公共资源交易中心关于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0414CABDFFFE41589AA9C4DCD68D9585_13</vt:lpwstr>
  </property>
</Properties>
</file>