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b/>
          <w:sz w:val="44"/>
          <w:szCs w:val="44"/>
        </w:rPr>
      </w:pPr>
      <w:bookmarkStart w:id="0" w:name="_Toc30463"/>
      <w:r>
        <w:rPr>
          <w:rFonts w:hint="eastAsia" w:ascii="宋体"/>
          <w:b/>
          <w:sz w:val="44"/>
          <w:szCs w:val="44"/>
        </w:rPr>
        <w:t>政府采购招标文件确认表</w:t>
      </w:r>
      <w:bookmarkEnd w:id="0"/>
    </w:p>
    <w:p>
      <w:pPr>
        <w:spacing w:line="360" w:lineRule="auto"/>
        <w:jc w:val="center"/>
        <w:rPr>
          <w:rFonts w:ascii="仿宋_GB2312" w:eastAsia="仿宋_GB2312"/>
          <w:sz w:val="44"/>
          <w:szCs w:val="20"/>
        </w:rPr>
      </w:pPr>
    </w:p>
    <w:tbl>
      <w:tblPr>
        <w:tblStyle w:val="34"/>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963"/>
        <w:gridCol w:w="3406"/>
        <w:gridCol w:w="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30"/>
              </w:rPr>
            </w:pPr>
            <w:r>
              <w:rPr>
                <w:rFonts w:hint="eastAsia" w:ascii="仿宋_GB2312" w:eastAsia="仿宋_GB2312"/>
                <w:sz w:val="30"/>
              </w:rPr>
              <w:t>采购单位</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eastAsia="仿宋_GB2312"/>
                <w:bCs/>
                <w:sz w:val="32"/>
                <w:szCs w:val="32"/>
                <w:lang w:val="en-US" w:eastAsia="zh-CN"/>
              </w:rPr>
            </w:pPr>
            <w:r>
              <w:rPr>
                <w:rFonts w:hint="eastAsia" w:ascii="仿宋_GB2312" w:eastAsia="仿宋_GB2312"/>
                <w:sz w:val="30"/>
              </w:rPr>
              <w:t>磐安县</w:t>
            </w:r>
            <w:r>
              <w:rPr>
                <w:rFonts w:hint="eastAsia" w:ascii="仿宋_GB2312" w:eastAsia="仿宋_GB2312"/>
                <w:sz w:val="30"/>
                <w:lang w:val="en-US" w:eastAsia="zh-CN"/>
              </w:rPr>
              <w:t>中药产业发展促进中心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Pr>
                <w:rFonts w:ascii="仿宋_GB2312" w:eastAsia="仿宋_GB2312"/>
                <w:sz w:val="30"/>
              </w:rPr>
            </w:pPr>
            <w:r>
              <w:rPr>
                <w:rFonts w:hint="eastAsia" w:ascii="仿宋_GB2312" w:eastAsia="仿宋_GB2312"/>
                <w:sz w:val="30"/>
              </w:rPr>
              <w:t>招标单位</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bCs/>
                <w:sz w:val="32"/>
                <w:szCs w:val="32"/>
              </w:rPr>
            </w:pPr>
            <w:r>
              <w:rPr>
                <w:rFonts w:hint="eastAsia" w:ascii="仿宋_GB2312" w:eastAsia="仿宋_GB2312"/>
                <w:sz w:val="30"/>
              </w:rPr>
              <w:t>浙江展图工程咨询有限公司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Pr>
                <w:rFonts w:ascii="仿宋_GB2312" w:eastAsia="仿宋_GB2312"/>
                <w:sz w:val="30"/>
              </w:rPr>
            </w:pPr>
            <w:r>
              <w:rPr>
                <w:rFonts w:hint="eastAsia" w:ascii="仿宋_GB2312" w:eastAsia="仿宋_GB2312"/>
                <w:sz w:val="30"/>
              </w:rPr>
              <w:t>招标项目名称</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eastAsia="仿宋_GB2312"/>
                <w:sz w:val="18"/>
                <w:szCs w:val="18"/>
                <w:lang w:eastAsia="zh-CN"/>
              </w:rPr>
            </w:pPr>
            <w:r>
              <w:rPr>
                <w:rFonts w:hint="default" w:ascii="仿宋_GB2312" w:eastAsia="仿宋_GB2312"/>
                <w:sz w:val="30"/>
                <w:lang w:eastAsia="zh-CN"/>
              </w:rPr>
              <w:t>中药产业大脑(磐安县中药材产业发展智慧云平台项目三期)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Pr>
                <w:rFonts w:ascii="仿宋_GB2312" w:eastAsia="仿宋_GB2312"/>
                <w:sz w:val="30"/>
              </w:rPr>
            </w:pPr>
            <w:r>
              <w:rPr>
                <w:rFonts w:hint="eastAsia" w:ascii="仿宋_GB2312" w:eastAsia="仿宋_GB2312"/>
                <w:sz w:val="30"/>
              </w:rPr>
              <w:t>财政审批号</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bCs/>
                <w:sz w:val="32"/>
                <w:szCs w:val="32"/>
              </w:rPr>
            </w:pPr>
            <w:r>
              <w:rPr>
                <w:rFonts w:hint="eastAsia" w:ascii="仿宋_GB2312" w:eastAsia="仿宋_GB2312"/>
                <w:sz w:val="28"/>
                <w:szCs w:val="28"/>
              </w:rPr>
              <w:t>磐财采确临【</w:t>
            </w:r>
            <w:r>
              <w:rPr>
                <w:rFonts w:hint="eastAsia" w:eastAsia="仿宋_GB2312"/>
                <w:bCs/>
                <w:sz w:val="32"/>
                <w:szCs w:val="32"/>
                <w:lang w:val="en-US" w:eastAsia="zh-CN"/>
              </w:rPr>
              <w:t>2022</w:t>
            </w:r>
            <w:r>
              <w:rPr>
                <w:rFonts w:hint="eastAsia" w:ascii="仿宋_GB2312" w:eastAsia="仿宋_GB2312"/>
                <w:sz w:val="28"/>
                <w:szCs w:val="28"/>
              </w:rPr>
              <w:t>】</w:t>
            </w:r>
            <w:r>
              <w:rPr>
                <w:rFonts w:hint="eastAsia" w:eastAsia="仿宋_GB2312"/>
                <w:bCs/>
                <w:sz w:val="32"/>
                <w:szCs w:val="32"/>
                <w:lang w:val="en-US" w:eastAsia="zh-CN"/>
              </w:rPr>
              <w:t>1345</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Pr>
                <w:rFonts w:ascii="仿宋_GB2312" w:eastAsia="仿宋_GB2312"/>
                <w:sz w:val="30"/>
              </w:rPr>
            </w:pPr>
            <w:r>
              <w:rPr>
                <w:rFonts w:hint="eastAsia" w:ascii="仿宋_GB2312" w:eastAsia="仿宋_GB2312"/>
                <w:sz w:val="30"/>
              </w:rPr>
              <w:t>招标项目编号</w:t>
            </w:r>
          </w:p>
        </w:tc>
        <w:tc>
          <w:tcPr>
            <w:tcW w:w="78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仿宋_GB2312"/>
                <w:bCs/>
                <w:sz w:val="32"/>
                <w:szCs w:val="32"/>
                <w:lang w:val="en-US" w:eastAsia="zh-CN"/>
              </w:rPr>
            </w:pPr>
            <w:r>
              <w:rPr>
                <w:rFonts w:hint="eastAsia" w:eastAsia="仿宋_GB2312"/>
                <w:bCs/>
                <w:sz w:val="32"/>
                <w:szCs w:val="32"/>
              </w:rPr>
              <w:t xml:space="preserve"> </w:t>
            </w:r>
            <w:r>
              <w:rPr>
                <w:rFonts w:hint="eastAsia" w:eastAsia="仿宋_GB2312"/>
                <w:bCs/>
                <w:sz w:val="32"/>
                <w:szCs w:val="32"/>
                <w:lang w:eastAsia="zh-CN"/>
              </w:rPr>
              <w:t>ZTPA-2022-CS006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7" w:hRule="atLeast"/>
          <w:jc w:val="center"/>
        </w:trPr>
        <w:tc>
          <w:tcPr>
            <w:tcW w:w="3144"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30"/>
              </w:rPr>
            </w:pPr>
          </w:p>
          <w:p>
            <w:pPr>
              <w:widowControl/>
              <w:jc w:val="left"/>
              <w:rPr>
                <w:rFonts w:ascii="仿宋_GB2312" w:eastAsia="仿宋_GB2312"/>
                <w:sz w:val="30"/>
              </w:rPr>
            </w:pPr>
            <w:r>
              <w:rPr>
                <w:rFonts w:hint="eastAsia" w:ascii="仿宋_GB2312" w:eastAsia="仿宋_GB2312"/>
                <w:sz w:val="30"/>
              </w:rPr>
              <w:t>单位负责人:（签名）</w:t>
            </w:r>
          </w:p>
          <w:p>
            <w:pPr>
              <w:widowControl/>
              <w:jc w:val="left"/>
              <w:rPr>
                <w:rFonts w:ascii="仿宋_GB2312" w:eastAsia="仿宋_GB2312"/>
                <w:sz w:val="30"/>
              </w:rPr>
            </w:pPr>
          </w:p>
          <w:p>
            <w:pPr>
              <w:widowControl/>
              <w:jc w:val="left"/>
              <w:rPr>
                <w:rFonts w:ascii="仿宋_GB2312" w:eastAsia="仿宋_GB2312"/>
                <w:sz w:val="30"/>
              </w:rPr>
            </w:pPr>
            <w:r>
              <w:rPr>
                <w:rFonts w:hint="eastAsia" w:ascii="仿宋_GB2312" w:eastAsia="仿宋_GB2312"/>
                <w:sz w:val="30"/>
              </w:rPr>
              <w:t>采购单位：（盖章）</w:t>
            </w:r>
          </w:p>
          <w:p>
            <w:pPr>
              <w:pStyle w:val="18"/>
            </w:pPr>
          </w:p>
          <w:p>
            <w:pPr>
              <w:widowControl/>
              <w:jc w:val="left"/>
              <w:rPr>
                <w:rFonts w:ascii="仿宋_GB2312" w:eastAsia="仿宋_GB2312"/>
                <w:sz w:val="30"/>
              </w:rPr>
            </w:pPr>
            <w:r>
              <w:rPr>
                <w:rFonts w:hint="eastAsia" w:ascii="仿宋_GB2312" w:eastAsia="仿宋_GB2312"/>
                <w:sz w:val="30"/>
              </w:rPr>
              <w:t>经办人：（签名）</w:t>
            </w:r>
          </w:p>
          <w:p>
            <w:pPr>
              <w:widowControl/>
              <w:jc w:val="left"/>
              <w:rPr>
                <w:rFonts w:ascii="仿宋_GB2312" w:eastAsia="仿宋_GB2312"/>
                <w:sz w:val="30"/>
              </w:rPr>
            </w:pPr>
          </w:p>
          <w:p>
            <w:pPr>
              <w:widowControl/>
              <w:jc w:val="left"/>
              <w:rPr>
                <w:rFonts w:ascii="仿宋_GB2312" w:eastAsia="仿宋_GB2312"/>
                <w:sz w:val="30"/>
              </w:rPr>
            </w:pPr>
          </w:p>
          <w:p>
            <w:pPr>
              <w:widowControl/>
              <w:jc w:val="right"/>
              <w:rPr>
                <w:rFonts w:ascii="仿宋_GB2312" w:eastAsia="仿宋_GB2312"/>
                <w:sz w:val="30"/>
              </w:rPr>
            </w:pPr>
            <w:r>
              <w:rPr>
                <w:rFonts w:hint="eastAsia" w:ascii="仿宋_GB2312" w:eastAsia="仿宋_GB2312"/>
                <w:sz w:val="30"/>
              </w:rPr>
              <w:t>2022年</w:t>
            </w:r>
            <w:r>
              <w:rPr>
                <w:rFonts w:hint="eastAsia" w:eastAsia="仿宋_GB2312"/>
                <w:bCs/>
                <w:sz w:val="32"/>
                <w:szCs w:val="32"/>
                <w:lang w:val="en-US" w:eastAsia="zh-CN"/>
              </w:rPr>
              <w:t>8</w:t>
            </w:r>
            <w:r>
              <w:rPr>
                <w:rFonts w:hint="eastAsia" w:ascii="仿宋_GB2312" w:eastAsia="仿宋_GB2312"/>
                <w:sz w:val="30"/>
              </w:rPr>
              <w:t xml:space="preserve">月 </w:t>
            </w:r>
            <w:r>
              <w:rPr>
                <w:rFonts w:hint="eastAsia" w:ascii="仿宋_GB2312" w:eastAsia="仿宋_GB2312"/>
                <w:sz w:val="30"/>
                <w:lang w:val="en-US" w:eastAsia="zh-CN"/>
              </w:rPr>
              <w:t>15</w:t>
            </w:r>
            <w:r>
              <w:rPr>
                <w:rFonts w:hint="eastAsia" w:ascii="仿宋_GB2312" w:eastAsia="仿宋_GB2312"/>
                <w:sz w:val="30"/>
              </w:rPr>
              <w:t>日</w:t>
            </w:r>
          </w:p>
        </w:tc>
        <w:tc>
          <w:tcPr>
            <w:tcW w:w="3406" w:type="dxa"/>
            <w:tcBorders>
              <w:top w:val="single" w:color="auto" w:sz="4" w:space="0"/>
              <w:left w:val="single" w:color="auto" w:sz="4" w:space="0"/>
              <w:bottom w:val="single" w:color="auto" w:sz="4" w:space="0"/>
              <w:right w:val="single" w:color="auto" w:sz="4" w:space="0"/>
            </w:tcBorders>
          </w:tcPr>
          <w:p>
            <w:pPr>
              <w:rPr>
                <w:rFonts w:ascii="仿宋_GB2312" w:eastAsia="仿宋_GB2312"/>
                <w:sz w:val="30"/>
              </w:rPr>
            </w:pPr>
          </w:p>
          <w:p>
            <w:pPr>
              <w:rPr>
                <w:rFonts w:ascii="仿宋_GB2312" w:eastAsia="仿宋_GB2312"/>
                <w:sz w:val="30"/>
              </w:rPr>
            </w:pPr>
          </w:p>
          <w:p>
            <w:pPr>
              <w:rPr>
                <w:rFonts w:ascii="仿宋_GB2312" w:eastAsia="仿宋_GB2312"/>
                <w:sz w:val="30"/>
              </w:rPr>
            </w:pPr>
            <w:r>
              <w:rPr>
                <w:rFonts w:hint="eastAsia" w:ascii="仿宋_GB2312" w:eastAsia="仿宋_GB2312"/>
                <w:sz w:val="30"/>
              </w:rPr>
              <w:t>代理单位：</w:t>
            </w:r>
          </w:p>
          <w:p>
            <w:pPr>
              <w:rPr>
                <w:rFonts w:ascii="仿宋_GB2312" w:eastAsia="仿宋_GB2312"/>
                <w:sz w:val="30"/>
              </w:rPr>
            </w:pPr>
            <w:r>
              <w:rPr>
                <w:rFonts w:hint="eastAsia" w:ascii="仿宋_GB2312" w:eastAsia="仿宋_GB2312"/>
                <w:sz w:val="30"/>
              </w:rPr>
              <w:t xml:space="preserve">（盖章） </w:t>
            </w:r>
          </w:p>
          <w:p>
            <w:pPr>
              <w:rPr>
                <w:rFonts w:ascii="仿宋_GB2312" w:eastAsia="仿宋_GB2312"/>
                <w:sz w:val="30"/>
              </w:rPr>
            </w:pPr>
          </w:p>
          <w:p>
            <w:pPr>
              <w:rPr>
                <w:rFonts w:ascii="仿宋_GB2312" w:eastAsia="仿宋_GB2312"/>
                <w:sz w:val="30"/>
              </w:rPr>
            </w:pPr>
          </w:p>
          <w:p>
            <w:pPr>
              <w:pStyle w:val="18"/>
            </w:pPr>
          </w:p>
          <w:p>
            <w:pPr>
              <w:rPr>
                <w:rFonts w:ascii="仿宋_GB2312" w:eastAsia="仿宋_GB2312"/>
                <w:sz w:val="30"/>
              </w:rPr>
            </w:pPr>
          </w:p>
          <w:p>
            <w:pPr>
              <w:jc w:val="right"/>
              <w:rPr>
                <w:rFonts w:ascii="仿宋_GB2312" w:eastAsia="仿宋_GB2312"/>
                <w:sz w:val="30"/>
              </w:rPr>
            </w:pPr>
            <w:r>
              <w:rPr>
                <w:rFonts w:hint="eastAsia" w:ascii="仿宋_GB2312" w:eastAsia="仿宋_GB2312"/>
                <w:sz w:val="30"/>
              </w:rPr>
              <w:t>2022年</w:t>
            </w:r>
            <w:r>
              <w:rPr>
                <w:rFonts w:hint="eastAsia" w:eastAsia="仿宋_GB2312"/>
                <w:bCs/>
                <w:sz w:val="32"/>
                <w:szCs w:val="32"/>
                <w:lang w:val="en-US" w:eastAsia="zh-CN"/>
              </w:rPr>
              <w:t>8</w:t>
            </w:r>
            <w:r>
              <w:rPr>
                <w:rFonts w:hint="eastAsia" w:ascii="仿宋_GB2312" w:eastAsia="仿宋_GB2312"/>
                <w:sz w:val="30"/>
              </w:rPr>
              <w:t>月</w:t>
            </w:r>
            <w:r>
              <w:rPr>
                <w:rFonts w:hint="eastAsia" w:ascii="仿宋_GB2312" w:eastAsia="仿宋_GB2312"/>
                <w:sz w:val="30"/>
                <w:lang w:val="en-US" w:eastAsia="zh-CN"/>
              </w:rPr>
              <w:t>15</w:t>
            </w:r>
            <w:r>
              <w:rPr>
                <w:rFonts w:hint="eastAsia" w:ascii="仿宋_GB2312" w:eastAsia="仿宋_GB2312"/>
                <w:sz w:val="30"/>
              </w:rPr>
              <w:t>日</w:t>
            </w:r>
          </w:p>
        </w:tc>
        <w:tc>
          <w:tcPr>
            <w:tcW w:w="3455" w:type="dxa"/>
            <w:tcBorders>
              <w:top w:val="single" w:color="auto" w:sz="4" w:space="0"/>
              <w:left w:val="single" w:color="auto" w:sz="4" w:space="0"/>
              <w:bottom w:val="single" w:color="auto" w:sz="4" w:space="0"/>
              <w:right w:val="single" w:color="auto" w:sz="4" w:space="0"/>
            </w:tcBorders>
          </w:tcPr>
          <w:p>
            <w:pPr>
              <w:rPr>
                <w:rFonts w:ascii="仿宋_GB2312" w:eastAsia="仿宋_GB2312"/>
                <w:sz w:val="30"/>
              </w:rPr>
            </w:pPr>
          </w:p>
          <w:p>
            <w:pPr>
              <w:rPr>
                <w:rFonts w:ascii="仿宋_GB2312" w:eastAsia="仿宋_GB2312"/>
                <w:sz w:val="30"/>
              </w:rPr>
            </w:pPr>
          </w:p>
          <w:p>
            <w:pPr>
              <w:rPr>
                <w:rFonts w:ascii="仿宋_GB2312" w:eastAsia="仿宋_GB2312"/>
                <w:sz w:val="30"/>
              </w:rPr>
            </w:pPr>
            <w:r>
              <w:rPr>
                <w:rFonts w:hint="eastAsia" w:ascii="仿宋_GB2312" w:eastAsia="仿宋_GB2312"/>
                <w:sz w:val="30"/>
              </w:rPr>
              <w:t>财政局采购监管科：</w:t>
            </w:r>
          </w:p>
          <w:p>
            <w:pPr>
              <w:rPr>
                <w:rFonts w:ascii="仿宋_GB2312" w:eastAsia="仿宋_GB2312"/>
                <w:sz w:val="30"/>
              </w:rPr>
            </w:pPr>
            <w:r>
              <w:rPr>
                <w:rFonts w:hint="eastAsia" w:ascii="仿宋_GB2312" w:eastAsia="仿宋_GB2312"/>
                <w:sz w:val="30"/>
              </w:rPr>
              <w:t xml:space="preserve">（盖章） </w:t>
            </w:r>
          </w:p>
          <w:p>
            <w:pPr>
              <w:rPr>
                <w:rFonts w:ascii="仿宋_GB2312" w:eastAsia="仿宋_GB2312"/>
                <w:sz w:val="30"/>
              </w:rPr>
            </w:pPr>
          </w:p>
          <w:p>
            <w:pPr>
              <w:rPr>
                <w:rFonts w:ascii="仿宋_GB2312" w:eastAsia="仿宋_GB2312"/>
                <w:sz w:val="30"/>
              </w:rPr>
            </w:pPr>
          </w:p>
          <w:p>
            <w:pPr>
              <w:pStyle w:val="18"/>
            </w:pPr>
          </w:p>
          <w:p>
            <w:pPr>
              <w:rPr>
                <w:rFonts w:ascii="仿宋_GB2312" w:eastAsia="仿宋_GB2312"/>
                <w:sz w:val="30"/>
              </w:rPr>
            </w:pPr>
          </w:p>
          <w:p>
            <w:pPr>
              <w:jc w:val="right"/>
              <w:rPr>
                <w:rFonts w:ascii="仿宋_GB2312" w:eastAsia="仿宋_GB2312"/>
                <w:sz w:val="30"/>
              </w:rPr>
            </w:pPr>
            <w:r>
              <w:rPr>
                <w:rFonts w:hint="eastAsia" w:ascii="仿宋_GB2312" w:eastAsia="仿宋_GB2312"/>
                <w:sz w:val="30"/>
              </w:rPr>
              <w:t>2022年</w:t>
            </w:r>
            <w:r>
              <w:rPr>
                <w:rFonts w:hint="eastAsia" w:eastAsia="仿宋_GB2312"/>
                <w:bCs/>
                <w:sz w:val="32"/>
                <w:szCs w:val="32"/>
                <w:lang w:val="en-US" w:eastAsia="zh-CN"/>
              </w:rPr>
              <w:t>8</w:t>
            </w:r>
            <w:r>
              <w:rPr>
                <w:rFonts w:hint="eastAsia" w:ascii="仿宋_GB2312" w:eastAsia="仿宋_GB2312"/>
                <w:sz w:val="30"/>
              </w:rPr>
              <w:t>月</w:t>
            </w:r>
            <w:r>
              <w:rPr>
                <w:rFonts w:hint="eastAsia" w:ascii="仿宋_GB2312" w:eastAsia="仿宋_GB2312"/>
                <w:sz w:val="30"/>
                <w:lang w:val="en-US" w:eastAsia="zh-CN"/>
              </w:rPr>
              <w:t>15</w:t>
            </w:r>
            <w:r>
              <w:rPr>
                <w:rFonts w:hint="eastAsia" w:ascii="仿宋_GB2312" w:eastAsia="仿宋_GB2312"/>
                <w:sz w:val="30"/>
              </w:rPr>
              <w:t>日</w:t>
            </w:r>
          </w:p>
        </w:tc>
      </w:tr>
    </w:tbl>
    <w:p>
      <w:pPr>
        <w:rPr>
          <w:rFonts w:ascii="黑体" w:hAnsi="宋体" w:eastAsia="黑体"/>
          <w:sz w:val="72"/>
          <w:szCs w:val="72"/>
        </w:rPr>
      </w:pPr>
    </w:p>
    <w:p>
      <w:pPr>
        <w:spacing w:line="360" w:lineRule="auto"/>
        <w:jc w:val="center"/>
        <w:rPr>
          <w:rFonts w:ascii="黑体" w:hAnsi="宋体" w:eastAsia="黑体"/>
          <w:sz w:val="48"/>
          <w:szCs w:val="48"/>
        </w:rPr>
      </w:pPr>
    </w:p>
    <w:p>
      <w:pPr>
        <w:spacing w:line="360" w:lineRule="auto"/>
        <w:jc w:val="center"/>
        <w:rPr>
          <w:rFonts w:hint="default" w:ascii="仿宋_GB2312" w:eastAsia="仿宋_GB2312"/>
          <w:sz w:val="48"/>
          <w:szCs w:val="48"/>
          <w:lang w:eastAsia="zh-CN"/>
        </w:rPr>
      </w:pPr>
      <w:r>
        <w:rPr>
          <w:rFonts w:hint="default" w:ascii="黑体" w:hAnsi="宋体" w:eastAsia="黑体"/>
          <w:sz w:val="48"/>
          <w:szCs w:val="48"/>
          <w:lang w:eastAsia="zh-CN"/>
        </w:rPr>
        <w:t>中药产业大脑(磐安县中药材产业发展智慧云平台项目三期)</w:t>
      </w:r>
    </w:p>
    <w:p>
      <w:pPr>
        <w:spacing w:before="156" w:beforeLines="50"/>
        <w:jc w:val="both"/>
        <w:rPr>
          <w:rFonts w:ascii="仿宋_GB2312" w:hAnsi="宋体" w:eastAsia="仿宋_GB2312"/>
          <w:bCs/>
          <w:sz w:val="72"/>
          <w:szCs w:val="72"/>
        </w:rPr>
      </w:pPr>
    </w:p>
    <w:p>
      <w:pPr>
        <w:spacing w:before="156" w:beforeLines="50"/>
        <w:jc w:val="center"/>
        <w:rPr>
          <w:rFonts w:ascii="仿宋_GB2312" w:hAnsi="宋体" w:eastAsia="仿宋_GB2312"/>
          <w:bCs/>
          <w:sz w:val="72"/>
          <w:szCs w:val="72"/>
        </w:rPr>
      </w:pPr>
      <w:r>
        <w:rPr>
          <w:rFonts w:hint="eastAsia" w:ascii="仿宋_GB2312" w:hAnsi="宋体" w:eastAsia="仿宋_GB2312"/>
          <w:bCs/>
          <w:sz w:val="72"/>
          <w:szCs w:val="72"/>
        </w:rPr>
        <w:t>竞争性磋商文件</w:t>
      </w:r>
    </w:p>
    <w:p>
      <w:pPr>
        <w:snapToGrid w:val="0"/>
        <w:spacing w:before="156" w:beforeLines="50" w:line="360" w:lineRule="auto"/>
        <w:rPr>
          <w:rFonts w:ascii="仿宋_GB2312" w:hAnsi="宋体" w:eastAsia="仿宋_GB2312"/>
          <w:sz w:val="30"/>
          <w:szCs w:val="72"/>
        </w:rPr>
      </w:pPr>
    </w:p>
    <w:p>
      <w:pPr>
        <w:snapToGrid w:val="0"/>
        <w:spacing w:before="156" w:beforeLines="50" w:line="360" w:lineRule="auto"/>
        <w:rPr>
          <w:rFonts w:ascii="仿宋_GB2312" w:hAnsi="宋体" w:eastAsia="仿宋_GB2312"/>
          <w:sz w:val="30"/>
          <w:szCs w:val="72"/>
        </w:rPr>
      </w:pPr>
    </w:p>
    <w:p>
      <w:pPr>
        <w:snapToGrid w:val="0"/>
        <w:spacing w:before="156" w:beforeLines="50" w:line="360" w:lineRule="auto"/>
        <w:jc w:val="center"/>
        <w:rPr>
          <w:rFonts w:ascii="仿宋_GB2312" w:hAnsi="宋体" w:eastAsia="仿宋_GB2312"/>
          <w:sz w:val="30"/>
          <w:szCs w:val="72"/>
        </w:rPr>
      </w:pPr>
      <w:r>
        <w:rPr>
          <w:rFonts w:ascii="仿宋_GB2312" w:hAnsi="新宋体" w:eastAsia="仿宋_GB2312"/>
          <w:b/>
          <w:bCs/>
          <w:sz w:val="32"/>
        </w:rPr>
        <w:drawing>
          <wp:inline distT="0" distB="0" distL="0" distR="0">
            <wp:extent cx="3145790" cy="1110615"/>
            <wp:effectExtent l="0" t="0" r="16510" b="13335"/>
            <wp:docPr id="1" name="图片 1" descr="政府采购图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府采购图案"/>
                    <pic:cNvPicPr>
                      <a:picLocks noChangeAspect="1" noChangeArrowheads="1"/>
                    </pic:cNvPicPr>
                  </pic:nvPicPr>
                  <pic:blipFill>
                    <a:blip r:embed="rId6" cstate="print"/>
                    <a:srcRect/>
                    <a:stretch>
                      <a:fillRect/>
                    </a:stretch>
                  </pic:blipFill>
                  <pic:spPr>
                    <a:xfrm>
                      <a:off x="0" y="0"/>
                      <a:ext cx="3145790" cy="1110615"/>
                    </a:xfrm>
                    <a:prstGeom prst="rect">
                      <a:avLst/>
                    </a:prstGeom>
                    <a:noFill/>
                    <a:ln w="9525">
                      <a:noFill/>
                    </a:ln>
                  </pic:spPr>
                </pic:pic>
              </a:graphicData>
            </a:graphic>
          </wp:inline>
        </w:drawing>
      </w:r>
    </w:p>
    <w:p>
      <w:pPr>
        <w:snapToGrid w:val="0"/>
        <w:spacing w:before="156" w:beforeLines="50" w:line="360" w:lineRule="auto"/>
        <w:rPr>
          <w:rFonts w:ascii="仿宋_GB2312" w:hAnsi="宋体" w:eastAsia="仿宋_GB2312"/>
          <w:sz w:val="30"/>
          <w:szCs w:val="72"/>
        </w:rPr>
      </w:pPr>
    </w:p>
    <w:p>
      <w:pPr>
        <w:pStyle w:val="19"/>
        <w:snapToGrid w:val="0"/>
        <w:spacing w:before="120" w:after="120" w:line="360" w:lineRule="auto"/>
        <w:ind w:left="1195" w:hanging="1195" w:hangingChars="496"/>
        <w:rPr>
          <w:rFonts w:hint="eastAsia" w:hAnsi="宋体" w:eastAsia="宋体"/>
          <w:b/>
          <w:bCs/>
          <w:sz w:val="24"/>
          <w:szCs w:val="24"/>
          <w:lang w:eastAsia="zh-CN"/>
        </w:rPr>
      </w:pPr>
      <w:r>
        <w:rPr>
          <w:rFonts w:hint="eastAsia" w:hAnsi="宋体"/>
          <w:b/>
          <w:bCs/>
          <w:sz w:val="24"/>
          <w:szCs w:val="24"/>
        </w:rPr>
        <w:t>项目编号：</w:t>
      </w:r>
      <w:r>
        <w:rPr>
          <w:rFonts w:hint="eastAsia" w:hAnsi="宋体"/>
          <w:b/>
          <w:bCs/>
          <w:sz w:val="24"/>
          <w:szCs w:val="24"/>
          <w:lang w:eastAsia="zh-CN"/>
        </w:rPr>
        <w:t>ZTPA-2022-CS006</w:t>
      </w:r>
    </w:p>
    <w:p>
      <w:pPr>
        <w:pStyle w:val="19"/>
        <w:snapToGrid w:val="0"/>
        <w:spacing w:before="120" w:after="120" w:line="360" w:lineRule="auto"/>
        <w:ind w:left="1195" w:hanging="1195" w:hangingChars="496"/>
        <w:rPr>
          <w:rFonts w:hint="default" w:hAnsi="宋体" w:eastAsia="宋体"/>
          <w:b/>
          <w:bCs/>
          <w:sz w:val="28"/>
          <w:szCs w:val="28"/>
          <w:lang w:eastAsia="zh-CN"/>
        </w:rPr>
      </w:pPr>
      <w:r>
        <w:rPr>
          <w:rFonts w:hint="eastAsia" w:hAnsi="宋体"/>
          <w:b/>
          <w:bCs/>
          <w:sz w:val="24"/>
          <w:szCs w:val="24"/>
        </w:rPr>
        <w:t>项目名称：</w:t>
      </w:r>
      <w:r>
        <w:rPr>
          <w:rFonts w:hint="default" w:hAnsi="宋体"/>
          <w:b/>
          <w:bCs/>
          <w:sz w:val="24"/>
          <w:szCs w:val="24"/>
          <w:lang w:eastAsia="zh-CN"/>
        </w:rPr>
        <w:t>中药产业大脑(磐安县中药材产业发展智慧云平台项目三期)</w:t>
      </w:r>
    </w:p>
    <w:p>
      <w:pPr>
        <w:pStyle w:val="19"/>
        <w:snapToGrid w:val="0"/>
        <w:spacing w:before="120" w:after="120" w:line="360" w:lineRule="auto"/>
        <w:ind w:left="1195" w:hanging="1195" w:hangingChars="496"/>
        <w:rPr>
          <w:rFonts w:hint="eastAsia" w:hAnsi="宋体" w:eastAsia="宋体"/>
          <w:b/>
          <w:bCs/>
          <w:sz w:val="24"/>
          <w:szCs w:val="24"/>
          <w:lang w:eastAsia="zh-CN"/>
        </w:rPr>
      </w:pPr>
      <w:r>
        <w:rPr>
          <w:rFonts w:hint="eastAsia" w:hAnsi="宋体"/>
          <w:b/>
          <w:bCs/>
          <w:sz w:val="24"/>
          <w:szCs w:val="24"/>
        </w:rPr>
        <w:t>采购单位：</w:t>
      </w:r>
      <w:r>
        <w:rPr>
          <w:rFonts w:hint="eastAsia" w:hAnsi="宋体"/>
          <w:b/>
          <w:bCs/>
          <w:sz w:val="24"/>
          <w:szCs w:val="24"/>
          <w:lang w:eastAsia="zh-CN"/>
        </w:rPr>
        <w:t>磐安县中药产业发展促进中心</w:t>
      </w:r>
    </w:p>
    <w:p>
      <w:pPr>
        <w:pStyle w:val="19"/>
        <w:snapToGrid w:val="0"/>
        <w:spacing w:before="120" w:after="120" w:line="360" w:lineRule="auto"/>
        <w:ind w:left="1195" w:hanging="1195" w:hangingChars="496"/>
        <w:rPr>
          <w:rFonts w:hAnsi="宋体"/>
          <w:b/>
          <w:bCs/>
          <w:sz w:val="24"/>
          <w:szCs w:val="24"/>
        </w:rPr>
      </w:pPr>
      <w:r>
        <w:rPr>
          <w:rFonts w:hint="eastAsia" w:hAnsi="宋体"/>
          <w:b/>
          <w:bCs/>
          <w:sz w:val="24"/>
          <w:szCs w:val="24"/>
        </w:rPr>
        <w:t>招标机构：浙江展图工程咨询有限公司</w:t>
      </w:r>
    </w:p>
    <w:p>
      <w:pPr>
        <w:pStyle w:val="19"/>
        <w:snapToGrid w:val="0"/>
        <w:spacing w:before="120" w:after="120" w:line="360" w:lineRule="auto"/>
        <w:ind w:left="1195" w:hanging="1195" w:hangingChars="496"/>
        <w:rPr>
          <w:rFonts w:hAnsi="宋体"/>
          <w:b/>
          <w:bCs/>
          <w:sz w:val="24"/>
          <w:szCs w:val="24"/>
        </w:rPr>
      </w:pPr>
    </w:p>
    <w:p>
      <w:pPr>
        <w:rPr>
          <w:rFonts w:hAnsi="宋体"/>
          <w:b/>
          <w:bCs/>
          <w:sz w:val="24"/>
          <w:szCs w:val="24"/>
        </w:rPr>
      </w:pPr>
    </w:p>
    <w:p>
      <w:pPr>
        <w:tabs>
          <w:tab w:val="left" w:pos="985"/>
        </w:tabs>
        <w:outlineLvl w:val="9"/>
        <w:rPr>
          <w:rFonts w:hAnsi="宋体"/>
          <w:b/>
          <w:bCs/>
          <w:sz w:val="24"/>
          <w:szCs w:val="24"/>
        </w:rPr>
      </w:pPr>
    </w:p>
    <w:p>
      <w:pPr>
        <w:pStyle w:val="13"/>
      </w:pPr>
    </w:p>
    <w:p>
      <w:pPr>
        <w:jc w:val="center"/>
        <w:rPr>
          <w:rFonts w:eastAsia="黑体"/>
          <w:sz w:val="48"/>
        </w:rPr>
      </w:pPr>
      <w:r>
        <w:rPr>
          <w:rFonts w:hint="eastAsia" w:ascii="宋体" w:hAnsi="宋体"/>
          <w:b/>
          <w:bCs/>
          <w:color w:val="FFC000"/>
          <w:sz w:val="24"/>
          <w:lang w:val="en-US" w:eastAsia="zh-CN"/>
        </w:rPr>
        <w:t xml:space="preserve">                                                           </w:t>
      </w:r>
      <w:r>
        <w:rPr>
          <w:rFonts w:hint="eastAsia" w:ascii="仿宋_GB2312" w:eastAsia="仿宋_GB2312"/>
          <w:sz w:val="30"/>
        </w:rPr>
        <w:t>2022年</w:t>
      </w:r>
      <w:r>
        <w:rPr>
          <w:rFonts w:hint="eastAsia" w:eastAsia="仿宋_GB2312"/>
          <w:bCs/>
          <w:sz w:val="32"/>
          <w:szCs w:val="32"/>
          <w:lang w:val="en-US" w:eastAsia="zh-CN"/>
        </w:rPr>
        <w:t>8</w:t>
      </w:r>
      <w:r>
        <w:rPr>
          <w:rFonts w:hint="eastAsia" w:ascii="仿宋_GB2312" w:eastAsia="仿宋_GB2312"/>
          <w:sz w:val="30"/>
        </w:rPr>
        <w:t>月</w:t>
      </w:r>
      <w:r>
        <w:rPr>
          <w:rFonts w:hint="eastAsia" w:ascii="仿宋_GB2312" w:eastAsia="仿宋_GB2312"/>
          <w:sz w:val="30"/>
          <w:lang w:val="en-US" w:eastAsia="zh-CN"/>
        </w:rPr>
        <w:t>15</w:t>
      </w:r>
      <w:r>
        <w:rPr>
          <w:rFonts w:hint="eastAsia" w:ascii="仿宋_GB2312" w:eastAsia="仿宋_GB2312"/>
          <w:sz w:val="30"/>
        </w:rPr>
        <w:t>日</w:t>
      </w:r>
      <w:r>
        <w:rPr>
          <w:rFonts w:eastAsia="黑体"/>
          <w:sz w:val="48"/>
        </w:rPr>
        <w:br w:type="page"/>
      </w:r>
    </w:p>
    <w:p>
      <w:pPr>
        <w:pStyle w:val="18"/>
      </w:pPr>
    </w:p>
    <w:p>
      <w:pPr>
        <w:spacing w:line="480" w:lineRule="auto"/>
        <w:jc w:val="center"/>
        <w:rPr>
          <w:rFonts w:eastAsia="黑体"/>
          <w:sz w:val="48"/>
        </w:rPr>
      </w:pPr>
      <w:r>
        <w:rPr>
          <w:rFonts w:hint="eastAsia" w:eastAsia="黑体"/>
          <w:sz w:val="48"/>
        </w:rPr>
        <w:t>磋商文件目录</w:t>
      </w:r>
    </w:p>
    <w:p>
      <w:pPr>
        <w:spacing w:line="900" w:lineRule="exact"/>
        <w:ind w:firstLine="3200" w:firstLineChars="1000"/>
        <w:jc w:val="left"/>
        <w:rPr>
          <w:rFonts w:ascii="新宋体" w:hAnsi="新宋体" w:eastAsia="新宋体"/>
          <w:sz w:val="32"/>
          <w:szCs w:val="32"/>
        </w:rPr>
      </w:pPr>
      <w:r>
        <w:rPr>
          <w:rFonts w:hint="eastAsia" w:ascii="新宋体" w:hAnsi="新宋体" w:eastAsia="新宋体"/>
          <w:sz w:val="32"/>
          <w:szCs w:val="32"/>
        </w:rPr>
        <w:t>招标(磋商)</w:t>
      </w:r>
      <w:r>
        <w:rPr>
          <w:rFonts w:hint="eastAsia" w:ascii="新宋体" w:hAnsi="新宋体" w:eastAsia="新宋体"/>
          <w:color w:val="FF0000"/>
          <w:sz w:val="32"/>
          <w:szCs w:val="32"/>
        </w:rPr>
        <w:t>公告</w:t>
      </w:r>
    </w:p>
    <w:p>
      <w:pPr>
        <w:spacing w:line="900" w:lineRule="exact"/>
        <w:ind w:firstLine="3680" w:firstLineChars="1150"/>
        <w:outlineLvl w:val="0"/>
        <w:rPr>
          <w:bCs/>
          <w:sz w:val="32"/>
          <w:szCs w:val="32"/>
        </w:rPr>
      </w:pPr>
      <w:r>
        <w:rPr>
          <w:rFonts w:hint="eastAsia"/>
          <w:bCs/>
          <w:sz w:val="32"/>
          <w:szCs w:val="32"/>
        </w:rPr>
        <w:t>前附表</w:t>
      </w:r>
    </w:p>
    <w:p>
      <w:pPr>
        <w:numPr>
          <w:ilvl w:val="0"/>
          <w:numId w:val="3"/>
        </w:numPr>
        <w:tabs>
          <w:tab w:val="left" w:pos="2160"/>
        </w:tabs>
        <w:spacing w:line="900" w:lineRule="exact"/>
        <w:ind w:hanging="900"/>
        <w:jc w:val="left"/>
        <w:rPr>
          <w:rFonts w:ascii="新宋体" w:hAnsi="新宋体" w:eastAsia="新宋体"/>
          <w:sz w:val="32"/>
          <w:szCs w:val="32"/>
        </w:rPr>
      </w:pPr>
      <w:r>
        <w:rPr>
          <w:rFonts w:hint="eastAsia" w:ascii="新宋体" w:hAnsi="新宋体" w:eastAsia="新宋体"/>
          <w:sz w:val="32"/>
          <w:szCs w:val="32"/>
        </w:rPr>
        <w:t>招标需求</w:t>
      </w:r>
    </w:p>
    <w:p>
      <w:pPr>
        <w:numPr>
          <w:ilvl w:val="0"/>
          <w:numId w:val="3"/>
        </w:numPr>
        <w:tabs>
          <w:tab w:val="left" w:pos="2160"/>
        </w:tabs>
        <w:spacing w:line="900" w:lineRule="exact"/>
        <w:ind w:hanging="900"/>
        <w:jc w:val="left"/>
        <w:rPr>
          <w:rFonts w:ascii="新宋体" w:hAnsi="新宋体" w:eastAsia="新宋体"/>
          <w:sz w:val="32"/>
          <w:szCs w:val="32"/>
        </w:rPr>
      </w:pPr>
      <w:r>
        <w:rPr>
          <w:rFonts w:hint="eastAsia" w:ascii="新宋体" w:hAnsi="新宋体" w:eastAsia="新宋体"/>
          <w:sz w:val="32"/>
          <w:szCs w:val="32"/>
        </w:rPr>
        <w:t>投标人须知</w:t>
      </w:r>
    </w:p>
    <w:p>
      <w:pPr>
        <w:numPr>
          <w:ilvl w:val="0"/>
          <w:numId w:val="3"/>
        </w:numPr>
        <w:tabs>
          <w:tab w:val="left" w:pos="2160"/>
        </w:tabs>
        <w:spacing w:line="900" w:lineRule="exact"/>
        <w:ind w:hanging="900"/>
        <w:jc w:val="left"/>
        <w:rPr>
          <w:rFonts w:ascii="新宋体" w:hAnsi="新宋体" w:eastAsia="新宋体"/>
          <w:sz w:val="32"/>
          <w:szCs w:val="32"/>
        </w:rPr>
      </w:pPr>
      <w:r>
        <w:rPr>
          <w:rFonts w:hint="eastAsia" w:ascii="新宋体" w:hAnsi="新宋体" w:eastAsia="新宋体"/>
          <w:sz w:val="32"/>
          <w:szCs w:val="32"/>
        </w:rPr>
        <w:t>评审方法</w:t>
      </w:r>
    </w:p>
    <w:p>
      <w:pPr>
        <w:numPr>
          <w:ilvl w:val="0"/>
          <w:numId w:val="3"/>
        </w:numPr>
        <w:tabs>
          <w:tab w:val="left" w:pos="2160"/>
        </w:tabs>
        <w:spacing w:line="900" w:lineRule="exact"/>
        <w:ind w:hanging="900"/>
        <w:jc w:val="left"/>
        <w:rPr>
          <w:rFonts w:ascii="新宋体" w:hAnsi="新宋体" w:eastAsia="新宋体"/>
          <w:sz w:val="32"/>
          <w:szCs w:val="32"/>
        </w:rPr>
      </w:pPr>
      <w:r>
        <w:rPr>
          <w:rFonts w:hint="eastAsia" w:ascii="新宋体" w:hAnsi="新宋体" w:eastAsia="新宋体"/>
          <w:sz w:val="32"/>
          <w:szCs w:val="32"/>
        </w:rPr>
        <w:t>合同的主要条款</w:t>
      </w:r>
    </w:p>
    <w:p>
      <w:pPr>
        <w:numPr>
          <w:ilvl w:val="0"/>
          <w:numId w:val="3"/>
        </w:numPr>
        <w:tabs>
          <w:tab w:val="left" w:pos="2160"/>
        </w:tabs>
        <w:spacing w:line="900" w:lineRule="exact"/>
        <w:ind w:hanging="900"/>
        <w:jc w:val="left"/>
        <w:rPr>
          <w:rFonts w:ascii="新宋体" w:hAnsi="新宋体" w:eastAsia="新宋体"/>
          <w:sz w:val="32"/>
          <w:szCs w:val="32"/>
        </w:rPr>
      </w:pPr>
      <w:r>
        <w:rPr>
          <w:rFonts w:hint="eastAsia" w:ascii="新宋体" w:hAnsi="新宋体" w:eastAsia="新宋体"/>
          <w:sz w:val="32"/>
          <w:szCs w:val="32"/>
        </w:rPr>
        <w:t>附件</w:t>
      </w:r>
    </w:p>
    <w:p>
      <w:pPr>
        <w:rPr>
          <w:b/>
          <w:sz w:val="32"/>
          <w:szCs w:val="32"/>
        </w:rPr>
      </w:pPr>
      <w:bookmarkStart w:id="1" w:name="_Toc373402673"/>
    </w:p>
    <w:bookmarkEnd w:id="1"/>
    <w:p>
      <w:pPr>
        <w:rPr>
          <w:rFonts w:ascii="宋体" w:hAnsi="宋体"/>
          <w:b/>
          <w:sz w:val="44"/>
          <w:szCs w:val="44"/>
        </w:rPr>
      </w:pPr>
      <w:r>
        <w:rPr>
          <w:rFonts w:ascii="宋体" w:hAnsi="宋体"/>
          <w:b/>
          <w:sz w:val="44"/>
          <w:szCs w:val="44"/>
        </w:rPr>
        <w:br w:type="page"/>
      </w:r>
    </w:p>
    <w:p>
      <w:pPr>
        <w:jc w:val="center"/>
        <w:outlineLvl w:val="0"/>
        <w:rPr>
          <w:rFonts w:ascii="宋体" w:hAnsi="宋体"/>
          <w:b/>
          <w:sz w:val="24"/>
        </w:rPr>
      </w:pPr>
      <w:bookmarkStart w:id="2" w:name="_Toc31414"/>
      <w:r>
        <w:rPr>
          <w:rFonts w:hint="eastAsia" w:ascii="宋体" w:hAnsi="宋体"/>
          <w:b/>
          <w:sz w:val="30"/>
          <w:szCs w:val="30"/>
        </w:rPr>
        <w:t>招标(磋商)公告</w:t>
      </w:r>
      <w:bookmarkEnd w:id="2"/>
    </w:p>
    <w:p>
      <w:pPr>
        <w:pBdr>
          <w:top w:val="single" w:color="auto" w:sz="4" w:space="1"/>
          <w:left w:val="single" w:color="auto" w:sz="4" w:space="4"/>
          <w:bottom w:val="single" w:color="auto" w:sz="4" w:space="1"/>
          <w:right w:val="single" w:color="auto" w:sz="4" w:space="4"/>
        </w:pBdr>
        <w:spacing w:line="400" w:lineRule="exact"/>
        <w:ind w:firstLine="482" w:firstLineChars="200"/>
        <w:rPr>
          <w:rFonts w:ascii="宋体" w:hAnsi="宋体" w:cs="宋体"/>
          <w:b/>
          <w:bCs/>
          <w:sz w:val="24"/>
          <w:u w:val="single"/>
        </w:rPr>
      </w:pPr>
      <w:r>
        <w:rPr>
          <w:rFonts w:hint="eastAsia" w:ascii="宋体" w:hAnsi="宋体" w:cs="宋体"/>
          <w:b/>
          <w:bCs/>
          <w:sz w:val="24"/>
          <w:u w:val="single"/>
        </w:rPr>
        <w:t>项目概况</w:t>
      </w:r>
    </w:p>
    <w:p>
      <w:pPr>
        <w:pBdr>
          <w:top w:val="single" w:color="auto" w:sz="4" w:space="1"/>
          <w:left w:val="single" w:color="auto" w:sz="4" w:space="4"/>
          <w:bottom w:val="single" w:color="auto" w:sz="4" w:space="1"/>
          <w:right w:val="single" w:color="auto" w:sz="4" w:space="4"/>
        </w:pBdr>
        <w:wordWrap w:val="0"/>
        <w:spacing w:line="400" w:lineRule="exact"/>
        <w:ind w:firstLine="482" w:firstLineChars="200"/>
        <w:rPr>
          <w:rFonts w:ascii="宋体" w:hAnsi="宋体" w:cs="宋体"/>
          <w:sz w:val="24"/>
        </w:rPr>
      </w:pPr>
      <w:r>
        <w:rPr>
          <w:rFonts w:hint="default" w:ascii="宋体" w:hAnsi="宋体" w:cs="宋体"/>
          <w:b/>
          <w:bCs/>
          <w:sz w:val="24"/>
          <w:u w:val="single"/>
          <w:lang w:eastAsia="zh-CN"/>
        </w:rPr>
        <w:t>中药产业大脑(磐安县中药材产业发展智慧云平台项目三期)</w:t>
      </w:r>
      <w:r>
        <w:rPr>
          <w:rFonts w:hint="eastAsia" w:ascii="宋体" w:hAnsi="宋体" w:cs="宋体"/>
          <w:b/>
          <w:bCs/>
          <w:sz w:val="24"/>
          <w:u w:val="single"/>
        </w:rPr>
        <w:t>（经磐安县财政局</w:t>
      </w:r>
      <w:r>
        <w:fldChar w:fldCharType="begin"/>
      </w:r>
      <w:r>
        <w:instrText xml:space="preserve"> HYPERLINK "https://pay.zcygov.cn/purchaseplan_front/" \l "/purchasePlans/_blank" \t "https://www.zcygov.cn/bidding-entrust/" </w:instrText>
      </w:r>
      <w:r>
        <w:fldChar w:fldCharType="separate"/>
      </w:r>
      <w:r>
        <w:rPr>
          <w:rStyle w:val="40"/>
          <w:rFonts w:hint="eastAsia" w:ascii="宋体" w:hAnsi="宋体" w:cs="宋体"/>
          <w:b/>
          <w:bCs/>
          <w:sz w:val="24"/>
        </w:rPr>
        <w:t>临[</w:t>
      </w:r>
      <w:r>
        <w:rPr>
          <w:rStyle w:val="40"/>
          <w:rFonts w:hint="eastAsia" w:ascii="宋体" w:hAnsi="宋体" w:cs="宋体"/>
          <w:b/>
          <w:bCs/>
          <w:sz w:val="24"/>
          <w:lang w:eastAsia="zh-CN"/>
        </w:rPr>
        <w:t>2022</w:t>
      </w:r>
      <w:r>
        <w:rPr>
          <w:rStyle w:val="40"/>
          <w:rFonts w:hint="eastAsia" w:ascii="宋体" w:hAnsi="宋体" w:cs="宋体"/>
          <w:b/>
          <w:bCs/>
          <w:sz w:val="24"/>
        </w:rPr>
        <w:t>]</w:t>
      </w:r>
      <w:r>
        <w:rPr>
          <w:rStyle w:val="40"/>
          <w:rFonts w:hint="eastAsia" w:ascii="宋体" w:hAnsi="宋体" w:cs="宋体"/>
          <w:b/>
          <w:bCs/>
          <w:sz w:val="24"/>
          <w:lang w:val="en-US" w:eastAsia="zh-CN"/>
        </w:rPr>
        <w:t>1345</w:t>
      </w:r>
      <w:r>
        <w:rPr>
          <w:rStyle w:val="40"/>
          <w:rFonts w:hint="eastAsia" w:ascii="宋体" w:hAnsi="宋体" w:cs="宋体"/>
          <w:b/>
          <w:bCs/>
          <w:sz w:val="24"/>
        </w:rPr>
        <w:t>号</w:t>
      </w:r>
      <w:r>
        <w:rPr>
          <w:rStyle w:val="40"/>
          <w:rFonts w:hint="eastAsia" w:ascii="宋体" w:hAnsi="宋体" w:cs="宋体"/>
          <w:b/>
          <w:bCs/>
          <w:sz w:val="24"/>
        </w:rPr>
        <w:fldChar w:fldCharType="end"/>
      </w:r>
      <w:r>
        <w:rPr>
          <w:rFonts w:hint="eastAsia" w:ascii="宋体" w:hAnsi="宋体" w:cs="宋体"/>
          <w:b/>
          <w:bCs/>
          <w:color w:val="4BACC6" w:themeColor="accent5"/>
          <w:sz w:val="24"/>
          <w:u w:val="single"/>
          <w14:textFill>
            <w14:solidFill>
              <w14:schemeClr w14:val="accent5"/>
            </w14:solidFill>
          </w14:textFill>
        </w:rPr>
        <w:t>采购</w:t>
      </w:r>
      <w:r>
        <w:rPr>
          <w:rFonts w:hint="eastAsia" w:ascii="宋体" w:hAnsi="宋体" w:cs="宋体"/>
          <w:b/>
          <w:bCs/>
          <w:sz w:val="24"/>
          <w:u w:val="single"/>
        </w:rPr>
        <w:t>计划确认书批准）</w:t>
      </w:r>
      <w:r>
        <w:rPr>
          <w:rFonts w:hint="eastAsia" w:ascii="宋体" w:hAnsi="宋体" w:cs="宋体"/>
          <w:sz w:val="24"/>
        </w:rPr>
        <w:t>的潜在投标人应在</w:t>
      </w:r>
      <w:r>
        <w:rPr>
          <w:rFonts w:hint="eastAsia" w:ascii="宋体" w:hAnsi="宋体" w:cs="宋体"/>
          <w:sz w:val="24"/>
          <w:u w:val="single"/>
        </w:rPr>
        <w:t>（网址：浙江政府采购网:http://zfcg.czt.zj.gov.cn/、</w:t>
      </w:r>
      <w:r>
        <w:rPr>
          <w:rFonts w:hint="eastAsia" w:ascii="宋体" w:hAnsi="宋体" w:cs="宋体"/>
          <w:b/>
          <w:bCs/>
          <w:sz w:val="24"/>
          <w:u w:val="single"/>
        </w:rPr>
        <w:t>磐安县公共资源交易网:</w:t>
      </w:r>
      <w:r>
        <w:rPr>
          <w:rFonts w:hint="eastAsia" w:ascii="宋体" w:hAnsi="宋体" w:cs="宋体"/>
          <w:sz w:val="24"/>
          <w:u w:val="single"/>
        </w:rPr>
        <w:t>http://www.panan.gov.cn/）</w:t>
      </w:r>
      <w:r>
        <w:rPr>
          <w:rFonts w:hint="eastAsia" w:ascii="宋体" w:hAnsi="宋体" w:cs="宋体"/>
          <w:sz w:val="24"/>
        </w:rPr>
        <w:t>获取招标文件，并于</w:t>
      </w:r>
      <w:r>
        <w:rPr>
          <w:rFonts w:hint="eastAsia" w:ascii="宋体" w:hAnsi="宋体" w:cs="Arial"/>
          <w:b/>
          <w:bCs/>
          <w:color w:val="00B0F0"/>
          <w:sz w:val="24"/>
          <w:u w:val="single"/>
        </w:rPr>
        <w:t>2022年</w:t>
      </w:r>
      <w:r>
        <w:rPr>
          <w:rFonts w:hint="eastAsia" w:ascii="宋体" w:hAnsi="宋体" w:cs="Arial"/>
          <w:b/>
          <w:bCs/>
          <w:color w:val="00B0F0"/>
          <w:sz w:val="24"/>
          <w:u w:val="single"/>
          <w:lang w:val="en-US" w:eastAsia="zh-CN"/>
        </w:rPr>
        <w:t>8</w:t>
      </w:r>
      <w:r>
        <w:rPr>
          <w:rFonts w:hint="eastAsia" w:ascii="宋体" w:hAnsi="宋体" w:cs="Arial"/>
          <w:b/>
          <w:bCs/>
          <w:color w:val="00B0F0"/>
          <w:sz w:val="24"/>
          <w:u w:val="single"/>
        </w:rPr>
        <w:t>月</w:t>
      </w:r>
      <w:r>
        <w:rPr>
          <w:rFonts w:hint="eastAsia" w:ascii="宋体" w:hAnsi="宋体" w:cs="Arial"/>
          <w:b/>
          <w:bCs/>
          <w:color w:val="00B0F0"/>
          <w:sz w:val="24"/>
          <w:highlight w:val="yellow"/>
          <w:u w:val="single"/>
          <w:lang w:val="en-US" w:eastAsia="zh-CN"/>
        </w:rPr>
        <w:t>26</w:t>
      </w:r>
      <w:r>
        <w:rPr>
          <w:rFonts w:hint="eastAsia" w:ascii="宋体" w:hAnsi="宋体" w:cs="Arial"/>
          <w:b/>
          <w:bCs/>
          <w:color w:val="00B0F0"/>
          <w:sz w:val="24"/>
          <w:u w:val="single"/>
        </w:rPr>
        <w:t>日09:</w:t>
      </w:r>
      <w:r>
        <w:rPr>
          <w:rFonts w:ascii="宋体" w:hAnsi="宋体" w:cs="Arial"/>
          <w:b/>
          <w:bCs/>
          <w:color w:val="00B0F0"/>
          <w:sz w:val="24"/>
          <w:u w:val="single"/>
        </w:rPr>
        <w:t>00</w:t>
      </w:r>
      <w:r>
        <w:rPr>
          <w:rFonts w:hint="eastAsia" w:ascii="宋体" w:hAnsi="宋体" w:cs="宋体"/>
          <w:bCs/>
          <w:sz w:val="24"/>
          <w:u w:val="single"/>
        </w:rPr>
        <w:t>（</w:t>
      </w:r>
      <w:r>
        <w:rPr>
          <w:rFonts w:hint="eastAsia" w:ascii="宋体" w:hAnsi="宋体" w:cs="宋体"/>
          <w:bCs/>
          <w:sz w:val="24"/>
        </w:rPr>
        <w:t>北京时间）前递交投标文件</w:t>
      </w:r>
      <w:r>
        <w:rPr>
          <w:rFonts w:hint="eastAsia" w:ascii="宋体" w:hAnsi="宋体" w:cs="宋体"/>
          <w:sz w:val="24"/>
        </w:rPr>
        <w:t>。</w:t>
      </w:r>
    </w:p>
    <w:p>
      <w:pPr>
        <w:snapToGrid w:val="0"/>
        <w:spacing w:line="480" w:lineRule="exact"/>
        <w:ind w:firstLine="602" w:firstLineChars="250"/>
        <w:rPr>
          <w:rFonts w:hint="eastAsia" w:ascii="宋体" w:hAnsi="宋体" w:eastAsia="宋体" w:cs="宋体"/>
          <w:b/>
          <w:sz w:val="24"/>
          <w:lang w:eastAsia="zh-CN"/>
        </w:rPr>
      </w:pPr>
      <w:r>
        <w:rPr>
          <w:rFonts w:hint="eastAsia" w:ascii="宋体" w:hAnsi="宋体" w:cs="宋体"/>
          <w:b/>
          <w:sz w:val="24"/>
        </w:rPr>
        <w:t>一、项目编号：</w:t>
      </w:r>
      <w:r>
        <w:rPr>
          <w:rFonts w:hint="eastAsia" w:ascii="宋体" w:hAnsi="宋体" w:cs="宋体"/>
          <w:bCs/>
          <w:sz w:val="24"/>
          <w:lang w:eastAsia="zh-CN"/>
        </w:rPr>
        <w:t>ZTPA-2022-CS006</w:t>
      </w:r>
    </w:p>
    <w:p>
      <w:pPr>
        <w:snapToGrid w:val="0"/>
        <w:spacing w:line="480" w:lineRule="exact"/>
        <w:ind w:firstLine="602" w:firstLineChars="250"/>
        <w:rPr>
          <w:rFonts w:ascii="宋体" w:hAnsi="宋体" w:cs="宋体"/>
          <w:bCs/>
          <w:sz w:val="24"/>
        </w:rPr>
      </w:pPr>
      <w:r>
        <w:rPr>
          <w:rFonts w:hint="eastAsia" w:ascii="宋体" w:hAnsi="宋体" w:cs="宋体"/>
          <w:b/>
          <w:sz w:val="24"/>
        </w:rPr>
        <w:t>二、采购组织类型：</w:t>
      </w:r>
      <w:r>
        <w:rPr>
          <w:rFonts w:hint="eastAsia" w:ascii="宋体" w:hAnsi="宋体" w:cs="宋体"/>
          <w:bCs/>
          <w:sz w:val="24"/>
        </w:rPr>
        <w:t>分散采购</w:t>
      </w:r>
    </w:p>
    <w:p>
      <w:pPr>
        <w:snapToGrid w:val="0"/>
        <w:spacing w:line="480" w:lineRule="exact"/>
        <w:ind w:firstLine="1566" w:firstLineChars="650"/>
        <w:rPr>
          <w:rFonts w:ascii="宋体" w:hAnsi="宋体" w:cs="宋体"/>
          <w:b/>
          <w:sz w:val="24"/>
        </w:rPr>
      </w:pPr>
      <w:r>
        <w:rPr>
          <w:rFonts w:hint="eastAsia" w:ascii="宋体" w:hAnsi="宋体" w:cs="宋体"/>
          <w:b/>
          <w:sz w:val="24"/>
        </w:rPr>
        <w:t>采购方式：</w:t>
      </w:r>
      <w:r>
        <w:rPr>
          <w:rFonts w:hint="eastAsia" w:ascii="宋体" w:hAnsi="宋体" w:cs="宋体"/>
          <w:bCs/>
          <w:sz w:val="24"/>
        </w:rPr>
        <w:t xml:space="preserve">竞争性磋商      </w:t>
      </w:r>
    </w:p>
    <w:p>
      <w:pPr>
        <w:snapToGrid w:val="0"/>
        <w:spacing w:line="480" w:lineRule="exact"/>
        <w:ind w:firstLine="602" w:firstLineChars="250"/>
        <w:rPr>
          <w:rFonts w:ascii="宋体" w:hAnsi="宋体" w:cs="宋体"/>
          <w:b/>
          <w:sz w:val="24"/>
        </w:rPr>
      </w:pPr>
      <w:r>
        <w:rPr>
          <w:rFonts w:hint="eastAsia" w:ascii="宋体" w:hAnsi="宋体" w:cs="宋体"/>
          <w:b/>
          <w:sz w:val="24"/>
        </w:rPr>
        <w:t>三、预算金额：</w:t>
      </w:r>
      <w:r>
        <w:rPr>
          <w:rFonts w:hint="eastAsia" w:ascii="宋体" w:hAnsi="宋体" w:cs="宋体"/>
          <w:b/>
          <w:sz w:val="24"/>
          <w:lang w:val="en-US" w:eastAsia="zh-CN"/>
        </w:rPr>
        <w:t>875.9</w:t>
      </w:r>
      <w:r>
        <w:rPr>
          <w:rFonts w:hint="eastAsia" w:ascii="宋体" w:hAnsi="宋体" w:cs="宋体"/>
          <w:b/>
          <w:sz w:val="24"/>
        </w:rPr>
        <w:t>万元</w:t>
      </w:r>
    </w:p>
    <w:p>
      <w:pPr>
        <w:snapToGrid w:val="0"/>
        <w:spacing w:line="480" w:lineRule="exact"/>
        <w:ind w:firstLine="1084" w:firstLineChars="450"/>
        <w:rPr>
          <w:rFonts w:ascii="宋体" w:hAnsi="宋体" w:cs="宋体"/>
          <w:sz w:val="24"/>
        </w:rPr>
      </w:pPr>
      <w:r>
        <w:rPr>
          <w:rFonts w:hint="eastAsia" w:ascii="宋体" w:hAnsi="宋体" w:cs="宋体"/>
          <w:b/>
          <w:sz w:val="24"/>
        </w:rPr>
        <w:t>合同履行期限：</w:t>
      </w:r>
      <w:r>
        <w:rPr>
          <w:rFonts w:hint="eastAsia" w:ascii="宋体" w:hAnsi="宋体" w:cs="宋体"/>
          <w:sz w:val="24"/>
          <w:lang w:eastAsia="zh-Hans"/>
        </w:rPr>
        <w:t>合同签订后</w:t>
      </w:r>
      <w:r>
        <w:rPr>
          <w:rFonts w:hint="eastAsia" w:ascii="宋体" w:hAnsi="宋体" w:cs="宋体"/>
          <w:color w:val="FF0000"/>
          <w:sz w:val="24"/>
          <w:lang w:val="en-US" w:eastAsia="zh-CN"/>
        </w:rPr>
        <w:t>90</w:t>
      </w:r>
      <w:r>
        <w:rPr>
          <w:rFonts w:hint="eastAsia" w:ascii="宋体" w:hAnsi="宋体" w:cs="宋体"/>
          <w:sz w:val="24"/>
          <w:lang w:eastAsia="zh-Hans"/>
        </w:rPr>
        <w:t>天内完成项目交付</w:t>
      </w:r>
      <w:r>
        <w:rPr>
          <w:rFonts w:hint="eastAsia" w:ascii="宋体" w:hAnsi="宋体" w:cs="宋体"/>
          <w:sz w:val="24"/>
        </w:rPr>
        <w:t>。</w:t>
      </w:r>
    </w:p>
    <w:p>
      <w:pPr>
        <w:numPr>
          <w:ilvl w:val="0"/>
          <w:numId w:val="4"/>
        </w:numPr>
        <w:snapToGrid w:val="0"/>
        <w:spacing w:line="480" w:lineRule="exact"/>
        <w:ind w:firstLine="602" w:firstLineChars="250"/>
        <w:rPr>
          <w:rFonts w:hint="eastAsia" w:ascii="宋体" w:hAnsi="宋体" w:cs="宋体"/>
          <w:sz w:val="24"/>
        </w:rPr>
      </w:pPr>
      <w:r>
        <w:rPr>
          <w:rFonts w:hint="eastAsia" w:ascii="宋体" w:hAnsi="宋体" w:cs="宋体"/>
          <w:b/>
          <w:sz w:val="24"/>
        </w:rPr>
        <w:t>采购需求：</w:t>
      </w:r>
      <w:r>
        <w:rPr>
          <w:rFonts w:hint="eastAsia" w:ascii="宋体" w:hAnsi="宋体" w:cs="宋体"/>
          <w:sz w:val="24"/>
        </w:rPr>
        <w:t>（详细采购要求见招标需求）</w:t>
      </w:r>
    </w:p>
    <w:tbl>
      <w:tblPr>
        <w:tblStyle w:val="34"/>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5"/>
        <w:gridCol w:w="735"/>
        <w:gridCol w:w="735"/>
        <w:gridCol w:w="1365"/>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825" w:type="dxa"/>
            <w:vAlign w:val="center"/>
          </w:tcPr>
          <w:p>
            <w:pPr>
              <w:spacing w:line="360" w:lineRule="exact"/>
              <w:jc w:val="center"/>
              <w:rPr>
                <w:rFonts w:ascii="宋体" w:hAnsi="宋体"/>
                <w:b/>
                <w:szCs w:val="21"/>
              </w:rPr>
            </w:pPr>
            <w:r>
              <w:rPr>
                <w:rFonts w:hint="eastAsia" w:ascii="宋体" w:hAnsi="宋体"/>
                <w:b/>
                <w:szCs w:val="21"/>
              </w:rPr>
              <w:t>项目内容</w:t>
            </w:r>
          </w:p>
        </w:tc>
        <w:tc>
          <w:tcPr>
            <w:tcW w:w="735" w:type="dxa"/>
            <w:vAlign w:val="center"/>
          </w:tcPr>
          <w:p>
            <w:pPr>
              <w:spacing w:line="360" w:lineRule="exact"/>
              <w:jc w:val="center"/>
              <w:rPr>
                <w:rFonts w:ascii="宋体" w:hAnsi="宋体"/>
                <w:b/>
                <w:szCs w:val="21"/>
              </w:rPr>
            </w:pPr>
            <w:r>
              <w:rPr>
                <w:rFonts w:hint="eastAsia" w:ascii="宋体" w:hAnsi="宋体"/>
                <w:b/>
                <w:szCs w:val="21"/>
              </w:rPr>
              <w:t>数量</w:t>
            </w:r>
          </w:p>
        </w:tc>
        <w:tc>
          <w:tcPr>
            <w:tcW w:w="735" w:type="dxa"/>
            <w:vAlign w:val="center"/>
          </w:tcPr>
          <w:p>
            <w:pPr>
              <w:spacing w:line="360" w:lineRule="exact"/>
              <w:jc w:val="center"/>
              <w:rPr>
                <w:rFonts w:ascii="宋体" w:hAnsi="宋体"/>
                <w:b/>
                <w:szCs w:val="21"/>
              </w:rPr>
            </w:pPr>
            <w:r>
              <w:rPr>
                <w:rFonts w:hint="eastAsia" w:ascii="宋体" w:hAnsi="宋体"/>
                <w:b/>
                <w:szCs w:val="21"/>
              </w:rPr>
              <w:t>单位</w:t>
            </w:r>
          </w:p>
        </w:tc>
        <w:tc>
          <w:tcPr>
            <w:tcW w:w="1365" w:type="dxa"/>
            <w:vAlign w:val="center"/>
          </w:tcPr>
          <w:p>
            <w:pPr>
              <w:spacing w:line="360" w:lineRule="exact"/>
              <w:jc w:val="center"/>
              <w:rPr>
                <w:rFonts w:ascii="宋体" w:hAnsi="宋体"/>
                <w:b/>
                <w:szCs w:val="21"/>
              </w:rPr>
            </w:pPr>
            <w:r>
              <w:rPr>
                <w:rFonts w:hint="eastAsia" w:ascii="宋体" w:hAnsi="宋体"/>
                <w:b/>
                <w:szCs w:val="21"/>
              </w:rPr>
              <w:t>最高限价</w:t>
            </w:r>
          </w:p>
          <w:p>
            <w:pPr>
              <w:spacing w:line="360" w:lineRule="exact"/>
              <w:ind w:firstLine="105" w:firstLineChars="50"/>
              <w:rPr>
                <w:rFonts w:ascii="宋体" w:hAnsi="宋体"/>
                <w:b/>
                <w:szCs w:val="21"/>
              </w:rPr>
            </w:pPr>
            <w:r>
              <w:rPr>
                <w:rFonts w:hint="eastAsia" w:ascii="宋体" w:hAnsi="宋体"/>
                <w:b/>
                <w:szCs w:val="21"/>
              </w:rPr>
              <w:t>（万元）</w:t>
            </w:r>
          </w:p>
        </w:tc>
        <w:tc>
          <w:tcPr>
            <w:tcW w:w="2763" w:type="dxa"/>
            <w:vAlign w:val="center"/>
          </w:tcPr>
          <w:p>
            <w:pPr>
              <w:spacing w:line="36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825" w:type="dxa"/>
            <w:shd w:val="clear" w:color="auto" w:fill="auto"/>
            <w:vAlign w:val="center"/>
          </w:tcPr>
          <w:p>
            <w:pPr>
              <w:spacing w:line="360" w:lineRule="exact"/>
              <w:rPr>
                <w:rFonts w:hint="default" w:ascii="宋体" w:hAnsi="宋体" w:eastAsia="宋体"/>
                <w:b/>
                <w:bCs/>
                <w:szCs w:val="21"/>
                <w:lang w:eastAsia="zh-CN"/>
              </w:rPr>
            </w:pPr>
            <w:r>
              <w:rPr>
                <w:rFonts w:hint="default" w:ascii="宋体" w:hAnsi="宋体"/>
                <w:b/>
                <w:bCs/>
                <w:sz w:val="24"/>
                <w:lang w:eastAsia="zh-CN"/>
              </w:rPr>
              <w:t>中药产业大脑(磐安县中药材产业发展智慧云平台项目三期)</w:t>
            </w:r>
          </w:p>
        </w:tc>
        <w:tc>
          <w:tcPr>
            <w:tcW w:w="735" w:type="dxa"/>
            <w:shd w:val="clear" w:color="auto" w:fill="auto"/>
            <w:vAlign w:val="center"/>
          </w:tcPr>
          <w:p>
            <w:pPr>
              <w:spacing w:line="360" w:lineRule="exact"/>
              <w:jc w:val="center"/>
              <w:rPr>
                <w:rFonts w:ascii="宋体" w:hAnsi="宋体"/>
                <w:b/>
                <w:bCs/>
                <w:szCs w:val="21"/>
              </w:rPr>
            </w:pPr>
            <w:r>
              <w:rPr>
                <w:rFonts w:hint="eastAsia" w:ascii="宋体" w:hAnsi="宋体"/>
                <w:b/>
                <w:bCs/>
                <w:szCs w:val="21"/>
              </w:rPr>
              <w:t>1</w:t>
            </w:r>
          </w:p>
        </w:tc>
        <w:tc>
          <w:tcPr>
            <w:tcW w:w="735" w:type="dxa"/>
            <w:shd w:val="clear" w:color="auto" w:fill="auto"/>
            <w:vAlign w:val="center"/>
          </w:tcPr>
          <w:p>
            <w:pPr>
              <w:spacing w:line="360" w:lineRule="exact"/>
              <w:jc w:val="center"/>
              <w:rPr>
                <w:rFonts w:hint="eastAsia" w:ascii="宋体" w:hAnsi="宋体" w:eastAsia="宋体"/>
                <w:b/>
                <w:bCs/>
                <w:szCs w:val="21"/>
                <w:lang w:eastAsia="zh-CN"/>
              </w:rPr>
            </w:pPr>
            <w:r>
              <w:rPr>
                <w:rFonts w:hint="eastAsia" w:ascii="宋体" w:hAnsi="宋体"/>
                <w:b/>
                <w:bCs/>
                <w:color w:val="00B050"/>
                <w:szCs w:val="21"/>
                <w:lang w:eastAsia="zh-CN"/>
              </w:rPr>
              <w:t>项</w:t>
            </w:r>
          </w:p>
        </w:tc>
        <w:tc>
          <w:tcPr>
            <w:tcW w:w="1365" w:type="dxa"/>
            <w:shd w:val="clear" w:color="auto" w:fill="auto"/>
            <w:vAlign w:val="center"/>
          </w:tcPr>
          <w:p>
            <w:pPr>
              <w:spacing w:line="360" w:lineRule="exact"/>
              <w:jc w:val="center"/>
              <w:rPr>
                <w:rFonts w:ascii="宋体" w:hAnsi="宋体"/>
                <w:b/>
                <w:bCs/>
                <w:szCs w:val="21"/>
              </w:rPr>
            </w:pPr>
            <w:r>
              <w:rPr>
                <w:rFonts w:hint="eastAsia" w:ascii="宋体" w:hAnsi="宋体" w:cs="宋体"/>
                <w:b/>
                <w:sz w:val="24"/>
                <w:lang w:val="en-US" w:eastAsia="zh-CN"/>
              </w:rPr>
              <w:t>875.9</w:t>
            </w:r>
          </w:p>
        </w:tc>
        <w:tc>
          <w:tcPr>
            <w:tcW w:w="2763" w:type="dxa"/>
            <w:shd w:val="clear" w:color="auto" w:fill="auto"/>
            <w:vAlign w:val="center"/>
          </w:tcPr>
          <w:p>
            <w:pPr>
              <w:spacing w:line="360" w:lineRule="exact"/>
              <w:jc w:val="center"/>
              <w:rPr>
                <w:rFonts w:ascii="宋体" w:hAnsi="宋体"/>
                <w:b/>
                <w:bCs/>
                <w:szCs w:val="21"/>
              </w:rPr>
            </w:pPr>
            <w:r>
              <w:rPr>
                <w:rFonts w:hint="eastAsia" w:hAnsi="宋体"/>
                <w:b/>
                <w:bCs/>
                <w:sz w:val="24"/>
              </w:rPr>
              <w:t>具体详见第一章《招标需求》</w:t>
            </w:r>
            <w:r>
              <w:rPr>
                <w:rFonts w:hint="eastAsia" w:ascii="宋体" w:hAnsi="宋体" w:cs="宋体"/>
                <w:bCs/>
                <w:color w:val="00B050"/>
                <w:sz w:val="24"/>
              </w:rPr>
              <w:t>。</w:t>
            </w:r>
          </w:p>
        </w:tc>
      </w:tr>
    </w:tbl>
    <w:p>
      <w:pPr>
        <w:spacing w:line="460" w:lineRule="exact"/>
        <w:ind w:firstLine="482" w:firstLineChars="200"/>
        <w:outlineLvl w:val="1"/>
        <w:rPr>
          <w:rFonts w:ascii="宋体" w:hAnsi="宋体" w:cs="宋体"/>
          <w:b/>
          <w:sz w:val="24"/>
        </w:rPr>
      </w:pPr>
      <w:bookmarkStart w:id="3" w:name="_Toc2693"/>
      <w:r>
        <w:rPr>
          <w:rFonts w:hint="eastAsia" w:ascii="宋体" w:hAnsi="宋体" w:cs="宋体"/>
          <w:b/>
          <w:sz w:val="24"/>
        </w:rPr>
        <w:t>五、参加磋商谈判厂（商）家的资格要求：</w:t>
      </w:r>
      <w:bookmarkEnd w:id="3"/>
    </w:p>
    <w:p>
      <w:pPr>
        <w:snapToGrid w:val="0"/>
        <w:spacing w:line="460" w:lineRule="exact"/>
        <w:ind w:right="218" w:rightChars="104" w:firstLine="540" w:firstLineChars="225"/>
        <w:rPr>
          <w:rFonts w:ascii="宋体" w:hAnsi="宋体" w:cs="Arial"/>
          <w:bCs/>
          <w:sz w:val="24"/>
        </w:rPr>
      </w:pPr>
      <w:r>
        <w:rPr>
          <w:rFonts w:hint="eastAsia" w:ascii="宋体" w:hAnsi="宋体" w:cs="Arial"/>
          <w:bCs/>
          <w:sz w:val="24"/>
        </w:rPr>
        <w:t>1.满足《中华人民共和国政府采购法》第二十二条规定；本项目磋商谈判截止之日前三年内，未被“信用中国”、“中国政府采购网”列入失信被执行人、重大税收违法案件当事人名单、政府采购严重违法失信行为记录名单的。</w:t>
      </w:r>
    </w:p>
    <w:p>
      <w:pPr>
        <w:snapToGrid w:val="0"/>
        <w:spacing w:line="460" w:lineRule="exact"/>
        <w:ind w:right="218" w:rightChars="104" w:firstLine="540" w:firstLineChars="225"/>
        <w:rPr>
          <w:rFonts w:ascii="宋体" w:hAnsi="宋体" w:cs="Arial"/>
          <w:bCs/>
          <w:sz w:val="24"/>
        </w:rPr>
      </w:pPr>
      <w:r>
        <w:rPr>
          <w:rFonts w:hint="eastAsia" w:ascii="宋体" w:hAnsi="宋体" w:cs="Arial"/>
          <w:bCs/>
          <w:sz w:val="24"/>
        </w:rPr>
        <w:t>2.落实政府采购政策需满足的资格要求：（本项目不限，所有大中小微型企业均可参加投标，小微企业、监狱企业、残疾人福利性单位依法享受</w:t>
      </w:r>
      <w:r>
        <w:rPr>
          <w:rFonts w:hint="eastAsia" w:ascii="宋体" w:hAnsi="宋体" w:cs="Arial"/>
          <w:bCs/>
          <w:sz w:val="24"/>
          <w:lang w:val="en-US" w:eastAsia="zh-CN"/>
        </w:rPr>
        <w:t>20</w:t>
      </w:r>
      <w:r>
        <w:rPr>
          <w:rFonts w:hint="eastAsia" w:ascii="宋体" w:hAnsi="宋体" w:cs="Arial"/>
          <w:bCs/>
          <w:sz w:val="24"/>
        </w:rPr>
        <w:t>%价格评审优惠)；</w:t>
      </w:r>
    </w:p>
    <w:p>
      <w:pPr>
        <w:snapToGrid w:val="0"/>
        <w:spacing w:line="460" w:lineRule="exact"/>
        <w:ind w:right="218" w:rightChars="104" w:firstLine="542" w:firstLineChars="225"/>
        <w:rPr>
          <w:rFonts w:ascii="宋体" w:hAnsi="宋体" w:cs="Arial"/>
          <w:b/>
          <w:bCs/>
          <w:sz w:val="24"/>
        </w:rPr>
      </w:pPr>
      <w:r>
        <w:rPr>
          <w:rFonts w:hint="eastAsia" w:ascii="宋体" w:hAnsi="宋体" w:cs="Arial"/>
          <w:b/>
          <w:bCs/>
          <w:sz w:val="24"/>
        </w:rPr>
        <w:t>3.本项目的特定资格要求：无</w:t>
      </w:r>
    </w:p>
    <w:p>
      <w:pPr>
        <w:snapToGrid w:val="0"/>
        <w:spacing w:line="460" w:lineRule="exact"/>
        <w:ind w:right="218" w:rightChars="104" w:firstLine="542" w:firstLineChars="225"/>
        <w:rPr>
          <w:rFonts w:ascii="宋体" w:hAnsi="宋体" w:cs="宋体"/>
          <w:sz w:val="24"/>
        </w:rPr>
      </w:pPr>
      <w:r>
        <w:rPr>
          <w:rFonts w:hint="eastAsia" w:ascii="宋体" w:hAnsi="宋体" w:cs="宋体"/>
          <w:b/>
          <w:bCs/>
          <w:sz w:val="24"/>
        </w:rPr>
        <w:t>六、招标文件的获取</w:t>
      </w:r>
      <w:r>
        <w:rPr>
          <w:rFonts w:hint="eastAsia" w:ascii="宋体" w:hAnsi="宋体" w:cs="宋体"/>
          <w:sz w:val="24"/>
        </w:rPr>
        <w:t>：</w:t>
      </w:r>
    </w:p>
    <w:p>
      <w:pPr>
        <w:snapToGrid w:val="0"/>
        <w:spacing w:line="400" w:lineRule="exact"/>
        <w:ind w:right="218" w:rightChars="104" w:firstLine="540" w:firstLineChars="225"/>
        <w:rPr>
          <w:rFonts w:ascii="宋体" w:hAnsi="宋体" w:cs="Arial"/>
          <w:bCs/>
          <w:sz w:val="24"/>
        </w:rPr>
      </w:pPr>
      <w:r>
        <w:rPr>
          <w:rFonts w:hint="eastAsia" w:ascii="宋体" w:hAnsi="宋体" w:cs="Arial"/>
          <w:bCs/>
          <w:sz w:val="24"/>
        </w:rPr>
        <w:t>1、获取采购文件时间：发布公告之日至</w:t>
      </w:r>
      <w:r>
        <w:rPr>
          <w:rFonts w:hint="eastAsia" w:ascii="仿宋_GB2312" w:hAnsi="仿宋_GB2312" w:eastAsia="仿宋_GB2312" w:cs="仿宋_GB2312"/>
          <w:bCs/>
          <w:snapToGrid w:val="0"/>
          <w:color w:val="0000FF"/>
          <w:sz w:val="24"/>
          <w:u w:val="single"/>
        </w:rPr>
        <w:t>2022</w:t>
      </w:r>
      <w:r>
        <w:rPr>
          <w:rFonts w:hint="eastAsia" w:ascii="仿宋_GB2312" w:hAnsi="仿宋_GB2312" w:eastAsia="仿宋_GB2312" w:cs="仿宋_GB2312"/>
          <w:bCs/>
          <w:sz w:val="24"/>
        </w:rPr>
        <w:t>年</w:t>
      </w:r>
      <w:r>
        <w:rPr>
          <w:rFonts w:hint="eastAsia" w:ascii="仿宋_GB2312" w:hAnsi="仿宋_GB2312" w:eastAsia="仿宋_GB2312" w:cs="仿宋_GB2312"/>
          <w:bCs/>
          <w:snapToGrid w:val="0"/>
          <w:color w:val="0000FF"/>
          <w:sz w:val="24"/>
          <w:u w:val="single"/>
          <w:lang w:val="en-US" w:eastAsia="zh-CN"/>
        </w:rPr>
        <w:t>8</w:t>
      </w:r>
      <w:r>
        <w:rPr>
          <w:rFonts w:hint="eastAsia" w:ascii="仿宋_GB2312" w:hAnsi="仿宋_GB2312" w:eastAsia="仿宋_GB2312" w:cs="仿宋_GB2312"/>
          <w:bCs/>
          <w:sz w:val="24"/>
        </w:rPr>
        <w:t>月</w:t>
      </w:r>
      <w:r>
        <w:rPr>
          <w:rFonts w:hint="eastAsia" w:ascii="仿宋_GB2312" w:hAnsi="仿宋_GB2312" w:eastAsia="仿宋_GB2312" w:cs="仿宋_GB2312"/>
          <w:bCs/>
          <w:snapToGrid w:val="0"/>
          <w:color w:val="0000FF"/>
          <w:sz w:val="24"/>
          <w:u w:val="single"/>
          <w:lang w:val="en-US" w:eastAsia="zh-CN"/>
        </w:rPr>
        <w:t>26</w:t>
      </w:r>
      <w:r>
        <w:rPr>
          <w:rFonts w:hint="eastAsia" w:ascii="仿宋_GB2312" w:hAnsi="仿宋_GB2312" w:eastAsia="仿宋_GB2312" w:cs="仿宋_GB2312"/>
          <w:bCs/>
          <w:sz w:val="24"/>
        </w:rPr>
        <w:t xml:space="preserve">日 </w:t>
      </w:r>
      <w:r>
        <w:rPr>
          <w:rFonts w:hint="eastAsia" w:ascii="仿宋_GB2312" w:hAnsi="仿宋_GB2312" w:eastAsia="仿宋_GB2312" w:cs="仿宋_GB2312"/>
          <w:bCs/>
          <w:snapToGrid w:val="0"/>
          <w:color w:val="0000FF"/>
          <w:sz w:val="24"/>
          <w:u w:val="single"/>
        </w:rPr>
        <w:t>09</w:t>
      </w:r>
      <w:r>
        <w:rPr>
          <w:rFonts w:hint="eastAsia" w:ascii="仿宋_GB2312" w:hAnsi="仿宋_GB2312" w:eastAsia="仿宋_GB2312" w:cs="仿宋_GB2312"/>
          <w:bCs/>
          <w:sz w:val="24"/>
        </w:rPr>
        <w:t>:</w:t>
      </w:r>
      <w:r>
        <w:rPr>
          <w:rFonts w:hint="eastAsia" w:ascii="仿宋_GB2312" w:hAnsi="仿宋_GB2312" w:eastAsia="仿宋_GB2312" w:cs="仿宋_GB2312"/>
          <w:bCs/>
          <w:snapToGrid w:val="0"/>
          <w:color w:val="0000FF"/>
          <w:sz w:val="24"/>
          <w:u w:val="single"/>
        </w:rPr>
        <w:t>00</w:t>
      </w:r>
      <w:r>
        <w:rPr>
          <w:rFonts w:hint="eastAsia" w:ascii="仿宋_GB2312" w:hAnsi="仿宋_GB2312" w:eastAsia="仿宋_GB2312" w:cs="仿宋_GB2312"/>
          <w:bCs/>
          <w:sz w:val="24"/>
        </w:rPr>
        <w:t>（北京时间）</w:t>
      </w:r>
      <w:r>
        <w:rPr>
          <w:rFonts w:hint="eastAsia" w:ascii="宋体" w:hAnsi="宋体" w:cs="Arial"/>
          <w:bCs/>
          <w:sz w:val="24"/>
        </w:rPr>
        <w:t>止。</w:t>
      </w:r>
    </w:p>
    <w:p>
      <w:pPr>
        <w:wordWrap w:val="0"/>
        <w:spacing w:line="440" w:lineRule="exact"/>
        <w:ind w:firstLine="480" w:firstLineChars="200"/>
        <w:rPr>
          <w:rFonts w:ascii="仿宋_GB2312" w:hAnsi="仿宋_GB2312" w:eastAsia="仿宋_GB2312" w:cs="仿宋_GB2312"/>
          <w:sz w:val="24"/>
        </w:rPr>
      </w:pPr>
      <w:r>
        <w:rPr>
          <w:rFonts w:hint="eastAsia" w:ascii="宋体" w:hAnsi="宋体" w:cs="Arial"/>
          <w:bCs/>
          <w:sz w:val="24"/>
        </w:rPr>
        <w:t>2、获取采购文件方式：自行下载获取</w:t>
      </w:r>
    </w:p>
    <w:p>
      <w:pPr>
        <w:wordWrap w:val="0"/>
        <w:spacing w:line="440" w:lineRule="exact"/>
        <w:ind w:firstLine="480" w:firstLineChars="200"/>
        <w:rPr>
          <w:rFonts w:ascii="仿宋_GB2312" w:hAnsi="仿宋_GB2312" w:eastAsia="仿宋_GB2312" w:cs="仿宋_GB2312"/>
          <w:color w:val="0000FF"/>
          <w:sz w:val="24"/>
        </w:rPr>
      </w:pPr>
      <w:r>
        <w:rPr>
          <w:rFonts w:hint="eastAsia" w:ascii="仿宋_GB2312" w:hAnsi="仿宋_GB2312" w:eastAsia="仿宋_GB2312" w:cs="仿宋_GB2312"/>
          <w:color w:val="0000FF"/>
          <w:sz w:val="24"/>
        </w:rPr>
        <w:fldChar w:fldCharType="begin"/>
      </w:r>
      <w:r>
        <w:rPr>
          <w:rFonts w:hint="eastAsia" w:ascii="仿宋_GB2312" w:hAnsi="仿宋_GB2312" w:eastAsia="仿宋_GB2312" w:cs="仿宋_GB2312"/>
          <w:color w:val="0000FF"/>
          <w:sz w:val="24"/>
        </w:rPr>
        <w:instrText xml:space="preserve"> = 1 \* GB2 </w:instrText>
      </w:r>
      <w:r>
        <w:rPr>
          <w:rFonts w:hint="eastAsia" w:ascii="仿宋_GB2312" w:hAnsi="仿宋_GB2312" w:eastAsia="仿宋_GB2312" w:cs="仿宋_GB2312"/>
          <w:color w:val="0000FF"/>
          <w:sz w:val="24"/>
        </w:rPr>
        <w:fldChar w:fldCharType="separate"/>
      </w:r>
      <w:r>
        <w:rPr>
          <w:rFonts w:hint="eastAsia" w:ascii="仿宋_GB2312" w:hAnsi="仿宋_GB2312" w:eastAsia="仿宋_GB2312" w:cs="仿宋_GB2312"/>
          <w:color w:val="0000FF"/>
          <w:sz w:val="24"/>
        </w:rPr>
        <w:t>⑴</w:t>
      </w:r>
      <w:r>
        <w:rPr>
          <w:rFonts w:hint="eastAsia" w:ascii="仿宋_GB2312" w:hAnsi="仿宋_GB2312" w:eastAsia="仿宋_GB2312" w:cs="仿宋_GB2312"/>
          <w:color w:val="0000FF"/>
          <w:sz w:val="24"/>
        </w:rPr>
        <w:fldChar w:fldCharType="end"/>
      </w:r>
      <w:r>
        <w:rPr>
          <w:rFonts w:hint="eastAsia" w:ascii="仿宋_GB2312" w:hAnsi="仿宋_GB2312" w:eastAsia="仿宋_GB2312" w:cs="仿宋_GB2312"/>
          <w:color w:val="0000FF"/>
          <w:sz w:val="24"/>
        </w:rPr>
        <w:t>获取流程：浙江政府采购网—用户入驻/登录—用户登录—项目采购—获取招标文件管理；</w:t>
      </w:r>
    </w:p>
    <w:p>
      <w:pPr>
        <w:wordWrap w:val="0"/>
        <w:spacing w:line="440" w:lineRule="exact"/>
        <w:ind w:firstLine="480" w:firstLineChars="200"/>
        <w:rPr>
          <w:rFonts w:ascii="仿宋_GB2312" w:hAnsi="仿宋_GB2312" w:eastAsia="仿宋_GB2312" w:cs="仿宋_GB2312"/>
          <w:bCs/>
          <w:snapToGrid w:val="0"/>
          <w:color w:val="0000FF"/>
          <w:sz w:val="24"/>
        </w:rPr>
      </w:pPr>
      <w:r>
        <w:rPr>
          <w:rFonts w:hint="eastAsia" w:ascii="仿宋_GB2312" w:hAnsi="仿宋_GB2312" w:eastAsia="仿宋_GB2312" w:cs="仿宋_GB2312"/>
          <w:bCs/>
          <w:snapToGrid w:val="0"/>
          <w:color w:val="0000FF"/>
          <w:sz w:val="24"/>
        </w:rPr>
        <w:fldChar w:fldCharType="begin"/>
      </w:r>
      <w:r>
        <w:rPr>
          <w:rFonts w:hint="eastAsia" w:ascii="仿宋_GB2312" w:hAnsi="仿宋_GB2312" w:eastAsia="仿宋_GB2312" w:cs="仿宋_GB2312"/>
          <w:bCs/>
          <w:snapToGrid w:val="0"/>
          <w:color w:val="0000FF"/>
          <w:sz w:val="24"/>
        </w:rPr>
        <w:instrText xml:space="preserve"> = 2 \* GB2 </w:instrText>
      </w:r>
      <w:r>
        <w:rPr>
          <w:rFonts w:hint="eastAsia" w:ascii="仿宋_GB2312" w:hAnsi="仿宋_GB2312" w:eastAsia="仿宋_GB2312" w:cs="仿宋_GB2312"/>
          <w:bCs/>
          <w:snapToGrid w:val="0"/>
          <w:color w:val="0000FF"/>
          <w:sz w:val="24"/>
        </w:rPr>
        <w:fldChar w:fldCharType="separate"/>
      </w:r>
      <w:r>
        <w:rPr>
          <w:rFonts w:hint="eastAsia" w:ascii="仿宋_GB2312" w:hAnsi="仿宋_GB2312" w:eastAsia="仿宋_GB2312" w:cs="仿宋_GB2312"/>
          <w:bCs/>
          <w:snapToGrid w:val="0"/>
          <w:color w:val="0000FF"/>
          <w:sz w:val="24"/>
        </w:rPr>
        <w:t>⑵</w:t>
      </w:r>
      <w:r>
        <w:rPr>
          <w:rFonts w:hint="eastAsia" w:ascii="仿宋_GB2312" w:hAnsi="仿宋_GB2312" w:eastAsia="仿宋_GB2312" w:cs="仿宋_GB2312"/>
          <w:bCs/>
          <w:snapToGrid w:val="0"/>
          <w:color w:val="0000FF"/>
          <w:sz w:val="24"/>
        </w:rPr>
        <w:fldChar w:fldCharType="end"/>
      </w:r>
      <w:r>
        <w:rPr>
          <w:rFonts w:hint="eastAsia" w:ascii="仿宋_GB2312" w:hAnsi="仿宋_GB2312" w:eastAsia="仿宋_GB2312" w:cs="仿宋_GB2312"/>
          <w:bCs/>
          <w:snapToGrid w:val="0"/>
          <w:color w:val="0000FF"/>
          <w:sz w:val="24"/>
        </w:rPr>
        <w:t>未在浙江省政府采购网（zfcg.czt.zj.gov.cn）注册成为正式供应商的，请注册完成审核成功后方可登录获取，注册流程见网址：</w:t>
      </w:r>
      <w:r>
        <w:fldChar w:fldCharType="begin"/>
      </w:r>
      <w:r>
        <w:instrText xml:space="preserve"> HYPERLINK "http://zfcg.czt.zj.gov.cn/register/2017-07-24/6728.html?_=2020-03-09%2006:00:22" </w:instrText>
      </w:r>
      <w:r>
        <w:fldChar w:fldCharType="separate"/>
      </w:r>
      <w:r>
        <w:rPr>
          <w:rFonts w:hint="eastAsia" w:ascii="仿宋_GB2312" w:hAnsi="仿宋_GB2312" w:eastAsia="仿宋_GB2312" w:cs="仿宋_GB2312"/>
          <w:bCs/>
          <w:snapToGrid w:val="0"/>
          <w:color w:val="0000FF"/>
          <w:sz w:val="24"/>
        </w:rPr>
        <w:t>zfcg.czt.zj.gov.cn/register/2017-07-24/6728.html?_=2020-03-09%2006:</w:t>
      </w:r>
      <w:bookmarkStart w:id="4" w:name="_Hlt34749270"/>
      <w:bookmarkStart w:id="5" w:name="_Hlt34749271"/>
      <w:r>
        <w:rPr>
          <w:rFonts w:hint="eastAsia" w:ascii="仿宋_GB2312" w:hAnsi="仿宋_GB2312" w:eastAsia="仿宋_GB2312" w:cs="仿宋_GB2312"/>
          <w:bCs/>
          <w:snapToGrid w:val="0"/>
          <w:color w:val="0000FF"/>
          <w:sz w:val="24"/>
        </w:rPr>
        <w:t>0</w:t>
      </w:r>
      <w:bookmarkEnd w:id="4"/>
      <w:bookmarkEnd w:id="5"/>
      <w:r>
        <w:rPr>
          <w:rFonts w:hint="eastAsia" w:ascii="仿宋_GB2312" w:hAnsi="仿宋_GB2312" w:eastAsia="仿宋_GB2312" w:cs="仿宋_GB2312"/>
          <w:bCs/>
          <w:snapToGrid w:val="0"/>
          <w:color w:val="0000FF"/>
          <w:sz w:val="24"/>
        </w:rPr>
        <w:t>0:22</w:t>
      </w:r>
      <w:r>
        <w:rPr>
          <w:rFonts w:hint="eastAsia" w:ascii="仿宋_GB2312" w:hAnsi="仿宋_GB2312" w:eastAsia="仿宋_GB2312" w:cs="仿宋_GB2312"/>
          <w:bCs/>
          <w:snapToGrid w:val="0"/>
          <w:color w:val="0000FF"/>
          <w:sz w:val="24"/>
        </w:rPr>
        <w:fldChar w:fldCharType="end"/>
      </w:r>
      <w:r>
        <w:rPr>
          <w:rFonts w:hint="eastAsia" w:ascii="仿宋_GB2312" w:hAnsi="仿宋_GB2312" w:eastAsia="仿宋_GB2312" w:cs="仿宋_GB2312"/>
          <w:bCs/>
          <w:snapToGrid w:val="0"/>
          <w:color w:val="0000FF"/>
          <w:sz w:val="24"/>
        </w:rPr>
        <w:t>，注册咨询电话：400-881-7190；</w:t>
      </w:r>
    </w:p>
    <w:p>
      <w:pPr>
        <w:wordWrap w:val="0"/>
        <w:spacing w:line="440" w:lineRule="exact"/>
        <w:ind w:firstLine="480" w:firstLineChars="200"/>
        <w:rPr>
          <w:rFonts w:ascii="宋体" w:hAnsi="宋体" w:eastAsia="仿宋_GB2312" w:cs="Arial"/>
          <w:bCs/>
          <w:sz w:val="24"/>
        </w:rPr>
      </w:pPr>
      <w:r>
        <w:rPr>
          <w:rFonts w:hint="eastAsia" w:ascii="仿宋_GB2312" w:hAnsi="仿宋_GB2312" w:eastAsia="仿宋_GB2312" w:cs="仿宋_GB2312"/>
          <w:bCs/>
          <w:snapToGrid w:val="0"/>
          <w:color w:val="0000FF"/>
          <w:sz w:val="24"/>
        </w:rPr>
        <w:fldChar w:fldCharType="begin"/>
      </w:r>
      <w:r>
        <w:rPr>
          <w:rFonts w:hint="eastAsia" w:ascii="仿宋_GB2312" w:hAnsi="仿宋_GB2312" w:eastAsia="仿宋_GB2312" w:cs="仿宋_GB2312"/>
          <w:bCs/>
          <w:snapToGrid w:val="0"/>
          <w:color w:val="0000FF"/>
          <w:sz w:val="24"/>
        </w:rPr>
        <w:instrText xml:space="preserve"> = 3 \* GB2 </w:instrText>
      </w:r>
      <w:r>
        <w:rPr>
          <w:rFonts w:hint="eastAsia" w:ascii="仿宋_GB2312" w:hAnsi="仿宋_GB2312" w:eastAsia="仿宋_GB2312" w:cs="仿宋_GB2312"/>
          <w:bCs/>
          <w:snapToGrid w:val="0"/>
          <w:color w:val="0000FF"/>
          <w:sz w:val="24"/>
        </w:rPr>
        <w:fldChar w:fldCharType="separate"/>
      </w:r>
      <w:r>
        <w:rPr>
          <w:rFonts w:hint="eastAsia" w:ascii="仿宋_GB2312" w:hAnsi="仿宋_GB2312" w:eastAsia="仿宋_GB2312" w:cs="仿宋_GB2312"/>
          <w:bCs/>
          <w:snapToGrid w:val="0"/>
          <w:color w:val="0000FF"/>
          <w:sz w:val="24"/>
        </w:rPr>
        <w:t>⑶</w:t>
      </w:r>
      <w:r>
        <w:rPr>
          <w:rFonts w:hint="eastAsia" w:ascii="仿宋_GB2312" w:hAnsi="仿宋_GB2312" w:eastAsia="仿宋_GB2312" w:cs="仿宋_GB2312"/>
          <w:bCs/>
          <w:snapToGrid w:val="0"/>
          <w:color w:val="0000FF"/>
          <w:sz w:val="24"/>
        </w:rPr>
        <w:fldChar w:fldCharType="end"/>
      </w:r>
      <w:r>
        <w:rPr>
          <w:rFonts w:hint="eastAsia" w:ascii="仿宋_GB2312" w:hAnsi="仿宋_GB2312" w:eastAsia="仿宋_GB2312" w:cs="仿宋_GB2312"/>
          <w:bCs/>
          <w:snapToGrid w:val="0"/>
          <w:color w:val="0000FF"/>
          <w:sz w:val="24"/>
        </w:rPr>
        <w:t>在浙江政府采购网采购公告附件中以“游客”身份（或磐安县公共资源交易网）获取的招标文件在仅供阅览；潜在供应商未按上述第</w:t>
      </w:r>
      <w:r>
        <w:rPr>
          <w:rFonts w:hint="eastAsia" w:ascii="仿宋_GB2312" w:hAnsi="仿宋_GB2312" w:eastAsia="仿宋_GB2312" w:cs="仿宋_GB2312"/>
          <w:bCs/>
          <w:snapToGrid w:val="0"/>
          <w:color w:val="0000FF"/>
          <w:sz w:val="24"/>
        </w:rPr>
        <w:fldChar w:fldCharType="begin"/>
      </w:r>
      <w:r>
        <w:rPr>
          <w:rFonts w:hint="eastAsia" w:ascii="仿宋_GB2312" w:hAnsi="仿宋_GB2312" w:eastAsia="仿宋_GB2312" w:cs="仿宋_GB2312"/>
          <w:bCs/>
          <w:snapToGrid w:val="0"/>
          <w:color w:val="0000FF"/>
          <w:sz w:val="24"/>
        </w:rPr>
        <w:instrText xml:space="preserve"> = 1 \* GB2 </w:instrText>
      </w:r>
      <w:r>
        <w:rPr>
          <w:rFonts w:hint="eastAsia" w:ascii="仿宋_GB2312" w:hAnsi="仿宋_GB2312" w:eastAsia="仿宋_GB2312" w:cs="仿宋_GB2312"/>
          <w:bCs/>
          <w:snapToGrid w:val="0"/>
          <w:color w:val="0000FF"/>
          <w:sz w:val="24"/>
        </w:rPr>
        <w:fldChar w:fldCharType="separate"/>
      </w:r>
      <w:r>
        <w:rPr>
          <w:rFonts w:hint="eastAsia" w:ascii="仿宋_GB2312" w:hAnsi="仿宋_GB2312" w:eastAsia="仿宋_GB2312" w:cs="仿宋_GB2312"/>
          <w:bCs/>
          <w:snapToGrid w:val="0"/>
          <w:color w:val="0000FF"/>
          <w:sz w:val="24"/>
        </w:rPr>
        <w:t>⑴</w:t>
      </w:r>
      <w:r>
        <w:rPr>
          <w:rFonts w:hint="eastAsia" w:ascii="仿宋_GB2312" w:hAnsi="仿宋_GB2312" w:eastAsia="仿宋_GB2312" w:cs="仿宋_GB2312"/>
          <w:bCs/>
          <w:snapToGrid w:val="0"/>
          <w:color w:val="0000FF"/>
          <w:sz w:val="24"/>
        </w:rPr>
        <w:fldChar w:fldCharType="end"/>
      </w:r>
      <w:r>
        <w:rPr>
          <w:rFonts w:hint="eastAsia" w:ascii="仿宋_GB2312" w:hAnsi="仿宋_GB2312" w:eastAsia="仿宋_GB2312" w:cs="仿宋_GB2312"/>
          <w:bCs/>
          <w:snapToGrid w:val="0"/>
          <w:color w:val="0000FF"/>
          <w:sz w:val="24"/>
        </w:rPr>
        <w:t>条方式获取招标文件的不得对招标文件提起质疑投诉。</w:t>
      </w:r>
    </w:p>
    <w:p>
      <w:pPr>
        <w:snapToGrid w:val="0"/>
        <w:spacing w:line="400" w:lineRule="exact"/>
        <w:ind w:right="218" w:rightChars="104" w:firstLine="542" w:firstLineChars="225"/>
        <w:rPr>
          <w:rFonts w:ascii="黑体" w:hAnsi="黑体" w:eastAsia="黑体" w:cs="黑体"/>
          <w:b/>
          <w:sz w:val="24"/>
        </w:rPr>
      </w:pPr>
      <w:r>
        <w:rPr>
          <w:rFonts w:hint="eastAsia" w:ascii="黑体" w:hAnsi="黑体" w:eastAsia="黑体" w:cs="黑体"/>
          <w:b/>
          <w:sz w:val="24"/>
        </w:rPr>
        <w:t>七、提交投标文件截止时间、开标时间和地点</w:t>
      </w:r>
    </w:p>
    <w:p>
      <w:pPr>
        <w:wordWrap w:val="0"/>
        <w:spacing w:line="440" w:lineRule="exact"/>
        <w:ind w:firstLine="480" w:firstLineChars="200"/>
      </w:pPr>
      <w:r>
        <w:rPr>
          <w:rFonts w:hint="eastAsia" w:ascii="仿宋_GB2312" w:hAnsi="仿宋_GB2312" w:eastAsia="仿宋_GB2312" w:cs="仿宋_GB2312"/>
          <w:bCs/>
          <w:sz w:val="24"/>
        </w:rPr>
        <w:t>1</w:t>
      </w:r>
      <w:r>
        <w:rPr>
          <w:rFonts w:hint="eastAsia" w:ascii="仿宋_GB2312" w:hAnsi="仿宋_GB2312" w:eastAsia="仿宋_GB2312" w:cs="仿宋_GB2312"/>
          <w:sz w:val="24"/>
        </w:rPr>
        <w:t xml:space="preserve">. </w:t>
      </w:r>
      <w:r>
        <w:rPr>
          <w:rFonts w:hint="eastAsia" w:ascii="仿宋_GB2312" w:hAnsi="仿宋_GB2312" w:eastAsia="仿宋_GB2312" w:cs="仿宋_GB2312"/>
          <w:bCs/>
          <w:sz w:val="24"/>
        </w:rPr>
        <w:t>提交投标文件截止时间：</w:t>
      </w:r>
      <w:r>
        <w:rPr>
          <w:rFonts w:hint="eastAsia" w:ascii="仿宋_GB2312" w:hAnsi="仿宋_GB2312" w:eastAsia="仿宋_GB2312" w:cs="仿宋_GB2312"/>
          <w:bCs/>
          <w:snapToGrid w:val="0"/>
          <w:color w:val="0000FF"/>
          <w:sz w:val="24"/>
          <w:u w:val="single"/>
        </w:rPr>
        <w:t>2022</w:t>
      </w:r>
      <w:r>
        <w:rPr>
          <w:rFonts w:hint="eastAsia" w:ascii="仿宋_GB2312" w:hAnsi="仿宋_GB2312" w:eastAsia="仿宋_GB2312" w:cs="仿宋_GB2312"/>
          <w:bCs/>
          <w:sz w:val="24"/>
        </w:rPr>
        <w:t>年</w:t>
      </w:r>
      <w:r>
        <w:rPr>
          <w:rFonts w:hint="eastAsia" w:ascii="仿宋_GB2312" w:hAnsi="仿宋_GB2312" w:eastAsia="仿宋_GB2312" w:cs="仿宋_GB2312"/>
          <w:bCs/>
          <w:snapToGrid w:val="0"/>
          <w:color w:val="0000FF"/>
          <w:sz w:val="24"/>
          <w:u w:val="single"/>
          <w:lang w:val="en-US" w:eastAsia="zh-CN"/>
        </w:rPr>
        <w:t>8</w:t>
      </w:r>
      <w:r>
        <w:rPr>
          <w:rFonts w:hint="eastAsia" w:ascii="仿宋_GB2312" w:hAnsi="仿宋_GB2312" w:eastAsia="仿宋_GB2312" w:cs="仿宋_GB2312"/>
          <w:bCs/>
          <w:sz w:val="24"/>
        </w:rPr>
        <w:t>月</w:t>
      </w:r>
      <w:r>
        <w:rPr>
          <w:rFonts w:hint="eastAsia" w:ascii="仿宋_GB2312" w:hAnsi="仿宋_GB2312" w:eastAsia="仿宋_GB2312" w:cs="仿宋_GB2312"/>
          <w:bCs/>
          <w:snapToGrid w:val="0"/>
          <w:color w:val="0000FF"/>
          <w:sz w:val="24"/>
          <w:u w:val="single"/>
          <w:lang w:val="en-US" w:eastAsia="zh-CN"/>
        </w:rPr>
        <w:t>26</w:t>
      </w:r>
      <w:r>
        <w:rPr>
          <w:rFonts w:hint="eastAsia" w:ascii="仿宋_GB2312" w:hAnsi="仿宋_GB2312" w:eastAsia="仿宋_GB2312" w:cs="仿宋_GB2312"/>
          <w:bCs/>
          <w:sz w:val="24"/>
        </w:rPr>
        <w:t xml:space="preserve">日 </w:t>
      </w:r>
      <w:r>
        <w:rPr>
          <w:rFonts w:hint="eastAsia" w:ascii="仿宋_GB2312" w:hAnsi="仿宋_GB2312" w:eastAsia="仿宋_GB2312" w:cs="仿宋_GB2312"/>
          <w:bCs/>
          <w:snapToGrid w:val="0"/>
          <w:color w:val="0000FF"/>
          <w:sz w:val="24"/>
          <w:u w:val="single"/>
        </w:rPr>
        <w:t>09</w:t>
      </w:r>
      <w:r>
        <w:rPr>
          <w:rFonts w:hint="eastAsia" w:ascii="仿宋_GB2312" w:hAnsi="仿宋_GB2312" w:eastAsia="仿宋_GB2312" w:cs="仿宋_GB2312"/>
          <w:bCs/>
          <w:sz w:val="24"/>
        </w:rPr>
        <w:t>:</w:t>
      </w:r>
      <w:r>
        <w:rPr>
          <w:rFonts w:hint="eastAsia" w:ascii="仿宋_GB2312" w:hAnsi="仿宋_GB2312" w:eastAsia="仿宋_GB2312" w:cs="仿宋_GB2312"/>
          <w:bCs/>
          <w:snapToGrid w:val="0"/>
          <w:color w:val="0000FF"/>
          <w:sz w:val="24"/>
          <w:u w:val="single"/>
        </w:rPr>
        <w:t>00</w:t>
      </w:r>
      <w:r>
        <w:rPr>
          <w:rFonts w:hint="eastAsia" w:ascii="仿宋_GB2312" w:hAnsi="仿宋_GB2312" w:eastAsia="仿宋_GB2312" w:cs="仿宋_GB2312"/>
          <w:bCs/>
          <w:sz w:val="24"/>
        </w:rPr>
        <w:t>（北京时间）</w:t>
      </w:r>
    </w:p>
    <w:p>
      <w:pPr>
        <w:snapToGrid w:val="0"/>
        <w:spacing w:line="400" w:lineRule="exact"/>
        <w:ind w:right="218" w:rightChars="104" w:firstLine="540" w:firstLineChars="225"/>
        <w:rPr>
          <w:rFonts w:ascii="宋体" w:hAnsi="宋体" w:cs="宋体"/>
          <w:sz w:val="24"/>
        </w:rPr>
      </w:pPr>
      <w:r>
        <w:rPr>
          <w:rFonts w:hint="eastAsia" w:ascii="宋体" w:hAnsi="宋体" w:cs="宋体"/>
          <w:sz w:val="24"/>
        </w:rPr>
        <w:t>2. 投标地点（网址）：</w:t>
      </w:r>
    </w:p>
    <w:p>
      <w:pPr>
        <w:snapToGrid w:val="0"/>
        <w:spacing w:line="400" w:lineRule="exact"/>
        <w:ind w:right="218" w:rightChars="104" w:firstLine="540" w:firstLineChars="225"/>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GB2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电子加密投标文件：在“政府采购云平台”上传提交，“电子加密投标文件”成功上传提交后，投标人自行打印投标文件接收回执；</w:t>
      </w:r>
    </w:p>
    <w:p>
      <w:pPr>
        <w:snapToGrid w:val="0"/>
        <w:spacing w:line="400" w:lineRule="exact"/>
        <w:ind w:right="218" w:rightChars="104" w:firstLine="540" w:firstLineChars="225"/>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备份投标文件：投标人自行确定是否提交；若提交请将备份投标文件以电子邮件的形式发送至（</w:t>
      </w:r>
      <w:r>
        <w:rPr>
          <w:rFonts w:hint="eastAsia" w:ascii="宋体" w:hAnsi="宋体" w:cs="Arial"/>
          <w:bCs/>
          <w:sz w:val="24"/>
        </w:rPr>
        <w:t>2286933217@qq.com</w:t>
      </w:r>
      <w:r>
        <w:rPr>
          <w:rFonts w:hint="eastAsia" w:ascii="宋体" w:hAnsi="宋体" w:cs="宋体"/>
          <w:sz w:val="24"/>
        </w:rPr>
        <w:t>），备份投标文件在“电子加密投标文件”在线解密失败后启用，否则不予以启用；未在规定时间内发送备份投标文件造成的响应无效或失败由供应商自行承当。</w:t>
      </w:r>
    </w:p>
    <w:p>
      <w:pPr>
        <w:wordWrap w:val="0"/>
        <w:spacing w:line="440" w:lineRule="exact"/>
        <w:ind w:firstLine="480" w:firstLineChars="200"/>
        <w:rPr>
          <w:rFonts w:ascii="仿宋_GB2312" w:hAnsi="仿宋_GB2312" w:eastAsia="仿宋_GB2312" w:cs="仿宋_GB2312"/>
          <w:bCs/>
          <w:sz w:val="24"/>
        </w:rPr>
      </w:pPr>
      <w:r>
        <w:rPr>
          <w:rFonts w:hint="eastAsia" w:ascii="宋体" w:hAnsi="宋体" w:cs="宋体"/>
          <w:sz w:val="24"/>
        </w:rPr>
        <w:t>3. 开标时间：</w:t>
      </w:r>
      <w:r>
        <w:rPr>
          <w:rFonts w:hint="eastAsia" w:ascii="仿宋_GB2312" w:hAnsi="仿宋_GB2312" w:eastAsia="仿宋_GB2312" w:cs="仿宋_GB2312"/>
          <w:bCs/>
          <w:snapToGrid w:val="0"/>
          <w:color w:val="0000FF"/>
          <w:sz w:val="24"/>
          <w:u w:val="single"/>
        </w:rPr>
        <w:t>2022</w:t>
      </w:r>
      <w:r>
        <w:rPr>
          <w:rFonts w:hint="eastAsia" w:ascii="仿宋_GB2312" w:hAnsi="仿宋_GB2312" w:eastAsia="仿宋_GB2312" w:cs="仿宋_GB2312"/>
          <w:bCs/>
          <w:sz w:val="24"/>
        </w:rPr>
        <w:t>年</w:t>
      </w:r>
      <w:r>
        <w:rPr>
          <w:rFonts w:hint="eastAsia" w:ascii="仿宋_GB2312" w:hAnsi="仿宋_GB2312" w:eastAsia="仿宋_GB2312" w:cs="仿宋_GB2312"/>
          <w:bCs/>
          <w:snapToGrid w:val="0"/>
          <w:color w:val="0000FF"/>
          <w:sz w:val="24"/>
          <w:u w:val="single"/>
          <w:lang w:val="en-US" w:eastAsia="zh-CN"/>
        </w:rPr>
        <w:t>8</w:t>
      </w:r>
      <w:r>
        <w:rPr>
          <w:rFonts w:hint="eastAsia" w:ascii="仿宋_GB2312" w:hAnsi="仿宋_GB2312" w:eastAsia="仿宋_GB2312" w:cs="仿宋_GB2312"/>
          <w:bCs/>
          <w:sz w:val="24"/>
        </w:rPr>
        <w:t>月</w:t>
      </w:r>
      <w:r>
        <w:rPr>
          <w:rFonts w:hint="eastAsia" w:ascii="仿宋_GB2312" w:hAnsi="仿宋_GB2312" w:eastAsia="仿宋_GB2312" w:cs="仿宋_GB2312"/>
          <w:bCs/>
          <w:snapToGrid w:val="0"/>
          <w:color w:val="0000FF"/>
          <w:sz w:val="24"/>
          <w:u w:val="single"/>
          <w:lang w:val="en-US" w:eastAsia="zh-CN"/>
        </w:rPr>
        <w:t>26</w:t>
      </w:r>
      <w:r>
        <w:rPr>
          <w:rFonts w:hint="eastAsia" w:ascii="仿宋_GB2312" w:hAnsi="仿宋_GB2312" w:eastAsia="仿宋_GB2312" w:cs="仿宋_GB2312"/>
          <w:bCs/>
          <w:sz w:val="24"/>
        </w:rPr>
        <w:t xml:space="preserve">日 </w:t>
      </w:r>
      <w:r>
        <w:rPr>
          <w:rFonts w:hint="eastAsia" w:ascii="仿宋_GB2312" w:hAnsi="仿宋_GB2312" w:eastAsia="仿宋_GB2312" w:cs="仿宋_GB2312"/>
          <w:bCs/>
          <w:snapToGrid w:val="0"/>
          <w:color w:val="0000FF"/>
          <w:sz w:val="24"/>
          <w:u w:val="single"/>
        </w:rPr>
        <w:t>09</w:t>
      </w:r>
      <w:r>
        <w:rPr>
          <w:rFonts w:hint="eastAsia" w:ascii="仿宋_GB2312" w:hAnsi="仿宋_GB2312" w:eastAsia="仿宋_GB2312" w:cs="仿宋_GB2312"/>
          <w:bCs/>
          <w:sz w:val="24"/>
        </w:rPr>
        <w:t>:</w:t>
      </w:r>
      <w:r>
        <w:rPr>
          <w:rFonts w:hint="eastAsia" w:ascii="仿宋_GB2312" w:hAnsi="仿宋_GB2312" w:eastAsia="仿宋_GB2312" w:cs="仿宋_GB2312"/>
          <w:bCs/>
          <w:snapToGrid w:val="0"/>
          <w:color w:val="0000FF"/>
          <w:sz w:val="24"/>
          <w:u w:val="single"/>
        </w:rPr>
        <w:t>00</w:t>
      </w:r>
      <w:r>
        <w:rPr>
          <w:rFonts w:hint="eastAsia" w:ascii="仿宋_GB2312" w:hAnsi="仿宋_GB2312" w:eastAsia="仿宋_GB2312" w:cs="仿宋_GB2312"/>
          <w:bCs/>
          <w:sz w:val="24"/>
        </w:rPr>
        <w:t>（北京时间）</w:t>
      </w:r>
    </w:p>
    <w:p>
      <w:pPr>
        <w:snapToGrid w:val="0"/>
        <w:spacing w:line="400" w:lineRule="exact"/>
        <w:ind w:right="218" w:rightChars="104" w:firstLine="480" w:firstLineChars="200"/>
        <w:rPr>
          <w:rFonts w:ascii="宋体" w:hAnsi="宋体" w:cs="宋体"/>
          <w:sz w:val="24"/>
        </w:rPr>
      </w:pPr>
      <w:r>
        <w:rPr>
          <w:rFonts w:hint="eastAsia" w:ascii="宋体" w:hAnsi="宋体" w:cs="宋体"/>
          <w:sz w:val="24"/>
        </w:rPr>
        <w:t>4. 开标地点（网址）：</w:t>
      </w:r>
      <w:r>
        <w:rPr>
          <w:rFonts w:hint="eastAsia" w:ascii="宋体" w:hAnsi="宋体" w:cs="Arial"/>
          <w:bCs/>
          <w:sz w:val="24"/>
        </w:rPr>
        <w:t>金华市公共资源交易中心磐安县分中心开标室二（磐安县安文街道花月路211号建设大厦22楼）</w:t>
      </w:r>
      <w:r>
        <w:rPr>
          <w:rFonts w:hint="eastAsia" w:ascii="宋体" w:hAnsi="宋体" w:cs="宋体"/>
          <w:sz w:val="24"/>
        </w:rPr>
        <w:t>；浙江政府采购网—用户入驻/登录—用户登录—项目采购—开标评标—进入开标大厅</w:t>
      </w:r>
    </w:p>
    <w:p>
      <w:pPr>
        <w:snapToGrid w:val="0"/>
        <w:spacing w:line="400" w:lineRule="exact"/>
        <w:ind w:right="218" w:rightChars="104" w:firstLine="542" w:firstLineChars="225"/>
        <w:rPr>
          <w:rFonts w:ascii="宋体" w:hAnsi="宋体" w:cs="Arial"/>
          <w:bCs/>
          <w:sz w:val="24"/>
        </w:rPr>
      </w:pPr>
      <w:r>
        <w:rPr>
          <w:rFonts w:hint="eastAsia" w:ascii="黑体" w:hAnsi="黑体" w:eastAsia="黑体" w:cs="黑体"/>
          <w:b/>
          <w:sz w:val="24"/>
        </w:rPr>
        <w:t>八、投标保证金：</w:t>
      </w:r>
      <w:r>
        <w:rPr>
          <w:rFonts w:hint="eastAsia" w:ascii="宋体" w:hAnsi="宋体" w:cs="Arial"/>
          <w:bCs/>
          <w:sz w:val="24"/>
        </w:rPr>
        <w:t>本项目不收取投标保证金。</w:t>
      </w:r>
    </w:p>
    <w:p>
      <w:pPr>
        <w:snapToGrid w:val="0"/>
        <w:spacing w:line="400" w:lineRule="exact"/>
        <w:ind w:right="218" w:rightChars="104" w:firstLine="542" w:firstLineChars="225"/>
        <w:rPr>
          <w:rFonts w:ascii="黑体" w:hAnsi="黑体" w:eastAsia="黑体" w:cs="黑体"/>
          <w:b/>
          <w:sz w:val="24"/>
        </w:rPr>
      </w:pPr>
      <w:bookmarkStart w:id="6" w:name="_Toc35393795"/>
      <w:bookmarkStart w:id="7" w:name="_Toc35393626"/>
      <w:r>
        <w:rPr>
          <w:rFonts w:hint="eastAsia" w:ascii="黑体" w:hAnsi="黑体" w:eastAsia="黑体" w:cs="黑体"/>
          <w:b/>
          <w:sz w:val="24"/>
        </w:rPr>
        <w:t>九、其他补充事宜</w:t>
      </w:r>
      <w:bookmarkEnd w:id="6"/>
      <w:bookmarkEnd w:id="7"/>
      <w:r>
        <w:rPr>
          <w:rFonts w:hint="eastAsia" w:ascii="黑体" w:hAnsi="黑体" w:eastAsia="黑体" w:cs="黑体"/>
          <w:b/>
          <w:sz w:val="24"/>
        </w:rPr>
        <w:t>：</w:t>
      </w:r>
    </w:p>
    <w:p>
      <w:pPr>
        <w:wordWrap w:val="0"/>
        <w:snapToGrid w:val="0"/>
        <w:spacing w:line="440" w:lineRule="exact"/>
        <w:ind w:firstLine="510"/>
        <w:rPr>
          <w:rFonts w:ascii="仿宋_GB2312" w:hAnsi="仿宋_GB2312" w:eastAsia="仿宋_GB2312" w:cs="仿宋_GB2312"/>
          <w:bCs/>
          <w:snapToGrid w:val="0"/>
          <w:color w:val="0000FF"/>
          <w:sz w:val="24"/>
        </w:rPr>
      </w:pPr>
      <w:r>
        <w:rPr>
          <w:rFonts w:hint="eastAsia" w:ascii="宋体" w:hAnsi="宋体" w:cs="Arial"/>
          <w:bCs/>
          <w:sz w:val="24"/>
        </w:rPr>
        <w:t>1</w:t>
      </w:r>
      <w:r>
        <w:rPr>
          <w:rFonts w:hint="eastAsia" w:ascii="黑体" w:hAnsi="黑体" w:eastAsia="黑体" w:cs="黑体"/>
          <w:b/>
          <w:sz w:val="24"/>
        </w:rPr>
        <w:t>.</w:t>
      </w:r>
      <w:r>
        <w:rPr>
          <w:rFonts w:hint="eastAsia" w:ascii="仿宋_GB2312" w:hAnsi="仿宋_GB2312" w:eastAsia="仿宋_GB2312" w:cs="仿宋_GB2312"/>
          <w:bCs/>
          <w:snapToGrid w:val="0"/>
          <w:color w:val="0000FF"/>
          <w:sz w:val="24"/>
        </w:rPr>
        <w:t>本项目全程电子招投标，相关的操作规程务必关注《政府采购项目电子交易管理操作指南-供应商》（网址：</w:t>
      </w:r>
      <w:r>
        <w:fldChar w:fldCharType="begin"/>
      </w:r>
      <w:r>
        <w:instrText xml:space="preserve"> HYPERLINK "https://service.zcygov.cn/" \l "/knowledges/CW1EtGwBFdiHxlNd6I3m/6IMVAG0BFdiHxlNdQ8Na）" </w:instrText>
      </w:r>
      <w:r>
        <w:fldChar w:fldCharType="separate"/>
      </w:r>
      <w:r>
        <w:rPr>
          <w:rFonts w:hint="eastAsia" w:ascii="仿宋_GB2312" w:hAnsi="仿宋_GB2312" w:eastAsia="仿宋_GB2312" w:cs="仿宋_GB2312"/>
          <w:bCs/>
          <w:snapToGrid w:val="0"/>
          <w:color w:val="0000FF"/>
          <w:sz w:val="24"/>
        </w:rPr>
        <w:t>https://service.zcygov.cn/#/knowledges/CW1EtGwBFdiHxlNd6I3m/6IMVAG0BFdiHxlNdQ8Na）</w:t>
      </w:r>
      <w:r>
        <w:rPr>
          <w:rFonts w:hint="eastAsia" w:ascii="仿宋_GB2312" w:hAnsi="仿宋_GB2312" w:eastAsia="仿宋_GB2312" w:cs="仿宋_GB2312"/>
          <w:bCs/>
          <w:snapToGrid w:val="0"/>
          <w:color w:val="0000FF"/>
          <w:sz w:val="24"/>
        </w:rPr>
        <w:fldChar w:fldCharType="end"/>
      </w:r>
    </w:p>
    <w:p>
      <w:pPr>
        <w:snapToGrid w:val="0"/>
        <w:spacing w:line="400" w:lineRule="exact"/>
        <w:ind w:right="218" w:rightChars="104" w:firstLine="540" w:firstLineChars="225"/>
        <w:rPr>
          <w:rFonts w:ascii="宋体" w:hAnsi="宋体" w:cs="宋体"/>
          <w:sz w:val="24"/>
        </w:rPr>
      </w:pPr>
      <w:r>
        <w:rPr>
          <w:rFonts w:hint="eastAsia" w:ascii="宋体" w:hAnsi="宋体" w:cs="宋体"/>
          <w:sz w:val="24"/>
        </w:rPr>
        <w:t>2. 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val="0"/>
        <w:spacing w:line="360" w:lineRule="auto"/>
        <w:ind w:left="482"/>
        <w:textAlignment w:val="auto"/>
        <w:outlineLvl w:val="0"/>
        <w:rPr>
          <w:rFonts w:ascii="黑体" w:hAnsi="黑体" w:eastAsia="黑体" w:cs="黑体"/>
          <w:b/>
          <w:sz w:val="24"/>
        </w:rPr>
      </w:pPr>
      <w:r>
        <w:rPr>
          <w:rFonts w:hint="eastAsia" w:ascii="黑体" w:hAnsi="黑体" w:eastAsia="黑体" w:cs="黑体"/>
          <w:b/>
          <w:sz w:val="24"/>
        </w:rPr>
        <w:t>九、</w:t>
      </w:r>
      <w:r>
        <w:rPr>
          <w:rStyle w:val="59"/>
          <w:rFonts w:hint="eastAsia" w:ascii="宋体" w:hAnsi="宋体" w:cs="宋体"/>
          <w:sz w:val="24"/>
          <w:szCs w:val="24"/>
        </w:rPr>
        <w:t>对本次招标提出询问，请按以下方式联系：</w:t>
      </w:r>
    </w:p>
    <w:p>
      <w:pPr>
        <w:keepNext w:val="0"/>
        <w:keepLines w:val="0"/>
        <w:pageBreakBefore w:val="0"/>
        <w:widowControl w:val="0"/>
        <w:kinsoku/>
        <w:wordWrap/>
        <w:overflowPunct/>
        <w:topLinePunct w:val="0"/>
        <w:autoSpaceDE/>
        <w:autoSpaceDN/>
        <w:bidi w:val="0"/>
        <w:adjustRightInd/>
        <w:snapToGrid w:val="0"/>
        <w:spacing w:line="360" w:lineRule="auto"/>
        <w:ind w:right="218" w:rightChars="104" w:firstLine="480" w:firstLineChars="200"/>
        <w:textAlignment w:val="auto"/>
        <w:rPr>
          <w:rFonts w:hint="eastAsia" w:ascii="宋体" w:hAnsi="宋体" w:eastAsia="宋体" w:cs="Arial"/>
          <w:bCs/>
          <w:sz w:val="24"/>
          <w:lang w:eastAsia="zh-CN"/>
        </w:rPr>
      </w:pPr>
      <w:r>
        <w:rPr>
          <w:rFonts w:hint="eastAsia" w:ascii="宋体" w:hAnsi="宋体" w:cs="Arial"/>
          <w:bCs/>
          <w:sz w:val="24"/>
        </w:rPr>
        <w:t>1.采购人名称：</w:t>
      </w:r>
      <w:r>
        <w:rPr>
          <w:rFonts w:hint="eastAsia" w:ascii="宋体" w:hAnsi="宋体" w:cs="Arial"/>
          <w:bCs/>
          <w:sz w:val="24"/>
          <w:lang w:eastAsia="zh-CN"/>
        </w:rPr>
        <w:t>磐安县中药产业发展促进中心</w:t>
      </w:r>
    </w:p>
    <w:p>
      <w:pPr>
        <w:keepNext w:val="0"/>
        <w:keepLines w:val="0"/>
        <w:pageBreakBefore w:val="0"/>
        <w:widowControl w:val="0"/>
        <w:kinsoku/>
        <w:wordWrap/>
        <w:overflowPunct/>
        <w:topLinePunct w:val="0"/>
        <w:autoSpaceDE/>
        <w:autoSpaceDN/>
        <w:bidi w:val="0"/>
        <w:adjustRightInd/>
        <w:snapToGrid w:val="0"/>
        <w:spacing w:line="360" w:lineRule="auto"/>
        <w:ind w:right="218" w:rightChars="104" w:firstLine="480" w:firstLineChars="200"/>
        <w:textAlignment w:val="auto"/>
        <w:rPr>
          <w:rFonts w:hint="default" w:ascii="宋体" w:hAnsi="宋体" w:cs="Arial"/>
          <w:bCs/>
          <w:sz w:val="24"/>
          <w:lang w:val="en-US" w:eastAsia="zh-CN"/>
        </w:rPr>
      </w:pPr>
      <w:r>
        <w:rPr>
          <w:rFonts w:hint="eastAsia" w:ascii="宋体" w:hAnsi="宋体" w:cs="Arial"/>
          <w:bCs/>
          <w:sz w:val="24"/>
        </w:rPr>
        <w:t>　联系人：</w:t>
      </w:r>
      <w:r>
        <w:rPr>
          <w:rFonts w:hint="eastAsia" w:ascii="宋体" w:hAnsi="宋体" w:cs="Arial"/>
          <w:bCs/>
          <w:sz w:val="24"/>
          <w:lang w:val="en-US" w:eastAsia="zh-CN"/>
        </w:rPr>
        <w:t>张亨辉</w:t>
      </w:r>
      <w:r>
        <w:rPr>
          <w:rFonts w:hint="eastAsia" w:ascii="宋体" w:hAnsi="宋体" w:cs="Arial"/>
          <w:bCs/>
          <w:sz w:val="24"/>
        </w:rPr>
        <w:t xml:space="preserve">    联系电话：</w:t>
      </w:r>
      <w:r>
        <w:rPr>
          <w:rFonts w:hint="eastAsia" w:ascii="宋体" w:hAnsi="宋体" w:cs="Arial"/>
          <w:bCs/>
          <w:sz w:val="24"/>
          <w:lang w:val="en-US" w:eastAsia="zh-CN"/>
        </w:rPr>
        <w:t>0579-84958394</w:t>
      </w:r>
    </w:p>
    <w:p>
      <w:pPr>
        <w:pStyle w:val="32"/>
        <w:keepNext w:val="0"/>
        <w:keepLines w:val="0"/>
        <w:pageBreakBefore w:val="0"/>
        <w:widowControl w:val="0"/>
        <w:kinsoku/>
        <w:wordWrap/>
        <w:overflowPunct/>
        <w:topLinePunct w:val="0"/>
        <w:autoSpaceDE/>
        <w:autoSpaceDN/>
        <w:bidi w:val="0"/>
        <w:adjustRightInd/>
        <w:snapToGrid w:val="0"/>
        <w:spacing w:after="0" w:line="360" w:lineRule="auto"/>
        <w:ind w:left="0" w:leftChars="0" w:firstLine="720" w:firstLineChars="300"/>
        <w:textAlignment w:val="auto"/>
        <w:rPr>
          <w:rFonts w:hint="default"/>
          <w:lang w:val="en-US" w:eastAsia="zh-CN"/>
        </w:rPr>
      </w:pPr>
      <w:r>
        <w:rPr>
          <w:rFonts w:hint="eastAsia" w:cs="Arial"/>
          <w:bCs/>
          <w:sz w:val="24"/>
          <w:lang w:val="en-US" w:eastAsia="zh-CN"/>
        </w:rPr>
        <w:t>质疑</w:t>
      </w:r>
      <w:r>
        <w:rPr>
          <w:rFonts w:hint="eastAsia" w:ascii="宋体" w:hAnsi="宋体" w:cs="Arial"/>
          <w:bCs/>
          <w:sz w:val="24"/>
        </w:rPr>
        <w:t>联系人：</w:t>
      </w:r>
      <w:r>
        <w:rPr>
          <w:rFonts w:hint="eastAsia" w:ascii="宋体" w:hAnsi="宋体" w:cs="Arial"/>
          <w:bCs/>
          <w:sz w:val="24"/>
          <w:lang w:val="en-US" w:eastAsia="zh-CN"/>
        </w:rPr>
        <w:t>王盼</w:t>
      </w:r>
      <w:r>
        <w:rPr>
          <w:rFonts w:hint="eastAsia" w:ascii="宋体" w:hAnsi="宋体" w:cs="Arial"/>
          <w:bCs/>
          <w:sz w:val="24"/>
        </w:rPr>
        <w:t xml:space="preserve">  联系电话：</w:t>
      </w:r>
      <w:r>
        <w:rPr>
          <w:rFonts w:hint="eastAsia" w:ascii="宋体" w:hAnsi="宋体" w:cs="Arial"/>
          <w:bCs/>
          <w:sz w:val="24"/>
          <w:lang w:val="en-US" w:eastAsia="zh-CN"/>
        </w:rPr>
        <w:t>18868562641</w:t>
      </w:r>
    </w:p>
    <w:p>
      <w:pPr>
        <w:keepNext w:val="0"/>
        <w:keepLines w:val="0"/>
        <w:pageBreakBefore w:val="0"/>
        <w:widowControl w:val="0"/>
        <w:kinsoku/>
        <w:wordWrap/>
        <w:overflowPunct/>
        <w:topLinePunct w:val="0"/>
        <w:autoSpaceDE/>
        <w:autoSpaceDN/>
        <w:bidi w:val="0"/>
        <w:adjustRightInd/>
        <w:snapToGrid w:val="0"/>
        <w:spacing w:line="360" w:lineRule="auto"/>
        <w:ind w:right="218" w:rightChars="104" w:firstLine="480" w:firstLineChars="200"/>
        <w:textAlignment w:val="auto"/>
        <w:rPr>
          <w:rFonts w:hint="eastAsia" w:ascii="宋体" w:hAnsi="宋体" w:cs="Arial"/>
          <w:bCs/>
          <w:sz w:val="24"/>
        </w:rPr>
      </w:pPr>
      <w:r>
        <w:rPr>
          <w:rFonts w:hint="eastAsia" w:ascii="宋体" w:hAnsi="宋体" w:cs="Arial"/>
          <w:bCs/>
          <w:sz w:val="24"/>
        </w:rPr>
        <w:t xml:space="preserve">　地点：浙江省磐安县新渥街道古月路89号   </w:t>
      </w:r>
    </w:p>
    <w:p>
      <w:pPr>
        <w:numPr>
          <w:ilvl w:val="0"/>
          <w:numId w:val="5"/>
        </w:numPr>
        <w:snapToGrid w:val="0"/>
        <w:spacing w:line="400" w:lineRule="exact"/>
        <w:ind w:right="218" w:rightChars="104" w:firstLine="480" w:firstLineChars="200"/>
        <w:rPr>
          <w:rFonts w:ascii="宋体" w:hAnsi="宋体" w:cs="Arial"/>
          <w:bCs/>
          <w:sz w:val="24"/>
        </w:rPr>
      </w:pPr>
      <w:r>
        <w:rPr>
          <w:rFonts w:hint="eastAsia" w:ascii="宋体" w:hAnsi="宋体" w:cs="Arial"/>
          <w:bCs/>
          <w:sz w:val="24"/>
        </w:rPr>
        <w:t>招标</w:t>
      </w:r>
      <w:r>
        <w:rPr>
          <w:rFonts w:hint="eastAsia" w:ascii="宋体" w:hAnsi="宋体" w:cs="Arial"/>
          <w:bCs/>
          <w:sz w:val="24"/>
          <w:lang w:eastAsia="zh-CN"/>
        </w:rPr>
        <w:t>代理</w:t>
      </w:r>
      <w:r>
        <w:rPr>
          <w:rFonts w:hint="eastAsia" w:ascii="宋体" w:hAnsi="宋体" w:cs="Arial"/>
          <w:bCs/>
          <w:sz w:val="24"/>
        </w:rPr>
        <w:t>机构名称：浙江展图工程咨询有限公司</w:t>
      </w:r>
    </w:p>
    <w:p>
      <w:pPr>
        <w:snapToGrid w:val="0"/>
        <w:spacing w:line="400" w:lineRule="exact"/>
        <w:ind w:right="218" w:rightChars="104" w:firstLine="480" w:firstLineChars="200"/>
        <w:rPr>
          <w:rFonts w:ascii="宋体" w:hAnsi="宋体" w:cs="Arial"/>
          <w:bCs/>
          <w:sz w:val="24"/>
        </w:rPr>
      </w:pPr>
      <w:r>
        <w:rPr>
          <w:rFonts w:hint="eastAsia" w:ascii="宋体" w:hAnsi="宋体" w:cs="Arial"/>
          <w:bCs/>
          <w:sz w:val="24"/>
        </w:rPr>
        <w:t xml:space="preserve">联系人：徐晓燕 </w:t>
      </w:r>
    </w:p>
    <w:p>
      <w:pPr>
        <w:snapToGrid w:val="0"/>
        <w:spacing w:line="400" w:lineRule="exact"/>
        <w:ind w:right="218" w:rightChars="104" w:firstLine="540" w:firstLineChars="225"/>
        <w:rPr>
          <w:rFonts w:ascii="宋体" w:hAnsi="宋体" w:cs="Arial"/>
          <w:bCs/>
          <w:sz w:val="24"/>
        </w:rPr>
      </w:pPr>
      <w:r>
        <w:rPr>
          <w:rFonts w:hint="eastAsia" w:ascii="宋体" w:hAnsi="宋体" w:cs="Arial"/>
          <w:bCs/>
          <w:sz w:val="24"/>
        </w:rPr>
        <w:t xml:space="preserve">联系电话：0579-84669847     </w:t>
      </w:r>
    </w:p>
    <w:p>
      <w:pPr>
        <w:snapToGrid w:val="0"/>
        <w:spacing w:line="400" w:lineRule="exact"/>
        <w:ind w:right="218" w:rightChars="104" w:firstLine="540" w:firstLineChars="225"/>
        <w:rPr>
          <w:rFonts w:ascii="宋体" w:hAnsi="宋体" w:cs="Arial"/>
          <w:bCs/>
          <w:sz w:val="24"/>
        </w:rPr>
      </w:pPr>
      <w:r>
        <w:rPr>
          <w:rFonts w:hint="eastAsia" w:ascii="宋体" w:hAnsi="宋体" w:cs="Arial"/>
          <w:bCs/>
          <w:sz w:val="24"/>
        </w:rPr>
        <w:t>地址：磐安县安文街道花月路211号建设大厦12楼1205</w:t>
      </w:r>
    </w:p>
    <w:p>
      <w:pPr>
        <w:snapToGrid w:val="0"/>
        <w:spacing w:line="400" w:lineRule="exact"/>
        <w:ind w:right="218" w:rightChars="104" w:firstLine="540" w:firstLineChars="225"/>
        <w:rPr>
          <w:rFonts w:ascii="宋体" w:hAnsi="宋体" w:cs="Arial"/>
          <w:bCs/>
          <w:sz w:val="24"/>
        </w:rPr>
      </w:pPr>
      <w:r>
        <w:rPr>
          <w:rFonts w:hint="eastAsia" w:ascii="宋体" w:hAnsi="宋体" w:cs="Arial"/>
          <w:bCs/>
          <w:sz w:val="24"/>
        </w:rPr>
        <w:t>3.同级政府采购监督管理部门名称：金华市磐安县财政局</w:t>
      </w:r>
    </w:p>
    <w:p>
      <w:pPr>
        <w:snapToGrid w:val="0"/>
        <w:spacing w:line="400" w:lineRule="exact"/>
        <w:ind w:right="218" w:rightChars="104" w:firstLine="540" w:firstLineChars="225"/>
        <w:rPr>
          <w:rFonts w:ascii="宋体" w:hAnsi="宋体" w:cs="Arial"/>
          <w:bCs/>
          <w:sz w:val="24"/>
        </w:rPr>
      </w:pPr>
      <w:r>
        <w:rPr>
          <w:rFonts w:hint="eastAsia" w:ascii="宋体" w:hAnsi="宋体" w:cs="Arial"/>
          <w:bCs/>
          <w:sz w:val="24"/>
        </w:rPr>
        <w:t xml:space="preserve">联系人：陈巧慧              监督投诉电话：0579-84883829  </w:t>
      </w:r>
    </w:p>
    <w:p>
      <w:pPr>
        <w:snapToGrid w:val="0"/>
        <w:spacing w:line="400" w:lineRule="exact"/>
        <w:ind w:right="218" w:rightChars="104" w:firstLine="540" w:firstLineChars="225"/>
        <w:rPr>
          <w:rFonts w:ascii="宋体" w:hAnsi="宋体" w:cs="宋体"/>
          <w:bCs/>
          <w:sz w:val="24"/>
        </w:rPr>
      </w:pPr>
      <w:r>
        <w:rPr>
          <w:rFonts w:hint="eastAsia" w:ascii="宋体" w:hAnsi="宋体" w:cs="Arial"/>
          <w:bCs/>
          <w:sz w:val="24"/>
        </w:rPr>
        <w:t>地址：磐安县安文街道文溪南路88号</w:t>
      </w:r>
      <w:r>
        <w:rPr>
          <w:rFonts w:hint="eastAsia" w:ascii="宋体" w:hAnsi="宋体" w:cs="Arial"/>
          <w:sz w:val="24"/>
        </w:rPr>
        <w:t xml:space="preserve"> </w:t>
      </w:r>
    </w:p>
    <w:p>
      <w:pPr>
        <w:wordWrap w:val="0"/>
        <w:snapToGrid w:val="0"/>
        <w:spacing w:line="440" w:lineRule="exact"/>
        <w:ind w:firstLine="480" w:firstLineChars="200"/>
        <w:rPr>
          <w:rFonts w:ascii="仿宋_GB2312" w:hAnsi="仿宋_GB2312" w:eastAsia="仿宋_GB2312" w:cs="仿宋_GB2312"/>
          <w:color w:val="0000FF"/>
          <w:sz w:val="24"/>
        </w:rPr>
      </w:pPr>
      <w:r>
        <w:rPr>
          <w:rFonts w:hint="eastAsia" w:ascii="仿宋_GB2312" w:hAnsi="仿宋_GB2312" w:eastAsia="仿宋_GB2312" w:cs="仿宋_GB2312"/>
          <w:color w:val="0000FF"/>
          <w:sz w:val="24"/>
        </w:rPr>
        <w:t>若对项目采购电子交易系统操作有疑问，可登录政采云（https://www.zcygov.cn/），点击右侧咨询小采，获取采小蜜智能服务管家帮助，或拨打政采云服务热线400-881-7190获取热线服务帮助。</w:t>
      </w:r>
    </w:p>
    <w:p>
      <w:pPr>
        <w:wordWrap w:val="0"/>
        <w:snapToGrid w:val="0"/>
        <w:spacing w:line="440" w:lineRule="exact"/>
        <w:ind w:firstLine="480" w:firstLineChars="200"/>
        <w:rPr>
          <w:rFonts w:ascii="仿宋_GB2312" w:hAnsi="仿宋_GB2312" w:eastAsia="仿宋_GB2312" w:cs="仿宋_GB2312"/>
          <w:color w:val="0000FF"/>
          <w:sz w:val="24"/>
        </w:rPr>
      </w:pPr>
      <w:r>
        <w:rPr>
          <w:rFonts w:hint="eastAsia" w:ascii="仿宋_GB2312" w:hAnsi="仿宋_GB2312" w:eastAsia="仿宋_GB2312" w:cs="仿宋_GB2312"/>
          <w:color w:val="0000FF"/>
          <w:sz w:val="24"/>
        </w:rPr>
        <w:t>CA问题联系电话（人工）：汇信CA 400-888-4636；天谷CA 400-087-8198。</w:t>
      </w:r>
    </w:p>
    <w:p>
      <w:pPr>
        <w:snapToGrid w:val="0"/>
        <w:spacing w:line="400" w:lineRule="exact"/>
        <w:jc w:val="left"/>
        <w:rPr>
          <w:rFonts w:ascii="宋体" w:hAnsi="宋体" w:cs="宋体"/>
          <w:kern w:val="0"/>
          <w:sz w:val="22"/>
          <w:szCs w:val="22"/>
        </w:rPr>
      </w:pPr>
      <w:r>
        <w:rPr>
          <w:rFonts w:hint="eastAsia" w:ascii="黑体" w:hAnsi="黑体" w:eastAsia="黑体" w:cs="黑体"/>
          <w:b/>
          <w:sz w:val="22"/>
          <w:szCs w:val="22"/>
        </w:rPr>
        <w:t>温馨提示：</w:t>
      </w:r>
      <w:r>
        <w:rPr>
          <w:rFonts w:hint="eastAsia" w:ascii="宋体" w:hAnsi="宋体" w:cs="宋体"/>
          <w:kern w:val="0"/>
          <w:sz w:val="22"/>
          <w:szCs w:val="22"/>
        </w:rPr>
        <w:t>为优化政府采购营商环境，缓解供应商资金难题，助力打赢疫情防控阻击战，根据《中共浙江省委浙江省人民政府关于坚决打赢新冠肺炎疫情防控阻击战  全力稳企业稳经济稳发展的若干意见》、《浙江省新型冠状病毒感染的肺炎疫情防控工作领导小组关于支持小微企业渡过难关的意见》、《浙江省财政厅关于坚决打赢疫情防控阻击战进一步做好政府采购资金支持企业发展工作的通知》等有关精神，有需要的中标供应商可根据需要申请办理政府采购合同贷款（以下简称“政采贷”）、履约保函等政府采购金融服务。</w:t>
      </w:r>
    </w:p>
    <w:p>
      <w:pPr>
        <w:snapToGrid w:val="0"/>
        <w:spacing w:line="400" w:lineRule="exact"/>
        <w:ind w:firstLine="420"/>
        <w:jc w:val="left"/>
        <w:rPr>
          <w:rFonts w:ascii="宋体" w:hAnsi="宋体" w:cs="宋体"/>
          <w:kern w:val="0"/>
          <w:sz w:val="22"/>
          <w:szCs w:val="22"/>
        </w:rPr>
      </w:pPr>
      <w:r>
        <w:rPr>
          <w:rFonts w:hint="eastAsia" w:ascii="宋体" w:hAnsi="宋体" w:cs="宋体"/>
          <w:kern w:val="0"/>
          <w:sz w:val="22"/>
          <w:szCs w:val="22"/>
        </w:rPr>
        <w:t>1、政采贷</w:t>
      </w:r>
    </w:p>
    <w:p>
      <w:pPr>
        <w:snapToGrid w:val="0"/>
        <w:spacing w:line="400" w:lineRule="exact"/>
        <w:ind w:firstLine="420"/>
        <w:jc w:val="left"/>
        <w:rPr>
          <w:rFonts w:ascii="宋体" w:hAnsi="宋体" w:cs="宋体"/>
          <w:kern w:val="0"/>
          <w:sz w:val="22"/>
          <w:szCs w:val="22"/>
        </w:rPr>
      </w:pPr>
      <w:r>
        <w:rPr>
          <w:rFonts w:hint="eastAsia" w:ascii="宋体" w:hAnsi="宋体" w:cs="宋体"/>
          <w:kern w:val="0"/>
          <w:sz w:val="22"/>
          <w:szCs w:val="22"/>
        </w:rPr>
        <w:t>通过发挥政府采购政策功能，依托政采云在互联网、云计算、大数据等方面的优势，由各银行向平台用户提供中短期贷款（主要包括流水贷和合同贷），以解决中小微企业“融资难”、“担保难”问题的信用融资产品。</w:t>
      </w:r>
    </w:p>
    <w:p>
      <w:pPr>
        <w:snapToGrid w:val="0"/>
        <w:spacing w:line="400" w:lineRule="exact"/>
        <w:ind w:firstLine="420"/>
        <w:jc w:val="left"/>
        <w:rPr>
          <w:rFonts w:ascii="宋体" w:hAnsi="宋体" w:cs="宋体"/>
          <w:kern w:val="0"/>
          <w:sz w:val="22"/>
          <w:szCs w:val="22"/>
        </w:rPr>
      </w:pPr>
      <w:r>
        <w:rPr>
          <w:rFonts w:hint="eastAsia" w:ascii="宋体" w:hAnsi="宋体" w:cs="宋体"/>
          <w:kern w:val="0"/>
          <w:sz w:val="22"/>
          <w:szCs w:val="22"/>
        </w:rPr>
        <w:t>具体要求、条件和操作教程可通过政采云首页右上角——网站导航——金融服务查看，也可拨打政采云客服热线400-881-7190咨询，也可查看公告附件中的相关宣传资料，或向各地已开通政采贷的银行咨询办理。</w:t>
      </w:r>
    </w:p>
    <w:p>
      <w:pPr>
        <w:snapToGrid w:val="0"/>
        <w:spacing w:line="400" w:lineRule="exact"/>
        <w:ind w:firstLine="420"/>
        <w:jc w:val="left"/>
        <w:rPr>
          <w:rFonts w:ascii="宋体" w:hAnsi="宋体" w:cs="宋体"/>
          <w:kern w:val="0"/>
          <w:sz w:val="22"/>
          <w:szCs w:val="22"/>
        </w:rPr>
      </w:pPr>
      <w:r>
        <w:rPr>
          <w:rFonts w:hint="eastAsia" w:ascii="宋体" w:hAnsi="宋体" w:cs="宋体"/>
          <w:kern w:val="0"/>
          <w:sz w:val="22"/>
          <w:szCs w:val="22"/>
        </w:rPr>
        <w:t>2、履约保函</w:t>
      </w:r>
    </w:p>
    <w:p>
      <w:pPr>
        <w:snapToGrid w:val="0"/>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中标供应商可通过以保函的形式提交履约保证金，减少对中小微企业的资金占用，降低财务成本。具体的条件、要求和操作程序由申请贷款的中标供应商向各地保险公司、银行咨询办理。</w:t>
      </w:r>
    </w:p>
    <w:p>
      <w:pPr>
        <w:snapToGrid w:val="0"/>
        <w:spacing w:line="400" w:lineRule="exact"/>
        <w:ind w:firstLine="420"/>
        <w:jc w:val="left"/>
        <w:rPr>
          <w:rFonts w:ascii="宋体" w:hAnsi="宋体" w:cs="宋体"/>
          <w:kern w:val="0"/>
          <w:sz w:val="22"/>
          <w:szCs w:val="22"/>
        </w:rPr>
      </w:pPr>
      <w:r>
        <w:rPr>
          <w:rFonts w:hint="eastAsia" w:ascii="宋体" w:hAnsi="宋体" w:cs="宋体"/>
          <w:kern w:val="0"/>
          <w:sz w:val="22"/>
          <w:szCs w:val="22"/>
        </w:rPr>
        <w:t>3.风险提示</w:t>
      </w:r>
    </w:p>
    <w:p>
      <w:pPr>
        <w:snapToGrid w:val="0"/>
        <w:spacing w:line="400" w:lineRule="exact"/>
        <w:ind w:firstLine="420"/>
        <w:jc w:val="left"/>
        <w:rPr>
          <w:rFonts w:ascii="宋体" w:hAnsi="宋体" w:cs="宋体"/>
          <w:kern w:val="0"/>
          <w:sz w:val="22"/>
          <w:szCs w:val="22"/>
        </w:rPr>
      </w:pPr>
      <w:r>
        <w:rPr>
          <w:rFonts w:hint="eastAsia" w:ascii="宋体" w:hAnsi="宋体" w:cs="宋体"/>
          <w:kern w:val="0"/>
          <w:sz w:val="22"/>
          <w:szCs w:val="22"/>
        </w:rPr>
        <w:t>（1）本宣传简介内容仅为提供给各中标供应商对办理政府采购金融服务的宣传和了解之方便，对金融服务的具体内容和操作流程均以各金融机构的要求为准，也不作强制要求。</w:t>
      </w:r>
    </w:p>
    <w:p>
      <w:pPr>
        <w:snapToGrid w:val="0"/>
        <w:spacing w:line="400" w:lineRule="exact"/>
        <w:ind w:firstLine="420"/>
        <w:jc w:val="left"/>
        <w:rPr>
          <w:rFonts w:ascii="宋体" w:hAnsi="宋体" w:cs="宋体"/>
          <w:kern w:val="0"/>
          <w:sz w:val="22"/>
          <w:szCs w:val="22"/>
        </w:rPr>
      </w:pPr>
      <w:r>
        <w:rPr>
          <w:rFonts w:hint="eastAsia" w:ascii="宋体" w:hAnsi="宋体" w:cs="宋体"/>
          <w:kern w:val="0"/>
          <w:sz w:val="22"/>
          <w:szCs w:val="22"/>
        </w:rPr>
        <w:t>（2）政府采购金融服务有风险，请详细了解并综合评估后再决定。</w:t>
      </w:r>
    </w:p>
    <w:p>
      <w:pPr>
        <w:snapToGrid w:val="0"/>
        <w:spacing w:line="400" w:lineRule="exact"/>
        <w:ind w:firstLine="420"/>
        <w:jc w:val="left"/>
        <w:rPr>
          <w:rFonts w:ascii="宋体" w:hAnsi="宋体"/>
          <w:b/>
          <w:sz w:val="30"/>
          <w:szCs w:val="30"/>
        </w:rPr>
      </w:pPr>
      <w:r>
        <w:rPr>
          <w:rFonts w:hint="eastAsia" w:ascii="宋体" w:hAnsi="宋体" w:cs="宋体"/>
          <w:kern w:val="0"/>
          <w:sz w:val="22"/>
          <w:szCs w:val="22"/>
        </w:rPr>
        <w:t>（3）政府采购金融服务遵循平等自愿、风险自担的原则。采购人、代理机构、财政部门不为任何政府采购金融服务项目承担任何形式的担保、解释或其他连带责任。</w:t>
      </w:r>
      <w:bookmarkStart w:id="8" w:name="_Toc21538"/>
    </w:p>
    <w:p>
      <w:pPr>
        <w:widowControl/>
        <w:jc w:val="left"/>
        <w:rPr>
          <w:rFonts w:ascii="宋体" w:hAnsi="宋体"/>
          <w:b/>
          <w:sz w:val="30"/>
          <w:szCs w:val="30"/>
        </w:rPr>
      </w:pPr>
      <w:r>
        <w:rPr>
          <w:rFonts w:ascii="宋体" w:hAnsi="宋体"/>
          <w:b/>
          <w:sz w:val="30"/>
          <w:szCs w:val="30"/>
        </w:rPr>
        <w:br w:type="page"/>
      </w:r>
    </w:p>
    <w:p>
      <w:pPr>
        <w:spacing w:line="500" w:lineRule="exact"/>
        <w:jc w:val="center"/>
        <w:outlineLvl w:val="0"/>
        <w:rPr>
          <w:rFonts w:ascii="宋体" w:hAnsi="宋体"/>
          <w:b/>
          <w:sz w:val="30"/>
          <w:szCs w:val="30"/>
        </w:rPr>
      </w:pPr>
      <w:r>
        <w:rPr>
          <w:rFonts w:hint="eastAsia" w:ascii="宋体" w:hAnsi="宋体"/>
          <w:b/>
          <w:sz w:val="30"/>
          <w:szCs w:val="30"/>
        </w:rPr>
        <w:t>前 附 表</w:t>
      </w:r>
      <w:bookmarkEnd w:id="8"/>
    </w:p>
    <w:tbl>
      <w:tblPr>
        <w:tblStyle w:val="34"/>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880"/>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19"/>
              <w:spacing w:line="440" w:lineRule="exact"/>
              <w:rPr>
                <w:sz w:val="24"/>
                <w:szCs w:val="24"/>
              </w:rPr>
            </w:pPr>
            <w:r>
              <w:rPr>
                <w:rFonts w:hint="eastAsia"/>
                <w:sz w:val="24"/>
                <w:szCs w:val="24"/>
              </w:rPr>
              <w:t>序号</w:t>
            </w:r>
          </w:p>
        </w:tc>
        <w:tc>
          <w:tcPr>
            <w:tcW w:w="2880" w:type="dxa"/>
            <w:vAlign w:val="center"/>
          </w:tcPr>
          <w:p>
            <w:pPr>
              <w:spacing w:line="500" w:lineRule="exact"/>
              <w:jc w:val="center"/>
              <w:outlineLvl w:val="0"/>
              <w:rPr>
                <w:rFonts w:ascii="宋体" w:hAnsi="宋体"/>
                <w:b/>
                <w:sz w:val="30"/>
                <w:szCs w:val="30"/>
              </w:rPr>
            </w:pPr>
            <w:r>
              <w:rPr>
                <w:rFonts w:hint="eastAsia" w:ascii="宋体" w:hAnsi="宋体"/>
                <w:b/>
                <w:sz w:val="30"/>
                <w:szCs w:val="30"/>
              </w:rPr>
              <w:t>内  容</w:t>
            </w:r>
          </w:p>
        </w:tc>
        <w:tc>
          <w:tcPr>
            <w:tcW w:w="5962" w:type="dxa"/>
            <w:vAlign w:val="center"/>
          </w:tcPr>
          <w:p>
            <w:pPr>
              <w:spacing w:line="500" w:lineRule="exact"/>
              <w:jc w:val="center"/>
              <w:outlineLvl w:val="0"/>
              <w:rPr>
                <w:rFonts w:ascii="宋体" w:hAnsi="宋体"/>
                <w:b/>
                <w:sz w:val="30"/>
                <w:szCs w:val="30"/>
              </w:rPr>
            </w:pPr>
            <w:r>
              <w:rPr>
                <w:rFonts w:hint="eastAsia" w:ascii="宋体" w:hAnsi="宋体"/>
                <w:b/>
                <w:sz w:val="30"/>
                <w:szCs w:val="3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19"/>
              <w:spacing w:line="440" w:lineRule="exact"/>
              <w:rPr>
                <w:sz w:val="24"/>
                <w:szCs w:val="24"/>
              </w:rPr>
            </w:pPr>
            <w:r>
              <w:rPr>
                <w:rFonts w:hint="eastAsia"/>
                <w:sz w:val="24"/>
                <w:szCs w:val="24"/>
              </w:rPr>
              <w:t>1</w:t>
            </w:r>
          </w:p>
        </w:tc>
        <w:tc>
          <w:tcPr>
            <w:tcW w:w="2880" w:type="dxa"/>
            <w:vAlign w:val="center"/>
          </w:tcPr>
          <w:p>
            <w:pPr>
              <w:pStyle w:val="19"/>
              <w:spacing w:line="440" w:lineRule="exact"/>
              <w:rPr>
                <w:sz w:val="24"/>
                <w:szCs w:val="24"/>
              </w:rPr>
            </w:pPr>
            <w:r>
              <w:rPr>
                <w:rFonts w:hint="eastAsia"/>
                <w:sz w:val="24"/>
                <w:szCs w:val="24"/>
              </w:rPr>
              <w:t>采购人</w:t>
            </w:r>
          </w:p>
        </w:tc>
        <w:tc>
          <w:tcPr>
            <w:tcW w:w="5962" w:type="dxa"/>
            <w:vAlign w:val="center"/>
          </w:tcPr>
          <w:p>
            <w:pPr>
              <w:pStyle w:val="19"/>
              <w:spacing w:line="0" w:lineRule="atLeast"/>
              <w:rPr>
                <w:rFonts w:hint="eastAsia" w:eastAsia="宋体"/>
                <w:sz w:val="24"/>
                <w:szCs w:val="24"/>
                <w:lang w:eastAsia="zh-CN"/>
              </w:rPr>
            </w:pPr>
            <w:r>
              <w:rPr>
                <w:rFonts w:hint="eastAsia" w:hAnsi="宋体" w:cs="Arial"/>
                <w:bCs/>
                <w:sz w:val="24"/>
                <w:lang w:eastAsia="zh-CN"/>
              </w:rPr>
              <w:t>磐安县中药产业发展促进中心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19"/>
              <w:spacing w:line="440" w:lineRule="exact"/>
              <w:rPr>
                <w:sz w:val="24"/>
                <w:szCs w:val="24"/>
              </w:rPr>
            </w:pPr>
            <w:r>
              <w:rPr>
                <w:rFonts w:hint="eastAsia"/>
                <w:sz w:val="24"/>
                <w:szCs w:val="24"/>
              </w:rPr>
              <w:t>2</w:t>
            </w:r>
          </w:p>
        </w:tc>
        <w:tc>
          <w:tcPr>
            <w:tcW w:w="2880" w:type="dxa"/>
            <w:vAlign w:val="center"/>
          </w:tcPr>
          <w:p>
            <w:pPr>
              <w:pStyle w:val="19"/>
              <w:spacing w:line="440" w:lineRule="exact"/>
              <w:rPr>
                <w:sz w:val="24"/>
                <w:szCs w:val="24"/>
              </w:rPr>
            </w:pPr>
            <w:r>
              <w:rPr>
                <w:rFonts w:hint="eastAsia"/>
                <w:sz w:val="24"/>
                <w:szCs w:val="24"/>
              </w:rPr>
              <w:t>项目名称</w:t>
            </w:r>
          </w:p>
        </w:tc>
        <w:tc>
          <w:tcPr>
            <w:tcW w:w="5962" w:type="dxa"/>
            <w:vAlign w:val="center"/>
          </w:tcPr>
          <w:p>
            <w:pPr>
              <w:pStyle w:val="19"/>
              <w:spacing w:line="0" w:lineRule="atLeast"/>
              <w:rPr>
                <w:rFonts w:hint="default" w:eastAsia="宋体"/>
                <w:sz w:val="24"/>
                <w:szCs w:val="24"/>
                <w:lang w:eastAsia="zh-CN"/>
              </w:rPr>
            </w:pPr>
            <w:r>
              <w:rPr>
                <w:rFonts w:hint="default"/>
                <w:sz w:val="24"/>
                <w:szCs w:val="24"/>
                <w:lang w:eastAsia="zh-CN"/>
              </w:rPr>
              <w:t>中药产业大脑(磐安县中药材产业发展智慧云平台项目三期)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19"/>
              <w:spacing w:line="440" w:lineRule="exact"/>
              <w:rPr>
                <w:sz w:val="24"/>
                <w:szCs w:val="24"/>
              </w:rPr>
            </w:pPr>
            <w:r>
              <w:rPr>
                <w:rFonts w:hint="eastAsia"/>
                <w:sz w:val="24"/>
                <w:szCs w:val="24"/>
              </w:rPr>
              <w:t>3</w:t>
            </w:r>
          </w:p>
        </w:tc>
        <w:tc>
          <w:tcPr>
            <w:tcW w:w="2880" w:type="dxa"/>
            <w:vAlign w:val="center"/>
          </w:tcPr>
          <w:p>
            <w:pPr>
              <w:pStyle w:val="19"/>
              <w:spacing w:line="440" w:lineRule="exact"/>
              <w:rPr>
                <w:sz w:val="24"/>
                <w:szCs w:val="24"/>
              </w:rPr>
            </w:pPr>
            <w:r>
              <w:rPr>
                <w:rFonts w:hint="eastAsia"/>
                <w:sz w:val="24"/>
                <w:szCs w:val="24"/>
              </w:rPr>
              <w:t>竞争性磋商文件发售时间</w:t>
            </w:r>
          </w:p>
        </w:tc>
        <w:tc>
          <w:tcPr>
            <w:tcW w:w="5962" w:type="dxa"/>
            <w:vAlign w:val="center"/>
          </w:tcPr>
          <w:p>
            <w:pPr>
              <w:pStyle w:val="19"/>
              <w:spacing w:line="0" w:lineRule="atLeast"/>
              <w:rPr>
                <w:sz w:val="24"/>
                <w:szCs w:val="24"/>
              </w:rPr>
            </w:pPr>
            <w:r>
              <w:rPr>
                <w:rFonts w:hint="eastAsia"/>
                <w:sz w:val="24"/>
                <w:szCs w:val="24"/>
              </w:rPr>
              <w:t>公告发布之日起至竞争性磋商响应文件递交截止时间前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pStyle w:val="19"/>
              <w:spacing w:line="440" w:lineRule="exact"/>
              <w:rPr>
                <w:sz w:val="24"/>
                <w:szCs w:val="24"/>
              </w:rPr>
            </w:pPr>
            <w:r>
              <w:rPr>
                <w:rFonts w:hint="eastAsia"/>
                <w:sz w:val="24"/>
                <w:szCs w:val="24"/>
              </w:rPr>
              <w:t>4</w:t>
            </w:r>
          </w:p>
        </w:tc>
        <w:tc>
          <w:tcPr>
            <w:tcW w:w="2880" w:type="dxa"/>
            <w:vAlign w:val="center"/>
          </w:tcPr>
          <w:p>
            <w:pPr>
              <w:pStyle w:val="19"/>
              <w:spacing w:line="440" w:lineRule="exact"/>
              <w:rPr>
                <w:sz w:val="24"/>
                <w:szCs w:val="24"/>
              </w:rPr>
            </w:pPr>
            <w:r>
              <w:rPr>
                <w:rFonts w:hint="eastAsia"/>
                <w:sz w:val="24"/>
                <w:szCs w:val="24"/>
              </w:rPr>
              <w:t>竞争性磋商文件发售地点</w:t>
            </w:r>
          </w:p>
        </w:tc>
        <w:tc>
          <w:tcPr>
            <w:tcW w:w="5962" w:type="dxa"/>
            <w:vAlign w:val="center"/>
          </w:tcPr>
          <w:p>
            <w:pPr>
              <w:pStyle w:val="19"/>
              <w:spacing w:line="0" w:lineRule="atLeast"/>
              <w:rPr>
                <w:sz w:val="24"/>
                <w:szCs w:val="24"/>
              </w:rPr>
            </w:pPr>
            <w:r>
              <w:rPr>
                <w:rFonts w:hint="eastAsia"/>
                <w:spacing w:val="-10"/>
                <w:sz w:val="24"/>
                <w:szCs w:val="24"/>
              </w:rPr>
              <w:t>浙江政府采购网上免费获取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50" w:type="dxa"/>
            <w:vAlign w:val="center"/>
          </w:tcPr>
          <w:p>
            <w:pPr>
              <w:pStyle w:val="19"/>
              <w:spacing w:line="440" w:lineRule="exact"/>
              <w:rPr>
                <w:sz w:val="24"/>
                <w:szCs w:val="24"/>
              </w:rPr>
            </w:pPr>
            <w:r>
              <w:rPr>
                <w:rFonts w:hint="eastAsia"/>
                <w:sz w:val="24"/>
                <w:szCs w:val="24"/>
              </w:rPr>
              <w:t>5</w:t>
            </w:r>
          </w:p>
        </w:tc>
        <w:tc>
          <w:tcPr>
            <w:tcW w:w="2880" w:type="dxa"/>
            <w:vAlign w:val="center"/>
          </w:tcPr>
          <w:p>
            <w:pPr>
              <w:pStyle w:val="19"/>
              <w:spacing w:line="440" w:lineRule="exact"/>
              <w:rPr>
                <w:sz w:val="24"/>
                <w:szCs w:val="24"/>
              </w:rPr>
            </w:pPr>
            <w:r>
              <w:rPr>
                <w:rFonts w:hint="eastAsia"/>
                <w:sz w:val="24"/>
                <w:szCs w:val="24"/>
              </w:rPr>
              <w:t>竞争性磋商响应文件形式、制作</w:t>
            </w:r>
          </w:p>
        </w:tc>
        <w:tc>
          <w:tcPr>
            <w:tcW w:w="5962" w:type="dxa"/>
            <w:vAlign w:val="center"/>
          </w:tcPr>
          <w:p>
            <w:pPr>
              <w:pStyle w:val="19"/>
              <w:spacing w:line="0" w:lineRule="atLeast"/>
              <w:rPr>
                <w:b/>
                <w:sz w:val="24"/>
                <w:szCs w:val="24"/>
              </w:rPr>
            </w:pPr>
            <w:r>
              <w:rPr>
                <w:rFonts w:hint="eastAsia"/>
                <w:b/>
                <w:sz w:val="24"/>
                <w:szCs w:val="24"/>
              </w:rPr>
              <w:t>磋商响应人请准备电子竞争性磋商响应文件</w:t>
            </w:r>
          </w:p>
          <w:p>
            <w:pPr>
              <w:pStyle w:val="19"/>
              <w:spacing w:line="0" w:lineRule="atLeast"/>
              <w:rPr>
                <w:spacing w:val="-10"/>
                <w:sz w:val="24"/>
                <w:szCs w:val="24"/>
              </w:rPr>
            </w:pPr>
            <w:r>
              <w:rPr>
                <w:rFonts w:hint="eastAsia"/>
                <w:b/>
                <w:sz w:val="24"/>
                <w:szCs w:val="24"/>
              </w:rPr>
              <w:t>（1）电子竞争性磋商响应文件，按政采云平台供应商项目采购-电子招投标操作指南</w:t>
            </w:r>
            <w:r>
              <w:rPr>
                <w:rFonts w:hint="eastAsia" w:ascii="仿宋" w:hAnsi="仿宋" w:eastAsia="仿宋"/>
                <w:b/>
              </w:rPr>
              <w:t>（网</w:t>
            </w:r>
            <w:r>
              <w:rPr>
                <w:rFonts w:hint="eastAsia" w:ascii="仿宋_GB2312" w:hAnsi="仿宋_GB2312" w:eastAsia="仿宋_GB2312" w:cs="仿宋_GB2312"/>
                <w:bCs/>
                <w:snapToGrid w:val="0"/>
                <w:color w:val="0000FF"/>
                <w:sz w:val="24"/>
                <w:szCs w:val="24"/>
              </w:rPr>
              <w:t>https://service.zcygov.cn/#/knowledges/CW1EtGwBFdiHxlNd6I3m/6IMVAG0BFdiHxlNdQ8Na</w:t>
            </w:r>
            <w:r>
              <w:rPr>
                <w:rFonts w:hint="eastAsia" w:ascii="仿宋" w:hAnsi="仿宋" w:eastAsia="仿宋"/>
                <w:b/>
              </w:rPr>
              <w:t>）</w:t>
            </w:r>
            <w:r>
              <w:rPr>
                <w:rFonts w:hint="eastAsia"/>
                <w:b/>
                <w:sz w:val="24"/>
                <w:szCs w:val="24"/>
              </w:rPr>
              <w:t>及本竞争性磋商文件要求递交。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vAlign w:val="center"/>
          </w:tcPr>
          <w:p>
            <w:pPr>
              <w:pStyle w:val="19"/>
              <w:spacing w:line="440" w:lineRule="exact"/>
              <w:rPr>
                <w:sz w:val="24"/>
                <w:szCs w:val="24"/>
              </w:rPr>
            </w:pPr>
            <w:r>
              <w:rPr>
                <w:rFonts w:hint="eastAsia"/>
                <w:sz w:val="24"/>
                <w:szCs w:val="24"/>
              </w:rPr>
              <w:t>6</w:t>
            </w:r>
          </w:p>
        </w:tc>
        <w:tc>
          <w:tcPr>
            <w:tcW w:w="2880" w:type="dxa"/>
            <w:vAlign w:val="center"/>
          </w:tcPr>
          <w:p>
            <w:pPr>
              <w:pStyle w:val="19"/>
              <w:spacing w:line="440" w:lineRule="exact"/>
              <w:rPr>
                <w:sz w:val="24"/>
                <w:szCs w:val="24"/>
              </w:rPr>
            </w:pPr>
            <w:r>
              <w:rPr>
                <w:rFonts w:hint="eastAsia"/>
                <w:sz w:val="24"/>
                <w:szCs w:val="24"/>
              </w:rPr>
              <w:t>竞争性磋商保证金</w:t>
            </w:r>
          </w:p>
        </w:tc>
        <w:tc>
          <w:tcPr>
            <w:tcW w:w="5962" w:type="dxa"/>
            <w:vAlign w:val="center"/>
          </w:tcPr>
          <w:p>
            <w:pPr>
              <w:pStyle w:val="19"/>
              <w:spacing w:line="0" w:lineRule="atLeast"/>
              <w:rPr>
                <w:sz w:val="24"/>
                <w:szCs w:val="24"/>
              </w:rPr>
            </w:pPr>
            <w:r>
              <w:rPr>
                <w:rFonts w:hint="eastAsia"/>
                <w:sz w:val="24"/>
                <w:szCs w:val="24"/>
              </w:rPr>
              <w:t>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19"/>
              <w:spacing w:line="440" w:lineRule="exact"/>
              <w:rPr>
                <w:sz w:val="24"/>
                <w:szCs w:val="24"/>
              </w:rPr>
            </w:pPr>
            <w:r>
              <w:rPr>
                <w:rFonts w:hint="eastAsia"/>
                <w:sz w:val="24"/>
                <w:szCs w:val="24"/>
              </w:rPr>
              <w:t>7</w:t>
            </w:r>
          </w:p>
        </w:tc>
        <w:tc>
          <w:tcPr>
            <w:tcW w:w="2880" w:type="dxa"/>
            <w:vAlign w:val="center"/>
          </w:tcPr>
          <w:p>
            <w:pPr>
              <w:pStyle w:val="19"/>
              <w:spacing w:line="440" w:lineRule="exact"/>
              <w:rPr>
                <w:spacing w:val="-10"/>
                <w:sz w:val="24"/>
                <w:szCs w:val="24"/>
              </w:rPr>
            </w:pPr>
            <w:r>
              <w:rPr>
                <w:rFonts w:hint="eastAsia"/>
                <w:spacing w:val="-20"/>
                <w:sz w:val="24"/>
                <w:szCs w:val="24"/>
              </w:rPr>
              <w:t>递交竞争性磋商响应文件截止时间</w:t>
            </w:r>
          </w:p>
        </w:tc>
        <w:tc>
          <w:tcPr>
            <w:tcW w:w="5962" w:type="dxa"/>
            <w:vAlign w:val="center"/>
          </w:tcPr>
          <w:p>
            <w:pPr>
              <w:pStyle w:val="19"/>
              <w:spacing w:line="0" w:lineRule="atLeast"/>
              <w:rPr>
                <w:sz w:val="28"/>
                <w:szCs w:val="28"/>
              </w:rPr>
            </w:pPr>
            <w:r>
              <w:rPr>
                <w:rFonts w:hint="eastAsia" w:hAnsi="宋体" w:cs="Arial"/>
                <w:b/>
                <w:bCs/>
                <w:color w:val="00B0F0"/>
                <w:sz w:val="24"/>
                <w:u w:val="single"/>
              </w:rPr>
              <w:t>2022年</w:t>
            </w:r>
            <w:r>
              <w:rPr>
                <w:rFonts w:hint="eastAsia" w:ascii="仿宋_GB2312" w:hAnsi="仿宋_GB2312" w:eastAsia="仿宋_GB2312" w:cs="仿宋_GB2312"/>
                <w:bCs/>
                <w:snapToGrid w:val="0"/>
                <w:color w:val="0000FF"/>
                <w:sz w:val="24"/>
                <w:u w:val="single"/>
                <w:lang w:val="en-US" w:eastAsia="zh-CN"/>
              </w:rPr>
              <w:t>8</w:t>
            </w:r>
            <w:r>
              <w:rPr>
                <w:rFonts w:hint="eastAsia" w:ascii="仿宋_GB2312" w:hAnsi="仿宋_GB2312" w:eastAsia="仿宋_GB2312" w:cs="仿宋_GB2312"/>
                <w:bCs/>
                <w:sz w:val="24"/>
              </w:rPr>
              <w:t>月</w:t>
            </w:r>
            <w:r>
              <w:rPr>
                <w:rFonts w:hint="eastAsia" w:ascii="仿宋_GB2312" w:hAnsi="仿宋_GB2312" w:eastAsia="仿宋_GB2312" w:cs="仿宋_GB2312"/>
                <w:bCs/>
                <w:snapToGrid w:val="0"/>
                <w:color w:val="0000FF"/>
                <w:sz w:val="24"/>
                <w:u w:val="single"/>
                <w:lang w:val="en-US" w:eastAsia="zh-CN"/>
              </w:rPr>
              <w:t>26</w:t>
            </w:r>
            <w:r>
              <w:rPr>
                <w:rFonts w:hint="eastAsia" w:ascii="仿宋_GB2312" w:hAnsi="仿宋_GB2312" w:eastAsia="仿宋_GB2312" w:cs="仿宋_GB2312"/>
                <w:bCs/>
                <w:sz w:val="24"/>
              </w:rPr>
              <w:t>日</w:t>
            </w:r>
            <w:r>
              <w:rPr>
                <w:rFonts w:hint="eastAsia" w:hAnsi="宋体" w:cs="Arial"/>
                <w:b/>
                <w:bCs/>
                <w:color w:val="00B0F0"/>
                <w:sz w:val="24"/>
                <w:u w:val="single"/>
              </w:rPr>
              <w:t>09:00时</w:t>
            </w:r>
            <w:r>
              <w:rPr>
                <w:rFonts w:hint="eastAsia"/>
                <w:sz w:val="28"/>
                <w:szCs w:val="28"/>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19"/>
              <w:spacing w:line="440" w:lineRule="exact"/>
              <w:rPr>
                <w:sz w:val="24"/>
                <w:szCs w:val="24"/>
              </w:rPr>
            </w:pPr>
            <w:r>
              <w:rPr>
                <w:rFonts w:hint="eastAsia"/>
                <w:sz w:val="24"/>
                <w:szCs w:val="24"/>
              </w:rPr>
              <w:t>8</w:t>
            </w:r>
          </w:p>
        </w:tc>
        <w:tc>
          <w:tcPr>
            <w:tcW w:w="2880" w:type="dxa"/>
            <w:vAlign w:val="center"/>
          </w:tcPr>
          <w:p>
            <w:pPr>
              <w:pStyle w:val="19"/>
              <w:spacing w:line="440" w:lineRule="exact"/>
              <w:rPr>
                <w:spacing w:val="-20"/>
                <w:sz w:val="24"/>
                <w:szCs w:val="24"/>
              </w:rPr>
            </w:pPr>
            <w:r>
              <w:rPr>
                <w:rFonts w:hint="eastAsia"/>
                <w:sz w:val="24"/>
                <w:szCs w:val="24"/>
              </w:rPr>
              <w:t>磋商开始时间</w:t>
            </w:r>
          </w:p>
        </w:tc>
        <w:tc>
          <w:tcPr>
            <w:tcW w:w="5962" w:type="dxa"/>
            <w:vAlign w:val="center"/>
          </w:tcPr>
          <w:p>
            <w:pPr>
              <w:pStyle w:val="19"/>
              <w:spacing w:line="0" w:lineRule="atLeast"/>
              <w:rPr>
                <w:sz w:val="28"/>
                <w:szCs w:val="28"/>
              </w:rPr>
            </w:pPr>
            <w:r>
              <w:rPr>
                <w:rFonts w:hint="eastAsia" w:hAnsi="宋体" w:cs="Arial"/>
                <w:b/>
                <w:bCs/>
                <w:color w:val="00B0F0"/>
                <w:sz w:val="24"/>
                <w:u w:val="single"/>
              </w:rPr>
              <w:t>2022年</w:t>
            </w:r>
            <w:r>
              <w:rPr>
                <w:rFonts w:hint="eastAsia" w:ascii="仿宋_GB2312" w:hAnsi="仿宋_GB2312" w:eastAsia="仿宋_GB2312" w:cs="仿宋_GB2312"/>
                <w:bCs/>
                <w:snapToGrid w:val="0"/>
                <w:color w:val="0000FF"/>
                <w:sz w:val="24"/>
                <w:u w:val="single"/>
                <w:lang w:val="en-US" w:eastAsia="zh-CN"/>
              </w:rPr>
              <w:t>8</w:t>
            </w:r>
            <w:r>
              <w:rPr>
                <w:rFonts w:hint="eastAsia" w:ascii="仿宋_GB2312" w:hAnsi="仿宋_GB2312" w:eastAsia="仿宋_GB2312" w:cs="仿宋_GB2312"/>
                <w:bCs/>
                <w:sz w:val="24"/>
              </w:rPr>
              <w:t>月</w:t>
            </w:r>
            <w:r>
              <w:rPr>
                <w:rFonts w:hint="eastAsia" w:ascii="仿宋_GB2312" w:hAnsi="仿宋_GB2312" w:eastAsia="仿宋_GB2312" w:cs="仿宋_GB2312"/>
                <w:bCs/>
                <w:snapToGrid w:val="0"/>
                <w:color w:val="0000FF"/>
                <w:sz w:val="24"/>
                <w:u w:val="single"/>
                <w:lang w:val="en-US" w:eastAsia="zh-CN"/>
              </w:rPr>
              <w:t>26</w:t>
            </w:r>
            <w:r>
              <w:rPr>
                <w:rFonts w:hint="eastAsia" w:ascii="仿宋_GB2312" w:hAnsi="仿宋_GB2312" w:eastAsia="仿宋_GB2312" w:cs="仿宋_GB2312"/>
                <w:bCs/>
                <w:sz w:val="24"/>
              </w:rPr>
              <w:t>日</w:t>
            </w:r>
            <w:r>
              <w:rPr>
                <w:rFonts w:hint="eastAsia" w:hAnsi="宋体" w:cs="Arial"/>
                <w:b/>
                <w:bCs/>
                <w:color w:val="00B0F0"/>
                <w:sz w:val="24"/>
                <w:u w:val="single"/>
              </w:rPr>
              <w:t>09:00时</w:t>
            </w:r>
            <w:r>
              <w:rPr>
                <w:rFonts w:hint="eastAsia"/>
                <w:sz w:val="28"/>
                <w:szCs w:val="28"/>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19"/>
              <w:spacing w:line="440" w:lineRule="exact"/>
              <w:rPr>
                <w:sz w:val="24"/>
                <w:szCs w:val="24"/>
              </w:rPr>
            </w:pPr>
            <w:r>
              <w:rPr>
                <w:rFonts w:hint="eastAsia"/>
                <w:sz w:val="24"/>
                <w:szCs w:val="24"/>
              </w:rPr>
              <w:t>9</w:t>
            </w:r>
          </w:p>
        </w:tc>
        <w:tc>
          <w:tcPr>
            <w:tcW w:w="2880" w:type="dxa"/>
            <w:vAlign w:val="center"/>
          </w:tcPr>
          <w:p>
            <w:pPr>
              <w:pStyle w:val="19"/>
              <w:spacing w:line="440" w:lineRule="exact"/>
              <w:rPr>
                <w:sz w:val="24"/>
                <w:szCs w:val="24"/>
              </w:rPr>
            </w:pPr>
            <w:r>
              <w:rPr>
                <w:rFonts w:hint="eastAsia"/>
                <w:sz w:val="24"/>
                <w:szCs w:val="24"/>
              </w:rPr>
              <w:t>磋商地点</w:t>
            </w:r>
          </w:p>
        </w:tc>
        <w:tc>
          <w:tcPr>
            <w:tcW w:w="5962" w:type="dxa"/>
            <w:vAlign w:val="center"/>
          </w:tcPr>
          <w:p>
            <w:pPr>
              <w:pStyle w:val="19"/>
              <w:spacing w:line="0" w:lineRule="atLeast"/>
              <w:rPr>
                <w:sz w:val="24"/>
                <w:szCs w:val="24"/>
              </w:rPr>
            </w:pPr>
            <w:r>
              <w:rPr>
                <w:rFonts w:hint="eastAsia" w:hAnsi="宋体" w:cs="Arial"/>
                <w:bCs/>
                <w:sz w:val="24"/>
              </w:rPr>
              <w:t>金华市公共资源交易中心磐安县分中心评标室</w:t>
            </w:r>
            <w:r>
              <w:rPr>
                <w:rFonts w:hint="eastAsia" w:hAnsi="宋体" w:cs="Arial"/>
                <w:bCs/>
                <w:sz w:val="24"/>
                <w:lang w:eastAsia="zh-CN"/>
              </w:rPr>
              <w:t>二</w:t>
            </w:r>
            <w:r>
              <w:rPr>
                <w:rFonts w:hint="eastAsia" w:hAnsi="宋体" w:cs="Arial"/>
                <w:bCs/>
                <w:sz w:val="24"/>
              </w:rPr>
              <w:t xml:space="preserve"> （磐安县安文街道花月路211号建设大厦22楼）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750" w:type="dxa"/>
            <w:vAlign w:val="center"/>
          </w:tcPr>
          <w:p>
            <w:pPr>
              <w:pStyle w:val="19"/>
              <w:spacing w:line="440" w:lineRule="exact"/>
              <w:rPr>
                <w:sz w:val="24"/>
                <w:szCs w:val="24"/>
              </w:rPr>
            </w:pPr>
            <w:r>
              <w:rPr>
                <w:rFonts w:hint="eastAsia"/>
                <w:sz w:val="24"/>
                <w:szCs w:val="24"/>
              </w:rPr>
              <w:t>10</w:t>
            </w:r>
          </w:p>
        </w:tc>
        <w:tc>
          <w:tcPr>
            <w:tcW w:w="2880" w:type="dxa"/>
            <w:vAlign w:val="center"/>
          </w:tcPr>
          <w:p>
            <w:pPr>
              <w:pStyle w:val="19"/>
              <w:snapToGrid w:val="0"/>
              <w:spacing w:line="520" w:lineRule="exact"/>
              <w:rPr>
                <w:sz w:val="24"/>
                <w:szCs w:val="24"/>
              </w:rPr>
            </w:pPr>
            <w:r>
              <w:rPr>
                <w:rFonts w:hint="eastAsia"/>
                <w:b/>
                <w:sz w:val="24"/>
                <w:szCs w:val="24"/>
              </w:rPr>
              <w:t>电子竞争性磋商响应文件的传输递交</w:t>
            </w:r>
          </w:p>
        </w:tc>
        <w:tc>
          <w:tcPr>
            <w:tcW w:w="5962" w:type="dxa"/>
            <w:vAlign w:val="center"/>
          </w:tcPr>
          <w:p>
            <w:pPr>
              <w:pStyle w:val="19"/>
              <w:spacing w:line="0" w:lineRule="atLeast"/>
              <w:rPr>
                <w:sz w:val="24"/>
                <w:szCs w:val="24"/>
              </w:rPr>
            </w:pPr>
            <w:r>
              <w:rPr>
                <w:rFonts w:hint="eastAsia"/>
                <w:b/>
                <w:sz w:val="24"/>
                <w:szCs w:val="24"/>
              </w:rPr>
              <w:t>磋商响应人应当在磋商响应截止时间前完成电子竞争性磋商响应文件的传输递交，磋商响应截止时间前可以补充、修改或者撤回电子竞争性磋商响应文件。补充或者修改电子竞争性磋商响应文件的，应当先行撤回原文件，补充、修改后重新传输递交。磋商响应截止时间前未完成传输的，视为撤回竞争性磋商响应文件。磋商响应截止时间后送达的竞争性磋商响应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19"/>
              <w:spacing w:line="440" w:lineRule="exact"/>
              <w:rPr>
                <w:sz w:val="24"/>
                <w:szCs w:val="24"/>
              </w:rPr>
            </w:pPr>
            <w:r>
              <w:rPr>
                <w:rFonts w:hint="eastAsia"/>
                <w:sz w:val="24"/>
                <w:szCs w:val="24"/>
              </w:rPr>
              <w:t>11</w:t>
            </w:r>
          </w:p>
        </w:tc>
        <w:tc>
          <w:tcPr>
            <w:tcW w:w="2880" w:type="dxa"/>
            <w:vAlign w:val="center"/>
          </w:tcPr>
          <w:p>
            <w:pPr>
              <w:pStyle w:val="19"/>
              <w:spacing w:line="440" w:lineRule="exact"/>
              <w:rPr>
                <w:sz w:val="24"/>
                <w:szCs w:val="24"/>
              </w:rPr>
            </w:pPr>
            <w:r>
              <w:rPr>
                <w:rFonts w:hint="eastAsia"/>
                <w:sz w:val="24"/>
                <w:szCs w:val="24"/>
              </w:rPr>
              <w:t>签订合同</w:t>
            </w:r>
          </w:p>
        </w:tc>
        <w:tc>
          <w:tcPr>
            <w:tcW w:w="5962" w:type="dxa"/>
            <w:vAlign w:val="center"/>
          </w:tcPr>
          <w:p>
            <w:pPr>
              <w:pStyle w:val="19"/>
              <w:spacing w:line="0" w:lineRule="atLeast"/>
              <w:rPr>
                <w:sz w:val="24"/>
                <w:szCs w:val="24"/>
              </w:rPr>
            </w:pPr>
            <w:r>
              <w:rPr>
                <w:rFonts w:hint="eastAsia"/>
                <w:sz w:val="24"/>
                <w:szCs w:val="24"/>
              </w:rPr>
              <w:t>采购人确定中标供应商之日起两个工作日内后发出成交通知书。</w:t>
            </w:r>
          </w:p>
          <w:p>
            <w:pPr>
              <w:pStyle w:val="19"/>
              <w:spacing w:line="0" w:lineRule="atLeast"/>
              <w:rPr>
                <w:sz w:val="24"/>
                <w:szCs w:val="24"/>
              </w:rPr>
            </w:pPr>
            <w:r>
              <w:rPr>
                <w:rFonts w:hint="eastAsia"/>
                <w:sz w:val="24"/>
                <w:szCs w:val="24"/>
              </w:rPr>
              <w:t>在中标通知书发</w:t>
            </w:r>
            <w:r>
              <w:rPr>
                <w:rFonts w:hint="eastAsia"/>
                <w:sz w:val="24"/>
                <w:szCs w:val="24"/>
                <w:highlight w:val="yellow"/>
              </w:rPr>
              <w:t>出</w:t>
            </w:r>
            <w:r>
              <w:rPr>
                <w:rFonts w:hint="eastAsia"/>
                <w:sz w:val="24"/>
                <w:szCs w:val="24"/>
                <w:highlight w:val="yellow"/>
                <w:lang w:val="en-US" w:eastAsia="zh-CN"/>
              </w:rPr>
              <w:t>2</w:t>
            </w:r>
            <w:r>
              <w:rPr>
                <w:rFonts w:hint="eastAsia"/>
                <w:sz w:val="24"/>
                <w:szCs w:val="24"/>
                <w:highlight w:val="yellow"/>
              </w:rPr>
              <w:t>0日</w:t>
            </w:r>
            <w:r>
              <w:rPr>
                <w:rFonts w:hint="eastAsia"/>
                <w:sz w:val="24"/>
                <w:szCs w:val="24"/>
              </w:rPr>
              <w:t>内和采购人签订采购合同。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vAlign w:val="center"/>
          </w:tcPr>
          <w:p>
            <w:pPr>
              <w:pStyle w:val="19"/>
              <w:spacing w:line="440" w:lineRule="exact"/>
              <w:rPr>
                <w:sz w:val="24"/>
                <w:szCs w:val="24"/>
              </w:rPr>
            </w:pPr>
            <w:r>
              <w:rPr>
                <w:rFonts w:hint="eastAsia"/>
                <w:sz w:val="24"/>
                <w:szCs w:val="24"/>
              </w:rPr>
              <w:t>12</w:t>
            </w:r>
          </w:p>
        </w:tc>
        <w:tc>
          <w:tcPr>
            <w:tcW w:w="2880" w:type="dxa"/>
            <w:vAlign w:val="center"/>
          </w:tcPr>
          <w:p>
            <w:pPr>
              <w:pStyle w:val="19"/>
              <w:snapToGrid w:val="0"/>
              <w:spacing w:line="380" w:lineRule="exact"/>
              <w:rPr>
                <w:sz w:val="24"/>
                <w:szCs w:val="24"/>
              </w:rPr>
            </w:pPr>
            <w:r>
              <w:rPr>
                <w:rFonts w:hint="eastAsia"/>
                <w:sz w:val="24"/>
                <w:szCs w:val="24"/>
              </w:rPr>
              <w:t>信用查询</w:t>
            </w:r>
          </w:p>
        </w:tc>
        <w:tc>
          <w:tcPr>
            <w:tcW w:w="5962" w:type="dxa"/>
            <w:vAlign w:val="center"/>
          </w:tcPr>
          <w:p>
            <w:pPr>
              <w:pStyle w:val="19"/>
              <w:snapToGrid w:val="0"/>
              <w:spacing w:line="380" w:lineRule="exact"/>
              <w:rPr>
                <w:sz w:val="24"/>
                <w:szCs w:val="24"/>
              </w:rPr>
            </w:pPr>
            <w:r>
              <w:rPr>
                <w:rFonts w:hint="eastAsia"/>
                <w:sz w:val="24"/>
                <w:szCs w:val="24"/>
              </w:rPr>
              <w:t>根据《关于在政府采购活动中查询及使用信用记录有关问题的通知》财库[2016]125号的规定：</w:t>
            </w:r>
          </w:p>
          <w:p>
            <w:pPr>
              <w:pStyle w:val="19"/>
              <w:snapToGrid w:val="0"/>
              <w:spacing w:line="380" w:lineRule="exact"/>
              <w:rPr>
                <w:sz w:val="24"/>
                <w:szCs w:val="24"/>
              </w:rPr>
            </w:pPr>
            <w:r>
              <w:rPr>
                <w:rFonts w:hint="eastAsia"/>
                <w:sz w:val="24"/>
                <w:szCs w:val="24"/>
              </w:rPr>
              <w:t>1）采购人或采购代理机构将对本项目供应商的信用记录进行查询。查询渠道为信用中国网站（www.creditchina.gov.cn）、中国政府采购网（www.ccgp.gov.cn）；</w:t>
            </w:r>
          </w:p>
          <w:p>
            <w:pPr>
              <w:pStyle w:val="19"/>
              <w:snapToGrid w:val="0"/>
              <w:spacing w:line="380" w:lineRule="exact"/>
              <w:rPr>
                <w:sz w:val="24"/>
                <w:szCs w:val="24"/>
              </w:rPr>
            </w:pPr>
            <w:r>
              <w:rPr>
                <w:rFonts w:hint="eastAsia"/>
                <w:sz w:val="24"/>
                <w:szCs w:val="24"/>
              </w:rPr>
              <w:t>2）截止时点：提交竞争性磋商响应文件（响应文件）截止时间前3年内；</w:t>
            </w:r>
          </w:p>
          <w:p>
            <w:pPr>
              <w:pStyle w:val="19"/>
              <w:snapToGrid w:val="0"/>
              <w:spacing w:line="380" w:lineRule="exact"/>
              <w:rPr>
                <w:sz w:val="24"/>
                <w:szCs w:val="24"/>
              </w:rPr>
            </w:pPr>
            <w:r>
              <w:rPr>
                <w:rFonts w:hint="eastAsia"/>
                <w:sz w:val="24"/>
                <w:szCs w:val="24"/>
              </w:rPr>
              <w:t>3）查询记录和证据的留存：信用信息查询记录和证据以网页截图等方式留存。</w:t>
            </w:r>
          </w:p>
          <w:p>
            <w:pPr>
              <w:pStyle w:val="19"/>
              <w:snapToGrid w:val="0"/>
              <w:spacing w:line="380" w:lineRule="exact"/>
              <w:rPr>
                <w:sz w:val="24"/>
                <w:szCs w:val="24"/>
              </w:rPr>
            </w:pPr>
            <w:r>
              <w:rPr>
                <w:rFonts w:hint="eastAsia"/>
                <w:sz w:val="24"/>
                <w:szCs w:val="24"/>
              </w:rPr>
              <w:t>4）使用规则：被列入失信被执行人、重大税收违法案件当事人名单、政府采购严重违法失信行为记录名单及其它不符合《中华人民共和国政府采购法》第二十二条规定条件的，其竞争性磋商响应文件将被拒绝。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0" w:type="dxa"/>
            <w:vAlign w:val="center"/>
          </w:tcPr>
          <w:p>
            <w:pPr>
              <w:pStyle w:val="19"/>
              <w:spacing w:line="440" w:lineRule="exact"/>
              <w:rPr>
                <w:sz w:val="24"/>
                <w:szCs w:val="24"/>
              </w:rPr>
            </w:pPr>
            <w:r>
              <w:rPr>
                <w:rFonts w:hint="eastAsia"/>
                <w:sz w:val="24"/>
                <w:szCs w:val="24"/>
              </w:rPr>
              <w:t>13</w:t>
            </w:r>
          </w:p>
        </w:tc>
        <w:tc>
          <w:tcPr>
            <w:tcW w:w="2880" w:type="dxa"/>
            <w:vAlign w:val="center"/>
          </w:tcPr>
          <w:p>
            <w:pPr>
              <w:pStyle w:val="19"/>
              <w:spacing w:line="440" w:lineRule="exact"/>
              <w:rPr>
                <w:sz w:val="24"/>
                <w:szCs w:val="24"/>
              </w:rPr>
            </w:pPr>
            <w:r>
              <w:rPr>
                <w:rFonts w:hint="eastAsia"/>
                <w:sz w:val="24"/>
                <w:szCs w:val="24"/>
              </w:rPr>
              <w:t>有效投标人为2家时</w:t>
            </w:r>
          </w:p>
        </w:tc>
        <w:tc>
          <w:tcPr>
            <w:tcW w:w="5962" w:type="dxa"/>
            <w:vAlign w:val="center"/>
          </w:tcPr>
          <w:p>
            <w:pPr>
              <w:pStyle w:val="19"/>
              <w:spacing w:line="0" w:lineRule="atLeast"/>
              <w:rPr>
                <w:rStyle w:val="40"/>
                <w:sz w:val="24"/>
                <w:szCs w:val="24"/>
              </w:rPr>
            </w:pPr>
            <w:r>
              <w:rPr>
                <w:rFonts w:hint="eastAsia"/>
                <w:sz w:val="24"/>
                <w:szCs w:val="24"/>
              </w:rPr>
              <w:t>符合财政部《政府采购竞争性磋商采购方式管理暂行办法》第三条第四项情形的，如有效投标人为2家时，依法继续开标。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50" w:type="dxa"/>
            <w:vAlign w:val="center"/>
          </w:tcPr>
          <w:p>
            <w:pPr>
              <w:pStyle w:val="19"/>
              <w:spacing w:line="440" w:lineRule="exact"/>
              <w:rPr>
                <w:sz w:val="24"/>
                <w:szCs w:val="24"/>
              </w:rPr>
            </w:pPr>
            <w:r>
              <w:rPr>
                <w:rFonts w:hint="eastAsia"/>
                <w:sz w:val="24"/>
                <w:szCs w:val="24"/>
              </w:rPr>
              <w:t>14</w:t>
            </w:r>
          </w:p>
        </w:tc>
        <w:tc>
          <w:tcPr>
            <w:tcW w:w="2880" w:type="dxa"/>
            <w:vAlign w:val="center"/>
          </w:tcPr>
          <w:p>
            <w:pPr>
              <w:pStyle w:val="19"/>
              <w:spacing w:line="440" w:lineRule="exact"/>
              <w:rPr>
                <w:sz w:val="24"/>
                <w:szCs w:val="24"/>
              </w:rPr>
            </w:pPr>
            <w:r>
              <w:rPr>
                <w:rFonts w:hint="eastAsia"/>
                <w:sz w:val="24"/>
                <w:szCs w:val="24"/>
              </w:rPr>
              <w:t>公告及澄清文件发布网址</w:t>
            </w:r>
          </w:p>
        </w:tc>
        <w:tc>
          <w:tcPr>
            <w:tcW w:w="5962" w:type="dxa"/>
            <w:vAlign w:val="center"/>
          </w:tcPr>
          <w:p>
            <w:pPr>
              <w:pStyle w:val="19"/>
              <w:spacing w:line="0" w:lineRule="atLeast"/>
              <w:rPr>
                <w:color w:val="0000FF"/>
                <w:szCs w:val="21"/>
                <w:u w:val="single"/>
              </w:rPr>
            </w:pPr>
            <w:r>
              <w:rPr>
                <w:rStyle w:val="40"/>
                <w:rFonts w:hint="eastAsia"/>
                <w:sz w:val="24"/>
                <w:szCs w:val="24"/>
              </w:rPr>
              <w:t>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0" w:type="dxa"/>
            <w:vAlign w:val="center"/>
          </w:tcPr>
          <w:p>
            <w:pPr>
              <w:pStyle w:val="19"/>
              <w:spacing w:line="440" w:lineRule="exact"/>
              <w:rPr>
                <w:sz w:val="24"/>
                <w:szCs w:val="24"/>
              </w:rPr>
            </w:pPr>
            <w:r>
              <w:rPr>
                <w:rFonts w:hint="eastAsia"/>
                <w:sz w:val="24"/>
                <w:szCs w:val="24"/>
              </w:rPr>
              <w:t>15</w:t>
            </w:r>
          </w:p>
        </w:tc>
        <w:tc>
          <w:tcPr>
            <w:tcW w:w="2880" w:type="dxa"/>
            <w:vAlign w:val="center"/>
          </w:tcPr>
          <w:p>
            <w:pPr>
              <w:pStyle w:val="19"/>
              <w:spacing w:line="440" w:lineRule="exact"/>
              <w:rPr>
                <w:sz w:val="24"/>
                <w:szCs w:val="24"/>
              </w:rPr>
            </w:pPr>
            <w:r>
              <w:rPr>
                <w:rFonts w:hint="eastAsia"/>
                <w:sz w:val="24"/>
                <w:szCs w:val="24"/>
              </w:rPr>
              <w:t>解释</w:t>
            </w:r>
          </w:p>
        </w:tc>
        <w:tc>
          <w:tcPr>
            <w:tcW w:w="5962" w:type="dxa"/>
            <w:vAlign w:val="center"/>
          </w:tcPr>
          <w:p>
            <w:pPr>
              <w:pStyle w:val="19"/>
              <w:spacing w:line="0" w:lineRule="atLeast"/>
              <w:rPr>
                <w:sz w:val="24"/>
                <w:szCs w:val="24"/>
              </w:rPr>
            </w:pPr>
            <w:r>
              <w:rPr>
                <w:rFonts w:hint="eastAsia"/>
                <w:b/>
                <w:sz w:val="24"/>
                <w:szCs w:val="24"/>
              </w:rPr>
              <w:t>磋商方对磋商响应方的落选不作出任何解释。采购人和招标代理机构的任何工作人员对磋商响应方所作的任何口头解释、介绍、答复，仅供磋商响应方参考，不作为磋商谈判依据，对采购人、招标代理机构和磋商谈判响应方无任何约束力，一切以网上公告及书面形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50" w:type="dxa"/>
            <w:vAlign w:val="center"/>
          </w:tcPr>
          <w:p>
            <w:pPr>
              <w:pStyle w:val="19"/>
              <w:spacing w:line="440" w:lineRule="exact"/>
              <w:rPr>
                <w:sz w:val="24"/>
                <w:szCs w:val="24"/>
              </w:rPr>
            </w:pPr>
            <w:r>
              <w:rPr>
                <w:rFonts w:hint="eastAsia"/>
                <w:sz w:val="24"/>
                <w:szCs w:val="24"/>
              </w:rPr>
              <w:t>16</w:t>
            </w:r>
          </w:p>
        </w:tc>
        <w:tc>
          <w:tcPr>
            <w:tcW w:w="2880" w:type="dxa"/>
            <w:vAlign w:val="center"/>
          </w:tcPr>
          <w:p>
            <w:pPr>
              <w:pStyle w:val="19"/>
              <w:spacing w:line="440" w:lineRule="exact"/>
              <w:rPr>
                <w:sz w:val="24"/>
                <w:szCs w:val="24"/>
              </w:rPr>
            </w:pPr>
            <w:r>
              <w:rPr>
                <w:rFonts w:hint="eastAsia"/>
                <w:sz w:val="24"/>
                <w:szCs w:val="24"/>
              </w:rPr>
              <w:t>政采贷</w:t>
            </w:r>
          </w:p>
        </w:tc>
        <w:tc>
          <w:tcPr>
            <w:tcW w:w="5962" w:type="dxa"/>
            <w:vAlign w:val="center"/>
          </w:tcPr>
          <w:p>
            <w:pPr>
              <w:pStyle w:val="19"/>
              <w:spacing w:line="0" w:lineRule="atLeast"/>
              <w:rPr>
                <w:rStyle w:val="40"/>
                <w:sz w:val="24"/>
                <w:szCs w:val="24"/>
              </w:rPr>
            </w:pPr>
            <w:r>
              <w:rPr>
                <w:rFonts w:hint="eastAsia"/>
                <w:sz w:val="24"/>
                <w:szCs w:val="24"/>
              </w:rPr>
              <w:t>本采购项目，中标单位与采购单位签订的政府采购合同适用于政府采购贷款政策，简称“政采贷”，具体内容详见附件《政府采购支持中小企业信用融资相关事项通知》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50" w:type="dxa"/>
            <w:vAlign w:val="center"/>
          </w:tcPr>
          <w:p>
            <w:pPr>
              <w:pStyle w:val="19"/>
              <w:spacing w:line="440" w:lineRule="exact"/>
              <w:rPr>
                <w:rFonts w:hint="default" w:eastAsia="宋体"/>
                <w:sz w:val="24"/>
                <w:szCs w:val="24"/>
                <w:lang w:val="en-US" w:eastAsia="zh-CN"/>
              </w:rPr>
            </w:pPr>
            <w:r>
              <w:rPr>
                <w:rFonts w:hint="eastAsia"/>
                <w:sz w:val="24"/>
                <w:szCs w:val="24"/>
                <w:lang w:val="en-US" w:eastAsia="zh-CN"/>
              </w:rPr>
              <w:t>17</w:t>
            </w:r>
          </w:p>
        </w:tc>
        <w:tc>
          <w:tcPr>
            <w:tcW w:w="2880" w:type="dxa"/>
            <w:vAlign w:val="center"/>
          </w:tcPr>
          <w:p>
            <w:pPr>
              <w:pStyle w:val="19"/>
              <w:spacing w:line="440" w:lineRule="exact"/>
              <w:rPr>
                <w:rFonts w:hint="eastAsia"/>
                <w:sz w:val="24"/>
                <w:szCs w:val="24"/>
              </w:rPr>
            </w:pPr>
            <w:r>
              <w:rPr>
                <w:rFonts w:hint="eastAsia" w:ascii="宋体" w:hAnsi="宋体" w:cs="宋体"/>
                <w:sz w:val="24"/>
              </w:rPr>
              <w:t>投标报价及费用</w:t>
            </w:r>
          </w:p>
        </w:tc>
        <w:tc>
          <w:tcPr>
            <w:tcW w:w="5962" w:type="dxa"/>
            <w:vAlign w:val="center"/>
          </w:tcPr>
          <w:p>
            <w:pPr>
              <w:pStyle w:val="19"/>
              <w:spacing w:line="0" w:lineRule="atLeast"/>
              <w:rPr>
                <w:rFonts w:hint="eastAsia"/>
                <w:sz w:val="24"/>
                <w:szCs w:val="24"/>
              </w:rPr>
            </w:pPr>
            <w:r>
              <w:rPr>
                <w:rFonts w:hint="eastAsia" w:ascii="宋体" w:hAnsi="宋体" w:cs="宋体"/>
                <w:sz w:val="24"/>
              </w:rPr>
              <w:t>1、本项目投标应以人民币报价；2、不论投标结果如何，投标人均应自行承担所有与投标有关的全部费用</w:t>
            </w:r>
            <w:r>
              <w:rPr>
                <w:rFonts w:hint="eastAsia" w:hAnsi="宋体" w:cs="宋体"/>
                <w:sz w:val="24"/>
                <w:lang w:eastAsia="zh-CN"/>
              </w:rPr>
              <w:t>；</w:t>
            </w:r>
            <w:r>
              <w:rPr>
                <w:rFonts w:hint="eastAsia" w:hAnsi="宋体" w:cs="宋体"/>
                <w:sz w:val="24"/>
                <w:lang w:val="en-US" w:eastAsia="zh-CN"/>
              </w:rPr>
              <w:t>3、本项目招标代理费</w:t>
            </w:r>
            <w:r>
              <w:rPr>
                <w:rFonts w:hint="eastAsia" w:hAnsi="宋体" w:cs="宋体"/>
                <w:sz w:val="24"/>
                <w:highlight w:val="yellow"/>
                <w:lang w:val="en-US" w:eastAsia="zh-CN"/>
              </w:rPr>
              <w:t>60000</w:t>
            </w:r>
            <w:r>
              <w:rPr>
                <w:rFonts w:hint="eastAsia" w:hAnsi="宋体" w:cs="宋体"/>
                <w:sz w:val="24"/>
                <w:lang w:val="en-US" w:eastAsia="zh-CN"/>
              </w:rPr>
              <w:t>元，由中标人在领取中标通知书时一次性支付给代理单位</w:t>
            </w:r>
            <w:r>
              <w:rPr>
                <w:rFonts w:hint="eastAsia" w:ascii="宋体" w:hAnsi="宋体" w:cs="宋体"/>
                <w:sz w:val="24"/>
              </w:rPr>
              <w:t>。</w:t>
            </w:r>
          </w:p>
        </w:tc>
      </w:tr>
    </w:tbl>
    <w:p>
      <w:pPr>
        <w:pStyle w:val="44"/>
        <w:rPr>
          <w:rFonts w:hAnsi="宋体"/>
          <w:b/>
          <w:sz w:val="44"/>
          <w:szCs w:val="44"/>
        </w:rPr>
      </w:pPr>
      <w:r>
        <w:rPr>
          <w:rFonts w:hint="eastAsia" w:hAnsi="宋体"/>
          <w:kern w:val="2"/>
        </w:rPr>
        <w:t>注：如本招标文件后面的条款与本表有矛盾的以本表的内容为准。</w:t>
      </w:r>
    </w:p>
    <w:p>
      <w:pPr>
        <w:spacing w:line="340" w:lineRule="exact"/>
        <w:jc w:val="center"/>
        <w:rPr>
          <w:rFonts w:ascii="宋体" w:hAnsi="宋体"/>
          <w:b/>
          <w:sz w:val="44"/>
          <w:szCs w:val="44"/>
        </w:rPr>
      </w:pPr>
    </w:p>
    <w:p>
      <w:pPr>
        <w:widowControl/>
        <w:jc w:val="left"/>
        <w:rPr>
          <w:rFonts w:ascii="宋体" w:hAnsi="宋体"/>
          <w:b/>
          <w:sz w:val="44"/>
          <w:szCs w:val="44"/>
        </w:rPr>
      </w:pPr>
      <w:r>
        <w:rPr>
          <w:rFonts w:ascii="宋体" w:hAnsi="宋体"/>
          <w:b/>
          <w:sz w:val="44"/>
          <w:szCs w:val="44"/>
        </w:rPr>
        <w:br w:type="page"/>
      </w:r>
    </w:p>
    <w:p>
      <w:pPr>
        <w:spacing w:line="540" w:lineRule="exact"/>
        <w:jc w:val="center"/>
        <w:outlineLvl w:val="0"/>
        <w:rPr>
          <w:rFonts w:ascii="宋体" w:hAnsi="宋体"/>
          <w:b/>
          <w:sz w:val="36"/>
          <w:szCs w:val="36"/>
        </w:rPr>
      </w:pPr>
      <w:bookmarkStart w:id="9" w:name="_Toc1166"/>
      <w:r>
        <w:rPr>
          <w:rFonts w:hint="eastAsia" w:ascii="宋体" w:hAnsi="宋体"/>
          <w:b/>
          <w:sz w:val="36"/>
          <w:szCs w:val="36"/>
        </w:rPr>
        <w:t>第一章  招标需求</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招标内容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1、建设背景：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浙江是全国十大道地药材产区之一，中药产业是我省十大历史经典产业之一，以“浙八味”为代表的众多特色道地药材享誉海内外。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磐安县具有区位、气候、环境、资源等支持中药材产业发展的独特优势。磐安中药材历史悠久，种植加工技术精良，品质上乘，为历代医家所推崇，也是现代药商、药企竞相追逐的源头药、道地药。2018年以来，我县成立了中药产业振兴发展领导小组，设立副县级的中药产业振兴发展领导小组办公室，编制了《磐安县中药产业振兴发展规划（2018～2025年）》，引导构建“道地中药材＋”全产业链建设和融合发展格局，梳理并出台专门针对中药产业的扶持政策，推进“江南药镇”建设，打造产业集聚提升发展平台。</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8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建设目标</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建设中药产业大脑(</w:t>
      </w:r>
      <w:r>
        <w:rPr>
          <w:rFonts w:hint="eastAsia" w:ascii="宋体" w:hAnsi="宋体" w:eastAsia="宋体" w:cs="宋体"/>
          <w:sz w:val="24"/>
          <w:szCs w:val="24"/>
          <w:lang w:eastAsia="zh-CN"/>
        </w:rPr>
        <w:t>中药产业大脑(磐安县中药材产业发展智慧云平台项目三期)</w:t>
      </w:r>
      <w:r>
        <w:rPr>
          <w:rFonts w:hint="eastAsia" w:ascii="宋体" w:hAnsi="宋体" w:eastAsia="宋体" w:cs="宋体"/>
          <w:sz w:val="24"/>
          <w:szCs w:val="24"/>
          <w:lang w:val="en-US" w:eastAsia="zh-CN"/>
        </w:rPr>
        <w:t>)的总体目标是通过药农“生产好药，卖出好价”，实现中药产业的高质量发展。通过对中药产业一、二、三产的数据的采集、汇交，实现多维度、跨产业数据的统一规范整理，数据的汇聚，打破数据孤岛，推进全县乃至全省产业数据资源的互联互通，同时摸清家底，将中药材产业生产、加工、经营等方面的情况进行有效得整合并实现数字化管理。</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80" w:leftChars="0" w:firstLine="480" w:firstLineChars="20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建设内容说明</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驾驶舱</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药产业大脑总览、全景分析概览数据、种植管理概览、加工管理概览、制药管理概览、流通管理概览、浙药通数据概览、优质优价数据概览、智慧药房数据概览、数字药博概览、科技服务数据概览、金融服务数据概览。</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全景分析</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(1)三产融合全景：包含产业链、资本链、创新链等子功能。</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(2)产业机会分析：包含预测分析、机会分析、趋势分析等子功能。</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(3)产业整体招引：包含产业招引助手、企业动向监测、产业招引预测等子功能。</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(4)企业查询服务：包含国内在研数据查询、国内药品查询、国内器械查询、创新评审、会议查询等子功。</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(5)中药领域模型构建：包含中药产业发展指数模型、中药管控力指数模型、中药富农指数模型、中药产业图谱关联模型、中药企业动迁模型、中药企业发展评价模型等模型。</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(6)中药行业产业数据仓：包含产业公域数据本地化、数据资源归集、标准数据治理、主题数据治理、专题数据治理等服务</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种植管理（迭代升级）</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迭代升级种植管理场景驾驶舱、适宜性分析预警、预警记录、肥药两制管理、</w:t>
      </w:r>
      <w:r>
        <w:rPr>
          <w:rFonts w:hint="eastAsia" w:ascii="宋体" w:hAnsi="宋体" w:eastAsia="宋体" w:cs="宋体"/>
          <w:sz w:val="24"/>
          <w:szCs w:val="24"/>
          <w:highlight w:val="none"/>
        </w:rPr>
        <w:t>阳光基地、</w:t>
      </w:r>
      <w:r>
        <w:rPr>
          <w:rFonts w:hint="eastAsia" w:ascii="宋体" w:hAnsi="宋体" w:eastAsia="宋体" w:cs="宋体"/>
          <w:sz w:val="24"/>
          <w:szCs w:val="24"/>
        </w:rPr>
        <w:t>监管记录、气象监测预警</w:t>
      </w:r>
      <w:r>
        <w:rPr>
          <w:rFonts w:hint="eastAsia" w:ascii="宋体" w:hAnsi="宋体" w:eastAsia="宋体" w:cs="宋体"/>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lang w:eastAsia="zh-Hans"/>
        </w:rPr>
        <w:t>）</w:t>
      </w:r>
      <w:r>
        <w:rPr>
          <w:rFonts w:hint="eastAsia" w:ascii="宋体" w:hAnsi="宋体" w:eastAsia="宋体" w:cs="宋体"/>
          <w:sz w:val="24"/>
          <w:szCs w:val="24"/>
        </w:rPr>
        <w:t>流通管理（迭代升级）</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迭代升级流通管理场景驾驶舱、时时追溯、样样抽检、事事通达、件件办理、品牌评级、科技服务（迭代升级）、金融服务（迭代升级）、平台监测。</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Hans"/>
        </w:rPr>
        <w:t>5）</w:t>
      </w:r>
      <w:r>
        <w:rPr>
          <w:rFonts w:hint="eastAsia" w:ascii="宋体" w:hAnsi="宋体" w:eastAsia="宋体" w:cs="宋体"/>
          <w:sz w:val="24"/>
          <w:szCs w:val="24"/>
        </w:rPr>
        <w:t>制药管理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药厂管理、视频监控、设备管理、生产工艺管理、质量工艺控制、仓储看板管理。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Hans"/>
        </w:rPr>
        <w:t>6）</w:t>
      </w:r>
      <w:r>
        <w:rPr>
          <w:rFonts w:hint="eastAsia" w:ascii="宋体" w:hAnsi="宋体" w:eastAsia="宋体" w:cs="宋体"/>
          <w:sz w:val="24"/>
          <w:szCs w:val="24"/>
        </w:rPr>
        <w:t>智慧药房</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处方流转医院管理、浙八味原料饮片管理、智慧药房监控、代煎设备运行监测、处方监测中心、处方配送管理、资源目录、处方量趋势分析。</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Hans"/>
        </w:rPr>
        <w:t>7）</w:t>
      </w:r>
      <w:r>
        <w:rPr>
          <w:rFonts w:hint="eastAsia" w:ascii="宋体" w:hAnsi="宋体" w:eastAsia="宋体" w:cs="宋体"/>
          <w:sz w:val="24"/>
          <w:szCs w:val="24"/>
        </w:rPr>
        <w:t>应用支撑服务组件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中药材生长适宜性模型、药企品牌指数模型、药企信用指数模型、三色预警模型、经营主体画像、GIS应用与平台开发、浙江质量在线浙中药一站式服务平台</w:t>
      </w:r>
      <w:r>
        <w:rPr>
          <w:rFonts w:hint="eastAsia" w:ascii="宋体" w:hAnsi="宋体" w:eastAsia="宋体" w:cs="宋体"/>
          <w:sz w:val="24"/>
          <w:szCs w:val="24"/>
          <w:lang w:eastAsia="zh-Hans"/>
        </w:rPr>
        <w:t>、</w:t>
      </w:r>
      <w:r>
        <w:rPr>
          <w:rFonts w:hint="eastAsia" w:ascii="宋体" w:hAnsi="宋体" w:eastAsia="宋体" w:cs="宋体"/>
          <w:sz w:val="24"/>
          <w:szCs w:val="24"/>
        </w:rPr>
        <w:t>药材烘干工艺监测系统</w:t>
      </w:r>
      <w:r>
        <w:rPr>
          <w:rFonts w:hint="eastAsia" w:ascii="宋体" w:hAnsi="宋体" w:eastAsia="宋体" w:cs="宋体"/>
          <w:sz w:val="24"/>
          <w:szCs w:val="24"/>
          <w:lang w:eastAsia="zh-Hans"/>
        </w:rPr>
        <w:t>、</w:t>
      </w:r>
      <w:r>
        <w:rPr>
          <w:rFonts w:hint="eastAsia" w:ascii="宋体" w:hAnsi="宋体" w:eastAsia="宋体" w:cs="宋体"/>
          <w:sz w:val="24"/>
          <w:szCs w:val="24"/>
          <w:lang w:val="en-US" w:eastAsia="zh-CN"/>
        </w:rPr>
        <w:t>能力组件</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浙江质量在线</w:t>
      </w:r>
      <w:r>
        <w:rPr>
          <w:rFonts w:hint="eastAsia" w:ascii="宋体" w:hAnsi="宋体" w:eastAsia="宋体" w:cs="宋体"/>
          <w:sz w:val="24"/>
          <w:szCs w:val="24"/>
        </w:rPr>
        <w:t>。</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浙中药企业侧服务应用（浙里办、支付宝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微信小程序三</w:t>
      </w:r>
      <w:r>
        <w:rPr>
          <w:rFonts w:hint="eastAsia" w:ascii="宋体" w:hAnsi="宋体" w:eastAsia="宋体" w:cs="宋体"/>
          <w:sz w:val="24"/>
          <w:szCs w:val="24"/>
        </w:rPr>
        <w:t>版本）</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药材信息采集功能、药材共享检测服务（我要检测）、土壤共享检测服务（我要测土）、揭榜挂帅服务（我要揭榜）、业务咨询服务（我要咨询）、浙八味市场商户查询服务（商户查询）、药材价格行情服务（价格查询）、药材技术标准查询服务（标准查询）、中药政策兑现服务中心（政策兑现）、中药项目申报服务中心（项目申报）、农资补贴领取服务中心（农资领取）、金融贷款服务（我要贷款）、金融保险服务（我要保险）、金融质押服务（我要质押）、科技成果转化服务（我要转化）。</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Hans"/>
        </w:rPr>
        <w:t>9）</w:t>
      </w:r>
      <w:r>
        <w:rPr>
          <w:rFonts w:hint="eastAsia" w:ascii="宋体" w:hAnsi="宋体" w:eastAsia="宋体" w:cs="宋体"/>
          <w:sz w:val="24"/>
          <w:szCs w:val="24"/>
        </w:rPr>
        <w:t>浙政钉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环境适宜性分析管理，规范化施肥用药管理，加工工艺预警管理，加工预约数据管理，基地/地块数据管，种植记录数据管理，农事记录数据管理，采收记录数据管理，赋码记录数据管理，病虫草害监测数据管理，物联网设备监测数据管理，时时追溯溯源查询数据管理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Hans"/>
        </w:rPr>
        <w:t>10）</w:t>
      </w:r>
      <w:r>
        <w:rPr>
          <w:rFonts w:hint="eastAsia" w:ascii="宋体" w:hAnsi="宋体" w:eastAsia="宋体" w:cs="宋体"/>
          <w:sz w:val="24"/>
          <w:szCs w:val="24"/>
        </w:rPr>
        <w:t>数字药博</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数字药博访客端（Web端）、数字药博展商管理端、数字药博移动端。</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Hans"/>
        </w:rPr>
        <w:t>）</w:t>
      </w:r>
      <w:r>
        <w:rPr>
          <w:rFonts w:hint="eastAsia" w:ascii="宋体" w:hAnsi="宋体" w:eastAsia="宋体" w:cs="宋体"/>
          <w:sz w:val="24"/>
          <w:szCs w:val="24"/>
        </w:rPr>
        <w:t>浙药通</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“浙药通”主要包括首页、优质优价、浙产好药、种子种苗、供求信息、招标竞价、共享车间、检测服务、会员中心、移动端子系统、后台管理子系统、在线支付子系统等模块。</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eastAsia="zh-Hans"/>
        </w:rPr>
        <w:t>12）</w:t>
      </w:r>
      <w:r>
        <w:rPr>
          <w:rFonts w:hint="eastAsia" w:ascii="宋体" w:hAnsi="宋体" w:eastAsia="宋体" w:cs="宋体"/>
          <w:sz w:val="24"/>
          <w:szCs w:val="24"/>
        </w:rPr>
        <w:t>数据</w:t>
      </w:r>
      <w:r>
        <w:rPr>
          <w:rFonts w:hint="eastAsia" w:ascii="宋体" w:hAnsi="宋体" w:eastAsia="宋体" w:cs="宋体"/>
          <w:sz w:val="24"/>
          <w:szCs w:val="24"/>
          <w:lang w:val="en-US" w:eastAsia="zh-Hans"/>
        </w:rPr>
        <w:t>后台开发</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中药产业大脑数据后台</w:t>
      </w:r>
      <w:r>
        <w:rPr>
          <w:rFonts w:hint="eastAsia" w:ascii="宋体" w:hAnsi="宋体" w:eastAsia="宋体" w:cs="宋体"/>
          <w:sz w:val="24"/>
          <w:szCs w:val="24"/>
        </w:rPr>
        <w:t>、物联网温度感知监测后台、制药管理数据管理后台、智慧药房数据管理后台、保险服务数据管理后台、贷款服务管理后台、质押服务管理后台、政策兑现管理后台、农资领取管理后台、项目申报管理后台。</w:t>
      </w:r>
      <w:r>
        <w:rPr>
          <w:rFonts w:hint="eastAsia" w:ascii="宋体" w:hAnsi="宋体" w:eastAsia="宋体" w:cs="宋体"/>
          <w:sz w:val="24"/>
          <w:szCs w:val="24"/>
          <w:lang w:val="en-US" w:eastAsia="zh-Hans"/>
        </w:rPr>
        <w:t>浙药通：优质优价专栏、</w:t>
      </w:r>
      <w:r>
        <w:rPr>
          <w:rFonts w:hint="eastAsia" w:ascii="宋体" w:hAnsi="宋体" w:eastAsia="宋体" w:cs="宋体"/>
          <w:sz w:val="24"/>
          <w:szCs w:val="24"/>
          <w:lang w:val="en-US" w:eastAsia="zh-CN"/>
        </w:rPr>
        <w:t>云上定制</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品牌药商</w:t>
      </w:r>
      <w:r>
        <w:rPr>
          <w:rFonts w:hint="eastAsia" w:ascii="宋体" w:hAnsi="宋体" w:eastAsia="宋体" w:cs="宋体"/>
          <w:sz w:val="24"/>
          <w:szCs w:val="24"/>
          <w:lang w:val="en-US" w:eastAsia="zh-Hans"/>
        </w:rPr>
        <w:t>等后台。</w:t>
      </w:r>
      <w:r>
        <w:rPr>
          <w:rFonts w:hint="eastAsia" w:ascii="宋体" w:hAnsi="宋体" w:eastAsia="宋体" w:cs="宋体"/>
          <w:sz w:val="24"/>
          <w:szCs w:val="24"/>
          <w:lang w:val="en-US" w:eastAsia="zh-CN"/>
        </w:rPr>
        <w:t>数字药博</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数字药博会务管理后台</w:t>
      </w:r>
      <w:r>
        <w:rPr>
          <w:rFonts w:hint="eastAsia" w:ascii="宋体" w:hAnsi="宋体" w:eastAsia="宋体" w:cs="宋体"/>
          <w:sz w:val="24"/>
          <w:szCs w:val="24"/>
          <w:lang w:val="en-US" w:eastAsia="zh-Hans"/>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Hans"/>
        </w:rPr>
        <w:t>13）</w:t>
      </w:r>
      <w:r>
        <w:rPr>
          <w:rFonts w:hint="eastAsia" w:ascii="宋体" w:hAnsi="宋体" w:eastAsia="宋体" w:cs="宋体"/>
          <w:sz w:val="24"/>
          <w:szCs w:val="24"/>
        </w:rPr>
        <w:t>阳光基地高空视频监控</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rPr>
        <w:t>高空视频监控</w:t>
      </w:r>
      <w:r>
        <w:rPr>
          <w:rFonts w:hint="eastAsia" w:ascii="宋体" w:hAnsi="宋体" w:eastAsia="宋体" w:cs="宋体"/>
          <w:sz w:val="24"/>
          <w:szCs w:val="24"/>
          <w:lang w:val="en-US" w:eastAsia="zh-Hans"/>
        </w:rPr>
        <w:t>服务</w:t>
      </w:r>
      <w:r>
        <w:rPr>
          <w:rFonts w:hint="eastAsia" w:ascii="宋体" w:hAnsi="宋体" w:eastAsia="宋体" w:cs="宋体"/>
          <w:sz w:val="24"/>
          <w:szCs w:val="24"/>
        </w:rPr>
        <w:t>：</w:t>
      </w:r>
      <w:r>
        <w:rPr>
          <w:rFonts w:hint="eastAsia" w:ascii="宋体" w:hAnsi="宋体" w:eastAsia="宋体" w:cs="宋体"/>
          <w:sz w:val="24"/>
          <w:szCs w:val="24"/>
          <w:lang w:val="en-US" w:eastAsia="zh-Hans"/>
        </w:rPr>
        <w:t>提供</w:t>
      </w:r>
      <w:r>
        <w:rPr>
          <w:rFonts w:hint="eastAsia" w:ascii="宋体" w:hAnsi="宋体" w:eastAsia="宋体" w:cs="宋体"/>
          <w:sz w:val="24"/>
          <w:szCs w:val="24"/>
        </w:rPr>
        <w:t>高空球机2台，数字电路20M两条，视频云存储15天</w:t>
      </w:r>
      <w:r>
        <w:rPr>
          <w:rFonts w:hint="eastAsia" w:ascii="宋体" w:hAnsi="宋体" w:eastAsia="宋体" w:cs="宋体"/>
          <w:sz w:val="24"/>
          <w:szCs w:val="24"/>
          <w:lang w:val="en-US" w:eastAsia="zh-Hans"/>
        </w:rPr>
        <w:t>的适配监控服务</w:t>
      </w:r>
      <w:r>
        <w:rPr>
          <w:rFonts w:hint="eastAsia" w:ascii="宋体" w:hAnsi="宋体" w:eastAsia="宋体" w:cs="宋体"/>
          <w:sz w:val="24"/>
          <w:szCs w:val="24"/>
          <w:lang w:val="en-US" w:eastAsia="zh-CN"/>
        </w:rPr>
        <w:t>，服务期限三年</w:t>
      </w:r>
      <w:r>
        <w:rPr>
          <w:rFonts w:hint="eastAsia" w:ascii="宋体" w:hAnsi="宋体" w:eastAsia="宋体" w:cs="宋体"/>
          <w:sz w:val="24"/>
          <w:szCs w:val="24"/>
          <w:lang w:eastAsia="zh-Hans"/>
        </w:rPr>
        <w:t>。</w:t>
      </w:r>
    </w:p>
    <w:p>
      <w:pPr>
        <w:keepNext w:val="0"/>
        <w:keepLines w:val="0"/>
        <w:pageBreakBefore w:val="0"/>
        <w:widowControl w:val="0"/>
        <w:kinsoku/>
        <w:wordWrap/>
        <w:overflowPunct/>
        <w:topLinePunct w:val="0"/>
        <w:autoSpaceDE/>
        <w:autoSpaceDN/>
        <w:bidi w:val="0"/>
        <w:adjustRightInd/>
        <w:snapToGrid w:val="0"/>
        <w:spacing w:line="240" w:lineRule="auto"/>
        <w:ind w:firstLine="1265" w:firstLineChars="600"/>
        <w:textAlignment w:val="auto"/>
        <w:rPr>
          <w:rFonts w:hint="eastAsia" w:ascii="宋体" w:hAnsi="宋体" w:cs="宋体"/>
          <w:b/>
          <w:bCs/>
          <w:kern w:val="0"/>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1265" w:firstLineChars="600"/>
        <w:textAlignment w:val="auto"/>
        <w:outlineLvl w:val="1"/>
        <w:rPr>
          <w:rFonts w:hint="eastAsia" w:ascii="宋体" w:hAnsi="宋体" w:cs="宋体"/>
          <w:b/>
          <w:bCs/>
          <w:kern w:val="0"/>
          <w:szCs w:val="21"/>
          <w:lang w:val="en-US" w:eastAsia="zh-CN"/>
        </w:rPr>
      </w:pPr>
      <w:r>
        <w:rPr>
          <w:rFonts w:hint="default" w:ascii="宋体" w:hAnsi="宋体" w:cs="宋体"/>
          <w:b/>
          <w:bCs/>
          <w:kern w:val="0"/>
          <w:szCs w:val="21"/>
        </w:rPr>
        <w:t>中药产业大脑(磐安县中药材产业发展智慧云平台项目三期)</w:t>
      </w:r>
      <w:r>
        <w:rPr>
          <w:rFonts w:hint="eastAsia" w:ascii="宋体" w:hAnsi="宋体" w:cs="宋体"/>
          <w:b/>
          <w:bCs/>
          <w:kern w:val="0"/>
          <w:szCs w:val="21"/>
          <w:lang w:val="en-US" w:eastAsia="zh-CN"/>
        </w:rPr>
        <w:t>建设内容清单</w:t>
      </w:r>
    </w:p>
    <w:tbl>
      <w:tblPr>
        <w:tblStyle w:val="34"/>
        <w:tblpPr w:leftFromText="180" w:rightFromText="180" w:vertAnchor="text" w:horzAnchor="page" w:tblpXSpec="center" w:tblpY="301"/>
        <w:tblOverlap w:val="never"/>
        <w:tblW w:w="10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0"/>
        <w:gridCol w:w="1490"/>
        <w:gridCol w:w="2074"/>
        <w:gridCol w:w="5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业务板块</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系统</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功能模块</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驾驶舱首页</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驾驶舱</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中药产业大脑驾驶舱</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业大脑总览、全景分析概览数据、种植管理概览、加工管理概览、制药管理概览、流通管理概览、浙药通数据概览、优质优价数据概览、智慧药房数据概览、数字药博概览、科技服务数据概览、金融服务数据概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全景分析</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业务应用体系</w:t>
            </w: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三产融合全景</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产业链:在产业链上统计展示浙江省区域重点布局药品药材一二三产的企业数量。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资本链:展示历年浙江医药产业在企业融资、并购、上市等各类资本动态及空间分布，各领域、各轮次融资数量和变化趋势等产业资本信息，体现产业领域的资本活跃度。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创新链:洞察浙江中药产业发展取得的研究成果，通过对研究创新成果研发管线、细分类型、增长趋势、聚集态势进行分析，并提供与全国发展情况对比，了解区域科创成果在全国的水平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产业机会分析</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预测分析:本模块以磐安主要道地药材为试点，全面系统地剖析其价格指数波动特征、波动规律、波动成因，对道地药材价格进行预测，基于输出结果为稳定中药材价格、稳定中药企业发展提出相关建议.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机会分析:通过产业链图谱，分析中药产业一、二、三的机会环节（如：新品种培育、大品种开发、中药种子种苗经营、中药材产地初加工），为提升产业链韧性、对产业环节的拓展提供分析支撑。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趋势分析:根据用户层级和关注点进行分类推送，帮助产业治理部门相关负责人有针对性、快速了解产业发展动态、提高产业治理和服务效能。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产业整体招引</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产业招引助手：通过招引助手对浙江省中医药目标企业动态及外迁概率进行展示。展示产业大脑大数据招商创新模式的特色与成效，呈现浙江省在新形势下的招商新思路、新方式和新工具。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企业动向监测：龙头企业是指在招商线索推荐和目标企业自主筛选标识以及重点关注的纳入跟踪监测的企业，可以对这些企业进行列表管理，实现重点企业的增加、移除和监测详情查看，监测信息实现了实时跟踪监测重点企业的研发动态、资本动态、舆情动态、全国布局动态、外迁可能性预测、动因分析等潜在招商情报信息，为招商机会评估提供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产业招引预测：具体包括企业招商模型管理、招商线索推荐、目标企业自主筛选、线索企业综合信息。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科技数据查询服务</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国内在研数据查询：提供搜索查看国内在研药物功能，并可按照试验分期、招募状态、药物种类筛选。查看药品登记号、专业题目、药物名称、靶点、适应症等信息。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国内药品查询：提供搜索查看国内已经获批药物功能，并可按照国产进口、产品类型区分。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国内器械查询：提供搜索查看国内器械功能，并可按照自定义条件筛选药品类型。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创新评审：提供搜索查看创新评审资讯功能，并可按照自定义条件筛选。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会议查询：提供搜索查看相关会议功能，并可按照自定义条件筛选会议类型。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应用支撑</w:t>
            </w: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中药领域模型构建</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中药产业图谱关联模型：构建对浙江省中药产业发展进行区域评价的指标，并通过计算后以数据接口的形式提供指标数据。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中药产业发展指数模型：构建对浙中药系统对中药种植监管力度的评价体系，并通过计算后以数据接口的形式提供指标数据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中药管控力指数模型：构建对当地中药产业发展对共同富裕工作的贡献力度，并通过计算后以数据接口的形式提供指标数据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中药富农指数模型：构建中药产业关联图谱模型用于支撑上层三产全景分析应用，并根据浙江中药产业的发展和外延不断进行模型调整和优化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中药企业动迁模型：构建中药企业动迁模型用于支撑三产融合超大引强应用，并根据浙江中药产业的发展和市场发展的趋势不断进行模型调整和优化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中药企业发展评价模型：构建中药企业发展评价模型支撑三产融合全景应用中对企业各维度的查看：主要维度包括工商信息、发展报告、风险监测、知识产权、企业动态。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中药行业产业数据仓</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产业公域数据本地化</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对中药产业互联网数据进行统一归集并进行本地化部署服务，形成中药产业数据资产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数据资源归集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结合一体化智能化公共数据平台已有的数据归集机制，在此基础上扩大横向数据归集范围，预留平行部门数据对接或导入接口，以实现对企业数据的深度采集应用。包含互联网公开数据、第三方商业数据等，本系统采用的对接方式为库表交换、文件交换和接口服务等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标准数据治理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据治理是建设行业数仓过程中至关重要的部分，围绕政府、企业、行业的属性、活动和关系等维度，进行全集数据的归一化处理，实现各来源数据的一体化整合。数据治理通过建立数据标准规范，基于质量规则进行数据评估及监控，实现数据清洗、问题数据发现、问题数据处理、数据质量评估等全流程数据质量管理，及时发现、定位、检测、跟踪、解决各类数据质量问题，形成数据治理闭环，提升数据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主题数据治理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基础库的数据治理主要工作包括：数据标准化，对维度编码、字段名称、表名称进行标准化操作；数据清洗，对冗余数据，错误数据，缺失数据进行清洗操作；数据融合，对描述相同对象的信息数据进行合并。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专题数据治理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为满足专题库的数据抽取需求，将对基础数据库中的主要数据内容基于产业分类，进行数据打标。主要流程包含图谱绘制、标签编码、标签规则制定、编码及规则上传、打标流程执行、标签结果导出、标签结果核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种植管理（迭代升级）</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页面设计</w:t>
            </w: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种植管理场景页面设计</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整合磐安县地区涉及中药材种植关键核心业务数据，具体为种植面积（亩）、产值（亿）、产量（吨）、种植户（户）、种植基地（个）、适宜性建议（条）、预警记录（条）、监管记录（条）。通过详尽的指标体系，实时反映平台的运行状态，将采集的数据形象化、直观化、具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地理信息组件，在地图进行功能叠加，形成品种种植分布和气象适宜性势力图、土壤适宜性热力图。驾驶舱主要分为种植环境分析、种植规范管理、阳光基地、种植风险管控、气象监测、预警信息等应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种植环境分析</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适宜性分析预警</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于中药材生长适宜性模型，通过采集种植基地相关的PH、碱解氮、有机质、有效磷、速效钾等土壤信息，利用该模型计算该种植基地中药材种植适宜性，最终形成磐安全域种植适宜性地图，同时根据数据变化，对种植基地土壤和气候恶化区域进行预警，发布指导建议书，以此保证中药材种植产业的健康发展和可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预警记录</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通过对接浙里办中药产业大脑种植管理填报系统，系统自动形成预警记录，可详细显示上报农户名字、种植品种、预警时间、预警内容、联办单位、指导建议书、通达状态、更新/处理时间等。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种植规范管理</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肥药两制管理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农在浙里办注册药材种植基地信息，药农自行进行药材种植施肥施药的登记备案。同时通过肥药两制管理系统以及农资店现场拍摄农户购买肥药，并对其进行实名登记，记录的信息包含农户姓名联系方式等基础信息以及农资店名称、购买时间、农资名称、数量、规格。统计分析农户种植中药材肥药用量，对超标用量进行预警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阳光基地</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中药材种植基地高空摄像头对焦抓拍施肥施药全过程，记录农户现场农事操作，AI辅助决策分析结果，对于施肥过量等操作不当行为，将进入系统黄码预警名单。工作人员在办公室收到黄码预警，查看行为监测和AI辅助决策分析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监管记录</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整合肥药两制管理与阳光基地信息，进行分析预警，通过数据分析对比，基于三色预警模型的三色码判定，形成监控记录，可全面显示肥药实名购买情况、黄码预警名单、红码重点抽检名单、抽检不合格名单等。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标准化种植</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道地产区管理、良种繁育管理、浙贝母种植模型、全程质量追溯、种植预警分析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种植风险管理</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气象监测预警</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于中药产业大脑二期5G+气象监测及预警应用，迭代升级开发预警信息发布，选择灾害范围内的农户发送短信，提示农户做好防护措施，减少灾害带来的损失，预警信息包含灾种名称（寒潮、洪涝等）、预警等级、降临时间实时显示气象预警信息，发布时间、预警状态、预警级别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流通管理（迭代升级）</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流通管理首页</w:t>
            </w: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流通管理场景页面设计</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整合磐安县地区涉及中药材市场经营关键核心业务数据，具体为经营主体数、备案品种数、赋码批次数、追溯查询次数、分级授信数量、重点监管数量。通过详尽的指标体系，实时反映平台的运行状态，将采集的数据形象化、直观化、具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通过原一期已建设的市场布局图，在布局图上进行功能叠加主体画像。驾驶舱主要分为时时追溯、样样抽检、事事通达、件件办理、品牌评级、信用评价等应用系统。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时时追溯</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时时追溯</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时时追溯页面开发，主要包含药材对应的名称、生产批号、药材编号、规格、包装规格、数量（千克），并可以进行一键溯源，查询到对应批次药材的种源信息、基地信息、种植信息、采收信息、加工信息、企业信息。做到药材全流程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样样抽检</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样样抽检</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样样抽检页面开发，主要包含药材的检测时间、设备使用记录、服务对象、联系方式、收费情况、检测描述、批次数等。还可以查看对应的技术服务协议及相应的检测报告。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事事通达</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事事通达</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事事通达页面开发，主要包含315投诉举报、掌上执法、8890平台、媒体举报四个举报投诉信息来源。平台主要根据案件名称、来源、违法主体、违法行为等信息进行收集、识别、分类，并抄送给对应的联办单位。工作人员将进行现场核实，并根据现场核实的结果决定是否下发出发决定书，最终完结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件件办理</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件件办理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件件办理页面开发，主要包括案件办理、举报投诉、消费调节。通过媒体举报、监督检查、315投诉举报系统等来源，将信息进行分类，并移交至相应否负责单位进行处理，最终显示处理结果及事件完结率。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品牌评级</w:t>
            </w: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品牌评级</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品牌评级页面开发，主要通过品牌识别、品牌实力、品牌活跃力、品牌口碑（已建）四个方面进行评分，四项得分进行相加得出总分，为品牌指数。根据品牌指数来进行评级，分为一级、二级、三级、四级四个等级。可以查看各个企业历年以来的品牌指数平均分，并且可以看到企业指数增长幅度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企业全年十二个月的各项得分可以形成曲状图，以此看出企业品牌的发展水平，企业还可以通过品牌指数分析来分析出企业相应的优劣项。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科技服务（迭代升级）</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科技服务（迭代升级）</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整合科技服务信息，对接共享检测数据和浙里办“我要揭榜”“我要检测”等“我要”系列，建设科技服务数据大屏。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金融服务（迭代升级）</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金融服务（迭代升级）</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对接磐药e贷、磐药e保系统，整合相关信息，建设金融服务数据归集展示大屏。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平台监测</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平台监测</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平台监测中可以看到每日访问量统计，今日访问量、今日访问人数等。还可以通过数据监测查看邮件、电子文档、文件、数据库、接口的数量。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制药管理</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浙中药监管制药</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浙中药监管制药管理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药厂管理、视频监控、设备管理、生产工艺管理、质量工艺控制、仓储看板管理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智慧药房</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智慧药房</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智慧药房</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处方流转医院管理、浙八味原料饮片管理、智慧药房监控、代煎设备运行监测、处方监测中心、处方配送管理、资源目录、处方量趋势分析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应用支撑服务组件</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中药材生长适宜性模型（迭代升级）</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中药材生长适宜性模型</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使用深度支持向量数据描述模型将融合后的数据以非线性方式映射到高维特征空间,采集PH、碱解氮、有机质、有效磷、速效钾等土壤信息和气象信息，构建气象和土壤双属性的基于深度支持向量数据描述的中药材适生区预测模型。落在最优超球体内的地区样本点,则认为该区域适宜此中药材的生长;反之,则不适宜此中药材的生长。根据模型导出相应的预警信息及指导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药企品牌指数模型（迭代升级）</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药企品牌指数模型</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引入了采购商、消费者的信用评价，从四个维度（品牌识别、品牌实力、活跃力、口碑）建立全面的中药材经营企业品牌指数。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药企信用指数模型（迭代升级）</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药企信用指数模型</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按照5个维度（企业特质、诚信经营、遵纪守法、商业用信、行为积累）进行综合分析计算，以市场核准登记数据库为基础，确定市场经营者基本分为60分，通过信用资产积累和信用资产流失实行加（扣）分制。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三色预警模型</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三色预警模型</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制定肥药使用超标减分、农事违规操作减分、农残检测不合格等方面的数据计算模型，模型依据计算结果输出对主体进行行为限制（如禁止进入市场等），通过设置预警规则，实现“红黄绿”三色动态提醒，有助于建立风险分级管控体系，帮助决策者转被动处置为主动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经营主体画像</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经营主体画像</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对中药材经营主体的基本信息、荣誉、品牌指数、信用指数以及其它主体特征、行为记录、交易记录等大量历史数据进行系统的分析，利用统计方法及其他定量方法挖掘数据中蕴含的主体特征，形成经营主体画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GIS应用与平台开发</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GIS应用与平台开发</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相对二期的普通地图，升级成了GIS地理信息服务，可以应用于属性空间展示与空间分析统计，可以收集和存储各类地理数据信息，能够提供高效的地理数据管理功能。GIS地理信息服务作为获取、存储、分析和管理地理空间数据的重要工具和技术应用服务，是完成高质量GIS类数据维护与功能开发时，不可缺失的支撑服务。包含空间数据库、三维场景、布局打印、地图瓦片、加载扩展插件、符号制作、可视化建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药材烘干工艺监测系统</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药材烘干工艺监测系统</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在原有车间通监管基础上，通过集成物联网设备进行智能化管控，针对不同药材制定了相对应的温度预警线，若温度超过预警线，立刻发出短信预警给药农、加工点业主和监管部门，要求第一时间进行处置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能力组件</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产业大脑能力组件开发</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蓝牙标签赋码打印组件。集成本组件后，实现混合开发APP打印集成，实现连接DL630蓝牙打印机，快速打印二维码追溯标签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浙江质量在线</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浙江质量在线浙中药一站式服务平台</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开发一站式服务平台，包括平台介绍、知识库、浙中药、数字基地展示4大板块。知识库包括政策制度、行业资讯、种植标准、技术规程等内容的发布和管理；浙中药包括质量追溯介绍、科技服务介绍、金融服务介绍、加工服务介绍、市场服务介绍等介绍，引导下载使用浙里办、浙政钉应用；数字基地展示，以GIS地图和图文方式展示磐安可追溯基地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浙中药企业侧服务应用</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浙里办、支付宝、微信小程序三版本</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药材信息采集功能</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在浙里办质量追溯应用基础上，迭代开发我的地块、我的药材、做农活功能模块，提高用户操作体验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金融贷款服务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（我要贷款）</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贷款申请、贷款记录、贷款申请审核状态查询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金融保险服务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（我要保险）</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个人保险申请、集体投保申请、保险申请记录、保险申请审核状态查询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金融质押服务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（我要质押）</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质押申请、质押申请记录、质押申请审核状态查询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药材共享检测服务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（我要检测）</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药材检测申请、药材检测申请记录、药材检测订单确认、药材检测结果上传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土壤共享检测服务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（我要测土）</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土壤检测申请、土壤检测申请记录、土壤检测订单确认、土壤检测结果上传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揭榜挂帅服务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（我要揭榜）</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我要发榜、我的发榜记录、我要揭榜、我的揭榜记录、榜单审核状态查询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科技成果转化服务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（我要转化）</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转化成果发布、我的转化成果、转化成果购买、转化成果购买记录、转化成果审核状态查询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业务咨询服务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（我要咨询）</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我要咨询，提供工商、税务、金融、科技、加工、追溯等服务电话。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浙八味市场商户查询服务（商户查询）</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商户列表、商户搜索结果、商户详情介绍。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药材价格行情服务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（价格查询）</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药材价格榜、药材价格详情。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药材技术标准查询服务（标准查询）</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药材标准列表、药材标准详情介绍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中药政策兑现服务中心（政策兑现）</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政策兑现信息填报、政策兑现填报记录、政策兑记录审核状态查询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中药项目申报服务中心（项目申报）</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项目申报、项目申报记录、项目申报审核状态查询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农资补贴领取服务中心（农资领取）</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农资领取、农资领取记录、农资领取审核状态查询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浙政钉</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浙政钉服务平台</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环境适宜性分析管理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浙里办应用新建基地后，将数据通过接口推送给浙政钉和产业大脑种植管理分析模块，以便进行种植适宜性分析。推送接口数据包括地块名称、基地所在位置、基地经纬度坐标、种植负责人、药材种植品种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规范化施肥用药管理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浙里办用户登记施肥用药记录，浙政钉实时监管，根据肥药两制预警模型，自动发送预警消息。监管人员跟进核实后在线发送监管建议书，并进行农残实地检测，保障肥药规范化使用。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加工工艺预警管理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调取物联网设备数据，实现浙政钉实时监测加工点设备运行状态，包括企业名称、加工点简称、设备名称、核查状态和详细预警信息。预警消息超过2小时候，需要监管人员现场核查，并上传现场核查记录，包括整改状态、现场核查照片、现场核查处置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加工准入管理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通过调取物联网设备数据、加工点数据，提供加工企业数据的查询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加工设备管理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通过调取物联网设备数据、加工点数据，提供加工设备数据的查询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加工预约数据管理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调取浙里办加工预约数据，实现浙政钉实时查看共享加工预约订单信息，包括加工药材名称、药材数量、联系人、联系电话、企业名称、预约提交时间、送货时间、预约订单状态信息；药材加工信息、工序名称、工序图片、药材规格、包装规格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基地/地块数据管理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通过调取浙里办基地地块数据，实现浙政钉基地数据实时查看，包括基地名称、基地面积、基地管理员、企业负责人姓名、详细地址、审核状态信息；提供基地审核接口，进行审核通过或驳回操作。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种植记录数据管理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调取浙里办种植记录数据，实现浙政钉药材种植数据实时查看，包括药材名称、种植编号、种植时间、种植面积、公司/个人名称、地块名称、基地位置、审核状态信息；提供种植任务审核接口，进行审核通过或驳回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农事记录数据管理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通过调取浙里办种植农事记录数据，实现浙政钉农事记录 进查看，包括农事类型、开始时间、结束时间、负责人、审核状态等信息；提供农事审核接口，进行审核通过或驳回操作。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采收记录数据管理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通过调取浙里办采收记录数据，实现浙政钉药材采收记录查看，包括采购药材名称、采收编号、采收时间、负责人、审核状态等信息；提供采收记录审核接口，进行审核通过或驳回操作。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赋码记录数据管理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通过调取浙里办赋码记录数据，实现浙政钉赋码记录查看，包括药材名称、规格、包装规格、药材编号、溯源码编号、审核状态等信息；点击查看详细溯源码标签。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病虫草害监测数据管理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通过调取物联网环境数据和虫情测报设备数据，实现产业大脑种植管理数据使用，包括环境因子数据量、病虫害预警次数、虫情监测点数量；不同月份病害发布趋势分析；虫情趋势分析展示。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物联网设备监测数据管理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通过调取物联网环境监测设备数据，实现产业大脑种植管理数据使用，包括基地实时气温、湿度、土壤温度、土壤湿度、光照度数据展示。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时时追溯溯源查询数据管理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通过调取浙里办药材溯源查询数据，实现已赋码产品溯源成果展示，包括药材名称、药材批号、药材编号、规格、包装规格、数量及溯源码地址查看，点击一键溯源可以直观展示产品溯源成果页面。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数字药博</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浙江省中药材数字药博平台</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数字药博访客端（Web端）</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药博首页、云药博、云展馆、云展商、云论坛、云直播、云推介、登录、用户中心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数字药博展商管理端</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企业信息管理、企业商品管理、企业3D展馆管理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数字药博移动端</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药博首页、云药博、云展馆、云展商、云论坛、云直播、云推介、登录、用户中心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浙药通</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品牌药商</w:t>
            </w: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品牌药商二级栏目页面</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1.从优质优价专栏主页面链接跳转至品牌药商二级栏目功能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2.上部快捷查询按钮及功能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更多页</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1.满足不同搜索条件的产品列表展示以及翻页功能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2.优质优价标签功能：检、溯、选货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3.排序功能：浙八味等道地药材优先等规则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详情页</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1.优质优价标签：检、溯、选货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2.详情信息：质检报告、溯源信息的展示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3.加入购物车功能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4.立即下单功能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会员中心</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1.购物车功能：品牌药商产品后，修改数量、删除等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2.订单确认功能：填写或选择用户信息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3.订单查询：品牌药商产品的订单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云上定制</w:t>
            </w: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前端功能</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1.需求方填写及提交定制加工需求信息，并在前端页面展示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2.种植户对定制需求查询及响应等功能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会员中心</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1.需求方查询所发布的定制需求列表及详情信息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优质优价专栏</w:t>
            </w: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专栏主页面</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1.优质优价专栏页面，栏目名及下拉子栏目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2.前端楼层：优质优价楼层及相关链接页面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3.搜索功能；扩展搜索范围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4.快捷搜索：浙贝母等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更多页</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1.专栏主页面跳转链接及页面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2.满足不同搜索条件的产品列表展示以及翻页功能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3.优质优价标签功能：检、溯、选货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4.排序功能：浙八味等道地药材优先等规则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详情页</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1.优质优价标签：检、溯、选货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2.详情信息并增加：质检报告、溯源信息的展示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3.加入购物车功能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4.立即下单功能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会员中心</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1.购物车功能：修改数量/删除等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2.订单确认功能：填写或选择用户信息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3.订单查询：优质优价产品订单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统一用户管理系统</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短信验证</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1.用户注册短信验证(第三方)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功能菜单调整</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功能菜单调整与优化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权限树调整</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权限树调整及控制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角色权限调整</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各类角色权限重新分配等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外部接口开发测试</w:t>
            </w: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“浙药通”数据驾驶舱接口</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道地药材累计交易--按品种、按日期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订单金额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道地药材最新订单--按订单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总览---平台主要指标，按累计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优质优价---主要指标，按累计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交易金额统计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店铺人气排行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店铺交易额排行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云上定制---按定制需求单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优质优价---专栏订单，按最新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优质优价---专栏定价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数据后台开发</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中药产业大脑数据管理工作台</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中药产业大脑数据后台</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总览数据、全景分析、种植管理、加工管理、制药管理、流通管理、浙药通、智慧药房、数字药博、金融服务、科技服务等数据管理。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物联网温度感知监测后台</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烘干设备温度传感器管理、温度监测数据管理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制药管理数据管理后台</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饮片/成药企业数据管理、企业视频监控管理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智慧药房数据管理后台</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中医院信息管理、代煎中心信息管理、原料饮片数据管理、代煎处方数据管理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保险服务数据管理后台</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保险产品管理、保险协议管理、保险申请记录管理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贷款服务管理后台</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贷款产品管理、贷款申请记录管理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质押服务管理后台</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质押产品管理、质押申请记录管理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政策兑现管理后台</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政策管理列表、政策兑现申请记录管理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农资领取管理后台</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农资领取活动列表、农资领取记录管理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项目申报管理后台</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项目介绍管理、项目申报记录管理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浙药通</w:t>
            </w: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优质优价专栏</w:t>
            </w:r>
          </w:p>
        </w:tc>
        <w:tc>
          <w:tcPr>
            <w:tcW w:w="5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1.链接地址：专栏单独模块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1.产品分类：优质优价子类及第三级分类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2.搜索规则：扩展搜索范围等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3.显示规则：优质优价专栏显示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4.优质优价产品判断及标签设置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5.上传</w:t>
            </w:r>
            <w:r>
              <w:rPr>
                <w:rFonts w:hint="eastAsia" w:ascii="微软雅黑" w:hAnsi="微软雅黑" w:eastAsia="微软雅黑" w:cs="微软雅黑"/>
                <w:i w:val="0"/>
                <w:iCs w:val="0"/>
                <w:color w:val="000000"/>
                <w:kern w:val="0"/>
                <w:sz w:val="18"/>
                <w:szCs w:val="18"/>
                <w:u w:val="none"/>
                <w:lang w:val="en-US" w:eastAsia="zh-Hans" w:bidi="ar"/>
              </w:rPr>
              <w:t>功能</w:t>
            </w:r>
            <w:r>
              <w:rPr>
                <w:rFonts w:hint="eastAsia" w:ascii="微软雅黑" w:hAnsi="微软雅黑" w:eastAsia="微软雅黑" w:cs="微软雅黑"/>
                <w:i w:val="0"/>
                <w:iCs w:val="0"/>
                <w:color w:val="000000"/>
                <w:kern w:val="0"/>
                <w:sz w:val="18"/>
                <w:szCs w:val="18"/>
                <w:u w:val="none"/>
                <w:lang w:val="en-US" w:eastAsia="zh-CN" w:bidi="ar"/>
              </w:rPr>
              <w:t>：质检报告单、追溯码、溯源信息功能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6.订单生成功能：增加优质优价产品后，按不同店铺自动拆分，计算金额等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云上定制</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1.发布定制加工信息，并保存至数据库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2.“云上定制”菜单与页面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3.种植户查询需求响应历史记录等功能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品牌药商</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1.产品分类调整：品牌药商子类及第三级分类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2.修改搜索规则：扩展搜索范围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3.产品上架后显示规则调整：显示在优质优价-品牌药商专栏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4.品牌药商产品判断及优质优价标签的设置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5.上传</w:t>
            </w:r>
            <w:r>
              <w:rPr>
                <w:rFonts w:hint="eastAsia" w:ascii="微软雅黑" w:hAnsi="微软雅黑" w:eastAsia="微软雅黑" w:cs="微软雅黑"/>
                <w:i w:val="0"/>
                <w:iCs w:val="0"/>
                <w:color w:val="000000"/>
                <w:kern w:val="0"/>
                <w:sz w:val="18"/>
                <w:szCs w:val="18"/>
                <w:u w:val="none"/>
                <w:lang w:val="en-US" w:eastAsia="zh-Hans" w:bidi="ar"/>
              </w:rPr>
              <w:t>功能</w:t>
            </w:r>
            <w:r>
              <w:rPr>
                <w:rFonts w:hint="eastAsia" w:ascii="微软雅黑" w:hAnsi="微软雅黑" w:eastAsia="微软雅黑" w:cs="微软雅黑"/>
                <w:i w:val="0"/>
                <w:iCs w:val="0"/>
                <w:color w:val="000000"/>
                <w:kern w:val="0"/>
                <w:sz w:val="18"/>
                <w:szCs w:val="18"/>
                <w:u w:val="none"/>
                <w:lang w:val="en-US" w:eastAsia="zh-CN" w:bidi="ar"/>
              </w:rPr>
              <w:t>：质检报告单、追溯码、溯源信息功能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6.订单生成功能：增加品牌药商产品后，按不同店铺自动拆分，计算金额等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微软雅黑" w:hAnsi="微软雅黑" w:eastAsia="微软雅黑" w:cs="微软雅黑"/>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数字药博</w:t>
            </w:r>
          </w:p>
        </w:tc>
        <w:tc>
          <w:tcPr>
            <w:tcW w:w="2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数字药博会务管理后台</w:t>
            </w:r>
          </w:p>
        </w:tc>
        <w:tc>
          <w:tcPr>
            <w:tcW w:w="5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信息分类管理、资讯信息发布管理、论坛分类管理、论坛直播活动、展区设置、展商企业信息管理、展商企业产品管理、展馆信息管理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1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高空监管</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阳光基地</w:t>
            </w:r>
          </w:p>
        </w:tc>
        <w:tc>
          <w:tcPr>
            <w:tcW w:w="79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r>
              <w:rPr>
                <w:rFonts w:hint="eastAsia" w:ascii="微软雅黑" w:hAnsi="微软雅黑" w:eastAsia="微软雅黑" w:cs="微软雅黑"/>
                <w:i w:val="0"/>
                <w:iCs w:val="0"/>
                <w:color w:val="000000"/>
                <w:kern w:val="0"/>
                <w:sz w:val="18"/>
                <w:szCs w:val="18"/>
                <w:u w:val="none"/>
                <w:lang w:val="en-US" w:eastAsia="zh-CN" w:bidi="ar"/>
              </w:rPr>
              <w:t>高空视频监控</w:t>
            </w:r>
            <w:r>
              <w:rPr>
                <w:rFonts w:hint="eastAsia" w:ascii="微软雅黑" w:hAnsi="微软雅黑" w:eastAsia="微软雅黑" w:cs="微软雅黑"/>
                <w:i w:val="0"/>
                <w:iCs w:val="0"/>
                <w:color w:val="000000"/>
                <w:kern w:val="0"/>
                <w:sz w:val="18"/>
                <w:szCs w:val="18"/>
                <w:u w:val="none"/>
                <w:lang w:val="en-US" w:eastAsia="zh-Hans" w:bidi="ar"/>
              </w:rPr>
              <w:t>服务</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Hans" w:bidi="ar"/>
              </w:rPr>
              <w:t>提供</w:t>
            </w:r>
            <w:r>
              <w:rPr>
                <w:rFonts w:hint="eastAsia" w:ascii="微软雅黑" w:hAnsi="微软雅黑" w:eastAsia="微软雅黑" w:cs="微软雅黑"/>
                <w:i w:val="0"/>
                <w:iCs w:val="0"/>
                <w:color w:val="000000"/>
                <w:kern w:val="0"/>
                <w:sz w:val="18"/>
                <w:szCs w:val="18"/>
                <w:u w:val="none"/>
                <w:lang w:val="en-US" w:eastAsia="zh-CN" w:bidi="ar"/>
              </w:rPr>
              <w:t>高空球机2台，数字电路20M两条，视频云存储15天</w:t>
            </w:r>
            <w:r>
              <w:rPr>
                <w:rFonts w:hint="eastAsia" w:ascii="微软雅黑" w:hAnsi="微软雅黑" w:eastAsia="微软雅黑" w:cs="微软雅黑"/>
                <w:i w:val="0"/>
                <w:iCs w:val="0"/>
                <w:color w:val="000000"/>
                <w:kern w:val="0"/>
                <w:sz w:val="18"/>
                <w:szCs w:val="18"/>
                <w:u w:val="none"/>
                <w:lang w:val="en-US" w:eastAsia="zh-Hans" w:bidi="ar"/>
              </w:rPr>
              <w:t>的适配监控服务</w:t>
            </w:r>
            <w:r>
              <w:rPr>
                <w:rFonts w:hint="eastAsia" w:ascii="微软雅黑" w:hAnsi="微软雅黑" w:eastAsia="微软雅黑" w:cs="微软雅黑"/>
                <w:i w:val="0"/>
                <w:iCs w:val="0"/>
                <w:color w:val="000000"/>
                <w:kern w:val="0"/>
                <w:sz w:val="18"/>
                <w:szCs w:val="18"/>
                <w:u w:val="none"/>
                <w:lang w:val="en-US" w:eastAsia="zh-CN" w:bidi="ar"/>
              </w:rPr>
              <w:t>（服务期限三年）</w:t>
            </w:r>
            <w:r>
              <w:rPr>
                <w:rFonts w:hint="eastAsia" w:ascii="微软雅黑" w:hAnsi="微软雅黑" w:eastAsia="微软雅黑" w:cs="微软雅黑"/>
                <w:i w:val="0"/>
                <w:iCs w:val="0"/>
                <w:color w:val="000000"/>
                <w:kern w:val="0"/>
                <w:sz w:val="18"/>
                <w:szCs w:val="18"/>
                <w:u w:val="none"/>
                <w:lang w:val="en-US" w:eastAsia="zh-Hans" w:bidi="ar"/>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1、数据资源清单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本项目部署于金华市政务云上，</w:t>
      </w:r>
      <w:r>
        <w:rPr>
          <w:rFonts w:hint="eastAsia" w:ascii="宋体" w:hAnsi="宋体" w:eastAsia="宋体" w:cs="宋体"/>
          <w:highlight w:val="none"/>
        </w:rPr>
        <w:t>数据资源清单申请费用</w:t>
      </w:r>
      <w:r>
        <w:rPr>
          <w:rFonts w:hint="eastAsia" w:ascii="宋体" w:hAnsi="宋体" w:eastAsia="宋体" w:cs="宋体"/>
        </w:rPr>
        <w:t>包含在本次采购内容中。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2、性能要求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在系统设计要充分考虑系统当前和将来可能承受的工作量，使系统的处理能力和响应时间能够满足用户不断扩展的信息处理要求，确保系统具有良好的稳定性、可扩展性和安全性：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扩展性要求</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ascii="宋体" w:hAnsi="宋体" w:eastAsia="宋体" w:cs="宋体"/>
        </w:rPr>
      </w:pPr>
      <w:r>
        <w:rPr>
          <w:rFonts w:hint="eastAsia" w:ascii="宋体" w:hAnsi="宋体" w:eastAsia="宋体" w:cs="宋体"/>
        </w:rPr>
        <w:t>系统必须是构件化、面向对象的，具有良好的可移植性和灵活的扩展性，充分考虑到今后纵向和横向的扩展能力；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响应时间要求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在网络稳定（2M）的环境下操作性界面单一操作的系统响应时间小于3秒；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并发数要求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支持最高1000个并发用户，正常500个并发用户的性能要求；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数据量要求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支持年数据量为100万记录数、1T字节的数据量；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安全性要求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建立完善的安全体制，从应用安全、网络安全到安全管理等多方面建立一套适用于政府的体系结构安全的保障措施。具备较强的系统安全性和灾难恢复能力，以及安全审计功能。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系统安全要求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涉及到的应用软件（含应用系统和应用中间件）的安全需求包括身份鉴别、访问控制、可信路径、安全审计、剩余信息保护、防篡改、通信保密性、软件容错和资源访问控制等。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对敏感数据传输和存储应采取必要的加密手段，特别是重要信息的多级安全保护，采用数字签名和各种安全审计手段，解决关键操作的抗抵赖问题。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安全保障体系要求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项目在管理上的安全需求包括人员安全管理、环境和资产管理、设备和介质安全管理、日常运维管理、集中安全管理、事件处置与应急响应、灾难备份、安全监测以及其他安全管理。对外部人员允许访问的区域、系统、设备、信息等进行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软件接口要求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关于数据仓库设计，应根据不同部门业务实际、数据管理需求、数据权限设置等开发数据存储系统以及数据对接接口。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项目网络安全情况要求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rPr>
        <w:t>基于项目业务需要的信息安全策略，项目建设将申请</w:t>
      </w:r>
      <w:r>
        <w:rPr>
          <w:rFonts w:hint="eastAsia" w:ascii="宋体" w:hAnsi="宋体" w:cs="宋体"/>
          <w:lang w:val="en-US" w:eastAsia="zh-CN"/>
        </w:rPr>
        <w:t>磐安县大数据发展中心</w:t>
      </w:r>
      <w:r>
        <w:rPr>
          <w:rFonts w:hint="eastAsia" w:ascii="宋体" w:hAnsi="宋体" w:eastAsia="宋体" w:cs="宋体"/>
        </w:rPr>
        <w:t>提供的信息安全基础支撑平台，对项目的软件应用安全负责，按照</w:t>
      </w:r>
      <w:r>
        <w:rPr>
          <w:rFonts w:hint="eastAsia" w:ascii="宋体" w:hAnsi="宋体" w:cs="宋体"/>
          <w:lang w:val="en-US" w:eastAsia="zh-CN"/>
        </w:rPr>
        <w:t>磐安县大数据发展中心</w:t>
      </w:r>
      <w:r>
        <w:rPr>
          <w:rFonts w:hint="eastAsia" w:ascii="宋体" w:hAnsi="宋体" w:eastAsia="宋体" w:cs="宋体"/>
        </w:rPr>
        <w:t>数据共享的要求，对数据使用的安全性负责。</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3、数据共享要求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rPr>
        <w:t>共享给县大数据</w:t>
      </w:r>
      <w:r>
        <w:rPr>
          <w:rFonts w:hint="eastAsia" w:ascii="宋体" w:hAnsi="宋体" w:cs="宋体"/>
          <w:lang w:val="en-US" w:eastAsia="zh-CN"/>
        </w:rPr>
        <w:t>发展中心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主要对外共享的数据是基础共享数据资源中的主体数据、土地数据、环境数据和基础地理信息数据等数据，通过政务云提供的数据共享接口方式实现共享。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从省、市</w:t>
      </w:r>
      <w:r>
        <w:rPr>
          <w:rFonts w:hint="eastAsia" w:ascii="宋体" w:hAnsi="宋体" w:cs="宋体"/>
          <w:lang w:val="en-US" w:eastAsia="zh-CN"/>
        </w:rPr>
        <w:t>大数据发展中心</w:t>
      </w:r>
      <w:r>
        <w:rPr>
          <w:rFonts w:hint="eastAsia" w:ascii="宋体" w:hAnsi="宋体" w:eastAsia="宋体" w:cs="宋体"/>
        </w:rPr>
        <w:t>共享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本项目需要的地理信息、水利、气象信息等主题数据，通过数据库、WEB服务接口或政务云提供的数据共享接口通过只读方式获取。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4、系统运维要求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系统运行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应用系统可实现全年7*24小时的实时监控，按需将数据同步给相关业务单位。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应用系统具有足够的系统处理能力，在突发大流量访问的情况下，能保证服务质量不受影响。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应用系统须具备完善的冗余设计，可支持冗余部署，确保系统服务不间断。应用系统须支持集群部署架构，即应用软件系统可部署在多台服务器或虚拟机上，形成多个服务节点，每个服务节点都可单独对外提供完整的业务服务，其中一个服务节点故障，不影响其他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应用系统提供商对系统的安全性（包含代码安全）负责，做好上线前及上线后应用系统漏洞扫描、安全评估、检查、加固等工作，确保系统安全运行。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应用系统提供操作日志记录功能，包含不限于操作系统、数据库、业务系统、数据交换等各级登录事件、系统事件、对象访问等日志信息。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应用系统支持关键数据的存储加密、数据传输通道加密及相应冗余控制。系统提供系统用户账号管理、密码管理、数据访问权限和功能操作权限管理功能。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应用系统能有效防范恶意访问、攻击等安全功能，具备完善的安全防护能力。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数据服务及系统维护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数据更新维护服务，平台数据处理及数据更新维护。面向数据的更新调整需求，对数据进行处理加工和服务分发更新维护，丰富平台的数据资源，提升平台数据服务能力。同时承担数据录入和数据分析工作，为决策分析提供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兼容性保证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（1）应用系统支持</w:t>
      </w:r>
      <w:r>
        <w:rPr>
          <w:rFonts w:hint="eastAsia" w:ascii="宋体" w:hAnsi="宋体" w:cs="宋体"/>
          <w:lang w:val="en-US" w:eastAsia="zh-CN"/>
        </w:rPr>
        <w:t>新创的</w:t>
      </w:r>
      <w:r>
        <w:rPr>
          <w:rFonts w:hint="eastAsia" w:ascii="宋体" w:hAnsi="宋体" w:eastAsia="宋体" w:cs="宋体"/>
        </w:rPr>
        <w:t>操作系统、数据库和中间件版本</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（2）支持X86架构，对服务器设备、存储设备、网络设备、备份设备及各种安全设备的型号、品牌等不得有特殊关联要求，不得使用特殊的、无法虚拟化的硬件 (如：加密狗，EVDO卡，特殊的语音板卡、加密卡等PCI卡)。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安全边界规范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两个平台之间通过安全边界进行数据交换，应用系统提供商须做好相应系统开发，按需实现数据采集、发布与核心业务数据处理之间的实时数据交换。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安全边界平台的内外前置机由应用系统服务提供商负责数据库和其他应用工具等部署、维护工作。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5、对接要求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——磐安县政府数据资源对接整合，与磐安其他局委办业务系统数据对接等。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——涉农业务系统数据资源对接整合，包括市县各级涉农业务系统与数据资源，包括气象数据、基地农业物联传感设备、环境、污染监测数据等。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6、部署要求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应用部署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本项目数据采集系统、数据治理系统、数据挖掘与运算系统、数据发布与共享系统、业务应用系统需要主动发起访问收集数据资源，因此数据库均部署在资源区。同时，申请服务器搭建分布式结构性数据库集群。单独申请服务器搭建分布式缓存服务器、消息服务器、检索数据库等服务，部署在资源区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default" w:ascii="宋体" w:hAnsi="宋体" w:cs="宋体"/>
        </w:rPr>
        <w:t>2</w:t>
      </w:r>
      <w:r>
        <w:rPr>
          <w:rFonts w:hint="eastAsia" w:ascii="宋体" w:hAnsi="宋体" w:eastAsia="宋体" w:cs="宋体"/>
        </w:rPr>
        <w:t>）地理信息服务是重要的服务支撑模块，主要用于实现地图相关应用。基础底图和地理服务依托现有浙江省天地图相关地理服务，部署在资源共享区。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网络系统建设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本系统部署在磐安县政务云，需要接入磐安县电子政务外网。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7、进度要求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highlight w:val="yellow"/>
          <w:lang w:val="en-US" w:eastAsia="zh-CN"/>
        </w:rPr>
        <w:t>项目建设工期要求</w:t>
      </w:r>
      <w:r>
        <w:rPr>
          <w:rFonts w:hint="eastAsia" w:ascii="宋体" w:hAnsi="宋体" w:cs="宋体"/>
          <w:highlight w:val="yellow"/>
          <w:lang w:val="en-US" w:eastAsia="zh-CN"/>
        </w:rPr>
        <w:t>3</w:t>
      </w:r>
      <w:r>
        <w:rPr>
          <w:rFonts w:hint="eastAsia" w:ascii="宋体" w:hAnsi="宋体" w:eastAsia="宋体" w:cs="宋体"/>
          <w:highlight w:val="yellow"/>
          <w:lang w:val="en-US" w:eastAsia="zh-CN"/>
        </w:rPr>
        <w:t>个月</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8、项目人员要求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投标人应在投标文件中明确项目组成员及各阶段驻现场人员，承诺项目在实施期间，驻场开发人员不少于5人，另配项目经理1人。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项目实施期间，不得在未经采购人允许的情况下擅自更换投标文件中承诺的人员，否则视同违约，采购人有权追究违约责任。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9、培训要求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培训时间：不少于3天；培训地点：采购人确定；供应商指派的授课人员：不少于3人。培训产生的费用由各方自行承担。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投标人应制订详细的培训方案，按照系统使用的需要，有序组织对系统维护管理人员、业务管理人员和业务经办人员等进行不同层次的培训；培训方式包括技术讲课、操作示范、参观学习和其它必须的业务指导和技术咨询，确保培训人员对系统基本理论、技术特性、操作规范、运行规程、管理维护等方面获得全面了解和掌握，使其掌握系统操作。为保证培训质量，需为所有被培训人员提供培训资料和讲义等相关用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10、验收要求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系统验收按照《基于云计算的电子政务公共平台技术规范》、《计算机软件质量保证计划规范》等相关国家规范要求对系统进行。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项目验收交付清单（包含但不限于以下内容）：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文档成果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每个应用系统需单独提供以下文档：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1）需求规格说明书；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2）系统设计方案；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3）数据库设计方案（含数据字典）；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4）测试方案；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5）安装维护手册；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6）用户操作手册；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7）源代码。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11、付款方式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yellow"/>
          <w:lang w:val="en-US" w:eastAsia="zh-CN"/>
        </w:rPr>
      </w:pPr>
      <w:r>
        <w:rPr>
          <w:rFonts w:hint="eastAsia" w:ascii="宋体" w:hAnsi="宋体" w:eastAsia="宋体" w:cs="宋体"/>
          <w:highlight w:val="yellow"/>
        </w:rPr>
        <w:t>付款方式：合同签订后甲方在15个工作日内支付乙方合同金额的40%；当系统基本完成上线，</w:t>
      </w:r>
      <w:r>
        <w:rPr>
          <w:rFonts w:hint="eastAsia" w:ascii="宋体" w:hAnsi="宋体" w:eastAsia="宋体" w:cs="宋体"/>
          <w:highlight w:val="yellow"/>
          <w:lang w:val="en-US" w:eastAsia="zh-CN"/>
        </w:rPr>
        <w:t>项目初验合格</w:t>
      </w:r>
      <w:r>
        <w:rPr>
          <w:rFonts w:hint="eastAsia" w:ascii="宋体" w:hAnsi="宋体" w:eastAsia="宋体" w:cs="宋体"/>
          <w:highlight w:val="yellow"/>
        </w:rPr>
        <w:t>付至合同总款的70%；</w:t>
      </w:r>
      <w:r>
        <w:rPr>
          <w:rFonts w:hint="eastAsia" w:ascii="宋体" w:hAnsi="宋体" w:eastAsia="宋体" w:cs="宋体"/>
          <w:highlight w:val="yellow"/>
          <w:lang w:eastAsia="zh-CN"/>
        </w:rPr>
        <w:t>全部项目完成并</w:t>
      </w:r>
      <w:r>
        <w:rPr>
          <w:rFonts w:hint="eastAsia" w:ascii="宋体" w:hAnsi="宋体" w:eastAsia="宋体" w:cs="宋体"/>
          <w:highlight w:val="yellow"/>
        </w:rPr>
        <w:t>通过甲方验收</w:t>
      </w:r>
      <w:r>
        <w:rPr>
          <w:rFonts w:hint="eastAsia" w:ascii="宋体" w:hAnsi="宋体" w:eastAsia="宋体" w:cs="宋体"/>
          <w:highlight w:val="yellow"/>
          <w:lang w:eastAsia="zh-CN"/>
        </w:rPr>
        <w:t>使用</w:t>
      </w:r>
      <w:r>
        <w:rPr>
          <w:rFonts w:hint="eastAsia" w:ascii="宋体" w:hAnsi="宋体" w:eastAsia="宋体" w:cs="宋体"/>
          <w:highlight w:val="yellow"/>
        </w:rPr>
        <w:t>合格后，付至</w:t>
      </w:r>
      <w:r>
        <w:rPr>
          <w:rFonts w:hint="eastAsia" w:ascii="宋体" w:hAnsi="宋体" w:eastAsia="宋体" w:cs="宋体"/>
          <w:highlight w:val="yellow"/>
          <w:lang w:eastAsia="zh-CN"/>
        </w:rPr>
        <w:t>合同</w:t>
      </w:r>
      <w:r>
        <w:rPr>
          <w:rFonts w:hint="eastAsia" w:ascii="宋体" w:hAnsi="宋体" w:eastAsia="宋体" w:cs="宋体"/>
          <w:highlight w:val="yellow"/>
        </w:rPr>
        <w:t>金额的</w:t>
      </w:r>
      <w:r>
        <w:rPr>
          <w:rFonts w:hint="eastAsia" w:ascii="宋体" w:hAnsi="宋体" w:cs="宋体"/>
          <w:highlight w:val="yellow"/>
          <w:lang w:val="en-US" w:eastAsia="zh-CN"/>
        </w:rPr>
        <w:t>100</w:t>
      </w:r>
      <w:r>
        <w:rPr>
          <w:rFonts w:hint="eastAsia" w:ascii="宋体" w:hAnsi="宋体" w:eastAsia="宋体" w:cs="宋体"/>
          <w:highlight w:val="yellow"/>
        </w:rPr>
        <w:t>%</w:t>
      </w:r>
      <w:r>
        <w:rPr>
          <w:rFonts w:hint="eastAsia" w:ascii="宋体" w:hAnsi="宋体" w:eastAsia="宋体" w:cs="宋体"/>
          <w:highlight w:val="yellow"/>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12、项目质保期要求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项目终验合格之日起</w:t>
      </w:r>
      <w:r>
        <w:rPr>
          <w:rFonts w:hint="eastAsia" w:ascii="宋体" w:hAnsi="宋体" w:eastAsia="宋体" w:cs="宋体"/>
          <w:lang w:val="en-US" w:eastAsia="zh-CN"/>
        </w:rPr>
        <w:t>三</w:t>
      </w:r>
      <w:r>
        <w:rPr>
          <w:rFonts w:hint="eastAsia" w:ascii="宋体" w:hAnsi="宋体" w:eastAsia="宋体" w:cs="宋体"/>
        </w:rPr>
        <w:t>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13、售后服务要求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为保证应用软件系统安全、稳定运行，对于采购人提出的改进意见要及时修改。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质保期内包含但不限于提供数据维护、系统功能维护、系统版本更新、软硬件设备维护、咨询服务商业软件等维护和售后现场技术服务，确保所在地区系统正常运行。故障响应时间要求：7×24小时电话或电子邮件服务，1小时内做出明确响应和安排，2小时内做出故障诊断报告，如需现场服务的，具有解决故障能力的工程师应在6小时内到达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服务原则承诺：质保期内需安排不少于1人进行专项技术服务，确保系统正常运行。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技术服务和维护要求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（1）系统日常运行维护。包括系统操作指导、因系统缺陷导致的各种BUG的修复、因误操作导致的数据错误维护等等；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（2）系统突发事件的诊断、排除；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）咨询服务。帮助解答提出的系统相关的各种业务和技术问题，包括技术咨询、指导和信息提供等；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）数据库数据清理。定期清理运维过程中所生成的生产数据库中的临时表，从应用系统角度来优化数据库，如建立并优化索引、优化存储过程、数据库表拆分等，提高应用系统运行速度。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）提供各系统平台的信息采集发布、数据备份、格式校对、用户管理、需求整理、操作培训、操作解疑、多媒体处理等维护工作。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）因外部环境升级造成云平台系统发生兼容性问题，需第一时间进行优化升级，确保系统稳定运行。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针对系统可能会碰到的各种意外和人员破坏，建立有效的应急处理制度。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针对系统的维护需要，建立完整的保障制度，通过这套体系能够应对系统在服务过程中所需要的数据保障、维护人员操作规范化、系统安全等问题。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对于因第三方提供的设备或软件造成的故障不在维护范围内的，需要时应提供相应的配合。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在项目验收时提供准确、完整、详细的数据资源目录，配合采购人对该项目产生的数据按照共享属性分为无条件共享、受限共享和非共享三大类，同时对要求列入受限共享和非共享的数据详细说明理由，并提供有关法律、法规、规章等依据。后续按照公共数据管理规定提供数据资源、满足其他部门提出的数据共享需求，并配合做好相关共享数据面向社会开放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14、软件版权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本项目软件版权归采购人所有，在项目终验前要提供验收版本的开发源代码。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15、其他要求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甲方除提供加工场地外，不提供数字化加工所需的任何相应设备、软件、材料，由中标方自行提供。项目所需的任何设备、软件、材料（如存贮硬盘）、生活保障（如水电费）等，均由中标方自行提供，并需在技术标中详细列出拟完成项目需配备的设备、软件、材料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要求投标商中标并签订合同后，在5天内将项目实施方案提交给采购人审核，同时将有关设备、工作场地、人力配置等总体配备完毕。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本项目要求要求</w:t>
      </w:r>
      <w:r>
        <w:rPr>
          <w:rFonts w:hint="eastAsia" w:ascii="宋体" w:hAnsi="宋体" w:cs="宋体"/>
          <w:lang w:val="en-US" w:eastAsia="zh-CN"/>
        </w:rPr>
        <w:t>3个月内</w:t>
      </w:r>
      <w:r>
        <w:rPr>
          <w:rFonts w:hint="eastAsia" w:ascii="宋体" w:hAnsi="宋体" w:eastAsia="宋体" w:cs="宋体"/>
        </w:rPr>
        <w:t>完成本次采购的所有内容和任务，投标公司在投标时应注意在计划体现此项要求。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各投标公司在投标时需要提供包括但不限于以下内容：服务投标时间、项目完成时间、公司的技术力量、技术服务内容、质量保障措施、保密措施、规章制度、免费培训项目等。同时要特别强调指出所承诺的服务内容，其中包括：免费服务期后的服务方式和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中标方逾期完成工作的，每逾期一天（不足一个月），按合同款项的1‰向甲方支付违约金。每逾期1个月，支付合同款项的3.5%的违约金，并以此累计。整个项目逾期两个月未能完成工作的，甲方可解除本合同，中标方应向甲方支付合同款项10%的违约金，如造成甲方损失超过违约金的，超出部分由中标方继续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ascii="宋体" w:hAnsi="宋体" w:eastAsia="宋体" w:cs="宋体"/>
          <w:lang w:val="en-US" w:eastAsia="zh-CN"/>
        </w:rPr>
        <w:t>2）</w:t>
      </w:r>
      <w:r>
        <w:rPr>
          <w:rFonts w:hint="eastAsia" w:ascii="宋体" w:hAnsi="宋体" w:eastAsia="宋体" w:cs="宋体"/>
        </w:rPr>
        <w:t>中标方应严格按照本招标书规定的各项加工技术标准要求和投标时承诺的其它要求进行数字化加工，如果发生（产生）下列情形之一，甲方有权单方解除本合同，中标方向甲方支付实际产生的合同款项10%的违约金，如造成甲方损失超过违约金的，超出部分由中标方继续承担赔偿责任。</w:t>
      </w:r>
      <w:r>
        <w:br w:type="page"/>
      </w:r>
    </w:p>
    <w:p>
      <w:pPr>
        <w:numPr>
          <w:ilvl w:val="0"/>
          <w:numId w:val="9"/>
        </w:numPr>
        <w:spacing w:line="540" w:lineRule="exact"/>
        <w:jc w:val="center"/>
        <w:outlineLvl w:val="0"/>
        <w:rPr>
          <w:rFonts w:ascii="宋体" w:hAnsi="宋体"/>
          <w:b/>
          <w:sz w:val="36"/>
          <w:szCs w:val="36"/>
        </w:rPr>
      </w:pPr>
      <w:r>
        <w:rPr>
          <w:rFonts w:hint="eastAsia" w:ascii="宋体" w:hAnsi="宋体"/>
          <w:b/>
          <w:sz w:val="36"/>
          <w:szCs w:val="36"/>
        </w:rPr>
        <w:t>投标人须知</w:t>
      </w:r>
      <w:bookmarkEnd w:id="9"/>
      <w:bookmarkStart w:id="10" w:name="_Toc48038209"/>
      <w:bookmarkStart w:id="11" w:name="_Toc49074375"/>
    </w:p>
    <w:p>
      <w:pPr>
        <w:pStyle w:val="2"/>
        <w:ind w:left="1170" w:firstLine="0"/>
      </w:pPr>
    </w:p>
    <w:p>
      <w:pPr>
        <w:tabs>
          <w:tab w:val="left" w:pos="900"/>
        </w:tabs>
        <w:spacing w:line="400" w:lineRule="exact"/>
        <w:ind w:firstLine="562" w:firstLineChars="175"/>
        <w:jc w:val="center"/>
        <w:rPr>
          <w:rFonts w:ascii="宋体" w:hAnsi="宋体" w:cs="宋体"/>
          <w:b/>
          <w:bCs/>
          <w:sz w:val="32"/>
          <w:szCs w:val="32"/>
        </w:rPr>
      </w:pPr>
      <w:bookmarkStart w:id="12" w:name="_Toc16069"/>
      <w:bookmarkStart w:id="13" w:name="_Toc114115345"/>
      <w:r>
        <w:rPr>
          <w:rFonts w:hint="eastAsia" w:ascii="宋体" w:hAnsi="宋体" w:cs="宋体"/>
          <w:b/>
          <w:bCs/>
          <w:sz w:val="32"/>
          <w:szCs w:val="32"/>
        </w:rPr>
        <w:t>一  总 则</w:t>
      </w:r>
      <w:bookmarkEnd w:id="10"/>
      <w:bookmarkEnd w:id="11"/>
      <w:bookmarkEnd w:id="12"/>
      <w:bookmarkEnd w:id="13"/>
    </w:p>
    <w:p>
      <w:pPr>
        <w:snapToGrid w:val="0"/>
        <w:spacing w:line="480" w:lineRule="exact"/>
        <w:rPr>
          <w:rFonts w:ascii="宋体" w:hAnsi="宋体" w:cs="宋体"/>
          <w:b/>
          <w:kern w:val="0"/>
          <w:sz w:val="24"/>
        </w:rPr>
      </w:pPr>
      <w:r>
        <w:rPr>
          <w:rFonts w:hint="eastAsia" w:ascii="宋体" w:hAnsi="宋体" w:cs="宋体"/>
          <w:sz w:val="24"/>
        </w:rPr>
        <w:t>一、</w:t>
      </w:r>
      <w:r>
        <w:rPr>
          <w:rFonts w:hint="eastAsia" w:ascii="宋体" w:hAnsi="宋体" w:cs="宋体"/>
          <w:b/>
          <w:sz w:val="24"/>
        </w:rPr>
        <w:t>磋商文件的适用范围</w:t>
      </w:r>
    </w:p>
    <w:p>
      <w:pPr>
        <w:pStyle w:val="19"/>
        <w:snapToGrid w:val="0"/>
        <w:spacing w:line="480" w:lineRule="exact"/>
        <w:ind w:firstLine="480" w:firstLineChars="200"/>
        <w:rPr>
          <w:rFonts w:hAnsi="宋体" w:cs="宋体"/>
          <w:color w:val="000000"/>
          <w:kern w:val="0"/>
          <w:sz w:val="24"/>
          <w:szCs w:val="24"/>
        </w:rPr>
      </w:pPr>
      <w:r>
        <w:rPr>
          <w:rFonts w:hint="eastAsia" w:hAnsi="宋体" w:cs="宋体"/>
          <w:color w:val="000000"/>
          <w:kern w:val="0"/>
          <w:sz w:val="24"/>
          <w:szCs w:val="24"/>
        </w:rPr>
        <w:t>1.本磋商文件仅适用于本次采购公告中所叙述项目的服务采购。</w:t>
      </w:r>
    </w:p>
    <w:p>
      <w:pPr>
        <w:pStyle w:val="19"/>
        <w:snapToGrid w:val="0"/>
        <w:spacing w:line="480" w:lineRule="exact"/>
        <w:rPr>
          <w:rFonts w:hAnsi="宋体" w:cs="宋体"/>
          <w:b/>
          <w:sz w:val="24"/>
          <w:szCs w:val="24"/>
        </w:rPr>
      </w:pPr>
      <w:r>
        <w:rPr>
          <w:rFonts w:hint="eastAsia" w:hAnsi="宋体" w:cs="宋体"/>
          <w:b/>
          <w:sz w:val="24"/>
          <w:szCs w:val="24"/>
        </w:rPr>
        <w:t>二、定义</w:t>
      </w:r>
    </w:p>
    <w:p>
      <w:pPr>
        <w:snapToGrid w:val="0"/>
        <w:spacing w:line="480" w:lineRule="exact"/>
        <w:ind w:right="218" w:rightChars="104" w:firstLine="540" w:firstLineChars="225"/>
        <w:rPr>
          <w:rFonts w:ascii="宋体" w:hAnsi="宋体" w:cs="宋体"/>
          <w:bCs/>
          <w:sz w:val="24"/>
        </w:rPr>
      </w:pPr>
      <w:r>
        <w:rPr>
          <w:rFonts w:hint="eastAsia" w:ascii="宋体" w:hAnsi="宋体" w:cs="宋体"/>
          <w:bCs/>
          <w:sz w:val="24"/>
        </w:rPr>
        <w:t>1.招标采购单位系指组织本次招标的</w:t>
      </w:r>
      <w:r>
        <w:rPr>
          <w:rFonts w:hint="eastAsia" w:ascii="宋体" w:hAnsi="宋体" w:cs="宋体"/>
          <w:b/>
          <w:sz w:val="24"/>
        </w:rPr>
        <w:t>浙江展图工程咨询有限公司（“招标方”）</w:t>
      </w:r>
      <w:r>
        <w:rPr>
          <w:rFonts w:hint="eastAsia" w:ascii="宋体" w:hAnsi="宋体" w:cs="宋体"/>
          <w:bCs/>
          <w:sz w:val="24"/>
        </w:rPr>
        <w:t>和</w:t>
      </w:r>
      <w:r>
        <w:rPr>
          <w:rFonts w:hint="eastAsia" w:ascii="宋体" w:hAnsi="宋体" w:cs="宋体"/>
          <w:b/>
          <w:sz w:val="24"/>
          <w:lang w:eastAsia="zh-CN"/>
        </w:rPr>
        <w:t>磐安县中药产业发展促进中心</w:t>
      </w:r>
      <w:r>
        <w:rPr>
          <w:rFonts w:hint="eastAsia" w:ascii="宋体" w:hAnsi="宋体" w:cs="宋体"/>
          <w:b/>
          <w:sz w:val="24"/>
        </w:rPr>
        <w:t>（“采购人”）</w:t>
      </w:r>
      <w:r>
        <w:rPr>
          <w:rFonts w:hint="eastAsia" w:ascii="宋体" w:hAnsi="宋体" w:cs="宋体"/>
          <w:bCs/>
          <w:sz w:val="24"/>
        </w:rPr>
        <w:t>。</w:t>
      </w:r>
    </w:p>
    <w:p>
      <w:pPr>
        <w:snapToGrid w:val="0"/>
        <w:spacing w:line="480" w:lineRule="exact"/>
        <w:ind w:right="218" w:rightChars="104" w:firstLine="540" w:firstLineChars="225"/>
        <w:rPr>
          <w:rFonts w:ascii="宋体" w:hAnsi="宋体" w:cs="宋体"/>
          <w:bCs/>
          <w:sz w:val="24"/>
        </w:rPr>
      </w:pPr>
      <w:r>
        <w:rPr>
          <w:rFonts w:hint="eastAsia" w:ascii="宋体" w:hAnsi="宋体" w:cs="宋体"/>
          <w:bCs/>
          <w:sz w:val="24"/>
        </w:rPr>
        <w:t>2.“投标人”系指向招标方提交投标文件的单位。</w:t>
      </w:r>
    </w:p>
    <w:p>
      <w:pPr>
        <w:snapToGrid w:val="0"/>
        <w:spacing w:line="480" w:lineRule="exact"/>
        <w:ind w:right="218" w:rightChars="104" w:firstLine="540" w:firstLineChars="225"/>
        <w:rPr>
          <w:rFonts w:ascii="宋体" w:hAnsi="宋体" w:cs="宋体"/>
          <w:bCs/>
          <w:sz w:val="24"/>
        </w:rPr>
      </w:pPr>
      <w:r>
        <w:rPr>
          <w:rFonts w:hint="eastAsia" w:ascii="宋体" w:hAnsi="宋体" w:cs="宋体"/>
          <w:bCs/>
          <w:sz w:val="24"/>
        </w:rPr>
        <w:t>3.“产品”系指供方按招标文件规定，须向采购人提供的一切设备、保险、税金、备品备件、工具、手册及其它有关技术资料和材料。</w:t>
      </w:r>
    </w:p>
    <w:p>
      <w:pPr>
        <w:snapToGrid w:val="0"/>
        <w:spacing w:line="480" w:lineRule="exact"/>
        <w:ind w:right="218" w:rightChars="104" w:firstLine="540" w:firstLineChars="225"/>
        <w:rPr>
          <w:rFonts w:ascii="宋体" w:hAnsi="宋体" w:cs="宋体"/>
          <w:bCs/>
          <w:sz w:val="24"/>
        </w:rPr>
      </w:pPr>
      <w:r>
        <w:rPr>
          <w:rFonts w:hint="eastAsia" w:ascii="宋体" w:hAnsi="宋体" w:cs="宋体"/>
          <w:bCs/>
          <w:sz w:val="24"/>
        </w:rPr>
        <w:t>4.“服务”系指招标文件规定投标人须承担的安装、调试、技术协助、校准、培训、技术指导以及其他类似的义务。</w:t>
      </w:r>
    </w:p>
    <w:p>
      <w:pPr>
        <w:snapToGrid w:val="0"/>
        <w:spacing w:line="480" w:lineRule="exact"/>
        <w:ind w:right="218" w:rightChars="104" w:firstLine="540" w:firstLineChars="225"/>
        <w:rPr>
          <w:rFonts w:ascii="宋体" w:hAnsi="宋体" w:cs="宋体"/>
          <w:bCs/>
          <w:sz w:val="24"/>
        </w:rPr>
      </w:pPr>
      <w:r>
        <w:rPr>
          <w:rFonts w:hint="eastAsia" w:ascii="宋体" w:hAnsi="宋体" w:cs="宋体"/>
          <w:bCs/>
          <w:sz w:val="24"/>
        </w:rPr>
        <w:t>5.“项目”系指投标人按招标文件规定向采购人提供的产品和服务。</w:t>
      </w:r>
    </w:p>
    <w:p>
      <w:pPr>
        <w:snapToGrid w:val="0"/>
        <w:spacing w:line="480" w:lineRule="exact"/>
        <w:ind w:right="218" w:rightChars="104" w:firstLine="540" w:firstLineChars="225"/>
        <w:rPr>
          <w:rFonts w:ascii="宋体" w:hAnsi="宋体" w:cs="宋体"/>
          <w:bCs/>
          <w:sz w:val="24"/>
        </w:rPr>
      </w:pPr>
      <w:r>
        <w:rPr>
          <w:rFonts w:hint="eastAsia" w:ascii="宋体" w:hAnsi="宋体" w:cs="宋体"/>
          <w:bCs/>
          <w:sz w:val="24"/>
        </w:rPr>
        <w:t>6.“书面形式”包括信函、传真、电报等。</w:t>
      </w:r>
    </w:p>
    <w:p>
      <w:pPr>
        <w:snapToGrid w:val="0"/>
        <w:spacing w:line="480" w:lineRule="exact"/>
        <w:ind w:right="218" w:rightChars="104" w:firstLine="540" w:firstLineChars="225"/>
        <w:rPr>
          <w:rFonts w:ascii="宋体" w:hAnsi="宋体" w:cs="宋体"/>
          <w:b/>
          <w:sz w:val="24"/>
        </w:rPr>
      </w:pPr>
      <w:r>
        <w:rPr>
          <w:rFonts w:hint="eastAsia" w:ascii="宋体" w:hAnsi="宋体" w:cs="宋体"/>
          <w:bCs/>
          <w:sz w:val="24"/>
        </w:rPr>
        <w:t>7.</w:t>
      </w:r>
      <w:r>
        <w:rPr>
          <w:rFonts w:hint="eastAsia" w:ascii="宋体" w:hAnsi="宋体" w:cs="宋体"/>
          <w:b/>
          <w:sz w:val="24"/>
        </w:rPr>
        <w:t>凡是标有“▲”符号或标有“必须”字眼描述的条款以及项目的数量、工期（交货期）、付款方式、质保期、投标有效期、均属于实质性条款，不允许负偏离，否则作无效标处理。</w:t>
      </w:r>
    </w:p>
    <w:p>
      <w:pPr>
        <w:snapToGrid w:val="0"/>
        <w:spacing w:line="480" w:lineRule="exact"/>
        <w:rPr>
          <w:rFonts w:ascii="宋体" w:hAnsi="宋体" w:cs="宋体"/>
          <w:b/>
          <w:sz w:val="24"/>
        </w:rPr>
      </w:pPr>
      <w:r>
        <w:rPr>
          <w:rFonts w:hint="eastAsia" w:ascii="宋体" w:hAnsi="宋体" w:cs="宋体"/>
          <w:b/>
          <w:sz w:val="24"/>
        </w:rPr>
        <w:t>三、资金来源</w:t>
      </w:r>
    </w:p>
    <w:p>
      <w:pPr>
        <w:snapToGrid w:val="0"/>
        <w:spacing w:line="480" w:lineRule="exact"/>
        <w:ind w:firstLine="600" w:firstLineChars="250"/>
        <w:rPr>
          <w:rFonts w:ascii="宋体" w:hAnsi="宋体" w:cs="宋体"/>
          <w:kern w:val="0"/>
          <w:sz w:val="24"/>
        </w:rPr>
      </w:pPr>
      <w:r>
        <w:rPr>
          <w:rFonts w:hint="eastAsia" w:ascii="宋体" w:hAnsi="宋体" w:cs="宋体"/>
          <w:kern w:val="0"/>
          <w:sz w:val="24"/>
        </w:rPr>
        <w:t>1.采购人已获取本项目的采购资金。</w:t>
      </w:r>
    </w:p>
    <w:p>
      <w:pPr>
        <w:snapToGrid w:val="0"/>
        <w:spacing w:line="480" w:lineRule="exact"/>
        <w:rPr>
          <w:rFonts w:ascii="宋体" w:hAnsi="宋体" w:cs="宋体"/>
          <w:b/>
          <w:sz w:val="24"/>
        </w:rPr>
      </w:pPr>
      <w:r>
        <w:rPr>
          <w:rFonts w:hint="eastAsia" w:ascii="宋体" w:hAnsi="宋体" w:cs="宋体"/>
          <w:b/>
          <w:sz w:val="24"/>
        </w:rPr>
        <w:t>四、</w:t>
      </w:r>
      <w:r>
        <w:rPr>
          <w:rFonts w:hint="eastAsia" w:ascii="宋体" w:hAnsi="宋体" w:cs="宋体"/>
          <w:sz w:val="24"/>
        </w:rPr>
        <w:t>▲</w:t>
      </w:r>
      <w:r>
        <w:rPr>
          <w:rFonts w:hint="eastAsia" w:ascii="宋体" w:hAnsi="宋体" w:cs="宋体"/>
          <w:b/>
          <w:sz w:val="24"/>
        </w:rPr>
        <w:t>合格的投标人</w:t>
      </w:r>
    </w:p>
    <w:p>
      <w:pPr>
        <w:snapToGrid w:val="0"/>
        <w:spacing w:line="480" w:lineRule="exact"/>
        <w:ind w:right="218" w:rightChars="104" w:firstLine="540" w:firstLineChars="225"/>
        <w:rPr>
          <w:rFonts w:ascii="宋体" w:hAnsi="宋体" w:cs="宋体"/>
          <w:bCs/>
          <w:sz w:val="24"/>
        </w:rPr>
      </w:pPr>
      <w:bookmarkStart w:id="14" w:name="_Toc15805932"/>
      <w:bookmarkStart w:id="15" w:name="_Toc13595"/>
      <w:bookmarkStart w:id="16" w:name="_Toc15813249"/>
      <w:bookmarkStart w:id="17" w:name="_Toc44759081"/>
      <w:bookmarkStart w:id="18" w:name="_Toc114115347"/>
      <w:bookmarkStart w:id="19" w:name="_Toc44759269"/>
      <w:r>
        <w:rPr>
          <w:rFonts w:hint="eastAsia" w:ascii="宋体" w:hAnsi="宋体" w:cs="宋体"/>
          <w:bCs/>
          <w:sz w:val="24"/>
        </w:rPr>
        <w:t>1.满足《中华人民共和国政府采购法》第二十二条规定；</w:t>
      </w:r>
    </w:p>
    <w:p>
      <w:pPr>
        <w:snapToGrid w:val="0"/>
        <w:spacing w:line="480" w:lineRule="exact"/>
        <w:ind w:right="218" w:rightChars="104" w:firstLine="540" w:firstLineChars="225"/>
        <w:rPr>
          <w:rFonts w:ascii="宋体" w:hAnsi="宋体" w:cs="宋体"/>
          <w:bCs/>
          <w:sz w:val="24"/>
        </w:rPr>
      </w:pPr>
      <w:r>
        <w:rPr>
          <w:rFonts w:hint="eastAsia" w:ascii="宋体" w:hAnsi="宋体" w:cs="宋体"/>
          <w:bCs/>
          <w:sz w:val="24"/>
        </w:rPr>
        <w:t>2.落实政府采购政策需满足的资格要求：（本项目不限，所有大中小微型企业均可参加投标，小微企业、监狱企业、残疾人福利性单位依法享受</w:t>
      </w:r>
      <w:r>
        <w:rPr>
          <w:rFonts w:hint="eastAsia" w:ascii="宋体" w:hAnsi="宋体" w:cs="宋体"/>
          <w:bCs/>
          <w:sz w:val="24"/>
          <w:lang w:val="en-US" w:eastAsia="zh-CN"/>
        </w:rPr>
        <w:t>20</w:t>
      </w:r>
      <w:r>
        <w:rPr>
          <w:rFonts w:hint="eastAsia" w:ascii="宋体" w:hAnsi="宋体" w:cs="宋体"/>
          <w:bCs/>
          <w:sz w:val="24"/>
        </w:rPr>
        <w:t>%价格评审优惠)。</w:t>
      </w:r>
    </w:p>
    <w:p>
      <w:pPr>
        <w:spacing w:line="480" w:lineRule="exact"/>
        <w:ind w:firstLine="482" w:firstLineChars="200"/>
        <w:outlineLvl w:val="1"/>
        <w:rPr>
          <w:rFonts w:ascii="宋体" w:hAnsi="宋体" w:cs="宋体"/>
          <w:b/>
          <w:sz w:val="24"/>
        </w:rPr>
      </w:pPr>
      <w:r>
        <w:rPr>
          <w:rFonts w:hint="eastAsia" w:ascii="宋体" w:hAnsi="宋体" w:cs="宋体"/>
          <w:b/>
          <w:sz w:val="24"/>
        </w:rPr>
        <w:t>3.本项目的特定资格要求：</w:t>
      </w:r>
    </w:p>
    <w:p>
      <w:pPr>
        <w:snapToGrid w:val="0"/>
        <w:spacing w:line="480" w:lineRule="exact"/>
        <w:ind w:right="218" w:rightChars="104" w:firstLine="540" w:firstLineChars="225"/>
        <w:rPr>
          <w:rFonts w:ascii="宋体" w:hAnsi="宋体" w:cs="宋体"/>
          <w:bCs/>
          <w:sz w:val="24"/>
        </w:rPr>
      </w:pPr>
      <w:r>
        <w:rPr>
          <w:rFonts w:hint="eastAsia" w:ascii="宋体" w:hAnsi="宋体" w:cs="宋体"/>
          <w:bCs/>
          <w:sz w:val="24"/>
        </w:rPr>
        <w:t>（1）本项目谈判截止之日前三年内，未被“信用中国”、“中国政府采购网”列入失信被执行人、重大税收违法案件当事人名单、政府采购严重违法失信行为记录名单的；</w:t>
      </w:r>
    </w:p>
    <w:p>
      <w:pPr>
        <w:snapToGrid w:val="0"/>
        <w:spacing w:line="480" w:lineRule="exact"/>
        <w:outlineLvl w:val="0"/>
        <w:rPr>
          <w:rFonts w:ascii="宋体" w:hAnsi="宋体" w:cs="宋体"/>
          <w:b/>
          <w:sz w:val="24"/>
        </w:rPr>
      </w:pPr>
      <w:r>
        <w:rPr>
          <w:rFonts w:hint="eastAsia" w:ascii="宋体" w:hAnsi="宋体" w:cs="宋体"/>
          <w:b/>
          <w:sz w:val="24"/>
        </w:rPr>
        <w:t>五、投标要求及费用</w:t>
      </w:r>
    </w:p>
    <w:p>
      <w:pPr>
        <w:snapToGrid w:val="0"/>
        <w:spacing w:line="480" w:lineRule="exact"/>
        <w:ind w:firstLine="480" w:firstLineChars="200"/>
        <w:outlineLvl w:val="1"/>
        <w:rPr>
          <w:rFonts w:ascii="宋体" w:hAnsi="宋体" w:cs="宋体"/>
          <w:color w:val="000000"/>
          <w:kern w:val="0"/>
          <w:sz w:val="24"/>
        </w:rPr>
      </w:pPr>
      <w:r>
        <w:rPr>
          <w:rFonts w:hint="eastAsia" w:ascii="宋体" w:hAnsi="宋体" w:cs="宋体"/>
          <w:color w:val="000000"/>
          <w:kern w:val="0"/>
          <w:sz w:val="24"/>
        </w:rPr>
        <w:t>1.投标商一旦购买了本磋商文件并参加投标，即被认为接受了本磋商文件中招标通知 (邀请)书及投标商须知中所有条款和规定。</w:t>
      </w:r>
    </w:p>
    <w:p>
      <w:pPr>
        <w:pStyle w:val="19"/>
        <w:snapToGrid w:val="0"/>
        <w:spacing w:line="480" w:lineRule="exact"/>
        <w:ind w:left="-4" w:leftChars="-2" w:firstLine="480" w:firstLineChars="200"/>
        <w:outlineLvl w:val="1"/>
        <w:rPr>
          <w:rFonts w:hAnsi="宋体" w:cs="宋体"/>
          <w:color w:val="000000"/>
          <w:kern w:val="0"/>
          <w:sz w:val="24"/>
          <w:szCs w:val="24"/>
        </w:rPr>
      </w:pPr>
      <w:r>
        <w:rPr>
          <w:rFonts w:hint="eastAsia" w:hAnsi="宋体" w:cs="宋体"/>
          <w:color w:val="000000"/>
          <w:kern w:val="0"/>
          <w:sz w:val="24"/>
          <w:szCs w:val="24"/>
        </w:rPr>
        <w:t>2.不论投标结果如何，投标人均应自行承担所有与编写和递交投标文件有关的全部费用。</w:t>
      </w:r>
    </w:p>
    <w:p>
      <w:pPr>
        <w:pStyle w:val="19"/>
        <w:snapToGrid w:val="0"/>
        <w:spacing w:line="480" w:lineRule="exact"/>
        <w:jc w:val="left"/>
        <w:rPr>
          <w:rFonts w:hAnsi="宋体" w:cs="宋体"/>
          <w:b/>
          <w:sz w:val="24"/>
          <w:szCs w:val="24"/>
        </w:rPr>
      </w:pPr>
      <w:r>
        <w:rPr>
          <w:rFonts w:hint="eastAsia" w:hAnsi="宋体" w:cs="宋体"/>
          <w:b/>
          <w:sz w:val="24"/>
          <w:szCs w:val="24"/>
        </w:rPr>
        <w:t>六、特别声明：</w:t>
      </w:r>
    </w:p>
    <w:p>
      <w:pPr>
        <w:tabs>
          <w:tab w:val="left" w:pos="4228"/>
        </w:tabs>
        <w:spacing w:line="480" w:lineRule="exact"/>
        <w:ind w:firstLine="502"/>
        <w:rPr>
          <w:rFonts w:ascii="宋体" w:hAnsi="宋体" w:cs="宋体"/>
          <w:sz w:val="24"/>
        </w:rPr>
      </w:pPr>
      <w:r>
        <w:rPr>
          <w:rFonts w:hint="eastAsia" w:ascii="宋体" w:hAnsi="宋体" w:cs="宋体"/>
          <w:sz w:val="24"/>
        </w:rPr>
        <w:t>1.磋商响应方所使用的资格、信誉、荣誉、业绩与企业认证必须为本企业所拥有。在组织商务、技术评审或资格性审查时，不得将属于投标商母公司（总机构）或者同一母公司下属的其他子公司（同一总机构下属的其他分支机构）的人员、业绩、荣誉、知识产权、项目案例等，作为该投标商的资信文件予以确认或审查通过。</w:t>
      </w:r>
    </w:p>
    <w:p>
      <w:pPr>
        <w:tabs>
          <w:tab w:val="left" w:pos="4228"/>
        </w:tabs>
        <w:spacing w:line="480" w:lineRule="exact"/>
        <w:ind w:firstLine="502"/>
        <w:rPr>
          <w:rFonts w:ascii="宋体" w:hAnsi="宋体" w:cs="宋体"/>
          <w:sz w:val="24"/>
        </w:rPr>
      </w:pPr>
      <w:r>
        <w:rPr>
          <w:rFonts w:hint="eastAsia" w:ascii="宋体" w:hAnsi="宋体" w:cs="宋体"/>
          <w:sz w:val="24"/>
        </w:rPr>
        <w:t>2.磋商响应方应仔细阅读采购文件的所有内容，按照采购文件的要求提交采购响应文件，并对所提供的全部资料的真实性承担法律责任。</w:t>
      </w:r>
    </w:p>
    <w:p>
      <w:pPr>
        <w:tabs>
          <w:tab w:val="left" w:pos="4228"/>
        </w:tabs>
        <w:spacing w:line="480" w:lineRule="exact"/>
        <w:ind w:firstLine="502"/>
        <w:rPr>
          <w:rFonts w:ascii="宋体" w:hAnsi="宋体" w:cs="宋体"/>
          <w:sz w:val="24"/>
        </w:rPr>
      </w:pPr>
      <w:r>
        <w:rPr>
          <w:rFonts w:hint="eastAsia" w:ascii="宋体" w:hAnsi="宋体" w:cs="宋体"/>
          <w:sz w:val="24"/>
        </w:rPr>
        <w:t>3.竞标人在竞标活动中提供任何虚假材料,其竞标无效，并报监管部门查处。中标后发现的,已经造成其他损失的须赔偿相应损失，且民事赔偿并不免除违法竞标人的行政与刑事责任。</w:t>
      </w:r>
    </w:p>
    <w:p>
      <w:pPr>
        <w:widowControl/>
        <w:spacing w:line="48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sz w:val="24"/>
        </w:rPr>
        <w:t>根据《中华人民共和国政府采购法实施条例》（国务院令第658号）和浙江省财政厅、省监察厅《关于进一步规范政府采购活动的若干意见》（浙财采监字〔2007〕2号）的规定。</w:t>
      </w:r>
      <w:r>
        <w:rPr>
          <w:rFonts w:hint="eastAsia" w:ascii="宋体" w:hAnsi="宋体" w:cs="宋体"/>
          <w:sz w:val="24"/>
        </w:rPr>
        <w:t>多家投标商参加采购响应，如其中两家或两家以上投标商的法定代表人为同一人或相互之间存在投资关系且达到控股的，按一个投标商认定。评审时，取其中通过资格审查后的报价最低一家为有效投标商；当报价相同时，则以技术标最优一家为有效投标商；均相同时，由评审委员会（或谈判、询价小组，以下统称评审小组）集体决定。</w:t>
      </w:r>
    </w:p>
    <w:p>
      <w:pPr>
        <w:widowControl/>
        <w:spacing w:line="480" w:lineRule="exact"/>
        <w:ind w:firstLine="480" w:firstLineChars="200"/>
        <w:jc w:val="left"/>
        <w:rPr>
          <w:rFonts w:ascii="宋体" w:hAnsi="宋体" w:cs="宋体"/>
          <w:b/>
          <w:sz w:val="24"/>
        </w:rPr>
      </w:pPr>
      <w:r>
        <w:rPr>
          <w:rFonts w:hint="eastAsia" w:ascii="宋体" w:hAnsi="宋体" w:cs="宋体"/>
          <w:sz w:val="24"/>
        </w:rPr>
        <w:t>5.</w:t>
      </w:r>
      <w:r>
        <w:rPr>
          <w:rFonts w:hint="eastAsia" w:ascii="宋体" w:hAnsi="宋体" w:cs="宋体"/>
          <w:b/>
          <w:sz w:val="24"/>
        </w:rPr>
        <w:t>小微企业价格扣除的有关政策：</w:t>
      </w:r>
    </w:p>
    <w:p>
      <w:pPr>
        <w:widowControl/>
        <w:spacing w:line="480" w:lineRule="exact"/>
        <w:ind w:firstLine="480" w:firstLineChars="200"/>
        <w:jc w:val="left"/>
        <w:rPr>
          <w:rFonts w:ascii="宋体" w:hAnsi="宋体" w:cs="宋体"/>
          <w:sz w:val="24"/>
        </w:rPr>
      </w:pPr>
      <w:r>
        <w:rPr>
          <w:rFonts w:hint="eastAsia" w:ascii="宋体" w:hAnsi="宋体" w:cs="宋体"/>
          <w:sz w:val="24"/>
        </w:rPr>
        <w:t>1）根据财库[2020]46号《政府采购促进中小企业发展管理办法》</w:t>
      </w:r>
      <w:r>
        <w:rPr>
          <w:rFonts w:hint="eastAsia" w:ascii="宋体" w:hAnsi="宋体" w:cs="宋体"/>
          <w:sz w:val="24"/>
          <w:lang w:eastAsia="zh-CN"/>
        </w:rPr>
        <w:t>、</w:t>
      </w:r>
      <w:r>
        <w:rPr>
          <w:rFonts w:hint="eastAsia" w:ascii="宋体" w:hAnsi="宋体" w:cs="宋体"/>
          <w:sz w:val="24"/>
          <w:highlight w:val="yellow"/>
          <w:lang w:eastAsia="zh-CN"/>
        </w:rPr>
        <w:t>浙财采监</w:t>
      </w:r>
      <w:r>
        <w:rPr>
          <w:rFonts w:hint="eastAsia" w:ascii="宋体" w:hAnsi="宋体" w:cs="宋体"/>
          <w:sz w:val="24"/>
          <w:highlight w:val="yellow"/>
          <w:lang w:val="en-US" w:eastAsia="zh-CN"/>
        </w:rPr>
        <w:t>[2022]3号</w:t>
      </w:r>
      <w:r>
        <w:rPr>
          <w:rFonts w:hint="eastAsia" w:ascii="宋体" w:hAnsi="宋体" w:cs="宋体"/>
          <w:sz w:val="24"/>
        </w:rPr>
        <w:t>的相关规定，未预留份额专门面向中小企业采购的采购项目，以及预留份额项目中的非预留部分标段，在评审时对符合该办法规定的小微企业的投标报价给予</w:t>
      </w:r>
      <w:r>
        <w:rPr>
          <w:rFonts w:hint="eastAsia" w:ascii="宋体" w:hAnsi="宋体" w:cs="宋体"/>
          <w:sz w:val="24"/>
          <w:highlight w:val="yellow"/>
          <w:lang w:val="en-US" w:eastAsia="zh-CN"/>
        </w:rPr>
        <w:t>20</w:t>
      </w:r>
      <w:r>
        <w:rPr>
          <w:rFonts w:hint="eastAsia" w:ascii="宋体" w:hAnsi="宋体" w:cs="宋体"/>
          <w:sz w:val="24"/>
          <w:highlight w:val="yellow"/>
        </w:rPr>
        <w:t>%的扣除</w:t>
      </w:r>
      <w:r>
        <w:rPr>
          <w:rFonts w:hint="eastAsia" w:ascii="宋体" w:hAnsi="宋体" w:cs="宋体"/>
          <w:sz w:val="24"/>
        </w:rPr>
        <w:t>，取扣除后的价格作为评审投标报价（此评审投标报价仅在评标时使用）。享受相关中小企业扶持政策的投标人，必须在投标文件中提供《中小企业声明函》。</w:t>
      </w:r>
    </w:p>
    <w:p>
      <w:pPr>
        <w:widowControl/>
        <w:spacing w:line="480" w:lineRule="exact"/>
        <w:ind w:firstLine="480" w:firstLineChars="200"/>
        <w:jc w:val="left"/>
        <w:rPr>
          <w:rFonts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widowControl/>
        <w:spacing w:line="480" w:lineRule="exact"/>
        <w:ind w:firstLine="480" w:firstLineChars="200"/>
        <w:jc w:val="left"/>
        <w:rPr>
          <w:rFonts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pPr>
        <w:widowControl/>
        <w:spacing w:line="480" w:lineRule="exact"/>
        <w:ind w:firstLine="480" w:firstLineChars="200"/>
        <w:jc w:val="left"/>
        <w:rPr>
          <w:rFonts w:ascii="宋体" w:hAnsi="宋体" w:cs="宋体"/>
          <w:sz w:val="24"/>
        </w:rPr>
      </w:pPr>
      <w:r>
        <w:rPr>
          <w:rFonts w:hint="eastAsia" w:ascii="宋体" w:hAnsi="宋体" w:cs="宋体"/>
          <w:sz w:val="24"/>
        </w:rPr>
        <w:t>4）同一投标人，小微企业、监狱企业、残疾人福利性单位价格扣除优惠只享受一次，不得重复享受。</w:t>
      </w:r>
    </w:p>
    <w:p>
      <w:pPr>
        <w:pStyle w:val="19"/>
        <w:snapToGrid w:val="0"/>
        <w:spacing w:line="480" w:lineRule="exact"/>
        <w:jc w:val="left"/>
        <w:rPr>
          <w:rFonts w:hAnsi="宋体" w:cs="宋体"/>
          <w:b/>
          <w:sz w:val="24"/>
          <w:szCs w:val="24"/>
        </w:rPr>
      </w:pPr>
      <w:r>
        <w:rPr>
          <w:rFonts w:hint="eastAsia" w:hAnsi="宋体" w:cs="宋体"/>
          <w:b/>
          <w:sz w:val="24"/>
          <w:szCs w:val="24"/>
        </w:rPr>
        <w:t>七、质疑和投诉</w:t>
      </w:r>
    </w:p>
    <w:p>
      <w:pPr>
        <w:tabs>
          <w:tab w:val="left" w:pos="4228"/>
        </w:tabs>
        <w:spacing w:line="480" w:lineRule="exact"/>
        <w:ind w:firstLine="502"/>
        <w:rPr>
          <w:rFonts w:ascii="宋体" w:hAnsi="宋体" w:cs="宋体"/>
          <w:sz w:val="24"/>
        </w:rPr>
      </w:pPr>
      <w:r>
        <w:rPr>
          <w:rFonts w:hint="eastAsia" w:ascii="宋体" w:hAnsi="宋体" w:cs="宋体"/>
          <w:sz w:val="24"/>
        </w:rPr>
        <w:t>1.质疑、投诉应当采用书面形式，质疑书、投诉书均应明确阐述采购文件、招标过程或成交结果中使自己合法权益受到损害的实质性内容，提供相关事实、依据和证据及其来源或线索，便于有关单位调查、答复和处理。</w:t>
      </w:r>
    </w:p>
    <w:p>
      <w:pPr>
        <w:tabs>
          <w:tab w:val="left" w:pos="4228"/>
        </w:tabs>
        <w:spacing w:line="480" w:lineRule="exact"/>
        <w:ind w:firstLine="502"/>
        <w:rPr>
          <w:rFonts w:ascii="宋体" w:hAnsi="宋体" w:cs="宋体"/>
          <w:sz w:val="24"/>
        </w:rPr>
      </w:pPr>
      <w:r>
        <w:rPr>
          <w:rFonts w:hint="eastAsia" w:ascii="宋体" w:hAnsi="宋体" w:cs="宋体"/>
          <w:sz w:val="24"/>
        </w:rPr>
        <w:t>2.投标商未按规定要求提出的，则视同认可采购文件，但法律法规及规范性文件有明确规定的除外。</w:t>
      </w:r>
    </w:p>
    <w:p>
      <w:pPr>
        <w:snapToGrid w:val="0"/>
        <w:spacing w:line="480" w:lineRule="exact"/>
        <w:jc w:val="center"/>
        <w:outlineLvl w:val="2"/>
        <w:rPr>
          <w:rFonts w:ascii="宋体" w:hAnsi="宋体" w:cs="宋体"/>
          <w:b/>
          <w:kern w:val="44"/>
          <w:sz w:val="24"/>
        </w:rPr>
      </w:pPr>
      <w:r>
        <w:rPr>
          <w:rFonts w:hint="eastAsia" w:ascii="宋体" w:hAnsi="宋体" w:cs="宋体"/>
          <w:b/>
          <w:kern w:val="44"/>
          <w:sz w:val="24"/>
        </w:rPr>
        <w:t>二  磋商文件</w:t>
      </w:r>
      <w:bookmarkEnd w:id="14"/>
      <w:bookmarkEnd w:id="15"/>
      <w:bookmarkEnd w:id="16"/>
      <w:bookmarkEnd w:id="17"/>
      <w:bookmarkEnd w:id="18"/>
      <w:bookmarkEnd w:id="19"/>
    </w:p>
    <w:p>
      <w:pPr>
        <w:snapToGrid w:val="0"/>
        <w:spacing w:line="480" w:lineRule="exact"/>
        <w:rPr>
          <w:rFonts w:ascii="宋体" w:hAnsi="宋体" w:cs="宋体"/>
          <w:b/>
          <w:sz w:val="24"/>
        </w:rPr>
      </w:pPr>
      <w:r>
        <w:rPr>
          <w:rFonts w:hint="eastAsia" w:ascii="宋体" w:hAnsi="宋体" w:cs="宋体"/>
          <w:b/>
          <w:sz w:val="24"/>
        </w:rPr>
        <w:t>八、磋商文件构成</w:t>
      </w:r>
    </w:p>
    <w:p>
      <w:pPr>
        <w:tabs>
          <w:tab w:val="left" w:pos="4228"/>
        </w:tabs>
        <w:spacing w:line="480" w:lineRule="exact"/>
        <w:ind w:firstLine="502"/>
        <w:rPr>
          <w:rFonts w:ascii="宋体" w:hAnsi="宋体" w:cs="宋体"/>
          <w:sz w:val="24"/>
        </w:rPr>
      </w:pPr>
      <w:r>
        <w:rPr>
          <w:rFonts w:hint="eastAsia" w:ascii="宋体" w:hAnsi="宋体" w:cs="宋体"/>
          <w:sz w:val="24"/>
        </w:rPr>
        <w:t>1.磋商文件共七章，各章的内容如下：</w:t>
      </w:r>
    </w:p>
    <w:p>
      <w:pPr>
        <w:tabs>
          <w:tab w:val="left" w:pos="4228"/>
        </w:tabs>
        <w:spacing w:line="480" w:lineRule="exact"/>
        <w:ind w:firstLine="502"/>
        <w:rPr>
          <w:rFonts w:ascii="宋体" w:hAnsi="宋体" w:cs="宋体"/>
          <w:sz w:val="24"/>
        </w:rPr>
      </w:pPr>
      <w:r>
        <w:rPr>
          <w:rFonts w:hint="eastAsia" w:ascii="宋体" w:hAnsi="宋体" w:cs="宋体"/>
          <w:sz w:val="24"/>
        </w:rPr>
        <w:t>（1）招标(磋商)公告</w:t>
      </w:r>
    </w:p>
    <w:p>
      <w:pPr>
        <w:tabs>
          <w:tab w:val="left" w:pos="4228"/>
        </w:tabs>
        <w:spacing w:line="480" w:lineRule="exact"/>
        <w:ind w:firstLine="502"/>
        <w:rPr>
          <w:rFonts w:ascii="宋体" w:hAnsi="宋体" w:cs="宋体"/>
          <w:sz w:val="24"/>
        </w:rPr>
      </w:pPr>
      <w:r>
        <w:rPr>
          <w:rFonts w:hint="eastAsia" w:ascii="宋体" w:hAnsi="宋体" w:cs="宋体"/>
          <w:sz w:val="24"/>
        </w:rPr>
        <w:t>（2）前附表</w:t>
      </w:r>
    </w:p>
    <w:p>
      <w:pPr>
        <w:tabs>
          <w:tab w:val="left" w:pos="4228"/>
        </w:tabs>
        <w:spacing w:line="480" w:lineRule="exact"/>
        <w:ind w:firstLine="502"/>
        <w:rPr>
          <w:rFonts w:ascii="宋体" w:hAnsi="宋体" w:cs="宋体"/>
          <w:sz w:val="24"/>
        </w:rPr>
      </w:pPr>
      <w:r>
        <w:rPr>
          <w:rFonts w:hint="eastAsia" w:ascii="宋体" w:hAnsi="宋体" w:cs="宋体"/>
          <w:sz w:val="24"/>
        </w:rPr>
        <w:t>（3）招标需求</w:t>
      </w:r>
    </w:p>
    <w:p>
      <w:pPr>
        <w:tabs>
          <w:tab w:val="left" w:pos="4228"/>
        </w:tabs>
        <w:spacing w:line="480" w:lineRule="exact"/>
        <w:ind w:firstLine="502"/>
        <w:rPr>
          <w:rFonts w:ascii="宋体" w:hAnsi="宋体" w:cs="宋体"/>
          <w:sz w:val="24"/>
        </w:rPr>
      </w:pPr>
      <w:r>
        <w:rPr>
          <w:rFonts w:hint="eastAsia" w:ascii="宋体" w:hAnsi="宋体" w:cs="宋体"/>
          <w:sz w:val="24"/>
        </w:rPr>
        <w:t>（4）投标人须知</w:t>
      </w:r>
    </w:p>
    <w:p>
      <w:pPr>
        <w:tabs>
          <w:tab w:val="left" w:pos="4228"/>
        </w:tabs>
        <w:spacing w:line="480" w:lineRule="exact"/>
        <w:ind w:firstLine="502"/>
        <w:rPr>
          <w:rFonts w:ascii="宋体" w:hAnsi="宋体" w:cs="宋体"/>
          <w:sz w:val="24"/>
        </w:rPr>
      </w:pPr>
      <w:r>
        <w:rPr>
          <w:rFonts w:hint="eastAsia" w:ascii="宋体" w:hAnsi="宋体" w:cs="宋体"/>
          <w:sz w:val="24"/>
        </w:rPr>
        <w:t>（5）评审方法</w:t>
      </w:r>
    </w:p>
    <w:p>
      <w:pPr>
        <w:tabs>
          <w:tab w:val="left" w:pos="4228"/>
        </w:tabs>
        <w:spacing w:line="480" w:lineRule="exact"/>
        <w:ind w:firstLine="502"/>
        <w:rPr>
          <w:rFonts w:ascii="宋体" w:hAnsi="宋体" w:cs="宋体"/>
          <w:sz w:val="24"/>
        </w:rPr>
      </w:pPr>
      <w:r>
        <w:rPr>
          <w:rFonts w:hint="eastAsia" w:ascii="宋体" w:hAnsi="宋体" w:cs="宋体"/>
          <w:sz w:val="24"/>
        </w:rPr>
        <w:t>（6）合同的主要条款</w:t>
      </w:r>
    </w:p>
    <w:p>
      <w:pPr>
        <w:tabs>
          <w:tab w:val="left" w:pos="4228"/>
        </w:tabs>
        <w:spacing w:line="480" w:lineRule="exact"/>
        <w:ind w:firstLine="502"/>
        <w:rPr>
          <w:rFonts w:ascii="宋体" w:hAnsi="宋体" w:cs="宋体"/>
          <w:sz w:val="24"/>
        </w:rPr>
      </w:pPr>
      <w:r>
        <w:rPr>
          <w:rFonts w:hint="eastAsia" w:ascii="宋体" w:hAnsi="宋体" w:cs="宋体"/>
          <w:sz w:val="24"/>
        </w:rPr>
        <w:t>（7）附件</w:t>
      </w:r>
    </w:p>
    <w:p>
      <w:pPr>
        <w:tabs>
          <w:tab w:val="left" w:pos="4228"/>
        </w:tabs>
        <w:spacing w:line="480" w:lineRule="exact"/>
        <w:ind w:firstLine="502"/>
        <w:rPr>
          <w:rFonts w:ascii="宋体" w:hAnsi="宋体" w:cs="宋体"/>
          <w:sz w:val="24"/>
        </w:rPr>
      </w:pPr>
      <w:r>
        <w:rPr>
          <w:rFonts w:hint="eastAsia" w:ascii="宋体" w:hAnsi="宋体" w:cs="宋体"/>
          <w:sz w:val="24"/>
        </w:rPr>
        <w:t>2.投标商应认真阅读磋商文件中所有的事项、格式、条款和技术规范等要求，从而对磋商文件作出实质性的响应。如果没有按照磋商文件要求提交全部竞争性磋商响应文件或者资料，没有对磋商文件在各方面都作出实质性响应的，可能导致该投标被拒绝。</w:t>
      </w:r>
    </w:p>
    <w:p>
      <w:pPr>
        <w:snapToGrid w:val="0"/>
        <w:spacing w:line="480" w:lineRule="exact"/>
        <w:rPr>
          <w:rFonts w:ascii="宋体" w:hAnsi="宋体" w:cs="宋体"/>
          <w:b/>
          <w:sz w:val="24"/>
        </w:rPr>
      </w:pPr>
      <w:r>
        <w:rPr>
          <w:rFonts w:hint="eastAsia" w:ascii="宋体" w:hAnsi="宋体" w:cs="宋体"/>
          <w:b/>
          <w:sz w:val="24"/>
        </w:rPr>
        <w:t>九、磋商文件的澄清</w:t>
      </w:r>
    </w:p>
    <w:p>
      <w:pPr>
        <w:tabs>
          <w:tab w:val="left" w:pos="4228"/>
        </w:tabs>
        <w:spacing w:line="480" w:lineRule="exact"/>
        <w:ind w:firstLine="502"/>
        <w:rPr>
          <w:rFonts w:ascii="宋体" w:hAnsi="宋体" w:cs="宋体"/>
          <w:sz w:val="24"/>
        </w:rPr>
      </w:pPr>
      <w:r>
        <w:rPr>
          <w:rFonts w:hint="eastAsia" w:ascii="宋体" w:hAnsi="宋体" w:cs="宋体"/>
          <w:sz w:val="24"/>
        </w:rPr>
        <w:t>1.任何要求澄清磋商文件的投标人，均应在答疑截止时间前以信函、传真等书面形式通知谈判代理机构。采购代理机构将以书面形式予以答复所有投标人，同时认定其他澄清方式为无效。</w:t>
      </w:r>
    </w:p>
    <w:p>
      <w:pPr>
        <w:tabs>
          <w:tab w:val="left" w:pos="4228"/>
        </w:tabs>
        <w:spacing w:line="480" w:lineRule="exact"/>
        <w:ind w:firstLine="502"/>
        <w:rPr>
          <w:rFonts w:ascii="宋体" w:hAnsi="宋体" w:cs="宋体"/>
          <w:sz w:val="24"/>
        </w:rPr>
      </w:pPr>
      <w:r>
        <w:rPr>
          <w:rFonts w:hint="eastAsia" w:ascii="宋体" w:hAnsi="宋体" w:cs="宋体"/>
          <w:sz w:val="24"/>
        </w:rPr>
        <w:t>2.采购代理机构必须以书面形式答复投标人要求澄清的问题，并将不包含问题来源的答复书面通知所有购买招标文件的投标人；除书面答复以外的其他澄清方式及澄清内容均无效。</w:t>
      </w:r>
    </w:p>
    <w:p>
      <w:pPr>
        <w:tabs>
          <w:tab w:val="left" w:pos="4228"/>
        </w:tabs>
        <w:spacing w:line="480" w:lineRule="exact"/>
        <w:ind w:firstLine="502"/>
        <w:rPr>
          <w:rFonts w:ascii="宋体" w:hAnsi="宋体" w:cs="宋体"/>
          <w:sz w:val="24"/>
        </w:rPr>
      </w:pPr>
      <w:r>
        <w:rPr>
          <w:rFonts w:hint="eastAsia" w:ascii="宋体" w:hAnsi="宋体" w:cs="宋体"/>
          <w:sz w:val="24"/>
        </w:rPr>
        <w:t>3.招标文件澄清、答复、修改、补充的内容为招标文件的组成部分。当磋商文件与磋商文件的答复、澄清、修改、补充通知就同一内容的表述不一致时，以最后发出的书面文件为准。</w:t>
      </w:r>
    </w:p>
    <w:p>
      <w:pPr>
        <w:tabs>
          <w:tab w:val="left" w:pos="4228"/>
        </w:tabs>
        <w:spacing w:line="480" w:lineRule="exact"/>
        <w:ind w:firstLine="502"/>
        <w:rPr>
          <w:rFonts w:ascii="宋体" w:hAnsi="宋体" w:cs="宋体"/>
          <w:sz w:val="24"/>
        </w:rPr>
      </w:pPr>
      <w:r>
        <w:rPr>
          <w:rFonts w:hint="eastAsia" w:ascii="宋体" w:hAnsi="宋体" w:cs="宋体"/>
          <w:sz w:val="24"/>
        </w:rPr>
        <w:t>4.磋商文件的澄清、答复、修改或补充都应该通过本代理机构以法定形式发布，采购人非通过本机构，不得擅自澄清、答复、修改或补充磋商文件。</w:t>
      </w:r>
    </w:p>
    <w:p>
      <w:pPr>
        <w:snapToGrid w:val="0"/>
        <w:spacing w:line="480" w:lineRule="exact"/>
        <w:rPr>
          <w:rFonts w:ascii="宋体" w:hAnsi="宋体" w:cs="宋体"/>
          <w:b/>
          <w:sz w:val="24"/>
        </w:rPr>
      </w:pPr>
      <w:r>
        <w:rPr>
          <w:rFonts w:hint="eastAsia" w:ascii="宋体" w:hAnsi="宋体" w:cs="宋体"/>
          <w:b/>
          <w:sz w:val="24"/>
        </w:rPr>
        <w:t>十、磋商文件的修改</w:t>
      </w:r>
    </w:p>
    <w:p>
      <w:pPr>
        <w:tabs>
          <w:tab w:val="left" w:pos="4228"/>
        </w:tabs>
        <w:spacing w:line="480" w:lineRule="exact"/>
        <w:ind w:firstLine="502"/>
        <w:rPr>
          <w:rFonts w:ascii="宋体" w:hAnsi="宋体" w:cs="宋体"/>
          <w:sz w:val="24"/>
        </w:rPr>
      </w:pPr>
      <w:bookmarkStart w:id="20" w:name="_Toc44759082"/>
      <w:bookmarkStart w:id="21" w:name="_Toc114115348"/>
      <w:bookmarkStart w:id="22" w:name="_Toc15805933"/>
      <w:bookmarkStart w:id="23" w:name="_Toc11926"/>
      <w:bookmarkStart w:id="24" w:name="_Toc15813250"/>
      <w:bookmarkStart w:id="25" w:name="_Toc44759270"/>
      <w:r>
        <w:rPr>
          <w:rFonts w:hint="eastAsia" w:ascii="宋体" w:hAnsi="宋体" w:cs="宋体"/>
          <w:sz w:val="24"/>
        </w:rPr>
        <w:t>1.在答疑截止时间前，无论出于何种原因，采购代理机构可主动地或在解答投标人提出的问题时对磋商文件进行修改；</w:t>
      </w:r>
    </w:p>
    <w:p>
      <w:pPr>
        <w:tabs>
          <w:tab w:val="left" w:pos="4228"/>
        </w:tabs>
        <w:spacing w:line="480" w:lineRule="exact"/>
        <w:ind w:firstLine="502"/>
        <w:rPr>
          <w:rFonts w:ascii="宋体" w:hAnsi="宋体" w:cs="宋体"/>
          <w:sz w:val="24"/>
        </w:rPr>
      </w:pPr>
      <w:r>
        <w:rPr>
          <w:rFonts w:hint="eastAsia" w:ascii="宋体" w:hAnsi="宋体" w:cs="宋体"/>
          <w:sz w:val="24"/>
        </w:rPr>
        <w:t>2.磋商文件的修改将以书面形式通知所有投标人并对其具有约束力。为使投标人准备投标时有充分时间对磋商文件的修改部分进行研究，采购代理机构经采购人、县财政局政府采购监管科同意批准，可以自行决定是否延长投标截止期。</w:t>
      </w:r>
    </w:p>
    <w:p>
      <w:pPr>
        <w:snapToGrid w:val="0"/>
        <w:spacing w:line="480" w:lineRule="exact"/>
        <w:jc w:val="center"/>
        <w:outlineLvl w:val="2"/>
        <w:rPr>
          <w:rFonts w:ascii="宋体" w:hAnsi="宋体" w:cs="宋体"/>
          <w:b/>
          <w:kern w:val="44"/>
          <w:sz w:val="24"/>
        </w:rPr>
      </w:pPr>
      <w:r>
        <w:rPr>
          <w:rFonts w:hint="eastAsia" w:ascii="宋体" w:hAnsi="宋体" w:cs="宋体"/>
          <w:b/>
          <w:kern w:val="44"/>
          <w:sz w:val="24"/>
        </w:rPr>
        <w:t>三  投标文件的编制</w:t>
      </w:r>
      <w:bookmarkEnd w:id="20"/>
      <w:bookmarkEnd w:id="21"/>
      <w:bookmarkEnd w:id="22"/>
      <w:bookmarkEnd w:id="23"/>
      <w:bookmarkEnd w:id="24"/>
      <w:bookmarkEnd w:id="25"/>
    </w:p>
    <w:p>
      <w:pPr>
        <w:snapToGrid w:val="0"/>
        <w:spacing w:line="480" w:lineRule="exact"/>
        <w:outlineLvl w:val="0"/>
        <w:rPr>
          <w:rFonts w:ascii="宋体" w:hAnsi="宋体" w:cs="宋体"/>
          <w:b/>
          <w:sz w:val="24"/>
        </w:rPr>
      </w:pPr>
      <w:r>
        <w:rPr>
          <w:rFonts w:hint="eastAsia" w:ascii="宋体" w:hAnsi="宋体" w:cs="宋体"/>
          <w:b/>
          <w:sz w:val="24"/>
        </w:rPr>
        <w:t>十、投标文件编写注意事项</w:t>
      </w:r>
    </w:p>
    <w:p>
      <w:pPr>
        <w:snapToGrid w:val="0"/>
        <w:spacing w:line="480" w:lineRule="exact"/>
        <w:ind w:left="2" w:leftChars="1" w:firstLine="480" w:firstLineChars="200"/>
        <w:rPr>
          <w:rFonts w:ascii="宋体" w:hAnsi="宋体" w:cs="宋体"/>
          <w:color w:val="000000"/>
          <w:sz w:val="24"/>
        </w:rPr>
      </w:pPr>
      <w:r>
        <w:rPr>
          <w:rFonts w:hint="eastAsia" w:ascii="宋体" w:hAnsi="宋体" w:cs="宋体"/>
          <w:color w:val="000000"/>
          <w:sz w:val="24"/>
        </w:rPr>
        <w:t>1.投标人应仔细阅读磋商文件，了解磋商文件的要求。在完全了解磋商的内容后，编写投标文件。</w:t>
      </w:r>
    </w:p>
    <w:p>
      <w:pPr>
        <w:snapToGrid w:val="0"/>
        <w:spacing w:line="480" w:lineRule="exact"/>
        <w:ind w:left="2" w:leftChars="1" w:firstLine="480" w:firstLineChars="200"/>
        <w:rPr>
          <w:rFonts w:ascii="宋体" w:hAnsi="宋体" w:cs="宋体"/>
          <w:color w:val="000000"/>
          <w:sz w:val="24"/>
        </w:rPr>
      </w:pPr>
      <w:r>
        <w:rPr>
          <w:rFonts w:hint="eastAsia" w:ascii="宋体" w:hAnsi="宋体" w:cs="宋体"/>
          <w:color w:val="000000"/>
          <w:sz w:val="24"/>
        </w:rPr>
        <w:t>2.各投标方必须按下列“十二”的要求编制投标文件。</w:t>
      </w:r>
    </w:p>
    <w:p>
      <w:pPr>
        <w:pStyle w:val="19"/>
        <w:snapToGrid w:val="0"/>
        <w:spacing w:line="480" w:lineRule="exact"/>
        <w:jc w:val="left"/>
        <w:rPr>
          <w:rFonts w:hAnsi="宋体" w:cs="宋体"/>
          <w:b/>
          <w:sz w:val="24"/>
          <w:szCs w:val="24"/>
        </w:rPr>
      </w:pPr>
      <w:r>
        <w:rPr>
          <w:rFonts w:hint="eastAsia" w:hAnsi="宋体" w:cs="宋体"/>
          <w:b/>
          <w:sz w:val="24"/>
          <w:szCs w:val="24"/>
        </w:rPr>
        <w:t>十一、投标的语言及计量单位</w:t>
      </w:r>
    </w:p>
    <w:p>
      <w:pPr>
        <w:snapToGrid w:val="0"/>
        <w:spacing w:line="480" w:lineRule="exact"/>
        <w:ind w:left="2" w:leftChars="1" w:firstLine="480" w:firstLineChars="200"/>
        <w:rPr>
          <w:rFonts w:ascii="宋体" w:hAnsi="宋体" w:cs="宋体"/>
          <w:color w:val="000000"/>
          <w:sz w:val="24"/>
        </w:rPr>
      </w:pPr>
      <w:r>
        <w:rPr>
          <w:rFonts w:hint="eastAsia" w:ascii="宋体" w:hAnsi="宋体" w:cs="宋体"/>
          <w:color w:val="000000"/>
          <w:sz w:val="24"/>
        </w:rPr>
        <w:t>1. 投标人的投标文件以及投标人与采购代理机构就有关投标的所有来往函电统一使用中文（特别规定除外）。</w:t>
      </w:r>
    </w:p>
    <w:p>
      <w:pPr>
        <w:snapToGrid w:val="0"/>
        <w:spacing w:line="480" w:lineRule="exact"/>
        <w:ind w:left="2" w:leftChars="1" w:firstLine="480" w:firstLineChars="200"/>
        <w:rPr>
          <w:rFonts w:ascii="宋体" w:hAnsi="宋体" w:cs="宋体"/>
          <w:color w:val="000000"/>
          <w:sz w:val="24"/>
        </w:rPr>
      </w:pPr>
      <w:r>
        <w:rPr>
          <w:rFonts w:hint="eastAsia" w:ascii="宋体" w:hAnsi="宋体" w:cs="宋体"/>
          <w:color w:val="000000"/>
          <w:sz w:val="24"/>
        </w:rPr>
        <w:t>2.投标文件中使用的计量单位除磋商文件中有特殊规定外，一律使用法定计量单位。</w:t>
      </w:r>
    </w:p>
    <w:p>
      <w:pPr>
        <w:snapToGrid w:val="0"/>
        <w:spacing w:line="480" w:lineRule="exact"/>
        <w:outlineLvl w:val="0"/>
        <w:rPr>
          <w:rFonts w:ascii="宋体" w:hAnsi="宋体" w:cs="宋体"/>
          <w:b/>
          <w:sz w:val="24"/>
        </w:rPr>
      </w:pPr>
      <w:r>
        <w:rPr>
          <w:rFonts w:hint="eastAsia" w:ascii="宋体" w:hAnsi="宋体" w:cs="宋体"/>
          <w:b/>
          <w:sz w:val="24"/>
        </w:rPr>
        <w:t>十二、投标文件构成</w:t>
      </w:r>
    </w:p>
    <w:p>
      <w:pPr>
        <w:snapToGrid w:val="0"/>
        <w:spacing w:line="480" w:lineRule="exact"/>
        <w:ind w:firstLine="482" w:firstLineChars="200"/>
        <w:jc w:val="left"/>
        <w:rPr>
          <w:rFonts w:ascii="宋体" w:hAnsi="宋体" w:cs="宋体"/>
          <w:b/>
          <w:sz w:val="24"/>
        </w:rPr>
      </w:pPr>
      <w:r>
        <w:rPr>
          <w:rFonts w:hint="eastAsia" w:ascii="宋体" w:hAnsi="宋体" w:cs="宋体"/>
          <w:b/>
          <w:sz w:val="24"/>
        </w:rPr>
        <w:t>注：投标人应保证所提供文件资料的真实性，所有文件资料必须是针对本次投标的。如发现投标人提供了虚假文件资料，其投标将被拒绝，并自行承担相应的法律责任。</w:t>
      </w:r>
    </w:p>
    <w:p>
      <w:pPr>
        <w:keepLines/>
        <w:spacing w:line="480" w:lineRule="exact"/>
        <w:ind w:firstLine="241" w:firstLineChars="100"/>
        <w:contextualSpacing/>
        <w:jc w:val="left"/>
        <w:outlineLvl w:val="2"/>
        <w:rPr>
          <w:rFonts w:ascii="宋体" w:hAnsi="宋体" w:cs="宋体"/>
          <w:b/>
          <w:kern w:val="0"/>
          <w:sz w:val="24"/>
        </w:rPr>
      </w:pPr>
      <w:r>
        <w:rPr>
          <w:rFonts w:hint="eastAsia" w:ascii="宋体" w:hAnsi="宋体" w:cs="宋体"/>
          <w:b/>
          <w:kern w:val="0"/>
          <w:sz w:val="24"/>
        </w:rPr>
        <w:t>一）投标文件的组成</w:t>
      </w:r>
    </w:p>
    <w:p>
      <w:pPr>
        <w:tabs>
          <w:tab w:val="left" w:pos="0"/>
          <w:tab w:val="left" w:pos="900"/>
          <w:tab w:val="left" w:pos="7020"/>
          <w:tab w:val="left" w:pos="8460"/>
        </w:tabs>
        <w:snapToGrid w:val="0"/>
        <w:spacing w:line="480" w:lineRule="exact"/>
        <w:ind w:firstLine="482" w:firstLineChars="200"/>
        <w:rPr>
          <w:rFonts w:ascii="宋体" w:hAnsi="宋体" w:cs="宋体"/>
          <w:b/>
          <w:sz w:val="24"/>
        </w:rPr>
      </w:pPr>
      <w:r>
        <w:rPr>
          <w:rFonts w:hint="eastAsia" w:ascii="宋体" w:hAnsi="宋体" w:cs="宋体"/>
          <w:b/>
          <w:sz w:val="24"/>
        </w:rPr>
        <w:t>投标文件</w:t>
      </w:r>
      <w:r>
        <w:rPr>
          <w:rFonts w:hint="eastAsia" w:ascii="宋体" w:hAnsi="宋体" w:cs="宋体"/>
          <w:color w:val="FF0000"/>
          <w:sz w:val="24"/>
        </w:rPr>
        <w:t>（</w:t>
      </w:r>
      <w:r>
        <w:rPr>
          <w:rFonts w:hint="eastAsia" w:ascii="宋体" w:hAnsi="宋体" w:cs="宋体"/>
          <w:b/>
          <w:color w:val="FF0000"/>
          <w:sz w:val="24"/>
        </w:rPr>
        <w:t>电子投标文件</w:t>
      </w:r>
      <w:r>
        <w:rPr>
          <w:rFonts w:hint="eastAsia" w:ascii="宋体" w:hAnsi="宋体" w:cs="宋体"/>
          <w:color w:val="FF0000"/>
          <w:sz w:val="24"/>
        </w:rPr>
        <w:t>）</w:t>
      </w:r>
      <w:r>
        <w:rPr>
          <w:rFonts w:hint="eastAsia" w:ascii="宋体" w:hAnsi="宋体" w:cs="宋体"/>
          <w:b/>
          <w:sz w:val="24"/>
        </w:rPr>
        <w:t>由商务标、技术标二部份组成，</w:t>
      </w:r>
      <w:r>
        <w:rPr>
          <w:rFonts w:hint="eastAsia" w:ascii="宋体" w:hAnsi="宋体" w:cs="宋体"/>
          <w:b/>
          <w:color w:val="FF0000"/>
          <w:sz w:val="24"/>
        </w:rPr>
        <w:t>电子投标文件中所须加盖公章部分均采用CA签章。</w:t>
      </w:r>
    </w:p>
    <w:p>
      <w:pPr>
        <w:snapToGrid w:val="0"/>
        <w:spacing w:line="480" w:lineRule="exact"/>
        <w:ind w:left="2" w:leftChars="1" w:firstLine="480" w:firstLineChars="200"/>
        <w:rPr>
          <w:rFonts w:ascii="宋体" w:hAnsi="宋体" w:cs="宋体"/>
          <w:color w:val="000000"/>
          <w:sz w:val="24"/>
        </w:rPr>
      </w:pPr>
      <w:r>
        <w:rPr>
          <w:rFonts w:hint="eastAsia" w:ascii="宋体" w:hAnsi="宋体" w:cs="宋体"/>
          <w:color w:val="000000"/>
          <w:sz w:val="24"/>
        </w:rPr>
        <w:t>1.如投标人不按上述规定制作投标文件的，可能导致被拒绝。</w:t>
      </w:r>
    </w:p>
    <w:p>
      <w:pPr>
        <w:snapToGrid w:val="0"/>
        <w:spacing w:line="480" w:lineRule="exact"/>
        <w:ind w:left="2" w:leftChars="1" w:firstLine="480" w:firstLineChars="200"/>
        <w:rPr>
          <w:rFonts w:ascii="宋体" w:hAnsi="宋体" w:cs="宋体"/>
          <w:color w:val="000000"/>
          <w:sz w:val="24"/>
        </w:rPr>
      </w:pPr>
      <w:r>
        <w:rPr>
          <w:rFonts w:hint="eastAsia" w:ascii="宋体" w:hAnsi="宋体" w:cs="宋体"/>
          <w:color w:val="000000"/>
          <w:sz w:val="24"/>
        </w:rPr>
        <w:t>2.关于本项目价格的信息只允许出现在“商务标”中，不得出现在技术标中。</w:t>
      </w:r>
    </w:p>
    <w:p>
      <w:pPr>
        <w:snapToGrid w:val="0"/>
        <w:spacing w:line="480" w:lineRule="exact"/>
        <w:ind w:left="2" w:leftChars="1" w:firstLine="480" w:firstLineChars="200"/>
        <w:rPr>
          <w:rFonts w:ascii="宋体" w:hAnsi="宋体" w:cs="宋体"/>
          <w:color w:val="000000"/>
          <w:sz w:val="24"/>
        </w:rPr>
      </w:pPr>
      <w:r>
        <w:rPr>
          <w:rFonts w:hint="eastAsia" w:ascii="宋体" w:hAnsi="宋体" w:cs="宋体"/>
          <w:color w:val="000000"/>
          <w:sz w:val="24"/>
        </w:rPr>
        <w:t>3.投标文件不得涂改和增删，如有错漏必须修改。</w:t>
      </w:r>
    </w:p>
    <w:p>
      <w:pPr>
        <w:snapToGrid w:val="0"/>
        <w:spacing w:line="480" w:lineRule="exact"/>
        <w:ind w:left="2" w:leftChars="1" w:firstLine="482" w:firstLineChars="200"/>
        <w:rPr>
          <w:rFonts w:ascii="宋体" w:hAnsi="宋体" w:cs="宋体"/>
          <w:b/>
          <w:bCs/>
          <w:color w:val="000000"/>
          <w:sz w:val="24"/>
        </w:rPr>
      </w:pPr>
      <w:r>
        <w:rPr>
          <w:rFonts w:hint="eastAsia" w:ascii="宋体" w:hAnsi="宋体" w:cs="宋体"/>
          <w:b/>
          <w:bCs/>
          <w:color w:val="000000"/>
          <w:sz w:val="24"/>
        </w:rPr>
        <w:t>▲注：磋商响应方应保证所提供文件资料的真实性，所有文件资料必须是针对本次磋商的。如发现磋商响应方提供了虚假文件资料，需方有权拒绝其谈判，磋商响应方自行承担相应的法律责任。</w:t>
      </w:r>
    </w:p>
    <w:p>
      <w:pPr>
        <w:snapToGrid w:val="0"/>
        <w:spacing w:line="480" w:lineRule="exact"/>
        <w:ind w:left="2" w:leftChars="1" w:firstLine="480" w:firstLineChars="200"/>
        <w:rPr>
          <w:rFonts w:ascii="宋体" w:hAnsi="宋体" w:cs="宋体"/>
          <w:b/>
          <w:bCs/>
          <w:color w:val="000000"/>
          <w:sz w:val="24"/>
        </w:rPr>
      </w:pPr>
      <w:r>
        <w:rPr>
          <w:rFonts w:hint="eastAsia" w:ascii="宋体" w:hAnsi="宋体" w:cs="宋体"/>
          <w:color w:val="000000"/>
          <w:sz w:val="24"/>
        </w:rPr>
        <w:t>本项目采用竞争性磋商采购方式进行采购，在磋商过程中，磋商小组可以根据磋商文件和磋商情况实质性变动采购需求中的技术、服务要求以及合同草案条款，但不得变动磋商文件中的其他内容。已提交响应文件的投标商，在提交最后报价之前，可以根据磋商情况退出磋商。</w:t>
      </w:r>
    </w:p>
    <w:p>
      <w:pPr>
        <w:autoSpaceDE w:val="0"/>
        <w:autoSpaceDN w:val="0"/>
        <w:adjustRightInd w:val="0"/>
        <w:spacing w:line="480" w:lineRule="exact"/>
        <w:ind w:firstLine="482" w:firstLineChars="200"/>
        <w:rPr>
          <w:rFonts w:ascii="宋体" w:hAnsi="宋体" w:cs="宋体"/>
          <w:sz w:val="24"/>
          <w:lang w:val="zh-CN"/>
        </w:rPr>
      </w:pPr>
      <w:r>
        <w:rPr>
          <w:rFonts w:hint="eastAsia" w:ascii="宋体" w:hAnsi="宋体" w:cs="宋体"/>
          <w:b/>
          <w:sz w:val="24"/>
        </w:rPr>
        <w:t>4</w:t>
      </w:r>
      <w:r>
        <w:rPr>
          <w:rFonts w:hint="eastAsia" w:ascii="宋体" w:hAnsi="宋体" w:cs="宋体"/>
          <w:b/>
          <w:kern w:val="0"/>
          <w:sz w:val="24"/>
        </w:rPr>
        <w:t>.</w:t>
      </w:r>
      <w:r>
        <w:rPr>
          <w:rFonts w:hint="eastAsia" w:ascii="宋体" w:hAnsi="宋体" w:cs="宋体"/>
          <w:b/>
          <w:bCs/>
          <w:sz w:val="24"/>
          <w:lang w:val="zh-CN"/>
        </w:rPr>
        <w:t>【商务标】</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（1）(初次)磋商报价一览表（按附件格式填写）</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（2）中小企业声明函（附件:小微企业投标时适用）</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（3）残疾人福利性单位声明函（附件:残疾人福利性单位投标时适用）</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（4）政府采购政策情况表（附件:小微企业、残疾人福利性单位、监狱企业投标时适用）</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注：①投标报价应以人民币为结算货币。须</w:t>
      </w:r>
      <w:r>
        <w:rPr>
          <w:rFonts w:hint="eastAsia" w:ascii="宋体" w:hAnsi="宋体" w:cs="宋体"/>
          <w:b/>
          <w:bCs/>
          <w:sz w:val="24"/>
        </w:rPr>
        <w:t>包括</w:t>
      </w:r>
      <w:r>
        <w:rPr>
          <w:rFonts w:hint="eastAsia" w:ascii="宋体" w:hAnsi="宋体" w:eastAsia="宋体" w:cs="Times New Roman"/>
          <w:b/>
          <w:bCs/>
          <w:sz w:val="24"/>
        </w:rPr>
        <w:t>报价包括人工、项目评审、交通、验收合格、咨询费、招待费、售后服务、培训、保险、税金等所有费用</w:t>
      </w:r>
      <w:r>
        <w:rPr>
          <w:rFonts w:hint="eastAsia" w:ascii="宋体" w:hAnsi="宋体" w:eastAsia="宋体" w:cs="Times New Roman"/>
          <w:b/>
          <w:bCs/>
          <w:sz w:val="24"/>
          <w:lang w:eastAsia="zh-CN"/>
        </w:rPr>
        <w:t>，</w:t>
      </w:r>
      <w:r>
        <w:rPr>
          <w:rFonts w:hint="eastAsia" w:ascii="宋体" w:hAnsi="宋体" w:eastAsia="宋体" w:cs="Times New Roman"/>
          <w:b/>
          <w:bCs/>
          <w:sz w:val="24"/>
        </w:rPr>
        <w:t>投标报价为投标方所能承受的最低、最终一次性报价</w:t>
      </w:r>
      <w:r>
        <w:rPr>
          <w:rFonts w:hint="eastAsia" w:ascii="宋体" w:hAnsi="宋体" w:eastAsia="宋体" w:cs="Times New Roman"/>
          <w:sz w:val="24"/>
        </w:rPr>
        <w:t>。</w:t>
      </w:r>
      <w:r>
        <w:rPr>
          <w:rFonts w:hint="eastAsia" w:ascii="宋体" w:hAnsi="宋体" w:cs="宋体"/>
          <w:b/>
          <w:bCs/>
          <w:sz w:val="24"/>
        </w:rPr>
        <w:t>，须由中标单位开具正式发票。</w:t>
      </w:r>
      <w:r>
        <w:rPr>
          <w:rFonts w:hint="eastAsia" w:ascii="宋体" w:hAnsi="宋体" w:cs="宋体"/>
          <w:sz w:val="24"/>
        </w:rPr>
        <w:t>投标方的投标报价为整个采购项目的总报价，如有漏项，视同已包含在其总项目中，合同总价不做调整。</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②供应商必须对本次采购所有设备按规定的数量进行唯一报价，采购人不接受任何有选择的报价，少报、漏报的投标报价无效。</w:t>
      </w:r>
    </w:p>
    <w:p>
      <w:pPr>
        <w:autoSpaceDE w:val="0"/>
        <w:autoSpaceDN w:val="0"/>
        <w:adjustRightInd w:val="0"/>
        <w:spacing w:line="480" w:lineRule="exact"/>
        <w:ind w:firstLine="482" w:firstLineChars="200"/>
        <w:rPr>
          <w:rFonts w:ascii="宋体" w:hAnsi="宋体" w:cs="宋体"/>
          <w:sz w:val="24"/>
        </w:rPr>
      </w:pPr>
      <w:r>
        <w:rPr>
          <w:rFonts w:hint="eastAsia" w:ascii="宋体" w:hAnsi="宋体" w:cs="宋体"/>
          <w:b/>
          <w:sz w:val="24"/>
        </w:rPr>
        <w:t>4</w:t>
      </w:r>
      <w:r>
        <w:rPr>
          <w:rFonts w:hint="eastAsia" w:ascii="宋体" w:hAnsi="宋体" w:cs="宋体"/>
          <w:sz w:val="24"/>
        </w:rPr>
        <w:t>.</w:t>
      </w:r>
      <w:r>
        <w:rPr>
          <w:rFonts w:hint="eastAsia" w:ascii="宋体" w:hAnsi="宋体" w:cs="宋体"/>
          <w:b/>
          <w:bCs/>
          <w:sz w:val="24"/>
        </w:rPr>
        <w:t>【技术标】</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（一）资格文件</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（1）投标函（按附件格式填写）；</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（2）投标声明书（按附件格式填写）；</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（3）《企业营业执照》；</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（4）法定代表人授权委托书、响应方代表身份证扫描件（加盖公章）；</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（5）投标单位情况表（按附件格式填写）；</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（6）符合《中华人民共和国政府采购法》第二十二条规定的《供应商市场行为信誉情况承诺书》（按附件格式填写）；</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（7）投标人认为有必要提供的其它文件。</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（二）技术文件</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（1）评分响应表（格式见附件）；</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（2）投标产品符合度（格式见附件）；</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）项目实施方案；</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）类似业绩（格式见附件）；</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）售后服务保障；</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投标人需要说明的技术评标表所列的各项内容（格式自拟）；</w:t>
      </w:r>
    </w:p>
    <w:p>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）无围标串标等负面行为承诺书（格式见附件）。</w:t>
      </w:r>
    </w:p>
    <w:p>
      <w:pPr>
        <w:autoSpaceDE w:val="0"/>
        <w:autoSpaceDN w:val="0"/>
        <w:adjustRightInd w:val="0"/>
        <w:spacing w:line="480" w:lineRule="exact"/>
        <w:ind w:firstLine="480" w:firstLineChars="200"/>
        <w:rPr>
          <w:rFonts w:ascii="宋体" w:hAnsi="宋体" w:cs="宋体"/>
          <w:sz w:val="24"/>
          <w:u w:val="single"/>
        </w:rPr>
      </w:pPr>
      <w:r>
        <w:rPr>
          <w:rFonts w:hint="eastAsia" w:ascii="宋体" w:hAnsi="宋体" w:cs="宋体"/>
          <w:sz w:val="24"/>
          <w:u w:val="single"/>
        </w:rPr>
        <w:t>投标商在投标报价中应充分考虑所有可能发生的费用，否则采购人将视投标总价中已包括所有费用。</w:t>
      </w:r>
    </w:p>
    <w:p>
      <w:pPr>
        <w:autoSpaceDE w:val="0"/>
        <w:autoSpaceDN w:val="0"/>
        <w:adjustRightInd w:val="0"/>
        <w:spacing w:line="480" w:lineRule="exact"/>
        <w:ind w:firstLine="480" w:firstLineChars="200"/>
        <w:rPr>
          <w:rFonts w:ascii="宋体" w:hAnsi="宋体" w:cs="宋体"/>
          <w:sz w:val="24"/>
          <w:u w:val="single"/>
        </w:rPr>
      </w:pPr>
      <w:r>
        <w:rPr>
          <w:rFonts w:hint="eastAsia" w:ascii="宋体" w:hAnsi="宋体" w:cs="宋体"/>
          <w:sz w:val="24"/>
          <w:u w:val="single"/>
        </w:rPr>
        <w:t>投标商对在合同执行中，除上述费用及招标文件规定的由中标人负责的工作范围以外需要买方协调或提供便利的工作应当在投标文件中说明。</w:t>
      </w:r>
    </w:p>
    <w:p>
      <w:pPr>
        <w:autoSpaceDE w:val="0"/>
        <w:autoSpaceDN w:val="0"/>
        <w:adjustRightInd w:val="0"/>
        <w:spacing w:line="480" w:lineRule="exact"/>
        <w:ind w:firstLine="480" w:firstLineChars="200"/>
        <w:rPr>
          <w:rFonts w:ascii="宋体" w:hAnsi="宋体" w:cs="宋体"/>
          <w:bCs/>
          <w:sz w:val="24"/>
        </w:rPr>
      </w:pPr>
      <w:r>
        <w:rPr>
          <w:rFonts w:hint="eastAsia" w:ascii="宋体" w:hAnsi="宋体" w:cs="宋体"/>
          <w:bCs/>
          <w:sz w:val="24"/>
        </w:rPr>
        <w:t>填写报价表格时，各项费用应如实填写，如已含在产品价格中，则填“含”，如免费则填“免”，不允许空白。</w:t>
      </w:r>
    </w:p>
    <w:p>
      <w:pPr>
        <w:autoSpaceDE w:val="0"/>
        <w:autoSpaceDN w:val="0"/>
        <w:adjustRightInd w:val="0"/>
        <w:spacing w:line="480" w:lineRule="exact"/>
        <w:ind w:firstLine="482" w:firstLineChars="200"/>
        <w:textAlignment w:val="bottom"/>
        <w:rPr>
          <w:rFonts w:ascii="宋体" w:hAnsi="宋体" w:cs="宋体"/>
          <w:b/>
          <w:sz w:val="24"/>
          <w:u w:val="single"/>
        </w:rPr>
      </w:pPr>
      <w:r>
        <w:rPr>
          <w:rFonts w:hint="eastAsia" w:ascii="宋体" w:hAnsi="宋体" w:cs="宋体"/>
          <w:b/>
          <w:bCs/>
          <w:color w:val="000000"/>
          <w:sz w:val="24"/>
          <w:u w:val="single"/>
        </w:rPr>
        <w:t>注：</w:t>
      </w:r>
      <w:r>
        <w:rPr>
          <w:rFonts w:hint="eastAsia" w:ascii="宋体" w:hAnsi="宋体" w:cs="宋体"/>
          <w:b/>
          <w:color w:val="000000"/>
          <w:sz w:val="24"/>
          <w:u w:val="single"/>
        </w:rPr>
        <w:t>电子投标文件（包括商务标、技术标）中磋商文件要求加盖公章的部分及带有“▲”的必须加盖单位CA章。</w:t>
      </w:r>
    </w:p>
    <w:p>
      <w:pPr>
        <w:pStyle w:val="19"/>
        <w:snapToGrid w:val="0"/>
        <w:spacing w:line="480" w:lineRule="exact"/>
        <w:ind w:left="105" w:leftChars="50" w:firstLine="361" w:firstLineChars="150"/>
        <w:jc w:val="left"/>
        <w:rPr>
          <w:rFonts w:hAnsi="宋体" w:cs="宋体"/>
          <w:b/>
          <w:bCs/>
          <w:kern w:val="0"/>
          <w:sz w:val="24"/>
          <w:szCs w:val="24"/>
        </w:rPr>
      </w:pPr>
      <w:bookmarkStart w:id="26" w:name="_Toc17716"/>
      <w:r>
        <w:rPr>
          <w:rFonts w:hint="eastAsia" w:hAnsi="宋体" w:cs="宋体"/>
          <w:b/>
          <w:bCs/>
          <w:kern w:val="0"/>
          <w:sz w:val="24"/>
          <w:szCs w:val="24"/>
        </w:rPr>
        <w:t>6、竞争性磋商响应文件的签署和份数</w:t>
      </w:r>
    </w:p>
    <w:p>
      <w:pPr>
        <w:pStyle w:val="19"/>
        <w:snapToGrid w:val="0"/>
        <w:spacing w:line="480" w:lineRule="exact"/>
        <w:ind w:left="105" w:leftChars="50" w:firstLine="361" w:firstLineChars="150"/>
        <w:jc w:val="left"/>
        <w:rPr>
          <w:rFonts w:hAnsi="宋体" w:cs="宋体"/>
          <w:b/>
          <w:bCs/>
          <w:kern w:val="0"/>
          <w:sz w:val="24"/>
          <w:szCs w:val="24"/>
        </w:rPr>
      </w:pPr>
      <w:r>
        <w:rPr>
          <w:rFonts w:hint="eastAsia" w:hAnsi="宋体" w:cs="宋体"/>
          <w:b/>
          <w:bCs/>
          <w:kern w:val="0"/>
          <w:sz w:val="24"/>
          <w:szCs w:val="24"/>
        </w:rPr>
        <w:t>电子竞争性磋商响应文件</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电子竞争性磋商响应文件</w:t>
      </w:r>
      <w:r>
        <w:rPr>
          <w:rFonts w:hint="eastAsia" w:hAnsi="宋体" w:cs="宋体"/>
          <w:b/>
          <w:sz w:val="24"/>
          <w:szCs w:val="24"/>
        </w:rPr>
        <w:t>应根据“政采云供应商项目采购-电子招投标操作指南”及本磋商文件规定的格式和顺序编制电子投标文件并进行关联定位。</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 xml:space="preserve">竞争性磋商响应文件需打印或用不褪色的墨水填写。竞争性磋商响应文件的装订顺序应按竞争性磋商须知第十二条所列顺序装订。                                                                                                                                                                                                                                                                                                        </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所有竞争性磋商响应文件</w:t>
      </w:r>
      <w:r>
        <w:rPr>
          <w:rFonts w:hint="eastAsia" w:ascii="宋体" w:hAnsi="宋体" w:cs="宋体"/>
          <w:bCs/>
          <w:sz w:val="24"/>
        </w:rPr>
        <w:t>对签字、盖章有特别要求的地方，纸质版本投标文件无论正本或副本（副本可以是正本的复印件）必须由投标人法定代表人或法定代表人的授权委托人签署并加盖单位公章。电子投标文件中，投标人可以将扫描件上传至政采云系统，采用CA签章。投标人应写全称。</w:t>
      </w:r>
    </w:p>
    <w:p>
      <w:pPr>
        <w:pStyle w:val="19"/>
        <w:snapToGrid w:val="0"/>
        <w:spacing w:line="480" w:lineRule="exact"/>
        <w:ind w:left="105" w:leftChars="50" w:firstLine="361" w:firstLineChars="150"/>
        <w:jc w:val="left"/>
        <w:rPr>
          <w:rFonts w:hAnsi="宋体" w:cs="宋体"/>
          <w:b/>
          <w:bCs/>
          <w:kern w:val="0"/>
          <w:sz w:val="24"/>
          <w:szCs w:val="24"/>
        </w:rPr>
      </w:pPr>
      <w:r>
        <w:rPr>
          <w:rFonts w:hint="eastAsia" w:hAnsi="宋体" w:cs="宋体"/>
          <w:b/>
          <w:bCs/>
          <w:kern w:val="0"/>
          <w:sz w:val="24"/>
          <w:szCs w:val="24"/>
        </w:rPr>
        <w:t>7、竞争性磋商响应文件的递交</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▲1）本项目实行“网上投标、电子评标”，投标人应于投标截止时间前在“政采云”（电子交易平台）上传输、递交电子版投标文件（包括商务标、技术标）；</w:t>
      </w:r>
    </w:p>
    <w:p>
      <w:pPr>
        <w:snapToGrid w:val="0"/>
        <w:spacing w:line="480" w:lineRule="exact"/>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bCs/>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3）投标人仅提交电子备份投标文件的，投标无效；</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4）本项目不强制投标人提交电子备份投标文件；如在开评标时出现电子投标文件无法解密或解密失败等情况，因投标人未提供电子备份投标文件而造成投标无效等一切后果和风险由投标人自行承担。</w:t>
      </w:r>
    </w:p>
    <w:p>
      <w:pPr>
        <w:pStyle w:val="19"/>
        <w:snapToGrid w:val="0"/>
        <w:spacing w:line="480" w:lineRule="exact"/>
        <w:ind w:left="105" w:leftChars="50" w:firstLine="361" w:firstLineChars="150"/>
        <w:jc w:val="left"/>
        <w:rPr>
          <w:rFonts w:hAnsi="宋体" w:cs="宋体"/>
          <w:b/>
          <w:bCs/>
          <w:kern w:val="0"/>
          <w:sz w:val="24"/>
          <w:szCs w:val="24"/>
        </w:rPr>
      </w:pPr>
      <w:r>
        <w:rPr>
          <w:rFonts w:hint="eastAsia" w:hAnsi="宋体" w:cs="宋体"/>
          <w:b/>
          <w:bCs/>
          <w:kern w:val="0"/>
          <w:sz w:val="24"/>
          <w:szCs w:val="24"/>
        </w:rPr>
        <w:t>5）中标方在领取中标通知书前，须向</w:t>
      </w:r>
      <w:r>
        <w:rPr>
          <w:rFonts w:hint="eastAsia" w:hAnsi="宋体" w:cs="宋体"/>
          <w:b/>
          <w:bCs/>
          <w:kern w:val="0"/>
          <w:sz w:val="24"/>
          <w:szCs w:val="24"/>
          <w:lang w:eastAsia="zh-CN"/>
        </w:rPr>
        <w:t>代理单位</w:t>
      </w:r>
      <w:r>
        <w:rPr>
          <w:rFonts w:hint="eastAsia" w:hAnsi="宋体" w:cs="宋体"/>
          <w:b/>
          <w:bCs/>
          <w:kern w:val="0"/>
          <w:sz w:val="24"/>
          <w:szCs w:val="24"/>
        </w:rPr>
        <w:t>提供纸质投标文件；中标方须提商务标和技术标正本各1份、副本各</w:t>
      </w:r>
      <w:r>
        <w:rPr>
          <w:rFonts w:hint="eastAsia" w:hAnsi="宋体" w:cs="宋体"/>
          <w:b/>
          <w:bCs/>
          <w:kern w:val="0"/>
          <w:sz w:val="24"/>
          <w:szCs w:val="24"/>
          <w:lang w:val="en-US" w:eastAsia="zh-CN"/>
        </w:rPr>
        <w:t>1</w:t>
      </w:r>
      <w:r>
        <w:rPr>
          <w:rFonts w:hint="eastAsia" w:hAnsi="宋体" w:cs="宋体"/>
          <w:b/>
          <w:bCs/>
          <w:kern w:val="0"/>
          <w:sz w:val="24"/>
          <w:szCs w:val="24"/>
        </w:rPr>
        <w:t>份，分别编制并单独装订成册；封面应注明“正本”、“副本”字样。（递交或邮寄地址：</w:t>
      </w:r>
      <w:r>
        <w:rPr>
          <w:rFonts w:hint="eastAsia" w:hAnsi="宋体" w:cs="宋体"/>
          <w:b/>
          <w:bCs/>
          <w:kern w:val="0"/>
          <w:sz w:val="24"/>
          <w:szCs w:val="24"/>
          <w:lang w:eastAsia="zh-CN"/>
        </w:rPr>
        <w:t>浙江展图工程咨询有限公司</w:t>
      </w:r>
      <w:r>
        <w:rPr>
          <w:rFonts w:hint="eastAsia" w:hAnsi="宋体" w:cs="宋体"/>
          <w:b/>
          <w:bCs/>
          <w:kern w:val="0"/>
          <w:sz w:val="24"/>
          <w:szCs w:val="24"/>
        </w:rPr>
        <w:t>（磐安县安文街道花月路211号建设大厦</w:t>
      </w:r>
      <w:r>
        <w:rPr>
          <w:rFonts w:hint="eastAsia" w:hAnsi="宋体" w:cs="宋体"/>
          <w:b/>
          <w:bCs/>
          <w:kern w:val="0"/>
          <w:sz w:val="24"/>
          <w:szCs w:val="24"/>
          <w:lang w:val="en-US" w:eastAsia="zh-CN"/>
        </w:rPr>
        <w:t>12</w:t>
      </w:r>
      <w:r>
        <w:rPr>
          <w:rFonts w:hint="eastAsia" w:hAnsi="宋体" w:cs="宋体"/>
          <w:b/>
          <w:bCs/>
          <w:kern w:val="0"/>
          <w:sz w:val="24"/>
          <w:szCs w:val="24"/>
        </w:rPr>
        <w:t>楼）；电话：0579-8466</w:t>
      </w:r>
      <w:r>
        <w:rPr>
          <w:rFonts w:hint="eastAsia" w:hAnsi="宋体" w:cs="宋体"/>
          <w:b/>
          <w:bCs/>
          <w:kern w:val="0"/>
          <w:sz w:val="24"/>
          <w:szCs w:val="24"/>
          <w:lang w:val="en-US" w:eastAsia="zh-CN"/>
        </w:rPr>
        <w:t>9847</w:t>
      </w:r>
      <w:r>
        <w:rPr>
          <w:rFonts w:hint="eastAsia" w:hAnsi="宋体" w:cs="宋体"/>
          <w:b/>
          <w:bCs/>
          <w:kern w:val="0"/>
          <w:sz w:val="24"/>
          <w:szCs w:val="24"/>
        </w:rPr>
        <w:t>）</w:t>
      </w:r>
    </w:p>
    <w:p>
      <w:pPr>
        <w:pStyle w:val="19"/>
        <w:snapToGrid w:val="0"/>
        <w:spacing w:line="480" w:lineRule="exact"/>
        <w:ind w:left="105" w:leftChars="50" w:firstLine="361" w:firstLineChars="150"/>
        <w:jc w:val="left"/>
        <w:rPr>
          <w:rFonts w:hAnsi="宋体" w:cs="宋体"/>
          <w:b/>
          <w:bCs/>
          <w:kern w:val="0"/>
          <w:sz w:val="24"/>
          <w:szCs w:val="24"/>
        </w:rPr>
      </w:pPr>
      <w:r>
        <w:rPr>
          <w:rFonts w:hint="eastAsia" w:hAnsi="宋体" w:cs="宋体"/>
          <w:b/>
          <w:bCs/>
          <w:kern w:val="0"/>
          <w:sz w:val="24"/>
          <w:szCs w:val="24"/>
        </w:rPr>
        <w:t>6）有下列情况之一者其投标无效</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⑴响应文件逾期送达的；</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⑵不具备磋商谈判文件规定资格要求；</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⑶磋商响应文件未按谈判文件要求签署、盖章的，未有效授权的；</w:t>
      </w:r>
    </w:p>
    <w:p>
      <w:pPr>
        <w:pStyle w:val="19"/>
        <w:snapToGrid w:val="0"/>
        <w:spacing w:line="480" w:lineRule="exact"/>
        <w:ind w:left="105" w:leftChars="50" w:firstLine="361" w:firstLineChars="150"/>
        <w:jc w:val="left"/>
        <w:rPr>
          <w:rFonts w:hAnsi="宋体" w:cs="宋体"/>
          <w:kern w:val="0"/>
          <w:sz w:val="24"/>
          <w:szCs w:val="24"/>
        </w:rPr>
      </w:pPr>
      <w:r>
        <w:rPr>
          <w:rFonts w:hint="eastAsia" w:hAnsi="宋体" w:cs="宋体"/>
          <w:b/>
          <w:bCs/>
          <w:color w:val="FF0000"/>
          <w:kern w:val="0"/>
          <w:sz w:val="24"/>
          <w:szCs w:val="24"/>
        </w:rPr>
        <w:t>⑷磋商谈判文件中有▲处条款供应商未作实质性响应的；</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⑸磋商响应文件关键内容字迹模糊、无法辨认的；</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⑹磋商响应文件含有采购人不能接受的附加条件的；</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⑺报价超出谈判文件中规定的预算金额或者最高限价的；</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⑻提供虚假材料谋取成交的；</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⑼不符合法律、法规和谈判文件规定的其他实质性要求的。</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⑽电子磋商响应文件解密失败的；</w:t>
      </w:r>
    </w:p>
    <w:p>
      <w:pPr>
        <w:pStyle w:val="19"/>
        <w:snapToGrid w:val="0"/>
        <w:spacing w:line="480" w:lineRule="exact"/>
        <w:ind w:left="105" w:leftChars="50" w:firstLine="360" w:firstLineChars="150"/>
        <w:jc w:val="left"/>
        <w:rPr>
          <w:rFonts w:hAnsi="宋体" w:cs="宋体"/>
          <w:kern w:val="0"/>
          <w:sz w:val="24"/>
          <w:szCs w:val="24"/>
        </w:rPr>
      </w:pPr>
      <w:r>
        <w:rPr>
          <w:rFonts w:hint="eastAsia" w:hAnsi="宋体" w:cs="宋体"/>
          <w:kern w:val="0"/>
          <w:sz w:val="24"/>
          <w:szCs w:val="24"/>
        </w:rPr>
        <w:t>⑾电子磋商响应文件未按规定要求提供电子签章的；</w:t>
      </w:r>
    </w:p>
    <w:p>
      <w:pPr>
        <w:snapToGrid w:val="0"/>
        <w:spacing w:line="480" w:lineRule="exact"/>
        <w:jc w:val="center"/>
        <w:outlineLvl w:val="1"/>
        <w:rPr>
          <w:rFonts w:ascii="宋体" w:hAnsi="宋体" w:cs="宋体"/>
          <w:b/>
          <w:kern w:val="44"/>
          <w:sz w:val="24"/>
        </w:rPr>
      </w:pPr>
      <w:r>
        <w:rPr>
          <w:rFonts w:hint="eastAsia" w:ascii="宋体" w:hAnsi="宋体" w:cs="宋体"/>
          <w:b/>
          <w:kern w:val="44"/>
          <w:sz w:val="24"/>
        </w:rPr>
        <w:t>五 谈判与评标</w:t>
      </w:r>
      <w:bookmarkEnd w:id="26"/>
    </w:p>
    <w:p>
      <w:pPr>
        <w:pStyle w:val="19"/>
        <w:snapToGrid w:val="0"/>
        <w:spacing w:line="480" w:lineRule="exact"/>
        <w:jc w:val="left"/>
        <w:rPr>
          <w:rFonts w:hAnsi="宋体" w:cs="宋体"/>
          <w:b/>
          <w:sz w:val="24"/>
          <w:szCs w:val="24"/>
        </w:rPr>
      </w:pPr>
      <w:bookmarkStart w:id="27" w:name="_Toc30021"/>
      <w:r>
        <w:rPr>
          <w:rFonts w:hint="eastAsia" w:hAnsi="宋体" w:cs="宋体"/>
          <w:b/>
          <w:sz w:val="24"/>
          <w:szCs w:val="24"/>
        </w:rPr>
        <w:t>一十三、磋商小组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采购代理机构在“前附表”中规定的时间、地点，在有关部门的监督下组织竞争性磋商会议。投标商须由法定代表人持有效身份证件或委托代理机构持授权委托书和有效身份证件参加。未能按要求提交证件的视为不合格投标商，将拒绝其进入磋商程序。采购人将根据本次采购的特点，按照《中华人民共和国政府采购法》规定成立磋商小组。磋商小组对投标文件进行审查、质疑、评估和比较，并进行磋商、定标。</w:t>
      </w:r>
    </w:p>
    <w:p>
      <w:pPr>
        <w:pStyle w:val="19"/>
        <w:snapToGrid w:val="0"/>
        <w:spacing w:line="480" w:lineRule="exact"/>
        <w:jc w:val="left"/>
        <w:rPr>
          <w:rFonts w:hAnsi="宋体" w:cs="宋体"/>
          <w:b/>
          <w:sz w:val="24"/>
          <w:szCs w:val="24"/>
        </w:rPr>
      </w:pPr>
      <w:r>
        <w:rPr>
          <w:rFonts w:hint="eastAsia" w:hAnsi="宋体" w:cs="宋体"/>
          <w:b/>
          <w:sz w:val="24"/>
          <w:szCs w:val="24"/>
        </w:rPr>
        <w:t>一十四、对“投标文件”的审查和响应性</w:t>
      </w:r>
    </w:p>
    <w:p>
      <w:pPr>
        <w:pStyle w:val="19"/>
        <w:snapToGrid w:val="0"/>
        <w:spacing w:line="480" w:lineRule="exact"/>
        <w:ind w:firstLine="482" w:firstLineChars="200"/>
        <w:jc w:val="left"/>
        <w:rPr>
          <w:rFonts w:hAnsi="宋体" w:cs="宋体"/>
          <w:color w:val="000000"/>
          <w:kern w:val="0"/>
          <w:sz w:val="24"/>
          <w:szCs w:val="24"/>
        </w:rPr>
      </w:pPr>
      <w:r>
        <w:rPr>
          <w:rFonts w:hint="eastAsia" w:hAnsi="宋体" w:cs="宋体"/>
          <w:b/>
          <w:color w:val="000000"/>
          <w:kern w:val="0"/>
          <w:sz w:val="24"/>
          <w:szCs w:val="24"/>
        </w:rPr>
        <w:t>1</w:t>
      </w:r>
      <w:r>
        <w:rPr>
          <w:rFonts w:hint="eastAsia" w:hAnsi="宋体" w:cs="宋体"/>
          <w:color w:val="000000"/>
          <w:kern w:val="0"/>
          <w:sz w:val="24"/>
          <w:szCs w:val="24"/>
        </w:rPr>
        <w:t>.磋商小组就所有投标文件是否对磋商文件的实质性要求作出完全响应进行资格初审，确定合格投标人。</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①磋商小组审查“投标文件”是否完整；是否有计算错误；文件是否恰当地签署。</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②在对“投标文件”进行详细评估之前，磋商小组将依据投标方提供的“资信文件”审查投标方的技术和服务或生产能力。如果确定投标方无资格履行合同，其投标将被拒绝。</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kern w:val="0"/>
          <w:sz w:val="24"/>
        </w:rPr>
      </w:pPr>
      <w:r>
        <w:rPr>
          <w:rFonts w:hint="eastAsia" w:ascii="宋体" w:hAnsi="宋体" w:cs="宋体"/>
          <w:color w:val="000000"/>
          <w:kern w:val="0"/>
          <w:sz w:val="24"/>
        </w:rPr>
        <w:t>③磋商小组将确定每份投标文件是否对“磋商文件”的要求，作出了实质性的响应而没有重大偏离。实质上响应的投标应该是与磋商文件要求的全部条款、条件和规格相符且没有重大偏离的投标。对投标文件中的商务文件和技术文件的负偏离（使采购人无法接受）、反对将被认为是实质上的偏离，而纠正这些偏离将影响到其它提交实质性响应投标的投标人的公平竞争地位。实质偏离除本须知中列明的事项外，还包括：超出经营范围投标；投标文件未按第十七条和十九条的要求签署和盖章；投标文件明显不满足磋商文件的技术规格、技术标准要求或超出偏差范围。</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④磋商小组判断“投标文件”的响应性，仅基于“投标文件”本身而不靠外部证据。</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⑤采购人将拒绝被磋商小组确定为非实质性响应的投标方。投标方不能通过修正或撤销不符之处，而使其投标成为实质性响应的投标。</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rFonts w:ascii="宋体" w:hAnsi="宋体" w:cs="宋体"/>
          <w:color w:val="000000"/>
          <w:kern w:val="0"/>
          <w:sz w:val="24"/>
        </w:rPr>
      </w:pPr>
      <w:r>
        <w:rPr>
          <w:rFonts w:hint="eastAsia" w:ascii="宋体" w:hAnsi="宋体" w:cs="宋体"/>
          <w:b/>
          <w:color w:val="000000"/>
          <w:kern w:val="0"/>
          <w:sz w:val="24"/>
        </w:rPr>
        <w:t>2</w:t>
      </w:r>
      <w:r>
        <w:rPr>
          <w:rFonts w:hint="eastAsia" w:ascii="宋体" w:hAnsi="宋体" w:cs="宋体"/>
          <w:color w:val="000000"/>
          <w:kern w:val="0"/>
          <w:sz w:val="24"/>
        </w:rPr>
        <w:t>.</w:t>
      </w:r>
      <w:r>
        <w:rPr>
          <w:rFonts w:hint="eastAsia" w:ascii="宋体" w:hAnsi="宋体" w:cs="宋体"/>
          <w:b/>
          <w:color w:val="000000"/>
          <w:kern w:val="0"/>
          <w:sz w:val="24"/>
        </w:rPr>
        <w:t>投标无效的情形</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241" w:firstLineChars="100"/>
        <w:jc w:val="left"/>
        <w:rPr>
          <w:rFonts w:ascii="宋体" w:hAnsi="宋体" w:cs="宋体"/>
          <w:b/>
          <w:color w:val="000000"/>
          <w:kern w:val="0"/>
          <w:sz w:val="24"/>
        </w:rPr>
      </w:pPr>
      <w:r>
        <w:rPr>
          <w:rFonts w:hint="eastAsia" w:ascii="宋体" w:hAnsi="宋体" w:cs="宋体"/>
          <w:b/>
          <w:color w:val="000000"/>
          <w:kern w:val="0"/>
          <w:sz w:val="24"/>
        </w:rPr>
        <w:t>（1）在符合性审查和商务评审时，如发现下列情形之一的，投标文件将被视为无效：</w:t>
      </w:r>
    </w:p>
    <w:p>
      <w:pPr>
        <w:snapToGrid w:val="0"/>
        <w:spacing w:line="480" w:lineRule="exact"/>
        <w:ind w:firstLine="470" w:firstLineChars="196"/>
        <w:rPr>
          <w:rFonts w:ascii="宋体" w:hAnsi="宋体" w:cs="宋体"/>
          <w:color w:val="000000"/>
          <w:kern w:val="0"/>
          <w:sz w:val="24"/>
        </w:rPr>
      </w:pPr>
      <w:r>
        <w:rPr>
          <w:rFonts w:hint="eastAsia" w:ascii="宋体" w:hAnsi="宋体" w:cs="宋体"/>
          <w:color w:val="000000"/>
          <w:kern w:val="0"/>
          <w:sz w:val="24"/>
        </w:rPr>
        <w:t>①</w:t>
      </w:r>
      <w:r>
        <w:rPr>
          <w:rFonts w:hint="eastAsia" w:ascii="宋体" w:hAnsi="宋体" w:cs="宋体"/>
          <w:color w:val="000000"/>
          <w:sz w:val="24"/>
        </w:rPr>
        <w:t>超出经营范围竞标且法律法规规定属于限制经营或需前置性经营许可的；</w:t>
      </w:r>
    </w:p>
    <w:p>
      <w:pPr>
        <w:snapToGrid w:val="0"/>
        <w:spacing w:line="480" w:lineRule="exact"/>
        <w:ind w:firstLine="470" w:firstLineChars="196"/>
        <w:rPr>
          <w:rFonts w:ascii="宋体" w:hAnsi="宋体" w:cs="宋体"/>
          <w:color w:val="000000"/>
          <w:kern w:val="0"/>
          <w:sz w:val="24"/>
        </w:rPr>
      </w:pPr>
      <w:r>
        <w:rPr>
          <w:rFonts w:hint="eastAsia" w:ascii="宋体" w:hAnsi="宋体" w:cs="宋体"/>
          <w:color w:val="000000"/>
          <w:kern w:val="0"/>
          <w:sz w:val="24"/>
        </w:rPr>
        <w:t>②</w:t>
      </w:r>
      <w:r>
        <w:rPr>
          <w:rFonts w:hint="eastAsia" w:ascii="宋体" w:hAnsi="宋体" w:cs="宋体"/>
          <w:color w:val="000000"/>
          <w:spacing w:val="-4"/>
          <w:sz w:val="24"/>
        </w:rPr>
        <w:t>磋商时不能按采购文件和</w:t>
      </w:r>
      <w:r>
        <w:rPr>
          <w:rFonts w:hint="eastAsia" w:ascii="宋体" w:hAnsi="宋体" w:cs="宋体"/>
          <w:color w:val="000000"/>
          <w:sz w:val="24"/>
        </w:rPr>
        <w:t>磋商小组</w:t>
      </w:r>
      <w:r>
        <w:rPr>
          <w:rFonts w:hint="eastAsia" w:ascii="宋体" w:hAnsi="宋体" w:cs="宋体"/>
          <w:color w:val="000000"/>
          <w:spacing w:val="-4"/>
          <w:sz w:val="24"/>
        </w:rPr>
        <w:t>要求提供相应的资格证明文件</w:t>
      </w:r>
      <w:r>
        <w:rPr>
          <w:rFonts w:hint="eastAsia" w:ascii="宋体" w:hAnsi="宋体" w:cs="宋体"/>
          <w:color w:val="000000"/>
          <w:sz w:val="24"/>
        </w:rPr>
        <w:t>进行资格审查的，或者不符合采购文件标明的资格要求的；</w:t>
      </w:r>
    </w:p>
    <w:p>
      <w:pPr>
        <w:snapToGrid w:val="0"/>
        <w:spacing w:line="480" w:lineRule="exact"/>
        <w:ind w:firstLine="470" w:firstLineChars="196"/>
        <w:rPr>
          <w:rFonts w:ascii="宋体" w:hAnsi="宋体" w:cs="宋体"/>
          <w:color w:val="000000"/>
          <w:kern w:val="0"/>
          <w:sz w:val="24"/>
        </w:rPr>
      </w:pPr>
      <w:r>
        <w:rPr>
          <w:rFonts w:hint="eastAsia" w:ascii="宋体" w:hAnsi="宋体" w:cs="宋体"/>
          <w:color w:val="000000"/>
          <w:kern w:val="0"/>
          <w:sz w:val="24"/>
        </w:rPr>
        <w:t>③</w:t>
      </w:r>
      <w:r>
        <w:rPr>
          <w:rFonts w:hint="eastAsia" w:ascii="宋体" w:hAnsi="宋体" w:cs="宋体"/>
          <w:color w:val="000000"/>
          <w:sz w:val="24"/>
        </w:rPr>
        <w:t>竞争性磋商响应文件所有的声明书、采购响应函和法定代表人授权书原件均无盖单位CA章的,或未按采购文件规定格式</w:t>
      </w:r>
      <w:r>
        <w:rPr>
          <w:rFonts w:hint="eastAsia" w:ascii="宋体" w:hAnsi="宋体" w:cs="宋体"/>
          <w:bCs/>
          <w:color w:val="000000"/>
          <w:kern w:val="0"/>
          <w:sz w:val="24"/>
        </w:rPr>
        <w:t>提供声明书、</w:t>
      </w:r>
      <w:r>
        <w:rPr>
          <w:rFonts w:hint="eastAsia" w:ascii="宋体" w:hAnsi="宋体" w:cs="宋体"/>
          <w:color w:val="000000"/>
          <w:sz w:val="24"/>
        </w:rPr>
        <w:t>采购响应函</w:t>
      </w:r>
      <w:r>
        <w:rPr>
          <w:rFonts w:hint="eastAsia" w:ascii="宋体" w:hAnsi="宋体" w:cs="宋体"/>
          <w:bCs/>
          <w:color w:val="000000"/>
          <w:kern w:val="0"/>
          <w:sz w:val="24"/>
        </w:rPr>
        <w:t>、</w:t>
      </w:r>
      <w:r>
        <w:rPr>
          <w:rFonts w:hint="eastAsia" w:ascii="宋体" w:hAnsi="宋体" w:cs="宋体"/>
          <w:color w:val="000000"/>
          <w:sz w:val="24"/>
        </w:rPr>
        <w:t>供应商市场行为信誉（申明书）情况承诺书</w:t>
      </w:r>
      <w:r>
        <w:rPr>
          <w:rFonts w:hint="eastAsia" w:ascii="宋体" w:hAnsi="宋体" w:cs="宋体"/>
          <w:bCs/>
          <w:color w:val="000000"/>
          <w:kern w:val="0"/>
          <w:sz w:val="24"/>
        </w:rPr>
        <w:t>和</w:t>
      </w:r>
      <w:r>
        <w:rPr>
          <w:rFonts w:hint="eastAsia" w:ascii="宋体" w:hAnsi="宋体" w:cs="宋体"/>
          <w:color w:val="000000"/>
          <w:sz w:val="24"/>
        </w:rPr>
        <w:t>法定代表人授权书</w:t>
      </w:r>
      <w:r>
        <w:rPr>
          <w:rFonts w:hint="eastAsia" w:ascii="宋体" w:hAnsi="宋体" w:cs="宋体"/>
          <w:bCs/>
          <w:color w:val="000000"/>
          <w:kern w:val="0"/>
          <w:sz w:val="24"/>
        </w:rPr>
        <w:t>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④投标代表人未能出具身份证或与法定代表人授权委托人身份不符的；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⑤投标文件格式不规范、项目不齐全或者提供不真实资料的；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⑥投标文件的实质性内容未使用中文表述、意思表述不明确、前后矛盾或者使用计量单位不符合招标文件要求的（经评标委员会认定并允许其当场更正的笔误除外）；</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⑦投标有效期、交货时间、质保期、付款方式等商务条款不能满足招标文件要求的；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sz w:val="24"/>
        </w:rPr>
      </w:pPr>
      <w:r>
        <w:rPr>
          <w:rFonts w:hint="eastAsia" w:ascii="宋体" w:hAnsi="宋体" w:cs="宋体"/>
          <w:color w:val="000000"/>
          <w:kern w:val="0"/>
          <w:sz w:val="24"/>
        </w:rPr>
        <w:t>⑧电子竞争性磋商响应文件解密失败的，且未在规定时间内提交备份竞争性磋商响应文件的，或备份竞争性磋商响应文件均无法评审使用的；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⑼未实质性响应招标文件要求或投标文件有招标方不能接受的附加条件的。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241" w:firstLineChars="100"/>
        <w:jc w:val="left"/>
        <w:rPr>
          <w:rFonts w:ascii="宋体" w:hAnsi="宋体" w:cs="宋体"/>
          <w:b/>
          <w:color w:val="000000"/>
          <w:kern w:val="0"/>
          <w:sz w:val="24"/>
        </w:rPr>
      </w:pPr>
      <w:r>
        <w:rPr>
          <w:rFonts w:hint="eastAsia" w:ascii="宋体" w:hAnsi="宋体" w:cs="宋体"/>
          <w:b/>
          <w:color w:val="000000"/>
          <w:kern w:val="0"/>
          <w:sz w:val="24"/>
        </w:rPr>
        <w:t>（2）在技术评审时，如发现下列情形之一的，投标文件将被视为无效：</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①未提供或未如实提供投标货物的技术参数，或者投标文件标明的响应或偏离与事实不符或虚假投标的；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②明显不符合招标文件要求的规格型号、质量标准，或者与招标文件中标有“</w:t>
      </w:r>
      <w:r>
        <w:rPr>
          <w:rFonts w:hint="eastAsia" w:ascii="宋体" w:hAnsi="宋体" w:cs="宋体"/>
          <w:sz w:val="24"/>
        </w:rPr>
        <w:t>▲</w:t>
      </w:r>
      <w:r>
        <w:rPr>
          <w:rFonts w:hint="eastAsia" w:ascii="宋体" w:hAnsi="宋体" w:cs="宋体"/>
          <w:color w:val="000000"/>
          <w:kern w:val="0"/>
          <w:sz w:val="24"/>
        </w:rPr>
        <w:t>”的技术指标、主要功能项目发生实质性偏离的；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③投标技术方案不明确，存在一个或一个以上备选（替代）投标方案的；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④与其他参加本次投标投标商的投标文件（技术文件）的文字表述内容相同连续20行以上或者差错相同2处以上的；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⑤投标品牌与文件品牌不一致的。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241" w:firstLineChars="100"/>
        <w:jc w:val="left"/>
        <w:rPr>
          <w:rFonts w:ascii="宋体" w:hAnsi="宋体" w:cs="宋体"/>
          <w:b/>
          <w:color w:val="000000"/>
          <w:kern w:val="0"/>
          <w:sz w:val="24"/>
        </w:rPr>
      </w:pPr>
      <w:r>
        <w:rPr>
          <w:rFonts w:hint="eastAsia" w:ascii="宋体" w:hAnsi="宋体" w:cs="宋体"/>
          <w:b/>
          <w:color w:val="000000"/>
          <w:kern w:val="0"/>
          <w:sz w:val="24"/>
        </w:rPr>
        <w:t>（3）在报价评审时，如发现下列情形之一的，投标文件将被视为无效：</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①未采用人民币报价或者未按照招标文件标明的币种报价的；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②报价超出最高限价的；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③投标报价具有选择性，或者开标价格与投标文件承诺的优惠（折扣）价格不一致的；</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④被拒绝的投标文件为无效。</w:t>
      </w:r>
    </w:p>
    <w:p>
      <w:pPr>
        <w:pStyle w:val="19"/>
        <w:snapToGrid w:val="0"/>
        <w:spacing w:line="480" w:lineRule="exact"/>
        <w:jc w:val="left"/>
        <w:rPr>
          <w:rFonts w:hAnsi="宋体" w:cs="宋体"/>
          <w:b/>
          <w:sz w:val="24"/>
          <w:szCs w:val="24"/>
        </w:rPr>
      </w:pPr>
      <w:r>
        <w:rPr>
          <w:rFonts w:hint="eastAsia" w:hAnsi="宋体" w:cs="宋体"/>
          <w:b/>
          <w:sz w:val="24"/>
          <w:szCs w:val="24"/>
        </w:rPr>
        <w:t>一十五、磋商与评审</w:t>
      </w:r>
    </w:p>
    <w:p>
      <w:pPr>
        <w:pStyle w:val="19"/>
        <w:snapToGrid w:val="0"/>
        <w:spacing w:line="480" w:lineRule="exact"/>
        <w:ind w:firstLine="588" w:firstLineChars="245"/>
        <w:jc w:val="left"/>
        <w:rPr>
          <w:rFonts w:hAnsi="宋体" w:cs="宋体"/>
          <w:color w:val="000000"/>
          <w:kern w:val="0"/>
          <w:sz w:val="24"/>
          <w:szCs w:val="24"/>
        </w:rPr>
      </w:pPr>
      <w:r>
        <w:rPr>
          <w:rFonts w:hint="eastAsia" w:hAnsi="宋体" w:cs="宋体"/>
          <w:color w:val="000000"/>
          <w:kern w:val="0"/>
          <w:sz w:val="24"/>
          <w:szCs w:val="24"/>
        </w:rPr>
        <w:t>1．采购人根据需要对合格投标方进行磋商。</w:t>
      </w:r>
    </w:p>
    <w:p>
      <w:pPr>
        <w:pStyle w:val="19"/>
        <w:snapToGrid w:val="0"/>
        <w:spacing w:line="480" w:lineRule="exact"/>
        <w:ind w:firstLine="588" w:firstLineChars="245"/>
        <w:jc w:val="left"/>
        <w:rPr>
          <w:rFonts w:hAnsi="宋体" w:cs="宋体"/>
          <w:b/>
          <w:color w:val="000000"/>
          <w:kern w:val="0"/>
          <w:sz w:val="24"/>
          <w:szCs w:val="24"/>
          <w:u w:val="single"/>
        </w:rPr>
      </w:pPr>
      <w:r>
        <w:rPr>
          <w:rFonts w:hint="eastAsia" w:hAnsi="宋体" w:cs="宋体"/>
          <w:color w:val="000000"/>
          <w:kern w:val="0"/>
          <w:sz w:val="24"/>
          <w:szCs w:val="24"/>
        </w:rPr>
        <w:t>2．磋商小组成员与资格审查合格投标商进行谈判。投标方应由法人代表或法人代表授权的投标人进行磋商。磋商的内容主要有服务内容、服务质量、合同草案，包括当事人的权利和义务、履约期限和方式、资金支付要求、验收标准等投标人所作的重要答复均应补充以书面形式，并经法定代表人或授权人签署，作为投标文件的一部分，对投标人有约束力，但不得对投标内容进行实质性修改。在磋商中，磋商的任何一方不得透露与磋商有关的其他投标商的技术资料、价格和其他信息。专家询标期间，投标方法定代表人或委托代理人必须在场。</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3．为了更好地实现采购目标，磋商小组可能对部分设备进行增删或技术规格、质量要求以及磋商文件的其他条款进行修改，但涉及实质性变动的，要以书面形式通知所有参加磋商的投标商。投标商收到修改磋商文件的通知后，可以决定是否继续参加磋商活动。</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4．如对磋商文件中的设备及规格要求没有更改的，即对商务部分进行评审。如果有更改的则按照新的规定，并在启封商务标之前要求所有参加磋商的投标商对修改磋商文件的通知进行签字，在规定时间内再次报价。超过规定时间提交的报价作无效处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kern w:val="0"/>
          <w:sz w:val="24"/>
        </w:rPr>
        <w:t>5．</w:t>
      </w:r>
      <w:r>
        <w:rPr>
          <w:rFonts w:hint="eastAsia" w:ascii="宋体" w:hAnsi="宋体" w:cs="宋体"/>
          <w:color w:val="000000"/>
          <w:kern w:val="0"/>
          <w:sz w:val="24"/>
        </w:rPr>
        <w:t>在评标过程中，如磋商小组在某个评标阶段发现前一阶段评标过程中出现漏评、错评等特殊情形的，可以由磋商小组遵循公开、公正原则，采取投票方式按照少数服从多数原则做出书面评标意见，当场复评更正评标错误，但此复评仅限于投标商出现重大偏离或未实质性响应招标要求的情形，不得涉及投标商评分得分的更正修改。为此，可能造成的投标商投标文件的开启拆封，评标顺序的变更，采购人、采购组织机构与磋商小组不承担责任。</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FF0000"/>
          <w:kern w:val="0"/>
          <w:sz w:val="24"/>
        </w:rPr>
      </w:pPr>
      <w:r>
        <w:rPr>
          <w:rFonts w:hint="eastAsia" w:ascii="宋体" w:hAnsi="宋体" w:cs="宋体"/>
          <w:color w:val="FF0000"/>
          <w:kern w:val="0"/>
          <w:sz w:val="24"/>
        </w:rPr>
        <w:t>6．如本项目参与投标的投标商不足三家的，本项目做流标处理；如本项目在评审过程中出现有效投标商不足三家的，根据实际情况，可以流标；也可以按《政府采购竞争性磋商采购方式管理暂行办法》的通知【财库〔2014〕214号】文件规定执行。</w:t>
      </w:r>
    </w:p>
    <w:p>
      <w:pPr>
        <w:snapToGrid w:val="0"/>
        <w:spacing w:line="480" w:lineRule="exact"/>
        <w:jc w:val="center"/>
        <w:outlineLvl w:val="1"/>
        <w:rPr>
          <w:rFonts w:ascii="宋体" w:hAnsi="宋体" w:cs="宋体"/>
          <w:b/>
          <w:kern w:val="44"/>
          <w:sz w:val="24"/>
        </w:rPr>
      </w:pPr>
      <w:r>
        <w:rPr>
          <w:rFonts w:hint="eastAsia" w:ascii="宋体" w:hAnsi="宋体" w:cs="宋体"/>
          <w:b/>
          <w:kern w:val="44"/>
          <w:sz w:val="24"/>
        </w:rPr>
        <w:t>六  磋商程序</w:t>
      </w:r>
      <w:bookmarkEnd w:id="27"/>
    </w:p>
    <w:p>
      <w:pPr>
        <w:pStyle w:val="19"/>
        <w:snapToGrid w:val="0"/>
        <w:spacing w:line="480" w:lineRule="exact"/>
        <w:jc w:val="left"/>
        <w:rPr>
          <w:rFonts w:hAnsi="宋体" w:cs="宋体"/>
          <w:b/>
          <w:sz w:val="24"/>
          <w:szCs w:val="24"/>
        </w:rPr>
      </w:pPr>
      <w:bookmarkStart w:id="28" w:name="_Toc15805936"/>
      <w:bookmarkStart w:id="29" w:name="_Toc15813253"/>
      <w:bookmarkStart w:id="30" w:name="_Toc114115351"/>
      <w:bookmarkStart w:id="31" w:name="_Toc44759273"/>
      <w:bookmarkStart w:id="32" w:name="_Toc44759085"/>
      <w:r>
        <w:rPr>
          <w:rFonts w:hint="eastAsia" w:hAnsi="宋体" w:cs="宋体"/>
          <w:b/>
          <w:sz w:val="24"/>
          <w:szCs w:val="24"/>
        </w:rPr>
        <w:t>一十六、磋商程序</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1.磋商会由浙江展图工程咨询有限公司主持，主持人宣布磋商会议开始；</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2.主持人介绍参加磋商会的人员名单；</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3.主持人宣布磋商期间的有关事项，告知应当回避的情形,提请有关人员回避，组织到场供应商签署不存在影响公平竞争的《政府采购活动现场确认声明书》；</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rFonts w:ascii="宋体" w:hAnsi="宋体" w:cs="宋体"/>
          <w:b/>
          <w:bCs/>
          <w:color w:val="000000"/>
          <w:kern w:val="0"/>
          <w:sz w:val="24"/>
        </w:rPr>
      </w:pPr>
      <w:r>
        <w:rPr>
          <w:rFonts w:hint="eastAsia" w:ascii="宋体" w:hAnsi="宋体" w:cs="宋体"/>
          <w:b/>
          <w:bCs/>
          <w:color w:val="000000"/>
          <w:kern w:val="0"/>
          <w:sz w:val="24"/>
        </w:rPr>
        <w:t>4.电子磋商开标及评审程序</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rFonts w:ascii="宋体" w:hAnsi="宋体" w:cs="宋体"/>
          <w:b/>
          <w:bCs/>
          <w:color w:val="000000"/>
          <w:kern w:val="0"/>
          <w:sz w:val="24"/>
          <w:u w:val="single"/>
        </w:rPr>
      </w:pPr>
      <w:r>
        <w:rPr>
          <w:rFonts w:hint="eastAsia" w:ascii="宋体" w:hAnsi="宋体" w:cs="宋体"/>
          <w:b/>
          <w:bCs/>
          <w:color w:val="000000"/>
          <w:kern w:val="0"/>
          <w:sz w:val="24"/>
        </w:rPr>
        <w:t>4.1磋商响应截止时间后，竞标人登录政采云平台，用“项目采购-开标评标”功能对电子竞争性磋商响应文件进行在线解密。</w:t>
      </w:r>
      <w:r>
        <w:rPr>
          <w:rFonts w:hint="eastAsia" w:ascii="宋体" w:hAnsi="宋体" w:cs="宋体"/>
          <w:b/>
          <w:bCs/>
          <w:color w:val="000000"/>
          <w:kern w:val="0"/>
          <w:sz w:val="24"/>
          <w:u w:val="single"/>
        </w:rPr>
        <w:t>在线解密电子竞争性磋商响应文件时间为磋商响应时间起半个小时内。</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rFonts w:ascii="宋体" w:hAnsi="宋体" w:cs="宋体"/>
          <w:b/>
          <w:bCs/>
          <w:color w:val="000000"/>
          <w:kern w:val="0"/>
          <w:sz w:val="24"/>
        </w:rPr>
      </w:pPr>
      <w:r>
        <w:rPr>
          <w:rFonts w:hint="eastAsia" w:ascii="宋体" w:hAnsi="宋体" w:cs="宋体"/>
          <w:b/>
          <w:bCs/>
          <w:color w:val="000000"/>
          <w:kern w:val="0"/>
          <w:sz w:val="24"/>
        </w:rPr>
        <w:t>4.2采购人及采购代理机构依法对磋商响应方的资格进行审查，资格审查结束后磋商小组对竞争性磋商响应文件进行评审；</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rFonts w:ascii="宋体" w:hAnsi="宋体" w:cs="宋体"/>
          <w:b/>
          <w:bCs/>
          <w:color w:val="000000"/>
          <w:kern w:val="0"/>
          <w:sz w:val="24"/>
        </w:rPr>
      </w:pPr>
      <w:r>
        <w:rPr>
          <w:rFonts w:hint="eastAsia" w:ascii="宋体" w:hAnsi="宋体" w:cs="宋体"/>
          <w:b/>
          <w:bCs/>
          <w:color w:val="000000"/>
          <w:kern w:val="0"/>
          <w:sz w:val="24"/>
        </w:rPr>
        <w:t>4.3在系统上公开资格和商务技术评审结果；</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rFonts w:ascii="宋体" w:hAnsi="宋体" w:cs="宋体"/>
          <w:b/>
          <w:bCs/>
          <w:color w:val="000000"/>
          <w:kern w:val="0"/>
          <w:sz w:val="24"/>
        </w:rPr>
      </w:pPr>
      <w:r>
        <w:rPr>
          <w:rFonts w:hint="eastAsia" w:ascii="宋体" w:hAnsi="宋体" w:cs="宋体"/>
          <w:b/>
          <w:bCs/>
          <w:color w:val="000000"/>
          <w:kern w:val="0"/>
          <w:sz w:val="24"/>
        </w:rPr>
        <w:t>4.4在系统上录入最终报价情况；</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rFonts w:ascii="宋体" w:hAnsi="宋体" w:cs="宋体"/>
          <w:b/>
          <w:bCs/>
          <w:color w:val="000000"/>
          <w:kern w:val="0"/>
          <w:sz w:val="24"/>
        </w:rPr>
      </w:pPr>
      <w:r>
        <w:rPr>
          <w:rFonts w:hint="eastAsia" w:ascii="宋体" w:hAnsi="宋体" w:cs="宋体"/>
          <w:b/>
          <w:bCs/>
          <w:color w:val="000000"/>
          <w:kern w:val="0"/>
          <w:sz w:val="24"/>
        </w:rPr>
        <w:t>4.5评标委员会对报价情况进行评审；</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rFonts w:ascii="宋体" w:hAnsi="宋体" w:cs="宋体"/>
          <w:b/>
          <w:bCs/>
          <w:color w:val="000000"/>
          <w:kern w:val="0"/>
          <w:sz w:val="24"/>
        </w:rPr>
      </w:pPr>
      <w:r>
        <w:rPr>
          <w:rFonts w:hint="eastAsia" w:ascii="宋体" w:hAnsi="宋体" w:cs="宋体"/>
          <w:b/>
          <w:bCs/>
          <w:color w:val="000000"/>
          <w:kern w:val="0"/>
          <w:sz w:val="24"/>
        </w:rPr>
        <w:t>4.6在系统上公布评审结果。</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rFonts w:ascii="宋体" w:hAnsi="宋体" w:cs="宋体"/>
          <w:b/>
          <w:bCs/>
          <w:color w:val="000000"/>
          <w:kern w:val="0"/>
          <w:sz w:val="24"/>
        </w:rPr>
      </w:pPr>
      <w:r>
        <w:rPr>
          <w:rFonts w:hint="eastAsia" w:ascii="宋体" w:hAnsi="宋体" w:cs="宋体"/>
          <w:b/>
          <w:bCs/>
          <w:color w:val="000000"/>
          <w:kern w:val="0"/>
          <w:sz w:val="24"/>
        </w:rPr>
        <w:t>特别说明：政采云公司如对电子化开标及评审程序有调整的，按调整后的程序操作。</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rFonts w:ascii="宋体" w:hAnsi="宋体" w:cs="宋体"/>
          <w:b/>
          <w:bCs/>
          <w:color w:val="000000"/>
          <w:kern w:val="0"/>
          <w:sz w:val="24"/>
        </w:rPr>
      </w:pPr>
      <w:r>
        <w:rPr>
          <w:rFonts w:hint="eastAsia" w:ascii="宋体" w:hAnsi="宋体" w:cs="宋体"/>
          <w:b/>
          <w:bCs/>
          <w:color w:val="000000"/>
          <w:kern w:val="0"/>
          <w:sz w:val="24"/>
        </w:rPr>
        <w:t>5. 纸质招投标开标及评审程序（如需）</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5.1磋商响应方检查竞争性磋商响应文件密封的完整性并签字确认；</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5.2竞争性磋商响应文件启封前，磋商响应方代表应书面提出对参加磋商会的主持人、唱读人、纪录人和监督人是否有回避的请求，然经确认无误后打开资格文件、商务技术文件和初次报价文件外包装，清点竞争性磋商响应文件正本、副本数量，将符合采购文件要求的送评标室审核。</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5.3磋商小组确认采购文件，讨论决定是否需要求采购文件的要求（采购文件规定的可变动部分）进行实质性变动。</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b/>
          <w:bCs/>
          <w:color w:val="000000"/>
          <w:kern w:val="0"/>
          <w:sz w:val="24"/>
        </w:rPr>
      </w:pPr>
      <w:r>
        <w:rPr>
          <w:rFonts w:hint="eastAsia" w:ascii="宋体" w:hAnsi="宋体" w:cs="宋体"/>
          <w:color w:val="000000"/>
          <w:kern w:val="0"/>
          <w:sz w:val="24"/>
        </w:rPr>
        <w:t>5.4</w:t>
      </w:r>
      <w:r>
        <w:rPr>
          <w:rFonts w:hint="eastAsia" w:ascii="宋体" w:hAnsi="宋体" w:cs="宋体"/>
          <w:b/>
          <w:bCs/>
          <w:color w:val="FF0000"/>
          <w:kern w:val="0"/>
          <w:sz w:val="24"/>
        </w:rPr>
        <w:t>采购人</w:t>
      </w:r>
      <w:r>
        <w:rPr>
          <w:rFonts w:hint="eastAsia" w:ascii="宋体" w:hAnsi="宋体" w:cs="宋体"/>
          <w:color w:val="000000"/>
          <w:kern w:val="0"/>
          <w:sz w:val="24"/>
        </w:rPr>
        <w:t>检查磋商响应方提交的资格证明文件，对磋商响应方进行资格审查,</w:t>
      </w:r>
      <w:r>
        <w:rPr>
          <w:rFonts w:hint="eastAsia" w:ascii="宋体" w:hAnsi="宋体" w:cs="宋体"/>
          <w:b/>
          <w:bCs/>
          <w:color w:val="000000"/>
          <w:kern w:val="0"/>
          <w:sz w:val="24"/>
        </w:rPr>
        <w:t>包括对供应商在“信用中国”网站（</w:t>
      </w:r>
      <w:r>
        <w:fldChar w:fldCharType="begin"/>
      </w:r>
      <w:r>
        <w:instrText xml:space="preserve"> HYPERLINK "http://www.creditchina.gov.cn" </w:instrText>
      </w:r>
      <w:r>
        <w:fldChar w:fldCharType="separate"/>
      </w:r>
      <w:r>
        <w:rPr>
          <w:rFonts w:hint="eastAsia" w:ascii="宋体" w:hAnsi="宋体" w:cs="宋体"/>
          <w:b/>
          <w:bCs/>
          <w:color w:val="000000"/>
          <w:kern w:val="0"/>
          <w:sz w:val="24"/>
        </w:rPr>
        <w:t>www.creditchina.gov.cn</w:t>
      </w:r>
      <w:r>
        <w:rPr>
          <w:rFonts w:hint="eastAsia" w:ascii="宋体" w:hAnsi="宋体" w:cs="宋体"/>
          <w:b/>
          <w:bCs/>
          <w:color w:val="000000"/>
          <w:kern w:val="0"/>
          <w:sz w:val="24"/>
        </w:rPr>
        <w:fldChar w:fldCharType="end"/>
      </w:r>
      <w:r>
        <w:rPr>
          <w:rFonts w:hint="eastAsia" w:ascii="宋体" w:hAnsi="宋体" w:cs="宋体"/>
          <w:b/>
          <w:bCs/>
          <w:color w:val="000000"/>
          <w:kern w:val="0"/>
          <w:sz w:val="24"/>
        </w:rPr>
        <w:t>）和中国政府采购网（</w:t>
      </w:r>
      <w:r>
        <w:fldChar w:fldCharType="begin"/>
      </w:r>
      <w:r>
        <w:instrText xml:space="preserve"> HYPERLINK "http://www.ccgp.gov.cn" </w:instrText>
      </w:r>
      <w:r>
        <w:fldChar w:fldCharType="separate"/>
      </w:r>
      <w:r>
        <w:rPr>
          <w:rFonts w:hint="eastAsia" w:ascii="宋体" w:hAnsi="宋体" w:cs="宋体"/>
          <w:b/>
          <w:bCs/>
          <w:color w:val="000000"/>
          <w:kern w:val="0"/>
          <w:sz w:val="24"/>
        </w:rPr>
        <w:t>www.ccgp.gov.cn</w:t>
      </w:r>
      <w:r>
        <w:rPr>
          <w:rFonts w:hint="eastAsia" w:ascii="宋体" w:hAnsi="宋体" w:cs="宋体"/>
          <w:b/>
          <w:bCs/>
          <w:color w:val="000000"/>
          <w:kern w:val="0"/>
          <w:sz w:val="24"/>
        </w:rPr>
        <w:fldChar w:fldCharType="end"/>
      </w:r>
      <w:r>
        <w:rPr>
          <w:rFonts w:hint="eastAsia" w:ascii="宋体" w:hAnsi="宋体" w:cs="宋体"/>
          <w:b/>
          <w:bCs/>
          <w:color w:val="000000"/>
          <w:kern w:val="0"/>
          <w:sz w:val="24"/>
        </w:rPr>
        <w:t>）进行信用查询。</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6.磋商小组审核采购响应文件。</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6.1磋商小组按照商务、技术等进行分工审核采购响应文件。各专家在全面审核的基础上有侧重的进行分工。</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6.2依据竞争性磋商文件的规定，从采购响应文件的有效性、完整性和对竞争性磋商文件的响应程度进行审查，以确定是否对磋商文件的实质性要求作出响应。</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6.3磋商小组汇总并讨论审核情况，确定磋商响应方是否具有磋商资格。</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6.4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6.5供应商按照磋商文件的变动情况和磋商小组的要求重新提交响应文件，并由其加盖CA公章。</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7.采购响应文件的澄清。</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等在规定的时间内以书面文件形式提交至磋商小组，其书面文件必须由磋商响应方的法定代表人或其授权代理人签字（或CA签章），作为采购响应文件的补充。如该磋商响应方成为成交供应商，则该磋商响应方的采购响应文件（含所有补充资料）将作为合同的组成部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8.对响应文件初次报价部分进行磋商，要求供应商剔除初次报价中不合理的成分。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9.各磋商响应方在本项目全部磋商结束后进行最终报价，磋商小组对最终报价的合理性进行审核（</w:t>
      </w:r>
      <w:r>
        <w:rPr>
          <w:rFonts w:hint="eastAsia" w:ascii="宋体" w:hAnsi="宋体" w:cs="宋体"/>
          <w:b/>
          <w:bCs/>
          <w:color w:val="000000"/>
          <w:kern w:val="0"/>
          <w:sz w:val="24"/>
        </w:rPr>
        <w:t>最终报价不得高于初次报价，否则为无效报价）</w:t>
      </w:r>
      <w:r>
        <w:rPr>
          <w:rFonts w:hint="eastAsia" w:ascii="宋体" w:hAnsi="宋体" w:cs="宋体"/>
          <w:color w:val="000000"/>
          <w:kern w:val="0"/>
          <w:sz w:val="24"/>
        </w:rPr>
        <w:t>。磋商小组根据评标内容及标准对提交最终报价的供应商的响应文件和最后报价进行综合评分。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10.起草评审报告，所有磋商专家须在评审报告上签字确认。</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11.本项目由采购人（或采购人事先授权磋商小组）按照磋商报告中推荐的排列顺序依法确定成交供应商。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12.采购代理机构公布最终评审结果。</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rFonts w:ascii="宋体" w:hAnsi="宋体" w:cs="宋体"/>
          <w:b/>
          <w:bCs/>
          <w:color w:val="000000"/>
          <w:kern w:val="0"/>
          <w:sz w:val="24"/>
        </w:rPr>
      </w:pPr>
      <w:r>
        <w:rPr>
          <w:rFonts w:hint="eastAsia" w:ascii="宋体" w:hAnsi="宋体" w:cs="宋体"/>
          <w:b/>
          <w:bCs/>
          <w:color w:val="000000"/>
          <w:kern w:val="0"/>
          <w:sz w:val="24"/>
        </w:rPr>
        <w:t>12.1本项目原则上采用政采云电子招投标开标及评审程序，但有下情形之一的，按以下情况处理：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rFonts w:ascii="宋体" w:hAnsi="宋体" w:cs="宋体"/>
          <w:b/>
          <w:bCs/>
          <w:color w:val="000000"/>
          <w:kern w:val="0"/>
          <w:sz w:val="24"/>
        </w:rPr>
      </w:pPr>
      <w:r>
        <w:rPr>
          <w:rFonts w:hint="eastAsia" w:ascii="宋体" w:hAnsi="宋体" w:cs="宋体"/>
          <w:b/>
          <w:bCs/>
          <w:color w:val="000000"/>
          <w:kern w:val="0"/>
          <w:sz w:val="24"/>
        </w:rPr>
        <w:t>12.2若投标人在规定时间内无法解密或解密失败，采购代理机构将开启该投标人递交的备份电子竞争性磋商响应文件，上传至政采云平台项目采购模块，以完成开标，原电子竞争性磋商响应文件自动失效；</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2" w:firstLineChars="225"/>
        <w:jc w:val="left"/>
        <w:rPr>
          <w:rFonts w:ascii="宋体" w:hAnsi="宋体" w:cs="宋体"/>
          <w:b/>
          <w:bCs/>
          <w:color w:val="000000"/>
          <w:kern w:val="0"/>
          <w:sz w:val="24"/>
        </w:rPr>
      </w:pPr>
      <w:r>
        <w:rPr>
          <w:rFonts w:hint="eastAsia" w:ascii="宋体" w:hAnsi="宋体" w:cs="宋体"/>
          <w:b/>
          <w:bCs/>
          <w:color w:val="000000"/>
          <w:kern w:val="0"/>
          <w:sz w:val="24"/>
        </w:rPr>
        <w:t>12.3若因政采云平台原因无法读取或电子开评标无法正常进行，采购代理机构将开启所有投标人递交的纸质备份竞争性磋商响应文件，以完成开标，电子竞争性磋商响应文件及备份电子竞争性磋商响应文件自动失效。</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13.开标会议结束。</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jc w:val="left"/>
        <w:rPr>
          <w:rFonts w:ascii="宋体" w:hAnsi="宋体" w:cs="宋体"/>
          <w:b/>
          <w:bCs/>
          <w:color w:val="000000"/>
          <w:kern w:val="0"/>
          <w:sz w:val="24"/>
        </w:rPr>
      </w:pPr>
      <w:r>
        <w:rPr>
          <w:rFonts w:hint="eastAsia" w:ascii="宋体" w:hAnsi="宋体" w:cs="宋体"/>
          <w:b/>
          <w:bCs/>
          <w:color w:val="000000"/>
          <w:kern w:val="0"/>
          <w:sz w:val="24"/>
        </w:rPr>
        <w:t>一十七、采购响应文件计算错误的修正</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A.采购响应文件中磋商报价一览表内容与采购响应文件中磋商分项报价表内容不一致的，以磋商报价一览表为准；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B.采购响应文件的大写金额和小写金额不一致的，以大写金额为准；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C.总价金额与按单价汇总金额不一致的，以单价金额计算结果为准；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D.单价金额小数点有明显错位的，应以总价为准，并修改单价；</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E.对不同文字文本采购响应文件的解释发生异议的，以中文文本为准。</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jc w:val="left"/>
        <w:rPr>
          <w:rFonts w:ascii="宋体" w:hAnsi="宋体" w:cs="宋体"/>
          <w:b/>
          <w:bCs/>
          <w:color w:val="000000"/>
          <w:kern w:val="0"/>
          <w:sz w:val="24"/>
        </w:rPr>
      </w:pPr>
      <w:r>
        <w:rPr>
          <w:rFonts w:hint="eastAsia" w:ascii="宋体" w:hAnsi="宋体" w:cs="宋体"/>
          <w:b/>
          <w:bCs/>
          <w:color w:val="000000"/>
          <w:kern w:val="0"/>
          <w:sz w:val="24"/>
        </w:rPr>
        <w:t>一十八、投标文件的澄清</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r>
        <w:rPr>
          <w:rFonts w:hint="eastAsia" w:ascii="宋体" w:hAnsi="宋体" w:cs="宋体"/>
          <w:color w:val="000000"/>
          <w:kern w:val="0"/>
          <w:sz w:val="24"/>
        </w:rPr>
        <w:t>评标时磋商小组有权请投标人就投标文件加以澄清。投标人对要求澄清的问题应以书面形式明确答复，并应有法定代表人或法人授权代表的签署。投标人的澄清文件是投标文件的组成部分，投标文件的澄清不得改变投标的实质内容。</w:t>
      </w:r>
    </w:p>
    <w:p>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71" w:rightChars="34" w:firstLine="540" w:firstLineChars="225"/>
        <w:jc w:val="left"/>
        <w:rPr>
          <w:rFonts w:ascii="宋体" w:hAnsi="宋体" w:cs="宋体"/>
          <w:color w:val="000000"/>
          <w:kern w:val="0"/>
          <w:sz w:val="24"/>
        </w:rPr>
      </w:pPr>
    </w:p>
    <w:p>
      <w:pPr>
        <w:snapToGrid w:val="0"/>
        <w:spacing w:line="480" w:lineRule="exact"/>
        <w:jc w:val="center"/>
        <w:outlineLvl w:val="1"/>
        <w:rPr>
          <w:rFonts w:ascii="宋体" w:hAnsi="宋体" w:cs="宋体"/>
          <w:b/>
          <w:kern w:val="44"/>
          <w:sz w:val="24"/>
        </w:rPr>
      </w:pPr>
      <w:bookmarkStart w:id="33" w:name="_Toc8691"/>
      <w:r>
        <w:rPr>
          <w:rFonts w:hint="eastAsia" w:ascii="宋体" w:hAnsi="宋体" w:cs="宋体"/>
          <w:b/>
          <w:kern w:val="44"/>
          <w:sz w:val="24"/>
        </w:rPr>
        <w:t>七  授予合同</w:t>
      </w:r>
      <w:bookmarkEnd w:id="28"/>
      <w:bookmarkEnd w:id="29"/>
      <w:bookmarkEnd w:id="30"/>
      <w:bookmarkEnd w:id="31"/>
      <w:bookmarkEnd w:id="32"/>
      <w:bookmarkEnd w:id="33"/>
    </w:p>
    <w:p>
      <w:pPr>
        <w:pStyle w:val="19"/>
        <w:snapToGrid w:val="0"/>
        <w:spacing w:line="480" w:lineRule="exact"/>
        <w:jc w:val="left"/>
        <w:rPr>
          <w:rFonts w:hAnsi="宋体" w:cs="宋体"/>
          <w:b/>
          <w:sz w:val="24"/>
          <w:szCs w:val="24"/>
        </w:rPr>
      </w:pPr>
      <w:r>
        <w:rPr>
          <w:rFonts w:hint="eastAsia" w:hAnsi="宋体" w:cs="宋体"/>
          <w:b/>
          <w:sz w:val="24"/>
          <w:szCs w:val="24"/>
        </w:rPr>
        <w:t>一十九、合同授予标准</w:t>
      </w:r>
    </w:p>
    <w:p>
      <w:pPr>
        <w:pStyle w:val="19"/>
        <w:snapToGrid w:val="0"/>
        <w:spacing w:line="480" w:lineRule="exact"/>
        <w:ind w:firstLine="480" w:firstLineChars="200"/>
        <w:jc w:val="left"/>
        <w:rPr>
          <w:rFonts w:hAnsi="宋体" w:cs="宋体"/>
          <w:color w:val="000000"/>
          <w:kern w:val="0"/>
          <w:sz w:val="24"/>
          <w:szCs w:val="24"/>
        </w:rPr>
      </w:pPr>
      <w:r>
        <w:rPr>
          <w:rFonts w:hint="eastAsia" w:hAnsi="宋体" w:cs="宋体"/>
          <w:color w:val="000000"/>
          <w:kern w:val="0"/>
          <w:sz w:val="24"/>
          <w:szCs w:val="24"/>
        </w:rPr>
        <w:t>1．在审标、询标及调查考核的基础上，磋商小组按照平等、客观、公正的原则，根据评标办法进行综合评定。本项目响应文件基本符合竞争性磋商采购要求，</w:t>
      </w:r>
      <w:r>
        <w:rPr>
          <w:rFonts w:hint="eastAsia" w:hAnsi="宋体" w:cs="宋体"/>
          <w:b/>
          <w:color w:val="000000"/>
          <w:kern w:val="0"/>
          <w:sz w:val="24"/>
          <w:szCs w:val="24"/>
        </w:rPr>
        <w:t>能够最大限度满足竞争性磋商采购中规定的各项综合评价标准.</w:t>
      </w:r>
    </w:p>
    <w:p>
      <w:pPr>
        <w:pStyle w:val="19"/>
        <w:snapToGrid w:val="0"/>
        <w:spacing w:line="480" w:lineRule="exact"/>
        <w:ind w:firstLine="480" w:firstLineChars="200"/>
        <w:jc w:val="left"/>
        <w:rPr>
          <w:rFonts w:hAnsi="宋体" w:cs="宋体"/>
          <w:color w:val="000000"/>
          <w:kern w:val="0"/>
          <w:sz w:val="24"/>
          <w:szCs w:val="24"/>
        </w:rPr>
      </w:pPr>
      <w:r>
        <w:rPr>
          <w:rFonts w:hint="eastAsia" w:hAnsi="宋体" w:cs="宋体"/>
          <w:color w:val="000000"/>
          <w:kern w:val="0"/>
          <w:sz w:val="24"/>
          <w:szCs w:val="24"/>
        </w:rPr>
        <w:t>2．</w:t>
      </w:r>
      <w:r>
        <w:rPr>
          <w:rFonts w:hint="eastAsia" w:hAnsi="宋体" w:cs="宋体"/>
          <w:kern w:val="0"/>
          <w:sz w:val="24"/>
          <w:szCs w:val="24"/>
        </w:rPr>
        <w:t>更改采购货物数量的权利。</w:t>
      </w:r>
      <w:r>
        <w:rPr>
          <w:rFonts w:hint="eastAsia" w:hAnsi="宋体" w:cs="宋体"/>
          <w:color w:val="000000"/>
          <w:kern w:val="0"/>
          <w:sz w:val="24"/>
          <w:szCs w:val="24"/>
        </w:rPr>
        <w:t>经</w:t>
      </w:r>
      <w:r>
        <w:rPr>
          <w:rFonts w:hint="eastAsia" w:hAnsi="宋体" w:cs="宋体"/>
          <w:kern w:val="0"/>
          <w:sz w:val="24"/>
          <w:szCs w:val="24"/>
        </w:rPr>
        <w:t>县财政局政府采购监管科</w:t>
      </w:r>
      <w:r>
        <w:rPr>
          <w:rFonts w:hint="eastAsia" w:hAnsi="宋体" w:cs="宋体"/>
          <w:color w:val="000000"/>
          <w:kern w:val="0"/>
          <w:sz w:val="24"/>
          <w:szCs w:val="24"/>
        </w:rPr>
        <w:t>核准，采购人有权对采购货物数量进行修正，但不得超过法律规定的限度。</w:t>
      </w:r>
    </w:p>
    <w:p>
      <w:pPr>
        <w:pStyle w:val="19"/>
        <w:snapToGrid w:val="0"/>
        <w:spacing w:line="480" w:lineRule="exact"/>
        <w:jc w:val="left"/>
        <w:rPr>
          <w:rFonts w:hAnsi="宋体" w:cs="宋体"/>
          <w:b/>
          <w:sz w:val="24"/>
          <w:szCs w:val="24"/>
        </w:rPr>
      </w:pPr>
      <w:r>
        <w:rPr>
          <w:rFonts w:hint="eastAsia" w:hAnsi="宋体" w:cs="宋体"/>
          <w:b/>
          <w:sz w:val="24"/>
          <w:szCs w:val="24"/>
        </w:rPr>
        <w:t>二十、中标通知书</w:t>
      </w:r>
    </w:p>
    <w:p>
      <w:pPr>
        <w:spacing w:line="480" w:lineRule="exact"/>
        <w:ind w:firstLine="480" w:firstLineChars="200"/>
        <w:rPr>
          <w:rFonts w:ascii="宋体" w:hAnsi="宋体" w:cs="宋体"/>
          <w:b/>
          <w:sz w:val="24"/>
        </w:rPr>
      </w:pPr>
      <w:r>
        <w:rPr>
          <w:rFonts w:hint="eastAsia" w:ascii="宋体" w:hAnsi="宋体" w:cs="宋体"/>
          <w:sz w:val="24"/>
        </w:rPr>
        <w:t>1．谈判结束后，自中标、成交投标商确定之日起2个工作日内，发《中标通知书》，并在浙江省政府采购网上发布中标、成交结果公告。</w:t>
      </w:r>
      <w:r>
        <w:rPr>
          <w:rFonts w:hint="eastAsia" w:ascii="宋体" w:hAnsi="宋体" w:cs="宋体"/>
          <w:b/>
          <w:bCs/>
          <w:sz w:val="24"/>
        </w:rPr>
        <w:t>如有恶意质疑、投诉，且导致授予合同的期限延期的，</w:t>
      </w:r>
      <w:r>
        <w:rPr>
          <w:rFonts w:hint="eastAsia" w:ascii="宋体" w:hAnsi="宋体" w:cs="宋体"/>
          <w:b/>
          <w:sz w:val="24"/>
        </w:rPr>
        <w:t>将其上报财政局采购监管科列入不诚信投标商名单，在今后参加政府采购活动评标时，给予扣分处理。情节严重的将直接进入政府采购黑名单。</w:t>
      </w:r>
    </w:p>
    <w:p>
      <w:pPr>
        <w:spacing w:line="480" w:lineRule="exact"/>
        <w:ind w:firstLine="480" w:firstLineChars="200"/>
        <w:rPr>
          <w:rFonts w:ascii="宋体" w:hAnsi="宋体" w:cs="宋体"/>
          <w:b/>
          <w:sz w:val="24"/>
        </w:rPr>
      </w:pPr>
      <w:r>
        <w:rPr>
          <w:rFonts w:hint="eastAsia" w:ascii="宋体" w:hAnsi="宋体" w:cs="宋体"/>
          <w:sz w:val="24"/>
        </w:rPr>
        <w:t>2．中标通知书发出后，若成交投标商放弃中标，应当承担相应的法律责任，中标通知书对采购人和成交投标商具有同等法律效力。</w:t>
      </w:r>
    </w:p>
    <w:p>
      <w:pPr>
        <w:pStyle w:val="19"/>
        <w:snapToGrid w:val="0"/>
        <w:spacing w:line="480" w:lineRule="exact"/>
        <w:jc w:val="left"/>
        <w:rPr>
          <w:rFonts w:hAnsi="宋体" w:cs="宋体"/>
          <w:b/>
          <w:sz w:val="24"/>
          <w:szCs w:val="24"/>
        </w:rPr>
      </w:pPr>
      <w:r>
        <w:rPr>
          <w:rFonts w:hint="eastAsia" w:hAnsi="宋体" w:cs="宋体"/>
          <w:b/>
          <w:sz w:val="24"/>
          <w:szCs w:val="24"/>
        </w:rPr>
        <w:t>二十一、签订合同</w:t>
      </w:r>
    </w:p>
    <w:p>
      <w:pPr>
        <w:pStyle w:val="19"/>
        <w:snapToGrid w:val="0"/>
        <w:spacing w:line="480" w:lineRule="exact"/>
        <w:ind w:firstLine="475" w:firstLineChars="198"/>
        <w:jc w:val="left"/>
        <w:rPr>
          <w:rFonts w:hAnsi="宋体" w:cs="宋体"/>
          <w:color w:val="000000"/>
          <w:kern w:val="0"/>
          <w:sz w:val="24"/>
          <w:szCs w:val="24"/>
        </w:rPr>
      </w:pPr>
      <w:r>
        <w:rPr>
          <w:rFonts w:hint="eastAsia" w:hAnsi="宋体" w:cs="宋体"/>
          <w:color w:val="000000"/>
          <w:kern w:val="0"/>
          <w:sz w:val="24"/>
          <w:szCs w:val="24"/>
        </w:rPr>
        <w:t>1．中标单位凭中标通知书与采购人签订合同，报县政府采购中心审核，并报县财政局政府采购监督科备案。</w:t>
      </w:r>
    </w:p>
    <w:p>
      <w:pPr>
        <w:pStyle w:val="19"/>
        <w:snapToGrid w:val="0"/>
        <w:spacing w:line="480" w:lineRule="exact"/>
        <w:ind w:firstLine="480" w:firstLineChars="200"/>
        <w:jc w:val="left"/>
        <w:rPr>
          <w:rFonts w:hAnsi="宋体" w:cs="宋体"/>
          <w:color w:val="000000"/>
          <w:kern w:val="0"/>
          <w:sz w:val="24"/>
          <w:szCs w:val="24"/>
        </w:rPr>
      </w:pPr>
      <w:r>
        <w:rPr>
          <w:rFonts w:hint="eastAsia" w:hAnsi="宋体" w:cs="宋体"/>
          <w:color w:val="000000"/>
          <w:kern w:val="0"/>
          <w:sz w:val="24"/>
          <w:szCs w:val="24"/>
        </w:rPr>
        <w:t>2．如中标人不按中标通知书中规定时间、地点与采购人签订合同，将取消中标资格。</w:t>
      </w:r>
    </w:p>
    <w:p>
      <w:pPr>
        <w:pStyle w:val="19"/>
        <w:snapToGrid w:val="0"/>
        <w:spacing w:line="480" w:lineRule="exact"/>
        <w:jc w:val="left"/>
        <w:rPr>
          <w:rFonts w:hAnsi="宋体" w:cs="宋体"/>
          <w:b/>
          <w:sz w:val="24"/>
          <w:szCs w:val="24"/>
        </w:rPr>
      </w:pPr>
      <w:r>
        <w:rPr>
          <w:rFonts w:hint="eastAsia" w:hAnsi="宋体" w:cs="宋体"/>
          <w:b/>
          <w:sz w:val="24"/>
          <w:szCs w:val="24"/>
        </w:rPr>
        <w:t>二十二、履约保证金</w:t>
      </w:r>
    </w:p>
    <w:p>
      <w:pPr>
        <w:pStyle w:val="19"/>
        <w:snapToGrid w:val="0"/>
        <w:spacing w:line="480" w:lineRule="exact"/>
        <w:ind w:firstLine="472" w:firstLineChars="197"/>
        <w:jc w:val="left"/>
        <w:rPr>
          <w:rFonts w:hAnsi="宋体" w:cs="宋体"/>
          <w:color w:val="FF0000"/>
          <w:kern w:val="0"/>
          <w:sz w:val="24"/>
          <w:szCs w:val="24"/>
        </w:rPr>
      </w:pPr>
      <w:r>
        <w:rPr>
          <w:rFonts w:hint="eastAsia" w:hAnsi="宋体" w:cs="宋体"/>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w:t>
      </w:r>
    </w:p>
    <w:p>
      <w:pPr>
        <w:pStyle w:val="19"/>
        <w:snapToGrid w:val="0"/>
        <w:spacing w:line="480" w:lineRule="exact"/>
        <w:jc w:val="left"/>
        <w:rPr>
          <w:rFonts w:hAnsi="宋体" w:cs="宋体"/>
          <w:b/>
          <w:sz w:val="24"/>
          <w:szCs w:val="24"/>
        </w:rPr>
      </w:pPr>
      <w:r>
        <w:rPr>
          <w:rFonts w:hint="eastAsia" w:hAnsi="宋体" w:cs="宋体"/>
          <w:b/>
          <w:sz w:val="24"/>
          <w:szCs w:val="24"/>
        </w:rPr>
        <w:t>二十三、对评标过程和结果的质疑的受理及处理</w:t>
      </w:r>
    </w:p>
    <w:p>
      <w:pPr>
        <w:pStyle w:val="19"/>
        <w:snapToGrid w:val="0"/>
        <w:spacing w:line="480" w:lineRule="exact"/>
        <w:ind w:firstLine="360" w:firstLineChars="150"/>
        <w:jc w:val="left"/>
        <w:rPr>
          <w:rFonts w:hAnsi="宋体" w:cs="宋体"/>
          <w:color w:val="000000"/>
          <w:kern w:val="0"/>
          <w:sz w:val="24"/>
          <w:szCs w:val="24"/>
        </w:rPr>
      </w:pPr>
      <w:r>
        <w:rPr>
          <w:rFonts w:hint="eastAsia" w:hAnsi="宋体" w:cs="宋体"/>
          <w:color w:val="000000"/>
          <w:kern w:val="0"/>
          <w:sz w:val="24"/>
          <w:szCs w:val="24"/>
        </w:rPr>
        <w:t>1．招标方拒绝接受未参加本项目文件或已文件但未递交投标文件的投标商的质疑。</w:t>
      </w:r>
    </w:p>
    <w:p>
      <w:pPr>
        <w:widowControl/>
        <w:tabs>
          <w:tab w:val="left" w:pos="4228"/>
        </w:tabs>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2．质疑受理须提交的资料：书面申请须原件（须列明申诉理由，质疑单位名称，联系人，联系电话，手机，传真等，并加盖投标单位公章），复印件和传真件无效。</w:t>
      </w:r>
    </w:p>
    <w:p>
      <w:pPr>
        <w:pStyle w:val="19"/>
        <w:snapToGrid w:val="0"/>
        <w:spacing w:line="480" w:lineRule="exact"/>
        <w:ind w:firstLine="360" w:firstLineChars="150"/>
        <w:jc w:val="left"/>
        <w:rPr>
          <w:rFonts w:hAnsi="宋体" w:cs="宋体"/>
          <w:color w:val="000000"/>
          <w:kern w:val="0"/>
          <w:sz w:val="24"/>
          <w:szCs w:val="24"/>
        </w:rPr>
      </w:pPr>
      <w:r>
        <w:rPr>
          <w:rFonts w:hint="eastAsia" w:hAnsi="宋体" w:cs="宋体"/>
          <w:color w:val="000000"/>
          <w:kern w:val="0"/>
          <w:sz w:val="24"/>
          <w:szCs w:val="24"/>
        </w:rPr>
        <w:t>3．质疑、投诉应当采用书面形式，质疑书、投诉书均应明确阐述招标文件、招标过程或中标结果中使自己合法权益受到损害的实质性内容，提供相关事实、依据和证据及其来源或线索，便于有关单位调查、答复和处理。如质疑投诉不成立或恶意诽谤的，将根据有关规定作出必要的处罚。</w:t>
      </w:r>
    </w:p>
    <w:p>
      <w:pPr>
        <w:snapToGrid w:val="0"/>
        <w:spacing w:line="480" w:lineRule="exact"/>
        <w:jc w:val="center"/>
        <w:rPr>
          <w:rFonts w:ascii="宋体" w:hAnsi="宋体" w:cs="宋体"/>
          <w:b/>
          <w:kern w:val="44"/>
          <w:sz w:val="24"/>
        </w:rPr>
      </w:pPr>
      <w:bookmarkStart w:id="34" w:name="_Toc44759274"/>
      <w:bookmarkStart w:id="35" w:name="_Toc15805937"/>
      <w:bookmarkStart w:id="36" w:name="_Toc15813254"/>
      <w:bookmarkStart w:id="37" w:name="_Toc114115352"/>
      <w:bookmarkStart w:id="38" w:name="_Toc44759086"/>
      <w:r>
        <w:rPr>
          <w:rFonts w:hint="eastAsia" w:ascii="宋体" w:hAnsi="宋体" w:cs="宋体"/>
          <w:b/>
          <w:kern w:val="44"/>
          <w:sz w:val="24"/>
        </w:rPr>
        <w:t>八 其他事项</w:t>
      </w:r>
      <w:bookmarkEnd w:id="34"/>
      <w:bookmarkEnd w:id="35"/>
      <w:bookmarkEnd w:id="36"/>
      <w:bookmarkEnd w:id="37"/>
      <w:bookmarkEnd w:id="38"/>
    </w:p>
    <w:p>
      <w:pPr>
        <w:pStyle w:val="19"/>
        <w:snapToGrid w:val="0"/>
        <w:spacing w:line="480" w:lineRule="exact"/>
        <w:jc w:val="left"/>
        <w:rPr>
          <w:rFonts w:hAnsi="宋体" w:cs="宋体"/>
          <w:b/>
          <w:sz w:val="24"/>
          <w:szCs w:val="24"/>
        </w:rPr>
      </w:pPr>
      <w:r>
        <w:rPr>
          <w:rFonts w:hint="eastAsia" w:hAnsi="宋体" w:cs="宋体"/>
          <w:b/>
          <w:sz w:val="24"/>
          <w:szCs w:val="24"/>
        </w:rPr>
        <w:t>二十四、解释权</w:t>
      </w:r>
    </w:p>
    <w:p>
      <w:pPr>
        <w:pStyle w:val="19"/>
        <w:snapToGrid w:val="0"/>
        <w:spacing w:line="480" w:lineRule="exact"/>
        <w:ind w:firstLine="361" w:firstLineChars="150"/>
        <w:jc w:val="left"/>
        <w:rPr>
          <w:rFonts w:hAnsi="宋体" w:cs="宋体"/>
          <w:b/>
          <w:bCs/>
          <w:color w:val="000000"/>
          <w:kern w:val="0"/>
          <w:sz w:val="24"/>
          <w:szCs w:val="24"/>
        </w:rPr>
      </w:pPr>
      <w:r>
        <w:rPr>
          <w:rFonts w:hint="eastAsia" w:hAnsi="宋体" w:cs="宋体"/>
          <w:b/>
          <w:bCs/>
          <w:color w:val="000000"/>
          <w:kern w:val="0"/>
          <w:sz w:val="24"/>
          <w:szCs w:val="24"/>
        </w:rPr>
        <w:t>本招标文件未尽事宜按现行政府采购的有关法律法规和规定执行。招标采购单位对本招标文件拥有最终解释权。</w:t>
      </w:r>
    </w:p>
    <w:p>
      <w:pPr>
        <w:pStyle w:val="19"/>
        <w:snapToGrid w:val="0"/>
        <w:spacing w:line="480" w:lineRule="exact"/>
        <w:ind w:firstLine="482" w:firstLineChars="200"/>
        <w:jc w:val="center"/>
        <w:rPr>
          <w:rFonts w:hAnsi="宋体" w:cs="宋体"/>
          <w:b/>
          <w:bCs/>
          <w:kern w:val="0"/>
          <w:sz w:val="36"/>
          <w:szCs w:val="36"/>
        </w:rPr>
      </w:pPr>
      <w:r>
        <w:rPr>
          <w:rFonts w:hint="eastAsia" w:hAnsi="宋体" w:cs="宋体"/>
          <w:b/>
          <w:bCs/>
          <w:kern w:val="0"/>
          <w:sz w:val="24"/>
          <w:szCs w:val="24"/>
        </w:rPr>
        <w:br w:type="page"/>
      </w:r>
      <w:bookmarkStart w:id="39" w:name="_Toc22974"/>
      <w:r>
        <w:rPr>
          <w:rFonts w:hint="eastAsia" w:hAnsi="宋体" w:cs="宋体"/>
          <w:b/>
          <w:bCs/>
          <w:kern w:val="0"/>
          <w:sz w:val="36"/>
          <w:szCs w:val="36"/>
        </w:rPr>
        <w:t>第三章  评审办法</w:t>
      </w:r>
      <w:bookmarkEnd w:id="39"/>
    </w:p>
    <w:p>
      <w:pPr>
        <w:spacing w:line="480" w:lineRule="exact"/>
        <w:ind w:firstLine="480" w:firstLineChars="200"/>
        <w:rPr>
          <w:rFonts w:ascii="宋体" w:hAnsi="宋体" w:cs="宋体"/>
          <w:sz w:val="24"/>
        </w:rPr>
      </w:pPr>
      <w:r>
        <w:rPr>
          <w:rFonts w:hint="eastAsia" w:ascii="宋体" w:hAnsi="宋体" w:cs="宋体"/>
          <w:sz w:val="24"/>
        </w:rPr>
        <w:t>根据《中华人民共和国政府采购法》和《中华人民共和国招标投标法》的有关规定，为更好地做到公开、公平、公正，结合本次招标的特点，特制定本评标细则。</w:t>
      </w:r>
    </w:p>
    <w:p>
      <w:pPr>
        <w:spacing w:line="480" w:lineRule="exact"/>
        <w:rPr>
          <w:rFonts w:ascii="宋体" w:hAnsi="宋体" w:cs="宋体"/>
          <w:b/>
          <w:bCs/>
          <w:sz w:val="24"/>
        </w:rPr>
      </w:pPr>
      <w:r>
        <w:rPr>
          <w:rFonts w:hint="eastAsia" w:ascii="宋体" w:hAnsi="宋体" w:cs="宋体"/>
          <w:b/>
          <w:bCs/>
          <w:sz w:val="24"/>
        </w:rPr>
        <w:t>一、评标组织</w:t>
      </w:r>
    </w:p>
    <w:p>
      <w:pPr>
        <w:spacing w:line="480" w:lineRule="exact"/>
        <w:ind w:firstLine="480" w:firstLineChars="200"/>
        <w:rPr>
          <w:rFonts w:ascii="宋体" w:hAnsi="宋体" w:cs="宋体"/>
          <w:sz w:val="24"/>
        </w:rPr>
      </w:pPr>
      <w:r>
        <w:rPr>
          <w:rFonts w:hint="eastAsia" w:ascii="宋体" w:hAnsi="宋体" w:cs="宋体"/>
          <w:sz w:val="24"/>
        </w:rPr>
        <w:t>评审工作由采购人依法组建的磋商小组负责</w:t>
      </w:r>
      <w:r>
        <w:rPr>
          <w:rFonts w:hint="eastAsia" w:ascii="宋体" w:hAnsi="宋体" w:cs="宋体"/>
          <w:color w:val="000000"/>
          <w:sz w:val="24"/>
        </w:rPr>
        <w:t>，磋商小组由采购人代表以及评审专家共同组成</w:t>
      </w:r>
      <w:r>
        <w:rPr>
          <w:rFonts w:hint="eastAsia" w:ascii="宋体" w:hAnsi="宋体" w:cs="宋体"/>
          <w:sz w:val="24"/>
        </w:rPr>
        <w:t>。评审全过程由县公证处工作人员或采购管理部门全程监督。</w:t>
      </w:r>
    </w:p>
    <w:p>
      <w:pPr>
        <w:numPr>
          <w:ilvl w:val="0"/>
          <w:numId w:val="10"/>
        </w:numPr>
        <w:spacing w:line="480" w:lineRule="exact"/>
        <w:rPr>
          <w:rFonts w:ascii="宋体" w:hAnsi="宋体" w:cs="宋体"/>
          <w:sz w:val="24"/>
        </w:rPr>
      </w:pPr>
      <w:r>
        <w:rPr>
          <w:rFonts w:hint="eastAsia" w:ascii="宋体" w:hAnsi="宋体" w:cs="宋体"/>
          <w:b/>
          <w:bCs/>
          <w:sz w:val="24"/>
        </w:rPr>
        <w:t>评标原则和评标方法</w:t>
      </w:r>
    </w:p>
    <w:p>
      <w:pPr>
        <w:spacing w:line="480" w:lineRule="exact"/>
        <w:ind w:firstLine="482" w:firstLineChars="200"/>
        <w:rPr>
          <w:rFonts w:ascii="宋体" w:hAnsi="宋体" w:cs="宋体"/>
          <w:b/>
          <w:sz w:val="24"/>
        </w:rPr>
      </w:pPr>
      <w:r>
        <w:rPr>
          <w:rFonts w:hint="eastAsia" w:ascii="宋体" w:hAnsi="宋体" w:cs="宋体"/>
          <w:b/>
          <w:sz w:val="24"/>
        </w:rPr>
        <w:t>本次评审采用综合评分法，总分100分。磋商小组根据竞争性磋商文件制定的评审办法对投标商进行评审排序，将综合得分第一的投标商向采购人推荐其为成交投标商。</w:t>
      </w:r>
    </w:p>
    <w:p>
      <w:pPr>
        <w:spacing w:line="480" w:lineRule="exact"/>
        <w:ind w:firstLine="480" w:firstLineChars="200"/>
        <w:rPr>
          <w:rFonts w:ascii="宋体" w:hAnsi="宋体" w:cs="宋体"/>
          <w:sz w:val="24"/>
        </w:rPr>
      </w:pPr>
      <w:r>
        <w:rPr>
          <w:rFonts w:hint="eastAsia" w:ascii="宋体" w:hAnsi="宋体" w:cs="宋体"/>
          <w:sz w:val="24"/>
        </w:rPr>
        <w:t>评标委员会根据评分细则，对各投标单位的技术标进行书面审核和评论后，由各专家独立酌情给分，打分时保留小数1位，每人一份评分表，并签名。在统计得分时，如果发现某一单项评分超过评分细则规定的分值范围，则该张评分表无效。投标人资信、业绩及技术性能等的最终得分为评标专家组成员的有效评分的算术平均值。计算时保留2位小数。</w:t>
      </w:r>
    </w:p>
    <w:p>
      <w:pPr>
        <w:spacing w:line="480" w:lineRule="exact"/>
        <w:ind w:firstLine="482" w:firstLineChars="200"/>
        <w:outlineLvl w:val="1"/>
        <w:rPr>
          <w:rFonts w:ascii="宋体" w:hAnsi="宋体" w:cs="宋体"/>
          <w:b/>
          <w:color w:val="000000"/>
          <w:sz w:val="24"/>
        </w:rPr>
      </w:pPr>
      <w:r>
        <w:rPr>
          <w:rFonts w:hint="eastAsia" w:ascii="宋体" w:hAnsi="宋体" w:cs="宋体"/>
          <w:b/>
          <w:color w:val="000000"/>
          <w:sz w:val="24"/>
        </w:rPr>
        <w:t>技术分（</w:t>
      </w:r>
      <w:r>
        <w:rPr>
          <w:rFonts w:hint="eastAsia" w:ascii="宋体" w:hAnsi="宋体" w:cs="宋体"/>
          <w:b/>
          <w:color w:val="000000"/>
          <w:sz w:val="24"/>
          <w:lang w:val="en-US" w:eastAsia="zh-CN"/>
        </w:rPr>
        <w:t>8</w:t>
      </w:r>
      <w:r>
        <w:rPr>
          <w:rFonts w:hint="eastAsia" w:ascii="宋体" w:hAnsi="宋体" w:cs="宋体"/>
          <w:b/>
          <w:sz w:val="24"/>
        </w:rPr>
        <w:t>0</w:t>
      </w:r>
      <w:r>
        <w:rPr>
          <w:rFonts w:hint="eastAsia" w:ascii="宋体" w:hAnsi="宋体" w:cs="宋体"/>
          <w:b/>
          <w:color w:val="000000"/>
          <w:sz w:val="24"/>
        </w:rPr>
        <w:t>分）</w:t>
      </w:r>
    </w:p>
    <w:tbl>
      <w:tblPr>
        <w:tblStyle w:val="34"/>
        <w:tblW w:w="10146"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85"/>
        <w:gridCol w:w="710"/>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4" w:type="dxa"/>
            <w:vAlign w:val="center"/>
          </w:tcPr>
          <w:p>
            <w:pPr>
              <w:tabs>
                <w:tab w:val="left" w:pos="3870"/>
                <w:tab w:val="left" w:pos="4085"/>
              </w:tabs>
              <w:snapToGrid w:val="0"/>
              <w:spacing w:line="360" w:lineRule="exact"/>
              <w:jc w:val="center"/>
              <w:rPr>
                <w:rFonts w:ascii="宋体" w:hAnsi="宋体" w:cs="宋体"/>
                <w:b/>
                <w:bCs/>
                <w:szCs w:val="21"/>
              </w:rPr>
            </w:pPr>
            <w:r>
              <w:rPr>
                <w:rFonts w:hint="eastAsia" w:ascii="宋体" w:hAnsi="宋体" w:cs="宋体"/>
                <w:b/>
                <w:bCs/>
                <w:szCs w:val="21"/>
              </w:rPr>
              <w:t>序号</w:t>
            </w:r>
          </w:p>
        </w:tc>
        <w:tc>
          <w:tcPr>
            <w:tcW w:w="1285" w:type="dxa"/>
            <w:vAlign w:val="center"/>
          </w:tcPr>
          <w:p>
            <w:pPr>
              <w:tabs>
                <w:tab w:val="left" w:pos="3870"/>
                <w:tab w:val="left" w:pos="4085"/>
              </w:tabs>
              <w:snapToGrid w:val="0"/>
              <w:spacing w:line="360" w:lineRule="exact"/>
              <w:jc w:val="center"/>
              <w:rPr>
                <w:rFonts w:ascii="宋体" w:hAnsi="宋体" w:cs="宋体"/>
                <w:b/>
                <w:bCs/>
                <w:szCs w:val="21"/>
              </w:rPr>
            </w:pPr>
            <w:r>
              <w:rPr>
                <w:rFonts w:hint="eastAsia" w:ascii="宋体" w:hAnsi="宋体" w:cs="宋体"/>
                <w:b/>
                <w:bCs/>
                <w:szCs w:val="21"/>
              </w:rPr>
              <w:t>评分内容</w:t>
            </w:r>
          </w:p>
        </w:tc>
        <w:tc>
          <w:tcPr>
            <w:tcW w:w="710" w:type="dxa"/>
            <w:vAlign w:val="center"/>
          </w:tcPr>
          <w:p>
            <w:pPr>
              <w:tabs>
                <w:tab w:val="left" w:pos="3870"/>
                <w:tab w:val="left" w:pos="4085"/>
              </w:tabs>
              <w:snapToGrid w:val="0"/>
              <w:spacing w:line="360" w:lineRule="exact"/>
              <w:rPr>
                <w:rFonts w:ascii="宋体" w:hAnsi="宋体" w:cs="宋体"/>
                <w:b/>
                <w:bCs/>
                <w:szCs w:val="21"/>
              </w:rPr>
            </w:pPr>
            <w:r>
              <w:rPr>
                <w:rFonts w:hint="eastAsia" w:ascii="宋体" w:hAnsi="宋体" w:cs="宋体"/>
                <w:b/>
                <w:bCs/>
                <w:szCs w:val="21"/>
              </w:rPr>
              <w:t>分值</w:t>
            </w:r>
          </w:p>
        </w:tc>
        <w:tc>
          <w:tcPr>
            <w:tcW w:w="7477" w:type="dxa"/>
            <w:vAlign w:val="center"/>
          </w:tcPr>
          <w:p>
            <w:pPr>
              <w:tabs>
                <w:tab w:val="left" w:pos="3870"/>
                <w:tab w:val="left" w:pos="4085"/>
              </w:tabs>
              <w:snapToGrid w:val="0"/>
              <w:spacing w:line="360" w:lineRule="exact"/>
              <w:ind w:firstLine="2987" w:firstLineChars="1417"/>
              <w:jc w:val="left"/>
              <w:rPr>
                <w:rFonts w:ascii="宋体" w:hAnsi="宋体" w:cs="宋体"/>
                <w:b/>
                <w:bCs/>
                <w:szCs w:val="21"/>
              </w:rPr>
            </w:pPr>
            <w:r>
              <w:rPr>
                <w:rFonts w:hint="eastAsia" w:ascii="宋体" w:hAnsi="宋体" w:cs="宋体"/>
                <w:b/>
                <w:bCs/>
                <w:szCs w:val="21"/>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74" w:type="dxa"/>
            <w:vMerge w:val="restart"/>
            <w:vAlign w:val="center"/>
          </w:tcPr>
          <w:p>
            <w:pPr>
              <w:spacing w:line="360" w:lineRule="exact"/>
              <w:ind w:firstLine="120" w:firstLineChars="50"/>
              <w:jc w:val="center"/>
              <w:rPr>
                <w:rFonts w:ascii="宋体" w:hAnsi="宋体" w:cs="宋体"/>
                <w:kern w:val="0"/>
                <w:sz w:val="24"/>
              </w:rPr>
            </w:pPr>
            <w:r>
              <w:rPr>
                <w:rFonts w:hint="eastAsia" w:ascii="宋体" w:hAnsi="宋体" w:cs="宋体"/>
                <w:kern w:val="0"/>
                <w:sz w:val="24"/>
              </w:rPr>
              <w:t>1</w:t>
            </w:r>
          </w:p>
        </w:tc>
        <w:tc>
          <w:tcPr>
            <w:tcW w:w="1285" w:type="dxa"/>
            <w:vMerge w:val="restart"/>
            <w:vAlign w:val="center"/>
          </w:tcPr>
          <w:p>
            <w:pPr>
              <w:spacing w:line="360" w:lineRule="exact"/>
              <w:jc w:val="center"/>
              <w:rPr>
                <w:rFonts w:ascii="宋体" w:hAnsi="宋体" w:eastAsia="宋体" w:cs="宋体"/>
                <w:kern w:val="0"/>
                <w:sz w:val="24"/>
                <w:szCs w:val="24"/>
                <w:lang w:val="en-US" w:eastAsia="zh-CN" w:bidi="ar-SA"/>
              </w:rPr>
            </w:pPr>
            <w:r>
              <w:rPr>
                <w:rFonts w:hint="eastAsia" w:ascii="宋体" w:hAnsi="宋体" w:cs="宋体"/>
                <w:kern w:val="0"/>
                <w:sz w:val="24"/>
              </w:rPr>
              <w:t>投标人情况</w:t>
            </w:r>
          </w:p>
        </w:tc>
        <w:tc>
          <w:tcPr>
            <w:tcW w:w="710" w:type="dxa"/>
            <w:vAlign w:val="center"/>
          </w:tcPr>
          <w:p>
            <w:pPr>
              <w:spacing w:line="360" w:lineRule="exact"/>
              <w:jc w:val="center"/>
              <w:rPr>
                <w:rFonts w:hint="default" w:ascii="宋体" w:hAnsi="宋体" w:cs="宋体"/>
                <w:kern w:val="0"/>
                <w:sz w:val="24"/>
                <w:lang w:eastAsia="zh-CN"/>
              </w:rPr>
            </w:pPr>
            <w:r>
              <w:rPr>
                <w:rFonts w:hint="eastAsia" w:ascii="宋体" w:hAnsi="宋体" w:cs="宋体"/>
                <w:kern w:val="0"/>
                <w:sz w:val="24"/>
                <w:lang w:val="en-US" w:eastAsia="zh-CN"/>
              </w:rPr>
              <w:t>5</w:t>
            </w:r>
            <w:r>
              <w:rPr>
                <w:rFonts w:hint="eastAsia" w:ascii="宋体" w:hAnsi="宋体" w:cs="宋体"/>
                <w:kern w:val="0"/>
                <w:sz w:val="24"/>
              </w:rPr>
              <w:t>分</w:t>
            </w:r>
          </w:p>
        </w:tc>
        <w:tc>
          <w:tcPr>
            <w:tcW w:w="7477" w:type="dxa"/>
            <w:vAlign w:val="center"/>
          </w:tcPr>
          <w:p>
            <w:pPr>
              <w:pStyle w:val="18"/>
              <w:keepNext w:val="0"/>
              <w:keepLines w:val="0"/>
              <w:pageBreakBefore w:val="0"/>
              <w:kinsoku/>
              <w:wordWrap/>
              <w:overflowPunct/>
              <w:topLinePunct w:val="0"/>
              <w:autoSpaceDE/>
              <w:autoSpaceDN/>
              <w:bidi w:val="0"/>
              <w:adjustRightInd/>
              <w:snapToGrid w:val="0"/>
              <w:spacing w:after="0" w:line="240" w:lineRule="auto"/>
              <w:rPr>
                <w:rFonts w:hint="default" w:eastAsia="宋体"/>
                <w:lang w:val="en-US" w:eastAsia="zh-CN"/>
              </w:rPr>
            </w:pPr>
            <w:r>
              <w:rPr>
                <w:rFonts w:hint="eastAsia"/>
              </w:rPr>
              <w:t>投标人具备业务连续性管理体系认证 ISO22301、隐私信息管理体系认证ISO27701、云服务信息安全管理体系认证证书ISO27017、职业健康管理体系证书ISO45001的，每个证书得1分</w:t>
            </w:r>
            <w:r>
              <w:rPr>
                <w:rFonts w:hint="eastAsia"/>
                <w:lang w:eastAsia="zh-CN"/>
              </w:rPr>
              <w:t>，</w:t>
            </w:r>
            <w:r>
              <w:rPr>
                <w:rFonts w:hint="eastAsia"/>
                <w:lang w:val="en-US" w:eastAsia="zh-CN"/>
              </w:rPr>
              <w:t>最高得4分</w:t>
            </w:r>
          </w:p>
          <w:p>
            <w:pPr>
              <w:pStyle w:val="18"/>
              <w:keepNext w:val="0"/>
              <w:keepLines w:val="0"/>
              <w:pageBreakBefore w:val="0"/>
              <w:kinsoku/>
              <w:wordWrap/>
              <w:overflowPunct/>
              <w:topLinePunct w:val="0"/>
              <w:autoSpaceDE/>
              <w:autoSpaceDN/>
              <w:bidi w:val="0"/>
              <w:adjustRightInd/>
              <w:snapToGrid w:val="0"/>
              <w:spacing w:after="0" w:line="240" w:lineRule="auto"/>
              <w:rPr>
                <w:rFonts w:hint="default" w:eastAsia="宋体"/>
                <w:lang w:val="en-US" w:eastAsia="zh-CN"/>
              </w:rPr>
            </w:pPr>
            <w:r>
              <w:rPr>
                <w:rFonts w:hint="eastAsia"/>
              </w:rPr>
              <w:t>投标人具备售后服务认证证书GB/T27922-2011</w:t>
            </w:r>
            <w:r>
              <w:rPr>
                <w:rFonts w:hint="eastAsia"/>
                <w:lang w:eastAsia="zh-CN"/>
              </w:rPr>
              <w:t>或</w:t>
            </w:r>
            <w:r>
              <w:rPr>
                <w:rFonts w:hint="eastAsia"/>
              </w:rPr>
              <w:t>信息技术服务管理体系认证证书ISO20000</w:t>
            </w:r>
            <w:r>
              <w:rPr>
                <w:rFonts w:hint="eastAsia"/>
                <w:lang w:eastAsia="zh-CN"/>
              </w:rPr>
              <w:t>或</w:t>
            </w:r>
            <w:r>
              <w:rPr>
                <w:rFonts w:hint="eastAsia"/>
              </w:rPr>
              <w:t>ITSS信息技术服务运行维护标准证书</w:t>
            </w:r>
            <w:r>
              <w:rPr>
                <w:rFonts w:hint="eastAsia"/>
                <w:lang w:val="en-US" w:eastAsia="zh-CN"/>
              </w:rPr>
              <w:t>的得1分，最高得1分。</w:t>
            </w:r>
          </w:p>
          <w:p>
            <w:pPr>
              <w:pStyle w:val="18"/>
              <w:keepNext w:val="0"/>
              <w:keepLines w:val="0"/>
              <w:pageBreakBefore w:val="0"/>
              <w:kinsoku/>
              <w:wordWrap/>
              <w:overflowPunct/>
              <w:topLinePunct w:val="0"/>
              <w:autoSpaceDE/>
              <w:autoSpaceDN/>
              <w:bidi w:val="0"/>
              <w:adjustRightInd/>
              <w:snapToGrid w:val="0"/>
              <w:spacing w:after="0" w:line="240" w:lineRule="auto"/>
              <w:rPr>
                <w:lang w:val="en-US" w:eastAsia="zh-CN"/>
              </w:rPr>
            </w:pPr>
            <w:r>
              <w:rPr>
                <w:rFonts w:hint="eastAsia"/>
              </w:rPr>
              <w:t>（提供相关证书，所有证书需提供中文版本，证书过期作无效处理）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74" w:type="dxa"/>
            <w:vMerge w:val="continue"/>
            <w:vAlign w:val="center"/>
          </w:tcPr>
          <w:p>
            <w:pPr>
              <w:spacing w:line="360" w:lineRule="exact"/>
              <w:ind w:firstLine="120" w:firstLineChars="50"/>
              <w:jc w:val="center"/>
              <w:rPr>
                <w:rFonts w:hint="eastAsia" w:ascii="宋体" w:hAnsi="宋体" w:cs="宋体"/>
                <w:kern w:val="0"/>
                <w:sz w:val="24"/>
              </w:rPr>
            </w:pPr>
          </w:p>
        </w:tc>
        <w:tc>
          <w:tcPr>
            <w:tcW w:w="1285" w:type="dxa"/>
            <w:vMerge w:val="continue"/>
            <w:vAlign w:val="center"/>
          </w:tcPr>
          <w:p>
            <w:pPr>
              <w:spacing w:line="360" w:lineRule="exact"/>
              <w:jc w:val="center"/>
              <w:rPr>
                <w:rFonts w:hint="eastAsia" w:ascii="宋体" w:hAnsi="宋体" w:cs="宋体"/>
                <w:kern w:val="0"/>
                <w:sz w:val="24"/>
              </w:rPr>
            </w:pPr>
          </w:p>
        </w:tc>
        <w:tc>
          <w:tcPr>
            <w:tcW w:w="710" w:type="dxa"/>
            <w:vAlign w:val="center"/>
          </w:tcPr>
          <w:p>
            <w:pPr>
              <w:spacing w:line="360" w:lineRule="exact"/>
              <w:jc w:val="center"/>
              <w:rPr>
                <w:rFonts w:hint="default" w:ascii="宋体" w:hAnsi="宋体" w:cs="宋体"/>
                <w:kern w:val="0"/>
                <w:sz w:val="24"/>
                <w:lang w:eastAsia="zh-CN"/>
              </w:rPr>
            </w:pPr>
            <w:r>
              <w:rPr>
                <w:rFonts w:hint="default" w:ascii="宋体" w:hAnsi="宋体" w:cs="宋体"/>
                <w:kern w:val="0"/>
                <w:sz w:val="24"/>
                <w:lang w:eastAsia="zh-CN"/>
              </w:rPr>
              <w:t>1</w:t>
            </w:r>
            <w:r>
              <w:rPr>
                <w:rFonts w:hint="eastAsia" w:ascii="宋体" w:hAnsi="宋体" w:cs="宋体"/>
                <w:kern w:val="0"/>
                <w:sz w:val="24"/>
              </w:rPr>
              <w:t>分</w:t>
            </w:r>
          </w:p>
        </w:tc>
        <w:tc>
          <w:tcPr>
            <w:tcW w:w="7477" w:type="dxa"/>
            <w:vAlign w:val="center"/>
          </w:tcPr>
          <w:p>
            <w:pPr>
              <w:pStyle w:val="18"/>
              <w:keepNext w:val="0"/>
              <w:keepLines w:val="0"/>
              <w:pageBreakBefore w:val="0"/>
              <w:tabs>
                <w:tab w:val="left" w:pos="1607"/>
              </w:tabs>
              <w:kinsoku/>
              <w:wordWrap/>
              <w:overflowPunct/>
              <w:topLinePunct w:val="0"/>
              <w:autoSpaceDE/>
              <w:autoSpaceDN/>
              <w:bidi w:val="0"/>
              <w:adjustRightInd/>
              <w:snapToGrid w:val="0"/>
              <w:spacing w:after="0" w:line="240" w:lineRule="auto"/>
              <w:rPr>
                <w:rFonts w:hint="default"/>
              </w:rPr>
            </w:pPr>
            <w:r>
              <w:rPr>
                <w:rFonts w:hint="default"/>
              </w:rPr>
              <w:t>投标人获得CMMI 3及以上的认证得1分，没有的不得分。（提供相关证书）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74" w:type="dxa"/>
            <w:vAlign w:val="center"/>
          </w:tcPr>
          <w:p>
            <w:pPr>
              <w:spacing w:line="360" w:lineRule="exact"/>
              <w:ind w:firstLine="120" w:firstLineChars="50"/>
              <w:jc w:val="center"/>
              <w:rPr>
                <w:rFonts w:hint="default" w:ascii="宋体" w:hAnsi="宋体" w:cs="宋体"/>
                <w:kern w:val="0"/>
                <w:sz w:val="24"/>
              </w:rPr>
            </w:pPr>
            <w:r>
              <w:rPr>
                <w:rFonts w:hint="default" w:ascii="宋体" w:hAnsi="宋体" w:cs="宋体"/>
                <w:kern w:val="0"/>
                <w:sz w:val="24"/>
              </w:rPr>
              <w:t>2</w:t>
            </w:r>
          </w:p>
        </w:tc>
        <w:tc>
          <w:tcPr>
            <w:tcW w:w="1285" w:type="dxa"/>
            <w:vAlign w:val="center"/>
          </w:tcPr>
          <w:p>
            <w:pPr>
              <w:spacing w:line="360" w:lineRule="exact"/>
              <w:jc w:val="center"/>
              <w:rPr>
                <w:rFonts w:hint="eastAsia" w:ascii="宋体" w:hAnsi="宋体" w:cs="宋体"/>
                <w:kern w:val="0"/>
                <w:sz w:val="24"/>
              </w:rPr>
            </w:pPr>
            <w:r>
              <w:rPr>
                <w:rFonts w:hint="eastAsia" w:ascii="宋体" w:hAnsi="宋体" w:cs="宋体"/>
                <w:kern w:val="0"/>
                <w:sz w:val="24"/>
              </w:rPr>
              <w:t>项目业绩</w:t>
            </w:r>
          </w:p>
        </w:tc>
        <w:tc>
          <w:tcPr>
            <w:tcW w:w="710" w:type="dxa"/>
            <w:vAlign w:val="center"/>
          </w:tcPr>
          <w:p>
            <w:pPr>
              <w:spacing w:line="360" w:lineRule="exact"/>
              <w:jc w:val="center"/>
              <w:rPr>
                <w:rFonts w:hint="eastAsia" w:ascii="宋体" w:hAnsi="宋体" w:eastAsia="宋体" w:cs="宋体"/>
                <w:kern w:val="0"/>
                <w:sz w:val="24"/>
                <w:lang w:val="en-US" w:eastAsia="zh-Hans"/>
              </w:rPr>
            </w:pPr>
            <w:r>
              <w:rPr>
                <w:rFonts w:hint="default" w:ascii="宋体" w:hAnsi="宋体" w:cs="宋体"/>
                <w:kern w:val="0"/>
                <w:sz w:val="24"/>
                <w:lang w:eastAsia="zh-CN"/>
              </w:rPr>
              <w:t>2</w:t>
            </w:r>
            <w:r>
              <w:rPr>
                <w:rFonts w:hint="eastAsia" w:ascii="宋体" w:hAnsi="宋体" w:cs="宋体"/>
                <w:kern w:val="0"/>
                <w:sz w:val="24"/>
                <w:lang w:val="en-US" w:eastAsia="zh-Hans"/>
              </w:rPr>
              <w:t>分</w:t>
            </w:r>
          </w:p>
        </w:tc>
        <w:tc>
          <w:tcPr>
            <w:tcW w:w="7477" w:type="dxa"/>
            <w:vAlign w:val="center"/>
          </w:tcPr>
          <w:p>
            <w:pPr>
              <w:pStyle w:val="18"/>
              <w:keepNext w:val="0"/>
              <w:keepLines w:val="0"/>
              <w:pageBreakBefore w:val="0"/>
              <w:tabs>
                <w:tab w:val="left" w:pos="1225"/>
              </w:tabs>
              <w:kinsoku/>
              <w:wordWrap/>
              <w:overflowPunct/>
              <w:topLinePunct w:val="0"/>
              <w:autoSpaceDE/>
              <w:autoSpaceDN/>
              <w:bidi w:val="0"/>
              <w:adjustRightInd/>
              <w:snapToGrid w:val="0"/>
              <w:spacing w:after="0" w:line="240" w:lineRule="auto"/>
              <w:jc w:val="both"/>
              <w:rPr>
                <w:rFonts w:hint="default"/>
              </w:rPr>
            </w:pPr>
            <w:r>
              <w:rPr>
                <w:rFonts w:hint="default"/>
              </w:rPr>
              <w:t>2019年1月1日以来投标单位签订的（以合同签订日期为准）类似项目业绩，每提供一份项目业绩得1分，最高得2分（提供项目业绩合同和中标通知书，否则业绩将不被认可）。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4" w:type="dxa"/>
            <w:vAlign w:val="center"/>
          </w:tcPr>
          <w:p>
            <w:pPr>
              <w:spacing w:line="360" w:lineRule="exact"/>
              <w:ind w:firstLine="120" w:firstLineChars="50"/>
              <w:jc w:val="center"/>
              <w:rPr>
                <w:rFonts w:hint="default" w:ascii="宋体" w:hAnsi="宋体" w:cs="宋体"/>
                <w:kern w:val="0"/>
                <w:sz w:val="24"/>
              </w:rPr>
            </w:pPr>
            <w:r>
              <w:rPr>
                <w:rFonts w:hint="default" w:ascii="宋体" w:hAnsi="宋体" w:cs="宋体"/>
                <w:kern w:val="0"/>
                <w:sz w:val="24"/>
              </w:rPr>
              <w:t>3</w:t>
            </w:r>
          </w:p>
        </w:tc>
        <w:tc>
          <w:tcPr>
            <w:tcW w:w="1285" w:type="dxa"/>
            <w:vAlign w:val="center"/>
          </w:tcPr>
          <w:p>
            <w:pPr>
              <w:keepNext w:val="0"/>
              <w:keepLines w:val="0"/>
              <w:pageBreakBefore w:val="0"/>
              <w:widowControl/>
              <w:kinsoku/>
              <w:wordWrap/>
              <w:overflowPunct/>
              <w:topLinePunct w:val="0"/>
              <w:autoSpaceDE/>
              <w:autoSpaceDN/>
              <w:bidi w:val="0"/>
              <w:adjustRightInd/>
              <w:spacing w:line="240" w:lineRule="auto"/>
              <w:ind w:firstLine="0" w:firstLineChars="0"/>
              <w:textAlignment w:val="center"/>
              <w:rPr>
                <w:rFonts w:ascii="宋体" w:hAnsi="宋体" w:eastAsia="宋体" w:cs="宋体"/>
                <w:kern w:val="0"/>
                <w:sz w:val="24"/>
                <w:szCs w:val="24"/>
                <w:lang w:val="en-US" w:eastAsia="zh-CN" w:bidi="ar-SA"/>
              </w:rPr>
            </w:pPr>
            <w:r>
              <w:rPr>
                <w:rFonts w:hint="eastAsia" w:ascii="宋体" w:hAnsi="宋体" w:cs="宋体"/>
                <w:color w:val="000000"/>
                <w:kern w:val="0"/>
                <w:sz w:val="22"/>
                <w:szCs w:val="22"/>
                <w:lang w:bidi="ar"/>
              </w:rPr>
              <w:t>组织方案和质量保证措施</w:t>
            </w:r>
          </w:p>
        </w:tc>
        <w:tc>
          <w:tcPr>
            <w:tcW w:w="710" w:type="dxa"/>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kern w:val="0"/>
                <w:sz w:val="24"/>
                <w:szCs w:val="24"/>
                <w:lang w:val="en-US" w:eastAsia="zh-CN" w:bidi="ar-SA"/>
              </w:rPr>
            </w:pPr>
            <w:r>
              <w:rPr>
                <w:rFonts w:hint="default" w:ascii="宋体" w:hAnsi="宋体" w:cs="宋体"/>
                <w:color w:val="000000"/>
                <w:kern w:val="0"/>
                <w:sz w:val="22"/>
                <w:szCs w:val="22"/>
                <w:lang w:eastAsia="zh-CN" w:bidi="ar"/>
              </w:rPr>
              <w:t>5</w:t>
            </w:r>
            <w:r>
              <w:rPr>
                <w:rFonts w:hint="eastAsia" w:ascii="宋体" w:hAnsi="宋体" w:cs="宋体"/>
                <w:color w:val="000000"/>
                <w:kern w:val="0"/>
                <w:sz w:val="22"/>
                <w:szCs w:val="22"/>
                <w:lang w:val="en-US" w:eastAsia="zh-CN" w:bidi="ar"/>
              </w:rPr>
              <w:t>分</w:t>
            </w:r>
          </w:p>
        </w:tc>
        <w:tc>
          <w:tcPr>
            <w:tcW w:w="7477" w:type="dxa"/>
            <w:vAlign w:val="center"/>
          </w:tcPr>
          <w:p>
            <w:pPr>
              <w:keepNext w:val="0"/>
              <w:keepLines w:val="0"/>
              <w:pageBreakBefore w:val="0"/>
              <w:kinsoku/>
              <w:wordWrap/>
              <w:overflowPunct/>
              <w:topLinePunct w:val="0"/>
              <w:autoSpaceDE/>
              <w:autoSpaceDN/>
              <w:bidi w:val="0"/>
              <w:adjustRightInd/>
              <w:snapToGrid w:val="0"/>
              <w:spacing w:line="240" w:lineRule="auto"/>
              <w:jc w:val="left"/>
              <w:rPr>
                <w:rFonts w:hint="default" w:ascii="宋体" w:hAnsi="宋体" w:eastAsia="宋体" w:cs="宋体"/>
                <w:kern w:val="0"/>
                <w:sz w:val="24"/>
                <w:szCs w:val="24"/>
                <w:lang w:val="en-US" w:eastAsia="zh-CN" w:bidi="ar-SA"/>
              </w:rPr>
            </w:pPr>
            <w:r>
              <w:rPr>
                <w:rFonts w:hint="eastAsia" w:ascii="宋体" w:hAnsi="宋体" w:cs="宋体"/>
                <w:color w:val="000000"/>
                <w:kern w:val="0"/>
                <w:sz w:val="22"/>
                <w:lang w:bidi="ar"/>
              </w:rPr>
              <w:t>提供对本项目明确的项目实施管理组织方案，有合理的质量保证措施、确保质量、工期进度掌控措施完成。</w:t>
            </w:r>
            <w:r>
              <w:rPr>
                <w:rFonts w:hint="eastAsia" w:ascii="宋体" w:hAnsi="宋体" w:cs="宋体"/>
                <w:color w:val="000000"/>
                <w:kern w:val="0"/>
                <w:sz w:val="22"/>
                <w:lang w:eastAsia="zh-CN" w:bidi="ar"/>
              </w:rPr>
              <w:t>由专家进行综合打分，</w:t>
            </w:r>
            <w:r>
              <w:rPr>
                <w:rFonts w:hint="eastAsia" w:ascii="宋体" w:hAnsi="宋体" w:cs="宋体"/>
                <w:color w:val="000000"/>
                <w:kern w:val="0"/>
                <w:sz w:val="22"/>
                <w:lang w:val="en-US" w:eastAsia="zh-CN" w:bidi="ar"/>
              </w:rPr>
              <w:t>最高得</w:t>
            </w:r>
            <w:r>
              <w:rPr>
                <w:rFonts w:hint="default" w:ascii="宋体" w:hAnsi="宋体" w:cs="宋体"/>
                <w:color w:val="000000"/>
                <w:kern w:val="0"/>
                <w:sz w:val="22"/>
                <w:lang w:eastAsia="zh-CN" w:bidi="ar"/>
              </w:rPr>
              <w:t>5</w:t>
            </w:r>
            <w:r>
              <w:rPr>
                <w:rFonts w:hint="eastAsia" w:ascii="宋体" w:hAnsi="宋体" w:cs="宋体"/>
                <w:color w:val="000000"/>
                <w:kern w:val="0"/>
                <w:sz w:val="22"/>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4" w:type="dxa"/>
            <w:vAlign w:val="center"/>
          </w:tcPr>
          <w:p>
            <w:pPr>
              <w:spacing w:line="360" w:lineRule="exact"/>
              <w:jc w:val="center"/>
              <w:rPr>
                <w:rFonts w:hint="default" w:ascii="宋体" w:hAnsi="宋体" w:cs="宋体"/>
                <w:kern w:val="0"/>
                <w:sz w:val="24"/>
              </w:rPr>
            </w:pPr>
            <w:r>
              <w:rPr>
                <w:rFonts w:hint="default" w:ascii="宋体" w:hAnsi="宋体" w:cs="宋体"/>
                <w:kern w:val="0"/>
                <w:sz w:val="24"/>
              </w:rPr>
              <w:t>4</w:t>
            </w:r>
          </w:p>
        </w:tc>
        <w:tc>
          <w:tcPr>
            <w:tcW w:w="1285" w:type="dxa"/>
            <w:vAlign w:val="center"/>
          </w:tcPr>
          <w:p>
            <w:pPr>
              <w:spacing w:line="360" w:lineRule="exact"/>
              <w:jc w:val="center"/>
              <w:rPr>
                <w:rFonts w:ascii="宋体" w:hAnsi="宋体" w:eastAsia="宋体" w:cs="宋体"/>
                <w:kern w:val="0"/>
                <w:sz w:val="24"/>
                <w:szCs w:val="24"/>
                <w:lang w:val="en-US" w:eastAsia="zh-CN" w:bidi="ar-SA"/>
              </w:rPr>
            </w:pPr>
            <w:r>
              <w:rPr>
                <w:rFonts w:hint="eastAsia" w:ascii="宋体" w:hAnsi="宋体" w:cs="宋体"/>
                <w:color w:val="000000"/>
                <w:kern w:val="0"/>
                <w:sz w:val="22"/>
                <w:szCs w:val="22"/>
                <w:lang w:bidi="ar"/>
              </w:rPr>
              <w:t>项目技术人员配备情况</w:t>
            </w:r>
          </w:p>
        </w:tc>
        <w:tc>
          <w:tcPr>
            <w:tcW w:w="710" w:type="dxa"/>
            <w:vAlign w:val="center"/>
          </w:tcPr>
          <w:p>
            <w:pPr>
              <w:spacing w:line="360" w:lineRule="exact"/>
              <w:jc w:val="center"/>
              <w:rPr>
                <w:rFonts w:ascii="宋体" w:hAnsi="宋体" w:eastAsia="宋体" w:cs="宋体"/>
                <w:kern w:val="0"/>
                <w:sz w:val="24"/>
                <w:szCs w:val="24"/>
                <w:lang w:val="en-US" w:eastAsia="zh-CN" w:bidi="ar-SA"/>
              </w:rPr>
            </w:pPr>
            <w:r>
              <w:rPr>
                <w:rFonts w:hint="default" w:ascii="宋体" w:hAnsi="宋体" w:cs="宋体"/>
                <w:kern w:val="0"/>
                <w:sz w:val="24"/>
                <w:lang w:eastAsia="zh-CN"/>
              </w:rPr>
              <w:t>9</w:t>
            </w:r>
            <w:r>
              <w:rPr>
                <w:rFonts w:hint="eastAsia" w:ascii="宋体" w:hAnsi="宋体" w:cs="宋体"/>
                <w:kern w:val="0"/>
                <w:sz w:val="24"/>
              </w:rPr>
              <w:t>分</w:t>
            </w:r>
          </w:p>
        </w:tc>
        <w:tc>
          <w:tcPr>
            <w:tcW w:w="7477" w:type="dxa"/>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宋体" w:hAnsi="宋体" w:cs="宋体"/>
                <w:color w:val="000000"/>
                <w:kern w:val="0"/>
                <w:sz w:val="22"/>
                <w:lang w:bidi="ar"/>
              </w:rPr>
            </w:pPr>
            <w:r>
              <w:rPr>
                <w:rFonts w:hint="eastAsia" w:ascii="宋体" w:hAnsi="宋体" w:cs="宋体"/>
                <w:color w:val="000000"/>
                <w:kern w:val="0"/>
                <w:sz w:val="22"/>
                <w:lang w:bidi="ar"/>
              </w:rPr>
              <w:t>保证项目实施的技术力量和人力资源安排，根据投标人针对本项目需求状况配备人员数量及技术能力情况进行评分：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1）拟派项目经理</w:t>
            </w:r>
            <w:r>
              <w:rPr>
                <w:rFonts w:hint="eastAsia" w:ascii="宋体" w:hAnsi="宋体" w:cs="宋体"/>
                <w:color w:val="000000"/>
                <w:kern w:val="0"/>
                <w:sz w:val="22"/>
                <w:lang w:eastAsia="zh-CN" w:bidi="ar"/>
              </w:rPr>
              <w:t>同进</w:t>
            </w:r>
            <w:r>
              <w:rPr>
                <w:rFonts w:hint="eastAsia" w:ascii="宋体" w:hAnsi="宋体" w:cs="宋体"/>
                <w:color w:val="000000"/>
                <w:kern w:val="0"/>
                <w:sz w:val="22"/>
                <w:lang w:bidi="ar"/>
              </w:rPr>
              <w:t>具有云计算架构师高级认证、信息系统项目管理师证书、CISP、系统规划与管理师的得4分，提供3个证书的得3分，提供2个证书的得2分，提供1个证书的得1分，没有的不得分。</w:t>
            </w:r>
          </w:p>
          <w:p>
            <w:pPr>
              <w:keepNext w:val="0"/>
              <w:keepLines w:val="0"/>
              <w:pageBreakBefore w:val="0"/>
              <w:numPr>
                <w:ilvl w:val="0"/>
                <w:numId w:val="11"/>
              </w:numPr>
              <w:kinsoku/>
              <w:wordWrap/>
              <w:overflowPunct/>
              <w:topLinePunct w:val="0"/>
              <w:autoSpaceDE/>
              <w:autoSpaceDN/>
              <w:bidi w:val="0"/>
              <w:adjustRightInd/>
              <w:snapToGrid w:val="0"/>
              <w:spacing w:line="240" w:lineRule="auto"/>
              <w:jc w:val="left"/>
              <w:rPr>
                <w:rFonts w:hint="eastAsia" w:ascii="宋体" w:hAnsi="宋体" w:cs="宋体"/>
                <w:color w:val="000000"/>
                <w:kern w:val="0"/>
                <w:sz w:val="22"/>
                <w:lang w:bidi="ar"/>
              </w:rPr>
            </w:pPr>
            <w:r>
              <w:rPr>
                <w:rFonts w:hint="eastAsia" w:ascii="宋体" w:hAnsi="宋体" w:cs="宋体"/>
                <w:color w:val="000000"/>
                <w:kern w:val="0"/>
                <w:sz w:val="22"/>
                <w:lang w:bidi="ar"/>
              </w:rPr>
              <w:t>项目团队成员（不包括项目总负责人）拥有信息系统项目管理师、网络规划设计师、系统架构设计师、系统规划与管理师、软件设计师、数据库系统工程师，每本证书得0.5分，每人最高得0.5分，最高得5分。</w:t>
            </w:r>
          </w:p>
          <w:p>
            <w:pPr>
              <w:keepNext w:val="0"/>
              <w:keepLines w:val="0"/>
              <w:pageBreakBefore w:val="0"/>
              <w:numPr>
                <w:ilvl w:val="0"/>
                <w:numId w:val="0"/>
              </w:numPr>
              <w:kinsoku/>
              <w:wordWrap/>
              <w:overflowPunct/>
              <w:topLinePunct w:val="0"/>
              <w:autoSpaceDE/>
              <w:autoSpaceDN/>
              <w:bidi w:val="0"/>
              <w:adjustRightInd/>
              <w:snapToGrid w:val="0"/>
              <w:spacing w:line="240" w:lineRule="auto"/>
              <w:jc w:val="left"/>
              <w:rPr>
                <w:rFonts w:ascii="宋体" w:hAnsi="宋体" w:eastAsia="宋体" w:cs="宋体"/>
                <w:kern w:val="0"/>
                <w:sz w:val="24"/>
                <w:szCs w:val="24"/>
                <w:lang w:val="en-US" w:eastAsia="zh-CN" w:bidi="ar-SA"/>
              </w:rPr>
            </w:pPr>
            <w:r>
              <w:rPr>
                <w:rFonts w:hint="eastAsia" w:ascii="宋体" w:hAnsi="宋体" w:cs="宋体"/>
                <w:color w:val="000000"/>
                <w:kern w:val="0"/>
                <w:sz w:val="22"/>
                <w:lang w:bidi="ar"/>
              </w:rPr>
              <w:t>备注：项目人员必须为本公司在职人员，参保单位名称与投标人名称一致，需提供近3个月社保缴纳材料，不提供不得分。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4" w:type="dxa"/>
            <w:vAlign w:val="center"/>
          </w:tcPr>
          <w:p>
            <w:pPr>
              <w:spacing w:line="360" w:lineRule="exact"/>
              <w:jc w:val="center"/>
              <w:rPr>
                <w:rFonts w:hint="default" w:ascii="宋体" w:hAnsi="宋体" w:cs="宋体"/>
                <w:kern w:val="0"/>
                <w:sz w:val="24"/>
              </w:rPr>
            </w:pPr>
            <w:r>
              <w:rPr>
                <w:rFonts w:hint="default" w:ascii="宋体" w:hAnsi="宋体" w:cs="宋体"/>
                <w:kern w:val="0"/>
                <w:sz w:val="24"/>
              </w:rPr>
              <w:t>5</w:t>
            </w:r>
          </w:p>
        </w:tc>
        <w:tc>
          <w:tcPr>
            <w:tcW w:w="1285" w:type="dxa"/>
            <w:vAlign w:val="center"/>
          </w:tcPr>
          <w:p>
            <w:pPr>
              <w:spacing w:line="360" w:lineRule="exact"/>
              <w:jc w:val="center"/>
              <w:rPr>
                <w:rFonts w:ascii="宋体" w:hAnsi="宋体" w:eastAsia="宋体" w:cs="宋体"/>
                <w:kern w:val="0"/>
                <w:sz w:val="24"/>
                <w:szCs w:val="24"/>
                <w:lang w:val="en-US" w:eastAsia="zh-CN" w:bidi="ar-SA"/>
              </w:rPr>
            </w:pPr>
            <w:r>
              <w:rPr>
                <w:rFonts w:hint="eastAsia" w:ascii="宋体" w:hAnsi="宋体" w:cs="宋体"/>
                <w:color w:val="000000"/>
                <w:kern w:val="0"/>
                <w:sz w:val="22"/>
                <w:szCs w:val="22"/>
                <w:lang w:bidi="ar"/>
              </w:rPr>
              <w:t>项目整体理解</w:t>
            </w:r>
          </w:p>
        </w:tc>
        <w:tc>
          <w:tcPr>
            <w:tcW w:w="710" w:type="dxa"/>
            <w:vAlign w:val="center"/>
          </w:tcPr>
          <w:p>
            <w:pPr>
              <w:spacing w:line="360" w:lineRule="exact"/>
              <w:jc w:val="center"/>
              <w:rPr>
                <w:rFonts w:ascii="宋体" w:hAnsi="宋体" w:eastAsia="宋体" w:cs="宋体"/>
                <w:kern w:val="0"/>
                <w:sz w:val="24"/>
                <w:szCs w:val="24"/>
                <w:lang w:val="en-US" w:eastAsia="zh-CN" w:bidi="ar-SA"/>
              </w:rPr>
            </w:pPr>
            <w:r>
              <w:rPr>
                <w:rFonts w:hint="eastAsia" w:ascii="宋体" w:hAnsi="宋体" w:cs="宋体"/>
                <w:kern w:val="0"/>
                <w:sz w:val="24"/>
              </w:rPr>
              <w:t>5分</w:t>
            </w:r>
          </w:p>
        </w:tc>
        <w:tc>
          <w:tcPr>
            <w:tcW w:w="7477" w:type="dxa"/>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宋体" w:hAnsi="宋体" w:eastAsia="宋体" w:cs="宋体"/>
                <w:bCs/>
                <w:kern w:val="2"/>
                <w:sz w:val="24"/>
                <w:szCs w:val="24"/>
                <w:lang w:val="en-US" w:eastAsia="zh-CN" w:bidi="ar-SA"/>
              </w:rPr>
            </w:pPr>
            <w:r>
              <w:rPr>
                <w:rFonts w:hint="eastAsia" w:ascii="宋体" w:hAnsi="宋体" w:cs="宋体"/>
                <w:color w:val="000000"/>
                <w:kern w:val="0"/>
                <w:sz w:val="22"/>
                <w:lang w:bidi="ar"/>
              </w:rPr>
              <w:t>投标人对项目整体方案和系统建设目标的理解，并分析项目建设的重点与难点，根据对项目整体方案的理解进行打分。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4" w:type="dxa"/>
            <w:vMerge w:val="restart"/>
            <w:vAlign w:val="center"/>
          </w:tcPr>
          <w:p>
            <w:pPr>
              <w:spacing w:line="360" w:lineRule="exact"/>
              <w:jc w:val="center"/>
              <w:rPr>
                <w:rFonts w:hint="default" w:ascii="宋体" w:hAnsi="宋体" w:cs="宋体"/>
                <w:kern w:val="0"/>
                <w:sz w:val="24"/>
              </w:rPr>
            </w:pPr>
            <w:r>
              <w:rPr>
                <w:rFonts w:hint="default" w:ascii="宋体" w:hAnsi="宋体" w:cs="宋体"/>
                <w:kern w:val="0"/>
                <w:sz w:val="24"/>
              </w:rPr>
              <w:t>6</w:t>
            </w:r>
          </w:p>
        </w:tc>
        <w:tc>
          <w:tcPr>
            <w:tcW w:w="1285" w:type="dxa"/>
            <w:vMerge w:val="restart"/>
            <w:vAlign w:val="center"/>
          </w:tcPr>
          <w:p>
            <w:pPr>
              <w:spacing w:line="360" w:lineRule="exact"/>
              <w:jc w:val="center"/>
              <w:rPr>
                <w:rFonts w:ascii="宋体" w:hAnsi="宋体" w:eastAsia="宋体" w:cs="宋体"/>
                <w:kern w:val="0"/>
                <w:sz w:val="24"/>
                <w:szCs w:val="24"/>
                <w:lang w:val="en-US" w:eastAsia="zh-CN" w:bidi="ar-SA"/>
              </w:rPr>
            </w:pPr>
            <w:r>
              <w:rPr>
                <w:rFonts w:hint="eastAsia" w:ascii="宋体" w:hAnsi="宋体" w:cs="等线"/>
                <w:color w:val="000000"/>
                <w:kern w:val="0"/>
                <w:sz w:val="22"/>
                <w:szCs w:val="22"/>
                <w:lang w:bidi="ar"/>
              </w:rPr>
              <w:t>系统对接与需求分析</w:t>
            </w:r>
          </w:p>
        </w:tc>
        <w:tc>
          <w:tcPr>
            <w:tcW w:w="710" w:type="dxa"/>
            <w:vAlign w:val="center"/>
          </w:tcPr>
          <w:p>
            <w:pPr>
              <w:spacing w:line="360" w:lineRule="exact"/>
              <w:jc w:val="center"/>
              <w:rPr>
                <w:rFonts w:ascii="宋体" w:hAnsi="宋体" w:eastAsia="宋体" w:cs="宋体"/>
                <w:kern w:val="0"/>
                <w:sz w:val="24"/>
                <w:szCs w:val="24"/>
                <w:lang w:val="en-US" w:eastAsia="zh-CN" w:bidi="ar-SA"/>
              </w:rPr>
            </w:pPr>
            <w:r>
              <w:rPr>
                <w:rFonts w:hint="eastAsia" w:ascii="宋体" w:hAnsi="宋体" w:cs="宋体"/>
                <w:kern w:val="0"/>
                <w:sz w:val="24"/>
                <w:lang w:val="en-US" w:eastAsia="zh-CN"/>
              </w:rPr>
              <w:t>5</w:t>
            </w:r>
            <w:r>
              <w:rPr>
                <w:rFonts w:hint="eastAsia" w:ascii="宋体" w:hAnsi="宋体" w:cs="宋体"/>
                <w:kern w:val="0"/>
                <w:sz w:val="24"/>
              </w:rPr>
              <w:t>分</w:t>
            </w:r>
          </w:p>
        </w:tc>
        <w:tc>
          <w:tcPr>
            <w:tcW w:w="747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bCs/>
                <w:kern w:val="2"/>
                <w:sz w:val="24"/>
                <w:szCs w:val="24"/>
                <w:lang w:val="en-US" w:eastAsia="zh-Hans" w:bidi="ar-SA"/>
              </w:rPr>
            </w:pPr>
            <w:r>
              <w:rPr>
                <w:rFonts w:hint="eastAsia" w:ascii="宋体" w:hAnsi="宋体" w:cs="宋体"/>
                <w:color w:val="000000"/>
                <w:kern w:val="0"/>
                <w:sz w:val="22"/>
                <w:lang w:bidi="ar"/>
              </w:rPr>
              <w:t>根据投标人提供对中药产业大脑建设现状、需求分析、应用部署情况等现状梳理的结果，提供与中药材产业发展智慧云平台的数据共享方案，根据方案综合打分</w:t>
            </w:r>
            <w:r>
              <w:rPr>
                <w:rFonts w:hint="eastAsia" w:ascii="宋体" w:hAnsi="宋体" w:cs="宋体"/>
                <w:color w:val="000000"/>
                <w:kern w:val="0"/>
                <w:sz w:val="22"/>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74" w:type="dxa"/>
            <w:vMerge w:val="continue"/>
            <w:vAlign w:val="center"/>
          </w:tcPr>
          <w:p>
            <w:pPr>
              <w:spacing w:line="360" w:lineRule="exact"/>
              <w:jc w:val="center"/>
              <w:rPr>
                <w:rFonts w:ascii="宋体" w:hAnsi="宋体" w:cs="宋体"/>
                <w:kern w:val="0"/>
                <w:sz w:val="24"/>
              </w:rPr>
            </w:pPr>
          </w:p>
        </w:tc>
        <w:tc>
          <w:tcPr>
            <w:tcW w:w="1285" w:type="dxa"/>
            <w:vMerge w:val="continue"/>
            <w:vAlign w:val="center"/>
          </w:tcPr>
          <w:p>
            <w:pPr>
              <w:spacing w:line="360" w:lineRule="exact"/>
              <w:jc w:val="center"/>
              <w:rPr>
                <w:rFonts w:ascii="宋体" w:hAnsi="宋体" w:eastAsia="宋体" w:cs="宋体"/>
                <w:kern w:val="0"/>
                <w:sz w:val="24"/>
                <w:szCs w:val="24"/>
                <w:lang w:val="en-US" w:eastAsia="zh-CN" w:bidi="ar-SA"/>
              </w:rPr>
            </w:pPr>
          </w:p>
        </w:tc>
        <w:tc>
          <w:tcPr>
            <w:tcW w:w="710" w:type="dxa"/>
            <w:vAlign w:val="center"/>
          </w:tcPr>
          <w:p>
            <w:pPr>
              <w:spacing w:line="360" w:lineRule="exact"/>
              <w:jc w:val="center"/>
              <w:rPr>
                <w:rFonts w:ascii="宋体" w:hAnsi="宋体" w:eastAsia="宋体" w:cs="宋体"/>
                <w:kern w:val="0"/>
                <w:sz w:val="24"/>
                <w:szCs w:val="24"/>
                <w:lang w:val="en-US" w:eastAsia="zh-CN" w:bidi="ar-SA"/>
              </w:rPr>
            </w:pPr>
            <w:r>
              <w:rPr>
                <w:rFonts w:hint="eastAsia" w:ascii="宋体" w:hAnsi="宋体" w:cs="宋体"/>
                <w:kern w:val="0"/>
                <w:sz w:val="24"/>
                <w:lang w:val="en-US" w:eastAsia="zh-CN"/>
              </w:rPr>
              <w:t>5</w:t>
            </w:r>
            <w:r>
              <w:rPr>
                <w:rFonts w:hint="eastAsia" w:ascii="宋体" w:hAnsi="宋体" w:cs="宋体"/>
                <w:kern w:val="0"/>
                <w:sz w:val="24"/>
              </w:rPr>
              <w:t>分</w:t>
            </w:r>
          </w:p>
        </w:tc>
        <w:tc>
          <w:tcPr>
            <w:tcW w:w="747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bCs/>
                <w:kern w:val="2"/>
                <w:sz w:val="24"/>
                <w:szCs w:val="24"/>
                <w:lang w:val="en-US" w:eastAsia="zh-Hans" w:bidi="ar-SA"/>
              </w:rPr>
            </w:pPr>
            <w:r>
              <w:rPr>
                <w:rFonts w:hint="eastAsia" w:ascii="宋体" w:hAnsi="宋体" w:cs="宋体"/>
                <w:color w:val="000000"/>
                <w:kern w:val="0"/>
                <w:sz w:val="22"/>
                <w:lang w:bidi="ar"/>
              </w:rPr>
              <w:t>提供实际调研梳理后的中药产业大脑重大需求、多跨场景应用、重大改革“三张清单”，根据清单综合打分</w:t>
            </w:r>
            <w:r>
              <w:rPr>
                <w:rFonts w:hint="eastAsia" w:ascii="宋体" w:hAnsi="宋体" w:cs="宋体"/>
                <w:color w:val="000000"/>
                <w:kern w:val="0"/>
                <w:sz w:val="22"/>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4" w:type="dxa"/>
            <w:vMerge w:val="restart"/>
            <w:vAlign w:val="center"/>
          </w:tcPr>
          <w:p>
            <w:pPr>
              <w:spacing w:line="36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7</w:t>
            </w:r>
          </w:p>
        </w:tc>
        <w:tc>
          <w:tcPr>
            <w:tcW w:w="1285" w:type="dxa"/>
            <w:vMerge w:val="restart"/>
            <w:vAlign w:val="center"/>
          </w:tcPr>
          <w:p>
            <w:pPr>
              <w:spacing w:line="360" w:lineRule="exact"/>
              <w:jc w:val="center"/>
              <w:rPr>
                <w:rFonts w:ascii="宋体" w:hAnsi="宋体" w:eastAsia="宋体" w:cs="宋体"/>
                <w:kern w:val="0"/>
                <w:sz w:val="24"/>
                <w:szCs w:val="24"/>
                <w:lang w:val="en-US" w:eastAsia="zh-CN" w:bidi="ar-SA"/>
              </w:rPr>
            </w:pPr>
            <w:r>
              <w:rPr>
                <w:rFonts w:hint="eastAsia" w:ascii="宋体" w:hAnsi="宋体" w:cs="宋体"/>
                <w:color w:val="000000"/>
                <w:kern w:val="0"/>
                <w:sz w:val="22"/>
                <w:szCs w:val="22"/>
                <w:lang w:bidi="ar"/>
              </w:rPr>
              <w:t>方案设计</w:t>
            </w:r>
          </w:p>
        </w:tc>
        <w:tc>
          <w:tcPr>
            <w:tcW w:w="710" w:type="dxa"/>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5</w:t>
            </w:r>
            <w:r>
              <w:rPr>
                <w:rFonts w:hint="eastAsia" w:ascii="宋体" w:hAnsi="宋体" w:cs="宋体"/>
                <w:color w:val="000000"/>
                <w:kern w:val="0"/>
                <w:sz w:val="22"/>
                <w:szCs w:val="22"/>
                <w:lang w:val="en-US" w:eastAsia="zh-CN" w:bidi="ar"/>
              </w:rPr>
              <w:t>分</w:t>
            </w:r>
          </w:p>
        </w:tc>
        <w:tc>
          <w:tcPr>
            <w:tcW w:w="747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center"/>
              <w:rPr>
                <w:rFonts w:hint="eastAsia" w:ascii="宋体" w:hAnsi="宋体" w:eastAsia="宋体" w:cs="宋体"/>
                <w:color w:val="000000"/>
                <w:kern w:val="2"/>
                <w:sz w:val="22"/>
                <w:szCs w:val="24"/>
                <w:lang w:val="en-US" w:eastAsia="zh-CN" w:bidi="ar-SA"/>
              </w:rPr>
            </w:pPr>
            <w:r>
              <w:rPr>
                <w:rFonts w:hint="eastAsia" w:ascii="宋体" w:hAnsi="宋体" w:cs="宋体"/>
                <w:color w:val="000000"/>
                <w:kern w:val="0"/>
                <w:sz w:val="22"/>
                <w:lang w:bidi="ar"/>
              </w:rPr>
              <w:t>针对项目的建设背景和业务现状的分析、建设目标和功能需求的理解等，提供设计详细设计方案，包含系统理解、架构设计、技术路线、合理化建议等，按照投标人详细设计方案的架构打分。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4" w:type="dxa"/>
            <w:vMerge w:val="continue"/>
            <w:vAlign w:val="center"/>
          </w:tcPr>
          <w:p>
            <w:pPr>
              <w:spacing w:line="360" w:lineRule="exact"/>
              <w:jc w:val="center"/>
              <w:rPr>
                <w:rFonts w:hint="eastAsia" w:ascii="宋体" w:hAnsi="宋体" w:cs="宋体"/>
                <w:kern w:val="0"/>
                <w:sz w:val="24"/>
                <w:lang w:val="en-US" w:eastAsia="zh-CN"/>
              </w:rPr>
            </w:pPr>
          </w:p>
        </w:tc>
        <w:tc>
          <w:tcPr>
            <w:tcW w:w="1285" w:type="dxa"/>
            <w:vMerge w:val="continue"/>
            <w:vAlign w:val="center"/>
          </w:tcPr>
          <w:p>
            <w:pPr>
              <w:spacing w:line="360" w:lineRule="exact"/>
              <w:jc w:val="center"/>
              <w:rPr>
                <w:rFonts w:hint="eastAsia" w:ascii="宋体" w:hAnsi="宋体" w:eastAsia="宋体" w:cs="宋体"/>
                <w:color w:val="000000"/>
                <w:kern w:val="0"/>
                <w:sz w:val="22"/>
                <w:szCs w:val="22"/>
                <w:lang w:val="en-US" w:eastAsia="zh-Hans" w:bidi="ar"/>
              </w:rPr>
            </w:pPr>
          </w:p>
        </w:tc>
        <w:tc>
          <w:tcPr>
            <w:tcW w:w="710" w:type="dxa"/>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宋体" w:hAnsi="宋体" w:cs="宋体"/>
                <w:color w:val="000000"/>
                <w:kern w:val="0"/>
                <w:sz w:val="22"/>
                <w:szCs w:val="22"/>
                <w:lang w:val="en-US" w:eastAsia="zh-CN" w:bidi="ar"/>
              </w:rPr>
            </w:pPr>
            <w:r>
              <w:rPr>
                <w:rFonts w:hint="default" w:ascii="宋体" w:hAnsi="宋体" w:cs="宋体"/>
                <w:color w:val="000000"/>
                <w:kern w:val="0"/>
                <w:sz w:val="22"/>
                <w:szCs w:val="22"/>
                <w:lang w:eastAsia="zh-CN" w:bidi="ar"/>
              </w:rPr>
              <w:t>8</w:t>
            </w:r>
            <w:r>
              <w:rPr>
                <w:rFonts w:hint="eastAsia" w:ascii="宋体" w:hAnsi="宋体" w:cs="宋体"/>
                <w:color w:val="000000"/>
                <w:kern w:val="0"/>
                <w:sz w:val="22"/>
                <w:szCs w:val="22"/>
                <w:lang w:val="en-US" w:eastAsia="zh-CN" w:bidi="ar"/>
              </w:rPr>
              <w:t>分</w:t>
            </w:r>
          </w:p>
        </w:tc>
        <w:tc>
          <w:tcPr>
            <w:tcW w:w="747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center"/>
              <w:rPr>
                <w:rFonts w:hint="eastAsia"/>
                <w:lang w:val="en-US" w:eastAsia="zh-Hans"/>
              </w:rPr>
            </w:pPr>
            <w:r>
              <w:rPr>
                <w:rFonts w:hint="eastAsia"/>
                <w:lang w:val="en-US" w:eastAsia="zh-Hans"/>
              </w:rPr>
              <w:t>核心业务场景建设：</w:t>
            </w:r>
          </w:p>
          <w:p>
            <w:pPr>
              <w:pStyle w:val="2"/>
              <w:ind w:left="0" w:leftChars="0" w:firstLine="0" w:firstLineChars="0"/>
              <w:rPr>
                <w:rFonts w:hint="default" w:eastAsia="幼圆"/>
                <w:lang w:val="en-US" w:eastAsia="zh-CN"/>
              </w:rPr>
            </w:pPr>
            <w:r>
              <w:rPr>
                <w:rFonts w:hint="eastAsia"/>
                <w:lang w:val="en-US" w:eastAsia="zh-CN"/>
              </w:rPr>
              <w:t>根据以下内容进行综合打分，最高8分。</w:t>
            </w:r>
          </w:p>
          <w:p>
            <w:pPr>
              <w:pStyle w:val="2"/>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eastAsia" w:ascii="宋体" w:hAnsi="宋体" w:cs="宋体"/>
                <w:color w:val="000000"/>
                <w:kern w:val="0"/>
                <w:sz w:val="22"/>
                <w:highlight w:val="none"/>
                <w:lang w:val="en-US" w:eastAsia="zh-Hans" w:bidi="ar"/>
              </w:rPr>
            </w:pPr>
            <w:r>
              <w:rPr>
                <w:rFonts w:hint="default" w:ascii="宋体" w:hAnsi="宋体" w:cs="宋体"/>
                <w:color w:val="000000"/>
                <w:kern w:val="0"/>
                <w:sz w:val="22"/>
                <w:highlight w:val="none"/>
                <w:lang w:eastAsia="zh-Hans" w:bidi="ar"/>
              </w:rPr>
              <w:t>三产融合全景</w:t>
            </w:r>
            <w:r>
              <w:rPr>
                <w:rFonts w:hint="eastAsia" w:ascii="宋体" w:hAnsi="宋体" w:cs="宋体"/>
                <w:color w:val="000000"/>
                <w:kern w:val="0"/>
                <w:sz w:val="22"/>
                <w:highlight w:val="none"/>
                <w:lang w:val="en-US" w:eastAsia="zh-Hans" w:bidi="ar"/>
              </w:rPr>
              <w:t>的“产业</w:t>
            </w:r>
            <w:r>
              <w:rPr>
                <w:rFonts w:hint="default" w:ascii="宋体" w:hAnsi="宋体" w:cs="宋体"/>
                <w:color w:val="000000"/>
                <w:kern w:val="0"/>
                <w:sz w:val="22"/>
                <w:highlight w:val="none"/>
                <w:lang w:eastAsia="zh-Hans" w:bidi="ar"/>
              </w:rPr>
              <w:t>全景</w:t>
            </w:r>
            <w:r>
              <w:rPr>
                <w:rFonts w:hint="eastAsia" w:ascii="宋体" w:hAnsi="宋体" w:cs="宋体"/>
                <w:color w:val="000000"/>
                <w:kern w:val="0"/>
                <w:sz w:val="22"/>
                <w:highlight w:val="none"/>
                <w:lang w:eastAsia="zh-Hans" w:bidi="ar"/>
              </w:rPr>
              <w:t>”</w:t>
            </w:r>
            <w:r>
              <w:rPr>
                <w:rFonts w:hint="default" w:ascii="宋体" w:hAnsi="宋体" w:cs="宋体"/>
                <w:color w:val="000000"/>
                <w:kern w:val="0"/>
                <w:sz w:val="22"/>
                <w:highlight w:val="none"/>
                <w:lang w:eastAsia="zh-Hans" w:bidi="ar"/>
              </w:rPr>
              <w:t>分析</w:t>
            </w:r>
            <w:r>
              <w:rPr>
                <w:rFonts w:hint="eastAsia" w:ascii="宋体" w:hAnsi="宋体" w:cs="宋体"/>
                <w:color w:val="000000"/>
                <w:kern w:val="0"/>
                <w:sz w:val="22"/>
                <w:highlight w:val="none"/>
                <w:lang w:val="en-US" w:eastAsia="zh-Hans" w:bidi="ar"/>
              </w:rPr>
              <w:t>版块的功能设计，</w:t>
            </w:r>
          </w:p>
          <w:p>
            <w:pPr>
              <w:pStyle w:val="2"/>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宋体" w:hAnsi="宋体" w:cs="宋体"/>
                <w:color w:val="000000"/>
                <w:kern w:val="0"/>
                <w:sz w:val="22"/>
                <w:highlight w:val="none"/>
                <w:lang w:val="en-US" w:eastAsia="zh-Hans" w:bidi="ar"/>
              </w:rPr>
            </w:pPr>
            <w:r>
              <w:rPr>
                <w:rFonts w:hint="eastAsia" w:ascii="宋体" w:hAnsi="宋体" w:cs="宋体"/>
                <w:color w:val="000000"/>
                <w:kern w:val="0"/>
                <w:sz w:val="22"/>
                <w:highlight w:val="none"/>
                <w:lang w:val="en-US" w:eastAsia="zh-Hans" w:bidi="ar"/>
              </w:rPr>
              <w:t>满足省级统建要求的“</w:t>
            </w:r>
            <w:r>
              <w:rPr>
                <w:rFonts w:hint="default" w:ascii="宋体" w:hAnsi="宋体" w:cs="宋体"/>
                <w:color w:val="000000"/>
                <w:kern w:val="0"/>
                <w:sz w:val="22"/>
                <w:highlight w:val="none"/>
                <w:lang w:val="en-US" w:eastAsia="zh-Hans" w:bidi="ar"/>
              </w:rPr>
              <w:t>中药行业产业数据仓</w:t>
            </w:r>
            <w:r>
              <w:rPr>
                <w:rFonts w:hint="eastAsia" w:ascii="宋体" w:hAnsi="宋体" w:cs="宋体"/>
                <w:color w:val="000000"/>
                <w:kern w:val="0"/>
                <w:sz w:val="22"/>
                <w:highlight w:val="none"/>
                <w:lang w:val="en-US" w:eastAsia="zh-Hans" w:bidi="ar"/>
              </w:rPr>
              <w:t>”的功能设计</w:t>
            </w:r>
            <w:r>
              <w:rPr>
                <w:rFonts w:hint="eastAsia" w:ascii="宋体" w:hAnsi="宋体" w:cs="宋体"/>
                <w:color w:val="000000"/>
                <w:kern w:val="0"/>
                <w:sz w:val="22"/>
                <w:highlight w:val="none"/>
                <w:lang w:val="en-US" w:eastAsia="zh-CN" w:bidi="ar"/>
              </w:rPr>
              <w:t>。</w:t>
            </w:r>
          </w:p>
          <w:p>
            <w:pPr>
              <w:pStyle w:val="2"/>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宋体" w:hAnsi="宋体" w:cs="宋体"/>
                <w:color w:val="000000"/>
                <w:kern w:val="0"/>
                <w:sz w:val="22"/>
                <w:highlight w:val="none"/>
                <w:lang w:val="en-US" w:eastAsia="zh-Hans" w:bidi="ar"/>
              </w:rPr>
            </w:pPr>
            <w:r>
              <w:rPr>
                <w:rFonts w:hint="default" w:ascii="宋体" w:hAnsi="宋体" w:cs="宋体"/>
                <w:color w:val="000000"/>
                <w:kern w:val="0"/>
                <w:sz w:val="22"/>
                <w:highlight w:val="none"/>
                <w:lang w:val="en-US" w:eastAsia="zh-Hans" w:bidi="ar"/>
              </w:rPr>
              <w:t>“互联网+道地药材”专业化第三方交易服务平台</w:t>
            </w:r>
            <w:r>
              <w:rPr>
                <w:rFonts w:hint="eastAsia" w:ascii="宋体" w:hAnsi="宋体" w:cs="宋体"/>
                <w:color w:val="000000"/>
                <w:kern w:val="0"/>
                <w:sz w:val="22"/>
                <w:highlight w:val="none"/>
                <w:lang w:val="en-US" w:eastAsia="zh-Hans" w:bidi="ar"/>
              </w:rPr>
              <w:t>“浙药通”场景的功能设计。</w:t>
            </w:r>
          </w:p>
          <w:p>
            <w:pPr>
              <w:pStyle w:val="2"/>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宋体" w:hAnsi="宋体" w:cs="宋体"/>
                <w:color w:val="000000"/>
                <w:kern w:val="0"/>
                <w:sz w:val="22"/>
                <w:highlight w:val="none"/>
                <w:lang w:val="en-US" w:eastAsia="zh-Hans" w:bidi="ar"/>
              </w:rPr>
            </w:pPr>
            <w:r>
              <w:rPr>
                <w:rFonts w:hint="eastAsia" w:ascii="宋体" w:hAnsi="宋体" w:cs="宋体"/>
                <w:color w:val="000000"/>
                <w:kern w:val="0"/>
                <w:sz w:val="22"/>
                <w:highlight w:val="none"/>
                <w:lang w:val="en-US" w:eastAsia="zh-Hans" w:bidi="ar"/>
              </w:rPr>
              <w:t>拥有网络会展与行业互动平台的“</w:t>
            </w:r>
            <w:r>
              <w:rPr>
                <w:rFonts w:hint="default" w:ascii="宋体" w:hAnsi="宋体" w:cs="宋体"/>
                <w:color w:val="000000"/>
                <w:kern w:val="0"/>
                <w:sz w:val="22"/>
                <w:highlight w:val="none"/>
                <w:lang w:val="en-US" w:eastAsia="zh-Hans" w:bidi="ar"/>
              </w:rPr>
              <w:t>数字药博</w:t>
            </w:r>
            <w:r>
              <w:rPr>
                <w:rFonts w:hint="eastAsia" w:ascii="宋体" w:hAnsi="宋体" w:cs="宋体"/>
                <w:color w:val="000000"/>
                <w:kern w:val="0"/>
                <w:sz w:val="22"/>
                <w:highlight w:val="none"/>
                <w:lang w:val="en-US" w:eastAsia="zh-Hans" w:bidi="ar"/>
              </w:rPr>
              <w:t>”场景的功能设计。</w:t>
            </w:r>
          </w:p>
          <w:p>
            <w:pPr>
              <w:pStyle w:val="2"/>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宋体" w:hAnsi="宋体" w:cs="宋体"/>
                <w:color w:val="000000"/>
                <w:kern w:val="0"/>
                <w:sz w:val="22"/>
                <w:highlight w:val="none"/>
                <w:lang w:val="en-US" w:eastAsia="zh-Hans" w:bidi="ar"/>
              </w:rPr>
            </w:pPr>
            <w:r>
              <w:rPr>
                <w:rFonts w:hint="default" w:ascii="宋体" w:hAnsi="宋体" w:cs="宋体"/>
                <w:color w:val="000000"/>
                <w:kern w:val="0"/>
                <w:sz w:val="22"/>
                <w:highlight w:val="none"/>
                <w:lang w:val="en-US" w:eastAsia="zh-Hans" w:bidi="ar"/>
              </w:rPr>
              <w:t>建立中药饮片供应中心和共享中药房</w:t>
            </w:r>
            <w:r>
              <w:rPr>
                <w:rFonts w:hint="eastAsia" w:ascii="宋体" w:hAnsi="宋体" w:cs="宋体"/>
                <w:color w:val="000000"/>
                <w:kern w:val="0"/>
                <w:sz w:val="22"/>
                <w:highlight w:val="none"/>
                <w:lang w:val="en-US" w:eastAsia="zh-Hans" w:bidi="ar"/>
              </w:rPr>
              <w:t>的“智慧药房”场景的功能设计。</w:t>
            </w:r>
          </w:p>
          <w:p>
            <w:pPr>
              <w:pStyle w:val="2"/>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宋体" w:hAnsi="宋体" w:cs="宋体"/>
                <w:color w:val="000000"/>
                <w:kern w:val="0"/>
                <w:sz w:val="22"/>
                <w:highlight w:val="none"/>
                <w:lang w:val="en-US" w:eastAsia="zh-Hans" w:bidi="ar"/>
              </w:rPr>
            </w:pPr>
            <w:r>
              <w:rPr>
                <w:rFonts w:hint="default" w:ascii="宋体" w:hAnsi="宋体" w:cs="宋体"/>
                <w:color w:val="000000"/>
                <w:kern w:val="0"/>
                <w:sz w:val="22"/>
                <w:highlight w:val="none"/>
                <w:lang w:val="en-US" w:eastAsia="zh-Hans" w:bidi="ar"/>
              </w:rPr>
              <w:t>实现中药材全域全过程质量追溯</w:t>
            </w:r>
            <w:r>
              <w:rPr>
                <w:rFonts w:hint="eastAsia" w:ascii="宋体" w:hAnsi="宋体" w:cs="宋体"/>
                <w:color w:val="000000"/>
                <w:kern w:val="0"/>
                <w:sz w:val="22"/>
                <w:highlight w:val="none"/>
                <w:lang w:val="en-US" w:eastAsia="zh-Hans" w:bidi="ar"/>
              </w:rPr>
              <w:t>的“流通管理”迭代升级场景的功能设计。</w:t>
            </w:r>
          </w:p>
          <w:p>
            <w:pPr>
              <w:pStyle w:val="2"/>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宋体" w:hAnsi="宋体" w:cs="宋体"/>
                <w:color w:val="000000"/>
                <w:kern w:val="0"/>
                <w:sz w:val="22"/>
                <w:highlight w:val="none"/>
                <w:lang w:val="en-US" w:eastAsia="zh-Hans" w:bidi="ar"/>
              </w:rPr>
            </w:pPr>
            <w:r>
              <w:rPr>
                <w:rFonts w:hint="eastAsia" w:ascii="宋体" w:hAnsi="宋体" w:cs="宋体"/>
                <w:color w:val="000000"/>
                <w:kern w:val="0"/>
                <w:sz w:val="22"/>
                <w:highlight w:val="none"/>
                <w:lang w:val="en-US" w:eastAsia="zh-Hans" w:bidi="ar"/>
              </w:rPr>
              <w:t>服务端的“</w:t>
            </w:r>
            <w:r>
              <w:rPr>
                <w:rFonts w:hint="default" w:ascii="宋体" w:hAnsi="宋体" w:cs="宋体"/>
                <w:color w:val="000000"/>
                <w:kern w:val="0"/>
                <w:sz w:val="22"/>
                <w:highlight w:val="none"/>
                <w:lang w:val="en-US" w:eastAsia="zh-Hans" w:bidi="ar"/>
              </w:rPr>
              <w:t>浙里办、支付宝</w:t>
            </w:r>
            <w:r>
              <w:rPr>
                <w:rFonts w:hint="eastAsia" w:ascii="宋体" w:hAnsi="宋体" w:cs="宋体"/>
                <w:color w:val="000000"/>
                <w:kern w:val="0"/>
                <w:sz w:val="22"/>
                <w:highlight w:val="none"/>
                <w:lang w:val="en-US" w:eastAsia="zh-CN" w:bidi="ar"/>
              </w:rPr>
              <w:t>、微信小程序</w:t>
            </w:r>
            <w:r>
              <w:rPr>
                <w:rFonts w:hint="eastAsia" w:ascii="宋体" w:hAnsi="宋体" w:cs="宋体"/>
                <w:color w:val="000000"/>
                <w:kern w:val="0"/>
                <w:sz w:val="22"/>
                <w:highlight w:val="none"/>
                <w:lang w:val="en-US" w:eastAsia="zh-Hans" w:bidi="ar"/>
              </w:rPr>
              <w:t>”</w:t>
            </w:r>
            <w:r>
              <w:rPr>
                <w:rFonts w:hint="eastAsia" w:ascii="宋体" w:hAnsi="宋体" w:cs="宋体"/>
                <w:color w:val="000000"/>
                <w:kern w:val="0"/>
                <w:sz w:val="22"/>
                <w:highlight w:val="none"/>
                <w:lang w:val="en-US" w:eastAsia="zh-CN" w:bidi="ar"/>
              </w:rPr>
              <w:t>三</w:t>
            </w:r>
            <w:r>
              <w:rPr>
                <w:rFonts w:hint="default" w:ascii="宋体" w:hAnsi="宋体" w:cs="宋体"/>
                <w:color w:val="000000"/>
                <w:kern w:val="0"/>
                <w:sz w:val="22"/>
                <w:highlight w:val="none"/>
                <w:lang w:val="en-US" w:eastAsia="zh-Hans" w:bidi="ar"/>
              </w:rPr>
              <w:t>版本</w:t>
            </w:r>
            <w:r>
              <w:rPr>
                <w:rFonts w:hint="eastAsia" w:ascii="宋体" w:hAnsi="宋体" w:cs="宋体"/>
                <w:color w:val="000000"/>
                <w:kern w:val="0"/>
                <w:sz w:val="22"/>
                <w:highlight w:val="none"/>
                <w:lang w:val="en-US" w:eastAsia="zh-Hans" w:bidi="ar"/>
              </w:rPr>
              <w:t>场景的功能设计。</w:t>
            </w:r>
          </w:p>
          <w:p>
            <w:pPr>
              <w:pStyle w:val="2"/>
              <w:keepNext w:val="0"/>
              <w:keepLines w:val="0"/>
              <w:pageBreakBefore w:val="0"/>
              <w:numPr>
                <w:ilvl w:val="0"/>
                <w:numId w:val="12"/>
              </w:numPr>
              <w:kinsoku/>
              <w:wordWrap/>
              <w:overflowPunct/>
              <w:topLinePunct w:val="0"/>
              <w:autoSpaceDE/>
              <w:autoSpaceDN/>
              <w:bidi w:val="0"/>
              <w:adjustRightInd/>
              <w:snapToGrid w:val="0"/>
              <w:spacing w:line="240" w:lineRule="auto"/>
              <w:ind w:left="0" w:leftChars="0" w:firstLine="0" w:firstLineChars="0"/>
              <w:rPr>
                <w:rFonts w:hint="default" w:ascii="宋体" w:hAnsi="宋体" w:cs="宋体"/>
                <w:color w:val="000000"/>
                <w:kern w:val="0"/>
                <w:sz w:val="22"/>
                <w:lang w:eastAsia="zh-Hans" w:bidi="ar"/>
              </w:rPr>
            </w:pPr>
            <w:r>
              <w:rPr>
                <w:rFonts w:hint="eastAsia" w:ascii="宋体" w:hAnsi="宋体" w:cs="宋体"/>
                <w:color w:val="000000"/>
                <w:kern w:val="0"/>
                <w:sz w:val="22"/>
                <w:highlight w:val="none"/>
                <w:lang w:val="en-US" w:eastAsia="zh-Hans" w:bidi="ar"/>
              </w:rPr>
              <w:t>监管端的“</w:t>
            </w:r>
            <w:r>
              <w:rPr>
                <w:rFonts w:hint="default" w:ascii="宋体" w:hAnsi="宋体" w:cs="宋体"/>
                <w:color w:val="000000"/>
                <w:kern w:val="0"/>
                <w:sz w:val="22"/>
                <w:highlight w:val="none"/>
                <w:lang w:val="en-US" w:eastAsia="zh-Hans" w:bidi="ar"/>
              </w:rPr>
              <w:t>浙政钉</w:t>
            </w:r>
            <w:r>
              <w:rPr>
                <w:rFonts w:hint="eastAsia" w:ascii="宋体" w:hAnsi="宋体" w:cs="宋体"/>
                <w:color w:val="000000"/>
                <w:kern w:val="0"/>
                <w:sz w:val="22"/>
                <w:highlight w:val="none"/>
                <w:lang w:val="en-US" w:eastAsia="zh-Hans" w:bidi="ar"/>
              </w:rPr>
              <w:t>”场景的功能设计。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4" w:type="dxa"/>
            <w:vAlign w:val="center"/>
          </w:tcPr>
          <w:p>
            <w:pPr>
              <w:spacing w:line="360" w:lineRule="exact"/>
              <w:jc w:val="center"/>
              <w:rPr>
                <w:rFonts w:hint="default" w:ascii="宋体" w:hAnsi="宋体" w:cs="宋体"/>
                <w:kern w:val="0"/>
                <w:sz w:val="24"/>
                <w:lang w:eastAsia="zh-CN"/>
              </w:rPr>
            </w:pPr>
            <w:r>
              <w:rPr>
                <w:rFonts w:hint="default" w:ascii="宋体" w:hAnsi="宋体" w:cs="宋体"/>
                <w:kern w:val="0"/>
                <w:sz w:val="24"/>
                <w:lang w:eastAsia="zh-CN"/>
              </w:rPr>
              <w:t>9</w:t>
            </w:r>
          </w:p>
        </w:tc>
        <w:tc>
          <w:tcPr>
            <w:tcW w:w="1285" w:type="dxa"/>
            <w:vAlign w:val="center"/>
          </w:tcPr>
          <w:p>
            <w:pPr>
              <w:spacing w:line="360" w:lineRule="exact"/>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Hans" w:bidi="ar"/>
              </w:rPr>
              <w:t>系统</w:t>
            </w:r>
            <w:r>
              <w:rPr>
                <w:rFonts w:hint="eastAsia" w:ascii="宋体" w:hAnsi="宋体" w:cs="宋体"/>
                <w:color w:val="000000"/>
                <w:kern w:val="0"/>
                <w:sz w:val="22"/>
                <w:szCs w:val="22"/>
                <w:lang w:val="en-US" w:eastAsia="zh-CN" w:bidi="ar"/>
              </w:rPr>
              <w:t>演示</w:t>
            </w:r>
          </w:p>
        </w:tc>
        <w:tc>
          <w:tcPr>
            <w:tcW w:w="710" w:type="dxa"/>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20分</w:t>
            </w:r>
          </w:p>
        </w:tc>
        <w:tc>
          <w:tcPr>
            <w:tcW w:w="7477" w:type="dxa"/>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cs="宋体"/>
                <w:b/>
                <w:bCs/>
                <w:color w:val="000000"/>
                <w:sz w:val="22"/>
              </w:rPr>
            </w:pPr>
            <w:r>
              <w:rPr>
                <w:rFonts w:hint="eastAsia" w:ascii="宋体" w:hAnsi="宋体" w:cs="宋体"/>
                <w:b/>
                <w:bCs/>
                <w:color w:val="000000"/>
                <w:sz w:val="22"/>
              </w:rPr>
              <w:t>按照招标文件的演示要求，根据演示效果的操作流畅性、界面美观、菜单设置合理性等综合打分，最高得</w:t>
            </w:r>
            <w:r>
              <w:rPr>
                <w:rFonts w:hint="eastAsia" w:ascii="宋体" w:hAnsi="宋体" w:cs="宋体"/>
                <w:b/>
                <w:bCs/>
                <w:color w:val="000000"/>
                <w:sz w:val="22"/>
                <w:lang w:val="en-US" w:eastAsia="zh-CN"/>
              </w:rPr>
              <w:t>20</w:t>
            </w:r>
            <w:r>
              <w:rPr>
                <w:rFonts w:hint="eastAsia" w:ascii="宋体" w:hAnsi="宋体" w:cs="宋体"/>
                <w:b/>
                <w:bCs/>
                <w:color w:val="000000"/>
                <w:sz w:val="22"/>
              </w:rPr>
              <w:t>分。</w:t>
            </w:r>
          </w:p>
          <w:p>
            <w:pPr>
              <w:keepNext w:val="0"/>
              <w:keepLines w:val="0"/>
              <w:pageBreakBefore w:val="0"/>
              <w:widowControl/>
              <w:kinsoku/>
              <w:wordWrap/>
              <w:overflowPunct/>
              <w:topLinePunct w:val="0"/>
              <w:autoSpaceDE/>
              <w:autoSpaceDN/>
              <w:bidi w:val="0"/>
              <w:adjustRightInd/>
              <w:snapToGrid w:val="0"/>
              <w:spacing w:line="240" w:lineRule="auto"/>
              <w:rPr>
                <w:rFonts w:hint="eastAsia" w:ascii="宋体" w:hAnsi="宋体" w:cs="宋体"/>
                <w:b/>
                <w:bCs/>
                <w:color w:val="000000"/>
                <w:sz w:val="22"/>
              </w:rPr>
            </w:pPr>
            <w:r>
              <w:rPr>
                <w:rFonts w:hint="eastAsia" w:ascii="宋体" w:hAnsi="宋体" w:cs="宋体"/>
                <w:bCs/>
                <w:color w:val="000000"/>
                <w:sz w:val="22"/>
              </w:rPr>
              <w:t>1.</w:t>
            </w:r>
            <w:r>
              <w:rPr>
                <w:rFonts w:hint="eastAsia" w:ascii="宋体" w:hAnsi="宋体"/>
                <w:color w:val="000000"/>
                <w:sz w:val="22"/>
              </w:rPr>
              <w:t>三产融合</w:t>
            </w:r>
            <w:r>
              <w:rPr>
                <w:rFonts w:hint="eastAsia" w:ascii="宋体" w:hAnsi="宋体"/>
                <w:color w:val="000000"/>
                <w:sz w:val="22"/>
                <w:lang w:val="en-US" w:eastAsia="zh-Hans"/>
              </w:rPr>
              <w:t>大数据</w:t>
            </w:r>
            <w:r>
              <w:rPr>
                <w:rFonts w:hint="eastAsia" w:ascii="宋体" w:hAnsi="宋体"/>
                <w:color w:val="000000"/>
                <w:sz w:val="22"/>
              </w:rPr>
              <w:t>招</w:t>
            </w:r>
            <w:r>
              <w:rPr>
                <w:rFonts w:hint="eastAsia" w:ascii="宋体" w:hAnsi="宋体"/>
                <w:color w:val="000000"/>
                <w:sz w:val="22"/>
                <w:lang w:val="en-US" w:eastAsia="zh-Hans"/>
              </w:rPr>
              <w:t>商预测模型演示</w:t>
            </w:r>
            <w:r>
              <w:rPr>
                <w:rFonts w:hint="eastAsia" w:ascii="宋体" w:hAnsi="宋体"/>
                <w:color w:val="000000"/>
                <w:sz w:val="22"/>
              </w:rPr>
              <w:t>；</w:t>
            </w:r>
          </w:p>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r>
              <w:rPr>
                <w:rFonts w:hint="eastAsia" w:ascii="宋体" w:hAnsi="宋体"/>
                <w:color w:val="000000"/>
                <w:sz w:val="22"/>
              </w:rPr>
              <w:t>三产融合产业</w:t>
            </w:r>
            <w:r>
              <w:rPr>
                <w:rFonts w:hint="eastAsia" w:ascii="宋体" w:hAnsi="宋体"/>
                <w:color w:val="000000"/>
                <w:sz w:val="22"/>
                <w:lang w:val="en-US" w:eastAsia="zh-Hans"/>
              </w:rPr>
              <w:t>链</w:t>
            </w:r>
            <w:r>
              <w:rPr>
                <w:rFonts w:hint="eastAsia" w:ascii="宋体" w:hAnsi="宋体"/>
                <w:color w:val="000000"/>
                <w:sz w:val="22"/>
              </w:rPr>
              <w:t>图谱演示；</w:t>
            </w:r>
          </w:p>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w:t>
            </w:r>
            <w:r>
              <w:rPr>
                <w:rFonts w:hint="eastAsia" w:ascii="宋体" w:hAnsi="宋体"/>
                <w:color w:val="000000"/>
                <w:sz w:val="22"/>
              </w:rPr>
              <w:t>药材烘干工艺监测系统</w:t>
            </w:r>
            <w:r>
              <w:rPr>
                <w:rFonts w:hint="eastAsia" w:ascii="宋体" w:hAnsi="宋体"/>
                <w:color w:val="000000"/>
                <w:sz w:val="22"/>
                <w:lang w:val="en-US" w:eastAsia="zh-Hans"/>
              </w:rPr>
              <w:t>演示</w:t>
            </w:r>
            <w:r>
              <w:rPr>
                <w:rFonts w:hint="eastAsia" w:ascii="宋体" w:hAnsi="宋体"/>
                <w:color w:val="000000"/>
                <w:sz w:val="22"/>
              </w:rPr>
              <w:t>；</w:t>
            </w:r>
          </w:p>
          <w:p>
            <w:pPr>
              <w:pStyle w:val="18"/>
              <w:keepNext w:val="0"/>
              <w:keepLines w:val="0"/>
              <w:pageBreakBefore w:val="0"/>
              <w:kinsoku/>
              <w:wordWrap/>
              <w:overflowPunct/>
              <w:topLinePunct w:val="0"/>
              <w:autoSpaceDE/>
              <w:autoSpaceDN/>
              <w:bidi w:val="0"/>
              <w:adjustRightInd/>
              <w:snapToGrid w:val="0"/>
              <w:spacing w:after="0" w:line="240" w:lineRule="auto"/>
              <w:textAlignment w:val="auto"/>
              <w:rPr>
                <w:rFonts w:hint="eastAsia" w:ascii="宋体" w:hAnsi="宋体" w:cs="宋体"/>
                <w:color w:val="000000"/>
                <w:kern w:val="0"/>
                <w:sz w:val="22"/>
                <w:lang w:bidi="ar"/>
              </w:rPr>
            </w:pPr>
            <w:r>
              <w:rPr>
                <w:rFonts w:hint="default"/>
              </w:rPr>
              <w:t>4</w:t>
            </w:r>
            <w:r>
              <w:rPr>
                <w:rFonts w:hint="eastAsia"/>
              </w:rPr>
              <w:t>.中药材生长适宜性模型</w:t>
            </w:r>
            <w:r>
              <w:rPr>
                <w:rFonts w:hint="eastAsia" w:ascii="宋体" w:hAnsi="宋体"/>
                <w:color w:val="000000"/>
                <w:sz w:val="22"/>
                <w:lang w:val="en-US" w:eastAsia="zh-Hans"/>
              </w:rPr>
              <w:t>演示；</w:t>
            </w:r>
          </w:p>
          <w:p>
            <w:pPr>
              <w:pStyle w:val="18"/>
              <w:keepNext w:val="0"/>
              <w:keepLines w:val="0"/>
              <w:pageBreakBefore w:val="0"/>
              <w:kinsoku/>
              <w:wordWrap/>
              <w:overflowPunct/>
              <w:topLinePunct w:val="0"/>
              <w:autoSpaceDE/>
              <w:autoSpaceDN/>
              <w:bidi w:val="0"/>
              <w:adjustRightInd/>
              <w:snapToGrid w:val="0"/>
              <w:spacing w:after="0" w:line="240" w:lineRule="auto"/>
              <w:textAlignment w:val="auto"/>
              <w:rPr>
                <w:rFonts w:hint="eastAsia"/>
                <w:lang w:eastAsia="zh-Hans"/>
              </w:rPr>
            </w:pPr>
            <w:r>
              <w:rPr>
                <w:rFonts w:hint="default" w:ascii="宋体" w:hAnsi="宋体" w:eastAsia="宋体"/>
                <w:lang w:eastAsia="zh-Hans"/>
              </w:rPr>
              <w:t>5.</w:t>
            </w:r>
            <w:r>
              <w:rPr>
                <w:rFonts w:hint="eastAsia" w:ascii="宋体" w:hAnsi="宋体" w:eastAsia="宋体"/>
                <w:lang w:val="en-US" w:eastAsia="zh-CN"/>
              </w:rPr>
              <w:t>中药富农指数模型</w:t>
            </w:r>
            <w:r>
              <w:rPr>
                <w:rFonts w:hint="eastAsia" w:ascii="宋体" w:hAnsi="宋体" w:eastAsia="宋体" w:cs="Times New Roman"/>
                <w:color w:val="auto"/>
                <w:lang w:bidi="ar"/>
              </w:rPr>
              <w:t>演</w:t>
            </w:r>
            <w:r>
              <w:rPr>
                <w:rFonts w:hint="eastAsia"/>
                <w:color w:val="auto"/>
                <w:lang w:bidi="ar"/>
              </w:rPr>
              <w:t>示</w:t>
            </w:r>
            <w:r>
              <w:rPr>
                <w:rFonts w:hint="eastAsia" w:ascii="宋体" w:hAnsi="宋体" w:eastAsia="宋体"/>
                <w:lang w:val="en-US" w:eastAsia="zh-Hans"/>
              </w:rPr>
              <w:t>；</w:t>
            </w:r>
          </w:p>
          <w:p>
            <w:pPr>
              <w:pStyle w:val="18"/>
              <w:keepNext w:val="0"/>
              <w:keepLines w:val="0"/>
              <w:pageBreakBefore w:val="0"/>
              <w:kinsoku/>
              <w:wordWrap/>
              <w:overflowPunct/>
              <w:topLinePunct w:val="0"/>
              <w:autoSpaceDE/>
              <w:autoSpaceDN/>
              <w:bidi w:val="0"/>
              <w:adjustRightInd/>
              <w:snapToGrid w:val="0"/>
              <w:spacing w:after="0" w:line="240" w:lineRule="auto"/>
              <w:textAlignment w:val="auto"/>
              <w:rPr>
                <w:rFonts w:hint="eastAsia"/>
              </w:rPr>
            </w:pPr>
            <w:r>
              <w:rPr>
                <w:rFonts w:hint="default"/>
              </w:rPr>
              <w:t>6</w:t>
            </w:r>
            <w:r>
              <w:rPr>
                <w:rFonts w:hint="eastAsia"/>
              </w:rPr>
              <w:t>.药企品牌指数模型</w:t>
            </w:r>
            <w:r>
              <w:rPr>
                <w:rFonts w:hint="eastAsia" w:ascii="宋体" w:hAnsi="宋体" w:eastAsia="宋体" w:cs="Times New Roman"/>
                <w:color w:val="auto"/>
                <w:lang w:bidi="ar"/>
              </w:rPr>
              <w:t>演</w:t>
            </w:r>
            <w:r>
              <w:rPr>
                <w:rFonts w:hint="eastAsia"/>
                <w:color w:val="auto"/>
                <w:lang w:bidi="ar"/>
              </w:rPr>
              <w:t>示</w:t>
            </w:r>
            <w:r>
              <w:rPr>
                <w:rFonts w:hint="eastAsia"/>
              </w:rPr>
              <w:t>;</w:t>
            </w:r>
          </w:p>
          <w:p>
            <w:pPr>
              <w:pStyle w:val="18"/>
              <w:keepNext w:val="0"/>
              <w:keepLines w:val="0"/>
              <w:pageBreakBefore w:val="0"/>
              <w:kinsoku/>
              <w:wordWrap/>
              <w:overflowPunct/>
              <w:topLinePunct w:val="0"/>
              <w:autoSpaceDE/>
              <w:autoSpaceDN/>
              <w:bidi w:val="0"/>
              <w:adjustRightInd/>
              <w:snapToGrid w:val="0"/>
              <w:spacing w:after="0" w:line="240" w:lineRule="auto"/>
              <w:textAlignment w:val="auto"/>
              <w:rPr>
                <w:rFonts w:hint="eastAsia" w:ascii="宋体" w:hAnsi="宋体" w:eastAsia="宋体" w:cs="Times New Roman"/>
                <w:lang w:val="en-US" w:eastAsia="zh-CN"/>
              </w:rPr>
            </w:pPr>
            <w:r>
              <w:rPr>
                <w:rFonts w:hint="default"/>
              </w:rPr>
              <w:t>7</w:t>
            </w:r>
            <w:r>
              <w:rPr>
                <w:rFonts w:hint="eastAsia" w:ascii="宋体" w:hAnsi="宋体" w:eastAsia="宋体" w:cs="Times New Roman"/>
                <w:lang w:val="en-US" w:eastAsia="zh-CN"/>
              </w:rPr>
              <w:t>.药企信用指数模型演示;</w:t>
            </w:r>
          </w:p>
          <w:p>
            <w:pPr>
              <w:pStyle w:val="18"/>
              <w:keepNext w:val="0"/>
              <w:keepLines w:val="0"/>
              <w:pageBreakBefore w:val="0"/>
              <w:kinsoku/>
              <w:wordWrap/>
              <w:overflowPunct/>
              <w:topLinePunct w:val="0"/>
              <w:autoSpaceDE/>
              <w:autoSpaceDN/>
              <w:bidi w:val="0"/>
              <w:adjustRightInd/>
              <w:snapToGrid w:val="0"/>
              <w:spacing w:after="0" w:line="240" w:lineRule="auto"/>
              <w:textAlignment w:val="auto"/>
              <w:rPr>
                <w:rFonts w:hint="eastAsia" w:ascii="宋体" w:hAnsi="宋体" w:eastAsia="宋体"/>
              </w:rPr>
            </w:pPr>
            <w:r>
              <w:rPr>
                <w:rFonts w:hint="default"/>
              </w:rPr>
              <w:t>8</w:t>
            </w:r>
            <w:r>
              <w:rPr>
                <w:rFonts w:hint="eastAsia" w:ascii="宋体" w:hAnsi="宋体" w:eastAsia="宋体"/>
              </w:rPr>
              <w:t>.三色预警模型演示；</w:t>
            </w:r>
          </w:p>
          <w:p>
            <w:pPr>
              <w:pStyle w:val="18"/>
              <w:keepNext w:val="0"/>
              <w:keepLines w:val="0"/>
              <w:pageBreakBefore w:val="0"/>
              <w:kinsoku/>
              <w:wordWrap/>
              <w:overflowPunct/>
              <w:topLinePunct w:val="0"/>
              <w:autoSpaceDE/>
              <w:autoSpaceDN/>
              <w:bidi w:val="0"/>
              <w:adjustRightInd/>
              <w:snapToGrid w:val="0"/>
              <w:spacing w:after="0" w:line="240" w:lineRule="auto"/>
              <w:textAlignment w:val="auto"/>
              <w:rPr>
                <w:rFonts w:hint="eastAsia" w:ascii="宋体" w:hAnsi="宋体" w:eastAsia="宋体"/>
              </w:rPr>
            </w:pPr>
            <w:r>
              <w:rPr>
                <w:rFonts w:hint="default"/>
              </w:rPr>
              <w:t>9</w:t>
            </w:r>
            <w:r>
              <w:rPr>
                <w:rFonts w:hint="eastAsia" w:ascii="宋体" w:hAnsi="宋体" w:eastAsia="宋体"/>
              </w:rPr>
              <w:t>.中药企业动迁模型</w:t>
            </w:r>
            <w:r>
              <w:rPr>
                <w:rFonts w:hint="eastAsia" w:ascii="宋体" w:hAnsi="宋体" w:eastAsia="宋体" w:cs="Times New Roman"/>
                <w:color w:val="auto"/>
                <w:lang w:bidi="ar"/>
              </w:rPr>
              <w:t>演</w:t>
            </w:r>
            <w:r>
              <w:rPr>
                <w:rFonts w:hint="eastAsia"/>
                <w:color w:val="auto"/>
                <w:lang w:bidi="ar"/>
              </w:rPr>
              <w:t>示</w:t>
            </w:r>
            <w:r>
              <w:rPr>
                <w:rFonts w:hint="eastAsia" w:ascii="宋体" w:hAnsi="宋体" w:eastAsia="宋体"/>
                <w:lang w:eastAsia="zh-Hans"/>
              </w:rPr>
              <w:t>；</w:t>
            </w:r>
          </w:p>
          <w:p>
            <w:pPr>
              <w:pStyle w:val="18"/>
              <w:keepNext w:val="0"/>
              <w:keepLines w:val="0"/>
              <w:pageBreakBefore w:val="0"/>
              <w:kinsoku/>
              <w:wordWrap/>
              <w:overflowPunct/>
              <w:topLinePunct w:val="0"/>
              <w:autoSpaceDE/>
              <w:autoSpaceDN/>
              <w:bidi w:val="0"/>
              <w:adjustRightInd/>
              <w:snapToGrid w:val="0"/>
              <w:spacing w:after="0" w:line="240" w:lineRule="auto"/>
              <w:textAlignment w:val="auto"/>
              <w:rPr>
                <w:rFonts w:hint="default" w:ascii="宋体" w:hAnsi="宋体" w:eastAsia="宋体"/>
                <w:lang w:eastAsia="zh-Hans"/>
              </w:rPr>
            </w:pPr>
            <w:r>
              <w:rPr>
                <w:rFonts w:hint="default" w:ascii="宋体" w:hAnsi="宋体" w:eastAsia="宋体"/>
                <w:lang w:eastAsia="zh-CN"/>
              </w:rPr>
              <w:t>10.中药产业发展指数模型</w:t>
            </w:r>
            <w:r>
              <w:rPr>
                <w:rFonts w:hint="eastAsia" w:ascii="宋体" w:hAnsi="宋体" w:eastAsia="宋体" w:cs="Times New Roman"/>
                <w:color w:val="auto"/>
                <w:lang w:bidi="ar"/>
              </w:rPr>
              <w:t>演</w:t>
            </w:r>
            <w:r>
              <w:rPr>
                <w:rFonts w:hint="eastAsia"/>
                <w:color w:val="auto"/>
                <w:lang w:bidi="ar"/>
              </w:rPr>
              <w:t>示</w:t>
            </w:r>
            <w:r>
              <w:rPr>
                <w:rFonts w:hint="eastAsia" w:ascii="宋体" w:hAnsi="宋体" w:eastAsia="宋体"/>
                <w:lang w:eastAsia="zh-Hans"/>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center"/>
              <w:rPr>
                <w:rFonts w:hint="eastAsia" w:ascii="宋体" w:hAnsi="宋体" w:eastAsia="宋体" w:cs="宋体"/>
                <w:color w:val="000000"/>
                <w:kern w:val="0"/>
                <w:sz w:val="22"/>
                <w:lang w:eastAsia="zh-CN" w:bidi="ar"/>
              </w:rPr>
            </w:pPr>
            <w:r>
              <w:rPr>
                <w:rFonts w:hint="eastAsia" w:ascii="宋体" w:hAnsi="宋体" w:cs="宋体"/>
                <w:b/>
                <w:bCs/>
                <w:color w:val="000000"/>
                <w:kern w:val="0"/>
                <w:sz w:val="22"/>
              </w:rPr>
              <w:t>（注：各投标人提供演示U盘，演示时间控制在15分钟之内，无演示不得分。需在开标截止时间前递交（寄达或送达）</w:t>
            </w:r>
            <w:r>
              <w:rPr>
                <w:rFonts w:hint="eastAsia" w:ascii="宋体" w:hAnsi="宋体" w:cs="宋体"/>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4" w:type="dxa"/>
            <w:vMerge w:val="restart"/>
            <w:vAlign w:val="center"/>
          </w:tcPr>
          <w:p>
            <w:pPr>
              <w:spacing w:line="360" w:lineRule="exact"/>
              <w:jc w:val="center"/>
              <w:rPr>
                <w:rFonts w:hint="default" w:ascii="宋体" w:hAnsi="宋体" w:cs="宋体"/>
                <w:kern w:val="0"/>
                <w:sz w:val="24"/>
                <w:lang w:eastAsia="zh-CN"/>
              </w:rPr>
            </w:pPr>
            <w:r>
              <w:rPr>
                <w:rFonts w:hint="default" w:ascii="宋体" w:hAnsi="宋体" w:cs="宋体"/>
                <w:kern w:val="0"/>
                <w:sz w:val="24"/>
                <w:lang w:eastAsia="zh-CN"/>
              </w:rPr>
              <w:t>10</w:t>
            </w:r>
          </w:p>
        </w:tc>
        <w:tc>
          <w:tcPr>
            <w:tcW w:w="1285" w:type="dxa"/>
            <w:vMerge w:val="restart"/>
            <w:vAlign w:val="center"/>
          </w:tcPr>
          <w:p>
            <w:pPr>
              <w:spacing w:line="360" w:lineRule="exact"/>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售后服务</w:t>
            </w:r>
          </w:p>
        </w:tc>
        <w:tc>
          <w:tcPr>
            <w:tcW w:w="710" w:type="dxa"/>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3分</w:t>
            </w:r>
          </w:p>
        </w:tc>
        <w:tc>
          <w:tcPr>
            <w:tcW w:w="747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根据售后服务方案（至少包括售后服务承诺、服务流程、组织架构、保障措施）合理性、完整性、服务能力等综合情况。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4" w:type="dxa"/>
            <w:vMerge w:val="continue"/>
            <w:vAlign w:val="center"/>
          </w:tcPr>
          <w:p>
            <w:pPr>
              <w:spacing w:line="360" w:lineRule="exact"/>
              <w:jc w:val="center"/>
              <w:rPr>
                <w:rFonts w:hint="default" w:ascii="宋体" w:hAnsi="宋体" w:cs="宋体"/>
                <w:kern w:val="0"/>
                <w:sz w:val="24"/>
                <w:lang w:val="en-US" w:eastAsia="zh-CN"/>
              </w:rPr>
            </w:pPr>
          </w:p>
        </w:tc>
        <w:tc>
          <w:tcPr>
            <w:tcW w:w="1285" w:type="dxa"/>
            <w:vMerge w:val="continue"/>
            <w:vAlign w:val="center"/>
          </w:tcPr>
          <w:p>
            <w:pPr>
              <w:spacing w:line="360" w:lineRule="exact"/>
              <w:jc w:val="center"/>
              <w:rPr>
                <w:rFonts w:hint="eastAsia" w:ascii="宋体" w:hAnsi="宋体" w:cs="宋体"/>
                <w:color w:val="000000"/>
                <w:kern w:val="0"/>
                <w:sz w:val="22"/>
                <w:szCs w:val="22"/>
                <w:lang w:bidi="ar"/>
              </w:rPr>
            </w:pPr>
          </w:p>
        </w:tc>
        <w:tc>
          <w:tcPr>
            <w:tcW w:w="710" w:type="dxa"/>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3分</w:t>
            </w:r>
          </w:p>
        </w:tc>
        <w:tc>
          <w:tcPr>
            <w:tcW w:w="747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根据投标人的服务能力及承诺响应服务时间、服务人员素质以及服务网点等因素综合评分（需提供承诺函，格式自拟，否则不得分）。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4" w:type="dxa"/>
            <w:vAlign w:val="center"/>
          </w:tcPr>
          <w:p>
            <w:pPr>
              <w:spacing w:line="360" w:lineRule="exact"/>
              <w:jc w:val="center"/>
              <w:rPr>
                <w:rFonts w:hint="default" w:ascii="宋体" w:hAnsi="宋体" w:cs="宋体"/>
                <w:kern w:val="0"/>
                <w:sz w:val="24"/>
                <w:lang w:eastAsia="zh-CN"/>
              </w:rPr>
            </w:pPr>
            <w:r>
              <w:rPr>
                <w:rFonts w:hint="default" w:ascii="宋体" w:hAnsi="宋体" w:cs="宋体"/>
                <w:kern w:val="0"/>
                <w:sz w:val="24"/>
                <w:lang w:eastAsia="zh-CN"/>
              </w:rPr>
              <w:t>11</w:t>
            </w:r>
          </w:p>
        </w:tc>
        <w:tc>
          <w:tcPr>
            <w:tcW w:w="1285" w:type="dxa"/>
            <w:vAlign w:val="center"/>
          </w:tcPr>
          <w:p>
            <w:pPr>
              <w:spacing w:line="360" w:lineRule="exact"/>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培训</w:t>
            </w:r>
          </w:p>
        </w:tc>
        <w:tc>
          <w:tcPr>
            <w:tcW w:w="710" w:type="dxa"/>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22"/>
                <w:szCs w:val="22"/>
                <w:lang w:val="en-US" w:eastAsia="zh-Hans" w:bidi="ar"/>
              </w:rPr>
            </w:pPr>
            <w:r>
              <w:rPr>
                <w:rFonts w:hint="default" w:ascii="宋体" w:hAnsi="宋体" w:cs="宋体"/>
                <w:color w:val="000000"/>
                <w:kern w:val="0"/>
                <w:sz w:val="22"/>
                <w:szCs w:val="22"/>
                <w:lang w:bidi="ar"/>
              </w:rPr>
              <w:t>2</w:t>
            </w:r>
            <w:r>
              <w:rPr>
                <w:rFonts w:hint="eastAsia" w:ascii="宋体" w:hAnsi="宋体" w:cs="宋体"/>
                <w:color w:val="000000"/>
                <w:kern w:val="0"/>
                <w:sz w:val="22"/>
                <w:szCs w:val="22"/>
                <w:lang w:val="en-US" w:eastAsia="zh-Hans" w:bidi="ar"/>
              </w:rPr>
              <w:t>分</w:t>
            </w:r>
          </w:p>
        </w:tc>
        <w:tc>
          <w:tcPr>
            <w:tcW w:w="747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根据投标人提供的培训方案设计是否完整、课程安排是否合理等进行综合打分，最多得2分。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4" w:type="dxa"/>
            <w:vAlign w:val="center"/>
          </w:tcPr>
          <w:p>
            <w:pPr>
              <w:spacing w:line="360" w:lineRule="exact"/>
              <w:jc w:val="center"/>
              <w:rPr>
                <w:rFonts w:hint="default" w:ascii="宋体" w:hAnsi="宋体" w:cs="宋体"/>
                <w:kern w:val="0"/>
                <w:sz w:val="24"/>
                <w:lang w:eastAsia="zh-CN"/>
              </w:rPr>
            </w:pPr>
            <w:r>
              <w:rPr>
                <w:rFonts w:hint="default" w:ascii="宋体" w:hAnsi="宋体" w:cs="宋体"/>
                <w:kern w:val="0"/>
                <w:sz w:val="24"/>
                <w:lang w:eastAsia="zh-CN"/>
              </w:rPr>
              <w:t>12</w:t>
            </w:r>
          </w:p>
        </w:tc>
        <w:tc>
          <w:tcPr>
            <w:tcW w:w="1285" w:type="dxa"/>
            <w:vAlign w:val="center"/>
          </w:tcPr>
          <w:p>
            <w:pPr>
              <w:spacing w:line="360" w:lineRule="exact"/>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投标文件</w:t>
            </w:r>
          </w:p>
        </w:tc>
        <w:tc>
          <w:tcPr>
            <w:tcW w:w="710" w:type="dxa"/>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kern w:val="0"/>
                <w:sz w:val="22"/>
                <w:szCs w:val="22"/>
                <w:lang w:val="en-US" w:eastAsia="zh-Hans" w:bidi="ar"/>
              </w:rPr>
            </w:pPr>
            <w:r>
              <w:rPr>
                <w:rFonts w:hint="default" w:ascii="宋体" w:hAnsi="宋体" w:cs="宋体"/>
                <w:color w:val="000000"/>
                <w:kern w:val="0"/>
                <w:sz w:val="22"/>
                <w:szCs w:val="22"/>
                <w:lang w:bidi="ar"/>
              </w:rPr>
              <w:t>2</w:t>
            </w:r>
            <w:r>
              <w:rPr>
                <w:rFonts w:hint="eastAsia" w:ascii="宋体" w:hAnsi="宋体" w:cs="宋体"/>
                <w:color w:val="000000"/>
                <w:kern w:val="0"/>
                <w:sz w:val="22"/>
                <w:szCs w:val="22"/>
                <w:lang w:val="en-US" w:eastAsia="zh-Hans" w:bidi="ar"/>
              </w:rPr>
              <w:t>分</w:t>
            </w:r>
          </w:p>
        </w:tc>
        <w:tc>
          <w:tcPr>
            <w:tcW w:w="747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center"/>
              <w:rPr>
                <w:rFonts w:hint="default" w:ascii="宋体" w:hAnsi="宋体" w:eastAsia="宋体" w:cs="宋体"/>
                <w:color w:val="000000"/>
                <w:kern w:val="0"/>
                <w:sz w:val="22"/>
                <w:lang w:val="en-US" w:eastAsia="zh-CN" w:bidi="ar"/>
              </w:rPr>
            </w:pPr>
            <w:r>
              <w:rPr>
                <w:rFonts w:hint="eastAsia" w:ascii="宋体" w:hAnsi="宋体" w:eastAsia="宋体" w:cs="Times New Roman"/>
                <w:color w:val="auto"/>
                <w:szCs w:val="21"/>
                <w:highlight w:val="none"/>
              </w:rPr>
              <w:t>投标文件编制完整，格式规范、符合招标文件要求的，得2分；投标文件存在其他错漏的，每项（次）扣0.2分最高扣2分。投标文件有关内容前后矛盾、与招标文件要求不一致等，评标委员会允许且需要通过询标等程序进行澄清的，该项不得分。</w:t>
            </w:r>
          </w:p>
        </w:tc>
      </w:tr>
    </w:tbl>
    <w:p>
      <w:pPr>
        <w:spacing w:line="480" w:lineRule="exact"/>
        <w:ind w:firstLine="482" w:firstLineChars="200"/>
        <w:outlineLvl w:val="1"/>
        <w:rPr>
          <w:rFonts w:ascii="宋体" w:hAnsi="宋体" w:cs="宋体"/>
          <w:b/>
          <w:color w:val="000000"/>
          <w:sz w:val="24"/>
        </w:rPr>
      </w:pPr>
    </w:p>
    <w:p/>
    <w:p>
      <w:pPr>
        <w:spacing w:line="480" w:lineRule="exact"/>
        <w:rPr>
          <w:rFonts w:ascii="宋体" w:hAnsi="宋体" w:cs="宋体"/>
          <w:b/>
          <w:bCs/>
          <w:sz w:val="24"/>
        </w:rPr>
      </w:pPr>
      <w:r>
        <w:rPr>
          <w:rFonts w:hint="eastAsia" w:ascii="宋体" w:hAnsi="宋体" w:cs="宋体"/>
          <w:color w:val="000000"/>
          <w:kern w:val="0"/>
          <w:sz w:val="24"/>
        </w:rPr>
        <w:t>▲</w:t>
      </w:r>
      <w:r>
        <w:rPr>
          <w:rFonts w:hint="eastAsia" w:ascii="宋体" w:hAnsi="宋体" w:cs="宋体"/>
          <w:b/>
          <w:bCs/>
          <w:sz w:val="24"/>
        </w:rPr>
        <w:t>注：如发现标书中有虚假响应的，一经采购单位查实，将抄报给磐安县财政局采购监管科，建议取消其投标资格。</w:t>
      </w:r>
    </w:p>
    <w:p>
      <w:pPr>
        <w:pStyle w:val="21"/>
        <w:spacing w:line="480" w:lineRule="exact"/>
        <w:ind w:firstLine="0" w:firstLineChars="0"/>
        <w:rPr>
          <w:rFonts w:hAnsi="宋体" w:cs="宋体"/>
          <w:b/>
          <w:bCs/>
          <w:color w:val="auto"/>
          <w:szCs w:val="24"/>
        </w:rPr>
      </w:pPr>
      <w:r>
        <w:rPr>
          <w:rFonts w:hint="eastAsia" w:hAnsi="宋体" w:cs="宋体"/>
          <w:b/>
          <w:bCs/>
          <w:color w:val="auto"/>
          <w:szCs w:val="24"/>
        </w:rPr>
        <w:t>三、商务报价（</w:t>
      </w:r>
      <w:r>
        <w:rPr>
          <w:rFonts w:hint="eastAsia" w:hAnsi="宋体" w:cs="宋体"/>
          <w:b/>
          <w:bCs/>
          <w:color w:val="auto"/>
          <w:szCs w:val="24"/>
          <w:lang w:val="en-US" w:eastAsia="zh-CN"/>
        </w:rPr>
        <w:t>2</w:t>
      </w:r>
      <w:r>
        <w:rPr>
          <w:rFonts w:hint="eastAsia" w:hAnsi="宋体" w:cs="宋体"/>
          <w:b/>
          <w:bCs/>
          <w:color w:val="auto"/>
          <w:szCs w:val="24"/>
        </w:rPr>
        <w:t>0分）</w:t>
      </w:r>
    </w:p>
    <w:p>
      <w:pPr>
        <w:spacing w:line="480" w:lineRule="exact"/>
        <w:ind w:firstLine="480" w:firstLineChars="200"/>
        <w:rPr>
          <w:rFonts w:ascii="宋体" w:hAnsi="宋体" w:cs="宋体"/>
          <w:sz w:val="24"/>
        </w:rPr>
      </w:pPr>
      <w:r>
        <w:rPr>
          <w:rFonts w:hint="eastAsia" w:ascii="宋体" w:hAnsi="宋体" w:cs="宋体"/>
          <w:sz w:val="24"/>
        </w:rPr>
        <w:t>1.以满足磋商文件要求且最后报价最低的投标商的价格为磋商基准价，其价格分为满分。其他投标商的价格分统一按照下列公式计算：</w:t>
      </w:r>
    </w:p>
    <w:p>
      <w:pPr>
        <w:spacing w:line="48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磋商报价得分=（磋商基准价/最后磋商报价）×</w:t>
      </w:r>
      <w:r>
        <w:rPr>
          <w:rFonts w:hint="eastAsia" w:ascii="宋体" w:hAnsi="宋体" w:cs="宋体"/>
          <w:sz w:val="24"/>
          <w:u w:val="single"/>
          <w:lang w:val="en-US" w:eastAsia="zh-CN"/>
        </w:rPr>
        <w:t>2</w:t>
      </w:r>
      <w:r>
        <w:rPr>
          <w:rFonts w:hint="eastAsia" w:ascii="宋体" w:hAnsi="宋体" w:cs="宋体"/>
          <w:sz w:val="24"/>
          <w:u w:val="single"/>
        </w:rPr>
        <w:t>0%×100</w:t>
      </w:r>
    </w:p>
    <w:p>
      <w:pPr>
        <w:widowControl/>
        <w:spacing w:line="480" w:lineRule="exact"/>
        <w:ind w:firstLine="466" w:firstLineChars="200"/>
        <w:jc w:val="left"/>
        <w:rPr>
          <w:rFonts w:ascii="宋体" w:hAnsi="宋体" w:cs="宋体"/>
          <w:sz w:val="24"/>
        </w:rPr>
      </w:pPr>
      <w:r>
        <w:rPr>
          <w:rFonts w:hint="eastAsia" w:ascii="宋体" w:hAnsi="宋体" w:cs="宋体"/>
          <w:b/>
          <w:spacing w:val="-4"/>
          <w:sz w:val="24"/>
        </w:rPr>
        <w:t>注：</w:t>
      </w:r>
      <w:r>
        <w:rPr>
          <w:rFonts w:hint="eastAsia" w:ascii="宋体" w:hAnsi="宋体" w:cs="宋体"/>
          <w:sz w:val="24"/>
        </w:rPr>
        <w:t>1）根据财库[2020]46号《政府采购促进中小企业发展管理办法》</w:t>
      </w:r>
      <w:r>
        <w:rPr>
          <w:rFonts w:hint="eastAsia" w:ascii="宋体" w:hAnsi="宋体" w:cs="宋体"/>
          <w:sz w:val="24"/>
          <w:lang w:eastAsia="zh-CN"/>
        </w:rPr>
        <w:t>、</w:t>
      </w:r>
      <w:r>
        <w:rPr>
          <w:rFonts w:hint="eastAsia" w:ascii="宋体" w:hAnsi="宋体" w:cs="宋体"/>
          <w:sz w:val="24"/>
          <w:highlight w:val="yellow"/>
          <w:lang w:eastAsia="zh-CN"/>
        </w:rPr>
        <w:t>浙财采监</w:t>
      </w:r>
      <w:r>
        <w:rPr>
          <w:rFonts w:hint="eastAsia" w:ascii="宋体" w:hAnsi="宋体" w:cs="宋体"/>
          <w:sz w:val="24"/>
          <w:highlight w:val="yellow"/>
          <w:lang w:val="en-US" w:eastAsia="zh-CN"/>
        </w:rPr>
        <w:t>[2022]3号</w:t>
      </w:r>
      <w:r>
        <w:rPr>
          <w:rFonts w:hint="eastAsia" w:ascii="宋体" w:hAnsi="宋体" w:cs="宋体"/>
          <w:sz w:val="24"/>
        </w:rPr>
        <w:t>的相关规定，未预留份额专门面向中小企业采购的采购项目，以及预留份额项目中的非预留部分标段，在评审时对符合该办法规定的小微企业的投标报价给予</w:t>
      </w:r>
      <w:r>
        <w:rPr>
          <w:rFonts w:hint="eastAsia" w:ascii="宋体" w:hAnsi="宋体" w:cs="宋体"/>
          <w:sz w:val="24"/>
          <w:highlight w:val="yellow"/>
          <w:lang w:val="en-US" w:eastAsia="zh-CN"/>
        </w:rPr>
        <w:t>20</w:t>
      </w:r>
      <w:r>
        <w:rPr>
          <w:rFonts w:hint="eastAsia" w:ascii="宋体" w:hAnsi="宋体" w:cs="宋体"/>
          <w:sz w:val="24"/>
          <w:highlight w:val="yellow"/>
        </w:rPr>
        <w:t>%的</w:t>
      </w:r>
      <w:r>
        <w:rPr>
          <w:rFonts w:hint="eastAsia" w:ascii="宋体" w:hAnsi="宋体" w:cs="宋体"/>
          <w:sz w:val="24"/>
        </w:rPr>
        <w:t>扣除，取扣除后的价格作为评审投标报价（此评审投标报价仅在评标时使用）。享受相关中小企业扶持政策的投标人，必须在投标文件中提供《中小企业声明函》。</w:t>
      </w:r>
    </w:p>
    <w:p>
      <w:pPr>
        <w:widowControl/>
        <w:spacing w:line="480" w:lineRule="exact"/>
        <w:ind w:firstLine="480" w:firstLineChars="200"/>
        <w:jc w:val="left"/>
        <w:rPr>
          <w:rFonts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widowControl/>
        <w:spacing w:line="480" w:lineRule="exact"/>
        <w:ind w:firstLine="480" w:firstLineChars="200"/>
        <w:jc w:val="left"/>
        <w:rPr>
          <w:rFonts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pPr>
        <w:pStyle w:val="29"/>
        <w:spacing w:before="0" w:beforeAutospacing="0" w:after="0" w:afterAutospacing="0" w:line="480" w:lineRule="exact"/>
        <w:ind w:firstLine="466" w:firstLineChars="200"/>
        <w:rPr>
          <w:rFonts w:cs="宋体"/>
          <w:sz w:val="24"/>
          <w:u w:val="single"/>
        </w:rPr>
      </w:pPr>
      <w:r>
        <w:rPr>
          <w:rFonts w:hint="eastAsia" w:cs="宋体"/>
          <w:b/>
          <w:spacing w:val="-4"/>
          <w:sz w:val="24"/>
        </w:rPr>
        <w:t>小微企业的评审价格=小微企业的投标报价－小型、微型企业生产的产品</w:t>
      </w:r>
      <w:r>
        <w:rPr>
          <w:rFonts w:hint="eastAsia" w:cs="宋体"/>
          <w:b/>
          <w:spacing w:val="-4"/>
          <w:sz w:val="24"/>
          <w:lang w:val="en-GB"/>
        </w:rPr>
        <w:t>金额合计</w:t>
      </w:r>
      <w:r>
        <w:rPr>
          <w:rFonts w:hint="eastAsia" w:cs="宋体"/>
          <w:b/>
          <w:spacing w:val="-4"/>
          <w:sz w:val="24"/>
        </w:rPr>
        <w:t>×</w:t>
      </w:r>
      <w:r>
        <w:rPr>
          <w:rFonts w:hint="eastAsia" w:cs="宋体"/>
          <w:b/>
          <w:spacing w:val="-4"/>
          <w:sz w:val="24"/>
          <w:highlight w:val="yellow"/>
          <w:lang w:val="en-US" w:eastAsia="zh-CN"/>
        </w:rPr>
        <w:t>20</w:t>
      </w:r>
      <w:r>
        <w:rPr>
          <w:rFonts w:hint="eastAsia" w:cs="宋体"/>
          <w:b/>
          <w:spacing w:val="-4"/>
          <w:sz w:val="24"/>
          <w:highlight w:val="yellow"/>
        </w:rPr>
        <w:t>%</w:t>
      </w:r>
    </w:p>
    <w:p>
      <w:pPr>
        <w:spacing w:line="480" w:lineRule="exact"/>
        <w:ind w:firstLine="480" w:firstLineChars="200"/>
        <w:rPr>
          <w:rFonts w:ascii="宋体" w:hAnsi="宋体" w:cs="宋体"/>
          <w:sz w:val="24"/>
        </w:rPr>
      </w:pPr>
      <w:r>
        <w:rPr>
          <w:rFonts w:hint="eastAsia" w:ascii="宋体" w:hAnsi="宋体" w:cs="宋体"/>
          <w:sz w:val="24"/>
        </w:rPr>
        <w:t>3.分析总报价及各个分项报价是否合理、报价范围是否完整、有否重大错漏项。如磋商小组一致认为最低投标报价或某些分项明显不合理，有降低质量、不能诚信履约的可能时，磋商小组有权通知投标方限期进行解释。如投标方未在规定期限内做出解释，或所作解释不合理，经磋商小组取得一致意见后，可确定该投标为无效标。</w:t>
      </w:r>
    </w:p>
    <w:p>
      <w:pPr>
        <w:spacing w:line="480" w:lineRule="exact"/>
        <w:rPr>
          <w:rFonts w:ascii="宋体" w:hAnsi="宋体" w:cs="宋体"/>
          <w:color w:val="000000"/>
          <w:sz w:val="24"/>
        </w:rPr>
      </w:pPr>
      <w:r>
        <w:rPr>
          <w:rFonts w:hint="eastAsia" w:ascii="宋体" w:hAnsi="宋体" w:cs="宋体"/>
          <w:b/>
          <w:bCs/>
          <w:color w:val="000000"/>
          <w:sz w:val="24"/>
        </w:rPr>
        <w:t>四、定标办法</w:t>
      </w:r>
    </w:p>
    <w:p>
      <w:pPr>
        <w:spacing w:line="480" w:lineRule="exact"/>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b/>
          <w:color w:val="000000"/>
          <w:sz w:val="24"/>
        </w:rPr>
        <w:t>决标</w:t>
      </w:r>
    </w:p>
    <w:p>
      <w:pPr>
        <w:spacing w:line="48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color w:val="000000"/>
          <w:sz w:val="24"/>
        </w:rPr>
        <w:t>磋商响应供应商评标</w:t>
      </w:r>
      <w:r>
        <w:rPr>
          <w:rFonts w:hint="eastAsia" w:ascii="宋体" w:hAnsi="宋体" w:cs="宋体"/>
          <w:bCs/>
          <w:color w:val="000000"/>
          <w:sz w:val="24"/>
        </w:rPr>
        <w:t>综合得分=价格分+技术分</w:t>
      </w:r>
      <w:r>
        <w:rPr>
          <w:rFonts w:hint="eastAsia" w:ascii="宋体" w:hAnsi="宋体" w:cs="宋体"/>
          <w:sz w:val="24"/>
        </w:rPr>
        <w:t>。</w:t>
      </w:r>
    </w:p>
    <w:p>
      <w:pPr>
        <w:spacing w:line="480" w:lineRule="exact"/>
        <w:ind w:firstLine="480" w:firstLineChars="200"/>
        <w:rPr>
          <w:rFonts w:ascii="宋体" w:hAnsi="宋体" w:cs="宋体"/>
          <w:sz w:val="24"/>
        </w:rPr>
      </w:pPr>
      <w:r>
        <w:rPr>
          <w:rFonts w:hint="eastAsia" w:ascii="宋体" w:hAnsi="宋体" w:cs="宋体"/>
          <w:sz w:val="24"/>
        </w:rPr>
        <w:t>2）磋商小组推荐得分最高的投标商为预成交投标商（如果得分相同则按报价从低到高顺序依次推荐为预中标单位）；如果得分相同，以报价低的优先；报价也相同，以抽签决定，并编写采购报告。</w:t>
      </w:r>
    </w:p>
    <w:p>
      <w:pPr>
        <w:spacing w:line="480" w:lineRule="exact"/>
        <w:ind w:firstLine="480" w:firstLineChars="200"/>
        <w:rPr>
          <w:rFonts w:ascii="宋体" w:hAnsi="宋体" w:cs="宋体"/>
          <w:sz w:val="24"/>
        </w:rPr>
      </w:pPr>
      <w:r>
        <w:rPr>
          <w:rFonts w:hint="eastAsia" w:ascii="宋体" w:hAnsi="宋体" w:cs="宋体"/>
          <w:sz w:val="24"/>
        </w:rPr>
        <w:t>2.所有分值计算保留小数点后二位，小数点后三位四舍五入。参见本竞争性磋商采购第三部分：“投标商须知”中的相关内容，未尽事宜按有关法律规定处理。</w:t>
      </w:r>
    </w:p>
    <w:p>
      <w:pPr>
        <w:spacing w:line="480" w:lineRule="exact"/>
        <w:ind w:right="34" w:firstLine="480" w:firstLineChars="200"/>
        <w:outlineLvl w:val="0"/>
        <w:rPr>
          <w:rFonts w:ascii="宋体" w:hAnsi="宋体" w:cs="宋体"/>
          <w:color w:val="000000"/>
          <w:sz w:val="24"/>
          <w:u w:val="single"/>
        </w:rPr>
      </w:pPr>
      <w:r>
        <w:rPr>
          <w:rFonts w:hint="eastAsia" w:ascii="宋体" w:hAnsi="宋体" w:cs="宋体"/>
          <w:color w:val="000000"/>
          <w:sz w:val="24"/>
        </w:rPr>
        <w:t>3.</w:t>
      </w:r>
      <w:r>
        <w:rPr>
          <w:rFonts w:hint="eastAsia" w:ascii="宋体" w:hAnsi="宋体" w:cs="宋体"/>
          <w:color w:val="000000"/>
          <w:sz w:val="24"/>
          <w:u w:val="single"/>
        </w:rPr>
        <w:t>▲报价超过预算的，二次报价高于第一次报价的，为无效标。</w:t>
      </w:r>
    </w:p>
    <w:p>
      <w:pPr>
        <w:spacing w:line="480" w:lineRule="exact"/>
        <w:ind w:right="34" w:firstLine="482" w:firstLineChars="200"/>
        <w:jc w:val="center"/>
        <w:outlineLvl w:val="0"/>
        <w:rPr>
          <w:rFonts w:ascii="宋体" w:hAnsi="宋体" w:cs="宋体"/>
          <w:b/>
          <w:bCs/>
          <w:kern w:val="0"/>
          <w:sz w:val="36"/>
          <w:szCs w:val="36"/>
        </w:rPr>
      </w:pPr>
      <w:r>
        <w:rPr>
          <w:rFonts w:hint="eastAsia" w:ascii="宋体" w:hAnsi="宋体" w:cs="宋体"/>
          <w:b/>
          <w:bCs/>
          <w:kern w:val="0"/>
          <w:sz w:val="24"/>
          <w:u w:val="single"/>
        </w:rPr>
        <w:br w:type="page"/>
      </w:r>
      <w:bookmarkStart w:id="40" w:name="_Toc6115"/>
      <w:r>
        <w:rPr>
          <w:rFonts w:hint="eastAsia" w:ascii="宋体" w:hAnsi="宋体" w:cs="宋体"/>
          <w:b/>
          <w:bCs/>
          <w:kern w:val="0"/>
          <w:sz w:val="36"/>
          <w:szCs w:val="36"/>
        </w:rPr>
        <w:t>第四章 合同主要条款</w:t>
      </w:r>
      <w:bookmarkEnd w:id="40"/>
    </w:p>
    <w:p>
      <w:pPr>
        <w:spacing w:line="360" w:lineRule="auto"/>
        <w:ind w:firstLine="240" w:firstLineChars="100"/>
        <w:jc w:val="center"/>
        <w:rPr>
          <w:rFonts w:ascii="宋体" w:hAnsi="宋体" w:cs="Arial"/>
          <w:sz w:val="24"/>
        </w:rPr>
      </w:pPr>
      <w:r>
        <w:rPr>
          <w:rFonts w:hint="eastAsia" w:ascii="宋体" w:hAnsi="宋体" w:cs="Arial"/>
          <w:sz w:val="24"/>
        </w:rPr>
        <w:t>（格式参考，以具体签订的为准）</w:t>
      </w:r>
    </w:p>
    <w:p>
      <w:pPr>
        <w:snapToGrid w:val="0"/>
        <w:spacing w:line="360" w:lineRule="auto"/>
        <w:ind w:firstLine="480" w:firstLineChars="200"/>
        <w:rPr>
          <w:rFonts w:ascii="宋体" w:hAnsi="宋体" w:cs="宋体"/>
          <w:sz w:val="24"/>
        </w:rPr>
      </w:pPr>
      <w:r>
        <w:rPr>
          <w:rFonts w:hint="eastAsia" w:ascii="宋体" w:hAnsi="宋体" w:cs="宋体"/>
          <w:sz w:val="24"/>
        </w:rPr>
        <w:t>项目名称：项目编号：</w:t>
      </w:r>
    </w:p>
    <w:p>
      <w:pPr>
        <w:snapToGrid w:val="0"/>
        <w:spacing w:line="360" w:lineRule="auto"/>
        <w:ind w:firstLine="480" w:firstLineChars="200"/>
        <w:rPr>
          <w:rFonts w:ascii="宋体" w:hAnsi="宋体" w:cs="宋体"/>
          <w:sz w:val="24"/>
        </w:rPr>
      </w:pPr>
      <w:r>
        <w:rPr>
          <w:rFonts w:hint="eastAsia" w:ascii="宋体" w:hAnsi="宋体" w:cs="宋体"/>
          <w:sz w:val="24"/>
        </w:rPr>
        <w:t>甲方：（采购人）</w:t>
      </w:r>
    </w:p>
    <w:p>
      <w:pPr>
        <w:snapToGrid w:val="0"/>
        <w:spacing w:line="360" w:lineRule="auto"/>
        <w:ind w:firstLine="480" w:firstLineChars="200"/>
        <w:rPr>
          <w:rFonts w:ascii="宋体" w:hAnsi="宋体" w:cs="宋体"/>
          <w:sz w:val="24"/>
        </w:rPr>
      </w:pPr>
      <w:r>
        <w:rPr>
          <w:rFonts w:hint="eastAsia" w:ascii="宋体" w:hAnsi="宋体" w:cs="宋体"/>
          <w:sz w:val="24"/>
        </w:rPr>
        <w:t>乙方：（卖方）</w:t>
      </w:r>
    </w:p>
    <w:p>
      <w:pPr>
        <w:snapToGrid w:val="0"/>
        <w:spacing w:line="360" w:lineRule="auto"/>
        <w:ind w:firstLine="480" w:firstLineChars="200"/>
        <w:rPr>
          <w:rFonts w:ascii="宋体" w:hAnsi="宋体" w:cs="宋体"/>
          <w:sz w:val="24"/>
        </w:rPr>
      </w:pPr>
      <w:r>
        <w:rPr>
          <w:rFonts w:hint="eastAsia" w:ascii="宋体" w:hAnsi="宋体" w:cs="宋体"/>
          <w:sz w:val="24"/>
        </w:rPr>
        <w:t>甲、乙双方根据关于</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项目磋商的结果，签署本合同。</w:t>
      </w:r>
    </w:p>
    <w:p>
      <w:pPr>
        <w:snapToGrid w:val="0"/>
        <w:spacing w:line="360" w:lineRule="auto"/>
        <w:ind w:firstLine="480" w:firstLineChars="200"/>
        <w:rPr>
          <w:rFonts w:ascii="宋体" w:hAnsi="宋体" w:cs="宋体"/>
          <w:sz w:val="24"/>
        </w:rPr>
      </w:pPr>
      <w:r>
        <w:rPr>
          <w:rFonts w:hint="eastAsia" w:ascii="宋体" w:hAnsi="宋体" w:cs="宋体"/>
          <w:sz w:val="24"/>
        </w:rPr>
        <w:t>一、货物内容</w:t>
      </w:r>
    </w:p>
    <w:p>
      <w:pPr>
        <w:snapToGrid w:val="0"/>
        <w:spacing w:line="360" w:lineRule="auto"/>
        <w:ind w:firstLine="480" w:firstLineChars="200"/>
        <w:rPr>
          <w:rFonts w:ascii="宋体" w:hAnsi="宋体" w:cs="宋体"/>
          <w:sz w:val="24"/>
        </w:rPr>
      </w:pPr>
      <w:r>
        <w:rPr>
          <w:rFonts w:hint="eastAsia" w:ascii="宋体" w:hAnsi="宋体" w:cs="宋体"/>
          <w:sz w:val="24"/>
        </w:rPr>
        <w:t>1.货物名称：</w:t>
      </w:r>
    </w:p>
    <w:p>
      <w:pPr>
        <w:snapToGrid w:val="0"/>
        <w:spacing w:line="360" w:lineRule="auto"/>
        <w:ind w:firstLine="480" w:firstLineChars="200"/>
        <w:rPr>
          <w:rFonts w:ascii="宋体" w:hAnsi="宋体" w:cs="宋体"/>
          <w:sz w:val="24"/>
        </w:rPr>
      </w:pPr>
      <w:r>
        <w:rPr>
          <w:rFonts w:hint="eastAsia" w:ascii="宋体" w:hAnsi="宋体" w:cs="宋体"/>
          <w:sz w:val="24"/>
        </w:rPr>
        <w:t>2.型号规格：</w:t>
      </w:r>
      <w:bookmarkStart w:id="53" w:name="_GoBack"/>
      <w:bookmarkEnd w:id="53"/>
    </w:p>
    <w:p>
      <w:pPr>
        <w:snapToGrid w:val="0"/>
        <w:spacing w:line="360" w:lineRule="auto"/>
        <w:ind w:firstLine="480" w:firstLineChars="200"/>
        <w:rPr>
          <w:rFonts w:ascii="宋体" w:hAnsi="宋体" w:cs="宋体"/>
          <w:sz w:val="24"/>
        </w:rPr>
      </w:pPr>
      <w:r>
        <w:rPr>
          <w:rFonts w:hint="eastAsia" w:ascii="宋体" w:hAnsi="宋体" w:cs="宋体"/>
          <w:sz w:val="24"/>
        </w:rPr>
        <w:t>3.技术参数：</w:t>
      </w:r>
    </w:p>
    <w:p>
      <w:pPr>
        <w:snapToGrid w:val="0"/>
        <w:spacing w:line="360" w:lineRule="auto"/>
        <w:ind w:firstLine="480" w:firstLineChars="200"/>
        <w:rPr>
          <w:rFonts w:ascii="宋体" w:hAnsi="宋体" w:cs="宋体"/>
          <w:sz w:val="24"/>
        </w:rPr>
      </w:pPr>
      <w:r>
        <w:rPr>
          <w:rFonts w:hint="eastAsia" w:ascii="宋体" w:hAnsi="宋体" w:cs="宋体"/>
          <w:sz w:val="24"/>
        </w:rPr>
        <w:t>4.数量（单位）：</w:t>
      </w:r>
    </w:p>
    <w:p>
      <w:pPr>
        <w:snapToGrid w:val="0"/>
        <w:spacing w:line="360" w:lineRule="auto"/>
        <w:ind w:firstLine="480" w:firstLineChars="200"/>
        <w:rPr>
          <w:rFonts w:ascii="宋体" w:hAnsi="宋体" w:cs="宋体"/>
          <w:sz w:val="24"/>
        </w:rPr>
      </w:pPr>
      <w:r>
        <w:rPr>
          <w:rFonts w:hint="eastAsia" w:ascii="宋体" w:hAnsi="宋体" w:cs="宋体"/>
          <w:sz w:val="24"/>
        </w:rPr>
        <w:t>二、合同金额</w:t>
      </w:r>
    </w:p>
    <w:p>
      <w:pPr>
        <w:snapToGrid w:val="0"/>
        <w:spacing w:line="360" w:lineRule="auto"/>
        <w:ind w:firstLine="480" w:firstLineChars="200"/>
        <w:rPr>
          <w:rFonts w:ascii="宋体" w:hAnsi="宋体" w:cs="宋体"/>
          <w:sz w:val="24"/>
        </w:rPr>
      </w:pPr>
      <w:r>
        <w:rPr>
          <w:rFonts w:hint="eastAsia" w:ascii="宋体" w:hAnsi="宋体" w:cs="宋体"/>
          <w:sz w:val="24"/>
        </w:rPr>
        <w:t>本合同金额为（大写）：____________________________________元（￥_______________元）人民币。</w:t>
      </w:r>
    </w:p>
    <w:p>
      <w:pPr>
        <w:snapToGrid w:val="0"/>
        <w:spacing w:line="360" w:lineRule="auto"/>
        <w:ind w:firstLine="480" w:firstLineChars="200"/>
        <w:rPr>
          <w:rFonts w:ascii="宋体" w:hAnsi="宋体" w:cs="宋体"/>
          <w:sz w:val="24"/>
        </w:rPr>
      </w:pPr>
      <w:r>
        <w:rPr>
          <w:rFonts w:hint="eastAsia" w:ascii="宋体" w:hAnsi="宋体" w:cs="宋体"/>
          <w:sz w:val="24"/>
        </w:rPr>
        <w:t>三、技术资料</w:t>
      </w:r>
    </w:p>
    <w:p>
      <w:pPr>
        <w:snapToGrid w:val="0"/>
        <w:spacing w:line="360" w:lineRule="auto"/>
        <w:ind w:firstLine="480" w:firstLineChars="200"/>
        <w:rPr>
          <w:rFonts w:ascii="宋体" w:hAnsi="宋体" w:cs="宋体"/>
          <w:sz w:val="24"/>
        </w:rPr>
      </w:pPr>
      <w:r>
        <w:rPr>
          <w:rFonts w:hint="eastAsia" w:ascii="宋体" w:hAnsi="宋体" w:cs="宋体"/>
          <w:sz w:val="24"/>
        </w:rPr>
        <w:t>1.乙方应按招标文件规定的时间向甲方提供使用货物的有关技术资料。</w:t>
      </w:r>
    </w:p>
    <w:p>
      <w:pPr>
        <w:snapToGrid w:val="0"/>
        <w:spacing w:line="360" w:lineRule="auto"/>
        <w:ind w:firstLine="480" w:firstLineChars="200"/>
        <w:rPr>
          <w:rFonts w:ascii="宋体" w:hAnsi="宋体" w:cs="宋体"/>
          <w:sz w:val="24"/>
        </w:rPr>
      </w:pPr>
      <w:r>
        <w:rPr>
          <w:rFonts w:hint="eastAsia" w:ascii="宋体" w:hAnsi="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80" w:firstLineChars="200"/>
        <w:rPr>
          <w:rFonts w:ascii="宋体" w:hAnsi="宋体" w:cs="宋体"/>
          <w:sz w:val="24"/>
        </w:rPr>
      </w:pPr>
      <w:r>
        <w:rPr>
          <w:rFonts w:hint="eastAsia" w:ascii="宋体" w:hAnsi="宋体" w:cs="宋体"/>
          <w:sz w:val="24"/>
        </w:rPr>
        <w:t>四、知识产权</w:t>
      </w:r>
    </w:p>
    <w:p>
      <w:pPr>
        <w:snapToGrid w:val="0"/>
        <w:spacing w:line="360" w:lineRule="auto"/>
        <w:ind w:firstLine="480" w:firstLineChars="200"/>
        <w:rPr>
          <w:rFonts w:ascii="宋体" w:hAnsi="宋体" w:cs="宋体"/>
          <w:sz w:val="24"/>
        </w:rPr>
      </w:pPr>
      <w:r>
        <w:rPr>
          <w:rFonts w:hint="eastAsia" w:ascii="宋体" w:hAnsi="宋体" w:cs="宋体"/>
          <w:sz w:val="24"/>
        </w:rPr>
        <w:t>乙方应保证所提供的货物或其任何一部分均不会侵犯任何第三方的知识产权。</w:t>
      </w:r>
    </w:p>
    <w:p>
      <w:pPr>
        <w:snapToGrid w:val="0"/>
        <w:spacing w:line="360" w:lineRule="auto"/>
        <w:ind w:firstLine="480" w:firstLineChars="200"/>
        <w:rPr>
          <w:rFonts w:ascii="宋体" w:hAnsi="宋体" w:cs="宋体"/>
          <w:sz w:val="24"/>
        </w:rPr>
      </w:pPr>
      <w:r>
        <w:rPr>
          <w:rFonts w:hint="eastAsia" w:ascii="宋体" w:hAnsi="宋体" w:cs="宋体"/>
          <w:sz w:val="24"/>
        </w:rPr>
        <w:t>五、产权担保</w:t>
      </w:r>
    </w:p>
    <w:p>
      <w:pPr>
        <w:snapToGrid w:val="0"/>
        <w:spacing w:line="360" w:lineRule="auto"/>
        <w:ind w:firstLine="480" w:firstLineChars="200"/>
        <w:rPr>
          <w:rFonts w:ascii="宋体" w:hAnsi="宋体" w:cs="宋体"/>
          <w:sz w:val="24"/>
        </w:rPr>
      </w:pPr>
      <w:r>
        <w:rPr>
          <w:rFonts w:hint="eastAsia" w:ascii="宋体" w:hAnsi="宋体" w:cs="宋体"/>
          <w:sz w:val="24"/>
        </w:rPr>
        <w:t>乙方保证所交付的货物的所有权完全属于乙方且无任何抵押、查封等产权瑕疵。</w:t>
      </w:r>
    </w:p>
    <w:p>
      <w:pPr>
        <w:snapToGrid w:val="0"/>
        <w:spacing w:line="360" w:lineRule="auto"/>
        <w:ind w:firstLine="480" w:firstLineChars="200"/>
        <w:rPr>
          <w:rFonts w:ascii="宋体" w:hAnsi="宋体" w:cs="宋体"/>
          <w:sz w:val="24"/>
        </w:rPr>
      </w:pPr>
      <w:r>
        <w:rPr>
          <w:rFonts w:hint="eastAsia" w:ascii="宋体" w:hAnsi="宋体" w:cs="宋体"/>
          <w:sz w:val="24"/>
        </w:rPr>
        <w:t>六、履约保证金（如有）</w:t>
      </w:r>
    </w:p>
    <w:p>
      <w:pPr>
        <w:snapToGrid w:val="0"/>
        <w:spacing w:line="360" w:lineRule="auto"/>
        <w:ind w:firstLine="480" w:firstLineChars="200"/>
        <w:rPr>
          <w:rFonts w:ascii="宋体" w:hAnsi="宋体" w:cs="宋体"/>
          <w:sz w:val="24"/>
        </w:rPr>
      </w:pPr>
      <w:r>
        <w:rPr>
          <w:rFonts w:hint="eastAsia" w:ascii="宋体" w:hAnsi="宋体" w:cs="宋体"/>
          <w:sz w:val="24"/>
        </w:rPr>
        <w:t>乙方交纳人民币△元作为本合同的履约保证金。</w:t>
      </w:r>
    </w:p>
    <w:p>
      <w:pPr>
        <w:snapToGrid w:val="0"/>
        <w:spacing w:line="360" w:lineRule="auto"/>
        <w:ind w:firstLine="480" w:firstLineChars="200"/>
        <w:rPr>
          <w:rFonts w:ascii="宋体" w:hAnsi="宋体" w:cs="宋体"/>
          <w:sz w:val="24"/>
        </w:rPr>
      </w:pPr>
      <w:r>
        <w:rPr>
          <w:rFonts w:hint="eastAsia" w:ascii="宋体" w:hAnsi="宋体" w:cs="宋体"/>
          <w:sz w:val="24"/>
        </w:rPr>
        <w:t>七、转包或分包</w:t>
      </w:r>
    </w:p>
    <w:p>
      <w:pPr>
        <w:snapToGrid w:val="0"/>
        <w:spacing w:line="360" w:lineRule="auto"/>
        <w:ind w:firstLine="480" w:firstLineChars="200"/>
        <w:rPr>
          <w:rFonts w:ascii="宋体" w:hAnsi="宋体" w:cs="宋体"/>
          <w:sz w:val="24"/>
        </w:rPr>
      </w:pPr>
      <w:r>
        <w:rPr>
          <w:rFonts w:hint="eastAsia" w:ascii="宋体" w:hAnsi="宋体" w:cs="宋体"/>
          <w:sz w:val="24"/>
        </w:rPr>
        <w:t>1.本合同范围的货物，应由乙方直接供应，不得转让他人供应</w:t>
      </w:r>
    </w:p>
    <w:p>
      <w:pPr>
        <w:snapToGrid w:val="0"/>
        <w:spacing w:line="360" w:lineRule="auto"/>
        <w:ind w:firstLine="480" w:firstLineChars="200"/>
        <w:rPr>
          <w:rFonts w:ascii="宋体" w:hAnsi="宋体" w:cs="宋体"/>
          <w:sz w:val="24"/>
        </w:rPr>
      </w:pPr>
      <w:r>
        <w:rPr>
          <w:rFonts w:hint="eastAsia" w:ascii="宋体" w:hAnsi="宋体" w:cs="宋体"/>
          <w:sz w:val="24"/>
        </w:rPr>
        <w:t>2.除非得到甲方的书面同意，乙方不得将本合同范围的货物全部或部分分包给他人供应</w:t>
      </w:r>
    </w:p>
    <w:p>
      <w:pPr>
        <w:snapToGrid w:val="0"/>
        <w:spacing w:line="360" w:lineRule="auto"/>
        <w:ind w:firstLine="480" w:firstLineChars="200"/>
        <w:rPr>
          <w:rFonts w:ascii="宋体" w:hAnsi="宋体" w:cs="宋体"/>
          <w:sz w:val="24"/>
        </w:rPr>
      </w:pPr>
      <w:r>
        <w:rPr>
          <w:rFonts w:hint="eastAsia" w:ascii="宋体" w:hAnsi="宋体" w:cs="宋体"/>
          <w:sz w:val="24"/>
        </w:rPr>
        <w:t>3.如有转让和未经甲方同意的分包行为，甲方有权解除合同，没收履约保证金并追究乙方的违约责任。</w:t>
      </w:r>
    </w:p>
    <w:p>
      <w:pPr>
        <w:snapToGrid w:val="0"/>
        <w:spacing w:line="360" w:lineRule="auto"/>
        <w:ind w:firstLine="480" w:firstLineChars="200"/>
        <w:rPr>
          <w:rFonts w:ascii="宋体" w:hAnsi="宋体" w:cs="宋体"/>
          <w:sz w:val="24"/>
        </w:rPr>
      </w:pPr>
      <w:r>
        <w:rPr>
          <w:rFonts w:hint="eastAsia" w:ascii="宋体" w:hAnsi="宋体" w:cs="宋体"/>
          <w:sz w:val="24"/>
        </w:rPr>
        <w:t>八、保修期和质保金</w:t>
      </w:r>
    </w:p>
    <w:p>
      <w:pPr>
        <w:snapToGrid w:val="0"/>
        <w:spacing w:line="360" w:lineRule="auto"/>
        <w:ind w:firstLine="480" w:firstLineChars="200"/>
        <w:rPr>
          <w:rFonts w:ascii="宋体" w:hAnsi="宋体" w:cs="宋体"/>
          <w:sz w:val="24"/>
        </w:rPr>
      </w:pPr>
      <w:r>
        <w:rPr>
          <w:rFonts w:hint="eastAsia" w:ascii="宋体" w:hAnsi="宋体" w:cs="宋体"/>
          <w:sz w:val="24"/>
        </w:rPr>
        <w:t>1.保修期</w:t>
      </w:r>
      <w:r>
        <w:rPr>
          <w:rFonts w:hint="eastAsia" w:ascii="宋体" w:hAnsi="宋体" w:cs="宋体"/>
          <w:sz w:val="24"/>
          <w:u w:val="single"/>
          <w:lang w:val="en-US" w:eastAsia="zh-CN"/>
        </w:rPr>
        <w:t xml:space="preserve">    </w:t>
      </w:r>
      <w:r>
        <w:rPr>
          <w:rFonts w:hint="eastAsia" w:ascii="宋体" w:hAnsi="宋体" w:cs="宋体"/>
          <w:sz w:val="24"/>
        </w:rPr>
        <w:t>年。（自交货验收合格之日起计）</w:t>
      </w:r>
    </w:p>
    <w:p>
      <w:pPr>
        <w:snapToGrid w:val="0"/>
        <w:spacing w:line="360" w:lineRule="auto"/>
        <w:ind w:firstLine="480" w:firstLineChars="200"/>
        <w:rPr>
          <w:rFonts w:ascii="宋体" w:hAnsi="宋体" w:cs="宋体"/>
          <w:sz w:val="24"/>
        </w:rPr>
      </w:pPr>
      <w:r>
        <w:rPr>
          <w:rFonts w:hint="eastAsia" w:ascii="宋体" w:hAnsi="宋体" w:cs="宋体"/>
          <w:sz w:val="24"/>
        </w:rPr>
        <w:t>2.质保金   元。（履约保证金在中标投标人按合同约定交货验收合格后自行转为质保金）</w:t>
      </w:r>
    </w:p>
    <w:p>
      <w:pPr>
        <w:snapToGrid w:val="0"/>
        <w:spacing w:line="360" w:lineRule="auto"/>
        <w:ind w:firstLine="480" w:firstLineChars="200"/>
        <w:rPr>
          <w:rFonts w:ascii="宋体" w:hAnsi="宋体" w:cs="宋体"/>
          <w:sz w:val="24"/>
        </w:rPr>
      </w:pPr>
      <w:r>
        <w:rPr>
          <w:rFonts w:hint="eastAsia" w:ascii="宋体" w:hAnsi="宋体" w:cs="宋体"/>
          <w:sz w:val="24"/>
        </w:rPr>
        <w:t>九、交货期、交货方式及交货地点</w:t>
      </w:r>
    </w:p>
    <w:p>
      <w:pPr>
        <w:snapToGrid w:val="0"/>
        <w:spacing w:line="360" w:lineRule="auto"/>
        <w:ind w:firstLine="480" w:firstLineChars="200"/>
        <w:rPr>
          <w:rFonts w:ascii="宋体" w:hAnsi="宋体" w:cs="宋体"/>
          <w:sz w:val="24"/>
        </w:rPr>
      </w:pPr>
      <w:r>
        <w:rPr>
          <w:rFonts w:hint="eastAsia" w:ascii="宋体" w:hAnsi="宋体" w:cs="宋体"/>
          <w:sz w:val="24"/>
        </w:rPr>
        <w:t>1.交货期：</w:t>
      </w:r>
    </w:p>
    <w:p>
      <w:pPr>
        <w:snapToGrid w:val="0"/>
        <w:spacing w:line="360" w:lineRule="auto"/>
        <w:ind w:firstLine="480" w:firstLineChars="200"/>
        <w:rPr>
          <w:rFonts w:ascii="宋体" w:hAnsi="宋体" w:cs="宋体"/>
          <w:sz w:val="24"/>
        </w:rPr>
      </w:pPr>
      <w:r>
        <w:rPr>
          <w:rFonts w:hint="eastAsia" w:ascii="宋体" w:hAnsi="宋体" w:cs="宋体"/>
          <w:sz w:val="24"/>
        </w:rPr>
        <w:t>2.交货方式：</w:t>
      </w:r>
    </w:p>
    <w:p>
      <w:pPr>
        <w:snapToGrid w:val="0"/>
        <w:spacing w:line="360" w:lineRule="auto"/>
        <w:ind w:firstLine="480" w:firstLineChars="200"/>
        <w:rPr>
          <w:rFonts w:ascii="宋体" w:hAnsi="宋体" w:cs="宋体"/>
          <w:sz w:val="24"/>
        </w:rPr>
      </w:pPr>
      <w:r>
        <w:rPr>
          <w:rFonts w:hint="eastAsia" w:ascii="宋体" w:hAnsi="宋体" w:cs="宋体"/>
          <w:sz w:val="24"/>
        </w:rPr>
        <w:t>3.交货地点：</w:t>
      </w:r>
    </w:p>
    <w:p>
      <w:pPr>
        <w:snapToGrid w:val="0"/>
        <w:spacing w:line="360" w:lineRule="auto"/>
        <w:ind w:firstLine="480" w:firstLineChars="200"/>
        <w:rPr>
          <w:rFonts w:ascii="宋体" w:hAnsi="宋体" w:cs="宋体"/>
          <w:sz w:val="24"/>
        </w:rPr>
      </w:pPr>
      <w:r>
        <w:rPr>
          <w:rFonts w:hint="eastAsia" w:ascii="宋体" w:hAnsi="宋体" w:cs="宋体"/>
          <w:sz w:val="24"/>
        </w:rPr>
        <w:t>十、货款支付</w:t>
      </w:r>
    </w:p>
    <w:p>
      <w:pPr>
        <w:snapToGrid w:val="0"/>
        <w:spacing w:line="360" w:lineRule="auto"/>
        <w:ind w:firstLine="480" w:firstLineChars="200"/>
        <w:rPr>
          <w:rFonts w:ascii="宋体" w:hAnsi="宋体" w:cs="宋体"/>
          <w:sz w:val="24"/>
        </w:rPr>
      </w:pPr>
      <w:r>
        <w:rPr>
          <w:rFonts w:hint="eastAsia" w:ascii="宋体" w:hAnsi="宋体" w:cs="宋体"/>
          <w:sz w:val="24"/>
        </w:rPr>
        <w:t>1.付款方式：按招标文件要求。</w:t>
      </w:r>
    </w:p>
    <w:p>
      <w:pPr>
        <w:snapToGrid w:val="0"/>
        <w:spacing w:line="360" w:lineRule="auto"/>
        <w:ind w:firstLine="480" w:firstLineChars="200"/>
        <w:rPr>
          <w:rFonts w:ascii="宋体" w:hAnsi="宋体" w:cs="宋体"/>
          <w:sz w:val="24"/>
        </w:rPr>
      </w:pPr>
      <w:r>
        <w:rPr>
          <w:rFonts w:hint="eastAsia" w:ascii="宋体" w:hAnsi="宋体" w:cs="宋体"/>
          <w:sz w:val="24"/>
        </w:rPr>
        <w:t>2.当采购数量与实际使用数量不一致时，乙方应根据实际使用量供货，合同的最终结算金额按实际使用量乘以成交单价进行计算。</w:t>
      </w:r>
    </w:p>
    <w:p>
      <w:pPr>
        <w:snapToGrid w:val="0"/>
        <w:spacing w:line="360" w:lineRule="auto"/>
        <w:ind w:firstLine="480" w:firstLineChars="200"/>
        <w:rPr>
          <w:rFonts w:ascii="宋体" w:hAnsi="宋体" w:cs="宋体"/>
          <w:sz w:val="24"/>
        </w:rPr>
      </w:pPr>
      <w:r>
        <w:rPr>
          <w:rFonts w:hint="eastAsia" w:ascii="宋体" w:hAnsi="宋体" w:cs="宋体"/>
          <w:sz w:val="24"/>
        </w:rPr>
        <w:t>十一、税费</w:t>
      </w:r>
    </w:p>
    <w:p>
      <w:pPr>
        <w:snapToGrid w:val="0"/>
        <w:spacing w:line="360" w:lineRule="auto"/>
        <w:ind w:firstLine="480" w:firstLineChars="200"/>
        <w:rPr>
          <w:rFonts w:ascii="宋体" w:hAnsi="宋体" w:cs="宋体"/>
          <w:sz w:val="24"/>
        </w:rPr>
      </w:pPr>
      <w:r>
        <w:rPr>
          <w:rFonts w:hint="eastAsia" w:ascii="宋体" w:hAnsi="宋体" w:cs="宋体"/>
          <w:sz w:val="24"/>
        </w:rPr>
        <w:t>本合同执行中相关的一切税费均由乙方负担。</w:t>
      </w:r>
    </w:p>
    <w:p>
      <w:pPr>
        <w:snapToGrid w:val="0"/>
        <w:spacing w:line="360" w:lineRule="auto"/>
        <w:ind w:firstLine="480" w:firstLineChars="200"/>
        <w:rPr>
          <w:rFonts w:ascii="宋体" w:hAnsi="宋体" w:cs="宋体"/>
          <w:sz w:val="24"/>
        </w:rPr>
      </w:pPr>
      <w:r>
        <w:rPr>
          <w:rFonts w:hint="eastAsia" w:ascii="宋体" w:hAnsi="宋体" w:cs="宋体"/>
          <w:sz w:val="24"/>
        </w:rPr>
        <w:t>十二、质量保证及售后服务</w:t>
      </w:r>
    </w:p>
    <w:p>
      <w:pPr>
        <w:snapToGrid w:val="0"/>
        <w:spacing w:line="360" w:lineRule="auto"/>
        <w:ind w:firstLine="480" w:firstLineChars="200"/>
        <w:rPr>
          <w:rFonts w:ascii="宋体" w:hAnsi="宋体" w:cs="宋体"/>
          <w:sz w:val="24"/>
        </w:rPr>
      </w:pPr>
      <w:r>
        <w:rPr>
          <w:rFonts w:hint="eastAsia" w:ascii="宋体" w:hAnsi="宋体" w:cs="宋体"/>
          <w:sz w:val="24"/>
        </w:rPr>
        <w:t>1.乙方应按招标文件规定的货物性能、技术要求、质量标准向甲方提供未经使用的全新产品。</w:t>
      </w:r>
    </w:p>
    <w:p>
      <w:pPr>
        <w:snapToGrid w:val="0"/>
        <w:spacing w:line="360" w:lineRule="auto"/>
        <w:ind w:firstLine="480" w:firstLineChars="200"/>
        <w:rPr>
          <w:rFonts w:ascii="宋体" w:hAnsi="宋体" w:cs="宋体"/>
          <w:sz w:val="24"/>
        </w:rPr>
      </w:pPr>
      <w:r>
        <w:rPr>
          <w:rFonts w:hint="eastAsia" w:ascii="宋体" w:hAnsi="宋体" w:cs="宋体"/>
          <w:sz w:val="24"/>
        </w:rPr>
        <w:t>2.乙方提供的货物在保修期内因货物本身的质量问题发生故障，乙方应负责免费更换。对达不到技术要求者，根据实际情况，经双方协商，可按以下办法处理：</w:t>
      </w:r>
    </w:p>
    <w:p>
      <w:pPr>
        <w:snapToGrid w:val="0"/>
        <w:spacing w:line="360" w:lineRule="auto"/>
        <w:ind w:firstLine="480" w:firstLineChars="200"/>
        <w:rPr>
          <w:rFonts w:ascii="宋体" w:hAnsi="宋体" w:cs="宋体"/>
          <w:sz w:val="24"/>
        </w:rPr>
      </w:pPr>
      <w:r>
        <w:rPr>
          <w:rFonts w:hint="eastAsia" w:ascii="宋体" w:hAnsi="宋体" w:cs="宋体"/>
          <w:sz w:val="24"/>
        </w:rPr>
        <w:t>⑴更换：由乙方承担所发生的全部费用。</w:t>
      </w:r>
    </w:p>
    <w:p>
      <w:pPr>
        <w:snapToGrid w:val="0"/>
        <w:spacing w:line="360" w:lineRule="auto"/>
        <w:ind w:firstLine="480" w:firstLineChars="200"/>
        <w:rPr>
          <w:rFonts w:ascii="宋体" w:hAnsi="宋体" w:cs="宋体"/>
          <w:sz w:val="24"/>
        </w:rPr>
      </w:pPr>
      <w:r>
        <w:rPr>
          <w:rFonts w:hint="eastAsia" w:ascii="宋体" w:hAnsi="宋体" w:cs="宋体"/>
          <w:sz w:val="24"/>
        </w:rPr>
        <w:t>⑵贬值处理：由甲乙双方合议定价。</w:t>
      </w:r>
    </w:p>
    <w:p>
      <w:pPr>
        <w:snapToGrid w:val="0"/>
        <w:spacing w:line="360" w:lineRule="auto"/>
        <w:ind w:firstLine="480" w:firstLineChars="200"/>
        <w:rPr>
          <w:rFonts w:ascii="宋体" w:hAnsi="宋体" w:cs="宋体"/>
          <w:sz w:val="24"/>
        </w:rPr>
      </w:pPr>
      <w:r>
        <w:rPr>
          <w:rFonts w:hint="eastAsia" w:ascii="宋体" w:hAnsi="宋体" w:cs="宋体"/>
          <w:sz w:val="24"/>
        </w:rPr>
        <w:t>⑶退货处理：乙方应退还甲方支付的合同款，同时应承担该货物的直接费用（运输、保险、检验、货款利息及银行手续费等）。</w:t>
      </w:r>
    </w:p>
    <w:p>
      <w:pPr>
        <w:snapToGrid w:val="0"/>
        <w:spacing w:line="360" w:lineRule="auto"/>
        <w:ind w:firstLine="480" w:firstLineChars="200"/>
        <w:rPr>
          <w:rFonts w:ascii="宋体" w:hAnsi="宋体" w:cs="宋体"/>
          <w:sz w:val="24"/>
        </w:rPr>
      </w:pPr>
      <w:r>
        <w:rPr>
          <w:rFonts w:hint="eastAsia" w:ascii="宋体" w:hAnsi="宋体" w:cs="宋体"/>
          <w:sz w:val="24"/>
        </w:rPr>
        <w:t>3.如在使用过程中发生质量问题，乙方在接到甲方通知后在2小时内到达甲方现场。</w:t>
      </w:r>
    </w:p>
    <w:p>
      <w:pPr>
        <w:snapToGrid w:val="0"/>
        <w:spacing w:line="360" w:lineRule="auto"/>
        <w:ind w:firstLine="480" w:firstLineChars="200"/>
        <w:rPr>
          <w:rFonts w:ascii="宋体" w:hAnsi="宋体" w:cs="宋体"/>
          <w:sz w:val="24"/>
        </w:rPr>
      </w:pPr>
      <w:r>
        <w:rPr>
          <w:rFonts w:hint="eastAsia" w:ascii="宋体" w:hAnsi="宋体" w:cs="宋体"/>
          <w:sz w:val="24"/>
        </w:rPr>
        <w:t>4.在保修期内，乙方应对货物出现的质量及安全问题负责处理解决并承担一切费用。</w:t>
      </w:r>
    </w:p>
    <w:p>
      <w:pPr>
        <w:snapToGrid w:val="0"/>
        <w:spacing w:line="360" w:lineRule="auto"/>
        <w:ind w:firstLine="480" w:firstLineChars="200"/>
        <w:rPr>
          <w:rFonts w:ascii="宋体" w:hAnsi="宋体" w:cs="宋体"/>
          <w:sz w:val="24"/>
        </w:rPr>
      </w:pPr>
      <w:r>
        <w:rPr>
          <w:rFonts w:hint="eastAsia" w:ascii="宋体" w:hAnsi="宋体" w:cs="宋体"/>
          <w:sz w:val="24"/>
        </w:rPr>
        <w:t>5.上述的货物免费保修期为年，因人为因素出现的故障不在免费保修范围内。超过保修期的机器设备，终生维修，维修时只收部件成本费。</w:t>
      </w:r>
    </w:p>
    <w:p>
      <w:pPr>
        <w:snapToGrid w:val="0"/>
        <w:spacing w:line="360" w:lineRule="auto"/>
        <w:ind w:firstLine="480" w:firstLineChars="200"/>
        <w:rPr>
          <w:rFonts w:ascii="宋体" w:hAnsi="宋体" w:cs="宋体"/>
          <w:sz w:val="24"/>
        </w:rPr>
      </w:pPr>
      <w:r>
        <w:rPr>
          <w:rFonts w:hint="eastAsia" w:ascii="宋体" w:hAnsi="宋体" w:cs="宋体"/>
          <w:sz w:val="24"/>
        </w:rPr>
        <w:t>十三、调试和验收</w:t>
      </w:r>
    </w:p>
    <w:p>
      <w:pPr>
        <w:snapToGrid w:val="0"/>
        <w:spacing w:line="360" w:lineRule="auto"/>
        <w:ind w:firstLine="480" w:firstLineChars="200"/>
        <w:rPr>
          <w:rFonts w:ascii="宋体" w:hAnsi="宋体" w:cs="宋体"/>
          <w:sz w:val="24"/>
        </w:rPr>
      </w:pPr>
      <w:r>
        <w:rPr>
          <w:rFonts w:hint="eastAsia" w:ascii="宋体" w:hAnsi="宋体" w:cs="宋体"/>
          <w:sz w:val="24"/>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line="360" w:lineRule="auto"/>
        <w:ind w:firstLine="480" w:firstLineChars="200"/>
        <w:rPr>
          <w:rFonts w:ascii="宋体" w:hAnsi="宋体" w:cs="宋体"/>
          <w:sz w:val="24"/>
        </w:rPr>
      </w:pPr>
      <w:r>
        <w:rPr>
          <w:rFonts w:hint="eastAsia" w:ascii="宋体" w:hAnsi="宋体" w:cs="宋体"/>
          <w:sz w:val="24"/>
        </w:rPr>
        <w:t>2.乙方交货前应对产品作出全面检查和对验收文件进行整理，并列出清单，作为甲方收货验收和使用的技术条件依据，检验的结果应随货物交甲方。</w:t>
      </w:r>
    </w:p>
    <w:p>
      <w:pPr>
        <w:snapToGrid w:val="0"/>
        <w:spacing w:line="360" w:lineRule="auto"/>
        <w:ind w:firstLine="480" w:firstLineChars="200"/>
        <w:rPr>
          <w:rFonts w:ascii="宋体" w:hAnsi="宋体" w:cs="宋体"/>
          <w:sz w:val="24"/>
        </w:rPr>
      </w:pPr>
      <w:r>
        <w:rPr>
          <w:rFonts w:hint="eastAsia" w:ascii="宋体" w:hAnsi="宋体" w:cs="宋体"/>
          <w:sz w:val="24"/>
        </w:rPr>
        <w:t>3.甲方对乙方提供的货物在使用前进行调试时，乙方需负责安装并培训甲方的使用操作人员，并协助甲方一起调试，直到符合技术要求，甲方才做最终验收。</w:t>
      </w:r>
    </w:p>
    <w:p>
      <w:pPr>
        <w:snapToGrid w:val="0"/>
        <w:spacing w:line="360" w:lineRule="auto"/>
        <w:ind w:firstLine="480" w:firstLineChars="200"/>
        <w:rPr>
          <w:rFonts w:ascii="宋体" w:hAnsi="宋体" w:cs="宋体"/>
          <w:sz w:val="24"/>
        </w:rPr>
      </w:pPr>
      <w:r>
        <w:rPr>
          <w:rFonts w:hint="eastAsia" w:ascii="宋体" w:hAnsi="宋体" w:cs="宋体"/>
          <w:sz w:val="24"/>
        </w:rPr>
        <w:t>4.对技术复杂的货物，甲方应请国家认可的专业检测机构参与初步验收及最终验收，并由其出具质量检测报告。</w:t>
      </w:r>
    </w:p>
    <w:p>
      <w:pPr>
        <w:snapToGrid w:val="0"/>
        <w:spacing w:line="360" w:lineRule="auto"/>
        <w:ind w:firstLine="480" w:firstLineChars="200"/>
        <w:rPr>
          <w:rFonts w:ascii="宋体" w:hAnsi="宋体" w:cs="宋体"/>
          <w:sz w:val="24"/>
        </w:rPr>
      </w:pPr>
      <w:r>
        <w:rPr>
          <w:rFonts w:hint="eastAsia" w:ascii="宋体" w:hAnsi="宋体" w:cs="宋体"/>
          <w:sz w:val="24"/>
        </w:rPr>
        <w:t>5.验收时乙方必须在现场，验收完毕后作出验收结果报告验收费用由乙方负责。</w:t>
      </w:r>
    </w:p>
    <w:p>
      <w:pPr>
        <w:snapToGrid w:val="0"/>
        <w:spacing w:line="360" w:lineRule="auto"/>
        <w:ind w:firstLine="480" w:firstLineChars="200"/>
        <w:rPr>
          <w:rFonts w:ascii="宋体" w:hAnsi="宋体" w:cs="宋体"/>
          <w:sz w:val="24"/>
        </w:rPr>
      </w:pPr>
      <w:r>
        <w:rPr>
          <w:rFonts w:hint="eastAsia" w:ascii="宋体" w:hAnsi="宋体" w:cs="宋体"/>
          <w:sz w:val="24"/>
        </w:rPr>
        <w:t>十四、货物包装、发运及运输</w:t>
      </w:r>
    </w:p>
    <w:p>
      <w:pPr>
        <w:snapToGrid w:val="0"/>
        <w:spacing w:line="360" w:lineRule="auto"/>
        <w:ind w:firstLine="480" w:firstLineChars="200"/>
        <w:rPr>
          <w:rFonts w:ascii="宋体" w:hAnsi="宋体" w:cs="宋体"/>
          <w:sz w:val="24"/>
        </w:rPr>
      </w:pPr>
      <w:r>
        <w:rPr>
          <w:rFonts w:hint="eastAsia" w:ascii="宋体" w:hAnsi="宋体" w:cs="宋体"/>
          <w:sz w:val="24"/>
        </w:rPr>
        <w:t>1.乙方应在货物发运前对其进行满足运输距离、防潮、防震、防锈和防破损装卸等要求包装，以保证货物安全运达甲方指定地点。</w:t>
      </w:r>
    </w:p>
    <w:p>
      <w:pPr>
        <w:snapToGrid w:val="0"/>
        <w:spacing w:line="360" w:lineRule="auto"/>
        <w:ind w:firstLine="480" w:firstLineChars="200"/>
        <w:rPr>
          <w:rFonts w:ascii="宋体" w:hAnsi="宋体" w:cs="宋体"/>
          <w:sz w:val="24"/>
        </w:rPr>
      </w:pPr>
      <w:r>
        <w:rPr>
          <w:rFonts w:hint="eastAsia" w:ascii="宋体" w:hAnsi="宋体" w:cs="宋体"/>
          <w:sz w:val="24"/>
        </w:rPr>
        <w:t>2.使用说明书、质量检验书、随配附件和工具以及清单一并附于货物内。</w:t>
      </w:r>
    </w:p>
    <w:p>
      <w:pPr>
        <w:snapToGrid w:val="0"/>
        <w:spacing w:line="360" w:lineRule="auto"/>
        <w:ind w:firstLine="480" w:firstLineChars="200"/>
        <w:rPr>
          <w:rFonts w:ascii="宋体" w:hAnsi="宋体" w:cs="宋体"/>
          <w:sz w:val="24"/>
        </w:rPr>
      </w:pPr>
      <w:r>
        <w:rPr>
          <w:rFonts w:hint="eastAsia" w:ascii="宋体" w:hAnsi="宋体" w:cs="宋体"/>
          <w:sz w:val="24"/>
        </w:rPr>
        <w:t>3.乙方在货物发运手续办理完毕后24小时内或货到甲方48小时前通知甲方，以准备接货。</w:t>
      </w:r>
    </w:p>
    <w:p>
      <w:pPr>
        <w:snapToGrid w:val="0"/>
        <w:spacing w:line="360" w:lineRule="auto"/>
        <w:ind w:firstLine="480" w:firstLineChars="200"/>
        <w:rPr>
          <w:rFonts w:ascii="宋体" w:hAnsi="宋体" w:cs="宋体"/>
          <w:sz w:val="24"/>
        </w:rPr>
      </w:pPr>
      <w:r>
        <w:rPr>
          <w:rFonts w:hint="eastAsia" w:ascii="宋体" w:hAnsi="宋体" w:cs="宋体"/>
          <w:sz w:val="24"/>
        </w:rPr>
        <w:t>4.货物在交付甲方前发生的风险均由乙方负责。</w:t>
      </w:r>
    </w:p>
    <w:p>
      <w:pPr>
        <w:snapToGrid w:val="0"/>
        <w:spacing w:line="360" w:lineRule="auto"/>
        <w:ind w:firstLine="480" w:firstLineChars="200"/>
        <w:rPr>
          <w:rFonts w:ascii="宋体" w:hAnsi="宋体" w:cs="宋体"/>
          <w:sz w:val="24"/>
        </w:rPr>
      </w:pPr>
      <w:r>
        <w:rPr>
          <w:rFonts w:hint="eastAsia" w:ascii="宋体" w:hAnsi="宋体" w:cs="宋体"/>
          <w:sz w:val="24"/>
        </w:rPr>
        <w:t>5.货物在规定的交付期限内由乙方送达甲方指定的地点视为交付，乙方同时需</w:t>
      </w:r>
    </w:p>
    <w:p>
      <w:pPr>
        <w:snapToGrid w:val="0"/>
        <w:spacing w:line="360" w:lineRule="auto"/>
        <w:ind w:firstLine="480" w:firstLineChars="200"/>
        <w:rPr>
          <w:rFonts w:ascii="宋体" w:hAnsi="宋体" w:cs="宋体"/>
          <w:sz w:val="24"/>
        </w:rPr>
      </w:pPr>
      <w:r>
        <w:rPr>
          <w:rFonts w:hint="eastAsia" w:ascii="宋体" w:hAnsi="宋体" w:cs="宋体"/>
          <w:sz w:val="24"/>
        </w:rPr>
        <w:t>通知甲方货物已送达。</w:t>
      </w:r>
    </w:p>
    <w:p>
      <w:pPr>
        <w:snapToGrid w:val="0"/>
        <w:spacing w:line="360" w:lineRule="auto"/>
        <w:ind w:firstLine="480" w:firstLineChars="200"/>
        <w:rPr>
          <w:rFonts w:ascii="宋体" w:hAnsi="宋体" w:cs="宋体"/>
          <w:sz w:val="24"/>
        </w:rPr>
      </w:pPr>
      <w:r>
        <w:rPr>
          <w:rFonts w:hint="eastAsia" w:ascii="宋体" w:hAnsi="宋体" w:cs="宋体"/>
          <w:sz w:val="24"/>
        </w:rPr>
        <w:t>十五、违约责任</w:t>
      </w:r>
    </w:p>
    <w:p>
      <w:pPr>
        <w:snapToGrid w:val="0"/>
        <w:spacing w:line="360" w:lineRule="auto"/>
        <w:ind w:firstLine="480" w:firstLineChars="200"/>
        <w:rPr>
          <w:rFonts w:ascii="宋体" w:hAnsi="宋体" w:cs="宋体"/>
          <w:sz w:val="24"/>
        </w:rPr>
      </w:pPr>
      <w:r>
        <w:rPr>
          <w:rFonts w:hint="eastAsia" w:ascii="宋体" w:hAnsi="宋体" w:cs="宋体"/>
          <w:sz w:val="24"/>
        </w:rPr>
        <w:t>1.甲方无正当理由拒收货物的，甲方向乙方偿付拒收货款总值的百分之五违约金。</w:t>
      </w:r>
    </w:p>
    <w:p>
      <w:pPr>
        <w:snapToGrid w:val="0"/>
        <w:spacing w:line="360" w:lineRule="auto"/>
        <w:ind w:firstLine="480" w:firstLineChars="200"/>
        <w:rPr>
          <w:rFonts w:ascii="宋体" w:hAnsi="宋体" w:cs="宋体"/>
          <w:sz w:val="24"/>
        </w:rPr>
      </w:pPr>
      <w:r>
        <w:rPr>
          <w:rFonts w:hint="eastAsia" w:ascii="宋体" w:hAnsi="宋体" w:cs="宋体"/>
          <w:sz w:val="24"/>
        </w:rPr>
        <w:t>2.甲方无故逾期验收和办理货款支付手续的,甲方应按逾期付款总额每日万分之五向乙方支付违约金。</w:t>
      </w:r>
    </w:p>
    <w:p>
      <w:pPr>
        <w:snapToGrid w:val="0"/>
        <w:spacing w:line="360" w:lineRule="auto"/>
        <w:ind w:firstLine="480" w:firstLineChars="200"/>
        <w:rPr>
          <w:rFonts w:ascii="宋体" w:hAnsi="宋体" w:cs="宋体"/>
          <w:sz w:val="24"/>
        </w:rPr>
      </w:pPr>
      <w:r>
        <w:rPr>
          <w:rFonts w:hint="eastAsia" w:ascii="宋体" w:hAnsi="宋体" w:cs="宋体"/>
          <w:sz w:val="24"/>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napToGrid w:val="0"/>
        <w:spacing w:line="360" w:lineRule="auto"/>
        <w:ind w:firstLine="480" w:firstLineChars="200"/>
        <w:rPr>
          <w:rFonts w:ascii="宋体" w:hAnsi="宋体" w:cs="宋体"/>
          <w:sz w:val="24"/>
        </w:rPr>
      </w:pPr>
      <w:r>
        <w:rPr>
          <w:rFonts w:hint="eastAsia" w:ascii="宋体" w:hAnsi="宋体" w:cs="宋体"/>
          <w:sz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napToGrid w:val="0"/>
        <w:spacing w:line="360" w:lineRule="auto"/>
        <w:ind w:firstLine="480" w:firstLineChars="200"/>
        <w:rPr>
          <w:rFonts w:ascii="宋体" w:hAnsi="宋体" w:cs="宋体"/>
          <w:sz w:val="24"/>
        </w:rPr>
      </w:pPr>
      <w:r>
        <w:rPr>
          <w:rFonts w:hint="eastAsia" w:ascii="宋体" w:hAnsi="宋体" w:cs="宋体"/>
          <w:sz w:val="24"/>
        </w:rPr>
        <w:t>十六、不可抗力事件处理</w:t>
      </w:r>
    </w:p>
    <w:p>
      <w:pPr>
        <w:snapToGrid w:val="0"/>
        <w:spacing w:line="360" w:lineRule="auto"/>
        <w:ind w:firstLine="480" w:firstLineChars="20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snapToGrid w:val="0"/>
        <w:spacing w:line="360" w:lineRule="auto"/>
        <w:ind w:firstLine="480" w:firstLineChars="200"/>
        <w:rPr>
          <w:rFonts w:ascii="宋体" w:hAnsi="宋体" w:cs="宋体"/>
          <w:sz w:val="24"/>
        </w:rPr>
      </w:pPr>
      <w:r>
        <w:rPr>
          <w:rFonts w:hint="eastAsia" w:ascii="宋体" w:hAnsi="宋体" w:cs="宋体"/>
          <w:sz w:val="24"/>
        </w:rPr>
        <w:t>2.不可抗力事件发生后，应立即通知对方，并寄送有关权威机构出具的说明。</w:t>
      </w:r>
    </w:p>
    <w:p>
      <w:pPr>
        <w:snapToGrid w:val="0"/>
        <w:spacing w:line="360" w:lineRule="auto"/>
        <w:ind w:firstLine="480" w:firstLineChars="200"/>
        <w:rPr>
          <w:rFonts w:ascii="宋体" w:hAnsi="宋体" w:cs="宋体"/>
          <w:sz w:val="24"/>
        </w:rPr>
      </w:pPr>
      <w:r>
        <w:rPr>
          <w:rFonts w:hint="eastAsia" w:ascii="宋体" w:hAnsi="宋体" w:cs="宋体"/>
          <w:sz w:val="24"/>
        </w:rPr>
        <w:t>3.不可抗力事件延续120日以上，双方应通过友好协商，确定是否继续履行合同。</w:t>
      </w:r>
    </w:p>
    <w:p>
      <w:pPr>
        <w:snapToGrid w:val="0"/>
        <w:spacing w:line="360" w:lineRule="auto"/>
        <w:ind w:firstLine="480" w:firstLineChars="200"/>
        <w:rPr>
          <w:rFonts w:ascii="宋体" w:hAnsi="宋体" w:cs="宋体"/>
          <w:sz w:val="24"/>
        </w:rPr>
      </w:pPr>
      <w:r>
        <w:rPr>
          <w:rFonts w:hint="eastAsia" w:ascii="宋体" w:hAnsi="宋体" w:cs="宋体"/>
          <w:sz w:val="24"/>
        </w:rPr>
        <w:t>十七、诉讼</w:t>
      </w:r>
    </w:p>
    <w:p>
      <w:pPr>
        <w:snapToGrid w:val="0"/>
        <w:spacing w:line="360" w:lineRule="auto"/>
        <w:ind w:firstLine="480" w:firstLineChars="200"/>
        <w:rPr>
          <w:rFonts w:ascii="宋体" w:hAnsi="宋体" w:cs="宋体"/>
          <w:sz w:val="24"/>
        </w:rPr>
      </w:pPr>
      <w:r>
        <w:rPr>
          <w:rFonts w:hint="eastAsia" w:ascii="宋体" w:hAnsi="宋体" w:cs="宋体"/>
          <w:sz w:val="24"/>
        </w:rPr>
        <w:t>双方在执行合同中所发生的一切争议，应通过协商解决。如协商不成，可向甲方所在地法院起诉。</w:t>
      </w:r>
    </w:p>
    <w:p>
      <w:pPr>
        <w:snapToGrid w:val="0"/>
        <w:spacing w:line="360" w:lineRule="auto"/>
        <w:ind w:firstLine="480" w:firstLineChars="200"/>
        <w:rPr>
          <w:rFonts w:ascii="宋体" w:hAnsi="宋体" w:cs="宋体"/>
          <w:sz w:val="24"/>
        </w:rPr>
      </w:pPr>
      <w:r>
        <w:rPr>
          <w:rFonts w:hint="eastAsia" w:ascii="宋体" w:hAnsi="宋体" w:cs="宋体"/>
          <w:sz w:val="24"/>
        </w:rPr>
        <w:t>十八、合同生效及其它</w:t>
      </w:r>
    </w:p>
    <w:p>
      <w:pPr>
        <w:snapToGrid w:val="0"/>
        <w:spacing w:line="360" w:lineRule="auto"/>
        <w:ind w:firstLine="480" w:firstLineChars="200"/>
        <w:rPr>
          <w:rFonts w:ascii="宋体" w:hAnsi="宋体" w:cs="宋体"/>
          <w:sz w:val="24"/>
        </w:rPr>
      </w:pPr>
      <w:r>
        <w:rPr>
          <w:rFonts w:hint="eastAsia" w:ascii="宋体" w:hAnsi="宋体" w:cs="宋体"/>
          <w:sz w:val="24"/>
        </w:rPr>
        <w:t>1.合同经双方法定代表人或授权代表签字并加盖单位公章后生效。</w:t>
      </w:r>
    </w:p>
    <w:p>
      <w:pPr>
        <w:snapToGrid w:val="0"/>
        <w:spacing w:line="360" w:lineRule="auto"/>
        <w:ind w:firstLine="480" w:firstLineChars="200"/>
        <w:rPr>
          <w:rFonts w:ascii="宋体" w:hAnsi="宋体" w:cs="宋体"/>
          <w:sz w:val="24"/>
        </w:rPr>
      </w:pPr>
      <w:r>
        <w:rPr>
          <w:rFonts w:hint="eastAsia" w:ascii="宋体" w:hAnsi="宋体" w:cs="宋体"/>
          <w:sz w:val="24"/>
        </w:rPr>
        <w:t>2.本合同未尽事宜，遵照《合同法》有关条文执行。</w:t>
      </w:r>
    </w:p>
    <w:p>
      <w:pPr>
        <w:snapToGrid w:val="0"/>
        <w:spacing w:line="360" w:lineRule="auto"/>
        <w:ind w:firstLine="480" w:firstLineChars="200"/>
        <w:rPr>
          <w:rFonts w:ascii="宋体" w:hAnsi="宋体" w:cs="宋体"/>
          <w:sz w:val="24"/>
        </w:rPr>
      </w:pPr>
      <w:r>
        <w:rPr>
          <w:rFonts w:hint="eastAsia" w:ascii="宋体" w:hAnsi="宋体" w:cs="宋体"/>
          <w:sz w:val="24"/>
        </w:rPr>
        <w:t>3.本合同正本一式四份，具有同等法律效力，甲乙双方各执二份。</w:t>
      </w:r>
    </w:p>
    <w:p>
      <w:pPr>
        <w:snapToGrid w:val="0"/>
        <w:spacing w:line="360" w:lineRule="auto"/>
        <w:ind w:firstLine="480" w:firstLineChars="200"/>
        <w:rPr>
          <w:rFonts w:ascii="宋体" w:hAnsi="宋体" w:cs="宋体"/>
          <w:sz w:val="24"/>
        </w:rPr>
      </w:pPr>
      <w:r>
        <w:rPr>
          <w:rFonts w:hint="eastAsia" w:ascii="宋体" w:hAnsi="宋体" w:cs="宋体"/>
          <w:sz w:val="24"/>
        </w:rPr>
        <w:t>甲方：                                   乙方：</w:t>
      </w:r>
    </w:p>
    <w:p>
      <w:pPr>
        <w:snapToGrid w:val="0"/>
        <w:spacing w:line="360" w:lineRule="auto"/>
        <w:ind w:firstLine="480" w:firstLineChars="200"/>
        <w:rPr>
          <w:rFonts w:ascii="宋体" w:hAnsi="宋体" w:cs="宋体"/>
          <w:sz w:val="24"/>
        </w:rPr>
      </w:pPr>
      <w:r>
        <w:rPr>
          <w:rFonts w:hint="eastAsia" w:ascii="宋体" w:hAnsi="宋体" w:cs="宋体"/>
          <w:sz w:val="24"/>
        </w:rPr>
        <w:t>地址：                                   地址：</w:t>
      </w:r>
    </w:p>
    <w:p>
      <w:pPr>
        <w:snapToGrid w:val="0"/>
        <w:spacing w:line="360" w:lineRule="auto"/>
        <w:ind w:firstLine="480" w:firstLineChars="200"/>
        <w:rPr>
          <w:rFonts w:ascii="宋体" w:hAnsi="宋体" w:cs="宋体"/>
          <w:sz w:val="24"/>
        </w:rPr>
      </w:pPr>
      <w:r>
        <w:rPr>
          <w:rFonts w:hint="eastAsia" w:ascii="宋体" w:hAnsi="宋体" w:cs="宋体"/>
          <w:sz w:val="24"/>
        </w:rPr>
        <w:t>法定（授权）代表人：        法定（授权）代表人：</w:t>
      </w:r>
    </w:p>
    <w:p>
      <w:pPr>
        <w:snapToGrid w:val="0"/>
        <w:spacing w:line="360" w:lineRule="auto"/>
        <w:ind w:firstLine="480" w:firstLineChars="200"/>
        <w:rPr>
          <w:rFonts w:ascii="宋体" w:hAnsi="宋体" w:cs="宋体"/>
          <w:sz w:val="24"/>
        </w:rPr>
      </w:pPr>
      <w:r>
        <w:rPr>
          <w:rFonts w:hint="eastAsia" w:ascii="宋体" w:hAnsi="宋体" w:cs="宋体"/>
          <w:sz w:val="24"/>
        </w:rPr>
        <w:t>签字日期：年月日                      签字日期：年月日</w:t>
      </w: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hint="eastAsia" w:ascii="宋体" w:hAnsi="宋体" w:cs="宋体"/>
          <w:b/>
          <w:sz w:val="30"/>
          <w:szCs w:val="30"/>
        </w:rPr>
      </w:pPr>
    </w:p>
    <w:p>
      <w:pPr>
        <w:widowControl/>
        <w:spacing w:line="480" w:lineRule="exact"/>
        <w:ind w:firstLine="602" w:firstLineChars="200"/>
        <w:jc w:val="left"/>
        <w:rPr>
          <w:rFonts w:ascii="宋体" w:hAnsi="宋体" w:cs="宋体"/>
          <w:b/>
          <w:sz w:val="30"/>
          <w:szCs w:val="30"/>
        </w:rPr>
      </w:pPr>
      <w:r>
        <w:rPr>
          <w:rFonts w:hint="eastAsia" w:ascii="宋体" w:hAnsi="宋体" w:cs="宋体"/>
          <w:b/>
          <w:sz w:val="30"/>
          <w:szCs w:val="30"/>
        </w:rPr>
        <w:t>投标文件外层包装封面格式</w:t>
      </w:r>
    </w:p>
    <w:p>
      <w:pPr>
        <w:pStyle w:val="69"/>
        <w:spacing w:line="460" w:lineRule="exact"/>
        <w:ind w:left="1202" w:firstLine="0" w:firstLineChars="0"/>
        <w:rPr>
          <w:rFonts w:ascii="宋体" w:hAnsi="宋体" w:cs="宋体"/>
          <w:b/>
          <w:sz w:val="24"/>
        </w:rPr>
      </w:pPr>
    </w:p>
    <w:p>
      <w:pPr>
        <w:spacing w:line="460" w:lineRule="exact"/>
        <w:ind w:firstLine="480" w:firstLineChars="200"/>
        <w:rPr>
          <w:rFonts w:ascii="宋体" w:hAnsi="宋体" w:cs="宋体"/>
          <w:sz w:val="24"/>
        </w:rPr>
      </w:pPr>
      <w:r>
        <w:rPr>
          <w:rFonts w:hint="eastAsia" w:ascii="宋体" w:hAnsi="宋体" w:cs="宋体"/>
          <w:sz w:val="24"/>
        </w:rPr>
        <w:t>1．所有投标文件的</w:t>
      </w:r>
      <w:r>
        <w:rPr>
          <w:rFonts w:hint="eastAsia" w:ascii="宋体" w:hAnsi="宋体" w:cs="宋体"/>
          <w:sz w:val="24"/>
          <w:u w:val="single"/>
        </w:rPr>
        <w:t>外包装封面</w:t>
      </w:r>
      <w:r>
        <w:rPr>
          <w:rFonts w:hint="eastAsia" w:ascii="宋体" w:hAnsi="宋体" w:cs="宋体"/>
          <w:sz w:val="24"/>
        </w:rPr>
        <w:t>格式：（可选用）</w:t>
      </w:r>
    </w:p>
    <w:p>
      <w:pPr>
        <w:spacing w:line="460" w:lineRule="exact"/>
        <w:jc w:val="both"/>
        <w:rPr>
          <w:rFonts w:hint="default" w:ascii="宋体" w:hAnsi="宋体" w:cs="宋体"/>
          <w:b/>
          <w:sz w:val="36"/>
          <w:szCs w:val="36"/>
          <w:lang w:eastAsia="zh-CN"/>
        </w:rPr>
      </w:pPr>
    </w:p>
    <w:p>
      <w:pPr>
        <w:spacing w:line="600" w:lineRule="auto"/>
        <w:jc w:val="center"/>
        <w:rPr>
          <w:rFonts w:hint="default" w:ascii="宋体" w:hAnsi="宋体" w:eastAsia="宋体" w:cs="宋体"/>
          <w:b/>
          <w:sz w:val="36"/>
          <w:szCs w:val="36"/>
          <w:lang w:eastAsia="zh-CN"/>
        </w:rPr>
      </w:pPr>
      <w:r>
        <w:rPr>
          <w:rFonts w:hint="default" w:ascii="宋体" w:hAnsi="宋体" w:cs="宋体"/>
          <w:b/>
          <w:sz w:val="36"/>
          <w:szCs w:val="36"/>
          <w:lang w:eastAsia="zh-CN"/>
        </w:rPr>
        <w:t>中药产业大脑(磐安县中药材产业发展智慧云平台项目三期)</w:t>
      </w:r>
    </w:p>
    <w:p>
      <w:pPr>
        <w:spacing w:line="600" w:lineRule="auto"/>
        <w:jc w:val="center"/>
        <w:rPr>
          <w:rFonts w:ascii="宋体" w:hAnsi="宋体" w:cs="宋体"/>
          <w:b/>
          <w:sz w:val="36"/>
          <w:szCs w:val="36"/>
        </w:rPr>
      </w:pPr>
      <w:r>
        <w:rPr>
          <w:rFonts w:hint="eastAsia" w:ascii="宋体" w:hAnsi="宋体" w:cs="宋体"/>
          <w:b/>
          <w:sz w:val="36"/>
          <w:szCs w:val="36"/>
        </w:rPr>
        <w:t>投 标 文 件</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 xml:space="preserve">项目编号： </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投标文件名称：商务标/技术标</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投标人名称：（加盖公章）</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投标人地址：</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联系电话：</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法人或授权代表签字：</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在     年   月   日   时   分之前不得启封</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p>
    <w:p>
      <w:pPr>
        <w:spacing w:line="460" w:lineRule="exact"/>
        <w:ind w:firstLine="480" w:firstLineChars="200"/>
        <w:jc w:val="center"/>
        <w:rPr>
          <w:rFonts w:ascii="宋体" w:hAnsi="宋体" w:cs="宋体"/>
          <w:sz w:val="24"/>
        </w:rPr>
      </w:pPr>
      <w:r>
        <w:rPr>
          <w:rFonts w:hint="eastAsia" w:ascii="宋体" w:hAnsi="宋体" w:cs="宋体"/>
          <w:sz w:val="24"/>
        </w:rPr>
        <w:t>年   月   日</w:t>
      </w:r>
    </w:p>
    <w:p>
      <w:pPr>
        <w:rPr>
          <w:rFonts w:ascii="仿宋_GB2312" w:hAnsi="宋体" w:eastAsia="仿宋_GB2312"/>
          <w:b/>
          <w:sz w:val="44"/>
          <w:szCs w:val="44"/>
        </w:rPr>
      </w:pPr>
      <w:r>
        <w:rPr>
          <w:rFonts w:ascii="仿宋_GB2312" w:hAnsi="宋体" w:eastAsia="仿宋_GB2312"/>
          <w:b/>
          <w:sz w:val="44"/>
          <w:szCs w:val="44"/>
        </w:rPr>
        <w:br w:type="page"/>
      </w:r>
    </w:p>
    <w:p>
      <w:pPr>
        <w:tabs>
          <w:tab w:val="left" w:pos="985"/>
        </w:tabs>
      </w:pPr>
    </w:p>
    <w:p>
      <w:pPr>
        <w:spacing w:line="460" w:lineRule="exact"/>
        <w:ind w:firstLine="602" w:firstLineChars="200"/>
        <w:jc w:val="center"/>
        <w:rPr>
          <w:rFonts w:ascii="宋体" w:hAnsi="宋体" w:cs="宋体"/>
          <w:b/>
          <w:sz w:val="30"/>
          <w:szCs w:val="30"/>
        </w:rPr>
      </w:pPr>
      <w:r>
        <w:rPr>
          <w:rFonts w:hint="eastAsia" w:ascii="宋体" w:hAnsi="宋体" w:cs="宋体"/>
          <w:b/>
          <w:sz w:val="30"/>
          <w:szCs w:val="30"/>
        </w:rPr>
        <w:t>二、投标文件封面格式</w:t>
      </w:r>
    </w:p>
    <w:p>
      <w:pPr>
        <w:spacing w:line="460" w:lineRule="exact"/>
        <w:ind w:firstLine="480" w:firstLineChars="200"/>
        <w:rPr>
          <w:rFonts w:ascii="宋体" w:hAnsi="宋体" w:cs="宋体"/>
          <w:sz w:val="24"/>
        </w:rPr>
      </w:pPr>
    </w:p>
    <w:p>
      <w:pPr>
        <w:spacing w:line="460" w:lineRule="exact"/>
        <w:ind w:firstLine="480" w:firstLineChars="200"/>
        <w:rPr>
          <w:rFonts w:ascii="宋体" w:hAnsi="宋体" w:cs="宋体"/>
          <w:sz w:val="24"/>
        </w:rPr>
      </w:pPr>
      <w:r>
        <w:rPr>
          <w:rFonts w:hint="eastAsia" w:ascii="宋体" w:hAnsi="宋体" w:cs="宋体"/>
          <w:sz w:val="24"/>
        </w:rPr>
        <w:t xml:space="preserve">1．商务技术文件的封面格式： </w:t>
      </w:r>
    </w:p>
    <w:p>
      <w:pPr>
        <w:spacing w:line="460" w:lineRule="exact"/>
        <w:ind w:firstLine="480" w:firstLineChars="200"/>
        <w:rPr>
          <w:rFonts w:ascii="宋体" w:hAnsi="宋体" w:cs="宋体"/>
          <w:sz w:val="24"/>
        </w:rPr>
      </w:pPr>
      <w:r>
        <w:rPr>
          <w:rFonts w:hint="eastAsia" w:ascii="宋体" w:hAnsi="宋体" w:cs="宋体"/>
          <w:sz w:val="24"/>
        </w:rPr>
        <w:t>（正本/副本）</w:t>
      </w:r>
    </w:p>
    <w:p>
      <w:pPr>
        <w:spacing w:line="460" w:lineRule="exact"/>
        <w:ind w:firstLine="600" w:firstLineChars="200"/>
        <w:jc w:val="center"/>
        <w:rPr>
          <w:rFonts w:ascii="宋体" w:hAnsi="宋体" w:cs="宋体"/>
          <w:sz w:val="30"/>
          <w:szCs w:val="30"/>
        </w:rPr>
      </w:pPr>
    </w:p>
    <w:p>
      <w:pPr>
        <w:spacing w:line="460" w:lineRule="exact"/>
        <w:jc w:val="center"/>
        <w:rPr>
          <w:rFonts w:hint="default" w:ascii="宋体" w:hAnsi="宋体" w:eastAsia="宋体" w:cs="宋体"/>
          <w:b/>
          <w:sz w:val="36"/>
          <w:szCs w:val="36"/>
          <w:lang w:eastAsia="zh-CN"/>
        </w:rPr>
      </w:pPr>
      <w:r>
        <w:rPr>
          <w:rFonts w:hint="default" w:ascii="宋体" w:hAnsi="宋体" w:cs="宋体"/>
          <w:b/>
          <w:sz w:val="36"/>
          <w:szCs w:val="36"/>
          <w:lang w:eastAsia="zh-CN"/>
        </w:rPr>
        <w:t>中药产业大脑(磐安县中药材产业发展智慧云平台项目三期)</w:t>
      </w:r>
    </w:p>
    <w:p>
      <w:pPr>
        <w:spacing w:line="460" w:lineRule="exact"/>
        <w:jc w:val="center"/>
        <w:rPr>
          <w:rFonts w:ascii="宋体" w:hAnsi="宋体" w:cs="宋体"/>
          <w:b/>
          <w:sz w:val="36"/>
          <w:szCs w:val="36"/>
        </w:rPr>
      </w:pPr>
      <w:r>
        <w:rPr>
          <w:rFonts w:hint="eastAsia" w:ascii="宋体" w:hAnsi="宋体" w:cs="宋体"/>
          <w:b/>
          <w:sz w:val="36"/>
          <w:szCs w:val="36"/>
        </w:rPr>
        <w:t>商务/技术文件</w:t>
      </w:r>
    </w:p>
    <w:p>
      <w:pPr>
        <w:spacing w:line="460" w:lineRule="exact"/>
        <w:ind w:firstLine="482" w:firstLineChars="200"/>
        <w:jc w:val="center"/>
        <w:rPr>
          <w:rFonts w:ascii="宋体" w:hAnsi="宋体" w:cs="宋体"/>
          <w:b/>
          <w:sz w:val="24"/>
        </w:rPr>
      </w:pPr>
    </w:p>
    <w:p>
      <w:pPr>
        <w:spacing w:line="460" w:lineRule="exact"/>
        <w:ind w:firstLine="480" w:firstLineChars="200"/>
        <w:rPr>
          <w:rFonts w:ascii="宋体" w:hAnsi="宋体" w:cs="宋体"/>
          <w:sz w:val="24"/>
        </w:rPr>
      </w:pPr>
    </w:p>
    <w:p>
      <w:pPr>
        <w:spacing w:line="460" w:lineRule="exact"/>
        <w:ind w:firstLine="480" w:firstLineChars="200"/>
        <w:rPr>
          <w:rFonts w:ascii="宋体" w:cs="宋体"/>
          <w:sz w:val="24"/>
        </w:rPr>
      </w:pPr>
      <w:r>
        <w:rPr>
          <w:rFonts w:hint="eastAsia" w:ascii="宋体" w:hAnsi="宋体" w:cs="宋体"/>
          <w:sz w:val="24"/>
        </w:rPr>
        <w:t>项目编号：</w:t>
      </w:r>
    </w:p>
    <w:p>
      <w:pPr>
        <w:spacing w:line="460" w:lineRule="exact"/>
        <w:ind w:firstLine="480" w:firstLineChars="200"/>
        <w:rPr>
          <w:rFonts w:ascii="宋体" w:cs="宋体"/>
          <w:sz w:val="24"/>
        </w:rPr>
      </w:pPr>
    </w:p>
    <w:p>
      <w:pPr>
        <w:spacing w:line="460" w:lineRule="exact"/>
        <w:ind w:firstLine="480" w:firstLineChars="200"/>
        <w:rPr>
          <w:rFonts w:ascii="宋体" w:cs="宋体"/>
          <w:sz w:val="24"/>
        </w:rPr>
      </w:pPr>
      <w:r>
        <w:rPr>
          <w:rFonts w:hint="eastAsia" w:ascii="宋体" w:hAnsi="宋体" w:cs="宋体"/>
          <w:sz w:val="24"/>
        </w:rPr>
        <w:t>投标文件名称：商务标</w:t>
      </w:r>
      <w:r>
        <w:rPr>
          <w:rFonts w:ascii="宋体" w:hAnsi="宋体" w:cs="宋体"/>
          <w:sz w:val="24"/>
        </w:rPr>
        <w:t>/</w:t>
      </w:r>
      <w:r>
        <w:rPr>
          <w:rFonts w:hint="eastAsia" w:ascii="宋体" w:hAnsi="宋体" w:cs="宋体"/>
          <w:sz w:val="24"/>
        </w:rPr>
        <w:t>技术标</w:t>
      </w:r>
    </w:p>
    <w:p>
      <w:pPr>
        <w:spacing w:line="460" w:lineRule="exact"/>
        <w:ind w:firstLine="480" w:firstLineChars="200"/>
        <w:rPr>
          <w:rFonts w:ascii="宋体" w:cs="宋体"/>
          <w:sz w:val="24"/>
        </w:rPr>
      </w:pPr>
    </w:p>
    <w:p>
      <w:pPr>
        <w:spacing w:line="460" w:lineRule="exact"/>
        <w:ind w:firstLine="480" w:firstLineChars="200"/>
        <w:rPr>
          <w:rFonts w:ascii="宋体" w:cs="宋体"/>
          <w:sz w:val="24"/>
        </w:rPr>
      </w:pPr>
      <w:r>
        <w:rPr>
          <w:rFonts w:hint="eastAsia" w:ascii="宋体" w:hAnsi="宋体" w:cs="宋体"/>
          <w:sz w:val="24"/>
        </w:rPr>
        <w:t>投标人名称：（加盖公章）</w:t>
      </w:r>
    </w:p>
    <w:p>
      <w:pPr>
        <w:spacing w:line="460" w:lineRule="exact"/>
        <w:ind w:firstLine="480" w:firstLineChars="200"/>
        <w:rPr>
          <w:rFonts w:ascii="宋体" w:cs="宋体"/>
          <w:sz w:val="24"/>
        </w:rPr>
      </w:pPr>
    </w:p>
    <w:p>
      <w:pPr>
        <w:spacing w:line="460" w:lineRule="exact"/>
        <w:ind w:firstLine="480" w:firstLineChars="200"/>
        <w:rPr>
          <w:rFonts w:ascii="宋体" w:cs="宋体"/>
          <w:sz w:val="24"/>
        </w:rPr>
      </w:pPr>
      <w:r>
        <w:rPr>
          <w:rFonts w:hint="eastAsia" w:ascii="宋体" w:hAnsi="宋体" w:cs="宋体"/>
          <w:sz w:val="24"/>
        </w:rPr>
        <w:t>投标人地址：</w:t>
      </w:r>
    </w:p>
    <w:p>
      <w:pPr>
        <w:spacing w:line="460" w:lineRule="exact"/>
        <w:ind w:firstLine="480" w:firstLineChars="200"/>
        <w:rPr>
          <w:rFonts w:ascii="宋体" w:cs="宋体"/>
          <w:sz w:val="24"/>
        </w:rPr>
      </w:pPr>
    </w:p>
    <w:p>
      <w:pPr>
        <w:spacing w:line="460" w:lineRule="exact"/>
        <w:ind w:firstLine="480" w:firstLineChars="200"/>
        <w:rPr>
          <w:rFonts w:ascii="宋体" w:cs="宋体"/>
          <w:sz w:val="24"/>
        </w:rPr>
      </w:pPr>
      <w:r>
        <w:rPr>
          <w:rFonts w:hint="eastAsia" w:ascii="宋体" w:hAnsi="宋体" w:cs="宋体"/>
          <w:sz w:val="24"/>
        </w:rPr>
        <w:t>联系电话：</w:t>
      </w:r>
    </w:p>
    <w:p>
      <w:pPr>
        <w:spacing w:line="460" w:lineRule="exact"/>
        <w:ind w:firstLine="480" w:firstLineChars="200"/>
        <w:rPr>
          <w:rFonts w:ascii="宋体" w:cs="宋体"/>
          <w:sz w:val="24"/>
        </w:rPr>
      </w:pPr>
    </w:p>
    <w:p>
      <w:pPr>
        <w:spacing w:line="460" w:lineRule="exact"/>
        <w:ind w:firstLine="480" w:firstLineChars="200"/>
        <w:rPr>
          <w:rFonts w:ascii="宋体" w:cs="宋体"/>
          <w:sz w:val="24"/>
        </w:rPr>
      </w:pPr>
      <w:r>
        <w:rPr>
          <w:rFonts w:hint="eastAsia" w:ascii="宋体" w:hAnsi="宋体" w:cs="宋体"/>
          <w:sz w:val="24"/>
        </w:rPr>
        <w:t>法人或授权代表签字：</w:t>
      </w:r>
    </w:p>
    <w:p>
      <w:pPr>
        <w:spacing w:line="460" w:lineRule="exact"/>
        <w:ind w:firstLine="480" w:firstLineChars="200"/>
        <w:rPr>
          <w:rFonts w:ascii="宋体" w:cs="宋体"/>
          <w:sz w:val="24"/>
        </w:rPr>
      </w:pPr>
    </w:p>
    <w:p>
      <w:pPr>
        <w:spacing w:line="460" w:lineRule="exact"/>
        <w:ind w:firstLine="480" w:firstLineChars="200"/>
        <w:rPr>
          <w:rFonts w:ascii="宋体" w:cs="宋体"/>
          <w:sz w:val="24"/>
        </w:rPr>
      </w:pPr>
      <w:r>
        <w:rPr>
          <w:rFonts w:hint="eastAsia" w:ascii="宋体" w:hAnsi="宋体" w:cs="宋体"/>
          <w:sz w:val="24"/>
        </w:rPr>
        <w:t>在年月日时分之前不得启封</w:t>
      </w:r>
    </w:p>
    <w:p>
      <w:pPr>
        <w:spacing w:line="460" w:lineRule="exact"/>
        <w:ind w:firstLine="480" w:firstLineChars="200"/>
        <w:rPr>
          <w:rFonts w:ascii="宋体" w:cs="宋体"/>
          <w:sz w:val="24"/>
        </w:rPr>
      </w:pPr>
    </w:p>
    <w:p>
      <w:pPr>
        <w:spacing w:line="460" w:lineRule="exact"/>
        <w:ind w:firstLine="480" w:firstLineChars="200"/>
        <w:rPr>
          <w:rFonts w:ascii="宋体" w:cs="宋体"/>
          <w:sz w:val="24"/>
        </w:rPr>
      </w:pPr>
    </w:p>
    <w:p>
      <w:pPr>
        <w:spacing w:line="460" w:lineRule="exact"/>
        <w:ind w:firstLine="480" w:firstLineChars="200"/>
        <w:rPr>
          <w:rFonts w:ascii="宋体" w:cs="宋体"/>
          <w:sz w:val="24"/>
        </w:rPr>
      </w:pPr>
    </w:p>
    <w:p>
      <w:pPr>
        <w:spacing w:line="460" w:lineRule="exact"/>
        <w:ind w:firstLine="480" w:firstLineChars="200"/>
        <w:jc w:val="center"/>
        <w:rPr>
          <w:rFonts w:ascii="宋体" w:cs="宋体"/>
          <w:sz w:val="24"/>
        </w:rPr>
      </w:pPr>
      <w:r>
        <w:rPr>
          <w:rFonts w:hint="eastAsia" w:ascii="宋体" w:hAnsi="宋体" w:cs="宋体"/>
          <w:sz w:val="24"/>
        </w:rPr>
        <w:t>年月日</w:t>
      </w:r>
    </w:p>
    <w:p>
      <w:pPr>
        <w:spacing w:line="460" w:lineRule="exact"/>
        <w:ind w:firstLine="480" w:firstLineChars="200"/>
        <w:rPr>
          <w:rFonts w:ascii="宋体" w:hAnsi="宋体" w:cs="宋体"/>
          <w:sz w:val="24"/>
        </w:rPr>
      </w:pPr>
    </w:p>
    <w:p>
      <w:pPr>
        <w:spacing w:line="480" w:lineRule="exact"/>
        <w:jc w:val="center"/>
        <w:outlineLvl w:val="0"/>
        <w:rPr>
          <w:rFonts w:ascii="宋体" w:hAnsi="宋体"/>
          <w:b/>
          <w:sz w:val="36"/>
          <w:szCs w:val="36"/>
        </w:rPr>
      </w:pPr>
      <w:r>
        <w:rPr>
          <w:rFonts w:ascii="仿宋_GB2312" w:hAnsi="宋体" w:eastAsia="仿宋_GB2312"/>
          <w:b/>
          <w:sz w:val="44"/>
          <w:szCs w:val="44"/>
        </w:rPr>
        <w:br w:type="page"/>
      </w:r>
      <w:bookmarkStart w:id="41" w:name="_Toc32557"/>
      <w:r>
        <w:rPr>
          <w:rFonts w:hint="eastAsia" w:ascii="宋体" w:hAnsi="宋体"/>
          <w:b/>
          <w:sz w:val="36"/>
          <w:szCs w:val="36"/>
        </w:rPr>
        <w:t>第五章 附   件</w:t>
      </w:r>
      <w:bookmarkEnd w:id="41"/>
    </w:p>
    <w:p>
      <w:pPr>
        <w:pStyle w:val="5"/>
        <w:spacing w:before="314" w:afterLines="0"/>
        <w:jc w:val="both"/>
        <w:rPr>
          <w:rFonts w:hint="default"/>
          <w:sz w:val="24"/>
          <w:szCs w:val="24"/>
        </w:rPr>
      </w:pPr>
      <w:bookmarkStart w:id="42" w:name="_Toc14732"/>
      <w:r>
        <w:rPr>
          <w:sz w:val="24"/>
          <w:szCs w:val="24"/>
        </w:rPr>
        <w:t>附件1</w:t>
      </w:r>
      <w:bookmarkEnd w:id="42"/>
      <w:bookmarkStart w:id="43" w:name="_Toc114115359"/>
    </w:p>
    <w:p>
      <w:pPr>
        <w:spacing w:line="480" w:lineRule="exact"/>
        <w:jc w:val="center"/>
        <w:outlineLvl w:val="5"/>
        <w:rPr>
          <w:rFonts w:ascii="黑体" w:hAnsi="宋体" w:eastAsia="黑体"/>
          <w:b/>
          <w:bCs/>
          <w:kern w:val="0"/>
          <w:sz w:val="32"/>
          <w:szCs w:val="32"/>
        </w:rPr>
      </w:pPr>
      <w:r>
        <w:rPr>
          <w:rFonts w:hint="eastAsia" w:ascii="黑体" w:hAnsi="宋体" w:eastAsia="黑体"/>
          <w:b/>
          <w:bCs/>
          <w:kern w:val="0"/>
          <w:sz w:val="32"/>
          <w:szCs w:val="32"/>
        </w:rPr>
        <w:t>投  标  函</w:t>
      </w:r>
      <w:bookmarkEnd w:id="43"/>
    </w:p>
    <w:p>
      <w:pPr>
        <w:pStyle w:val="19"/>
        <w:spacing w:line="480" w:lineRule="exact"/>
        <w:rPr>
          <w:rFonts w:hAnsi="宋体"/>
          <w:sz w:val="24"/>
          <w:szCs w:val="24"/>
        </w:rPr>
      </w:pPr>
      <w:r>
        <w:rPr>
          <w:rFonts w:hint="eastAsia" w:hAnsi="宋体" w:cs="Arial"/>
          <w:sz w:val="24"/>
          <w:u w:val="single"/>
        </w:rPr>
        <w:t xml:space="preserve">      （招标采购单位名称）</w:t>
      </w:r>
      <w:r>
        <w:rPr>
          <w:rFonts w:hint="eastAsia" w:hAnsi="宋体"/>
          <w:sz w:val="24"/>
          <w:szCs w:val="24"/>
        </w:rPr>
        <w:t>：</w:t>
      </w:r>
    </w:p>
    <w:p>
      <w:pPr>
        <w:pStyle w:val="19"/>
        <w:spacing w:line="480" w:lineRule="exact"/>
        <w:ind w:firstLine="482"/>
        <w:rPr>
          <w:rFonts w:hAnsi="宋体"/>
          <w:sz w:val="24"/>
          <w:szCs w:val="24"/>
        </w:rPr>
      </w:pPr>
      <w:r>
        <w:rPr>
          <w:rFonts w:hint="eastAsia" w:hAnsi="宋体"/>
          <w:sz w:val="24"/>
          <w:szCs w:val="24"/>
        </w:rPr>
        <w:t>根据贵方</w:t>
      </w:r>
      <w:r>
        <w:rPr>
          <w:rFonts w:hint="eastAsia" w:hAnsi="宋体"/>
          <w:sz w:val="24"/>
          <w:szCs w:val="24"/>
          <w:u w:val="single"/>
        </w:rPr>
        <w:t>（磋商项目名称）</w:t>
      </w:r>
      <w:r>
        <w:rPr>
          <w:rFonts w:hint="eastAsia" w:hAnsi="宋体"/>
          <w:sz w:val="24"/>
          <w:szCs w:val="24"/>
        </w:rPr>
        <w:t>项目磋商文件编号</w:t>
      </w:r>
      <w:r>
        <w:rPr>
          <w:rFonts w:hint="eastAsia" w:hAnsi="宋体"/>
          <w:sz w:val="24"/>
          <w:szCs w:val="24"/>
          <w:u w:val="single"/>
        </w:rPr>
        <w:t>（磋商编号）</w:t>
      </w:r>
      <w:r>
        <w:rPr>
          <w:rFonts w:hint="eastAsia" w:hAnsi="宋体"/>
          <w:sz w:val="24"/>
          <w:szCs w:val="24"/>
        </w:rPr>
        <w:t>，正式授权下述签字人</w:t>
      </w:r>
      <w:r>
        <w:rPr>
          <w:rFonts w:hint="eastAsia" w:hAnsi="宋体"/>
          <w:sz w:val="24"/>
          <w:szCs w:val="24"/>
          <w:u w:val="single"/>
        </w:rPr>
        <w:t>（姓名和职务）</w:t>
      </w:r>
      <w:r>
        <w:rPr>
          <w:rFonts w:hint="eastAsia" w:hAnsi="宋体"/>
          <w:sz w:val="24"/>
          <w:szCs w:val="24"/>
        </w:rPr>
        <w:t>全权代表投标人</w:t>
      </w:r>
      <w:r>
        <w:rPr>
          <w:rFonts w:hint="eastAsia" w:hAnsi="宋体"/>
          <w:sz w:val="24"/>
          <w:szCs w:val="24"/>
          <w:u w:val="single"/>
        </w:rPr>
        <w:t>（投标人全称）</w:t>
      </w:r>
      <w:r>
        <w:rPr>
          <w:rFonts w:hint="eastAsia" w:hAnsi="宋体"/>
          <w:sz w:val="24"/>
          <w:szCs w:val="24"/>
        </w:rPr>
        <w:t>参加贵方组织的有关谈判活动，并提交下述文件</w:t>
      </w:r>
      <w:r>
        <w:rPr>
          <w:rFonts w:hint="eastAsia" w:hAnsi="宋体"/>
          <w:color w:val="000000"/>
          <w:sz w:val="24"/>
          <w:szCs w:val="24"/>
        </w:rPr>
        <w:t>：</w:t>
      </w:r>
    </w:p>
    <w:p>
      <w:pPr>
        <w:pStyle w:val="19"/>
        <w:numPr>
          <w:ilvl w:val="0"/>
          <w:numId w:val="13"/>
        </w:numPr>
        <w:spacing w:line="480" w:lineRule="exact"/>
        <w:rPr>
          <w:rFonts w:hAnsi="宋体"/>
          <w:sz w:val="24"/>
          <w:szCs w:val="24"/>
        </w:rPr>
      </w:pPr>
      <w:r>
        <w:rPr>
          <w:rFonts w:hint="eastAsia" w:hAnsi="宋体"/>
          <w:sz w:val="24"/>
          <w:szCs w:val="24"/>
        </w:rPr>
        <w:t>电子投标文件网上递交</w:t>
      </w:r>
      <w:r>
        <w:rPr>
          <w:rFonts w:hAnsi="宋体"/>
          <w:sz w:val="24"/>
          <w:szCs w:val="24"/>
          <w:u w:val="single"/>
        </w:rPr>
        <w:t>1</w:t>
      </w:r>
      <w:r>
        <w:rPr>
          <w:rFonts w:hint="eastAsia" w:hAnsi="宋体"/>
          <w:sz w:val="24"/>
          <w:szCs w:val="24"/>
        </w:rPr>
        <w:t>份。</w:t>
      </w:r>
    </w:p>
    <w:p>
      <w:pPr>
        <w:pStyle w:val="19"/>
        <w:numPr>
          <w:ilvl w:val="0"/>
          <w:numId w:val="13"/>
        </w:numPr>
        <w:spacing w:line="480" w:lineRule="exact"/>
        <w:rPr>
          <w:rFonts w:hAnsi="宋体"/>
          <w:sz w:val="24"/>
          <w:szCs w:val="24"/>
        </w:rPr>
      </w:pPr>
      <w:r>
        <w:rPr>
          <w:rFonts w:hint="eastAsia" w:hAnsi="宋体"/>
          <w:sz w:val="24"/>
          <w:szCs w:val="24"/>
        </w:rPr>
        <w:t>磋商文件规定的电子备份投标文件份。</w:t>
      </w:r>
    </w:p>
    <w:p>
      <w:pPr>
        <w:pStyle w:val="19"/>
        <w:numPr>
          <w:ilvl w:val="0"/>
          <w:numId w:val="13"/>
        </w:numPr>
        <w:spacing w:line="480" w:lineRule="exact"/>
        <w:rPr>
          <w:rFonts w:hAnsi="宋体"/>
          <w:sz w:val="24"/>
          <w:szCs w:val="24"/>
        </w:rPr>
      </w:pPr>
      <w:r>
        <w:rPr>
          <w:rFonts w:hint="eastAsia" w:hAnsi="宋体"/>
          <w:sz w:val="24"/>
          <w:szCs w:val="24"/>
        </w:rPr>
        <w:t>磋商文件规定的纸质备份投标文件份。</w:t>
      </w:r>
    </w:p>
    <w:p>
      <w:pPr>
        <w:pStyle w:val="19"/>
        <w:spacing w:line="480" w:lineRule="exact"/>
        <w:ind w:firstLine="480" w:firstLineChars="200"/>
        <w:rPr>
          <w:rFonts w:hAnsi="宋体"/>
          <w:sz w:val="24"/>
          <w:szCs w:val="24"/>
        </w:rPr>
      </w:pPr>
      <w:r>
        <w:rPr>
          <w:rFonts w:hint="eastAsia" w:hAnsi="宋体"/>
          <w:sz w:val="24"/>
          <w:szCs w:val="24"/>
        </w:rPr>
        <w:t>据此函，签字人兹宣布同意如下：</w:t>
      </w:r>
    </w:p>
    <w:p>
      <w:pPr>
        <w:pStyle w:val="19"/>
        <w:spacing w:line="480" w:lineRule="exact"/>
        <w:ind w:firstLine="360" w:firstLineChars="15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）我们承担根据磋商文件的规定，完成合同的责任和义务。</w:t>
      </w:r>
    </w:p>
    <w:p>
      <w:pPr>
        <w:pStyle w:val="19"/>
        <w:spacing w:line="480" w:lineRule="exact"/>
        <w:ind w:firstLine="360" w:firstLineChars="15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）我们已详细审核全部磋商文件、参考资料及有关附件，我们知道必须放弃提出含糊不清或误解问题的权利。</w:t>
      </w:r>
    </w:p>
    <w:p>
      <w:pPr>
        <w:pStyle w:val="19"/>
        <w:spacing w:line="480" w:lineRule="exact"/>
        <w:ind w:firstLine="360" w:firstLineChars="150"/>
        <w:rPr>
          <w:rFonts w:hAnsi="宋体"/>
          <w:sz w:val="24"/>
          <w:szCs w:val="24"/>
        </w:rPr>
      </w:pPr>
      <w:r>
        <w:rPr>
          <w:rFonts w:hint="eastAsia" w:hAnsi="宋体"/>
          <w:sz w:val="24"/>
          <w:szCs w:val="24"/>
        </w:rPr>
        <w:t>（</w:t>
      </w:r>
      <w:r>
        <w:rPr>
          <w:rFonts w:hAnsi="宋体"/>
          <w:sz w:val="24"/>
          <w:szCs w:val="24"/>
        </w:rPr>
        <w:t>3</w:t>
      </w:r>
      <w:r>
        <w:rPr>
          <w:rFonts w:hint="eastAsia" w:hAnsi="宋体"/>
          <w:sz w:val="24"/>
          <w:szCs w:val="24"/>
        </w:rPr>
        <w:t>）我们同意在投标人须知规定的开标日期起遵循本投标文件，并在投标人须知规定的投标有效期满之前均具有约束力，并有可能中标。</w:t>
      </w:r>
    </w:p>
    <w:p>
      <w:pPr>
        <w:pStyle w:val="19"/>
        <w:spacing w:line="480" w:lineRule="exact"/>
        <w:ind w:firstLine="360" w:firstLineChars="150"/>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）如果在开标后规定的投标有效期内撤回投标或者有其他违约行为，可按相关法律法规进行处罚。</w:t>
      </w:r>
    </w:p>
    <w:p>
      <w:pPr>
        <w:pStyle w:val="19"/>
        <w:spacing w:line="480" w:lineRule="exact"/>
        <w:ind w:firstLine="360" w:firstLineChars="150"/>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）同意向贵方提供贵方可能要求的与本投标有关的任何数据或资料。</w:t>
      </w:r>
    </w:p>
    <w:p>
      <w:pPr>
        <w:pStyle w:val="19"/>
        <w:spacing w:line="480" w:lineRule="exact"/>
        <w:ind w:firstLine="360" w:firstLineChars="150"/>
        <w:rPr>
          <w:rFonts w:hAnsi="宋体"/>
          <w:sz w:val="24"/>
          <w:szCs w:val="24"/>
        </w:rPr>
      </w:pPr>
      <w:r>
        <w:rPr>
          <w:rFonts w:hint="eastAsia" w:hAnsi="宋体"/>
          <w:sz w:val="24"/>
          <w:szCs w:val="24"/>
        </w:rPr>
        <w:t>（</w:t>
      </w:r>
      <w:r>
        <w:rPr>
          <w:rFonts w:hAnsi="宋体"/>
          <w:sz w:val="24"/>
          <w:szCs w:val="24"/>
        </w:rPr>
        <w:t>6</w:t>
      </w:r>
      <w:r>
        <w:rPr>
          <w:rFonts w:hint="eastAsia" w:hAnsi="宋体"/>
          <w:sz w:val="24"/>
          <w:szCs w:val="24"/>
        </w:rPr>
        <w:t>）我们完全理解贵方不一定要接受最低报价或收到的任何投标。</w:t>
      </w:r>
    </w:p>
    <w:p>
      <w:pPr>
        <w:pStyle w:val="19"/>
        <w:spacing w:line="480" w:lineRule="exact"/>
        <w:ind w:firstLine="420"/>
        <w:rPr>
          <w:rFonts w:hAnsi="宋体"/>
          <w:b/>
          <w:sz w:val="24"/>
          <w:szCs w:val="24"/>
        </w:rPr>
      </w:pPr>
      <w:r>
        <w:rPr>
          <w:rFonts w:hint="eastAsia" w:hAnsi="宋体"/>
          <w:b/>
          <w:sz w:val="24"/>
          <w:szCs w:val="24"/>
        </w:rPr>
        <w:t>与本投标有关的正式通讯地址为：</w:t>
      </w:r>
    </w:p>
    <w:p>
      <w:pPr>
        <w:pStyle w:val="19"/>
        <w:spacing w:line="480" w:lineRule="exact"/>
        <w:ind w:firstLine="420"/>
        <w:rPr>
          <w:rFonts w:hAnsi="宋体"/>
          <w:sz w:val="24"/>
          <w:szCs w:val="24"/>
        </w:rPr>
      </w:pPr>
      <w:r>
        <w:rPr>
          <w:rFonts w:hint="eastAsia" w:hAnsi="宋体"/>
          <w:sz w:val="24"/>
          <w:szCs w:val="24"/>
        </w:rPr>
        <w:t>地址：</w:t>
      </w:r>
      <w:r>
        <w:rPr>
          <w:rFonts w:hAnsi="宋体"/>
          <w:sz w:val="24"/>
          <w:szCs w:val="24"/>
        </w:rPr>
        <w:t>___________</w:t>
      </w:r>
      <w:r>
        <w:rPr>
          <w:rFonts w:hint="eastAsia" w:hAnsi="宋体"/>
          <w:sz w:val="24"/>
          <w:szCs w:val="24"/>
        </w:rPr>
        <w:t>邮政编码：</w:t>
      </w:r>
      <w:r>
        <w:rPr>
          <w:rFonts w:hAnsi="宋体"/>
          <w:sz w:val="24"/>
          <w:szCs w:val="24"/>
        </w:rPr>
        <w:t>__________</w:t>
      </w:r>
    </w:p>
    <w:p>
      <w:pPr>
        <w:pStyle w:val="19"/>
        <w:spacing w:line="480" w:lineRule="exact"/>
        <w:ind w:firstLine="420"/>
        <w:rPr>
          <w:rFonts w:hAnsi="宋体"/>
          <w:sz w:val="24"/>
          <w:szCs w:val="24"/>
        </w:rPr>
      </w:pPr>
      <w:r>
        <w:rPr>
          <w:rFonts w:hint="eastAsia" w:hAnsi="宋体"/>
          <w:sz w:val="24"/>
          <w:szCs w:val="24"/>
        </w:rPr>
        <w:t>电话、传真：</w:t>
      </w:r>
      <w:r>
        <w:rPr>
          <w:rFonts w:hAnsi="宋体"/>
          <w:sz w:val="24"/>
          <w:szCs w:val="24"/>
        </w:rPr>
        <w:t>________________</w:t>
      </w:r>
    </w:p>
    <w:p>
      <w:pPr>
        <w:pStyle w:val="19"/>
        <w:spacing w:line="480" w:lineRule="exact"/>
        <w:ind w:firstLine="420"/>
        <w:rPr>
          <w:rFonts w:hAnsi="宋体"/>
          <w:sz w:val="24"/>
          <w:szCs w:val="24"/>
        </w:rPr>
      </w:pPr>
      <w:r>
        <w:rPr>
          <w:rFonts w:hint="eastAsia" w:hAnsi="宋体"/>
          <w:sz w:val="24"/>
          <w:szCs w:val="24"/>
        </w:rPr>
        <w:t>电子邮件：</w:t>
      </w:r>
      <w:r>
        <w:rPr>
          <w:rFonts w:hAnsi="宋体"/>
          <w:sz w:val="24"/>
          <w:szCs w:val="24"/>
        </w:rPr>
        <w:t>___________</w:t>
      </w:r>
    </w:p>
    <w:p>
      <w:pPr>
        <w:pStyle w:val="19"/>
        <w:spacing w:line="480" w:lineRule="exact"/>
        <w:ind w:firstLine="420"/>
        <w:rPr>
          <w:rFonts w:hAnsi="宋体"/>
          <w:sz w:val="24"/>
          <w:szCs w:val="24"/>
        </w:rPr>
      </w:pPr>
      <w:r>
        <w:rPr>
          <w:rFonts w:hint="eastAsia" w:hAnsi="宋体"/>
          <w:sz w:val="24"/>
          <w:szCs w:val="24"/>
        </w:rPr>
        <w:t>法定代表人或全权代表人签名：</w:t>
      </w:r>
      <w:r>
        <w:rPr>
          <w:rFonts w:hAnsi="宋体"/>
          <w:sz w:val="24"/>
          <w:szCs w:val="24"/>
        </w:rPr>
        <w:t>__________</w:t>
      </w:r>
    </w:p>
    <w:p>
      <w:pPr>
        <w:pStyle w:val="19"/>
        <w:spacing w:line="480" w:lineRule="exact"/>
        <w:ind w:firstLine="420"/>
        <w:rPr>
          <w:rFonts w:hAnsi="宋体"/>
          <w:sz w:val="24"/>
          <w:szCs w:val="24"/>
        </w:rPr>
      </w:pPr>
      <w:r>
        <w:rPr>
          <w:rFonts w:hint="eastAsia" w:hAnsi="宋体"/>
          <w:sz w:val="24"/>
          <w:szCs w:val="24"/>
        </w:rPr>
        <w:t>投标人公章：</w:t>
      </w:r>
      <w:r>
        <w:rPr>
          <w:rFonts w:hAnsi="宋体"/>
          <w:sz w:val="24"/>
          <w:szCs w:val="24"/>
        </w:rPr>
        <w:t>_________________</w:t>
      </w:r>
    </w:p>
    <w:p>
      <w:pPr>
        <w:pStyle w:val="19"/>
        <w:spacing w:line="480" w:lineRule="exact"/>
        <w:ind w:firstLine="420"/>
        <w:rPr>
          <w:rFonts w:hAnsi="宋体"/>
          <w:sz w:val="24"/>
          <w:szCs w:val="24"/>
        </w:rPr>
      </w:pPr>
      <w:r>
        <w:rPr>
          <w:rFonts w:hint="eastAsia" w:hAnsi="宋体"/>
          <w:sz w:val="24"/>
          <w:szCs w:val="24"/>
        </w:rPr>
        <w:t>日期：</w:t>
      </w:r>
      <w:r>
        <w:rPr>
          <w:rFonts w:hAnsi="宋体"/>
          <w:sz w:val="24"/>
          <w:szCs w:val="24"/>
        </w:rPr>
        <w:t xml:space="preserve">__________________  </w:t>
      </w:r>
    </w:p>
    <w:p>
      <w:pPr>
        <w:spacing w:line="480" w:lineRule="exact"/>
        <w:rPr>
          <w:rFonts w:ascii="宋体" w:hAnsi="宋体"/>
          <w:b/>
          <w:sz w:val="24"/>
        </w:rPr>
      </w:pPr>
    </w:p>
    <w:p>
      <w:pPr>
        <w:spacing w:line="480" w:lineRule="exact"/>
        <w:rPr>
          <w:rFonts w:ascii="仿宋_GB2312" w:eastAsia="仿宋_GB2312"/>
          <w:b/>
          <w:sz w:val="24"/>
        </w:rPr>
      </w:pPr>
    </w:p>
    <w:p>
      <w:pPr>
        <w:spacing w:line="480" w:lineRule="exact"/>
        <w:outlineLvl w:val="0"/>
        <w:rPr>
          <w:rFonts w:ascii="宋体" w:hAnsi="宋体"/>
          <w:b/>
          <w:szCs w:val="21"/>
        </w:rPr>
      </w:pPr>
      <w:bookmarkStart w:id="44" w:name="_Toc12712"/>
      <w:r>
        <w:rPr>
          <w:rFonts w:hint="eastAsia" w:ascii="宋体" w:hAnsi="宋体"/>
          <w:b/>
          <w:szCs w:val="21"/>
        </w:rPr>
        <w:t>附件2</w:t>
      </w:r>
      <w:bookmarkEnd w:id="44"/>
    </w:p>
    <w:p>
      <w:pPr>
        <w:spacing w:line="480" w:lineRule="exact"/>
        <w:jc w:val="center"/>
        <w:outlineLvl w:val="3"/>
        <w:rPr>
          <w:rFonts w:ascii="宋体" w:hAnsi="宋体"/>
          <w:b/>
          <w:sz w:val="44"/>
          <w:szCs w:val="44"/>
        </w:rPr>
      </w:pPr>
      <w:r>
        <w:rPr>
          <w:rFonts w:hint="eastAsia" w:ascii="黑体" w:hAnsi="宋体" w:eastAsia="黑体"/>
          <w:b/>
          <w:bCs/>
          <w:kern w:val="0"/>
          <w:sz w:val="32"/>
          <w:szCs w:val="32"/>
        </w:rPr>
        <w:t>投标声明书</w:t>
      </w:r>
    </w:p>
    <w:p>
      <w:pPr>
        <w:spacing w:line="480" w:lineRule="exact"/>
        <w:rPr>
          <w:rFonts w:ascii="宋体" w:hAnsi="宋体"/>
          <w:bCs/>
          <w:sz w:val="24"/>
        </w:rPr>
      </w:pPr>
      <w:r>
        <w:rPr>
          <w:rFonts w:hint="eastAsia" w:ascii="宋体" w:hAnsi="宋体" w:cs="Arial"/>
          <w:sz w:val="24"/>
          <w:u w:val="single"/>
        </w:rPr>
        <w:t>（招标采购单位名称）</w:t>
      </w:r>
      <w:r>
        <w:rPr>
          <w:rFonts w:hint="eastAsia" w:ascii="宋体" w:hAnsi="宋体"/>
          <w:bCs/>
          <w:sz w:val="24"/>
        </w:rPr>
        <w:t>：</w:t>
      </w:r>
    </w:p>
    <w:p>
      <w:pPr>
        <w:snapToGrid w:val="0"/>
        <w:spacing w:line="480" w:lineRule="exact"/>
        <w:ind w:firstLine="480" w:firstLineChars="200"/>
        <w:rPr>
          <w:rFonts w:ascii="宋体"/>
          <w:sz w:val="24"/>
        </w:rPr>
      </w:pPr>
      <w:r>
        <w:rPr>
          <w:rFonts w:hint="eastAsia" w:ascii="宋体" w:hAnsi="宋体"/>
          <w:sz w:val="24"/>
          <w:u w:val="single"/>
        </w:rPr>
        <w:t xml:space="preserve">              （投标人名称）</w:t>
      </w:r>
      <w:r>
        <w:rPr>
          <w:rFonts w:hint="eastAsia" w:ascii="宋体" w:hAnsi="宋体"/>
          <w:sz w:val="24"/>
        </w:rPr>
        <w:t>系中华人民共和国合法企业，经营地址</w:t>
      </w:r>
      <w:r>
        <w:rPr>
          <w:rFonts w:hint="eastAsia" w:ascii="宋体" w:hAnsi="宋体"/>
          <w:sz w:val="24"/>
          <w:u w:val="single"/>
        </w:rPr>
        <w:t xml:space="preserve">         </w:t>
      </w:r>
      <w:r>
        <w:rPr>
          <w:rFonts w:hint="eastAsia" w:ascii="宋体" w:hAnsi="宋体"/>
          <w:sz w:val="24"/>
        </w:rPr>
        <w:t>。</w:t>
      </w:r>
    </w:p>
    <w:p>
      <w:pPr>
        <w:snapToGrid w:val="0"/>
        <w:spacing w:line="480" w:lineRule="exact"/>
        <w:ind w:firstLine="480" w:firstLineChars="200"/>
        <w:rPr>
          <w:rFonts w:asci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（投标人名称）的法定代表人，我方愿意参加贵方组织的项目的投标，为便于贵方公正、择优地确定中标人及其投标产品和服务，我方就本次投标有关事项郑重声明如下：</w:t>
      </w:r>
    </w:p>
    <w:p>
      <w:pPr>
        <w:snapToGrid w:val="0"/>
        <w:spacing w:line="480" w:lineRule="exact"/>
        <w:ind w:firstLine="480" w:firstLineChars="200"/>
        <w:rPr>
          <w:rFonts w:ascii="宋体"/>
          <w:sz w:val="24"/>
        </w:rPr>
      </w:pPr>
      <w:r>
        <w:rPr>
          <w:rFonts w:ascii="宋体" w:hAnsi="宋体"/>
          <w:sz w:val="24"/>
        </w:rPr>
        <w:t>1</w:t>
      </w:r>
      <w:r>
        <w:rPr>
          <w:rFonts w:hint="eastAsia" w:ascii="宋体" w:hAnsi="宋体"/>
          <w:sz w:val="24"/>
        </w:rPr>
        <w:t>、我方向贵方提交的所有投标文件、资料都是准确的和真实的；</w:t>
      </w:r>
    </w:p>
    <w:p>
      <w:pPr>
        <w:snapToGrid w:val="0"/>
        <w:spacing w:line="480" w:lineRule="exact"/>
        <w:ind w:firstLine="480" w:firstLineChars="200"/>
        <w:rPr>
          <w:rFonts w:ascii="宋体"/>
          <w:sz w:val="24"/>
        </w:rPr>
      </w:pPr>
      <w:r>
        <w:rPr>
          <w:rFonts w:ascii="宋体" w:hAnsi="宋体"/>
          <w:sz w:val="24"/>
        </w:rPr>
        <w:t>2</w:t>
      </w:r>
      <w:r>
        <w:rPr>
          <w:rFonts w:hint="eastAsia" w:ascii="宋体" w:hAnsi="宋体"/>
          <w:sz w:val="24"/>
        </w:rPr>
        <w:t>、我方不是采购人的附属机构；在获知本项目采购信息后，与采购人聘请的为此项目提供咨询服务的公司及其附属机构没有任何联系；</w:t>
      </w:r>
    </w:p>
    <w:p>
      <w:pPr>
        <w:snapToGrid w:val="0"/>
        <w:spacing w:line="480" w:lineRule="exact"/>
        <w:ind w:firstLine="480" w:firstLineChars="200"/>
        <w:rPr>
          <w:rFonts w:ascii="宋体"/>
          <w:sz w:val="24"/>
        </w:rPr>
      </w:pPr>
      <w:r>
        <w:rPr>
          <w:rFonts w:ascii="宋体" w:hAnsi="宋体"/>
          <w:sz w:val="24"/>
        </w:rPr>
        <w:t>3</w:t>
      </w:r>
      <w:r>
        <w:rPr>
          <w:rFonts w:hint="eastAsia" w:ascii="宋体" w:hAnsi="宋体"/>
          <w:sz w:val="24"/>
        </w:rPr>
        <w:t>、我方诚意提请贵方关注：有关该产品的生产、供货、售后服务以及性能等方面的重大决策和事项有：</w:t>
      </w:r>
    </w:p>
    <w:p>
      <w:pPr>
        <w:pStyle w:val="14"/>
        <w:widowControl/>
        <w:snapToGrid w:val="0"/>
        <w:spacing w:after="0" w:line="480" w:lineRule="exact"/>
        <w:ind w:left="368" w:leftChars="175"/>
        <w:rPr>
          <w:u w:val="single"/>
        </w:rPr>
      </w:pPr>
    </w:p>
    <w:p>
      <w:pPr>
        <w:pStyle w:val="14"/>
        <w:widowControl/>
        <w:snapToGrid w:val="0"/>
        <w:spacing w:line="336" w:lineRule="auto"/>
        <w:ind w:left="368" w:leftChars="175"/>
      </w:pPr>
    </w:p>
    <w:p>
      <w:pPr>
        <w:pStyle w:val="14"/>
        <w:widowControl/>
        <w:snapToGrid w:val="0"/>
        <w:spacing w:line="336" w:lineRule="auto"/>
        <w:ind w:left="368" w:leftChars="175"/>
        <w:rPr>
          <w:u w:val="single"/>
        </w:rPr>
      </w:pPr>
    </w:p>
    <w:p>
      <w:pPr>
        <w:snapToGrid w:val="0"/>
        <w:spacing w:line="480" w:lineRule="exact"/>
        <w:ind w:firstLine="480" w:firstLineChars="200"/>
        <w:rPr>
          <w:rFonts w:ascii="宋体" w:hAnsi="宋体"/>
          <w:sz w:val="24"/>
        </w:rPr>
      </w:pPr>
      <w:r>
        <w:rPr>
          <w:rFonts w:hint="eastAsia" w:ascii="宋体" w:hAnsi="宋体"/>
          <w:sz w:val="24"/>
        </w:rPr>
        <w:t>4、我方最近三年内的被公开披露或查处的违法违规行为有：</w:t>
      </w:r>
    </w:p>
    <w:p>
      <w:pPr>
        <w:pStyle w:val="14"/>
        <w:widowControl/>
        <w:snapToGrid w:val="0"/>
        <w:spacing w:line="336" w:lineRule="auto"/>
        <w:ind w:left="368" w:leftChars="175"/>
      </w:pPr>
    </w:p>
    <w:p>
      <w:pPr>
        <w:pStyle w:val="14"/>
        <w:widowControl/>
        <w:snapToGrid w:val="0"/>
        <w:spacing w:line="336" w:lineRule="auto"/>
        <w:ind w:left="0" w:leftChars="0"/>
        <w:rPr>
          <w:u w:val="single"/>
        </w:rPr>
      </w:pPr>
    </w:p>
    <w:p>
      <w:pPr>
        <w:spacing w:line="480" w:lineRule="exact"/>
        <w:ind w:firstLine="360" w:firstLineChars="150"/>
        <w:rPr>
          <w:rFonts w:ascii="宋体"/>
          <w:bCs/>
          <w:sz w:val="24"/>
        </w:rPr>
      </w:pPr>
      <w:r>
        <w:rPr>
          <w:rFonts w:hAnsi="宋体"/>
          <w:sz w:val="24"/>
        </w:rPr>
        <w:t>5</w:t>
      </w:r>
      <w:r>
        <w:rPr>
          <w:rFonts w:hint="eastAsia" w:hAnsi="宋体"/>
          <w:sz w:val="24"/>
        </w:rPr>
        <w:t>、以上事项如有虚假或隐瞒，我方愿意承担一切后果和责任。</w:t>
      </w:r>
    </w:p>
    <w:p>
      <w:pPr>
        <w:spacing w:line="480" w:lineRule="exact"/>
        <w:ind w:firstLine="360" w:firstLineChars="150"/>
        <w:rPr>
          <w:rFonts w:ascii="宋体"/>
          <w:bCs/>
          <w:sz w:val="24"/>
          <w:u w:val="single"/>
        </w:rPr>
      </w:pPr>
      <w:r>
        <w:rPr>
          <w:rFonts w:hint="eastAsia" w:ascii="宋体" w:hAnsi="宋体"/>
          <w:bCs/>
          <w:sz w:val="24"/>
        </w:rPr>
        <w:t>授权代表签字：</w:t>
      </w:r>
    </w:p>
    <w:p>
      <w:pPr>
        <w:spacing w:line="480" w:lineRule="exact"/>
        <w:ind w:firstLine="360" w:firstLineChars="150"/>
        <w:rPr>
          <w:rFonts w:ascii="宋体"/>
          <w:bCs/>
          <w:sz w:val="24"/>
        </w:rPr>
      </w:pPr>
      <w:r>
        <w:rPr>
          <w:rFonts w:hint="eastAsia" w:ascii="宋体" w:hAnsi="宋体"/>
          <w:bCs/>
          <w:sz w:val="24"/>
        </w:rPr>
        <w:t>授权代表的职务：</w:t>
      </w:r>
    </w:p>
    <w:p>
      <w:pPr>
        <w:spacing w:line="480" w:lineRule="exact"/>
        <w:ind w:firstLine="360" w:firstLineChars="150"/>
        <w:rPr>
          <w:rFonts w:ascii="宋体"/>
          <w:bCs/>
          <w:sz w:val="24"/>
        </w:rPr>
      </w:pPr>
      <w:r>
        <w:rPr>
          <w:rFonts w:hint="eastAsia" w:ascii="宋体" w:hAnsi="宋体"/>
          <w:bCs/>
          <w:sz w:val="24"/>
        </w:rPr>
        <w:t>电话号码和传真号码：</w:t>
      </w:r>
    </w:p>
    <w:p>
      <w:pPr>
        <w:spacing w:line="480" w:lineRule="exact"/>
        <w:ind w:firstLine="360" w:firstLineChars="150"/>
        <w:rPr>
          <w:rFonts w:ascii="宋体"/>
          <w:bCs/>
          <w:sz w:val="24"/>
        </w:rPr>
      </w:pPr>
      <w:r>
        <w:rPr>
          <w:rFonts w:hint="eastAsia" w:ascii="宋体" w:hAnsi="宋体"/>
          <w:bCs/>
          <w:sz w:val="24"/>
        </w:rPr>
        <w:t>公章：</w:t>
      </w:r>
    </w:p>
    <w:p>
      <w:pPr>
        <w:spacing w:line="480" w:lineRule="exact"/>
        <w:ind w:firstLine="360" w:firstLineChars="150"/>
        <w:rPr>
          <w:rFonts w:ascii="宋体"/>
          <w:bCs/>
          <w:sz w:val="24"/>
        </w:rPr>
      </w:pPr>
      <w:r>
        <w:rPr>
          <w:rFonts w:hint="eastAsia" w:ascii="宋体" w:hAnsi="宋体"/>
          <w:bCs/>
          <w:sz w:val="24"/>
        </w:rPr>
        <w:t>日期：  年   月   日</w:t>
      </w:r>
    </w:p>
    <w:p>
      <w:pPr>
        <w:spacing w:line="480" w:lineRule="exact"/>
        <w:ind w:firstLine="360" w:firstLineChars="150"/>
        <w:rPr>
          <w:rFonts w:ascii="宋体" w:hAnsi="宋体"/>
          <w:bCs/>
          <w:sz w:val="24"/>
        </w:rPr>
      </w:pPr>
    </w:p>
    <w:p>
      <w:pPr>
        <w:spacing w:line="480" w:lineRule="exact"/>
        <w:outlineLvl w:val="0"/>
        <w:rPr>
          <w:rFonts w:ascii="宋体" w:hAnsi="宋体"/>
          <w:b/>
        </w:rPr>
      </w:pPr>
      <w:r>
        <w:rPr>
          <w:rFonts w:ascii="宋体" w:hAnsi="宋体"/>
          <w:b/>
        </w:rPr>
        <w:br w:type="page"/>
      </w:r>
      <w:bookmarkStart w:id="45" w:name="_Toc11229"/>
      <w:r>
        <w:rPr>
          <w:rFonts w:hint="eastAsia" w:ascii="宋体" w:hAnsi="宋体"/>
          <w:b/>
        </w:rPr>
        <w:t>附件3</w:t>
      </w:r>
      <w:bookmarkEnd w:id="45"/>
    </w:p>
    <w:p>
      <w:pPr>
        <w:tabs>
          <w:tab w:val="center" w:pos="4937"/>
          <w:tab w:val="left" w:pos="8032"/>
        </w:tabs>
        <w:spacing w:line="480" w:lineRule="exact"/>
        <w:jc w:val="left"/>
        <w:outlineLvl w:val="3"/>
        <w:rPr>
          <w:rFonts w:ascii="宋体" w:hAnsi="宋体"/>
          <w:b/>
          <w:sz w:val="24"/>
        </w:rPr>
      </w:pPr>
      <w:r>
        <w:rPr>
          <w:rFonts w:hint="eastAsia" w:ascii="宋体" w:hAnsi="宋体"/>
          <w:b/>
          <w:sz w:val="24"/>
        </w:rPr>
        <w:tab/>
      </w:r>
      <w:r>
        <w:rPr>
          <w:rFonts w:hint="eastAsia" w:ascii="宋体" w:hAnsi="宋体"/>
          <w:b/>
          <w:sz w:val="32"/>
          <w:szCs w:val="32"/>
        </w:rPr>
        <w:t>法定代表人授权委托书</w:t>
      </w:r>
      <w:r>
        <w:rPr>
          <w:rFonts w:hint="eastAsia" w:ascii="宋体" w:hAnsi="宋体"/>
          <w:b/>
          <w:sz w:val="24"/>
        </w:rPr>
        <w:tab/>
      </w:r>
    </w:p>
    <w:p>
      <w:pPr>
        <w:spacing w:line="360" w:lineRule="auto"/>
        <w:ind w:firstLine="480" w:firstLineChars="200"/>
        <w:rPr>
          <w:rFonts w:ascii="宋体" w:cs="Arial"/>
          <w:sz w:val="24"/>
        </w:rPr>
      </w:pPr>
      <w:r>
        <w:rPr>
          <w:rFonts w:hint="eastAsia" w:ascii="宋体" w:hAnsi="宋体" w:cs="Arial"/>
          <w:sz w:val="24"/>
        </w:rPr>
        <w:t>致：</w:t>
      </w:r>
      <w:r>
        <w:rPr>
          <w:rFonts w:hint="eastAsia" w:ascii="宋体" w:hAnsi="宋体" w:cs="Arial"/>
          <w:sz w:val="24"/>
          <w:u w:val="single"/>
        </w:rPr>
        <w:t>（招标采购单位名称）</w:t>
      </w:r>
      <w:r>
        <w:rPr>
          <w:rFonts w:hint="eastAsia" w:ascii="宋体" w:hAnsi="宋体" w:cs="Arial"/>
          <w:sz w:val="24"/>
        </w:rPr>
        <w:t>：</w:t>
      </w:r>
    </w:p>
    <w:p>
      <w:pPr>
        <w:spacing w:line="360" w:lineRule="auto"/>
        <w:ind w:firstLine="480" w:firstLineChars="200"/>
        <w:rPr>
          <w:rFonts w:ascii="宋体" w:cs="Arial"/>
          <w:sz w:val="24"/>
        </w:rPr>
      </w:pPr>
      <w:r>
        <w:rPr>
          <w:rFonts w:hint="eastAsia" w:ascii="宋体" w:hAnsi="宋体" w:cs="Arial"/>
          <w:sz w:val="24"/>
        </w:rPr>
        <w:t>我</w:t>
      </w:r>
      <w:r>
        <w:rPr>
          <w:rFonts w:hint="eastAsia" w:ascii="宋体" w:hAnsi="宋体" w:cs="Arial"/>
          <w:sz w:val="24"/>
          <w:u w:val="single"/>
        </w:rPr>
        <w:t xml:space="preserve">                  </w:t>
      </w:r>
      <w:r>
        <w:rPr>
          <w:rFonts w:hint="eastAsia" w:ascii="宋体" w:hAnsi="宋体" w:cs="Arial"/>
          <w:sz w:val="24"/>
        </w:rPr>
        <w:t>（姓名）系</w:t>
      </w:r>
      <w:r>
        <w:rPr>
          <w:rFonts w:hint="eastAsia" w:ascii="宋体" w:hAnsi="宋体" w:cs="Arial"/>
          <w:sz w:val="24"/>
          <w:u w:val="single"/>
        </w:rPr>
        <w:t xml:space="preserve">             </w:t>
      </w:r>
      <w:r>
        <w:rPr>
          <w:rFonts w:hint="eastAsia" w:ascii="宋体" w:hAnsi="宋体" w:cs="Arial"/>
          <w:sz w:val="24"/>
        </w:rPr>
        <w:t>（投标人名称）的法定代表人，现授权委托本单位在职职工</w:t>
      </w:r>
      <w:r>
        <w:rPr>
          <w:rFonts w:hint="eastAsia" w:ascii="宋体" w:hAnsi="宋体" w:cs="Arial"/>
          <w:sz w:val="24"/>
          <w:u w:val="single"/>
        </w:rPr>
        <w:t xml:space="preserve">     </w:t>
      </w:r>
      <w:r>
        <w:rPr>
          <w:rFonts w:hint="eastAsia" w:ascii="宋体" w:hAnsi="宋体" w:cs="Arial"/>
          <w:sz w:val="24"/>
        </w:rPr>
        <w:t>（姓名）以我方的名义参加</w:t>
      </w:r>
      <w:r>
        <w:rPr>
          <w:rFonts w:hint="eastAsia" w:ascii="宋体" w:hAnsi="宋体" w:cs="Arial"/>
          <w:sz w:val="24"/>
          <w:u w:val="single"/>
        </w:rPr>
        <w:t xml:space="preserve">              （项目编号）</w:t>
      </w:r>
      <w:r>
        <w:rPr>
          <w:rFonts w:hint="eastAsia" w:ascii="宋体" w:hAnsi="宋体" w:cs="Arial"/>
          <w:sz w:val="24"/>
        </w:rPr>
        <w:t>的投标活动，并代表我方全权办理针对上述项目的投标、开标、评标、签约等具体事务和签署相关文件。</w:t>
      </w:r>
    </w:p>
    <w:p>
      <w:pPr>
        <w:spacing w:line="360" w:lineRule="auto"/>
        <w:ind w:firstLine="480" w:firstLineChars="200"/>
        <w:rPr>
          <w:rFonts w:ascii="宋体" w:cs="Arial"/>
          <w:sz w:val="24"/>
        </w:rPr>
      </w:pPr>
      <w:r>
        <w:rPr>
          <w:rFonts w:hint="eastAsia" w:ascii="宋体" w:hAnsi="宋体" w:cs="Arial"/>
          <w:sz w:val="24"/>
        </w:rPr>
        <w:t>我方对委托代理人的签名事项负全部责任。</w:t>
      </w:r>
    </w:p>
    <w:p>
      <w:pPr>
        <w:spacing w:line="360" w:lineRule="auto"/>
        <w:ind w:firstLine="480" w:firstLineChars="200"/>
        <w:rPr>
          <w:rFonts w:ascii="宋体" w:cs="Arial"/>
          <w:sz w:val="24"/>
        </w:rPr>
      </w:pPr>
      <w:r>
        <w:rPr>
          <w:rFonts w:hint="eastAsia" w:ascii="宋体" w:hAnsi="宋体" w:cs="Arial"/>
          <w:sz w:val="24"/>
          <w:u w:val="single"/>
        </w:rPr>
        <w:t>在撤销授权的书面通知以前，本授权书一直有效。</w:t>
      </w:r>
      <w:r>
        <w:rPr>
          <w:rFonts w:hint="eastAsia" w:ascii="宋体" w:hAnsi="宋体" w:cs="Arial"/>
          <w:sz w:val="24"/>
        </w:rPr>
        <w:t>委托代理人在授权书有效期内签署的所有文件不因授权的撤销而失效。</w:t>
      </w:r>
    </w:p>
    <w:p>
      <w:pPr>
        <w:spacing w:line="360" w:lineRule="auto"/>
        <w:ind w:firstLine="480" w:firstLineChars="200"/>
        <w:rPr>
          <w:rFonts w:ascii="宋体" w:cs="Arial"/>
          <w:sz w:val="24"/>
        </w:rPr>
      </w:pPr>
      <w:r>
        <w:rPr>
          <w:rFonts w:hint="eastAsia" w:ascii="宋体" w:hAnsi="宋体" w:cs="Arial"/>
          <w:sz w:val="24"/>
        </w:rPr>
        <w:t>委托代理人无转委托权，特此委托。</w:t>
      </w:r>
    </w:p>
    <w:p>
      <w:pPr>
        <w:spacing w:line="360" w:lineRule="auto"/>
        <w:ind w:firstLine="480" w:firstLineChars="200"/>
        <w:rPr>
          <w:rFonts w:ascii="宋体" w:cs="Arial"/>
          <w:sz w:val="24"/>
          <w:u w:val="single"/>
        </w:rPr>
      </w:pPr>
      <w:r>
        <w:rPr>
          <w:rFonts w:hint="eastAsia" w:ascii="宋体" w:hAnsi="宋体" w:cs="Arial"/>
          <w:sz w:val="24"/>
        </w:rPr>
        <w:t>委托代理人签名：              法定代表人签名：</w:t>
      </w:r>
    </w:p>
    <w:p>
      <w:pPr>
        <w:spacing w:line="360" w:lineRule="auto"/>
        <w:ind w:firstLine="1560" w:firstLineChars="650"/>
        <w:rPr>
          <w:rFonts w:ascii="宋体" w:cs="Arial"/>
          <w:sz w:val="24"/>
          <w:u w:val="single"/>
        </w:rPr>
      </w:pPr>
      <w:r>
        <w:rPr>
          <w:rFonts w:hint="eastAsia" w:ascii="宋体" w:hAnsi="宋体" w:cs="Arial"/>
          <w:sz w:val="24"/>
        </w:rPr>
        <w:t xml:space="preserve"> 职务：              职务：</w:t>
      </w:r>
    </w:p>
    <w:p>
      <w:pPr>
        <w:snapToGrid w:val="0"/>
        <w:spacing w:before="157" w:beforeLines="50" w:after="50" w:line="276" w:lineRule="auto"/>
        <w:rPr>
          <w:rFonts w:ascii="宋体"/>
          <w:sz w:val="24"/>
        </w:rPr>
      </w:pPr>
      <w:r>
        <w:rPr>
          <w:rFonts w:hint="eastAsia" w:ascii="宋体" w:hAnsi="宋体"/>
          <w:sz w:val="24"/>
        </w:rPr>
        <w:t>委托代理人身份证复印件（正反双面）：</w:t>
      </w:r>
    </w:p>
    <w:tbl>
      <w:tblPr>
        <w:tblStyle w:val="34"/>
        <w:tblpPr w:leftFromText="180" w:rightFromText="180" w:vertAnchor="text" w:tblpX="109" w:tblpY="151"/>
        <w:tblW w:w="94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44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052" w:hRule="atLeast"/>
        </w:trPr>
        <w:tc>
          <w:tcPr>
            <w:tcW w:w="9444" w:type="dxa"/>
          </w:tcPr>
          <w:p>
            <w:pPr>
              <w:snapToGrid w:val="0"/>
              <w:spacing w:before="157" w:beforeLines="50" w:after="50" w:line="276" w:lineRule="auto"/>
              <w:rPr>
                <w:rFonts w:ascii="宋体"/>
                <w:sz w:val="24"/>
              </w:rPr>
            </w:pPr>
          </w:p>
          <w:p>
            <w:pPr>
              <w:snapToGrid w:val="0"/>
              <w:spacing w:before="157" w:beforeLines="50" w:after="50" w:line="276" w:lineRule="auto"/>
              <w:rPr>
                <w:rFonts w:ascii="宋体"/>
                <w:sz w:val="24"/>
              </w:rPr>
            </w:pPr>
          </w:p>
          <w:p>
            <w:pPr>
              <w:snapToGrid w:val="0"/>
              <w:spacing w:before="157" w:beforeLines="50" w:after="50" w:line="276" w:lineRule="auto"/>
              <w:rPr>
                <w:rFonts w:ascii="宋体"/>
                <w:sz w:val="24"/>
              </w:rPr>
            </w:pPr>
          </w:p>
          <w:p>
            <w:pPr>
              <w:snapToGrid w:val="0"/>
              <w:spacing w:before="157" w:beforeLines="50" w:after="50" w:line="276" w:lineRule="auto"/>
              <w:jc w:val="center"/>
              <w:rPr>
                <w:rFonts w:ascii="宋体"/>
                <w:sz w:val="24"/>
              </w:rPr>
            </w:pPr>
            <w:r>
              <w:rPr>
                <w:rFonts w:hint="eastAsia" w:ascii="宋体" w:hAnsi="宋体"/>
                <w:sz w:val="24"/>
              </w:rPr>
              <w:t>粘</w:t>
            </w:r>
          </w:p>
          <w:p>
            <w:pPr>
              <w:snapToGrid w:val="0"/>
              <w:spacing w:before="157" w:beforeLines="50" w:after="50" w:line="276" w:lineRule="auto"/>
              <w:jc w:val="center"/>
              <w:rPr>
                <w:rFonts w:ascii="宋体"/>
                <w:sz w:val="24"/>
              </w:rPr>
            </w:pPr>
          </w:p>
          <w:p>
            <w:pPr>
              <w:snapToGrid w:val="0"/>
              <w:spacing w:before="157" w:beforeLines="50" w:after="50" w:line="276" w:lineRule="auto"/>
              <w:jc w:val="center"/>
              <w:rPr>
                <w:rFonts w:ascii="宋体"/>
                <w:sz w:val="24"/>
              </w:rPr>
            </w:pPr>
            <w:r>
              <w:rPr>
                <w:rFonts w:hint="eastAsia" w:ascii="宋体" w:hAnsi="宋体"/>
                <w:sz w:val="24"/>
              </w:rPr>
              <w:t>贴</w:t>
            </w:r>
          </w:p>
          <w:p>
            <w:pPr>
              <w:snapToGrid w:val="0"/>
              <w:spacing w:before="157" w:beforeLines="50" w:after="50" w:line="276" w:lineRule="auto"/>
              <w:jc w:val="center"/>
              <w:rPr>
                <w:rFonts w:ascii="宋体"/>
                <w:sz w:val="24"/>
              </w:rPr>
            </w:pPr>
          </w:p>
          <w:p>
            <w:pPr>
              <w:snapToGrid w:val="0"/>
              <w:spacing w:before="157" w:beforeLines="50" w:after="50" w:line="276" w:lineRule="auto"/>
              <w:jc w:val="center"/>
              <w:rPr>
                <w:rFonts w:ascii="宋体"/>
                <w:sz w:val="24"/>
              </w:rPr>
            </w:pPr>
            <w:r>
              <w:rPr>
                <w:rFonts w:hint="eastAsia" w:ascii="宋体" w:hAnsi="宋体"/>
                <w:sz w:val="24"/>
              </w:rPr>
              <w:t>处</w:t>
            </w:r>
          </w:p>
        </w:tc>
      </w:tr>
    </w:tbl>
    <w:p>
      <w:pPr>
        <w:snapToGrid w:val="0"/>
        <w:spacing w:before="157" w:beforeLines="50" w:after="50" w:line="276" w:lineRule="auto"/>
        <w:rPr>
          <w:rFonts w:ascii="宋体"/>
          <w:sz w:val="24"/>
        </w:rPr>
      </w:pPr>
    </w:p>
    <w:p>
      <w:pPr>
        <w:snapToGrid w:val="0"/>
        <w:spacing w:line="360" w:lineRule="auto"/>
        <w:ind w:firstLine="2160" w:firstLineChars="900"/>
        <w:jc w:val="left"/>
        <w:rPr>
          <w:rFonts w:ascii="宋体"/>
          <w:sz w:val="24"/>
        </w:rPr>
      </w:pPr>
      <w:r>
        <w:rPr>
          <w:rFonts w:hint="eastAsia" w:ascii="宋体" w:hAnsi="宋体"/>
          <w:sz w:val="24"/>
        </w:rPr>
        <w:t>磋商响应方全称</w:t>
      </w:r>
      <w:r>
        <w:rPr>
          <w:rFonts w:hint="eastAsia" w:ascii="宋体" w:hAnsi="宋体"/>
          <w:spacing w:val="20"/>
          <w:sz w:val="24"/>
        </w:rPr>
        <w:t>（盖章）：</w:t>
      </w:r>
    </w:p>
    <w:p>
      <w:pPr>
        <w:snapToGrid w:val="0"/>
        <w:spacing w:before="157" w:beforeLines="50" w:after="50" w:line="276" w:lineRule="auto"/>
        <w:ind w:firstLine="2125" w:firstLineChars="759"/>
        <w:jc w:val="left"/>
        <w:rPr>
          <w:rFonts w:ascii="宋体"/>
          <w:spacing w:val="20"/>
          <w:sz w:val="24"/>
        </w:rPr>
      </w:pPr>
      <w:r>
        <w:rPr>
          <w:rFonts w:hint="eastAsia" w:ascii="宋体" w:hAnsi="宋体"/>
          <w:spacing w:val="20"/>
          <w:sz w:val="24"/>
        </w:rPr>
        <w:t xml:space="preserve"> 日期：年  月  日</w:t>
      </w:r>
    </w:p>
    <w:p>
      <w:pPr>
        <w:snapToGrid w:val="0"/>
        <w:spacing w:before="157" w:beforeLines="50" w:after="50" w:line="276" w:lineRule="auto"/>
        <w:jc w:val="left"/>
        <w:rPr>
          <w:rFonts w:ascii="宋体"/>
          <w:sz w:val="24"/>
        </w:rPr>
      </w:pPr>
      <w:r>
        <w:rPr>
          <w:rFonts w:ascii="宋体" w:hAnsi="宋体"/>
          <w:b/>
          <w:sz w:val="24"/>
        </w:rPr>
        <w:t>*</w:t>
      </w:r>
      <w:r>
        <w:rPr>
          <w:rFonts w:hint="eastAsia" w:ascii="宋体" w:hAnsi="宋体"/>
          <w:sz w:val="24"/>
        </w:rPr>
        <w:t>注；此表格格式不得修改。</w:t>
      </w:r>
    </w:p>
    <w:p>
      <w:pPr>
        <w:snapToGrid w:val="0"/>
        <w:spacing w:before="157" w:beforeLines="50" w:after="50" w:line="276" w:lineRule="auto"/>
        <w:jc w:val="left"/>
        <w:rPr>
          <w:rFonts w:ascii="宋体" w:hAnsi="宋体"/>
          <w:sz w:val="24"/>
        </w:rPr>
      </w:pPr>
    </w:p>
    <w:p>
      <w:pPr>
        <w:widowControl/>
        <w:jc w:val="left"/>
        <w:rPr>
          <w:rFonts w:ascii="宋体" w:hAnsi="宋体"/>
          <w:b/>
        </w:rPr>
      </w:pPr>
      <w:r>
        <w:rPr>
          <w:rFonts w:ascii="宋体" w:hAnsi="宋体"/>
          <w:b/>
          <w:sz w:val="24"/>
        </w:rPr>
        <w:br w:type="page"/>
      </w:r>
      <w:bookmarkStart w:id="46" w:name="_Toc19736"/>
      <w:r>
        <w:rPr>
          <w:rFonts w:hint="eastAsia" w:ascii="宋体" w:hAnsi="宋体"/>
          <w:b/>
        </w:rPr>
        <w:t>附件4</w:t>
      </w:r>
      <w:bookmarkEnd w:id="46"/>
    </w:p>
    <w:p>
      <w:pPr>
        <w:snapToGrid w:val="0"/>
        <w:spacing w:line="480" w:lineRule="exact"/>
        <w:jc w:val="center"/>
        <w:rPr>
          <w:rFonts w:ascii="宋体"/>
          <w:b/>
          <w:sz w:val="24"/>
        </w:rPr>
      </w:pPr>
      <w:r>
        <w:rPr>
          <w:rFonts w:hint="eastAsia" w:ascii="宋体" w:hAnsi="宋体"/>
          <w:b/>
          <w:sz w:val="24"/>
        </w:rPr>
        <w:t>投标单位情况表</w:t>
      </w:r>
    </w:p>
    <w:p>
      <w:pPr>
        <w:pStyle w:val="19"/>
        <w:spacing w:line="480" w:lineRule="exact"/>
        <w:rPr>
          <w:rFonts w:hAnsi="宋体"/>
          <w:sz w:val="24"/>
          <w:szCs w:val="24"/>
        </w:rPr>
      </w:pPr>
      <w:r>
        <w:rPr>
          <w:rFonts w:hint="eastAsia" w:hAnsi="宋体"/>
          <w:sz w:val="24"/>
          <w:szCs w:val="24"/>
        </w:rPr>
        <w:t>投标单位：                                             填表日期：</w:t>
      </w:r>
    </w:p>
    <w:tbl>
      <w:tblPr>
        <w:tblStyle w:val="3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46" w:type="dxa"/>
            <w:gridSpan w:val="2"/>
            <w:vAlign w:val="center"/>
          </w:tcPr>
          <w:p>
            <w:pPr>
              <w:pStyle w:val="19"/>
              <w:spacing w:line="480" w:lineRule="exact"/>
              <w:rPr>
                <w:rFonts w:hAnsi="宋体"/>
                <w:sz w:val="24"/>
                <w:szCs w:val="24"/>
              </w:rPr>
            </w:pPr>
            <w:r>
              <w:rPr>
                <w:rFonts w:hint="eastAsia" w:hAnsi="宋体"/>
                <w:sz w:val="24"/>
                <w:szCs w:val="24"/>
              </w:rPr>
              <w:t>单位名称</w:t>
            </w:r>
          </w:p>
        </w:tc>
        <w:tc>
          <w:tcPr>
            <w:tcW w:w="3385" w:type="dxa"/>
            <w:vAlign w:val="center"/>
          </w:tcPr>
          <w:p>
            <w:pPr>
              <w:widowControl/>
              <w:spacing w:line="480" w:lineRule="exact"/>
              <w:jc w:val="center"/>
              <w:rPr>
                <w:rFonts w:ascii="宋体"/>
                <w:sz w:val="24"/>
              </w:rPr>
            </w:pPr>
          </w:p>
        </w:tc>
        <w:tc>
          <w:tcPr>
            <w:tcW w:w="1418" w:type="dxa"/>
            <w:gridSpan w:val="2"/>
            <w:vAlign w:val="center"/>
          </w:tcPr>
          <w:p>
            <w:pPr>
              <w:pStyle w:val="19"/>
              <w:spacing w:line="480" w:lineRule="exact"/>
              <w:rPr>
                <w:rFonts w:hAnsi="宋体"/>
                <w:sz w:val="24"/>
                <w:szCs w:val="24"/>
              </w:rPr>
            </w:pPr>
            <w:r>
              <w:rPr>
                <w:rFonts w:hint="eastAsia" w:hAnsi="宋体"/>
                <w:sz w:val="24"/>
                <w:szCs w:val="24"/>
              </w:rPr>
              <w:t>电话</w:t>
            </w:r>
          </w:p>
        </w:tc>
        <w:tc>
          <w:tcPr>
            <w:tcW w:w="2627" w:type="dxa"/>
            <w:vAlign w:val="center"/>
          </w:tcPr>
          <w:p>
            <w:pPr>
              <w:pStyle w:val="19"/>
              <w:spacing w:line="48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46" w:type="dxa"/>
            <w:gridSpan w:val="2"/>
            <w:vAlign w:val="center"/>
          </w:tcPr>
          <w:p>
            <w:pPr>
              <w:pStyle w:val="19"/>
              <w:spacing w:line="480" w:lineRule="exact"/>
              <w:rPr>
                <w:rFonts w:hAnsi="宋体"/>
                <w:sz w:val="24"/>
                <w:szCs w:val="24"/>
              </w:rPr>
            </w:pPr>
            <w:r>
              <w:rPr>
                <w:rFonts w:hint="eastAsia" w:hAnsi="宋体"/>
                <w:sz w:val="24"/>
                <w:szCs w:val="24"/>
              </w:rPr>
              <w:t>地址</w:t>
            </w:r>
          </w:p>
        </w:tc>
        <w:tc>
          <w:tcPr>
            <w:tcW w:w="3385" w:type="dxa"/>
            <w:vAlign w:val="center"/>
          </w:tcPr>
          <w:p>
            <w:pPr>
              <w:pStyle w:val="19"/>
              <w:spacing w:line="480" w:lineRule="exact"/>
              <w:jc w:val="center"/>
              <w:rPr>
                <w:rFonts w:hAnsi="宋体"/>
                <w:sz w:val="24"/>
                <w:szCs w:val="24"/>
              </w:rPr>
            </w:pPr>
          </w:p>
        </w:tc>
        <w:tc>
          <w:tcPr>
            <w:tcW w:w="1418" w:type="dxa"/>
            <w:gridSpan w:val="2"/>
            <w:vAlign w:val="center"/>
          </w:tcPr>
          <w:p>
            <w:pPr>
              <w:pStyle w:val="19"/>
              <w:spacing w:line="480" w:lineRule="exact"/>
              <w:rPr>
                <w:rFonts w:hAnsi="宋体"/>
                <w:sz w:val="24"/>
                <w:szCs w:val="24"/>
              </w:rPr>
            </w:pPr>
            <w:r>
              <w:rPr>
                <w:rFonts w:hint="eastAsia" w:hAnsi="宋体"/>
                <w:sz w:val="24"/>
                <w:szCs w:val="24"/>
              </w:rPr>
              <w:t>传真</w:t>
            </w:r>
          </w:p>
        </w:tc>
        <w:tc>
          <w:tcPr>
            <w:tcW w:w="2627" w:type="dxa"/>
            <w:vAlign w:val="center"/>
          </w:tcPr>
          <w:p>
            <w:pPr>
              <w:pStyle w:val="19"/>
              <w:spacing w:line="48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146" w:type="dxa"/>
            <w:gridSpan w:val="2"/>
            <w:vAlign w:val="center"/>
          </w:tcPr>
          <w:p>
            <w:pPr>
              <w:pStyle w:val="19"/>
              <w:spacing w:line="480" w:lineRule="exact"/>
              <w:rPr>
                <w:rFonts w:hAnsi="宋体"/>
                <w:sz w:val="24"/>
                <w:szCs w:val="24"/>
              </w:rPr>
            </w:pPr>
            <w:r>
              <w:rPr>
                <w:rFonts w:hint="eastAsia" w:hAnsi="宋体"/>
                <w:sz w:val="24"/>
                <w:szCs w:val="24"/>
              </w:rPr>
              <w:t>主管部门</w:t>
            </w:r>
          </w:p>
        </w:tc>
        <w:tc>
          <w:tcPr>
            <w:tcW w:w="3385" w:type="dxa"/>
            <w:vAlign w:val="center"/>
          </w:tcPr>
          <w:p>
            <w:pPr>
              <w:pStyle w:val="19"/>
              <w:spacing w:line="480" w:lineRule="exact"/>
              <w:jc w:val="center"/>
              <w:rPr>
                <w:rFonts w:hAnsi="宋体"/>
                <w:sz w:val="24"/>
                <w:szCs w:val="24"/>
              </w:rPr>
            </w:pPr>
          </w:p>
        </w:tc>
        <w:tc>
          <w:tcPr>
            <w:tcW w:w="1418" w:type="dxa"/>
            <w:gridSpan w:val="2"/>
            <w:vAlign w:val="center"/>
          </w:tcPr>
          <w:p>
            <w:pPr>
              <w:pStyle w:val="19"/>
              <w:spacing w:line="480" w:lineRule="exact"/>
              <w:rPr>
                <w:rFonts w:hAnsi="宋体"/>
                <w:sz w:val="24"/>
                <w:szCs w:val="24"/>
              </w:rPr>
            </w:pPr>
            <w:r>
              <w:rPr>
                <w:rFonts w:hint="eastAsia" w:hAnsi="宋体"/>
                <w:sz w:val="24"/>
                <w:szCs w:val="24"/>
              </w:rPr>
              <w:t>企业性质</w:t>
            </w:r>
          </w:p>
        </w:tc>
        <w:tc>
          <w:tcPr>
            <w:tcW w:w="2627" w:type="dxa"/>
            <w:vAlign w:val="center"/>
          </w:tcPr>
          <w:p>
            <w:pPr>
              <w:pStyle w:val="19"/>
              <w:spacing w:line="48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46" w:type="dxa"/>
            <w:gridSpan w:val="2"/>
            <w:vAlign w:val="center"/>
          </w:tcPr>
          <w:p>
            <w:pPr>
              <w:pStyle w:val="19"/>
              <w:spacing w:line="480" w:lineRule="exact"/>
              <w:rPr>
                <w:rFonts w:hAnsi="宋体"/>
                <w:sz w:val="24"/>
                <w:szCs w:val="24"/>
              </w:rPr>
            </w:pPr>
            <w:r>
              <w:rPr>
                <w:rFonts w:hint="eastAsia" w:hAnsi="宋体"/>
                <w:sz w:val="24"/>
                <w:szCs w:val="24"/>
              </w:rPr>
              <w:t>企业法人</w:t>
            </w:r>
          </w:p>
        </w:tc>
        <w:tc>
          <w:tcPr>
            <w:tcW w:w="3385" w:type="dxa"/>
            <w:vAlign w:val="center"/>
          </w:tcPr>
          <w:p>
            <w:pPr>
              <w:pStyle w:val="19"/>
              <w:spacing w:line="480" w:lineRule="exact"/>
              <w:jc w:val="center"/>
              <w:rPr>
                <w:rFonts w:hAnsi="宋体"/>
                <w:sz w:val="24"/>
                <w:szCs w:val="24"/>
              </w:rPr>
            </w:pPr>
          </w:p>
        </w:tc>
        <w:tc>
          <w:tcPr>
            <w:tcW w:w="1418" w:type="dxa"/>
            <w:gridSpan w:val="2"/>
            <w:vAlign w:val="center"/>
          </w:tcPr>
          <w:p>
            <w:pPr>
              <w:pStyle w:val="19"/>
              <w:spacing w:line="480" w:lineRule="exact"/>
              <w:rPr>
                <w:rFonts w:hAnsi="宋体"/>
                <w:sz w:val="24"/>
                <w:szCs w:val="24"/>
              </w:rPr>
            </w:pPr>
            <w:r>
              <w:rPr>
                <w:rFonts w:hint="eastAsia" w:hAnsi="宋体"/>
                <w:sz w:val="24"/>
                <w:szCs w:val="24"/>
              </w:rPr>
              <w:t>资质等级</w:t>
            </w:r>
          </w:p>
        </w:tc>
        <w:tc>
          <w:tcPr>
            <w:tcW w:w="2627" w:type="dxa"/>
            <w:vAlign w:val="center"/>
          </w:tcPr>
          <w:p>
            <w:pPr>
              <w:pStyle w:val="19"/>
              <w:spacing w:line="48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46" w:type="dxa"/>
            <w:gridSpan w:val="2"/>
            <w:vAlign w:val="center"/>
          </w:tcPr>
          <w:p>
            <w:pPr>
              <w:pStyle w:val="19"/>
              <w:spacing w:line="480" w:lineRule="exact"/>
              <w:rPr>
                <w:rFonts w:hAnsi="宋体"/>
                <w:sz w:val="24"/>
                <w:szCs w:val="24"/>
              </w:rPr>
            </w:pPr>
            <w:r>
              <w:rPr>
                <w:rFonts w:hint="eastAsia" w:hAnsi="宋体"/>
                <w:sz w:val="24"/>
                <w:szCs w:val="24"/>
              </w:rPr>
              <w:t>授权代表</w:t>
            </w:r>
          </w:p>
        </w:tc>
        <w:tc>
          <w:tcPr>
            <w:tcW w:w="3385" w:type="dxa"/>
            <w:vAlign w:val="center"/>
          </w:tcPr>
          <w:p>
            <w:pPr>
              <w:pStyle w:val="19"/>
              <w:spacing w:line="480" w:lineRule="exact"/>
              <w:jc w:val="center"/>
              <w:rPr>
                <w:rFonts w:hAnsi="宋体"/>
                <w:sz w:val="24"/>
                <w:szCs w:val="24"/>
              </w:rPr>
            </w:pPr>
          </w:p>
        </w:tc>
        <w:tc>
          <w:tcPr>
            <w:tcW w:w="1418" w:type="dxa"/>
            <w:gridSpan w:val="2"/>
            <w:vAlign w:val="center"/>
          </w:tcPr>
          <w:p>
            <w:pPr>
              <w:pStyle w:val="19"/>
              <w:spacing w:line="480" w:lineRule="exact"/>
              <w:rPr>
                <w:rFonts w:hAnsi="宋体"/>
                <w:sz w:val="24"/>
                <w:szCs w:val="24"/>
              </w:rPr>
            </w:pPr>
            <w:r>
              <w:rPr>
                <w:rFonts w:hint="eastAsia" w:hAnsi="宋体"/>
                <w:sz w:val="24"/>
                <w:szCs w:val="24"/>
              </w:rPr>
              <w:t>职务</w:t>
            </w:r>
          </w:p>
        </w:tc>
        <w:tc>
          <w:tcPr>
            <w:tcW w:w="2627" w:type="dxa"/>
            <w:vAlign w:val="center"/>
          </w:tcPr>
          <w:p>
            <w:pPr>
              <w:pStyle w:val="19"/>
              <w:spacing w:line="48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46" w:type="dxa"/>
            <w:vMerge w:val="restart"/>
            <w:vAlign w:val="center"/>
          </w:tcPr>
          <w:p>
            <w:pPr>
              <w:pStyle w:val="19"/>
              <w:spacing w:line="480" w:lineRule="exact"/>
              <w:ind w:firstLine="720" w:firstLineChars="300"/>
              <w:jc w:val="center"/>
              <w:rPr>
                <w:rFonts w:hAnsi="宋体"/>
                <w:sz w:val="24"/>
                <w:szCs w:val="24"/>
              </w:rPr>
            </w:pPr>
          </w:p>
          <w:p>
            <w:pPr>
              <w:pStyle w:val="19"/>
              <w:spacing w:line="480" w:lineRule="exact"/>
              <w:jc w:val="center"/>
              <w:rPr>
                <w:rFonts w:hAnsi="宋体"/>
                <w:sz w:val="24"/>
                <w:szCs w:val="24"/>
              </w:rPr>
            </w:pPr>
            <w:r>
              <w:rPr>
                <w:rFonts w:hint="eastAsia" w:hAnsi="宋体"/>
                <w:sz w:val="24"/>
                <w:szCs w:val="24"/>
              </w:rPr>
              <w:t>单位概况</w:t>
            </w:r>
          </w:p>
          <w:p>
            <w:pPr>
              <w:pStyle w:val="19"/>
              <w:spacing w:line="480" w:lineRule="exact"/>
              <w:ind w:firstLine="720" w:firstLineChars="300"/>
              <w:jc w:val="center"/>
              <w:rPr>
                <w:rFonts w:hAnsi="宋体"/>
                <w:sz w:val="24"/>
                <w:szCs w:val="24"/>
              </w:rPr>
            </w:pPr>
          </w:p>
          <w:p>
            <w:pPr>
              <w:pStyle w:val="19"/>
              <w:spacing w:line="480" w:lineRule="exact"/>
              <w:ind w:firstLine="720" w:firstLineChars="300"/>
              <w:jc w:val="center"/>
              <w:rPr>
                <w:rFonts w:hAnsi="宋体"/>
                <w:sz w:val="24"/>
                <w:szCs w:val="24"/>
              </w:rPr>
            </w:pPr>
          </w:p>
          <w:p>
            <w:pPr>
              <w:pStyle w:val="19"/>
              <w:spacing w:line="480" w:lineRule="exact"/>
              <w:ind w:firstLine="720" w:firstLineChars="300"/>
              <w:jc w:val="center"/>
              <w:rPr>
                <w:rFonts w:hAnsi="宋体"/>
                <w:sz w:val="24"/>
                <w:szCs w:val="24"/>
              </w:rPr>
            </w:pPr>
          </w:p>
          <w:p>
            <w:pPr>
              <w:pStyle w:val="19"/>
              <w:spacing w:line="480" w:lineRule="exact"/>
              <w:ind w:firstLine="720" w:firstLineChars="300"/>
              <w:jc w:val="center"/>
              <w:rPr>
                <w:rFonts w:hAnsi="宋体"/>
                <w:sz w:val="24"/>
                <w:szCs w:val="24"/>
              </w:rPr>
            </w:pPr>
          </w:p>
        </w:tc>
        <w:tc>
          <w:tcPr>
            <w:tcW w:w="1300" w:type="dxa"/>
            <w:vMerge w:val="restart"/>
            <w:vAlign w:val="center"/>
          </w:tcPr>
          <w:p>
            <w:pPr>
              <w:spacing w:line="480" w:lineRule="exact"/>
              <w:jc w:val="center"/>
              <w:rPr>
                <w:rFonts w:ascii="宋体"/>
                <w:sz w:val="24"/>
              </w:rPr>
            </w:pPr>
            <w:r>
              <w:rPr>
                <w:rFonts w:hint="eastAsia" w:ascii="宋体" w:hAnsi="宋体"/>
                <w:sz w:val="24"/>
              </w:rPr>
              <w:t>职工总数</w:t>
            </w:r>
          </w:p>
        </w:tc>
        <w:tc>
          <w:tcPr>
            <w:tcW w:w="3385" w:type="dxa"/>
            <w:vAlign w:val="center"/>
          </w:tcPr>
          <w:p>
            <w:pPr>
              <w:pStyle w:val="19"/>
              <w:spacing w:line="480" w:lineRule="exact"/>
              <w:rPr>
                <w:rFonts w:hAnsi="宋体"/>
                <w:sz w:val="24"/>
                <w:szCs w:val="24"/>
              </w:rPr>
            </w:pPr>
            <w:r>
              <w:rPr>
                <w:rFonts w:hint="eastAsia" w:hAnsi="宋体"/>
                <w:sz w:val="24"/>
                <w:szCs w:val="24"/>
              </w:rPr>
              <w:t>员工：人</w:t>
            </w:r>
          </w:p>
        </w:tc>
        <w:tc>
          <w:tcPr>
            <w:tcW w:w="4045" w:type="dxa"/>
            <w:gridSpan w:val="3"/>
            <w:vAlign w:val="center"/>
          </w:tcPr>
          <w:p>
            <w:pPr>
              <w:pStyle w:val="19"/>
              <w:spacing w:line="480" w:lineRule="exact"/>
              <w:rPr>
                <w:rFonts w:hAnsi="宋体"/>
                <w:sz w:val="24"/>
                <w:szCs w:val="24"/>
              </w:rPr>
            </w:pPr>
            <w:r>
              <w:rPr>
                <w:rFonts w:hint="eastAsia" w:hAnsi="宋体"/>
                <w:sz w:val="24"/>
                <w:szCs w:val="24"/>
              </w:rPr>
              <w:t>技术工人：人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6" w:type="dxa"/>
            <w:vMerge w:val="continue"/>
            <w:vAlign w:val="center"/>
          </w:tcPr>
          <w:p>
            <w:pPr>
              <w:pStyle w:val="19"/>
              <w:spacing w:line="480" w:lineRule="exact"/>
              <w:ind w:firstLine="720" w:firstLineChars="300"/>
              <w:jc w:val="center"/>
              <w:rPr>
                <w:rFonts w:hAnsi="宋体"/>
                <w:sz w:val="24"/>
                <w:szCs w:val="24"/>
              </w:rPr>
            </w:pPr>
          </w:p>
        </w:tc>
        <w:tc>
          <w:tcPr>
            <w:tcW w:w="1300" w:type="dxa"/>
            <w:vMerge w:val="continue"/>
            <w:vAlign w:val="center"/>
          </w:tcPr>
          <w:p>
            <w:pPr>
              <w:widowControl/>
              <w:spacing w:line="480" w:lineRule="exact"/>
              <w:jc w:val="center"/>
              <w:rPr>
                <w:rFonts w:ascii="宋体"/>
                <w:sz w:val="24"/>
              </w:rPr>
            </w:pPr>
          </w:p>
        </w:tc>
        <w:tc>
          <w:tcPr>
            <w:tcW w:w="3385" w:type="dxa"/>
            <w:vAlign w:val="center"/>
          </w:tcPr>
          <w:p>
            <w:pPr>
              <w:pStyle w:val="19"/>
              <w:spacing w:line="480" w:lineRule="exact"/>
              <w:rPr>
                <w:rFonts w:hAnsi="宋体"/>
                <w:sz w:val="24"/>
                <w:szCs w:val="24"/>
              </w:rPr>
            </w:pPr>
            <w:r>
              <w:rPr>
                <w:rFonts w:hint="eastAsia" w:hAnsi="宋体"/>
                <w:sz w:val="24"/>
                <w:szCs w:val="24"/>
              </w:rPr>
              <w:t>高级技师：人</w:t>
            </w:r>
          </w:p>
        </w:tc>
        <w:tc>
          <w:tcPr>
            <w:tcW w:w="4045" w:type="dxa"/>
            <w:gridSpan w:val="3"/>
            <w:vAlign w:val="center"/>
          </w:tcPr>
          <w:p>
            <w:pPr>
              <w:pStyle w:val="19"/>
              <w:spacing w:line="480" w:lineRule="exact"/>
              <w:rPr>
                <w:rFonts w:hAnsi="宋体"/>
                <w:sz w:val="24"/>
                <w:szCs w:val="24"/>
              </w:rPr>
            </w:pPr>
            <w:r>
              <w:rPr>
                <w:rFonts w:hint="eastAsia" w:hAnsi="宋体"/>
                <w:sz w:val="24"/>
                <w:szCs w:val="24"/>
              </w:rPr>
              <w:t>工程师：人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6" w:type="dxa"/>
            <w:vMerge w:val="continue"/>
            <w:vAlign w:val="center"/>
          </w:tcPr>
          <w:p>
            <w:pPr>
              <w:pStyle w:val="19"/>
              <w:spacing w:line="480" w:lineRule="exact"/>
              <w:ind w:firstLine="720" w:firstLineChars="300"/>
              <w:jc w:val="center"/>
              <w:rPr>
                <w:rFonts w:hAnsi="宋体"/>
                <w:sz w:val="24"/>
                <w:szCs w:val="24"/>
              </w:rPr>
            </w:pPr>
          </w:p>
        </w:tc>
        <w:tc>
          <w:tcPr>
            <w:tcW w:w="1300" w:type="dxa"/>
            <w:vAlign w:val="center"/>
          </w:tcPr>
          <w:p>
            <w:pPr>
              <w:pStyle w:val="19"/>
              <w:spacing w:line="480" w:lineRule="exact"/>
              <w:jc w:val="center"/>
              <w:rPr>
                <w:rFonts w:hAnsi="宋体"/>
                <w:sz w:val="24"/>
                <w:szCs w:val="24"/>
              </w:rPr>
            </w:pPr>
            <w:r>
              <w:rPr>
                <w:rFonts w:hint="eastAsia" w:hAnsi="宋体"/>
                <w:sz w:val="24"/>
                <w:szCs w:val="24"/>
              </w:rPr>
              <w:t>流动资金</w:t>
            </w:r>
          </w:p>
        </w:tc>
        <w:tc>
          <w:tcPr>
            <w:tcW w:w="3385" w:type="dxa"/>
            <w:vAlign w:val="center"/>
          </w:tcPr>
          <w:p>
            <w:pPr>
              <w:pStyle w:val="19"/>
              <w:spacing w:line="480" w:lineRule="exact"/>
              <w:jc w:val="center"/>
              <w:rPr>
                <w:rFonts w:hAnsi="宋体"/>
                <w:sz w:val="24"/>
                <w:szCs w:val="24"/>
              </w:rPr>
            </w:pPr>
          </w:p>
        </w:tc>
        <w:tc>
          <w:tcPr>
            <w:tcW w:w="1260" w:type="dxa"/>
            <w:vAlign w:val="center"/>
          </w:tcPr>
          <w:p>
            <w:pPr>
              <w:pStyle w:val="19"/>
              <w:spacing w:line="480" w:lineRule="exact"/>
              <w:jc w:val="center"/>
              <w:rPr>
                <w:rFonts w:hAnsi="宋体"/>
                <w:sz w:val="24"/>
                <w:szCs w:val="24"/>
              </w:rPr>
            </w:pPr>
            <w:r>
              <w:rPr>
                <w:rFonts w:hint="eastAsia" w:hAnsi="宋体"/>
                <w:sz w:val="24"/>
                <w:szCs w:val="24"/>
              </w:rPr>
              <w:t>营业面积</w:t>
            </w:r>
          </w:p>
        </w:tc>
        <w:tc>
          <w:tcPr>
            <w:tcW w:w="2785" w:type="dxa"/>
            <w:gridSpan w:val="2"/>
            <w:vAlign w:val="center"/>
          </w:tcPr>
          <w:p>
            <w:pPr>
              <w:pStyle w:val="19"/>
              <w:spacing w:line="48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846" w:type="dxa"/>
            <w:vMerge w:val="continue"/>
            <w:vAlign w:val="center"/>
          </w:tcPr>
          <w:p>
            <w:pPr>
              <w:pStyle w:val="19"/>
              <w:spacing w:line="480" w:lineRule="exact"/>
              <w:ind w:firstLine="720" w:firstLineChars="300"/>
              <w:jc w:val="center"/>
              <w:rPr>
                <w:rFonts w:hAnsi="宋体"/>
                <w:sz w:val="24"/>
                <w:szCs w:val="24"/>
              </w:rPr>
            </w:pPr>
          </w:p>
        </w:tc>
        <w:tc>
          <w:tcPr>
            <w:tcW w:w="1300" w:type="dxa"/>
            <w:vAlign w:val="center"/>
          </w:tcPr>
          <w:p>
            <w:pPr>
              <w:pStyle w:val="19"/>
              <w:spacing w:line="480" w:lineRule="exact"/>
              <w:jc w:val="center"/>
              <w:rPr>
                <w:rFonts w:hAnsi="宋体"/>
                <w:sz w:val="24"/>
                <w:szCs w:val="24"/>
              </w:rPr>
            </w:pPr>
            <w:r>
              <w:rPr>
                <w:rFonts w:hint="eastAsia" w:hAnsi="宋体"/>
                <w:sz w:val="24"/>
                <w:szCs w:val="24"/>
              </w:rPr>
              <w:t>固定资金</w:t>
            </w:r>
          </w:p>
        </w:tc>
        <w:tc>
          <w:tcPr>
            <w:tcW w:w="3385" w:type="dxa"/>
            <w:vAlign w:val="center"/>
          </w:tcPr>
          <w:p>
            <w:pPr>
              <w:widowControl/>
              <w:spacing w:line="480" w:lineRule="exact"/>
              <w:jc w:val="center"/>
              <w:rPr>
                <w:rFonts w:ascii="宋体"/>
                <w:sz w:val="24"/>
              </w:rPr>
            </w:pPr>
          </w:p>
        </w:tc>
        <w:tc>
          <w:tcPr>
            <w:tcW w:w="1260" w:type="dxa"/>
            <w:vAlign w:val="center"/>
          </w:tcPr>
          <w:p>
            <w:pPr>
              <w:pStyle w:val="19"/>
              <w:spacing w:line="480" w:lineRule="exact"/>
              <w:jc w:val="center"/>
              <w:rPr>
                <w:rFonts w:hAnsi="宋体"/>
                <w:sz w:val="24"/>
                <w:szCs w:val="24"/>
              </w:rPr>
            </w:pPr>
            <w:r>
              <w:rPr>
                <w:rFonts w:hint="eastAsia" w:hAnsi="宋体"/>
                <w:sz w:val="24"/>
                <w:szCs w:val="24"/>
              </w:rPr>
              <w:t>维修网点</w:t>
            </w:r>
          </w:p>
        </w:tc>
        <w:tc>
          <w:tcPr>
            <w:tcW w:w="2785" w:type="dxa"/>
            <w:gridSpan w:val="2"/>
            <w:vAlign w:val="center"/>
          </w:tcPr>
          <w:p>
            <w:pPr>
              <w:widowControl/>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46" w:type="dxa"/>
            <w:vAlign w:val="center"/>
          </w:tcPr>
          <w:p>
            <w:pPr>
              <w:pStyle w:val="19"/>
              <w:spacing w:line="480" w:lineRule="exact"/>
              <w:jc w:val="center"/>
              <w:rPr>
                <w:rFonts w:hAnsi="宋体"/>
                <w:sz w:val="24"/>
                <w:szCs w:val="24"/>
              </w:rPr>
            </w:pPr>
            <w:r>
              <w:rPr>
                <w:rFonts w:hint="eastAsia" w:hAnsi="宋体"/>
                <w:sz w:val="24"/>
                <w:szCs w:val="24"/>
              </w:rPr>
              <w:t>单位简历</w:t>
            </w:r>
          </w:p>
        </w:tc>
        <w:tc>
          <w:tcPr>
            <w:tcW w:w="8730" w:type="dxa"/>
            <w:gridSpan w:val="5"/>
          </w:tcPr>
          <w:p>
            <w:pPr>
              <w:spacing w:line="48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846" w:type="dxa"/>
            <w:vAlign w:val="center"/>
          </w:tcPr>
          <w:p>
            <w:pPr>
              <w:pStyle w:val="19"/>
              <w:spacing w:line="480" w:lineRule="exact"/>
              <w:jc w:val="center"/>
              <w:rPr>
                <w:rFonts w:hAnsi="宋体"/>
                <w:sz w:val="24"/>
                <w:szCs w:val="24"/>
              </w:rPr>
            </w:pPr>
            <w:r>
              <w:rPr>
                <w:rFonts w:hint="eastAsia" w:hAnsi="宋体"/>
                <w:sz w:val="24"/>
                <w:szCs w:val="24"/>
              </w:rPr>
              <w:t>优势及特长</w:t>
            </w:r>
          </w:p>
        </w:tc>
        <w:tc>
          <w:tcPr>
            <w:tcW w:w="8730" w:type="dxa"/>
            <w:gridSpan w:val="5"/>
          </w:tcPr>
          <w:p>
            <w:pPr>
              <w:spacing w:line="480" w:lineRule="exact"/>
              <w:jc w:val="left"/>
              <w:rPr>
                <w:rFonts w:ascii="宋体"/>
                <w:sz w:val="24"/>
              </w:rPr>
            </w:pPr>
          </w:p>
        </w:tc>
      </w:tr>
    </w:tbl>
    <w:p>
      <w:pPr>
        <w:spacing w:line="480" w:lineRule="exact"/>
        <w:rPr>
          <w:rFonts w:ascii="宋体"/>
          <w:sz w:val="24"/>
        </w:rPr>
      </w:pPr>
      <w:r>
        <w:rPr>
          <w:rFonts w:hint="eastAsia" w:ascii="宋体" w:hAnsi="宋体"/>
          <w:sz w:val="24"/>
        </w:rPr>
        <w:t>磋商响应方全称（加盖公章）：</w:t>
      </w:r>
    </w:p>
    <w:p>
      <w:pPr>
        <w:spacing w:line="480" w:lineRule="exact"/>
        <w:rPr>
          <w:rFonts w:ascii="宋体"/>
          <w:sz w:val="24"/>
        </w:rPr>
      </w:pPr>
      <w:r>
        <w:rPr>
          <w:rFonts w:hint="eastAsia" w:ascii="宋体" w:hAnsi="宋体"/>
          <w:sz w:val="24"/>
        </w:rPr>
        <w:t>法定代表人或授权代表（签字或盖章）：</w:t>
      </w:r>
    </w:p>
    <w:p>
      <w:pPr>
        <w:widowControl/>
        <w:overflowPunct w:val="0"/>
        <w:autoSpaceDE w:val="0"/>
        <w:autoSpaceDN w:val="0"/>
        <w:adjustRightInd w:val="0"/>
        <w:spacing w:line="480" w:lineRule="exact"/>
        <w:jc w:val="left"/>
        <w:textAlignment w:val="baseline"/>
        <w:rPr>
          <w:rFonts w:ascii="宋体"/>
          <w:kern w:val="0"/>
          <w:sz w:val="24"/>
        </w:rPr>
      </w:pPr>
      <w:r>
        <w:rPr>
          <w:rFonts w:hint="eastAsia" w:ascii="宋体" w:hAnsi="宋体"/>
          <w:kern w:val="0"/>
          <w:sz w:val="24"/>
        </w:rPr>
        <w:t>日期：</w:t>
      </w:r>
    </w:p>
    <w:p>
      <w:pPr>
        <w:snapToGrid w:val="0"/>
        <w:spacing w:line="480" w:lineRule="exact"/>
        <w:rPr>
          <w:rFonts w:ascii="仿宋_GB2312" w:eastAsia="仿宋_GB2312"/>
          <w:sz w:val="24"/>
        </w:rPr>
      </w:pPr>
    </w:p>
    <w:p>
      <w:pPr>
        <w:widowControl/>
        <w:jc w:val="left"/>
        <w:rPr>
          <w:rFonts w:ascii="宋体" w:hAnsi="宋体"/>
          <w:b/>
        </w:rPr>
      </w:pPr>
      <w:r>
        <w:rPr>
          <w:rFonts w:ascii="宋体" w:hAnsi="宋体"/>
          <w:b/>
        </w:rPr>
        <w:br w:type="page"/>
      </w:r>
    </w:p>
    <w:p>
      <w:pPr>
        <w:snapToGrid w:val="0"/>
        <w:spacing w:before="157" w:beforeLines="50" w:after="50" w:line="360" w:lineRule="auto"/>
        <w:outlineLvl w:val="0"/>
        <w:rPr>
          <w:rFonts w:ascii="宋体" w:hAnsi="宋体"/>
          <w:b/>
        </w:rPr>
      </w:pPr>
      <w:bookmarkStart w:id="47" w:name="_Toc21381"/>
      <w:r>
        <w:rPr>
          <w:rFonts w:hint="eastAsia" w:ascii="宋体" w:hAnsi="宋体"/>
          <w:b/>
        </w:rPr>
        <w:t>附件5</w:t>
      </w:r>
      <w:bookmarkEnd w:id="47"/>
    </w:p>
    <w:p>
      <w:pPr>
        <w:snapToGrid w:val="0"/>
        <w:spacing w:before="157" w:beforeLines="50" w:after="50" w:line="360" w:lineRule="auto"/>
        <w:jc w:val="center"/>
        <w:outlineLvl w:val="3"/>
        <w:rPr>
          <w:rFonts w:ascii="Times New Roman" w:hAnsi="Times New Roman" w:eastAsia="仿宋_GB2312"/>
          <w:spacing w:val="8"/>
          <w:kern w:val="0"/>
          <w:sz w:val="32"/>
          <w:szCs w:val="32"/>
        </w:rPr>
      </w:pPr>
      <w:r>
        <w:rPr>
          <w:rFonts w:hint="eastAsia" w:ascii="宋体" w:hAnsi="宋体"/>
          <w:b/>
          <w:sz w:val="32"/>
          <w:szCs w:val="32"/>
        </w:rPr>
        <w:t>无围标串标等负面行为承诺书</w:t>
      </w:r>
    </w:p>
    <w:p>
      <w:pPr>
        <w:snapToGrid w:val="0"/>
        <w:spacing w:before="157" w:beforeLines="50" w:after="50" w:line="360" w:lineRule="auto"/>
        <w:ind w:firstLine="720" w:firstLineChars="300"/>
        <w:rPr>
          <w:sz w:val="24"/>
        </w:rPr>
      </w:pPr>
      <w:r>
        <w:rPr>
          <w:rFonts w:hint="eastAsia"/>
          <w:sz w:val="24"/>
        </w:rPr>
        <w:t>本人作为经授权的投标人（或供应商、竞拍人等，下同）代表，清楚知晓我单位参与本项目投标（交易，下同），现对以下事项作出郑重承诺并签名：</w:t>
      </w:r>
    </w:p>
    <w:p>
      <w:pPr>
        <w:snapToGrid w:val="0"/>
        <w:spacing w:before="157" w:beforeLines="50" w:after="50" w:line="360" w:lineRule="auto"/>
        <w:ind w:firstLine="720" w:firstLineChars="300"/>
        <w:rPr>
          <w:sz w:val="24"/>
        </w:rPr>
      </w:pPr>
      <w:r>
        <w:rPr>
          <w:rFonts w:hint="eastAsia"/>
          <w:sz w:val="24"/>
        </w:rPr>
        <w:t>一、我单位和本人遵循公开、公平、公正、诚实守信的原则，所提供的一切材料均真实、有效、合法，依法依规参与本项目投标。</w:t>
      </w:r>
    </w:p>
    <w:p>
      <w:pPr>
        <w:snapToGrid w:val="0"/>
        <w:spacing w:before="157" w:beforeLines="50" w:after="50" w:line="360" w:lineRule="auto"/>
        <w:ind w:firstLine="720" w:firstLineChars="300"/>
        <w:rPr>
          <w:sz w:val="24"/>
        </w:rPr>
      </w:pPr>
      <w:r>
        <w:rPr>
          <w:rFonts w:hint="eastAsia"/>
          <w:sz w:val="24"/>
        </w:rPr>
        <w:t>二、我单位和本人在本项目招标投标活动中，拒绝参与围标串标，决不损害其它投标人、招标人（或采购人、拍卖人等，下同）的合法权益。</w:t>
      </w:r>
    </w:p>
    <w:p>
      <w:pPr>
        <w:snapToGrid w:val="0"/>
        <w:spacing w:before="157" w:beforeLines="50" w:after="50" w:line="360" w:lineRule="auto"/>
        <w:ind w:firstLine="720" w:firstLineChars="300"/>
        <w:rPr>
          <w:sz w:val="24"/>
        </w:rPr>
      </w:pPr>
      <w:r>
        <w:rPr>
          <w:rFonts w:hint="eastAsia"/>
          <w:sz w:val="24"/>
        </w:rPr>
        <w:t>三、我单位如被查实在本项目公共资源交易活动中存在围标串标等行为，本人作为违法行为直接责任人员，将承担被执行失信惩戒并被依法追究相关责任的后果。</w:t>
      </w:r>
    </w:p>
    <w:p>
      <w:pPr>
        <w:snapToGrid w:val="0"/>
        <w:spacing w:before="157" w:beforeLines="50" w:after="50" w:line="360" w:lineRule="auto"/>
        <w:rPr>
          <w:rFonts w:ascii="Times New Roman" w:hAnsi="Times New Roman" w:eastAsia="仿宋_GB2312"/>
          <w:spacing w:val="8"/>
          <w:kern w:val="0"/>
          <w:sz w:val="24"/>
        </w:rPr>
      </w:pPr>
    </w:p>
    <w:p>
      <w:pPr>
        <w:snapToGrid w:val="0"/>
        <w:spacing w:before="157" w:beforeLines="50" w:after="50" w:line="360" w:lineRule="auto"/>
        <w:ind w:firstLine="120" w:firstLineChars="50"/>
        <w:rPr>
          <w:rFonts w:ascii="宋体" w:hAnsi="宋体"/>
          <w:sz w:val="24"/>
          <w:u w:val="single"/>
        </w:rPr>
      </w:pPr>
      <w:r>
        <w:rPr>
          <w:rFonts w:hint="eastAsia" w:ascii="宋体" w:hAnsi="宋体"/>
          <w:sz w:val="24"/>
        </w:rPr>
        <w:t>被授权人签名：                       法定代表人签名：</w:t>
      </w:r>
    </w:p>
    <w:p>
      <w:pPr>
        <w:snapToGrid w:val="0"/>
        <w:spacing w:before="157" w:beforeLines="50" w:after="50" w:line="360" w:lineRule="auto"/>
        <w:ind w:firstLine="1080" w:firstLineChars="450"/>
        <w:rPr>
          <w:rFonts w:ascii="宋体" w:hAnsi="宋体"/>
          <w:sz w:val="24"/>
        </w:rPr>
      </w:pPr>
      <w:r>
        <w:rPr>
          <w:rFonts w:hint="eastAsia" w:ascii="宋体" w:hAnsi="宋体"/>
          <w:sz w:val="24"/>
        </w:rPr>
        <w:t>职务：                                 职务：</w:t>
      </w:r>
    </w:p>
    <w:p>
      <w:pPr>
        <w:snapToGrid w:val="0"/>
        <w:spacing w:before="157" w:beforeLines="50" w:after="50" w:line="360" w:lineRule="auto"/>
        <w:rPr>
          <w:rFonts w:ascii="宋体" w:hAnsi="宋体"/>
          <w:sz w:val="24"/>
        </w:rPr>
      </w:pPr>
      <w:r>
        <w:rPr>
          <w:rFonts w:hint="eastAsia" w:ascii="宋体" w:hAnsi="宋体"/>
          <w:sz w:val="24"/>
        </w:rPr>
        <w:t>被授权人身份证复印件：</w:t>
      </w:r>
    </w:p>
    <w:p>
      <w:pPr>
        <w:widowControl/>
        <w:jc w:val="left"/>
        <w:rPr>
          <w:rFonts w:ascii="宋体" w:hAnsi="宋体"/>
          <w:b/>
        </w:rPr>
      </w:pPr>
      <w:r>
        <w:rPr>
          <w:rFonts w:ascii="宋体" w:hAnsi="宋体"/>
          <w:b/>
        </w:rPr>
        <w:br w:type="page"/>
      </w:r>
    </w:p>
    <w:p>
      <w:pPr>
        <w:snapToGrid w:val="0"/>
        <w:spacing w:before="157" w:beforeLines="50" w:after="50" w:line="360" w:lineRule="auto"/>
        <w:rPr>
          <w:rFonts w:ascii="宋体"/>
          <w:b/>
          <w:color w:val="0D0D0D"/>
          <w:sz w:val="24"/>
        </w:rPr>
      </w:pPr>
      <w:r>
        <w:rPr>
          <w:rFonts w:hint="eastAsia" w:ascii="宋体" w:hAnsi="宋体"/>
          <w:b/>
        </w:rPr>
        <w:t>附件6</w:t>
      </w:r>
    </w:p>
    <w:p>
      <w:pPr>
        <w:spacing w:line="480" w:lineRule="exact"/>
        <w:jc w:val="center"/>
        <w:outlineLvl w:val="1"/>
        <w:rPr>
          <w:rFonts w:ascii="宋体" w:hAnsi="宋体"/>
          <w:b/>
          <w:kern w:val="0"/>
          <w:sz w:val="30"/>
          <w:szCs w:val="30"/>
        </w:rPr>
      </w:pPr>
      <w:r>
        <w:rPr>
          <w:rFonts w:hint="eastAsia" w:ascii="宋体" w:hAnsi="宋体"/>
          <w:b/>
          <w:kern w:val="0"/>
          <w:sz w:val="30"/>
          <w:szCs w:val="30"/>
        </w:rPr>
        <w:t>供应商市场行为信誉情况承诺书（申明书）</w:t>
      </w:r>
    </w:p>
    <w:tbl>
      <w:tblPr>
        <w:tblStyle w:val="34"/>
        <w:tblW w:w="95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vAlign w:val="center"/>
          </w:tcPr>
          <w:p>
            <w:pPr>
              <w:spacing w:before="100" w:beforeAutospacing="1" w:after="100" w:afterAutospacing="1" w:line="260" w:lineRule="exact"/>
              <w:jc w:val="center"/>
              <w:rPr>
                <w:rFonts w:ascii="宋体" w:hAnsi="宋体"/>
                <w:color w:val="000000"/>
                <w:sz w:val="24"/>
              </w:rPr>
            </w:pPr>
            <w:r>
              <w:rPr>
                <w:rFonts w:hint="eastAsia"/>
                <w:color w:val="000000"/>
              </w:rPr>
              <w:t>投（竞）标</w:t>
            </w:r>
            <w:r>
              <w:rPr>
                <w:rFonts w:hint="eastAsia"/>
                <w:b/>
                <w:bCs/>
                <w:color w:val="000000"/>
              </w:rPr>
              <w:t>供应商</w:t>
            </w:r>
            <w:r>
              <w:rPr>
                <w:rFonts w:hint="eastAsia"/>
                <w:color w:val="000000"/>
              </w:rPr>
              <w:t>名称</w:t>
            </w:r>
          </w:p>
        </w:tc>
        <w:tc>
          <w:tcPr>
            <w:tcW w:w="2974" w:type="dxa"/>
            <w:gridSpan w:val="2"/>
            <w:tcBorders>
              <w:top w:val="single" w:color="auto" w:sz="4" w:space="0"/>
              <w:left w:val="dotted" w:color="auto" w:sz="4" w:space="0"/>
              <w:bottom w:val="dotted" w:color="auto" w:sz="4" w:space="0"/>
              <w:right w:val="dotted" w:color="auto" w:sz="4" w:space="0"/>
            </w:tcBorders>
            <w:vAlign w:val="center"/>
          </w:tcPr>
          <w:p>
            <w:pPr>
              <w:spacing w:line="260" w:lineRule="exact"/>
              <w:rPr>
                <w:rFonts w:ascii="宋体" w:hAnsi="宋体"/>
                <w:color w:val="000000"/>
                <w:sz w:val="18"/>
                <w:szCs w:val="18"/>
              </w:rPr>
            </w:pPr>
          </w:p>
        </w:tc>
        <w:tc>
          <w:tcPr>
            <w:tcW w:w="1892" w:type="dxa"/>
            <w:tcBorders>
              <w:top w:val="single" w:color="auto" w:sz="4" w:space="0"/>
              <w:left w:val="dotted" w:color="auto" w:sz="4" w:space="0"/>
              <w:bottom w:val="dotted" w:color="auto" w:sz="4" w:space="0"/>
              <w:right w:val="dotted" w:color="auto" w:sz="4" w:space="0"/>
            </w:tcBorders>
            <w:vAlign w:val="center"/>
          </w:tcPr>
          <w:p>
            <w:pPr>
              <w:spacing w:before="100" w:beforeAutospacing="1" w:after="100" w:afterAutospacing="1" w:line="260" w:lineRule="exact"/>
              <w:jc w:val="center"/>
              <w:rPr>
                <w:color w:val="000000"/>
              </w:rPr>
            </w:pPr>
            <w:r>
              <w:rPr>
                <w:rFonts w:hint="eastAsia"/>
                <w:color w:val="000000"/>
              </w:rPr>
              <w:t>企业资质等级</w:t>
            </w:r>
          </w:p>
          <w:p>
            <w:pPr>
              <w:spacing w:before="100" w:beforeAutospacing="1" w:after="100" w:afterAutospacing="1" w:line="260" w:lineRule="exact"/>
              <w:jc w:val="center"/>
              <w:rPr>
                <w:rFonts w:ascii="宋体" w:hAnsi="宋体"/>
                <w:color w:val="000000"/>
                <w:sz w:val="24"/>
              </w:rPr>
            </w:pPr>
            <w:r>
              <w:rPr>
                <w:rFonts w:hint="eastAsia"/>
                <w:color w:val="000000"/>
              </w:rPr>
              <w:t>（如有）</w:t>
            </w:r>
          </w:p>
        </w:tc>
        <w:tc>
          <w:tcPr>
            <w:tcW w:w="2373" w:type="dxa"/>
            <w:tcBorders>
              <w:top w:val="single" w:color="auto" w:sz="4" w:space="0"/>
              <w:left w:val="dotted" w:color="auto" w:sz="4" w:space="0"/>
              <w:bottom w:val="dotted" w:color="auto" w:sz="4" w:space="0"/>
              <w:right w:val="single" w:color="auto" w:sz="4" w:space="0"/>
            </w:tcBorders>
            <w:vAlign w:val="center"/>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pPr>
              <w:spacing w:before="100" w:beforeAutospacing="1" w:after="100" w:afterAutospacing="1" w:line="260" w:lineRule="exact"/>
              <w:jc w:val="center"/>
              <w:rPr>
                <w:rFonts w:ascii="宋体" w:hAnsi="宋体"/>
                <w:color w:val="000000"/>
                <w:sz w:val="24"/>
              </w:rPr>
            </w:pPr>
            <w:r>
              <w:rPr>
                <w:rFonts w:hint="eastAsia"/>
                <w:color w:val="000000"/>
              </w:rPr>
              <w:t>企业地址</w:t>
            </w:r>
          </w:p>
        </w:tc>
        <w:tc>
          <w:tcPr>
            <w:tcW w:w="2974" w:type="dxa"/>
            <w:gridSpan w:val="2"/>
            <w:tcBorders>
              <w:top w:val="dotted" w:color="auto" w:sz="4" w:space="0"/>
              <w:left w:val="dotted" w:color="auto" w:sz="4" w:space="0"/>
              <w:bottom w:val="dotted" w:color="auto" w:sz="4" w:space="0"/>
              <w:right w:val="dotted" w:color="auto" w:sz="4" w:space="0"/>
            </w:tcBorders>
            <w:vAlign w:val="center"/>
          </w:tcPr>
          <w:p>
            <w:pPr>
              <w:spacing w:line="260" w:lineRule="exact"/>
              <w:rPr>
                <w:rFonts w:ascii="宋体" w:hAnsi="宋体"/>
                <w:color w:val="000000"/>
                <w:sz w:val="18"/>
                <w:szCs w:val="18"/>
              </w:rPr>
            </w:pPr>
          </w:p>
        </w:tc>
        <w:tc>
          <w:tcPr>
            <w:tcW w:w="1892" w:type="dxa"/>
            <w:tcBorders>
              <w:top w:val="dotted" w:color="auto" w:sz="4" w:space="0"/>
              <w:left w:val="dotted" w:color="auto" w:sz="4" w:space="0"/>
              <w:bottom w:val="dotted" w:color="auto" w:sz="4" w:space="0"/>
              <w:right w:val="dotted" w:color="auto" w:sz="4" w:space="0"/>
            </w:tcBorders>
            <w:vAlign w:val="center"/>
          </w:tcPr>
          <w:p>
            <w:pPr>
              <w:spacing w:before="100" w:beforeAutospacing="1" w:after="100" w:afterAutospacing="1" w:line="260" w:lineRule="exact"/>
              <w:jc w:val="center"/>
              <w:rPr>
                <w:rFonts w:ascii="宋体" w:hAnsi="宋体"/>
                <w:color w:val="000000"/>
                <w:sz w:val="24"/>
              </w:rPr>
            </w:pPr>
            <w:r>
              <w:rPr>
                <w:rFonts w:hint="eastAsia"/>
                <w:color w:val="000000"/>
              </w:rPr>
              <w:t>联系电话</w:t>
            </w:r>
          </w:p>
        </w:tc>
        <w:tc>
          <w:tcPr>
            <w:tcW w:w="2373" w:type="dxa"/>
            <w:tcBorders>
              <w:top w:val="dotted" w:color="auto" w:sz="4" w:space="0"/>
              <w:left w:val="dotted" w:color="auto" w:sz="4" w:space="0"/>
              <w:bottom w:val="dotted" w:color="auto" w:sz="4" w:space="0"/>
              <w:right w:val="single" w:color="auto" w:sz="4" w:space="0"/>
            </w:tcBorders>
            <w:vAlign w:val="center"/>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pPr>
              <w:spacing w:before="100" w:beforeAutospacing="1" w:after="100" w:afterAutospacing="1" w:line="260" w:lineRule="exact"/>
              <w:jc w:val="center"/>
              <w:rPr>
                <w:rFonts w:ascii="宋体" w:hAnsi="宋体"/>
                <w:color w:val="000000"/>
                <w:sz w:val="24"/>
              </w:rPr>
            </w:pPr>
            <w:r>
              <w:rPr>
                <w:rFonts w:hint="eastAsia"/>
                <w:color w:val="000000"/>
              </w:rPr>
              <w:t>拟投（竞）标项目名称</w:t>
            </w:r>
          </w:p>
        </w:tc>
        <w:tc>
          <w:tcPr>
            <w:tcW w:w="2974" w:type="dxa"/>
            <w:gridSpan w:val="2"/>
            <w:tcBorders>
              <w:top w:val="dotted" w:color="auto" w:sz="4" w:space="0"/>
              <w:left w:val="dotted" w:color="auto" w:sz="4" w:space="0"/>
              <w:bottom w:val="dotted" w:color="auto" w:sz="4" w:space="0"/>
              <w:right w:val="dotted" w:color="auto" w:sz="4" w:space="0"/>
            </w:tcBorders>
            <w:vAlign w:val="center"/>
          </w:tcPr>
          <w:p>
            <w:pPr>
              <w:spacing w:line="260" w:lineRule="exact"/>
              <w:rPr>
                <w:rFonts w:ascii="宋体" w:hAnsi="宋体"/>
                <w:color w:val="000000"/>
                <w:sz w:val="18"/>
                <w:szCs w:val="18"/>
              </w:rPr>
            </w:pPr>
          </w:p>
        </w:tc>
        <w:tc>
          <w:tcPr>
            <w:tcW w:w="1892" w:type="dxa"/>
            <w:tcBorders>
              <w:top w:val="dotted" w:color="auto" w:sz="4" w:space="0"/>
              <w:left w:val="dotted" w:color="auto" w:sz="4" w:space="0"/>
              <w:bottom w:val="dotted" w:color="auto" w:sz="4" w:space="0"/>
              <w:right w:val="dotted" w:color="auto" w:sz="4" w:space="0"/>
            </w:tcBorders>
            <w:vAlign w:val="center"/>
          </w:tcPr>
          <w:p>
            <w:pPr>
              <w:spacing w:before="100" w:beforeAutospacing="1" w:after="100" w:afterAutospacing="1" w:line="260" w:lineRule="exact"/>
              <w:jc w:val="center"/>
              <w:rPr>
                <w:rFonts w:ascii="宋体" w:hAnsi="宋体"/>
                <w:color w:val="000000"/>
                <w:sz w:val="24"/>
              </w:rPr>
            </w:pPr>
            <w:r>
              <w:rPr>
                <w:rFonts w:hint="eastAsia"/>
                <w:color w:val="000000"/>
              </w:rPr>
              <w:t>拟投标项目负责人姓名及资质</w:t>
            </w:r>
          </w:p>
        </w:tc>
        <w:tc>
          <w:tcPr>
            <w:tcW w:w="2373" w:type="dxa"/>
            <w:tcBorders>
              <w:top w:val="dotted" w:color="auto" w:sz="4" w:space="0"/>
              <w:left w:val="dotted" w:color="auto" w:sz="4" w:space="0"/>
              <w:bottom w:val="dotted" w:color="auto" w:sz="4" w:space="0"/>
              <w:right w:val="single" w:color="auto" w:sz="4" w:space="0"/>
            </w:tcBorders>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cBorders>
            <w:vAlign w:val="center"/>
          </w:tcPr>
          <w:p>
            <w:pPr>
              <w:spacing w:before="100" w:beforeAutospacing="1" w:after="100" w:afterAutospacing="1" w:line="260" w:lineRule="exact"/>
              <w:jc w:val="center"/>
              <w:rPr>
                <w:color w:val="000000"/>
                <w:sz w:val="24"/>
              </w:rPr>
            </w:pPr>
            <w:r>
              <w:rPr>
                <w:rFonts w:hint="eastAsia"/>
                <w:color w:val="000000"/>
              </w:rPr>
              <w:t>供应商</w:t>
            </w:r>
          </w:p>
          <w:p>
            <w:pPr>
              <w:spacing w:before="100" w:beforeAutospacing="1" w:after="100" w:afterAutospacing="1" w:line="260" w:lineRule="exact"/>
              <w:jc w:val="center"/>
              <w:rPr>
                <w:color w:val="000000"/>
                <w:sz w:val="24"/>
              </w:rPr>
            </w:pPr>
            <w:r>
              <w:rPr>
                <w:rFonts w:hint="eastAsia"/>
                <w:color w:val="000000"/>
              </w:rPr>
              <w:t>市场</w:t>
            </w:r>
          </w:p>
          <w:p>
            <w:pPr>
              <w:spacing w:before="100" w:beforeAutospacing="1" w:after="100" w:afterAutospacing="1" w:line="260" w:lineRule="exact"/>
              <w:jc w:val="center"/>
              <w:rPr>
                <w:color w:val="000000"/>
                <w:sz w:val="24"/>
              </w:rPr>
            </w:pPr>
            <w:r>
              <w:rPr>
                <w:rFonts w:hint="eastAsia"/>
                <w:color w:val="000000"/>
              </w:rPr>
              <w:t>行为</w:t>
            </w:r>
          </w:p>
          <w:p>
            <w:pPr>
              <w:spacing w:before="100" w:beforeAutospacing="1" w:after="100" w:afterAutospacing="1" w:line="260" w:lineRule="exact"/>
              <w:jc w:val="center"/>
              <w:rPr>
                <w:color w:val="000000"/>
                <w:sz w:val="24"/>
              </w:rPr>
            </w:pPr>
            <w:r>
              <w:rPr>
                <w:rFonts w:hint="eastAsia"/>
                <w:color w:val="000000"/>
              </w:rPr>
              <w:t>信用</w:t>
            </w:r>
          </w:p>
          <w:p>
            <w:pPr>
              <w:spacing w:before="100" w:beforeAutospacing="1" w:after="100" w:afterAutospacing="1" w:line="260" w:lineRule="exact"/>
              <w:jc w:val="center"/>
              <w:rPr>
                <w:color w:val="000000"/>
              </w:rPr>
            </w:pPr>
            <w:r>
              <w:rPr>
                <w:rFonts w:hint="eastAsia"/>
                <w:color w:val="000000"/>
              </w:rPr>
              <w:t>情况</w:t>
            </w:r>
          </w:p>
        </w:tc>
        <w:tc>
          <w:tcPr>
            <w:tcW w:w="3960" w:type="dxa"/>
            <w:gridSpan w:val="3"/>
            <w:tcBorders>
              <w:top w:val="single" w:color="auto" w:sz="4" w:space="0"/>
              <w:left w:val="dotted" w:color="auto" w:sz="4" w:space="0"/>
              <w:bottom w:val="dotted" w:color="auto" w:sz="4" w:space="0"/>
              <w:right w:val="dotted" w:color="auto" w:sz="4" w:space="0"/>
            </w:tcBorders>
            <w:vAlign w:val="center"/>
          </w:tcPr>
          <w:p>
            <w:pPr>
              <w:spacing w:before="100" w:beforeAutospacing="1" w:after="100" w:afterAutospacing="1" w:line="260" w:lineRule="exact"/>
              <w:rPr>
                <w:color w:val="000000"/>
              </w:rPr>
            </w:pPr>
            <w:r>
              <w:rPr>
                <w:rFonts w:hint="eastAsia"/>
                <w:color w:val="000000"/>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vAlign w:val="center"/>
          </w:tcPr>
          <w:p>
            <w:pPr>
              <w:spacing w:line="26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pPr>
              <w:widowControl/>
              <w:jc w:val="left"/>
              <w:rPr>
                <w:color w:val="000000"/>
              </w:rPr>
            </w:pPr>
          </w:p>
        </w:tc>
        <w:tc>
          <w:tcPr>
            <w:tcW w:w="3960" w:type="dxa"/>
            <w:gridSpan w:val="3"/>
            <w:tcBorders>
              <w:top w:val="single" w:color="auto" w:sz="4" w:space="0"/>
              <w:left w:val="dotted" w:color="auto" w:sz="4" w:space="0"/>
              <w:bottom w:val="dotted" w:color="auto" w:sz="4" w:space="0"/>
              <w:right w:val="dotted" w:color="auto" w:sz="4" w:space="0"/>
            </w:tcBorders>
            <w:vAlign w:val="center"/>
          </w:tcPr>
          <w:p>
            <w:pPr>
              <w:spacing w:before="100" w:beforeAutospacing="1" w:after="100" w:afterAutospacing="1" w:line="260" w:lineRule="exact"/>
              <w:rPr>
                <w:color w:val="000000"/>
              </w:rPr>
            </w:pPr>
            <w:r>
              <w:rPr>
                <w:rFonts w:hint="eastAsia"/>
                <w:color w:val="000000"/>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pPr>
              <w:widowControl/>
              <w:jc w:val="left"/>
              <w:rPr>
                <w:color w:val="000000"/>
              </w:rPr>
            </w:pPr>
          </w:p>
        </w:tc>
        <w:tc>
          <w:tcPr>
            <w:tcW w:w="3960" w:type="dxa"/>
            <w:gridSpan w:val="3"/>
            <w:tcBorders>
              <w:top w:val="single" w:color="auto" w:sz="4" w:space="0"/>
              <w:left w:val="dotted" w:color="auto" w:sz="4" w:space="0"/>
              <w:bottom w:val="dotted" w:color="auto" w:sz="4" w:space="0"/>
              <w:right w:val="dotted" w:color="auto" w:sz="4" w:space="0"/>
            </w:tcBorders>
          </w:tcPr>
          <w:p>
            <w:pPr>
              <w:spacing w:before="100" w:beforeAutospacing="1" w:after="100" w:afterAutospacing="1" w:line="260" w:lineRule="exact"/>
              <w:rPr>
                <w:color w:val="000000"/>
              </w:rPr>
            </w:pPr>
            <w:r>
              <w:rPr>
                <w:rFonts w:hint="eastAsia"/>
                <w:color w:val="000000"/>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pPr>
              <w:widowControl/>
              <w:jc w:val="left"/>
              <w:rPr>
                <w:color w:val="000000"/>
              </w:rPr>
            </w:pPr>
          </w:p>
        </w:tc>
        <w:tc>
          <w:tcPr>
            <w:tcW w:w="3960" w:type="dxa"/>
            <w:gridSpan w:val="3"/>
            <w:tcBorders>
              <w:top w:val="dotted" w:color="auto" w:sz="4" w:space="0"/>
              <w:left w:val="dotted" w:color="auto" w:sz="4" w:space="0"/>
              <w:bottom w:val="nil"/>
              <w:right w:val="dotted" w:color="auto" w:sz="4" w:space="0"/>
            </w:tcBorders>
            <w:vAlign w:val="center"/>
          </w:tcPr>
          <w:p>
            <w:pPr>
              <w:spacing w:before="100" w:beforeAutospacing="1" w:after="100" w:afterAutospacing="1" w:line="260" w:lineRule="exact"/>
              <w:rPr>
                <w:rFonts w:ascii="宋体" w:hAnsi="宋体"/>
                <w:color w:val="000000"/>
                <w:sz w:val="24"/>
              </w:rPr>
            </w:pPr>
            <w:r>
              <w:rPr>
                <w:rFonts w:hint="eastAsia"/>
                <w:color w:val="000000"/>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pPr>
              <w:widowControl/>
              <w:jc w:val="left"/>
              <w:rPr>
                <w:color w:val="000000"/>
              </w:rPr>
            </w:pPr>
          </w:p>
        </w:tc>
        <w:tc>
          <w:tcPr>
            <w:tcW w:w="3960" w:type="dxa"/>
            <w:gridSpan w:val="3"/>
            <w:tcBorders>
              <w:top w:val="dotted" w:color="auto" w:sz="4" w:space="0"/>
              <w:left w:val="dotted" w:color="auto" w:sz="4" w:space="0"/>
              <w:bottom w:val="dotted" w:color="auto" w:sz="4" w:space="0"/>
              <w:right w:val="dotted" w:color="auto" w:sz="4" w:space="0"/>
            </w:tcBorders>
            <w:vAlign w:val="center"/>
          </w:tcPr>
          <w:p>
            <w:pPr>
              <w:spacing w:before="100" w:beforeAutospacing="1" w:after="100" w:afterAutospacing="1" w:line="260" w:lineRule="exact"/>
              <w:rPr>
                <w:color w:val="000000"/>
              </w:rPr>
            </w:pPr>
            <w:r>
              <w:rPr>
                <w:rFonts w:hint="eastAsia"/>
                <w:color w:val="000000"/>
              </w:rPr>
              <w:t>申请报名前三年内，在经营活动中有无重大违法记录（重大违法记录包括：（一）县级以上行政机关对供应商或其法定代表人、董事、监事、高级管理人员在经营活动中的违法行为做出的行政处罚决定，但警告和罚款额在《浙江省实施行政处罚适用听证程序较大数额罚款标准》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cBorders>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vAlign w:val="center"/>
          </w:tcPr>
          <w:p>
            <w:pPr>
              <w:spacing w:before="100" w:beforeAutospacing="1" w:after="100" w:afterAutospacing="1" w:line="260" w:lineRule="exact"/>
              <w:jc w:val="center"/>
              <w:rPr>
                <w:color w:val="000000"/>
              </w:rPr>
            </w:pPr>
            <w:r>
              <w:rPr>
                <w:rFonts w:hint="eastAsia"/>
                <w:color w:val="000000"/>
              </w:rPr>
              <w:t>投标供应商</w:t>
            </w:r>
          </w:p>
          <w:p>
            <w:pPr>
              <w:spacing w:before="100" w:beforeAutospacing="1" w:after="100" w:afterAutospacing="1" w:line="260" w:lineRule="exact"/>
              <w:jc w:val="center"/>
              <w:rPr>
                <w:rFonts w:ascii="宋体" w:hAnsi="宋体"/>
                <w:color w:val="000000"/>
                <w:sz w:val="24"/>
              </w:rPr>
            </w:pPr>
            <w:r>
              <w:rPr>
                <w:rFonts w:hint="eastAsia"/>
                <w:color w:val="000000"/>
              </w:rPr>
              <w:t>声明</w:t>
            </w:r>
          </w:p>
        </w:tc>
        <w:tc>
          <w:tcPr>
            <w:tcW w:w="7438" w:type="dxa"/>
            <w:gridSpan w:val="5"/>
            <w:tcBorders>
              <w:top w:val="dotted" w:color="auto" w:sz="4" w:space="0"/>
              <w:left w:val="dotted" w:color="auto" w:sz="4" w:space="0"/>
              <w:bottom w:val="single" w:color="auto" w:sz="4" w:space="0"/>
              <w:right w:val="single" w:color="auto" w:sz="4" w:space="0"/>
            </w:tcBorders>
          </w:tcPr>
          <w:p>
            <w:pPr>
              <w:pStyle w:val="14"/>
              <w:spacing w:line="260" w:lineRule="exact"/>
              <w:ind w:firstLine="411" w:firstLineChars="196"/>
              <w:rPr>
                <w:szCs w:val="18"/>
              </w:rPr>
            </w:pPr>
            <w:r>
              <w:rPr>
                <w:rFonts w:hint="eastAsia"/>
                <w:szCs w:val="18"/>
              </w:rPr>
              <w:t>以上内容是本企业市场行为信用的真实反映，如有不实，愿取消本项目投标资格。</w:t>
            </w:r>
          </w:p>
          <w:p>
            <w:pPr>
              <w:spacing w:before="100" w:beforeAutospacing="1" w:after="100" w:afterAutospacing="1" w:line="260" w:lineRule="exact"/>
              <w:jc w:val="center"/>
              <w:rPr>
                <w:color w:val="000000"/>
                <w:sz w:val="24"/>
              </w:rPr>
            </w:pPr>
            <w:r>
              <w:rPr>
                <w:rFonts w:hint="eastAsia"/>
                <w:color w:val="000000"/>
              </w:rPr>
              <w:t>法定代表人签名：</w:t>
            </w:r>
            <w:r>
              <w:rPr>
                <w:color w:val="000000"/>
              </w:rPr>
              <w:t xml:space="preserve"> (</w:t>
            </w:r>
            <w:r>
              <w:rPr>
                <w:rFonts w:hint="eastAsia"/>
                <w:color w:val="000000"/>
              </w:rPr>
              <w:t>单位公章</w:t>
            </w:r>
            <w:r>
              <w:rPr>
                <w:color w:val="000000"/>
              </w:rPr>
              <w:t xml:space="preserve">) </w:t>
            </w:r>
          </w:p>
          <w:p>
            <w:pPr>
              <w:spacing w:before="100" w:beforeAutospacing="1" w:after="100" w:afterAutospacing="1" w:line="260" w:lineRule="exact"/>
              <w:jc w:val="center"/>
              <w:rPr>
                <w:rFonts w:ascii="宋体" w:hAnsi="宋体"/>
                <w:color w:val="000000"/>
                <w:sz w:val="24"/>
              </w:rPr>
            </w:pPr>
            <w:r>
              <w:rPr>
                <w:rFonts w:hint="eastAsia"/>
                <w:color w:val="000000"/>
              </w:rPr>
              <w:t>日期：年月日</w:t>
            </w:r>
          </w:p>
        </w:tc>
      </w:tr>
    </w:tbl>
    <w:p>
      <w:pPr>
        <w:rPr>
          <w:color w:val="000000"/>
        </w:rPr>
      </w:pPr>
      <w:r>
        <w:rPr>
          <w:rFonts w:hint="eastAsia"/>
          <w:color w:val="000000"/>
        </w:rPr>
        <w:t>注：</w:t>
      </w:r>
      <w:r>
        <w:rPr>
          <w:color w:val="000000"/>
        </w:rPr>
        <w:t>1</w:t>
      </w:r>
      <w:r>
        <w:rPr>
          <w:rFonts w:hint="eastAsia"/>
          <w:color w:val="000000"/>
        </w:rPr>
        <w:t>、本表格内容须如实填写；</w:t>
      </w:r>
    </w:p>
    <w:p>
      <w:pPr>
        <w:ind w:firstLine="420" w:firstLineChars="200"/>
        <w:rPr>
          <w:color w:val="000000"/>
        </w:rPr>
      </w:pPr>
      <w:r>
        <w:rPr>
          <w:color w:val="000000"/>
        </w:rPr>
        <w:t>2</w:t>
      </w:r>
      <w:r>
        <w:rPr>
          <w:rFonts w:hint="eastAsia"/>
          <w:color w:val="000000"/>
        </w:rPr>
        <w:t>、本表格由供应商自己填写，若无表中所列情况，则在相应栏中写“无“，若有，须按具体次数分别说明（包括处罚时间、事由、处罚主体等）；</w:t>
      </w:r>
    </w:p>
    <w:p>
      <w:pPr>
        <w:widowControl/>
        <w:spacing w:line="360" w:lineRule="auto"/>
        <w:ind w:left="420" w:right="159"/>
        <w:rPr>
          <w:rFonts w:ascii="宋体" w:hAnsi="宋体"/>
          <w:kern w:val="0"/>
          <w:sz w:val="24"/>
        </w:rPr>
      </w:pPr>
    </w:p>
    <w:p>
      <w:pPr>
        <w:widowControl/>
        <w:jc w:val="left"/>
        <w:rPr>
          <w:rFonts w:ascii="宋体" w:hAnsi="宋体"/>
          <w:b/>
        </w:rPr>
      </w:pPr>
      <w:r>
        <w:rPr>
          <w:rFonts w:ascii="宋体" w:hAnsi="宋体"/>
          <w:b/>
        </w:rPr>
        <w:br w:type="page"/>
      </w:r>
    </w:p>
    <w:p>
      <w:pPr>
        <w:snapToGrid w:val="0"/>
        <w:spacing w:before="157" w:beforeLines="50" w:after="50" w:line="360" w:lineRule="auto"/>
        <w:rPr>
          <w:rFonts w:ascii="宋体" w:hAnsi="宋体"/>
          <w:b/>
        </w:rPr>
      </w:pPr>
      <w:bookmarkStart w:id="48" w:name="_Toc23154"/>
      <w:r>
        <w:rPr>
          <w:rFonts w:hint="eastAsia" w:ascii="宋体" w:hAnsi="宋体"/>
          <w:b/>
        </w:rPr>
        <w:t>附件</w:t>
      </w:r>
      <w:bookmarkEnd w:id="48"/>
      <w:r>
        <w:rPr>
          <w:rFonts w:hint="eastAsia" w:ascii="宋体" w:hAnsi="宋体"/>
          <w:b/>
        </w:rPr>
        <w:t>7</w:t>
      </w:r>
    </w:p>
    <w:p>
      <w:pPr>
        <w:spacing w:line="480" w:lineRule="exact"/>
        <w:jc w:val="center"/>
        <w:outlineLvl w:val="3"/>
        <w:rPr>
          <w:rFonts w:ascii="宋体" w:hAnsi="宋体" w:cs="宋体"/>
          <w:b/>
          <w:sz w:val="32"/>
          <w:szCs w:val="32"/>
          <w:lang w:val="en-GB"/>
        </w:rPr>
      </w:pPr>
      <w:r>
        <w:rPr>
          <w:rFonts w:hint="eastAsia" w:ascii="宋体" w:hAnsi="宋体" w:cs="宋体"/>
          <w:b/>
          <w:sz w:val="32"/>
          <w:szCs w:val="32"/>
          <w:lang w:val="en-GB"/>
        </w:rPr>
        <w:t>评分响应表</w:t>
      </w:r>
    </w:p>
    <w:p>
      <w:pPr>
        <w:snapToGrid w:val="0"/>
        <w:spacing w:line="360" w:lineRule="auto"/>
        <w:ind w:firstLine="241" w:firstLineChars="100"/>
        <w:rPr>
          <w:rFonts w:ascii="宋体" w:hAnsi="宋体"/>
          <w:b/>
          <w:sz w:val="24"/>
          <w:u w:val="single"/>
        </w:rPr>
      </w:pPr>
      <w:r>
        <w:rPr>
          <w:rFonts w:hint="eastAsia" w:ascii="宋体" w:hAnsi="宋体"/>
          <w:b/>
          <w:sz w:val="24"/>
        </w:rPr>
        <w:t>投标单位名称：</w:t>
      </w:r>
    </w:p>
    <w:tbl>
      <w:tblPr>
        <w:tblStyle w:val="34"/>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318"/>
        <w:gridCol w:w="3124"/>
        <w:gridCol w:w="1156"/>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pStyle w:val="27"/>
              <w:spacing w:after="0" w:line="360" w:lineRule="auto"/>
              <w:ind w:left="0" w:leftChars="0"/>
              <w:rPr>
                <w:b/>
                <w:bCs/>
                <w:sz w:val="24"/>
                <w:szCs w:val="24"/>
              </w:rPr>
            </w:pPr>
            <w:r>
              <w:rPr>
                <w:rFonts w:hint="eastAsia"/>
                <w:b/>
                <w:bCs/>
                <w:sz w:val="24"/>
                <w:szCs w:val="24"/>
              </w:rPr>
              <w:t>序号</w:t>
            </w:r>
          </w:p>
        </w:tc>
        <w:tc>
          <w:tcPr>
            <w:tcW w:w="1318" w:type="dxa"/>
            <w:tcBorders>
              <w:top w:val="single" w:color="auto" w:sz="4" w:space="0"/>
              <w:left w:val="single" w:color="auto" w:sz="4" w:space="0"/>
              <w:bottom w:val="single" w:color="auto" w:sz="4" w:space="0"/>
              <w:right w:val="single" w:color="auto" w:sz="4" w:space="0"/>
            </w:tcBorders>
            <w:vAlign w:val="center"/>
          </w:tcPr>
          <w:p>
            <w:pPr>
              <w:pStyle w:val="27"/>
              <w:spacing w:after="0" w:line="360" w:lineRule="auto"/>
              <w:ind w:left="0" w:leftChars="0"/>
              <w:rPr>
                <w:b/>
                <w:bCs/>
                <w:sz w:val="24"/>
                <w:szCs w:val="24"/>
              </w:rPr>
            </w:pPr>
            <w:r>
              <w:rPr>
                <w:rFonts w:hint="eastAsia"/>
                <w:b/>
                <w:bCs/>
                <w:sz w:val="24"/>
                <w:szCs w:val="24"/>
              </w:rPr>
              <w:t>评审内容</w:t>
            </w:r>
          </w:p>
        </w:tc>
        <w:tc>
          <w:tcPr>
            <w:tcW w:w="3124" w:type="dxa"/>
            <w:tcBorders>
              <w:top w:val="single" w:color="auto" w:sz="4" w:space="0"/>
              <w:left w:val="single" w:color="auto" w:sz="4" w:space="0"/>
              <w:bottom w:val="single" w:color="auto" w:sz="4" w:space="0"/>
              <w:right w:val="single" w:color="auto" w:sz="4" w:space="0"/>
            </w:tcBorders>
            <w:vAlign w:val="center"/>
          </w:tcPr>
          <w:p>
            <w:pPr>
              <w:pStyle w:val="27"/>
              <w:spacing w:after="0" w:line="360" w:lineRule="auto"/>
              <w:ind w:firstLine="482"/>
              <w:jc w:val="center"/>
              <w:rPr>
                <w:b/>
                <w:bCs/>
                <w:sz w:val="24"/>
                <w:szCs w:val="24"/>
              </w:rPr>
            </w:pPr>
            <w:r>
              <w:rPr>
                <w:rFonts w:hint="eastAsia"/>
                <w:b/>
                <w:bCs/>
                <w:sz w:val="24"/>
                <w:szCs w:val="24"/>
              </w:rPr>
              <w:t>评分标准</w:t>
            </w:r>
          </w:p>
        </w:tc>
        <w:tc>
          <w:tcPr>
            <w:tcW w:w="1156" w:type="dxa"/>
            <w:tcBorders>
              <w:top w:val="single" w:color="auto" w:sz="4" w:space="0"/>
              <w:left w:val="single" w:color="auto" w:sz="4" w:space="0"/>
              <w:bottom w:val="single" w:color="auto" w:sz="4" w:space="0"/>
              <w:right w:val="single" w:color="auto" w:sz="4" w:space="0"/>
            </w:tcBorders>
            <w:vAlign w:val="center"/>
          </w:tcPr>
          <w:p>
            <w:pPr>
              <w:pStyle w:val="27"/>
              <w:spacing w:after="0" w:line="360" w:lineRule="auto"/>
              <w:jc w:val="center"/>
              <w:rPr>
                <w:b/>
                <w:bCs/>
                <w:sz w:val="24"/>
                <w:szCs w:val="24"/>
              </w:rPr>
            </w:pPr>
            <w:r>
              <w:rPr>
                <w:rFonts w:hint="eastAsia"/>
                <w:b/>
                <w:bCs/>
                <w:sz w:val="24"/>
                <w:szCs w:val="24"/>
              </w:rPr>
              <w:t>分值</w:t>
            </w:r>
          </w:p>
        </w:tc>
        <w:tc>
          <w:tcPr>
            <w:tcW w:w="2700" w:type="dxa"/>
            <w:tcBorders>
              <w:top w:val="single" w:color="auto" w:sz="4" w:space="0"/>
              <w:left w:val="single" w:color="auto" w:sz="4" w:space="0"/>
              <w:bottom w:val="single" w:color="auto" w:sz="4" w:space="0"/>
              <w:right w:val="single" w:color="auto" w:sz="4" w:space="0"/>
            </w:tcBorders>
            <w:vAlign w:val="center"/>
          </w:tcPr>
          <w:p>
            <w:pPr>
              <w:pStyle w:val="27"/>
              <w:spacing w:after="0" w:line="360" w:lineRule="auto"/>
              <w:jc w:val="center"/>
              <w:rPr>
                <w:b/>
                <w:bCs/>
                <w:sz w:val="24"/>
                <w:szCs w:val="24"/>
              </w:rPr>
            </w:pPr>
            <w:r>
              <w:rPr>
                <w:rFonts w:hint="eastAsia"/>
                <w:b/>
                <w:bCs/>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 w:val="24"/>
              </w:rPr>
            </w:pPr>
            <w:r>
              <w:rPr>
                <w:rFonts w:hint="eastAsia" w:ascii="宋体" w:hAnsi="宋体"/>
                <w:sz w:val="24"/>
              </w:rPr>
              <w:t>1</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3124"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4"/>
              </w:rPr>
            </w:pPr>
          </w:p>
        </w:tc>
        <w:tc>
          <w:tcPr>
            <w:tcW w:w="1156"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sz w:val="24"/>
              </w:rPr>
            </w:pPr>
          </w:p>
        </w:tc>
        <w:tc>
          <w:tcPr>
            <w:tcW w:w="2700" w:type="dxa"/>
            <w:tcBorders>
              <w:top w:val="single" w:color="auto" w:sz="4" w:space="0"/>
              <w:left w:val="single" w:color="auto" w:sz="4" w:space="0"/>
              <w:right w:val="single" w:color="auto" w:sz="4" w:space="0"/>
            </w:tcBorders>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sz w:val="24"/>
              </w:rPr>
            </w:pPr>
            <w:r>
              <w:rPr>
                <w:rFonts w:hint="eastAsia" w:ascii="宋体" w:hAnsi="宋体"/>
                <w:sz w:val="24"/>
              </w:rPr>
              <w:t>2</w:t>
            </w:r>
          </w:p>
        </w:tc>
        <w:tc>
          <w:tcPr>
            <w:tcW w:w="13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p>
        </w:tc>
        <w:tc>
          <w:tcPr>
            <w:tcW w:w="3124" w:type="dxa"/>
            <w:tcBorders>
              <w:top w:val="single" w:color="auto" w:sz="4" w:space="0"/>
              <w:left w:val="single" w:color="auto" w:sz="4" w:space="0"/>
              <w:right w:val="single" w:color="auto" w:sz="4" w:space="0"/>
            </w:tcBorders>
            <w:vAlign w:val="center"/>
          </w:tcPr>
          <w:p>
            <w:pPr>
              <w:widowControl/>
              <w:spacing w:line="480" w:lineRule="exact"/>
              <w:jc w:val="center"/>
              <w:rPr>
                <w:rFonts w:ascii="宋体" w:hAnsi="宋体" w:cs="宋体"/>
                <w:kern w:val="0"/>
                <w:sz w:val="24"/>
              </w:rPr>
            </w:pPr>
          </w:p>
        </w:tc>
        <w:tc>
          <w:tcPr>
            <w:tcW w:w="1156" w:type="dxa"/>
            <w:tcBorders>
              <w:top w:val="single" w:color="auto" w:sz="4" w:space="0"/>
              <w:left w:val="single" w:color="auto" w:sz="4" w:space="0"/>
              <w:right w:val="single" w:color="auto" w:sz="4" w:space="0"/>
            </w:tcBorders>
            <w:vAlign w:val="center"/>
          </w:tcPr>
          <w:p>
            <w:pPr>
              <w:spacing w:line="480" w:lineRule="exact"/>
              <w:jc w:val="center"/>
              <w:rPr>
                <w:rFonts w:ascii="宋体" w:hAnsi="宋体"/>
                <w:bCs/>
                <w:sz w:val="24"/>
              </w:rPr>
            </w:pPr>
          </w:p>
        </w:tc>
        <w:tc>
          <w:tcPr>
            <w:tcW w:w="2700" w:type="dxa"/>
            <w:tcBorders>
              <w:top w:val="single" w:color="auto" w:sz="4" w:space="0"/>
              <w:left w:val="single" w:color="auto" w:sz="4" w:space="0"/>
              <w:right w:val="single" w:color="auto" w:sz="4" w:space="0"/>
            </w:tcBorders>
            <w:vAlign w:val="center"/>
          </w:tcPr>
          <w:p>
            <w:pPr>
              <w:spacing w:line="4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left w:val="single" w:color="auto" w:sz="4" w:space="0"/>
              <w:bottom w:val="single" w:color="auto" w:sz="4" w:space="0"/>
              <w:right w:val="single" w:color="auto" w:sz="4" w:space="0"/>
            </w:tcBorders>
            <w:vAlign w:val="center"/>
          </w:tcPr>
          <w:p>
            <w:pPr>
              <w:widowControl/>
              <w:spacing w:line="480" w:lineRule="exact"/>
              <w:jc w:val="center"/>
              <w:rPr>
                <w:rFonts w:ascii="宋体" w:hAnsi="宋体"/>
                <w:sz w:val="24"/>
              </w:rPr>
            </w:pPr>
          </w:p>
        </w:tc>
        <w:tc>
          <w:tcPr>
            <w:tcW w:w="1318" w:type="dxa"/>
            <w:tcBorders>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 w:val="24"/>
              </w:rPr>
            </w:pPr>
          </w:p>
        </w:tc>
        <w:tc>
          <w:tcPr>
            <w:tcW w:w="3124" w:type="dxa"/>
            <w:tcBorders>
              <w:top w:val="single" w:color="auto" w:sz="4" w:space="0"/>
              <w:left w:val="single" w:color="auto" w:sz="4" w:space="0"/>
              <w:bottom w:val="single" w:color="auto" w:sz="4" w:space="0"/>
              <w:right w:val="single" w:color="auto" w:sz="4" w:space="0"/>
            </w:tcBorders>
            <w:vAlign w:val="center"/>
          </w:tcPr>
          <w:p>
            <w:pPr>
              <w:spacing w:line="480" w:lineRule="exact"/>
              <w:ind w:left="55" w:leftChars="26"/>
              <w:jc w:val="center"/>
              <w:rPr>
                <w:rFonts w:ascii="宋体" w:hAnsi="宋体" w:cs="宋体"/>
                <w:kern w:val="0"/>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Cs/>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left w:val="single" w:color="auto" w:sz="4" w:space="0"/>
              <w:bottom w:val="single" w:color="auto" w:sz="4" w:space="0"/>
              <w:right w:val="single" w:color="auto" w:sz="4" w:space="0"/>
            </w:tcBorders>
            <w:vAlign w:val="center"/>
          </w:tcPr>
          <w:p>
            <w:pPr>
              <w:widowControl/>
              <w:spacing w:line="480" w:lineRule="exact"/>
              <w:jc w:val="center"/>
              <w:rPr>
                <w:rFonts w:ascii="宋体" w:hAnsi="宋体"/>
                <w:sz w:val="24"/>
              </w:rPr>
            </w:pPr>
          </w:p>
        </w:tc>
        <w:tc>
          <w:tcPr>
            <w:tcW w:w="1318" w:type="dxa"/>
            <w:tcBorders>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 w:val="24"/>
              </w:rPr>
            </w:pPr>
          </w:p>
        </w:tc>
        <w:tc>
          <w:tcPr>
            <w:tcW w:w="3124" w:type="dxa"/>
            <w:tcBorders>
              <w:top w:val="single" w:color="auto" w:sz="4" w:space="0"/>
              <w:left w:val="single" w:color="auto" w:sz="4" w:space="0"/>
              <w:bottom w:val="single" w:color="auto" w:sz="4" w:space="0"/>
              <w:right w:val="single" w:color="auto" w:sz="4" w:space="0"/>
            </w:tcBorders>
            <w:vAlign w:val="center"/>
          </w:tcPr>
          <w:p>
            <w:pPr>
              <w:spacing w:line="480" w:lineRule="exact"/>
              <w:ind w:left="55" w:leftChars="26"/>
              <w:jc w:val="center"/>
              <w:rPr>
                <w:rFonts w:ascii="宋体" w:hAnsi="宋体" w:cs="宋体"/>
                <w:kern w:val="0"/>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Cs/>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left w:val="single" w:color="auto" w:sz="4" w:space="0"/>
              <w:bottom w:val="single" w:color="auto" w:sz="4" w:space="0"/>
              <w:right w:val="single" w:color="auto" w:sz="4" w:space="0"/>
            </w:tcBorders>
            <w:vAlign w:val="center"/>
          </w:tcPr>
          <w:p>
            <w:pPr>
              <w:widowControl/>
              <w:spacing w:line="480" w:lineRule="exact"/>
              <w:jc w:val="center"/>
              <w:rPr>
                <w:rFonts w:ascii="宋体" w:hAnsi="宋体"/>
                <w:sz w:val="24"/>
              </w:rPr>
            </w:pPr>
            <w:r>
              <w:rPr>
                <w:rFonts w:hint="eastAsia" w:ascii="宋体" w:hAnsi="宋体"/>
                <w:sz w:val="24"/>
              </w:rPr>
              <w:t>……</w:t>
            </w:r>
          </w:p>
        </w:tc>
        <w:tc>
          <w:tcPr>
            <w:tcW w:w="1318" w:type="dxa"/>
            <w:tcBorders>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 w:val="24"/>
              </w:rPr>
            </w:pPr>
          </w:p>
        </w:tc>
        <w:tc>
          <w:tcPr>
            <w:tcW w:w="3124" w:type="dxa"/>
            <w:tcBorders>
              <w:top w:val="single" w:color="auto" w:sz="4" w:space="0"/>
              <w:left w:val="single" w:color="auto" w:sz="4" w:space="0"/>
              <w:bottom w:val="single" w:color="auto" w:sz="4" w:space="0"/>
              <w:right w:val="single" w:color="auto" w:sz="4" w:space="0"/>
            </w:tcBorders>
            <w:vAlign w:val="center"/>
          </w:tcPr>
          <w:p>
            <w:pPr>
              <w:spacing w:line="480" w:lineRule="exact"/>
              <w:ind w:left="55" w:leftChars="26"/>
              <w:jc w:val="center"/>
              <w:rPr>
                <w:rFonts w:ascii="宋体" w:hAnsi="宋体" w:cs="宋体"/>
                <w:kern w:val="0"/>
                <w:sz w:val="24"/>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Cs/>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Cs/>
                <w:sz w:val="24"/>
              </w:rPr>
            </w:pPr>
          </w:p>
        </w:tc>
      </w:tr>
    </w:tbl>
    <w:p>
      <w:pPr>
        <w:snapToGrid w:val="0"/>
        <w:spacing w:line="480" w:lineRule="exact"/>
        <w:rPr>
          <w:rFonts w:ascii="宋体" w:hAnsi="宋体"/>
          <w:b/>
          <w:bCs/>
          <w:sz w:val="24"/>
        </w:rPr>
      </w:pPr>
      <w:r>
        <w:rPr>
          <w:rFonts w:hint="eastAsia" w:ascii="宋体" w:hAnsi="宋体"/>
          <w:b/>
          <w:bCs/>
          <w:sz w:val="24"/>
        </w:rPr>
        <w:t>注：1、投标单位根据所投标项的评分表内容，按此格式提供评分响应表置于技术文件第1页。</w:t>
      </w:r>
    </w:p>
    <w:p>
      <w:pPr>
        <w:snapToGrid w:val="0"/>
        <w:spacing w:line="480" w:lineRule="exact"/>
        <w:ind w:firstLine="482" w:firstLineChars="200"/>
        <w:jc w:val="left"/>
        <w:rPr>
          <w:rFonts w:ascii="宋体" w:hAnsi="宋体"/>
          <w:b/>
          <w:bCs/>
          <w:sz w:val="24"/>
        </w:rPr>
      </w:pPr>
      <w:r>
        <w:rPr>
          <w:rFonts w:hint="eastAsia" w:ascii="宋体" w:hAnsi="宋体"/>
          <w:b/>
          <w:bCs/>
          <w:sz w:val="24"/>
        </w:rPr>
        <w:t>2、投标人在标注页码时，应如实准确地标注页码，因投标人页码标注错误，导致专家误评、漏评的风险由投标人承担。</w:t>
      </w:r>
    </w:p>
    <w:p>
      <w:pPr>
        <w:snapToGrid w:val="0"/>
        <w:spacing w:line="480" w:lineRule="exact"/>
        <w:jc w:val="left"/>
        <w:rPr>
          <w:rFonts w:ascii="宋体" w:hAnsi="宋体"/>
          <w:b/>
          <w:sz w:val="24"/>
        </w:rPr>
      </w:pPr>
    </w:p>
    <w:p>
      <w:pPr>
        <w:spacing w:line="480" w:lineRule="exact"/>
        <w:rPr>
          <w:rFonts w:ascii="宋体" w:hAnsi="宋体"/>
          <w:b/>
          <w:bCs/>
          <w:sz w:val="24"/>
        </w:rPr>
      </w:pPr>
    </w:p>
    <w:p>
      <w:pPr>
        <w:tabs>
          <w:tab w:val="left" w:pos="540"/>
        </w:tabs>
        <w:spacing w:line="480" w:lineRule="exact"/>
        <w:rPr>
          <w:rFonts w:ascii="宋体" w:hAnsi="宋体"/>
          <w:b/>
          <w:sz w:val="24"/>
          <w:lang w:val="en-GB"/>
        </w:rPr>
      </w:pPr>
    </w:p>
    <w:p>
      <w:pPr>
        <w:adjustRightInd w:val="0"/>
        <w:snapToGrid w:val="0"/>
        <w:spacing w:line="480" w:lineRule="exact"/>
        <w:rPr>
          <w:rFonts w:ascii="宋体" w:hAnsi="宋体"/>
          <w:sz w:val="24"/>
        </w:rPr>
      </w:pPr>
      <w:r>
        <w:rPr>
          <w:rFonts w:hint="eastAsia" w:ascii="宋体" w:hAnsi="宋体"/>
          <w:sz w:val="24"/>
        </w:rPr>
        <w:t>响应供应商法定代表人（或法定代表人授权代表）签字：</w:t>
      </w:r>
    </w:p>
    <w:p>
      <w:pPr>
        <w:adjustRightInd w:val="0"/>
        <w:snapToGrid w:val="0"/>
        <w:spacing w:line="480" w:lineRule="exact"/>
        <w:rPr>
          <w:rFonts w:ascii="宋体" w:hAnsi="宋体"/>
          <w:sz w:val="24"/>
          <w:u w:val="single"/>
        </w:rPr>
      </w:pPr>
      <w:r>
        <w:rPr>
          <w:rFonts w:hint="eastAsia" w:ascii="宋体" w:hAnsi="宋体"/>
          <w:sz w:val="24"/>
        </w:rPr>
        <w:t>响应供应商名称（签章）：</w:t>
      </w:r>
    </w:p>
    <w:p>
      <w:pPr>
        <w:spacing w:line="480" w:lineRule="exact"/>
        <w:rPr>
          <w:rFonts w:ascii="宋体" w:hAnsi="宋体"/>
          <w:sz w:val="24"/>
        </w:rPr>
      </w:pPr>
      <w:r>
        <w:rPr>
          <w:rFonts w:hint="eastAsia" w:ascii="宋体" w:hAnsi="宋体"/>
          <w:sz w:val="24"/>
        </w:rPr>
        <w:t>日期：年 月 日</w:t>
      </w:r>
    </w:p>
    <w:p>
      <w:pPr>
        <w:tabs>
          <w:tab w:val="left" w:pos="540"/>
        </w:tabs>
        <w:spacing w:line="480" w:lineRule="exact"/>
        <w:jc w:val="center"/>
        <w:rPr>
          <w:rFonts w:ascii="仿宋_GB2312" w:hAnsi="宋体" w:eastAsia="仿宋_GB2312"/>
          <w:b/>
          <w:sz w:val="28"/>
          <w:szCs w:val="28"/>
          <w:lang w:val="en-GB"/>
        </w:rPr>
      </w:pPr>
    </w:p>
    <w:p>
      <w:pPr>
        <w:tabs>
          <w:tab w:val="left" w:pos="540"/>
        </w:tabs>
        <w:spacing w:line="480" w:lineRule="exact"/>
        <w:jc w:val="center"/>
        <w:rPr>
          <w:rFonts w:ascii="仿宋_GB2312" w:hAnsi="宋体" w:eastAsia="仿宋_GB2312"/>
          <w:b/>
          <w:sz w:val="28"/>
          <w:szCs w:val="28"/>
          <w:lang w:val="en-GB"/>
        </w:rPr>
      </w:pPr>
    </w:p>
    <w:p>
      <w:pPr>
        <w:tabs>
          <w:tab w:val="left" w:pos="540"/>
        </w:tabs>
        <w:spacing w:line="480" w:lineRule="exact"/>
        <w:jc w:val="center"/>
        <w:rPr>
          <w:rFonts w:ascii="仿宋_GB2312" w:hAnsi="宋体" w:eastAsia="仿宋_GB2312"/>
          <w:b/>
          <w:sz w:val="28"/>
          <w:szCs w:val="28"/>
          <w:lang w:val="en-GB"/>
        </w:rPr>
      </w:pPr>
    </w:p>
    <w:p>
      <w:pPr>
        <w:rPr>
          <w:rFonts w:ascii="宋体" w:hAnsi="宋体" w:cs="宋体"/>
          <w:b/>
          <w:bCs/>
          <w:sz w:val="24"/>
        </w:rPr>
      </w:pPr>
      <w:r>
        <w:rPr>
          <w:rFonts w:hint="eastAsia" w:ascii="宋体" w:hAnsi="宋体" w:cs="宋体"/>
          <w:b/>
          <w:bCs/>
          <w:sz w:val="24"/>
        </w:rPr>
        <w:br w:type="page"/>
      </w:r>
    </w:p>
    <w:p>
      <w:pPr>
        <w:snapToGrid w:val="0"/>
        <w:spacing w:before="157" w:beforeLines="50" w:after="50" w:line="360" w:lineRule="auto"/>
        <w:rPr>
          <w:rFonts w:ascii="宋体" w:hAnsi="宋体" w:cs="宋体"/>
          <w:b/>
          <w:bCs/>
          <w:sz w:val="24"/>
        </w:rPr>
      </w:pPr>
      <w:r>
        <w:rPr>
          <w:rFonts w:hint="eastAsia" w:ascii="宋体" w:hAnsi="宋体"/>
          <w:b/>
        </w:rPr>
        <w:t>附件8</w:t>
      </w:r>
    </w:p>
    <w:p>
      <w:pPr>
        <w:pStyle w:val="19"/>
        <w:spacing w:line="480" w:lineRule="exact"/>
        <w:ind w:right="-48" w:rightChars="-23"/>
        <w:jc w:val="center"/>
        <w:rPr>
          <w:rFonts w:hAnsi="宋体" w:cs="宋体"/>
          <w:b/>
          <w:bCs/>
          <w:sz w:val="24"/>
        </w:rPr>
      </w:pPr>
      <w:r>
        <w:rPr>
          <w:rFonts w:hint="eastAsia" w:hAnsi="宋体" w:cs="宋体"/>
          <w:b/>
          <w:bCs/>
          <w:sz w:val="24"/>
        </w:rPr>
        <w:t>性能及技术指标偏离表</w:t>
      </w:r>
    </w:p>
    <w:p>
      <w:pPr>
        <w:jc w:val="center"/>
        <w:rPr>
          <w:rFonts w:ascii="宋体" w:hAnsi="宋体" w:cs="宋体"/>
          <w:b/>
          <w:bCs/>
          <w:sz w:val="24"/>
          <w:u w:val="single"/>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投标人名称（盖章）：                          采购编号：</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23"/>
        <w:gridCol w:w="2250"/>
        <w:gridCol w:w="2181"/>
        <w:gridCol w:w="1263"/>
        <w:gridCol w:w="75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26" w:type="dxa"/>
            <w:vAlign w:val="center"/>
          </w:tcPr>
          <w:p>
            <w:pPr>
              <w:spacing w:line="360" w:lineRule="auto"/>
              <w:jc w:val="center"/>
              <w:rPr>
                <w:rFonts w:ascii="宋体" w:hAnsi="宋体" w:cs="宋体"/>
                <w:b/>
                <w:bCs/>
                <w:sz w:val="24"/>
              </w:rPr>
            </w:pPr>
            <w:r>
              <w:rPr>
                <w:rFonts w:hint="eastAsia" w:ascii="宋体" w:hAnsi="宋体" w:cs="宋体"/>
                <w:b/>
                <w:bCs/>
                <w:sz w:val="24"/>
              </w:rPr>
              <w:t>序号</w:t>
            </w:r>
          </w:p>
        </w:tc>
        <w:tc>
          <w:tcPr>
            <w:tcW w:w="1223" w:type="dxa"/>
            <w:vAlign w:val="center"/>
          </w:tcPr>
          <w:p>
            <w:pPr>
              <w:spacing w:line="360" w:lineRule="auto"/>
              <w:jc w:val="center"/>
              <w:rPr>
                <w:rFonts w:ascii="宋体" w:hAnsi="宋体" w:cs="宋体"/>
                <w:b/>
                <w:bCs/>
                <w:sz w:val="24"/>
              </w:rPr>
            </w:pPr>
            <w:r>
              <w:rPr>
                <w:rFonts w:hint="eastAsia" w:ascii="宋体" w:hAnsi="宋体" w:cs="宋体"/>
                <w:b/>
                <w:bCs/>
                <w:sz w:val="24"/>
              </w:rPr>
              <w:t>货物名称</w:t>
            </w:r>
          </w:p>
        </w:tc>
        <w:tc>
          <w:tcPr>
            <w:tcW w:w="2250" w:type="dxa"/>
            <w:vAlign w:val="center"/>
          </w:tcPr>
          <w:p>
            <w:pPr>
              <w:spacing w:line="360" w:lineRule="auto"/>
              <w:jc w:val="center"/>
              <w:rPr>
                <w:rFonts w:ascii="宋体" w:hAnsi="宋体" w:cs="宋体"/>
                <w:b/>
                <w:bCs/>
                <w:sz w:val="24"/>
              </w:rPr>
            </w:pPr>
            <w:r>
              <w:rPr>
                <w:rFonts w:hint="eastAsia" w:ascii="宋体" w:hAnsi="宋体" w:cs="宋体"/>
                <w:b/>
                <w:bCs/>
                <w:sz w:val="24"/>
              </w:rPr>
              <w:t>招标文件规范要求</w:t>
            </w:r>
          </w:p>
        </w:tc>
        <w:tc>
          <w:tcPr>
            <w:tcW w:w="2181" w:type="dxa"/>
            <w:vAlign w:val="center"/>
          </w:tcPr>
          <w:p>
            <w:pPr>
              <w:spacing w:line="360" w:lineRule="auto"/>
              <w:jc w:val="center"/>
              <w:rPr>
                <w:rFonts w:ascii="宋体" w:hAnsi="宋体" w:cs="宋体"/>
                <w:b/>
                <w:bCs/>
                <w:sz w:val="24"/>
              </w:rPr>
            </w:pPr>
            <w:r>
              <w:rPr>
                <w:rFonts w:hint="eastAsia" w:ascii="宋体" w:hAnsi="宋体" w:cs="宋体"/>
                <w:b/>
                <w:bCs/>
                <w:sz w:val="24"/>
              </w:rPr>
              <w:t>投标文件对应规范</w:t>
            </w:r>
          </w:p>
        </w:tc>
        <w:tc>
          <w:tcPr>
            <w:tcW w:w="1263" w:type="dxa"/>
            <w:vAlign w:val="center"/>
          </w:tcPr>
          <w:p>
            <w:pPr>
              <w:spacing w:line="360" w:lineRule="auto"/>
              <w:jc w:val="center"/>
              <w:rPr>
                <w:rFonts w:ascii="宋体" w:hAnsi="宋体" w:cs="宋体"/>
                <w:b/>
                <w:bCs/>
                <w:sz w:val="24"/>
              </w:rPr>
            </w:pPr>
            <w:r>
              <w:rPr>
                <w:rFonts w:hint="eastAsia" w:ascii="宋体" w:hAnsi="宋体" w:cs="宋体"/>
                <w:b/>
                <w:bCs/>
                <w:sz w:val="24"/>
              </w:rPr>
              <w:t>是否响应</w:t>
            </w:r>
          </w:p>
        </w:tc>
        <w:tc>
          <w:tcPr>
            <w:tcW w:w="750" w:type="dxa"/>
            <w:vAlign w:val="center"/>
          </w:tcPr>
          <w:p>
            <w:pPr>
              <w:spacing w:line="360" w:lineRule="auto"/>
              <w:jc w:val="center"/>
              <w:rPr>
                <w:rFonts w:ascii="宋体" w:hAnsi="宋体" w:cs="宋体"/>
                <w:b/>
                <w:bCs/>
                <w:sz w:val="24"/>
              </w:rPr>
            </w:pPr>
            <w:r>
              <w:rPr>
                <w:rFonts w:hint="eastAsia" w:ascii="宋体" w:hAnsi="宋体" w:cs="宋体"/>
                <w:b/>
                <w:bCs/>
                <w:sz w:val="24"/>
              </w:rPr>
              <w:t>偏离</w:t>
            </w:r>
          </w:p>
        </w:tc>
        <w:tc>
          <w:tcPr>
            <w:tcW w:w="710" w:type="dxa"/>
            <w:vAlign w:val="center"/>
          </w:tcPr>
          <w:p>
            <w:pPr>
              <w:spacing w:line="360" w:lineRule="auto"/>
              <w:jc w:val="center"/>
              <w:rPr>
                <w:rFonts w:ascii="宋体" w:hAnsi="宋体" w:cs="宋体"/>
                <w:b/>
                <w:bCs/>
                <w:sz w:val="24"/>
              </w:rPr>
            </w:pPr>
            <w:r>
              <w:rPr>
                <w:rFonts w:hint="eastAsia" w:ascii="宋体" w:hAnsi="宋体" w:cs="宋体"/>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pPr>
              <w:spacing w:line="360" w:lineRule="auto"/>
              <w:ind w:firstLine="480" w:firstLineChars="200"/>
              <w:rPr>
                <w:rFonts w:ascii="宋体" w:hAnsi="宋体" w:cs="宋体"/>
                <w:sz w:val="24"/>
              </w:rPr>
            </w:pPr>
          </w:p>
        </w:tc>
        <w:tc>
          <w:tcPr>
            <w:tcW w:w="1223" w:type="dxa"/>
          </w:tcPr>
          <w:p>
            <w:pPr>
              <w:spacing w:line="360" w:lineRule="auto"/>
              <w:ind w:firstLine="480" w:firstLineChars="200"/>
              <w:rPr>
                <w:rFonts w:ascii="宋体" w:hAnsi="宋体" w:cs="宋体"/>
                <w:sz w:val="24"/>
              </w:rPr>
            </w:pPr>
          </w:p>
        </w:tc>
        <w:tc>
          <w:tcPr>
            <w:tcW w:w="2250" w:type="dxa"/>
          </w:tcPr>
          <w:p>
            <w:pPr>
              <w:spacing w:line="360" w:lineRule="auto"/>
              <w:ind w:firstLine="480" w:firstLineChars="200"/>
              <w:rPr>
                <w:rFonts w:ascii="宋体" w:hAnsi="宋体" w:cs="宋体"/>
                <w:sz w:val="24"/>
              </w:rPr>
            </w:pPr>
          </w:p>
        </w:tc>
        <w:tc>
          <w:tcPr>
            <w:tcW w:w="2181" w:type="dxa"/>
          </w:tcPr>
          <w:p>
            <w:pPr>
              <w:spacing w:line="360" w:lineRule="auto"/>
              <w:ind w:firstLine="480" w:firstLineChars="200"/>
              <w:rPr>
                <w:rFonts w:ascii="宋体" w:hAnsi="宋体" w:cs="宋体"/>
                <w:sz w:val="24"/>
              </w:rPr>
            </w:pPr>
          </w:p>
        </w:tc>
        <w:tc>
          <w:tcPr>
            <w:tcW w:w="1263" w:type="dxa"/>
          </w:tcPr>
          <w:p>
            <w:pPr>
              <w:spacing w:line="360" w:lineRule="auto"/>
              <w:ind w:firstLine="480" w:firstLineChars="200"/>
              <w:rPr>
                <w:rFonts w:ascii="宋体" w:hAnsi="宋体" w:cs="宋体"/>
                <w:sz w:val="24"/>
              </w:rPr>
            </w:pPr>
          </w:p>
        </w:tc>
        <w:tc>
          <w:tcPr>
            <w:tcW w:w="750" w:type="dxa"/>
          </w:tcPr>
          <w:p>
            <w:pPr>
              <w:spacing w:line="360" w:lineRule="auto"/>
              <w:ind w:firstLine="480" w:firstLineChars="200"/>
              <w:rPr>
                <w:rFonts w:ascii="宋体" w:hAnsi="宋体" w:cs="宋体"/>
                <w:sz w:val="24"/>
              </w:rPr>
            </w:pPr>
          </w:p>
        </w:tc>
        <w:tc>
          <w:tcPr>
            <w:tcW w:w="710" w:type="dxa"/>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pPr>
              <w:spacing w:line="360" w:lineRule="auto"/>
              <w:ind w:firstLine="480" w:firstLineChars="200"/>
              <w:rPr>
                <w:rFonts w:ascii="宋体" w:hAnsi="宋体" w:cs="宋体"/>
                <w:sz w:val="24"/>
              </w:rPr>
            </w:pPr>
          </w:p>
        </w:tc>
        <w:tc>
          <w:tcPr>
            <w:tcW w:w="1223" w:type="dxa"/>
          </w:tcPr>
          <w:p>
            <w:pPr>
              <w:spacing w:line="360" w:lineRule="auto"/>
              <w:ind w:firstLine="480" w:firstLineChars="200"/>
              <w:rPr>
                <w:rFonts w:ascii="宋体" w:hAnsi="宋体" w:cs="宋体"/>
                <w:sz w:val="24"/>
              </w:rPr>
            </w:pPr>
          </w:p>
        </w:tc>
        <w:tc>
          <w:tcPr>
            <w:tcW w:w="2250" w:type="dxa"/>
          </w:tcPr>
          <w:p>
            <w:pPr>
              <w:spacing w:line="360" w:lineRule="auto"/>
              <w:ind w:firstLine="480" w:firstLineChars="200"/>
              <w:rPr>
                <w:rFonts w:ascii="宋体" w:hAnsi="宋体" w:cs="宋体"/>
                <w:sz w:val="24"/>
              </w:rPr>
            </w:pPr>
          </w:p>
        </w:tc>
        <w:tc>
          <w:tcPr>
            <w:tcW w:w="2181" w:type="dxa"/>
          </w:tcPr>
          <w:p>
            <w:pPr>
              <w:spacing w:line="360" w:lineRule="auto"/>
              <w:ind w:firstLine="480" w:firstLineChars="200"/>
              <w:rPr>
                <w:rFonts w:ascii="宋体" w:hAnsi="宋体" w:cs="宋体"/>
                <w:sz w:val="24"/>
              </w:rPr>
            </w:pPr>
          </w:p>
        </w:tc>
        <w:tc>
          <w:tcPr>
            <w:tcW w:w="1263" w:type="dxa"/>
          </w:tcPr>
          <w:p>
            <w:pPr>
              <w:spacing w:line="360" w:lineRule="auto"/>
              <w:ind w:firstLine="480" w:firstLineChars="200"/>
              <w:rPr>
                <w:rFonts w:ascii="宋体" w:hAnsi="宋体" w:cs="宋体"/>
                <w:sz w:val="24"/>
              </w:rPr>
            </w:pPr>
          </w:p>
        </w:tc>
        <w:tc>
          <w:tcPr>
            <w:tcW w:w="750" w:type="dxa"/>
          </w:tcPr>
          <w:p>
            <w:pPr>
              <w:spacing w:line="360" w:lineRule="auto"/>
              <w:ind w:firstLine="480" w:firstLineChars="200"/>
              <w:rPr>
                <w:rFonts w:ascii="宋体" w:hAnsi="宋体" w:cs="宋体"/>
                <w:sz w:val="24"/>
              </w:rPr>
            </w:pPr>
          </w:p>
        </w:tc>
        <w:tc>
          <w:tcPr>
            <w:tcW w:w="710" w:type="dxa"/>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pPr>
              <w:spacing w:line="360" w:lineRule="auto"/>
              <w:ind w:firstLine="480" w:firstLineChars="200"/>
              <w:rPr>
                <w:rFonts w:ascii="宋体" w:hAnsi="宋体" w:cs="宋体"/>
                <w:sz w:val="24"/>
              </w:rPr>
            </w:pPr>
          </w:p>
        </w:tc>
        <w:tc>
          <w:tcPr>
            <w:tcW w:w="1223" w:type="dxa"/>
          </w:tcPr>
          <w:p>
            <w:pPr>
              <w:spacing w:line="360" w:lineRule="auto"/>
              <w:ind w:firstLine="480" w:firstLineChars="200"/>
              <w:rPr>
                <w:rFonts w:ascii="宋体" w:hAnsi="宋体" w:cs="宋体"/>
                <w:sz w:val="24"/>
              </w:rPr>
            </w:pPr>
          </w:p>
        </w:tc>
        <w:tc>
          <w:tcPr>
            <w:tcW w:w="2250" w:type="dxa"/>
          </w:tcPr>
          <w:p>
            <w:pPr>
              <w:spacing w:line="360" w:lineRule="auto"/>
              <w:ind w:firstLine="480" w:firstLineChars="200"/>
              <w:rPr>
                <w:rFonts w:ascii="宋体" w:hAnsi="宋体" w:cs="宋体"/>
                <w:sz w:val="24"/>
              </w:rPr>
            </w:pPr>
          </w:p>
        </w:tc>
        <w:tc>
          <w:tcPr>
            <w:tcW w:w="2181" w:type="dxa"/>
          </w:tcPr>
          <w:p>
            <w:pPr>
              <w:spacing w:line="360" w:lineRule="auto"/>
              <w:ind w:firstLine="480" w:firstLineChars="200"/>
              <w:rPr>
                <w:rFonts w:ascii="宋体" w:hAnsi="宋体" w:cs="宋体"/>
                <w:sz w:val="24"/>
              </w:rPr>
            </w:pPr>
          </w:p>
        </w:tc>
        <w:tc>
          <w:tcPr>
            <w:tcW w:w="1263" w:type="dxa"/>
          </w:tcPr>
          <w:p>
            <w:pPr>
              <w:spacing w:line="360" w:lineRule="auto"/>
              <w:ind w:firstLine="480" w:firstLineChars="200"/>
              <w:rPr>
                <w:rFonts w:ascii="宋体" w:hAnsi="宋体" w:cs="宋体"/>
                <w:sz w:val="24"/>
              </w:rPr>
            </w:pPr>
          </w:p>
        </w:tc>
        <w:tc>
          <w:tcPr>
            <w:tcW w:w="750" w:type="dxa"/>
          </w:tcPr>
          <w:p>
            <w:pPr>
              <w:spacing w:line="360" w:lineRule="auto"/>
              <w:ind w:firstLine="480" w:firstLineChars="200"/>
              <w:rPr>
                <w:rFonts w:ascii="宋体" w:hAnsi="宋体" w:cs="宋体"/>
                <w:sz w:val="24"/>
              </w:rPr>
            </w:pPr>
          </w:p>
        </w:tc>
        <w:tc>
          <w:tcPr>
            <w:tcW w:w="710" w:type="dxa"/>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26" w:type="dxa"/>
          </w:tcPr>
          <w:p>
            <w:pPr>
              <w:spacing w:line="360" w:lineRule="auto"/>
              <w:ind w:firstLine="480" w:firstLineChars="200"/>
              <w:rPr>
                <w:rFonts w:ascii="宋体" w:hAnsi="宋体" w:cs="宋体"/>
                <w:sz w:val="24"/>
              </w:rPr>
            </w:pPr>
          </w:p>
        </w:tc>
        <w:tc>
          <w:tcPr>
            <w:tcW w:w="1223" w:type="dxa"/>
          </w:tcPr>
          <w:p>
            <w:pPr>
              <w:spacing w:line="360" w:lineRule="auto"/>
              <w:ind w:firstLine="480" w:firstLineChars="200"/>
              <w:rPr>
                <w:rFonts w:ascii="宋体" w:hAnsi="宋体" w:cs="宋体"/>
                <w:sz w:val="24"/>
              </w:rPr>
            </w:pPr>
          </w:p>
        </w:tc>
        <w:tc>
          <w:tcPr>
            <w:tcW w:w="2250" w:type="dxa"/>
          </w:tcPr>
          <w:p>
            <w:pPr>
              <w:spacing w:line="360" w:lineRule="auto"/>
              <w:ind w:firstLine="480" w:firstLineChars="200"/>
              <w:rPr>
                <w:rFonts w:ascii="宋体" w:hAnsi="宋体" w:cs="宋体"/>
                <w:sz w:val="24"/>
              </w:rPr>
            </w:pPr>
          </w:p>
        </w:tc>
        <w:tc>
          <w:tcPr>
            <w:tcW w:w="2181" w:type="dxa"/>
          </w:tcPr>
          <w:p>
            <w:pPr>
              <w:spacing w:line="360" w:lineRule="auto"/>
              <w:ind w:firstLine="480" w:firstLineChars="200"/>
              <w:rPr>
                <w:rFonts w:ascii="宋体" w:hAnsi="宋体" w:cs="宋体"/>
                <w:sz w:val="24"/>
              </w:rPr>
            </w:pPr>
          </w:p>
        </w:tc>
        <w:tc>
          <w:tcPr>
            <w:tcW w:w="1263" w:type="dxa"/>
          </w:tcPr>
          <w:p>
            <w:pPr>
              <w:spacing w:line="360" w:lineRule="auto"/>
              <w:ind w:firstLine="480" w:firstLineChars="200"/>
              <w:rPr>
                <w:rFonts w:ascii="宋体" w:hAnsi="宋体" w:cs="宋体"/>
                <w:sz w:val="24"/>
              </w:rPr>
            </w:pPr>
          </w:p>
        </w:tc>
        <w:tc>
          <w:tcPr>
            <w:tcW w:w="750" w:type="dxa"/>
          </w:tcPr>
          <w:p>
            <w:pPr>
              <w:spacing w:line="360" w:lineRule="auto"/>
              <w:ind w:firstLine="480" w:firstLineChars="200"/>
              <w:rPr>
                <w:rFonts w:ascii="宋体" w:hAnsi="宋体" w:cs="宋体"/>
                <w:sz w:val="24"/>
              </w:rPr>
            </w:pPr>
          </w:p>
        </w:tc>
        <w:tc>
          <w:tcPr>
            <w:tcW w:w="710" w:type="dxa"/>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pPr>
              <w:spacing w:line="360" w:lineRule="auto"/>
              <w:ind w:firstLine="480" w:firstLineChars="200"/>
              <w:rPr>
                <w:rFonts w:ascii="宋体" w:hAnsi="宋体" w:cs="宋体"/>
                <w:sz w:val="24"/>
              </w:rPr>
            </w:pPr>
          </w:p>
        </w:tc>
        <w:tc>
          <w:tcPr>
            <w:tcW w:w="1223" w:type="dxa"/>
          </w:tcPr>
          <w:p>
            <w:pPr>
              <w:spacing w:line="360" w:lineRule="auto"/>
              <w:ind w:firstLine="480" w:firstLineChars="200"/>
              <w:rPr>
                <w:rFonts w:ascii="宋体" w:hAnsi="宋体" w:cs="宋体"/>
                <w:sz w:val="24"/>
              </w:rPr>
            </w:pPr>
          </w:p>
        </w:tc>
        <w:tc>
          <w:tcPr>
            <w:tcW w:w="2250" w:type="dxa"/>
          </w:tcPr>
          <w:p>
            <w:pPr>
              <w:spacing w:line="360" w:lineRule="auto"/>
              <w:ind w:firstLine="480" w:firstLineChars="200"/>
              <w:rPr>
                <w:rFonts w:ascii="宋体" w:hAnsi="宋体" w:cs="宋体"/>
                <w:sz w:val="24"/>
              </w:rPr>
            </w:pPr>
          </w:p>
        </w:tc>
        <w:tc>
          <w:tcPr>
            <w:tcW w:w="2181" w:type="dxa"/>
          </w:tcPr>
          <w:p>
            <w:pPr>
              <w:spacing w:line="360" w:lineRule="auto"/>
              <w:ind w:firstLine="480" w:firstLineChars="200"/>
              <w:rPr>
                <w:rFonts w:ascii="宋体" w:hAnsi="宋体" w:cs="宋体"/>
                <w:sz w:val="24"/>
              </w:rPr>
            </w:pPr>
          </w:p>
        </w:tc>
        <w:tc>
          <w:tcPr>
            <w:tcW w:w="1263" w:type="dxa"/>
          </w:tcPr>
          <w:p>
            <w:pPr>
              <w:spacing w:line="360" w:lineRule="auto"/>
              <w:ind w:firstLine="480" w:firstLineChars="200"/>
              <w:rPr>
                <w:rFonts w:ascii="宋体" w:hAnsi="宋体" w:cs="宋体"/>
                <w:sz w:val="24"/>
              </w:rPr>
            </w:pPr>
          </w:p>
        </w:tc>
        <w:tc>
          <w:tcPr>
            <w:tcW w:w="750" w:type="dxa"/>
          </w:tcPr>
          <w:p>
            <w:pPr>
              <w:spacing w:line="360" w:lineRule="auto"/>
              <w:ind w:firstLine="480" w:firstLineChars="200"/>
              <w:rPr>
                <w:rFonts w:ascii="宋体" w:hAnsi="宋体" w:cs="宋体"/>
                <w:sz w:val="24"/>
              </w:rPr>
            </w:pPr>
          </w:p>
        </w:tc>
        <w:tc>
          <w:tcPr>
            <w:tcW w:w="710" w:type="dxa"/>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pPr>
              <w:spacing w:line="360" w:lineRule="auto"/>
              <w:ind w:firstLine="480" w:firstLineChars="200"/>
              <w:rPr>
                <w:rFonts w:ascii="宋体" w:hAnsi="宋体" w:cs="宋体"/>
                <w:sz w:val="24"/>
              </w:rPr>
            </w:pPr>
          </w:p>
        </w:tc>
        <w:tc>
          <w:tcPr>
            <w:tcW w:w="1223" w:type="dxa"/>
          </w:tcPr>
          <w:p>
            <w:pPr>
              <w:spacing w:line="360" w:lineRule="auto"/>
              <w:ind w:firstLine="480" w:firstLineChars="200"/>
              <w:rPr>
                <w:rFonts w:ascii="宋体" w:hAnsi="宋体" w:cs="宋体"/>
                <w:sz w:val="24"/>
              </w:rPr>
            </w:pPr>
          </w:p>
        </w:tc>
        <w:tc>
          <w:tcPr>
            <w:tcW w:w="2250" w:type="dxa"/>
          </w:tcPr>
          <w:p>
            <w:pPr>
              <w:spacing w:line="360" w:lineRule="auto"/>
              <w:ind w:firstLine="480" w:firstLineChars="200"/>
              <w:rPr>
                <w:rFonts w:ascii="宋体" w:hAnsi="宋体" w:cs="宋体"/>
                <w:sz w:val="24"/>
              </w:rPr>
            </w:pPr>
          </w:p>
        </w:tc>
        <w:tc>
          <w:tcPr>
            <w:tcW w:w="2181" w:type="dxa"/>
          </w:tcPr>
          <w:p>
            <w:pPr>
              <w:spacing w:line="360" w:lineRule="auto"/>
              <w:ind w:firstLine="480" w:firstLineChars="200"/>
              <w:rPr>
                <w:rFonts w:ascii="宋体" w:hAnsi="宋体" w:cs="宋体"/>
                <w:sz w:val="24"/>
              </w:rPr>
            </w:pPr>
          </w:p>
        </w:tc>
        <w:tc>
          <w:tcPr>
            <w:tcW w:w="1263" w:type="dxa"/>
          </w:tcPr>
          <w:p>
            <w:pPr>
              <w:spacing w:line="360" w:lineRule="auto"/>
              <w:ind w:firstLine="480" w:firstLineChars="200"/>
              <w:rPr>
                <w:rFonts w:ascii="宋体" w:hAnsi="宋体" w:cs="宋体"/>
                <w:sz w:val="24"/>
              </w:rPr>
            </w:pPr>
          </w:p>
        </w:tc>
        <w:tc>
          <w:tcPr>
            <w:tcW w:w="750" w:type="dxa"/>
          </w:tcPr>
          <w:p>
            <w:pPr>
              <w:spacing w:line="360" w:lineRule="auto"/>
              <w:ind w:firstLine="480" w:firstLineChars="200"/>
              <w:rPr>
                <w:rFonts w:ascii="宋体" w:hAnsi="宋体" w:cs="宋体"/>
                <w:sz w:val="24"/>
              </w:rPr>
            </w:pPr>
          </w:p>
        </w:tc>
        <w:tc>
          <w:tcPr>
            <w:tcW w:w="710" w:type="dxa"/>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pPr>
              <w:spacing w:line="360" w:lineRule="auto"/>
              <w:ind w:firstLine="480" w:firstLineChars="200"/>
              <w:rPr>
                <w:rFonts w:ascii="宋体" w:hAnsi="宋体" w:cs="宋体"/>
                <w:sz w:val="24"/>
              </w:rPr>
            </w:pPr>
          </w:p>
        </w:tc>
        <w:tc>
          <w:tcPr>
            <w:tcW w:w="1223" w:type="dxa"/>
          </w:tcPr>
          <w:p>
            <w:pPr>
              <w:spacing w:line="360" w:lineRule="auto"/>
              <w:ind w:firstLine="480" w:firstLineChars="200"/>
              <w:rPr>
                <w:rFonts w:ascii="宋体" w:hAnsi="宋体" w:cs="宋体"/>
                <w:sz w:val="24"/>
              </w:rPr>
            </w:pPr>
          </w:p>
        </w:tc>
        <w:tc>
          <w:tcPr>
            <w:tcW w:w="2250" w:type="dxa"/>
          </w:tcPr>
          <w:p>
            <w:pPr>
              <w:spacing w:line="360" w:lineRule="auto"/>
              <w:ind w:firstLine="480" w:firstLineChars="200"/>
              <w:rPr>
                <w:rFonts w:ascii="宋体" w:hAnsi="宋体" w:cs="宋体"/>
                <w:sz w:val="24"/>
              </w:rPr>
            </w:pPr>
          </w:p>
        </w:tc>
        <w:tc>
          <w:tcPr>
            <w:tcW w:w="2181" w:type="dxa"/>
          </w:tcPr>
          <w:p>
            <w:pPr>
              <w:spacing w:line="360" w:lineRule="auto"/>
              <w:ind w:firstLine="480" w:firstLineChars="200"/>
              <w:rPr>
                <w:rFonts w:ascii="宋体" w:hAnsi="宋体" w:cs="宋体"/>
                <w:sz w:val="24"/>
              </w:rPr>
            </w:pPr>
          </w:p>
        </w:tc>
        <w:tc>
          <w:tcPr>
            <w:tcW w:w="1263" w:type="dxa"/>
          </w:tcPr>
          <w:p>
            <w:pPr>
              <w:spacing w:line="360" w:lineRule="auto"/>
              <w:ind w:firstLine="480" w:firstLineChars="200"/>
              <w:rPr>
                <w:rFonts w:ascii="宋体" w:hAnsi="宋体" w:cs="宋体"/>
                <w:sz w:val="24"/>
              </w:rPr>
            </w:pPr>
          </w:p>
        </w:tc>
        <w:tc>
          <w:tcPr>
            <w:tcW w:w="750" w:type="dxa"/>
          </w:tcPr>
          <w:p>
            <w:pPr>
              <w:spacing w:line="360" w:lineRule="auto"/>
              <w:ind w:firstLine="480" w:firstLineChars="200"/>
              <w:rPr>
                <w:rFonts w:ascii="宋体" w:hAnsi="宋体" w:cs="宋体"/>
                <w:sz w:val="24"/>
              </w:rPr>
            </w:pPr>
          </w:p>
        </w:tc>
        <w:tc>
          <w:tcPr>
            <w:tcW w:w="710" w:type="dxa"/>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pPr>
              <w:spacing w:line="360" w:lineRule="auto"/>
              <w:ind w:firstLine="480" w:firstLineChars="200"/>
              <w:rPr>
                <w:rFonts w:ascii="宋体" w:hAnsi="宋体" w:cs="宋体"/>
                <w:sz w:val="24"/>
              </w:rPr>
            </w:pPr>
          </w:p>
        </w:tc>
        <w:tc>
          <w:tcPr>
            <w:tcW w:w="1223" w:type="dxa"/>
          </w:tcPr>
          <w:p>
            <w:pPr>
              <w:spacing w:line="360" w:lineRule="auto"/>
              <w:ind w:firstLine="480" w:firstLineChars="200"/>
              <w:rPr>
                <w:rFonts w:ascii="宋体" w:hAnsi="宋体" w:cs="宋体"/>
                <w:sz w:val="24"/>
              </w:rPr>
            </w:pPr>
          </w:p>
        </w:tc>
        <w:tc>
          <w:tcPr>
            <w:tcW w:w="2250" w:type="dxa"/>
          </w:tcPr>
          <w:p>
            <w:pPr>
              <w:spacing w:line="360" w:lineRule="auto"/>
              <w:ind w:firstLine="480" w:firstLineChars="200"/>
              <w:rPr>
                <w:rFonts w:ascii="宋体" w:hAnsi="宋体" w:cs="宋体"/>
                <w:sz w:val="24"/>
              </w:rPr>
            </w:pPr>
          </w:p>
        </w:tc>
        <w:tc>
          <w:tcPr>
            <w:tcW w:w="2181" w:type="dxa"/>
          </w:tcPr>
          <w:p>
            <w:pPr>
              <w:spacing w:line="360" w:lineRule="auto"/>
              <w:ind w:firstLine="480" w:firstLineChars="200"/>
              <w:rPr>
                <w:rFonts w:ascii="宋体" w:hAnsi="宋体" w:cs="宋体"/>
                <w:sz w:val="24"/>
              </w:rPr>
            </w:pPr>
          </w:p>
        </w:tc>
        <w:tc>
          <w:tcPr>
            <w:tcW w:w="1263" w:type="dxa"/>
          </w:tcPr>
          <w:p>
            <w:pPr>
              <w:spacing w:line="360" w:lineRule="auto"/>
              <w:ind w:firstLine="480" w:firstLineChars="200"/>
              <w:rPr>
                <w:rFonts w:ascii="宋体" w:hAnsi="宋体" w:cs="宋体"/>
                <w:sz w:val="24"/>
              </w:rPr>
            </w:pPr>
          </w:p>
        </w:tc>
        <w:tc>
          <w:tcPr>
            <w:tcW w:w="750" w:type="dxa"/>
          </w:tcPr>
          <w:p>
            <w:pPr>
              <w:spacing w:line="360" w:lineRule="auto"/>
              <w:ind w:firstLine="480" w:firstLineChars="200"/>
              <w:rPr>
                <w:rFonts w:ascii="宋体" w:hAnsi="宋体" w:cs="宋体"/>
                <w:sz w:val="24"/>
              </w:rPr>
            </w:pPr>
          </w:p>
        </w:tc>
        <w:tc>
          <w:tcPr>
            <w:tcW w:w="710" w:type="dxa"/>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pPr>
              <w:spacing w:line="360" w:lineRule="auto"/>
              <w:ind w:firstLine="480" w:firstLineChars="200"/>
              <w:rPr>
                <w:rFonts w:ascii="宋体" w:hAnsi="宋体" w:cs="宋体"/>
                <w:sz w:val="24"/>
              </w:rPr>
            </w:pPr>
          </w:p>
        </w:tc>
        <w:tc>
          <w:tcPr>
            <w:tcW w:w="1223" w:type="dxa"/>
          </w:tcPr>
          <w:p>
            <w:pPr>
              <w:spacing w:line="360" w:lineRule="auto"/>
              <w:ind w:firstLine="480" w:firstLineChars="200"/>
              <w:rPr>
                <w:rFonts w:ascii="宋体" w:hAnsi="宋体" w:cs="宋体"/>
                <w:sz w:val="24"/>
              </w:rPr>
            </w:pPr>
          </w:p>
        </w:tc>
        <w:tc>
          <w:tcPr>
            <w:tcW w:w="2250" w:type="dxa"/>
          </w:tcPr>
          <w:p>
            <w:pPr>
              <w:spacing w:line="360" w:lineRule="auto"/>
              <w:ind w:firstLine="480" w:firstLineChars="200"/>
              <w:rPr>
                <w:rFonts w:ascii="宋体" w:hAnsi="宋体" w:cs="宋体"/>
                <w:sz w:val="24"/>
              </w:rPr>
            </w:pPr>
          </w:p>
        </w:tc>
        <w:tc>
          <w:tcPr>
            <w:tcW w:w="2181" w:type="dxa"/>
          </w:tcPr>
          <w:p>
            <w:pPr>
              <w:spacing w:line="360" w:lineRule="auto"/>
              <w:ind w:firstLine="480" w:firstLineChars="200"/>
              <w:rPr>
                <w:rFonts w:ascii="宋体" w:hAnsi="宋体" w:cs="宋体"/>
                <w:sz w:val="24"/>
              </w:rPr>
            </w:pPr>
          </w:p>
        </w:tc>
        <w:tc>
          <w:tcPr>
            <w:tcW w:w="1263" w:type="dxa"/>
          </w:tcPr>
          <w:p>
            <w:pPr>
              <w:spacing w:line="360" w:lineRule="auto"/>
              <w:ind w:firstLine="480" w:firstLineChars="200"/>
              <w:rPr>
                <w:rFonts w:ascii="宋体" w:hAnsi="宋体" w:cs="宋体"/>
                <w:sz w:val="24"/>
              </w:rPr>
            </w:pPr>
          </w:p>
        </w:tc>
        <w:tc>
          <w:tcPr>
            <w:tcW w:w="750" w:type="dxa"/>
          </w:tcPr>
          <w:p>
            <w:pPr>
              <w:spacing w:line="360" w:lineRule="auto"/>
              <w:ind w:firstLine="480" w:firstLineChars="200"/>
              <w:rPr>
                <w:rFonts w:ascii="宋体" w:hAnsi="宋体" w:cs="宋体"/>
                <w:sz w:val="24"/>
              </w:rPr>
            </w:pPr>
          </w:p>
        </w:tc>
        <w:tc>
          <w:tcPr>
            <w:tcW w:w="710" w:type="dxa"/>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tcPr>
          <w:p>
            <w:pPr>
              <w:spacing w:line="360" w:lineRule="auto"/>
              <w:ind w:firstLine="480" w:firstLineChars="200"/>
              <w:rPr>
                <w:rFonts w:ascii="宋体" w:hAnsi="宋体" w:cs="宋体"/>
                <w:sz w:val="24"/>
              </w:rPr>
            </w:pPr>
          </w:p>
        </w:tc>
        <w:tc>
          <w:tcPr>
            <w:tcW w:w="1223" w:type="dxa"/>
          </w:tcPr>
          <w:p>
            <w:pPr>
              <w:spacing w:line="360" w:lineRule="auto"/>
              <w:ind w:firstLine="480" w:firstLineChars="200"/>
              <w:rPr>
                <w:rFonts w:ascii="宋体" w:hAnsi="宋体" w:cs="宋体"/>
                <w:sz w:val="24"/>
              </w:rPr>
            </w:pPr>
          </w:p>
        </w:tc>
        <w:tc>
          <w:tcPr>
            <w:tcW w:w="2250" w:type="dxa"/>
          </w:tcPr>
          <w:p>
            <w:pPr>
              <w:spacing w:line="360" w:lineRule="auto"/>
              <w:ind w:firstLine="480" w:firstLineChars="200"/>
              <w:rPr>
                <w:rFonts w:ascii="宋体" w:hAnsi="宋体" w:cs="宋体"/>
                <w:sz w:val="24"/>
              </w:rPr>
            </w:pPr>
          </w:p>
        </w:tc>
        <w:tc>
          <w:tcPr>
            <w:tcW w:w="2181" w:type="dxa"/>
          </w:tcPr>
          <w:p>
            <w:pPr>
              <w:spacing w:line="360" w:lineRule="auto"/>
              <w:ind w:firstLine="480" w:firstLineChars="200"/>
              <w:rPr>
                <w:rFonts w:ascii="宋体" w:hAnsi="宋体" w:cs="宋体"/>
                <w:sz w:val="24"/>
              </w:rPr>
            </w:pPr>
          </w:p>
        </w:tc>
        <w:tc>
          <w:tcPr>
            <w:tcW w:w="1263" w:type="dxa"/>
          </w:tcPr>
          <w:p>
            <w:pPr>
              <w:spacing w:line="360" w:lineRule="auto"/>
              <w:ind w:firstLine="480" w:firstLineChars="200"/>
              <w:rPr>
                <w:rFonts w:ascii="宋体" w:hAnsi="宋体" w:cs="宋体"/>
                <w:sz w:val="24"/>
              </w:rPr>
            </w:pPr>
          </w:p>
        </w:tc>
        <w:tc>
          <w:tcPr>
            <w:tcW w:w="750" w:type="dxa"/>
          </w:tcPr>
          <w:p>
            <w:pPr>
              <w:spacing w:line="360" w:lineRule="auto"/>
              <w:ind w:firstLine="480" w:firstLineChars="200"/>
              <w:rPr>
                <w:rFonts w:ascii="宋体" w:hAnsi="宋体" w:cs="宋体"/>
                <w:sz w:val="24"/>
              </w:rPr>
            </w:pPr>
          </w:p>
        </w:tc>
        <w:tc>
          <w:tcPr>
            <w:tcW w:w="710" w:type="dxa"/>
          </w:tcPr>
          <w:p>
            <w:pPr>
              <w:spacing w:line="360" w:lineRule="auto"/>
              <w:ind w:firstLine="480" w:firstLineChars="200"/>
              <w:rPr>
                <w:rFonts w:ascii="宋体" w:hAnsi="宋体" w:cs="宋体"/>
                <w:sz w:val="24"/>
              </w:rPr>
            </w:pPr>
          </w:p>
        </w:tc>
      </w:tr>
    </w:tbl>
    <w:p>
      <w:pPr>
        <w:adjustRightInd w:val="0"/>
        <w:snapToGrid w:val="0"/>
        <w:rPr>
          <w:rFonts w:ascii="宋体" w:hAnsi="宋体" w:cs="宋体"/>
          <w:b/>
          <w:kern w:val="0"/>
          <w:sz w:val="24"/>
        </w:rPr>
      </w:pPr>
      <w:r>
        <w:rPr>
          <w:rFonts w:hint="eastAsia" w:ascii="宋体" w:hAnsi="宋体" w:cs="宋体"/>
          <w:b/>
          <w:kern w:val="0"/>
          <w:sz w:val="24"/>
        </w:rPr>
        <w:t>说明：1.招标人应根据招标文件技术要求自行填写表格。相应的内容应如实体现招标人要求及投标人响应；</w:t>
      </w:r>
    </w:p>
    <w:p>
      <w:pPr>
        <w:adjustRightInd w:val="0"/>
        <w:snapToGrid w:val="0"/>
        <w:ind w:left="718" w:leftChars="342"/>
        <w:rPr>
          <w:rFonts w:ascii="宋体" w:hAnsi="宋体" w:cs="宋体"/>
          <w:b/>
          <w:kern w:val="0"/>
          <w:sz w:val="24"/>
        </w:rPr>
      </w:pPr>
      <w:r>
        <w:rPr>
          <w:rFonts w:hint="eastAsia" w:ascii="宋体" w:hAnsi="宋体" w:cs="宋体"/>
          <w:b/>
          <w:kern w:val="0"/>
          <w:sz w:val="24"/>
        </w:rPr>
        <w:t>2.偏离值请根据投标响应如实填写（正/负）偏离；</w:t>
      </w:r>
    </w:p>
    <w:p>
      <w:pPr>
        <w:spacing w:line="360" w:lineRule="auto"/>
        <w:ind w:firstLine="723" w:firstLineChars="300"/>
        <w:rPr>
          <w:szCs w:val="21"/>
        </w:rPr>
      </w:pPr>
      <w:r>
        <w:rPr>
          <w:rFonts w:hint="eastAsia" w:ascii="宋体" w:hAnsi="宋体" w:cs="宋体"/>
          <w:b/>
          <w:kern w:val="0"/>
          <w:sz w:val="24"/>
        </w:rPr>
        <w:t>3.不提供此表格的投标文件将被视为未实质性响应招标文件。</w:t>
      </w:r>
    </w:p>
    <w:p>
      <w:pPr>
        <w:spacing w:line="400" w:lineRule="exact"/>
        <w:ind w:right="840"/>
        <w:jc w:val="center"/>
        <w:rPr>
          <w:rFonts w:ascii="宋体" w:hAnsi="宋体" w:cs="宋体"/>
          <w:sz w:val="24"/>
        </w:rPr>
      </w:pPr>
      <w:r>
        <w:rPr>
          <w:rFonts w:hint="eastAsia" w:ascii="宋体" w:hAnsi="宋体" w:cs="宋体"/>
          <w:sz w:val="24"/>
        </w:rPr>
        <w:t xml:space="preserve">                                         </w:t>
      </w:r>
    </w:p>
    <w:p>
      <w:pPr>
        <w:spacing w:line="480" w:lineRule="exact"/>
        <w:rPr>
          <w:rFonts w:ascii="宋体" w:hAnsi="宋体"/>
          <w:sz w:val="24"/>
        </w:rPr>
      </w:pPr>
      <w:bookmarkStart w:id="49" w:name="_Toc30537"/>
      <w:bookmarkStart w:id="50" w:name="_Toc12583"/>
      <w:r>
        <w:rPr>
          <w:rFonts w:hint="eastAsia" w:ascii="宋体" w:hAnsi="宋体"/>
          <w:sz w:val="24"/>
        </w:rPr>
        <w:t>磋商响应方全称（加盖公章）：</w:t>
      </w:r>
    </w:p>
    <w:p>
      <w:pPr>
        <w:spacing w:line="480" w:lineRule="exact"/>
        <w:rPr>
          <w:rFonts w:ascii="宋体" w:hAnsi="宋体"/>
          <w:sz w:val="24"/>
        </w:rPr>
      </w:pPr>
      <w:r>
        <w:rPr>
          <w:rFonts w:hint="eastAsia" w:ascii="宋体" w:hAnsi="宋体"/>
          <w:sz w:val="24"/>
        </w:rPr>
        <w:t>法定代表人或授权代表（签字或盖章）：</w:t>
      </w:r>
    </w:p>
    <w:p>
      <w:pPr>
        <w:widowControl/>
        <w:overflowPunct w:val="0"/>
        <w:autoSpaceDE w:val="0"/>
        <w:autoSpaceDN w:val="0"/>
        <w:adjustRightInd w:val="0"/>
        <w:spacing w:line="480" w:lineRule="exact"/>
        <w:jc w:val="left"/>
        <w:textAlignment w:val="baseline"/>
        <w:rPr>
          <w:rFonts w:ascii="宋体" w:hAnsi="宋体"/>
          <w:kern w:val="0"/>
          <w:sz w:val="24"/>
        </w:rPr>
      </w:pPr>
      <w:r>
        <w:rPr>
          <w:rFonts w:hint="eastAsia" w:ascii="宋体" w:hAnsi="宋体"/>
          <w:kern w:val="0"/>
          <w:sz w:val="24"/>
        </w:rPr>
        <w:t>日期：</w:t>
      </w:r>
    </w:p>
    <w:p>
      <w:pPr>
        <w:rPr>
          <w:rFonts w:hAnsi="宋体"/>
          <w:b/>
          <w:sz w:val="24"/>
        </w:rPr>
      </w:pPr>
      <w:r>
        <w:rPr>
          <w:rFonts w:hint="eastAsia" w:hAnsi="宋体"/>
          <w:b/>
          <w:sz w:val="24"/>
        </w:rPr>
        <w:br w:type="page"/>
      </w:r>
    </w:p>
    <w:p>
      <w:pPr>
        <w:snapToGrid w:val="0"/>
        <w:spacing w:before="157" w:beforeLines="50" w:after="50" w:line="360" w:lineRule="auto"/>
        <w:rPr>
          <w:rFonts w:ascii="宋体" w:hAnsi="宋体"/>
          <w:b/>
        </w:rPr>
      </w:pPr>
      <w:r>
        <w:rPr>
          <w:rFonts w:hint="eastAsia" w:ascii="宋体" w:hAnsi="宋体"/>
          <w:b/>
        </w:rPr>
        <w:t>附件9</w:t>
      </w:r>
    </w:p>
    <w:p>
      <w:pPr>
        <w:spacing w:line="480" w:lineRule="exact"/>
        <w:jc w:val="center"/>
        <w:outlineLvl w:val="9"/>
        <w:rPr>
          <w:rFonts w:ascii="宋体" w:hAnsi="宋体"/>
          <w:b/>
          <w:kern w:val="0"/>
          <w:sz w:val="32"/>
          <w:szCs w:val="32"/>
        </w:rPr>
      </w:pPr>
    </w:p>
    <w:p>
      <w:pPr>
        <w:spacing w:line="480" w:lineRule="exact"/>
        <w:jc w:val="center"/>
        <w:outlineLvl w:val="3"/>
        <w:rPr>
          <w:rFonts w:ascii="宋体" w:hAnsi="宋体"/>
          <w:b/>
          <w:bCs/>
          <w:sz w:val="32"/>
          <w:szCs w:val="32"/>
        </w:rPr>
      </w:pPr>
      <w:r>
        <w:rPr>
          <w:rFonts w:hint="eastAsia" w:ascii="宋体" w:hAnsi="宋体"/>
          <w:b/>
          <w:kern w:val="0"/>
          <w:sz w:val="32"/>
          <w:szCs w:val="32"/>
        </w:rPr>
        <w:t>类似业绩表</w:t>
      </w:r>
    </w:p>
    <w:p>
      <w:pPr>
        <w:spacing w:line="480" w:lineRule="exact"/>
        <w:rPr>
          <w:rFonts w:ascii="宋体" w:hAnsi="宋体"/>
          <w:b/>
          <w:bCs/>
          <w:sz w:val="24"/>
        </w:rPr>
      </w:pPr>
    </w:p>
    <w:p>
      <w:pPr>
        <w:spacing w:line="480" w:lineRule="exact"/>
        <w:rPr>
          <w:rFonts w:ascii="宋体" w:hAnsi="宋体"/>
          <w:b/>
          <w:bCs/>
          <w:sz w:val="24"/>
        </w:rPr>
      </w:pPr>
      <w:r>
        <w:rPr>
          <w:rFonts w:hint="eastAsia" w:ascii="宋体" w:hAnsi="宋体"/>
          <w:sz w:val="24"/>
        </w:rPr>
        <w:t>采购项目名称：                          采购编号：         标项：</w:t>
      </w:r>
    </w:p>
    <w:p>
      <w:pPr>
        <w:spacing w:line="480" w:lineRule="exact"/>
        <w:rPr>
          <w:rFonts w:ascii="宋体" w:hAnsi="宋体"/>
          <w:sz w:val="24"/>
        </w:rPr>
      </w:pPr>
    </w:p>
    <w:tbl>
      <w:tblPr>
        <w:tblStyle w:val="3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48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rPr>
            </w:pPr>
            <w:r>
              <w:rPr>
                <w:rFonts w:hint="eastAsia" w:ascii="宋体" w:hAnsi="宋体"/>
              </w:rPr>
              <w:t>序号</w:t>
            </w:r>
          </w:p>
        </w:tc>
        <w:tc>
          <w:tcPr>
            <w:tcW w:w="181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rPr>
            </w:pPr>
            <w:r>
              <w:rPr>
                <w:rFonts w:hint="eastAsia" w:ascii="宋体" w:hAnsi="宋体"/>
              </w:rPr>
              <w:t>业主方</w:t>
            </w:r>
          </w:p>
        </w:tc>
        <w:tc>
          <w:tcPr>
            <w:tcW w:w="4851"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bCs/>
                <w:sz w:val="24"/>
              </w:rPr>
            </w:pPr>
            <w:r>
              <w:rPr>
                <w:rFonts w:hint="eastAsia" w:ascii="宋体" w:hAnsi="宋体"/>
                <w:bCs/>
                <w:sz w:val="24"/>
              </w:rPr>
              <w:t>项目基本情况</w:t>
            </w:r>
          </w:p>
        </w:tc>
        <w:tc>
          <w:tcPr>
            <w:tcW w:w="14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Cs/>
                <w:sz w:val="24"/>
              </w:rPr>
            </w:pPr>
            <w:r>
              <w:rPr>
                <w:rFonts w:hint="eastAsia" w:ascii="宋体" w:hAnsi="宋体"/>
                <w:bCs/>
                <w:sz w:val="24"/>
              </w:rPr>
              <w:t>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485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485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485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485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485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485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485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485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485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485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bCs/>
                <w:sz w:val="24"/>
              </w:rPr>
            </w:pPr>
          </w:p>
        </w:tc>
      </w:tr>
    </w:tbl>
    <w:p>
      <w:pPr>
        <w:spacing w:line="480" w:lineRule="exact"/>
        <w:rPr>
          <w:rFonts w:hint="eastAsia" w:ascii="宋体" w:hAnsi="宋体"/>
          <w:sz w:val="24"/>
        </w:rPr>
      </w:pPr>
    </w:p>
    <w:p>
      <w:pPr>
        <w:spacing w:line="480" w:lineRule="exact"/>
        <w:rPr>
          <w:rFonts w:ascii="宋体" w:hAnsi="宋体"/>
          <w:sz w:val="24"/>
        </w:rPr>
      </w:pPr>
      <w:r>
        <w:rPr>
          <w:rFonts w:hint="eastAsia" w:ascii="宋体" w:hAnsi="宋体"/>
          <w:sz w:val="24"/>
        </w:rPr>
        <w:t>磋商响应方全称（加盖公章）：</w:t>
      </w:r>
    </w:p>
    <w:p>
      <w:pPr>
        <w:spacing w:line="480" w:lineRule="exact"/>
        <w:rPr>
          <w:rFonts w:ascii="宋体" w:hAnsi="宋体"/>
          <w:sz w:val="24"/>
        </w:rPr>
      </w:pPr>
      <w:r>
        <w:rPr>
          <w:rFonts w:hint="eastAsia" w:ascii="宋体" w:hAnsi="宋体"/>
          <w:sz w:val="24"/>
        </w:rPr>
        <w:t>法定代表人或授权代表（签字或盖章）：</w:t>
      </w:r>
    </w:p>
    <w:p>
      <w:pPr>
        <w:widowControl/>
        <w:overflowPunct w:val="0"/>
        <w:autoSpaceDE w:val="0"/>
        <w:autoSpaceDN w:val="0"/>
        <w:adjustRightInd w:val="0"/>
        <w:spacing w:line="480" w:lineRule="exact"/>
        <w:jc w:val="left"/>
        <w:textAlignment w:val="baseline"/>
        <w:rPr>
          <w:rFonts w:ascii="宋体" w:hAnsi="宋体"/>
          <w:kern w:val="0"/>
          <w:sz w:val="24"/>
        </w:rPr>
      </w:pPr>
      <w:r>
        <w:rPr>
          <w:rFonts w:hint="eastAsia" w:ascii="宋体" w:hAnsi="宋体"/>
          <w:kern w:val="0"/>
          <w:sz w:val="24"/>
        </w:rPr>
        <w:t>日期：</w:t>
      </w:r>
    </w:p>
    <w:p>
      <w:pPr>
        <w:rPr>
          <w:rFonts w:ascii="Arial" w:hAnsi="Arial" w:eastAsia="幼圆" w:cs="Arial"/>
          <w:sz w:val="22"/>
          <w:szCs w:val="20"/>
        </w:rPr>
      </w:pPr>
      <w:r>
        <w:rPr>
          <w:rFonts w:hint="eastAsia" w:hAnsi="宋体"/>
          <w:b/>
          <w:sz w:val="24"/>
        </w:rPr>
        <w:br w:type="page"/>
      </w:r>
      <w:bookmarkEnd w:id="49"/>
    </w:p>
    <w:p>
      <w:pPr>
        <w:pStyle w:val="2"/>
      </w:pPr>
    </w:p>
    <w:p>
      <w:pPr>
        <w:tabs>
          <w:tab w:val="left" w:pos="540"/>
        </w:tabs>
        <w:outlineLvl w:val="0"/>
        <w:rPr>
          <w:rFonts w:ascii="宋体" w:hAnsi="宋体"/>
          <w:b/>
          <w:sz w:val="28"/>
          <w:szCs w:val="28"/>
        </w:rPr>
      </w:pPr>
      <w:r>
        <w:rPr>
          <w:rFonts w:hint="eastAsia" w:ascii="宋体" w:hAnsi="宋体"/>
          <w:b/>
        </w:rPr>
        <w:t>附件</w:t>
      </w:r>
      <w:bookmarkEnd w:id="50"/>
      <w:r>
        <w:rPr>
          <w:rFonts w:hint="eastAsia" w:ascii="宋体" w:hAnsi="宋体"/>
          <w:b/>
        </w:rPr>
        <w:t>10</w:t>
      </w:r>
    </w:p>
    <w:p>
      <w:pPr>
        <w:jc w:val="center"/>
        <w:rPr>
          <w:rFonts w:hint="eastAsia" w:ascii="黑体" w:hAnsi="宋体" w:eastAsia="黑体"/>
          <w:b/>
          <w:bCs/>
          <w:kern w:val="0"/>
          <w:sz w:val="32"/>
          <w:szCs w:val="32"/>
          <w:lang w:val="zh-CN"/>
        </w:rPr>
      </w:pPr>
      <w:r>
        <w:rPr>
          <w:rFonts w:hint="eastAsia" w:ascii="宋体" w:hAnsi="宋体"/>
          <w:b/>
          <w:kern w:val="0"/>
          <w:sz w:val="32"/>
          <w:szCs w:val="32"/>
        </w:rPr>
        <w:t>（初次）磋商报价一览表</w:t>
      </w:r>
    </w:p>
    <w:p>
      <w:pPr>
        <w:tabs>
          <w:tab w:val="left" w:pos="1418"/>
        </w:tabs>
        <w:snapToGrid w:val="0"/>
        <w:spacing w:line="400" w:lineRule="exact"/>
        <w:jc w:val="center"/>
        <w:rPr>
          <w:rFonts w:ascii="宋体" w:hAnsi="宋体"/>
          <w:sz w:val="24"/>
        </w:rPr>
      </w:pPr>
    </w:p>
    <w:p>
      <w:pPr>
        <w:snapToGrid w:val="0"/>
        <w:spacing w:before="50" w:after="50" w:line="360" w:lineRule="auto"/>
        <w:rPr>
          <w:rFonts w:hint="eastAsia" w:ascii="宋体" w:hAnsi="宋体"/>
          <w:sz w:val="24"/>
        </w:rPr>
      </w:pPr>
    </w:p>
    <w:p>
      <w:pPr>
        <w:snapToGrid w:val="0"/>
        <w:spacing w:before="50" w:after="50" w:line="360" w:lineRule="auto"/>
        <w:rPr>
          <w:rFonts w:hint="eastAsia" w:ascii="宋体" w:hAnsi="宋体" w:eastAsia="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w:t>
      </w:r>
      <w:r>
        <w:rPr>
          <w:rFonts w:hint="eastAsia" w:ascii="宋体" w:hAnsi="宋体"/>
          <w:sz w:val="24"/>
        </w:rPr>
        <w:t>招标编号：</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3600"/>
        <w:gridCol w:w="4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03" w:type="dxa"/>
            <w:noWrap w:val="0"/>
            <w:vAlign w:val="center"/>
          </w:tcPr>
          <w:p>
            <w:pPr>
              <w:spacing w:line="360" w:lineRule="auto"/>
              <w:jc w:val="center"/>
              <w:rPr>
                <w:rFonts w:hint="eastAsia" w:hAnsi="宋体" w:cs="宋体"/>
                <w:sz w:val="24"/>
              </w:rPr>
            </w:pPr>
            <w:r>
              <w:rPr>
                <w:rFonts w:hint="eastAsia" w:hAnsi="宋体" w:cs="宋体"/>
                <w:sz w:val="24"/>
              </w:rPr>
              <w:t>序号</w:t>
            </w:r>
          </w:p>
        </w:tc>
        <w:tc>
          <w:tcPr>
            <w:tcW w:w="3600" w:type="dxa"/>
            <w:noWrap w:val="0"/>
            <w:vAlign w:val="center"/>
          </w:tcPr>
          <w:p>
            <w:pPr>
              <w:spacing w:line="360" w:lineRule="auto"/>
              <w:jc w:val="center"/>
              <w:rPr>
                <w:rFonts w:hint="eastAsia" w:hAnsi="宋体" w:cs="宋体"/>
                <w:sz w:val="24"/>
              </w:rPr>
            </w:pPr>
            <w:r>
              <w:rPr>
                <w:rFonts w:hint="eastAsia" w:hAnsi="宋体" w:cs="宋体"/>
                <w:sz w:val="24"/>
              </w:rPr>
              <w:t>名称</w:t>
            </w:r>
          </w:p>
        </w:tc>
        <w:tc>
          <w:tcPr>
            <w:tcW w:w="4674" w:type="dxa"/>
            <w:noWrap w:val="0"/>
            <w:vAlign w:val="center"/>
          </w:tcPr>
          <w:p>
            <w:pPr>
              <w:spacing w:line="360" w:lineRule="auto"/>
              <w:jc w:val="center"/>
              <w:rPr>
                <w:rFonts w:hint="eastAsia" w:hAnsi="宋体" w:eastAsia="宋体" w:cs="宋体"/>
                <w:sz w:val="24"/>
                <w:lang w:eastAsia="zh-CN"/>
              </w:rPr>
            </w:pPr>
            <w:r>
              <w:rPr>
                <w:rFonts w:hint="eastAsia" w:hAnsi="宋体" w:cs="宋体"/>
                <w:sz w:val="24"/>
              </w:rPr>
              <w:t>报价</w:t>
            </w:r>
            <w:r>
              <w:rPr>
                <w:rFonts w:hint="eastAsia" w:hAnsi="宋体" w:cs="宋体"/>
                <w:sz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903" w:type="dxa"/>
            <w:noWrap w:val="0"/>
            <w:vAlign w:val="center"/>
          </w:tcPr>
          <w:p>
            <w:pPr>
              <w:spacing w:line="360" w:lineRule="auto"/>
              <w:jc w:val="center"/>
              <w:rPr>
                <w:rFonts w:hint="eastAsia" w:hAnsi="宋体" w:cs="宋体"/>
                <w:sz w:val="24"/>
              </w:rPr>
            </w:pPr>
            <w:r>
              <w:rPr>
                <w:rFonts w:hint="eastAsia" w:hAnsi="宋体" w:cs="宋体"/>
                <w:sz w:val="24"/>
              </w:rPr>
              <w:t>1</w:t>
            </w:r>
          </w:p>
        </w:tc>
        <w:tc>
          <w:tcPr>
            <w:tcW w:w="3600" w:type="dxa"/>
            <w:noWrap w:val="0"/>
            <w:vAlign w:val="center"/>
          </w:tcPr>
          <w:p>
            <w:pPr>
              <w:spacing w:line="360" w:lineRule="auto"/>
              <w:jc w:val="center"/>
              <w:rPr>
                <w:rFonts w:hint="eastAsia" w:hAnsi="宋体" w:eastAsia="宋体" w:cs="宋体"/>
                <w:sz w:val="24"/>
                <w:lang w:eastAsia="zh-CN"/>
              </w:rPr>
            </w:pPr>
          </w:p>
        </w:tc>
        <w:tc>
          <w:tcPr>
            <w:tcW w:w="4674" w:type="dxa"/>
            <w:noWrap w:val="0"/>
            <w:vAlign w:val="center"/>
          </w:tcPr>
          <w:p>
            <w:pPr>
              <w:spacing w:line="360" w:lineRule="auto"/>
              <w:jc w:val="both"/>
              <w:rPr>
                <w:rFonts w:hint="eastAsia" w:hAnsi="宋体" w:cs="宋体"/>
                <w:sz w:val="24"/>
                <w:u w:val="single"/>
              </w:rPr>
            </w:pPr>
            <w:r>
              <w:rPr>
                <w:rFonts w:hint="eastAsia" w:hAnsi="宋体" w:cs="宋体"/>
                <w:sz w:val="24"/>
                <w:lang w:eastAsia="zh-CN"/>
              </w:rPr>
              <w:t>大写</w:t>
            </w:r>
            <w:r>
              <w:rPr>
                <w:rFonts w:hint="eastAsia" w:hAnsi="宋体" w:cs="宋体"/>
                <w:sz w:val="24"/>
              </w:rPr>
              <w:t>：</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p>
          <w:p>
            <w:pPr>
              <w:spacing w:line="360" w:lineRule="auto"/>
              <w:jc w:val="both"/>
              <w:rPr>
                <w:rFonts w:hint="eastAsia" w:hAnsi="宋体" w:cs="宋体"/>
                <w:sz w:val="24"/>
                <w:u w:val="none"/>
                <w:lang w:eastAsia="zh-CN"/>
              </w:rPr>
            </w:pPr>
          </w:p>
          <w:p>
            <w:pPr>
              <w:spacing w:line="360" w:lineRule="auto"/>
              <w:jc w:val="both"/>
              <w:rPr>
                <w:rFonts w:hint="eastAsia" w:hAnsi="宋体" w:cs="宋体"/>
                <w:sz w:val="24"/>
              </w:rPr>
            </w:pPr>
            <w:r>
              <w:rPr>
                <w:rFonts w:hint="eastAsia" w:hAnsi="宋体" w:cs="宋体"/>
                <w:sz w:val="24"/>
                <w:u w:val="none"/>
                <w:lang w:eastAsia="zh-CN"/>
              </w:rPr>
              <w:t>小写：</w:t>
            </w:r>
            <w:r>
              <w:rPr>
                <w:rFonts w:hint="eastAsia" w:hAnsi="宋体" w:cs="宋体"/>
                <w:sz w:val="24"/>
                <w:u w:val="single"/>
                <w:lang w:val="en-US" w:eastAsia="zh-CN"/>
              </w:rPr>
              <w:t xml:space="preserve">                         </w:t>
            </w:r>
            <w:r>
              <w:rPr>
                <w:rFonts w:hint="eastAsia" w:hAnsi="宋体" w:cs="宋体"/>
                <w:sz w:val="24"/>
              </w:rPr>
              <w:t xml:space="preserve"> </w:t>
            </w:r>
          </w:p>
        </w:tc>
      </w:tr>
    </w:tbl>
    <w:p>
      <w:pPr>
        <w:pStyle w:val="32"/>
        <w:ind w:left="560" w:firstLine="404"/>
        <w:rPr>
          <w:rFonts w:hint="eastAsia"/>
        </w:rPr>
      </w:pPr>
    </w:p>
    <w:p>
      <w:pPr>
        <w:snapToGrid w:val="0"/>
        <w:spacing w:before="50" w:after="50" w:line="360" w:lineRule="auto"/>
        <w:jc w:val="left"/>
        <w:rPr>
          <w:rFonts w:ascii="宋体" w:hAnsi="宋体"/>
          <w:sz w:val="24"/>
          <w:szCs w:val="20"/>
        </w:rPr>
      </w:pPr>
      <w:r>
        <w:rPr>
          <w:rFonts w:hint="eastAsia" w:ascii="宋体" w:hAnsi="宋体"/>
          <w:sz w:val="24"/>
        </w:rPr>
        <w:t>注</w:t>
      </w:r>
      <w:r>
        <w:rPr>
          <w:rFonts w:ascii="宋体" w:hAnsi="宋体"/>
          <w:sz w:val="24"/>
        </w:rPr>
        <w:t>:1</w:t>
      </w:r>
      <w:r>
        <w:rPr>
          <w:rFonts w:hint="eastAsia" w:ascii="宋体" w:hAnsi="宋体"/>
          <w:sz w:val="24"/>
        </w:rPr>
        <w:t>、报价一经涂改，应在涂改处加盖单位公章或者由法定代表人或授权委托人签字或盖章，否则其投标作无效标处理。</w:t>
      </w:r>
    </w:p>
    <w:p>
      <w:pPr>
        <w:snapToGrid w:val="0"/>
        <w:spacing w:before="50" w:after="50" w:line="360" w:lineRule="auto"/>
        <w:ind w:firstLine="240" w:firstLineChars="100"/>
        <w:jc w:val="left"/>
        <w:rPr>
          <w:rFonts w:hint="eastAsia" w:ascii="宋体" w:hAnsi="宋体"/>
          <w:sz w:val="24"/>
        </w:rPr>
      </w:pPr>
      <w:r>
        <w:rPr>
          <w:rFonts w:hint="eastAsia" w:ascii="宋体" w:hAnsi="宋体"/>
          <w:sz w:val="24"/>
        </w:rPr>
        <w:t>2、投标报价包括：报价包括人工、项目评审、交通、验收合格、咨询费、招待费、售后服务、培训、保险、税金等所有费用应为履行合同的最终价格。其市场风险由投标人承担，结算时，不得以任何理由调整价格。</w:t>
      </w:r>
    </w:p>
    <w:p>
      <w:pPr>
        <w:snapToGrid w:val="0"/>
        <w:spacing w:before="50" w:after="50" w:line="360" w:lineRule="auto"/>
        <w:ind w:firstLine="360" w:firstLineChars="150"/>
        <w:jc w:val="left"/>
        <w:rPr>
          <w:rFonts w:hint="eastAsia" w:ascii="宋体" w:hAnsi="宋体"/>
          <w:sz w:val="24"/>
        </w:rPr>
      </w:pPr>
      <w:r>
        <w:rPr>
          <w:rFonts w:hint="eastAsia" w:ascii="宋体" w:hAnsi="宋体"/>
          <w:sz w:val="24"/>
        </w:rPr>
        <w:t>3、本表格式不允许修改，否则作无效标处理。</w:t>
      </w:r>
    </w:p>
    <w:p>
      <w:pPr>
        <w:pStyle w:val="14"/>
        <w:spacing w:line="400" w:lineRule="exact"/>
        <w:rPr>
          <w:szCs w:val="24"/>
        </w:rPr>
      </w:pPr>
    </w:p>
    <w:p>
      <w:pPr>
        <w:spacing w:line="440" w:lineRule="exact"/>
        <w:ind w:firstLine="480" w:firstLineChars="200"/>
        <w:rPr>
          <w:rFonts w:hint="eastAsia" w:ascii="宋体" w:hAnsi="宋体"/>
          <w:sz w:val="24"/>
        </w:rPr>
      </w:pPr>
      <w:r>
        <w:rPr>
          <w:rFonts w:hint="eastAsia" w:ascii="宋体" w:hAnsi="宋体"/>
          <w:sz w:val="24"/>
        </w:rPr>
        <w:t>投标人（盖章）：</w:t>
      </w:r>
    </w:p>
    <w:p>
      <w:pPr>
        <w:spacing w:line="440" w:lineRule="exact"/>
        <w:ind w:firstLine="480" w:firstLineChars="200"/>
        <w:rPr>
          <w:rFonts w:hint="eastAsia" w:ascii="宋体" w:hAnsi="宋体"/>
          <w:sz w:val="24"/>
        </w:rPr>
      </w:pPr>
      <w:r>
        <w:rPr>
          <w:rFonts w:hint="eastAsia" w:ascii="宋体" w:hAnsi="宋体"/>
          <w:sz w:val="24"/>
        </w:rPr>
        <w:t>法定代表人／负责人或授权代表（签字）：</w:t>
      </w:r>
    </w:p>
    <w:p>
      <w:pPr>
        <w:spacing w:line="440" w:lineRule="exact"/>
        <w:ind w:firstLine="480" w:firstLineChars="200"/>
        <w:rPr>
          <w:rFonts w:hint="eastAsia" w:ascii="宋体" w:hAnsi="宋体"/>
          <w:sz w:val="24"/>
        </w:rPr>
      </w:pPr>
      <w:r>
        <w:rPr>
          <w:rFonts w:hint="eastAsia" w:ascii="宋体" w:hAnsi="宋体"/>
          <w:sz w:val="24"/>
        </w:rPr>
        <w:t>日期：</w:t>
      </w:r>
    </w:p>
    <w:p>
      <w:pPr>
        <w:widowControl/>
        <w:jc w:val="left"/>
        <w:rPr>
          <w:rFonts w:ascii="宋体" w:hAnsi="宋体"/>
          <w:b/>
          <w:bCs/>
        </w:rPr>
      </w:pPr>
      <w:bookmarkStart w:id="51" w:name="_Toc24000"/>
      <w:r>
        <w:rPr>
          <w:rFonts w:ascii="宋体" w:hAnsi="宋体"/>
          <w:b/>
          <w:bCs/>
        </w:rPr>
        <w:br w:type="page"/>
      </w:r>
    </w:p>
    <w:p>
      <w:pPr>
        <w:outlineLvl w:val="0"/>
        <w:rPr>
          <w:rFonts w:hint="eastAsia" w:ascii="宋体" w:hAnsi="宋体" w:eastAsia="宋体"/>
          <w:b/>
          <w:lang w:eastAsia="zh-CN"/>
        </w:rPr>
      </w:pPr>
      <w:r>
        <w:rPr>
          <w:rFonts w:hint="eastAsia" w:ascii="宋体" w:hAnsi="宋体"/>
          <w:b/>
        </w:rPr>
        <w:t>附件</w:t>
      </w:r>
      <w:bookmarkEnd w:id="51"/>
      <w:r>
        <w:rPr>
          <w:rFonts w:hint="eastAsia" w:ascii="宋体" w:hAnsi="宋体"/>
          <w:b/>
        </w:rPr>
        <w:t>1</w:t>
      </w:r>
      <w:r>
        <w:rPr>
          <w:rFonts w:hint="eastAsia" w:ascii="宋体" w:hAnsi="宋体"/>
          <w:b/>
          <w:lang w:val="en-US" w:eastAsia="zh-CN"/>
        </w:rPr>
        <w:t>1</w:t>
      </w:r>
    </w:p>
    <w:p>
      <w:pPr>
        <w:pStyle w:val="3"/>
        <w:keepNext w:val="0"/>
        <w:autoSpaceDE w:val="0"/>
        <w:autoSpaceDN w:val="0"/>
        <w:spacing w:line="480" w:lineRule="exact"/>
        <w:jc w:val="center"/>
        <w:rPr>
          <w:rFonts w:ascii="宋体" w:hAnsi="宋体" w:eastAsia="宋体" w:cs="Times New Roman"/>
          <w:b/>
          <w:spacing w:val="6"/>
          <w:sz w:val="36"/>
          <w:szCs w:val="36"/>
        </w:rPr>
      </w:pPr>
      <w:bookmarkStart w:id="52" w:name="_Toc1773"/>
      <w:r>
        <w:rPr>
          <w:rFonts w:hint="eastAsia" w:ascii="宋体" w:hAnsi="宋体" w:eastAsia="宋体" w:cs="Times New Roman"/>
          <w:b/>
          <w:spacing w:val="6"/>
          <w:sz w:val="36"/>
          <w:szCs w:val="36"/>
        </w:rPr>
        <w:t>中小企业声明函（货物）</w:t>
      </w:r>
    </w:p>
    <w:p>
      <w:pPr>
        <w:pStyle w:val="18"/>
        <w:autoSpaceDE w:val="0"/>
        <w:autoSpaceDN w:val="0"/>
        <w:spacing w:line="480" w:lineRule="exact"/>
        <w:ind w:right="415" w:firstLine="472" w:firstLineChars="200"/>
        <w:rPr>
          <w:rFonts w:cs="宋体"/>
          <w:spacing w:val="-2"/>
          <w:sz w:val="24"/>
        </w:rPr>
      </w:pPr>
    </w:p>
    <w:p>
      <w:pPr>
        <w:pStyle w:val="18"/>
        <w:autoSpaceDE w:val="0"/>
        <w:autoSpaceDN w:val="0"/>
        <w:spacing w:line="480" w:lineRule="exact"/>
        <w:ind w:right="415" w:firstLine="472" w:firstLineChars="200"/>
        <w:rPr>
          <w:rFonts w:cs="宋体"/>
          <w:spacing w:val="-2"/>
          <w:sz w:val="24"/>
        </w:rPr>
      </w:pPr>
      <w:r>
        <w:rPr>
          <w:rFonts w:hint="eastAsia" w:cs="宋体"/>
          <w:spacing w:val="-2"/>
          <w:sz w:val="24"/>
        </w:rPr>
        <w:t>公司郑重声明，根据《政府采购促进中小企业发展管理办法》（财库﹝2020﹞46 号）的规定，本公司参加  （单位名称）的（项目名称）采购活动，工程的施工单位全部为符合政策要求的中小企业（或者：服务全部由符合政策要求的中小企业承接）。相关企业（中小企业、签订分包意向协议的中小企业）的具体情况如下：</w:t>
      </w:r>
    </w:p>
    <w:p>
      <w:pPr>
        <w:pStyle w:val="18"/>
        <w:autoSpaceDE w:val="0"/>
        <w:autoSpaceDN w:val="0"/>
        <w:spacing w:line="480" w:lineRule="exact"/>
        <w:ind w:right="415" w:firstLine="472" w:firstLineChars="200"/>
        <w:rPr>
          <w:rFonts w:cs="宋体"/>
          <w:spacing w:val="-2"/>
          <w:sz w:val="24"/>
        </w:rPr>
      </w:pPr>
      <w:r>
        <w:rPr>
          <w:rFonts w:hint="eastAsia" w:cs="宋体"/>
          <w:spacing w:val="-2"/>
          <w:sz w:val="24"/>
        </w:rPr>
        <w:t xml:space="preserve">1. </w:t>
      </w:r>
      <w:r>
        <w:rPr>
          <w:rFonts w:hint="eastAsia" w:cs="宋体"/>
          <w:spacing w:val="-2"/>
          <w:sz w:val="24"/>
          <w:u w:val="single"/>
        </w:rPr>
        <w:t>（标的名称）</w:t>
      </w:r>
      <w:r>
        <w:rPr>
          <w:rFonts w:hint="eastAsia" w:cs="宋体"/>
          <w:spacing w:val="-2"/>
          <w:sz w:val="24"/>
        </w:rPr>
        <w:t>属于</w:t>
      </w:r>
      <w:r>
        <w:rPr>
          <w:rFonts w:hint="eastAsia" w:cs="宋体"/>
          <w:spacing w:val="-2"/>
          <w:sz w:val="24"/>
          <w:u w:val="single"/>
        </w:rPr>
        <w:t xml:space="preserve">（采购文件中明确的所属行业）  </w:t>
      </w:r>
      <w:r>
        <w:rPr>
          <w:rFonts w:hint="eastAsia" w:cs="宋体"/>
          <w:spacing w:val="-2"/>
          <w:sz w:val="24"/>
        </w:rPr>
        <w:t>，承建（承接）企业为</w:t>
      </w:r>
      <w:r>
        <w:rPr>
          <w:rFonts w:hint="eastAsia" w:cs="宋体"/>
          <w:spacing w:val="-2"/>
          <w:sz w:val="24"/>
          <w:u w:val="single"/>
        </w:rPr>
        <w:t>（企业名称）</w:t>
      </w:r>
      <w:r>
        <w:rPr>
          <w:rFonts w:hint="eastAsia" w:cs="宋体"/>
          <w:spacing w:val="-2"/>
          <w:sz w:val="24"/>
        </w:rPr>
        <w:t>，从业人员</w:t>
      </w:r>
      <w:r>
        <w:rPr>
          <w:rFonts w:hint="eastAsia" w:cs="宋体"/>
          <w:spacing w:val="-2"/>
          <w:sz w:val="24"/>
          <w:u w:val="single"/>
        </w:rPr>
        <w:t xml:space="preserve"> </w:t>
      </w:r>
      <w:r>
        <w:rPr>
          <w:rFonts w:hint="eastAsia" w:cs="宋体"/>
          <w:spacing w:val="-2"/>
          <w:sz w:val="24"/>
          <w:u w:val="single"/>
        </w:rPr>
        <w:tab/>
      </w:r>
      <w:r>
        <w:rPr>
          <w:rFonts w:hint="eastAsia" w:cs="宋体"/>
          <w:spacing w:val="-2"/>
          <w:sz w:val="24"/>
        </w:rPr>
        <w:t>人，营业收入为</w:t>
      </w:r>
      <w:r>
        <w:rPr>
          <w:rFonts w:hint="eastAsia" w:cs="宋体"/>
          <w:spacing w:val="-2"/>
          <w:sz w:val="24"/>
          <w:u w:val="single"/>
        </w:rPr>
        <w:t xml:space="preserve"> </w:t>
      </w:r>
      <w:r>
        <w:rPr>
          <w:rFonts w:hint="eastAsia" w:cs="宋体"/>
          <w:spacing w:val="-2"/>
          <w:sz w:val="24"/>
          <w:u w:val="single"/>
        </w:rPr>
        <w:tab/>
      </w:r>
      <w:r>
        <w:rPr>
          <w:rFonts w:hint="eastAsia" w:cs="宋体"/>
          <w:spacing w:val="-2"/>
          <w:sz w:val="24"/>
        </w:rPr>
        <w:t>万元，资产总额为</w:t>
      </w:r>
      <w:r>
        <w:rPr>
          <w:rFonts w:hint="eastAsia" w:cs="宋体"/>
          <w:spacing w:val="-2"/>
          <w:sz w:val="24"/>
          <w:u w:val="single"/>
        </w:rPr>
        <w:t xml:space="preserve">    </w:t>
      </w:r>
      <w:r>
        <w:rPr>
          <w:rFonts w:hint="eastAsia" w:cs="宋体"/>
          <w:spacing w:val="-2"/>
          <w:sz w:val="24"/>
        </w:rPr>
        <w:t>万元，属于（中型、小型、微型企业）；</w:t>
      </w:r>
    </w:p>
    <w:p>
      <w:pPr>
        <w:pStyle w:val="18"/>
        <w:autoSpaceDE w:val="0"/>
        <w:autoSpaceDN w:val="0"/>
        <w:spacing w:line="480" w:lineRule="exact"/>
        <w:ind w:right="415" w:firstLine="472" w:firstLineChars="200"/>
        <w:rPr>
          <w:rFonts w:cs="宋体"/>
          <w:spacing w:val="-2"/>
          <w:sz w:val="24"/>
        </w:rPr>
      </w:pPr>
      <w:r>
        <w:rPr>
          <w:rFonts w:hint="eastAsia" w:cs="宋体"/>
          <w:spacing w:val="-2"/>
          <w:sz w:val="24"/>
        </w:rPr>
        <w:t>2.</w:t>
      </w:r>
      <w:r>
        <w:rPr>
          <w:rFonts w:hint="eastAsia" w:cs="宋体"/>
          <w:spacing w:val="-2"/>
          <w:sz w:val="24"/>
          <w:u w:val="single"/>
        </w:rPr>
        <w:t xml:space="preserve"> （标的名称）</w:t>
      </w:r>
      <w:r>
        <w:rPr>
          <w:rFonts w:hint="eastAsia" w:cs="宋体"/>
          <w:spacing w:val="-2"/>
          <w:sz w:val="24"/>
        </w:rPr>
        <w:t>属于</w:t>
      </w:r>
      <w:r>
        <w:rPr>
          <w:rFonts w:hint="eastAsia" w:cs="宋体"/>
          <w:spacing w:val="-2"/>
          <w:sz w:val="24"/>
          <w:u w:val="single"/>
        </w:rPr>
        <w:t xml:space="preserve">  （采购文件中明确的所属行业）</w:t>
      </w:r>
      <w:r>
        <w:rPr>
          <w:rFonts w:hint="eastAsia" w:cs="宋体"/>
          <w:spacing w:val="-2"/>
          <w:sz w:val="24"/>
        </w:rPr>
        <w:t>，承建（承接）企业为</w:t>
      </w:r>
      <w:r>
        <w:rPr>
          <w:rFonts w:hint="eastAsia" w:cs="宋体"/>
          <w:spacing w:val="-2"/>
          <w:sz w:val="24"/>
          <w:u w:val="single"/>
        </w:rPr>
        <w:t xml:space="preserve">                （企业名称）</w:t>
      </w:r>
      <w:r>
        <w:rPr>
          <w:rFonts w:hint="eastAsia" w:cs="宋体"/>
          <w:spacing w:val="-2"/>
          <w:sz w:val="24"/>
        </w:rPr>
        <w:t>，从业人员</w:t>
      </w:r>
      <w:r>
        <w:rPr>
          <w:rFonts w:hint="eastAsia" w:cs="宋体"/>
          <w:spacing w:val="-2"/>
          <w:sz w:val="24"/>
          <w:u w:val="single"/>
        </w:rPr>
        <w:t xml:space="preserve">     </w:t>
      </w:r>
      <w:r>
        <w:rPr>
          <w:rFonts w:hint="eastAsia" w:cs="宋体"/>
          <w:spacing w:val="-2"/>
          <w:sz w:val="24"/>
        </w:rPr>
        <w:t>人，营业收入为</w:t>
      </w:r>
      <w:r>
        <w:rPr>
          <w:rFonts w:hint="eastAsia" w:cs="宋体"/>
          <w:spacing w:val="-2"/>
          <w:sz w:val="24"/>
          <w:u w:val="single"/>
        </w:rPr>
        <w:t xml:space="preserve">       </w:t>
      </w:r>
      <w:r>
        <w:rPr>
          <w:rFonts w:hint="eastAsia" w:cs="宋体"/>
          <w:spacing w:val="-2"/>
          <w:sz w:val="24"/>
        </w:rPr>
        <w:t>万元，资产总额为</w:t>
      </w:r>
      <w:r>
        <w:rPr>
          <w:rFonts w:hint="eastAsia" w:cs="宋体"/>
          <w:spacing w:val="-2"/>
          <w:sz w:val="24"/>
          <w:u w:val="single"/>
        </w:rPr>
        <w:t xml:space="preserve"> </w:t>
      </w:r>
      <w:r>
        <w:rPr>
          <w:rFonts w:hint="eastAsia" w:cs="宋体"/>
          <w:spacing w:val="-2"/>
          <w:sz w:val="24"/>
          <w:u w:val="single"/>
        </w:rPr>
        <w:tab/>
      </w:r>
      <w:r>
        <w:rPr>
          <w:rFonts w:hint="eastAsia" w:cs="宋体"/>
          <w:spacing w:val="-2"/>
          <w:sz w:val="24"/>
        </w:rPr>
        <w:t>万元，属于（中型、小型、微型企业）；</w:t>
      </w:r>
    </w:p>
    <w:p>
      <w:pPr>
        <w:pStyle w:val="18"/>
        <w:autoSpaceDE w:val="0"/>
        <w:autoSpaceDN w:val="0"/>
        <w:spacing w:line="480" w:lineRule="exact"/>
        <w:ind w:right="415" w:firstLine="472" w:firstLineChars="200"/>
        <w:rPr>
          <w:rFonts w:cs="宋体"/>
          <w:spacing w:val="-2"/>
          <w:sz w:val="24"/>
        </w:rPr>
      </w:pPr>
      <w:r>
        <w:rPr>
          <w:rFonts w:hint="eastAsia" w:cs="宋体"/>
          <w:spacing w:val="-2"/>
          <w:sz w:val="24"/>
        </w:rPr>
        <w:t>……</w:t>
      </w:r>
    </w:p>
    <w:p>
      <w:pPr>
        <w:pStyle w:val="18"/>
        <w:autoSpaceDE w:val="0"/>
        <w:autoSpaceDN w:val="0"/>
        <w:spacing w:line="480" w:lineRule="exact"/>
        <w:ind w:right="415" w:firstLine="472" w:firstLineChars="200"/>
        <w:rPr>
          <w:rFonts w:cs="宋体"/>
          <w:spacing w:val="-2"/>
          <w:sz w:val="24"/>
        </w:rPr>
      </w:pPr>
      <w:r>
        <w:rPr>
          <w:rFonts w:hint="eastAsia" w:cs="宋体"/>
          <w:spacing w:val="-2"/>
          <w:sz w:val="24"/>
        </w:rPr>
        <w:t>以上企业，不属于大企业的分支机构，不存在控股股东为大企业的情形，也不存在与大企业的负责人为同一人的情形。</w:t>
      </w:r>
    </w:p>
    <w:p>
      <w:pPr>
        <w:pStyle w:val="18"/>
        <w:autoSpaceDE w:val="0"/>
        <w:autoSpaceDN w:val="0"/>
        <w:spacing w:line="480" w:lineRule="exact"/>
        <w:ind w:right="415" w:firstLine="472" w:firstLineChars="200"/>
        <w:rPr>
          <w:rFonts w:cs="宋体"/>
          <w:spacing w:val="-2"/>
          <w:sz w:val="24"/>
        </w:rPr>
      </w:pPr>
      <w:r>
        <w:rPr>
          <w:rFonts w:hint="eastAsia" w:cs="宋体"/>
          <w:spacing w:val="-2"/>
          <w:sz w:val="24"/>
        </w:rPr>
        <w:t>本企业对上述声明内容的真实性负责。如有虚假，将依法承担相应责任。</w:t>
      </w:r>
    </w:p>
    <w:p>
      <w:pPr>
        <w:pStyle w:val="18"/>
        <w:autoSpaceDE w:val="0"/>
        <w:autoSpaceDN w:val="0"/>
        <w:spacing w:line="480" w:lineRule="exact"/>
        <w:ind w:right="415" w:firstLine="4720" w:firstLineChars="2000"/>
        <w:rPr>
          <w:rFonts w:cs="宋体"/>
          <w:spacing w:val="-2"/>
          <w:sz w:val="24"/>
        </w:rPr>
      </w:pPr>
      <w:r>
        <w:rPr>
          <w:rFonts w:hint="eastAsia" w:cs="宋体"/>
          <w:spacing w:val="-2"/>
          <w:sz w:val="24"/>
        </w:rPr>
        <w:t>企业名称（盖章）：</w:t>
      </w:r>
    </w:p>
    <w:p>
      <w:pPr>
        <w:pStyle w:val="18"/>
        <w:autoSpaceDE w:val="0"/>
        <w:autoSpaceDN w:val="0"/>
        <w:spacing w:line="480" w:lineRule="exact"/>
        <w:ind w:right="415" w:firstLine="4720" w:firstLineChars="2000"/>
        <w:rPr>
          <w:rFonts w:cs="宋体"/>
          <w:spacing w:val="-2"/>
          <w:sz w:val="24"/>
        </w:rPr>
      </w:pPr>
      <w:r>
        <w:rPr>
          <w:rFonts w:hint="eastAsia" w:cs="宋体"/>
          <w:spacing w:val="-2"/>
          <w:sz w:val="24"/>
        </w:rPr>
        <w:t>日期：</w:t>
      </w:r>
    </w:p>
    <w:p>
      <w:pPr>
        <w:spacing w:line="400" w:lineRule="exact"/>
        <w:jc w:val="left"/>
        <w:rPr>
          <w:rFonts w:ascii="宋体" w:hAnsi="宋体" w:cs="宋体"/>
          <w:sz w:val="24"/>
        </w:rPr>
      </w:pPr>
    </w:p>
    <w:p>
      <w:pPr>
        <w:snapToGrid w:val="0"/>
        <w:spacing w:line="360" w:lineRule="auto"/>
        <w:rPr>
          <w:rFonts w:ascii="新宋体" w:hAnsi="新宋体" w:eastAsia="新宋体"/>
          <w:b/>
          <w:sz w:val="24"/>
        </w:rPr>
      </w:pPr>
      <w:r>
        <w:rPr>
          <w:rFonts w:hint="eastAsia" w:ascii="新宋体" w:hAnsi="新宋体" w:eastAsia="新宋体"/>
          <w:b/>
        </w:rPr>
        <w:t>备注说明：</w:t>
      </w:r>
    </w:p>
    <w:p>
      <w:pPr>
        <w:snapToGrid w:val="0"/>
        <w:spacing w:line="360" w:lineRule="auto"/>
        <w:ind w:firstLine="420" w:firstLineChars="200"/>
        <w:rPr>
          <w:rFonts w:ascii="新宋体" w:hAnsi="新宋体" w:eastAsia="新宋体"/>
        </w:rPr>
      </w:pPr>
      <w:r>
        <w:rPr>
          <w:rFonts w:hint="eastAsia" w:ascii="新宋体" w:hAnsi="新宋体" w:eastAsia="新宋体"/>
        </w:rPr>
        <w:t>1.从业人员、营业收入、资产总额填报上一年度数据，无上一年度数据的新成立企业可不填报。</w:t>
      </w:r>
    </w:p>
    <w:p>
      <w:pPr>
        <w:rPr>
          <w:rFonts w:ascii="宋体" w:hAnsi="宋体"/>
          <w:b/>
        </w:rPr>
      </w:pPr>
      <w:r>
        <w:rPr>
          <w:rFonts w:hint="eastAsia" w:ascii="宋体" w:hAnsi="宋体"/>
          <w:b/>
        </w:rPr>
        <w:br w:type="page"/>
      </w:r>
    </w:p>
    <w:p>
      <w:pPr>
        <w:snapToGrid w:val="0"/>
        <w:spacing w:line="400" w:lineRule="exact"/>
        <w:jc w:val="left"/>
        <w:rPr>
          <w:rFonts w:hint="eastAsia" w:ascii="宋体" w:hAnsi="宋体" w:eastAsia="宋体"/>
          <w:sz w:val="24"/>
          <w:lang w:eastAsia="zh-CN"/>
        </w:rPr>
      </w:pPr>
      <w:r>
        <w:rPr>
          <w:rFonts w:hint="eastAsia" w:ascii="宋体" w:hAnsi="宋体"/>
          <w:b/>
        </w:rPr>
        <w:t>附件1</w:t>
      </w:r>
      <w:r>
        <w:rPr>
          <w:rFonts w:hint="eastAsia" w:ascii="宋体" w:hAnsi="宋体"/>
          <w:b/>
          <w:lang w:val="en-US" w:eastAsia="zh-CN"/>
        </w:rPr>
        <w:t>2</w:t>
      </w:r>
    </w:p>
    <w:p>
      <w:pPr>
        <w:rPr>
          <w:rFonts w:ascii="宋体" w:hAnsi="宋体"/>
          <w:sz w:val="24"/>
        </w:rPr>
      </w:pPr>
    </w:p>
    <w:p>
      <w:pPr>
        <w:spacing w:line="588" w:lineRule="exact"/>
        <w:jc w:val="center"/>
        <w:rPr>
          <w:rFonts w:ascii="宋体" w:hAnsi="宋体"/>
          <w:b/>
          <w:spacing w:val="6"/>
          <w:sz w:val="36"/>
          <w:szCs w:val="36"/>
        </w:rPr>
      </w:pPr>
      <w:r>
        <w:rPr>
          <w:rFonts w:hint="eastAsia" w:ascii="宋体" w:hAnsi="宋体"/>
          <w:b/>
          <w:spacing w:val="6"/>
          <w:sz w:val="36"/>
          <w:szCs w:val="36"/>
        </w:rPr>
        <w:t>残疾人福利性单位声明函</w:t>
      </w:r>
    </w:p>
    <w:p>
      <w:pPr>
        <w:spacing w:line="588" w:lineRule="exact"/>
        <w:rPr>
          <w:rFonts w:ascii="宋体" w:hAnsi="宋体"/>
          <w:b/>
          <w:spacing w:val="6"/>
          <w:sz w:val="24"/>
        </w:rPr>
      </w:pPr>
    </w:p>
    <w:p>
      <w:pPr>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napToGrid w:val="0"/>
        <w:spacing w:line="360" w:lineRule="auto"/>
        <w:ind w:firstLine="480" w:firstLineChars="200"/>
        <w:rPr>
          <w:rFonts w:ascii="宋体" w:hAnsi="宋体"/>
          <w:sz w:val="24"/>
        </w:rPr>
      </w:pPr>
    </w:p>
    <w:p>
      <w:pPr>
        <w:spacing w:line="588" w:lineRule="exact"/>
        <w:ind w:firstLine="504" w:firstLineChars="200"/>
        <w:rPr>
          <w:rFonts w:ascii="宋体" w:hAnsi="宋体"/>
          <w:spacing w:val="6"/>
          <w:sz w:val="24"/>
        </w:rPr>
      </w:pPr>
    </w:p>
    <w:p>
      <w:pPr>
        <w:snapToGrid w:val="0"/>
        <w:spacing w:line="360" w:lineRule="auto"/>
        <w:ind w:firstLine="480" w:firstLineChars="200"/>
        <w:jc w:val="right"/>
        <w:rPr>
          <w:rFonts w:ascii="宋体" w:hAnsi="宋体"/>
          <w:sz w:val="24"/>
        </w:rPr>
      </w:pPr>
      <w:r>
        <w:rPr>
          <w:rFonts w:hint="eastAsia" w:ascii="宋体" w:hAnsi="宋体"/>
          <w:sz w:val="24"/>
        </w:rPr>
        <w:t xml:space="preserve">      单位名称（电子签章）：</w:t>
      </w:r>
    </w:p>
    <w:p>
      <w:pPr>
        <w:spacing w:line="360" w:lineRule="auto"/>
        <w:ind w:firstLine="240" w:firstLineChars="100"/>
        <w:jc w:val="center"/>
        <w:rPr>
          <w:rFonts w:ascii="宋体" w:hAnsi="宋体"/>
          <w:sz w:val="24"/>
        </w:rPr>
      </w:pPr>
      <w:r>
        <w:rPr>
          <w:rFonts w:hint="eastAsia" w:ascii="宋体" w:hAnsi="宋体"/>
          <w:sz w:val="24"/>
        </w:rPr>
        <w:t xml:space="preserve">                                          日  期：</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bookmarkEnd w:id="52"/>
    <w:p>
      <w:pPr>
        <w:snapToGrid w:val="0"/>
        <w:spacing w:before="157" w:beforeLines="50" w:after="50"/>
        <w:outlineLvl w:val="9"/>
        <w:rPr>
          <w:rFonts w:ascii="宋体" w:hAnsi="宋体"/>
          <w:szCs w:val="21"/>
        </w:rPr>
      </w:pPr>
    </w:p>
    <w:p>
      <w:pPr>
        <w:snapToGrid w:val="0"/>
        <w:spacing w:line="400" w:lineRule="exact"/>
        <w:jc w:val="center"/>
        <w:outlineLvl w:val="9"/>
        <w:rPr>
          <w:rFonts w:ascii="宋体" w:hAnsi="宋体"/>
          <w:sz w:val="24"/>
        </w:rPr>
      </w:pPr>
    </w:p>
    <w:p>
      <w:pPr>
        <w:snapToGrid w:val="0"/>
        <w:spacing w:line="400" w:lineRule="exact"/>
        <w:jc w:val="center"/>
        <w:outlineLvl w:val="9"/>
        <w:rPr>
          <w:rFonts w:ascii="宋体" w:hAnsi="宋体"/>
          <w:sz w:val="24"/>
        </w:rPr>
      </w:pPr>
    </w:p>
    <w:p>
      <w:pPr>
        <w:snapToGrid w:val="0"/>
        <w:spacing w:line="400" w:lineRule="exact"/>
        <w:jc w:val="center"/>
        <w:outlineLvl w:val="9"/>
        <w:rPr>
          <w:rFonts w:ascii="宋体" w:hAnsi="宋体"/>
          <w:sz w:val="24"/>
        </w:rPr>
      </w:pPr>
    </w:p>
    <w:p>
      <w:pPr>
        <w:snapToGrid w:val="0"/>
        <w:spacing w:line="400" w:lineRule="exact"/>
        <w:jc w:val="center"/>
        <w:outlineLvl w:val="1"/>
        <w:rPr>
          <w:rFonts w:ascii="宋体" w:hAnsi="宋体"/>
          <w:sz w:val="24"/>
        </w:rPr>
      </w:pPr>
      <w:r>
        <w:rPr>
          <w:rFonts w:hint="eastAsia" w:ascii="宋体" w:hAnsi="宋体"/>
          <w:sz w:val="24"/>
        </w:rPr>
        <w:t>电子备份投标</w:t>
      </w:r>
      <w:r>
        <w:rPr>
          <w:rFonts w:hint="eastAsia" w:ascii="宋体" w:hAnsi="宋体"/>
          <w:bCs/>
          <w:sz w:val="24"/>
        </w:rPr>
        <w:t>文件格式</w:t>
      </w:r>
    </w:p>
    <w:p>
      <w:pPr>
        <w:snapToGrid w:val="0"/>
        <w:spacing w:line="400" w:lineRule="exact"/>
        <w:ind w:firstLine="480" w:firstLineChars="200"/>
        <w:rPr>
          <w:rFonts w:ascii="宋体" w:hAnsi="宋体"/>
          <w:bCs/>
          <w:sz w:val="24"/>
        </w:rPr>
      </w:pPr>
    </w:p>
    <w:p>
      <w:pPr>
        <w:pStyle w:val="13"/>
        <w:spacing w:line="400" w:lineRule="exact"/>
        <w:ind w:firstLine="480" w:firstLineChars="200"/>
        <w:rPr>
          <w:bCs/>
          <w:sz w:val="24"/>
          <w:szCs w:val="24"/>
        </w:rPr>
      </w:pPr>
    </w:p>
    <w:p>
      <w:pPr>
        <w:pStyle w:val="13"/>
        <w:spacing w:line="400" w:lineRule="exact"/>
        <w:ind w:firstLine="480" w:firstLineChars="200"/>
        <w:rPr>
          <w:bCs/>
          <w:sz w:val="24"/>
          <w:szCs w:val="24"/>
        </w:rPr>
      </w:pPr>
    </w:p>
    <w:p>
      <w:pPr>
        <w:pStyle w:val="13"/>
        <w:spacing w:line="400" w:lineRule="exact"/>
        <w:ind w:firstLine="480" w:firstLineChars="200"/>
        <w:rPr>
          <w:bCs/>
          <w:sz w:val="24"/>
          <w:szCs w:val="24"/>
        </w:rPr>
      </w:pPr>
    </w:p>
    <w:p>
      <w:pPr>
        <w:snapToGrid w:val="0"/>
        <w:spacing w:line="400" w:lineRule="exact"/>
        <w:ind w:firstLine="480" w:firstLineChars="200"/>
        <w:rPr>
          <w:rFonts w:ascii="宋体" w:hAnsi="宋体"/>
          <w:bCs/>
          <w:sz w:val="24"/>
        </w:rPr>
      </w:pPr>
      <w:r>
        <w:rPr>
          <w:rFonts w:hint="eastAsia" w:ascii="宋体" w:hAnsi="宋体"/>
          <w:sz w:val="24"/>
        </w:rPr>
        <w:t>电子备份投标</w:t>
      </w:r>
      <w:r>
        <w:rPr>
          <w:rFonts w:hint="eastAsia" w:ascii="宋体" w:hAnsi="宋体"/>
          <w:bCs/>
          <w:sz w:val="24"/>
        </w:rPr>
        <w:t>文件的外包装封面格式：</w:t>
      </w:r>
    </w:p>
    <w:p>
      <w:pPr>
        <w:snapToGrid w:val="0"/>
        <w:spacing w:line="400" w:lineRule="exact"/>
        <w:ind w:firstLine="480" w:firstLineChars="200"/>
        <w:jc w:val="center"/>
        <w:rPr>
          <w:rFonts w:ascii="宋体" w:hAnsi="宋体"/>
          <w:sz w:val="24"/>
        </w:rPr>
      </w:pPr>
    </w:p>
    <w:p>
      <w:pPr>
        <w:snapToGrid w:val="0"/>
        <w:spacing w:line="400" w:lineRule="exact"/>
        <w:ind w:firstLine="480" w:firstLineChars="200"/>
        <w:jc w:val="center"/>
        <w:rPr>
          <w:rFonts w:ascii="宋体" w:hAnsi="宋体"/>
          <w:bCs/>
          <w:sz w:val="24"/>
        </w:rPr>
      </w:pPr>
      <w:r>
        <w:rPr>
          <w:rFonts w:hint="eastAsia" w:ascii="宋体" w:hAnsi="宋体"/>
          <w:sz w:val="24"/>
        </w:rPr>
        <w:t>电子备份投标</w:t>
      </w:r>
      <w:r>
        <w:rPr>
          <w:rFonts w:hint="eastAsia" w:ascii="宋体" w:hAnsi="宋体"/>
          <w:bCs/>
          <w:sz w:val="24"/>
        </w:rPr>
        <w:t>文件</w:t>
      </w:r>
    </w:p>
    <w:p>
      <w:pPr>
        <w:snapToGrid w:val="0"/>
        <w:spacing w:line="400" w:lineRule="exact"/>
        <w:ind w:firstLine="480" w:firstLineChars="200"/>
        <w:jc w:val="center"/>
        <w:rPr>
          <w:rFonts w:ascii="宋体" w:hAnsi="宋体"/>
          <w:bCs/>
          <w:sz w:val="24"/>
        </w:rPr>
      </w:pPr>
    </w:p>
    <w:p>
      <w:pPr>
        <w:snapToGrid w:val="0"/>
        <w:spacing w:line="400" w:lineRule="exact"/>
        <w:ind w:firstLine="480" w:firstLineChars="200"/>
        <w:rPr>
          <w:rFonts w:ascii="宋体" w:hAnsi="宋体"/>
          <w:bCs/>
          <w:sz w:val="24"/>
        </w:rPr>
      </w:pPr>
      <w:r>
        <w:rPr>
          <w:rFonts w:hint="eastAsia" w:ascii="宋体" w:hAnsi="宋体"/>
          <w:bCs/>
          <w:sz w:val="24"/>
        </w:rPr>
        <w:t>项目名称：</w:t>
      </w:r>
    </w:p>
    <w:p>
      <w:pPr>
        <w:snapToGrid w:val="0"/>
        <w:spacing w:line="400" w:lineRule="exact"/>
        <w:ind w:firstLine="480" w:firstLineChars="200"/>
        <w:rPr>
          <w:rFonts w:ascii="宋体" w:hAnsi="宋体"/>
          <w:bCs/>
          <w:sz w:val="24"/>
        </w:rPr>
      </w:pPr>
      <w:r>
        <w:rPr>
          <w:rFonts w:hint="eastAsia" w:ascii="宋体" w:hAnsi="宋体"/>
          <w:bCs/>
          <w:sz w:val="24"/>
        </w:rPr>
        <w:t>项目编号：</w:t>
      </w:r>
    </w:p>
    <w:p>
      <w:pPr>
        <w:snapToGrid w:val="0"/>
        <w:spacing w:line="400" w:lineRule="exact"/>
        <w:ind w:firstLine="480" w:firstLineChars="200"/>
        <w:rPr>
          <w:rFonts w:ascii="宋体" w:hAnsi="宋体"/>
          <w:bCs/>
          <w:sz w:val="24"/>
        </w:rPr>
      </w:pPr>
      <w:r>
        <w:rPr>
          <w:rFonts w:hint="eastAsia" w:ascii="宋体" w:hAnsi="宋体"/>
          <w:bCs/>
          <w:sz w:val="24"/>
        </w:rPr>
        <w:t>标   项：（如有，请填写）</w:t>
      </w:r>
    </w:p>
    <w:p>
      <w:pPr>
        <w:pStyle w:val="13"/>
        <w:spacing w:line="400" w:lineRule="exact"/>
        <w:ind w:firstLine="480" w:firstLineChars="200"/>
        <w:rPr>
          <w:bCs/>
          <w:sz w:val="24"/>
          <w:szCs w:val="24"/>
        </w:rPr>
      </w:pPr>
      <w:r>
        <w:rPr>
          <w:rFonts w:hint="eastAsia"/>
          <w:bCs/>
          <w:sz w:val="24"/>
          <w:szCs w:val="24"/>
        </w:rPr>
        <w:t>投标人名称：</w:t>
      </w:r>
    </w:p>
    <w:p>
      <w:pPr>
        <w:snapToGrid w:val="0"/>
        <w:spacing w:line="360" w:lineRule="auto"/>
        <w:ind w:firstLine="480" w:firstLineChars="200"/>
        <w:rPr>
          <w:rFonts w:ascii="宋体" w:hAnsi="宋体"/>
          <w:sz w:val="24"/>
        </w:rPr>
      </w:pPr>
    </w:p>
    <w:p>
      <w:pPr>
        <w:pStyle w:val="44"/>
      </w:pPr>
    </w:p>
    <w:p>
      <w:pPr>
        <w:snapToGrid w:val="0"/>
        <w:spacing w:before="157" w:beforeLines="50" w:after="50"/>
        <w:rPr>
          <w:rFonts w:ascii="宋体" w:hAnsi="宋体"/>
          <w:szCs w:val="21"/>
        </w:rPr>
      </w:pPr>
    </w:p>
    <w:sectPr>
      <w:headerReference r:id="rId3" w:type="default"/>
      <w:footerReference r:id="rId4" w:type="default"/>
      <w:pgSz w:w="11906" w:h="16838"/>
      <w:pgMar w:top="1440" w:right="1083" w:bottom="1440" w:left="1276"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Futura Bk">
    <w:altName w:val="AMGDT"/>
    <w:panose1 w:val="00000000000000000000"/>
    <w:charset w:val="00"/>
    <w:family w:val="auto"/>
    <w:pitch w:val="default"/>
    <w:sig w:usb0="00000000" w:usb1="00000000" w:usb2="00000000" w:usb3="00000000" w:csb0="000001FB"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rStyle w:val="3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D9FD3"/>
    <w:multiLevelType w:val="singleLevel"/>
    <w:tmpl w:val="AA0D9FD3"/>
    <w:lvl w:ilvl="0" w:tentative="0">
      <w:start w:val="2"/>
      <w:numFmt w:val="chineseCounting"/>
      <w:suff w:val="nothing"/>
      <w:lvlText w:val="%1、"/>
      <w:lvlJc w:val="left"/>
      <w:rPr>
        <w:rFonts w:hint="eastAsia"/>
      </w:rPr>
    </w:lvl>
  </w:abstractNum>
  <w:abstractNum w:abstractNumId="1">
    <w:nsid w:val="B31CDF6D"/>
    <w:multiLevelType w:val="singleLevel"/>
    <w:tmpl w:val="B31CDF6D"/>
    <w:lvl w:ilvl="0" w:tentative="0">
      <w:start w:val="2"/>
      <w:numFmt w:val="chineseCounting"/>
      <w:suff w:val="space"/>
      <w:lvlText w:val="第%1章"/>
      <w:lvlJc w:val="left"/>
      <w:rPr>
        <w:rFonts w:hint="eastAsia"/>
      </w:rPr>
    </w:lvl>
  </w:abstractNum>
  <w:abstractNum w:abstractNumId="2">
    <w:nsid w:val="B4E70905"/>
    <w:multiLevelType w:val="singleLevel"/>
    <w:tmpl w:val="B4E70905"/>
    <w:lvl w:ilvl="0" w:tentative="0">
      <w:start w:val="1"/>
      <w:numFmt w:val="chineseCounting"/>
      <w:suff w:val="nothing"/>
      <w:lvlText w:val="%1、"/>
      <w:lvlJc w:val="left"/>
      <w:rPr>
        <w:rFonts w:hint="eastAsia"/>
      </w:rPr>
    </w:lvl>
  </w:abstractNum>
  <w:abstractNum w:abstractNumId="3">
    <w:nsid w:val="FF76332C"/>
    <w:multiLevelType w:val="singleLevel"/>
    <w:tmpl w:val="FF76332C"/>
    <w:lvl w:ilvl="0" w:tentative="0">
      <w:start w:val="8"/>
      <w:numFmt w:val="decimal"/>
      <w:suff w:val="space"/>
      <w:lvlText w:val="%1)"/>
      <w:lvlJc w:val="left"/>
    </w:lvl>
  </w:abstractNum>
  <w:abstractNum w:abstractNumId="4">
    <w:nsid w:val="074054F6"/>
    <w:multiLevelType w:val="multilevel"/>
    <w:tmpl w:val="074054F6"/>
    <w:lvl w:ilvl="0" w:tentative="0">
      <w:start w:val="1"/>
      <w:numFmt w:val="decimal"/>
      <w:pStyle w:val="106"/>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30EB06E2"/>
    <w:multiLevelType w:val="singleLevel"/>
    <w:tmpl w:val="30EB06E2"/>
    <w:lvl w:ilvl="0" w:tentative="0">
      <w:start w:val="4"/>
      <w:numFmt w:val="chineseCounting"/>
      <w:suff w:val="nothing"/>
      <w:lvlText w:val="%1、"/>
      <w:lvlJc w:val="left"/>
      <w:rPr>
        <w:rFonts w:hint="eastAsia"/>
      </w:rPr>
    </w:lvl>
  </w:abstractNum>
  <w:abstractNum w:abstractNumId="6">
    <w:nsid w:val="3C848D71"/>
    <w:multiLevelType w:val="singleLevel"/>
    <w:tmpl w:val="3C848D71"/>
    <w:lvl w:ilvl="0" w:tentative="0">
      <w:start w:val="2"/>
      <w:numFmt w:val="decimal"/>
      <w:lvlText w:val="%1."/>
      <w:lvlJc w:val="left"/>
      <w:pPr>
        <w:tabs>
          <w:tab w:val="left" w:pos="312"/>
        </w:tabs>
      </w:pPr>
    </w:lvl>
  </w:abstractNum>
  <w:abstractNum w:abstractNumId="7">
    <w:nsid w:val="3CEA134B"/>
    <w:multiLevelType w:val="singleLevel"/>
    <w:tmpl w:val="3CEA134B"/>
    <w:lvl w:ilvl="0" w:tentative="0">
      <w:start w:val="2"/>
      <w:numFmt w:val="decimal"/>
      <w:suff w:val="nothing"/>
      <w:lvlText w:val="%1）"/>
      <w:lvlJc w:val="left"/>
    </w:lvl>
  </w:abstractNum>
  <w:abstractNum w:abstractNumId="8">
    <w:nsid w:val="57FA75B2"/>
    <w:multiLevelType w:val="singleLevel"/>
    <w:tmpl w:val="57FA75B2"/>
    <w:lvl w:ilvl="0" w:tentative="0">
      <w:start w:val="1"/>
      <w:numFmt w:val="decimal"/>
      <w:lvlText w:val="%1."/>
      <w:lvlJc w:val="left"/>
      <w:pPr>
        <w:tabs>
          <w:tab w:val="left" w:pos="312"/>
        </w:tabs>
      </w:pPr>
    </w:lvl>
  </w:abstractNum>
  <w:abstractNum w:abstractNumId="9">
    <w:nsid w:val="61225730"/>
    <w:multiLevelType w:val="multilevel"/>
    <w:tmpl w:val="61225730"/>
    <w:lvl w:ilvl="0" w:tentative="0">
      <w:start w:val="1"/>
      <w:numFmt w:val="japaneseCounting"/>
      <w:lvlText w:val="第%1章"/>
      <w:lvlJc w:val="left"/>
      <w:pPr>
        <w:tabs>
          <w:tab w:val="left" w:pos="1440"/>
        </w:tabs>
        <w:ind w:left="1440" w:hanging="14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1225746"/>
    <w:multiLevelType w:val="multilevel"/>
    <w:tmpl w:val="61225746"/>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73321B9E"/>
    <w:multiLevelType w:val="singleLevel"/>
    <w:tmpl w:val="73321B9E"/>
    <w:lvl w:ilvl="0" w:tentative="0">
      <w:start w:val="1"/>
      <w:numFmt w:val="decimal"/>
      <w:pStyle w:val="12"/>
      <w:lvlText w:val="%1."/>
      <w:lvlJc w:val="left"/>
      <w:pPr>
        <w:tabs>
          <w:tab w:val="left" w:pos="360"/>
        </w:tabs>
        <w:ind w:left="360" w:hanging="360"/>
      </w:pPr>
    </w:lvl>
  </w:abstractNum>
  <w:abstractNum w:abstractNumId="12">
    <w:nsid w:val="7614A992"/>
    <w:multiLevelType w:val="singleLevel"/>
    <w:tmpl w:val="7614A992"/>
    <w:lvl w:ilvl="0" w:tentative="0">
      <w:start w:val="2"/>
      <w:numFmt w:val="decimal"/>
      <w:suff w:val="nothing"/>
      <w:lvlText w:val="%1、"/>
      <w:lvlJc w:val="left"/>
      <w:pPr>
        <w:ind w:left="-480"/>
      </w:pPr>
    </w:lvl>
  </w:abstractNum>
  <w:num w:numId="1">
    <w:abstractNumId w:val="11"/>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2"/>
  </w:num>
  <w:num w:numId="7">
    <w:abstractNumId w:val="12"/>
  </w:num>
  <w:num w:numId="8">
    <w:abstractNumId w:val="3"/>
  </w:num>
  <w:num w:numId="9">
    <w:abstractNumId w:val="1"/>
  </w:num>
  <w:num w:numId="10">
    <w:abstractNumId w:val="0"/>
  </w:num>
  <w:num w:numId="11">
    <w:abstractNumId w:val="7"/>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MjM1NTkzNzc5OWZmNjdhOWUwY2UyMDI4ODhkZDkifQ=="/>
  </w:docVars>
  <w:rsids>
    <w:rsidRoot w:val="00AD1221"/>
    <w:rsid w:val="000252C7"/>
    <w:rsid w:val="00040884"/>
    <w:rsid w:val="00044610"/>
    <w:rsid w:val="000C2C85"/>
    <w:rsid w:val="000D031B"/>
    <w:rsid w:val="000E01BD"/>
    <w:rsid w:val="000E0814"/>
    <w:rsid w:val="000E1555"/>
    <w:rsid w:val="0010438D"/>
    <w:rsid w:val="00220051"/>
    <w:rsid w:val="00266309"/>
    <w:rsid w:val="00280185"/>
    <w:rsid w:val="00281A17"/>
    <w:rsid w:val="00287A1B"/>
    <w:rsid w:val="002A5C1C"/>
    <w:rsid w:val="002C0D5A"/>
    <w:rsid w:val="002D5133"/>
    <w:rsid w:val="003003BD"/>
    <w:rsid w:val="003009F5"/>
    <w:rsid w:val="00342550"/>
    <w:rsid w:val="0034772A"/>
    <w:rsid w:val="003753C7"/>
    <w:rsid w:val="003C0B90"/>
    <w:rsid w:val="003D5711"/>
    <w:rsid w:val="003E59F3"/>
    <w:rsid w:val="00443681"/>
    <w:rsid w:val="00497D3A"/>
    <w:rsid w:val="004A6C5C"/>
    <w:rsid w:val="004B10C2"/>
    <w:rsid w:val="00517647"/>
    <w:rsid w:val="00520B9F"/>
    <w:rsid w:val="0056163F"/>
    <w:rsid w:val="00590EA8"/>
    <w:rsid w:val="005E55BC"/>
    <w:rsid w:val="0060439B"/>
    <w:rsid w:val="0062387E"/>
    <w:rsid w:val="00636CEF"/>
    <w:rsid w:val="00663E1A"/>
    <w:rsid w:val="006866BC"/>
    <w:rsid w:val="006C5EF5"/>
    <w:rsid w:val="00721058"/>
    <w:rsid w:val="00735727"/>
    <w:rsid w:val="00772340"/>
    <w:rsid w:val="0079133E"/>
    <w:rsid w:val="007A0511"/>
    <w:rsid w:val="007C2BF0"/>
    <w:rsid w:val="0088548F"/>
    <w:rsid w:val="008923F9"/>
    <w:rsid w:val="00904295"/>
    <w:rsid w:val="009165F3"/>
    <w:rsid w:val="00927674"/>
    <w:rsid w:val="00945254"/>
    <w:rsid w:val="00950AB0"/>
    <w:rsid w:val="00970610"/>
    <w:rsid w:val="0099032F"/>
    <w:rsid w:val="009E2E29"/>
    <w:rsid w:val="009F3D68"/>
    <w:rsid w:val="00A06B9F"/>
    <w:rsid w:val="00A54CF3"/>
    <w:rsid w:val="00AD1221"/>
    <w:rsid w:val="00AD29C6"/>
    <w:rsid w:val="00AD4EFD"/>
    <w:rsid w:val="00AF1F7B"/>
    <w:rsid w:val="00B03953"/>
    <w:rsid w:val="00B53508"/>
    <w:rsid w:val="00B53820"/>
    <w:rsid w:val="00B91643"/>
    <w:rsid w:val="00BD5AEF"/>
    <w:rsid w:val="00BD7DBD"/>
    <w:rsid w:val="00C134C4"/>
    <w:rsid w:val="00C41310"/>
    <w:rsid w:val="00C77D78"/>
    <w:rsid w:val="00C814DB"/>
    <w:rsid w:val="00C924C3"/>
    <w:rsid w:val="00C95CDD"/>
    <w:rsid w:val="00CB2174"/>
    <w:rsid w:val="00D15D55"/>
    <w:rsid w:val="00D3029A"/>
    <w:rsid w:val="00D327AA"/>
    <w:rsid w:val="00D43612"/>
    <w:rsid w:val="00D85698"/>
    <w:rsid w:val="00DA7803"/>
    <w:rsid w:val="00DC7154"/>
    <w:rsid w:val="00E6260A"/>
    <w:rsid w:val="00E923E0"/>
    <w:rsid w:val="00EA7A49"/>
    <w:rsid w:val="00EE2DB6"/>
    <w:rsid w:val="00F066B5"/>
    <w:rsid w:val="00F51F53"/>
    <w:rsid w:val="00FA3517"/>
    <w:rsid w:val="00FB131F"/>
    <w:rsid w:val="00FE5412"/>
    <w:rsid w:val="00FF2D7D"/>
    <w:rsid w:val="01A5240D"/>
    <w:rsid w:val="047B4490"/>
    <w:rsid w:val="05433C9C"/>
    <w:rsid w:val="05836E53"/>
    <w:rsid w:val="062B7653"/>
    <w:rsid w:val="064D5CF9"/>
    <w:rsid w:val="073C0C64"/>
    <w:rsid w:val="0BA2615E"/>
    <w:rsid w:val="0C780026"/>
    <w:rsid w:val="0CE11166"/>
    <w:rsid w:val="0E2A721D"/>
    <w:rsid w:val="0FC47519"/>
    <w:rsid w:val="0FCB47B5"/>
    <w:rsid w:val="100248CD"/>
    <w:rsid w:val="118E09D2"/>
    <w:rsid w:val="118E30DD"/>
    <w:rsid w:val="11E071C7"/>
    <w:rsid w:val="12E84C6C"/>
    <w:rsid w:val="13FE336F"/>
    <w:rsid w:val="142855AF"/>
    <w:rsid w:val="147D4E32"/>
    <w:rsid w:val="14B525B2"/>
    <w:rsid w:val="15F9469D"/>
    <w:rsid w:val="16805E3C"/>
    <w:rsid w:val="17510618"/>
    <w:rsid w:val="17A2390E"/>
    <w:rsid w:val="17B71DFD"/>
    <w:rsid w:val="17DB0461"/>
    <w:rsid w:val="18744266"/>
    <w:rsid w:val="1A4D794D"/>
    <w:rsid w:val="1DA67CBF"/>
    <w:rsid w:val="1F1941AC"/>
    <w:rsid w:val="1F4A5774"/>
    <w:rsid w:val="1F796748"/>
    <w:rsid w:val="208A4D0A"/>
    <w:rsid w:val="234E27A4"/>
    <w:rsid w:val="24077DC1"/>
    <w:rsid w:val="27154141"/>
    <w:rsid w:val="27FD378C"/>
    <w:rsid w:val="2888490F"/>
    <w:rsid w:val="29077BDA"/>
    <w:rsid w:val="2AE548A4"/>
    <w:rsid w:val="2BE45D5F"/>
    <w:rsid w:val="2C0F2B82"/>
    <w:rsid w:val="2C3F5D11"/>
    <w:rsid w:val="2CFB424F"/>
    <w:rsid w:val="2E352D61"/>
    <w:rsid w:val="2F430E3F"/>
    <w:rsid w:val="324741F8"/>
    <w:rsid w:val="329D2E82"/>
    <w:rsid w:val="339578BA"/>
    <w:rsid w:val="33FD728F"/>
    <w:rsid w:val="35292570"/>
    <w:rsid w:val="377AA684"/>
    <w:rsid w:val="3A855F82"/>
    <w:rsid w:val="3C67C587"/>
    <w:rsid w:val="3D624AF9"/>
    <w:rsid w:val="3E97A79D"/>
    <w:rsid w:val="3F1A56EA"/>
    <w:rsid w:val="40926DE9"/>
    <w:rsid w:val="413C7DC6"/>
    <w:rsid w:val="42232B9E"/>
    <w:rsid w:val="431004A4"/>
    <w:rsid w:val="44EE08A5"/>
    <w:rsid w:val="45A33E32"/>
    <w:rsid w:val="46AB3D71"/>
    <w:rsid w:val="46E46A17"/>
    <w:rsid w:val="46EC2B28"/>
    <w:rsid w:val="47EF906D"/>
    <w:rsid w:val="481507EB"/>
    <w:rsid w:val="48C85D61"/>
    <w:rsid w:val="4A1E5A72"/>
    <w:rsid w:val="4B6635D6"/>
    <w:rsid w:val="4DD35DB3"/>
    <w:rsid w:val="4DFC49E7"/>
    <w:rsid w:val="4FFBFB89"/>
    <w:rsid w:val="51D40C75"/>
    <w:rsid w:val="5283564E"/>
    <w:rsid w:val="52FD1F3A"/>
    <w:rsid w:val="53EC6BF8"/>
    <w:rsid w:val="54B239E6"/>
    <w:rsid w:val="5519632F"/>
    <w:rsid w:val="56B94AB9"/>
    <w:rsid w:val="59124578"/>
    <w:rsid w:val="5AD040DC"/>
    <w:rsid w:val="5CA40C8F"/>
    <w:rsid w:val="5D5A6886"/>
    <w:rsid w:val="5E6F049D"/>
    <w:rsid w:val="5F1F2D60"/>
    <w:rsid w:val="5FDBF123"/>
    <w:rsid w:val="5FEFA5DD"/>
    <w:rsid w:val="5FF677CC"/>
    <w:rsid w:val="6031230F"/>
    <w:rsid w:val="61D47A54"/>
    <w:rsid w:val="634130DD"/>
    <w:rsid w:val="635C6C5A"/>
    <w:rsid w:val="63696577"/>
    <w:rsid w:val="63B3467C"/>
    <w:rsid w:val="63F66C68"/>
    <w:rsid w:val="65447153"/>
    <w:rsid w:val="676F498F"/>
    <w:rsid w:val="67EF9F34"/>
    <w:rsid w:val="68C9096D"/>
    <w:rsid w:val="6960063B"/>
    <w:rsid w:val="6B5E7E1C"/>
    <w:rsid w:val="6B73096E"/>
    <w:rsid w:val="6B983BF6"/>
    <w:rsid w:val="6C092D12"/>
    <w:rsid w:val="6C5B0BEB"/>
    <w:rsid w:val="706968CE"/>
    <w:rsid w:val="729D1EF1"/>
    <w:rsid w:val="75FE59A3"/>
    <w:rsid w:val="778D269B"/>
    <w:rsid w:val="77F98A5F"/>
    <w:rsid w:val="77FF9778"/>
    <w:rsid w:val="785131B4"/>
    <w:rsid w:val="79F85BC2"/>
    <w:rsid w:val="7A1B2021"/>
    <w:rsid w:val="7B4F0279"/>
    <w:rsid w:val="7DADF09D"/>
    <w:rsid w:val="7E205D3F"/>
    <w:rsid w:val="7E33728D"/>
    <w:rsid w:val="7E926FC3"/>
    <w:rsid w:val="7F8523ED"/>
    <w:rsid w:val="7FE76885"/>
    <w:rsid w:val="7FEDD90A"/>
    <w:rsid w:val="7FFD31DE"/>
    <w:rsid w:val="7FFF37BD"/>
    <w:rsid w:val="92BFEE57"/>
    <w:rsid w:val="B3B71E46"/>
    <w:rsid w:val="BB7B4023"/>
    <w:rsid w:val="C6ED3DE2"/>
    <w:rsid w:val="CD6748B9"/>
    <w:rsid w:val="CFEBB7EE"/>
    <w:rsid w:val="D7A3C783"/>
    <w:rsid w:val="D7FF0E06"/>
    <w:rsid w:val="DE66391A"/>
    <w:rsid w:val="DFE6EB56"/>
    <w:rsid w:val="E8EBCE0D"/>
    <w:rsid w:val="EA9A2CAA"/>
    <w:rsid w:val="EB9D9D89"/>
    <w:rsid w:val="EEB45227"/>
    <w:rsid w:val="EEFFA115"/>
    <w:rsid w:val="F3A61D86"/>
    <w:rsid w:val="F3EE1445"/>
    <w:rsid w:val="F7EF1DDA"/>
    <w:rsid w:val="FADD6385"/>
    <w:rsid w:val="FDB76D60"/>
    <w:rsid w:val="FEDF9159"/>
    <w:rsid w:val="FF5A7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tabs>
        <w:tab w:val="left" w:pos="985"/>
      </w:tabs>
      <w:ind w:left="985" w:hanging="425"/>
      <w:outlineLvl w:val="0"/>
    </w:pPr>
    <w:rPr>
      <w:rFonts w:ascii="楷体_GB2312" w:eastAsia="楷体_GB2312" w:cs="宋体"/>
      <w:sz w:val="28"/>
      <w:szCs w:val="20"/>
    </w:rPr>
  </w:style>
  <w:style w:type="paragraph" w:styleId="4">
    <w:name w:val="heading 2"/>
    <w:basedOn w:val="3"/>
    <w:next w:val="1"/>
    <w:link w:val="54"/>
    <w:qFormat/>
    <w:uiPriority w:val="0"/>
    <w:pPr>
      <w:keepNext/>
      <w:adjustRightInd w:val="0"/>
      <w:snapToGrid w:val="0"/>
      <w:spacing w:before="120" w:afterLines="100" w:line="480" w:lineRule="exact"/>
      <w:jc w:val="center"/>
      <w:outlineLvl w:val="1"/>
    </w:pPr>
    <w:rPr>
      <w:rFonts w:ascii="宋体" w:hAnsi="宋体"/>
      <w:b/>
      <w:bCs/>
      <w:kern w:val="0"/>
      <w:sz w:val="36"/>
      <w:szCs w:val="44"/>
    </w:rPr>
  </w:style>
  <w:style w:type="paragraph" w:styleId="5">
    <w:name w:val="heading 3"/>
    <w:basedOn w:val="4"/>
    <w:next w:val="1"/>
    <w:link w:val="53"/>
    <w:unhideWhenUsed/>
    <w:qFormat/>
    <w:uiPriority w:val="0"/>
    <w:pPr>
      <w:keepNext/>
      <w:keepLines/>
      <w:spacing w:beforeLines="100" w:afterLines="50" w:line="480" w:lineRule="auto"/>
      <w:jc w:val="left"/>
      <w:outlineLvl w:val="2"/>
    </w:pPr>
    <w:rPr>
      <w:rFonts w:hint="eastAsia" w:ascii="黑体" w:hAnsi="黑体" w:eastAsia="黑体" w:cs="Calibri"/>
      <w:kern w:val="0"/>
      <w:sz w:val="28"/>
      <w:szCs w:val="20"/>
    </w:rPr>
  </w:style>
  <w:style w:type="paragraph" w:styleId="6">
    <w:name w:val="heading 4"/>
    <w:basedOn w:val="5"/>
    <w:next w:val="1"/>
    <w:link w:val="71"/>
    <w:unhideWhenUsed/>
    <w:qFormat/>
    <w:uiPriority w:val="0"/>
    <w:pPr>
      <w:keepNext/>
      <w:keepLines/>
      <w:spacing w:beforeLines="50" w:afterLines="50" w:line="360" w:lineRule="auto"/>
      <w:jc w:val="left"/>
      <w:outlineLvl w:val="3"/>
    </w:pPr>
    <w:rPr>
      <w:rFonts w:ascii="Arial" w:hAnsi="Arial" w:eastAsia="黑体" w:cs="宋体"/>
      <w:sz w:val="30"/>
      <w:szCs w:val="28"/>
      <w:lang w:val="zh-CN"/>
    </w:rPr>
  </w:style>
  <w:style w:type="paragraph" w:styleId="7">
    <w:name w:val="heading 5"/>
    <w:basedOn w:val="1"/>
    <w:next w:val="1"/>
    <w:link w:val="72"/>
    <w:unhideWhenUsed/>
    <w:qFormat/>
    <w:uiPriority w:val="0"/>
    <w:pPr>
      <w:keepNext/>
      <w:keepLines/>
      <w:snapToGrid w:val="0"/>
      <w:spacing w:beforeLines="50" w:line="360" w:lineRule="auto"/>
      <w:jc w:val="left"/>
      <w:outlineLvl w:val="4"/>
    </w:pPr>
    <w:rPr>
      <w:rFonts w:ascii="Arial" w:hAnsi="Arial" w:eastAsia="黑体" w:cs="宋体"/>
      <w:bCs/>
      <w:sz w:val="28"/>
      <w:szCs w:val="28"/>
    </w:rPr>
  </w:style>
  <w:style w:type="paragraph" w:styleId="8">
    <w:name w:val="heading 6"/>
    <w:basedOn w:val="1"/>
    <w:next w:val="1"/>
    <w:link w:val="73"/>
    <w:unhideWhenUsed/>
    <w:qFormat/>
    <w:uiPriority w:val="0"/>
    <w:pPr>
      <w:keepNext/>
      <w:keepLines/>
      <w:spacing w:before="240" w:after="64" w:line="319" w:lineRule="auto"/>
      <w:outlineLvl w:val="5"/>
    </w:pPr>
    <w:rPr>
      <w:rFonts w:ascii="Arial" w:hAnsi="Arial" w:eastAsia="黑体" w:cs="宋体"/>
      <w:sz w:val="24"/>
      <w:szCs w:val="20"/>
    </w:rPr>
  </w:style>
  <w:style w:type="paragraph" w:styleId="9">
    <w:name w:val="heading 7"/>
    <w:basedOn w:val="1"/>
    <w:next w:val="1"/>
    <w:link w:val="74"/>
    <w:unhideWhenUsed/>
    <w:qFormat/>
    <w:uiPriority w:val="0"/>
    <w:pPr>
      <w:keepNext/>
      <w:keepLines/>
      <w:spacing w:before="120" w:after="64" w:line="360" w:lineRule="auto"/>
      <w:jc w:val="left"/>
      <w:outlineLvl w:val="6"/>
    </w:pPr>
    <w:rPr>
      <w:rFonts w:ascii="Arial" w:hAnsi="Arial" w:cs="宋体"/>
      <w:bCs/>
      <w:sz w:val="24"/>
      <w:lang w:eastAsia="en-US"/>
    </w:rPr>
  </w:style>
  <w:style w:type="paragraph" w:styleId="10">
    <w:name w:val="heading 8"/>
    <w:basedOn w:val="1"/>
    <w:next w:val="1"/>
    <w:link w:val="75"/>
    <w:unhideWhenUsed/>
    <w:qFormat/>
    <w:uiPriority w:val="0"/>
    <w:pPr>
      <w:keepNext/>
      <w:keepLines/>
      <w:spacing w:before="240" w:after="64" w:line="316" w:lineRule="auto"/>
      <w:jc w:val="left"/>
      <w:outlineLvl w:val="7"/>
    </w:pPr>
    <w:rPr>
      <w:rFonts w:ascii="Cambria" w:hAnsi="Cambria"/>
      <w:sz w:val="24"/>
      <w:lang w:eastAsia="en-US"/>
    </w:rPr>
  </w:style>
  <w:style w:type="paragraph" w:styleId="11">
    <w:name w:val="heading 9"/>
    <w:basedOn w:val="1"/>
    <w:next w:val="1"/>
    <w:link w:val="76"/>
    <w:unhideWhenUsed/>
    <w:qFormat/>
    <w:uiPriority w:val="9"/>
    <w:pPr>
      <w:keepNext/>
      <w:keepLines/>
      <w:spacing w:before="240" w:after="64" w:line="319" w:lineRule="auto"/>
      <w:outlineLvl w:val="8"/>
    </w:pPr>
    <w:rPr>
      <w:rFonts w:ascii="Cambria" w:hAnsi="Cambria"/>
      <w:szCs w:val="21"/>
      <w:lang w:eastAsia="en-US"/>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200" w:right="-72" w:hanging="30"/>
    </w:pPr>
    <w:rPr>
      <w:rFonts w:ascii="Arial" w:hAnsi="Arial" w:eastAsia="幼圆" w:cs="Arial"/>
      <w:sz w:val="22"/>
      <w:szCs w:val="20"/>
    </w:rPr>
  </w:style>
  <w:style w:type="paragraph" w:styleId="12">
    <w:name w:val="List Number"/>
    <w:basedOn w:val="1"/>
    <w:qFormat/>
    <w:uiPriority w:val="0"/>
    <w:pPr>
      <w:numPr>
        <w:ilvl w:val="0"/>
        <w:numId w:val="1"/>
      </w:numPr>
    </w:pPr>
  </w:style>
  <w:style w:type="paragraph" w:styleId="13">
    <w:name w:val="Normal Indent"/>
    <w:basedOn w:val="1"/>
    <w:next w:val="14"/>
    <w:link w:val="46"/>
    <w:qFormat/>
    <w:uiPriority w:val="0"/>
    <w:pPr>
      <w:ind w:firstLine="420"/>
    </w:pPr>
    <w:rPr>
      <w:rFonts w:ascii="宋体" w:hAnsi="宋体"/>
      <w:szCs w:val="20"/>
    </w:rPr>
  </w:style>
  <w:style w:type="paragraph" w:styleId="14">
    <w:name w:val="Body Text Indent"/>
    <w:basedOn w:val="1"/>
    <w:next w:val="1"/>
    <w:link w:val="52"/>
    <w:qFormat/>
    <w:uiPriority w:val="0"/>
    <w:pPr>
      <w:spacing w:after="120"/>
      <w:ind w:left="420" w:leftChars="200"/>
    </w:pPr>
    <w:rPr>
      <w:rFonts w:ascii="宋体" w:hAnsi="宋体"/>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annotation text"/>
    <w:basedOn w:val="1"/>
    <w:link w:val="57"/>
    <w:qFormat/>
    <w:uiPriority w:val="0"/>
    <w:pPr>
      <w:jc w:val="left"/>
    </w:pPr>
    <w:rPr>
      <w:rFonts w:ascii="宋体" w:hAnsi="宋体"/>
    </w:rPr>
  </w:style>
  <w:style w:type="paragraph" w:styleId="17">
    <w:name w:val="Salutation"/>
    <w:basedOn w:val="1"/>
    <w:next w:val="1"/>
    <w:link w:val="83"/>
    <w:qFormat/>
    <w:uiPriority w:val="0"/>
    <w:pPr>
      <w:spacing w:line="520" w:lineRule="exact"/>
    </w:pPr>
    <w:rPr>
      <w:rFonts w:ascii="华文宋体" w:hAnsi="Arial Unicode MS" w:eastAsia="华文宋体"/>
      <w:sz w:val="24"/>
      <w:szCs w:val="20"/>
    </w:rPr>
  </w:style>
  <w:style w:type="paragraph" w:styleId="18">
    <w:name w:val="Body Text"/>
    <w:basedOn w:val="1"/>
    <w:next w:val="6"/>
    <w:link w:val="62"/>
    <w:qFormat/>
    <w:uiPriority w:val="0"/>
    <w:pPr>
      <w:spacing w:after="120"/>
    </w:pPr>
    <w:rPr>
      <w:rFonts w:ascii="宋体" w:hAnsi="宋体"/>
    </w:rPr>
  </w:style>
  <w:style w:type="paragraph" w:styleId="19">
    <w:name w:val="Plain Text"/>
    <w:basedOn w:val="1"/>
    <w:next w:val="1"/>
    <w:link w:val="63"/>
    <w:qFormat/>
    <w:uiPriority w:val="0"/>
    <w:rPr>
      <w:rFonts w:ascii="宋体" w:hAnsi="Courier New"/>
      <w:szCs w:val="20"/>
    </w:rPr>
  </w:style>
  <w:style w:type="paragraph" w:styleId="20">
    <w:name w:val="Date"/>
    <w:basedOn w:val="1"/>
    <w:next w:val="1"/>
    <w:qFormat/>
    <w:uiPriority w:val="0"/>
    <w:rPr>
      <w:rFonts w:ascii="黑体"/>
      <w:kern w:val="44"/>
      <w:position w:val="6"/>
      <w:szCs w:val="20"/>
    </w:rPr>
  </w:style>
  <w:style w:type="paragraph" w:styleId="21">
    <w:name w:val="Body Text Indent 2"/>
    <w:basedOn w:val="1"/>
    <w:qFormat/>
    <w:uiPriority w:val="0"/>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pPr>
    <w:rPr>
      <w:rFonts w:ascii="宋体"/>
      <w:color w:val="000000"/>
      <w:kern w:val="0"/>
      <w:sz w:val="24"/>
      <w:szCs w:val="20"/>
    </w:rPr>
  </w:style>
  <w:style w:type="paragraph" w:styleId="22">
    <w:name w:val="Balloon Text"/>
    <w:basedOn w:val="1"/>
    <w:qFormat/>
    <w:uiPriority w:val="0"/>
    <w:rPr>
      <w:sz w:val="18"/>
      <w:szCs w:val="18"/>
    </w:rPr>
  </w:style>
  <w:style w:type="paragraph" w:styleId="23">
    <w:name w:val="footer"/>
    <w:basedOn w:val="1"/>
    <w:link w:val="64"/>
    <w:qFormat/>
    <w:uiPriority w:val="99"/>
    <w:pPr>
      <w:tabs>
        <w:tab w:val="center" w:pos="4153"/>
        <w:tab w:val="right" w:pos="8306"/>
      </w:tabs>
      <w:snapToGrid w:val="0"/>
      <w:jc w:val="left"/>
    </w:pPr>
    <w:rPr>
      <w:rFonts w:ascii="宋体" w:hAnsi="宋体"/>
      <w:sz w:val="18"/>
      <w:szCs w:val="18"/>
    </w:rPr>
  </w:style>
  <w:style w:type="paragraph" w:styleId="24">
    <w:name w:val="header"/>
    <w:basedOn w:val="1"/>
    <w:link w:val="47"/>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25">
    <w:name w:val="toc 1"/>
    <w:basedOn w:val="1"/>
    <w:next w:val="1"/>
    <w:qFormat/>
    <w:uiPriority w:val="39"/>
  </w:style>
  <w:style w:type="paragraph" w:styleId="26">
    <w:name w:val="List"/>
    <w:basedOn w:val="1"/>
    <w:qFormat/>
    <w:uiPriority w:val="0"/>
    <w:pPr>
      <w:ind w:left="200" w:hanging="200" w:hangingChars="200"/>
      <w:contextualSpacing/>
    </w:pPr>
  </w:style>
  <w:style w:type="paragraph" w:styleId="27">
    <w:name w:val="Body Text Indent 3"/>
    <w:basedOn w:val="1"/>
    <w:link w:val="45"/>
    <w:qFormat/>
    <w:uiPriority w:val="0"/>
    <w:pPr>
      <w:spacing w:after="120"/>
      <w:ind w:left="420" w:leftChars="200"/>
    </w:pPr>
    <w:rPr>
      <w:rFonts w:ascii="宋体" w:hAnsi="宋体"/>
      <w:sz w:val="16"/>
      <w:szCs w:val="16"/>
    </w:rPr>
  </w:style>
  <w:style w:type="paragraph" w:styleId="28">
    <w:name w:val="Body Text 2"/>
    <w:basedOn w:val="1"/>
    <w:qFormat/>
    <w:uiPriority w:val="0"/>
    <w:pPr>
      <w:spacing w:after="120" w:line="480" w:lineRule="auto"/>
    </w:pPr>
  </w:style>
  <w:style w:type="paragraph" w:styleId="29">
    <w:name w:val="Normal (Web)"/>
    <w:basedOn w:val="1"/>
    <w:qFormat/>
    <w:uiPriority w:val="0"/>
    <w:pPr>
      <w:spacing w:before="100" w:beforeAutospacing="1" w:after="100" w:afterAutospacing="1"/>
    </w:pPr>
    <w:rPr>
      <w:rFonts w:ascii="宋体" w:hAnsi="宋体"/>
    </w:rPr>
  </w:style>
  <w:style w:type="paragraph" w:styleId="30">
    <w:name w:val="annotation subject"/>
    <w:basedOn w:val="16"/>
    <w:next w:val="16"/>
    <w:link w:val="102"/>
    <w:unhideWhenUsed/>
    <w:qFormat/>
    <w:uiPriority w:val="0"/>
    <w:rPr>
      <w:rFonts w:ascii="Calibri" w:hAnsi="Calibri"/>
      <w:b/>
      <w:bCs/>
    </w:rPr>
  </w:style>
  <w:style w:type="paragraph" w:styleId="31">
    <w:name w:val="Body Text First Indent"/>
    <w:basedOn w:val="1"/>
    <w:next w:val="1"/>
    <w:qFormat/>
    <w:uiPriority w:val="0"/>
    <w:pPr>
      <w:ind w:firstLine="420" w:firstLineChars="100"/>
    </w:pPr>
  </w:style>
  <w:style w:type="paragraph" w:styleId="32">
    <w:name w:val="Body Text First Indent 2"/>
    <w:basedOn w:val="14"/>
    <w:next w:val="33"/>
    <w:link w:val="58"/>
    <w:qFormat/>
    <w:uiPriority w:val="0"/>
    <w:pPr>
      <w:ind w:firstLine="420" w:firstLineChars="200"/>
    </w:pPr>
  </w:style>
  <w:style w:type="paragraph" w:customStyle="1" w:styleId="33">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Hyperlink"/>
    <w:qFormat/>
    <w:uiPriority w:val="0"/>
    <w:rPr>
      <w:color w:val="0000FF"/>
      <w:u w:val="single"/>
    </w:rPr>
  </w:style>
  <w:style w:type="character" w:styleId="41">
    <w:name w:val="annotation reference"/>
    <w:basedOn w:val="36"/>
    <w:qFormat/>
    <w:uiPriority w:val="0"/>
    <w:rPr>
      <w:sz w:val="21"/>
      <w:szCs w:val="21"/>
    </w:rPr>
  </w:style>
  <w:style w:type="paragraph" w:customStyle="1" w:styleId="42">
    <w:name w:val="表格文字"/>
    <w:basedOn w:val="19"/>
    <w:next w:val="18"/>
    <w:qFormat/>
    <w:uiPriority w:val="0"/>
    <w:pPr>
      <w:adjustRightInd w:val="0"/>
      <w:spacing w:line="420" w:lineRule="atLeast"/>
      <w:jc w:val="left"/>
      <w:textAlignment w:val="baseline"/>
    </w:pPr>
    <w:rPr>
      <w:rFonts w:ascii="Times New Roman" w:hAnsi="Times New Roman"/>
      <w:kern w:val="0"/>
    </w:rPr>
  </w:style>
  <w:style w:type="paragraph" w:customStyle="1" w:styleId="43">
    <w:name w:val="正文（缩进）"/>
    <w:basedOn w:val="1"/>
    <w:qFormat/>
    <w:uiPriority w:val="0"/>
    <w:pPr>
      <w:ind w:firstLine="480"/>
    </w:pPr>
    <w:rPr>
      <w:kern w:val="0"/>
      <w:lang w:val="zh-CN"/>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正文文本缩进 3 Char"/>
    <w:link w:val="27"/>
    <w:qFormat/>
    <w:locked/>
    <w:uiPriority w:val="0"/>
    <w:rPr>
      <w:rFonts w:ascii="宋体" w:hAnsi="宋体" w:eastAsia="宋体"/>
      <w:kern w:val="2"/>
      <w:sz w:val="16"/>
      <w:szCs w:val="16"/>
      <w:lang w:val="en-US" w:eastAsia="zh-CN" w:bidi="ar-SA"/>
    </w:rPr>
  </w:style>
  <w:style w:type="character" w:customStyle="1" w:styleId="46">
    <w:name w:val="正文缩进 Char"/>
    <w:link w:val="13"/>
    <w:qFormat/>
    <w:locked/>
    <w:uiPriority w:val="0"/>
    <w:rPr>
      <w:rFonts w:ascii="宋体" w:hAnsi="宋体" w:eastAsia="宋体"/>
      <w:kern w:val="2"/>
      <w:sz w:val="21"/>
      <w:lang w:val="en-US" w:eastAsia="zh-CN" w:bidi="ar-SA"/>
    </w:rPr>
  </w:style>
  <w:style w:type="character" w:customStyle="1" w:styleId="47">
    <w:name w:val="页眉 Char"/>
    <w:link w:val="24"/>
    <w:qFormat/>
    <w:locked/>
    <w:uiPriority w:val="0"/>
    <w:rPr>
      <w:rFonts w:ascii="宋体" w:hAnsi="宋体" w:eastAsia="宋体"/>
      <w:kern w:val="2"/>
      <w:sz w:val="18"/>
      <w:szCs w:val="18"/>
      <w:lang w:val="en-US" w:eastAsia="zh-CN" w:bidi="ar-SA"/>
    </w:rPr>
  </w:style>
  <w:style w:type="character" w:customStyle="1" w:styleId="48">
    <w:name w:val="表格非标题文字 Char"/>
    <w:link w:val="49"/>
    <w:qFormat/>
    <w:locked/>
    <w:uiPriority w:val="0"/>
    <w:rPr>
      <w:rFonts w:ascii="Futura Bk" w:hAnsi="Futura Bk"/>
      <w:kern w:val="2"/>
      <w:sz w:val="18"/>
      <w:szCs w:val="21"/>
      <w:lang w:val="en-US" w:eastAsia="zh-CN" w:bidi="ar-SA"/>
    </w:rPr>
  </w:style>
  <w:style w:type="paragraph" w:customStyle="1" w:styleId="49">
    <w:name w:val="表格非标题文字"/>
    <w:link w:val="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50">
    <w:name w:val="!我的正文 Ctr+Q Char"/>
    <w:link w:val="51"/>
    <w:qFormat/>
    <w:locked/>
    <w:uiPriority w:val="0"/>
    <w:rPr>
      <w:rFonts w:ascii="Arial" w:hAnsi="Arial" w:eastAsia="宋体" w:cs="Arial"/>
      <w:kern w:val="2"/>
      <w:sz w:val="24"/>
      <w:szCs w:val="21"/>
      <w:lang w:val="en-US" w:eastAsia="zh-CN" w:bidi="ar-SA"/>
    </w:rPr>
  </w:style>
  <w:style w:type="paragraph" w:customStyle="1" w:styleId="51">
    <w:name w:val="!我的正文 Ctr+Q"/>
    <w:basedOn w:val="1"/>
    <w:link w:val="50"/>
    <w:qFormat/>
    <w:uiPriority w:val="0"/>
    <w:pPr>
      <w:adjustRightInd w:val="0"/>
      <w:snapToGrid w:val="0"/>
      <w:spacing w:line="360" w:lineRule="auto"/>
      <w:ind w:firstLine="480" w:firstLineChars="200"/>
    </w:pPr>
    <w:rPr>
      <w:rFonts w:ascii="Arial" w:hAnsi="Arial" w:cs="Arial"/>
      <w:sz w:val="24"/>
      <w:szCs w:val="21"/>
    </w:rPr>
  </w:style>
  <w:style w:type="character" w:customStyle="1" w:styleId="52">
    <w:name w:val="正文文本缩进 Char"/>
    <w:link w:val="14"/>
    <w:qFormat/>
    <w:locked/>
    <w:uiPriority w:val="0"/>
    <w:rPr>
      <w:rFonts w:ascii="宋体" w:hAnsi="宋体" w:eastAsia="宋体"/>
      <w:kern w:val="2"/>
      <w:sz w:val="21"/>
      <w:szCs w:val="24"/>
      <w:lang w:val="en-US" w:eastAsia="zh-CN" w:bidi="ar-SA"/>
    </w:rPr>
  </w:style>
  <w:style w:type="character" w:customStyle="1" w:styleId="53">
    <w:name w:val="标题 3 Char"/>
    <w:link w:val="5"/>
    <w:semiHidden/>
    <w:qFormat/>
    <w:uiPriority w:val="0"/>
    <w:rPr>
      <w:rFonts w:ascii="黑体" w:hAnsi="黑体" w:eastAsia="黑体"/>
      <w:b/>
      <w:sz w:val="28"/>
    </w:rPr>
  </w:style>
  <w:style w:type="character" w:customStyle="1" w:styleId="54">
    <w:name w:val="标题 2 Char"/>
    <w:link w:val="4"/>
    <w:qFormat/>
    <w:uiPriority w:val="0"/>
    <w:rPr>
      <w:rFonts w:ascii="宋体" w:hAnsi="宋体" w:cs="宋体"/>
      <w:b/>
      <w:bCs/>
      <w:kern w:val="0"/>
      <w:sz w:val="36"/>
      <w:szCs w:val="44"/>
    </w:rPr>
  </w:style>
  <w:style w:type="character" w:customStyle="1" w:styleId="55">
    <w:name w:val="CM-正文 Char"/>
    <w:link w:val="56"/>
    <w:qFormat/>
    <w:locked/>
    <w:uiPriority w:val="0"/>
    <w:rPr>
      <w:rFonts w:ascii="宋体" w:hAnsi="宋体"/>
      <w:kern w:val="2"/>
      <w:sz w:val="24"/>
      <w:szCs w:val="24"/>
      <w:lang w:val="en-US" w:eastAsia="zh-CN" w:bidi="ar-SA"/>
    </w:rPr>
  </w:style>
  <w:style w:type="paragraph" w:customStyle="1" w:styleId="56">
    <w:name w:val="CM-正文"/>
    <w:link w:val="55"/>
    <w:qFormat/>
    <w:uiPriority w:val="0"/>
    <w:pPr>
      <w:spacing w:line="400" w:lineRule="atLeast"/>
      <w:ind w:firstLine="200" w:firstLineChars="200"/>
    </w:pPr>
    <w:rPr>
      <w:rFonts w:ascii="宋体" w:hAnsi="宋体" w:eastAsia="宋体" w:cs="Times New Roman"/>
      <w:kern w:val="2"/>
      <w:sz w:val="24"/>
      <w:szCs w:val="24"/>
      <w:lang w:val="en-US" w:eastAsia="zh-CN" w:bidi="ar-SA"/>
    </w:rPr>
  </w:style>
  <w:style w:type="character" w:customStyle="1" w:styleId="57">
    <w:name w:val="批注文字 Char"/>
    <w:link w:val="16"/>
    <w:qFormat/>
    <w:locked/>
    <w:uiPriority w:val="0"/>
    <w:rPr>
      <w:rFonts w:ascii="宋体" w:hAnsi="宋体" w:eastAsia="宋体"/>
      <w:kern w:val="2"/>
      <w:sz w:val="21"/>
      <w:szCs w:val="24"/>
      <w:lang w:val="en-US" w:eastAsia="zh-CN" w:bidi="ar-SA"/>
    </w:rPr>
  </w:style>
  <w:style w:type="character" w:customStyle="1" w:styleId="58">
    <w:name w:val="正文首行缩进 2 Char"/>
    <w:link w:val="32"/>
    <w:qFormat/>
    <w:locked/>
    <w:uiPriority w:val="0"/>
    <w:rPr>
      <w:rFonts w:ascii="宋体" w:hAnsi="宋体" w:eastAsia="宋体"/>
      <w:kern w:val="2"/>
      <w:sz w:val="21"/>
      <w:szCs w:val="24"/>
      <w:lang w:val="en-US" w:eastAsia="zh-CN" w:bidi="ar-SA"/>
    </w:rPr>
  </w:style>
  <w:style w:type="character" w:customStyle="1" w:styleId="59">
    <w:name w:val="标题 2 Char2"/>
    <w:qFormat/>
    <w:uiPriority w:val="0"/>
    <w:rPr>
      <w:rFonts w:ascii="Arial" w:hAnsi="Arial" w:eastAsia="宋体"/>
      <w:b/>
      <w:bCs/>
      <w:kern w:val="2"/>
      <w:sz w:val="28"/>
      <w:szCs w:val="32"/>
      <w:lang w:val="en-US" w:eastAsia="zh-CN" w:bidi="ar-SA"/>
    </w:rPr>
  </w:style>
  <w:style w:type="character" w:customStyle="1" w:styleId="60">
    <w:name w:val="No Spacing Char Char"/>
    <w:link w:val="61"/>
    <w:qFormat/>
    <w:locked/>
    <w:uiPriority w:val="0"/>
    <w:rPr>
      <w:sz w:val="22"/>
      <w:lang w:eastAsia="en-US" w:bidi="ar-SA"/>
    </w:rPr>
  </w:style>
  <w:style w:type="paragraph" w:customStyle="1" w:styleId="61">
    <w:name w:val="无间隔1"/>
    <w:basedOn w:val="1"/>
    <w:link w:val="60"/>
    <w:qFormat/>
    <w:uiPriority w:val="0"/>
    <w:pPr>
      <w:widowControl/>
      <w:jc w:val="left"/>
    </w:pPr>
    <w:rPr>
      <w:kern w:val="0"/>
      <w:sz w:val="22"/>
      <w:szCs w:val="20"/>
      <w:lang w:eastAsia="en-US"/>
    </w:rPr>
  </w:style>
  <w:style w:type="character" w:customStyle="1" w:styleId="62">
    <w:name w:val="正文文本 Char"/>
    <w:link w:val="18"/>
    <w:qFormat/>
    <w:locked/>
    <w:uiPriority w:val="0"/>
    <w:rPr>
      <w:rFonts w:ascii="宋体" w:hAnsi="宋体" w:eastAsia="宋体"/>
      <w:kern w:val="2"/>
      <w:sz w:val="21"/>
      <w:szCs w:val="24"/>
      <w:lang w:val="en-US" w:eastAsia="zh-CN" w:bidi="ar-SA"/>
    </w:rPr>
  </w:style>
  <w:style w:type="character" w:customStyle="1" w:styleId="63">
    <w:name w:val="纯文本 Char"/>
    <w:link w:val="19"/>
    <w:qFormat/>
    <w:locked/>
    <w:uiPriority w:val="0"/>
    <w:rPr>
      <w:rFonts w:ascii="宋体" w:hAnsi="Courier New" w:eastAsia="宋体"/>
      <w:kern w:val="2"/>
      <w:sz w:val="21"/>
      <w:lang w:val="en-US" w:eastAsia="zh-CN" w:bidi="ar-SA"/>
    </w:rPr>
  </w:style>
  <w:style w:type="character" w:customStyle="1" w:styleId="64">
    <w:name w:val="页脚 Char"/>
    <w:link w:val="23"/>
    <w:qFormat/>
    <w:locked/>
    <w:uiPriority w:val="99"/>
    <w:rPr>
      <w:rFonts w:ascii="宋体" w:hAnsi="宋体" w:eastAsia="宋体"/>
      <w:kern w:val="2"/>
      <w:sz w:val="18"/>
      <w:szCs w:val="18"/>
      <w:lang w:val="en-US" w:eastAsia="zh-CN" w:bidi="ar-SA"/>
    </w:rPr>
  </w:style>
  <w:style w:type="paragraph" w:customStyle="1" w:styleId="65">
    <w:name w:val="Char1"/>
    <w:basedOn w:val="1"/>
    <w:qFormat/>
    <w:uiPriority w:val="0"/>
    <w:pPr>
      <w:tabs>
        <w:tab w:val="left" w:pos="432"/>
      </w:tabs>
      <w:spacing w:beforeLines="50" w:afterLines="50"/>
      <w:ind w:left="432" w:hanging="432"/>
    </w:pPr>
    <w:rPr>
      <w:sz w:val="24"/>
    </w:rPr>
  </w:style>
  <w:style w:type="paragraph" w:customStyle="1" w:styleId="66">
    <w:name w:val="正文内容"/>
    <w:basedOn w:val="1"/>
    <w:qFormat/>
    <w:uiPriority w:val="0"/>
    <w:pPr>
      <w:ind w:firstLine="420" w:firstLineChars="200"/>
    </w:pPr>
    <w:rPr>
      <w:rFonts w:ascii="宋体"/>
      <w:sz w:val="28"/>
      <w:szCs w:val="21"/>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列出段落1"/>
    <w:basedOn w:val="1"/>
    <w:qFormat/>
    <w:uiPriority w:val="34"/>
    <w:pPr>
      <w:ind w:firstLine="420" w:firstLineChars="200"/>
    </w:pPr>
  </w:style>
  <w:style w:type="character" w:customStyle="1" w:styleId="70">
    <w:name w:val="标题 3 Char1"/>
    <w:basedOn w:val="36"/>
    <w:semiHidden/>
    <w:qFormat/>
    <w:uiPriority w:val="0"/>
    <w:rPr>
      <w:rFonts w:cs="Times New Roman"/>
      <w:b/>
      <w:bCs/>
      <w:kern w:val="2"/>
      <w:sz w:val="32"/>
      <w:szCs w:val="32"/>
    </w:rPr>
  </w:style>
  <w:style w:type="character" w:customStyle="1" w:styleId="71">
    <w:name w:val="标题 4 Char"/>
    <w:basedOn w:val="36"/>
    <w:link w:val="6"/>
    <w:semiHidden/>
    <w:qFormat/>
    <w:uiPriority w:val="0"/>
    <w:rPr>
      <w:rFonts w:ascii="Arial" w:hAnsi="Arial" w:eastAsia="黑体" w:cs="宋体"/>
      <w:bCs/>
      <w:kern w:val="2"/>
      <w:sz w:val="30"/>
      <w:szCs w:val="28"/>
      <w:lang w:val="zh-CN" w:eastAsia="zh-CN"/>
    </w:rPr>
  </w:style>
  <w:style w:type="character" w:customStyle="1" w:styleId="72">
    <w:name w:val="标题 5 Char"/>
    <w:basedOn w:val="36"/>
    <w:link w:val="7"/>
    <w:semiHidden/>
    <w:qFormat/>
    <w:uiPriority w:val="0"/>
    <w:rPr>
      <w:rFonts w:ascii="Arial" w:hAnsi="Arial" w:eastAsia="黑体" w:cs="宋体"/>
      <w:bCs/>
      <w:kern w:val="2"/>
      <w:sz w:val="28"/>
      <w:szCs w:val="28"/>
    </w:rPr>
  </w:style>
  <w:style w:type="character" w:customStyle="1" w:styleId="73">
    <w:name w:val="标题 6 Char"/>
    <w:basedOn w:val="36"/>
    <w:link w:val="8"/>
    <w:semiHidden/>
    <w:qFormat/>
    <w:uiPriority w:val="0"/>
    <w:rPr>
      <w:rFonts w:ascii="Arial" w:hAnsi="Arial" w:eastAsia="黑体" w:cs="宋体"/>
      <w:kern w:val="2"/>
      <w:sz w:val="24"/>
    </w:rPr>
  </w:style>
  <w:style w:type="character" w:customStyle="1" w:styleId="74">
    <w:name w:val="标题 7 Char"/>
    <w:basedOn w:val="36"/>
    <w:link w:val="9"/>
    <w:semiHidden/>
    <w:qFormat/>
    <w:uiPriority w:val="0"/>
    <w:rPr>
      <w:rFonts w:ascii="Arial" w:hAnsi="Arial" w:cs="宋体"/>
      <w:bCs/>
      <w:kern w:val="2"/>
      <w:sz w:val="24"/>
      <w:szCs w:val="24"/>
      <w:lang w:eastAsia="en-US"/>
    </w:rPr>
  </w:style>
  <w:style w:type="character" w:customStyle="1" w:styleId="75">
    <w:name w:val="标题 8 Char"/>
    <w:basedOn w:val="36"/>
    <w:link w:val="10"/>
    <w:semiHidden/>
    <w:qFormat/>
    <w:uiPriority w:val="0"/>
    <w:rPr>
      <w:rFonts w:ascii="Cambria" w:hAnsi="Cambria" w:cs="Times New Roman"/>
      <w:kern w:val="2"/>
      <w:sz w:val="24"/>
      <w:szCs w:val="24"/>
      <w:lang w:eastAsia="en-US"/>
    </w:rPr>
  </w:style>
  <w:style w:type="character" w:customStyle="1" w:styleId="76">
    <w:name w:val="标题 9 Char"/>
    <w:basedOn w:val="36"/>
    <w:link w:val="11"/>
    <w:semiHidden/>
    <w:qFormat/>
    <w:uiPriority w:val="9"/>
    <w:rPr>
      <w:rFonts w:ascii="Cambria" w:hAnsi="Cambria" w:cs="Times New Roman"/>
      <w:kern w:val="2"/>
      <w:sz w:val="21"/>
      <w:szCs w:val="21"/>
      <w:lang w:eastAsia="en-US"/>
    </w:rPr>
  </w:style>
  <w:style w:type="character" w:customStyle="1" w:styleId="77">
    <w:name w:val="large1"/>
    <w:qFormat/>
    <w:uiPriority w:val="0"/>
    <w:rPr>
      <w:rFonts w:hint="eastAsia" w:ascii="宋体" w:hAnsi="宋体" w:eastAsia="宋体"/>
      <w:sz w:val="21"/>
      <w:szCs w:val="21"/>
    </w:rPr>
  </w:style>
  <w:style w:type="character" w:customStyle="1" w:styleId="78">
    <w:name w:val="font21"/>
    <w:basedOn w:val="36"/>
    <w:qFormat/>
    <w:uiPriority w:val="0"/>
    <w:rPr>
      <w:rFonts w:hint="eastAsia" w:ascii="宋体" w:hAnsi="宋体" w:eastAsia="宋体" w:cs="宋体"/>
      <w:color w:val="000000"/>
      <w:sz w:val="21"/>
      <w:szCs w:val="21"/>
      <w:u w:val="none"/>
    </w:rPr>
  </w:style>
  <w:style w:type="character" w:customStyle="1" w:styleId="79">
    <w:name w:val="font01"/>
    <w:basedOn w:val="36"/>
    <w:qFormat/>
    <w:uiPriority w:val="0"/>
    <w:rPr>
      <w:rFonts w:hint="default" w:ascii="Calibri" w:hAnsi="Calibri" w:cs="Calibri"/>
      <w:color w:val="000000"/>
      <w:sz w:val="21"/>
      <w:szCs w:val="21"/>
      <w:u w:val="none"/>
    </w:rPr>
  </w:style>
  <w:style w:type="character" w:customStyle="1" w:styleId="80">
    <w:name w:val="纯文本 Char1"/>
    <w:qFormat/>
    <w:uiPriority w:val="99"/>
    <w:rPr>
      <w:rFonts w:ascii="宋体" w:hAnsi="宋体" w:eastAsia="宋体"/>
      <w:kern w:val="2"/>
      <w:sz w:val="21"/>
      <w:szCs w:val="21"/>
      <w:lang w:bidi="ar-SA"/>
    </w:rPr>
  </w:style>
  <w:style w:type="character" w:customStyle="1" w:styleId="81">
    <w:name w:val="标题 1 Char Char"/>
    <w:qFormat/>
    <w:uiPriority w:val="0"/>
    <w:rPr>
      <w:rFonts w:eastAsia="宋体"/>
      <w:b/>
      <w:spacing w:val="-2"/>
      <w:sz w:val="24"/>
      <w:lang w:val="en-US" w:eastAsia="zh-CN" w:bidi="ar-SA"/>
    </w:rPr>
  </w:style>
  <w:style w:type="character" w:customStyle="1" w:styleId="82">
    <w:name w:val="称呼 Char"/>
    <w:qFormat/>
    <w:uiPriority w:val="0"/>
    <w:rPr>
      <w:rFonts w:ascii="华文宋体" w:hAnsi="Arial Unicode MS" w:eastAsia="华文宋体"/>
      <w:kern w:val="2"/>
      <w:sz w:val="24"/>
    </w:rPr>
  </w:style>
  <w:style w:type="character" w:customStyle="1" w:styleId="83">
    <w:name w:val="称呼 Char1"/>
    <w:basedOn w:val="36"/>
    <w:link w:val="17"/>
    <w:qFormat/>
    <w:uiPriority w:val="0"/>
    <w:rPr>
      <w:kern w:val="2"/>
      <w:sz w:val="21"/>
      <w:szCs w:val="24"/>
    </w:rPr>
  </w:style>
  <w:style w:type="paragraph" w:customStyle="1" w:styleId="8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85">
    <w:name w:val="Table Paragraph"/>
    <w:basedOn w:val="1"/>
    <w:qFormat/>
    <w:uiPriority w:val="1"/>
    <w:pPr>
      <w:jc w:val="left"/>
    </w:pPr>
    <w:rPr>
      <w:kern w:val="0"/>
      <w:sz w:val="22"/>
      <w:szCs w:val="22"/>
      <w:lang w:eastAsia="en-US"/>
    </w:rPr>
  </w:style>
  <w:style w:type="character" w:customStyle="1" w:styleId="86">
    <w:name w:val="font31"/>
    <w:basedOn w:val="36"/>
    <w:qFormat/>
    <w:uiPriority w:val="0"/>
    <w:rPr>
      <w:rFonts w:hint="eastAsia" w:ascii="微软雅黑" w:hAnsi="微软雅黑" w:eastAsia="微软雅黑" w:cs="微软雅黑"/>
      <w:color w:val="000000"/>
      <w:sz w:val="20"/>
      <w:szCs w:val="20"/>
      <w:u w:val="none"/>
    </w:rPr>
  </w:style>
  <w:style w:type="paragraph" w:customStyle="1" w:styleId="87">
    <w:name w:val="WPSOffice手动目录 1"/>
    <w:qFormat/>
    <w:uiPriority w:val="0"/>
    <w:rPr>
      <w:rFonts w:ascii="Times New Roman" w:hAnsi="Times New Roman" w:eastAsia="宋体" w:cs="Times New Roman"/>
      <w:lang w:val="en-US" w:eastAsia="zh-CN" w:bidi="ar-SA"/>
    </w:rPr>
  </w:style>
  <w:style w:type="paragraph" w:customStyle="1" w:styleId="8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89">
    <w:name w:val="font81"/>
    <w:basedOn w:val="36"/>
    <w:qFormat/>
    <w:uiPriority w:val="0"/>
    <w:rPr>
      <w:rFonts w:hint="eastAsia" w:ascii="微软雅黑" w:hAnsi="微软雅黑" w:eastAsia="微软雅黑" w:cs="微软雅黑"/>
      <w:color w:val="000000"/>
      <w:sz w:val="16"/>
      <w:szCs w:val="16"/>
      <w:u w:val="none"/>
    </w:rPr>
  </w:style>
  <w:style w:type="character" w:customStyle="1" w:styleId="90">
    <w:name w:val="font11"/>
    <w:basedOn w:val="36"/>
    <w:qFormat/>
    <w:uiPriority w:val="0"/>
    <w:rPr>
      <w:rFonts w:hint="eastAsia" w:ascii="宋体" w:hAnsi="宋体" w:eastAsia="宋体" w:cs="宋体"/>
      <w:color w:val="000000"/>
      <w:sz w:val="21"/>
      <w:szCs w:val="21"/>
      <w:u w:val="none"/>
    </w:rPr>
  </w:style>
  <w:style w:type="character" w:customStyle="1" w:styleId="91">
    <w:name w:val="font71"/>
    <w:basedOn w:val="36"/>
    <w:qFormat/>
    <w:uiPriority w:val="0"/>
    <w:rPr>
      <w:rFonts w:hint="eastAsia" w:ascii="宋体" w:hAnsi="宋体" w:eastAsia="宋体" w:cs="宋体"/>
      <w:color w:val="000000"/>
      <w:sz w:val="22"/>
      <w:szCs w:val="22"/>
      <w:u w:val="none"/>
    </w:rPr>
  </w:style>
  <w:style w:type="character" w:customStyle="1" w:styleId="92">
    <w:name w:val="font132"/>
    <w:basedOn w:val="36"/>
    <w:qFormat/>
    <w:uiPriority w:val="0"/>
    <w:rPr>
      <w:rFonts w:hint="eastAsia" w:ascii="宋体" w:hAnsi="宋体" w:eastAsia="宋体" w:cs="宋体"/>
      <w:color w:val="000000"/>
      <w:sz w:val="24"/>
      <w:szCs w:val="24"/>
      <w:u w:val="none"/>
    </w:rPr>
  </w:style>
  <w:style w:type="character" w:customStyle="1" w:styleId="93">
    <w:name w:val="font112"/>
    <w:basedOn w:val="36"/>
    <w:qFormat/>
    <w:uiPriority w:val="0"/>
    <w:rPr>
      <w:rFonts w:hint="eastAsia" w:ascii="宋体" w:hAnsi="宋体" w:eastAsia="宋体" w:cs="宋体"/>
      <w:color w:val="000000"/>
      <w:sz w:val="24"/>
      <w:szCs w:val="24"/>
      <w:u w:val="none"/>
    </w:rPr>
  </w:style>
  <w:style w:type="character" w:customStyle="1" w:styleId="94">
    <w:name w:val="font41"/>
    <w:basedOn w:val="36"/>
    <w:qFormat/>
    <w:uiPriority w:val="0"/>
    <w:rPr>
      <w:rFonts w:hint="eastAsia" w:ascii="宋体" w:hAnsi="宋体" w:eastAsia="宋体" w:cs="宋体"/>
      <w:color w:val="000000"/>
      <w:sz w:val="20"/>
      <w:szCs w:val="20"/>
      <w:u w:val="none"/>
    </w:rPr>
  </w:style>
  <w:style w:type="paragraph" w:customStyle="1" w:styleId="95">
    <w:name w:val="_Style 115"/>
    <w:basedOn w:val="18"/>
    <w:next w:val="31"/>
    <w:qFormat/>
    <w:uiPriority w:val="0"/>
    <w:pPr>
      <w:ind w:firstLine="420" w:firstLineChars="100"/>
    </w:pPr>
  </w:style>
  <w:style w:type="character" w:customStyle="1" w:styleId="96">
    <w:name w:val="正文缩进 字符"/>
    <w:qFormat/>
    <w:uiPriority w:val="0"/>
    <w:rPr>
      <w:rFonts w:ascii="Times New Roman" w:hAnsi="Times New Roman" w:eastAsia="宋体" w:cs="Times New Roman"/>
      <w:kern w:val="0"/>
      <w:sz w:val="24"/>
      <w:szCs w:val="20"/>
    </w:rPr>
  </w:style>
  <w:style w:type="paragraph" w:customStyle="1" w:styleId="97">
    <w:name w:val="_Style 9"/>
    <w:basedOn w:val="1"/>
    <w:next w:val="69"/>
    <w:qFormat/>
    <w:uiPriority w:val="0"/>
    <w:pPr>
      <w:ind w:firstLine="420" w:firstLineChars="200"/>
    </w:pPr>
    <w:rPr>
      <w:szCs w:val="22"/>
    </w:rPr>
  </w:style>
  <w:style w:type="character" w:customStyle="1" w:styleId="98">
    <w:name w:val="wordstyle1"/>
    <w:basedOn w:val="36"/>
    <w:qFormat/>
    <w:uiPriority w:val="0"/>
    <w:rPr>
      <w:sz w:val="20"/>
      <w:szCs w:val="20"/>
    </w:rPr>
  </w:style>
  <w:style w:type="paragraph" w:styleId="99">
    <w:name w:val="List Paragraph"/>
    <w:basedOn w:val="1"/>
    <w:qFormat/>
    <w:uiPriority w:val="34"/>
    <w:pPr>
      <w:ind w:firstLine="420" w:firstLineChars="200"/>
    </w:pPr>
  </w:style>
  <w:style w:type="character" w:customStyle="1" w:styleId="100">
    <w:name w:val="纯文本 Char3"/>
    <w:qFormat/>
    <w:uiPriority w:val="0"/>
    <w:rPr>
      <w:rFonts w:ascii="宋体" w:hAnsi="Courier New" w:eastAsia="宋体"/>
      <w:kern w:val="2"/>
      <w:sz w:val="24"/>
      <w:szCs w:val="24"/>
      <w:lang w:val="en-US" w:eastAsia="zh-CN" w:bidi="ar-SA"/>
    </w:rPr>
  </w:style>
  <w:style w:type="paragraph" w:customStyle="1" w:styleId="101">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02">
    <w:name w:val="批注主题 Char"/>
    <w:basedOn w:val="57"/>
    <w:link w:val="30"/>
    <w:qFormat/>
    <w:uiPriority w:val="0"/>
    <w:rPr>
      <w:rFonts w:ascii="Calibri" w:hAnsi="Calibri" w:eastAsia="宋体"/>
      <w:b/>
      <w:bCs/>
      <w:kern w:val="2"/>
      <w:sz w:val="21"/>
      <w:szCs w:val="24"/>
      <w:lang w:val="en-US" w:eastAsia="zh-CN" w:bidi="ar-SA"/>
    </w:rPr>
  </w:style>
  <w:style w:type="paragraph" w:customStyle="1" w:styleId="103">
    <w:name w:val="列表段落1"/>
    <w:basedOn w:val="1"/>
    <w:qFormat/>
    <w:uiPriority w:val="99"/>
    <w:pPr>
      <w:spacing w:line="360" w:lineRule="auto"/>
      <w:ind w:firstLine="420" w:firstLineChars="200"/>
    </w:pPr>
    <w:rPr>
      <w:sz w:val="24"/>
    </w:rPr>
  </w:style>
  <w:style w:type="paragraph" w:customStyle="1" w:styleId="104">
    <w:name w:val="纯文本1"/>
    <w:basedOn w:val="1"/>
    <w:qFormat/>
    <w:uiPriority w:val="0"/>
    <w:rPr>
      <w:rFonts w:ascii="宋体" w:hAnsi="Courier New"/>
    </w:rPr>
  </w:style>
  <w:style w:type="character" w:customStyle="1" w:styleId="105">
    <w:name w:val="font51"/>
    <w:basedOn w:val="36"/>
    <w:qFormat/>
    <w:uiPriority w:val="0"/>
    <w:rPr>
      <w:rFonts w:hint="eastAsia" w:ascii="宋体" w:hAnsi="宋体" w:eastAsia="宋体" w:cs="宋体"/>
      <w:color w:val="000000"/>
      <w:sz w:val="24"/>
      <w:szCs w:val="24"/>
      <w:u w:val="none"/>
    </w:rPr>
  </w:style>
  <w:style w:type="paragraph" w:customStyle="1" w:styleId="106">
    <w:name w:val="Style1"/>
    <w:next w:val="107"/>
    <w:qFormat/>
    <w:uiPriority w:val="0"/>
    <w:pPr>
      <w:numPr>
        <w:ilvl w:val="0"/>
        <w:numId w:val="2"/>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107">
    <w:name w:val="*正文"/>
    <w:basedOn w:val="1"/>
    <w:qFormat/>
    <w:uiPriority w:val="0"/>
    <w:pPr>
      <w:ind w:firstLine="200" w:firstLineChars="200"/>
    </w:pPr>
    <w:rPr>
      <w:rFonts w:ascii="宋体"/>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38689</Words>
  <Characters>40094</Characters>
  <Lines>270</Lines>
  <Paragraphs>76</Paragraphs>
  <TotalTime>70</TotalTime>
  <ScaleCrop>false</ScaleCrop>
  <LinksUpToDate>false</LinksUpToDate>
  <CharactersWithSpaces>41275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2022-01-28T09:00:00Z</dcterms:created>
  <dc:creator>机关事务管理局办公室</dc:creator>
  <cp:lastModifiedBy>徐晓燕</cp:lastModifiedBy>
  <cp:lastPrinted>2022-08-12T03:32:00Z</cp:lastPrinted>
  <dcterms:modified xsi:type="dcterms:W3CDTF">2022-08-15T09:07:58Z</dcterms:modified>
  <dc:title>政府采购招标文件确认表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E37641D2A5EC497BA7F650FCCA7E98B4</vt:lpwstr>
  </property>
  <property fmtid="{D5CDD505-2E9C-101B-9397-08002B2CF9AE}" pid="4" name="GSEDS_HWMT_d46a6755">
    <vt:lpwstr>f245e9db_mFV3wD84Iyk0O8pOlHv8r/VsY2A=_8QYrr0VBXCkrPNpNkXH5rOPj24cOdelHkDhmQ0PToNuuvgiTwIuQkS9rce5xtzvcqS64ndOH15B8HBsz4xsUbz1ybIFiTw==_0974e7a6</vt:lpwstr>
  </property>
</Properties>
</file>