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040" w:lineRule="exact"/>
        <w:jc w:val="center"/>
        <w:rPr>
          <w:rFonts w:hint="eastAsia" w:ascii="宋体" w:hAnsi="宋体" w:cs="宋体"/>
          <w:b/>
          <w:bCs/>
          <w:color w:val="auto"/>
          <w:w w:val="88"/>
          <w:sz w:val="52"/>
          <w:szCs w:val="52"/>
          <w:highlight w:val="none"/>
          <w:lang w:val="en-US" w:eastAsia="zh-CN"/>
        </w:rPr>
      </w:pPr>
      <w:r>
        <w:rPr>
          <w:rFonts w:hint="eastAsia" w:ascii="宋体" w:hAnsi="宋体" w:cs="宋体"/>
          <w:b/>
          <w:bCs/>
          <w:color w:val="auto"/>
          <w:w w:val="88"/>
          <w:sz w:val="52"/>
          <w:szCs w:val="52"/>
          <w:highlight w:val="none"/>
          <w:lang w:val="en-US" w:eastAsia="zh-CN"/>
        </w:rPr>
        <w:t>兰溪经济开发区化工园区一体化智慧管控</w:t>
      </w:r>
    </w:p>
    <w:p>
      <w:pPr>
        <w:spacing w:line="1040" w:lineRule="exact"/>
        <w:jc w:val="center"/>
        <w:rPr>
          <w:rFonts w:ascii="宋体" w:hAnsi="宋体" w:cs="宋体"/>
          <w:b/>
          <w:bCs/>
          <w:color w:val="auto"/>
          <w:w w:val="88"/>
          <w:sz w:val="48"/>
          <w:szCs w:val="48"/>
          <w:highlight w:val="none"/>
        </w:rPr>
      </w:pPr>
      <w:r>
        <w:rPr>
          <w:rFonts w:hint="eastAsia" w:ascii="宋体" w:hAnsi="宋体" w:cs="宋体"/>
          <w:b/>
          <w:bCs/>
          <w:color w:val="auto"/>
          <w:w w:val="88"/>
          <w:sz w:val="52"/>
          <w:szCs w:val="52"/>
          <w:highlight w:val="none"/>
          <w:lang w:val="en-US" w:eastAsia="zh-CN"/>
        </w:rPr>
        <w:t>系统采购项目</w:t>
      </w:r>
    </w:p>
    <w:p>
      <w:pPr>
        <w:pStyle w:val="12"/>
        <w:rPr>
          <w:rFonts w:ascii="楷体" w:hAnsi="楷体" w:eastAsia="楷体" w:cs="楷体"/>
          <w:b/>
          <w:bCs/>
          <w:color w:val="auto"/>
          <w:w w:val="88"/>
          <w:sz w:val="52"/>
          <w:szCs w:val="52"/>
          <w:highlight w:val="none"/>
        </w:rPr>
      </w:pPr>
    </w:p>
    <w:p>
      <w:pPr>
        <w:pStyle w:val="12"/>
        <w:rPr>
          <w:color w:val="auto"/>
          <w:highlight w:val="none"/>
        </w:rPr>
      </w:pPr>
    </w:p>
    <w:p>
      <w:pPr>
        <w:rPr>
          <w:color w:val="auto"/>
          <w:highlight w:val="none"/>
        </w:rPr>
      </w:pPr>
    </w:p>
    <w:p>
      <w:pPr>
        <w:pStyle w:val="2"/>
        <w:rPr>
          <w:color w:val="auto"/>
          <w:highlight w:val="none"/>
        </w:rPr>
      </w:pPr>
    </w:p>
    <w:p>
      <w:pPr>
        <w:pStyle w:val="2"/>
        <w:rPr>
          <w:color w:val="auto"/>
          <w:highlight w:val="none"/>
        </w:rPr>
      </w:pPr>
    </w:p>
    <w:p>
      <w:pPr>
        <w:rPr>
          <w:color w:val="auto"/>
          <w:highlight w:val="none"/>
        </w:rPr>
      </w:pPr>
    </w:p>
    <w:p>
      <w:pPr>
        <w:pStyle w:val="2"/>
      </w:pPr>
    </w:p>
    <w:p>
      <w:pPr>
        <w:pStyle w:val="12"/>
        <w:rPr>
          <w:color w:val="auto"/>
          <w:highlight w:val="none"/>
        </w:rPr>
      </w:pPr>
    </w:p>
    <w:p>
      <w:pPr>
        <w:spacing w:line="960" w:lineRule="exact"/>
        <w:ind w:left="120"/>
        <w:jc w:val="center"/>
        <w:rPr>
          <w:rFonts w:ascii="楷体" w:hAnsi="楷体" w:eastAsia="楷体" w:cs="楷体"/>
          <w:b/>
          <w:color w:val="auto"/>
          <w:sz w:val="32"/>
          <w:szCs w:val="32"/>
          <w:highlight w:val="none"/>
        </w:rPr>
      </w:pPr>
      <w:r>
        <w:rPr>
          <w:rFonts w:hint="eastAsia" w:ascii="宋体" w:hAnsi="宋体" w:cs="宋体"/>
          <w:b/>
          <w:color w:val="auto"/>
          <w:sz w:val="84"/>
          <w:szCs w:val="84"/>
          <w:highlight w:val="none"/>
          <w:lang w:val="en-US" w:eastAsia="zh-CN"/>
        </w:rPr>
        <w:t>公开招标采</w:t>
      </w:r>
      <w:r>
        <w:rPr>
          <w:rFonts w:hint="eastAsia" w:ascii="宋体" w:hAnsi="宋体" w:cs="宋体"/>
          <w:b/>
          <w:bCs/>
          <w:color w:val="auto"/>
          <w:sz w:val="84"/>
          <w:szCs w:val="84"/>
          <w:highlight w:val="none"/>
          <w:lang w:val="en-US" w:eastAsia="zh-CN"/>
        </w:rPr>
        <w:t>购文</w:t>
      </w:r>
      <w:r>
        <w:rPr>
          <w:rFonts w:hint="eastAsia" w:ascii="宋体" w:hAnsi="宋体" w:cs="宋体"/>
          <w:b/>
          <w:color w:val="auto"/>
          <w:sz w:val="84"/>
          <w:szCs w:val="84"/>
          <w:highlight w:val="none"/>
        </w:rPr>
        <w:t>件</w:t>
      </w:r>
      <w:r>
        <w:rPr>
          <w:rFonts w:hint="eastAsia" w:ascii="楷体" w:hAnsi="楷体" w:eastAsia="楷体" w:cs="楷体"/>
          <w:b/>
          <w:color w:val="auto"/>
          <w:sz w:val="84"/>
          <w:szCs w:val="84"/>
          <w:highlight w:val="none"/>
        </w:rPr>
        <w:t xml:space="preserve">  </w:t>
      </w:r>
    </w:p>
    <w:p>
      <w:pPr>
        <w:spacing w:line="700" w:lineRule="exact"/>
        <w:ind w:firstLine="643" w:firstLineChars="200"/>
        <w:rPr>
          <w:rFonts w:ascii="楷体" w:hAnsi="楷体" w:eastAsia="楷体" w:cs="楷体"/>
          <w:b/>
          <w:color w:val="auto"/>
          <w:sz w:val="32"/>
          <w:szCs w:val="32"/>
          <w:highlight w:val="none"/>
        </w:rPr>
      </w:pPr>
    </w:p>
    <w:p>
      <w:pPr>
        <w:pStyle w:val="2"/>
        <w:rPr>
          <w:rFonts w:ascii="楷体" w:hAnsi="楷体" w:eastAsia="楷体" w:cs="楷体"/>
          <w:b/>
          <w:color w:val="auto"/>
          <w:sz w:val="32"/>
          <w:szCs w:val="32"/>
          <w:highlight w:val="none"/>
        </w:rPr>
      </w:pPr>
    </w:p>
    <w:p>
      <w:pPr>
        <w:pStyle w:val="2"/>
        <w:rPr>
          <w:rFonts w:ascii="楷体" w:hAnsi="楷体" w:eastAsia="楷体" w:cs="楷体"/>
          <w:b/>
          <w:color w:val="auto"/>
          <w:sz w:val="32"/>
          <w:szCs w:val="32"/>
          <w:highlight w:val="none"/>
        </w:rPr>
      </w:pPr>
    </w:p>
    <w:p>
      <w:pPr>
        <w:pStyle w:val="2"/>
        <w:rPr>
          <w:rFonts w:ascii="楷体" w:hAnsi="楷体" w:eastAsia="楷体" w:cs="楷体"/>
          <w:b/>
          <w:color w:val="auto"/>
          <w:sz w:val="32"/>
          <w:szCs w:val="32"/>
          <w:highlight w:val="none"/>
        </w:rPr>
      </w:pPr>
    </w:p>
    <w:p>
      <w:pPr>
        <w:pStyle w:val="2"/>
        <w:rPr>
          <w:rFonts w:ascii="楷体" w:hAnsi="楷体" w:eastAsia="楷体" w:cs="楷体"/>
          <w:b/>
          <w:color w:val="auto"/>
          <w:sz w:val="32"/>
          <w:szCs w:val="32"/>
          <w:highlight w:val="none"/>
        </w:rPr>
      </w:pPr>
    </w:p>
    <w:p>
      <w:pPr>
        <w:pStyle w:val="12"/>
        <w:rPr>
          <w:color w:val="auto"/>
          <w:highlight w:val="none"/>
        </w:rPr>
      </w:pPr>
    </w:p>
    <w:p>
      <w:pPr>
        <w:pStyle w:val="21"/>
        <w:ind w:firstLine="280"/>
        <w:rPr>
          <w:color w:val="auto"/>
          <w:highlight w:val="none"/>
        </w:rPr>
      </w:pPr>
    </w:p>
    <w:p>
      <w:pPr>
        <w:spacing w:line="800" w:lineRule="exact"/>
        <w:ind w:firstLine="643" w:firstLineChars="200"/>
        <w:rPr>
          <w:rFonts w:hint="eastAsia" w:ascii="宋体" w:hAnsi="宋体" w:cs="宋体"/>
          <w:b/>
          <w:color w:val="auto"/>
          <w:sz w:val="32"/>
          <w:szCs w:val="32"/>
          <w:highlight w:val="none"/>
          <w:lang w:val="en-US" w:eastAsia="zh-CN"/>
        </w:rPr>
      </w:pPr>
      <w:r>
        <w:rPr>
          <w:rFonts w:hint="eastAsia" w:ascii="宋体" w:hAnsi="宋体" w:cs="宋体"/>
          <w:b/>
          <w:color w:val="auto"/>
          <w:sz w:val="32"/>
          <w:szCs w:val="32"/>
          <w:highlight w:val="none"/>
        </w:rPr>
        <w:t>项目编号：</w:t>
      </w:r>
      <w:r>
        <w:rPr>
          <w:rFonts w:hint="eastAsia" w:ascii="宋体" w:hAnsi="宋体" w:cs="宋体"/>
          <w:b/>
          <w:color w:val="auto"/>
          <w:sz w:val="32"/>
          <w:szCs w:val="32"/>
          <w:highlight w:val="none"/>
          <w:lang w:val="en-US" w:eastAsia="zh-CN"/>
        </w:rPr>
        <w:t xml:space="preserve">ZJZT-2021-FW051 </w:t>
      </w:r>
    </w:p>
    <w:p>
      <w:pPr>
        <w:spacing w:line="800" w:lineRule="exact"/>
        <w:ind w:firstLine="643" w:firstLineChars="200"/>
        <w:rPr>
          <w:rFonts w:ascii="宋体" w:hAnsi="宋体" w:cs="宋体"/>
          <w:b/>
          <w:color w:val="auto"/>
          <w:sz w:val="32"/>
          <w:szCs w:val="32"/>
          <w:highlight w:val="none"/>
        </w:rPr>
      </w:pPr>
      <w:r>
        <w:rPr>
          <w:rFonts w:hint="eastAsia" w:ascii="宋体" w:hAnsi="宋体" w:cs="宋体"/>
          <w:b/>
          <w:color w:val="auto"/>
          <w:sz w:val="32"/>
          <w:szCs w:val="32"/>
          <w:highlight w:val="none"/>
        </w:rPr>
        <w:t>采购单位：</w:t>
      </w:r>
      <w:r>
        <w:rPr>
          <w:rFonts w:hint="eastAsia" w:ascii="宋体" w:hAnsi="宋体" w:cs="宋体"/>
          <w:b/>
          <w:color w:val="auto"/>
          <w:sz w:val="32"/>
          <w:szCs w:val="32"/>
          <w:highlight w:val="none"/>
          <w:lang w:val="en-US" w:eastAsia="zh-CN"/>
        </w:rPr>
        <w:t>浙江省兰溪经济开发区管理委员会</w:t>
      </w:r>
      <w:r>
        <w:rPr>
          <w:rFonts w:hint="eastAsia" w:ascii="宋体" w:hAnsi="宋体" w:cs="宋体"/>
          <w:b/>
          <w:color w:val="auto"/>
          <w:sz w:val="32"/>
          <w:szCs w:val="32"/>
          <w:highlight w:val="none"/>
        </w:rPr>
        <w:t>（盖章）</w:t>
      </w:r>
    </w:p>
    <w:p>
      <w:pPr>
        <w:spacing w:line="800" w:lineRule="exact"/>
        <w:ind w:firstLine="643" w:firstLineChars="200"/>
        <w:rPr>
          <w:rFonts w:ascii="宋体" w:hAnsi="宋体" w:cs="宋体"/>
          <w:color w:val="auto"/>
          <w:highlight w:val="none"/>
        </w:rPr>
      </w:pPr>
      <w:r>
        <w:rPr>
          <w:rFonts w:hint="eastAsia" w:ascii="宋体" w:hAnsi="宋体" w:cs="宋体"/>
          <w:b/>
          <w:color w:val="auto"/>
          <w:sz w:val="32"/>
          <w:szCs w:val="32"/>
          <w:highlight w:val="none"/>
        </w:rPr>
        <w:t xml:space="preserve">代理机构：浙江展图工程咨询有限公司（盖章）  </w:t>
      </w:r>
    </w:p>
    <w:p>
      <w:pPr>
        <w:spacing w:line="800" w:lineRule="exact"/>
        <w:jc w:val="center"/>
        <w:rPr>
          <w:rFonts w:ascii="宋体" w:hAnsi="宋体" w:cs="宋体"/>
          <w:b/>
          <w:color w:val="auto"/>
          <w:sz w:val="32"/>
          <w:szCs w:val="32"/>
          <w:highlight w:val="none"/>
        </w:rPr>
      </w:pPr>
      <w:r>
        <w:rPr>
          <w:rFonts w:hint="eastAsia" w:ascii="宋体" w:hAnsi="宋体" w:cs="宋体"/>
          <w:b/>
          <w:color w:val="auto"/>
          <w:sz w:val="32"/>
          <w:szCs w:val="32"/>
          <w:highlight w:val="none"/>
        </w:rPr>
        <w:t>二</w:t>
      </w:r>
      <w:r>
        <w:rPr>
          <w:rStyle w:val="40"/>
          <w:rFonts w:ascii="宋体" w:hAnsi="宋体"/>
          <w:b/>
          <w:color w:val="auto"/>
          <w:sz w:val="32"/>
          <w:u w:val="none"/>
        </w:rPr>
        <w:t>〇</w:t>
      </w:r>
      <w:r>
        <w:rPr>
          <w:rFonts w:hint="eastAsia" w:ascii="宋体" w:hAnsi="宋体" w:cs="宋体"/>
          <w:b/>
          <w:color w:val="auto"/>
          <w:sz w:val="32"/>
          <w:szCs w:val="32"/>
          <w:highlight w:val="none"/>
        </w:rPr>
        <w:t>二一年</w:t>
      </w:r>
      <w:r>
        <w:rPr>
          <w:rFonts w:hint="eastAsia" w:ascii="宋体" w:hAnsi="宋体" w:cs="宋体"/>
          <w:b/>
          <w:color w:val="auto"/>
          <w:sz w:val="32"/>
          <w:szCs w:val="32"/>
          <w:highlight w:val="none"/>
          <w:lang w:val="en-US" w:eastAsia="zh-CN"/>
        </w:rPr>
        <w:t>十二</w:t>
      </w:r>
      <w:r>
        <w:rPr>
          <w:rFonts w:hint="eastAsia" w:ascii="宋体" w:hAnsi="宋体" w:cs="宋体"/>
          <w:b/>
          <w:color w:val="auto"/>
          <w:sz w:val="32"/>
          <w:szCs w:val="32"/>
          <w:highlight w:val="none"/>
        </w:rPr>
        <w:t>月</w:t>
      </w:r>
    </w:p>
    <w:p>
      <w:pPr>
        <w:pStyle w:val="21"/>
        <w:ind w:firstLine="280"/>
        <w:rPr>
          <w:color w:val="auto"/>
          <w:highlight w:val="none"/>
        </w:rPr>
        <w:sectPr>
          <w:footerReference r:id="rId5" w:type="first"/>
          <w:footerReference r:id="rId3" w:type="default"/>
          <w:footerReference r:id="rId4" w:type="even"/>
          <w:pgSz w:w="11906" w:h="16838"/>
          <w:pgMar w:top="1440" w:right="1080" w:bottom="1440" w:left="1080" w:header="851" w:footer="851" w:gutter="0"/>
          <w:pgNumType w:fmt="numberInDash" w:start="0"/>
          <w:cols w:space="720" w:num="1"/>
          <w:titlePg/>
          <w:docGrid w:linePitch="312" w:charSpace="0"/>
        </w:sectPr>
      </w:pPr>
    </w:p>
    <w:p>
      <w:pPr>
        <w:rPr>
          <w:rFonts w:hint="eastAsia" w:hAnsi="宋体"/>
          <w:b/>
          <w:color w:val="auto"/>
          <w:sz w:val="44"/>
          <w:szCs w:val="44"/>
          <w:highlight w:val="none"/>
        </w:rPr>
      </w:pPr>
    </w:p>
    <w:p>
      <w:pPr>
        <w:pStyle w:val="14"/>
        <w:spacing w:before="120" w:after="120" w:line="360" w:lineRule="auto"/>
        <w:jc w:val="center"/>
        <w:rPr>
          <w:rFonts w:hint="eastAsia" w:hAnsi="宋体"/>
          <w:b/>
          <w:color w:val="auto"/>
          <w:sz w:val="44"/>
          <w:szCs w:val="44"/>
          <w:highlight w:val="none"/>
        </w:rPr>
      </w:pPr>
      <w:r>
        <w:rPr>
          <w:rFonts w:hint="eastAsia" w:hAnsi="宋体"/>
          <w:b/>
          <w:color w:val="auto"/>
          <w:sz w:val="44"/>
          <w:szCs w:val="44"/>
          <w:highlight w:val="none"/>
        </w:rPr>
        <w:t>目      录</w:t>
      </w:r>
    </w:p>
    <w:p>
      <w:pPr>
        <w:pStyle w:val="14"/>
        <w:snapToGrid w:val="0"/>
        <w:spacing w:before="120" w:after="120" w:line="240" w:lineRule="auto"/>
        <w:jc w:val="center"/>
        <w:outlineLvl w:val="0"/>
        <w:rPr>
          <w:rFonts w:hint="eastAsia" w:hAnsi="宋体"/>
          <w:b/>
          <w:color w:val="auto"/>
          <w:sz w:val="44"/>
          <w:szCs w:val="44"/>
          <w:highlight w:val="none"/>
        </w:rPr>
      </w:pPr>
    </w:p>
    <w:p>
      <w:pPr>
        <w:pStyle w:val="14"/>
        <w:snapToGrid w:val="0"/>
        <w:spacing w:before="120" w:after="120" w:line="600" w:lineRule="exact"/>
        <w:jc w:val="center"/>
        <w:outlineLvl w:val="0"/>
        <w:rPr>
          <w:rFonts w:hint="eastAsia" w:hAnsi="宋体"/>
          <w:b/>
          <w:color w:val="auto"/>
          <w:sz w:val="28"/>
          <w:szCs w:val="28"/>
          <w:highlight w:val="none"/>
        </w:rPr>
      </w:pPr>
      <w:r>
        <w:rPr>
          <w:rFonts w:hint="eastAsia" w:hAnsi="宋体"/>
          <w:b/>
          <w:color w:val="auto"/>
          <w:sz w:val="28"/>
          <w:szCs w:val="28"/>
          <w:highlight w:val="none"/>
        </w:rPr>
        <w:t>第一章  公开招标采购公告………………………………………1</w:t>
      </w:r>
    </w:p>
    <w:p>
      <w:pPr>
        <w:pStyle w:val="14"/>
        <w:snapToGrid w:val="0"/>
        <w:spacing w:before="120" w:after="120" w:line="600" w:lineRule="exact"/>
        <w:jc w:val="center"/>
        <w:outlineLvl w:val="0"/>
        <w:rPr>
          <w:rFonts w:hint="eastAsia" w:hAnsi="宋体" w:eastAsia="宋体"/>
          <w:b/>
          <w:color w:val="auto"/>
          <w:sz w:val="28"/>
          <w:szCs w:val="28"/>
          <w:highlight w:val="none"/>
          <w:lang w:eastAsia="zh-CN"/>
        </w:rPr>
      </w:pPr>
      <w:r>
        <w:rPr>
          <w:rFonts w:hint="eastAsia" w:hAnsi="宋体"/>
          <w:b/>
          <w:color w:val="auto"/>
          <w:sz w:val="28"/>
          <w:szCs w:val="28"/>
          <w:highlight w:val="none"/>
        </w:rPr>
        <w:t>第二章  前附表……………………………………………………</w:t>
      </w:r>
      <w:r>
        <w:rPr>
          <w:rFonts w:hint="eastAsia" w:hAnsi="宋体"/>
          <w:b/>
          <w:color w:val="auto"/>
          <w:sz w:val="28"/>
          <w:szCs w:val="28"/>
          <w:highlight w:val="none"/>
          <w:lang w:val="en-US" w:eastAsia="zh-CN"/>
        </w:rPr>
        <w:t>5</w:t>
      </w:r>
    </w:p>
    <w:p>
      <w:pPr>
        <w:pStyle w:val="14"/>
        <w:snapToGrid w:val="0"/>
        <w:spacing w:before="120" w:after="120" w:line="600" w:lineRule="exact"/>
        <w:jc w:val="center"/>
        <w:outlineLvl w:val="0"/>
        <w:rPr>
          <w:rFonts w:hint="default" w:hAnsi="宋体" w:eastAsia="宋体"/>
          <w:b/>
          <w:color w:val="auto"/>
          <w:sz w:val="28"/>
          <w:szCs w:val="28"/>
          <w:highlight w:val="none"/>
          <w:lang w:val="en-US" w:eastAsia="zh-CN"/>
        </w:rPr>
      </w:pPr>
      <w:r>
        <w:rPr>
          <w:rFonts w:hint="eastAsia" w:hAnsi="宋体"/>
          <w:b/>
          <w:color w:val="auto"/>
          <w:sz w:val="28"/>
          <w:szCs w:val="28"/>
          <w:highlight w:val="none"/>
        </w:rPr>
        <w:t xml:space="preserve">第三章  </w:t>
      </w:r>
      <w:r>
        <w:rPr>
          <w:rFonts w:hint="eastAsia" w:hAnsi="宋体"/>
          <w:b/>
          <w:color w:val="auto"/>
          <w:sz w:val="28"/>
          <w:szCs w:val="28"/>
          <w:highlight w:val="none"/>
          <w:lang w:val="en-US" w:eastAsia="zh-CN"/>
        </w:rPr>
        <w:t>采购</w:t>
      </w:r>
      <w:r>
        <w:rPr>
          <w:rFonts w:hint="eastAsia" w:hAnsi="宋体"/>
          <w:b/>
          <w:color w:val="auto"/>
          <w:sz w:val="28"/>
          <w:szCs w:val="28"/>
          <w:highlight w:val="none"/>
        </w:rPr>
        <w:t>需求…………………………………………………</w:t>
      </w:r>
      <w:r>
        <w:rPr>
          <w:rFonts w:hint="eastAsia" w:hAnsi="宋体"/>
          <w:b/>
          <w:color w:val="auto"/>
          <w:sz w:val="28"/>
          <w:szCs w:val="28"/>
          <w:highlight w:val="none"/>
          <w:lang w:val="en-US" w:eastAsia="zh-CN"/>
        </w:rPr>
        <w:t>9</w:t>
      </w:r>
    </w:p>
    <w:p>
      <w:pPr>
        <w:pStyle w:val="14"/>
        <w:snapToGrid w:val="0"/>
        <w:spacing w:before="120" w:after="120" w:line="600" w:lineRule="exact"/>
        <w:jc w:val="center"/>
        <w:outlineLvl w:val="0"/>
        <w:rPr>
          <w:rFonts w:hint="default" w:hAnsi="宋体" w:eastAsia="宋体"/>
          <w:b/>
          <w:color w:val="auto"/>
          <w:sz w:val="28"/>
          <w:szCs w:val="28"/>
          <w:highlight w:val="none"/>
          <w:lang w:val="en-US" w:eastAsia="zh-CN"/>
        </w:rPr>
      </w:pPr>
      <w:r>
        <w:rPr>
          <w:rFonts w:hint="eastAsia" w:hAnsi="宋体"/>
          <w:b/>
          <w:color w:val="auto"/>
          <w:sz w:val="28"/>
          <w:szCs w:val="28"/>
          <w:highlight w:val="none"/>
        </w:rPr>
        <w:t xml:space="preserve"> 第四章  投标人须知………………………………………………</w:t>
      </w:r>
      <w:r>
        <w:rPr>
          <w:rFonts w:hint="eastAsia" w:hAnsi="宋体"/>
          <w:b/>
          <w:color w:val="auto"/>
          <w:sz w:val="28"/>
          <w:szCs w:val="28"/>
          <w:highlight w:val="none"/>
          <w:lang w:val="en-US" w:eastAsia="zh-CN"/>
        </w:rPr>
        <w:t>45</w:t>
      </w:r>
    </w:p>
    <w:p>
      <w:pPr>
        <w:pStyle w:val="14"/>
        <w:snapToGrid w:val="0"/>
        <w:spacing w:before="120" w:after="120" w:line="600" w:lineRule="exact"/>
        <w:jc w:val="center"/>
        <w:outlineLvl w:val="0"/>
        <w:rPr>
          <w:rFonts w:hint="default" w:hAnsi="宋体" w:eastAsia="宋体"/>
          <w:b/>
          <w:color w:val="auto"/>
          <w:sz w:val="28"/>
          <w:szCs w:val="28"/>
          <w:highlight w:val="none"/>
          <w:lang w:val="en-US" w:eastAsia="zh-CN"/>
        </w:rPr>
      </w:pPr>
      <w:r>
        <w:rPr>
          <w:rFonts w:hint="eastAsia" w:hAnsi="宋体"/>
          <w:b/>
          <w:color w:val="auto"/>
          <w:sz w:val="28"/>
          <w:szCs w:val="28"/>
          <w:highlight w:val="none"/>
        </w:rPr>
        <w:t xml:space="preserve"> 第五章  开标和评标须知…………………………………………</w:t>
      </w:r>
      <w:r>
        <w:rPr>
          <w:rFonts w:hint="eastAsia" w:hAnsi="宋体"/>
          <w:b/>
          <w:color w:val="auto"/>
          <w:sz w:val="28"/>
          <w:szCs w:val="28"/>
          <w:highlight w:val="none"/>
          <w:lang w:val="en-US" w:eastAsia="zh-CN"/>
        </w:rPr>
        <w:t>51</w:t>
      </w:r>
    </w:p>
    <w:p>
      <w:pPr>
        <w:pStyle w:val="14"/>
        <w:snapToGrid w:val="0"/>
        <w:spacing w:before="120" w:after="120" w:line="600" w:lineRule="exact"/>
        <w:jc w:val="center"/>
        <w:outlineLvl w:val="0"/>
        <w:rPr>
          <w:rFonts w:hint="default" w:hAnsi="宋体" w:eastAsia="宋体"/>
          <w:b/>
          <w:color w:val="auto"/>
          <w:sz w:val="28"/>
          <w:szCs w:val="28"/>
          <w:highlight w:val="none"/>
          <w:lang w:val="en-US" w:eastAsia="zh-CN"/>
        </w:rPr>
      </w:pPr>
      <w:r>
        <w:rPr>
          <w:rFonts w:hint="eastAsia" w:hAnsi="宋体"/>
          <w:b/>
          <w:color w:val="auto"/>
          <w:sz w:val="28"/>
          <w:szCs w:val="28"/>
          <w:highlight w:val="none"/>
        </w:rPr>
        <w:t xml:space="preserve"> 第六章  评标细则…………………………………………………</w:t>
      </w:r>
      <w:r>
        <w:rPr>
          <w:rFonts w:hint="eastAsia" w:hAnsi="宋体"/>
          <w:b/>
          <w:color w:val="auto"/>
          <w:sz w:val="28"/>
          <w:szCs w:val="28"/>
          <w:highlight w:val="none"/>
          <w:lang w:val="en-US" w:eastAsia="zh-CN"/>
        </w:rPr>
        <w:t>54</w:t>
      </w:r>
    </w:p>
    <w:p>
      <w:pPr>
        <w:pStyle w:val="14"/>
        <w:snapToGrid w:val="0"/>
        <w:spacing w:before="120" w:after="120" w:line="600" w:lineRule="exact"/>
        <w:jc w:val="center"/>
        <w:outlineLvl w:val="0"/>
        <w:rPr>
          <w:rFonts w:hint="default" w:hAnsi="宋体"/>
          <w:b/>
          <w:color w:val="auto"/>
          <w:sz w:val="28"/>
          <w:szCs w:val="28"/>
          <w:highlight w:val="none"/>
          <w:lang w:val="en-US" w:eastAsia="zh-CN"/>
        </w:rPr>
      </w:pPr>
      <w:r>
        <w:rPr>
          <w:rFonts w:hint="eastAsia" w:hAnsi="宋体"/>
          <w:b/>
          <w:color w:val="auto"/>
          <w:sz w:val="28"/>
          <w:szCs w:val="28"/>
          <w:highlight w:val="none"/>
        </w:rPr>
        <w:t xml:space="preserve"> 第七章  合同条款…………………………………………………</w:t>
      </w:r>
      <w:r>
        <w:rPr>
          <w:rFonts w:hint="eastAsia" w:hAnsi="宋体"/>
          <w:b/>
          <w:color w:val="auto"/>
          <w:sz w:val="28"/>
          <w:szCs w:val="28"/>
          <w:highlight w:val="none"/>
          <w:lang w:val="en-US" w:eastAsia="zh-CN"/>
        </w:rPr>
        <w:t>60</w:t>
      </w:r>
    </w:p>
    <w:p>
      <w:pPr>
        <w:pStyle w:val="14"/>
        <w:snapToGrid w:val="0"/>
        <w:spacing w:before="120" w:after="120" w:line="600" w:lineRule="exact"/>
        <w:jc w:val="center"/>
        <w:outlineLvl w:val="0"/>
        <w:rPr>
          <w:rFonts w:hint="default" w:hAnsi="宋体" w:eastAsia="宋体"/>
          <w:b/>
          <w:color w:val="auto"/>
          <w:sz w:val="28"/>
          <w:szCs w:val="28"/>
          <w:highlight w:val="none"/>
          <w:lang w:val="en-US" w:eastAsia="zh-CN"/>
        </w:rPr>
      </w:pPr>
      <w:r>
        <w:rPr>
          <w:rFonts w:hint="eastAsia" w:hAnsi="宋体"/>
          <w:b/>
          <w:color w:val="auto"/>
          <w:sz w:val="28"/>
          <w:szCs w:val="28"/>
          <w:highlight w:val="none"/>
        </w:rPr>
        <w:t xml:space="preserve"> 第八章  投标文件格式……………………………………………</w:t>
      </w:r>
      <w:r>
        <w:rPr>
          <w:rFonts w:hint="eastAsia" w:hAnsi="宋体"/>
          <w:b/>
          <w:color w:val="auto"/>
          <w:sz w:val="28"/>
          <w:szCs w:val="28"/>
          <w:highlight w:val="none"/>
          <w:lang w:val="en-US" w:eastAsia="zh-CN"/>
        </w:rPr>
        <w:t>62</w:t>
      </w:r>
    </w:p>
    <w:p>
      <w:pPr>
        <w:pStyle w:val="14"/>
        <w:snapToGrid w:val="0"/>
        <w:spacing w:before="120" w:after="120" w:line="600" w:lineRule="exact"/>
        <w:jc w:val="center"/>
        <w:outlineLvl w:val="0"/>
        <w:rPr>
          <w:rFonts w:hint="eastAsia" w:hAnsi="宋体"/>
          <w:b/>
          <w:color w:val="auto"/>
          <w:sz w:val="28"/>
          <w:szCs w:val="28"/>
          <w:highlight w:val="none"/>
        </w:rPr>
        <w:sectPr>
          <w:headerReference r:id="rId8" w:type="first"/>
          <w:headerReference r:id="rId6" w:type="default"/>
          <w:footerReference r:id="rId9" w:type="default"/>
          <w:headerReference r:id="rId7" w:type="even"/>
          <w:footerReference r:id="rId10" w:type="even"/>
          <w:pgSz w:w="11906" w:h="16838"/>
          <w:pgMar w:top="1134" w:right="1418" w:bottom="1134" w:left="1418" w:header="851" w:footer="851" w:gutter="0"/>
          <w:cols w:space="720" w:num="1"/>
          <w:titlePg/>
          <w:docGrid w:linePitch="312" w:charSpace="0"/>
        </w:sectPr>
      </w:pPr>
    </w:p>
    <w:p>
      <w:pPr>
        <w:pStyle w:val="14"/>
        <w:snapToGrid w:val="0"/>
        <w:spacing w:before="120" w:after="120" w:line="240" w:lineRule="auto"/>
        <w:jc w:val="center"/>
        <w:outlineLvl w:val="0"/>
        <w:rPr>
          <w:rFonts w:hint="eastAsia" w:hAnsi="宋体"/>
          <w:b/>
          <w:color w:val="auto"/>
          <w:sz w:val="32"/>
          <w:szCs w:val="32"/>
          <w:highlight w:val="none"/>
        </w:rPr>
      </w:pPr>
      <w:r>
        <w:rPr>
          <w:rFonts w:hint="eastAsia" w:hAnsi="宋体"/>
          <w:b/>
          <w:color w:val="auto"/>
          <w:sz w:val="32"/>
          <w:szCs w:val="32"/>
          <w:highlight w:val="none"/>
        </w:rPr>
        <w:t xml:space="preserve">第一章  </w:t>
      </w:r>
      <w:r>
        <w:rPr>
          <w:rFonts w:hint="eastAsia" w:hAnsi="宋体"/>
          <w:b/>
          <w:color w:val="auto"/>
          <w:kern w:val="0"/>
          <w:sz w:val="32"/>
          <w:szCs w:val="32"/>
          <w:highlight w:val="none"/>
        </w:rPr>
        <w:t>公开招标采购公告</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6" w:type="dxa"/>
          </w:tcPr>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jc w:val="left"/>
              <w:textAlignment w:val="auto"/>
              <w:rPr>
                <w:rFonts w:ascii="宋体" w:hAnsi="宋体" w:cs="宋体"/>
                <w:bCs/>
                <w:color w:val="000000" w:themeColor="text1"/>
                <w:sz w:val="21"/>
                <w:szCs w:val="21"/>
                <w:highlight w:val="none"/>
                <w14:textFill>
                  <w14:solidFill>
                    <w14:schemeClr w14:val="tx1"/>
                  </w14:solidFill>
                </w14:textFill>
              </w:rPr>
            </w:pPr>
            <w:bookmarkStart w:id="0" w:name="page6"/>
            <w:bookmarkEnd w:id="0"/>
            <w:bookmarkStart w:id="1" w:name="_Toc353536900"/>
            <w:r>
              <w:rPr>
                <w:rFonts w:hint="eastAsia" w:ascii="宋体" w:hAnsi="宋体" w:cs="宋体"/>
                <w:bCs/>
                <w:color w:val="000000" w:themeColor="text1"/>
                <w:sz w:val="21"/>
                <w:szCs w:val="21"/>
                <w:highlight w:val="none"/>
                <w14:textFill>
                  <w14:solidFill>
                    <w14:schemeClr w14:val="tx1"/>
                  </w14:solidFill>
                </w14:textFill>
              </w:rPr>
              <w:t>项目概况</w:t>
            </w:r>
            <w:r>
              <w:rPr>
                <w:rFonts w:hint="eastAsia" w:ascii="宋体" w:hAnsi="宋体" w:cs="宋体"/>
                <w:bCs/>
                <w:color w:val="000000" w:themeColor="text1"/>
                <w:sz w:val="21"/>
                <w:szCs w:val="21"/>
                <w:highlight w:val="none"/>
                <w:lang w:eastAsia="zh-CN"/>
                <w14:textFill>
                  <w14:solidFill>
                    <w14:schemeClr w14:val="tx1"/>
                  </w14:solidFill>
                </w14:textFill>
              </w:rPr>
              <w:t>：</w:t>
            </w:r>
            <w:r>
              <w:rPr>
                <w:rFonts w:hint="eastAsia" w:ascii="宋体" w:hAnsi="宋体" w:cs="宋体"/>
                <w:bCs/>
                <w:color w:val="000000" w:themeColor="text1"/>
                <w:sz w:val="21"/>
                <w:szCs w:val="21"/>
                <w:highlight w:val="none"/>
                <w14:textFill>
                  <w14:solidFill>
                    <w14:schemeClr w14:val="tx1"/>
                  </w14:solidFill>
                </w14:textFill>
              </w:rPr>
              <w:t xml:space="preserve">      </w:t>
            </w:r>
          </w:p>
          <w:p>
            <w:pPr>
              <w:tabs>
                <w:tab w:val="left" w:pos="2835"/>
              </w:tabs>
              <w:snapToGrid w:val="0"/>
              <w:spacing w:line="420" w:lineRule="exact"/>
              <w:ind w:firstLine="420" w:firstLineChars="200"/>
              <w:jc w:val="left"/>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u w:val="single"/>
                <w:lang w:eastAsia="zh-CN"/>
                <w14:textFill>
                  <w14:solidFill>
                    <w14:schemeClr w14:val="tx1"/>
                  </w14:solidFill>
                </w14:textFill>
              </w:rPr>
              <w:t>兰溪经济开发区化工园区一体化智慧管控系统采购项目</w:t>
            </w:r>
            <w:r>
              <w:rPr>
                <w:rFonts w:hint="eastAsia" w:ascii="宋体" w:hAnsi="宋体" w:cs="宋体"/>
                <w:bCs/>
                <w:color w:val="000000" w:themeColor="text1"/>
                <w:sz w:val="21"/>
                <w:szCs w:val="21"/>
                <w:highlight w:val="none"/>
                <w14:textFill>
                  <w14:solidFill>
                    <w14:schemeClr w14:val="tx1"/>
                  </w14:solidFill>
                </w14:textFill>
              </w:rPr>
              <w:t>的潜在投标人应在政采云平台线上获取。获取（下载）招标文件，并</w:t>
            </w:r>
            <w:r>
              <w:rPr>
                <w:rFonts w:hint="eastAsia" w:ascii="宋体" w:hAnsi="宋体" w:cs="宋体"/>
                <w:bCs/>
                <w:color w:val="auto"/>
                <w:sz w:val="21"/>
                <w:szCs w:val="21"/>
                <w:highlight w:val="none"/>
              </w:rPr>
              <w:t>于2021年</w:t>
            </w:r>
            <w:r>
              <w:rPr>
                <w:rFonts w:hint="eastAsia" w:ascii="宋体" w:hAnsi="宋体" w:cs="宋体"/>
                <w:bCs/>
                <w:color w:val="auto"/>
                <w:sz w:val="21"/>
                <w:szCs w:val="21"/>
                <w:highlight w:val="none"/>
                <w:lang w:val="en-US" w:eastAsia="zh-CN"/>
              </w:rPr>
              <w:t>12</w:t>
            </w:r>
            <w:r>
              <w:rPr>
                <w:rFonts w:hint="eastAsia" w:ascii="宋体" w:hAnsi="宋体" w:cs="宋体"/>
                <w:bCs/>
                <w:color w:val="auto"/>
                <w:sz w:val="21"/>
                <w:szCs w:val="21"/>
                <w:highlight w:val="none"/>
              </w:rPr>
              <w:t>月</w:t>
            </w:r>
            <w:r>
              <w:rPr>
                <w:rFonts w:hint="eastAsia" w:ascii="宋体" w:hAnsi="宋体" w:cs="宋体"/>
                <w:bCs/>
                <w:color w:val="auto"/>
                <w:sz w:val="21"/>
                <w:szCs w:val="21"/>
                <w:highlight w:val="none"/>
                <w:lang w:val="en-US" w:eastAsia="zh-CN"/>
              </w:rPr>
              <w:t>28</w:t>
            </w:r>
            <w:r>
              <w:rPr>
                <w:rFonts w:hint="eastAsia" w:ascii="宋体" w:hAnsi="宋体" w:cs="宋体"/>
                <w:bCs/>
                <w:color w:val="auto"/>
                <w:sz w:val="21"/>
                <w:szCs w:val="21"/>
                <w:highlight w:val="none"/>
              </w:rPr>
              <w:t>日09:30（北京</w:t>
            </w:r>
            <w:r>
              <w:rPr>
                <w:rFonts w:hint="eastAsia" w:ascii="宋体" w:hAnsi="宋体" w:cs="宋体"/>
                <w:bCs/>
                <w:color w:val="000000" w:themeColor="text1"/>
                <w:sz w:val="21"/>
                <w:szCs w:val="21"/>
                <w:highlight w:val="none"/>
                <w14:textFill>
                  <w14:solidFill>
                    <w14:schemeClr w14:val="tx1"/>
                  </w14:solidFill>
                </w14:textFill>
              </w:rPr>
              <w:t>时间）前递交（上传）投标文件。</w:t>
            </w:r>
          </w:p>
        </w:tc>
      </w:tr>
    </w:tbl>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2"/>
          <w:highlight w:val="none"/>
          <w14:textFill>
            <w14:solidFill>
              <w14:schemeClr w14:val="tx1"/>
            </w14:solidFill>
          </w14:textFill>
        </w:rPr>
        <w:t>一、项目基本情况</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项目编号：</w:t>
      </w:r>
      <w:r>
        <w:rPr>
          <w:rFonts w:hint="eastAsia" w:ascii="宋体" w:hAnsi="宋体" w:cs="宋体"/>
          <w:bCs/>
          <w:color w:val="000000" w:themeColor="text1"/>
          <w:sz w:val="21"/>
          <w:szCs w:val="21"/>
          <w:highlight w:val="none"/>
          <w:lang w:eastAsia="zh-CN"/>
          <w14:textFill>
            <w14:solidFill>
              <w14:schemeClr w14:val="tx1"/>
            </w14:solidFill>
          </w14:textFill>
        </w:rPr>
        <w:t>ZJZT-2021-FW051</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firstLine="420" w:firstLineChars="200"/>
        <w:jc w:val="left"/>
        <w:textAlignment w:val="auto"/>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项目名称：</w:t>
      </w:r>
      <w:r>
        <w:rPr>
          <w:rFonts w:hint="eastAsia" w:ascii="宋体" w:hAnsi="宋体" w:cs="宋体"/>
          <w:bCs/>
          <w:color w:val="000000" w:themeColor="text1"/>
          <w:sz w:val="21"/>
          <w:szCs w:val="21"/>
          <w:highlight w:val="none"/>
          <w:lang w:eastAsia="zh-CN"/>
          <w14:textFill>
            <w14:solidFill>
              <w14:schemeClr w14:val="tx1"/>
            </w14:solidFill>
          </w14:textFill>
        </w:rPr>
        <w:t>兰溪经济开发区化工园区一体化智慧管控系统采购项目</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firstLine="420" w:firstLineChars="200"/>
        <w:jc w:val="left"/>
        <w:textAlignment w:val="auto"/>
        <w:rPr>
          <w:rFonts w:ascii="宋体" w:hAnsi="宋体" w:cs="宋体"/>
          <w:bCs/>
          <w:color w:val="auto"/>
          <w:sz w:val="21"/>
          <w:szCs w:val="21"/>
          <w:highlight w:val="none"/>
        </w:rPr>
      </w:pPr>
      <w:r>
        <w:rPr>
          <w:rFonts w:hint="eastAsia" w:ascii="宋体" w:hAnsi="宋体" w:cs="宋体"/>
          <w:bCs/>
          <w:color w:val="auto"/>
          <w:sz w:val="21"/>
          <w:szCs w:val="21"/>
          <w:highlight w:val="none"/>
        </w:rPr>
        <w:t>最高限价（元）：</w:t>
      </w:r>
      <w:r>
        <w:rPr>
          <w:rFonts w:hint="eastAsia" w:ascii="宋体" w:hAnsi="宋体" w:cs="宋体"/>
          <w:bCs/>
          <w:color w:val="auto"/>
          <w:sz w:val="21"/>
          <w:szCs w:val="21"/>
          <w:highlight w:val="none"/>
          <w:lang w:val="en-US" w:eastAsia="zh-CN"/>
        </w:rPr>
        <w:t xml:space="preserve"> 3750000元</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含数据采集终端780000元)</w:t>
      </w:r>
      <w:r>
        <w:rPr>
          <w:rFonts w:hint="eastAsia" w:ascii="宋体" w:hAnsi="宋体" w:cs="宋体"/>
          <w:bCs/>
          <w:color w:val="auto"/>
          <w:sz w:val="21"/>
          <w:szCs w:val="21"/>
          <w:highlight w:val="none"/>
          <w:lang w:val="en-US" w:eastAsia="zh-CN"/>
        </w:rPr>
        <w:t xml:space="preserve">   </w:t>
      </w:r>
      <w:r>
        <w:rPr>
          <w:rFonts w:hint="eastAsia" w:ascii="宋体" w:hAnsi="宋体" w:cs="宋体"/>
          <w:bCs/>
          <w:color w:val="auto"/>
          <w:sz w:val="21"/>
          <w:szCs w:val="21"/>
          <w:highlight w:val="none"/>
        </w:rPr>
        <w:t>  </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firstLine="420" w:firstLineChars="200"/>
        <w:jc w:val="left"/>
        <w:textAlignment w:val="auto"/>
        <w:rPr>
          <w:rFonts w:ascii="宋体" w:hAnsi="宋体" w:cs="宋体"/>
          <w:bCs/>
          <w:color w:val="auto"/>
          <w:sz w:val="21"/>
          <w:szCs w:val="21"/>
          <w:highlight w:val="none"/>
        </w:rPr>
      </w:pPr>
      <w:r>
        <w:rPr>
          <w:rFonts w:hint="eastAsia" w:ascii="宋体" w:hAnsi="宋体" w:cs="宋体"/>
          <w:bCs/>
          <w:color w:val="auto"/>
          <w:sz w:val="21"/>
          <w:szCs w:val="21"/>
          <w:highlight w:val="none"/>
        </w:rPr>
        <w:t>采购需求：详见第三章《</w:t>
      </w:r>
      <w:r>
        <w:rPr>
          <w:rFonts w:hint="eastAsia" w:ascii="宋体" w:hAnsi="宋体" w:cs="宋体"/>
          <w:bCs/>
          <w:color w:val="auto"/>
          <w:sz w:val="21"/>
          <w:szCs w:val="21"/>
          <w:highlight w:val="none"/>
          <w:lang w:eastAsia="zh-CN"/>
        </w:rPr>
        <w:t>采购需求</w:t>
      </w:r>
      <w:r>
        <w:rPr>
          <w:rFonts w:hint="eastAsia" w:ascii="宋体" w:hAnsi="宋体" w:cs="宋体"/>
          <w:bCs/>
          <w:color w:val="auto"/>
          <w:sz w:val="21"/>
          <w:szCs w:val="21"/>
          <w:highlight w:val="none"/>
        </w:rPr>
        <w:t>》</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420" w:leftChars="150" w:firstLine="0" w:firstLineChars="0"/>
        <w:jc w:val="left"/>
        <w:textAlignment w:val="auto"/>
        <w:rPr>
          <w:rFonts w:hint="eastAsia" w:ascii="宋体" w:hAnsi="宋体" w:cs="宋体"/>
          <w:bCs/>
          <w:color w:val="FF0000"/>
          <w:sz w:val="21"/>
          <w:szCs w:val="21"/>
          <w:highlight w:val="none"/>
        </w:rPr>
      </w:pPr>
      <w:r>
        <w:rPr>
          <w:rFonts w:hint="eastAsia" w:ascii="宋体" w:hAnsi="宋体" w:cs="宋体"/>
          <w:bCs/>
          <w:color w:val="auto"/>
          <w:sz w:val="21"/>
          <w:szCs w:val="21"/>
          <w:highlight w:val="none"/>
        </w:rPr>
        <w:t>标项名称</w:t>
      </w:r>
      <w:r>
        <w:rPr>
          <w:rFonts w:hint="eastAsia" w:ascii="宋体" w:hAnsi="宋体" w:cs="宋体"/>
          <w:bCs/>
          <w:color w:val="auto"/>
          <w:sz w:val="21"/>
          <w:szCs w:val="21"/>
          <w:highlight w:val="none"/>
          <w:lang w:eastAsia="zh-CN"/>
        </w:rPr>
        <w:t>：兰溪经济开发区化工园区一体化智慧管控系统采购项目</w:t>
      </w:r>
      <w:r>
        <w:rPr>
          <w:rFonts w:hint="eastAsia" w:ascii="宋体" w:hAnsi="宋体" w:cs="宋体"/>
          <w:bCs/>
          <w:color w:val="auto"/>
          <w:sz w:val="21"/>
          <w:szCs w:val="21"/>
          <w:highlight w:val="none"/>
        </w:rPr>
        <w:t> </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数量: 1  </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预算金额（元）:</w:t>
      </w:r>
      <w:r>
        <w:rPr>
          <w:rFonts w:hint="eastAsia" w:ascii="宋体" w:hAnsi="宋体" w:cs="宋体"/>
          <w:bCs/>
          <w:color w:val="auto"/>
          <w:sz w:val="21"/>
          <w:szCs w:val="21"/>
          <w:highlight w:val="none"/>
          <w:lang w:val="en-US" w:eastAsia="zh-CN"/>
        </w:rPr>
        <w:t xml:space="preserve"> 3750000元 </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含数据采集终端780000元)</w:t>
      </w:r>
      <w:r>
        <w:rPr>
          <w:rFonts w:hint="eastAsia" w:ascii="宋体" w:hAnsi="宋体" w:cs="宋体"/>
          <w:bCs/>
          <w:color w:val="auto"/>
          <w:sz w:val="21"/>
          <w:szCs w:val="21"/>
          <w:highlight w:val="none"/>
        </w:rPr>
        <w:t> </w:t>
      </w:r>
      <w:r>
        <w:rPr>
          <w:rFonts w:hint="eastAsia" w:ascii="宋体" w:hAnsi="宋体" w:cs="宋体"/>
          <w:bCs/>
          <w:color w:val="auto"/>
          <w:sz w:val="21"/>
          <w:szCs w:val="21"/>
          <w:highlight w:val="none"/>
        </w:rPr>
        <w:br w:type="textWrapping"/>
      </w:r>
      <w:r>
        <w:rPr>
          <w:rFonts w:hint="eastAsia" w:ascii="宋体" w:hAnsi="宋体" w:cs="宋体"/>
          <w:bCs/>
          <w:color w:val="auto"/>
          <w:sz w:val="21"/>
          <w:szCs w:val="21"/>
          <w:highlight w:val="none"/>
        </w:rPr>
        <w:t>简要规格描述或项目基本概况介绍</w:t>
      </w:r>
      <w:r>
        <w:rPr>
          <w:rFonts w:hint="eastAsia" w:ascii="宋体" w:hAnsi="宋体" w:cs="宋体"/>
          <w:bCs/>
          <w:sz w:val="21"/>
          <w:szCs w:val="21"/>
          <w:highlight w:val="none"/>
        </w:rPr>
        <w:t>、用途：详见第三章《</w:t>
      </w:r>
      <w:r>
        <w:rPr>
          <w:rFonts w:hint="eastAsia" w:ascii="宋体" w:hAnsi="宋体" w:cs="宋体"/>
          <w:bCs/>
          <w:sz w:val="21"/>
          <w:szCs w:val="21"/>
          <w:highlight w:val="none"/>
          <w:lang w:eastAsia="zh-CN"/>
        </w:rPr>
        <w:t>采购需求</w:t>
      </w:r>
      <w:r>
        <w:rPr>
          <w:rFonts w:hint="eastAsia" w:ascii="宋体" w:hAnsi="宋体" w:cs="宋体"/>
          <w:bCs/>
          <w:sz w:val="21"/>
          <w:szCs w:val="21"/>
          <w:highlight w:val="none"/>
        </w:rPr>
        <w:t>》要求</w:t>
      </w:r>
      <w:r>
        <w:rPr>
          <w:rFonts w:hint="eastAsia" w:ascii="宋体" w:hAnsi="宋体" w:cs="宋体"/>
          <w:bCs/>
          <w:sz w:val="21"/>
          <w:szCs w:val="21"/>
          <w:highlight w:val="none"/>
          <w:lang w:eastAsia="zh-CN"/>
        </w:rPr>
        <w:t>。</w:t>
      </w:r>
      <w:r>
        <w:rPr>
          <w:rFonts w:hint="eastAsia" w:ascii="宋体" w:hAnsi="宋体" w:cs="宋体"/>
          <w:bCs/>
          <w:sz w:val="21"/>
          <w:szCs w:val="21"/>
          <w:highlight w:val="none"/>
        </w:rPr>
        <w:t> </w:t>
      </w:r>
      <w:r>
        <w:rPr>
          <w:rFonts w:hint="eastAsia" w:ascii="宋体" w:hAnsi="宋体" w:cs="宋体"/>
          <w:bCs/>
          <w:sz w:val="21"/>
          <w:szCs w:val="21"/>
          <w:highlight w:val="none"/>
        </w:rPr>
        <w:br w:type="textWrapping"/>
      </w:r>
      <w:r>
        <w:rPr>
          <w:rFonts w:hint="eastAsia" w:ascii="宋体" w:hAnsi="宋体" w:cs="宋体"/>
          <w:bCs/>
          <w:color w:val="auto"/>
          <w:sz w:val="21"/>
          <w:szCs w:val="21"/>
          <w:highlight w:val="none"/>
        </w:rPr>
        <w:t>合同履约期限：</w:t>
      </w:r>
      <w:r>
        <w:rPr>
          <w:rFonts w:hint="eastAsia" w:ascii="宋体" w:hAnsi="宋体"/>
          <w:color w:val="auto"/>
          <w:kern w:val="0"/>
          <w:sz w:val="21"/>
          <w:szCs w:val="21"/>
          <w:lang w:eastAsia="zh-CN"/>
        </w:rPr>
        <w:t>本项目工期从中标之日起5个月内完成项目建设并具备试运行条件。</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firstLine="420" w:firstLineChars="200"/>
        <w:jc w:val="left"/>
        <w:textAlignment w:val="auto"/>
        <w:rPr>
          <w:rFonts w:ascii="宋体" w:hAnsi="宋体" w:cs="宋体"/>
          <w:bCs/>
          <w:color w:val="auto"/>
          <w:sz w:val="21"/>
          <w:szCs w:val="21"/>
          <w:highlight w:val="none"/>
        </w:rPr>
      </w:pPr>
      <w:r>
        <w:rPr>
          <w:rFonts w:hint="eastAsia" w:ascii="宋体" w:hAnsi="宋体" w:cs="宋体"/>
          <w:bCs/>
          <w:color w:val="auto"/>
          <w:sz w:val="21"/>
          <w:szCs w:val="21"/>
          <w:highlight w:val="none"/>
        </w:rPr>
        <w:t>本项目（否）接受联合体投标。</w:t>
      </w:r>
    </w:p>
    <w:p>
      <w:pPr>
        <w:snapToGrid w:val="0"/>
        <w:spacing w:line="400" w:lineRule="exact"/>
        <w:rPr>
          <w:rFonts w:ascii="宋体" w:hAnsi="宋体" w:cs="宋体"/>
          <w:b/>
          <w:color w:val="000000" w:themeColor="text1"/>
          <w:sz w:val="21"/>
          <w:szCs w:val="22"/>
          <w:highlight w:val="none"/>
          <w14:textFill>
            <w14:solidFill>
              <w14:schemeClr w14:val="tx1"/>
            </w14:solidFill>
          </w14:textFill>
        </w:rPr>
      </w:pPr>
      <w:r>
        <w:rPr>
          <w:rFonts w:hint="eastAsia" w:ascii="宋体" w:hAnsi="宋体" w:cs="宋体"/>
          <w:b/>
          <w:color w:val="000000" w:themeColor="text1"/>
          <w:sz w:val="21"/>
          <w:szCs w:val="22"/>
          <w:highlight w:val="none"/>
          <w14:textFill>
            <w14:solidFill>
              <w14:schemeClr w14:val="tx1"/>
            </w14:solidFill>
          </w14:textFill>
        </w:rPr>
        <w:t>二、申请人的资格要求：</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sz w:val="21"/>
          <w:szCs w:val="21"/>
          <w:highlight w:val="none"/>
        </w:rPr>
        <w:t>1.符合《中华人民共和国政府采购法》第二十二条供应商应当具备的条件和浙财采监【2013】24号《关</w:t>
      </w:r>
      <w:r>
        <w:rPr>
          <w:rFonts w:hint="eastAsia" w:ascii="宋体" w:hAnsi="宋体" w:cs="宋体"/>
          <w:bCs/>
          <w:color w:val="000000" w:themeColor="text1"/>
          <w:sz w:val="21"/>
          <w:szCs w:val="21"/>
          <w:highlight w:val="none"/>
          <w14:textFill>
            <w14:solidFill>
              <w14:schemeClr w14:val="tx1"/>
            </w14:solidFill>
          </w14:textFill>
        </w:rPr>
        <w:t>于规范政府采购供应商资格设定及资格审查的通知》</w:t>
      </w:r>
      <w:r>
        <w:rPr>
          <w:rFonts w:hint="eastAsia" w:ascii="宋体" w:hAnsi="宋体" w:cs="宋体"/>
          <w:bCs/>
          <w:color w:val="000000" w:themeColor="text1"/>
          <w:sz w:val="21"/>
          <w:szCs w:val="21"/>
          <w:highlight w:val="none"/>
          <w:lang w:eastAsia="zh-CN"/>
          <w14:textFill>
            <w14:solidFill>
              <w14:schemeClr w14:val="tx1"/>
            </w14:solidFill>
          </w14:textFill>
        </w:rPr>
        <w:t>（</w:t>
      </w:r>
      <w:r>
        <w:rPr>
          <w:rFonts w:hint="eastAsia" w:ascii="宋体" w:hAnsi="宋体" w:cs="宋体"/>
          <w:bCs/>
          <w:sz w:val="21"/>
          <w:szCs w:val="21"/>
          <w:highlight w:val="none"/>
        </w:rPr>
        <w:t>浙财采监【2013】24号</w:t>
      </w:r>
      <w:r>
        <w:rPr>
          <w:rFonts w:hint="eastAsia" w:ascii="宋体" w:hAnsi="宋体" w:cs="宋体"/>
          <w:bCs/>
          <w:sz w:val="21"/>
          <w:szCs w:val="21"/>
          <w:highlight w:val="none"/>
          <w:lang w:eastAsia="zh-CN"/>
        </w:rPr>
        <w:t>）</w:t>
      </w:r>
      <w:r>
        <w:rPr>
          <w:rFonts w:hint="eastAsia" w:ascii="宋体" w:hAnsi="宋体" w:cs="宋体"/>
          <w:bCs/>
          <w:color w:val="000000" w:themeColor="text1"/>
          <w:sz w:val="21"/>
          <w:szCs w:val="21"/>
          <w:highlight w:val="none"/>
          <w14:textFill>
            <w14:solidFill>
              <w14:schemeClr w14:val="tx1"/>
            </w14:solidFill>
          </w14:textFill>
        </w:rPr>
        <w:t>第六条规定，且未被“信用中国”（www.creditchina.gov.cn）、中国政府采购网（www.ccgp.gov.cn）列入失信被执行人、重大税收违法案件当事人名单、政府采购严重违法失信行为记录名单。</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2.本项目的特定资格要求：无 </w:t>
      </w:r>
    </w:p>
    <w:p>
      <w:pPr>
        <w:snapToGrid w:val="0"/>
        <w:spacing w:line="400" w:lineRule="exact"/>
        <w:rPr>
          <w:rFonts w:ascii="宋体" w:hAnsi="宋体" w:cs="宋体"/>
          <w:b/>
          <w:color w:val="000000" w:themeColor="text1"/>
          <w:sz w:val="21"/>
          <w:szCs w:val="22"/>
          <w:highlight w:val="none"/>
          <w14:textFill>
            <w14:solidFill>
              <w14:schemeClr w14:val="tx1"/>
            </w14:solidFill>
          </w14:textFill>
        </w:rPr>
      </w:pPr>
      <w:r>
        <w:rPr>
          <w:rFonts w:hint="eastAsia" w:ascii="宋体" w:hAnsi="宋体" w:cs="宋体"/>
          <w:b/>
          <w:color w:val="000000" w:themeColor="text1"/>
          <w:sz w:val="21"/>
          <w:szCs w:val="22"/>
          <w:highlight w:val="none"/>
          <w14:textFill>
            <w14:solidFill>
              <w14:schemeClr w14:val="tx1"/>
            </w14:solidFill>
          </w14:textFill>
        </w:rPr>
        <w:t>三、获取招标文件 </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sz w:val="21"/>
          <w:szCs w:val="21"/>
          <w:highlight w:val="none"/>
        </w:rPr>
        <w:t>1、公告时间：</w:t>
      </w:r>
      <w:r>
        <w:rPr>
          <w:rFonts w:hint="eastAsia" w:ascii="宋体" w:hAnsi="宋体" w:cs="宋体"/>
          <w:bCs/>
          <w:color w:val="auto"/>
          <w:sz w:val="21"/>
          <w:szCs w:val="21"/>
          <w:highlight w:val="none"/>
        </w:rPr>
        <w:t>2021年</w:t>
      </w:r>
      <w:r>
        <w:rPr>
          <w:rFonts w:hint="eastAsia" w:ascii="宋体" w:hAnsi="宋体" w:cs="宋体"/>
          <w:bCs/>
          <w:color w:val="auto"/>
          <w:sz w:val="21"/>
          <w:szCs w:val="21"/>
          <w:highlight w:val="none"/>
          <w:lang w:val="en-US" w:eastAsia="zh-CN"/>
        </w:rPr>
        <w:t>12</w:t>
      </w:r>
      <w:r>
        <w:rPr>
          <w:rFonts w:hint="eastAsia" w:ascii="宋体" w:hAnsi="宋体" w:cs="宋体"/>
          <w:bCs/>
          <w:color w:val="auto"/>
          <w:sz w:val="21"/>
          <w:szCs w:val="21"/>
          <w:highlight w:val="none"/>
        </w:rPr>
        <w:t>月</w:t>
      </w:r>
      <w:r>
        <w:rPr>
          <w:rFonts w:hint="eastAsia" w:ascii="宋体" w:hAnsi="宋体" w:cs="宋体"/>
          <w:bCs/>
          <w:color w:val="auto"/>
          <w:sz w:val="21"/>
          <w:szCs w:val="21"/>
          <w:highlight w:val="none"/>
          <w:lang w:val="en-US" w:eastAsia="zh-CN"/>
        </w:rPr>
        <w:t>7</w:t>
      </w:r>
      <w:r>
        <w:rPr>
          <w:rFonts w:hint="eastAsia" w:ascii="宋体" w:hAnsi="宋体" w:cs="宋体"/>
          <w:bCs/>
          <w:color w:val="auto"/>
          <w:sz w:val="21"/>
          <w:szCs w:val="21"/>
          <w:highlight w:val="none"/>
        </w:rPr>
        <w:t>日至2021年</w:t>
      </w:r>
      <w:r>
        <w:rPr>
          <w:rFonts w:hint="eastAsia" w:ascii="宋体" w:hAnsi="宋体" w:cs="宋体"/>
          <w:bCs/>
          <w:color w:val="auto"/>
          <w:sz w:val="21"/>
          <w:szCs w:val="21"/>
          <w:highlight w:val="none"/>
          <w:lang w:val="en-US" w:eastAsia="zh-CN"/>
        </w:rPr>
        <w:t>12</w:t>
      </w:r>
      <w:r>
        <w:rPr>
          <w:rFonts w:hint="eastAsia" w:ascii="宋体" w:hAnsi="宋体" w:cs="宋体"/>
          <w:bCs/>
          <w:color w:val="auto"/>
          <w:sz w:val="21"/>
          <w:szCs w:val="21"/>
          <w:highlight w:val="none"/>
        </w:rPr>
        <w:t>月</w:t>
      </w:r>
      <w:r>
        <w:rPr>
          <w:rFonts w:hint="eastAsia" w:ascii="宋体" w:hAnsi="宋体" w:cs="宋体"/>
          <w:bCs/>
          <w:color w:val="auto"/>
          <w:sz w:val="21"/>
          <w:szCs w:val="21"/>
          <w:highlight w:val="none"/>
          <w:lang w:val="en-US" w:eastAsia="zh-CN"/>
        </w:rPr>
        <w:t>27</w:t>
      </w:r>
      <w:r>
        <w:rPr>
          <w:rFonts w:hint="eastAsia" w:ascii="宋体" w:hAnsi="宋体" w:cs="宋体"/>
          <w:bCs/>
          <w:color w:val="auto"/>
          <w:sz w:val="21"/>
          <w:szCs w:val="21"/>
          <w:highlight w:val="none"/>
        </w:rPr>
        <w:t>日，每</w:t>
      </w:r>
      <w:r>
        <w:rPr>
          <w:rFonts w:hint="eastAsia" w:ascii="宋体" w:hAnsi="宋体" w:cs="宋体"/>
          <w:bCs/>
          <w:sz w:val="21"/>
          <w:szCs w:val="21"/>
          <w:highlight w:val="none"/>
        </w:rPr>
        <w:t>天上午00:00至12:00，下午12:00至23:59（北京时间，线</w:t>
      </w:r>
      <w:r>
        <w:rPr>
          <w:rFonts w:hint="eastAsia" w:ascii="宋体" w:hAnsi="宋体" w:cs="宋体"/>
          <w:bCs/>
          <w:color w:val="000000" w:themeColor="text1"/>
          <w:sz w:val="21"/>
          <w:szCs w:val="21"/>
          <w:highlight w:val="none"/>
          <w14:textFill>
            <w14:solidFill>
              <w14:schemeClr w14:val="tx1"/>
            </w14:solidFill>
          </w14:textFill>
        </w:rPr>
        <w:t>上获取法定节假日均可，线下获取文件法定节假日除外）。</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2、报名地点（网址）：政采云平台线上获取。 </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3、报名方式：已在浙江省政府采购网注册的正式供应商或临时供应商，可以</w:t>
      </w:r>
      <w:r>
        <w:rPr>
          <w:rFonts w:hint="eastAsia" w:ascii="宋体" w:hAnsi="宋体" w:cs="宋体"/>
          <w:bCs/>
          <w:color w:val="000000" w:themeColor="text1"/>
          <w:sz w:val="21"/>
          <w:szCs w:val="21"/>
          <w:highlight w:val="none"/>
          <w:lang w:eastAsia="zh-CN"/>
          <w14:textFill>
            <w14:solidFill>
              <w14:schemeClr w14:val="tx1"/>
            </w14:solidFill>
          </w14:textFill>
        </w:rPr>
        <w:t>登录</w:t>
      </w:r>
      <w:r>
        <w:rPr>
          <w:rFonts w:hint="eastAsia" w:ascii="宋体" w:hAnsi="宋体" w:cs="宋体"/>
          <w:bCs/>
          <w:color w:val="000000" w:themeColor="text1"/>
          <w:sz w:val="21"/>
          <w:szCs w:val="21"/>
          <w:highlight w:val="none"/>
          <w14:textFill>
            <w14:solidFill>
              <w14:schemeClr w14:val="tx1"/>
            </w14:solidFill>
          </w14:textFill>
        </w:rPr>
        <w:t>https://login.zcygov.cn/user-login/#/login 进行网上报名并获取招标文件。 </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4、文件售价（元）：0 </w:t>
      </w:r>
    </w:p>
    <w:p>
      <w:pPr>
        <w:snapToGrid w:val="0"/>
        <w:spacing w:line="400" w:lineRule="exact"/>
        <w:rPr>
          <w:rFonts w:ascii="宋体" w:hAnsi="宋体" w:cs="宋体"/>
          <w:b/>
          <w:color w:val="000000" w:themeColor="text1"/>
          <w:sz w:val="21"/>
          <w:szCs w:val="22"/>
          <w:highlight w:val="none"/>
          <w14:textFill>
            <w14:solidFill>
              <w14:schemeClr w14:val="tx1"/>
            </w14:solidFill>
          </w14:textFill>
        </w:rPr>
      </w:pPr>
      <w:r>
        <w:rPr>
          <w:rFonts w:hint="eastAsia" w:ascii="宋体" w:hAnsi="宋体" w:cs="宋体"/>
          <w:b/>
          <w:color w:val="000000" w:themeColor="text1"/>
          <w:sz w:val="21"/>
          <w:szCs w:val="22"/>
          <w:highlight w:val="none"/>
          <w14:textFill>
            <w14:solidFill>
              <w14:schemeClr w14:val="tx1"/>
            </w14:solidFill>
          </w14:textFill>
        </w:rPr>
        <w:t>四、提交投标文件截止时间、开标时间和地点</w:t>
      </w:r>
    </w:p>
    <w:p>
      <w:pPr>
        <w:keepNext w:val="0"/>
        <w:keepLines w:val="0"/>
        <w:pageBreakBefore w:val="0"/>
        <w:widowControl w:val="0"/>
        <w:tabs>
          <w:tab w:val="left" w:pos="2835"/>
        </w:tabs>
        <w:kinsoku/>
        <w:wordWrap/>
        <w:overflowPunct/>
        <w:topLinePunct w:val="0"/>
        <w:autoSpaceDE/>
        <w:autoSpaceDN/>
        <w:bidi w:val="0"/>
        <w:adjustRightInd/>
        <w:snapToGrid w:val="0"/>
        <w:spacing w:line="400" w:lineRule="exact"/>
        <w:ind w:left="0" w:leftChars="0"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1.提交投标文件截止时间：2021年</w:t>
      </w:r>
      <w:r>
        <w:rPr>
          <w:rFonts w:hint="eastAsia" w:ascii="宋体" w:hAnsi="宋体" w:cs="宋体"/>
          <w:bCs/>
          <w:color w:val="000000" w:themeColor="text1"/>
          <w:sz w:val="21"/>
          <w:szCs w:val="21"/>
          <w:highlight w:val="none"/>
          <w:lang w:val="en-US" w:eastAsia="zh-CN"/>
          <w14:textFill>
            <w14:solidFill>
              <w14:schemeClr w14:val="tx1"/>
            </w14:solidFill>
          </w14:textFill>
        </w:rPr>
        <w:t>12</w:t>
      </w:r>
      <w:r>
        <w:rPr>
          <w:rFonts w:hint="eastAsia" w:ascii="宋体" w:hAnsi="宋体" w:cs="宋体"/>
          <w:bCs/>
          <w:color w:val="000000" w:themeColor="text1"/>
          <w:sz w:val="21"/>
          <w:szCs w:val="21"/>
          <w:highlight w:val="none"/>
          <w14:textFill>
            <w14:solidFill>
              <w14:schemeClr w14:val="tx1"/>
            </w14:solidFill>
          </w14:textFill>
        </w:rPr>
        <w:t>月</w:t>
      </w:r>
      <w:r>
        <w:rPr>
          <w:rFonts w:hint="eastAsia" w:ascii="宋体" w:hAnsi="宋体" w:cs="宋体"/>
          <w:bCs/>
          <w:color w:val="000000" w:themeColor="text1"/>
          <w:sz w:val="21"/>
          <w:szCs w:val="21"/>
          <w:highlight w:val="none"/>
          <w:lang w:val="en-US" w:eastAsia="zh-CN"/>
          <w14:textFill>
            <w14:solidFill>
              <w14:schemeClr w14:val="tx1"/>
            </w14:solidFill>
          </w14:textFill>
        </w:rPr>
        <w:t>28</w:t>
      </w:r>
      <w:r>
        <w:rPr>
          <w:rFonts w:hint="eastAsia" w:ascii="宋体" w:hAnsi="宋体" w:cs="宋体"/>
          <w:bCs/>
          <w:color w:val="000000" w:themeColor="text1"/>
          <w:sz w:val="21"/>
          <w:szCs w:val="21"/>
          <w:highlight w:val="none"/>
          <w14:textFill>
            <w14:solidFill>
              <w14:schemeClr w14:val="tx1"/>
            </w14:solidFill>
          </w14:textFill>
        </w:rPr>
        <w:t>日09:30（北京时间）</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2.投标地点（网址）：通过浙江政府采购网政府采购云平台实行在线投标响应。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3.开标时间：2021年</w:t>
      </w:r>
      <w:r>
        <w:rPr>
          <w:rFonts w:hint="eastAsia" w:ascii="宋体" w:hAnsi="宋体" w:cs="宋体"/>
          <w:bCs/>
          <w:color w:val="000000" w:themeColor="text1"/>
          <w:sz w:val="21"/>
          <w:szCs w:val="21"/>
          <w:highlight w:val="none"/>
          <w:lang w:val="en-US" w:eastAsia="zh-CN"/>
          <w14:textFill>
            <w14:solidFill>
              <w14:schemeClr w14:val="tx1"/>
            </w14:solidFill>
          </w14:textFill>
        </w:rPr>
        <w:t>12</w:t>
      </w:r>
      <w:r>
        <w:rPr>
          <w:rFonts w:hint="eastAsia" w:ascii="宋体" w:hAnsi="宋体" w:cs="宋体"/>
          <w:bCs/>
          <w:color w:val="000000" w:themeColor="text1"/>
          <w:sz w:val="21"/>
          <w:szCs w:val="21"/>
          <w:highlight w:val="none"/>
          <w14:textFill>
            <w14:solidFill>
              <w14:schemeClr w14:val="tx1"/>
            </w14:solidFill>
          </w14:textFill>
        </w:rPr>
        <w:t>月</w:t>
      </w:r>
      <w:r>
        <w:rPr>
          <w:rFonts w:hint="eastAsia" w:ascii="宋体" w:hAnsi="宋体" w:cs="宋体"/>
          <w:bCs/>
          <w:color w:val="000000" w:themeColor="text1"/>
          <w:sz w:val="21"/>
          <w:szCs w:val="21"/>
          <w:highlight w:val="none"/>
          <w:lang w:val="en-US" w:eastAsia="zh-CN"/>
          <w14:textFill>
            <w14:solidFill>
              <w14:schemeClr w14:val="tx1"/>
            </w14:solidFill>
          </w14:textFill>
        </w:rPr>
        <w:t>28</w:t>
      </w:r>
      <w:r>
        <w:rPr>
          <w:rFonts w:hint="eastAsia" w:ascii="宋体" w:hAnsi="宋体" w:cs="宋体"/>
          <w:bCs/>
          <w:color w:val="000000" w:themeColor="text1"/>
          <w:sz w:val="21"/>
          <w:szCs w:val="21"/>
          <w:highlight w:val="none"/>
          <w14:textFill>
            <w14:solidFill>
              <w14:schemeClr w14:val="tx1"/>
            </w14:solidFill>
          </w14:textFill>
        </w:rPr>
        <w:t>日 09:30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4.开标地点：金华市政府采购中心兰溪市分中心（兰溪市振兴路500号行政服务中心四楼</w:t>
      </w:r>
      <w:r>
        <w:rPr>
          <w:rFonts w:hint="eastAsia" w:ascii="宋体" w:hAnsi="宋体" w:cs="宋体"/>
          <w:bCs/>
          <w:color w:val="000000" w:themeColor="text1"/>
          <w:sz w:val="21"/>
          <w:szCs w:val="21"/>
          <w:highlight w:val="none"/>
          <w:lang w:val="en-US" w:eastAsia="zh-CN"/>
          <w14:textFill>
            <w14:solidFill>
              <w14:schemeClr w14:val="tx1"/>
            </w14:solidFill>
          </w14:textFill>
        </w:rPr>
        <w:t>评</w:t>
      </w:r>
      <w:r>
        <w:rPr>
          <w:rFonts w:hint="eastAsia" w:ascii="宋体" w:hAnsi="宋体" w:cs="宋体"/>
          <w:bCs/>
          <w:color w:val="000000" w:themeColor="text1"/>
          <w:sz w:val="21"/>
          <w:szCs w:val="21"/>
          <w:highlight w:val="none"/>
          <w14:textFill>
            <w14:solidFill>
              <w14:schemeClr w14:val="tx1"/>
            </w14:solidFill>
          </w14:textFill>
        </w:rPr>
        <w:t>标室）通过浙江政府采购网政府采购云平台在线开标。 </w:t>
      </w:r>
    </w:p>
    <w:p>
      <w:pPr>
        <w:snapToGrid w:val="0"/>
        <w:spacing w:line="400" w:lineRule="exact"/>
        <w:rPr>
          <w:rFonts w:ascii="宋体" w:hAnsi="宋体" w:cs="宋体"/>
          <w:b/>
          <w:color w:val="000000" w:themeColor="text1"/>
          <w:sz w:val="21"/>
          <w:szCs w:val="22"/>
          <w:highlight w:val="none"/>
          <w14:textFill>
            <w14:solidFill>
              <w14:schemeClr w14:val="tx1"/>
            </w14:solidFill>
          </w14:textFill>
        </w:rPr>
      </w:pPr>
      <w:r>
        <w:rPr>
          <w:rFonts w:hint="eastAsia" w:ascii="宋体" w:hAnsi="宋体" w:cs="宋体"/>
          <w:b/>
          <w:color w:val="000000" w:themeColor="text1"/>
          <w:sz w:val="21"/>
          <w:szCs w:val="22"/>
          <w:highlight w:val="none"/>
          <w14:textFill>
            <w14:solidFill>
              <w14:schemeClr w14:val="tx1"/>
            </w14:solidFill>
          </w14:textFill>
        </w:rPr>
        <w:t>五、公告期限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自本公告发布之日起5个工作日。</w:t>
      </w:r>
    </w:p>
    <w:p>
      <w:pPr>
        <w:snapToGrid w:val="0"/>
        <w:spacing w:line="400" w:lineRule="exact"/>
        <w:rPr>
          <w:rFonts w:hint="eastAsia" w:ascii="宋体" w:hAnsi="宋体" w:cs="Segoe UI"/>
          <w:color w:val="auto"/>
          <w:sz w:val="21"/>
          <w:szCs w:val="21"/>
          <w:highlight w:val="none"/>
        </w:rPr>
      </w:pPr>
      <w:r>
        <w:rPr>
          <w:rFonts w:hint="eastAsia" w:ascii="宋体" w:hAnsi="宋体" w:cs="宋体"/>
          <w:b/>
          <w:color w:val="000000" w:themeColor="text1"/>
          <w:sz w:val="21"/>
          <w:szCs w:val="22"/>
          <w:highlight w:val="none"/>
          <w14:textFill>
            <w14:solidFill>
              <w14:schemeClr w14:val="tx1"/>
            </w14:solidFill>
          </w14:textFill>
        </w:rPr>
        <w:t>六、</w:t>
      </w:r>
      <w:r>
        <w:rPr>
          <w:rFonts w:hint="eastAsia" w:ascii="宋体" w:hAnsi="宋体" w:cs="Segoe UI"/>
          <w:b/>
          <w:bCs/>
          <w:color w:val="auto"/>
          <w:sz w:val="21"/>
          <w:szCs w:val="21"/>
          <w:highlight w:val="none"/>
        </w:rPr>
        <w:t>信用记录：</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textAlignment w:val="auto"/>
        <w:rPr>
          <w:rFonts w:hint="eastAsia" w:ascii="宋体" w:hAnsi="宋体" w:cs="Segoe UI"/>
          <w:color w:val="auto"/>
          <w:sz w:val="21"/>
          <w:szCs w:val="21"/>
          <w:highlight w:val="none"/>
        </w:rPr>
      </w:pPr>
      <w:r>
        <w:rPr>
          <w:rFonts w:hint="eastAsia" w:ascii="宋体" w:hAnsi="宋体" w:cs="Segoe UI"/>
          <w:color w:val="auto"/>
          <w:sz w:val="21"/>
          <w:szCs w:val="21"/>
          <w:highlight w:val="none"/>
        </w:rPr>
        <w:t>根据财库[2016]125号《关于在政府采购活动中查询及使用信用记录有关问题的通知》要求，招标人对</w:t>
      </w:r>
      <w:r>
        <w:rPr>
          <w:rFonts w:hint="eastAsia" w:ascii="宋体" w:hAnsi="宋体" w:cs="Segoe UI"/>
          <w:color w:val="auto"/>
          <w:sz w:val="21"/>
          <w:szCs w:val="21"/>
          <w:highlight w:val="none"/>
          <w:lang w:eastAsia="zh-CN"/>
        </w:rPr>
        <w:t>投标人</w:t>
      </w:r>
      <w:r>
        <w:rPr>
          <w:rFonts w:hint="eastAsia" w:ascii="宋体" w:hAnsi="宋体" w:cs="Segoe UI"/>
          <w:color w:val="auto"/>
          <w:sz w:val="21"/>
          <w:szCs w:val="21"/>
          <w:highlight w:val="none"/>
        </w:rPr>
        <w:t>信用记录进行查询并甄别。</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1.信用信息查询的截止时点：投标截止时间前1个工作日查询；</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2.查询渠道：</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 信用中国（www.creditchina.gov.cn）；</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 中国政府采购网（www.ccgp.gov.cn）；</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 浙江政府采购网（http://www.zjzfcg.gov.cn/）；</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3.信用信息查询记录和证据留存具体方式：招标人经办人和监督人员将查询网页打印、签字与其他</w:t>
      </w:r>
      <w:r>
        <w:rPr>
          <w:rFonts w:hint="eastAsia" w:ascii="宋体" w:hAnsi="宋体" w:cs="Segoe UI"/>
          <w:color w:val="auto"/>
          <w:sz w:val="21"/>
          <w:szCs w:val="21"/>
          <w:highlight w:val="none"/>
          <w:lang w:val="en-US" w:eastAsia="zh-CN"/>
        </w:rPr>
        <w:t>采购</w:t>
      </w:r>
      <w:r>
        <w:rPr>
          <w:rFonts w:hint="eastAsia" w:ascii="宋体" w:hAnsi="宋体" w:cs="Segoe UI"/>
          <w:color w:val="auto"/>
          <w:sz w:val="21"/>
          <w:szCs w:val="21"/>
          <w:highlight w:val="none"/>
        </w:rPr>
        <w:t>文件一并保存；</w:t>
      </w:r>
    </w:p>
    <w:p>
      <w:pPr>
        <w:snapToGrid w:val="0"/>
        <w:spacing w:line="440" w:lineRule="exact"/>
        <w:ind w:firstLine="420" w:firstLineChars="200"/>
        <w:outlineLvl w:val="1"/>
        <w:rPr>
          <w:rFonts w:hint="eastAsia" w:ascii="宋体" w:hAnsi="宋体" w:cs="Segoe UI"/>
          <w:color w:val="auto"/>
          <w:sz w:val="21"/>
          <w:szCs w:val="21"/>
          <w:highlight w:val="none"/>
        </w:rPr>
      </w:pPr>
      <w:r>
        <w:rPr>
          <w:rFonts w:hint="eastAsia" w:ascii="宋体" w:hAnsi="宋体" w:cs="Segoe UI"/>
          <w:color w:val="auto"/>
          <w:sz w:val="21"/>
          <w:szCs w:val="21"/>
          <w:highlight w:val="none"/>
        </w:rPr>
        <w:t>4.信用信息的使用规则：</w:t>
      </w:r>
      <w:r>
        <w:rPr>
          <w:rFonts w:hint="eastAsia" w:ascii="宋体" w:hAnsi="宋体" w:cs="Segoe UI"/>
          <w:color w:val="auto"/>
          <w:sz w:val="21"/>
          <w:szCs w:val="21"/>
          <w:highlight w:val="none"/>
          <w:lang w:eastAsia="zh-CN"/>
        </w:rPr>
        <w:t>投标人</w:t>
      </w:r>
      <w:r>
        <w:rPr>
          <w:rFonts w:hint="eastAsia" w:ascii="宋体" w:hAnsi="宋体" w:cs="Segoe UI"/>
          <w:color w:val="auto"/>
          <w:sz w:val="21"/>
          <w:szCs w:val="21"/>
          <w:highlight w:val="none"/>
        </w:rPr>
        <w:t>存在不良信用记录的，其投标将被作为无效投标被拒绝。</w:t>
      </w:r>
    </w:p>
    <w:p>
      <w:pPr>
        <w:snapToGrid w:val="0"/>
        <w:spacing w:line="440" w:lineRule="exact"/>
        <w:ind w:firstLine="420" w:firstLineChars="200"/>
        <w:outlineLvl w:val="1"/>
        <w:rPr>
          <w:rFonts w:hint="eastAsia" w:ascii="宋体" w:hAnsi="宋体" w:cs="Segoe UI"/>
          <w:color w:val="auto"/>
          <w:sz w:val="21"/>
          <w:szCs w:val="21"/>
          <w:highlight w:val="none"/>
          <w:lang w:eastAsia="zh-CN"/>
        </w:rPr>
      </w:pPr>
      <w:r>
        <w:rPr>
          <w:rFonts w:hint="eastAsia" w:ascii="宋体" w:hAnsi="宋体" w:cs="Segoe UI"/>
          <w:color w:val="auto"/>
          <w:sz w:val="21"/>
          <w:szCs w:val="21"/>
          <w:highlight w:val="none"/>
        </w:rPr>
        <w:t>5.不良信用记录指：被列入失信被执行人、重大税收违法案件当事人名单、政府采购严重违法失信行为记录名单或浙江政府采购网曝光台中尚在行政处罚期内的</w:t>
      </w:r>
      <w:r>
        <w:rPr>
          <w:rFonts w:hint="eastAsia" w:ascii="宋体" w:hAnsi="宋体" w:cs="Segoe UI"/>
          <w:color w:val="auto"/>
          <w:sz w:val="21"/>
          <w:szCs w:val="21"/>
          <w:highlight w:val="none"/>
          <w:lang w:eastAsia="zh-CN"/>
        </w:rPr>
        <w:t>。</w:t>
      </w:r>
    </w:p>
    <w:p>
      <w:pPr>
        <w:snapToGrid w:val="0"/>
        <w:spacing w:line="400" w:lineRule="exact"/>
        <w:rPr>
          <w:rFonts w:ascii="宋体" w:hAnsi="宋体" w:cs="宋体"/>
          <w:b/>
          <w:color w:val="000000" w:themeColor="text1"/>
          <w:sz w:val="21"/>
          <w:szCs w:val="22"/>
          <w:highlight w:val="none"/>
          <w14:textFill>
            <w14:solidFill>
              <w14:schemeClr w14:val="tx1"/>
            </w14:solidFill>
          </w14:textFill>
        </w:rPr>
      </w:pPr>
      <w:r>
        <w:rPr>
          <w:rFonts w:hint="eastAsia" w:ascii="宋体" w:hAnsi="宋体" w:cs="宋体"/>
          <w:b/>
          <w:color w:val="000000" w:themeColor="text1"/>
          <w:sz w:val="21"/>
          <w:szCs w:val="22"/>
          <w:highlight w:val="none"/>
          <w:lang w:val="en-US" w:eastAsia="zh-CN"/>
          <w14:textFill>
            <w14:solidFill>
              <w14:schemeClr w14:val="tx1"/>
            </w14:solidFill>
          </w14:textFill>
        </w:rPr>
        <w:t>七、</w:t>
      </w:r>
      <w:r>
        <w:rPr>
          <w:rFonts w:hint="eastAsia" w:ascii="宋体" w:hAnsi="宋体" w:cs="宋体"/>
          <w:b/>
          <w:color w:val="000000" w:themeColor="text1"/>
          <w:sz w:val="21"/>
          <w:szCs w:val="22"/>
          <w:highlight w:val="none"/>
          <w14:textFill>
            <w14:solidFill>
              <w14:schemeClr w14:val="tx1"/>
            </w14:solidFill>
          </w14:textFill>
        </w:rPr>
        <w:t>其他补充事宜</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2.本项目执行促进中小企业发展、促进残疾人就业、支持监狱企业发展、扶持不发达地区和少数民族地区、优先采购节能产品、优先采购环境标志产品等政策。</w:t>
      </w:r>
      <w:r>
        <w:rPr>
          <w:rFonts w:hint="eastAsia" w:ascii="宋体" w:hAnsi="宋体" w:cs="宋体"/>
          <w:bCs/>
          <w:color w:val="000000" w:themeColor="text1"/>
          <w:sz w:val="21"/>
          <w:szCs w:val="21"/>
          <w:highlight w:val="none"/>
          <w14:textFill>
            <w14:solidFill>
              <w14:schemeClr w14:val="tx1"/>
            </w14:solidFill>
          </w14:textFill>
        </w:rPr>
        <w:br w:type="textWrapping"/>
      </w:r>
      <w:r>
        <w:rPr>
          <w:rFonts w:hint="eastAsia" w:ascii="宋体" w:hAnsi="宋体" w:cs="宋体"/>
          <w:bCs/>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bCs/>
          <w:color w:val="000000" w:themeColor="text1"/>
          <w:sz w:val="21"/>
          <w:szCs w:val="21"/>
          <w:highlight w:val="none"/>
          <w14:textFill>
            <w14:solidFill>
              <w14:schemeClr w14:val="tx1"/>
            </w14:solidFill>
          </w14:textFill>
        </w:rPr>
        <w:t xml:space="preserve">3.潜在供应商在浙江省政府采购网（https://zfcg.czt.zj.gov.cn/）进行免费注册，具体详见网站供应商注册要求，中标人应在合同签订前完成注册并成为正式注册供应商。否则将无法完成合同签订与付款程序。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4.招标公告附件所附招标文件仅供阅览使用，潜在供应商应当按照本公告规定方式获取招标文件，未按照规定方式获取招标文件的，无权对招标文件提起质疑及投诉。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hint="eastAsia"/>
          <w:highlight w:val="none"/>
        </w:rPr>
      </w:pPr>
      <w:r>
        <w:rPr>
          <w:rFonts w:hint="eastAsia" w:ascii="宋体" w:hAnsi="宋体" w:cs="宋体"/>
          <w:bCs/>
          <w:color w:val="000000" w:themeColor="text1"/>
          <w:sz w:val="21"/>
          <w:szCs w:val="21"/>
          <w:highlight w:val="none"/>
          <w14:textFill>
            <w14:solidFill>
              <w14:schemeClr w14:val="tx1"/>
            </w14:solidFill>
          </w14:textFill>
        </w:rPr>
        <w:t>5.为确保招投标活动的公开、公平、公正，切实维护各方合法权益，凡在招标投标、开标评标过程中，受到敲诈、勒索或发现围标串标虚假投标、恶意</w:t>
      </w:r>
      <w:r>
        <w:rPr>
          <w:rFonts w:hint="eastAsia" w:ascii="宋体" w:hAnsi="宋体" w:cs="宋体"/>
          <w:bCs/>
          <w:color w:val="000000" w:themeColor="text1"/>
          <w:sz w:val="21"/>
          <w:szCs w:val="21"/>
          <w:highlight w:val="none"/>
          <w:lang w:eastAsia="zh-CN"/>
          <w14:textFill>
            <w14:solidFill>
              <w14:schemeClr w14:val="tx1"/>
            </w14:solidFill>
          </w14:textFill>
        </w:rPr>
        <w:t>竞标</w:t>
      </w:r>
      <w:r>
        <w:rPr>
          <w:rFonts w:hint="eastAsia" w:ascii="宋体" w:hAnsi="宋体" w:cs="宋体"/>
          <w:bCs/>
          <w:color w:val="000000" w:themeColor="text1"/>
          <w:sz w:val="21"/>
          <w:szCs w:val="21"/>
          <w:highlight w:val="none"/>
          <w14:textFill>
            <w14:solidFill>
              <w14:schemeClr w14:val="tx1"/>
            </w14:solidFill>
          </w14:textFill>
        </w:rPr>
        <w:t xml:space="preserve">等涉黑涉恶线索者，请及时保留相关证据并向有关部门举报。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jc w:val="left"/>
        <w:textAlignment w:val="auto"/>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举报电话: 兰溪市扫黑除恶专项斗争领导小组办公室（市委政法委）：0579-88888432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1050" w:firstLineChars="500"/>
        <w:jc w:val="left"/>
        <w:textAlignment w:val="auto"/>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兰溪市纪委（监察）机关：0579-88899324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1050" w:firstLineChars="500"/>
        <w:jc w:val="left"/>
        <w:textAlignment w:val="auto"/>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兰溪市公安局：110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1050" w:firstLineChars="5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举报邮箱：lxspab0579@163.com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6.本次招标采取开标后资格审查。</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7.新型冠状病毒感染的肺炎疫情防控期间，投标人的法定代表人（或其委托代人） 无须出席开标现场会议。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8.已成功参与的投标供应商如若不参加本项目的投标，应至少提前两个工作日（投标截止时间往前推）以书面的形式告知</w:t>
      </w:r>
      <w:r>
        <w:rPr>
          <w:rFonts w:hint="eastAsia" w:ascii="宋体" w:hAnsi="宋体" w:cs="宋体"/>
          <w:color w:val="000000" w:themeColor="text1"/>
          <w:sz w:val="21"/>
          <w:szCs w:val="21"/>
          <w:highlight w:val="none"/>
          <w14:textFill>
            <w14:solidFill>
              <w14:schemeClr w14:val="tx1"/>
            </w14:solidFill>
          </w14:textFill>
        </w:rPr>
        <w:t>招标人</w:t>
      </w:r>
      <w:r>
        <w:rPr>
          <w:rFonts w:hint="eastAsia" w:ascii="宋体" w:hAnsi="宋体" w:cs="宋体"/>
          <w:bCs/>
          <w:color w:val="000000" w:themeColor="text1"/>
          <w:sz w:val="21"/>
          <w:szCs w:val="21"/>
          <w:highlight w:val="none"/>
          <w14:textFill>
            <w14:solidFill>
              <w14:schemeClr w14:val="tx1"/>
            </w14:solidFill>
          </w14:textFill>
        </w:rPr>
        <w:t xml:space="preserve">，书面文件加盖公章后将扫描件发至我公司邮箱（43658078@qq.com）。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xml:space="preserve">9.参与投标的投标人请及时添加项目负责人钉钉号(钉钉号：13758922284),开标活动现场将在钉钉群进行全程直播。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hint="eastAsia"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10.为进一步发挥政府采购政策导向作用，有效缓解中小企业融资难等问题，根据《浙江省政府采购支持中小企业信用融资试点办法》(浙财采监[2012]13 号)有关规定，中标供应商若有融资意向，可登录政府采购云平台(https://www.zcygov.cn/)“融资贷款”栏目了解相关扶持政策信息。为扩大政府采购金融服务面，除政采云网上金融服务合作银行外，金华市范围增加线下合作银行两家，具体信息如下：</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0" w:firstLineChars="200"/>
        <w:jc w:val="left"/>
        <w:textAlignment w:val="auto"/>
        <w:rPr>
          <w:rFonts w:hint="eastAsia"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 xml:space="preserve">金华银行文创支行：联系人：邵哲暾  联系电话：15058585028（0579-82391831） </w:t>
      </w:r>
    </w:p>
    <w:p>
      <w:pPr>
        <w:keepNext w:val="0"/>
        <w:keepLines w:val="0"/>
        <w:pageBreakBefore w:val="0"/>
        <w:widowControl w:val="0"/>
        <w:numPr>
          <w:ilvl w:val="0"/>
          <w:numId w:val="0"/>
        </w:numPr>
        <w:kinsoku/>
        <w:wordWrap/>
        <w:overflowPunct/>
        <w:topLinePunct w:val="0"/>
        <w:autoSpaceDE/>
        <w:autoSpaceDN/>
        <w:bidi w:val="0"/>
        <w:adjustRightInd/>
        <w:spacing w:line="420" w:lineRule="exact"/>
        <w:ind w:left="0" w:leftChars="0" w:firstLine="420" w:firstLineChars="200"/>
        <w:textAlignment w:val="auto"/>
        <w:rPr>
          <w:rFonts w:hint="eastAsia"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浙商银行金华分行：联系人：朱晨祥  联系电话：15857978811（0579-82999581）</w:t>
      </w:r>
    </w:p>
    <w:p>
      <w:pPr>
        <w:keepNext w:val="0"/>
        <w:keepLines w:val="0"/>
        <w:pageBreakBefore w:val="0"/>
        <w:widowControl w:val="0"/>
        <w:numPr>
          <w:ilvl w:val="0"/>
          <w:numId w:val="0"/>
        </w:numPr>
        <w:kinsoku/>
        <w:wordWrap/>
        <w:overflowPunct/>
        <w:topLinePunct w:val="0"/>
        <w:autoSpaceDE/>
        <w:autoSpaceDN/>
        <w:bidi w:val="0"/>
        <w:adjustRightInd/>
        <w:spacing w:line="420" w:lineRule="exact"/>
        <w:ind w:left="0" w:leftChars="0" w:firstLine="422" w:firstLineChars="20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cs="宋体"/>
          <w:b/>
          <w:color w:val="000000"/>
          <w:sz w:val="21"/>
          <w:szCs w:val="21"/>
          <w:highlight w:val="none"/>
          <w:lang w:val="en-US" w:eastAsia="zh-CN"/>
        </w:rPr>
        <w:t>11</w:t>
      </w:r>
      <w:r>
        <w:rPr>
          <w:rFonts w:hint="eastAsia" w:ascii="宋体" w:hAnsi="宋体" w:eastAsia="宋体" w:cs="宋体"/>
          <w:b/>
          <w:color w:val="000000"/>
          <w:sz w:val="21"/>
          <w:szCs w:val="21"/>
          <w:highlight w:val="none"/>
          <w:lang w:eastAsia="zh-CN"/>
        </w:rPr>
        <w:t>、</w:t>
      </w:r>
      <w:r>
        <w:rPr>
          <w:rFonts w:hint="eastAsia" w:ascii="宋体" w:hAnsi="宋体" w:eastAsia="宋体" w:cs="宋体"/>
          <w:b/>
          <w:color w:val="000000"/>
          <w:sz w:val="21"/>
          <w:szCs w:val="21"/>
          <w:highlight w:val="none"/>
        </w:rPr>
        <w:t>在线投标响应（电子投标）说明</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11.1</w:t>
      </w:r>
      <w:r>
        <w:rPr>
          <w:rFonts w:hint="eastAsia" w:ascii="宋体" w:hAnsi="宋体" w:cs="宋体"/>
          <w:b/>
          <w:bCs w:val="0"/>
          <w:color w:val="000000" w:themeColor="text1"/>
          <w:sz w:val="21"/>
          <w:szCs w:val="21"/>
          <w:highlight w:val="none"/>
          <w14:textFill>
            <w14:solidFill>
              <w14:schemeClr w14:val="tx1"/>
            </w14:solidFill>
          </w14:textFill>
        </w:rPr>
        <w:t xml:space="preserve">本项目实行电子投标，投标供应商应按照本项目招标文件和政采云平台的要求编制、加密并递交投标文件。供应商在使用系统进行投标的过程中遇到涉及平台使用的任何问题，可致电政采云平台技术支持热线咨询，联系方式：400-881-7190。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11.2</w:t>
      </w:r>
      <w:r>
        <w:rPr>
          <w:rFonts w:hint="eastAsia" w:ascii="宋体" w:hAnsi="宋体" w:cs="宋体"/>
          <w:b/>
          <w:bCs w:val="0"/>
          <w:color w:val="000000" w:themeColor="text1"/>
          <w:sz w:val="21"/>
          <w:szCs w:val="21"/>
          <w:highlight w:val="none"/>
          <w14:textFill>
            <w14:solidFill>
              <w14:schemeClr w14:val="tx1"/>
            </w14:solidFill>
          </w14:textFill>
        </w:rPr>
        <w:t xml:space="preserve">投标人应在开标前完成 CA 数字证书办理。（办理流程详见https://zfcg.czt.zj.gov.cn/bidClientTemplate/2019-05-27/12945.html）。完成 CA 数字证书办理预计一周左右，建议各投标人抓紧时间办理。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11.3</w:t>
      </w:r>
      <w:r>
        <w:rPr>
          <w:rFonts w:hint="eastAsia" w:ascii="宋体" w:hAnsi="宋体" w:cs="宋体"/>
          <w:b/>
          <w:bCs w:val="0"/>
          <w:color w:val="000000" w:themeColor="text1"/>
          <w:sz w:val="21"/>
          <w:szCs w:val="21"/>
          <w:highlight w:val="none"/>
          <w14:textFill>
            <w14:solidFill>
              <w14:schemeClr w14:val="tx1"/>
            </w14:solidFill>
          </w14:textFill>
        </w:rPr>
        <w:t>投标人通过政采云平台“电子交易客户端”制作投标文件，电子投标工具请供应商自行前往浙江省</w:t>
      </w:r>
      <w:r>
        <w:rPr>
          <w:rFonts w:hint="eastAsia" w:ascii="宋体" w:hAnsi="宋体" w:cs="宋体"/>
          <w:b/>
          <w:bCs w:val="0"/>
          <w:color w:val="000000" w:themeColor="text1"/>
          <w:sz w:val="21"/>
          <w:szCs w:val="21"/>
          <w:highlight w:val="none"/>
          <w:u w:val="single"/>
          <w14:textFill>
            <w14:solidFill>
              <w14:schemeClr w14:val="tx1"/>
            </w14:solidFill>
          </w14:textFill>
        </w:rPr>
        <w:t>政府采购网下载并安装，（下载网址</w:t>
      </w:r>
      <w:r>
        <w:rPr>
          <w:rFonts w:hint="eastAsia" w:ascii="宋体" w:hAnsi="宋体" w:cs="宋体"/>
          <w:b/>
          <w:bCs w:val="0"/>
          <w:color w:val="000000" w:themeColor="text1"/>
          <w:sz w:val="21"/>
          <w:szCs w:val="21"/>
          <w:highlight w:val="none"/>
          <w:u w:val="single"/>
          <w:lang w:eastAsia="zh-CN"/>
          <w14:textFill>
            <w14:solidFill>
              <w14:schemeClr w14:val="tx1"/>
            </w14:solidFill>
          </w14:textFill>
        </w:rPr>
        <w:t>：</w:t>
      </w:r>
      <w:r>
        <w:rPr>
          <w:rFonts w:hint="eastAsia" w:ascii="宋体" w:hAnsi="宋体" w:cs="宋体"/>
          <w:b/>
          <w:bCs w:val="0"/>
          <w:color w:val="000000" w:themeColor="text1"/>
          <w:sz w:val="21"/>
          <w:szCs w:val="21"/>
          <w:highlight w:val="none"/>
          <w14:textFill>
            <w14:solidFill>
              <w14:schemeClr w14:val="tx1"/>
            </w14:solidFill>
          </w14:textFill>
        </w:rPr>
        <w:t xml:space="preserve">https://zfcg.czt.zj.gov.cn/bidClientTemplate/2019-05-27/12946.html）。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11.4</w:t>
      </w:r>
      <w:r>
        <w:rPr>
          <w:rFonts w:hint="eastAsia" w:ascii="宋体" w:hAnsi="宋体" w:cs="宋体"/>
          <w:b/>
          <w:bCs w:val="0"/>
          <w:color w:val="000000" w:themeColor="text1"/>
          <w:sz w:val="21"/>
          <w:szCs w:val="21"/>
          <w:highlight w:val="none"/>
          <w14:textFill>
            <w14:solidFill>
              <w14:schemeClr w14:val="tx1"/>
            </w14:solidFill>
          </w14:textFill>
        </w:rPr>
        <w:t xml:space="preserve">投标人将加密的电子版投标文件于投标截止时间前上传到政采云系统中。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11.5</w:t>
      </w:r>
      <w:r>
        <w:rPr>
          <w:rFonts w:hint="eastAsia" w:ascii="宋体" w:hAnsi="宋体" w:cs="宋体"/>
          <w:b/>
          <w:bCs w:val="0"/>
          <w:color w:val="000000" w:themeColor="text1"/>
          <w:sz w:val="21"/>
          <w:szCs w:val="21"/>
          <w:highlight w:val="none"/>
          <w14:textFill>
            <w14:solidFill>
              <w14:schemeClr w14:val="tx1"/>
            </w14:solidFill>
          </w14:textFill>
        </w:rPr>
        <w:t xml:space="preserve">具体的投标文件加密上传等操作详见政采云平台操作指南。https://edu.zcygov.cn/luban/e-biding?utm=a0004.2ef5001f.0001.0109.da8b35e0da8611e98d8937b7ef8a3544 </w:t>
      </w:r>
      <w:r>
        <w:rPr>
          <w:rFonts w:hint="eastAsia" w:ascii="宋体" w:hAnsi="宋体" w:cs="宋体"/>
          <w:b/>
          <w:bCs w:val="0"/>
          <w:color w:val="000000" w:themeColor="text1"/>
          <w:sz w:val="21"/>
          <w:szCs w:val="21"/>
          <w:highlight w:val="none"/>
          <w:lang w:eastAsia="zh-CN"/>
          <w14:textFill>
            <w14:solidFill>
              <w14:schemeClr w14:val="tx1"/>
            </w14:solidFill>
          </w14:textFill>
        </w:rPr>
        <w:t>。</w:t>
      </w:r>
      <w:r>
        <w:rPr>
          <w:rFonts w:hint="eastAsia" w:ascii="宋体" w:hAnsi="宋体" w:cs="宋体"/>
          <w:b/>
          <w:bCs w:val="0"/>
          <w:color w:val="000000" w:themeColor="text1"/>
          <w:sz w:val="21"/>
          <w:szCs w:val="21"/>
          <w:highlight w:val="none"/>
          <w14:textFill>
            <w14:solidFill>
              <w14:schemeClr w14:val="tx1"/>
            </w14:solidFill>
          </w14:textFill>
        </w:rPr>
        <w:t xml:space="preserve">注：建议使用谷歌浏览器，使用其他浏览器可能发生无法解密等未知情况。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ascii="宋体" w:hAnsi="宋体" w:cs="宋体"/>
          <w:b/>
          <w:bCs w:val="0"/>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11.6</w:t>
      </w:r>
      <w:r>
        <w:rPr>
          <w:rFonts w:hint="eastAsia" w:ascii="宋体" w:hAnsi="宋体" w:cs="宋体"/>
          <w:b/>
          <w:bCs w:val="0"/>
          <w:color w:val="000000" w:themeColor="text1"/>
          <w:sz w:val="21"/>
          <w:szCs w:val="21"/>
          <w:highlight w:val="none"/>
          <w14:textFill>
            <w14:solidFill>
              <w14:schemeClr w14:val="tx1"/>
            </w14:solidFill>
          </w14:textFill>
        </w:rPr>
        <w:t xml:space="preserve">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投标文件，将被政采云平台拒收。 </w:t>
      </w:r>
    </w:p>
    <w:p>
      <w:pPr>
        <w:keepNext w:val="0"/>
        <w:keepLines w:val="0"/>
        <w:pageBreakBefore w:val="0"/>
        <w:widowControl w:val="0"/>
        <w:tabs>
          <w:tab w:val="left" w:pos="2835"/>
        </w:tabs>
        <w:kinsoku/>
        <w:wordWrap/>
        <w:overflowPunct/>
        <w:topLinePunct w:val="0"/>
        <w:autoSpaceDE/>
        <w:autoSpaceDN/>
        <w:bidi w:val="0"/>
        <w:adjustRightInd/>
        <w:snapToGrid w:val="0"/>
        <w:spacing w:line="420" w:lineRule="exact"/>
        <w:ind w:firstLine="422" w:firstLineChars="200"/>
        <w:jc w:val="left"/>
        <w:textAlignment w:val="auto"/>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11.7</w:t>
      </w:r>
      <w:r>
        <w:rPr>
          <w:rFonts w:hint="eastAsia" w:ascii="宋体" w:hAnsi="宋体" w:eastAsia="宋体" w:cs="宋体"/>
          <w:b/>
          <w:bCs w:val="0"/>
          <w:color w:val="000000"/>
          <w:sz w:val="21"/>
          <w:szCs w:val="21"/>
          <w:highlight w:val="none"/>
          <w:u w:val="single"/>
          <w:lang w:eastAsia="zh-CN"/>
        </w:rPr>
        <w:t>投标人</w:t>
      </w:r>
      <w:r>
        <w:rPr>
          <w:rFonts w:hint="eastAsia" w:ascii="宋体" w:hAnsi="宋体" w:eastAsia="宋体" w:cs="宋体"/>
          <w:b/>
          <w:bCs w:val="0"/>
          <w:color w:val="000000"/>
          <w:sz w:val="21"/>
          <w:szCs w:val="21"/>
          <w:highlight w:val="none"/>
          <w:u w:val="single"/>
        </w:rPr>
        <w:t>在“政府采购</w:t>
      </w:r>
      <w:r>
        <w:rPr>
          <w:rFonts w:hint="eastAsia" w:ascii="宋体" w:hAnsi="宋体" w:eastAsia="宋体" w:cs="宋体"/>
          <w:b/>
          <w:bCs/>
          <w:color w:val="000000"/>
          <w:sz w:val="21"/>
          <w:szCs w:val="21"/>
          <w:highlight w:val="none"/>
          <w:u w:val="single"/>
        </w:rPr>
        <w:t>云平台”完成“电子加密投标文件”的上传递交后，还可以（</w:t>
      </w:r>
      <w:r>
        <w:rPr>
          <w:rFonts w:hint="eastAsia" w:ascii="宋体" w:hAnsi="宋体" w:eastAsia="宋体" w:cs="宋体"/>
          <w:b/>
          <w:bCs/>
          <w:color w:val="000000"/>
          <w:sz w:val="21"/>
          <w:szCs w:val="21"/>
          <w:highlight w:val="none"/>
          <w:u w:val="single"/>
          <w:lang w:eastAsia="zh-CN"/>
        </w:rPr>
        <w:t>邮寄形式</w:t>
      </w:r>
      <w:r>
        <w:rPr>
          <w:rFonts w:hint="eastAsia" w:ascii="宋体" w:hAnsi="宋体" w:eastAsia="宋体" w:cs="宋体"/>
          <w:b/>
          <w:bCs/>
          <w:color w:val="000000"/>
          <w:sz w:val="21"/>
          <w:szCs w:val="21"/>
          <w:highlight w:val="none"/>
          <w:u w:val="single"/>
        </w:rPr>
        <w:t>）在</w:t>
      </w:r>
      <w:r>
        <w:rPr>
          <w:rFonts w:hint="eastAsia" w:ascii="宋体" w:hAnsi="宋体" w:eastAsia="宋体" w:cs="宋体"/>
          <w:b/>
          <w:bCs/>
          <w:color w:val="000000"/>
          <w:sz w:val="21"/>
          <w:szCs w:val="21"/>
          <w:highlight w:val="none"/>
          <w:u w:val="single"/>
          <w:lang w:val="en-US" w:eastAsia="zh-CN"/>
        </w:rPr>
        <w:t>2021年</w:t>
      </w:r>
      <w:r>
        <w:rPr>
          <w:rFonts w:hint="eastAsia" w:ascii="宋体" w:hAnsi="宋体" w:cs="宋体"/>
          <w:b/>
          <w:bCs/>
          <w:color w:val="000000"/>
          <w:sz w:val="21"/>
          <w:szCs w:val="21"/>
          <w:highlight w:val="none"/>
          <w:u w:val="single"/>
          <w:lang w:val="en-US" w:eastAsia="zh-CN"/>
        </w:rPr>
        <w:t>12</w:t>
      </w:r>
      <w:r>
        <w:rPr>
          <w:rFonts w:hint="eastAsia" w:ascii="宋体" w:hAnsi="宋体" w:eastAsia="宋体" w:cs="宋体"/>
          <w:b/>
          <w:bCs/>
          <w:color w:val="000000"/>
          <w:sz w:val="21"/>
          <w:szCs w:val="21"/>
          <w:highlight w:val="none"/>
          <w:u w:val="single"/>
          <w:lang w:val="en-US" w:eastAsia="zh-CN"/>
        </w:rPr>
        <w:t>月</w:t>
      </w:r>
      <w:r>
        <w:rPr>
          <w:rFonts w:hint="eastAsia" w:ascii="宋体" w:hAnsi="宋体" w:cs="宋体"/>
          <w:b/>
          <w:bCs/>
          <w:color w:val="000000"/>
          <w:sz w:val="21"/>
          <w:szCs w:val="21"/>
          <w:highlight w:val="none"/>
          <w:u w:val="single"/>
          <w:lang w:val="en-US" w:eastAsia="zh-CN"/>
        </w:rPr>
        <w:t>27</w:t>
      </w:r>
      <w:r>
        <w:rPr>
          <w:rFonts w:hint="eastAsia" w:ascii="宋体" w:hAnsi="宋体" w:eastAsia="宋体" w:cs="宋体"/>
          <w:b/>
          <w:bCs/>
          <w:color w:val="000000"/>
          <w:sz w:val="21"/>
          <w:szCs w:val="21"/>
          <w:highlight w:val="none"/>
          <w:u w:val="single"/>
          <w:lang w:val="en-US" w:eastAsia="zh-CN"/>
        </w:rPr>
        <w:t>日17：00整前</w:t>
      </w:r>
      <w:r>
        <w:rPr>
          <w:rFonts w:hint="eastAsia" w:ascii="宋体" w:hAnsi="宋体" w:eastAsia="宋体" w:cs="宋体"/>
          <w:b/>
          <w:bCs/>
          <w:color w:val="000000"/>
          <w:sz w:val="21"/>
          <w:szCs w:val="21"/>
          <w:highlight w:val="none"/>
          <w:u w:val="single"/>
        </w:rPr>
        <w:t>递交</w:t>
      </w:r>
      <w:r>
        <w:rPr>
          <w:rFonts w:hint="eastAsia" w:ascii="宋体" w:hAnsi="宋体" w:eastAsia="宋体" w:cs="宋体"/>
          <w:b/>
          <w:bCs/>
          <w:color w:val="000000"/>
          <w:sz w:val="21"/>
          <w:szCs w:val="21"/>
          <w:highlight w:val="none"/>
          <w:u w:val="single"/>
          <w:lang w:eastAsia="zh-CN"/>
        </w:rPr>
        <w:t>，</w:t>
      </w:r>
      <w:r>
        <w:rPr>
          <w:rFonts w:hint="eastAsia" w:ascii="宋体" w:hAnsi="宋体" w:eastAsia="宋体" w:cs="宋体"/>
          <w:b/>
          <w:bCs/>
          <w:color w:val="000000"/>
          <w:sz w:val="21"/>
          <w:szCs w:val="21"/>
          <w:highlight w:val="none"/>
          <w:u w:val="single"/>
        </w:rPr>
        <w:t>以介质（U盘或DVD光盘）存储的数据电文形式的“备份投标文件”，</w:t>
      </w:r>
      <w:r>
        <w:rPr>
          <w:rFonts w:hint="eastAsia" w:ascii="宋体" w:hAnsi="宋体" w:eastAsia="宋体" w:cs="宋体"/>
          <w:b/>
          <w:bCs/>
          <w:color w:val="000000"/>
          <w:sz w:val="21"/>
          <w:szCs w:val="21"/>
          <w:highlight w:val="none"/>
          <w:u w:val="single"/>
          <w:lang w:val="en-US" w:eastAsia="zh-CN"/>
        </w:rPr>
        <w:t>将电子备份响应文件和纸质投标文件（后缀名为.bfbs，此备份文件为生成电子加密标书时自动生成的文件）密封，邮寄到浙江展图工程咨询有限公司（寄件地址：兰溪市振兴路总部经济大楼</w:t>
      </w:r>
      <w:r>
        <w:rPr>
          <w:rFonts w:hint="eastAsia" w:ascii="宋体" w:hAnsi="宋体" w:cs="宋体"/>
          <w:b/>
          <w:bCs/>
          <w:color w:val="000000"/>
          <w:sz w:val="21"/>
          <w:szCs w:val="21"/>
          <w:highlight w:val="none"/>
          <w:u w:val="single"/>
          <w:lang w:val="en-US" w:eastAsia="zh-CN"/>
        </w:rPr>
        <w:t>23</w:t>
      </w:r>
      <w:r>
        <w:rPr>
          <w:rFonts w:hint="eastAsia" w:ascii="宋体" w:hAnsi="宋体" w:eastAsia="宋体" w:cs="宋体"/>
          <w:b/>
          <w:bCs/>
          <w:color w:val="000000"/>
          <w:sz w:val="21"/>
          <w:szCs w:val="21"/>
          <w:highlight w:val="none"/>
          <w:u w:val="single"/>
          <w:lang w:val="en-US" w:eastAsia="zh-CN"/>
        </w:rPr>
        <w:t>楼，</w:t>
      </w:r>
      <w:r>
        <w:rPr>
          <w:rFonts w:hint="eastAsia" w:ascii="宋体" w:hAnsi="宋体" w:eastAsia="宋体" w:cs="宋体"/>
          <w:b/>
          <w:bCs/>
          <w:color w:val="000000"/>
          <w:sz w:val="21"/>
          <w:szCs w:val="21"/>
          <w:highlight w:val="none"/>
          <w:u w:val="single"/>
        </w:rPr>
        <w:t>联系人：</w:t>
      </w:r>
      <w:r>
        <w:rPr>
          <w:rFonts w:hint="eastAsia" w:hAnsi="宋体" w:cs="宋体"/>
          <w:b/>
          <w:bCs/>
          <w:color w:val="000000"/>
          <w:sz w:val="21"/>
          <w:szCs w:val="21"/>
          <w:highlight w:val="none"/>
          <w:u w:val="single"/>
          <w:lang w:val="en-US" w:eastAsia="zh-CN"/>
        </w:rPr>
        <w:t>胡锡凤</w:t>
      </w:r>
      <w:r>
        <w:rPr>
          <w:rFonts w:hint="eastAsia" w:ascii="宋体" w:hAnsi="宋体" w:eastAsia="宋体" w:cs="宋体"/>
          <w:b/>
          <w:bCs/>
          <w:color w:val="000000"/>
          <w:sz w:val="21"/>
          <w:szCs w:val="21"/>
          <w:highlight w:val="none"/>
          <w:u w:val="single"/>
        </w:rPr>
        <w:t>，联系电话：</w:t>
      </w:r>
      <w:r>
        <w:rPr>
          <w:rFonts w:hint="eastAsia" w:ascii="宋体" w:hAnsi="宋体" w:cs="宋体"/>
          <w:b/>
          <w:bCs/>
          <w:color w:val="000000"/>
          <w:sz w:val="21"/>
          <w:szCs w:val="21"/>
          <w:highlight w:val="none"/>
          <w:u w:val="single"/>
          <w:lang w:val="en-US" w:eastAsia="zh-CN"/>
        </w:rPr>
        <w:t>1</w:t>
      </w:r>
      <w:r>
        <w:rPr>
          <w:rFonts w:hint="eastAsia" w:hAnsi="宋体" w:cs="宋体"/>
          <w:b/>
          <w:bCs/>
          <w:color w:val="000000"/>
          <w:sz w:val="21"/>
          <w:szCs w:val="21"/>
          <w:highlight w:val="none"/>
          <w:u w:val="single"/>
          <w:lang w:val="en-US" w:eastAsia="zh-CN"/>
        </w:rPr>
        <w:t>3758922284</w:t>
      </w:r>
      <w:r>
        <w:rPr>
          <w:rFonts w:hint="eastAsia" w:ascii="宋体" w:hAnsi="宋体" w:eastAsia="宋体" w:cs="宋体"/>
          <w:b/>
          <w:bCs/>
          <w:color w:val="000000"/>
          <w:sz w:val="21"/>
          <w:szCs w:val="21"/>
          <w:highlight w:val="none"/>
          <w:u w:val="single"/>
          <w:lang w:val="en-US" w:eastAsia="zh-CN"/>
        </w:rPr>
        <w:t>）</w:t>
      </w:r>
      <w:r>
        <w:rPr>
          <w:rFonts w:hint="eastAsia" w:ascii="宋体" w:hAnsi="宋体" w:eastAsia="宋体" w:cs="宋体"/>
          <w:b/>
          <w:bCs/>
          <w:color w:val="000000"/>
          <w:kern w:val="2"/>
          <w:sz w:val="21"/>
          <w:szCs w:val="21"/>
          <w:highlight w:val="none"/>
          <w:lang w:val="en-US" w:eastAsia="zh-CN" w:bidi="ar-SA"/>
        </w:rPr>
        <w:t>，</w:t>
      </w:r>
      <w:r>
        <w:rPr>
          <w:rStyle w:val="25"/>
          <w:rFonts w:hint="eastAsia" w:ascii="宋体" w:hAnsi="宋体" w:eastAsia="宋体" w:cs="宋体"/>
          <w:b/>
          <w:bCs/>
          <w:color w:val="000000"/>
          <w:sz w:val="21"/>
          <w:szCs w:val="21"/>
          <w:highlight w:val="none"/>
        </w:rPr>
        <w:t>逾期送达（视为放弃投标）或未密封完好将被拒收</w:t>
      </w:r>
      <w:r>
        <w:rPr>
          <w:rFonts w:hint="eastAsia" w:ascii="宋体" w:hAnsi="宋体" w:eastAsia="宋体" w:cs="宋体"/>
          <w:b/>
          <w:bCs/>
          <w:color w:val="000000"/>
          <w:kern w:val="2"/>
          <w:sz w:val="21"/>
          <w:szCs w:val="21"/>
          <w:highlight w:val="none"/>
          <w:lang w:val="en-US" w:eastAsia="zh-CN" w:bidi="ar-SA"/>
        </w:rPr>
        <w:t>。备份文件不强制要求提交，未提供造成项目开评标活动无法进行下去的，投标无效，相关风险由投标人自行承担。</w:t>
      </w:r>
      <w:r>
        <w:rPr>
          <w:rFonts w:hint="eastAsia" w:ascii="宋体" w:hAnsi="宋体" w:cs="宋体"/>
          <w:bCs/>
          <w:color w:val="000000" w:themeColor="text1"/>
          <w:sz w:val="21"/>
          <w:szCs w:val="21"/>
          <w:highlight w:val="none"/>
          <w14:textFill>
            <w14:solidFill>
              <w14:schemeClr w14:val="tx1"/>
            </w14:solidFill>
          </w14:textFill>
        </w:rPr>
        <w:t>  </w:t>
      </w:r>
    </w:p>
    <w:p>
      <w:pPr>
        <w:pStyle w:val="37"/>
        <w:rPr>
          <w:highlight w:val="none"/>
        </w:rPr>
      </w:pPr>
      <w:r>
        <w:rPr>
          <w:rFonts w:hint="eastAsia" w:ascii="宋体" w:hAnsi="宋体" w:cs="宋体"/>
          <w:b/>
          <w:color w:val="000000"/>
          <w:sz w:val="21"/>
          <w:szCs w:val="21"/>
          <w:highlight w:val="none"/>
          <w:u w:val="none"/>
          <w:lang w:val="en-US" w:eastAsia="zh-CN"/>
        </w:rPr>
        <w:t>11.</w:t>
      </w:r>
      <w:r>
        <w:rPr>
          <w:rFonts w:hint="eastAsia" w:ascii="宋体" w:hAnsi="宋体" w:eastAsia="宋体" w:cs="宋体"/>
          <w:b/>
          <w:color w:val="000000"/>
          <w:sz w:val="21"/>
          <w:szCs w:val="21"/>
          <w:highlight w:val="none"/>
          <w:u w:val="none"/>
          <w:lang w:val="en-US" w:eastAsia="zh-CN"/>
        </w:rPr>
        <w:t>8</w:t>
      </w:r>
      <w:r>
        <w:rPr>
          <w:rFonts w:hint="eastAsia" w:ascii="宋体" w:hAnsi="宋体" w:eastAsia="宋体" w:cs="宋体"/>
          <w:b/>
          <w:color w:val="000000"/>
          <w:sz w:val="21"/>
          <w:szCs w:val="21"/>
          <w:highlight w:val="none"/>
          <w:u w:val="single"/>
        </w:rPr>
        <w:t>通过“政府采购云平台”上传递交的“电子加密投标文件”无法按时解密，</w:t>
      </w:r>
      <w:r>
        <w:rPr>
          <w:rFonts w:hint="eastAsia" w:ascii="宋体" w:hAnsi="宋体" w:eastAsia="宋体" w:cs="宋体"/>
          <w:b/>
          <w:color w:val="000000"/>
          <w:sz w:val="21"/>
          <w:szCs w:val="21"/>
          <w:highlight w:val="none"/>
          <w:u w:val="single"/>
          <w:lang w:eastAsia="zh-CN"/>
        </w:rPr>
        <w:t>投标人</w:t>
      </w:r>
      <w:r>
        <w:rPr>
          <w:rFonts w:hint="eastAsia" w:ascii="宋体" w:hAnsi="宋体" w:eastAsia="宋体" w:cs="宋体"/>
          <w:b/>
          <w:color w:val="000000"/>
          <w:sz w:val="21"/>
          <w:szCs w:val="21"/>
          <w:highlight w:val="none"/>
          <w:u w:val="single"/>
        </w:rPr>
        <w:t>递交了备份投标文件的，以备份投标文件为依据，否则视为投标文件撤回。通过“政府采购云平台”上传递交的“电子加密投标文件”已按时解密的，“备份投标文件”自动失效。</w:t>
      </w:r>
      <w:r>
        <w:rPr>
          <w:rFonts w:hint="eastAsia" w:ascii="宋体" w:hAnsi="宋体" w:eastAsia="宋体" w:cs="宋体"/>
          <w:b/>
          <w:color w:val="000000"/>
          <w:sz w:val="21"/>
          <w:szCs w:val="21"/>
          <w:highlight w:val="none"/>
          <w:u w:val="single"/>
          <w:lang w:eastAsia="zh-CN"/>
        </w:rPr>
        <w:t>投标人</w:t>
      </w:r>
      <w:r>
        <w:rPr>
          <w:rFonts w:hint="eastAsia" w:ascii="宋体" w:hAnsi="宋体" w:eastAsia="宋体" w:cs="宋体"/>
          <w:b/>
          <w:color w:val="000000"/>
          <w:sz w:val="21"/>
          <w:szCs w:val="21"/>
          <w:highlight w:val="none"/>
          <w:u w:val="single"/>
        </w:rPr>
        <w:t>仅递交备份投标文件的，投标无效。</w:t>
      </w:r>
    </w:p>
    <w:p>
      <w:pPr>
        <w:snapToGrid w:val="0"/>
        <w:spacing w:line="400" w:lineRule="exact"/>
        <w:rPr>
          <w:rFonts w:ascii="宋体" w:hAnsi="宋体" w:cs="宋体"/>
          <w:b/>
          <w:color w:val="000000" w:themeColor="text1"/>
          <w:sz w:val="21"/>
          <w:szCs w:val="22"/>
          <w:highlight w:val="none"/>
          <w14:textFill>
            <w14:solidFill>
              <w14:schemeClr w14:val="tx1"/>
            </w14:solidFill>
          </w14:textFill>
        </w:rPr>
      </w:pPr>
      <w:r>
        <w:rPr>
          <w:rFonts w:hint="eastAsia" w:ascii="宋体" w:hAnsi="宋体" w:cs="宋体"/>
          <w:b/>
          <w:color w:val="000000" w:themeColor="text1"/>
          <w:sz w:val="21"/>
          <w:szCs w:val="22"/>
          <w:highlight w:val="none"/>
          <w:lang w:val="en-US" w:eastAsia="zh-CN"/>
          <w14:textFill>
            <w14:solidFill>
              <w14:schemeClr w14:val="tx1"/>
            </w14:solidFill>
          </w14:textFill>
        </w:rPr>
        <w:t>八</w:t>
      </w:r>
      <w:r>
        <w:rPr>
          <w:rFonts w:hint="eastAsia" w:ascii="宋体" w:hAnsi="宋体" w:cs="宋体"/>
          <w:b/>
          <w:color w:val="000000" w:themeColor="text1"/>
          <w:sz w:val="21"/>
          <w:szCs w:val="22"/>
          <w:highlight w:val="none"/>
          <w14:textFill>
            <w14:solidFill>
              <w14:schemeClr w14:val="tx1"/>
            </w14:solidFill>
          </w14:textFill>
        </w:rPr>
        <w:t>、对本次采购提出询问、质疑、投诉，请按以下方式联系</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1.采购人信息</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名    称：</w:t>
      </w:r>
      <w:r>
        <w:rPr>
          <w:rFonts w:hint="eastAsia" w:ascii="宋体" w:hAnsi="宋体" w:cs="宋体"/>
          <w:bCs/>
          <w:color w:val="000000" w:themeColor="text1"/>
          <w:sz w:val="21"/>
          <w:szCs w:val="21"/>
          <w:highlight w:val="none"/>
          <w:lang w:val="en-US" w:eastAsia="zh-CN"/>
          <w14:textFill>
            <w14:solidFill>
              <w14:schemeClr w14:val="tx1"/>
            </w14:solidFill>
          </w14:textFill>
        </w:rPr>
        <w:t xml:space="preserve">浙江省兰溪经济开发区管理委员会 </w:t>
      </w:r>
      <w:r>
        <w:rPr>
          <w:rFonts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地    址：</w:t>
      </w:r>
      <w:r>
        <w:rPr>
          <w:rFonts w:hint="eastAsia" w:ascii="宋体" w:hAnsi="宋体" w:cs="宋体"/>
          <w:color w:val="000000" w:themeColor="text1"/>
          <w:kern w:val="0"/>
          <w:sz w:val="21"/>
          <w:szCs w:val="21"/>
          <w:highlight w:val="none"/>
          <w14:textFill>
            <w14:solidFill>
              <w14:schemeClr w14:val="tx1"/>
            </w14:solidFill>
          </w14:textFill>
        </w:rPr>
        <w:t>兰溪市振兴路</w:t>
      </w:r>
      <w:r>
        <w:rPr>
          <w:rFonts w:hint="eastAsia" w:ascii="宋体" w:hAnsi="宋体" w:cs="宋体"/>
          <w:color w:val="000000" w:themeColor="text1"/>
          <w:kern w:val="0"/>
          <w:sz w:val="21"/>
          <w:szCs w:val="21"/>
          <w:highlight w:val="none"/>
          <w:lang w:val="en-US" w:eastAsia="zh-CN"/>
          <w14:textFill>
            <w14:solidFill>
              <w14:schemeClr w14:val="tx1"/>
            </w14:solidFill>
          </w14:textFill>
        </w:rPr>
        <w:t>500</w:t>
      </w:r>
      <w:r>
        <w:rPr>
          <w:rFonts w:hint="eastAsia" w:ascii="宋体" w:hAnsi="宋体" w:cs="宋体"/>
          <w:color w:val="000000" w:themeColor="text1"/>
          <w:kern w:val="0"/>
          <w:sz w:val="21"/>
          <w:szCs w:val="21"/>
          <w:highlight w:val="none"/>
          <w14:textFill>
            <w14:solidFill>
              <w14:schemeClr w14:val="tx1"/>
            </w14:solidFill>
          </w14:textFill>
        </w:rPr>
        <w:t>号</w:t>
      </w:r>
      <w:r>
        <w:rPr>
          <w:rFonts w:hint="eastAsia" w:ascii="宋体" w:hAnsi="宋体" w:cs="宋体"/>
          <w:color w:val="000000" w:themeColor="text1"/>
          <w:kern w:val="0"/>
          <w:sz w:val="21"/>
          <w:szCs w:val="21"/>
          <w:highlight w:val="none"/>
          <w:lang w:eastAsia="zh-CN"/>
          <w14:textFill>
            <w14:solidFill>
              <w14:schemeClr w14:val="tx1"/>
            </w14:solidFill>
          </w14:textFill>
        </w:rPr>
        <w:t>企业服务中心</w:t>
      </w:r>
      <w:r>
        <w:rPr>
          <w:rFonts w:hint="eastAsia" w:ascii="宋体" w:hAnsi="宋体" w:cs="宋体"/>
          <w:color w:val="000000" w:themeColor="text1"/>
          <w:kern w:val="0"/>
          <w:sz w:val="21"/>
          <w:szCs w:val="21"/>
          <w:highlight w:val="none"/>
          <w14:textFill>
            <w14:solidFill>
              <w14:schemeClr w14:val="tx1"/>
            </w14:solidFill>
          </w14:textFill>
        </w:rPr>
        <w:t>大楼主楼</w:t>
      </w:r>
      <w:r>
        <w:rPr>
          <w:rFonts w:hint="eastAsia" w:ascii="宋体" w:hAnsi="宋体" w:cs="宋体"/>
          <w:color w:val="000000" w:themeColor="text1"/>
          <w:kern w:val="0"/>
          <w:sz w:val="21"/>
          <w:szCs w:val="21"/>
          <w:highlight w:val="none"/>
          <w:lang w:val="en-US" w:eastAsia="zh-CN"/>
          <w14:textFill>
            <w14:solidFill>
              <w14:schemeClr w14:val="tx1"/>
            </w14:solidFill>
          </w14:textFill>
        </w:rPr>
        <w:t>20</w:t>
      </w:r>
      <w:r>
        <w:rPr>
          <w:rFonts w:hint="eastAsia" w:ascii="宋体" w:hAnsi="宋体" w:cs="宋体"/>
          <w:color w:val="000000" w:themeColor="text1"/>
          <w:kern w:val="0"/>
          <w:sz w:val="21"/>
          <w:szCs w:val="21"/>
          <w:highlight w:val="none"/>
          <w14:textFill>
            <w14:solidFill>
              <w14:schemeClr w14:val="tx1"/>
            </w14:solidFill>
          </w14:textFill>
        </w:rPr>
        <w:t>楼</w:t>
      </w:r>
      <w:r>
        <w:rPr>
          <w:rFonts w:hint="eastAsia" w:ascii="宋体" w:hAnsi="宋体" w:cs="宋体"/>
          <w:bCs/>
          <w:color w:val="000000" w:themeColor="text1"/>
          <w:sz w:val="21"/>
          <w:szCs w:val="21"/>
          <w:highlight w:val="none"/>
          <w14:textFill>
            <w14:solidFill>
              <w14:schemeClr w14:val="tx1"/>
            </w14:solidFill>
          </w14:textFill>
        </w:rPr>
        <w:t xml:space="preserve"> </w:t>
      </w:r>
      <w:r>
        <w:rPr>
          <w:rFonts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项目联系人（询问）：</w:t>
      </w:r>
      <w:r>
        <w:rPr>
          <w:rFonts w:hint="eastAsia" w:ascii="宋体" w:hAnsi="宋体" w:cs="宋体"/>
          <w:bCs/>
          <w:color w:val="000000" w:themeColor="text1"/>
          <w:sz w:val="21"/>
          <w:szCs w:val="21"/>
          <w:highlight w:val="none"/>
          <w:lang w:val="en-US" w:eastAsia="zh-CN"/>
          <w14:textFill>
            <w14:solidFill>
              <w14:schemeClr w14:val="tx1"/>
            </w14:solidFill>
          </w14:textFill>
        </w:rPr>
        <w:t>吴炜</w:t>
      </w:r>
      <w:r>
        <w:rPr>
          <w:rFonts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hint="eastAsia" w:ascii="宋体" w:hAnsi="宋体" w:cs="宋体"/>
          <w:bCs/>
          <w:color w:val="000000" w:themeColor="text1"/>
          <w:sz w:val="21"/>
          <w:szCs w:val="21"/>
          <w:highlight w:val="none"/>
          <w:lang w:val="en-US" w:eastAsia="zh-CN"/>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项目联系方式（询问）：</w:t>
      </w:r>
      <w:r>
        <w:rPr>
          <w:rFonts w:hint="eastAsia" w:ascii="宋体" w:hAnsi="宋体" w:cs="宋体"/>
          <w:bCs/>
          <w:color w:val="000000" w:themeColor="text1"/>
          <w:sz w:val="21"/>
          <w:szCs w:val="21"/>
          <w:highlight w:val="none"/>
          <w:lang w:val="en-US" w:eastAsia="zh-CN"/>
          <w14:textFill>
            <w14:solidFill>
              <w14:schemeClr w14:val="tx1"/>
            </w14:solidFill>
          </w14:textFill>
        </w:rPr>
        <w:t>13858981920</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质疑联系人：</w:t>
      </w:r>
      <w:r>
        <w:rPr>
          <w:rFonts w:hint="eastAsia" w:ascii="宋体" w:hAnsi="宋体" w:cs="宋体"/>
          <w:bCs/>
          <w:color w:val="000000" w:themeColor="text1"/>
          <w:sz w:val="21"/>
          <w:szCs w:val="21"/>
          <w:highlight w:val="none"/>
          <w:lang w:val="en-US" w:eastAsia="zh-CN"/>
          <w14:textFill>
            <w14:solidFill>
              <w14:schemeClr w14:val="tx1"/>
            </w14:solidFill>
          </w14:textFill>
        </w:rPr>
        <w:t>钱莹</w:t>
      </w:r>
      <w:r>
        <w:rPr>
          <w:rFonts w:hint="eastAsia" w:ascii="宋体" w:hAnsi="宋体"/>
          <w:color w:val="000000" w:themeColor="text1"/>
          <w:sz w:val="21"/>
          <w:highlight w:val="none"/>
          <w:lang w:val="en-US" w:eastAsia="zh-CN"/>
          <w14:textFill>
            <w14:solidFill>
              <w14:schemeClr w14:val="tx1"/>
            </w14:solidFill>
          </w14:textFill>
        </w:rPr>
        <w:t xml:space="preserve"> </w:t>
      </w:r>
      <w:r>
        <w:rPr>
          <w:rFonts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hint="eastAsia" w:ascii="宋体" w:hAnsi="宋体" w:cs="宋体"/>
          <w:bCs/>
          <w:color w:val="000000" w:themeColor="text1"/>
          <w:sz w:val="21"/>
          <w:szCs w:val="21"/>
          <w:highlight w:val="none"/>
          <w:lang w:val="en-US" w:eastAsia="zh-CN"/>
          <w14:textFill>
            <w14:solidFill>
              <w14:schemeClr w14:val="tx1"/>
            </w14:solidFill>
          </w14:textFill>
        </w:rPr>
      </w:pPr>
      <w:r>
        <w:rPr>
          <w:rFonts w:ascii="宋体" w:hAnsi="宋体" w:cs="宋体"/>
          <w:bCs/>
          <w:color w:val="000000" w:themeColor="text1"/>
          <w:sz w:val="21"/>
          <w:szCs w:val="21"/>
          <w:highlight w:val="none"/>
          <w14:textFill>
            <w14:solidFill>
              <w14:schemeClr w14:val="tx1"/>
            </w14:solidFill>
          </w14:textFill>
        </w:rPr>
        <w:t>质疑联系方式：</w:t>
      </w:r>
      <w:r>
        <w:rPr>
          <w:rFonts w:hint="eastAsia" w:ascii="宋体" w:hAnsi="宋体" w:cs="宋体"/>
          <w:bCs/>
          <w:color w:val="000000" w:themeColor="text1"/>
          <w:sz w:val="21"/>
          <w:szCs w:val="21"/>
          <w:highlight w:val="none"/>
          <w:lang w:val="en-US" w:eastAsia="zh-CN"/>
          <w14:textFill>
            <w14:solidFill>
              <w14:schemeClr w14:val="tx1"/>
            </w14:solidFill>
          </w14:textFill>
        </w:rPr>
        <w:t>13858982654</w:t>
      </w:r>
    </w:p>
    <w:p>
      <w:pPr>
        <w:tabs>
          <w:tab w:val="left" w:pos="2835"/>
        </w:tabs>
        <w:snapToGrid w:val="0"/>
        <w:ind w:left="420" w:leftChars="150" w:firstLine="0" w:firstLineChars="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  </w:t>
      </w:r>
      <w:r>
        <w:rPr>
          <w:rFonts w:hint="eastAsia" w:ascii="宋体" w:hAnsi="宋体" w:cs="宋体"/>
          <w:bCs/>
          <w:color w:val="000000" w:themeColor="text1"/>
          <w:sz w:val="21"/>
          <w:szCs w:val="21"/>
          <w:highlight w:val="none"/>
          <w:lang w:val="en-US" w:eastAsia="zh-CN"/>
          <w14:textFill>
            <w14:solidFill>
              <w14:schemeClr w14:val="tx1"/>
            </w14:solidFill>
          </w14:textFill>
        </w:rPr>
        <w:br w:type="textWrapping"/>
      </w:r>
      <w:r>
        <w:rPr>
          <w:rFonts w:hint="eastAsia" w:ascii="宋体" w:hAnsi="宋体" w:cs="宋体"/>
          <w:bCs/>
          <w:color w:val="000000" w:themeColor="text1"/>
          <w:sz w:val="21"/>
          <w:szCs w:val="21"/>
          <w:highlight w:val="none"/>
          <w14:textFill>
            <w14:solidFill>
              <w14:schemeClr w14:val="tx1"/>
            </w14:solidFill>
          </w14:textFill>
        </w:rPr>
        <w:t>2.采购代理机构信息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名    称：浙江展图工程咨询有限公司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地    址：</w:t>
      </w:r>
      <w:r>
        <w:rPr>
          <w:rFonts w:hint="eastAsia" w:ascii="宋体" w:hAnsi="宋体" w:cs="宋体"/>
          <w:color w:val="000000" w:themeColor="text1"/>
          <w:kern w:val="0"/>
          <w:sz w:val="21"/>
          <w:szCs w:val="21"/>
          <w:highlight w:val="none"/>
          <w14:textFill>
            <w14:solidFill>
              <w14:schemeClr w14:val="tx1"/>
            </w14:solidFill>
          </w14:textFill>
        </w:rPr>
        <w:t>兰溪市振兴路508号总部大楼主楼23楼</w:t>
      </w:r>
      <w:r>
        <w:rPr>
          <w:rFonts w:hint="eastAsia"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项目联系人（询问）：</w:t>
      </w:r>
      <w:r>
        <w:rPr>
          <w:rFonts w:hint="eastAsia" w:ascii="宋体" w:hAnsi="宋体"/>
          <w:color w:val="000000" w:themeColor="text1"/>
          <w:sz w:val="21"/>
          <w:highlight w:val="none"/>
          <w14:textFill>
            <w14:solidFill>
              <w14:schemeClr w14:val="tx1"/>
            </w14:solidFill>
          </w14:textFill>
        </w:rPr>
        <w:t>胡锡凤</w:t>
      </w:r>
      <w:r>
        <w:rPr>
          <w:rFonts w:hint="eastAsia"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项目联系方式（询问）：</w:t>
      </w:r>
      <w:r>
        <w:rPr>
          <w:rFonts w:hint="eastAsia" w:ascii="宋体" w:hAnsi="宋体"/>
          <w:color w:val="000000" w:themeColor="text1"/>
          <w:sz w:val="21"/>
          <w:highlight w:val="none"/>
          <w:lang w:val="en-US" w:eastAsia="zh-CN"/>
          <w14:textFill>
            <w14:solidFill>
              <w14:schemeClr w14:val="tx1"/>
            </w14:solidFill>
          </w14:textFill>
        </w:rPr>
        <w:t>13758922284</w:t>
      </w:r>
      <w:r>
        <w:rPr>
          <w:rFonts w:hint="eastAsia"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质疑联系人：</w:t>
      </w:r>
      <w:r>
        <w:rPr>
          <w:rFonts w:hint="eastAsia" w:ascii="宋体" w:hAnsi="宋体"/>
          <w:color w:val="000000" w:themeColor="text1"/>
          <w:sz w:val="21"/>
          <w:highlight w:val="none"/>
          <w:lang w:val="en-US" w:eastAsia="zh-CN"/>
          <w14:textFill>
            <w14:solidFill>
              <w14:schemeClr w14:val="tx1"/>
            </w14:solidFill>
          </w14:textFill>
        </w:rPr>
        <w:t>龙晓云</w:t>
      </w:r>
      <w:r>
        <w:rPr>
          <w:rFonts w:hint="eastAsia"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质疑联系方式：18605790722 　　</w:t>
      </w:r>
    </w:p>
    <w:p>
      <w:pPr>
        <w:tabs>
          <w:tab w:val="left" w:pos="2835"/>
        </w:tabs>
        <w:snapToGrid w:val="0"/>
        <w:ind w:firstLine="420" w:firstLineChars="200"/>
        <w:rPr>
          <w:rFonts w:hint="eastAsia"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3.同级政府采购监督管理部门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名    称：兰溪市政府采购管理办公室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地    址：兰溪市丹溪大道 28 号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联</w:t>
      </w:r>
      <w:r>
        <w:rPr>
          <w:rFonts w:hint="eastAsia" w:ascii="宋体" w:hAnsi="宋体" w:cs="宋体"/>
          <w:bCs/>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bCs/>
          <w:color w:val="000000" w:themeColor="text1"/>
          <w:sz w:val="21"/>
          <w:szCs w:val="21"/>
          <w:highlight w:val="none"/>
          <w14:textFill>
            <w14:solidFill>
              <w14:schemeClr w14:val="tx1"/>
            </w14:solidFill>
          </w14:textFill>
        </w:rPr>
        <w:t>系</w:t>
      </w:r>
      <w:r>
        <w:rPr>
          <w:rFonts w:hint="eastAsia" w:ascii="宋体" w:hAnsi="宋体" w:cs="宋体"/>
          <w:bCs/>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bCs/>
          <w:color w:val="000000" w:themeColor="text1"/>
          <w:sz w:val="21"/>
          <w:szCs w:val="21"/>
          <w:highlight w:val="none"/>
          <w14:textFill>
            <w14:solidFill>
              <w14:schemeClr w14:val="tx1"/>
            </w14:solidFill>
          </w14:textFill>
        </w:rPr>
        <w:t>人 ：楼影             </w:t>
      </w:r>
    </w:p>
    <w:p>
      <w:pPr>
        <w:tabs>
          <w:tab w:val="left" w:pos="2835"/>
        </w:tabs>
        <w:snapToGrid w:val="0"/>
        <w:ind w:firstLine="420" w:firstLineChars="200"/>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bCs/>
          <w:color w:val="000000" w:themeColor="text1"/>
          <w:sz w:val="21"/>
          <w:szCs w:val="21"/>
          <w:highlight w:val="none"/>
          <w14:textFill>
            <w14:solidFill>
              <w14:schemeClr w14:val="tx1"/>
            </w14:solidFill>
          </w14:textFill>
        </w:rPr>
        <w:t>监督投诉电话：0579-88903775           </w:t>
      </w:r>
      <w:r>
        <w:rPr>
          <w:rFonts w:hint="eastAsia" w:ascii="宋体" w:hAnsi="宋体" w:cs="宋体"/>
          <w:bCs/>
          <w:color w:val="000000" w:themeColor="text1"/>
          <w:sz w:val="21"/>
          <w:szCs w:val="21"/>
          <w:highlight w:val="none"/>
          <w14:textFill>
            <w14:solidFill>
              <w14:schemeClr w14:val="tx1"/>
            </w14:solidFill>
          </w14:textFill>
        </w:rPr>
        <w:br w:type="textWrapping"/>
      </w:r>
      <w:r>
        <w:rPr>
          <w:rFonts w:hint="eastAsia" w:ascii="宋体" w:hAnsi="宋体" w:cs="宋体"/>
          <w:bCs/>
          <w:color w:val="000000" w:themeColor="text1"/>
          <w:sz w:val="21"/>
          <w:szCs w:val="21"/>
          <w:highlight w:val="none"/>
          <w14:textFill>
            <w14:solidFill>
              <w14:schemeClr w14:val="tx1"/>
            </w14:solidFill>
          </w14:textFill>
        </w:rPr>
        <w:t>       </w:t>
      </w:r>
    </w:p>
    <w:p>
      <w:pPr>
        <w:pStyle w:val="29"/>
        <w:widowControl w:val="0"/>
        <w:spacing w:afterLines="0"/>
        <w:ind w:firstLine="420"/>
        <w:jc w:val="left"/>
        <w:rPr>
          <w:rFonts w:ascii="宋体" w:hAnsi="宋体" w:cs="宋体"/>
          <w:color w:val="000000" w:themeColor="text1"/>
          <w:sz w:val="21"/>
          <w:szCs w:val="22"/>
          <w:highlight w:val="none"/>
          <w14:textFill>
            <w14:solidFill>
              <w14:schemeClr w14:val="tx1"/>
            </w14:solidFill>
          </w14:textFill>
        </w:rPr>
      </w:pPr>
      <w:r>
        <w:rPr>
          <w:rFonts w:hint="eastAsia" w:ascii="宋体" w:hAnsi="宋体" w:cs="宋体"/>
          <w:color w:val="000000" w:themeColor="text1"/>
          <w:sz w:val="21"/>
          <w:szCs w:val="22"/>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       </w:t>
      </w:r>
    </w:p>
    <w:p>
      <w:pPr>
        <w:pStyle w:val="29"/>
        <w:widowControl w:val="0"/>
        <w:spacing w:afterLines="0"/>
        <w:ind w:firstLine="420"/>
        <w:jc w:val="left"/>
        <w:rPr>
          <w:rFonts w:hint="eastAsia" w:ascii="宋体" w:hAnsi="宋体" w:cs="宋体"/>
          <w:color w:val="000000" w:themeColor="text1"/>
          <w:sz w:val="21"/>
          <w:szCs w:val="22"/>
          <w:highlight w:val="none"/>
          <w14:textFill>
            <w14:solidFill>
              <w14:schemeClr w14:val="tx1"/>
            </w14:solidFill>
          </w14:textFill>
        </w:rPr>
      </w:pPr>
      <w:r>
        <w:rPr>
          <w:rFonts w:hint="eastAsia" w:ascii="宋体" w:hAnsi="宋体" w:cs="宋体"/>
          <w:color w:val="000000" w:themeColor="text1"/>
          <w:sz w:val="21"/>
          <w:szCs w:val="22"/>
          <w:highlight w:val="none"/>
          <w14:textFill>
            <w14:solidFill>
              <w14:schemeClr w14:val="tx1"/>
            </w14:solidFill>
          </w14:textFill>
        </w:rPr>
        <w:t>CA问题联系电话（人工）：汇信CA 400-888-4636；天谷CA 400-087-8198。</w:t>
      </w:r>
    </w:p>
    <w:p>
      <w:pPr>
        <w:rPr>
          <w:rFonts w:hint="eastAsia" w:ascii="宋体" w:hAnsi="宋体" w:cs="宋体"/>
          <w:color w:val="000000" w:themeColor="text1"/>
          <w:sz w:val="21"/>
          <w:szCs w:val="22"/>
          <w:highlight w:val="none"/>
          <w14:textFill>
            <w14:solidFill>
              <w14:schemeClr w14:val="tx1"/>
            </w14:solidFill>
          </w14:textFill>
        </w:rPr>
      </w:pPr>
      <w:r>
        <w:rPr>
          <w:rFonts w:hint="eastAsia" w:ascii="宋体" w:hAnsi="宋体" w:cs="宋体"/>
          <w:color w:val="000000" w:themeColor="text1"/>
          <w:sz w:val="21"/>
          <w:szCs w:val="22"/>
          <w:highlight w:val="none"/>
          <w14:textFill>
            <w14:solidFill>
              <w14:schemeClr w14:val="tx1"/>
            </w14:solidFill>
          </w14:textFill>
        </w:rPr>
        <w:br w:type="page"/>
      </w:r>
    </w:p>
    <w:bookmarkEnd w:id="1"/>
    <w:p>
      <w:pPr>
        <w:numPr>
          <w:ilvl w:val="0"/>
          <w:numId w:val="2"/>
        </w:numPr>
        <w:snapToGrid w:val="0"/>
        <w:spacing w:line="440" w:lineRule="exact"/>
        <w:jc w:val="center"/>
        <w:outlineLvl w:val="1"/>
        <w:rPr>
          <w:rFonts w:hint="eastAsia"/>
          <w:b/>
          <w:color w:val="auto"/>
          <w:sz w:val="32"/>
          <w:szCs w:val="32"/>
          <w:highlight w:val="none"/>
        </w:rPr>
      </w:pPr>
      <w:r>
        <w:rPr>
          <w:rFonts w:hint="eastAsia"/>
          <w:color w:val="auto"/>
          <w:sz w:val="32"/>
          <w:szCs w:val="32"/>
          <w:highlight w:val="none"/>
        </w:rPr>
        <w:t xml:space="preserve"> </w:t>
      </w:r>
      <w:r>
        <w:rPr>
          <w:rFonts w:hint="eastAsia"/>
          <w:b/>
          <w:color w:val="auto"/>
          <w:sz w:val="32"/>
          <w:szCs w:val="32"/>
          <w:highlight w:val="none"/>
        </w:rPr>
        <w:t>前附表</w:t>
      </w:r>
    </w:p>
    <w:tbl>
      <w:tblPr>
        <w:tblStyle w:val="22"/>
        <w:tblW w:w="9079"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9"/>
        <w:gridCol w:w="82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397"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序号</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65"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ind w:left="1050" w:hanging="1050" w:hangingChars="500"/>
              <w:rPr>
                <w:rFonts w:hint="eastAsia" w:ascii="宋体" w:hAnsi="宋体" w:cs="宋体"/>
                <w:color w:val="auto"/>
                <w:sz w:val="21"/>
                <w:szCs w:val="21"/>
                <w:highlight w:val="none"/>
              </w:rPr>
            </w:pPr>
            <w:r>
              <w:rPr>
                <w:rFonts w:hint="eastAsia" w:ascii="宋体" w:hAnsi="宋体" w:cs="宋体"/>
                <w:color w:val="auto"/>
                <w:sz w:val="21"/>
                <w:szCs w:val="21"/>
                <w:highlight w:val="none"/>
              </w:rPr>
              <w:t>项目名称：</w:t>
            </w:r>
            <w:r>
              <w:rPr>
                <w:rFonts w:hint="eastAsia" w:ascii="宋体" w:hAnsi="宋体" w:cs="宋体"/>
                <w:color w:val="auto"/>
                <w:sz w:val="21"/>
                <w:szCs w:val="20"/>
                <w:highlight w:val="none"/>
                <w:lang w:val="en-US" w:eastAsia="zh-CN"/>
              </w:rPr>
              <w:t>兰溪经济开发区化工园区一体化智慧管控系统采购项目</w:t>
            </w:r>
            <w:r>
              <w:rPr>
                <w:rFonts w:hint="eastAsia" w:ascii="宋体" w:hAnsi="宋体" w:cs="宋体"/>
                <w:color w:val="auto"/>
                <w:sz w:val="21"/>
                <w:szCs w:val="20"/>
                <w:highlight w:val="none"/>
                <w:lang w:eastAsia="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采购数量及单位：详见第三章《采购需求》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027"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b/>
                <w:color w:val="auto"/>
                <w:sz w:val="21"/>
                <w:szCs w:val="21"/>
                <w:highlight w:val="none"/>
              </w:rPr>
            </w:pPr>
            <w:r>
              <w:rPr>
                <w:rFonts w:hint="eastAsia" w:ascii="宋体" w:hAnsi="宋体" w:cs="宋体"/>
                <w:bCs/>
                <w:color w:val="auto"/>
                <w:sz w:val="21"/>
                <w:szCs w:val="21"/>
                <w:highlight w:val="none"/>
              </w:rPr>
              <w:t>投标报价及费用：1、本项目投标以人民币报价；2、</w:t>
            </w:r>
            <w:r>
              <w:rPr>
                <w:rFonts w:hint="eastAsia" w:ascii="宋体" w:hAnsi="宋体" w:cs="宋体"/>
                <w:color w:val="auto"/>
                <w:sz w:val="21"/>
                <w:szCs w:val="21"/>
                <w:highlight w:val="none"/>
              </w:rPr>
              <w:t>本项目招标代理服务费</w:t>
            </w:r>
            <w:r>
              <w:rPr>
                <w:rFonts w:hint="eastAsia" w:ascii="宋体" w:hAnsi="宋体" w:cs="宋体"/>
                <w:b/>
                <w:bCs/>
                <w:color w:val="auto"/>
                <w:sz w:val="21"/>
                <w:szCs w:val="21"/>
                <w:highlight w:val="none"/>
                <w:u w:val="single"/>
              </w:rPr>
              <w:t>参照计价格[2002]1980号及发改办价格[2003]857号文件规定的计算标准计取，以中标价为取费基数</w:t>
            </w:r>
            <w:r>
              <w:rPr>
                <w:rFonts w:hint="eastAsia" w:ascii="宋体" w:hAnsi="宋体" w:cs="宋体"/>
                <w:b/>
                <w:bCs/>
                <w:color w:val="auto"/>
                <w:sz w:val="21"/>
                <w:szCs w:val="21"/>
                <w:highlight w:val="none"/>
                <w:u w:val="none"/>
              </w:rPr>
              <w:t>，</w:t>
            </w:r>
            <w:r>
              <w:rPr>
                <w:rFonts w:hint="eastAsia" w:ascii="宋体" w:hAnsi="宋体" w:cs="宋体"/>
                <w:b/>
                <w:bCs/>
                <w:color w:val="auto"/>
                <w:sz w:val="21"/>
                <w:szCs w:val="21"/>
                <w:highlight w:val="none"/>
              </w:rPr>
              <w:t>由中标人支付</w:t>
            </w:r>
            <w:r>
              <w:rPr>
                <w:rFonts w:hint="eastAsia" w:ascii="宋体" w:hAnsi="宋体" w:cs="宋体"/>
                <w:bCs/>
                <w:color w:val="auto"/>
                <w:sz w:val="21"/>
                <w:szCs w:val="21"/>
                <w:highlight w:val="none"/>
              </w:rPr>
              <w:t>；3、不论投标结果如何，投标人均应自行承担所有与投标有关的全部费用。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1"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4</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现场踏勘：自行踏勘</w:t>
            </w:r>
            <w:r>
              <w:rPr>
                <w:rFonts w:hint="eastAsia" w:ascii="宋体" w:hAnsi="宋体" w:cs="宋体"/>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widowControl/>
              <w:ind w:right="171" w:rightChars="61"/>
              <w:textAlignment w:val="center"/>
              <w:rPr>
                <w:rFonts w:hint="eastAsia" w:ascii="宋体" w:hAnsi="宋体" w:eastAsia="宋体" w:cs="宋体"/>
                <w:color w:val="auto"/>
                <w:kern w:val="0"/>
                <w:sz w:val="21"/>
                <w:szCs w:val="21"/>
                <w:highlight w:val="none"/>
                <w:lang w:bidi="ar"/>
              </w:rPr>
            </w:pPr>
            <w:r>
              <w:rPr>
                <w:rFonts w:hint="eastAsia" w:ascii="宋体" w:hAnsi="宋体" w:cs="宋体"/>
                <w:color w:val="auto"/>
                <w:sz w:val="21"/>
                <w:szCs w:val="21"/>
                <w:highlight w:val="none"/>
              </w:rPr>
              <w:t>演示时间及地点：</w:t>
            </w:r>
            <w:r>
              <w:rPr>
                <w:rFonts w:hint="eastAsia" w:ascii="宋体" w:hAnsi="宋体" w:eastAsia="宋体" w:cs="宋体"/>
                <w:color w:val="auto"/>
                <w:kern w:val="0"/>
                <w:sz w:val="21"/>
                <w:szCs w:val="21"/>
                <w:highlight w:val="none"/>
                <w:lang w:bidi="ar"/>
              </w:rPr>
              <w:t>投标供应商应结合本项目典型业务场景进行</w:t>
            </w:r>
            <w:r>
              <w:rPr>
                <w:rFonts w:hint="eastAsia" w:ascii="宋体" w:hAnsi="宋体" w:cs="宋体"/>
                <w:color w:val="auto"/>
                <w:kern w:val="0"/>
                <w:sz w:val="21"/>
                <w:szCs w:val="21"/>
                <w:highlight w:val="none"/>
                <w:lang w:val="en-US" w:eastAsia="zh-CN" w:bidi="ar"/>
              </w:rPr>
              <w:t>线上（钉钉）</w:t>
            </w:r>
            <w:r>
              <w:rPr>
                <w:rFonts w:hint="eastAsia" w:ascii="宋体" w:hAnsi="宋体" w:eastAsia="宋体" w:cs="宋体"/>
                <w:color w:val="auto"/>
                <w:kern w:val="0"/>
                <w:sz w:val="21"/>
                <w:szCs w:val="21"/>
                <w:highlight w:val="none"/>
                <w:lang w:bidi="ar"/>
              </w:rPr>
              <w:t>系统演示。</w:t>
            </w:r>
          </w:p>
          <w:p>
            <w:pPr>
              <w:snapToGrid w:val="0"/>
              <w:spacing w:line="30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bidi="ar"/>
              </w:rPr>
              <w:t>演示时间控制在</w:t>
            </w:r>
            <w:r>
              <w:rPr>
                <w:rFonts w:hint="eastAsia" w:ascii="宋体" w:hAnsi="宋体" w:eastAsia="宋体" w:cs="宋体"/>
                <w:color w:val="auto"/>
                <w:kern w:val="0"/>
                <w:sz w:val="21"/>
                <w:szCs w:val="21"/>
                <w:highlight w:val="none"/>
                <w:lang w:val="en-US" w:eastAsia="zh-CN" w:bidi="ar"/>
              </w:rPr>
              <w:t>20</w:t>
            </w:r>
            <w:r>
              <w:rPr>
                <w:rFonts w:hint="eastAsia" w:ascii="宋体" w:hAnsi="宋体" w:eastAsia="宋体" w:cs="宋体"/>
                <w:color w:val="auto"/>
                <w:kern w:val="0"/>
                <w:sz w:val="21"/>
                <w:szCs w:val="21"/>
                <w:highlight w:val="none"/>
                <w:lang w:bidi="ar"/>
              </w:rPr>
              <w:t>分钟之内。</w:t>
            </w:r>
            <w:r>
              <w:rPr>
                <w:rFonts w:hint="eastAsia" w:ascii="宋体" w:hAnsi="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6</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投标人如认为采购文件表述不清晰、存在歧视性或者其它违法内容的，应当于采购公告“质疑及投诉”款规定的时间前，以书面形式一次性提出，要求采购人和招标组织单位作出书面解释、澄清。招标组织单位将于规定时间前将答疑内容以网上发布公告的形式通知所有已报名的供应商；答疑内容是谈判采购文件的组成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jc w:val="center"/>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7</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投标文件的组成：资格证明文件；技术商务标；价格标</w:t>
            </w:r>
          </w:p>
          <w:p>
            <w:pPr>
              <w:snapToGrid w:val="0"/>
              <w:spacing w:line="300" w:lineRule="exact"/>
              <w:rPr>
                <w:rFonts w:hint="eastAsia" w:ascii="宋体" w:hAnsi="宋体" w:cs="宋体"/>
                <w:color w:val="auto"/>
                <w:highlight w:val="none"/>
              </w:rPr>
            </w:pPr>
            <w:r>
              <w:rPr>
                <w:rFonts w:hint="eastAsia" w:ascii="宋体" w:hAnsi="宋体" w:cs="宋体"/>
                <w:color w:val="auto"/>
                <w:sz w:val="21"/>
                <w:szCs w:val="21"/>
                <w:highlight w:val="none"/>
              </w:rPr>
              <w:t>注：递交电子版备份响应文件介质可以是U盘或DVD光盘（包括资格审查文件、资信及商务文件和报价文件）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8</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响应文件的上传和递交：</w:t>
            </w:r>
          </w:p>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1、“电子加密响应文件”的上传、递交：</w:t>
            </w:r>
          </w:p>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（1）投标供应商应在投标截止时间前将“电子加密响应文件”成功上传递交至“政府采购云平台”，否则投标无效。</w:t>
            </w:r>
          </w:p>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（2）“电子加密响应文件”成功上传递交后，供应商可自行打印响应文件接收回执。</w:t>
            </w:r>
          </w:p>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2、“备份响应文件”的密封包装、递交：</w:t>
            </w:r>
          </w:p>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（1）投标供应商在“政府采购云平台”完成“电子加密响应文件”的上传递交后，还可以（邮寄形式）在投标截止时间前递交以介质是U盘或DVD光盘存储的 “备份响应文件”（一份）；</w:t>
            </w:r>
          </w:p>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（2）“备份响应文件”应当密封包装，并在包装上标注投标项目名称、投标单位名称并加盖公章。没有密封包装或者逾期邮寄送达至投标地点的“备份响应文件”将不予接收；</w:t>
            </w:r>
          </w:p>
          <w:p>
            <w:pPr>
              <w:widowControl/>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3）通过“政府采购云平台”成功上传递交的“电子加密响应文件”已按时解密的，“备份响应文件”自动失效。投标截止时间前，投标供应商仅递交了“备份响应文件”而未将“电子加密响应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9</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电子加密响应文件的解密和异常情况处理：</w:t>
            </w:r>
          </w:p>
          <w:p>
            <w:pPr>
              <w:spacing w:line="40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（1）开标后，采购组织机构将向各投标供应商发出“电子加密响应文件”的解密通知，各投标供应商代表应当在接到解密通知后30分钟内自行完成“电子加密响应文件”的在线解密。</w:t>
            </w:r>
          </w:p>
          <w:p>
            <w:pPr>
              <w:spacing w:line="40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通过“政府采购云平台”成功上传递交的“电子加密响应文件”无法按时解密，投标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pPr>
              <w:widowControl/>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（3）投标截止时间前，投标供应商仅递交了“备份响应文件”而未将电子加密响应文件上传至“政府采购云平台”的，投标无效。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10</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响应文件的组成、份数、效力：</w:t>
            </w:r>
          </w:p>
          <w:p>
            <w:pPr>
              <w:spacing w:line="400" w:lineRule="exac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本项目实行电子投标。</w:t>
            </w:r>
          </w:p>
          <w:p>
            <w:pPr>
              <w:spacing w:line="400" w:lineRule="exac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供应商应准备电子响应文件、以介质存储的数据电文形式的备份响应文件两类：</w:t>
            </w:r>
          </w:p>
          <w:p>
            <w:pPr>
              <w:spacing w:line="40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（1）电子响应文件，按政采云平台项目采购-电子招投标操作指南及本招标文件要求递交。</w:t>
            </w:r>
          </w:p>
          <w:p>
            <w:pPr>
              <w:spacing w:line="40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（2）以介质存储的数据电文形式的备份响应文件，按政采云平台项目采购-电子招投标操作指南中上传的电子响应文件格式，</w:t>
            </w:r>
            <w:r>
              <w:rPr>
                <w:rFonts w:hint="eastAsia" w:ascii="宋体" w:hAnsi="宋体" w:cs="宋体"/>
                <w:color w:val="auto"/>
                <w:sz w:val="21"/>
                <w:szCs w:val="21"/>
                <w:highlight w:val="none"/>
              </w:rPr>
              <w:t>以介质是U盘或DVD光盘</w:t>
            </w:r>
            <w:r>
              <w:rPr>
                <w:rFonts w:hint="eastAsia" w:ascii="宋体" w:hAnsi="宋体" w:cs="宋体"/>
                <w:color w:val="auto"/>
                <w:kern w:val="0"/>
                <w:sz w:val="21"/>
                <w:szCs w:val="21"/>
                <w:highlight w:val="none"/>
              </w:rPr>
              <w:t>形式提供。数量为1份。</w:t>
            </w:r>
          </w:p>
          <w:p>
            <w:pPr>
              <w:spacing w:line="400" w:lineRule="exact"/>
              <w:ind w:firstLine="420" w:firstLineChars="200"/>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3）响应文件启用顺序和效力。响应文件的启用，按先后顺位分别为电子响应文件、以介质存储的数据电文形式的备份响应文件。顺位在先的响应文件已按时解密的，备份响应文件自动失效。在下一顺位的响应文件启用时，前一顺位的响应文件自动失效。</w:t>
            </w:r>
          </w:p>
          <w:p>
            <w:pPr>
              <w:widowControl/>
              <w:ind w:firstLine="422" w:firstLineChars="200"/>
              <w:jc w:val="left"/>
              <w:rPr>
                <w:rFonts w:hint="eastAsia" w:ascii="宋体" w:hAnsi="宋体" w:cs="宋体"/>
                <w:color w:val="auto"/>
                <w:sz w:val="21"/>
                <w:szCs w:val="21"/>
                <w:highlight w:val="none"/>
              </w:rPr>
            </w:pPr>
            <w:r>
              <w:rPr>
                <w:rFonts w:hint="eastAsia" w:ascii="宋体" w:hAnsi="宋体" w:cs="宋体"/>
                <w:b/>
                <w:bCs/>
                <w:color w:val="auto"/>
                <w:kern w:val="0"/>
                <w:sz w:val="21"/>
                <w:szCs w:val="21"/>
                <w:highlight w:val="none"/>
              </w:rPr>
              <w:t>★未传输递交电子响应文件的，投标无效。未按规定提供相应的备份响应文件，造成项目开评标活动无法进行下去的，投标无效。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11</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1、以下情形视为未提交有效响应文件： </w:t>
            </w:r>
          </w:p>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（1）仅提交备份响应文件的；</w:t>
            </w:r>
          </w:p>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（2）加密文件解密异常，且提交备份响应文件无效的； </w:t>
            </w:r>
          </w:p>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（3）加密文件解密异常，且提交的备份响应文件不明确，存在一个或一个以上备选（替代）备份响应文件。</w:t>
            </w:r>
          </w:p>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2、投标人递交备份响应文件时，如出现下列情况之一的，将被拒收： </w:t>
            </w:r>
          </w:p>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（1）未按规定密封或标记的响应文件； </w:t>
            </w:r>
          </w:p>
          <w:p>
            <w:pPr>
              <w:widowControl/>
              <w:spacing w:line="400" w:lineRule="atLeas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（2）由于包装不妥，在送交途中严重损坏的； </w:t>
            </w:r>
          </w:p>
          <w:p>
            <w:pPr>
              <w:widowControl/>
              <w:spacing w:line="400" w:lineRule="atLeast"/>
              <w:rPr>
                <w:rFonts w:hint="eastAsia" w:ascii="宋体" w:hAnsi="宋体" w:cs="宋体"/>
                <w:color w:val="auto"/>
                <w:kern w:val="0"/>
                <w:sz w:val="21"/>
                <w:szCs w:val="21"/>
                <w:highlight w:val="none"/>
              </w:rPr>
            </w:pPr>
            <w:r>
              <w:rPr>
                <w:rFonts w:hint="eastAsia" w:ascii="宋体" w:hAnsi="宋体" w:cs="宋体"/>
                <w:color w:val="auto"/>
                <w:sz w:val="21"/>
                <w:szCs w:val="21"/>
                <w:highlight w:val="none"/>
              </w:rPr>
              <w:t>（3）超过规定时间送达的。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ind w:firstLine="210" w:firstLineChars="100"/>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12</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atLeas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1、投标人应当在202</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12</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 xml:space="preserve">28 </w:t>
            </w:r>
            <w:r>
              <w:rPr>
                <w:rFonts w:hint="eastAsia" w:ascii="宋体" w:hAnsi="宋体" w:cs="宋体"/>
                <w:color w:val="auto"/>
                <w:sz w:val="21"/>
                <w:szCs w:val="21"/>
                <w:highlight w:val="none"/>
              </w:rPr>
              <w:t xml:space="preserve">日 </w:t>
            </w:r>
            <w:r>
              <w:rPr>
                <w:rFonts w:hint="eastAsia" w:ascii="宋体" w:hAnsi="宋体" w:cs="宋体"/>
                <w:color w:val="auto"/>
                <w:sz w:val="21"/>
                <w:szCs w:val="21"/>
                <w:highlight w:val="none"/>
                <w:lang w:val="en-US" w:eastAsia="zh-CN"/>
              </w:rPr>
              <w:t>9</w:t>
            </w:r>
            <w:r>
              <w:rPr>
                <w:rFonts w:hint="eastAsia" w:ascii="宋体" w:hAnsi="宋体" w:cs="宋体"/>
                <w:color w:val="auto"/>
                <w:sz w:val="21"/>
                <w:szCs w:val="21"/>
                <w:highlight w:val="none"/>
              </w:rPr>
              <w:t>时</w:t>
            </w:r>
            <w:r>
              <w:rPr>
                <w:rFonts w:hint="eastAsia" w:ascii="宋体" w:hAnsi="宋体" w:cs="宋体"/>
                <w:color w:val="auto"/>
                <w:sz w:val="21"/>
                <w:szCs w:val="21"/>
                <w:highlight w:val="none"/>
                <w:lang w:val="en-US" w:eastAsia="zh-CN"/>
              </w:rPr>
              <w:t>30</w:t>
            </w:r>
            <w:r>
              <w:rPr>
                <w:rFonts w:hint="eastAsia" w:ascii="宋体" w:hAnsi="宋体" w:cs="宋体"/>
                <w:color w:val="auto"/>
                <w:sz w:val="21"/>
                <w:szCs w:val="21"/>
                <w:highlight w:val="none"/>
              </w:rPr>
              <w:t>分前在“政采云”（电子交易平台）上自行上传加密的电子投标文件。投标文件递交截止时间后递交的电子投标文件，将被政采云平台拒收。</w:t>
            </w:r>
          </w:p>
          <w:p>
            <w:pPr>
              <w:autoSpaceDE w:val="0"/>
              <w:autoSpaceDN w:val="0"/>
              <w:snapToGrid w:val="0"/>
              <w:spacing w:line="300" w:lineRule="exact"/>
              <w:ind w:firstLine="422" w:firstLineChars="200"/>
              <w:textAlignment w:val="bottom"/>
              <w:rPr>
                <w:rFonts w:hint="eastAsia" w:ascii="宋体" w:hAnsi="宋体" w:cs="宋体"/>
                <w:color w:val="auto"/>
                <w:highlight w:val="none"/>
              </w:rPr>
            </w:pPr>
            <w:r>
              <w:rPr>
                <w:rFonts w:hint="eastAsia" w:ascii="宋体" w:hAnsi="宋体" w:cs="宋体"/>
                <w:b/>
                <w:bCs/>
                <w:color w:val="auto"/>
                <w:sz w:val="21"/>
                <w:szCs w:val="21"/>
                <w:highlight w:val="none"/>
              </w:rPr>
              <w:t>2、电子备份投标文件的递交时间：投标人应当在202</w:t>
            </w:r>
            <w:r>
              <w:rPr>
                <w:rFonts w:hint="eastAsia" w:ascii="宋体" w:hAnsi="宋体" w:cs="宋体"/>
                <w:b/>
                <w:bCs/>
                <w:color w:val="auto"/>
                <w:sz w:val="21"/>
                <w:szCs w:val="21"/>
                <w:highlight w:val="none"/>
                <w:lang w:val="en-US" w:eastAsia="zh-CN"/>
              </w:rPr>
              <w:t>1</w:t>
            </w:r>
            <w:r>
              <w:rPr>
                <w:rFonts w:hint="eastAsia" w:ascii="宋体" w:hAnsi="宋体" w:cs="宋体"/>
                <w:b/>
                <w:bCs/>
                <w:color w:val="auto"/>
                <w:sz w:val="21"/>
                <w:szCs w:val="21"/>
                <w:highlight w:val="none"/>
              </w:rPr>
              <w:t>年</w:t>
            </w:r>
            <w:r>
              <w:rPr>
                <w:rFonts w:hint="eastAsia" w:ascii="宋体" w:hAnsi="宋体" w:cs="宋体"/>
                <w:b/>
                <w:bCs/>
                <w:color w:val="auto"/>
                <w:sz w:val="21"/>
                <w:szCs w:val="21"/>
                <w:highlight w:val="none"/>
                <w:lang w:val="en-US" w:eastAsia="zh-CN"/>
              </w:rPr>
              <w:t>12</w:t>
            </w:r>
            <w:r>
              <w:rPr>
                <w:rFonts w:hint="eastAsia" w:ascii="宋体" w:hAnsi="宋体" w:cs="宋体"/>
                <w:b/>
                <w:bCs/>
                <w:color w:val="auto"/>
                <w:sz w:val="21"/>
                <w:szCs w:val="21"/>
                <w:highlight w:val="none"/>
              </w:rPr>
              <w:t>月</w:t>
            </w:r>
            <w:r>
              <w:rPr>
                <w:rFonts w:hint="eastAsia" w:ascii="宋体" w:hAnsi="宋体" w:cs="宋体"/>
                <w:b/>
                <w:bCs/>
                <w:color w:val="auto"/>
                <w:sz w:val="21"/>
                <w:szCs w:val="21"/>
                <w:highlight w:val="none"/>
                <w:lang w:val="en-US" w:eastAsia="zh-CN"/>
              </w:rPr>
              <w:t xml:space="preserve">  </w:t>
            </w:r>
            <w:r>
              <w:rPr>
                <w:rFonts w:hint="eastAsia" w:ascii="宋体" w:hAnsi="宋体" w:cs="宋体"/>
                <w:b/>
                <w:bCs/>
                <w:color w:val="auto"/>
                <w:sz w:val="21"/>
                <w:szCs w:val="21"/>
                <w:highlight w:val="none"/>
              </w:rPr>
              <w:t xml:space="preserve">日 </w:t>
            </w:r>
            <w:r>
              <w:rPr>
                <w:rFonts w:hint="eastAsia" w:ascii="宋体" w:hAnsi="宋体" w:cs="宋体"/>
                <w:b/>
                <w:bCs/>
                <w:color w:val="auto"/>
                <w:sz w:val="21"/>
                <w:szCs w:val="21"/>
                <w:highlight w:val="none"/>
                <w:lang w:val="en-US" w:eastAsia="zh-CN"/>
              </w:rPr>
              <w:t>17:00</w:t>
            </w:r>
            <w:r>
              <w:rPr>
                <w:rFonts w:hint="eastAsia" w:ascii="宋体" w:hAnsi="宋体" w:cs="宋体"/>
                <w:b/>
                <w:bCs/>
                <w:color w:val="auto"/>
                <w:sz w:val="21"/>
                <w:szCs w:val="21"/>
                <w:highlight w:val="none"/>
              </w:rPr>
              <w:t xml:space="preserve"> 时前（签收时间）前，以（邮寄形式）邮寄到</w:t>
            </w:r>
            <w:r>
              <w:rPr>
                <w:rFonts w:hint="eastAsia" w:ascii="宋体" w:hAnsi="宋体" w:cs="宋体"/>
                <w:b/>
                <w:bCs/>
                <w:color w:val="auto"/>
                <w:sz w:val="21"/>
                <w:szCs w:val="21"/>
                <w:highlight w:val="none"/>
                <w:lang w:eastAsia="zh-CN"/>
              </w:rPr>
              <w:t>浙江展图工程咨询有限公司</w:t>
            </w:r>
            <w:r>
              <w:rPr>
                <w:rFonts w:hint="eastAsia" w:ascii="宋体" w:hAnsi="宋体" w:cs="宋体"/>
                <w:b/>
                <w:bCs/>
                <w:color w:val="auto"/>
                <w:sz w:val="21"/>
                <w:szCs w:val="21"/>
                <w:highlight w:val="none"/>
              </w:rPr>
              <w:t>，逾期未递交的视为自动放弃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ind w:firstLine="210" w:firstLineChars="100"/>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13</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ind w:firstLine="420" w:firstLineChars="200"/>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开标时间及地点：202</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年</w:t>
            </w:r>
            <w:r>
              <w:rPr>
                <w:rFonts w:hint="eastAsia" w:ascii="宋体" w:hAnsi="宋体" w:cs="宋体"/>
                <w:color w:val="auto"/>
                <w:sz w:val="21"/>
                <w:szCs w:val="21"/>
                <w:highlight w:val="none"/>
                <w:lang w:val="en-US" w:eastAsia="zh-CN"/>
              </w:rPr>
              <w:t>12</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 xml:space="preserve">28 </w:t>
            </w:r>
            <w:r>
              <w:rPr>
                <w:rFonts w:hint="eastAsia" w:ascii="宋体" w:hAnsi="宋体" w:cs="宋体"/>
                <w:color w:val="auto"/>
                <w:sz w:val="21"/>
                <w:szCs w:val="21"/>
                <w:highlight w:val="none"/>
              </w:rPr>
              <w:t xml:space="preserve">日 </w:t>
            </w:r>
            <w:r>
              <w:rPr>
                <w:rFonts w:hint="eastAsia" w:ascii="宋体" w:hAnsi="宋体" w:cs="宋体"/>
                <w:color w:val="auto"/>
                <w:sz w:val="21"/>
                <w:szCs w:val="21"/>
                <w:highlight w:val="none"/>
                <w:lang w:val="en-US" w:eastAsia="zh-CN"/>
              </w:rPr>
              <w:t>9：30</w:t>
            </w:r>
            <w:r>
              <w:rPr>
                <w:rFonts w:hint="eastAsia" w:ascii="宋体" w:hAnsi="宋体" w:cs="宋体"/>
                <w:color w:val="auto"/>
                <w:sz w:val="21"/>
                <w:szCs w:val="21"/>
                <w:highlight w:val="none"/>
              </w:rPr>
              <w:t xml:space="preserve"> 整在金华市政府采购中心兰溪市分中心（兰溪市振兴路500号行政服务中心四楼）开标室。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jc w:val="center"/>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14</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ind w:firstLine="420" w:firstLineChars="200"/>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中标人应在中标公告发布之日起3日内，向</w:t>
            </w:r>
            <w:r>
              <w:rPr>
                <w:rFonts w:hint="eastAsia" w:ascii="宋体" w:hAnsi="宋体" w:cs="宋体"/>
                <w:color w:val="auto"/>
                <w:sz w:val="21"/>
                <w:szCs w:val="21"/>
                <w:highlight w:val="none"/>
                <w:lang w:eastAsia="zh-CN"/>
              </w:rPr>
              <w:t>浙江展图工程咨询有限公司</w:t>
            </w:r>
            <w:r>
              <w:rPr>
                <w:rFonts w:hint="eastAsia" w:ascii="宋体" w:hAnsi="宋体" w:cs="宋体"/>
                <w:color w:val="auto"/>
                <w:sz w:val="21"/>
                <w:szCs w:val="21"/>
                <w:highlight w:val="none"/>
              </w:rPr>
              <w:t>提供纸质投标文件</w:t>
            </w:r>
            <w:r>
              <w:rPr>
                <w:rFonts w:hint="eastAsia" w:ascii="宋体" w:hAnsi="宋体" w:cs="宋体"/>
                <w:color w:val="auto"/>
                <w:kern w:val="0"/>
                <w:sz w:val="21"/>
                <w:szCs w:val="21"/>
                <w:highlight w:val="none"/>
              </w:rPr>
              <w:t xml:space="preserve"> (</w:t>
            </w:r>
            <w:r>
              <w:rPr>
                <w:rFonts w:hint="eastAsia" w:ascii="宋体" w:hAnsi="宋体" w:cs="宋体"/>
                <w:color w:val="auto"/>
                <w:kern w:val="0"/>
                <w:sz w:val="21"/>
                <w:szCs w:val="21"/>
                <w:highlight w:val="none"/>
                <w:lang w:eastAsia="zh-CN"/>
              </w:rPr>
              <w:t>正本一份，副本四份</w:t>
            </w:r>
            <w:r>
              <w:rPr>
                <w:rFonts w:hint="eastAsia" w:ascii="宋体" w:hAnsi="宋体" w:cs="宋体"/>
                <w:color w:val="auto"/>
                <w:kern w:val="0"/>
                <w:sz w:val="21"/>
                <w:szCs w:val="21"/>
                <w:highlight w:val="none"/>
              </w:rPr>
              <w:t>)邮寄到</w:t>
            </w:r>
            <w:r>
              <w:rPr>
                <w:rFonts w:hint="eastAsia" w:ascii="宋体" w:hAnsi="宋体" w:cs="宋体"/>
                <w:color w:val="auto"/>
                <w:kern w:val="0"/>
                <w:sz w:val="21"/>
                <w:szCs w:val="21"/>
                <w:highlight w:val="none"/>
                <w:lang w:eastAsia="zh-CN"/>
              </w:rPr>
              <w:t>浙江展图工程咨询有限公司</w:t>
            </w:r>
            <w:r>
              <w:rPr>
                <w:rFonts w:hint="eastAsia" w:ascii="宋体" w:hAnsi="宋体" w:cs="宋体"/>
                <w:color w:val="auto"/>
                <w:kern w:val="0"/>
                <w:sz w:val="21"/>
                <w:szCs w:val="21"/>
                <w:highlight w:val="none"/>
              </w:rPr>
              <w:t>,纸质版投标文件由资格证明文件、技术商务标文件、价格标文件三部分组成，并且分别胶装成册。纸质投标文件必须跟上传到政采云系统的电子加密文一致，并且均需加盖</w:t>
            </w:r>
            <w:r>
              <w:rPr>
                <w:rFonts w:hint="eastAsia" w:ascii="宋体" w:hAnsi="宋体" w:cs="宋体"/>
                <w:color w:val="auto"/>
                <w:kern w:val="0"/>
                <w:sz w:val="21"/>
                <w:szCs w:val="21"/>
                <w:highlight w:val="none"/>
                <w:lang w:eastAsia="zh-CN"/>
              </w:rPr>
              <w:t>单位</w:t>
            </w:r>
            <w:r>
              <w:rPr>
                <w:rFonts w:hint="eastAsia" w:ascii="宋体" w:hAnsi="宋体" w:cs="宋体"/>
                <w:color w:val="auto"/>
                <w:kern w:val="0"/>
                <w:sz w:val="21"/>
                <w:szCs w:val="21"/>
                <w:highlight w:val="none"/>
              </w:rPr>
              <w:t>公章。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15</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评标办法及评分标准：综合评分法</w:t>
            </w:r>
            <w:r>
              <w:rPr>
                <w:rFonts w:hint="eastAsia" w:ascii="宋体" w:hAnsi="宋体" w:cs="宋体"/>
                <w:color w:val="auto"/>
                <w:kern w:val="0"/>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147"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16</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评标结果公告及中标通知书：中标人确定之日起2个工作日内，评标结果公告于浙江政府采购网(http://zfcg.czt.zj.gov.cn)、兰溪市公共资源交易专栏（http://www.lanxi.gov.cn/col/col1229196152/index.html, 或者也可以通过http://www.lanxi.gov.cn兰溪市人民政府网站首页‘公共资源交易’链接进入访问。），中标人在公告后2个工作日内通过邮寄方式发送中标通知书。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17</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签订合同：</w:t>
            </w:r>
            <w:r>
              <w:rPr>
                <w:rFonts w:hint="eastAsia" w:ascii="宋体" w:hAnsi="宋体" w:cs="宋体"/>
                <w:color w:val="auto"/>
                <w:kern w:val="0"/>
                <w:sz w:val="21"/>
                <w:szCs w:val="21"/>
                <w:highlight w:val="none"/>
              </w:rPr>
              <w:t>中标通知书发出后30天内。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82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18</w:t>
            </w:r>
          </w:p>
        </w:tc>
        <w:tc>
          <w:tcPr>
            <w:tcW w:w="825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hd w:val="clear" w:color="auto"/>
              <w:spacing w:line="340" w:lineRule="exact"/>
              <w:ind w:firstLine="210" w:firstLineChars="100"/>
              <w:rPr>
                <w:rFonts w:hint="eastAsia" w:ascii="宋体" w:hAnsi="宋体" w:cs="宋体"/>
                <w:color w:val="auto"/>
                <w:sz w:val="21"/>
                <w:szCs w:val="21"/>
                <w:highlight w:val="none"/>
              </w:rPr>
            </w:pPr>
            <w:r>
              <w:rPr>
                <w:rFonts w:hint="eastAsia" w:ascii="宋体" w:hAnsi="宋体" w:cs="宋体"/>
                <w:color w:val="auto"/>
                <w:sz w:val="21"/>
                <w:szCs w:val="21"/>
                <w:highlight w:val="none"/>
              </w:rPr>
              <w:t>根据财库[2016]125号《关于在政府采购活动中查询及使用信用记录有关问题的通知》要求，采购代理机构会对供应商信用记录进行查询并甄别。</w:t>
            </w:r>
          </w:p>
          <w:p>
            <w:pPr>
              <w:shd w:val="clear" w:color="auto"/>
              <w:spacing w:line="34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1.信用信息查询的截止时点：投标截止时间前</w:t>
            </w:r>
            <w:r>
              <w:rPr>
                <w:rFonts w:hint="eastAsia" w:ascii="宋体" w:hAnsi="宋体" w:cs="宋体"/>
                <w:color w:val="auto"/>
                <w:sz w:val="21"/>
                <w:szCs w:val="21"/>
                <w:highlight w:val="none"/>
                <w:lang w:eastAsia="zh-CN"/>
              </w:rPr>
              <w:t>5个工作日</w:t>
            </w:r>
            <w:r>
              <w:rPr>
                <w:rFonts w:hint="eastAsia" w:ascii="宋体" w:hAnsi="宋体" w:cs="宋体"/>
                <w:color w:val="auto"/>
                <w:sz w:val="21"/>
                <w:szCs w:val="21"/>
                <w:highlight w:val="none"/>
              </w:rPr>
              <w:t>查询；</w:t>
            </w:r>
          </w:p>
          <w:p>
            <w:pPr>
              <w:shd w:val="clear" w:color="auto"/>
              <w:spacing w:line="34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2.查询渠道：</w:t>
            </w:r>
          </w:p>
          <w:p>
            <w:pPr>
              <w:shd w:val="clear" w:color="auto"/>
              <w:spacing w:line="340" w:lineRule="exact"/>
              <w:ind w:firstLine="360"/>
              <w:rPr>
                <w:rFonts w:hint="eastAsia" w:ascii="宋体" w:hAnsi="宋体" w:cs="宋体"/>
                <w:color w:val="auto"/>
                <w:sz w:val="21"/>
                <w:szCs w:val="21"/>
                <w:highlight w:val="none"/>
              </w:rPr>
            </w:pPr>
            <w:r>
              <w:rPr>
                <w:rFonts w:hint="eastAsia" w:ascii="宋体" w:hAnsi="宋体" w:cs="宋体"/>
                <w:color w:val="auto"/>
                <w:sz w:val="21"/>
                <w:szCs w:val="21"/>
                <w:highlight w:val="none"/>
              </w:rPr>
              <w:t> 信用中国（</w:t>
            </w:r>
            <w:r>
              <w:rPr>
                <w:rFonts w:hint="eastAsia" w:ascii="宋体" w:hAnsi="宋体" w:cs="宋体"/>
                <w:color w:val="auto"/>
                <w:sz w:val="21"/>
                <w:szCs w:val="21"/>
                <w:highlight w:val="none"/>
                <w:u w:val="single"/>
              </w:rPr>
              <w:t>www.creditchina.gov.cn</w:t>
            </w:r>
            <w:r>
              <w:rPr>
                <w:rFonts w:hint="eastAsia" w:ascii="宋体" w:hAnsi="宋体" w:cs="宋体"/>
                <w:color w:val="auto"/>
                <w:sz w:val="21"/>
                <w:szCs w:val="21"/>
                <w:highlight w:val="none"/>
              </w:rPr>
              <w:t>）；</w:t>
            </w:r>
          </w:p>
          <w:p>
            <w:pPr>
              <w:shd w:val="clear" w:color="auto"/>
              <w:spacing w:line="340" w:lineRule="exact"/>
              <w:ind w:firstLine="360"/>
              <w:rPr>
                <w:rFonts w:hint="eastAsia" w:ascii="宋体" w:hAnsi="宋体" w:cs="宋体"/>
                <w:color w:val="auto"/>
                <w:sz w:val="21"/>
                <w:szCs w:val="21"/>
                <w:highlight w:val="none"/>
              </w:rPr>
            </w:pPr>
            <w:r>
              <w:rPr>
                <w:rFonts w:hint="eastAsia" w:ascii="宋体" w:hAnsi="宋体" w:cs="宋体"/>
                <w:color w:val="auto"/>
                <w:sz w:val="21"/>
                <w:szCs w:val="21"/>
                <w:highlight w:val="none"/>
              </w:rPr>
              <w:t> 中国政府采购网（</w:t>
            </w:r>
            <w:r>
              <w:rPr>
                <w:rFonts w:hint="eastAsia" w:ascii="宋体" w:hAnsi="宋体" w:cs="宋体"/>
                <w:color w:val="auto"/>
                <w:sz w:val="21"/>
                <w:szCs w:val="21"/>
                <w:highlight w:val="none"/>
                <w:u w:val="single"/>
              </w:rPr>
              <w:t>www.ccgp.gov.cn</w:t>
            </w:r>
            <w:r>
              <w:rPr>
                <w:rFonts w:hint="eastAsia" w:ascii="宋体" w:hAnsi="宋体" w:cs="宋体"/>
                <w:color w:val="auto"/>
                <w:sz w:val="21"/>
                <w:szCs w:val="21"/>
                <w:highlight w:val="none"/>
              </w:rPr>
              <w:t>）；</w:t>
            </w:r>
          </w:p>
          <w:p>
            <w:pPr>
              <w:shd w:val="clear" w:color="auto"/>
              <w:spacing w:line="340" w:lineRule="exact"/>
              <w:ind w:firstLine="360"/>
              <w:rPr>
                <w:rFonts w:hint="eastAsia" w:ascii="宋体" w:hAnsi="宋体" w:cs="宋体"/>
                <w:color w:val="auto"/>
                <w:sz w:val="21"/>
                <w:szCs w:val="21"/>
                <w:highlight w:val="none"/>
              </w:rPr>
            </w:pPr>
            <w:r>
              <w:rPr>
                <w:rFonts w:hint="eastAsia" w:ascii="宋体" w:hAnsi="宋体" w:cs="宋体"/>
                <w:color w:val="auto"/>
                <w:sz w:val="21"/>
                <w:szCs w:val="21"/>
                <w:highlight w:val="none"/>
              </w:rPr>
              <w:t> 浙江政府采购网（</w:t>
            </w:r>
            <w:r>
              <w:rPr>
                <w:rFonts w:hint="eastAsia" w:ascii="宋体" w:hAnsi="宋体" w:cs="宋体"/>
                <w:color w:val="auto"/>
                <w:sz w:val="21"/>
                <w:szCs w:val="21"/>
                <w:highlight w:val="none"/>
                <w:u w:val="single"/>
              </w:rPr>
              <w:t>http://www.zjzfcg.gov.cn/</w:t>
            </w:r>
            <w:r>
              <w:rPr>
                <w:rFonts w:hint="eastAsia" w:ascii="宋体" w:hAnsi="宋体" w:cs="宋体"/>
                <w:color w:val="auto"/>
                <w:sz w:val="21"/>
                <w:szCs w:val="21"/>
                <w:highlight w:val="none"/>
              </w:rPr>
              <w:t>）；</w:t>
            </w:r>
          </w:p>
          <w:p>
            <w:pPr>
              <w:shd w:val="clear" w:color="auto"/>
              <w:spacing w:line="34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3.信用信息查询记录和证据留存具体方式：采购代理机构经办人和监督人员将查询网页打印、签字与其他采购文件一并保存；</w:t>
            </w:r>
          </w:p>
          <w:p>
            <w:pPr>
              <w:shd w:val="clear" w:color="auto"/>
              <w:spacing w:line="34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4.信用信息的使用规则：投标人存在不良信用记录的，其投标将被作为无效投标被拒绝。</w:t>
            </w:r>
          </w:p>
          <w:p>
            <w:pPr>
              <w:shd w:val="clear" w:color="auto"/>
              <w:spacing w:line="34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5.不良信用记录指：被列入失信被执行人、重大税收违法案件当事人名单、政府采购严重违法失信行为记录名单或浙江政府采购网曝光台中尚在行政处罚期内的。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19</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00" w:lineRule="exact"/>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采购资金来源及预算：预算内资金；</w:t>
            </w:r>
          </w:p>
          <w:p>
            <w:pPr>
              <w:autoSpaceDE w:val="0"/>
              <w:autoSpaceDN w:val="0"/>
              <w:snapToGrid w:val="0"/>
              <w:spacing w:line="300" w:lineRule="exact"/>
              <w:textAlignment w:val="bottom"/>
              <w:rPr>
                <w:rFonts w:hint="eastAsia" w:ascii="宋体" w:hAnsi="宋体" w:cs="宋体"/>
                <w:color w:val="auto"/>
                <w:sz w:val="21"/>
                <w:szCs w:val="21"/>
                <w:highlight w:val="none"/>
              </w:rPr>
            </w:pPr>
            <w:r>
              <w:rPr>
                <w:rFonts w:hint="eastAsia" w:ascii="宋体" w:hAnsi="宋体" w:cs="宋体"/>
                <w:color w:val="auto"/>
                <w:sz w:val="21"/>
                <w:szCs w:val="21"/>
                <w:highlight w:val="none"/>
              </w:rPr>
              <w:t>预算总价：人民币</w:t>
            </w:r>
            <w:r>
              <w:rPr>
                <w:rFonts w:hint="eastAsia" w:ascii="宋体" w:hAnsi="宋体" w:cs="宋体"/>
                <w:color w:val="auto"/>
                <w:sz w:val="21"/>
                <w:szCs w:val="21"/>
                <w:highlight w:val="none"/>
                <w:lang w:val="en-US" w:eastAsia="zh-CN"/>
              </w:rPr>
              <w:t>375</w:t>
            </w:r>
            <w:r>
              <w:rPr>
                <w:rFonts w:hint="eastAsia" w:ascii="宋体" w:hAnsi="宋体" w:cs="宋体"/>
                <w:color w:val="auto"/>
                <w:sz w:val="21"/>
                <w:szCs w:val="21"/>
                <w:highlight w:val="none"/>
              </w:rPr>
              <w:t>万元</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含数据采集终端78万元)</w:t>
            </w:r>
            <w:r>
              <w:rPr>
                <w:rFonts w:hint="eastAsia" w:ascii="宋体" w:hAnsi="宋体" w:cs="宋体"/>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5"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20</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付款方式：</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自合同生效后</w:t>
            </w:r>
            <w:r>
              <w:rPr>
                <w:rFonts w:hint="eastAsia" w:ascii="宋体" w:hAnsi="宋体" w:eastAsia="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按期完成项目全部软件建设且经</w:t>
            </w:r>
            <w:r>
              <w:rPr>
                <w:rFonts w:hint="eastAsia" w:ascii="宋体" w:hAnsi="宋体" w:eastAsia="宋体" w:cs="宋体"/>
                <w:bCs/>
                <w:color w:val="auto"/>
                <w:sz w:val="21"/>
                <w:szCs w:val="21"/>
                <w:highlight w:val="none"/>
                <w:lang w:val="en-US" w:eastAsia="zh-CN"/>
              </w:rPr>
              <w:t>采购人</w:t>
            </w:r>
            <w:r>
              <w:rPr>
                <w:rFonts w:hint="eastAsia" w:ascii="宋体" w:hAnsi="宋体" w:cs="宋体"/>
                <w:bCs/>
                <w:color w:val="auto"/>
                <w:sz w:val="21"/>
                <w:szCs w:val="21"/>
                <w:highlight w:val="none"/>
                <w:lang w:val="en-US" w:eastAsia="zh-CN"/>
              </w:rPr>
              <w:t>和市级相关主管部门</w:t>
            </w:r>
            <w:r>
              <w:rPr>
                <w:rFonts w:hint="eastAsia" w:ascii="宋体" w:hAnsi="宋体" w:eastAsia="宋体" w:cs="宋体"/>
                <w:bCs/>
                <w:color w:val="auto"/>
                <w:sz w:val="21"/>
                <w:szCs w:val="21"/>
                <w:highlight w:val="none"/>
              </w:rPr>
              <w:t>确认后</w:t>
            </w:r>
            <w:r>
              <w:rPr>
                <w:rFonts w:hint="eastAsia" w:ascii="宋体" w:hAnsi="宋体" w:eastAsia="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3.按期</w:t>
            </w:r>
            <w:r>
              <w:rPr>
                <w:rFonts w:hint="eastAsia" w:ascii="宋体" w:hAnsi="宋体" w:eastAsia="宋体" w:cs="宋体"/>
                <w:bCs/>
                <w:color w:val="auto"/>
                <w:sz w:val="21"/>
                <w:szCs w:val="21"/>
                <w:highlight w:val="none"/>
              </w:rPr>
              <w:t>完成项目全部软件建设</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完成全部硬件设备安装并通过初验且经</w:t>
            </w:r>
            <w:r>
              <w:rPr>
                <w:rFonts w:hint="eastAsia" w:ascii="宋体" w:hAnsi="宋体" w:eastAsia="宋体" w:cs="宋体"/>
                <w:bCs/>
                <w:color w:val="auto"/>
                <w:sz w:val="21"/>
                <w:szCs w:val="21"/>
                <w:highlight w:val="none"/>
                <w:lang w:val="en-US" w:eastAsia="zh-CN"/>
              </w:rPr>
              <w:t>采购人</w:t>
            </w:r>
            <w:r>
              <w:rPr>
                <w:rFonts w:hint="eastAsia" w:ascii="宋体" w:hAnsi="宋体" w:cs="宋体"/>
                <w:bCs/>
                <w:color w:val="auto"/>
                <w:sz w:val="21"/>
                <w:szCs w:val="21"/>
                <w:highlight w:val="none"/>
                <w:lang w:val="en-US" w:eastAsia="zh-CN"/>
              </w:rPr>
              <w:t>和市级相关主管部门</w:t>
            </w:r>
            <w:r>
              <w:rPr>
                <w:rFonts w:hint="eastAsia" w:ascii="宋体" w:hAnsi="宋体" w:eastAsia="宋体" w:cs="宋体"/>
                <w:bCs/>
                <w:color w:val="auto"/>
                <w:sz w:val="21"/>
                <w:szCs w:val="21"/>
                <w:highlight w:val="none"/>
              </w:rPr>
              <w:t>确认后</w:t>
            </w:r>
            <w:r>
              <w:rPr>
                <w:rFonts w:hint="eastAsia" w:ascii="宋体" w:hAnsi="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val="en-US" w:eastAsia="zh-CN"/>
              </w:rPr>
              <w:t>自</w:t>
            </w:r>
            <w:r>
              <w:rPr>
                <w:rFonts w:hint="eastAsia" w:ascii="宋体" w:hAnsi="宋体" w:eastAsia="宋体" w:cs="宋体"/>
                <w:bCs/>
                <w:color w:val="auto"/>
                <w:sz w:val="21"/>
                <w:szCs w:val="21"/>
                <w:highlight w:val="none"/>
              </w:rPr>
              <w:t>项目通过初验之日起且试运行3个月，申请并通过市级相关主管部门</w:t>
            </w:r>
            <w:r>
              <w:rPr>
                <w:rFonts w:hint="eastAsia" w:ascii="宋体" w:hAnsi="宋体" w:eastAsia="宋体" w:cs="宋体"/>
                <w:bCs/>
                <w:color w:val="auto"/>
                <w:sz w:val="21"/>
                <w:szCs w:val="21"/>
                <w:highlight w:val="none"/>
                <w:lang w:eastAsia="zh-CN"/>
              </w:rPr>
              <w:t>和专业第三方检测机构</w:t>
            </w:r>
            <w:r>
              <w:rPr>
                <w:rFonts w:hint="eastAsia" w:ascii="宋体" w:hAnsi="宋体" w:eastAsia="宋体" w:cs="宋体"/>
                <w:bCs/>
                <w:color w:val="auto"/>
                <w:sz w:val="21"/>
                <w:szCs w:val="21"/>
                <w:highlight w:val="none"/>
              </w:rPr>
              <w:t>的终验，且经</w:t>
            </w:r>
            <w:r>
              <w:rPr>
                <w:rFonts w:hint="eastAsia" w:ascii="宋体" w:hAnsi="宋体" w:eastAsia="宋体" w:cs="宋体"/>
                <w:bCs/>
                <w:color w:val="auto"/>
                <w:sz w:val="21"/>
                <w:szCs w:val="21"/>
                <w:highlight w:val="none"/>
                <w:lang w:val="en-US" w:eastAsia="zh-CN"/>
              </w:rPr>
              <w:t>采购人</w:t>
            </w:r>
            <w:r>
              <w:rPr>
                <w:rFonts w:hint="eastAsia" w:ascii="宋体" w:hAnsi="宋体" w:eastAsia="宋体" w:cs="宋体"/>
                <w:bCs/>
                <w:color w:val="auto"/>
                <w:sz w:val="21"/>
                <w:szCs w:val="21"/>
                <w:highlight w:val="none"/>
              </w:rPr>
              <w:t>确认后30日内支付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cs="宋体"/>
                <w:bCs/>
                <w:color w:val="auto"/>
                <w:sz w:val="21"/>
                <w:szCs w:val="21"/>
                <w:highlight w:val="none"/>
                <w:lang w:val="en-US" w:eastAsia="zh-CN"/>
              </w:rPr>
              <w:t>40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spacing w:line="440" w:lineRule="exact"/>
              <w:ind w:firstLine="420" w:firstLineChars="200"/>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5.自项目终验之日起算满一年后支付合同价的5%；</w:t>
            </w:r>
          </w:p>
          <w:p>
            <w:pPr>
              <w:spacing w:line="440" w:lineRule="exact"/>
              <w:ind w:firstLine="420" w:firstLineChars="200"/>
              <w:rPr>
                <w:rFonts w:hint="default"/>
                <w:color w:val="auto"/>
                <w:highlight w:val="none"/>
                <w:lang w:val="en-US" w:eastAsia="zh-CN"/>
              </w:rPr>
            </w:pPr>
            <w:r>
              <w:rPr>
                <w:rFonts w:hint="eastAsia" w:ascii="宋体" w:hAnsi="宋体" w:cs="宋体"/>
                <w:bCs/>
                <w:color w:val="auto"/>
                <w:sz w:val="21"/>
                <w:szCs w:val="21"/>
                <w:highlight w:val="none"/>
                <w:lang w:val="en-US" w:eastAsia="zh-CN"/>
              </w:rPr>
              <w:t>6.自项目终验之日起算满二年后支付合同价的5%。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21</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color w:val="auto"/>
                <w:sz w:val="21"/>
                <w:szCs w:val="21"/>
                <w:highlight w:val="none"/>
              </w:rPr>
            </w:pPr>
            <w:r>
              <w:rPr>
                <w:rFonts w:hint="eastAsia"/>
                <w:color w:val="auto"/>
                <w:sz w:val="21"/>
                <w:szCs w:val="21"/>
                <w:highlight w:val="none"/>
              </w:rPr>
              <w:t>履约保证金的收取及退还：</w:t>
            </w:r>
            <w:r>
              <w:rPr>
                <w:rFonts w:hint="eastAsia" w:ascii="宋体" w:hAnsi="宋体"/>
                <w:color w:val="auto"/>
                <w:kern w:val="0"/>
                <w:sz w:val="21"/>
                <w:szCs w:val="21"/>
                <w:highlight w:val="none"/>
              </w:rPr>
              <w:t>本项目免收履约保证金</w:t>
            </w:r>
            <w:r>
              <w:rPr>
                <w:rFonts w:hint="eastAsia"/>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22</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投标文件有效期：</w:t>
            </w:r>
            <w:r>
              <w:rPr>
                <w:rFonts w:hint="eastAsia" w:ascii="宋体" w:hAnsi="宋体" w:cs="宋体"/>
                <w:color w:val="auto"/>
                <w:sz w:val="21"/>
                <w:szCs w:val="21"/>
                <w:highlight w:val="none"/>
                <w:u w:val="single"/>
              </w:rPr>
              <w:t>90</w:t>
            </w:r>
            <w:r>
              <w:rPr>
                <w:rFonts w:hint="eastAsia" w:ascii="宋体" w:hAnsi="宋体" w:cs="宋体"/>
                <w:color w:val="auto"/>
                <w:sz w:val="21"/>
                <w:szCs w:val="21"/>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530"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23</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节能产品 </w:t>
            </w:r>
          </w:p>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强制采购节能产品 </w:t>
            </w:r>
          </w:p>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EQ \o\ac(□,√)</w:instrTex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t xml:space="preserve"> 优先采购节能产品 </w:t>
            </w:r>
          </w:p>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sym w:font="Wingdings 2" w:char="00A3"/>
            </w:r>
            <w:r>
              <w:rPr>
                <w:rFonts w:hint="eastAsia" w:ascii="宋体" w:hAnsi="宋体" w:cs="宋体"/>
                <w:color w:val="auto"/>
                <w:sz w:val="21"/>
                <w:szCs w:val="21"/>
                <w:highlight w:val="none"/>
              </w:rPr>
              <w:t xml:space="preserve"> 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5"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24</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环境标志产品 </w:t>
            </w:r>
          </w:p>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EQ \o\ac(□,√)</w:instrTex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t xml:space="preserve">优先采购环境标志产品 </w:t>
            </w:r>
          </w:p>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sym w:font="Wingdings 2" w:char="00A3"/>
            </w:r>
            <w:r>
              <w:rPr>
                <w:rFonts w:hint="eastAsia" w:ascii="宋体" w:hAnsi="宋体" w:cs="宋体"/>
                <w:color w:val="auto"/>
                <w:sz w:val="21"/>
                <w:szCs w:val="21"/>
                <w:highlight w:val="none"/>
              </w:rPr>
              <w:t xml:space="preserve"> 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trPr>
        <w:tc>
          <w:tcPr>
            <w:tcW w:w="82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25</w:t>
            </w:r>
          </w:p>
        </w:tc>
        <w:tc>
          <w:tcPr>
            <w:tcW w:w="82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解释：本</w:t>
            </w:r>
            <w:r>
              <w:rPr>
                <w:rFonts w:hint="eastAsia" w:ascii="宋体" w:hAnsi="宋体" w:cs="宋体"/>
                <w:bCs/>
                <w:color w:val="auto"/>
                <w:sz w:val="21"/>
                <w:szCs w:val="21"/>
                <w:highlight w:val="none"/>
              </w:rPr>
              <w:t>采购文件</w:t>
            </w:r>
            <w:r>
              <w:rPr>
                <w:rFonts w:hint="eastAsia" w:ascii="宋体" w:hAnsi="宋体" w:cs="宋体"/>
                <w:color w:val="auto"/>
                <w:sz w:val="21"/>
                <w:szCs w:val="21"/>
                <w:highlight w:val="none"/>
              </w:rPr>
              <w:t>的解释权属于招标采购单位。</w:t>
            </w:r>
          </w:p>
        </w:tc>
      </w:tr>
    </w:tbl>
    <w:p>
      <w:pPr>
        <w:snapToGrid w:val="0"/>
        <w:spacing w:line="360" w:lineRule="exact"/>
        <w:jc w:val="center"/>
        <w:outlineLvl w:val="0"/>
        <w:rPr>
          <w:rFonts w:hint="eastAsia"/>
          <w:b/>
          <w:bCs/>
          <w:color w:val="auto"/>
          <w:sz w:val="32"/>
          <w:szCs w:val="32"/>
          <w:highlight w:val="none"/>
        </w:rPr>
      </w:pPr>
    </w:p>
    <w:p>
      <w:pPr>
        <w:snapToGrid w:val="0"/>
        <w:spacing w:line="360" w:lineRule="exact"/>
        <w:jc w:val="center"/>
        <w:outlineLvl w:val="0"/>
        <w:rPr>
          <w:rFonts w:hint="eastAsia"/>
          <w:b/>
          <w:bCs/>
          <w:color w:val="auto"/>
          <w:sz w:val="32"/>
          <w:szCs w:val="32"/>
          <w:highlight w:val="none"/>
        </w:rPr>
      </w:pPr>
    </w:p>
    <w:p>
      <w:pPr>
        <w:snapToGrid w:val="0"/>
        <w:spacing w:line="360" w:lineRule="exact"/>
        <w:jc w:val="center"/>
        <w:outlineLvl w:val="0"/>
        <w:rPr>
          <w:rFonts w:hint="eastAsia"/>
          <w:b/>
          <w:bCs/>
          <w:color w:val="auto"/>
          <w:sz w:val="32"/>
          <w:szCs w:val="32"/>
          <w:highlight w:val="none"/>
        </w:rPr>
      </w:pPr>
    </w:p>
    <w:p>
      <w:pPr>
        <w:snapToGrid w:val="0"/>
        <w:spacing w:line="360" w:lineRule="exact"/>
        <w:jc w:val="center"/>
        <w:outlineLvl w:val="0"/>
        <w:rPr>
          <w:rFonts w:hint="eastAsia"/>
          <w:b/>
          <w:bCs/>
          <w:color w:val="auto"/>
          <w:sz w:val="32"/>
          <w:szCs w:val="32"/>
          <w:highlight w:val="none"/>
        </w:rPr>
      </w:pPr>
    </w:p>
    <w:p>
      <w:pPr>
        <w:rPr>
          <w:rFonts w:hint="eastAsia"/>
          <w:b/>
          <w:bCs/>
          <w:color w:val="auto"/>
          <w:sz w:val="32"/>
          <w:szCs w:val="32"/>
          <w:highlight w:val="none"/>
        </w:rPr>
      </w:pPr>
      <w:r>
        <w:rPr>
          <w:rFonts w:hint="eastAsia"/>
          <w:b/>
          <w:bCs/>
          <w:color w:val="auto"/>
          <w:sz w:val="32"/>
          <w:szCs w:val="32"/>
          <w:highlight w:val="none"/>
        </w:rPr>
        <w:br w:type="page"/>
      </w:r>
    </w:p>
    <w:p>
      <w:pPr>
        <w:snapToGrid w:val="0"/>
        <w:spacing w:line="360" w:lineRule="exact"/>
        <w:jc w:val="center"/>
        <w:outlineLvl w:val="0"/>
        <w:rPr>
          <w:rFonts w:hint="eastAsia"/>
          <w:b/>
          <w:color w:val="auto"/>
          <w:sz w:val="32"/>
          <w:szCs w:val="32"/>
          <w:highlight w:val="none"/>
        </w:rPr>
      </w:pPr>
      <w:r>
        <w:rPr>
          <w:rFonts w:hint="eastAsia"/>
          <w:b/>
          <w:bCs/>
          <w:color w:val="auto"/>
          <w:sz w:val="32"/>
          <w:szCs w:val="32"/>
          <w:highlight w:val="none"/>
        </w:rPr>
        <w:t>第三章  采购</w:t>
      </w:r>
      <w:r>
        <w:rPr>
          <w:rFonts w:hint="eastAsia"/>
          <w:b/>
          <w:color w:val="auto"/>
          <w:sz w:val="32"/>
          <w:szCs w:val="32"/>
          <w:highlight w:val="none"/>
        </w:rPr>
        <w:t>需求</w:t>
      </w:r>
    </w:p>
    <w:p>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460" w:lineRule="exact"/>
        <w:textAlignment w:val="auto"/>
        <w:outlineLvl w:val="1"/>
        <w:rPr>
          <w:rFonts w:hint="default" w:hAnsi="宋体" w:eastAsia="宋体"/>
          <w:b/>
          <w:color w:val="auto"/>
          <w:sz w:val="21"/>
          <w:szCs w:val="21"/>
          <w:highlight w:val="none"/>
          <w:lang w:val="en-US" w:eastAsia="zh-CN"/>
        </w:rPr>
      </w:pPr>
      <w:r>
        <w:rPr>
          <w:rFonts w:hint="eastAsia" w:hAnsi="宋体"/>
          <w:b/>
          <w:color w:val="auto"/>
          <w:sz w:val="21"/>
          <w:szCs w:val="21"/>
          <w:highlight w:val="none"/>
        </w:rPr>
        <w:t>一、项目编号：</w:t>
      </w:r>
      <w:r>
        <w:rPr>
          <w:rFonts w:hint="eastAsia" w:ascii="宋体" w:hAnsi="宋体" w:eastAsia="宋体" w:cs="宋体"/>
          <w:color w:val="auto"/>
          <w:sz w:val="21"/>
          <w:szCs w:val="21"/>
          <w:highlight w:val="none"/>
        </w:rPr>
        <w:t>ZJZT-</w:t>
      </w:r>
      <w:r>
        <w:rPr>
          <w:rFonts w:hint="eastAsia" w:ascii="宋体" w:hAnsi="宋体" w:cs="宋体"/>
          <w:color w:val="auto"/>
          <w:sz w:val="21"/>
          <w:szCs w:val="21"/>
          <w:highlight w:val="none"/>
          <w:lang w:eastAsia="zh-CN"/>
        </w:rPr>
        <w:t>2021</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FW051</w:t>
      </w:r>
    </w:p>
    <w:p>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460" w:lineRule="exact"/>
        <w:textAlignment w:val="auto"/>
        <w:outlineLvl w:val="1"/>
        <w:rPr>
          <w:rFonts w:hint="eastAsia" w:hAnsi="宋体" w:eastAsia="宋体"/>
          <w:color w:val="auto"/>
          <w:sz w:val="21"/>
          <w:szCs w:val="21"/>
          <w:highlight w:val="none"/>
          <w:lang w:eastAsia="zh-CN"/>
        </w:rPr>
      </w:pPr>
      <w:r>
        <w:rPr>
          <w:rFonts w:hint="eastAsia" w:hAnsi="宋体"/>
          <w:b/>
          <w:bCs/>
          <w:color w:val="auto"/>
          <w:sz w:val="21"/>
          <w:szCs w:val="21"/>
          <w:highlight w:val="none"/>
        </w:rPr>
        <w:t>二、采购单位名称：</w:t>
      </w:r>
      <w:r>
        <w:rPr>
          <w:rFonts w:hint="eastAsia" w:hAnsi="宋体"/>
          <w:color w:val="auto"/>
          <w:sz w:val="21"/>
          <w:szCs w:val="21"/>
          <w:highlight w:val="none"/>
          <w:lang w:eastAsia="zh-CN"/>
        </w:rPr>
        <w:t xml:space="preserve"> 浙江省兰溪经济开发区管理委员会</w:t>
      </w:r>
    </w:p>
    <w:p>
      <w:pPr>
        <w:keepNext w:val="0"/>
        <w:keepLines w:val="0"/>
        <w:pageBreakBefore w:val="0"/>
        <w:widowControl w:val="0"/>
        <w:kinsoku/>
        <w:wordWrap/>
        <w:overflowPunct/>
        <w:topLinePunct w:val="0"/>
        <w:autoSpaceDE/>
        <w:autoSpaceDN/>
        <w:bidi w:val="0"/>
        <w:adjustRightInd/>
        <w:spacing w:line="460" w:lineRule="exact"/>
        <w:textAlignment w:val="auto"/>
        <w:rPr>
          <w:rFonts w:hint="eastAsia"/>
          <w:color w:val="auto"/>
          <w:sz w:val="21"/>
          <w:szCs w:val="21"/>
          <w:highlight w:val="none"/>
        </w:rPr>
      </w:pPr>
      <w:r>
        <w:rPr>
          <w:rFonts w:hint="eastAsia"/>
          <w:b/>
          <w:bCs/>
          <w:color w:val="auto"/>
          <w:sz w:val="21"/>
          <w:szCs w:val="21"/>
          <w:highlight w:val="none"/>
        </w:rPr>
        <w:t>三、项目名称：</w:t>
      </w:r>
      <w:r>
        <w:rPr>
          <w:rFonts w:hint="eastAsia"/>
          <w:color w:val="auto"/>
          <w:sz w:val="21"/>
          <w:szCs w:val="21"/>
          <w:highlight w:val="none"/>
          <w:lang w:eastAsia="zh-CN"/>
        </w:rPr>
        <w:t xml:space="preserve"> 兰溪经济开发区化工园区一体化智慧管控系统采购项目 </w:t>
      </w:r>
    </w:p>
    <w:p>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460" w:lineRule="exact"/>
        <w:textAlignment w:val="auto"/>
        <w:outlineLvl w:val="1"/>
        <w:rPr>
          <w:rFonts w:hint="eastAsia" w:ascii="Times New Roman" w:hAnsi="Times New Roman"/>
          <w:b/>
          <w:bCs/>
          <w:color w:val="000000" w:themeColor="text1"/>
          <w:sz w:val="21"/>
          <w:szCs w:val="21"/>
          <w:highlight w:val="none"/>
          <w14:textFill>
            <w14:solidFill>
              <w14:schemeClr w14:val="tx1"/>
            </w14:solidFill>
          </w14:textFill>
        </w:rPr>
      </w:pPr>
      <w:r>
        <w:rPr>
          <w:rFonts w:hint="eastAsia" w:ascii="Times New Roman" w:hAnsi="Times New Roman"/>
          <w:b/>
          <w:bCs/>
          <w:color w:val="auto"/>
          <w:sz w:val="21"/>
          <w:szCs w:val="21"/>
          <w:highlight w:val="none"/>
        </w:rPr>
        <w:t>四、</w:t>
      </w:r>
      <w:r>
        <w:rPr>
          <w:rFonts w:hint="eastAsia" w:hAnsi="Times New Roman"/>
          <w:b/>
          <w:bCs/>
          <w:color w:val="000000" w:themeColor="text1"/>
          <w:sz w:val="21"/>
          <w:szCs w:val="21"/>
          <w:highlight w:val="none"/>
          <w:lang w:val="en-US" w:eastAsia="zh-CN"/>
          <w14:textFill>
            <w14:solidFill>
              <w14:schemeClr w14:val="tx1"/>
            </w14:solidFill>
          </w14:textFill>
        </w:rPr>
        <w:t>项目概况及要求</w:t>
      </w:r>
      <w:r>
        <w:rPr>
          <w:rFonts w:hint="eastAsia" w:ascii="Times New Roman" w:hAnsi="Times New Roman"/>
          <w:b/>
          <w:bCs/>
          <w:color w:val="000000" w:themeColor="text1"/>
          <w:sz w:val="21"/>
          <w:szCs w:val="21"/>
          <w:highlight w:val="none"/>
          <w14:textFill>
            <w14:solidFill>
              <w14:schemeClr w14:val="tx1"/>
            </w14:solidFill>
          </w14:textFill>
        </w:rPr>
        <w:t>：</w:t>
      </w:r>
    </w:p>
    <w:p>
      <w:pPr>
        <w:pStyle w:val="14"/>
        <w:keepNext w:val="0"/>
        <w:keepLines w:val="0"/>
        <w:pageBreakBefore w:val="0"/>
        <w:widowControl w:val="0"/>
        <w:kinsoku/>
        <w:wordWrap/>
        <w:overflowPunct/>
        <w:topLinePunct w:val="0"/>
        <w:autoSpaceDE/>
        <w:autoSpaceDN/>
        <w:bidi w:val="0"/>
        <w:adjustRightInd/>
        <w:snapToGrid w:val="0"/>
        <w:spacing w:before="0" w:beforeLines="0" w:after="0" w:afterLines="0" w:line="460" w:lineRule="exact"/>
        <w:textAlignment w:val="auto"/>
        <w:outlineLvl w:val="1"/>
        <w:rPr>
          <w:rFonts w:hint="eastAsia" w:hAnsi="Times New Roman"/>
          <w:b/>
          <w:bCs/>
          <w:color w:val="000000" w:themeColor="text1"/>
          <w:sz w:val="21"/>
          <w:szCs w:val="21"/>
          <w:highlight w:val="none"/>
          <w:lang w:val="en-US" w:eastAsia="zh-CN"/>
          <w14:textFill>
            <w14:solidFill>
              <w14:schemeClr w14:val="tx1"/>
            </w14:solidFill>
          </w14:textFill>
        </w:rPr>
      </w:pPr>
      <w:r>
        <w:rPr>
          <w:rFonts w:hint="eastAsia" w:hAnsi="Times New Roman"/>
          <w:b/>
          <w:bCs/>
          <w:color w:val="000000" w:themeColor="text1"/>
          <w:sz w:val="21"/>
          <w:szCs w:val="21"/>
          <w:highlight w:val="none"/>
          <w:lang w:val="en-US" w:eastAsia="zh-CN"/>
          <w14:textFill>
            <w14:solidFill>
              <w14:schemeClr w14:val="tx1"/>
            </w14:solidFill>
          </w14:textFill>
        </w:rPr>
        <w:t>1、项目概况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color w:val="auto"/>
          <w:sz w:val="21"/>
          <w:szCs w:val="21"/>
          <w:highlight w:val="none"/>
          <w:lang w:val="en-US" w:eastAsia="zh-CN"/>
        </w:rPr>
      </w:pPr>
      <w:r>
        <w:rPr>
          <w:rFonts w:hint="eastAsia" w:ascii="宋体" w:hAnsi="宋体" w:eastAsia="宋体" w:cs="宋体"/>
          <w:color w:val="auto"/>
          <w:sz w:val="21"/>
          <w:szCs w:val="21"/>
          <w:highlight w:val="none"/>
          <w:lang w:eastAsia="zh-CN"/>
        </w:rPr>
        <w:t>化工开发区包括以化工为主导产业的新型工业化产业示范基地、高新技术产业开发区、经济技术开发区、专业化工开发区及由各级政府依法设置的化工生产企业集中区。为贯彻落实《危险化学品安全管理条例》（国务院令第591号）、《国务院关于坚持科学发展安全发展促进安全生产形势持续稳定好转的意见》（国发〔2011〕40号）要求，进一步加强专门发展化工产业的化工开发区、化工企业聚集的集中区或工业区安全管理，降低开发区系统安全风险，增强开发区安全应急保障能力，提升开发区本质安全水平，促进石化产业持续健康发展，国务院安委会办公室发布了《关于进一步加强化工开发区安全管理的指导意见》（安委办〔2012〕37号），提出以科学发展观为指导，加快实施安全发展战略，坚持“安全第一、预防为主、综合治理”的方针，贯彻落实有关安全生产法律、法规、标准，按照“统一规划、合理布局、严格准入、一体化管理”的原则，严格开发区内化工企业安全准入，加强开发区一体化监管；建立“责任明确、管理高效、资源共享、保障有力”的开发区安全管理工作机制，将开发区内企业之间的相互影响降到最低，强化开发区内企业的安全生产管控，夯实安全生产基础，加强应急救援综合能力建设，推进开发区封闭化管理，促进开发区安全生产和安全发展。</w:t>
      </w:r>
    </w:p>
    <w:p>
      <w:pPr>
        <w:pStyle w:val="14"/>
        <w:keepNext w:val="0"/>
        <w:keepLines w:val="0"/>
        <w:pageBreakBefore w:val="0"/>
        <w:widowControl w:val="0"/>
        <w:numPr>
          <w:ilvl w:val="0"/>
          <w:numId w:val="3"/>
        </w:numPr>
        <w:kinsoku/>
        <w:wordWrap/>
        <w:overflowPunct/>
        <w:topLinePunct w:val="0"/>
        <w:autoSpaceDE/>
        <w:autoSpaceDN/>
        <w:bidi w:val="0"/>
        <w:adjustRightInd/>
        <w:snapToGrid w:val="0"/>
        <w:spacing w:before="0" w:beforeLines="0" w:after="0" w:afterLines="0" w:line="460" w:lineRule="exact"/>
        <w:textAlignment w:val="auto"/>
        <w:outlineLvl w:val="1"/>
        <w:rPr>
          <w:rFonts w:hint="eastAsia" w:hAnsi="Times New Roman"/>
          <w:b/>
          <w:bCs/>
          <w:color w:val="000000" w:themeColor="text1"/>
          <w:sz w:val="21"/>
          <w:szCs w:val="21"/>
          <w:highlight w:val="none"/>
          <w:lang w:val="en-US" w:eastAsia="zh-CN"/>
          <w14:textFill>
            <w14:solidFill>
              <w14:schemeClr w14:val="tx1"/>
            </w14:solidFill>
          </w14:textFill>
        </w:rPr>
      </w:pPr>
      <w:r>
        <w:rPr>
          <w:rFonts w:hint="eastAsia" w:hAnsi="Times New Roman"/>
          <w:b/>
          <w:bCs/>
          <w:color w:val="000000" w:themeColor="text1"/>
          <w:sz w:val="21"/>
          <w:szCs w:val="21"/>
          <w:highlight w:val="none"/>
          <w:lang w:val="en-US" w:eastAsia="zh-CN"/>
          <w14:textFill>
            <w14:solidFill>
              <w14:schemeClr w14:val="tx1"/>
            </w14:solidFill>
          </w14:textFill>
        </w:rPr>
        <w:t>编制依据：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信息分类和编码的基本原则与方法（GB/T 7027-2002）；</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地震震级的规定（GB17740-2017）</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危险化学品重大危险源安全监控通用技术规范（AQ 3035-2010）</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企业安全生产标准化基本规范（GB/T 33000-2016）</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中华人民共和国国家标准重大危险源辨识（GB 18218-2000）</w:t>
      </w:r>
    </w:p>
    <w:p>
      <w:pPr>
        <w:pStyle w:val="14"/>
        <w:keepNext w:val="0"/>
        <w:keepLines w:val="0"/>
        <w:pageBreakBefore w:val="0"/>
        <w:widowControl w:val="0"/>
        <w:numPr>
          <w:ilvl w:val="0"/>
          <w:numId w:val="3"/>
        </w:numPr>
        <w:kinsoku/>
        <w:wordWrap/>
        <w:overflowPunct/>
        <w:topLinePunct w:val="0"/>
        <w:autoSpaceDE/>
        <w:autoSpaceDN/>
        <w:bidi w:val="0"/>
        <w:adjustRightInd/>
        <w:snapToGrid w:val="0"/>
        <w:spacing w:before="0" w:beforeLines="0" w:after="0" w:afterLines="0" w:line="400" w:lineRule="exact"/>
        <w:textAlignment w:val="auto"/>
        <w:outlineLvl w:val="1"/>
        <w:rPr>
          <w:rFonts w:hint="eastAsia" w:hAnsi="Times New Roman"/>
          <w:b/>
          <w:bCs/>
          <w:color w:val="000000" w:themeColor="text1"/>
          <w:sz w:val="21"/>
          <w:szCs w:val="21"/>
          <w:highlight w:val="none"/>
          <w:lang w:val="en-US" w:eastAsia="zh-CN"/>
          <w14:textFill>
            <w14:solidFill>
              <w14:schemeClr w14:val="tx1"/>
            </w14:solidFill>
          </w14:textFill>
        </w:rPr>
      </w:pPr>
      <w:r>
        <w:rPr>
          <w:rFonts w:hint="eastAsia" w:hAnsi="Times New Roman"/>
          <w:b/>
          <w:bCs/>
          <w:color w:val="000000" w:themeColor="text1"/>
          <w:sz w:val="21"/>
          <w:szCs w:val="21"/>
          <w:highlight w:val="none"/>
          <w:lang w:val="en-US" w:eastAsia="zh-CN"/>
          <w14:textFill>
            <w14:solidFill>
              <w14:schemeClr w14:val="tx1"/>
            </w14:solidFill>
          </w14:textFill>
        </w:rPr>
        <w:t>软件系统</w:t>
      </w:r>
    </w:p>
    <w:p>
      <w:pPr>
        <w:pStyle w:val="6"/>
        <w:pageBreakBefore w:val="0"/>
        <w:widowControl w:val="0"/>
        <w:kinsoku/>
        <w:wordWrap/>
        <w:overflowPunct/>
        <w:topLinePunct w:val="0"/>
        <w:autoSpaceDE/>
        <w:autoSpaceDN/>
        <w:bidi w:val="0"/>
        <w:adjustRightInd/>
        <w:spacing w:before="0" w:after="0" w:line="400" w:lineRule="exact"/>
        <w:textAlignment w:val="auto"/>
        <w:rPr>
          <w:rFonts w:hint="eastAsia" w:ascii="Times New Roman" w:hAnsi="Times New Roman" w:eastAsia="宋体" w:cs="Times New Roman"/>
          <w:b/>
          <w:bCs/>
          <w:color w:val="auto"/>
          <w:kern w:val="2"/>
          <w:sz w:val="21"/>
          <w:szCs w:val="21"/>
          <w:highlight w:val="none"/>
          <w:lang w:val="en-US" w:eastAsia="zh-CN" w:bidi="ar-SA"/>
        </w:rPr>
      </w:pPr>
      <w:bookmarkStart w:id="2" w:name="_Toc32953106"/>
      <w:bookmarkStart w:id="3" w:name="_Toc72943014"/>
      <w:bookmarkStart w:id="4" w:name="_Toc73465595"/>
      <w:bookmarkStart w:id="5" w:name="_Toc89159901"/>
      <w:r>
        <w:rPr>
          <w:rFonts w:hint="eastAsia" w:eastAsia="宋体" w:cs="Times New Roman"/>
          <w:b/>
          <w:bCs/>
          <w:color w:val="auto"/>
          <w:kern w:val="2"/>
          <w:sz w:val="21"/>
          <w:szCs w:val="21"/>
          <w:highlight w:val="none"/>
          <w:lang w:val="en-US" w:eastAsia="zh-CN" w:bidi="ar-SA"/>
        </w:rPr>
        <w:t>1.1</w:t>
      </w:r>
      <w:r>
        <w:rPr>
          <w:rFonts w:hint="eastAsia" w:ascii="Times New Roman" w:hAnsi="Times New Roman" w:eastAsia="宋体" w:cs="Times New Roman"/>
          <w:b/>
          <w:bCs/>
          <w:color w:val="auto"/>
          <w:kern w:val="2"/>
          <w:sz w:val="21"/>
          <w:szCs w:val="21"/>
          <w:highlight w:val="none"/>
          <w:lang w:val="en-US" w:eastAsia="zh-CN" w:bidi="ar-SA"/>
        </w:rPr>
        <w:t>建设原则</w:t>
      </w:r>
      <w:bookmarkEnd w:id="2"/>
      <w:bookmarkEnd w:id="3"/>
      <w:bookmarkEnd w:id="4"/>
      <w:bookmarkEnd w:id="5"/>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总体原则：必须满足设计目标要求，充分考虑系统的基本约定，系统数据在分布式存放，业务分散处理等前提下，遵循系统整体性、先进性和可扩充性原则，建立经济合理、资源优化的系统设计方案。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6" w:name="_Toc464295681"/>
      <w:r>
        <w:rPr>
          <w:rFonts w:hint="eastAsia" w:ascii="宋体" w:hAnsi="宋体" w:eastAsia="宋体" w:cs="宋体"/>
          <w:color w:val="auto"/>
          <w:sz w:val="21"/>
          <w:szCs w:val="21"/>
          <w:highlight w:val="none"/>
          <w:lang w:val="en-US" w:eastAsia="zh-CN"/>
        </w:rPr>
        <w:t>（1）先进性原则</w:t>
      </w:r>
      <w:bookmarkEnd w:id="6"/>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系统总体设计的先进性原则主要体现在以下几个方面：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①采用的系统结构应当是先进的、开放的体系结构；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②采用先进的计算机技术，如容错技术、RAID技术等集成技术、多媒体技术；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③采用先进的网络技术，如网络交换技术、网管技术，通过智能化的网络设备及网管软件实现对计算机网络系统的有效管理与控制；实时监控网络运行情况，及时排除网络故障，及时调整和平衡网上信息流量。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7" w:name="_Toc464295682"/>
      <w:r>
        <w:rPr>
          <w:rFonts w:hint="eastAsia" w:ascii="宋体" w:hAnsi="宋体" w:eastAsia="宋体" w:cs="宋体"/>
          <w:color w:val="auto"/>
          <w:sz w:val="21"/>
          <w:szCs w:val="21"/>
          <w:highlight w:val="none"/>
          <w:lang w:val="en-US" w:eastAsia="zh-CN"/>
        </w:rPr>
        <w:t>（2）实用性原则</w:t>
      </w:r>
      <w:bookmarkEnd w:id="7"/>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从实际应用的角度来看，实用性更加重要，为了提高系统的实用性，应该考虑如下几个方面：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①采取总体设计、分步实施的技术方案，在总体设计的前提下，系统实施中可首先进行业务处理层及管理中的低层管理，稳步向中高层管理及全面自动化过渡，这样做可以使系统始终与用户的实际需求紧密连在一起，不但增加了系统的实用性，而且可使系统建设保持很好的连贯性；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②人机操作设计应充分考虑不同用户的实际需要；</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③用户接口及界面设计将充分考虑人体结构特征及视觉特征进行优化设计；界面尽可能美观大方，操作简便实用。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8" w:name="_Toc464295683"/>
      <w:r>
        <w:rPr>
          <w:rFonts w:hint="eastAsia" w:ascii="宋体" w:hAnsi="宋体" w:eastAsia="宋体" w:cs="宋体"/>
          <w:color w:val="auto"/>
          <w:sz w:val="21"/>
          <w:szCs w:val="21"/>
          <w:highlight w:val="none"/>
          <w:lang w:val="en-US" w:eastAsia="zh-CN"/>
        </w:rPr>
        <w:t>（3）安全性原则</w:t>
      </w:r>
      <w:bookmarkEnd w:id="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系统应能提供有效的安全保密机制，保证各单位之间的信息能够安全发送与接收。系统应提供口令验证、加密、权限控制、电子签名等安全机制。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需提供完善坚实权限管理手段，具有良好的安全保密机制。需选择良好的服务器操作系统平台及数据库；采用操作权限控制、用户钥匙、密码控制、系统日志监督、数据更新严格凭证等多种手段。网上设计采用三层结构设计，所有对数据库的访问操作行为全部封装；网站管理分权限控制、数据传输严密加密实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9" w:name="_Toc464295684"/>
      <w:r>
        <w:rPr>
          <w:rFonts w:hint="eastAsia" w:ascii="宋体" w:hAnsi="宋体" w:eastAsia="宋体" w:cs="宋体"/>
          <w:color w:val="auto"/>
          <w:sz w:val="21"/>
          <w:szCs w:val="21"/>
          <w:highlight w:val="none"/>
          <w:lang w:val="en-US" w:eastAsia="zh-CN"/>
        </w:rPr>
        <w:t>（4）可靠性原则</w:t>
      </w:r>
      <w:bookmarkEnd w:id="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在设计上要充分考虑提供安全可靠的技术和管理方式，通过增加设计，提高质量和控制业务流程等多种手段加以保障。而任一时刻的系统故障都有可能给用户带来不可估量的损失，这就要求系统具有高度的可靠性。提高系统可靠性的方法很多，一般的做法如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①采用具有容错功能的服务器及网络设备，选用双机备份、Cluster技术的硬件设备配置方案，出现故障时能够迅速恢复并有适当的应急措施；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②采用数据备份恢复、数据日志、故障处理等系统故障对策功能；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③采用网络管理、严格的系统运行控制等系统监控功能。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0" w:name="_Toc464295685"/>
      <w:r>
        <w:rPr>
          <w:rFonts w:hint="eastAsia" w:ascii="宋体" w:hAnsi="宋体" w:eastAsia="宋体" w:cs="宋体"/>
          <w:color w:val="auto"/>
          <w:sz w:val="21"/>
          <w:szCs w:val="21"/>
          <w:highlight w:val="none"/>
          <w:lang w:val="en-US" w:eastAsia="zh-CN"/>
        </w:rPr>
        <w:t>（5）可操作性原则</w:t>
      </w:r>
      <w:bookmarkEnd w:id="10"/>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系统在设计上要充分考虑用户界面应方便、友好、灵活，用户应能够方便地在权限范围内于各子系统之间切换。系统有良好的整体化设计，同时完善的帮助系统也是增强可操作性的必要辅助工具之一。</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1" w:name="_Toc464295686"/>
      <w:r>
        <w:rPr>
          <w:rFonts w:hint="eastAsia" w:ascii="宋体" w:hAnsi="宋体" w:eastAsia="宋体" w:cs="宋体"/>
          <w:color w:val="auto"/>
          <w:sz w:val="21"/>
          <w:szCs w:val="21"/>
          <w:highlight w:val="none"/>
          <w:lang w:val="en-US" w:eastAsia="zh-CN"/>
        </w:rPr>
        <w:t>（6）灵活性原则</w:t>
      </w:r>
      <w:bookmarkEnd w:id="11"/>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应用系统不依赖于特定硬件环境，在系统结构一致的前提下可选择实施各模块的应用，系统具有可实施性，各模块可单独实施并使用。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（7）总体规划、分步实施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必须本着“整体规划，统一组织，分步实施”的原则进行开发建设，系统建设应在建设之初的统一规划下，充分考虑以上多方的情况，有机的、分步骤的逐步完善。此外，系统的建设涉及众多新的和复杂的软硬件技术，工程实施环节复杂，应按照总体设计的规划来进行分步实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（8）标准化的开发与设计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开发与建设应做到工作标准统一、业务流程统一、服务程序统一。在业务、软件产品、通信技术等各方面采用行业、国家和国际标准化组织制定的有关技术规范与标准。保证信息流传递快速顺畅，网络运行安全可靠。</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（9）完备的安全体系</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安全性也是设计与开发应用系统的首要考虑因素，是整个过程中应当遵循的准则。应用系统在设计时制定一整套有效的安全措施以保证整个系统的安全性，能够满足本系统制定的安全管理需要，能够防止来自内、外部入侵的威胁。</w:t>
      </w:r>
      <w:bookmarkStart w:id="12" w:name="_Toc492827699"/>
      <w:bookmarkStart w:id="13" w:name="_Toc464295680"/>
      <w:bookmarkStart w:id="14" w:name="_Toc482014738"/>
      <w:bookmarkStart w:id="15" w:name="_Toc478585642"/>
      <w:bookmarkStart w:id="16" w:name="_Hlk24981767"/>
      <w:bookmarkStart w:id="17" w:name="_Toc2869095"/>
      <w:bookmarkStart w:id="18" w:name="_Toc486187148"/>
      <w:r>
        <w:rPr>
          <w:rFonts w:hint="eastAsia" w:ascii="宋体" w:hAnsi="宋体" w:eastAsia="宋体" w:cs="宋体"/>
          <w:color w:val="auto"/>
          <w:sz w:val="21"/>
          <w:szCs w:val="21"/>
          <w:highlight w:val="none"/>
          <w:lang w:val="en-US" w:eastAsia="zh-CN"/>
        </w:rPr>
        <w:t xml:space="preserve"> </w:t>
      </w:r>
      <w:bookmarkEnd w:id="12"/>
      <w:bookmarkEnd w:id="13"/>
      <w:bookmarkEnd w:id="14"/>
      <w:bookmarkEnd w:id="15"/>
      <w:bookmarkEnd w:id="16"/>
      <w:bookmarkEnd w:id="17"/>
      <w:bookmarkStart w:id="19" w:name="_Toc32953108"/>
      <w:bookmarkStart w:id="20" w:name="_Toc89159903"/>
      <w:bookmarkStart w:id="21" w:name="_Toc72943016"/>
      <w:bookmarkStart w:id="22" w:name="_Toc73465597"/>
      <w:bookmarkStart w:id="23" w:name="_Toc83368270"/>
    </w:p>
    <w:p>
      <w:pPr>
        <w:spacing w:line="520" w:lineRule="exact"/>
        <w:ind w:firstLine="560"/>
        <w:rPr>
          <w:rFonts w:hint="eastAsia"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2"/>
          <w:sz w:val="21"/>
          <w:szCs w:val="21"/>
          <w:highlight w:val="none"/>
          <w:lang w:val="en-US" w:eastAsia="zh-CN" w:bidi="ar-SA"/>
          <w14:textFill>
            <w14:solidFill>
              <w14:schemeClr w14:val="tx1"/>
            </w14:solidFill>
          </w14:textFill>
        </w:rPr>
        <w:t>1.2技术路线</w:t>
      </w:r>
      <w:bookmarkEnd w:id="18"/>
      <w:bookmarkEnd w:id="19"/>
      <w:bookmarkEnd w:id="20"/>
      <w:bookmarkEnd w:id="21"/>
      <w:bookmarkEnd w:id="22"/>
      <w:bookmarkEnd w:id="2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基于云计算架构，基础设施服务层（Infrastructure as a Service, 简称“IaaS”）充分利用依托现有政务云数据中心，利用虚拟化技术，实现计算和存储资源的弹性化配置与可靠管理；业务基础平台服务层（Platform as a Service, 简称“PaaS”）应基于构件复用技术，实现各类应用系统支撑环境（含中间件，如业务数据模型、业务流程、业务报表等）的集约化建设。业务应用服务层(Software as a Service, 简称“SaaS”)应提供开发区安全、环保、应急、消防、能源、封闭化等业务的具体应用，并能够根据实际需要实现用户权限管理、业务与功能定制、系统维护管理、数据备份恢复等。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系统采用组件化设计思路，支持面向服务的体系架构(Service-Oriented Architecture，SOA)，提供可持续加载和维护业务的功能模块，能够持续完善和不断扩展系统功能。系统应主要采用B/S结构，遵循通用Web浏览器规范实现，支持云计算服务环境。</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信息系统的设计与实现整体上要考虑技术先进性与成熟性相结合的原则，同时还要兼顾安全生产信息系统发展的现状以及相关行业的发展。为此，我们采用如下的技术路线：</w:t>
      </w:r>
    </w:p>
    <w:p>
      <w:pPr>
        <w:pStyle w:val="38"/>
        <w:spacing w:line="240" w:lineRule="auto"/>
        <w:ind w:firstLine="560"/>
      </w:pPr>
      <w:r>
        <w:drawing>
          <wp:inline distT="0" distB="0" distL="0" distR="0">
            <wp:extent cx="5080635" cy="3608070"/>
            <wp:effectExtent l="0" t="0" r="5715"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5082330" cy="3609191"/>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整个系统架构设计的出发点是帮助信息系统的用户使用某种技术手段来完成业务流程，其本质是“业务流程”，而不是一个计算机系统或计算机应用。在这一原则之下，我们系统的设计是围绕着“业务流程”展开的，整个业务功能的设计和实现采用模型驱动和SOA（面向服务的体系架构）的思想，充分保证系统功能和流程实现的灵活性和扩展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为此，本平台采用基于SOA(Service Oriented Architecture)的双总线IT架构体系，同时辅以先进的数据管理，以实现业务与数据的松耦合、数据在业务系统建设及使用中的价值，通过服务的解耦、业务与数据的分离，可实现业务的低成本构建、弹性加载、灵活调度与路由，数据的充分交换共享，以及数据驱动下的业务智能决策支持。能够消除信息系统的信息孤岛，优化IT系统结构，提升业务敏捷性与智能性，显著增加智慧开发区信息化建设工程的经济效益和社会效益。</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数据应用部分（数据中心），通过ETL对业务的数据进行处理，并根据数据规范与标准，形成了主数据、元数据，对数据的规范化、一致性、语义进行统一描述、集中管理，随需应用，并在ETL的基础上形成了数据仓库，以通过BI为管理业务提供先进的，基于数据的智能决策支持服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系统的软件体系全部采用组件化设计，支持面向服务的体系架构(SOA)；支持二次开发新的功能模块，以扩充系统功能；系统主要采用B/S结构，遵循通用Web浏览器规范实现，符合J2EE规范。</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系统提供统一的数据交换接口和应用服务接口，采用XML作为统一的数据接口格式，使用中间件技术来封装所有的业务逻辑，服务接口支持Web Service技术。</w:t>
      </w:r>
    </w:p>
    <w:p>
      <w:pPr>
        <w:spacing w:line="48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bookmarkStart w:id="24" w:name="_Toc89159904"/>
      <w:r>
        <w:rPr>
          <w:rFonts w:hint="eastAsia" w:cs="Times New Roman"/>
          <w:b/>
          <w:bCs/>
          <w:color w:val="auto"/>
          <w:kern w:val="2"/>
          <w:sz w:val="21"/>
          <w:szCs w:val="21"/>
          <w:highlight w:val="none"/>
          <w:lang w:val="en-US" w:eastAsia="zh-CN" w:bidi="ar-SA"/>
        </w:rPr>
        <w:t>1.3</w:t>
      </w:r>
      <w:r>
        <w:rPr>
          <w:rFonts w:hint="eastAsia" w:ascii="Times New Roman" w:hAnsi="Times New Roman" w:eastAsia="宋体" w:cs="Times New Roman"/>
          <w:b/>
          <w:bCs/>
          <w:color w:val="auto"/>
          <w:kern w:val="2"/>
          <w:sz w:val="21"/>
          <w:szCs w:val="21"/>
          <w:highlight w:val="none"/>
          <w:lang w:val="en-US" w:eastAsia="zh-CN" w:bidi="ar-SA"/>
        </w:rPr>
        <w:t>体系架构</w:t>
      </w:r>
      <w:bookmarkEnd w:id="24"/>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安全、绿色、管理、服务、智慧”为开发区的建设准绳，以安全监管等为核心业务目标，对开发区化工园区进行顶层设计，利用云计算、物联网、互联网、大数据等信息化技术，以开发区化工园区各业务系统汇集而来的海量数据为基石，经过大数据平台的融合梳理，结合预警报警模型、事故模型等大数据分析模型的建立，为开发区化工园区提供多种类型的决策依据、综合预警报警和可视化管理工具，并建立一套整合化工开发区化工园区安全、应急、能源、封闭化、物流、管网、办公、公共服务等于一体的、响应开发区化工园区建设规范要求的、具有较强集成和感知能力的智慧开发区化工园区平台。</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宋体" w:hAnsi="宋体" w:eastAsia="宋体" w:cs="宋体"/>
          <w:color w:val="auto"/>
          <w:sz w:val="21"/>
          <w:szCs w:val="21"/>
          <w:highlight w:val="none"/>
          <w:lang w:val="en-US" w:eastAsia="zh-CN"/>
        </w:rPr>
      </w:pPr>
      <w:bookmarkStart w:id="25" w:name="_Toc2869100"/>
      <w:bookmarkStart w:id="26" w:name="_Toc89159905"/>
      <w:bookmarkStart w:id="27" w:name="_Toc73465599"/>
      <w:bookmarkStart w:id="28" w:name="_Toc32953110"/>
      <w:bookmarkStart w:id="29" w:name="_Toc72943018"/>
      <w:r>
        <w:rPr>
          <w:rFonts w:hint="eastAsia" w:ascii="宋体" w:hAnsi="宋体" w:eastAsia="宋体" w:cs="宋体"/>
          <w:color w:val="auto"/>
          <w:sz w:val="21"/>
          <w:szCs w:val="21"/>
          <w:highlight w:val="none"/>
          <w:lang w:val="en-US" w:eastAsia="zh-CN"/>
        </w:rPr>
        <w:t>1.3.1业务系统架构设计</w:t>
      </w:r>
      <w:bookmarkEnd w:id="25"/>
      <w:bookmarkEnd w:id="26"/>
      <w:bookmarkEnd w:id="27"/>
      <w:bookmarkEnd w:id="28"/>
      <w:bookmarkEnd w:id="29"/>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本系统架构以系统安全管理机制、系统运行管理机制为保障，分为基础支撑层、数据支撑层、应用支撑层、智慧业务应用层、统一门户展示层。</w:t>
      </w:r>
    </w:p>
    <w:p>
      <w:pPr>
        <w:keepNext w:val="0"/>
        <w:keepLines w:val="0"/>
        <w:pageBreakBefore w:val="0"/>
        <w:widowControl w:val="0"/>
        <w:kinsoku/>
        <w:wordWrap/>
        <w:overflowPunct/>
        <w:topLinePunct w:val="0"/>
        <w:autoSpaceDE/>
        <w:autoSpaceDN/>
        <w:bidi w:val="0"/>
        <w:adjustRightInd/>
        <w:snapToGrid/>
        <w:spacing w:line="52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总体系统架构如下图所示：</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color w:val="auto"/>
          <w:sz w:val="21"/>
          <w:szCs w:val="21"/>
          <w:highlight w:val="none"/>
          <w:lang w:val="en-US" w:eastAsia="zh-CN"/>
        </w:rPr>
      </w:pPr>
    </w:p>
    <w:p>
      <w:pPr>
        <w:pStyle w:val="2"/>
        <w:ind w:left="0" w:leftChars="0" w:firstLine="0" w:firstLineChars="0"/>
        <w:jc w:val="left"/>
      </w:pPr>
      <w:r>
        <w:object>
          <v:shape id="_x0000_i1025" o:spt="75" type="#_x0000_t75" style="height:491.35pt;width:462.55pt;" o:ole="t" filled="f" o:preferrelative="t" stroked="f" coordsize="21600,21600">
            <v:path/>
            <v:fill on="f" focussize="0,0"/>
            <v:stroke on="f" joinstyle="miter"/>
            <v:imagedata r:id="rId17" o:title=""/>
            <o:lock v:ext="edit" aspectratio="t"/>
            <w10:wrap type="none"/>
            <w10:anchorlock/>
          </v:shape>
          <o:OLEObject Type="Embed" ProgID="Visio.Drawing.15" ShapeID="_x0000_i1025" DrawAspect="Content" ObjectID="_1468075725">
            <o:LockedField>false</o:LockedField>
          </o:OLEObject>
        </w:object>
      </w:r>
    </w:p>
    <w:p>
      <w:pP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br w:type="page"/>
      </w:r>
    </w:p>
    <w:p>
      <w:pPr>
        <w:pStyle w:val="2"/>
        <w:ind w:left="0" w:leftChars="0" w:firstLine="404" w:firstLineChars="200"/>
        <w:jc w:val="left"/>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本系统的所有服务接口将按照标准规范进行封装、注册、发布、调用，由服务管理平台统一完成权限认证、消息路由等功能，并基于该标准去调用其它系统或公共组件的服务接口。</w:t>
      </w:r>
    </w:p>
    <w:p>
      <w:pPr>
        <w:ind w:firstLine="480"/>
        <w:jc w:val="center"/>
        <w:rPr>
          <w:sz w:val="24"/>
          <w:szCs w:val="24"/>
        </w:rPr>
      </w:pPr>
      <w:r>
        <w:rPr>
          <w:sz w:val="24"/>
          <w:szCs w:val="24"/>
        </w:rPr>
        <w:drawing>
          <wp:inline distT="0" distB="0" distL="0" distR="0">
            <wp:extent cx="3582670" cy="2695575"/>
            <wp:effectExtent l="0" t="0" r="0" b="952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3582670" cy="2695575"/>
                    </a:xfrm>
                    <a:prstGeom prst="rect">
                      <a:avLst/>
                    </a:prstGeom>
                    <a:noFill/>
                    <a:ln>
                      <a:noFill/>
                    </a:ln>
                  </pic:spPr>
                </pic:pic>
              </a:graphicData>
            </a:graphic>
          </wp:inline>
        </w:drawing>
      </w:r>
    </w:p>
    <w:p>
      <w:pPr>
        <w:spacing w:line="48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bookmarkStart w:id="30" w:name="_Toc32953111"/>
      <w:bookmarkStart w:id="31" w:name="_Toc73465600"/>
      <w:bookmarkStart w:id="32" w:name="_Toc89159906"/>
      <w:bookmarkStart w:id="33" w:name="_Toc72943019"/>
      <w:r>
        <w:rPr>
          <w:rFonts w:hint="eastAsia" w:cs="Times New Roman"/>
          <w:b/>
          <w:bCs/>
          <w:color w:val="auto"/>
          <w:kern w:val="2"/>
          <w:sz w:val="21"/>
          <w:szCs w:val="21"/>
          <w:highlight w:val="none"/>
          <w:lang w:val="en-US" w:eastAsia="zh-CN" w:bidi="ar-SA"/>
        </w:rPr>
        <w:t>1.3.2</w:t>
      </w:r>
      <w:r>
        <w:rPr>
          <w:rFonts w:hint="eastAsia" w:ascii="Times New Roman" w:hAnsi="Times New Roman" w:eastAsia="宋体" w:cs="Times New Roman"/>
          <w:b/>
          <w:bCs/>
          <w:color w:val="auto"/>
          <w:kern w:val="2"/>
          <w:sz w:val="21"/>
          <w:szCs w:val="21"/>
          <w:highlight w:val="none"/>
          <w:lang w:val="en-US" w:eastAsia="zh-CN" w:bidi="ar-SA"/>
        </w:rPr>
        <w:t>整体网络架构设计</w:t>
      </w:r>
      <w:bookmarkEnd w:id="30"/>
      <w:bookmarkEnd w:id="31"/>
      <w:bookmarkEnd w:id="32"/>
      <w:bookmarkEnd w:id="3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34" w:name="_Toc2869106"/>
      <w:bookmarkStart w:id="35" w:name="_Toc32953112"/>
      <w:bookmarkStart w:id="36" w:name="_Toc72943020"/>
      <w:bookmarkStart w:id="37" w:name="_Toc492827710"/>
      <w:r>
        <w:rPr>
          <w:rFonts w:hint="eastAsia" w:ascii="宋体" w:hAnsi="宋体" w:eastAsia="宋体" w:cs="宋体"/>
          <w:color w:val="auto"/>
          <w:sz w:val="21"/>
          <w:szCs w:val="21"/>
          <w:highlight w:val="none"/>
          <w:lang w:val="en-US" w:eastAsia="zh-CN"/>
        </w:rPr>
        <w:t>系统应部署在政务云的云资源中，包含1台应用服务器、2台数据服务器。应用服务器既可以对政务外网提供服务，也可以通过交换网闸向互联网提供系统服务。数据服务器不对外提供访问。应确保信息系统等级符合要求，落实网络安全主体责任，加强网络安全保障，确保项目实施安全有序。项目实际网络拓扑图如下：</w:t>
      </w:r>
    </w:p>
    <w:p>
      <w:pPr>
        <w:ind w:firstLine="560" w:firstLineChars="200"/>
      </w:pPr>
      <w:r>
        <w:drawing>
          <wp:inline distT="0" distB="0" distL="0" distR="0">
            <wp:extent cx="5054600" cy="451993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5055269" cy="4520893"/>
                    </a:xfrm>
                    <a:prstGeom prst="rect">
                      <a:avLst/>
                    </a:prstGeom>
                    <a:noFill/>
                    <a:ln>
                      <a:noFill/>
                    </a:ln>
                  </pic:spPr>
                </pic:pic>
              </a:graphicData>
            </a:graphic>
          </wp:inline>
        </w:drawing>
      </w:r>
    </w:p>
    <w:p>
      <w:pPr>
        <w:pStyle w:val="6"/>
        <w:spacing w:before="120" w:after="0"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bookmarkStart w:id="38" w:name="_Toc89159907"/>
      <w:bookmarkStart w:id="39" w:name="_Toc73465601"/>
      <w:r>
        <w:rPr>
          <w:rFonts w:hint="eastAsia" w:eastAsia="宋体" w:cs="Times New Roman"/>
          <w:b/>
          <w:bCs/>
          <w:color w:val="auto"/>
          <w:kern w:val="2"/>
          <w:sz w:val="21"/>
          <w:szCs w:val="21"/>
          <w:highlight w:val="none"/>
          <w:lang w:val="en-US" w:eastAsia="zh-CN" w:bidi="ar-SA"/>
        </w:rPr>
        <w:t>1.3.3</w:t>
      </w:r>
      <w:r>
        <w:rPr>
          <w:rFonts w:hint="eastAsia" w:ascii="Times New Roman" w:hAnsi="Times New Roman" w:eastAsia="宋体" w:cs="Times New Roman"/>
          <w:b/>
          <w:bCs/>
          <w:color w:val="auto"/>
          <w:kern w:val="2"/>
          <w:sz w:val="21"/>
          <w:szCs w:val="21"/>
          <w:highlight w:val="none"/>
          <w:lang w:val="en-US" w:eastAsia="zh-CN" w:bidi="ar-SA"/>
        </w:rPr>
        <w:t>安全体系架构</w:t>
      </w:r>
      <w:bookmarkEnd w:id="34"/>
      <w:bookmarkEnd w:id="35"/>
      <w:bookmarkEnd w:id="36"/>
      <w:bookmarkEnd w:id="37"/>
      <w:bookmarkEnd w:id="38"/>
      <w:bookmarkEnd w:id="3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以全系统 IT 资源为保障对象，按照三级等保技术要求，建设开发区“安全可信、可管可控、智能运营”应急管理网络安全防护体系，保障资源安全性。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依托身份管理系统、密码管理系统，构建身份认证、权限管理系统和密码管理前置系统，形成统一的用户认证系统，实现身份与密码的统一管理。</w:t>
      </w:r>
    </w:p>
    <w:p>
      <w:pPr>
        <w:jc w:val="left"/>
        <w:rPr>
          <w:rFonts w:ascii="微软雅黑" w:hAnsi="微软雅黑" w:cs="Times New Roman"/>
        </w:rPr>
      </w:pPr>
      <w:r>
        <w:drawing>
          <wp:inline distT="0" distB="0" distL="0" distR="0">
            <wp:extent cx="5734685" cy="3526155"/>
            <wp:effectExtent l="0" t="0" r="18415" b="171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0"/>
                    <a:stretch>
                      <a:fillRect/>
                    </a:stretch>
                  </pic:blipFill>
                  <pic:spPr>
                    <a:xfrm>
                      <a:off x="0" y="0"/>
                      <a:ext cx="5734685" cy="3526155"/>
                    </a:xfrm>
                    <a:prstGeom prst="rect">
                      <a:avLst/>
                    </a:prstGeom>
                  </pic:spPr>
                </pic:pic>
              </a:graphicData>
            </a:graphic>
          </wp:inline>
        </w:drawing>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40" w:name="_Toc89159908"/>
      <w:bookmarkStart w:id="41" w:name="_Toc83368271"/>
      <w:r>
        <w:rPr>
          <w:rFonts w:hint="eastAsia" w:ascii="Times New Roman" w:hAnsi="Times New Roman" w:eastAsia="宋体" w:cs="Times New Roman"/>
          <w:b/>
          <w:bCs/>
          <w:color w:val="auto"/>
          <w:kern w:val="2"/>
          <w:sz w:val="21"/>
          <w:szCs w:val="21"/>
          <w:highlight w:val="none"/>
          <w:lang w:val="en-US" w:eastAsia="zh-CN" w:bidi="ar-SA"/>
        </w:rPr>
        <w:t>2.兰溪经济开发区化工园区一体化智慧管控平台</w:t>
      </w:r>
      <w:bookmarkEnd w:id="40"/>
      <w:bookmarkEnd w:id="41"/>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42" w:name="_Toc89159909"/>
      <w:bookmarkStart w:id="43" w:name="_Toc83368272"/>
      <w:bookmarkStart w:id="44" w:name="_Toc73465603"/>
      <w:r>
        <w:rPr>
          <w:rFonts w:hint="eastAsia" w:ascii="Times New Roman" w:hAnsi="Times New Roman" w:eastAsia="宋体" w:cs="Times New Roman"/>
          <w:b/>
          <w:bCs/>
          <w:color w:val="auto"/>
          <w:kern w:val="2"/>
          <w:sz w:val="21"/>
          <w:szCs w:val="21"/>
          <w:highlight w:val="none"/>
          <w:lang w:val="en-US" w:eastAsia="zh-CN" w:bidi="ar-SA"/>
        </w:rPr>
        <w:t>2.1三维倾斜摄影数据制作</w:t>
      </w:r>
      <w:bookmarkEnd w:id="42"/>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45" w:name="_Toc89159910"/>
      <w:r>
        <w:rPr>
          <w:rFonts w:hint="eastAsia" w:ascii="宋体" w:hAnsi="宋体" w:eastAsia="宋体" w:cs="宋体"/>
          <w:color w:val="auto"/>
          <w:sz w:val="21"/>
          <w:szCs w:val="21"/>
          <w:highlight w:val="none"/>
          <w:lang w:val="en-US" w:eastAsia="zh-CN"/>
        </w:rPr>
        <w:t>三维倾斜摄影数据制作：对兰溪经济开发区化工园区认定范围内（预计3平方公里）进行倾斜摄影，构建开发区地上三维模型，分辨率达到3cm。并对倾斜摄影数据进行单体化建模，包含建筑物、罐体、管廊等地上基础设施的单体化。通过支持倾斜摄影数据成果的三维GIS平台实现TB级倾斜摄影建模数据的高效加载与流畅显示</w:t>
      </w:r>
    </w:p>
    <w:p>
      <w:pPr>
        <w:spacing w:line="360" w:lineRule="auto"/>
        <w:ind w:firstLine="422" w:firstLineChars="200"/>
        <w:rPr>
          <w:rFonts w:hint="eastAsia"/>
          <w:b w:val="0"/>
          <w:bCs w:val="0"/>
          <w:color w:val="auto"/>
          <w:sz w:val="21"/>
          <w:szCs w:val="21"/>
          <w:highlight w:val="none"/>
          <w:lang w:val="en-US" w:eastAsia="zh-CN"/>
        </w:rPr>
      </w:pPr>
      <w:r>
        <w:rPr>
          <w:rFonts w:hint="eastAsia"/>
          <w:b/>
          <w:bCs/>
          <w:color w:val="auto"/>
          <w:sz w:val="21"/>
          <w:szCs w:val="21"/>
          <w:highlight w:val="none"/>
          <w:lang w:val="en-US" w:eastAsia="zh-CN"/>
        </w:rPr>
        <w:t>园区三维倾斜摄影数据采集</w:t>
      </w:r>
      <w:r>
        <w:rPr>
          <w:rFonts w:hint="eastAsia"/>
          <w:b w:val="0"/>
          <w:bCs w:val="0"/>
          <w:color w:val="auto"/>
          <w:sz w:val="21"/>
          <w:szCs w:val="21"/>
          <w:highlight w:val="none"/>
          <w:lang w:val="en-US" w:eastAsia="zh-CN"/>
        </w:rPr>
        <w:t>（预计3平方公里1:500）</w:t>
      </w:r>
    </w:p>
    <w:p>
      <w:pPr>
        <w:spacing w:line="360" w:lineRule="auto"/>
        <w:ind w:firstLine="422" w:firstLineChars="200"/>
        <w:rPr>
          <w:rFonts w:hint="eastAsia"/>
          <w:b/>
          <w:bCs/>
          <w:color w:val="auto"/>
          <w:sz w:val="21"/>
          <w:szCs w:val="21"/>
          <w:highlight w:val="none"/>
          <w:lang w:val="en-US" w:eastAsia="zh-CN"/>
        </w:rPr>
      </w:pPr>
      <w:r>
        <w:rPr>
          <w:rFonts w:hint="eastAsia"/>
          <w:b/>
          <w:bCs/>
          <w:color w:val="auto"/>
          <w:sz w:val="21"/>
          <w:szCs w:val="21"/>
          <w:highlight w:val="none"/>
          <w:lang w:val="en-US" w:eastAsia="zh-CN"/>
        </w:rPr>
        <w:t>精度要求</w:t>
      </w:r>
    </w:p>
    <w:p>
      <w:pPr>
        <w:spacing w:line="360" w:lineRule="auto"/>
        <w:ind w:firstLine="420" w:firstLineChars="200"/>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项目区域倾斜摄影航片分辨率应优于3cm。</w:t>
      </w:r>
    </w:p>
    <w:p>
      <w:pPr>
        <w:spacing w:line="360" w:lineRule="auto"/>
        <w:ind w:firstLine="422" w:firstLineChars="200"/>
        <w:rPr>
          <w:rFonts w:hint="eastAsia"/>
          <w:b/>
          <w:bCs/>
          <w:color w:val="auto"/>
          <w:sz w:val="21"/>
          <w:szCs w:val="21"/>
          <w:highlight w:val="none"/>
          <w:lang w:val="en-US" w:eastAsia="zh-CN"/>
        </w:rPr>
      </w:pPr>
      <w:r>
        <w:rPr>
          <w:rFonts w:hint="eastAsia"/>
          <w:b/>
          <w:bCs/>
          <w:color w:val="auto"/>
          <w:sz w:val="21"/>
          <w:szCs w:val="21"/>
          <w:highlight w:val="none"/>
          <w:lang w:val="en-US" w:eastAsia="zh-CN"/>
        </w:rPr>
        <w:t>模型精度</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实景三维地图建筑顶部、道路铺装等特征点相对邻近控制点的平面位置中误差应当小于±0.09米，高程中误差应当小于±0.1米，阴影、摄影死角、隐蔽等特殊困难地区可放宽50%。</w:t>
      </w:r>
    </w:p>
    <w:p>
      <w:pPr>
        <w:spacing w:line="360" w:lineRule="auto"/>
        <w:ind w:firstLine="422" w:firstLineChars="200"/>
        <w:rPr>
          <w:rFonts w:hint="eastAsia"/>
          <w:b/>
          <w:bCs/>
          <w:color w:val="auto"/>
          <w:sz w:val="21"/>
          <w:szCs w:val="21"/>
          <w:highlight w:val="none"/>
          <w:lang w:val="en-US" w:eastAsia="zh-CN"/>
        </w:rPr>
      </w:pPr>
      <w:r>
        <w:rPr>
          <w:rFonts w:hint="eastAsia"/>
          <w:b/>
          <w:bCs/>
          <w:color w:val="auto"/>
          <w:sz w:val="21"/>
          <w:szCs w:val="21"/>
          <w:highlight w:val="none"/>
          <w:lang w:val="en-US" w:eastAsia="zh-CN"/>
        </w:rPr>
        <w:t>模型质量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景模型要求结构、纹理完整。模型表面纹理颜色均匀，明暗合理。建筑物模型数据不应出现露面、镂空、黑洞等现象，保证模型的完整性。生成的建筑物模型应对产生的噪声、漏洞进行人工干预、修改，保持建筑物模型完整、棱角分明、结构清晰准确，各立面平整。水面必须通过压平处理，保证水面没有破洞。植被整体轮廓清晰自然，道路平整真实自然。三维数据应以所见即所得的方式真实反映园区原貌，所有地形、地物形状都是真实的。</w:t>
      </w:r>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w:t>
      </w:r>
      <w:r>
        <w:rPr>
          <w:rFonts w:hint="eastAsia" w:ascii="Times New Roman" w:hAnsi="Times New Roman" w:eastAsia="宋体" w:cs="Times New Roman"/>
          <w:b/>
          <w:bCs/>
          <w:color w:val="auto"/>
          <w:kern w:val="2"/>
          <w:sz w:val="21"/>
          <w:szCs w:val="21"/>
          <w:highlight w:val="none"/>
          <w:lang w:val="en-US" w:eastAsia="zh-CN" w:bidi="ar-SA"/>
        </w:rPr>
        <w:t>数据资源服务</w:t>
      </w:r>
      <w:bookmarkEnd w:id="43"/>
      <w:bookmarkEnd w:id="44"/>
      <w:bookmarkEnd w:id="45"/>
      <w:bookmarkStart w:id="46" w:name="_Toc73465612"/>
      <w:bookmarkStart w:id="47" w:name="_Toc72943027"/>
      <w:bookmarkStart w:id="48" w:name="_Toc72943022"/>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平台中的数据均通过规范的数据处理形成数据仓，用于内部共享和外部共享。重点建设安全生产数据仓，汇聚其他业务部门数据，可根据需求将数据推送至省化工产业大脑平台。同时可提供数据归集和开放接口，实现与兰溪一体化智能化公共数据平台无缝对接，并将数据无条件归集到兰溪市专题数据仓。</w:t>
      </w:r>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bookmarkStart w:id="49" w:name="_Toc89159911"/>
      <w:r>
        <w:rPr>
          <w:rFonts w:hint="eastAsia" w:cs="Times New Roman"/>
          <w:b/>
          <w:bCs/>
          <w:color w:val="auto"/>
          <w:kern w:val="2"/>
          <w:sz w:val="21"/>
          <w:szCs w:val="21"/>
          <w:highlight w:val="none"/>
          <w:lang w:val="en-US" w:eastAsia="zh-CN" w:bidi="ar-SA"/>
        </w:rPr>
        <w:t>2.2.1</w:t>
      </w:r>
      <w:r>
        <w:rPr>
          <w:rFonts w:hint="eastAsia" w:ascii="Times New Roman" w:hAnsi="Times New Roman" w:eastAsia="宋体" w:cs="Times New Roman"/>
          <w:b/>
          <w:bCs/>
          <w:color w:val="auto"/>
          <w:kern w:val="2"/>
          <w:sz w:val="21"/>
          <w:szCs w:val="21"/>
          <w:highlight w:val="none"/>
          <w:lang w:val="en-US" w:eastAsia="zh-CN" w:bidi="ar-SA"/>
        </w:rPr>
        <w:t>数据仓服务</w:t>
      </w:r>
      <w:bookmarkEnd w:id="49"/>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2.2.2</w:t>
      </w:r>
      <w:r>
        <w:rPr>
          <w:rFonts w:hint="eastAsia" w:ascii="Times New Roman" w:hAnsi="Times New Roman" w:eastAsia="宋体" w:cs="Times New Roman"/>
          <w:b/>
          <w:bCs/>
          <w:color w:val="auto"/>
          <w:kern w:val="2"/>
          <w:sz w:val="21"/>
          <w:szCs w:val="21"/>
          <w:highlight w:val="none"/>
          <w:lang w:val="en-US" w:eastAsia="zh-CN" w:bidi="ar-SA"/>
        </w:rPr>
        <w:t>数据目录编制</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2.2.3</w:t>
      </w:r>
      <w:r>
        <w:rPr>
          <w:rFonts w:hint="eastAsia" w:ascii="Times New Roman" w:hAnsi="Times New Roman" w:eastAsia="宋体" w:cs="Times New Roman"/>
          <w:b/>
          <w:bCs/>
          <w:color w:val="auto"/>
          <w:kern w:val="2"/>
          <w:sz w:val="21"/>
          <w:szCs w:val="21"/>
          <w:highlight w:val="none"/>
          <w:lang w:val="en-US" w:eastAsia="zh-CN" w:bidi="ar-SA"/>
        </w:rPr>
        <w:t>编目要求</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通过安全生产智慧监管项目建设规划，对归集的开发区智能化管理数据、企业数据、监测数据、运行管理数据，确保数据全量进入目录，做到目录之外无数据。</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2.2.4</w:t>
      </w:r>
      <w:r>
        <w:rPr>
          <w:rFonts w:hint="eastAsia" w:ascii="Times New Roman" w:hAnsi="Times New Roman" w:eastAsia="宋体" w:cs="Times New Roman"/>
          <w:b/>
          <w:bCs/>
          <w:color w:val="auto"/>
          <w:kern w:val="2"/>
          <w:sz w:val="21"/>
          <w:szCs w:val="21"/>
          <w:highlight w:val="none"/>
          <w:lang w:val="en-US" w:eastAsia="zh-CN" w:bidi="ar-SA"/>
        </w:rPr>
        <w:t>目录更新维护</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根据安全生产智慧监管项目系统情况，按照《公共数据资源目录编制指南》结合项目实际需求，实现在本系统上数据目录更新，包含目录新增、删除、修改、查询等操作。 </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2.2.5</w:t>
      </w:r>
      <w:r>
        <w:rPr>
          <w:rFonts w:hint="eastAsia" w:ascii="Times New Roman" w:hAnsi="Times New Roman" w:eastAsia="宋体" w:cs="Times New Roman"/>
          <w:b/>
          <w:bCs/>
          <w:color w:val="auto"/>
          <w:kern w:val="2"/>
          <w:sz w:val="21"/>
          <w:szCs w:val="21"/>
          <w:highlight w:val="none"/>
          <w:lang w:val="en-US" w:eastAsia="zh-CN" w:bidi="ar-SA"/>
        </w:rPr>
        <w:t>数据治理工作</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通过数据归集实现项目中的数据汇聚，并依据业务对数据中的脏数据、重复数据、错误数据进行清洗，清洗完成后，按照数据的维度、业务属性等不同的维度进行分类。</w:t>
      </w:r>
    </w:p>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2.2.6</w:t>
      </w:r>
      <w:r>
        <w:rPr>
          <w:rFonts w:hint="eastAsia" w:ascii="Times New Roman" w:hAnsi="Times New Roman" w:eastAsia="宋体" w:cs="Times New Roman"/>
          <w:b/>
          <w:bCs/>
          <w:color w:val="auto"/>
          <w:kern w:val="2"/>
          <w:sz w:val="21"/>
          <w:szCs w:val="21"/>
          <w:highlight w:val="none"/>
          <w:lang w:val="en-US" w:eastAsia="zh-CN" w:bidi="ar-SA"/>
        </w:rPr>
        <w:t>治理策略</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（1）统一标准元数据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1）统一数据口径、标明数据方位、分析数据关系、管理模型变更；</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2）全链路统一标准元数据，保证配置信息在每层都统一、复用。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（2）统一治理流程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1）提供统一数据标准；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2）提供统一数据获取与分发、数据交换与共享的规范和流程；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3）提供统一数据全流程监控；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4）提供统一数据访问管理。</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2.2.7</w:t>
      </w:r>
      <w:r>
        <w:rPr>
          <w:rFonts w:hint="eastAsia" w:ascii="Times New Roman" w:hAnsi="Times New Roman" w:eastAsia="宋体" w:cs="Times New Roman"/>
          <w:b/>
          <w:bCs/>
          <w:color w:val="auto"/>
          <w:kern w:val="2"/>
          <w:sz w:val="21"/>
          <w:szCs w:val="21"/>
          <w:highlight w:val="none"/>
          <w:lang w:val="en-US" w:eastAsia="zh-CN" w:bidi="ar-SA"/>
        </w:rPr>
        <w:t>数据采集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本项目归集的数据资源包括了线上数据采集、离线数据归集等共近百种达亿级结构化、半结构化和非结构化数据及GIS数据，具体情况如下：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线上数据：平台运营过程中，向相关数据管理部门进行授权后的数据采集。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离线数据：通过数据采集平台获取的其他部门数据。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数据特点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沉淀在政府部门的大量数据监管严，种类繁多，难以获取，处理难度大。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政府各部门信息系统建设方众多，更新频率高，数据量巨大，由于缺乏统一标准导致利用效率低下。</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2.2.8</w:t>
      </w:r>
      <w:r>
        <w:rPr>
          <w:rFonts w:hint="eastAsia" w:ascii="Times New Roman" w:hAnsi="Times New Roman" w:eastAsia="宋体" w:cs="Times New Roman"/>
          <w:b/>
          <w:bCs/>
          <w:color w:val="auto"/>
          <w:kern w:val="2"/>
          <w:sz w:val="21"/>
          <w:szCs w:val="21"/>
          <w:highlight w:val="none"/>
          <w:lang w:val="en-US" w:eastAsia="zh-CN" w:bidi="ar-SA"/>
        </w:rPr>
        <w:t>数据分类</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依据不同的业务场景，将采集的数据进行分类，包括结构化数据、非结构化数据、半结构化数据。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结构化数据：也称作行数据，是由二维表结构来逻辑表达和实现的数据，严格地遵循数据格式与长度规范，主要通过关系型数据库进行存储和管理；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非结构化数据：数据结构不规则或不完整，没有预定义的数据模型，不方便用数据库二维逻辑表来表现的数据；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半结构化数据：是结构化的数据，但是结构变化很大，不适合通过关系型数据库储存。</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2.2.9</w:t>
      </w:r>
      <w:r>
        <w:rPr>
          <w:rFonts w:hint="eastAsia" w:ascii="Times New Roman" w:hAnsi="Times New Roman" w:eastAsia="宋体" w:cs="Times New Roman"/>
          <w:b/>
          <w:bCs/>
          <w:color w:val="auto"/>
          <w:kern w:val="2"/>
          <w:sz w:val="21"/>
          <w:szCs w:val="21"/>
          <w:highlight w:val="none"/>
          <w:lang w:val="en-US" w:eastAsia="zh-CN" w:bidi="ar-SA"/>
        </w:rPr>
        <w:t>接入方法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数据接入支持异构数据库之间传输、不同类型文件数据传输、跨服务器的文件传输、数据库传输。</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从政府部门中间库或前置机数据库中采集数据，按照定义好的数据交换方式生成数据包，由定制好的发送路由发送给接收方。接收方接收到数据包后自动进行解包处理，并将数据存储到接收方的前置机交换数据库中。</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1.采集内容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全量采集：全量采集较为简单,即将数据源中数据(如表或视图)从数据库中采集出来，保持原始数据结构与容量。类似于数据迁移或数据复制。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增量采集：采集增量数据(包括新增或修改的数据)。即采集自上次采集以来数据库中表或视图中新增或修改的数据。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2.采集方式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触发器方式：触发器方式是普遍采取的一种增量采集机制。该方式是根据采集要求，在要被采集的源表上建立插入、修改、删除3个触发器，每当源表中的数据发生变化，就被相应的触发器将变化的数据写入一个增量日志表，从增量日志表中而不是直接在源表中采集数据，同时增量日志表中采集过的数据要及时被标记或删除。</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时间戳方式：时间戳方式是指增量采集时，采集进程通过比较系统时间与采集源表的时间戳字段的值来决定采集哪些数据。这种方式需要在源表上增加一个时间戳字段，系统中更新修改表数据的时候，同时修改时间戳字段的值。</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全表删除插入方式：是指每次采集前先删除目标表数据，采集时全新加载数据。该方式实际上将增量采集等同于全量采集。对于数据量不大，全量采集的时间代价小于执行增量采集的算法和条件代价时，可以采用该方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全表比对方式：先采集源数据，并根据相应的规则进行，完成后先不插入目标表，而是将源数据的每条数据与目标表中的数据进行对比。对比时，可根据表的主键值进行新增或更新的判断。若目标表已存在该主键值的，表明目标表中该数据已存在，然后在进行其余字段的对比，若完全相同，则不进行更新操作，反之，需进行更新操作；若目标表没有存在该主键值，表明目标表中该数据不存在，进行新增操作即可。</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2.2.10</w:t>
      </w:r>
      <w:r>
        <w:rPr>
          <w:rFonts w:hint="eastAsia" w:ascii="Times New Roman" w:hAnsi="Times New Roman" w:eastAsia="宋体" w:cs="Times New Roman"/>
          <w:b/>
          <w:bCs/>
          <w:color w:val="auto"/>
          <w:kern w:val="2"/>
          <w:sz w:val="21"/>
          <w:szCs w:val="21"/>
          <w:highlight w:val="none"/>
          <w:lang w:val="en-US" w:eastAsia="zh-CN" w:bidi="ar-SA"/>
        </w:rPr>
        <w:t>数据处理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类数据在整合到资源库时，将经过一系列的数据整合处理，主要数据处理服务包括数据归集、数据清洗转换服务、数据装载服务、数据校验服务、数据标准化相关服务、数据预处理相关服务、数据质量纠错等相关服务。通过这一系统的数据处理，可获得高质量的数据，为下一步数据组织和应用提供有效的支撑。</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2.2.11</w:t>
      </w:r>
      <w:r>
        <w:rPr>
          <w:rFonts w:hint="eastAsia" w:ascii="Times New Roman" w:hAnsi="Times New Roman" w:eastAsia="宋体" w:cs="Times New Roman"/>
          <w:b/>
          <w:bCs/>
          <w:color w:val="auto"/>
          <w:kern w:val="2"/>
          <w:sz w:val="21"/>
          <w:szCs w:val="21"/>
          <w:highlight w:val="none"/>
          <w:lang w:val="en-US" w:eastAsia="zh-CN" w:bidi="ar-SA"/>
        </w:rPr>
        <w:t>数据归集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构建数据汇聚集群，实现并行化的从不同类型数据源，高性能并行汇聚需要进行数据分析或数据挖掘处理的各种类型数据。实现汇聚多种类型数据源，保证数据一致性，实现原始库数据与资源库数据的删改情况同步更新，并行化高性能的汇聚数据资源。所汇聚的数据资源，会直接装载进分布式并行数据库内，用于后续的数据分析或数据挖掘的预处理。同时可对原始数据进行安全分析，用于识别敏感、涉密字段，标记安全等级。</w:t>
      </w:r>
    </w:p>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2.2.12</w:t>
      </w:r>
      <w:r>
        <w:rPr>
          <w:rFonts w:hint="eastAsia" w:ascii="Times New Roman" w:hAnsi="Times New Roman" w:eastAsia="宋体" w:cs="Times New Roman"/>
          <w:b/>
          <w:bCs/>
          <w:color w:val="auto"/>
          <w:kern w:val="2"/>
          <w:sz w:val="21"/>
          <w:szCs w:val="21"/>
          <w:highlight w:val="none"/>
          <w:lang w:val="en-US" w:eastAsia="zh-CN" w:bidi="ar-SA"/>
        </w:rPr>
        <w:t>建立数据标准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标准化是依托数据资源管理国家标准、政务信息标准体系，纳入元数据管理、局元素标注逻辑，按照统一格式和规则，对数据的定义、组织、监督和保护进行标准化的过程,该过程始终贯穿于数据接入、预处理和共享服务全流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预处理对从接入的数据、平台内部数据、部门间共享获取的数据进行流式处理，使得不同来源的数据格式相对统一、关联标识清楚，在一定程度上减少后续数据处理量，方便更为复杂的业务处理。数据标准化主要针对不同业务系统中的同类数据按照统一规则进行转换，如数据字典、地址门牌、单位部门、身份证、手机、电话格式、时间格式、性别、年龄段等数据的转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本项目中的数据将经过标准化处理的数据，在源头上进行处理，数据标准化服务的工作相对繁杂，需专人专门对数据标准化工作进行处理，以支撑大数据资源中心的业务数据的标准化。</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大数据标准化处理服务内容主要包括：</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标准化处理阶段，结合数据标准管理，整理已定义的数据元素、数据字典、相关标准规范和业务流程，在元数据管理模块中进行先期维护，对数据内容、使用范围、使用方式、质量、更新方式、更新周期、数据来源、负责单位、数据提供方、存储位置、处理逻辑、数据格式等内容进行统一管理，用以管理汇聚接入的数据资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(2)与标准数据元库的对接，同时按照标准数据元同步更新机制，可通过手动或系统自动导入的方式，将标准数据元同步至本地数据元库中。本地数据元库存放本地数据元和标准数据元。</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(3)依托数据元标准校验规则，对本地数据元进行数据标准化的规范校验，即把本地数据元所有真实数据字段与标准数据元进行比对并形成相关的结果报告。</w:t>
      </w:r>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2.2.13</w:t>
      </w:r>
      <w:r>
        <w:rPr>
          <w:rFonts w:hint="eastAsia" w:ascii="Times New Roman" w:hAnsi="Times New Roman" w:eastAsia="宋体" w:cs="Times New Roman"/>
          <w:b/>
          <w:bCs/>
          <w:color w:val="auto"/>
          <w:kern w:val="2"/>
          <w:sz w:val="21"/>
          <w:szCs w:val="21"/>
          <w:highlight w:val="none"/>
          <w:lang w:val="en-US" w:eastAsia="zh-CN" w:bidi="ar-SA"/>
        </w:rPr>
        <w:t>数据校验</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校验过程其实是在资源库建立完成后进行的，它是基于整合完成后的业务数据。数据校验主要是通过数据质量分析工具对已经建成的资源库的数据进行的校验操作。数据从业务系统数据库采集到大数据资源库时，同时进行相应的数据标准校验。如身份证合法校验，代码校验，日期格式校验等。在实时数据核验方面，需要支持接入数据的关键信息、唯一性信息的日志存储和查询统计；对于接入要求可靠性、一致性要求高的数据，将提供数据同步检查和校验功能，并输出详细日志；在离线数据核验方面，将实现数据质量的监测,并通过可视化的工具，展示接入数据的质量报告并提供数据异常动态报警；支持一定时间范围的接入状态统计，包括对数据更新、联通状态、数据量、校验等情况的统计。</w:t>
      </w:r>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2.2.14</w:t>
      </w:r>
      <w:r>
        <w:rPr>
          <w:rFonts w:hint="eastAsia" w:ascii="Times New Roman" w:hAnsi="Times New Roman" w:eastAsia="宋体" w:cs="Times New Roman"/>
          <w:b/>
          <w:bCs/>
          <w:color w:val="auto"/>
          <w:kern w:val="2"/>
          <w:sz w:val="21"/>
          <w:szCs w:val="21"/>
          <w:highlight w:val="none"/>
          <w:lang w:val="en-US" w:eastAsia="zh-CN" w:bidi="ar-SA"/>
        </w:rPr>
        <w:t>数据清洗转换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清洗过程主要是对业务数据中不符合标准规范或者无效的数据进行过滤操作，根据采集数据的来源不同，进行不同的数据清洗。在进行数据整合之前先定义数据的清洗规则，并对符合清洗规则的数据设置数据的错误级别。当进行数据整合过程中遇到符合清洗规则的数据时，系统将把这些业务数据置为问题数据，并根据错误的严重程度进行归类，并与数据质量管理相结合，完善数据治理流程，拓展数据分析范围，建立异常数据查找分析模型。当进行数据整合过程中遇到符合清洗规则的数据时，系统将把这些业务数据置为问题数据，并根据错误的严重程度进行归类。</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转换的过程包括数据格式转换、代码转换和值转换等数据转换方式，满足采购人数据中心数据转换要求。数据源多样，这些数据库当初在建立的过程中并没有考虑到统一数据格式或者代码规范，为了保证标准库数据的规范和一致，有必要在数据整合过程中对数据进行相应的转换。</w:t>
      </w:r>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2.2.15</w:t>
      </w:r>
      <w:r>
        <w:rPr>
          <w:rFonts w:hint="eastAsia" w:ascii="Times New Roman" w:hAnsi="Times New Roman" w:eastAsia="宋体" w:cs="Times New Roman"/>
          <w:b/>
          <w:bCs/>
          <w:color w:val="auto"/>
          <w:kern w:val="2"/>
          <w:sz w:val="21"/>
          <w:szCs w:val="21"/>
          <w:highlight w:val="none"/>
          <w:lang w:val="en-US" w:eastAsia="zh-CN" w:bidi="ar-SA"/>
        </w:rPr>
        <w:t>数据装载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装载则是根据大数据资源库结构，将经过整合后的数据插入到相应的数据表中。数据装载过程进行的主要操作是插入操作和修改操作。数据装载在系统完成了更新之后进行，在数据库中的数据来自多个相互关联的操作系统，则将保证在这些系统同步工作时移动数据。数据装载方式有多种，具体采用的方式将根据实际情况选择，也可多种方式混合使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（1）基本装载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按照装载的目标表，将转换的过的数据输入到目标表中去。若目标表中已有数据，装载时会先删除这些数据，再装入新数据。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（2）追加装载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如果目标表中已经存在数据，在保存已有的数据的基础上增加新的数据。当一个输入的数据记录与已经存在的记录重复时，输入记录可能会作为副本增加进去，或者丢弃新输入的数据。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（3）破坏性合并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如果输入数据记录的主键与一条已经存在的记录的主键相匹配，则用新输入数据更新目标记录数据。如果输入记录是一条新的记录，没有任何与之匹配的现存记录，那么就将这条输入的记录添加到目标表中。</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（4）建设性合并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输入的记录主键与已有的记录的主键相匹配，则保留已有的记录，增加输入的记录，并标记为旧记录的替代。</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2.2.16</w:t>
      </w:r>
      <w:r>
        <w:rPr>
          <w:rFonts w:hint="eastAsia" w:ascii="Times New Roman" w:hAnsi="Times New Roman" w:eastAsia="宋体" w:cs="Times New Roman"/>
          <w:b/>
          <w:bCs/>
          <w:color w:val="auto"/>
          <w:kern w:val="2"/>
          <w:sz w:val="21"/>
          <w:szCs w:val="21"/>
          <w:highlight w:val="none"/>
          <w:lang w:val="en-US" w:eastAsia="zh-CN" w:bidi="ar-SA"/>
        </w:rPr>
        <w:t>空间数据（GIS数据）处理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空间数据处理是为了消除原始空间数据的数字化错误，解决矢量数据拓扑错误，投影不统一，数据冗余，数据表达不连续和图形接边不连贯等问题，为空间数据标准化及应用创造条件。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空间数据处理的内容主要包括：</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（1）图形编辑</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（2）拓扑错误的修正</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（3）空间坐标转换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（4）矢量数据压缩与光滑</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（5）空间数据格式转换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（6）空间差值计算</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2.2.17</w:t>
      </w:r>
      <w:r>
        <w:rPr>
          <w:rFonts w:hint="eastAsia" w:ascii="Times New Roman" w:hAnsi="Times New Roman" w:eastAsia="宋体" w:cs="Times New Roman"/>
          <w:b/>
          <w:bCs/>
          <w:color w:val="auto"/>
          <w:kern w:val="2"/>
          <w:sz w:val="21"/>
          <w:szCs w:val="21"/>
          <w:highlight w:val="none"/>
          <w:lang w:val="en-US" w:eastAsia="zh-CN" w:bidi="ar-SA"/>
        </w:rPr>
        <w:t>数据共享</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建立数据共享机制，通过接口共享实现业务接口数据、融合接口数据的统一共享和统一管理，为项目范围内各应用的数据共享提供支撑，也可以为兰溪市其他项目提供数据共享支撑。</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2.2.18</w:t>
      </w:r>
      <w:r>
        <w:rPr>
          <w:rFonts w:hint="eastAsia" w:ascii="Times New Roman" w:hAnsi="Times New Roman" w:eastAsia="宋体" w:cs="Times New Roman"/>
          <w:b/>
          <w:bCs/>
          <w:color w:val="auto"/>
          <w:kern w:val="2"/>
          <w:sz w:val="21"/>
          <w:szCs w:val="21"/>
          <w:highlight w:val="none"/>
          <w:lang w:val="en-US" w:eastAsia="zh-CN" w:bidi="ar-SA"/>
        </w:rPr>
        <w:t>数据内容</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2.2.19</w:t>
      </w:r>
      <w:r>
        <w:rPr>
          <w:rFonts w:hint="eastAsia" w:ascii="Times New Roman" w:hAnsi="Times New Roman" w:eastAsia="宋体" w:cs="Times New Roman"/>
          <w:b/>
          <w:bCs/>
          <w:color w:val="auto"/>
          <w:kern w:val="2"/>
          <w:sz w:val="21"/>
          <w:szCs w:val="21"/>
          <w:highlight w:val="none"/>
          <w:lang w:val="en-US" w:eastAsia="zh-CN" w:bidi="ar-SA"/>
        </w:rPr>
        <w:t>安全生产数据仓建设</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50" w:name="_Toc72943024"/>
      <w:r>
        <w:rPr>
          <w:rFonts w:hint="eastAsia" w:cs="Times New Roman"/>
          <w:b/>
          <w:bCs/>
          <w:color w:val="auto"/>
          <w:kern w:val="2"/>
          <w:sz w:val="21"/>
          <w:szCs w:val="21"/>
          <w:highlight w:val="none"/>
          <w:lang w:val="en-US" w:eastAsia="zh-CN" w:bidi="ar-SA"/>
        </w:rPr>
        <w:t>2.2.20</w:t>
      </w:r>
      <w:r>
        <w:rPr>
          <w:rFonts w:hint="eastAsia" w:ascii="Times New Roman" w:hAnsi="Times New Roman" w:eastAsia="宋体" w:cs="Times New Roman"/>
          <w:b/>
          <w:bCs/>
          <w:color w:val="auto"/>
          <w:kern w:val="2"/>
          <w:sz w:val="21"/>
          <w:szCs w:val="21"/>
          <w:highlight w:val="none"/>
          <w:lang w:val="en-US" w:eastAsia="zh-CN" w:bidi="ar-SA"/>
        </w:rPr>
        <w:t>企业数据</w:t>
      </w:r>
      <w:bookmarkEnd w:id="50"/>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构建企业基础信息数据库，包含企业基本信息、相关生产信息、安全生产台账、公示公开信息等。企业能够自行维护企业基本信息，相关企业安全生产台账信息等。主要包含：</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企业基本信息：企业名称、企业地址、企业法人、联系方式、企业规模、员工数量、经营范围等。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企业安全生产台账：企业危险工艺、企业隐患自查整改、企业风险评价、企业安全生产教育培训等。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公式公开信息：企业财务申报、企业诚信数据、企业行政执法公开数据等。</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51" w:name="_Toc72943025"/>
      <w:r>
        <w:rPr>
          <w:rFonts w:hint="eastAsia" w:cs="Times New Roman"/>
          <w:b/>
          <w:bCs/>
          <w:color w:val="auto"/>
          <w:kern w:val="2"/>
          <w:sz w:val="21"/>
          <w:szCs w:val="21"/>
          <w:highlight w:val="none"/>
          <w:lang w:val="en-US" w:eastAsia="zh-CN" w:bidi="ar-SA"/>
        </w:rPr>
        <w:t>2.2.20.1</w:t>
      </w:r>
      <w:r>
        <w:rPr>
          <w:rFonts w:hint="eastAsia" w:ascii="Times New Roman" w:hAnsi="Times New Roman" w:eastAsia="宋体" w:cs="Times New Roman"/>
          <w:b/>
          <w:bCs/>
          <w:color w:val="auto"/>
          <w:kern w:val="2"/>
          <w:sz w:val="21"/>
          <w:szCs w:val="21"/>
          <w:highlight w:val="none"/>
          <w:lang w:val="en-US" w:eastAsia="zh-CN" w:bidi="ar-SA"/>
        </w:rPr>
        <w:t>安全监测数据</w:t>
      </w:r>
      <w:bookmarkEnd w:id="51"/>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对接企业已建的DCS/PLC等控制系统，接入企业实时生产监测数据，实时掌握企业生产状态，并对异常数据提前提醒，避免安全生产事故发生。主要包含;</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企业储罐数据：储存物质、液位、压力、温度、气体浓度等。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危险工艺实时数据：作用物质、有害物质、浓度、压力、温度、反应可能造成危害等。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气体监测：气体类型、浓度、温度、阈值等。</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52" w:name="_Toc72943026"/>
      <w:r>
        <w:rPr>
          <w:rFonts w:hint="eastAsia" w:cs="Times New Roman"/>
          <w:b/>
          <w:bCs/>
          <w:color w:val="auto"/>
          <w:kern w:val="2"/>
          <w:sz w:val="21"/>
          <w:szCs w:val="21"/>
          <w:highlight w:val="none"/>
          <w:lang w:val="en-US" w:eastAsia="zh-CN" w:bidi="ar-SA"/>
        </w:rPr>
        <w:t>2.2.20.2</w:t>
      </w:r>
      <w:r>
        <w:rPr>
          <w:rFonts w:hint="eastAsia" w:ascii="Times New Roman" w:hAnsi="Times New Roman" w:eastAsia="宋体" w:cs="Times New Roman"/>
          <w:b/>
          <w:bCs/>
          <w:color w:val="auto"/>
          <w:kern w:val="2"/>
          <w:sz w:val="21"/>
          <w:szCs w:val="21"/>
          <w:highlight w:val="none"/>
          <w:lang w:val="en-US" w:eastAsia="zh-CN" w:bidi="ar-SA"/>
        </w:rPr>
        <w:t>运行管理数据</w:t>
      </w:r>
      <w:bookmarkEnd w:id="52"/>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通过开发区大数据分析应用，对开发区内数据信息流转继续实时监控，对于异常数据信息进行实时监测预警，有效提高开发区信息化监管能力，提升开发区整体安全生产能力。主要包含;</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统计类数据：接入数据统计、报警统计、申请调用统计、超时统计、成功统计等。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报警类数据：超过阈值报警、连接超时报警、返回异常报警、非法入侵报警、权限异常报警。</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运行状态类数据：安全运行、数据交互、服务升级、服务运行状态、服务调用等。</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2.2.20.3</w:t>
      </w:r>
      <w:r>
        <w:rPr>
          <w:rFonts w:hint="eastAsia" w:ascii="Times New Roman" w:hAnsi="Times New Roman" w:eastAsia="宋体" w:cs="Times New Roman"/>
          <w:b/>
          <w:bCs/>
          <w:color w:val="auto"/>
          <w:kern w:val="2"/>
          <w:sz w:val="21"/>
          <w:szCs w:val="21"/>
          <w:highlight w:val="none"/>
          <w:lang w:val="en-US" w:eastAsia="zh-CN" w:bidi="ar-SA"/>
        </w:rPr>
        <w:t>其他业务部门数据汇聚</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53" w:name="_Toc72943023"/>
      <w:r>
        <w:rPr>
          <w:rFonts w:hint="eastAsia" w:cs="Times New Roman"/>
          <w:b/>
          <w:bCs/>
          <w:color w:val="auto"/>
          <w:kern w:val="2"/>
          <w:sz w:val="21"/>
          <w:szCs w:val="21"/>
          <w:highlight w:val="none"/>
          <w:lang w:val="en-US" w:eastAsia="zh-CN" w:bidi="ar-SA"/>
        </w:rPr>
        <w:t>2.2.20.4</w:t>
      </w:r>
      <w:r>
        <w:rPr>
          <w:rFonts w:hint="eastAsia" w:ascii="Times New Roman" w:hAnsi="Times New Roman" w:eastAsia="宋体" w:cs="Times New Roman"/>
          <w:b/>
          <w:bCs/>
          <w:color w:val="auto"/>
          <w:kern w:val="2"/>
          <w:sz w:val="21"/>
          <w:szCs w:val="21"/>
          <w:highlight w:val="none"/>
          <w:lang w:val="en-US" w:eastAsia="zh-CN" w:bidi="ar-SA"/>
        </w:rPr>
        <w:t>开发区智能化管理数据</w:t>
      </w:r>
      <w:bookmarkEnd w:id="5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通过接入开发区化工园区智能化控制系统数据，以及接入企业、政府监管数据，形成开发区化工园区智能数据中心。可以为开发区化工园区智能综合监管提供基础数据支撑。开发区化工园区智能化管理数据包含：</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园区内企业数据：企业分布、企业类型、企业上下游产业链关系、企业供应商图谱等。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企业监管数据：企业安全日常监管、企业能耗、企业经营状态、企业诚信、企业盈亏状态等。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智能管理数据：招商引资辅助决策、开发区内企业经营状态、行业产业前景趋势分析。</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2.2.20.5</w:t>
      </w:r>
      <w:r>
        <w:rPr>
          <w:rFonts w:hint="eastAsia" w:ascii="Times New Roman" w:hAnsi="Times New Roman" w:eastAsia="宋体" w:cs="Times New Roman"/>
          <w:b/>
          <w:bCs/>
          <w:color w:val="auto"/>
          <w:kern w:val="2"/>
          <w:sz w:val="21"/>
          <w:szCs w:val="21"/>
          <w:highlight w:val="none"/>
          <w:lang w:val="en-US" w:eastAsia="zh-CN" w:bidi="ar-SA"/>
        </w:rPr>
        <w:t>环境监测数据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对接环境（环保系统），获得环保数据。主要包含污染源监测数据、污染排放管理信息、总量减排控制信息、发布的环保报告信息、LDAR系统数据、环保执法监管数据、危险废物监管数据等。</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2.2.20.6</w:t>
      </w:r>
      <w:r>
        <w:rPr>
          <w:rFonts w:hint="eastAsia" w:ascii="Times New Roman" w:hAnsi="Times New Roman" w:eastAsia="宋体" w:cs="Times New Roman"/>
          <w:b/>
          <w:bCs/>
          <w:color w:val="auto"/>
          <w:kern w:val="2"/>
          <w:sz w:val="21"/>
          <w:szCs w:val="21"/>
          <w:highlight w:val="none"/>
          <w:lang w:val="en-US" w:eastAsia="zh-CN" w:bidi="ar-SA"/>
        </w:rPr>
        <w:t>能源监测数据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对接现有能源系统，获取能源数据，主要包含能耗监测数据、能耗统计对标数据、节能降耗评估数据、碳排放管理数据、能效优化数据等。</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2.2.20.7</w:t>
      </w:r>
      <w:r>
        <w:rPr>
          <w:rFonts w:hint="eastAsia" w:ascii="Times New Roman" w:hAnsi="Times New Roman" w:eastAsia="宋体" w:cs="Times New Roman"/>
          <w:b/>
          <w:bCs/>
          <w:color w:val="auto"/>
          <w:kern w:val="2"/>
          <w:sz w:val="21"/>
          <w:szCs w:val="21"/>
          <w:highlight w:val="none"/>
          <w:lang w:val="en-US" w:eastAsia="zh-CN" w:bidi="ar-SA"/>
        </w:rPr>
        <w:t>水务系统数据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对接水务系统，获取水务数据，主要包含水质安全监测数据、水资源评估数据、水质检测数据、供排水管理、各污水处理厂/泵站设备运行等数据。</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2.2.20.8</w:t>
      </w:r>
      <w:r>
        <w:rPr>
          <w:rFonts w:hint="eastAsia" w:ascii="Times New Roman" w:hAnsi="Times New Roman" w:eastAsia="宋体" w:cs="Times New Roman"/>
          <w:b/>
          <w:bCs/>
          <w:color w:val="auto"/>
          <w:kern w:val="2"/>
          <w:sz w:val="21"/>
          <w:szCs w:val="21"/>
          <w:highlight w:val="none"/>
          <w:lang w:val="en-US" w:eastAsia="zh-CN" w:bidi="ar-SA"/>
        </w:rPr>
        <w:t>消防系统数据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对接消防系统，获取消防数据，主要包含消防设备状态数据、隐患和报警数据、设备故障数据、巡检管理等数据。</w:t>
      </w:r>
    </w:p>
    <w:bookmarkEnd w:id="46"/>
    <w:bookmarkEnd w:id="47"/>
    <w:bookmarkEnd w:id="48"/>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54" w:name="_Toc72943028"/>
      <w:bookmarkStart w:id="55" w:name="_Toc32953131"/>
      <w:bookmarkStart w:id="56" w:name="_Toc73465614"/>
      <w:bookmarkStart w:id="57" w:name="_Toc89159912"/>
      <w:bookmarkStart w:id="58" w:name="_Toc83368273"/>
      <w:r>
        <w:rPr>
          <w:rFonts w:hint="eastAsia" w:cs="Times New Roman"/>
          <w:b/>
          <w:bCs/>
          <w:color w:val="auto"/>
          <w:kern w:val="2"/>
          <w:sz w:val="21"/>
          <w:szCs w:val="21"/>
          <w:highlight w:val="none"/>
          <w:lang w:val="en-US" w:eastAsia="zh-CN" w:bidi="ar-SA"/>
        </w:rPr>
        <w:t>2.3</w:t>
      </w:r>
      <w:r>
        <w:rPr>
          <w:rFonts w:hint="eastAsia" w:ascii="Times New Roman" w:hAnsi="Times New Roman" w:eastAsia="宋体" w:cs="Times New Roman"/>
          <w:b/>
          <w:bCs/>
          <w:color w:val="auto"/>
          <w:kern w:val="2"/>
          <w:sz w:val="21"/>
          <w:szCs w:val="21"/>
          <w:highlight w:val="none"/>
          <w:lang w:val="en-US" w:eastAsia="zh-CN" w:bidi="ar-SA"/>
        </w:rPr>
        <w:t>应用支撑</w:t>
      </w:r>
      <w:bookmarkEnd w:id="54"/>
      <w:bookmarkEnd w:id="55"/>
      <w:bookmarkEnd w:id="56"/>
      <w:r>
        <w:rPr>
          <w:rFonts w:hint="eastAsia" w:ascii="Times New Roman" w:hAnsi="Times New Roman" w:eastAsia="宋体" w:cs="Times New Roman"/>
          <w:b/>
          <w:bCs/>
          <w:color w:val="auto"/>
          <w:kern w:val="2"/>
          <w:sz w:val="21"/>
          <w:szCs w:val="21"/>
          <w:highlight w:val="none"/>
          <w:lang w:val="en-US" w:eastAsia="zh-CN" w:bidi="ar-SA"/>
        </w:rPr>
        <w:t>服务</w:t>
      </w:r>
      <w:bookmarkEnd w:id="57"/>
      <w:bookmarkEnd w:id="58"/>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59" w:name="_Toc32953135"/>
      <w:bookmarkStart w:id="60" w:name="_Toc89159913"/>
      <w:bookmarkStart w:id="61" w:name="_Toc72943029"/>
      <w:bookmarkStart w:id="62" w:name="_Toc73465615"/>
      <w:r>
        <w:rPr>
          <w:rFonts w:hint="eastAsia" w:cs="Times New Roman"/>
          <w:b/>
          <w:bCs/>
          <w:color w:val="auto"/>
          <w:kern w:val="2"/>
          <w:sz w:val="21"/>
          <w:szCs w:val="21"/>
          <w:highlight w:val="none"/>
          <w:lang w:val="en-US" w:eastAsia="zh-CN" w:bidi="ar-SA"/>
        </w:rPr>
        <w:t>2.3.1</w:t>
      </w:r>
      <w:r>
        <w:rPr>
          <w:rFonts w:hint="eastAsia" w:ascii="Times New Roman" w:hAnsi="Times New Roman" w:eastAsia="宋体" w:cs="Times New Roman"/>
          <w:b/>
          <w:bCs/>
          <w:color w:val="auto"/>
          <w:kern w:val="2"/>
          <w:sz w:val="21"/>
          <w:szCs w:val="21"/>
          <w:highlight w:val="none"/>
          <w:lang w:val="en-US" w:eastAsia="zh-CN" w:bidi="ar-SA"/>
        </w:rPr>
        <w:t>统一权限管理</w:t>
      </w:r>
      <w:bookmarkEnd w:id="59"/>
      <w:bookmarkEnd w:id="60"/>
      <w:bookmarkEnd w:id="61"/>
      <w:bookmarkEnd w:id="62"/>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63" w:name="_Toc32953136"/>
      <w:r>
        <w:rPr>
          <w:rFonts w:hint="eastAsia" w:cs="Times New Roman"/>
          <w:b/>
          <w:bCs/>
          <w:color w:val="auto"/>
          <w:kern w:val="2"/>
          <w:sz w:val="21"/>
          <w:szCs w:val="21"/>
          <w:highlight w:val="none"/>
          <w:lang w:val="en-US" w:eastAsia="zh-CN" w:bidi="ar-SA"/>
        </w:rPr>
        <w:t>2.3.1.1</w:t>
      </w:r>
      <w:r>
        <w:rPr>
          <w:rFonts w:hint="eastAsia" w:ascii="Times New Roman" w:hAnsi="Times New Roman" w:eastAsia="宋体" w:cs="Times New Roman"/>
          <w:b/>
          <w:bCs/>
          <w:color w:val="auto"/>
          <w:kern w:val="2"/>
          <w:sz w:val="21"/>
          <w:szCs w:val="21"/>
          <w:highlight w:val="none"/>
          <w:lang w:val="en-US" w:eastAsia="zh-CN" w:bidi="ar-SA"/>
        </w:rPr>
        <w:t>统一用户目录</w:t>
      </w:r>
      <w:bookmarkEnd w:id="6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建立用户目录数据库，依据用户类型的不同、所在机构的不同、所在岗位的不同、所在职级的不同和工作职责的不同，以用户类别为单位，形成不同的信息资源与系统功能映射树，构建用户与数据的关联通道。</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统一用户管理包括物理统一用户目录和逻辑统一用户目录两种。鉴于未来几年全省应急管理机构工作人员将继续使用部分已建应用系统，建议新建系统采用物理统一用户目录的方式，已建系统采用逻辑统一用户目录的方式。新建系统重新设计和构建覆盖全省五类用户对象的门户用户目录注册表，包括用户基本信息（账户信息、系统登录权限、用户群组）和授权可使用的应用系统与数据资源，已建应用系统的用户目录与权限管理有关模块仍可以继续使用，但应建立和完善其与门户用户目录之间的联系，实现门户用户信息与已建应用系统用户信息之间的映射。</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64" w:name="_Toc417809094"/>
      <w:bookmarkStart w:id="65" w:name="_Toc419644092"/>
      <w:bookmarkStart w:id="66" w:name="_Toc32953137"/>
      <w:bookmarkStart w:id="67" w:name="_Toc414297971"/>
      <w:bookmarkStart w:id="68" w:name="_Toc415741681"/>
      <w:r>
        <w:rPr>
          <w:rFonts w:hint="eastAsia" w:cs="Times New Roman"/>
          <w:b/>
          <w:bCs/>
          <w:color w:val="auto"/>
          <w:kern w:val="2"/>
          <w:sz w:val="21"/>
          <w:szCs w:val="21"/>
          <w:highlight w:val="none"/>
          <w:lang w:val="en-US" w:eastAsia="zh-CN" w:bidi="ar-SA"/>
        </w:rPr>
        <w:t>2.3.1.2</w:t>
      </w:r>
      <w:r>
        <w:rPr>
          <w:rFonts w:hint="eastAsia" w:ascii="Times New Roman" w:hAnsi="Times New Roman" w:eastAsia="宋体" w:cs="Times New Roman"/>
          <w:b/>
          <w:bCs/>
          <w:color w:val="auto"/>
          <w:kern w:val="2"/>
          <w:sz w:val="21"/>
          <w:szCs w:val="21"/>
          <w:highlight w:val="none"/>
          <w:lang w:val="en-US" w:eastAsia="zh-CN" w:bidi="ar-SA"/>
        </w:rPr>
        <w:t>用户管理与认证系统</w:t>
      </w:r>
      <w:bookmarkEnd w:id="64"/>
      <w:bookmarkEnd w:id="65"/>
      <w:bookmarkEnd w:id="66"/>
      <w:bookmarkEnd w:id="67"/>
      <w:bookmarkEnd w:id="6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用户管理与认证系统应能够对应急综合应用平台中的用户进行统一管理、统一认证和统一授权。统一的用户管理与认证有助于解决各业务信息系统用户分散管理时用户信息不能及时同步的问题，提高用户的管理效率和安全性，降低信息资源访问控制的复杂度。同时，对于使用者，统一的认证系统提高了访问应急综合应用平台的灵活性和便捷性，实现用户“一平台注册、全系统使用”的效果。</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根据全省应急管理信息化已建和拟建应用系统的特点，应采用用户信息集中存储、权限分级管理的模式，实现用户认证、系统登录权限、系统与资源使用权限的有效管理。建立身份数据库，存储用户的登录信息、用户群组和授权可使用的应用系统和数据资源，并进行定期备份。实现用户认证与系统登录权限的管理，提供用户账户建立与删除、账户分级、账户信息（登录密码、姓名、联系地址、联系电话、电子邮件等）编辑与浏览和用户群组设置等功能。建议提供系统功能模块级的用户授权管理，允许临时授权。</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在此基础上，针对不同类型不同等级的用户应采用“用户名/口令”、U盾、数字证书等方式实现用户单点登录（SSO）的信息加密与访问控制。在信息门户的登录页面、维护页面及用户管理页面，用户管理与认证系统应在后台服务器提供相应功能和服务。</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69" w:name="_Toc89159914"/>
      <w:bookmarkStart w:id="70" w:name="_Toc72943030"/>
      <w:bookmarkStart w:id="71" w:name="_Toc73465616"/>
      <w:r>
        <w:rPr>
          <w:rFonts w:hint="eastAsia" w:cs="Times New Roman"/>
          <w:b/>
          <w:bCs/>
          <w:color w:val="auto"/>
          <w:kern w:val="2"/>
          <w:sz w:val="21"/>
          <w:szCs w:val="21"/>
          <w:highlight w:val="none"/>
          <w:lang w:val="en-US" w:eastAsia="zh-CN" w:bidi="ar-SA"/>
        </w:rPr>
        <w:t>2.4</w:t>
      </w:r>
      <w:r>
        <w:rPr>
          <w:rFonts w:hint="eastAsia" w:ascii="Times New Roman" w:hAnsi="Times New Roman" w:eastAsia="宋体" w:cs="Times New Roman"/>
          <w:b/>
          <w:bCs/>
          <w:color w:val="auto"/>
          <w:kern w:val="2"/>
          <w:sz w:val="21"/>
          <w:szCs w:val="21"/>
          <w:highlight w:val="none"/>
          <w:lang w:val="en-US" w:eastAsia="zh-CN" w:bidi="ar-SA"/>
        </w:rPr>
        <w:t>园区画像</w:t>
      </w:r>
      <w:bookmarkEnd w:id="69"/>
      <w:bookmarkEnd w:id="70"/>
      <w:bookmarkEnd w:id="71"/>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72" w:name="_Toc89159915"/>
      <w:bookmarkStart w:id="73" w:name="_Toc73465617"/>
      <w:bookmarkStart w:id="74" w:name="_Toc72943031"/>
      <w:r>
        <w:rPr>
          <w:rFonts w:hint="eastAsia" w:cs="Times New Roman"/>
          <w:b/>
          <w:bCs/>
          <w:color w:val="auto"/>
          <w:kern w:val="2"/>
          <w:sz w:val="21"/>
          <w:szCs w:val="21"/>
          <w:highlight w:val="none"/>
          <w:lang w:val="en-US" w:eastAsia="zh-CN" w:bidi="ar-SA"/>
        </w:rPr>
        <w:t>2.4.1</w:t>
      </w:r>
      <w:r>
        <w:rPr>
          <w:rFonts w:hint="eastAsia" w:ascii="Times New Roman" w:hAnsi="Times New Roman" w:eastAsia="宋体" w:cs="Times New Roman"/>
          <w:b/>
          <w:bCs/>
          <w:color w:val="auto"/>
          <w:kern w:val="2"/>
          <w:sz w:val="21"/>
          <w:szCs w:val="21"/>
          <w:highlight w:val="none"/>
          <w:lang w:val="en-US" w:eastAsia="zh-CN" w:bidi="ar-SA"/>
        </w:rPr>
        <w:t>一企一档</w:t>
      </w:r>
      <w:bookmarkEnd w:id="72"/>
      <w:bookmarkEnd w:id="73"/>
      <w:bookmarkEnd w:id="74"/>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通过填写企业基础信息进行注册，并通过系统继续完善并维护企业安全生产信息，包括企业的基础信息、行业信息、安全生产台账信息、应急管理信息等信息。同时实现PC端、移动端查看、查询开发区企业在平台上备案的主要信息，方便随时随地了解企业基本情况，同时根据一企一档可以生成企业画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监管部门能够分行业、分区域查看企业清单，查看企业总体情况、查看企业一企一档。功能包括一企一档查看、企业信息综合展示、行政许可管理、标准化管理、企业地图和企业分类分级监管等主要包括：</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企业检索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开发区端支持按照企业名称或其拼音首字母检索出开发区企业，进而可查看企业基本档案详情。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企业基本信息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开发区端可查看企业名称、所属行业、所在区域和详细地址等基本信息。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企业环境重点信息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开发区端可查阅企业环保信用等级、环境风险等级、是否存在重点污染源等环保属性，以便初步了解企业环境风险水平。</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企业安全重点信息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开发区端可查阅企业重大危险源数量与等级、重点监管危化品种类数量、高危工艺数量等安全重点信息，以便初步了解企业安全风险水平。</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企业主要管理人员信息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开发区端可查阅企业法人、环保管理负责人、安全生产管理负责人基本信息，包括其姓名和联系方式等。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75" w:name="_Toc89159916"/>
      <w:r>
        <w:rPr>
          <w:rFonts w:hint="eastAsia" w:ascii="宋体" w:hAnsi="宋体" w:eastAsia="宋体" w:cs="宋体"/>
          <w:color w:val="auto"/>
          <w:sz w:val="21"/>
          <w:szCs w:val="21"/>
          <w:highlight w:val="none"/>
          <w:lang w:val="en-US" w:eastAsia="zh-CN"/>
        </w:rPr>
        <w:t>企业画像和档案图谱</w:t>
      </w:r>
      <w:bookmarkEnd w:id="75"/>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自动形成企业画像和档案图谱，使得监管部门对企业基本情况、安全生产管理台账一目了然，解决监管部门底数不清的问题。</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动生成雷达图，方便企业及监管部门直观看到当前的主体责任落实情况及企业存在安全薄弱项，智能提醒安全薄弱项，方便企业逐项整改，促进企业提高总体安全水平。企业画像中增加企业固有风险得分、动态风险得分，动态风险评估基础得分情况。并能查看固有风险得分、动态风险得分详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76" w:name="_Toc72943032"/>
      <w:bookmarkStart w:id="77" w:name="_Toc89159917"/>
      <w:bookmarkStart w:id="78" w:name="_Toc73465618"/>
      <w:r>
        <w:rPr>
          <w:rFonts w:hint="eastAsia" w:ascii="宋体" w:hAnsi="宋体" w:eastAsia="宋体" w:cs="宋体"/>
          <w:color w:val="auto"/>
          <w:sz w:val="21"/>
          <w:szCs w:val="21"/>
          <w:highlight w:val="none"/>
          <w:lang w:val="en-US" w:eastAsia="zh-CN"/>
        </w:rPr>
        <w:t>安全生产网格化管理</w:t>
      </w:r>
      <w:bookmarkEnd w:id="76"/>
      <w:bookmarkEnd w:id="77"/>
      <w:bookmarkEnd w:id="7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根据平安监管特点，设定网格划分原则，以道路、生产企业边界等为基本单位，将开发区所辖区域划分成若干个网格单元，各网格负责人对分管网格实施全时段监控，实现分级、全区域监控管理的方法。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为网格人员实现企业一企一档管理、隐患排查治理、监督检查管理、安全生产知识库管理功能；实现网格一张图、网格综合查询、三级网格一张网综合分析、企业片区负责人分配、网格信息管理、网格片区人员管理及履职报告管理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网格一张图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网格一张图基于电子地图实现两级网格的分布，能查看每个网格的所属的企业信息、网格监管人员信息、网格监管人员安全生产现场检查执行情况，现场检查发现的隐患情况。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网格综合查询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以树状形式展示辖区所有网格，并能查看每个网格的所属的企业信息、网格监管人员信息、网格监管人员安全生产现场检查执行情况，现场检查发现的隐患情况。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履职报告查看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管辖范围内所有网格监管人员季度履职报告的查看功能。履职报告包括报告名称、所在年度、所在季度、所在网格、提交时间、报告内容、相关附件及工作情况统计。工作情况根据系统中的现场检查记录、现场检查发现的隐患整改情况自动统计，包括检查企业数、登记隐患数、已整改隐患数、超期未整改隐患数及隐患整改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履职报告管理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季度履职报告的新增、修改、删除、查询功能。履职报告包括报告名称、所在年度、所在季度、所在网格、提交时间、报告内容、相关附件及工作情况统计。工作情况根据系统中的现场检查记录、现场检查发现的隐患整改情况自动统计，包括检查企业数、登记隐患数、已整改隐患数、超期未整改隐患数及隐患整改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三级网格一张网</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实现按开发区网格监管工作开展情况，包括所属责任片区名称、负责人姓名、已录入企业家数、片区企业检查家次、负责人参与检查家次、片区企业隐患数、片区企业隐患整改率。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企业片区负责人分配</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实现企业片区负责人分配功能。实现已分配企业、未分配企业两个清单，能为已分配企业重新分配片区负责人。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网格信息管理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实现园区、网格片区、企业三级网格信息管理功能，网格信息包括网格名称、联系人信息、联系电话、管辖区域及监管网格图管理功能。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网格人员管理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实现园区、网格片区、企业三级网格监管人员信息管理功能，网格监管人员信息包括监管人员姓名、性别、年龄、证号、手机号、电话号码、网格职务、职位、所在网格。</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79" w:name="_Toc89159918"/>
      <w:r>
        <w:rPr>
          <w:rFonts w:hint="eastAsia" w:ascii="宋体" w:hAnsi="宋体" w:eastAsia="宋体" w:cs="宋体"/>
          <w:color w:val="auto"/>
          <w:sz w:val="21"/>
          <w:szCs w:val="21"/>
          <w:highlight w:val="none"/>
          <w:lang w:val="en-US" w:eastAsia="zh-CN"/>
        </w:rPr>
        <w:t>绿色园区评价</w:t>
      </w:r>
      <w:bookmarkEnd w:id="7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根据2020年省经信厅对全省化工园区认定考核标准的相关文件要求，实现园区自评，对系统中有基础数据的考核项可实现根据公式自动测算，其余根据实际情况进行手工录入。包括但不限于：自评指标及算法设置、自评指标手工录入、自评指标测算等功能。并实现与浙江省危险化学品全生命周期系统的数据对接，上报数据到省厅系统。同时对监管人员也可以进行工作绩效进行评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80" w:name="_Toc89159919"/>
      <w:bookmarkStart w:id="81" w:name="_Toc72943034"/>
      <w:bookmarkStart w:id="82" w:name="_Toc73465621"/>
      <w:r>
        <w:rPr>
          <w:rFonts w:hint="eastAsia" w:ascii="宋体" w:hAnsi="宋体" w:eastAsia="宋体" w:cs="宋体"/>
          <w:color w:val="auto"/>
          <w:sz w:val="21"/>
          <w:szCs w:val="21"/>
          <w:highlight w:val="none"/>
          <w:lang w:val="en-US" w:eastAsia="zh-CN"/>
        </w:rPr>
        <w:t>园区知识库</w:t>
      </w:r>
      <w:bookmarkEnd w:id="80"/>
      <w:bookmarkEnd w:id="81"/>
      <w:bookmarkEnd w:id="82"/>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建立开发区安全生产知识库，包括MSDS库、危化品名录、法律法规。由监管部门负责知识库的信息内容的维护更新，企业可对安全生产知识库的内容进行查询与查看。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（1）MSDS库</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系统提供3000种以上危化品详细安全技术说明书，能够根据危化品名称、CAS编号查询。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（2）危化品名录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记录危化品信息，包括品名、别名、CAS号、是否易制毒等信息，并关联MSDS，生成危化品名录台账，列表信息包括品名、别名、CAS号、MSDS查看，支持根据品名、别名、CAS号进行筛选。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（3）法律规范</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由监管端录入相关法律法规及标准规范，可以填写法律法规名称、文号、类别、发布日期、实施日期、发布机构等信息，可选择文字录入或附件上传的方式进行法律法规正文的录入。</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支持监管人员对系统中已记录保存的法律法规进行列表查看，列表信息包括法律法规名称、文号、发布机构、类别、发布日期等；支持根据名称、文号、级别、类别进行筛选。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支持监管人员对已录入的法律法规进行修改、删除功能。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支持企业等用户查看已发布的法律法规，并支持用户检索。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83" w:name="_Toc72943035"/>
      <w:bookmarkStart w:id="84" w:name="_Toc83368274"/>
      <w:bookmarkStart w:id="85" w:name="_Toc89159920"/>
      <w:bookmarkStart w:id="86" w:name="_Toc73465622"/>
      <w:r>
        <w:rPr>
          <w:rFonts w:hint="eastAsia" w:ascii="宋体" w:hAnsi="宋体" w:eastAsia="宋体" w:cs="宋体"/>
          <w:color w:val="auto"/>
          <w:sz w:val="21"/>
          <w:szCs w:val="21"/>
          <w:highlight w:val="none"/>
          <w:lang w:val="en-US" w:eastAsia="zh-CN"/>
        </w:rPr>
        <w:t>安全生产监管系统</w:t>
      </w:r>
      <w:bookmarkEnd w:id="83"/>
      <w:bookmarkEnd w:id="84"/>
      <w:bookmarkEnd w:id="85"/>
      <w:bookmarkEnd w:id="86"/>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87" w:name="_Toc89159921"/>
      <w:bookmarkStart w:id="88" w:name="_Toc73465623"/>
      <w:bookmarkStart w:id="89" w:name="_Toc72943036"/>
      <w:r>
        <w:rPr>
          <w:rFonts w:hint="eastAsia" w:ascii="宋体" w:hAnsi="宋体" w:eastAsia="宋体" w:cs="宋体"/>
          <w:color w:val="auto"/>
          <w:sz w:val="21"/>
          <w:szCs w:val="21"/>
          <w:highlight w:val="none"/>
          <w:lang w:val="en-US" w:eastAsia="zh-CN"/>
        </w:rPr>
        <w:t>重大危险源监管</w:t>
      </w:r>
      <w:bookmarkEnd w:id="87"/>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对园区企业重大危险源登记备案，实现重大危险源登记备案流程及备案超期提醒等功能。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90" w:name="_Toc89159922"/>
      <w:r>
        <w:rPr>
          <w:rFonts w:hint="eastAsia" w:ascii="宋体" w:hAnsi="宋体" w:eastAsia="宋体" w:cs="宋体"/>
          <w:color w:val="auto"/>
          <w:sz w:val="21"/>
          <w:szCs w:val="21"/>
          <w:highlight w:val="none"/>
          <w:lang w:val="en-US" w:eastAsia="zh-CN"/>
        </w:rPr>
        <w:t>智能感知监测预警</w:t>
      </w:r>
      <w:bookmarkEnd w:id="90"/>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终端数据采集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利用采集终端采集各类数据，包含物联网传感数据和视频数据。物联网传感数据包含但不限于有毒有害可燃气体浓度、液位、压力、温度等。视频数据主要是通过对视频流数据实时的采集，进而对人员各类不安全行为进行分析，包含但不限于有限空间人员入侵、人员未佩戴安全帽、火情监测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本次试点30家企业，需要配置30套终端采集仪器/设备。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数据采集终端指标要求如下：</w:t>
      </w:r>
    </w:p>
    <w:tbl>
      <w:tblPr>
        <w:tblStyle w:val="23"/>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7"/>
        <w:gridCol w:w="62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7" w:type="dxa"/>
            <w:vAlign w:val="center"/>
          </w:tcPr>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品名</w:t>
            </w:r>
          </w:p>
        </w:tc>
        <w:tc>
          <w:tcPr>
            <w:tcW w:w="6279" w:type="dxa"/>
            <w:vAlign w:val="center"/>
          </w:tcPr>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7" w:type="dxa"/>
            <w:vAlign w:val="center"/>
          </w:tcPr>
          <w:p>
            <w:pPr>
              <w:spacing w:line="500" w:lineRule="exact"/>
              <w:jc w:val="center"/>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数据采集终端</w:t>
            </w:r>
          </w:p>
        </w:tc>
        <w:tc>
          <w:tcPr>
            <w:tcW w:w="6279" w:type="dxa"/>
            <w:vAlign w:val="center"/>
          </w:tcPr>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 内嵌 NVIDIA® Jetson NX™ ● 支持 M.2 KEY M (PCIex4 NVMe 2242) ● 支持 CSI 摄像头 ● 支持多种接口(如 USB/以太网/SPI/串口/GPIO 等) ● 支持双频 WiFi 模组 ● 支持 I/0 扩展口 ● 支持路由功能</w:t>
            </w:r>
          </w:p>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电源范围： 12- 36 V DC；最大电流:5A</w:t>
            </w:r>
          </w:p>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工作温度： -20℃ - 65℃</w:t>
            </w:r>
          </w:p>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 基本功能要求：</w:t>
            </w:r>
          </w:p>
          <w:p>
            <w:pPr>
              <w:spacing w:line="500" w:lineRule="exact"/>
              <w:ind w:firstLine="560"/>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支持通过物联网网关功能采集传感类数据，支持通过AI智能分析对各类人员不安全行为进行分析。支持安全帽、区域入侵、人数超限、离岗检测、睡岗检测、烟火检测、消防通道占用、逃生通道占用、物品遗失等多种智能算法。</w:t>
            </w:r>
          </w:p>
        </w:tc>
      </w:tr>
      <w:bookmarkEnd w:id="88"/>
      <w:bookmarkEnd w:id="89"/>
    </w:tbl>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在线传感数据监测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对采集后的传感类数据进行在线监测，主要包含如下功能：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91" w:name="_Toc9208853"/>
      <w:bookmarkStart w:id="92" w:name="_Toc12958944"/>
      <w:bookmarkStart w:id="93" w:name="_Toc32953176"/>
      <w:r>
        <w:rPr>
          <w:rFonts w:hint="eastAsia" w:ascii="宋体" w:hAnsi="宋体" w:eastAsia="宋体" w:cs="宋体"/>
          <w:color w:val="auto"/>
          <w:sz w:val="21"/>
          <w:szCs w:val="21"/>
          <w:highlight w:val="none"/>
          <w:lang w:val="en-US" w:eastAsia="zh-CN"/>
        </w:rPr>
        <w:t>有毒有害气体和可燃气体监控</w:t>
      </w:r>
      <w:bookmarkEnd w:id="91"/>
      <w:bookmarkEnd w:id="92"/>
      <w:bookmarkEnd w:id="9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融合现有已接入的企业有毒有害气体和可燃气体监控，实现对企业可燃有毒气体检测报警信息的监控，以掌握开发区企业有毒有害气体和可燃气体的现状和变化情况，为事故预警和处置提供及时有效的支撑。</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监控系统应包括监测点位分布、监测点实时数据、超标统计等功能。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有毒有害气体和可燃气体监控地图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在GIS地图上显示开发区企业有毒有害气体和可燃气体监测点的分布情况，并列表给出监测点的实时监测数据。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监测点实时数据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监测实时数据模块，可以查看每个有毒有害气体和可燃气体监测点的实时数据，以列表的方式给出最近的气体浓度或爆炸下限（LEL）实时数据，并通过曲线图给出数据变化的趋势，同时在曲线图上标识出各因子的预警和报警线。</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实时数据分析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监测数据统计分析功能可以</w:t>
      </w:r>
      <w:bookmarkStart w:id="94" w:name="_Hlk12656990"/>
      <w:r>
        <w:rPr>
          <w:rFonts w:hint="eastAsia" w:ascii="宋体" w:hAnsi="宋体" w:eastAsia="宋体" w:cs="宋体"/>
          <w:color w:val="auto"/>
          <w:sz w:val="21"/>
          <w:szCs w:val="21"/>
          <w:highlight w:val="none"/>
          <w:lang w:val="en-US" w:eastAsia="zh-CN"/>
        </w:rPr>
        <w:t>以分钟、小时、天、月为单位，支持自定义统计时间范围，按气体类型进行分类，在一张曲线图上展示企业各有毒有害气体和可燃气体监测点的浓度或爆炸下限（LEL）变化趋势，图形展示方式可以为曲线图也可以为柱状图</w:t>
      </w:r>
      <w:bookmarkEnd w:id="94"/>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超标统计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开发区企业有毒有害气体和可燃气体浓度或爆炸下限（LEL）超标情况进行统计分析，统计给定时间区间范围内企业出现超标的气体和风险源，以及该风险源的超标次数，根据超标次数和超标的严重程度，筛选开发区的重点管控企业和风险源，对该企业加强监管，以确保安全生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95" w:name="_Toc9208854"/>
      <w:bookmarkStart w:id="96" w:name="_Toc12958945"/>
      <w:bookmarkStart w:id="97" w:name="_Hlk11140604"/>
      <w:bookmarkStart w:id="98" w:name="_Toc32953177"/>
      <w:r>
        <w:rPr>
          <w:rFonts w:hint="eastAsia" w:ascii="宋体" w:hAnsi="宋体" w:eastAsia="宋体" w:cs="宋体"/>
          <w:color w:val="auto"/>
          <w:sz w:val="21"/>
          <w:szCs w:val="21"/>
          <w:highlight w:val="none"/>
          <w:lang w:val="en-US" w:eastAsia="zh-CN"/>
        </w:rPr>
        <w:t>储罐等</w:t>
      </w:r>
      <w:bookmarkEnd w:id="95"/>
      <w:bookmarkEnd w:id="96"/>
      <w:bookmarkEnd w:id="97"/>
      <w:r>
        <w:rPr>
          <w:rFonts w:hint="eastAsia" w:ascii="宋体" w:hAnsi="宋体" w:eastAsia="宋体" w:cs="宋体"/>
          <w:color w:val="auto"/>
          <w:sz w:val="21"/>
          <w:szCs w:val="21"/>
          <w:highlight w:val="none"/>
          <w:lang w:val="en-US" w:eastAsia="zh-CN"/>
        </w:rPr>
        <w:t>危险设施安全参数监控</w:t>
      </w:r>
      <w:bookmarkEnd w:id="9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本项目将建设储罐等危险设施安全参数监控系统，以掌握开发区企业重点危险设施的现状和变化情况，为事故预警和处置提供及时有效的支撑。</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储罐等重大危险源监控系统主要包括重大危险源监控地图、安全参数实时数据、预警报警信息与超标统计等。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重大危险源监控地图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通过集成GIS地理信息系统，可以在GIS图层上查看重大危险源信息，并实现业务信息与地理信息关联，可通过GIS进行调阅重大危险源企业和重大危险源信息，可查看重大危险源动态监控数据和画面。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安全参数实时数据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在监测实时数据模块，可以查看查看企业重大危险源参数的实时数据，以列表的方式给出实时数据，并通过曲线图给出数据变化的趋势，同时在曲线图上标识出各因子的预警和报警线。</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实时数据分析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测数据统计分析功能可以以分钟、小时、天、月为单位，支持自定义统计时间范围，按安全参数类型进行分类，在一张曲线图上展示企业危险设施各安全参数的变化趋势，图形展示方式可以为曲线图也可以为柱状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超标统计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对开发区</w:t>
      </w:r>
      <w:bookmarkStart w:id="99" w:name="_Hlk12612225"/>
      <w:r>
        <w:rPr>
          <w:rFonts w:hint="eastAsia" w:ascii="宋体" w:hAnsi="宋体" w:eastAsia="宋体" w:cs="宋体"/>
          <w:color w:val="auto"/>
          <w:sz w:val="21"/>
          <w:szCs w:val="21"/>
          <w:highlight w:val="none"/>
          <w:lang w:val="en-US" w:eastAsia="zh-CN"/>
        </w:rPr>
        <w:t>企业重大危险源</w:t>
      </w:r>
      <w:bookmarkEnd w:id="99"/>
      <w:r>
        <w:rPr>
          <w:rFonts w:hint="eastAsia" w:ascii="宋体" w:hAnsi="宋体" w:eastAsia="宋体" w:cs="宋体"/>
          <w:color w:val="auto"/>
          <w:sz w:val="21"/>
          <w:szCs w:val="21"/>
          <w:highlight w:val="none"/>
          <w:lang w:val="en-US" w:eastAsia="zh-CN"/>
        </w:rPr>
        <w:t>参数的超标情况进行统计分析，统计给定时间区间范围内企业出现超标的重大危险源，以及该重大危险源的超标次数，根据超标次数和超标的严重程度，筛选开发区的重点管控企业和重大危险源，对该企业加强监管，以确保安全生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00" w:name="_Toc73465624"/>
      <w:bookmarkStart w:id="101" w:name="_Toc72943037"/>
      <w:r>
        <w:rPr>
          <w:rFonts w:hint="eastAsia" w:ascii="宋体" w:hAnsi="宋体" w:eastAsia="宋体" w:cs="宋体"/>
          <w:color w:val="auto"/>
          <w:sz w:val="21"/>
          <w:szCs w:val="21"/>
          <w:highlight w:val="none"/>
          <w:lang w:val="en-US" w:eastAsia="zh-CN"/>
        </w:rPr>
        <w:t>人员不安全行为监控分析</w:t>
      </w:r>
      <w:bookmarkEnd w:id="100"/>
      <w:bookmarkEnd w:id="101"/>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对采集到的企业视频通过AI模型进行分析，判断是否存在人员不安全行为，不安全行为包含不限于有限空间人员入侵、人员未佩戴安全帽、火情监测等。同时系统支持实时掌握AI智能监控分析情况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闭环处置管理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当发生传感类数据超过阈值，系统自动按照设定的处置流程将预警/报警数据推送给企业</w:t>
      </w:r>
      <w:r>
        <w:rPr>
          <w:rFonts w:hint="eastAsia" w:ascii="宋体" w:hAnsi="宋体" w:eastAsia="宋体" w:cs="宋体"/>
          <w:color w:val="auto"/>
          <w:sz w:val="21"/>
          <w:szCs w:val="21"/>
          <w:highlight w:val="none"/>
          <w:lang w:val="zh-CN" w:eastAsia="zh-CN"/>
        </w:rPr>
        <w:t>相关责任人，通知人员进行处置。监管人员可以对发生预警且长期不处置的企业进行督办处理，系统支持对各类不良行为进行分析统计。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当发生不安全行为时，系统自动截取视频和图片并存储于服务器作为取证信息，同时第一时间将异常信息发送给企业相关责任人，通知人员进行处置。监管人员可以对发生预警且长期不处置的企业进行督办处理，系统支持对各类不良行为进行分析统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02" w:name="_Toc73465625"/>
      <w:bookmarkStart w:id="103" w:name="_Toc89159923"/>
      <w:bookmarkStart w:id="104" w:name="_Toc72943038"/>
      <w:r>
        <w:rPr>
          <w:rFonts w:hint="eastAsia" w:ascii="宋体" w:hAnsi="宋体" w:eastAsia="宋体" w:cs="宋体"/>
          <w:color w:val="auto"/>
          <w:sz w:val="21"/>
          <w:szCs w:val="21"/>
          <w:highlight w:val="none"/>
          <w:lang w:val="en-US" w:eastAsia="zh-CN"/>
        </w:rPr>
        <w:t>风险分级管控</w:t>
      </w:r>
      <w:bookmarkEnd w:id="102"/>
      <w:bookmarkEnd w:id="103"/>
      <w:bookmarkEnd w:id="104"/>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管理是通过对风险的认识、衡量和分析，选择最有效的方式，主动地、有目的地、有计划地处理风险，以最小成本争取获得最大安全保证的管理方法。由企业可通过移动端进行内部风险分布以及等级信息的录入，并提交四色图等相关材料，并根据风险等级制定巡查计划，通过移动端根据巡查计划进行巡查并生成巡查记录。政府部门则通过查询企业风险分布点、企业风险等级、企业风险分布四色图、企业风险巡查记录等信息，实时了解辖区各企业生产风险情况，并对企业风险管理作出相应指导。主要功能涵盖风险识别、风险巡查以及检索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风险识别</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（1）企业端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企业自行录入安全风险识别信息，包含企业风险点名称、所在位置、风险点类型（场所、物品、作业、岗位、工艺、危险源、装置/设备）、危险源列表：包含危险源名称、可能发生的事故类型（物体打击、车辆伤害、机械伤害、触电、火灾等等）、风险等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企业可通过系统对新增风险点进行识别，通过LS、LEC等风险识别法，对企业疑似风险点进行识别，并估算风险等级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LS法L计算方式：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可能性评级和分值（L）、严重性级别和分值（S）、风险等级和风险值R=L*S</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LECD法计算方式：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可能性评级和分值（L）、暴露频次和分值（E）、后果严重度和分值（C）、风险等级和风险值D=L*E*C</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识别后可直接对风险源制定管控措施，也可以先略过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措施包含管控层级（岗位、班组、车间、公司）、工程技术措施、管理措施、教育措施、个体防护措施、应急措施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支持以列表形式显示所有风险识别信息，并支持筛选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支持对安全风险识别信息的变更（变更后将保留变更记录日志）</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支持在WEB端将三图（风险四色图、消防设施分布疏散图、岗位风险告知图）上传和变更，并支持在移动端查看三图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风险点清单支持以EXCEL导出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（2）政府端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查看辖下企业风险点总体情况（四级分布），以列表形式呈现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列表字段：企业名称、行业类型、所属区域、综合评价、总风险点数量、重大风险数量、较大风险数量、一般风险数量、低风险数量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点击企业名称，查看企业基本情况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查看特定企业指定风险点详情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风险点清单EXCEL导出明细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风险点检索（按企业名称、行业类型、所在区域、总体评价）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分级管控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（1）企业端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对已录入已认定的风险点制定管控措施，在系统上对工程技术措施、管控措施、个体防护措施进行选择、并选择管控层级。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对已识别的风险点中的各风险源管控信息以列表展现，并支持筛选检索（风险源名称、根据风险等级、是否制定巡检计划等条件筛选）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可对风险源的管控措施进行查看、编辑、修改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对已制定管控措施的风险点添加定期巡检计划，包含巡检标题、巡检内容、开始日期、结束日期、巡检频率、指定人员（系统内本企业的人员—中途可以变更责任人）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支持查询本企业风险点的巡检状态（当日已查、当日未查、当日无需查）</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支持查看所有巡检记录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（2）政府端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辖下各企业分级管控制定情况（企业名称、综合等级、是否已制定、需制定多少条，已经制定多条），以列表形式呈现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点击企业名称，查看企业基本情况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查看特定企业风险源管控详细措施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全部管控措施清单EXCEL导出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风险日志</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（1）企业端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查看本企业每日、每周、每月针对风险点的巡检情况，以日历颜色形式展现，绿色代表正常、灰色代表未巡检、红色代表异常。</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（2）政府端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可根据</w:t>
      </w:r>
      <w:r>
        <w:rPr>
          <w:rFonts w:hint="eastAsia" w:ascii="宋体" w:hAnsi="宋体" w:cs="宋体"/>
          <w:color w:val="auto"/>
          <w:sz w:val="21"/>
          <w:szCs w:val="21"/>
          <w:highlight w:val="none"/>
          <w:lang w:val="en-US" w:eastAsia="zh-CN"/>
        </w:rPr>
        <w:t>道路</w:t>
      </w:r>
      <w:r>
        <w:rPr>
          <w:rFonts w:hint="eastAsia" w:ascii="宋体" w:hAnsi="宋体" w:eastAsia="宋体" w:cs="宋体"/>
          <w:color w:val="auto"/>
          <w:sz w:val="21"/>
          <w:szCs w:val="21"/>
          <w:highlight w:val="none"/>
          <w:lang w:val="en-US" w:eastAsia="zh-CN"/>
        </w:rPr>
        <w:t>、日期、行业性质、企业属性统计企业每日、每周、每月风险巡检情况，并支持以EXCEL导出。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建设方案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支持企业以WORD、PDF文档上传风险防控整体建设方案；政府部门可以按园区、行业性质、企业名称查询各企业上传的建设方案。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05" w:name="_Toc72943039"/>
      <w:bookmarkStart w:id="106" w:name="_Toc73465626"/>
      <w:bookmarkStart w:id="107" w:name="_Toc89159924"/>
      <w:r>
        <w:rPr>
          <w:rFonts w:hint="eastAsia" w:ascii="宋体" w:hAnsi="宋体" w:eastAsia="宋体" w:cs="宋体"/>
          <w:color w:val="auto"/>
          <w:sz w:val="21"/>
          <w:szCs w:val="21"/>
          <w:highlight w:val="none"/>
          <w:lang w:val="en-US" w:eastAsia="zh-CN"/>
        </w:rPr>
        <w:t>隐患</w:t>
      </w:r>
      <w:bookmarkEnd w:id="105"/>
      <w:bookmarkEnd w:id="106"/>
      <w:r>
        <w:rPr>
          <w:rFonts w:hint="eastAsia" w:ascii="宋体" w:hAnsi="宋体" w:eastAsia="宋体" w:cs="宋体"/>
          <w:color w:val="auto"/>
          <w:sz w:val="21"/>
          <w:szCs w:val="21"/>
          <w:highlight w:val="none"/>
          <w:lang w:val="en-US" w:eastAsia="zh-CN"/>
        </w:rPr>
        <w:t>排查治理</w:t>
      </w:r>
      <w:bookmarkEnd w:id="107"/>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每日承诺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安全第一，预防为主，企业应当每日签署安全承诺。系统支持每日以系统消息方式告知企业在系统上确认并签署。</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（1）企业端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每日承诺提醒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企业每日承诺任务未完成，登录系统后自动弹出每日承诺上报页面，提醒企业完成每日承诺任务。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每日承诺导航</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企业每日承诺未上报，在系统首页实现今日承诺上报任务导航功能，引导企业完成每日承诺上报。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每日承诺上报</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实现今日承诺上报功能，后台自动生成与企业安全特性对应的承诺内容，企业根据要求填报相关承诺内容，并上报监管部门。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每日承诺台账</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在企业档案中增加每日承诺台账功能，台账内容自动从每日承诺记录中关联，记录企业历史承诺情况，并可查看每日承诺内容。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（2）政府端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企业承诺统计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实现辖区内企业每日承诺上报情况统计，统计内容包括应承诺次数、已承诺次数、未承诺次数、承诺完成率。实现按时段统计每日承诺上报情况，默认为当月每日承诺统计。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企业承诺记录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企业每日承诺记录的查询和每日承诺内容的查阅功能。实现按承诺日期、承诺状态、企业名称、行政区划、上报时间查询每日承诺记录。系统在每日24：00根据企业当前安全特性自动生成该企业需承诺的事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今日承诺情况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辖区内企业每日承诺的是否上报、需承诺企业新增减少自动识别功能。系统根据企业承诺上报情况自动识别出未承诺企业明细、已承诺企业明细，根据企业相关安全特性信息的变更，自动识别出今日新增承诺企业明细、取消承诺企业明细。实现今日承诺情况统计，统计内容包括应承诺家次、已承诺家次、未承诺家次、承诺完成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每日承诺台账</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在企业档案中增加每日承诺台账功能，台账内容自动从每日承诺记录中关联，记录企业历史承诺情况，并可查看每日承诺内容。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承诺项配置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实现承诺项的管理功能，并在后台配置企业安全特性与承诺项的对应关系，为每日承诺任务的定时生成提供基础数据。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承诺任务定时生成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建立每日承诺任务定时生成功能，系统在后台定时自动生成每日承诺任务。在每日0：00自动给当日需承诺的企业生成每日承诺任务。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信息推送提醒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每天定时给企业和园区相关工作人员发送每日承诺提醒。每日10时，企业还未完成每日承诺，系统自动给该企业负责人发送每日承诺提醒。每日10时，园内还有企业未完成每日承诺的企业，系统自动给园区相关工作人员发送每日承诺提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隐患排查治理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隐患排查治理实现以企业员工上报为基础，企业确认，政府部门督办监管为一体的隐患防控体系，为企业安全生产提供保障。在企业生产过程中，企业员工在日常工作中发现疑似隐患，可以将疑似隐患信息并现场拍照上传，企业在众多疑似隐患信息中进行隐患确认，并进行录入企业隐患信息，政府部门对各企业上报的隐患进行筛选，针对需要整改的隐患事件进行整改监督，实时对企业隐患整改状态进行督促提醒，对于整改措施未到位的重大隐患企业进行挂牌督办，确保隐患防患于未然。主要功能涵盖隐患上报、隐患录入、隐患确认、隐患接收、隐患督改、隐患统计以及挂牌督办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（1）企业端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待办任务和工作提醒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将本企业关注的待处理隐患排查治理工作以醒目的形式进行提醒,包括:待本企业处理的任务、隐患自查提醒、隐患整改提醒、隐患超期提醒等等。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自查隐患录入和派单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企业自查隐患录入并选择指派责任人（设定签收时限、反馈时限），所有隐患以列表显示。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上报内容包含：隐患描述、隐患等级（重大隐患、一般隐患）隐患部位、排查人员、整改类型、整改期限、隐患图片等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对录入的隐患进行查询、筛选。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可以查看隐患处理的进度和详情。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隐患治理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以列表形式显示需要我处理的单据，包含员工上报和政府监查过程发现的隐患单以及被退回需要重新处理的单据。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列表支持查询、筛选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对接收的隐患单据（员工、政府）的进行签收，并进行派单处理（设定签收时限、反馈时限，责任人上报整改完成时间、整改措施、上次整改后的图片等信息）。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对责任人回复的隐患治理情况进行验收处理（复查处理），可通过验收，则案件完结；可退件表示不通过，退回给责任人重新处理，直到验收通过为止。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（2）政府端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政府检查发现的隐患录入</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录入政府监查过程中发现的隐患并指定责任企业（设定签收时限、反馈时限），所有录入隐患以列表显示（支持设置对相同级别相同角色隐患列表可见，上级可见，全部可见）。</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可将录入的隐患信息上报给上一级（由上级对企业进行督办）；</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上级可将本级发现的问题流转给下一级；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对录入的隐患进行查询、筛选；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可以查看自己录入的隐患处理的进度和详情。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统计分析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危化、工贸等行业隐患排查治理统计报表；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系统提供危化、工贸等行业报表统计，根据危化行业分类分别统计各个行业的隐患信息，可供导出、打印；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季报上报情况汇总；</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系统提供季报汇总功能，每个区域、行业主管部门根据所辖内企业隐患情况形成季报信息，可供导出、打印；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隐患整改情况汇总统计分析表；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系统提供隐患整改情况汇总功能，每个区域、行业主管部门根据所辖内企业隐患整改情况形成相关统计分析表；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企业上报零隐患情况汇总统计分析表；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系统提供企业上报零隐患整改情况汇总功能，每个区域、行业主管部门根据所辖内企业上报零隐患情况形成相关统计分析表。</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08" w:name="_Toc73465627"/>
      <w:bookmarkStart w:id="109" w:name="_Toc89159925"/>
      <w:bookmarkStart w:id="110" w:name="_Toc72943040"/>
      <w:r>
        <w:rPr>
          <w:rFonts w:hint="eastAsia" w:ascii="Times New Roman" w:hAnsi="Times New Roman" w:eastAsia="宋体" w:cs="Times New Roman"/>
          <w:b/>
          <w:bCs/>
          <w:color w:val="auto"/>
          <w:kern w:val="2"/>
          <w:sz w:val="21"/>
          <w:szCs w:val="21"/>
          <w:highlight w:val="none"/>
          <w:lang w:val="en-US" w:eastAsia="zh-CN" w:bidi="ar-SA"/>
        </w:rPr>
        <w:t>危险作业管理</w:t>
      </w:r>
      <w:bookmarkEnd w:id="108"/>
      <w:bookmarkEnd w:id="109"/>
      <w:bookmarkEnd w:id="110"/>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危险作业管理是对企业特种作业类型、作业场所、作业周期、作业人员以及相关特种作业证书信息的申请并审核，审核通过后提交政府监管。企业需要特种作业时，需要提请特种作业申请，企业内部对申请作业情况，根据相关管理规定对企业申请的特种作业信息进行审核处理，只有提交政府报备后的特种作业才能进行作业。主要功能涵盖申请、审核、报备。</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11" w:name="_Toc89159926"/>
      <w:bookmarkStart w:id="112" w:name="_Toc72943041"/>
      <w:bookmarkStart w:id="113" w:name="_Toc83368275"/>
      <w:bookmarkStart w:id="114" w:name="_Toc73465628"/>
      <w:r>
        <w:rPr>
          <w:rFonts w:hint="eastAsia" w:ascii="Times New Roman" w:hAnsi="Times New Roman" w:eastAsia="宋体" w:cs="Times New Roman"/>
          <w:b/>
          <w:bCs/>
          <w:color w:val="auto"/>
          <w:kern w:val="2"/>
          <w:sz w:val="21"/>
          <w:szCs w:val="21"/>
          <w:highlight w:val="none"/>
          <w:lang w:val="en-US" w:eastAsia="zh-CN" w:bidi="ar-SA"/>
        </w:rPr>
        <w:t>环境、能源等数据监测</w:t>
      </w:r>
      <w:bookmarkEnd w:id="111"/>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主要实现与环境、能源系统监测数据、水务数据、消防数据的对接。</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15" w:name="_Toc89159927"/>
      <w:r>
        <w:rPr>
          <w:rFonts w:hint="eastAsia" w:ascii="Times New Roman" w:hAnsi="Times New Roman" w:eastAsia="宋体" w:cs="Times New Roman"/>
          <w:b/>
          <w:bCs/>
          <w:color w:val="auto"/>
          <w:kern w:val="2"/>
          <w:sz w:val="21"/>
          <w:szCs w:val="21"/>
          <w:highlight w:val="none"/>
          <w:lang w:val="en-US" w:eastAsia="zh-CN" w:bidi="ar-SA"/>
        </w:rPr>
        <w:t>环境数据监测</w:t>
      </w:r>
      <w:bookmarkEnd w:id="115"/>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对接现有环保系统，获得环保数据（例如污染源监测数据、污染排放管理信息、总量减排控制信息、发布的环保报告信息、LDAR系统数据、环保执法监管数据、危险废物监管数据等），实现环保数据一图概览，基于GIS地图，显示已有环境质量情况、污染源监测数据、污染物排放数据、危废固废数据、绿色园区评价信息、环保发布信息等，并且相关结果可作为环保日常管控的依据。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16" w:name="_Toc89159928"/>
      <w:r>
        <w:rPr>
          <w:rFonts w:hint="eastAsia" w:ascii="宋体" w:hAnsi="宋体" w:eastAsia="宋体" w:cs="宋体"/>
          <w:color w:val="auto"/>
          <w:sz w:val="21"/>
          <w:szCs w:val="21"/>
          <w:highlight w:val="none"/>
          <w:lang w:val="en-US" w:eastAsia="zh-CN"/>
        </w:rPr>
        <w:t>能源数据监测</w:t>
      </w:r>
      <w:bookmarkEnd w:id="116"/>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对接现有能源系统，获取能源数据，实现不同类型能源数据进行可视化展示，综合展示园区内水、电、气各类能耗情况与数据统计对比情况，节能降耗评估 碳排放管理 能效优化等提供数据支撑。 </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17" w:name="_Toc89159929"/>
      <w:r>
        <w:rPr>
          <w:rFonts w:hint="eastAsia" w:ascii="Times New Roman" w:hAnsi="Times New Roman" w:eastAsia="宋体" w:cs="Times New Roman"/>
          <w:b/>
          <w:bCs/>
          <w:color w:val="auto"/>
          <w:kern w:val="2"/>
          <w:sz w:val="21"/>
          <w:szCs w:val="21"/>
          <w:highlight w:val="none"/>
          <w:lang w:val="en-US" w:eastAsia="zh-CN" w:bidi="ar-SA"/>
        </w:rPr>
        <w:t>水务数据监测展示</w:t>
      </w:r>
      <w:bookmarkEnd w:id="117"/>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对接水务系统，获取水务数据，主要包含水质安全监测数据、水资源评估数据、水质检测数据、供排水管理、各污水处理厂/泵站设备运行等数据。实现不同类型数据在GIS地图上进行综合展示。</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18" w:name="_Toc89159930"/>
      <w:r>
        <w:rPr>
          <w:rFonts w:hint="eastAsia" w:ascii="Times New Roman" w:hAnsi="Times New Roman" w:eastAsia="宋体" w:cs="Times New Roman"/>
          <w:b/>
          <w:bCs/>
          <w:color w:val="auto"/>
          <w:kern w:val="2"/>
          <w:sz w:val="21"/>
          <w:szCs w:val="21"/>
          <w:highlight w:val="none"/>
          <w:lang w:val="en-US" w:eastAsia="zh-CN" w:bidi="ar-SA"/>
        </w:rPr>
        <w:t>消防数据监测展示</w:t>
      </w:r>
      <w:bookmarkEnd w:id="11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对接消防系统，获取消防数据，主要包含消防设备状态数据、隐患和报警数据、设备故障数据、巡检管理等数据。实现不同类型数据在GIS地图上进行综合展示。</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19" w:name="_Toc89159931"/>
      <w:r>
        <w:rPr>
          <w:rFonts w:hint="eastAsia" w:ascii="Times New Roman" w:hAnsi="Times New Roman" w:eastAsia="宋体" w:cs="Times New Roman"/>
          <w:b/>
          <w:bCs/>
          <w:color w:val="auto"/>
          <w:kern w:val="2"/>
          <w:sz w:val="21"/>
          <w:szCs w:val="21"/>
          <w:highlight w:val="none"/>
          <w:lang w:val="en-US" w:eastAsia="zh-CN" w:bidi="ar-SA"/>
        </w:rPr>
        <w:t>企业安全评价体系</w:t>
      </w:r>
      <w:bookmarkEnd w:id="112"/>
      <w:bookmarkEnd w:id="113"/>
      <w:bookmarkEnd w:id="114"/>
      <w:bookmarkEnd w:id="11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分类管理企业安全生产动态数据和静态数据，建立一套企业安全评价体系，包含固有风险模型、动态评价模型、诚信等级、激励模型、负面清单等模型。同时可以查看企业评价等级、总得分、明细得分详情等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按照分数从高到低将综合评价分为自主管理、一般监管、重点监管、重点执法四个等级。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备注：可由建设方根据实际需求进行评价体系的调整。</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20" w:name="_Toc89159932"/>
      <w:r>
        <w:rPr>
          <w:rFonts w:hint="eastAsia" w:ascii="Times New Roman" w:hAnsi="Times New Roman" w:eastAsia="宋体" w:cs="Times New Roman"/>
          <w:b/>
          <w:bCs/>
          <w:color w:val="auto"/>
          <w:kern w:val="2"/>
          <w:sz w:val="21"/>
          <w:szCs w:val="21"/>
          <w:highlight w:val="none"/>
          <w:lang w:val="en-US" w:eastAsia="zh-CN" w:bidi="ar-SA"/>
        </w:rPr>
        <w:t>固有风险模型</w:t>
      </w:r>
      <w:bookmarkEnd w:id="120"/>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为便于统计和计算，引入“企业固有风险评分指标”表征企业的固有风险。以企业风险等级作为固有风险，企业风险等级越高分数越低。其中重大风险企业赋予28分、较大风险企业赋予32分，一般风险企业赋予36分，低风险企业赋予40分。</w:t>
      </w:r>
    </w:p>
    <w:tbl>
      <w:tblPr>
        <w:tblStyle w:val="22"/>
        <w:tblpPr w:leftFromText="180" w:rightFromText="180" w:vertAnchor="text" w:horzAnchor="margin" w:tblpY="32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0"/>
        <w:gridCol w:w="1986"/>
        <w:gridCol w:w="1905"/>
        <w:gridCol w:w="1785"/>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1520" w:type="dxa"/>
            <w:vAlign w:val="center"/>
          </w:tcPr>
          <w:p>
            <w:pPr>
              <w:spacing w:line="500" w:lineRule="exact"/>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基础评估结果</w:t>
            </w:r>
          </w:p>
        </w:tc>
        <w:tc>
          <w:tcPr>
            <w:tcW w:w="1986"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红色</w:t>
            </w:r>
          </w:p>
        </w:tc>
        <w:tc>
          <w:tcPr>
            <w:tcW w:w="1905"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橙色</w:t>
            </w:r>
          </w:p>
        </w:tc>
        <w:tc>
          <w:tcPr>
            <w:tcW w:w="1785"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黄色</w:t>
            </w:r>
          </w:p>
        </w:tc>
        <w:tc>
          <w:tcPr>
            <w:tcW w:w="1800"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蓝色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520" w:type="dxa"/>
            <w:vAlign w:val="center"/>
          </w:tcPr>
          <w:p>
            <w:pPr>
              <w:spacing w:line="500" w:lineRule="exact"/>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风险等级得分</w:t>
            </w:r>
          </w:p>
        </w:tc>
        <w:tc>
          <w:tcPr>
            <w:tcW w:w="1986"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28</w:t>
            </w:r>
          </w:p>
        </w:tc>
        <w:tc>
          <w:tcPr>
            <w:tcW w:w="1905"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32</w:t>
            </w:r>
          </w:p>
        </w:tc>
        <w:tc>
          <w:tcPr>
            <w:tcW w:w="1785"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36</w:t>
            </w:r>
          </w:p>
        </w:tc>
        <w:tc>
          <w:tcPr>
            <w:tcW w:w="1800" w:type="dxa"/>
            <w:vAlign w:val="center"/>
          </w:tcPr>
          <w:p>
            <w:pPr>
              <w:spacing w:line="500" w:lineRule="exact"/>
              <w:ind w:firstLine="560"/>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vAlign w:val="center"/>
          </w:tcPr>
          <w:p>
            <w:pPr>
              <w:spacing w:line="500" w:lineRule="exact"/>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负面清单</w:t>
            </w:r>
          </w:p>
        </w:tc>
        <w:tc>
          <w:tcPr>
            <w:tcW w:w="7476" w:type="dxa"/>
            <w:gridSpan w:val="4"/>
            <w:vAlign w:val="center"/>
          </w:tcPr>
          <w:p>
            <w:pPr>
              <w:spacing w:line="500" w:lineRule="exact"/>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1.评价结果有出入（检查发现风险等级与实际不符），联动到重点监管</w:t>
            </w:r>
          </w:p>
          <w:p>
            <w:pPr>
              <w:spacing w:line="500" w:lineRule="exact"/>
              <w:jc w:val="both"/>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2.弄虚作假（企业在风险评估时隐瞒重点工艺、设备），联动重点执法</w:t>
            </w:r>
          </w:p>
        </w:tc>
      </w:tr>
    </w:tbl>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bookmarkStart w:id="121" w:name="_Toc89159933"/>
      <w:r>
        <w:rPr>
          <w:rFonts w:hint="eastAsia" w:ascii="Times New Roman" w:hAnsi="Times New Roman" w:eastAsia="宋体" w:cs="Times New Roman"/>
          <w:b/>
          <w:bCs/>
          <w:color w:val="auto"/>
          <w:kern w:val="2"/>
          <w:sz w:val="21"/>
          <w:szCs w:val="21"/>
          <w:highlight w:val="none"/>
          <w:lang w:val="en-US" w:eastAsia="zh-CN" w:bidi="ar-SA"/>
        </w:rPr>
        <w:t>动态管理模型</w:t>
      </w:r>
      <w:bookmarkEnd w:id="121"/>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管理体系的运行是由各个管理过程相互联系构成的。管理过程包括管理职责和权限的确定、相关法律法规的搜集、职业安全健康信息的沟通、体系的运行控制、管理者行为和承诺等过程。管理过程的识别，是保证安全管理运行的根本，管理过程是激活各个要素的重要手段。</w:t>
      </w:r>
    </w:p>
    <w:p>
      <w:pPr>
        <w:keepNext w:val="0"/>
        <w:keepLines w:val="0"/>
        <w:pageBreakBefore w:val="0"/>
        <w:numPr>
          <w:ilvl w:val="0"/>
          <w:numId w:val="0"/>
        </w:numPr>
        <w:kinsoku/>
        <w:wordWrap/>
        <w:overflowPunct/>
        <w:topLinePunct w:val="0"/>
        <w:autoSpaceDE/>
        <w:autoSpaceDN/>
        <w:bidi w:val="0"/>
        <w:adjustRightInd/>
        <w:snapToGrid w:val="0"/>
        <w:spacing w:line="380" w:lineRule="exact"/>
        <w:ind w:firstLine="422" w:firstLineChars="200"/>
        <w:jc w:val="left"/>
        <w:textAlignment w:val="auto"/>
        <w:rPr>
          <w:rFonts w:hint="eastAsia"/>
          <w:b/>
          <w:bCs/>
          <w:color w:val="auto"/>
          <w:sz w:val="21"/>
          <w:szCs w:val="21"/>
          <w:highlight w:val="none"/>
          <w:lang w:val="en-US" w:eastAsia="zh-CN"/>
        </w:rPr>
      </w:pPr>
      <w:r>
        <w:rPr>
          <w:rFonts w:hint="eastAsia"/>
          <w:b/>
          <w:bCs/>
          <w:color w:val="auto"/>
          <w:sz w:val="21"/>
          <w:szCs w:val="21"/>
          <w:highlight w:val="none"/>
          <w:lang w:val="en-US" w:eastAsia="zh-CN"/>
        </w:rPr>
        <w:t>封闭管理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于三维GIS地图，通过接口及协议的方式，打通与浙江省运管所的危化品运输管理平台，获取到相应的车辆地位信息，结合园区路面实时数字监控，对进入园区危化品车辆进行统计、实时定位、进出及违停记录、车流量分时段分析、运营信息、车牌查询、轨迹回放、区域分析检索），其它车辆和人员进行实时视频记录，对道路内违停、作业等违法行为及时通知相关职能部门进行纠正，对危险区域实现进入人员定位，划定电子围栏，实现越区报警、偏航报警等，实现园区电子化封闭管理。</w:t>
      </w:r>
    </w:p>
    <w:p>
      <w:pPr>
        <w:spacing w:line="500" w:lineRule="exact"/>
        <w:ind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教育培训</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培训是安全管理中的一个重要环节。大多数的事故是由人的不安全行为引起的，影响人有不安全行为的因素有很多，但安全培训不足应是导致不安全行为的直接原因。企业应为新员工制定一个系统的、可理解的职业安全健康培训程序，指定培训师，帮助他们以一种安全的工作方式进行工作。同时，企业也应该就职业安全健康方面为所有的员工制定一个持续培训计划。培训应明确培训需求、按设定的目标进行并进行考核。因此，将安全培训作为安全评价体系的评价因素。</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采用扣分制度，扣分项目可包含但不限于以下：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企业未制定教育培训计划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培训计划不规范</w:t>
      </w:r>
      <w:r>
        <w:rPr>
          <w:rFonts w:hint="eastAsia" w:ascii="宋体" w:hAnsi="宋体" w:eastAsia="宋体" w:cs="宋体"/>
          <w:color w:val="auto"/>
          <w:sz w:val="21"/>
          <w:szCs w:val="21"/>
          <w:highlight w:val="none"/>
          <w:lang w:val="en-US" w:eastAsia="zh-CN"/>
        </w:rPr>
        <w:tab/>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未按计划开展教育培训</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隐患排查治理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采用扣分制度，扣分项目可包含但不限于以下：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企业未制定隐患排查计划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计划不完善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企业未按计划排查隐患</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隐患未在期限内整改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未落实危险作业审批</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22" w:name="_Toc73465632"/>
      <w:bookmarkStart w:id="123" w:name="_Toc72943045"/>
      <w:r>
        <w:rPr>
          <w:rFonts w:hint="eastAsia" w:ascii="Times New Roman" w:hAnsi="Times New Roman" w:eastAsia="宋体" w:cs="Times New Roman"/>
          <w:b/>
          <w:bCs/>
          <w:color w:val="auto"/>
          <w:kern w:val="2"/>
          <w:sz w:val="21"/>
          <w:szCs w:val="21"/>
          <w:highlight w:val="none"/>
          <w:lang w:val="en-US" w:eastAsia="zh-CN" w:bidi="ar-SA"/>
        </w:rPr>
        <w:t>应急准备与响应</w:t>
      </w:r>
      <w:bookmarkEnd w:id="122"/>
      <w:bookmarkEnd w:id="12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事故应急是指通过事前计划和应急措施，充分利用一切可能的力量，在事故发生后，迅速控制事故发展并尽可能排除事故，保护现场人员和场外人员的安全，将事故对人员、财产和环境造成的损失降低至最小程度。</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采用扣分制度，扣分项目可包含但不限于以下：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企业未制定演练计划</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未组织演练</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24" w:name="_Toc89159934"/>
      <w:r>
        <w:rPr>
          <w:rFonts w:hint="eastAsia" w:ascii="Times New Roman" w:hAnsi="Times New Roman" w:eastAsia="宋体" w:cs="Times New Roman"/>
          <w:b/>
          <w:bCs/>
          <w:color w:val="auto"/>
          <w:kern w:val="2"/>
          <w:sz w:val="21"/>
          <w:szCs w:val="21"/>
          <w:highlight w:val="none"/>
          <w:lang w:val="en-US" w:eastAsia="zh-CN" w:bidi="ar-SA"/>
        </w:rPr>
        <w:t>诚信等级模型</w:t>
      </w:r>
      <w:bookmarkEnd w:id="124"/>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通过企业的安全守法、企业安全生产条件、社会责任、企业公共信用四个维度对企业进行诚信分评价。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安全守法包含行政执法和挂牌督办，采用扣分制度进行评分，扣分细项可包含但不限于以下：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行政执法-警告</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行政执法-警告-罚款金额≤10万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行政执法-警告-10万＜罚款金额≤50万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行政执法-警告-罚款金额&gt;50万</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行政执法-没收违法所得、没收非法财物</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行政执法-暂扣、吊销许可证或者其他具有许可性质的证件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行政执法-实施按日连续处罚</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行政执法-实施查封、扣押</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行政执法-实施限制生产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行政执法-实施停产整治</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行政执法-移送公安机关实施性质拘留</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行政执法-行政处罚申请法院强制执行</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行政执法自收到行政处罚之日起1年内再次受到行政处罚的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挂牌督办-被省应急管理部或省政府挂牌督办</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挂牌督办-被省应急管理厅挂牌督办</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挂牌督办-被设区市应急管理局挂牌督办</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挂牌督办-被县级应急管理局挂牌督办</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挂牌督办-未按期完成挂牌督办整改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25" w:name="_Hlk83553431"/>
      <w:r>
        <w:rPr>
          <w:rFonts w:hint="eastAsia" w:ascii="宋体" w:hAnsi="宋体" w:eastAsia="宋体" w:cs="宋体"/>
          <w:color w:val="auto"/>
          <w:sz w:val="21"/>
          <w:szCs w:val="21"/>
          <w:highlight w:val="none"/>
          <w:lang w:val="en-US" w:eastAsia="zh-CN"/>
        </w:rPr>
        <w:t>企业安全生产条件包含生产许可、人员机构、场所设备、安全生产标准化、事故应急，采用扣分制度进行评分，扣分细项可包含但不限于以下：</w:t>
      </w:r>
    </w:p>
    <w:bookmarkEnd w:id="125"/>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生产许可-无证生产经营的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生产许可-生产经营超越标准范围和有效期的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生产许可-危险化学品从业单位未依法进行化学品登记取证的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人员机构-未按规定设置安全生产管理机构的（50人以下可不设）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人员机构-未按规定配备专职安全生产管理人员的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人员机构-主要负责人未取得安全负责人合格证书的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人员机构-安全管理员未取得安全员合格证书的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人员机构-特种作业人员未取得合格操作证的（执法判断）</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人员机构-未按规定配备注册安全工程师从事安全生产管理工作的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场所设备-构成《化工和危险化学品生产经营单位重大生产安全事故隐患判定标准（试行）》《烟花爆竹生产经营单位重大生产安全事故隐患判定标准（试行）》《工贸行业重大生产安全事故隐患判定标准（2017版）》《重大火灾隐患判定方法》（GB35181）</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场所设备-使用应当淘汰的危及生产安全的工艺、设备的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场所设备-消防设施、器材或者消防安全标志的配置、设置不符合国家标准、行业标准，或未保持完好有效的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安全生产标准化-规模以下企业，在规定期限内未整改或整改后未达到安责险事故预防服务标准的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安全生产标准化-规模以上企业，取得安全生产标准化三级证书的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安全生产标准化-规模以上企业，取得安全生产标准化二级证书的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事故应急-因企业主体责任未落实发生一般安全生产事故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事故应急-因企业主体责任未落实发生较大安全生产事故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事故应急-因企业主体责任未落实发生重大安全生产事故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事故应急-因企业主体责任未落实发生特别重大安全生产事故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社会责任包含保险服务、严重失信，采用扣分制度进行评分，扣分细项可包含但不限于以下：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保险服务-未按规定缴纳企业工商保险的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保险服务-未按规定参保企业安责险的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保险服务-未根据安责险要求接受第三方机构开展安全生产技术服务的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严重失信-构成安全生产犯罪的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严重失信-以欺骗、贿赂等不正当手段取得安全生产行政许可，被依法撤销的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严重失信-因下列安全生产违法行为受到行政处罚，在法定期限内未提起行政复议、行政诉讼(或者经行政复议、行政诉讼最终维持原决定的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严重失信-对生产安全事故隐瞒不报、谎报或者迟报的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严重失信-拒不接受安全生产主管部门监督检查或在检查时弄虚作假的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严重失信-企业在安全评价、安全检测检验等第三方安全技术服务活动中存在违反安全生产相关法律法规规定的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严重失信-法律、法规规定的其他应当将信息主体列入严重失信名单的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企业共用信用和省诚信系统对接，获取企业公共信用评价分值。</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26" w:name="_Toc89159935"/>
      <w:r>
        <w:rPr>
          <w:rFonts w:hint="eastAsia" w:ascii="宋体" w:hAnsi="宋体" w:eastAsia="宋体" w:cs="宋体"/>
          <w:color w:val="auto"/>
          <w:sz w:val="21"/>
          <w:szCs w:val="21"/>
          <w:highlight w:val="none"/>
          <w:lang w:val="en-US" w:eastAsia="zh-CN"/>
        </w:rPr>
        <w:t>负面清单模型</w:t>
      </w:r>
      <w:bookmarkEnd w:id="126"/>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负向清单模型，当企业发生负向补偿指标相关情形时，在企业基础评估得分的基础上减去负向补偿指标的分值。分为重点监管事项和联合惩戒事项</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重点监管事项清单（发生任一一项，直接联动到重点监管企业，综合评分降为65分）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发生亡人事故或者在社会上造成重大不良影响的一般生产安全责任事故，事故调查认定负主要责任的；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未按要求在固定期限做出书面安全生产信用承诺的，或做出安全生产信用承诺又违反的；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未按要求在规定期限内消除重大事故隐患的；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被安全生产监管部门12个月内累计行政处罚2次以上的，不执行安全生产监管指令的；不按规定履行行政处罚的。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联合惩戒事项清单（发生任一一项，直接联动到重点执法企业，综合评分降为55分）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发生较大及以上生产安全责任事故或12个月内发生2起以上造成人员死亡的一般生产安全责任事故，根据事故调查结果负主要责任的；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取得安全生产有关行政许可，或在安全生产有关许可证逾期未换证、被暂扣、吊销期间，或在被责令停产停业整顿期间，仍然从事生产经营活动的；矿山、危险化学品、金属冶炼等高危行业未按批准的安全设施设计施工，或安全设施未经验收合格即投入生产和使用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发生事故后，主要负责人逃逸的；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列入重点关注名单的，6个月内未整改或再次发生相关失信行为；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重大生产安全事故隐患，不及时整改，仍组织从业人员冒险作业；</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矿山生产经营单位越层越界开采、以探代采。</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27" w:name="_Toc89159936"/>
      <w:r>
        <w:rPr>
          <w:rFonts w:hint="eastAsia" w:ascii="Times New Roman" w:hAnsi="Times New Roman" w:eastAsia="宋体" w:cs="Times New Roman"/>
          <w:b/>
          <w:bCs/>
          <w:color w:val="auto"/>
          <w:kern w:val="2"/>
          <w:sz w:val="21"/>
          <w:szCs w:val="21"/>
          <w:highlight w:val="none"/>
          <w:lang w:val="en-US" w:eastAsia="zh-CN" w:bidi="ar-SA"/>
        </w:rPr>
        <w:t>激励主题</w:t>
      </w:r>
      <w:bookmarkEnd w:id="127"/>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采用企业人均流量等为评分项，鼓励企业多用系统。</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28" w:name="_Toc89159937"/>
      <w:r>
        <w:rPr>
          <w:rFonts w:hint="eastAsia" w:ascii="Times New Roman" w:hAnsi="Times New Roman" w:eastAsia="宋体" w:cs="Times New Roman"/>
          <w:b/>
          <w:bCs/>
          <w:color w:val="auto"/>
          <w:kern w:val="2"/>
          <w:sz w:val="21"/>
          <w:szCs w:val="21"/>
          <w:highlight w:val="none"/>
          <w:lang w:val="en-US" w:eastAsia="zh-CN" w:bidi="ar-SA"/>
        </w:rPr>
        <w:t>企业综合评价查询</w:t>
      </w:r>
      <w:bookmarkEnd w:id="12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政府人员可以通过统计分析报表了解特定行业、特定企业、特定时段内企业综合评价的数量分布（自主管理、一般监管、重点监管、重点执法）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支持以道路门牌、行业性质、企业属性、年度、企业名称等关键字进行搜索查询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政府人员可以清晰地掌握各个企业企业评价等级、总得分、明细得分详情</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政府人员可以了解企业分数变化情况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企业可以掌握本企业当前评价等级、历史评价等级以及具体得分情况</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29" w:name="_Toc89159938"/>
      <w:r>
        <w:rPr>
          <w:rFonts w:hint="eastAsia" w:ascii="Times New Roman" w:hAnsi="Times New Roman" w:eastAsia="宋体" w:cs="Times New Roman"/>
          <w:b/>
          <w:bCs/>
          <w:color w:val="auto"/>
          <w:kern w:val="2"/>
          <w:sz w:val="21"/>
          <w:szCs w:val="21"/>
          <w:highlight w:val="none"/>
          <w:lang w:val="en-US" w:eastAsia="zh-CN" w:bidi="ar-SA"/>
        </w:rPr>
        <w:t>评价库设定</w:t>
      </w:r>
      <w:bookmarkEnd w:id="12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分为评价企业类型库、企业评价标准库、评价模型库、动态修复模型库。</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企业类型库用于将不同行业（工贸、危化、矿山、其他）的企业加入适合本行业的评价标准库。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企业评价标准库由不同的评价模型和修复模型组合而成。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评价模型库是由具体模型说明和脚本代码组合而成。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Times New Roman" w:hAnsi="Times New Roman" w:eastAsia="宋体" w:cs="Times New Roman"/>
          <w:b w:val="0"/>
          <w:bCs w:val="0"/>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 xml:space="preserve">动态修复模型库由具体修复模型和脚本代码组成而成，用于评分的动态修复。  </w:t>
      </w:r>
      <w:r>
        <w:rPr>
          <w:rFonts w:hint="eastAsia" w:ascii="Times New Roman" w:hAnsi="Times New Roman" w:eastAsia="宋体" w:cs="Times New Roman"/>
          <w:b w:val="0"/>
          <w:bCs w:val="0"/>
          <w:color w:val="auto"/>
          <w:kern w:val="2"/>
          <w:sz w:val="21"/>
          <w:szCs w:val="21"/>
          <w:highlight w:val="none"/>
          <w:lang w:val="en-US" w:eastAsia="zh-CN" w:bidi="ar-SA"/>
        </w:rPr>
        <w:t xml:space="preserve">  </w:t>
      </w:r>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30" w:name="_Toc72943057"/>
      <w:bookmarkStart w:id="131" w:name="_Toc89159939"/>
      <w:bookmarkStart w:id="132" w:name="_Toc83368279"/>
      <w:bookmarkStart w:id="133" w:name="_Toc73465636"/>
      <w:r>
        <w:rPr>
          <w:rFonts w:hint="eastAsia" w:ascii="Times New Roman" w:hAnsi="Times New Roman" w:eastAsia="宋体" w:cs="Times New Roman"/>
          <w:b/>
          <w:bCs/>
          <w:color w:val="auto"/>
          <w:kern w:val="2"/>
          <w:sz w:val="21"/>
          <w:szCs w:val="21"/>
          <w:highlight w:val="none"/>
          <w:lang w:val="en-US" w:eastAsia="zh-CN" w:bidi="ar-SA"/>
        </w:rPr>
        <w:t>应急指挥系统</w:t>
      </w:r>
      <w:bookmarkEnd w:id="130"/>
      <w:bookmarkEnd w:id="131"/>
      <w:bookmarkEnd w:id="132"/>
      <w:bookmarkEnd w:id="133"/>
    </w:p>
    <w:p>
      <w:pPr>
        <w:spacing w:line="500" w:lineRule="exact"/>
        <w:ind w:firstLine="560"/>
        <w:rPr>
          <w:rFonts w:hint="eastAsia" w:ascii="Times New Roman" w:hAnsi="Times New Roman" w:eastAsia="宋体" w:cs="Times New Roman"/>
          <w:b/>
          <w:bCs/>
          <w:color w:val="auto"/>
          <w:kern w:val="2"/>
          <w:sz w:val="21"/>
          <w:szCs w:val="21"/>
          <w:highlight w:val="none"/>
          <w:lang w:val="en-US" w:eastAsia="zh-CN" w:bidi="ar-SA"/>
        </w:rPr>
      </w:pPr>
      <w:bookmarkStart w:id="134" w:name="_Toc73465637"/>
      <w:bookmarkStart w:id="135" w:name="_Toc89159940"/>
      <w:bookmarkStart w:id="136" w:name="_Toc72943058"/>
      <w:r>
        <w:rPr>
          <w:rFonts w:hint="eastAsia" w:ascii="Times New Roman" w:hAnsi="Times New Roman" w:eastAsia="宋体" w:cs="Times New Roman"/>
          <w:b/>
          <w:bCs/>
          <w:color w:val="auto"/>
          <w:kern w:val="2"/>
          <w:sz w:val="21"/>
          <w:szCs w:val="21"/>
          <w:highlight w:val="none"/>
          <w:lang w:val="en-US" w:eastAsia="zh-CN" w:bidi="ar-SA"/>
        </w:rPr>
        <w:t>应急预案</w:t>
      </w:r>
      <w:bookmarkEnd w:id="134"/>
      <w:bookmarkEnd w:id="135"/>
      <w:bookmarkEnd w:id="136"/>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实现应急预案的辅助编制功能，能够结构化地编制专项预案，基于事件的性质特点、对事件的综合预测以及相关案例经验知识等，编制针对某类事件应急处置的工作组配置、成员、流程、资源配置等方案。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由企业上报的预案，在政府部门的审核后，不允许随意修改，如每年定期修订和三年重新评审时，需提出申请资料，重新上传新的预案文件，原文件保留，显示时展示最新版本的预案，原始预案文件只在历史数据中可查询。</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会充分利用可视化预案编辑制作手段降低预案制作难度，将预案制作工作普及到社区企业级,形成覆盖全业务网络的预案制作、共享、分发、评价、审核体系。这一体系的建成，一方面对提高各级业务部门及人员对应急处置知识和过程的理解和认识，提高安全防范意识，另一方面也会大幅度提升预案库堆积的速度，从而为综合运用大数据技术让这些预案资源发挥更广泛的教育培训作用奠定基础。</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37" w:name="_Toc89159941"/>
      <w:r>
        <w:rPr>
          <w:rFonts w:hint="eastAsia" w:ascii="宋体" w:hAnsi="宋体" w:eastAsia="宋体" w:cs="宋体"/>
          <w:color w:val="auto"/>
          <w:sz w:val="21"/>
          <w:szCs w:val="21"/>
          <w:highlight w:val="none"/>
          <w:lang w:val="en-US" w:eastAsia="zh-CN"/>
        </w:rPr>
        <w:t>应急演练</w:t>
      </w:r>
      <w:bookmarkEnd w:id="137"/>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企业人员需上报对本企业的本年度的应急演练计划，并按时回复演练计划执行情况。政府人员可查看统计辖区内所有企业的演练计划制定和执行情况。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38" w:name="_Toc72943059"/>
      <w:bookmarkStart w:id="139" w:name="_Toc89159942"/>
      <w:bookmarkStart w:id="140" w:name="_Toc73465638"/>
      <w:r>
        <w:rPr>
          <w:rFonts w:hint="eastAsia" w:ascii="宋体" w:hAnsi="宋体" w:eastAsia="宋体" w:cs="宋体"/>
          <w:color w:val="auto"/>
          <w:sz w:val="21"/>
          <w:szCs w:val="21"/>
          <w:highlight w:val="none"/>
          <w:lang w:val="en-US" w:eastAsia="zh-CN"/>
        </w:rPr>
        <w:t>应急物资</w:t>
      </w:r>
      <w:bookmarkEnd w:id="138"/>
      <w:bookmarkEnd w:id="139"/>
      <w:bookmarkEnd w:id="140"/>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企业和政府人员，可对应急物资信息进行维护管理。包含：物资名称、类型、生产年月、数量、储存位置（经纬度坐标）、保质期、适用范围等。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41" w:name="_Toc89159943"/>
      <w:bookmarkStart w:id="142" w:name="_Toc73465639"/>
      <w:bookmarkStart w:id="143" w:name="_Toc72943060"/>
      <w:r>
        <w:rPr>
          <w:rFonts w:hint="eastAsia" w:ascii="宋体" w:hAnsi="宋体" w:eastAsia="宋体" w:cs="宋体"/>
          <w:color w:val="auto"/>
          <w:sz w:val="21"/>
          <w:szCs w:val="21"/>
          <w:highlight w:val="none"/>
          <w:lang w:val="en-US" w:eastAsia="zh-CN"/>
        </w:rPr>
        <w:t>应急队伍</w:t>
      </w:r>
      <w:bookmarkEnd w:id="141"/>
      <w:bookmarkEnd w:id="142"/>
      <w:bookmarkEnd w:id="143"/>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企业和政府人员，可对应急队伍信息进行维护管理，应急队伍不局限于兰溪经济开发区的应急队伍，需涵盖园区企业以及县里的应急队伍。包含：联系人、联系方式、队伍人员、处置事故信息、队伍装备信息等。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44" w:name="_Toc89159944"/>
      <w:bookmarkStart w:id="145" w:name="_Toc72943061"/>
      <w:bookmarkStart w:id="146" w:name="_Toc73465640"/>
      <w:r>
        <w:rPr>
          <w:rFonts w:hint="eastAsia" w:ascii="宋体" w:hAnsi="宋体" w:eastAsia="宋体" w:cs="宋体"/>
          <w:color w:val="auto"/>
          <w:sz w:val="21"/>
          <w:szCs w:val="21"/>
          <w:highlight w:val="none"/>
          <w:lang w:val="en-US" w:eastAsia="zh-CN"/>
        </w:rPr>
        <w:t>应急专家</w:t>
      </w:r>
      <w:bookmarkEnd w:id="144"/>
      <w:bookmarkEnd w:id="145"/>
      <w:bookmarkEnd w:id="146"/>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政府人员可对应急专家信息进行维护管理，应急专家信息包含：姓名、出生年月、专业、支撑、擅长行业、家庭地址、联系方式等。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47" w:name="_Toc89159945"/>
      <w:bookmarkStart w:id="148" w:name="_Toc73465641"/>
      <w:bookmarkStart w:id="149" w:name="_Toc72943062"/>
      <w:r>
        <w:rPr>
          <w:rFonts w:hint="eastAsia" w:ascii="宋体" w:hAnsi="宋体" w:eastAsia="宋体" w:cs="宋体"/>
          <w:color w:val="auto"/>
          <w:sz w:val="21"/>
          <w:szCs w:val="21"/>
          <w:highlight w:val="none"/>
          <w:lang w:val="en-US" w:eastAsia="zh-CN"/>
        </w:rPr>
        <w:t>应急处置救援</w:t>
      </w:r>
      <w:bookmarkEnd w:id="147"/>
      <w:bookmarkEnd w:id="148"/>
      <w:bookmarkEnd w:id="14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值守接警的用户根据事故信息，选择事故扩散模型。通过应急救援一张图，可快速搜寻附近应急物资、应急队伍、应急专家等信息。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通过汇总分析相关地区和部门的监测实时参数，结合事故进展情况，对事故影响范围、影响方式、持续时间和危害程度等进行综合研判。</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在应急救援决策和行动中，能够针对当前灾情，采集相应的资源数据、地理信息、历史处置方案，通过征求专家库相应专家的意见，对信息综合集成、分析、处理、评估，研究制定相应方案和措施，对救援过程中遇到的技术难题为前线指挥者提出解决方案，实现应急救援的科学性和准确性。</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50" w:name="_Toc89159946"/>
      <w:bookmarkStart w:id="151" w:name="_Toc83368281"/>
      <w:bookmarkStart w:id="152" w:name="_Toc73465642"/>
      <w:bookmarkStart w:id="153" w:name="_Toc83368280"/>
      <w:bookmarkStart w:id="154" w:name="_Toc72943063"/>
      <w:bookmarkStart w:id="155" w:name="_Toc72943068"/>
      <w:bookmarkStart w:id="156" w:name="_Toc73465646"/>
      <w:bookmarkStart w:id="157" w:name="_Toc32953397"/>
      <w:bookmarkStart w:id="158" w:name="_Toc479451068"/>
      <w:r>
        <w:rPr>
          <w:rFonts w:hint="eastAsia" w:ascii="宋体" w:hAnsi="宋体" w:eastAsia="宋体" w:cs="宋体"/>
          <w:color w:val="auto"/>
          <w:sz w:val="21"/>
          <w:szCs w:val="21"/>
          <w:highlight w:val="none"/>
          <w:lang w:val="en-US" w:eastAsia="zh-CN"/>
        </w:rPr>
        <w:t>应急移动指挥</w:t>
      </w:r>
      <w:bookmarkEnd w:id="150"/>
      <w:bookmarkEnd w:id="151"/>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严格遵循浙江省数字化改革要求，在浙政钉上发布部署应急移动指挥应用，为应急人员指挥救援提供掌上办公。功能包含但不限于</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通过手机查看应急预案库，快速查看所需的预案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快速检索查找仓库以及物资</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快速查找所需专家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快速查找应急队伍</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通讯录功能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指令接收和应急任务处置</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一键报警，向指挥中心提交报警信息</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语音通话、视频通话等会商功能</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浙政钉上架对接方案如下：</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Step1：申请入驻开放平台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﻿开发商首先需要申请入驻政务钉钉开放平台（https://openplatform-portal.dg-work.cn/portal/#/index），填写、上传相关信息后，经审核通过后，申请成功ISV租户。﻿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step2：接口联调测试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﻿开发商可自行在ISV租户内创建应用，查看相关接口进行联调测试。直至应用可以正常使用。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Step3: 申请转入正式环境</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由业主单位应用负责人填写2.0新应用上架申请单或者1.0迁移应用上架申请表，提供相关信息与材料，经审核后，由浙政钉团队创建应用。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Step4：正式环境应用调试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由各区县、地市、省级单位管理员将应用上架到相应的工作台。由于saas平台与浙政钉在接口地址、接口类目存在区别，开发商需要在正式环境再次进行应用调试，此过程中，各区县、地市、省级单位管理员可以缩小应用的可见范围，防止其他人员出现无法使用的情况。</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Step5: 应用正式上架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待应用可正常使用后，由各区县、地市、省级单位管理员扩大使用范围。应用正式完成上架。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59" w:name="_Toc89159947"/>
      <w:r>
        <w:rPr>
          <w:rFonts w:hint="eastAsia" w:ascii="宋体" w:hAnsi="宋体" w:eastAsia="宋体" w:cs="宋体"/>
          <w:color w:val="auto"/>
          <w:sz w:val="21"/>
          <w:szCs w:val="21"/>
          <w:highlight w:val="none"/>
          <w:lang w:val="en-US" w:eastAsia="zh-CN"/>
        </w:rPr>
        <w:t>开发区综合监管“一张图”</w:t>
      </w:r>
      <w:bookmarkEnd w:id="152"/>
      <w:bookmarkEnd w:id="153"/>
      <w:bookmarkEnd w:id="154"/>
      <w:bookmarkEnd w:id="15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综合监管“一张图”是整个信息化体系的顶层，是根据各平台的信息汇总后进行决策应用，最终以一张图形式进行整体展示。包括：监测预警一张图、日常监管一张图、应急指挥一张图。</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60" w:name="_Toc72943064"/>
      <w:bookmarkStart w:id="161" w:name="_Toc73465643"/>
      <w:bookmarkStart w:id="162" w:name="_Toc89159948"/>
      <w:r>
        <w:rPr>
          <w:rFonts w:hint="eastAsia" w:ascii="宋体" w:hAnsi="宋体" w:eastAsia="宋体" w:cs="宋体"/>
          <w:color w:val="auto"/>
          <w:sz w:val="21"/>
          <w:szCs w:val="21"/>
          <w:highlight w:val="none"/>
          <w:lang w:val="en-US" w:eastAsia="zh-CN"/>
        </w:rPr>
        <w:t>监测预警一张图</w:t>
      </w:r>
      <w:bookmarkEnd w:id="160"/>
      <w:bookmarkEnd w:id="161"/>
      <w:bookmarkEnd w:id="162"/>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结合GIS地图，集中展示开发区内企业分布以及建筑分布，并通过企业实际接入生产监测数据，对企业安全生产信息进行实时监控，并对异常信息进行实时预警分析。</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63" w:name="_Toc73465644"/>
      <w:bookmarkStart w:id="164" w:name="_Toc89159949"/>
      <w:bookmarkStart w:id="165" w:name="_Toc72943066"/>
      <w:r>
        <w:rPr>
          <w:rFonts w:hint="eastAsia" w:ascii="宋体" w:hAnsi="宋体" w:eastAsia="宋体" w:cs="宋体"/>
          <w:color w:val="auto"/>
          <w:sz w:val="21"/>
          <w:szCs w:val="21"/>
          <w:highlight w:val="none"/>
          <w:lang w:val="en-US" w:eastAsia="zh-CN"/>
        </w:rPr>
        <w:t>综合监管一张图</w:t>
      </w:r>
      <w:bookmarkEnd w:id="163"/>
      <w:bookmarkEnd w:id="164"/>
      <w:bookmarkEnd w:id="165"/>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综合监管一张图包括企业基本信息、视频、在线监测、预警报警、重大危险源等图层，本次建设将补充完善现有图层，增加生产人员分布、企业安全风险分级分区等图层，实现与GIS地图结合，集成展示开发区的安全生产相关数据，实现对开发区安全要素的统一管理、可视化，使开发区安全生产管理者能够在第一时间迅速获取所需的重要信息，提升信息获取和开发区管理的效率。主要图层包括：企业基本信息、视频、安全生产在线监控、重大危险源、生产人员分布、企业安全风险分级分区、生产人员分布、安全生产报警信息等。</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bookmarkStart w:id="166" w:name="_Toc73465645"/>
      <w:bookmarkStart w:id="167" w:name="_Toc72943067"/>
      <w:bookmarkStart w:id="168" w:name="_Toc89159950"/>
      <w:r>
        <w:rPr>
          <w:rFonts w:hint="eastAsia" w:ascii="宋体" w:hAnsi="宋体" w:eastAsia="宋体" w:cs="宋体"/>
          <w:color w:val="auto"/>
          <w:sz w:val="21"/>
          <w:szCs w:val="21"/>
          <w:highlight w:val="none"/>
          <w:lang w:val="en-US" w:eastAsia="zh-CN"/>
        </w:rPr>
        <w:t>应急指挥一张图</w:t>
      </w:r>
      <w:bookmarkEnd w:id="166"/>
      <w:bookmarkEnd w:id="167"/>
      <w:bookmarkEnd w:id="168"/>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通过GIS地图展示应急资源、应急物资、应急队伍、避难场所等应急指挥要素，并能够在应急指挥一张图模拟事故扩散模型分析，为应急指挥提供辅助决策支撑。</w:t>
      </w:r>
      <w:bookmarkEnd w:id="155"/>
      <w:bookmarkEnd w:id="156"/>
      <w:bookmarkEnd w:id="157"/>
      <w:bookmarkEnd w:id="158"/>
    </w:p>
    <w:p>
      <w:pPr>
        <w:spacing w:line="500" w:lineRule="exact"/>
        <w:rPr>
          <w:rFonts w:hint="eastAsia"/>
          <w:b/>
          <w:bCs/>
          <w:color w:val="auto"/>
          <w:sz w:val="21"/>
          <w:szCs w:val="21"/>
          <w:highlight w:val="none"/>
          <w:lang w:val="en-US" w:eastAsia="zh-CN"/>
        </w:rPr>
      </w:pPr>
      <w:r>
        <w:rPr>
          <w:rFonts w:hint="eastAsia"/>
          <w:b/>
          <w:bCs/>
          <w:color w:val="auto"/>
          <w:sz w:val="21"/>
          <w:szCs w:val="21"/>
          <w:highlight w:val="none"/>
          <w:lang w:val="en-US" w:eastAsia="zh-CN"/>
        </w:rPr>
        <w:t>12. 化工产业大脑接入要求</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浙江省经济和信息化厅（浙经信材料[2021]57号）文件要求，为贯彻落实省委、省政府关于数字化改革的重要决策部署，以化工产业大脑建设为先行，开展数字经济产业大脑的建设。化工产业大脑基于“1+N”工业互联网平台搭建应用场景，通过与一体化智能化公共数据平台交换实现数据共享。化工园区（集聚区）智慧化数字化平台将作为重要应用场景纳入化工产业大脑建设范畴，向化工产业大脑输送各类管理运营数据，为产业大脑建设奠定良好基础。</w:t>
      </w:r>
    </w:p>
    <w:p>
      <w:pPr>
        <w:pStyle w:val="8"/>
        <w:spacing w:before="0" w:after="0"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建设内容及对接要求</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本项目实施过程当中，要完成与化工产业大脑对接接口开发工作，保证智慧安监平台与省化工产业大脑的数据互通。包括但不限于以下表格内容，以今后化工产业大脑实际开发进度和对接要求为准。</w:t>
      </w:r>
    </w:p>
    <w:tbl>
      <w:tblPr>
        <w:tblStyle w:val="22"/>
        <w:tblW w:w="8303" w:type="dxa"/>
        <w:jc w:val="center"/>
        <w:tblLayout w:type="fixed"/>
        <w:tblCellMar>
          <w:top w:w="0" w:type="dxa"/>
          <w:left w:w="0" w:type="dxa"/>
          <w:bottom w:w="0" w:type="dxa"/>
          <w:right w:w="0" w:type="dxa"/>
        </w:tblCellMar>
      </w:tblPr>
      <w:tblGrid>
        <w:gridCol w:w="1039"/>
        <w:gridCol w:w="5748"/>
        <w:gridCol w:w="1516"/>
      </w:tblGrid>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2" w:firstLineChars="200"/>
              <w:jc w:val="center"/>
              <w:textAlignment w:val="center"/>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lang w:bidi="ar"/>
              </w:rPr>
              <w:t>序号</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2" w:firstLineChars="200"/>
              <w:jc w:val="center"/>
              <w:textAlignment w:val="center"/>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lang w:bidi="ar"/>
              </w:rPr>
              <w:t>名称</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2" w:firstLineChars="200"/>
              <w:jc w:val="center"/>
              <w:textAlignment w:val="center"/>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lang w:bidi="ar"/>
              </w:rPr>
              <w:t>备注</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园区事故表信息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2</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园区应急物资表信息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3</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园区应急资源表信息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4</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园区值班员表信息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5</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外部人员通讯录表信息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6</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园区产值/增加值表信息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7</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园区基本信息表信息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8</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园区产值表信息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9</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园区安全人员统计表信息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10</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园区企业信息表信息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11</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园区危化品信息表信息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12</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园区危险生产工艺表信息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13</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园区危险源表信息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14</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园区告警记录表表信息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15</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园区空气质量表信息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16</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园区水质量表信息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r>
        <w:tblPrEx>
          <w:tblCellMar>
            <w:top w:w="0" w:type="dxa"/>
            <w:left w:w="0" w:type="dxa"/>
            <w:bottom w:w="0" w:type="dxa"/>
            <w:right w:w="0" w:type="dxa"/>
          </w:tblCellMar>
        </w:tblPrEx>
        <w:trPr>
          <w:trHeight w:val="278" w:hRule="atLeast"/>
          <w:jc w:val="center"/>
        </w:trPr>
        <w:tc>
          <w:tcPr>
            <w:tcW w:w="1039"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17</w:t>
            </w:r>
          </w:p>
        </w:tc>
        <w:tc>
          <w:tcPr>
            <w:tcW w:w="5748"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widowControl/>
              <w:spacing w:line="360" w:lineRule="auto"/>
              <w:ind w:firstLine="420" w:firstLineChars="200"/>
              <w:jc w:val="center"/>
              <w:textAlignment w:val="center"/>
              <w:rPr>
                <w:rFonts w:hint="eastAsia" w:ascii="宋体" w:hAnsi="宋体" w:eastAsia="宋体" w:cs="宋体"/>
                <w:bCs/>
                <w:color w:val="auto"/>
                <w:kern w:val="0"/>
                <w:sz w:val="21"/>
                <w:szCs w:val="21"/>
                <w:highlight w:val="none"/>
                <w:lang w:bidi="ar"/>
              </w:rPr>
            </w:pPr>
            <w:r>
              <w:rPr>
                <w:rFonts w:hint="eastAsia" w:ascii="宋体" w:hAnsi="宋体" w:eastAsia="宋体" w:cs="宋体"/>
                <w:color w:val="auto"/>
                <w:kern w:val="0"/>
                <w:sz w:val="21"/>
                <w:szCs w:val="21"/>
                <w:highlight w:val="none"/>
              </w:rPr>
              <w:t>园区环境信息表信息</w:t>
            </w:r>
          </w:p>
        </w:tc>
        <w:tc>
          <w:tcPr>
            <w:tcW w:w="1516" w:type="dxa"/>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pPr>
              <w:spacing w:line="360" w:lineRule="auto"/>
              <w:ind w:firstLine="422" w:firstLineChars="200"/>
              <w:jc w:val="center"/>
              <w:rPr>
                <w:rFonts w:hint="eastAsia" w:ascii="宋体" w:hAnsi="宋体" w:eastAsia="宋体" w:cs="宋体"/>
                <w:b/>
                <w:color w:val="auto"/>
                <w:sz w:val="21"/>
                <w:szCs w:val="21"/>
                <w:highlight w:val="none"/>
              </w:rPr>
            </w:pPr>
            <w:r>
              <w:rPr>
                <w:rFonts w:hint="eastAsia" w:ascii="宋体" w:hAnsi="宋体" w:eastAsia="宋体" w:cs="宋体"/>
                <w:b/>
                <w:bCs/>
                <w:color w:val="auto"/>
                <w:kern w:val="0"/>
                <w:sz w:val="21"/>
                <w:szCs w:val="21"/>
                <w:highlight w:val="none"/>
              </w:rPr>
              <w:t>　</w:t>
            </w:r>
          </w:p>
        </w:tc>
      </w:tr>
    </w:tbl>
    <w:p>
      <w:pPr>
        <w:spacing w:line="400" w:lineRule="atLeast"/>
        <w:jc w:val="left"/>
        <w:rPr>
          <w:rFonts w:hint="default" w:ascii="宋体" w:hAnsi="宋体" w:eastAsia="宋体" w:cs="宋体"/>
          <w:b/>
          <w:color w:val="auto"/>
          <w:kern w:val="0"/>
          <w:sz w:val="21"/>
          <w:szCs w:val="21"/>
          <w:highlight w:val="none"/>
          <w:lang w:val="en-US" w:eastAsia="zh-CN"/>
        </w:rPr>
      </w:pPr>
      <w:r>
        <w:rPr>
          <w:rFonts w:hint="eastAsia" w:ascii="宋体" w:hAnsi="宋体" w:cs="宋体"/>
          <w:b/>
          <w:color w:val="auto"/>
          <w:kern w:val="0"/>
          <w:sz w:val="21"/>
          <w:szCs w:val="21"/>
          <w:highlight w:val="none"/>
          <w:lang w:val="en-US" w:eastAsia="zh-CN"/>
        </w:rPr>
        <w:t>13.</w:t>
      </w:r>
      <w:r>
        <w:rPr>
          <w:rFonts w:hint="eastAsia" w:ascii="宋体" w:hAnsi="宋体" w:eastAsia="宋体" w:cs="宋体"/>
          <w:b/>
          <w:color w:val="auto"/>
          <w:kern w:val="0"/>
          <w:sz w:val="21"/>
          <w:szCs w:val="21"/>
          <w:highlight w:val="none"/>
        </w:rPr>
        <w:t>运维要求</w:t>
      </w:r>
    </w:p>
    <w:p>
      <w:pPr>
        <w:spacing w:line="400" w:lineRule="atLeast"/>
        <w:jc w:val="left"/>
        <w:rPr>
          <w:rFonts w:hint="eastAsia" w:ascii="宋体" w:hAnsi="宋体" w:eastAsia="宋体" w:cs="宋体"/>
          <w:bCs/>
          <w:color w:val="auto"/>
          <w:kern w:val="0"/>
          <w:sz w:val="21"/>
          <w:szCs w:val="21"/>
          <w:highlight w:val="none"/>
        </w:rPr>
      </w:pPr>
      <w:bookmarkStart w:id="169" w:name="_Toc13995"/>
      <w:r>
        <w:rPr>
          <w:rFonts w:hint="eastAsia" w:ascii="宋体" w:hAnsi="宋体" w:cs="宋体"/>
          <w:b/>
          <w:bCs w:val="0"/>
          <w:color w:val="auto"/>
          <w:kern w:val="0"/>
          <w:sz w:val="21"/>
          <w:szCs w:val="21"/>
          <w:highlight w:val="none"/>
          <w:lang w:val="en-US" w:eastAsia="zh-CN"/>
        </w:rPr>
        <w:t>13.1</w:t>
      </w:r>
      <w:r>
        <w:rPr>
          <w:rFonts w:hint="eastAsia" w:ascii="宋体" w:hAnsi="宋体" w:eastAsia="宋体" w:cs="宋体"/>
          <w:b/>
          <w:bCs w:val="0"/>
          <w:color w:val="auto"/>
          <w:kern w:val="0"/>
          <w:sz w:val="21"/>
          <w:szCs w:val="21"/>
          <w:highlight w:val="none"/>
        </w:rPr>
        <w:t>运维时间和人员要求</w:t>
      </w:r>
      <w:bookmarkEnd w:id="169"/>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中标人提供二年免费运维，专职驻点运维人员1人。运维开始时间从项目建设完成验收合格之日起算。</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人员资质要求：</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学历：大学本科及以上学历，男女不限，要求必须持有相关软件工程师职称，投标文件中需提供人员相关职称证书复印件。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年龄：25-35 周岁；</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普通话标准，口齿清晰，具有良好的沟通能力、吃苦耐劳的精神、较强的责任心、优良的客户服务意识、团队合作精神和快速学习的能力。</w:t>
      </w:r>
    </w:p>
    <w:p>
      <w:pPr>
        <w:spacing w:line="400" w:lineRule="atLeast"/>
        <w:jc w:val="left"/>
        <w:rPr>
          <w:rFonts w:hint="eastAsia" w:ascii="宋体" w:hAnsi="宋体" w:eastAsia="宋体" w:cs="宋体"/>
          <w:b/>
          <w:bCs w:val="0"/>
          <w:color w:val="auto"/>
          <w:kern w:val="0"/>
          <w:sz w:val="21"/>
          <w:szCs w:val="21"/>
          <w:highlight w:val="none"/>
          <w:lang w:val="en-US" w:eastAsia="zh-CN" w:bidi="ar-SA"/>
        </w:rPr>
      </w:pPr>
      <w:r>
        <w:rPr>
          <w:rFonts w:hint="eastAsia" w:ascii="宋体" w:hAnsi="宋体" w:eastAsia="宋体" w:cs="宋体"/>
          <w:b/>
          <w:bCs w:val="0"/>
          <w:color w:val="auto"/>
          <w:kern w:val="0"/>
          <w:sz w:val="21"/>
          <w:szCs w:val="21"/>
          <w:highlight w:val="none"/>
          <w:lang w:val="en-US" w:eastAsia="zh-CN" w:bidi="ar-SA"/>
        </w:rPr>
        <w:t>1</w:t>
      </w:r>
      <w:r>
        <w:rPr>
          <w:rFonts w:hint="eastAsia" w:ascii="宋体" w:hAnsi="宋体" w:cs="宋体"/>
          <w:b/>
          <w:bCs w:val="0"/>
          <w:color w:val="auto"/>
          <w:kern w:val="0"/>
          <w:sz w:val="21"/>
          <w:szCs w:val="21"/>
          <w:highlight w:val="none"/>
          <w:lang w:val="en-US" w:eastAsia="zh-CN" w:bidi="ar-SA"/>
        </w:rPr>
        <w:t>3</w:t>
      </w:r>
      <w:r>
        <w:rPr>
          <w:rFonts w:hint="eastAsia" w:ascii="宋体" w:hAnsi="宋体" w:eastAsia="宋体" w:cs="宋体"/>
          <w:b/>
          <w:bCs w:val="0"/>
          <w:color w:val="auto"/>
          <w:kern w:val="0"/>
          <w:sz w:val="21"/>
          <w:szCs w:val="21"/>
          <w:highlight w:val="none"/>
          <w:lang w:val="en-US" w:eastAsia="zh-CN" w:bidi="ar-SA"/>
        </w:rPr>
        <w:t>.2</w:t>
      </w:r>
      <w:bookmarkStart w:id="170" w:name="_Toc21674"/>
      <w:bookmarkStart w:id="171" w:name="_Toc15015"/>
      <w:bookmarkStart w:id="172" w:name="_Toc17760"/>
      <w:bookmarkStart w:id="173" w:name="_Toc20241"/>
      <w:bookmarkStart w:id="174" w:name="_Toc32499"/>
      <w:bookmarkStart w:id="175" w:name="_Toc15335"/>
      <w:bookmarkStart w:id="176" w:name="_Toc26252"/>
      <w:r>
        <w:rPr>
          <w:rFonts w:hint="eastAsia" w:ascii="宋体" w:hAnsi="宋体" w:eastAsia="宋体" w:cs="宋体"/>
          <w:b/>
          <w:bCs w:val="0"/>
          <w:color w:val="auto"/>
          <w:kern w:val="0"/>
          <w:sz w:val="21"/>
          <w:szCs w:val="21"/>
          <w:highlight w:val="none"/>
          <w:lang w:val="en-US" w:eastAsia="zh-CN" w:bidi="ar-SA"/>
        </w:rPr>
        <w:t>运维</w:t>
      </w:r>
      <w:bookmarkEnd w:id="170"/>
      <w:bookmarkEnd w:id="171"/>
      <w:bookmarkEnd w:id="172"/>
      <w:bookmarkEnd w:id="173"/>
      <w:bookmarkEnd w:id="174"/>
      <w:bookmarkEnd w:id="175"/>
      <w:r>
        <w:rPr>
          <w:rFonts w:hint="eastAsia" w:ascii="宋体" w:hAnsi="宋体" w:eastAsia="宋体" w:cs="宋体"/>
          <w:b/>
          <w:bCs w:val="0"/>
          <w:color w:val="auto"/>
          <w:kern w:val="0"/>
          <w:sz w:val="21"/>
          <w:szCs w:val="21"/>
          <w:highlight w:val="none"/>
          <w:lang w:val="en-US" w:eastAsia="zh-CN" w:bidi="ar-SA"/>
        </w:rPr>
        <w:t>内容</w:t>
      </w:r>
      <w:bookmarkEnd w:id="176"/>
    </w:p>
    <w:p>
      <w:pPr>
        <w:spacing w:line="400" w:lineRule="atLeast"/>
        <w:ind w:firstLine="420" w:firstLineChars="200"/>
        <w:jc w:val="left"/>
        <w:rPr>
          <w:rFonts w:hint="eastAsia" w:ascii="宋体" w:hAnsi="宋体" w:cs="宋体"/>
          <w:bCs/>
          <w:color w:val="auto"/>
          <w:kern w:val="0"/>
          <w:sz w:val="21"/>
          <w:szCs w:val="21"/>
          <w:highlight w:val="none"/>
          <w:lang w:eastAsia="zh-CN"/>
        </w:rPr>
      </w:pPr>
      <w:r>
        <w:rPr>
          <w:rFonts w:hint="eastAsia" w:ascii="宋体" w:hAnsi="宋体" w:cs="宋体"/>
          <w:bCs/>
          <w:color w:val="auto"/>
          <w:kern w:val="0"/>
          <w:sz w:val="21"/>
          <w:szCs w:val="21"/>
          <w:highlight w:val="none"/>
          <w:lang w:eastAsia="zh-CN"/>
        </w:rPr>
        <w:t>负责系统日常操作，对系统运行软硬件状况进行 24 小时监控预警，至少每周进行一次网络检查、数据备份、安全防护检查等，至少每月对硬件设备进行一次检查测试等。</w:t>
      </w:r>
    </w:p>
    <w:p>
      <w:pPr>
        <w:numPr>
          <w:ilvl w:val="0"/>
          <w:numId w:val="0"/>
        </w:numPr>
        <w:spacing w:line="400" w:lineRule="atLeast"/>
        <w:jc w:val="left"/>
        <w:rPr>
          <w:rFonts w:hint="eastAsia" w:ascii="宋体" w:hAnsi="宋体" w:cs="宋体"/>
          <w:b/>
          <w:color w:val="auto"/>
          <w:kern w:val="0"/>
          <w:sz w:val="21"/>
          <w:szCs w:val="21"/>
          <w:highlight w:val="none"/>
          <w:lang w:val="en-US" w:eastAsia="zh-CN"/>
        </w:rPr>
      </w:pPr>
      <w:r>
        <w:rPr>
          <w:rFonts w:hint="eastAsia" w:ascii="宋体" w:hAnsi="宋体" w:cs="宋体"/>
          <w:b/>
          <w:bCs/>
          <w:color w:val="FF0000"/>
          <w:sz w:val="21"/>
          <w:szCs w:val="21"/>
        </w:rPr>
        <w:t>【★】</w:t>
      </w:r>
      <w:r>
        <w:rPr>
          <w:rFonts w:hint="eastAsia" w:ascii="宋体" w:hAnsi="宋体" w:cs="宋体"/>
          <w:b/>
          <w:bCs/>
          <w:color w:val="auto"/>
          <w:sz w:val="21"/>
          <w:szCs w:val="21"/>
          <w:lang w:val="en-US" w:eastAsia="zh-CN"/>
        </w:rPr>
        <w:t>六、</w:t>
      </w:r>
      <w:r>
        <w:rPr>
          <w:rFonts w:hint="eastAsia" w:ascii="宋体" w:hAnsi="宋体" w:cs="宋体"/>
          <w:b/>
          <w:color w:val="auto"/>
          <w:kern w:val="0"/>
          <w:sz w:val="21"/>
          <w:szCs w:val="21"/>
          <w:highlight w:val="none"/>
          <w:lang w:val="en-US" w:eastAsia="zh-CN"/>
        </w:rPr>
        <w:t>商务条款</w:t>
      </w:r>
    </w:p>
    <w:tbl>
      <w:tblPr>
        <w:tblStyle w:val="22"/>
        <w:tblW w:w="893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60"/>
        <w:gridCol w:w="7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bookmarkStart w:id="177" w:name="_Hlk71364814"/>
            <w:r>
              <w:rPr>
                <w:rFonts w:hint="eastAsia" w:ascii="宋体" w:hAnsi="宋体" w:cs="宋体"/>
                <w:sz w:val="21"/>
                <w:szCs w:val="21"/>
              </w:rPr>
              <w:t>*投标报价</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hint="eastAsia" w:ascii="宋体" w:hAnsi="宋体" w:cs="宋体"/>
                <w:sz w:val="21"/>
                <w:szCs w:val="21"/>
                <w:lang w:val="zh-CN"/>
              </w:rPr>
            </w:pPr>
            <w:bookmarkStart w:id="178" w:name="_Hlk71364176"/>
            <w:r>
              <w:rPr>
                <w:rFonts w:hint="eastAsia" w:ascii="宋体" w:hAnsi="宋体" w:cs="宋体"/>
                <w:sz w:val="21"/>
                <w:szCs w:val="21"/>
                <w:lang w:val="zh-CN"/>
              </w:rPr>
              <w:t>1、本项目包含</w:t>
            </w:r>
            <w:r>
              <w:rPr>
                <w:rFonts w:hint="eastAsia" w:ascii="宋体" w:hAnsi="宋体" w:cs="宋体"/>
                <w:sz w:val="21"/>
                <w:szCs w:val="21"/>
                <w:lang w:val="zh-CN" w:eastAsia="zh-CN"/>
              </w:rPr>
              <w:t>系统</w:t>
            </w:r>
            <w:r>
              <w:rPr>
                <w:rFonts w:hint="eastAsia" w:ascii="宋体" w:hAnsi="宋体" w:cs="宋体"/>
                <w:sz w:val="21"/>
                <w:szCs w:val="21"/>
                <w:lang w:val="zh-CN"/>
              </w:rPr>
              <w:t>建设及</w:t>
            </w:r>
            <w:r>
              <w:rPr>
                <w:rFonts w:hint="eastAsia" w:ascii="宋体" w:hAnsi="宋体" w:cs="宋体"/>
                <w:sz w:val="21"/>
                <w:szCs w:val="21"/>
                <w:lang w:val="zh-CN" w:eastAsia="zh-CN"/>
              </w:rPr>
              <w:t>二</w:t>
            </w:r>
            <w:r>
              <w:rPr>
                <w:rFonts w:hint="eastAsia" w:ascii="宋体" w:hAnsi="宋体" w:cs="宋体"/>
                <w:sz w:val="21"/>
                <w:szCs w:val="21"/>
                <w:lang w:val="zh-CN"/>
              </w:rPr>
              <w:t>年</w:t>
            </w:r>
            <w:r>
              <w:rPr>
                <w:rFonts w:hint="eastAsia" w:ascii="宋体" w:hAnsi="宋体" w:cs="宋体"/>
                <w:sz w:val="21"/>
                <w:szCs w:val="21"/>
                <w:lang w:val="zh-CN" w:eastAsia="zh-CN"/>
              </w:rPr>
              <w:t>免费</w:t>
            </w:r>
            <w:r>
              <w:rPr>
                <w:rFonts w:hint="eastAsia" w:ascii="宋体" w:hAnsi="宋体" w:cs="宋体"/>
                <w:sz w:val="21"/>
                <w:szCs w:val="21"/>
                <w:lang w:val="zh-CN"/>
              </w:rPr>
              <w:t>运维服务，具体报价要求如下：</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hint="eastAsia" w:ascii="宋体" w:hAnsi="宋体" w:cs="宋体"/>
                <w:sz w:val="21"/>
                <w:szCs w:val="21"/>
                <w:lang w:val="zh-CN"/>
              </w:rPr>
            </w:pPr>
            <w:r>
              <w:rPr>
                <w:rFonts w:hint="eastAsia" w:ascii="宋体" w:hAnsi="宋体" w:cs="宋体"/>
                <w:sz w:val="21"/>
                <w:szCs w:val="21"/>
                <w:lang w:val="zh-CN"/>
              </w:rPr>
              <w:t>1）报价必须要包含数字平台、园区大脑、应急指挥、系统集成、标准规范、硬件维修及折旧包干费、运维费。</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hint="eastAsia" w:ascii="宋体" w:hAnsi="宋体" w:cs="宋体"/>
                <w:sz w:val="21"/>
                <w:szCs w:val="21"/>
                <w:lang w:val="zh-CN"/>
              </w:rPr>
            </w:pPr>
            <w:r>
              <w:rPr>
                <w:rFonts w:hint="eastAsia" w:ascii="宋体" w:hAnsi="宋体" w:cs="宋体"/>
                <w:sz w:val="21"/>
                <w:szCs w:val="21"/>
                <w:lang w:val="zh-CN"/>
              </w:rPr>
              <w:t>2）运维期内若采购人未提出软件功能需求变更，本项目范围内所含软件的运维及优化费用包含在本项目费用范围内，采购人不再另行支付费用。</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hint="eastAsia" w:ascii="宋体" w:hAnsi="宋体" w:cs="宋体"/>
                <w:sz w:val="21"/>
                <w:szCs w:val="21"/>
                <w:lang w:val="zh-CN"/>
              </w:rPr>
            </w:pPr>
            <w:r>
              <w:rPr>
                <w:rFonts w:hint="eastAsia" w:ascii="宋体" w:hAnsi="宋体" w:cs="宋体"/>
                <w:sz w:val="21"/>
                <w:szCs w:val="21"/>
                <w:lang w:val="en-US" w:eastAsia="zh-CN"/>
              </w:rPr>
              <w:t>3</w:t>
            </w:r>
            <w:r>
              <w:rPr>
                <w:rFonts w:hint="eastAsia" w:ascii="宋体" w:hAnsi="宋体" w:cs="宋体"/>
                <w:sz w:val="21"/>
                <w:szCs w:val="21"/>
                <w:lang w:val="zh-CN"/>
              </w:rPr>
              <w:t>）运维费用指运维团队在采购人现场二年的人员、场地、交通等相关费用，采购人不再支付与运维相关的费用。</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hint="eastAsia" w:ascii="宋体" w:hAnsi="宋体" w:cs="宋体"/>
                <w:sz w:val="21"/>
                <w:szCs w:val="21"/>
                <w:lang w:val="zh-CN"/>
              </w:rPr>
            </w:pPr>
            <w:r>
              <w:rPr>
                <w:rFonts w:hint="eastAsia" w:ascii="宋体" w:hAnsi="宋体" w:cs="宋体"/>
                <w:sz w:val="21"/>
                <w:szCs w:val="21"/>
                <w:lang w:val="zh-CN"/>
              </w:rPr>
              <w:t>2、中标人提供的所有产品所涉及到的知识产权和所提供的软件、技术资料是合法取得，并享有完整的知识产权，不会因为采购人的使用而被责令停止使用、追偿或者要求赔偿，如出现上述问题，一切经济损失和法律责任均由中标人承担。投标人所投标平台项目内子系统若采用第三方软件，投标人需提供满足采购人需要的正版授权，采购方不承担该项费用，也不再另行采购。投标人必须保证第三方软件的售后同质化。</w:t>
            </w:r>
            <w:bookmarkEnd w:id="178"/>
          </w:p>
          <w:p>
            <w:pPr>
              <w:pStyle w:val="28"/>
              <w:keepNext w:val="0"/>
              <w:keepLines w:val="0"/>
              <w:pageBreakBefore w:val="0"/>
              <w:widowControl w:val="0"/>
              <w:kinsoku/>
              <w:wordWrap/>
              <w:overflowPunct/>
              <w:topLinePunct w:val="0"/>
              <w:autoSpaceDE/>
              <w:autoSpaceDN/>
              <w:bidi w:val="0"/>
              <w:adjustRightInd w:val="0"/>
              <w:snapToGrid/>
              <w:spacing w:line="420" w:lineRule="exact"/>
              <w:ind w:left="0" w:leftChars="0" w:firstLine="420" w:firstLineChars="200"/>
              <w:textAlignment w:val="baseline"/>
              <w:rPr>
                <w:rFonts w:hint="default" w:eastAsia="宋体"/>
                <w:lang w:val="en-US" w:eastAsia="zh-CN"/>
              </w:rPr>
            </w:pPr>
            <w:r>
              <w:rPr>
                <w:rFonts w:hint="eastAsia" w:ascii="宋体" w:hAnsi="宋体" w:eastAsia="宋体" w:cs="宋体"/>
                <w:kern w:val="2"/>
                <w:sz w:val="21"/>
                <w:szCs w:val="21"/>
                <w:lang w:val="en-US" w:eastAsia="zh-CN" w:bidi="ar-SA"/>
              </w:rPr>
              <w:t>3、该项目属于定制开发项目，产生的数字化资源产权归属兰溪市人民政府。</w:t>
            </w:r>
            <w:r>
              <w:rPr>
                <w:rFonts w:hint="eastAsia" w:hAnsi="宋体" w:cs="宋体"/>
                <w:kern w:val="2"/>
                <w:sz w:val="21"/>
                <w:szCs w:val="21"/>
                <w:lang w:val="en-US" w:eastAsia="zh-CN" w:bidi="ar-SA"/>
              </w:rPr>
              <w:t>中标人提供的产品必须</w:t>
            </w:r>
            <w:r>
              <w:rPr>
                <w:rFonts w:hint="eastAsia" w:ascii="宋体" w:hAnsi="宋体" w:eastAsia="宋体" w:cs="宋体"/>
                <w:kern w:val="2"/>
                <w:sz w:val="21"/>
                <w:szCs w:val="21"/>
                <w:lang w:val="en-US" w:eastAsia="zh-CN" w:bidi="ar-SA"/>
              </w:rPr>
              <w:t>无条件提供数据归集和开放接口，实现与一体化智能化公共数据平台无缝对接，</w:t>
            </w:r>
            <w:r>
              <w:rPr>
                <w:rFonts w:hint="eastAsia" w:hAnsi="宋体" w:cs="宋体"/>
                <w:kern w:val="2"/>
                <w:sz w:val="21"/>
                <w:szCs w:val="21"/>
                <w:lang w:val="en-US" w:eastAsia="zh-CN" w:bidi="ar-SA"/>
              </w:rPr>
              <w:t>系统</w:t>
            </w:r>
            <w:r>
              <w:rPr>
                <w:rFonts w:hint="eastAsia" w:ascii="宋体" w:hAnsi="宋体" w:eastAsia="宋体" w:cs="宋体"/>
                <w:kern w:val="2"/>
                <w:sz w:val="21"/>
                <w:szCs w:val="21"/>
                <w:lang w:val="en-US" w:eastAsia="zh-CN" w:bidi="ar-SA"/>
              </w:rPr>
              <w:t>数据</w:t>
            </w:r>
            <w:r>
              <w:rPr>
                <w:rFonts w:hint="eastAsia" w:hAnsi="宋体" w:cs="宋体"/>
                <w:kern w:val="2"/>
                <w:sz w:val="21"/>
                <w:szCs w:val="21"/>
                <w:lang w:val="en-US" w:eastAsia="zh-CN" w:bidi="ar-SA"/>
              </w:rPr>
              <w:t>可</w:t>
            </w:r>
            <w:r>
              <w:rPr>
                <w:rFonts w:hint="eastAsia" w:ascii="宋体" w:hAnsi="宋体" w:eastAsia="宋体" w:cs="宋体"/>
                <w:kern w:val="2"/>
                <w:sz w:val="21"/>
                <w:szCs w:val="21"/>
                <w:lang w:val="en-US" w:eastAsia="zh-CN" w:bidi="ar-SA"/>
              </w:rPr>
              <w:t>无条件归集到兰溪市专题数据仓。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*工期要求</w:t>
            </w:r>
          </w:p>
        </w:tc>
        <w:tc>
          <w:tcPr>
            <w:tcW w:w="7371" w:type="dxa"/>
            <w:tcBorders>
              <w:top w:val="single" w:color="auto" w:sz="4" w:space="0"/>
              <w:left w:val="single" w:color="auto" w:sz="4" w:space="0"/>
              <w:bottom w:val="single" w:color="auto" w:sz="4" w:space="0"/>
              <w:right w:val="single" w:color="auto" w:sz="4" w:space="0"/>
            </w:tcBorders>
            <w:vAlign w:val="center"/>
          </w:tcPr>
          <w:p>
            <w:pPr>
              <w:pStyle w:val="36"/>
              <w:keepNext w:val="0"/>
              <w:keepLines w:val="0"/>
              <w:pageBreakBefore w:val="0"/>
              <w:widowControl w:val="0"/>
              <w:kinsoku/>
              <w:wordWrap/>
              <w:overflowPunct/>
              <w:topLinePunct w:val="0"/>
              <w:autoSpaceDE/>
              <w:autoSpaceDN/>
              <w:bidi w:val="0"/>
              <w:adjustRightInd/>
              <w:spacing w:line="420" w:lineRule="exact"/>
              <w:ind w:firstLine="420"/>
              <w:textAlignment w:val="auto"/>
              <w:rPr>
                <w:rFonts w:ascii="宋体" w:hAnsi="宋体"/>
                <w:sz w:val="21"/>
                <w:szCs w:val="21"/>
                <w:highlight w:val="none"/>
              </w:rPr>
            </w:pPr>
            <w:r>
              <w:rPr>
                <w:rFonts w:hint="eastAsia" w:ascii="宋体" w:hAnsi="宋体"/>
                <w:sz w:val="21"/>
                <w:szCs w:val="21"/>
                <w:highlight w:val="none"/>
              </w:rPr>
              <w:t>本项目工期从中标之日起</w:t>
            </w:r>
            <w:r>
              <w:rPr>
                <w:rFonts w:hint="eastAsia" w:ascii="宋体" w:hAnsi="宋体"/>
                <w:sz w:val="21"/>
                <w:szCs w:val="21"/>
                <w:highlight w:val="none"/>
                <w:lang w:val="en-US" w:eastAsia="zh-CN"/>
              </w:rPr>
              <w:t>5</w:t>
            </w:r>
            <w:r>
              <w:rPr>
                <w:rFonts w:hint="eastAsia" w:ascii="宋体" w:hAnsi="宋体"/>
                <w:sz w:val="21"/>
                <w:szCs w:val="21"/>
                <w:highlight w:val="none"/>
              </w:rPr>
              <w:t>个月内完成项目建设并具备试运行条件。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项目组织及实施要求</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1）中标人中标后需要在</w:t>
            </w:r>
            <w:r>
              <w:rPr>
                <w:rFonts w:hint="eastAsia" w:ascii="宋体" w:hAnsi="宋体" w:cs="宋体"/>
                <w:sz w:val="21"/>
                <w:szCs w:val="21"/>
                <w:lang w:val="en-US" w:eastAsia="zh-CN"/>
              </w:rPr>
              <w:t>7</w:t>
            </w:r>
            <w:r>
              <w:rPr>
                <w:rFonts w:hint="eastAsia" w:ascii="宋体" w:hAnsi="宋体" w:cs="宋体"/>
                <w:sz w:val="21"/>
                <w:szCs w:val="21"/>
                <w:lang w:val="zh-CN"/>
              </w:rPr>
              <w:t>个工作日内成立工作团队，并指定一名专职的项目经理，负责项目协调和调度工作。除项目经理外，项目组须配备专职的技术负责人，并按照项目实施的要求，配置相应的项目管理、系统设计、开发、测试、集成、培训、质量保证等人员。</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2）本项目实施阶段要求项目经理在项目建设各阶段在现场开展相关工作；项目小组团队成员在各阶段至少安排</w:t>
            </w:r>
            <w:r>
              <w:rPr>
                <w:rFonts w:hint="eastAsia" w:ascii="宋体" w:hAnsi="宋体" w:cs="宋体"/>
                <w:sz w:val="21"/>
                <w:szCs w:val="21"/>
                <w:lang w:val="en-US" w:eastAsia="zh-CN"/>
              </w:rPr>
              <w:t>4</w:t>
            </w:r>
            <w:r>
              <w:rPr>
                <w:rFonts w:hint="eastAsia" w:ascii="宋体" w:hAnsi="宋体" w:cs="宋体"/>
                <w:sz w:val="21"/>
                <w:szCs w:val="21"/>
                <w:lang w:val="zh-CN"/>
              </w:rPr>
              <w:t>人进驻现场开展各项工作。并在验收后的质量保证期内专人（该工程师需全程参与过本项目建设）参加日常维护工作。</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3）参与此项目的技术人员具有承担过相同类型项目的经验，能够与用户进行良好的沟通，掌握相关领域的相关基础知识，具备相关产品集成、应用和开发的能力。</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4）中标人在项目合同签订后，需组织相关实施人员在该项目招标需求的基础上进行深入调研，编制需求规格说明书。需求规格说明经采购人、中标人确认后作为项目验收的依据。</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5）要求中标人在各阶段及时提供相应的项目管理文档、开发类文档及实施类文档，以便采购人及时了解项目进展情况。</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rPr>
            </w:pPr>
            <w:r>
              <w:rPr>
                <w:rFonts w:hint="eastAsia" w:ascii="宋体" w:hAnsi="宋体" w:cs="宋体"/>
                <w:sz w:val="21"/>
                <w:szCs w:val="21"/>
                <w:lang w:val="zh-CN"/>
              </w:rPr>
              <w:t>6）对上述安排投标人应列出详细实施方案，包括但不限于项目管理计划、项目进度计划、项目验收计划、项目组织结构（人员姓名、经验、学历和在本项目中的职责分工等，项目小组成员须提供社保证明等）。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安装、测试及系统集成要求</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1）该项目涉及到系统的应用集成，应用系统要求按统一的数据采集标准进行数据采集。需要高标准进行整体规划，确保系统的稳定性、安全性、灵活性和扩展性。</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2）负责本项目范围内应用软件的现场安装部署、集成、测试和调试，保证系统功能、性能要求的实现，提供售后服务。同时负责对应用于该项目的原有软硬件设备的系统集成。在安装、配置和测试、调试过程中，中标人应对最终用户技术人员所提出的技术问题，给予满意的答复。</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3）要求有完整的安装和配置程序，具有详细的系统安装配置说明手册、用户使用说明书和系统维护说明书。系统实际安装与操作必须与说明书描述一致。</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4）要求具有完整的系统测试计划，包括根据用户需求编写的，遍及系统95%以上功能、性能的测试用例，合理的测试方案和测试方法。要求保留完整的测试报告。</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5）项目实施过程中，如果牵涉到与第三方产品集成工作，中标单位应与系统集成商及其他供应商通力合作，并提供必要的技术支持。</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6）采购人有权聘请具备国家相关软件评测资质的第三方评测机构对软件和数据库进行测试，中标单位有义务做好配合工作，并对测试结果中出现的问题或缺陷进行整改，直到满足要求为止。</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rPr>
            </w:pPr>
            <w:r>
              <w:rPr>
                <w:rFonts w:hint="eastAsia" w:ascii="宋体" w:hAnsi="宋体" w:cs="宋体"/>
                <w:sz w:val="21"/>
                <w:szCs w:val="21"/>
                <w:lang w:val="zh-CN"/>
              </w:rPr>
              <w:t>7）中标人负责解决系统集成中全部技术问题，对采购人项目建设中碰到的其他技术问题，有责任和义务提供咨询和帮助并协助解决。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*质保期</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pacing w:line="420" w:lineRule="exact"/>
              <w:ind w:firstLine="420"/>
              <w:textAlignment w:val="auto"/>
              <w:rPr>
                <w:rFonts w:ascii="宋体" w:hAnsi="宋体" w:cs="宋体"/>
                <w:sz w:val="21"/>
                <w:szCs w:val="21"/>
              </w:rPr>
            </w:pPr>
            <w:r>
              <w:rPr>
                <w:rFonts w:hint="eastAsia" w:ascii="宋体" w:hAnsi="宋体" w:cs="宋体"/>
                <w:sz w:val="21"/>
                <w:szCs w:val="21"/>
              </w:rPr>
              <w:t>本项目质保期</w:t>
            </w:r>
            <w:r>
              <w:rPr>
                <w:rFonts w:hint="eastAsia" w:ascii="宋体" w:hAnsi="宋体" w:cs="宋体"/>
                <w:sz w:val="21"/>
                <w:szCs w:val="21"/>
                <w:lang w:eastAsia="zh-CN"/>
              </w:rPr>
              <w:t>不少于二</w:t>
            </w:r>
            <w:r>
              <w:rPr>
                <w:rFonts w:hint="eastAsia" w:ascii="宋体" w:hAnsi="宋体" w:cs="宋体"/>
                <w:sz w:val="21"/>
                <w:szCs w:val="21"/>
              </w:rPr>
              <w:t>年（包括本项目所有软件及硬件），质保期内产生的相关费用，采购人不再另行支付费用。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*付款条件</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付款方式：</w:t>
            </w:r>
          </w:p>
          <w:p>
            <w:pPr>
              <w:keepNext w:val="0"/>
              <w:keepLines w:val="0"/>
              <w:pageBreakBefore w:val="0"/>
              <w:widowControl w:val="0"/>
              <w:numPr>
                <w:ilvl w:val="0"/>
                <w:numId w:val="0"/>
              </w:numPr>
              <w:kinsoku/>
              <w:wordWrap/>
              <w:overflowPunct/>
              <w:topLinePunct w:val="0"/>
              <w:autoSpaceDE/>
              <w:autoSpaceDN/>
              <w:bidi w:val="0"/>
              <w:adjustRightInd/>
              <w:snapToGrid w:val="0"/>
              <w:spacing w:line="420" w:lineRule="exact"/>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自合同生效后</w:t>
            </w:r>
            <w:r>
              <w:rPr>
                <w:rFonts w:hint="eastAsia" w:ascii="宋体" w:hAnsi="宋体" w:eastAsia="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42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按期完成项目全部软件建设且经</w:t>
            </w:r>
            <w:r>
              <w:rPr>
                <w:rFonts w:hint="eastAsia" w:ascii="宋体" w:hAnsi="宋体" w:eastAsia="宋体" w:cs="宋体"/>
                <w:bCs/>
                <w:color w:val="auto"/>
                <w:sz w:val="21"/>
                <w:szCs w:val="21"/>
                <w:highlight w:val="none"/>
                <w:lang w:val="en-US" w:eastAsia="zh-CN"/>
              </w:rPr>
              <w:t>采购人</w:t>
            </w:r>
            <w:r>
              <w:rPr>
                <w:rFonts w:hint="eastAsia" w:ascii="宋体" w:hAnsi="宋体" w:cs="宋体"/>
                <w:bCs/>
                <w:color w:val="auto"/>
                <w:sz w:val="21"/>
                <w:szCs w:val="21"/>
                <w:highlight w:val="none"/>
                <w:lang w:val="en-US" w:eastAsia="zh-CN"/>
              </w:rPr>
              <w:t>和</w:t>
            </w:r>
            <w:r>
              <w:rPr>
                <w:rFonts w:hint="eastAsia" w:ascii="宋体" w:hAnsi="宋体" w:eastAsia="宋体" w:cs="宋体"/>
                <w:bCs/>
                <w:color w:val="auto"/>
                <w:sz w:val="21"/>
                <w:szCs w:val="21"/>
                <w:highlight w:val="none"/>
              </w:rPr>
              <w:t>市级相关主管部门确认后</w:t>
            </w:r>
            <w:r>
              <w:rPr>
                <w:rFonts w:hint="eastAsia" w:ascii="宋体" w:hAnsi="宋体" w:eastAsia="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42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3.按期</w:t>
            </w:r>
            <w:r>
              <w:rPr>
                <w:rFonts w:hint="eastAsia" w:ascii="宋体" w:hAnsi="宋体" w:eastAsia="宋体" w:cs="宋体"/>
                <w:bCs/>
                <w:color w:val="auto"/>
                <w:sz w:val="21"/>
                <w:szCs w:val="21"/>
                <w:highlight w:val="none"/>
              </w:rPr>
              <w:t>完成项目全部软件建设</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完成全部硬件设备安装并通过初验且经</w:t>
            </w:r>
            <w:r>
              <w:rPr>
                <w:rFonts w:hint="eastAsia" w:ascii="宋体" w:hAnsi="宋体" w:eastAsia="宋体" w:cs="宋体"/>
                <w:bCs/>
                <w:color w:val="auto"/>
                <w:sz w:val="21"/>
                <w:szCs w:val="21"/>
                <w:highlight w:val="none"/>
                <w:lang w:val="en-US" w:eastAsia="zh-CN"/>
              </w:rPr>
              <w:t>采购人</w:t>
            </w:r>
            <w:r>
              <w:rPr>
                <w:rFonts w:hint="eastAsia" w:ascii="宋体" w:hAnsi="宋体" w:cs="宋体"/>
                <w:bCs/>
                <w:color w:val="auto"/>
                <w:sz w:val="21"/>
                <w:szCs w:val="21"/>
                <w:highlight w:val="none"/>
                <w:lang w:val="en-US" w:eastAsia="zh-CN"/>
              </w:rPr>
              <w:t>和</w:t>
            </w:r>
            <w:r>
              <w:rPr>
                <w:rFonts w:hint="eastAsia" w:ascii="宋体" w:hAnsi="宋体" w:eastAsia="宋体" w:cs="宋体"/>
                <w:bCs/>
                <w:color w:val="auto"/>
                <w:sz w:val="21"/>
                <w:szCs w:val="21"/>
                <w:highlight w:val="none"/>
              </w:rPr>
              <w:t>市级相关主管部门确认后</w:t>
            </w:r>
            <w:r>
              <w:rPr>
                <w:rFonts w:hint="eastAsia" w:ascii="宋体" w:hAnsi="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420" w:lineRule="exact"/>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val="en-US" w:eastAsia="zh-CN"/>
              </w:rPr>
              <w:t>自</w:t>
            </w:r>
            <w:r>
              <w:rPr>
                <w:rFonts w:hint="eastAsia" w:ascii="宋体" w:hAnsi="宋体" w:eastAsia="宋体" w:cs="宋体"/>
                <w:bCs/>
                <w:color w:val="auto"/>
                <w:sz w:val="21"/>
                <w:szCs w:val="21"/>
                <w:highlight w:val="none"/>
              </w:rPr>
              <w:t>项目通过初验之日起且试运行3个月，申请并通过市级相关主管部门</w:t>
            </w:r>
            <w:r>
              <w:rPr>
                <w:rFonts w:hint="eastAsia" w:ascii="宋体" w:hAnsi="宋体" w:eastAsia="宋体" w:cs="宋体"/>
                <w:bCs/>
                <w:color w:val="auto"/>
                <w:sz w:val="21"/>
                <w:szCs w:val="21"/>
                <w:highlight w:val="none"/>
                <w:lang w:eastAsia="zh-CN"/>
              </w:rPr>
              <w:t>和专业第三方检测机构</w:t>
            </w:r>
            <w:r>
              <w:rPr>
                <w:rFonts w:hint="eastAsia" w:ascii="宋体" w:hAnsi="宋体" w:eastAsia="宋体" w:cs="宋体"/>
                <w:bCs/>
                <w:color w:val="auto"/>
                <w:sz w:val="21"/>
                <w:szCs w:val="21"/>
                <w:highlight w:val="none"/>
              </w:rPr>
              <w:t>的终验，且经</w:t>
            </w:r>
            <w:r>
              <w:rPr>
                <w:rFonts w:hint="eastAsia" w:ascii="宋体" w:hAnsi="宋体" w:eastAsia="宋体" w:cs="宋体"/>
                <w:bCs/>
                <w:color w:val="auto"/>
                <w:sz w:val="21"/>
                <w:szCs w:val="21"/>
                <w:highlight w:val="none"/>
                <w:lang w:val="en-US" w:eastAsia="zh-CN"/>
              </w:rPr>
              <w:t>采购人</w:t>
            </w:r>
            <w:r>
              <w:rPr>
                <w:rFonts w:hint="eastAsia" w:ascii="宋体" w:hAnsi="宋体" w:eastAsia="宋体" w:cs="宋体"/>
                <w:bCs/>
                <w:color w:val="auto"/>
                <w:sz w:val="21"/>
                <w:szCs w:val="21"/>
                <w:highlight w:val="none"/>
              </w:rPr>
              <w:t>确认后30日内支付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cs="宋体"/>
                <w:bCs/>
                <w:color w:val="auto"/>
                <w:sz w:val="21"/>
                <w:szCs w:val="21"/>
                <w:highlight w:val="none"/>
                <w:lang w:val="en-US" w:eastAsia="zh-CN"/>
              </w:rPr>
              <w:t>40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pacing w:line="420" w:lineRule="exact"/>
              <w:ind w:firstLine="420" w:firstLineChars="200"/>
              <w:textAlignment w:val="auto"/>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5.自项目终验之日起算满一年后支付合同价的5%；</w:t>
            </w:r>
          </w:p>
          <w:p>
            <w:pPr>
              <w:pStyle w:val="12"/>
              <w:keepNext w:val="0"/>
              <w:keepLines w:val="0"/>
              <w:pageBreakBefore w:val="0"/>
              <w:widowControl w:val="0"/>
              <w:kinsoku/>
              <w:wordWrap/>
              <w:overflowPunct/>
              <w:topLinePunct w:val="0"/>
              <w:autoSpaceDE/>
              <w:autoSpaceDN/>
              <w:bidi w:val="0"/>
              <w:adjustRightInd/>
              <w:spacing w:line="420" w:lineRule="exact"/>
              <w:ind w:firstLine="420"/>
              <w:textAlignment w:val="auto"/>
              <w:rPr>
                <w:rFonts w:ascii="宋体" w:hAnsi="宋体" w:eastAsia="宋体" w:cs="宋体"/>
                <w:sz w:val="21"/>
                <w:szCs w:val="21"/>
              </w:rPr>
            </w:pPr>
            <w:r>
              <w:rPr>
                <w:rFonts w:hint="eastAsia" w:ascii="宋体" w:hAnsi="宋体" w:cs="宋体"/>
                <w:bCs/>
                <w:color w:val="auto"/>
                <w:sz w:val="21"/>
                <w:szCs w:val="21"/>
                <w:highlight w:val="none"/>
                <w:lang w:val="en-US" w:eastAsia="zh-CN"/>
              </w:rPr>
              <w:t>6.自项目终验之日起算免费运维结束后支付合同价的5%。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验收</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项目的验收包括试运行和终验。</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1）试运行：</w:t>
            </w:r>
            <w:r>
              <w:rPr>
                <w:rFonts w:hint="eastAsia" w:ascii="宋体" w:hAnsi="宋体" w:cs="宋体"/>
                <w:sz w:val="21"/>
                <w:szCs w:val="21"/>
              </w:rPr>
              <w:t>软件开发实施部署完成并经测试通过后</w:t>
            </w:r>
            <w:r>
              <w:rPr>
                <w:rFonts w:hint="eastAsia" w:ascii="宋体" w:hAnsi="宋体" w:cs="宋体"/>
                <w:sz w:val="21"/>
                <w:szCs w:val="21"/>
                <w:lang w:val="zh-CN"/>
              </w:rPr>
              <w:t xml:space="preserve">，系统进入试运行，试运行时间为1个月。 </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2）验收：系统通过试运行后，中标方向</w:t>
            </w:r>
            <w:r>
              <w:rPr>
                <w:rFonts w:hint="eastAsia" w:ascii="宋体" w:hAnsi="宋体" w:cs="宋体"/>
                <w:sz w:val="21"/>
                <w:szCs w:val="21"/>
              </w:rPr>
              <w:t>采购人</w:t>
            </w:r>
            <w:r>
              <w:rPr>
                <w:rFonts w:hint="eastAsia" w:ascii="宋体" w:hAnsi="宋体" w:cs="宋体"/>
                <w:sz w:val="21"/>
                <w:szCs w:val="21"/>
                <w:lang w:val="zh-CN"/>
              </w:rPr>
              <w:t>提出申请，</w:t>
            </w:r>
            <w:r>
              <w:rPr>
                <w:rFonts w:hint="eastAsia" w:ascii="宋体" w:hAnsi="宋体" w:cs="宋体"/>
                <w:sz w:val="21"/>
                <w:szCs w:val="21"/>
              </w:rPr>
              <w:t>采购人</w:t>
            </w:r>
            <w:r>
              <w:rPr>
                <w:rFonts w:hint="eastAsia" w:ascii="宋体" w:hAnsi="宋体" w:cs="宋体"/>
                <w:sz w:val="21"/>
                <w:szCs w:val="21"/>
                <w:lang w:val="zh-CN"/>
              </w:rPr>
              <w:t>组织相关单位进行系统的验收。系统验收通过，进入正式运行阶段。系统终验收合格的条件必须至少满足以下三个要求：已提供了合同要求的全部设备、软件和资料；试运行时性能满足合同要求；测试和试运行验收时出现的问题已被解决。</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3）验收前由招标人负责组织本项目的软件测评和等保测评。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44"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交付要求</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中标人应按照招标文件所约定的内容和时间进行交付；按照计算机软件工程规范国家标准分阶段交付应用系统的文档，所交付的文档与文件应该是电子版式及纸质形式。交付的文档包括（但不限于）：需求规格说明书、设计说明书、数据库设计说明书、项目测试方案、项目测试报告、用户操作手册、管理与维护手册、安装手册、总结报告及采购人认为需要的其他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培训</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1）投标人负责对招标人相关人员的使用、维护等培训。应派遣优秀的培训人员，采用现代化的培训手段安排培训课程。</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2）培训人员均应具备授课经验，应负责教会招标人相关人员掌握培训课程的内容，提供如何使用技术资料的指导，并解答其在培训过程中提出的有关问题。</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3）投标人应随其投标文件提出一份初步培训计划，来保证招标人系统使用人员在合同规定时间节点前操作水平达到熟练。正式的培训计划将经双方协商后确定。</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4）培训的费用应包含在合同价格中，这些费用包括培训人员的工资、教材和手册，以及招标人相关人员所需的培训用品等。</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5）参加培训的人员、时间、地点由双方另行商定。</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6）投标人根据需求调查、分析、设计、开发的实际情况，不仅要编写出各种层次的使用说明书，还应有一般用户强化训练的培训教材。</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7）投标人负责招标人业务人员能够独立业务操作的应用培训。</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8）投标人负责招标人系统管理员专业知识和开发工具的使用培训，以便他们能熟练地对系统进行维护和管理。包括完成安装、调试、检查测试、维护、查找及排除故障等。</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9）培训内容：系统的使用和维护；数据库部署和维护。</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10）培训方式：应采用集中与分层培训，集中培训能使学员了解系统结构及功能，了解各模块之间的数据关系，掌握其相关查询方法以及报表的生成方式；分层培训主要针对各业务部门进行培训，使学员能够了解其自身相关业务模块的功能使用以及数据流向，熟练操作各功能模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ascii="宋体" w:hAnsi="宋体" w:cs="宋体"/>
                <w:sz w:val="21"/>
                <w:szCs w:val="21"/>
              </w:rPr>
            </w:pPr>
            <w:r>
              <w:rPr>
                <w:rFonts w:hint="eastAsia" w:ascii="宋体" w:hAnsi="宋体" w:cs="宋体"/>
                <w:sz w:val="21"/>
                <w:szCs w:val="21"/>
              </w:rPr>
              <w:t>售后服务</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rPr>
            </w:pPr>
            <w:r>
              <w:rPr>
                <w:rFonts w:hint="eastAsia" w:ascii="宋体" w:hAnsi="宋体" w:cs="宋体"/>
                <w:sz w:val="21"/>
                <w:szCs w:val="21"/>
                <w:lang w:val="zh-CN"/>
              </w:rPr>
              <w:t>1</w:t>
            </w:r>
            <w:r>
              <w:rPr>
                <w:rFonts w:hint="eastAsia" w:ascii="宋体" w:hAnsi="宋体" w:cs="宋体"/>
                <w:sz w:val="21"/>
                <w:szCs w:val="21"/>
              </w:rPr>
              <w:t>）</w:t>
            </w:r>
            <w:r>
              <w:rPr>
                <w:rFonts w:hint="eastAsia" w:ascii="宋体" w:hAnsi="宋体" w:cs="宋体"/>
                <w:sz w:val="21"/>
                <w:szCs w:val="21"/>
                <w:lang w:val="zh-CN"/>
              </w:rPr>
              <w:t>质量保证期内，在接到系统故障通知后，中标人在现场的运维团队必须在30分钟内响应。对于影响平台系统正常运行的严重故障，中标人工程师及其它相关技术人员必须在接到故障通知后</w:t>
            </w:r>
            <w:r>
              <w:rPr>
                <w:rFonts w:hint="eastAsia" w:ascii="宋体" w:hAnsi="宋体" w:cs="宋体"/>
                <w:sz w:val="21"/>
                <w:szCs w:val="21"/>
              </w:rPr>
              <w:t>2</w:t>
            </w:r>
            <w:r>
              <w:rPr>
                <w:rFonts w:hint="eastAsia" w:ascii="宋体" w:hAnsi="宋体" w:cs="宋体"/>
                <w:sz w:val="21"/>
                <w:szCs w:val="21"/>
                <w:lang w:val="zh-CN"/>
              </w:rPr>
              <w:t>小时内赶到现场，查找原因，提出解决方案，并工作直至故障修妥，完全恢复正常服务为止，一般要求保证系统在8小时之内修复，并需要提供确保承诺实现的措施。项目质量保证期内中标单位未能按要求提供服务的，</w:t>
            </w:r>
            <w:r>
              <w:rPr>
                <w:rFonts w:hint="eastAsia" w:ascii="宋体" w:hAnsi="宋体" w:cs="宋体"/>
                <w:sz w:val="21"/>
                <w:szCs w:val="21"/>
              </w:rPr>
              <w:t>采购人有权不予支付尾款</w:t>
            </w:r>
            <w:r>
              <w:rPr>
                <w:rFonts w:hint="eastAsia" w:ascii="宋体" w:hAnsi="宋体" w:cs="宋体"/>
                <w:sz w:val="21"/>
                <w:szCs w:val="21"/>
                <w:lang w:val="zh-CN"/>
              </w:rPr>
              <w:t>。</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2）为保证平台系统正常、安全地运行，技术支持力量和优良的服务是系统正常、安全运行的保障。投标人应据此制定系统详细的技术支持与服务方案，包括服务内容、服务方式、服务响应时间、应急措施及组织结构等。</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3）投标人须作出无推诿承诺。即投标人应提供特殊措施，无论由于哪一方产生的问题而使系统发生不正常情况时，并在得到采购人通知后，立即派工程师到场，全力协助系统集成商和其他供应商，使系统尽快恢复正常。</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4）系统质保期内故障率不得超过5天，如达不到要求，每超过一天，质保期相应延长5天。质保期内因系统本身缺陷造成各种故障应由中标单位免费技术服务和维修。</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5）在质量保证期结束前，须由中标单位工程师和采购人代表进行一次全面检查，任何缺陷必须由中标单位负责修改。在修改之后，中标单位应将缺陷原因、修改内容、完成修改及恢复正常的时间和日期等报告给采购人。</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6）质量保证期结束后，中标单位应保证以优惠价格优先对采购人进行系统技术支持和维护。</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lang w:val="zh-CN"/>
              </w:rPr>
            </w:pPr>
            <w:r>
              <w:rPr>
                <w:rFonts w:hint="eastAsia" w:ascii="宋体" w:hAnsi="宋体" w:cs="宋体"/>
                <w:sz w:val="21"/>
                <w:szCs w:val="21"/>
                <w:lang w:val="zh-CN"/>
              </w:rPr>
              <w:t>7）中标人应提供电话免费咨询服务。</w:t>
            </w:r>
          </w:p>
          <w:p>
            <w:pPr>
              <w:keepNext w:val="0"/>
              <w:keepLines w:val="0"/>
              <w:pageBreakBefore w:val="0"/>
              <w:widowControl w:val="0"/>
              <w:kinsoku/>
              <w:wordWrap/>
              <w:overflowPunct/>
              <w:topLinePunct w:val="0"/>
              <w:autoSpaceDE/>
              <w:autoSpaceDN/>
              <w:bidi w:val="0"/>
              <w:adjustRightInd/>
              <w:snapToGrid w:val="0"/>
              <w:spacing w:line="420" w:lineRule="exact"/>
              <w:ind w:firstLine="420"/>
              <w:textAlignment w:val="auto"/>
              <w:rPr>
                <w:rFonts w:ascii="宋体" w:hAnsi="宋体" w:cs="宋体"/>
                <w:sz w:val="21"/>
                <w:szCs w:val="21"/>
              </w:rPr>
            </w:pPr>
            <w:r>
              <w:rPr>
                <w:rFonts w:hint="eastAsia" w:ascii="宋体" w:hAnsi="宋体" w:cs="宋体"/>
                <w:sz w:val="21"/>
                <w:szCs w:val="21"/>
              </w:rPr>
              <w:t>8）</w:t>
            </w:r>
            <w:r>
              <w:rPr>
                <w:rFonts w:hint="eastAsia" w:ascii="宋体" w:hAnsi="宋体" w:cs="宋体"/>
                <w:sz w:val="21"/>
                <w:szCs w:val="21"/>
                <w:lang w:val="zh-CN"/>
              </w:rPr>
              <w:t>中标人</w:t>
            </w:r>
            <w:r>
              <w:rPr>
                <w:rFonts w:hint="eastAsia" w:ascii="宋体" w:hAnsi="宋体" w:cs="宋体"/>
                <w:sz w:val="21"/>
                <w:szCs w:val="21"/>
              </w:rPr>
              <w:t>未按投标时的售后服务承诺履约的，采购人不予支付尾款。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560" w:type="dxa"/>
            <w:tcBorders>
              <w:top w:val="single" w:color="auto" w:sz="4" w:space="0"/>
              <w:left w:val="single" w:color="auto" w:sz="4" w:space="0"/>
              <w:bottom w:val="single" w:color="auto" w:sz="4" w:space="0"/>
              <w:right w:val="single" w:color="auto" w:sz="4" w:space="0"/>
            </w:tcBorders>
            <w:vAlign w:val="center"/>
          </w:tcPr>
          <w:p>
            <w:pPr>
              <w:snapToGrid w:val="0"/>
              <w:ind w:firstLine="0" w:firstLineChars="0"/>
              <w:jc w:val="center"/>
              <w:rPr>
                <w:rFonts w:hint="eastAsia" w:ascii="宋体" w:hAnsi="宋体" w:cs="宋体"/>
                <w:sz w:val="21"/>
                <w:szCs w:val="21"/>
              </w:rPr>
            </w:pPr>
            <w:r>
              <w:rPr>
                <w:rFonts w:hint="eastAsia" w:ascii="宋体" w:hAnsi="宋体" w:cs="宋体"/>
                <w:sz w:val="21"/>
                <w:szCs w:val="21"/>
              </w:rPr>
              <w:t>*</w:t>
            </w:r>
            <w:r>
              <w:rPr>
                <w:rFonts w:hint="eastAsia" w:ascii="宋体" w:hAnsi="宋体" w:eastAsia="宋体" w:cs="宋体"/>
                <w:b/>
                <w:bCs/>
                <w:color w:val="auto"/>
                <w:sz w:val="21"/>
                <w:szCs w:val="21"/>
                <w:highlight w:val="none"/>
                <w:lang w:val="en-US" w:eastAsia="zh-CN"/>
              </w:rPr>
              <w:t>3、特别说明：</w:t>
            </w:r>
          </w:p>
        </w:tc>
        <w:tc>
          <w:tcPr>
            <w:tcW w:w="737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pacing w:line="500" w:lineRule="exact"/>
              <w:ind w:firstLine="422" w:firstLineChars="200"/>
              <w:jc w:val="left"/>
              <w:rPr>
                <w:rFonts w:hint="eastAsia" w:ascii="宋体" w:hAnsi="宋体" w:eastAsia="宋体" w:cs="宋体"/>
                <w:b/>
                <w:bCs w:val="0"/>
                <w:color w:val="auto"/>
                <w:kern w:val="0"/>
                <w:sz w:val="21"/>
                <w:szCs w:val="21"/>
                <w:highlight w:val="none"/>
              </w:rPr>
            </w:pPr>
            <w:r>
              <w:rPr>
                <w:rFonts w:hint="eastAsia" w:ascii="宋体" w:hAnsi="宋体" w:cs="宋体"/>
                <w:b/>
                <w:bCs w:val="0"/>
                <w:color w:val="auto"/>
                <w:kern w:val="0"/>
                <w:sz w:val="21"/>
                <w:szCs w:val="21"/>
                <w:highlight w:val="none"/>
                <w:lang w:val="en-US" w:eastAsia="zh-CN"/>
              </w:rPr>
              <w:t>1）</w:t>
            </w:r>
            <w:r>
              <w:rPr>
                <w:rFonts w:hint="eastAsia" w:ascii="宋体" w:hAnsi="宋体" w:eastAsia="宋体" w:cs="宋体"/>
                <w:b/>
                <w:bCs w:val="0"/>
                <w:color w:val="auto"/>
                <w:kern w:val="0"/>
                <w:sz w:val="21"/>
                <w:szCs w:val="21"/>
                <w:highlight w:val="none"/>
              </w:rPr>
              <w:t>中标方需承诺招标清单中未列明但实际为项目实施所必需的软件、硬件、辅材及相关配套施工、服务。均由中标方统一提供，费用不再另行支付。</w:t>
            </w:r>
          </w:p>
          <w:p>
            <w:pPr>
              <w:pStyle w:val="28"/>
              <w:keepNext w:val="0"/>
              <w:keepLines w:val="0"/>
              <w:pageBreakBefore w:val="0"/>
              <w:widowControl w:val="0"/>
              <w:kinsoku/>
              <w:wordWrap/>
              <w:overflowPunct/>
              <w:topLinePunct w:val="0"/>
              <w:autoSpaceDE/>
              <w:autoSpaceDN/>
              <w:bidi w:val="0"/>
              <w:spacing w:line="500" w:lineRule="exact"/>
              <w:ind w:left="0" w:leftChars="0" w:firstLine="422" w:firstLineChars="200"/>
              <w:rPr>
                <w:rFonts w:hint="default"/>
                <w:lang w:val="en-US"/>
              </w:rPr>
            </w:pPr>
            <w:r>
              <w:rPr>
                <w:rFonts w:hint="eastAsia" w:ascii="宋体" w:hAnsi="宋体" w:cs="宋体"/>
                <w:b/>
                <w:bCs w:val="0"/>
                <w:color w:val="auto"/>
                <w:kern w:val="0"/>
                <w:sz w:val="21"/>
                <w:szCs w:val="21"/>
                <w:highlight w:val="none"/>
                <w:lang w:val="en-US" w:eastAsia="zh-CN"/>
              </w:rPr>
              <w:t>2）</w:t>
            </w:r>
            <w:r>
              <w:rPr>
                <w:rFonts w:hint="eastAsia" w:hAnsi="宋体" w:cs="宋体"/>
                <w:b/>
                <w:bCs w:val="0"/>
                <w:color w:val="auto"/>
                <w:kern w:val="0"/>
                <w:sz w:val="21"/>
                <w:szCs w:val="21"/>
                <w:highlight w:val="none"/>
                <w:lang w:val="en-US" w:eastAsia="zh-CN"/>
              </w:rPr>
              <w:t>项目系统必须部署在政务云上，确保云效达到30%以上。</w:t>
            </w:r>
          </w:p>
          <w:p>
            <w:pPr>
              <w:keepNext w:val="0"/>
              <w:keepLines w:val="0"/>
              <w:pageBreakBefore w:val="0"/>
              <w:widowControl w:val="0"/>
              <w:numPr>
                <w:ilvl w:val="0"/>
                <w:numId w:val="0"/>
              </w:numPr>
              <w:kinsoku/>
              <w:wordWrap/>
              <w:overflowPunct/>
              <w:topLinePunct w:val="0"/>
              <w:autoSpaceDE/>
              <w:autoSpaceDN/>
              <w:bidi w:val="0"/>
              <w:snapToGrid w:val="0"/>
              <w:spacing w:line="500" w:lineRule="exact"/>
              <w:ind w:firstLine="422" w:firstLineChars="200"/>
              <w:rPr>
                <w:rFonts w:hint="eastAsia" w:ascii="宋体" w:hAnsi="宋体" w:cs="宋体"/>
                <w:b/>
                <w:color w:val="auto"/>
                <w:sz w:val="21"/>
                <w:szCs w:val="21"/>
                <w:highlight w:val="none"/>
              </w:rPr>
            </w:pPr>
            <w:r>
              <w:rPr>
                <w:rFonts w:hint="eastAsia" w:ascii="宋体" w:hAnsi="宋体" w:cs="宋体"/>
                <w:b/>
                <w:bCs w:val="0"/>
                <w:color w:val="auto"/>
                <w:kern w:val="0"/>
                <w:sz w:val="21"/>
                <w:szCs w:val="21"/>
                <w:highlight w:val="none"/>
                <w:lang w:val="en-US" w:eastAsia="zh-CN"/>
              </w:rPr>
              <w:t>3）</w:t>
            </w:r>
            <w:r>
              <w:rPr>
                <w:rFonts w:hint="eastAsia" w:ascii="宋体" w:hAnsi="宋体" w:cs="宋体"/>
                <w:b/>
                <w:color w:val="auto"/>
                <w:sz w:val="21"/>
                <w:szCs w:val="21"/>
                <w:highlight w:val="none"/>
                <w:lang w:val="en-US" w:eastAsia="zh-CN"/>
              </w:rPr>
              <w:t>中标人</w:t>
            </w:r>
            <w:r>
              <w:rPr>
                <w:rFonts w:hint="eastAsia" w:ascii="宋体" w:hAnsi="宋体" w:cs="宋体"/>
                <w:b/>
                <w:color w:val="auto"/>
                <w:sz w:val="21"/>
                <w:szCs w:val="21"/>
                <w:highlight w:val="none"/>
                <w:lang w:eastAsia="zh-CN"/>
              </w:rPr>
              <w:t>必须实现与省化工产业大脑数据平台对接，根据平台要求实现数据共享，实现</w:t>
            </w:r>
            <w:r>
              <w:rPr>
                <w:rFonts w:hint="eastAsia" w:ascii="宋体" w:hAnsi="宋体" w:cs="宋体"/>
                <w:b/>
                <w:color w:val="auto"/>
                <w:sz w:val="21"/>
                <w:szCs w:val="21"/>
                <w:highlight w:val="none"/>
              </w:rPr>
              <w:t>与</w:t>
            </w:r>
            <w:r>
              <w:rPr>
                <w:rFonts w:hint="eastAsia" w:ascii="宋体" w:hAnsi="宋体" w:cs="宋体"/>
                <w:b/>
                <w:color w:val="auto"/>
                <w:sz w:val="21"/>
                <w:szCs w:val="21"/>
                <w:highlight w:val="none"/>
                <w:lang w:eastAsia="zh-CN"/>
              </w:rPr>
              <w:t>省应急厅和其它职能部门</w:t>
            </w:r>
            <w:r>
              <w:rPr>
                <w:rFonts w:hint="eastAsia" w:ascii="宋体" w:hAnsi="宋体" w:cs="宋体"/>
                <w:b/>
                <w:color w:val="auto"/>
                <w:sz w:val="21"/>
                <w:szCs w:val="21"/>
                <w:highlight w:val="none"/>
              </w:rPr>
              <w:t>第三方系统、平台的系统接口对接、数据推送及数据共享等相关开发服务，费用不再另行支付。</w:t>
            </w:r>
          </w:p>
          <w:p>
            <w:pPr>
              <w:numPr>
                <w:ilvl w:val="0"/>
                <w:numId w:val="0"/>
              </w:numPr>
              <w:snapToGrid w:val="0"/>
              <w:spacing w:line="500" w:lineRule="exact"/>
              <w:ind w:firstLine="422" w:firstLineChars="200"/>
              <w:rPr>
                <w:rFonts w:hint="eastAsia" w:ascii="宋体" w:hAnsi="宋体" w:cs="宋体"/>
                <w:b/>
                <w:bCs w:val="0"/>
                <w:color w:val="auto"/>
                <w:kern w:val="0"/>
                <w:sz w:val="21"/>
                <w:szCs w:val="21"/>
                <w:highlight w:val="none"/>
                <w:lang w:val="en-US" w:eastAsia="zh-CN"/>
              </w:rPr>
            </w:pPr>
            <w:r>
              <w:rPr>
                <w:rFonts w:hint="eastAsia" w:ascii="宋体" w:hAnsi="宋体" w:cs="宋体"/>
                <w:b/>
                <w:bCs w:val="0"/>
                <w:color w:val="auto"/>
                <w:kern w:val="0"/>
                <w:sz w:val="21"/>
                <w:szCs w:val="21"/>
                <w:highlight w:val="none"/>
                <w:lang w:val="en-US" w:eastAsia="zh-CN"/>
              </w:rPr>
              <w:t>4）综合管理平台实现园区内企业生产、环保、应急等业务数据的统一数据汇聚节点，并提供统一的对外接口，向应急、环保等监管部门信息系统进行数据的统一向上报送。</w:t>
            </w:r>
          </w:p>
          <w:p>
            <w:pPr>
              <w:numPr>
                <w:ilvl w:val="0"/>
                <w:numId w:val="0"/>
              </w:numPr>
              <w:snapToGrid w:val="0"/>
              <w:spacing w:line="500" w:lineRule="exact"/>
              <w:ind w:firstLine="422" w:firstLineChars="200"/>
              <w:rPr>
                <w:rFonts w:hint="eastAsia" w:ascii="宋体" w:hAnsi="宋体" w:cs="宋体"/>
                <w:b/>
                <w:bCs w:val="0"/>
                <w:color w:val="auto"/>
                <w:kern w:val="0"/>
                <w:sz w:val="21"/>
                <w:szCs w:val="21"/>
                <w:highlight w:val="none"/>
                <w:lang w:val="en-US" w:eastAsia="zh-CN"/>
              </w:rPr>
            </w:pPr>
            <w:r>
              <w:rPr>
                <w:rFonts w:hint="eastAsia" w:ascii="宋体" w:hAnsi="宋体" w:cs="宋体"/>
                <w:b/>
                <w:bCs w:val="0"/>
                <w:color w:val="auto"/>
                <w:kern w:val="0"/>
                <w:sz w:val="21"/>
                <w:szCs w:val="21"/>
                <w:highlight w:val="none"/>
                <w:lang w:val="en-US" w:eastAsia="zh-CN"/>
              </w:rPr>
              <w:t>5）建设内容中所有设备、软件及其技术参数不允许负偏离，中标供应商在开标后20日内需提供所有满足招标文件技术参数中明确要求的证明文件的原件，提交业主审核；不按时提供原件或证实参数要求不符的，作废标处理。</w:t>
            </w:r>
          </w:p>
          <w:p>
            <w:pPr>
              <w:numPr>
                <w:ilvl w:val="0"/>
                <w:numId w:val="0"/>
              </w:numPr>
              <w:snapToGrid w:val="0"/>
              <w:spacing w:line="500" w:lineRule="exact"/>
              <w:ind w:firstLine="422" w:firstLineChars="200"/>
              <w:rPr>
                <w:rFonts w:hint="eastAsia" w:ascii="宋体" w:hAnsi="宋体" w:eastAsia="宋体" w:cs="宋体"/>
                <w:b/>
                <w:bCs w:val="0"/>
                <w:color w:val="auto"/>
                <w:kern w:val="0"/>
                <w:sz w:val="21"/>
                <w:szCs w:val="21"/>
                <w:highlight w:val="none"/>
                <w:lang w:val="zh-CN"/>
              </w:rPr>
            </w:pPr>
            <w:r>
              <w:rPr>
                <w:rFonts w:hint="eastAsia" w:ascii="宋体" w:hAnsi="宋体" w:cs="宋体"/>
                <w:b/>
                <w:bCs w:val="0"/>
                <w:color w:val="auto"/>
                <w:kern w:val="0"/>
                <w:sz w:val="21"/>
                <w:szCs w:val="21"/>
                <w:highlight w:val="none"/>
                <w:lang w:val="en-US" w:eastAsia="zh-CN"/>
              </w:rPr>
              <w:t>6）</w:t>
            </w:r>
            <w:r>
              <w:rPr>
                <w:rFonts w:hint="eastAsia" w:ascii="宋体" w:hAnsi="宋体" w:cs="宋体"/>
                <w:b/>
                <w:bCs w:val="0"/>
                <w:color w:val="auto"/>
                <w:kern w:val="0"/>
                <w:sz w:val="21"/>
                <w:szCs w:val="21"/>
                <w:highlight w:val="none"/>
                <w:lang w:val="zh-CN" w:eastAsia="zh-CN"/>
              </w:rPr>
              <w:t>货物设备采购应根据本采购文件和国家有关规定的具体要求进行采购，所有货物应选用具有一定生产规模和市场信誉好的生产厂和品牌，所有货物材料均应有合格证和质保书，符合国家规定的技术标准，并且须经业主或业主委托的监理单位批准才能</w:t>
            </w:r>
            <w:r>
              <w:rPr>
                <w:rFonts w:hint="eastAsia" w:ascii="宋体" w:hAnsi="宋体" w:eastAsia="宋体" w:cs="宋体"/>
                <w:b/>
                <w:bCs w:val="0"/>
                <w:color w:val="auto"/>
                <w:kern w:val="0"/>
                <w:sz w:val="21"/>
                <w:szCs w:val="21"/>
                <w:highlight w:val="none"/>
                <w:lang w:val="zh-CN"/>
              </w:rPr>
              <w:t>使用。</w:t>
            </w:r>
          </w:p>
          <w:p>
            <w:pPr>
              <w:numPr>
                <w:ilvl w:val="0"/>
                <w:numId w:val="0"/>
              </w:numPr>
              <w:snapToGrid w:val="0"/>
              <w:spacing w:line="500" w:lineRule="exact"/>
              <w:ind w:firstLine="422" w:firstLineChars="200"/>
              <w:rPr>
                <w:rFonts w:hint="eastAsia" w:ascii="宋体" w:hAnsi="宋体" w:eastAsia="宋体" w:cs="宋体"/>
                <w:b/>
                <w:bCs w:val="0"/>
                <w:color w:val="auto"/>
                <w:kern w:val="0"/>
                <w:sz w:val="21"/>
                <w:szCs w:val="21"/>
                <w:highlight w:val="none"/>
                <w:lang w:val="zh-CN"/>
              </w:rPr>
            </w:pPr>
            <w:r>
              <w:rPr>
                <w:rFonts w:hint="eastAsia" w:ascii="宋体" w:hAnsi="宋体" w:cs="宋体"/>
                <w:b/>
                <w:bCs w:val="0"/>
                <w:color w:val="auto"/>
                <w:kern w:val="0"/>
                <w:sz w:val="21"/>
                <w:szCs w:val="21"/>
                <w:highlight w:val="none"/>
                <w:lang w:val="en-US" w:eastAsia="zh-CN"/>
              </w:rPr>
              <w:t>7）</w:t>
            </w:r>
            <w:r>
              <w:rPr>
                <w:rFonts w:hint="eastAsia" w:cs="Times New Roman"/>
                <w:b/>
                <w:bCs/>
                <w:sz w:val="21"/>
                <w:szCs w:val="21"/>
                <w:highlight w:val="none"/>
                <w:lang w:val="en-US" w:eastAsia="zh-CN"/>
              </w:rPr>
              <w:t>三维倾斜摄影数据成果需提供质检报告</w:t>
            </w:r>
            <w:r>
              <w:rPr>
                <w:rFonts w:hint="eastAsia" w:ascii="宋体" w:hAnsi="宋体" w:eastAsia="宋体" w:cs="宋体"/>
                <w:b/>
                <w:bCs/>
                <w:color w:val="auto"/>
                <w:kern w:val="0"/>
                <w:sz w:val="21"/>
                <w:szCs w:val="21"/>
                <w:highlight w:val="none"/>
              </w:rPr>
              <w:t>。</w:t>
            </w:r>
          </w:p>
          <w:p>
            <w:pPr>
              <w:numPr>
                <w:ilvl w:val="0"/>
                <w:numId w:val="0"/>
              </w:numPr>
              <w:snapToGrid w:val="0"/>
              <w:spacing w:line="500" w:lineRule="exact"/>
              <w:ind w:firstLine="422" w:firstLineChars="200"/>
              <w:rPr>
                <w:rFonts w:hint="default" w:ascii="宋体" w:hAnsi="宋体" w:cs="宋体"/>
                <w:b/>
                <w:bCs w:val="0"/>
                <w:color w:val="auto"/>
                <w:kern w:val="0"/>
                <w:sz w:val="21"/>
                <w:szCs w:val="21"/>
                <w:highlight w:val="none"/>
                <w:lang w:val="en-US" w:eastAsia="zh-CN"/>
              </w:rPr>
            </w:pPr>
            <w:r>
              <w:rPr>
                <w:rFonts w:hint="eastAsia" w:ascii="宋体" w:hAnsi="宋体" w:cs="宋体"/>
                <w:b/>
                <w:bCs w:val="0"/>
                <w:color w:val="auto"/>
                <w:kern w:val="0"/>
                <w:sz w:val="21"/>
                <w:szCs w:val="21"/>
                <w:highlight w:val="none"/>
                <w:lang w:val="en-US" w:eastAsia="zh-CN"/>
              </w:rPr>
              <w:t>8）确保信息系统等级保护达到三级及以上。</w:t>
            </w:r>
          </w:p>
          <w:p>
            <w:pPr>
              <w:numPr>
                <w:ilvl w:val="0"/>
                <w:numId w:val="0"/>
              </w:numPr>
              <w:snapToGrid w:val="0"/>
              <w:spacing w:line="500" w:lineRule="exact"/>
              <w:ind w:firstLine="422" w:firstLineChars="200"/>
              <w:rPr>
                <w:rFonts w:hint="eastAsia" w:ascii="宋体" w:hAnsi="宋体" w:cs="宋体"/>
                <w:sz w:val="21"/>
                <w:szCs w:val="21"/>
              </w:rPr>
            </w:pPr>
            <w:r>
              <w:rPr>
                <w:rFonts w:hint="eastAsia" w:ascii="宋体" w:hAnsi="宋体" w:cs="宋体"/>
                <w:b/>
                <w:bCs w:val="0"/>
                <w:color w:val="auto"/>
                <w:kern w:val="0"/>
                <w:sz w:val="21"/>
                <w:szCs w:val="21"/>
                <w:highlight w:val="none"/>
                <w:lang w:val="en-US" w:eastAsia="zh-CN"/>
              </w:rPr>
              <w:t>9）政务云、数据采集终端30套(具体要求以采购人为准，按实际发生结算)。</w:t>
            </w:r>
          </w:p>
        </w:tc>
      </w:tr>
      <w:bookmarkEnd w:id="177"/>
    </w:tbl>
    <w:p>
      <w:pPr>
        <w:snapToGrid w:val="0"/>
        <w:spacing w:line="500" w:lineRule="exact"/>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lang w:val="en-US" w:eastAsia="zh-CN"/>
        </w:rPr>
        <w:t>、采购人认为必须说明的其他内容</w:t>
      </w:r>
    </w:p>
    <w:p>
      <w:pPr>
        <w:spacing w:line="400" w:lineRule="atLeast"/>
        <w:ind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1、性能要求</w:t>
      </w:r>
    </w:p>
    <w:p>
      <w:pPr>
        <w:spacing w:line="400" w:lineRule="atLeast"/>
        <w:ind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系统插入、查询等操作平均响应时间小于3秒。</w:t>
      </w:r>
    </w:p>
    <w:p>
      <w:pPr>
        <w:spacing w:line="400" w:lineRule="atLeast"/>
        <w:ind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系统应保证7×24小时的连续运行，平均年故障时间&lt;1天，平均故障修复时间&lt;15分钟。</w:t>
      </w:r>
    </w:p>
    <w:p>
      <w:pPr>
        <w:spacing w:line="400" w:lineRule="atLeast"/>
        <w:ind w:firstLine="420" w:firstLineChars="20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2、系统设计要求</w:t>
      </w:r>
    </w:p>
    <w:p>
      <w:pPr>
        <w:spacing w:line="400" w:lineRule="atLeast"/>
        <w:ind w:firstLine="420" w:firstLineChars="200"/>
        <w:jc w:val="left"/>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rPr>
        <w:t>投标文件需提供本系统核心业务系统（数据中心、隐患排查、行政执法）的详细设计，包括但不限于数据库表结构设计、数据实体关系图、数据接口设计等。</w:t>
      </w:r>
    </w:p>
    <w:p>
      <w:pPr>
        <w:rPr>
          <w:rFonts w:hint="eastAsia"/>
          <w:b/>
          <w:bCs/>
          <w:color w:val="auto"/>
          <w:kern w:val="0"/>
          <w:sz w:val="32"/>
          <w:szCs w:val="32"/>
          <w:highlight w:val="green"/>
          <w:lang w:bidi="ar"/>
        </w:rPr>
      </w:pPr>
      <w:r>
        <w:rPr>
          <w:rFonts w:hint="eastAsia"/>
          <w:b/>
          <w:bCs/>
          <w:color w:val="auto"/>
          <w:kern w:val="0"/>
          <w:sz w:val="32"/>
          <w:szCs w:val="32"/>
          <w:highlight w:val="green"/>
          <w:lang w:bidi="ar"/>
        </w:rPr>
        <w:br w:type="page"/>
      </w:r>
    </w:p>
    <w:p>
      <w:pPr>
        <w:widowControl/>
        <w:spacing w:after="240" w:line="360" w:lineRule="exact"/>
        <w:ind w:left="559" w:leftChars="85" w:hanging="321" w:hangingChars="100"/>
        <w:jc w:val="center"/>
        <w:rPr>
          <w:rFonts w:hint="eastAsia"/>
          <w:b/>
          <w:bCs/>
          <w:color w:val="auto"/>
          <w:kern w:val="0"/>
          <w:sz w:val="32"/>
          <w:szCs w:val="32"/>
          <w:highlight w:val="none"/>
          <w:lang w:bidi="ar"/>
        </w:rPr>
      </w:pPr>
      <w:r>
        <w:rPr>
          <w:rFonts w:hint="eastAsia"/>
          <w:b/>
          <w:bCs/>
          <w:color w:val="auto"/>
          <w:kern w:val="0"/>
          <w:sz w:val="32"/>
          <w:szCs w:val="32"/>
          <w:highlight w:val="none"/>
          <w:lang w:bidi="ar"/>
        </w:rPr>
        <w:t>第四章  投标人须知</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一、说明</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1、适用范围</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1.1 本采购文件仅适用于本次采购所叙述的</w:t>
      </w:r>
      <w:r>
        <w:rPr>
          <w:rFonts w:hint="eastAsia"/>
          <w:bCs/>
          <w:color w:val="auto"/>
          <w:sz w:val="21"/>
          <w:szCs w:val="21"/>
          <w:highlight w:val="none"/>
          <w:lang w:val="en-US" w:eastAsia="zh-CN"/>
        </w:rPr>
        <w:t>服务</w:t>
      </w:r>
      <w:r>
        <w:rPr>
          <w:rFonts w:hint="eastAsia"/>
          <w:bCs/>
          <w:color w:val="auto"/>
          <w:sz w:val="21"/>
          <w:szCs w:val="21"/>
          <w:highlight w:val="none"/>
        </w:rPr>
        <w:t>项目。</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2、定义</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2.1“招标人”系指组织本次采购的</w:t>
      </w:r>
      <w:r>
        <w:rPr>
          <w:rFonts w:hint="eastAsia"/>
          <w:bCs/>
          <w:color w:val="auto"/>
          <w:sz w:val="21"/>
          <w:szCs w:val="21"/>
          <w:highlight w:val="none"/>
          <w:lang w:eastAsia="zh-CN"/>
        </w:rPr>
        <w:t>浙江展图工程咨询有限公司</w:t>
      </w:r>
      <w:r>
        <w:rPr>
          <w:rFonts w:hint="eastAsia"/>
          <w:bCs/>
          <w:color w:val="auto"/>
          <w:sz w:val="21"/>
          <w:szCs w:val="21"/>
          <w:highlight w:val="none"/>
        </w:rPr>
        <w:t>；</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2.2“采购人”系指组织本次采购的</w:t>
      </w:r>
      <w:r>
        <w:rPr>
          <w:rFonts w:hint="eastAsia"/>
          <w:bCs/>
          <w:color w:val="auto"/>
          <w:sz w:val="21"/>
          <w:szCs w:val="21"/>
          <w:highlight w:val="none"/>
          <w:lang w:eastAsia="zh-CN"/>
        </w:rPr>
        <w:t>浙江省兰溪经济开发区管理委员会</w:t>
      </w:r>
      <w:r>
        <w:rPr>
          <w:rFonts w:hint="eastAsia"/>
          <w:bCs/>
          <w:color w:val="auto"/>
          <w:sz w:val="21"/>
          <w:szCs w:val="21"/>
          <w:highlight w:val="none"/>
        </w:rPr>
        <w:t>；</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2.3“投标人”系指向招标人提交投标文件的货物供应商；</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2.4“货物”系指供方按采购文件规定须向需方提供的一切设备、备品备件、工具、手册及其它有关工程、技术资料和文字材料；</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2.5 “服务”系指采购文件规定供方须承担的设计、施工、运输、调试、技术支持、维修保养及其它类似的服务；</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2.6 “★”标记且加黑的文字系指必须满足不能负偏离或必须应答的条款。</w:t>
      </w:r>
    </w:p>
    <w:p>
      <w:pPr>
        <w:pStyle w:val="12"/>
        <w:spacing w:after="50" w:line="380" w:lineRule="exact"/>
        <w:ind w:right="-392" w:rightChars="-140" w:firstLine="207" w:firstLineChars="98"/>
        <w:outlineLvl w:val="1"/>
        <w:rPr>
          <w:rFonts w:hint="eastAsia"/>
          <w:b/>
          <w:color w:val="auto"/>
          <w:sz w:val="21"/>
          <w:szCs w:val="21"/>
          <w:highlight w:val="none"/>
        </w:rPr>
      </w:pPr>
      <w:r>
        <w:rPr>
          <w:rFonts w:hint="eastAsia"/>
          <w:b/>
          <w:color w:val="auto"/>
          <w:sz w:val="21"/>
          <w:szCs w:val="21"/>
          <w:highlight w:val="none"/>
        </w:rPr>
        <w:t>★3、合格的投标人</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3.1符合《政府采购法》第二十二条规定的投标人资格条件和浙财采监【2013】24号《关于规范政府采购供应商资格设定及资格审查的通知》第六条规定；</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3.2未被“信用中国”（www.creditchina.gov.cn）、中国政府采购网（www.ccgp.gov.cn）列入失信被执行人、重大税收违法案件当事人名单、政府采购严重违法失信行为记录名单；</w:t>
      </w:r>
    </w:p>
    <w:p>
      <w:pPr>
        <w:snapToGrid w:val="0"/>
        <w:spacing w:line="380" w:lineRule="exact"/>
        <w:ind w:firstLine="420" w:firstLineChars="200"/>
        <w:rPr>
          <w:rFonts w:hint="eastAsia"/>
          <w:bCs/>
          <w:color w:val="auto"/>
          <w:sz w:val="21"/>
          <w:szCs w:val="21"/>
          <w:highlight w:val="none"/>
        </w:rPr>
      </w:pPr>
      <w:r>
        <w:rPr>
          <w:rFonts w:hint="eastAsia"/>
          <w:bCs/>
          <w:color w:val="auto"/>
          <w:sz w:val="21"/>
          <w:szCs w:val="21"/>
          <w:highlight w:val="none"/>
        </w:rPr>
        <w:t>3.3本项目不接受联合体投标。</w:t>
      </w:r>
    </w:p>
    <w:p>
      <w:pPr>
        <w:snapToGrid w:val="0"/>
        <w:spacing w:line="380" w:lineRule="exact"/>
        <w:ind w:firstLine="211" w:firstLineChars="100"/>
        <w:rPr>
          <w:rFonts w:hint="eastAsia"/>
          <w:bCs/>
          <w:color w:val="auto"/>
          <w:sz w:val="21"/>
          <w:szCs w:val="21"/>
          <w:highlight w:val="none"/>
        </w:rPr>
      </w:pPr>
      <w:r>
        <w:rPr>
          <w:rFonts w:hint="eastAsia"/>
          <w:b/>
          <w:bCs/>
          <w:color w:val="auto"/>
          <w:sz w:val="21"/>
          <w:szCs w:val="21"/>
          <w:highlight w:val="none"/>
        </w:rPr>
        <w:t>4、投标费用</w:t>
      </w:r>
    </w:p>
    <w:p>
      <w:pPr>
        <w:pStyle w:val="12"/>
        <w:spacing w:after="50" w:line="380" w:lineRule="exact"/>
        <w:ind w:left="-176" w:leftChars="-63" w:right="-389" w:rightChars="-139" w:firstLine="411" w:firstLineChars="195"/>
        <w:outlineLvl w:val="1"/>
        <w:rPr>
          <w:rFonts w:hint="eastAsia"/>
          <w:b/>
          <w:bCs/>
          <w:color w:val="auto"/>
          <w:sz w:val="21"/>
          <w:szCs w:val="21"/>
          <w:highlight w:val="none"/>
        </w:rPr>
      </w:pPr>
      <w:r>
        <w:rPr>
          <w:rFonts w:hint="eastAsia"/>
          <w:b/>
          <w:bCs/>
          <w:color w:val="auto"/>
          <w:sz w:val="21"/>
          <w:szCs w:val="21"/>
          <w:highlight w:val="none"/>
        </w:rPr>
        <w:t>4.1不论投标过程中的作法和结果如何，投标人应自行承担所有与投标有关的全部费用。招标人在任何情况下均无义务和责任承担上述这些费用。</w:t>
      </w:r>
    </w:p>
    <w:p>
      <w:pPr>
        <w:pStyle w:val="16"/>
        <w:spacing w:line="380" w:lineRule="exact"/>
        <w:ind w:right="-389" w:rightChars="-139" w:firstLine="211" w:firstLineChars="100"/>
        <w:outlineLvl w:val="1"/>
        <w:rPr>
          <w:rFonts w:hint="eastAsia"/>
          <w:b/>
          <w:bCs/>
          <w:color w:val="auto"/>
          <w:highlight w:val="none"/>
        </w:rPr>
      </w:pPr>
      <w:r>
        <w:rPr>
          <w:rFonts w:hint="eastAsia"/>
          <w:b/>
          <w:bCs/>
          <w:color w:val="auto"/>
          <w:highlight w:val="none"/>
        </w:rPr>
        <w:t>二、采购文件细则</w:t>
      </w:r>
    </w:p>
    <w:p>
      <w:pPr>
        <w:pStyle w:val="16"/>
        <w:spacing w:line="380" w:lineRule="exact"/>
        <w:ind w:right="-389" w:rightChars="-139" w:firstLine="211" w:firstLineChars="100"/>
        <w:outlineLvl w:val="1"/>
        <w:rPr>
          <w:rFonts w:hint="eastAsia"/>
          <w:b/>
          <w:bCs/>
          <w:color w:val="auto"/>
          <w:highlight w:val="none"/>
        </w:rPr>
      </w:pPr>
      <w:r>
        <w:rPr>
          <w:rFonts w:hint="eastAsia"/>
          <w:b/>
          <w:bCs/>
          <w:color w:val="auto"/>
          <w:highlight w:val="none"/>
        </w:rPr>
        <w:t>5、采购文件的组成</w:t>
      </w:r>
    </w:p>
    <w:p>
      <w:pPr>
        <w:pStyle w:val="16"/>
        <w:spacing w:line="380" w:lineRule="exact"/>
        <w:ind w:right="-389" w:rightChars="-139" w:firstLine="210" w:firstLineChars="100"/>
        <w:outlineLvl w:val="1"/>
        <w:rPr>
          <w:rFonts w:hint="eastAsia"/>
          <w:color w:val="auto"/>
          <w:szCs w:val="21"/>
          <w:highlight w:val="none"/>
        </w:rPr>
      </w:pPr>
      <w:r>
        <w:rPr>
          <w:rFonts w:hint="eastAsia"/>
          <w:bCs/>
          <w:color w:val="auto"/>
          <w:highlight w:val="none"/>
        </w:rPr>
        <w:t>5.1采购文件除本《采购文件</w:t>
      </w:r>
      <w:r>
        <w:rPr>
          <w:rFonts w:hint="eastAsia"/>
          <w:color w:val="auto"/>
          <w:szCs w:val="21"/>
          <w:highlight w:val="none"/>
        </w:rPr>
        <w:t>》内容外，招标人在采购期间发出的质疑回答、补遗文件和其它正式有效函件，均构成采购文件的组成部分。</w:t>
      </w:r>
    </w:p>
    <w:p>
      <w:pPr>
        <w:spacing w:line="380" w:lineRule="exact"/>
        <w:ind w:left="-176" w:leftChars="-63" w:right="-389" w:rightChars="-139" w:firstLine="420" w:firstLineChars="200"/>
        <w:outlineLvl w:val="1"/>
        <w:rPr>
          <w:rFonts w:hint="eastAsia"/>
          <w:b/>
          <w:bCs/>
          <w:color w:val="auto"/>
          <w:sz w:val="21"/>
          <w:szCs w:val="21"/>
          <w:highlight w:val="none"/>
        </w:rPr>
      </w:pPr>
      <w:r>
        <w:rPr>
          <w:rFonts w:hint="eastAsia"/>
          <w:color w:val="auto"/>
          <w:sz w:val="21"/>
          <w:szCs w:val="21"/>
          <w:highlight w:val="none"/>
        </w:rPr>
        <w:t>5.2 投标人应认真对照阅读采购文件中所有的事项、格式、条款和技术规范等。投标人没有按照采购文件要求提交全部资料，或者投标人没有对采购文件在各方面都做出实质性响应是投标人的风险，并可能导致其投标被拒绝。</w:t>
      </w:r>
    </w:p>
    <w:p>
      <w:pPr>
        <w:spacing w:line="380" w:lineRule="exact"/>
        <w:ind w:firstLine="207" w:firstLineChars="98"/>
        <w:outlineLvl w:val="1"/>
        <w:rPr>
          <w:rFonts w:hint="eastAsia"/>
          <w:b/>
          <w:bCs/>
          <w:color w:val="auto"/>
          <w:sz w:val="21"/>
          <w:szCs w:val="21"/>
          <w:highlight w:val="none"/>
        </w:rPr>
      </w:pPr>
      <w:r>
        <w:rPr>
          <w:rFonts w:hint="eastAsia"/>
          <w:b/>
          <w:bCs/>
          <w:color w:val="auto"/>
          <w:sz w:val="21"/>
          <w:szCs w:val="21"/>
          <w:highlight w:val="none"/>
        </w:rPr>
        <w:t>6、采购文件的解释</w:t>
      </w:r>
    </w:p>
    <w:p>
      <w:pPr>
        <w:spacing w:line="380" w:lineRule="exact"/>
        <w:ind w:firstLine="210" w:firstLineChars="100"/>
        <w:outlineLvl w:val="1"/>
        <w:rPr>
          <w:rFonts w:hint="eastAsia"/>
          <w:color w:val="auto"/>
          <w:sz w:val="21"/>
          <w:szCs w:val="21"/>
          <w:highlight w:val="none"/>
        </w:rPr>
      </w:pPr>
      <w:r>
        <w:rPr>
          <w:rFonts w:hint="eastAsia"/>
          <w:color w:val="auto"/>
          <w:sz w:val="21"/>
          <w:szCs w:val="21"/>
          <w:highlight w:val="none"/>
        </w:rPr>
        <w:t>6.1投标人如认为采购文件表述不清晰、存在歧视性或者其它违法内容的，应当于采购公告“质疑及投诉”款规定的时间前，以书面形式一次性提出，要求采购人和招标组织单位作出书面解释、澄清。招标组织单位将于规定时间前将答疑内容以网上发布公告的形式通知所有已报名的供应商；答疑内容是谈判采购文件的组成部分。</w:t>
      </w:r>
    </w:p>
    <w:p>
      <w:pPr>
        <w:widowControl/>
        <w:spacing w:line="440" w:lineRule="exact"/>
        <w:ind w:firstLine="420" w:firstLineChars="200"/>
        <w:jc w:val="left"/>
        <w:rPr>
          <w:rFonts w:hint="default"/>
          <w:color w:val="auto"/>
          <w:sz w:val="21"/>
          <w:szCs w:val="21"/>
          <w:highlight w:val="none"/>
          <w:lang w:val="en-US"/>
        </w:rPr>
      </w:pPr>
      <w:r>
        <w:rPr>
          <w:rFonts w:hint="eastAsia"/>
          <w:color w:val="auto"/>
          <w:sz w:val="21"/>
          <w:szCs w:val="21"/>
          <w:highlight w:val="none"/>
        </w:rPr>
        <w:t>采购单位联系人：</w:t>
      </w:r>
      <w:r>
        <w:rPr>
          <w:rFonts w:hint="eastAsia"/>
          <w:color w:val="auto"/>
          <w:sz w:val="21"/>
          <w:szCs w:val="21"/>
          <w:highlight w:val="none"/>
          <w:lang w:val="en-US" w:eastAsia="zh-CN"/>
        </w:rPr>
        <w:t xml:space="preserve">吴  炜         </w:t>
      </w:r>
      <w:r>
        <w:rPr>
          <w:rFonts w:hint="eastAsia"/>
          <w:color w:val="auto"/>
          <w:sz w:val="21"/>
          <w:szCs w:val="21"/>
          <w:highlight w:val="none"/>
        </w:rPr>
        <w:t xml:space="preserve">    联系电话：</w:t>
      </w:r>
      <w:r>
        <w:rPr>
          <w:rFonts w:hint="eastAsia"/>
          <w:color w:val="auto"/>
          <w:sz w:val="21"/>
          <w:szCs w:val="21"/>
          <w:highlight w:val="none"/>
          <w:lang w:val="en-US" w:eastAsia="zh-CN"/>
        </w:rPr>
        <w:t xml:space="preserve">13858981920 </w:t>
      </w:r>
    </w:p>
    <w:p>
      <w:pPr>
        <w:snapToGrid w:val="0"/>
        <w:spacing w:line="380" w:lineRule="exact"/>
        <w:ind w:firstLine="420" w:firstLineChars="200"/>
        <w:outlineLvl w:val="1"/>
        <w:rPr>
          <w:rFonts w:hint="eastAsia"/>
          <w:color w:val="auto"/>
          <w:sz w:val="21"/>
          <w:highlight w:val="none"/>
        </w:rPr>
      </w:pPr>
      <w:r>
        <w:rPr>
          <w:rFonts w:hint="eastAsia"/>
          <w:color w:val="auto"/>
          <w:sz w:val="21"/>
          <w:highlight w:val="none"/>
        </w:rPr>
        <w:t>代理公司联系人</w:t>
      </w:r>
      <w:r>
        <w:rPr>
          <w:rFonts w:hint="eastAsia"/>
          <w:b/>
          <w:color w:val="auto"/>
          <w:sz w:val="21"/>
          <w:highlight w:val="none"/>
        </w:rPr>
        <w:t>：</w:t>
      </w:r>
      <w:r>
        <w:rPr>
          <w:rFonts w:hint="eastAsia"/>
          <w:color w:val="auto"/>
          <w:sz w:val="21"/>
          <w:szCs w:val="21"/>
          <w:highlight w:val="none"/>
          <w:lang w:val="en-US" w:eastAsia="zh-CN"/>
        </w:rPr>
        <w:t xml:space="preserve">胡锡凤 </w:t>
      </w:r>
      <w:r>
        <w:rPr>
          <w:rFonts w:hint="eastAsia"/>
          <w:color w:val="auto"/>
          <w:sz w:val="21"/>
          <w:highlight w:val="none"/>
        </w:rPr>
        <w:t xml:space="preserve">    </w:t>
      </w:r>
      <w:r>
        <w:rPr>
          <w:rFonts w:hint="eastAsia"/>
          <w:color w:val="auto"/>
          <w:sz w:val="21"/>
          <w:highlight w:val="none"/>
          <w:lang w:val="en-US" w:eastAsia="zh-CN"/>
        </w:rPr>
        <w:t xml:space="preserve">       </w:t>
      </w:r>
      <w:r>
        <w:rPr>
          <w:rFonts w:hint="eastAsia"/>
          <w:color w:val="auto"/>
          <w:sz w:val="21"/>
          <w:highlight w:val="none"/>
        </w:rPr>
        <w:t xml:space="preserve"> </w:t>
      </w:r>
      <w:r>
        <w:rPr>
          <w:rFonts w:hint="eastAsia"/>
          <w:color w:val="auto"/>
          <w:sz w:val="21"/>
          <w:szCs w:val="21"/>
          <w:highlight w:val="none"/>
        </w:rPr>
        <w:t>联系电话：</w:t>
      </w:r>
      <w:r>
        <w:rPr>
          <w:rFonts w:hint="eastAsia"/>
          <w:color w:val="auto"/>
          <w:sz w:val="21"/>
          <w:szCs w:val="21"/>
          <w:highlight w:val="none"/>
          <w:lang w:val="en-US" w:eastAsia="zh-CN"/>
        </w:rPr>
        <w:t xml:space="preserve">13758922284 </w:t>
      </w:r>
    </w:p>
    <w:p>
      <w:pPr>
        <w:spacing w:line="380" w:lineRule="exact"/>
        <w:ind w:firstLine="310" w:firstLineChars="147"/>
        <w:outlineLvl w:val="1"/>
        <w:rPr>
          <w:rFonts w:hint="eastAsia"/>
          <w:b/>
          <w:bCs/>
          <w:color w:val="auto"/>
          <w:sz w:val="21"/>
          <w:szCs w:val="21"/>
          <w:highlight w:val="none"/>
        </w:rPr>
      </w:pPr>
      <w:r>
        <w:rPr>
          <w:rFonts w:hint="eastAsia"/>
          <w:b/>
          <w:bCs/>
          <w:color w:val="auto"/>
          <w:sz w:val="21"/>
          <w:szCs w:val="21"/>
          <w:highlight w:val="none"/>
        </w:rPr>
        <w:t>7、采购文件的修改</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7.1在采购文件递交截止时间前，招标人有权修改采购文件。招标人可主动地或在解答投标人提出的澄清问题时对采购文件进行修改。</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7.2采购文件的修改将以书面形式通知所有获取采购文件的投标人，并对其具有约束力。投标人在收到上述通知后，应立即向招标人回函确认。</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7.3为使投标人准备投标时有充分时间对采购文件的修改部分进行研究，招标人可在投标截止前递交截止前通知投标人，适当延长投标文件递交截止期。</w:t>
      </w:r>
    </w:p>
    <w:p>
      <w:pPr>
        <w:spacing w:line="380" w:lineRule="exact"/>
        <w:ind w:firstLine="420" w:firstLineChars="200"/>
        <w:jc w:val="left"/>
        <w:rPr>
          <w:rFonts w:hint="eastAsia"/>
          <w:color w:val="auto"/>
          <w:sz w:val="21"/>
          <w:szCs w:val="21"/>
          <w:highlight w:val="none"/>
        </w:rPr>
      </w:pPr>
      <w:r>
        <w:rPr>
          <w:rFonts w:hint="eastAsia"/>
          <w:color w:val="auto"/>
          <w:sz w:val="21"/>
          <w:szCs w:val="21"/>
          <w:highlight w:val="none"/>
        </w:rPr>
        <w:t>7.4采购文件的澄清、答疑、修改、补充文件是采购文件的组成部分，投标人须按照采购文件的澄清、答疑、修改、补充文件的要求参与投标，投标人没有做出实质性响应是投标人的风险，并可能导致其投标被拒绝。</w:t>
      </w:r>
    </w:p>
    <w:p>
      <w:pPr>
        <w:pStyle w:val="16"/>
        <w:spacing w:line="380" w:lineRule="exact"/>
        <w:ind w:firstLine="316" w:firstLineChars="150"/>
        <w:outlineLvl w:val="1"/>
        <w:rPr>
          <w:rFonts w:hint="eastAsia"/>
          <w:b/>
          <w:bCs/>
          <w:color w:val="auto"/>
          <w:szCs w:val="21"/>
          <w:highlight w:val="none"/>
        </w:rPr>
      </w:pPr>
      <w:r>
        <w:rPr>
          <w:rFonts w:hint="eastAsia"/>
          <w:b/>
          <w:bCs/>
          <w:color w:val="auto"/>
          <w:szCs w:val="21"/>
          <w:highlight w:val="none"/>
        </w:rPr>
        <w:t>三、投标文件</w:t>
      </w:r>
    </w:p>
    <w:p>
      <w:pPr>
        <w:autoSpaceDE w:val="0"/>
        <w:autoSpaceDN w:val="0"/>
        <w:spacing w:line="380" w:lineRule="exact"/>
        <w:ind w:firstLine="310" w:firstLineChars="147"/>
        <w:textAlignment w:val="bottom"/>
        <w:outlineLvl w:val="1"/>
        <w:rPr>
          <w:rFonts w:hint="eastAsia"/>
          <w:color w:val="auto"/>
          <w:sz w:val="21"/>
          <w:szCs w:val="21"/>
          <w:highlight w:val="none"/>
        </w:rPr>
      </w:pPr>
      <w:r>
        <w:rPr>
          <w:rFonts w:hint="eastAsia"/>
          <w:b/>
          <w:bCs/>
          <w:color w:val="auto"/>
          <w:sz w:val="21"/>
          <w:szCs w:val="21"/>
          <w:highlight w:val="none"/>
        </w:rPr>
        <w:t>9、投标文件的语言、计量及货币</w:t>
      </w:r>
    </w:p>
    <w:p>
      <w:pPr>
        <w:autoSpaceDE w:val="0"/>
        <w:autoSpaceDN w:val="0"/>
        <w:spacing w:line="380" w:lineRule="exact"/>
        <w:ind w:firstLine="315" w:firstLineChars="150"/>
        <w:textAlignment w:val="bottom"/>
        <w:outlineLvl w:val="1"/>
        <w:rPr>
          <w:rFonts w:hint="eastAsia"/>
          <w:color w:val="auto"/>
          <w:spacing w:val="-6"/>
          <w:kern w:val="0"/>
          <w:sz w:val="21"/>
          <w:szCs w:val="21"/>
          <w:highlight w:val="none"/>
        </w:rPr>
      </w:pPr>
      <w:r>
        <w:rPr>
          <w:rFonts w:hint="eastAsia"/>
          <w:color w:val="auto"/>
          <w:sz w:val="21"/>
          <w:szCs w:val="21"/>
          <w:highlight w:val="none"/>
        </w:rPr>
        <w:t>9.1投标及投标人与采购有关的来往通知、函件和文件均应使用中文</w:t>
      </w:r>
      <w:r>
        <w:rPr>
          <w:rFonts w:hint="eastAsia"/>
          <w:color w:val="auto"/>
          <w:spacing w:val="-6"/>
          <w:kern w:val="0"/>
          <w:sz w:val="21"/>
          <w:szCs w:val="21"/>
          <w:highlight w:val="none"/>
        </w:rPr>
        <w:t>编写。</w:t>
      </w:r>
    </w:p>
    <w:p>
      <w:pPr>
        <w:autoSpaceDE w:val="0"/>
        <w:autoSpaceDN w:val="0"/>
        <w:spacing w:line="380" w:lineRule="exact"/>
        <w:ind w:firstLine="315" w:firstLineChars="150"/>
        <w:textAlignment w:val="bottom"/>
        <w:outlineLvl w:val="1"/>
        <w:rPr>
          <w:rFonts w:hint="eastAsia"/>
          <w:color w:val="auto"/>
          <w:sz w:val="21"/>
          <w:szCs w:val="21"/>
          <w:highlight w:val="none"/>
        </w:rPr>
      </w:pPr>
      <w:r>
        <w:rPr>
          <w:rFonts w:hint="eastAsia"/>
          <w:color w:val="auto"/>
          <w:sz w:val="21"/>
          <w:szCs w:val="21"/>
          <w:highlight w:val="none"/>
        </w:rPr>
        <w:t>9.2除在技术规格中另有规定外，计量单位应使用法定计量单位。</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9.3投标报价货币为人民币，单位为元。</w:t>
      </w:r>
    </w:p>
    <w:p>
      <w:pPr>
        <w:spacing w:line="380" w:lineRule="exact"/>
        <w:ind w:firstLine="310" w:firstLineChars="147"/>
        <w:outlineLvl w:val="1"/>
        <w:rPr>
          <w:rFonts w:hint="eastAsia"/>
          <w:b/>
          <w:bCs/>
          <w:color w:val="auto"/>
          <w:sz w:val="21"/>
          <w:szCs w:val="21"/>
          <w:highlight w:val="none"/>
        </w:rPr>
      </w:pPr>
      <w:r>
        <w:rPr>
          <w:rFonts w:hint="eastAsia"/>
          <w:b/>
          <w:bCs/>
          <w:color w:val="auto"/>
          <w:sz w:val="21"/>
          <w:szCs w:val="21"/>
          <w:highlight w:val="none"/>
        </w:rPr>
        <w:t>10、对投标文件的要求</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10.1投标人应仔细阅读采购文件的所有内容，按采购文件的要求提供电子投标文件，并保证所提供的全部资料的真实性，以使其投标对采购文件做出实质性响应，否则，其投标可能被拒绝。</w:t>
      </w:r>
    </w:p>
    <w:p>
      <w:pPr>
        <w:spacing w:line="380" w:lineRule="exact"/>
        <w:ind w:firstLine="310" w:firstLineChars="147"/>
        <w:outlineLvl w:val="1"/>
        <w:rPr>
          <w:rFonts w:hint="eastAsia"/>
          <w:b/>
          <w:color w:val="auto"/>
          <w:sz w:val="21"/>
          <w:szCs w:val="21"/>
          <w:highlight w:val="none"/>
          <w:u w:val="single"/>
        </w:rPr>
      </w:pPr>
      <w:r>
        <w:rPr>
          <w:rFonts w:hint="eastAsia"/>
          <w:b/>
          <w:color w:val="auto"/>
          <w:sz w:val="21"/>
          <w:szCs w:val="21"/>
          <w:highlight w:val="none"/>
          <w:u w:val="single"/>
        </w:rPr>
        <w:t>10.2在采购文件对货物技术要求中，投标人必须充分应答应满足采购人的强制性的需求，如“★”等，否则将导致废标。</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10.3</w:t>
      </w:r>
      <w:r>
        <w:rPr>
          <w:rFonts w:hint="eastAsia"/>
          <w:color w:val="auto"/>
          <w:kern w:val="0"/>
          <w:sz w:val="21"/>
          <w:szCs w:val="21"/>
          <w:highlight w:val="none"/>
          <w:lang w:val="zh-CN"/>
        </w:rPr>
        <w:t>投标人须对所参投的货物的专利等知识产权负责，因知识产权问题引起的纠纷由投标人自行承担，采购人不承担因此产生的任何责任。</w:t>
      </w:r>
    </w:p>
    <w:p>
      <w:pPr>
        <w:widowControl/>
        <w:spacing w:line="380" w:lineRule="exact"/>
        <w:ind w:firstLine="422" w:firstLineChars="200"/>
        <w:jc w:val="left"/>
        <w:rPr>
          <w:rFonts w:hint="eastAsia"/>
          <w:b/>
          <w:bCs/>
          <w:color w:val="auto"/>
          <w:kern w:val="0"/>
          <w:sz w:val="21"/>
          <w:szCs w:val="21"/>
          <w:highlight w:val="none"/>
        </w:rPr>
      </w:pPr>
      <w:r>
        <w:rPr>
          <w:rFonts w:hint="eastAsia"/>
          <w:b/>
          <w:bCs/>
          <w:color w:val="auto"/>
          <w:kern w:val="0"/>
          <w:sz w:val="21"/>
          <w:szCs w:val="21"/>
          <w:highlight w:val="none"/>
        </w:rPr>
        <w:t>11、</w:t>
      </w:r>
      <w:r>
        <w:rPr>
          <w:rFonts w:hint="eastAsia"/>
          <w:b/>
          <w:bCs/>
          <w:color w:val="auto"/>
          <w:sz w:val="21"/>
          <w:szCs w:val="21"/>
          <w:highlight w:val="none"/>
        </w:rPr>
        <w:t>投标文件</w:t>
      </w:r>
      <w:r>
        <w:rPr>
          <w:rFonts w:hint="eastAsia"/>
          <w:b/>
          <w:bCs/>
          <w:color w:val="auto"/>
          <w:kern w:val="0"/>
          <w:sz w:val="21"/>
          <w:szCs w:val="21"/>
          <w:highlight w:val="none"/>
        </w:rPr>
        <w:t>的组成</w:t>
      </w:r>
    </w:p>
    <w:p>
      <w:pPr>
        <w:widowControl/>
        <w:spacing w:line="380" w:lineRule="exact"/>
        <w:ind w:firstLine="420" w:firstLineChars="200"/>
        <w:rPr>
          <w:rFonts w:hint="eastAsia"/>
          <w:color w:val="auto"/>
          <w:kern w:val="0"/>
          <w:sz w:val="21"/>
          <w:szCs w:val="21"/>
          <w:highlight w:val="none"/>
        </w:rPr>
      </w:pPr>
      <w:r>
        <w:rPr>
          <w:rFonts w:hint="eastAsia"/>
          <w:color w:val="auto"/>
          <w:kern w:val="0"/>
          <w:sz w:val="21"/>
          <w:szCs w:val="21"/>
          <w:highlight w:val="none"/>
        </w:rPr>
        <w:t xml:space="preserve">11.1 投标文件由资格证明文件、技术商务标、价格标三部份组成。电子响应文件中所须加盖公章部分均采用 CA 签章。投标人应根据“政采云供应商项目 采购-电子交易操作指南”及本招标文件规定的格式和顺序编制电子响应文件并进行关联定位。 </w:t>
      </w:r>
    </w:p>
    <w:p>
      <w:pPr>
        <w:widowControl/>
        <w:spacing w:line="380" w:lineRule="exact"/>
        <w:ind w:firstLine="420" w:firstLineChars="200"/>
        <w:rPr>
          <w:rFonts w:hint="eastAsia"/>
          <w:color w:val="auto"/>
          <w:kern w:val="0"/>
          <w:sz w:val="21"/>
          <w:szCs w:val="21"/>
          <w:highlight w:val="none"/>
        </w:rPr>
      </w:pPr>
      <w:r>
        <w:rPr>
          <w:rFonts w:hint="eastAsia"/>
          <w:color w:val="auto"/>
          <w:kern w:val="0"/>
          <w:sz w:val="21"/>
          <w:szCs w:val="21"/>
          <w:highlight w:val="none"/>
        </w:rPr>
        <w:t>11.2 递交的响应文件应分为资格证明文件、技术商务标、价格标，资格证明文件、</w:t>
      </w:r>
      <w:r>
        <w:rPr>
          <w:rFonts w:hint="eastAsia"/>
          <w:color w:val="auto"/>
          <w:sz w:val="21"/>
          <w:szCs w:val="21"/>
          <w:highlight w:val="none"/>
        </w:rPr>
        <w:t>技术商务标</w:t>
      </w:r>
      <w:r>
        <w:rPr>
          <w:rFonts w:hint="eastAsia"/>
          <w:color w:val="auto"/>
          <w:kern w:val="0"/>
          <w:sz w:val="21"/>
          <w:szCs w:val="21"/>
          <w:highlight w:val="none"/>
        </w:rPr>
        <w:t>响应文件为除报价及价格组成外的所有内容。资格证明文件、技术商务标不得含报价，否则作废标处理。</w:t>
      </w:r>
    </w:p>
    <w:p>
      <w:pPr>
        <w:spacing w:line="380" w:lineRule="exact"/>
        <w:ind w:firstLine="310" w:firstLineChars="147"/>
        <w:outlineLvl w:val="1"/>
        <w:rPr>
          <w:rFonts w:hint="eastAsia"/>
          <w:b/>
          <w:color w:val="auto"/>
          <w:sz w:val="21"/>
          <w:szCs w:val="21"/>
          <w:highlight w:val="none"/>
          <w:u w:val="single"/>
        </w:rPr>
      </w:pPr>
      <w:r>
        <w:rPr>
          <w:rFonts w:hint="eastAsia"/>
          <w:b/>
          <w:color w:val="auto"/>
          <w:sz w:val="21"/>
          <w:szCs w:val="21"/>
          <w:highlight w:val="none"/>
        </w:rPr>
        <w:t>★11.2递交的电子投标文件应分为资格证明文件、技术商务标和价格标，技术商务标为除价格标组成外的所有内容。</w:t>
      </w:r>
      <w:r>
        <w:rPr>
          <w:rFonts w:hint="eastAsia"/>
          <w:b/>
          <w:color w:val="auto"/>
          <w:sz w:val="21"/>
          <w:szCs w:val="21"/>
          <w:highlight w:val="none"/>
          <w:u w:val="single"/>
        </w:rPr>
        <w:t>资格证明文件、</w:t>
      </w:r>
      <w:r>
        <w:rPr>
          <w:rFonts w:hint="eastAsia"/>
          <w:b/>
          <w:color w:val="auto"/>
          <w:sz w:val="21"/>
          <w:szCs w:val="21"/>
          <w:highlight w:val="none"/>
          <w:u w:val="single"/>
          <w:lang w:val="en-US" w:eastAsia="zh-CN"/>
        </w:rPr>
        <w:t>技术</w:t>
      </w:r>
      <w:r>
        <w:rPr>
          <w:rFonts w:hint="eastAsia"/>
          <w:b/>
          <w:color w:val="auto"/>
          <w:sz w:val="21"/>
          <w:szCs w:val="21"/>
          <w:highlight w:val="none"/>
          <w:u w:val="single"/>
        </w:rPr>
        <w:t>商务文件不得含报价，否则作废标处理。</w:t>
      </w:r>
    </w:p>
    <w:p>
      <w:pPr>
        <w:widowControl/>
        <w:spacing w:line="380" w:lineRule="exact"/>
        <w:ind w:firstLine="422" w:firstLineChars="200"/>
        <w:rPr>
          <w:rFonts w:hint="eastAsia" w:eastAsia="宋体"/>
          <w:b/>
          <w:color w:val="auto"/>
          <w:kern w:val="0"/>
          <w:sz w:val="21"/>
          <w:szCs w:val="21"/>
          <w:highlight w:val="none"/>
          <w:lang w:val="en-US" w:eastAsia="zh-CN"/>
        </w:rPr>
      </w:pPr>
      <w:r>
        <w:rPr>
          <w:rFonts w:hint="eastAsia"/>
          <w:b/>
          <w:color w:val="auto"/>
          <w:kern w:val="0"/>
          <w:sz w:val="21"/>
          <w:szCs w:val="21"/>
          <w:highlight w:val="none"/>
        </w:rPr>
        <w:t>11.3 资格证明文件的组成</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经有关部门年检通过且在有效期内的营业执照或法人证书复印件</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2）投标人提供投标截止日最近季度的财务报表、税收以及社会保障资金的交纳材料复印件（无交纳记录的提供说明，格式自拟）</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3）具有履行合同所必须的设备和专业技术能力的书面声明</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4）参加政府采购活动前三年内（开标之日往前推算），在经营活动中没有重大违法记录的书面声明</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default"/>
          <w:color w:val="auto"/>
          <w:sz w:val="21"/>
          <w:szCs w:val="21"/>
          <w:highlight w:val="none"/>
          <w:lang w:val="en-US" w:eastAsia="zh-CN"/>
        </w:rPr>
      </w:pPr>
      <w:r>
        <w:rPr>
          <w:rFonts w:hint="eastAsia"/>
          <w:color w:val="auto"/>
          <w:sz w:val="21"/>
          <w:szCs w:val="21"/>
          <w:highlight w:val="none"/>
          <w:lang w:val="en-US" w:eastAsia="zh-CN"/>
        </w:rPr>
        <w:t>（5）无围标串标等负面行为承诺书；</w:t>
      </w:r>
    </w:p>
    <w:p>
      <w:pPr>
        <w:spacing w:line="400" w:lineRule="exact"/>
        <w:ind w:firstLine="315" w:firstLineChars="150"/>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6）信用记录：投标人提供投标截止前五个工作日内的查询信息：查询渠道：“信用中国” （www.creditchina.gov.cn）、“中国政府采购网”（www.ccgp.gov.cn）任意一处即可</w:t>
      </w:r>
      <w:r>
        <w:rPr>
          <w:rFonts w:hint="eastAsia"/>
          <w:color w:val="auto"/>
          <w:sz w:val="21"/>
          <w:szCs w:val="21"/>
          <w:highlight w:val="none"/>
        </w:rPr>
        <w:t>。</w:t>
      </w:r>
    </w:p>
    <w:p>
      <w:pPr>
        <w:pStyle w:val="12"/>
        <w:spacing w:line="380" w:lineRule="exact"/>
        <w:ind w:firstLine="422" w:firstLineChars="200"/>
        <w:outlineLvl w:val="1"/>
        <w:rPr>
          <w:rFonts w:hint="eastAsia"/>
          <w:b/>
          <w:color w:val="auto"/>
          <w:sz w:val="21"/>
          <w:szCs w:val="21"/>
          <w:highlight w:val="none"/>
        </w:rPr>
      </w:pPr>
      <w:r>
        <w:rPr>
          <w:rFonts w:hint="eastAsia"/>
          <w:b/>
          <w:color w:val="auto"/>
          <w:sz w:val="21"/>
          <w:szCs w:val="21"/>
          <w:highlight w:val="none"/>
        </w:rPr>
        <w:t>11.4技术商务标的组成</w:t>
      </w:r>
    </w:p>
    <w:p>
      <w:pPr>
        <w:pStyle w:val="12"/>
        <w:spacing w:line="380" w:lineRule="exact"/>
        <w:ind w:firstLine="420" w:firstLineChars="200"/>
        <w:outlineLvl w:val="1"/>
        <w:rPr>
          <w:rFonts w:hint="eastAsia"/>
          <w:color w:val="auto"/>
          <w:sz w:val="21"/>
          <w:szCs w:val="21"/>
          <w:highlight w:val="none"/>
        </w:rPr>
      </w:pPr>
      <w:r>
        <w:rPr>
          <w:rFonts w:hint="eastAsia"/>
          <w:bCs/>
          <w:color w:val="auto"/>
          <w:sz w:val="21"/>
          <w:szCs w:val="21"/>
          <w:highlight w:val="none"/>
        </w:rPr>
        <w:t>投标人资格、资信</w:t>
      </w:r>
      <w:r>
        <w:rPr>
          <w:rFonts w:hint="eastAsia"/>
          <w:color w:val="auto"/>
          <w:sz w:val="21"/>
          <w:szCs w:val="21"/>
          <w:highlight w:val="none"/>
        </w:rPr>
        <w:t>合格性</w:t>
      </w:r>
      <w:r>
        <w:rPr>
          <w:rFonts w:hint="eastAsia"/>
          <w:bCs/>
          <w:color w:val="auto"/>
          <w:sz w:val="21"/>
          <w:szCs w:val="21"/>
          <w:highlight w:val="none"/>
        </w:rPr>
        <w:t>的有关证明及资料；</w:t>
      </w:r>
      <w:r>
        <w:rPr>
          <w:rFonts w:hint="eastAsia"/>
          <w:color w:val="auto"/>
          <w:sz w:val="21"/>
          <w:szCs w:val="21"/>
          <w:highlight w:val="none"/>
        </w:rPr>
        <w:t>投标人应提交证明其有资格参加投标和中标后有能力履行合同的文件，并作为其投标文件的一部分。投标人提交的合格性的证明文件应使招标人满意，投标人在投标时应是符合条件的投标人。其具体内容为：</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rPr>
        <w:t>（1）投标声明书；</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rPr>
        <w:t>法定代表人证明或法定代表人授权委托书；</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rPr>
        <w:t>法定代表人或受托人身份证复印件；</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rPr>
        <w:t>投标人资质证书（如有）；</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5）技术规格偏离表；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default"/>
          <w:color w:val="auto"/>
          <w:sz w:val="21"/>
          <w:szCs w:val="21"/>
          <w:highlight w:val="none"/>
          <w:lang w:val="en-US" w:eastAsia="zh-CN"/>
        </w:rPr>
      </w:pPr>
      <w:r>
        <w:rPr>
          <w:rFonts w:hint="eastAsia"/>
          <w:color w:val="auto"/>
          <w:sz w:val="21"/>
          <w:szCs w:val="21"/>
          <w:highlight w:val="none"/>
          <w:lang w:val="en-US" w:eastAsia="zh-CN"/>
        </w:rPr>
        <w:t>（6）商务偏离表；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val="en-US" w:eastAsia="zh-CN"/>
        </w:rPr>
        <w:t>（7）类似项目业绩（投标人同类项目中标通知书、合同原件扫描件等）；</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8）针对本项目的实施方案（如：项目分析与理解</w:t>
      </w:r>
      <w:r>
        <w:rPr>
          <w:rFonts w:hint="eastAsia"/>
          <w:color w:val="auto"/>
          <w:sz w:val="21"/>
          <w:szCs w:val="21"/>
          <w:highlight w:val="none"/>
        </w:rPr>
        <w:t>、</w:t>
      </w:r>
      <w:r>
        <w:rPr>
          <w:rFonts w:hint="eastAsia"/>
          <w:color w:val="auto"/>
          <w:sz w:val="21"/>
          <w:szCs w:val="21"/>
          <w:highlight w:val="none"/>
          <w:lang w:val="en-US" w:eastAsia="zh-CN"/>
        </w:rPr>
        <w:t>设计方案</w:t>
      </w:r>
      <w:r>
        <w:rPr>
          <w:rFonts w:hint="eastAsia"/>
          <w:color w:val="auto"/>
          <w:sz w:val="21"/>
          <w:szCs w:val="21"/>
          <w:highlight w:val="none"/>
        </w:rPr>
        <w:t>、</w:t>
      </w:r>
      <w:r>
        <w:rPr>
          <w:rFonts w:hint="eastAsia"/>
          <w:color w:val="auto"/>
          <w:sz w:val="21"/>
          <w:szCs w:val="21"/>
          <w:highlight w:val="none"/>
          <w:lang w:val="en-US" w:eastAsia="zh-CN"/>
        </w:rPr>
        <w:t>实施方案</w:t>
      </w:r>
      <w:r>
        <w:rPr>
          <w:rFonts w:hint="eastAsia"/>
          <w:color w:val="auto"/>
          <w:sz w:val="21"/>
          <w:szCs w:val="21"/>
          <w:highlight w:val="none"/>
        </w:rPr>
        <w:t>和</w:t>
      </w:r>
      <w:r>
        <w:rPr>
          <w:rFonts w:hint="eastAsia"/>
          <w:color w:val="auto"/>
          <w:sz w:val="21"/>
          <w:szCs w:val="21"/>
          <w:highlight w:val="none"/>
          <w:lang w:val="en-US" w:eastAsia="zh-CN"/>
        </w:rPr>
        <w:t>进度计划</w:t>
      </w:r>
      <w:r>
        <w:rPr>
          <w:rFonts w:hint="eastAsia"/>
          <w:color w:val="auto"/>
          <w:sz w:val="21"/>
          <w:szCs w:val="21"/>
          <w:highlight w:val="none"/>
        </w:rPr>
        <w:t>、</w:t>
      </w:r>
      <w:r>
        <w:rPr>
          <w:rFonts w:hint="eastAsia"/>
          <w:color w:val="auto"/>
          <w:sz w:val="21"/>
          <w:szCs w:val="21"/>
          <w:highlight w:val="none"/>
          <w:lang w:val="en-US" w:eastAsia="zh-CN"/>
        </w:rPr>
        <w:t>培训方案</w:t>
      </w:r>
      <w:r>
        <w:rPr>
          <w:rFonts w:hint="eastAsia"/>
          <w:color w:val="auto"/>
          <w:sz w:val="21"/>
          <w:szCs w:val="21"/>
          <w:highlight w:val="none"/>
        </w:rPr>
        <w:t>等内容</w:t>
      </w:r>
      <w:r>
        <w:rPr>
          <w:rFonts w:hint="eastAsia"/>
          <w:color w:val="auto"/>
          <w:sz w:val="21"/>
          <w:szCs w:val="21"/>
          <w:highlight w:val="none"/>
          <w:lang w:eastAsia="zh-CN"/>
        </w:rPr>
        <w:t>）</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9）售后</w:t>
      </w:r>
      <w:r>
        <w:rPr>
          <w:rFonts w:hint="eastAsia"/>
          <w:color w:val="auto"/>
          <w:sz w:val="21"/>
          <w:szCs w:val="21"/>
          <w:highlight w:val="none"/>
        </w:rPr>
        <w:t>服务承诺</w:t>
      </w:r>
      <w:r>
        <w:rPr>
          <w:rFonts w:hint="eastAsia"/>
          <w:color w:val="auto"/>
          <w:sz w:val="21"/>
          <w:szCs w:val="21"/>
          <w:highlight w:val="none"/>
          <w:lang w:val="en-US" w:eastAsia="zh-CN"/>
        </w:rPr>
        <w:t>书</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10）投标人基本情况表；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11）拟投入本项目的人员配备表及相关证书（扫描件）；</w:t>
      </w:r>
    </w:p>
    <w:p>
      <w:pPr>
        <w:spacing w:line="380" w:lineRule="exact"/>
        <w:ind w:firstLine="279" w:firstLineChars="133"/>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12）</w:t>
      </w:r>
      <w:r>
        <w:rPr>
          <w:rFonts w:hint="eastAsia"/>
          <w:color w:val="auto"/>
          <w:sz w:val="21"/>
          <w:szCs w:val="21"/>
          <w:highlight w:val="none"/>
        </w:rPr>
        <w:t>投标人认为需要说明的其他资料。</w:t>
      </w:r>
    </w:p>
    <w:p>
      <w:pPr>
        <w:pStyle w:val="12"/>
        <w:spacing w:line="380" w:lineRule="exact"/>
        <w:ind w:firstLine="310" w:firstLineChars="147"/>
        <w:outlineLvl w:val="1"/>
        <w:rPr>
          <w:rFonts w:hint="eastAsia"/>
          <w:color w:val="auto"/>
          <w:sz w:val="21"/>
          <w:szCs w:val="21"/>
          <w:highlight w:val="none"/>
        </w:rPr>
      </w:pPr>
      <w:r>
        <w:rPr>
          <w:rFonts w:hint="eastAsia"/>
          <w:b/>
          <w:color w:val="auto"/>
          <w:sz w:val="21"/>
          <w:szCs w:val="21"/>
          <w:highlight w:val="none"/>
        </w:rPr>
        <w:t>11.5价格标的组成</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rPr>
        <w:t>（1）投标函；</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rPr>
        <w:t>开标一览表；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rPr>
        <w:t>中小企业声明函</w:t>
      </w:r>
      <w:r>
        <w:rPr>
          <w:rFonts w:hint="eastAsia"/>
          <w:color w:val="auto"/>
          <w:sz w:val="21"/>
          <w:szCs w:val="21"/>
          <w:highlight w:val="none"/>
          <w:lang w:eastAsia="zh-CN"/>
        </w:rPr>
        <w:t>（</w:t>
      </w:r>
      <w:r>
        <w:rPr>
          <w:rFonts w:hint="eastAsia"/>
          <w:color w:val="auto"/>
          <w:sz w:val="21"/>
          <w:szCs w:val="21"/>
          <w:highlight w:val="none"/>
          <w:lang w:val="en-US" w:eastAsia="zh-CN"/>
        </w:rPr>
        <w:t>如有</w:t>
      </w:r>
      <w:r>
        <w:rPr>
          <w:rFonts w:hint="eastAsia"/>
          <w:color w:val="auto"/>
          <w:sz w:val="21"/>
          <w:szCs w:val="21"/>
          <w:highlight w:val="none"/>
          <w:lang w:eastAsia="zh-CN"/>
        </w:rPr>
        <w:t>）</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rPr>
        <w:t>残疾人福利性单位声明函（如有）；</w:t>
      </w:r>
    </w:p>
    <w:p>
      <w:pPr>
        <w:widowControl/>
        <w:spacing w:line="380" w:lineRule="exact"/>
        <w:ind w:firstLine="315" w:firstLineChars="150"/>
        <w:rPr>
          <w:rFonts w:hint="eastAsia"/>
          <w:bCs/>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5）</w:t>
      </w:r>
      <w:r>
        <w:rPr>
          <w:rFonts w:hint="eastAsia"/>
          <w:color w:val="auto"/>
          <w:sz w:val="21"/>
          <w:szCs w:val="21"/>
          <w:highlight w:val="none"/>
        </w:rPr>
        <w:t>其他投标人认为有必要提供的资料，如投标分项报价表等。</w:t>
      </w:r>
    </w:p>
    <w:p>
      <w:pPr>
        <w:spacing w:line="380" w:lineRule="exact"/>
        <w:ind w:firstLine="280" w:firstLineChars="133"/>
        <w:rPr>
          <w:rFonts w:hint="eastAsia"/>
          <w:b/>
          <w:bCs/>
          <w:color w:val="auto"/>
          <w:sz w:val="21"/>
          <w:szCs w:val="21"/>
          <w:highlight w:val="none"/>
        </w:rPr>
      </w:pPr>
      <w:r>
        <w:rPr>
          <w:rFonts w:hint="eastAsia"/>
          <w:b/>
          <w:bCs/>
          <w:color w:val="auto"/>
          <w:sz w:val="21"/>
          <w:szCs w:val="21"/>
          <w:highlight w:val="none"/>
        </w:rPr>
        <w:t>★注：法定代表人授权委托书必须由法定代表人签字并加盖单位公章；其它文件资料均须按采购文件要求加盖单位公章或签字；签章不齐的视同未提供。其中投标文件中所须加盖公章部分均采用CA签章。</w:t>
      </w:r>
    </w:p>
    <w:p>
      <w:pPr>
        <w:pStyle w:val="14"/>
        <w:spacing w:before="120" w:beforeLines="0" w:after="120" w:afterLines="0" w:line="360" w:lineRule="exact"/>
        <w:ind w:firstLine="310" w:firstLineChars="147"/>
        <w:outlineLvl w:val="1"/>
        <w:rPr>
          <w:rFonts w:hint="eastAsia"/>
          <w:b/>
          <w:bCs/>
          <w:color w:val="auto"/>
          <w:sz w:val="21"/>
          <w:szCs w:val="21"/>
          <w:highlight w:val="none"/>
        </w:rPr>
      </w:pPr>
      <w:r>
        <w:rPr>
          <w:rFonts w:hint="eastAsia"/>
          <w:b/>
          <w:bCs/>
          <w:color w:val="auto"/>
          <w:sz w:val="21"/>
          <w:szCs w:val="21"/>
          <w:highlight w:val="none"/>
        </w:rPr>
        <w:t>12、投标报价[本项目设有最高限价</w:t>
      </w:r>
      <w:r>
        <w:rPr>
          <w:rFonts w:hint="eastAsia"/>
          <w:b/>
          <w:bCs/>
          <w:color w:val="auto"/>
          <w:sz w:val="21"/>
          <w:szCs w:val="21"/>
          <w:highlight w:val="none"/>
          <w:lang w:val="en-US" w:eastAsia="zh-CN"/>
        </w:rPr>
        <w:t>375</w:t>
      </w:r>
      <w:r>
        <w:rPr>
          <w:rFonts w:hint="eastAsia" w:ascii="Times New Roman" w:hAnsi="Times New Roman"/>
          <w:b/>
          <w:bCs/>
          <w:color w:val="auto"/>
          <w:sz w:val="21"/>
          <w:szCs w:val="21"/>
          <w:highlight w:val="none"/>
        </w:rPr>
        <w:t>万元</w:t>
      </w:r>
      <w:r>
        <w:rPr>
          <w:rFonts w:hint="eastAsia" w:ascii="Times New Roman" w:cs="Times New Roman"/>
          <w:b/>
          <w:bCs/>
          <w:color w:val="auto"/>
          <w:sz w:val="21"/>
          <w:szCs w:val="21"/>
          <w:highlight w:val="none"/>
          <w:lang w:eastAsia="zh-CN"/>
        </w:rPr>
        <w:t>（</w:t>
      </w:r>
      <w:r>
        <w:rPr>
          <w:rFonts w:hint="eastAsia" w:ascii="Times New Roman" w:cs="Times New Roman"/>
          <w:b/>
          <w:bCs/>
          <w:color w:val="auto"/>
          <w:sz w:val="21"/>
          <w:szCs w:val="21"/>
          <w:highlight w:val="none"/>
          <w:lang w:val="en-US" w:eastAsia="zh-CN"/>
        </w:rPr>
        <w:t>含数据采集终端78万元)</w:t>
      </w:r>
      <w:r>
        <w:rPr>
          <w:rFonts w:ascii="Times New Roman" w:hAnsi="Times New Roman"/>
          <w:b/>
          <w:bCs/>
          <w:color w:val="auto"/>
          <w:sz w:val="21"/>
          <w:szCs w:val="21"/>
          <w:highlight w:val="none"/>
        </w:rPr>
        <w:t>，高于最高限价为废标。</w:t>
      </w:r>
      <w:r>
        <w:rPr>
          <w:rFonts w:hint="eastAsia"/>
          <w:b/>
          <w:bCs/>
          <w:color w:val="auto"/>
          <w:sz w:val="21"/>
          <w:szCs w:val="21"/>
          <w:highlight w:val="none"/>
        </w:rPr>
        <w:t>]</w:t>
      </w:r>
      <w:r>
        <w:rPr>
          <w:rFonts w:ascii="Times New Roman" w:hAnsi="Times New Roman"/>
          <w:b/>
          <w:bCs/>
          <w:color w:val="auto"/>
          <w:sz w:val="21"/>
          <w:szCs w:val="21"/>
          <w:highlight w:val="none"/>
        </w:rPr>
        <w:t>为项目按采购人要求提供服务正常的报价。</w:t>
      </w:r>
    </w:p>
    <w:p>
      <w:pPr>
        <w:spacing w:line="380" w:lineRule="exact"/>
        <w:ind w:firstLine="420"/>
        <w:rPr>
          <w:rFonts w:hint="eastAsia"/>
          <w:color w:val="auto"/>
          <w:sz w:val="21"/>
          <w:szCs w:val="21"/>
          <w:highlight w:val="none"/>
        </w:rPr>
      </w:pPr>
      <w:r>
        <w:rPr>
          <w:rFonts w:hint="eastAsia"/>
          <w:color w:val="auto"/>
          <w:sz w:val="21"/>
          <w:szCs w:val="21"/>
          <w:highlight w:val="none"/>
        </w:rPr>
        <w:t>12.1投标报价应以人民币为结算货币。整个项目报价须投标报价包括本项目所需的一切人工、工具、设备、保险、交通、利润、税金（包含须由投标人承担的各种税费）、设施偷盗风险费用、招标代理费，其它需投标人承担的费用及潜在满足采购人监管要求可能涉及的一切费用。即投标人所投报的投标报价为投标人所能承受的整个项目的一次性最终最低报价(为本采购项目总价)，组价如有漏项，视同已包含在其它项目中，合同单价不做调整。</w:t>
      </w:r>
    </w:p>
    <w:p>
      <w:pPr>
        <w:spacing w:line="380" w:lineRule="exact"/>
        <w:ind w:firstLine="420" w:firstLineChars="200"/>
        <w:outlineLvl w:val="1"/>
        <w:rPr>
          <w:rFonts w:hint="eastAsia"/>
          <w:color w:val="auto"/>
          <w:sz w:val="21"/>
          <w:szCs w:val="21"/>
          <w:highlight w:val="none"/>
        </w:rPr>
      </w:pPr>
      <w:r>
        <w:rPr>
          <w:rFonts w:hint="eastAsia"/>
          <w:color w:val="auto"/>
          <w:sz w:val="21"/>
          <w:szCs w:val="21"/>
          <w:highlight w:val="none"/>
        </w:rPr>
        <w:t>12.2投标人应在投标函和《开标一览表》上写明投标货物的单价和总价。投标文件报价出现前后不一致的，按照下列规定修正：</w:t>
      </w:r>
    </w:p>
    <w:p>
      <w:pPr>
        <w:spacing w:line="380" w:lineRule="exact"/>
        <w:ind w:firstLine="420" w:firstLineChars="200"/>
        <w:outlineLvl w:val="1"/>
        <w:rPr>
          <w:rFonts w:hint="eastAsia"/>
          <w:color w:val="auto"/>
          <w:sz w:val="21"/>
          <w:szCs w:val="21"/>
          <w:highlight w:val="none"/>
        </w:rPr>
      </w:pPr>
      <w:r>
        <w:rPr>
          <w:rFonts w:hint="eastAsia"/>
          <w:color w:val="auto"/>
          <w:sz w:val="21"/>
          <w:szCs w:val="21"/>
          <w:highlight w:val="none"/>
        </w:rPr>
        <w:t>12.2.1投标文件中开标一览表（报价表）内容与投标文件中相应内容不一致的，以开标一览表（报价表）为准；</w:t>
      </w:r>
    </w:p>
    <w:p>
      <w:pPr>
        <w:spacing w:line="380" w:lineRule="exact"/>
        <w:ind w:firstLine="420" w:firstLineChars="200"/>
        <w:outlineLvl w:val="1"/>
        <w:rPr>
          <w:rFonts w:hint="eastAsia"/>
          <w:color w:val="auto"/>
          <w:sz w:val="21"/>
          <w:szCs w:val="21"/>
          <w:highlight w:val="none"/>
        </w:rPr>
      </w:pPr>
      <w:r>
        <w:rPr>
          <w:rFonts w:hint="eastAsia"/>
          <w:color w:val="auto"/>
          <w:sz w:val="21"/>
          <w:szCs w:val="21"/>
          <w:highlight w:val="none"/>
        </w:rPr>
        <w:t>12.2.2大写金额和小写金额不一致的，以大写金额为准；</w:t>
      </w:r>
    </w:p>
    <w:p>
      <w:pPr>
        <w:spacing w:line="380" w:lineRule="exact"/>
        <w:ind w:firstLine="420" w:firstLineChars="200"/>
        <w:outlineLvl w:val="1"/>
        <w:rPr>
          <w:rFonts w:hint="eastAsia"/>
          <w:color w:val="auto"/>
          <w:sz w:val="21"/>
          <w:szCs w:val="21"/>
          <w:highlight w:val="none"/>
        </w:rPr>
      </w:pPr>
      <w:r>
        <w:rPr>
          <w:rFonts w:hint="eastAsia"/>
          <w:color w:val="auto"/>
          <w:sz w:val="21"/>
          <w:szCs w:val="21"/>
          <w:highlight w:val="none"/>
        </w:rPr>
        <w:t>12.2.3单价金额小数点或者百分比有明显错位的，以开标一览表的总价为准，并修改单价；</w:t>
      </w:r>
    </w:p>
    <w:p>
      <w:pPr>
        <w:spacing w:line="380" w:lineRule="exact"/>
        <w:ind w:firstLine="420" w:firstLineChars="200"/>
        <w:outlineLvl w:val="1"/>
        <w:rPr>
          <w:rFonts w:hint="eastAsia"/>
          <w:color w:val="auto"/>
          <w:sz w:val="21"/>
          <w:szCs w:val="21"/>
          <w:highlight w:val="none"/>
        </w:rPr>
      </w:pPr>
      <w:r>
        <w:rPr>
          <w:rFonts w:hint="eastAsia"/>
          <w:color w:val="auto"/>
          <w:sz w:val="21"/>
          <w:szCs w:val="21"/>
          <w:highlight w:val="none"/>
        </w:rPr>
        <w:t xml:space="preserve">12.2.4总价金额与按单价汇总金额不一致的，以单价金额计算结果为准。                </w:t>
      </w:r>
    </w:p>
    <w:p>
      <w:pPr>
        <w:spacing w:line="380" w:lineRule="exact"/>
        <w:ind w:firstLine="420" w:firstLineChars="200"/>
        <w:outlineLvl w:val="1"/>
        <w:rPr>
          <w:rFonts w:hint="eastAsia"/>
          <w:color w:val="auto"/>
          <w:sz w:val="21"/>
          <w:szCs w:val="21"/>
          <w:highlight w:val="none"/>
        </w:rPr>
      </w:pPr>
      <w:r>
        <w:rPr>
          <w:rFonts w:hint="eastAsia"/>
          <w:color w:val="auto"/>
          <w:sz w:val="21"/>
          <w:szCs w:val="21"/>
          <w:highlight w:val="none"/>
        </w:rPr>
        <w:t>同时出现两种以上不一致的，按照前款规定的顺序修正。修正后的报价按照政府采购货物和服务招标投标管理办法（87号令）第五十一条第二款的规定经投标人确认后产生约束力，投标人不确认的，其投标无效。</w:t>
      </w:r>
    </w:p>
    <w:p>
      <w:pPr>
        <w:spacing w:line="380" w:lineRule="exact"/>
        <w:ind w:firstLine="310" w:firstLineChars="147"/>
        <w:outlineLvl w:val="1"/>
        <w:rPr>
          <w:rFonts w:hint="eastAsia"/>
          <w:color w:val="auto"/>
          <w:sz w:val="21"/>
          <w:szCs w:val="21"/>
          <w:highlight w:val="none"/>
        </w:rPr>
      </w:pPr>
      <w:r>
        <w:rPr>
          <w:rFonts w:hint="eastAsia"/>
          <w:b/>
          <w:bCs/>
          <w:color w:val="auto"/>
          <w:sz w:val="21"/>
          <w:szCs w:val="21"/>
          <w:highlight w:val="none"/>
        </w:rPr>
        <w:t>★12.3</w:t>
      </w:r>
      <w:r>
        <w:rPr>
          <w:rFonts w:hint="eastAsia"/>
          <w:b/>
          <w:bCs/>
          <w:color w:val="auto"/>
          <w:sz w:val="21"/>
          <w:szCs w:val="21"/>
          <w:highlight w:val="none"/>
          <w:u w:val="single"/>
        </w:rPr>
        <w:t>采购项目只允许有一个报价，有选择的报价将不予接受，并作无效标处理。</w:t>
      </w:r>
    </w:p>
    <w:p>
      <w:pPr>
        <w:spacing w:line="380" w:lineRule="exact"/>
        <w:ind w:firstLine="310" w:firstLineChars="147"/>
        <w:outlineLvl w:val="1"/>
        <w:rPr>
          <w:rFonts w:hint="eastAsia" w:hAnsi="宋体"/>
          <w:b/>
          <w:color w:val="auto"/>
          <w:sz w:val="21"/>
          <w:szCs w:val="21"/>
          <w:highlight w:val="none"/>
        </w:rPr>
      </w:pPr>
      <w:r>
        <w:rPr>
          <w:rFonts w:hint="eastAsia" w:hAnsi="宋体"/>
          <w:b/>
          <w:color w:val="auto"/>
          <w:sz w:val="21"/>
          <w:szCs w:val="21"/>
          <w:highlight w:val="none"/>
        </w:rPr>
        <w:t>12.4投标分项报价表填写时应详细注明该表列举的费用及分项清单。</w:t>
      </w:r>
    </w:p>
    <w:p>
      <w:pPr>
        <w:spacing w:line="380" w:lineRule="exact"/>
        <w:ind w:firstLine="310" w:firstLineChars="147"/>
        <w:outlineLvl w:val="1"/>
        <w:rPr>
          <w:rFonts w:hint="default" w:ascii="Times New Roman" w:hAnsi="Times New Roman"/>
          <w:b/>
          <w:bCs/>
          <w:color w:val="auto"/>
          <w:sz w:val="21"/>
          <w:szCs w:val="21"/>
          <w:highlight w:val="none"/>
        </w:rPr>
      </w:pPr>
      <w:r>
        <w:rPr>
          <w:rFonts w:ascii="Times New Roman" w:hAnsi="Times New Roman"/>
          <w:b/>
          <w:bCs/>
          <w:color w:val="auto"/>
          <w:sz w:val="21"/>
          <w:szCs w:val="21"/>
          <w:highlight w:val="none"/>
        </w:rPr>
        <w:t>★</w:t>
      </w:r>
      <w:r>
        <w:rPr>
          <w:rFonts w:hint="default" w:ascii="Times New Roman" w:hAnsi="Times New Roman"/>
          <w:b/>
          <w:bCs/>
          <w:color w:val="auto"/>
          <w:sz w:val="21"/>
          <w:szCs w:val="21"/>
          <w:highlight w:val="none"/>
        </w:rPr>
        <w:t>13、履约保证金</w:t>
      </w:r>
    </w:p>
    <w:p>
      <w:pPr>
        <w:spacing w:line="360" w:lineRule="exact"/>
        <w:rPr>
          <w:b/>
          <w:color w:val="auto"/>
          <w:sz w:val="21"/>
          <w:szCs w:val="21"/>
          <w:highlight w:val="none"/>
        </w:rPr>
      </w:pPr>
      <w:r>
        <w:rPr>
          <w:rFonts w:hint="eastAsia"/>
          <w:b/>
          <w:color w:val="auto"/>
          <w:sz w:val="21"/>
          <w:szCs w:val="21"/>
          <w:highlight w:val="none"/>
        </w:rPr>
        <w:t xml:space="preserve">    </w:t>
      </w:r>
      <w:r>
        <w:rPr>
          <w:b/>
          <w:color w:val="auto"/>
          <w:sz w:val="21"/>
          <w:szCs w:val="21"/>
          <w:highlight w:val="none"/>
        </w:rPr>
        <w:t>13.</w:t>
      </w:r>
      <w:r>
        <w:rPr>
          <w:rFonts w:hint="eastAsia"/>
          <w:b/>
          <w:color w:val="auto"/>
          <w:sz w:val="21"/>
          <w:szCs w:val="21"/>
          <w:highlight w:val="none"/>
        </w:rPr>
        <w:t>1本项目免收履约保证金</w:t>
      </w:r>
    </w:p>
    <w:p>
      <w:pPr>
        <w:pStyle w:val="6"/>
        <w:numPr>
          <w:ilvl w:val="2"/>
          <w:numId w:val="0"/>
        </w:numPr>
        <w:spacing w:before="0" w:after="0" w:line="380" w:lineRule="exact"/>
        <w:ind w:firstLine="420"/>
        <w:rPr>
          <w:rFonts w:hint="eastAsia" w:eastAsia="宋体"/>
          <w:bCs w:val="0"/>
          <w:color w:val="auto"/>
          <w:sz w:val="21"/>
          <w:szCs w:val="21"/>
          <w:highlight w:val="none"/>
        </w:rPr>
      </w:pPr>
      <w:r>
        <w:rPr>
          <w:rFonts w:hint="eastAsia" w:eastAsia="宋体"/>
          <w:bCs w:val="0"/>
          <w:color w:val="auto"/>
          <w:sz w:val="21"/>
          <w:szCs w:val="21"/>
          <w:highlight w:val="none"/>
        </w:rPr>
        <w:t>1</w:t>
      </w:r>
      <w:r>
        <w:rPr>
          <w:rFonts w:hint="eastAsia" w:eastAsia="宋体"/>
          <w:bCs w:val="0"/>
          <w:color w:val="auto"/>
          <w:sz w:val="21"/>
          <w:szCs w:val="21"/>
          <w:highlight w:val="none"/>
          <w:lang w:val="en-US" w:eastAsia="zh-CN"/>
        </w:rPr>
        <w:t>4</w:t>
      </w:r>
      <w:r>
        <w:rPr>
          <w:rFonts w:hint="eastAsia" w:eastAsia="宋体"/>
          <w:bCs w:val="0"/>
          <w:color w:val="auto"/>
          <w:sz w:val="21"/>
          <w:szCs w:val="21"/>
          <w:highlight w:val="none"/>
        </w:rPr>
        <w:t>、投标有效期</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4</w:t>
      </w:r>
      <w:r>
        <w:rPr>
          <w:rFonts w:hint="eastAsia"/>
          <w:color w:val="auto"/>
          <w:sz w:val="21"/>
          <w:szCs w:val="21"/>
          <w:highlight w:val="none"/>
        </w:rPr>
        <w:t>.1投标文件从开标之日起，投标有效期为90天。</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4</w:t>
      </w:r>
      <w:r>
        <w:rPr>
          <w:rFonts w:hint="eastAsia"/>
          <w:color w:val="auto"/>
          <w:sz w:val="21"/>
          <w:szCs w:val="21"/>
          <w:highlight w:val="none"/>
        </w:rPr>
        <w:t>.2特殊情况下，在原投标有效期截止之前，采购人可要求投标人同意延长有效期，这种要求与答复均应以书面形式提交。在这种情况下，本须知中有关投标保证金的退还和没收的规定将在延长了的有效期内继续有效。投标人可拒绝这种要求，其投标保证金将不被没收。接受延长投标有效期的投标人将不会被要求和允许修正其投标，而只会被要求相应地延长其投标保证金的有效期。</w:t>
      </w:r>
    </w:p>
    <w:p>
      <w:pPr>
        <w:pStyle w:val="6"/>
        <w:numPr>
          <w:ilvl w:val="2"/>
          <w:numId w:val="0"/>
        </w:numPr>
        <w:spacing w:before="0" w:after="0" w:line="380" w:lineRule="exact"/>
        <w:rPr>
          <w:rFonts w:hint="eastAsia" w:eastAsia="宋体"/>
          <w:bCs w:val="0"/>
          <w:color w:val="auto"/>
          <w:sz w:val="21"/>
          <w:szCs w:val="21"/>
          <w:highlight w:val="none"/>
        </w:rPr>
      </w:pPr>
      <w:r>
        <w:rPr>
          <w:rFonts w:hint="eastAsia" w:eastAsia="宋体"/>
          <w:bCs w:val="0"/>
          <w:color w:val="auto"/>
          <w:sz w:val="21"/>
          <w:szCs w:val="21"/>
          <w:highlight w:val="none"/>
        </w:rPr>
        <w:t xml:space="preserve">    1</w:t>
      </w:r>
      <w:r>
        <w:rPr>
          <w:rFonts w:hint="eastAsia" w:eastAsia="宋体"/>
          <w:bCs w:val="0"/>
          <w:color w:val="auto"/>
          <w:sz w:val="21"/>
          <w:szCs w:val="21"/>
          <w:highlight w:val="none"/>
          <w:lang w:val="en-US" w:eastAsia="zh-CN"/>
        </w:rPr>
        <w:t>5</w:t>
      </w:r>
      <w:r>
        <w:rPr>
          <w:rFonts w:hint="eastAsia" w:eastAsia="宋体"/>
          <w:bCs w:val="0"/>
          <w:color w:val="auto"/>
          <w:sz w:val="21"/>
          <w:szCs w:val="21"/>
          <w:highlight w:val="none"/>
        </w:rPr>
        <w:t>、投标偏离及建议</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5</w:t>
      </w:r>
      <w:r>
        <w:rPr>
          <w:rFonts w:hint="eastAsia"/>
          <w:color w:val="auto"/>
          <w:sz w:val="21"/>
          <w:szCs w:val="21"/>
          <w:highlight w:val="none"/>
        </w:rPr>
        <w:t>.1投标人如对项目的要求在技术和商务方面有偏离，均须在规范的偏离表中提出。</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5.</w:t>
      </w:r>
      <w:r>
        <w:rPr>
          <w:rFonts w:hint="eastAsia"/>
          <w:color w:val="auto"/>
          <w:sz w:val="21"/>
          <w:szCs w:val="21"/>
          <w:highlight w:val="none"/>
        </w:rPr>
        <w:t>2投标人可以在投标文件中对采购设备的技术规格要求提出推荐和替代意见，但所提出的意见应优于谈判采购文件中提出的响应要求，并且使采购人满意。</w:t>
      </w:r>
    </w:p>
    <w:p>
      <w:pPr>
        <w:pStyle w:val="6"/>
        <w:numPr>
          <w:ilvl w:val="2"/>
          <w:numId w:val="0"/>
        </w:numPr>
        <w:spacing w:before="0" w:after="0" w:line="380" w:lineRule="exact"/>
        <w:ind w:firstLine="422" w:firstLineChars="200"/>
        <w:rPr>
          <w:rFonts w:hint="eastAsia" w:eastAsia="宋体"/>
          <w:bCs w:val="0"/>
          <w:color w:val="auto"/>
          <w:sz w:val="21"/>
          <w:szCs w:val="21"/>
          <w:highlight w:val="none"/>
        </w:rPr>
      </w:pPr>
      <w:r>
        <w:rPr>
          <w:rFonts w:hint="eastAsia" w:eastAsia="宋体"/>
          <w:bCs w:val="0"/>
          <w:color w:val="auto"/>
          <w:sz w:val="21"/>
          <w:szCs w:val="21"/>
          <w:highlight w:val="none"/>
        </w:rPr>
        <w:t>1</w:t>
      </w:r>
      <w:r>
        <w:rPr>
          <w:rFonts w:hint="eastAsia" w:eastAsia="宋体"/>
          <w:bCs w:val="0"/>
          <w:color w:val="auto"/>
          <w:sz w:val="21"/>
          <w:szCs w:val="21"/>
          <w:highlight w:val="none"/>
          <w:lang w:val="en-US" w:eastAsia="zh-CN"/>
        </w:rPr>
        <w:t>6</w:t>
      </w:r>
      <w:r>
        <w:rPr>
          <w:rFonts w:hint="eastAsia" w:eastAsia="宋体"/>
          <w:bCs w:val="0"/>
          <w:color w:val="auto"/>
          <w:sz w:val="21"/>
          <w:szCs w:val="21"/>
          <w:highlight w:val="none"/>
        </w:rPr>
        <w:t>、投标文件格式</w:t>
      </w:r>
    </w:p>
    <w:p>
      <w:pPr>
        <w:pStyle w:val="6"/>
        <w:numPr>
          <w:ilvl w:val="2"/>
          <w:numId w:val="0"/>
        </w:numPr>
        <w:spacing w:before="0" w:after="0" w:line="380" w:lineRule="exact"/>
        <w:ind w:firstLine="422" w:firstLineChars="200"/>
        <w:rPr>
          <w:rFonts w:hint="eastAsia" w:eastAsia="宋体"/>
          <w:bCs w:val="0"/>
          <w:color w:val="auto"/>
          <w:sz w:val="21"/>
          <w:szCs w:val="21"/>
          <w:highlight w:val="none"/>
        </w:rPr>
      </w:pPr>
      <w:r>
        <w:rPr>
          <w:rFonts w:hint="eastAsia" w:eastAsia="宋体"/>
          <w:bCs w:val="0"/>
          <w:color w:val="auto"/>
          <w:sz w:val="21"/>
          <w:szCs w:val="21"/>
          <w:highlight w:val="none"/>
        </w:rPr>
        <w:t>1</w:t>
      </w:r>
      <w:r>
        <w:rPr>
          <w:rFonts w:hint="eastAsia" w:eastAsia="宋体"/>
          <w:bCs w:val="0"/>
          <w:color w:val="auto"/>
          <w:sz w:val="21"/>
          <w:szCs w:val="21"/>
          <w:highlight w:val="none"/>
          <w:lang w:val="en-US" w:eastAsia="zh-CN"/>
        </w:rPr>
        <w:t>6</w:t>
      </w:r>
      <w:r>
        <w:rPr>
          <w:rFonts w:hint="eastAsia" w:eastAsia="宋体"/>
          <w:bCs w:val="0"/>
          <w:color w:val="auto"/>
          <w:sz w:val="21"/>
          <w:szCs w:val="21"/>
          <w:highlight w:val="none"/>
        </w:rPr>
        <w:t>.1 投标方应参照招标文件中第八章提供的“投标文件格式”填写并装订。</w:t>
      </w:r>
    </w:p>
    <w:p>
      <w:pPr>
        <w:pStyle w:val="6"/>
        <w:numPr>
          <w:ilvl w:val="2"/>
          <w:numId w:val="0"/>
        </w:numPr>
        <w:spacing w:before="0" w:after="0" w:line="380" w:lineRule="exact"/>
        <w:ind w:firstLine="422" w:firstLineChars="200"/>
        <w:rPr>
          <w:rFonts w:hint="eastAsia" w:eastAsia="宋体"/>
          <w:bCs w:val="0"/>
          <w:color w:val="auto"/>
          <w:sz w:val="21"/>
          <w:szCs w:val="21"/>
          <w:highlight w:val="none"/>
        </w:rPr>
      </w:pPr>
      <w:r>
        <w:rPr>
          <w:rFonts w:hint="eastAsia" w:eastAsia="宋体"/>
          <w:bCs w:val="0"/>
          <w:color w:val="auto"/>
          <w:sz w:val="21"/>
          <w:szCs w:val="21"/>
          <w:highlight w:val="none"/>
        </w:rPr>
        <w:t>1</w:t>
      </w:r>
      <w:r>
        <w:rPr>
          <w:rFonts w:hint="eastAsia" w:eastAsia="宋体"/>
          <w:bCs w:val="0"/>
          <w:color w:val="auto"/>
          <w:sz w:val="21"/>
          <w:szCs w:val="21"/>
          <w:highlight w:val="none"/>
          <w:lang w:val="en-US" w:eastAsia="zh-CN"/>
        </w:rPr>
        <w:t>6</w:t>
      </w:r>
      <w:r>
        <w:rPr>
          <w:rFonts w:hint="eastAsia" w:eastAsia="宋体"/>
          <w:bCs w:val="0"/>
          <w:color w:val="auto"/>
          <w:sz w:val="21"/>
          <w:szCs w:val="21"/>
          <w:highlight w:val="none"/>
        </w:rPr>
        <w:t>.2 所有投标书均在政采云系统上传，包括资格证明标书、价格标书，技术商务标书。备份的投标文件邮寄给</w:t>
      </w:r>
      <w:r>
        <w:rPr>
          <w:rFonts w:hint="eastAsia" w:eastAsia="宋体"/>
          <w:bCs w:val="0"/>
          <w:color w:val="auto"/>
          <w:sz w:val="21"/>
          <w:szCs w:val="21"/>
          <w:highlight w:val="none"/>
          <w:lang w:eastAsia="zh-CN"/>
        </w:rPr>
        <w:t>浙江展图工程咨询有限公司</w:t>
      </w:r>
      <w:r>
        <w:rPr>
          <w:rFonts w:hint="eastAsia" w:eastAsia="宋体"/>
          <w:bCs w:val="0"/>
          <w:color w:val="auto"/>
          <w:sz w:val="21"/>
          <w:szCs w:val="21"/>
          <w:highlight w:val="none"/>
        </w:rPr>
        <w:t>备用。</w:t>
      </w:r>
    </w:p>
    <w:p>
      <w:pPr>
        <w:pStyle w:val="6"/>
        <w:numPr>
          <w:ilvl w:val="2"/>
          <w:numId w:val="0"/>
        </w:numPr>
        <w:spacing w:before="0" w:after="0" w:line="380" w:lineRule="exact"/>
        <w:ind w:firstLine="422" w:firstLineChars="200"/>
        <w:rPr>
          <w:rFonts w:hint="eastAsia" w:eastAsia="宋体"/>
          <w:bCs w:val="0"/>
          <w:color w:val="auto"/>
          <w:sz w:val="21"/>
          <w:szCs w:val="21"/>
          <w:highlight w:val="none"/>
        </w:rPr>
      </w:pPr>
      <w:r>
        <w:rPr>
          <w:rFonts w:hint="eastAsia" w:eastAsia="宋体"/>
          <w:bCs w:val="0"/>
          <w:color w:val="auto"/>
          <w:sz w:val="21"/>
          <w:szCs w:val="21"/>
          <w:highlight w:val="none"/>
        </w:rPr>
        <w:t>四、本项目实行电子投标。</w:t>
      </w:r>
    </w:p>
    <w:p>
      <w:pPr>
        <w:pStyle w:val="6"/>
        <w:numPr>
          <w:ilvl w:val="2"/>
          <w:numId w:val="0"/>
        </w:numPr>
        <w:spacing w:before="0" w:after="0" w:line="380" w:lineRule="exact"/>
        <w:ind w:firstLine="422" w:firstLineChars="200"/>
        <w:rPr>
          <w:rFonts w:hint="eastAsia" w:eastAsia="宋体"/>
          <w:bCs w:val="0"/>
          <w:color w:val="auto"/>
          <w:sz w:val="21"/>
          <w:szCs w:val="21"/>
          <w:highlight w:val="none"/>
        </w:rPr>
      </w:pPr>
      <w:r>
        <w:rPr>
          <w:rFonts w:hint="eastAsia" w:eastAsia="宋体"/>
          <w:bCs w:val="0"/>
          <w:color w:val="auto"/>
          <w:sz w:val="21"/>
          <w:szCs w:val="21"/>
          <w:highlight w:val="none"/>
        </w:rPr>
        <w:t>1</w:t>
      </w:r>
      <w:r>
        <w:rPr>
          <w:rFonts w:hint="eastAsia" w:eastAsia="宋体"/>
          <w:bCs w:val="0"/>
          <w:color w:val="auto"/>
          <w:sz w:val="21"/>
          <w:szCs w:val="21"/>
          <w:highlight w:val="none"/>
          <w:lang w:val="en-US" w:eastAsia="zh-CN"/>
        </w:rPr>
        <w:t>7</w:t>
      </w:r>
      <w:r>
        <w:rPr>
          <w:rFonts w:hint="eastAsia" w:eastAsia="宋体"/>
          <w:bCs w:val="0"/>
          <w:color w:val="auto"/>
          <w:sz w:val="21"/>
          <w:szCs w:val="21"/>
          <w:highlight w:val="none"/>
        </w:rPr>
        <w:t>、供应商应准备电子响应文件、以介质存储的数据电文形式的备份响应文件两类：</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7</w:t>
      </w:r>
      <w:r>
        <w:rPr>
          <w:rFonts w:hint="eastAsia"/>
          <w:color w:val="auto"/>
          <w:sz w:val="21"/>
          <w:szCs w:val="21"/>
          <w:highlight w:val="none"/>
        </w:rPr>
        <w:t>.1电子响应文件，按政采云平台项目采购-电子招投标操作指南及本招标文件要求递交。</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7</w:t>
      </w:r>
      <w:r>
        <w:rPr>
          <w:rFonts w:hint="eastAsia"/>
          <w:color w:val="auto"/>
          <w:sz w:val="21"/>
          <w:szCs w:val="21"/>
          <w:highlight w:val="none"/>
        </w:rPr>
        <w:t>.2以介质存储的数据电文形式的备份响应文件，按政采云平台项目采购-电子招投标操作指南中上传的电子响应文件格式，以介质是U盘或DVD光盘存储形式提供。数量为1份。</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7</w:t>
      </w:r>
      <w:r>
        <w:rPr>
          <w:rFonts w:hint="eastAsia"/>
          <w:color w:val="auto"/>
          <w:sz w:val="21"/>
          <w:szCs w:val="21"/>
          <w:highlight w:val="none"/>
        </w:rPr>
        <w:t>.3响应文件启用顺序和效力。响应文件的启用，按先后顺位分别为电子响应文件、以介质存储的数据电文形式的备份响应文件。顺位在先的响应文件已按时解密的，备份响应文件自动失效。在下一顺位的响应文件启用时，前一顺位的响应文件自动失效。</w:t>
      </w:r>
    </w:p>
    <w:p>
      <w:pPr>
        <w:spacing w:line="380" w:lineRule="exact"/>
        <w:ind w:firstLine="422" w:firstLineChars="200"/>
        <w:rPr>
          <w:rFonts w:hint="eastAsia"/>
          <w:b/>
          <w:bCs/>
          <w:color w:val="auto"/>
          <w:sz w:val="21"/>
          <w:szCs w:val="21"/>
          <w:highlight w:val="none"/>
        </w:rPr>
      </w:pPr>
      <w:r>
        <w:rPr>
          <w:rFonts w:hint="eastAsia"/>
          <w:b/>
          <w:bCs/>
          <w:color w:val="auto"/>
          <w:sz w:val="21"/>
          <w:szCs w:val="21"/>
          <w:highlight w:val="none"/>
        </w:rPr>
        <w:t>★未传输递交电子响应文件的，投标无效。未按规定提供相应的备份响应文件，造成项目开评标活动无法进行下去的，投标无效。</w:t>
      </w:r>
    </w:p>
    <w:p>
      <w:pPr>
        <w:spacing w:line="380" w:lineRule="exact"/>
        <w:ind w:firstLine="422" w:firstLineChars="200"/>
        <w:rPr>
          <w:rFonts w:hint="eastAsia"/>
          <w:b/>
          <w:color w:val="auto"/>
          <w:sz w:val="21"/>
          <w:szCs w:val="21"/>
          <w:highlight w:val="none"/>
        </w:rPr>
      </w:pPr>
      <w:r>
        <w:rPr>
          <w:rFonts w:hint="eastAsia"/>
          <w:b/>
          <w:color w:val="auto"/>
          <w:sz w:val="21"/>
          <w:szCs w:val="21"/>
          <w:highlight w:val="none"/>
        </w:rPr>
        <w:t>1</w:t>
      </w:r>
      <w:r>
        <w:rPr>
          <w:rFonts w:hint="eastAsia"/>
          <w:b/>
          <w:color w:val="auto"/>
          <w:sz w:val="21"/>
          <w:szCs w:val="21"/>
          <w:highlight w:val="none"/>
          <w:lang w:val="en-US" w:eastAsia="zh-CN"/>
        </w:rPr>
        <w:t>8</w:t>
      </w:r>
      <w:r>
        <w:rPr>
          <w:rFonts w:hint="eastAsia"/>
          <w:b/>
          <w:color w:val="auto"/>
          <w:sz w:val="21"/>
          <w:szCs w:val="21"/>
          <w:highlight w:val="none"/>
        </w:rPr>
        <w:t>“电子加密响应文件”的上传、递交：</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8</w:t>
      </w:r>
      <w:r>
        <w:rPr>
          <w:rFonts w:hint="eastAsia"/>
          <w:color w:val="auto"/>
          <w:sz w:val="21"/>
          <w:szCs w:val="21"/>
          <w:highlight w:val="none"/>
        </w:rPr>
        <w:t>.1.投标供应商应在投标截止时间前将“电子加密响应文件”成功上传递交至“政府采购云平台”，否则投标无效。</w:t>
      </w:r>
    </w:p>
    <w:p>
      <w:pPr>
        <w:spacing w:line="380" w:lineRule="exact"/>
        <w:ind w:firstLine="42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8</w:t>
      </w:r>
      <w:r>
        <w:rPr>
          <w:rFonts w:hint="eastAsia"/>
          <w:color w:val="auto"/>
          <w:sz w:val="21"/>
          <w:szCs w:val="21"/>
          <w:highlight w:val="none"/>
        </w:rPr>
        <w:t>.2.“电子加密响应文件”成功上传递交后，供应商可自行打印响应文件接收回执。</w:t>
      </w:r>
    </w:p>
    <w:p>
      <w:pPr>
        <w:spacing w:line="380" w:lineRule="exact"/>
        <w:ind w:firstLine="422" w:firstLineChars="200"/>
        <w:rPr>
          <w:rFonts w:hint="eastAsia"/>
          <w:b/>
          <w:color w:val="auto"/>
          <w:sz w:val="21"/>
          <w:szCs w:val="21"/>
          <w:highlight w:val="none"/>
        </w:rPr>
      </w:pPr>
      <w:r>
        <w:rPr>
          <w:rFonts w:hint="eastAsia"/>
          <w:b/>
          <w:color w:val="auto"/>
          <w:sz w:val="21"/>
          <w:szCs w:val="21"/>
          <w:highlight w:val="none"/>
        </w:rPr>
        <w:t>1</w:t>
      </w:r>
      <w:r>
        <w:rPr>
          <w:rFonts w:hint="eastAsia"/>
          <w:b/>
          <w:color w:val="auto"/>
          <w:sz w:val="21"/>
          <w:szCs w:val="21"/>
          <w:highlight w:val="none"/>
          <w:lang w:val="en-US" w:eastAsia="zh-CN"/>
        </w:rPr>
        <w:t>9</w:t>
      </w:r>
      <w:r>
        <w:rPr>
          <w:rFonts w:hint="eastAsia"/>
          <w:b/>
          <w:color w:val="auto"/>
          <w:sz w:val="21"/>
          <w:szCs w:val="21"/>
          <w:highlight w:val="none"/>
        </w:rPr>
        <w:t>“备份响应文件”的密封包装、递交：</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9</w:t>
      </w:r>
      <w:r>
        <w:rPr>
          <w:rFonts w:hint="eastAsia"/>
          <w:color w:val="auto"/>
          <w:sz w:val="21"/>
          <w:szCs w:val="21"/>
          <w:highlight w:val="none"/>
        </w:rPr>
        <w:t>.1.投标供应商在“政府采购云平台”完成“电子加密响应文件”的上传递交后，还可以（邮寄形式）在投标截止时间前递交以介质是U盘或DVD光盘存储的 “备份响应文件”（一份）；</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9</w:t>
      </w:r>
      <w:r>
        <w:rPr>
          <w:rFonts w:hint="eastAsia"/>
          <w:color w:val="auto"/>
          <w:sz w:val="21"/>
          <w:szCs w:val="21"/>
          <w:highlight w:val="none"/>
        </w:rPr>
        <w:t>.2.“备份响应文件”应当密封包装，并在包装上标注投标项目名称、投标单位名称并加盖公章。没有密封包装或者逾期邮寄送达至投标地点的“备份响应文件”将不予接收；</w:t>
      </w:r>
    </w:p>
    <w:p>
      <w:pPr>
        <w:spacing w:line="380" w:lineRule="exact"/>
        <w:ind w:firstLine="420" w:firstLineChars="200"/>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9</w:t>
      </w:r>
      <w:r>
        <w:rPr>
          <w:rFonts w:hint="eastAsia"/>
          <w:color w:val="auto"/>
          <w:sz w:val="21"/>
          <w:szCs w:val="21"/>
          <w:highlight w:val="none"/>
        </w:rPr>
        <w:t xml:space="preserve">.3.通过“政府采购云平台”成功上传递交的“电子加密响应文件”已按时解密的，“备份响应文件”自动失效。投标截止时间前，投标供应商仅递交了“备份响应文件”而未将“电子加密响应文件”成功上传至“政府采购云平台”的，投标无效。  </w:t>
      </w:r>
    </w:p>
    <w:p>
      <w:pPr>
        <w:spacing w:line="380" w:lineRule="exact"/>
        <w:ind w:firstLine="310" w:firstLineChars="147"/>
        <w:outlineLvl w:val="1"/>
        <w:rPr>
          <w:rFonts w:hint="eastAsia"/>
          <w:b/>
          <w:bCs/>
          <w:color w:val="auto"/>
          <w:sz w:val="21"/>
          <w:szCs w:val="21"/>
          <w:highlight w:val="none"/>
        </w:rPr>
      </w:pPr>
      <w:r>
        <w:rPr>
          <w:rFonts w:hint="eastAsia"/>
          <w:b/>
          <w:bCs/>
          <w:color w:val="auto"/>
          <w:sz w:val="21"/>
          <w:szCs w:val="21"/>
          <w:highlight w:val="none"/>
          <w:lang w:val="en-US" w:eastAsia="zh-CN"/>
        </w:rPr>
        <w:t>20</w:t>
      </w:r>
      <w:r>
        <w:rPr>
          <w:rFonts w:hint="eastAsia"/>
          <w:b/>
          <w:bCs/>
          <w:color w:val="auto"/>
          <w:sz w:val="21"/>
          <w:szCs w:val="21"/>
          <w:highlight w:val="none"/>
        </w:rPr>
        <w:t>、投标文件的密封和标记</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lang w:val="en-US" w:eastAsia="zh-CN"/>
        </w:rPr>
        <w:t>20</w:t>
      </w:r>
      <w:r>
        <w:rPr>
          <w:rFonts w:hint="eastAsia"/>
          <w:color w:val="auto"/>
          <w:sz w:val="21"/>
          <w:szCs w:val="21"/>
          <w:highlight w:val="none"/>
        </w:rPr>
        <w:t>.1投标人线上制作的投标文件，采用 CA 数字证书进行电子签章及加密。</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lang w:val="en-US" w:eastAsia="zh-CN"/>
        </w:rPr>
        <w:t>20</w:t>
      </w:r>
      <w:r>
        <w:rPr>
          <w:rFonts w:hint="eastAsia"/>
          <w:color w:val="auto"/>
          <w:sz w:val="21"/>
          <w:szCs w:val="21"/>
          <w:highlight w:val="none"/>
        </w:rPr>
        <w:t>.2投标人邮寄及现场递交的备份电子投标文件应密封封装，注明投标人名称、项目名称、项目编号等，并封口处加盖公章。</w:t>
      </w:r>
    </w:p>
    <w:p>
      <w:pPr>
        <w:spacing w:line="380" w:lineRule="exact"/>
        <w:ind w:firstLine="316" w:firstLineChars="150"/>
        <w:outlineLvl w:val="1"/>
        <w:rPr>
          <w:rFonts w:hint="eastAsia"/>
          <w:b/>
          <w:bCs/>
          <w:color w:val="auto"/>
          <w:sz w:val="21"/>
          <w:szCs w:val="21"/>
          <w:highlight w:val="none"/>
        </w:rPr>
      </w:pPr>
      <w:r>
        <w:rPr>
          <w:rFonts w:hint="eastAsia"/>
          <w:b/>
          <w:bCs/>
          <w:color w:val="auto"/>
          <w:sz w:val="21"/>
          <w:szCs w:val="21"/>
          <w:highlight w:val="none"/>
        </w:rPr>
        <w:t>2</w:t>
      </w:r>
      <w:r>
        <w:rPr>
          <w:rFonts w:hint="eastAsia"/>
          <w:b/>
          <w:bCs/>
          <w:color w:val="auto"/>
          <w:sz w:val="21"/>
          <w:szCs w:val="21"/>
          <w:highlight w:val="none"/>
          <w:lang w:val="en-US" w:eastAsia="zh-CN"/>
        </w:rPr>
        <w:t>1</w:t>
      </w:r>
      <w:r>
        <w:rPr>
          <w:rFonts w:hint="eastAsia"/>
          <w:b/>
          <w:bCs/>
          <w:color w:val="auto"/>
          <w:sz w:val="21"/>
          <w:szCs w:val="21"/>
          <w:highlight w:val="none"/>
        </w:rPr>
        <w:t>、投标地点和时间</w:t>
      </w:r>
    </w:p>
    <w:p>
      <w:pPr>
        <w:snapToGrid w:val="0"/>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1</w:t>
      </w:r>
      <w:r>
        <w:rPr>
          <w:rFonts w:hint="eastAsia"/>
          <w:color w:val="auto"/>
          <w:sz w:val="21"/>
          <w:szCs w:val="21"/>
          <w:highlight w:val="none"/>
        </w:rPr>
        <w:t>.1投标地点：</w:t>
      </w:r>
      <w:r>
        <w:rPr>
          <w:rFonts w:hint="eastAsia"/>
          <w:color w:val="auto"/>
          <w:sz w:val="21"/>
          <w:szCs w:val="21"/>
          <w:highlight w:val="none"/>
          <w:u w:val="single"/>
        </w:rPr>
        <w:t xml:space="preserve">政采云平台线上投标 </w:t>
      </w:r>
      <w:r>
        <w:rPr>
          <w:rFonts w:hint="eastAsia"/>
          <w:color w:val="auto"/>
          <w:sz w:val="21"/>
          <w:szCs w:val="21"/>
          <w:highlight w:val="none"/>
        </w:rPr>
        <w:t>。</w:t>
      </w:r>
    </w:p>
    <w:p>
      <w:pPr>
        <w:snapToGrid w:val="0"/>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1</w:t>
      </w:r>
      <w:r>
        <w:rPr>
          <w:rFonts w:hint="eastAsia"/>
          <w:color w:val="auto"/>
          <w:sz w:val="21"/>
          <w:szCs w:val="21"/>
          <w:highlight w:val="none"/>
        </w:rPr>
        <w:t>.2 投标截止时间：</w:t>
      </w:r>
      <w:r>
        <w:rPr>
          <w:rFonts w:hint="eastAsia"/>
          <w:color w:val="auto"/>
          <w:sz w:val="21"/>
          <w:szCs w:val="21"/>
          <w:highlight w:val="none"/>
          <w:lang w:eastAsia="zh-CN"/>
        </w:rPr>
        <w:t>2021</w:t>
      </w:r>
      <w:r>
        <w:rPr>
          <w:rFonts w:hint="eastAsia"/>
          <w:color w:val="auto"/>
          <w:sz w:val="21"/>
          <w:szCs w:val="21"/>
          <w:highlight w:val="none"/>
        </w:rPr>
        <w:t>年</w:t>
      </w:r>
      <w:r>
        <w:rPr>
          <w:rFonts w:hint="eastAsia"/>
          <w:color w:val="auto"/>
          <w:sz w:val="21"/>
          <w:szCs w:val="21"/>
          <w:highlight w:val="none"/>
          <w:lang w:val="en-US" w:eastAsia="zh-CN"/>
        </w:rPr>
        <w:t>12</w:t>
      </w:r>
      <w:r>
        <w:rPr>
          <w:rFonts w:hint="eastAsia"/>
          <w:color w:val="auto"/>
          <w:sz w:val="21"/>
          <w:szCs w:val="21"/>
          <w:highlight w:val="none"/>
        </w:rPr>
        <w:t>月</w:t>
      </w:r>
      <w:r>
        <w:rPr>
          <w:rFonts w:hint="eastAsia"/>
          <w:color w:val="auto"/>
          <w:sz w:val="21"/>
          <w:szCs w:val="21"/>
          <w:highlight w:val="none"/>
          <w:lang w:val="en-US" w:eastAsia="zh-CN"/>
        </w:rPr>
        <w:t>28</w:t>
      </w:r>
      <w:r>
        <w:rPr>
          <w:rFonts w:hint="eastAsia"/>
          <w:color w:val="auto"/>
          <w:sz w:val="21"/>
          <w:szCs w:val="21"/>
          <w:highlight w:val="none"/>
        </w:rPr>
        <w:t xml:space="preserve">日 </w:t>
      </w:r>
      <w:r>
        <w:rPr>
          <w:rFonts w:hint="eastAsia"/>
          <w:color w:val="auto"/>
          <w:sz w:val="21"/>
          <w:szCs w:val="21"/>
          <w:highlight w:val="none"/>
          <w:lang w:val="en-US" w:eastAsia="zh-CN"/>
        </w:rPr>
        <w:t>9</w:t>
      </w:r>
      <w:r>
        <w:rPr>
          <w:rFonts w:hint="eastAsia"/>
          <w:color w:val="auto"/>
          <w:sz w:val="21"/>
          <w:szCs w:val="21"/>
          <w:highlight w:val="none"/>
        </w:rPr>
        <w:t xml:space="preserve"> 时 </w:t>
      </w:r>
      <w:r>
        <w:rPr>
          <w:rFonts w:hint="eastAsia"/>
          <w:color w:val="auto"/>
          <w:sz w:val="21"/>
          <w:szCs w:val="21"/>
          <w:highlight w:val="none"/>
          <w:lang w:val="en-US" w:eastAsia="zh-CN"/>
        </w:rPr>
        <w:t>30</w:t>
      </w:r>
      <w:r>
        <w:rPr>
          <w:rFonts w:hint="eastAsia"/>
          <w:color w:val="auto"/>
          <w:sz w:val="21"/>
          <w:szCs w:val="21"/>
          <w:highlight w:val="none"/>
        </w:rPr>
        <w:t xml:space="preserve"> 分。</w:t>
      </w:r>
    </w:p>
    <w:p>
      <w:pPr>
        <w:spacing w:line="380" w:lineRule="exact"/>
        <w:ind w:firstLine="315" w:firstLineChars="150"/>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1</w:t>
      </w:r>
      <w:r>
        <w:rPr>
          <w:rFonts w:hint="eastAsia"/>
          <w:color w:val="auto"/>
          <w:sz w:val="21"/>
          <w:szCs w:val="21"/>
          <w:highlight w:val="none"/>
        </w:rPr>
        <w:t>.3投标截止前，允许投标方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pPr>
        <w:snapToGrid w:val="0"/>
        <w:spacing w:line="380" w:lineRule="exact"/>
        <w:ind w:firstLine="310" w:firstLineChars="147"/>
        <w:jc w:val="left"/>
        <w:outlineLvl w:val="1"/>
        <w:rPr>
          <w:rFonts w:hint="eastAsia"/>
          <w:b/>
          <w:color w:val="auto"/>
          <w:sz w:val="24"/>
          <w:highlight w:val="none"/>
        </w:rPr>
      </w:pPr>
      <w:r>
        <w:rPr>
          <w:rFonts w:hint="eastAsia"/>
          <w:b/>
          <w:bCs/>
          <w:color w:val="auto"/>
          <w:sz w:val="21"/>
          <w:szCs w:val="21"/>
          <w:highlight w:val="none"/>
        </w:rPr>
        <w:t>★五、联合体投标</w:t>
      </w:r>
    </w:p>
    <w:p>
      <w:pPr>
        <w:snapToGrid w:val="0"/>
        <w:spacing w:line="380" w:lineRule="exact"/>
        <w:ind w:firstLine="310" w:firstLineChars="147"/>
        <w:jc w:val="left"/>
        <w:outlineLvl w:val="1"/>
        <w:rPr>
          <w:rFonts w:hint="eastAsia"/>
          <w:b/>
          <w:color w:val="auto"/>
          <w:sz w:val="21"/>
          <w:szCs w:val="21"/>
          <w:highlight w:val="none"/>
        </w:rPr>
      </w:pPr>
      <w:r>
        <w:rPr>
          <w:rFonts w:hint="eastAsia"/>
          <w:b/>
          <w:color w:val="auto"/>
          <w:sz w:val="21"/>
          <w:szCs w:val="21"/>
          <w:highlight w:val="none"/>
        </w:rPr>
        <w:t>2</w:t>
      </w:r>
      <w:r>
        <w:rPr>
          <w:rFonts w:hint="eastAsia"/>
          <w:b/>
          <w:color w:val="auto"/>
          <w:sz w:val="21"/>
          <w:szCs w:val="21"/>
          <w:highlight w:val="none"/>
          <w:lang w:val="en-US" w:eastAsia="zh-CN"/>
        </w:rPr>
        <w:t>2</w:t>
      </w:r>
      <w:r>
        <w:rPr>
          <w:rFonts w:hint="eastAsia"/>
          <w:b/>
          <w:color w:val="auto"/>
          <w:sz w:val="21"/>
          <w:szCs w:val="21"/>
          <w:highlight w:val="none"/>
        </w:rPr>
        <w:t>.本项目不接受联合体投标。</w:t>
      </w:r>
    </w:p>
    <w:p>
      <w:pPr>
        <w:snapToGrid w:val="0"/>
        <w:spacing w:line="380" w:lineRule="exact"/>
        <w:ind w:firstLine="310" w:firstLineChars="147"/>
        <w:jc w:val="left"/>
        <w:outlineLvl w:val="1"/>
        <w:rPr>
          <w:rFonts w:hint="eastAsia"/>
          <w:b/>
          <w:bCs/>
          <w:color w:val="auto"/>
          <w:sz w:val="21"/>
          <w:szCs w:val="21"/>
          <w:highlight w:val="none"/>
        </w:rPr>
      </w:pPr>
      <w:r>
        <w:rPr>
          <w:rFonts w:hint="eastAsia"/>
          <w:b/>
          <w:bCs/>
          <w:color w:val="auto"/>
          <w:sz w:val="21"/>
          <w:szCs w:val="21"/>
          <w:highlight w:val="none"/>
        </w:rPr>
        <w:t>六、关联企业投标</w:t>
      </w:r>
    </w:p>
    <w:p>
      <w:pPr>
        <w:snapToGrid w:val="0"/>
        <w:spacing w:line="380" w:lineRule="exact"/>
        <w:ind w:firstLine="382" w:firstLineChars="18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3</w:t>
      </w:r>
      <w:r>
        <w:rPr>
          <w:rFonts w:hint="eastAsia"/>
          <w:color w:val="auto"/>
          <w:sz w:val="21"/>
          <w:szCs w:val="21"/>
          <w:highlight w:val="none"/>
        </w:rPr>
        <w:t>.1本采购文件所称关联企业，是指存在关联关系的企业；“关联关系”的界定适用《中华人民共和国公司法》216条之规定。</w:t>
      </w:r>
    </w:p>
    <w:p>
      <w:pPr>
        <w:snapToGrid w:val="0"/>
        <w:spacing w:line="380" w:lineRule="exact"/>
        <w:ind w:firstLine="210" w:firstLineChars="100"/>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3</w:t>
      </w:r>
      <w:r>
        <w:rPr>
          <w:rFonts w:hint="eastAsia"/>
          <w:color w:val="auto"/>
          <w:sz w:val="21"/>
          <w:szCs w:val="21"/>
          <w:highlight w:val="none"/>
        </w:rPr>
        <w:t>.2关联企业中，同一个法定代表人的两个及两个以上法人，母公司、全资子公司及其控股公司，都不得同时投标；一经发现，将导致投标同时被拒绝。</w:t>
      </w:r>
    </w:p>
    <w:p>
      <w:pPr>
        <w:snapToGrid w:val="0"/>
        <w:spacing w:line="380" w:lineRule="exact"/>
        <w:ind w:firstLine="382" w:firstLineChars="182"/>
        <w:outlineLvl w:val="1"/>
        <w:rPr>
          <w:rFonts w:hint="eastAsia"/>
          <w:color w:val="auto"/>
          <w:sz w:val="21"/>
          <w:szCs w:val="21"/>
          <w:highlight w:val="none"/>
        </w:rPr>
      </w:pPr>
      <w:r>
        <w:rPr>
          <w:rFonts w:hint="eastAsia"/>
          <w:color w:val="auto"/>
          <w:sz w:val="21"/>
          <w:szCs w:val="21"/>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pPr>
        <w:snapToGrid w:val="0"/>
        <w:spacing w:line="380" w:lineRule="exact"/>
        <w:ind w:firstLine="382" w:firstLineChars="18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3</w:t>
      </w:r>
      <w:r>
        <w:rPr>
          <w:rFonts w:hint="eastAsia"/>
          <w:color w:val="auto"/>
          <w:sz w:val="21"/>
          <w:szCs w:val="21"/>
          <w:highlight w:val="none"/>
        </w:rPr>
        <w:t>.3除2</w:t>
      </w:r>
      <w:r>
        <w:rPr>
          <w:rFonts w:hint="eastAsia"/>
          <w:color w:val="auto"/>
          <w:sz w:val="21"/>
          <w:szCs w:val="21"/>
          <w:highlight w:val="none"/>
          <w:lang w:val="en-US" w:eastAsia="zh-CN"/>
        </w:rPr>
        <w:t>3</w:t>
      </w:r>
      <w:r>
        <w:rPr>
          <w:rFonts w:hint="eastAsia"/>
          <w:color w:val="auto"/>
          <w:sz w:val="21"/>
          <w:szCs w:val="21"/>
          <w:highlight w:val="none"/>
        </w:rPr>
        <w:t>.2所述情形之外的关联企业允许同时投标。</w:t>
      </w:r>
    </w:p>
    <w:p>
      <w:pPr>
        <w:snapToGrid w:val="0"/>
        <w:spacing w:line="380" w:lineRule="exact"/>
        <w:ind w:firstLine="382" w:firstLineChars="18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3</w:t>
      </w:r>
      <w:r>
        <w:rPr>
          <w:rFonts w:hint="eastAsia"/>
          <w:color w:val="auto"/>
          <w:sz w:val="21"/>
          <w:szCs w:val="21"/>
          <w:highlight w:val="none"/>
        </w:rPr>
        <w:t>.4多家代理商或经销商参加投标，如其中两家或两家以上投标人存在分级代理或代销关系，且提供的是其所代理品牌的产品的，比照本条第2项处理。</w:t>
      </w:r>
    </w:p>
    <w:p>
      <w:pPr>
        <w:snapToGrid w:val="0"/>
        <w:spacing w:line="380" w:lineRule="exact"/>
        <w:ind w:firstLine="280" w:firstLineChars="133"/>
        <w:outlineLvl w:val="1"/>
        <w:rPr>
          <w:rFonts w:hint="eastAsia"/>
          <w:b/>
          <w:bCs/>
          <w:color w:val="auto"/>
          <w:sz w:val="21"/>
          <w:szCs w:val="21"/>
          <w:highlight w:val="none"/>
        </w:rPr>
      </w:pPr>
      <w:r>
        <w:rPr>
          <w:rFonts w:hint="eastAsia"/>
          <w:b/>
          <w:bCs/>
          <w:color w:val="auto"/>
          <w:sz w:val="21"/>
          <w:szCs w:val="21"/>
          <w:highlight w:val="none"/>
        </w:rPr>
        <w:t>七、转包与分包</w:t>
      </w:r>
    </w:p>
    <w:p>
      <w:pPr>
        <w:snapToGrid w:val="0"/>
        <w:spacing w:line="380" w:lineRule="exact"/>
        <w:ind w:firstLine="279" w:firstLineChars="133"/>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4</w:t>
      </w:r>
      <w:r>
        <w:rPr>
          <w:rFonts w:hint="eastAsia"/>
          <w:color w:val="auto"/>
          <w:sz w:val="21"/>
          <w:szCs w:val="21"/>
          <w:highlight w:val="none"/>
        </w:rPr>
        <w:t>.1本项目不允许转包。</w:t>
      </w:r>
    </w:p>
    <w:p>
      <w:pPr>
        <w:snapToGrid w:val="0"/>
        <w:spacing w:line="380" w:lineRule="exact"/>
        <w:ind w:firstLine="279" w:firstLineChars="133"/>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4</w:t>
      </w:r>
      <w:r>
        <w:rPr>
          <w:rFonts w:hint="eastAsia"/>
          <w:color w:val="auto"/>
          <w:sz w:val="21"/>
          <w:szCs w:val="21"/>
          <w:highlight w:val="none"/>
        </w:rPr>
        <w:t>.2本项目不可以分包。</w:t>
      </w:r>
    </w:p>
    <w:p>
      <w:pPr>
        <w:snapToGrid w:val="0"/>
        <w:spacing w:line="380" w:lineRule="exact"/>
        <w:ind w:firstLine="280" w:firstLineChars="133"/>
        <w:jc w:val="left"/>
        <w:outlineLvl w:val="1"/>
        <w:rPr>
          <w:rFonts w:hint="eastAsia"/>
          <w:b/>
          <w:bCs/>
          <w:color w:val="auto"/>
          <w:sz w:val="21"/>
          <w:szCs w:val="21"/>
          <w:highlight w:val="none"/>
        </w:rPr>
      </w:pPr>
      <w:r>
        <w:rPr>
          <w:rFonts w:hint="eastAsia"/>
          <w:b/>
          <w:bCs/>
          <w:color w:val="auto"/>
          <w:sz w:val="21"/>
          <w:szCs w:val="21"/>
          <w:highlight w:val="none"/>
        </w:rPr>
        <w:t>八、特别说明：</w:t>
      </w:r>
    </w:p>
    <w:p>
      <w:pPr>
        <w:snapToGrid w:val="0"/>
        <w:spacing w:line="380" w:lineRule="exact"/>
        <w:ind w:firstLine="280" w:firstLineChars="133"/>
        <w:jc w:val="left"/>
        <w:rPr>
          <w:rFonts w:hint="eastAsia"/>
          <w:b/>
          <w:bCs/>
          <w:color w:val="auto"/>
          <w:szCs w:val="21"/>
          <w:highlight w:val="none"/>
        </w:rPr>
      </w:pPr>
      <w:r>
        <w:rPr>
          <w:rFonts w:hint="eastAsia"/>
          <w:b/>
          <w:bCs/>
          <w:color w:val="auto"/>
          <w:sz w:val="21"/>
          <w:szCs w:val="21"/>
          <w:highlight w:val="none"/>
        </w:rPr>
        <w:t>★</w:t>
      </w:r>
      <w:r>
        <w:rPr>
          <w:rFonts w:hint="eastAsia"/>
          <w:color w:val="auto"/>
          <w:sz w:val="21"/>
          <w:szCs w:val="21"/>
          <w:highlight w:val="none"/>
        </w:rPr>
        <w:t>2</w:t>
      </w:r>
      <w:r>
        <w:rPr>
          <w:rFonts w:hint="eastAsia"/>
          <w:color w:val="auto"/>
          <w:sz w:val="21"/>
          <w:szCs w:val="21"/>
          <w:highlight w:val="none"/>
          <w:lang w:val="en-US" w:eastAsia="zh-CN"/>
        </w:rPr>
        <w:t>5</w:t>
      </w:r>
      <w:r>
        <w:rPr>
          <w:rFonts w:hint="eastAsia"/>
          <w:color w:val="auto"/>
          <w:sz w:val="21"/>
          <w:szCs w:val="21"/>
          <w:highlight w:val="none"/>
        </w:rPr>
        <w:t>.1直接或者间接受采购人控制的当事人，或者与采购人受共同上级控制的当事人，为本次采购进行设计或编制规范和其他文件的当事人，或者直接或间接地与为本次采购进行设计或编制规范、其他文件的个人、企业、采购代理机构或其附属机构有关联关系的当事人，不得参加本项目投标。</w:t>
      </w:r>
    </w:p>
    <w:p>
      <w:pPr>
        <w:snapToGrid w:val="0"/>
        <w:spacing w:line="380" w:lineRule="exact"/>
        <w:ind w:firstLine="280" w:firstLineChars="133"/>
        <w:outlineLvl w:val="1"/>
        <w:rPr>
          <w:rFonts w:hint="eastAsia"/>
          <w:color w:val="auto"/>
          <w:sz w:val="21"/>
          <w:szCs w:val="21"/>
          <w:highlight w:val="none"/>
        </w:rPr>
      </w:pPr>
      <w:r>
        <w:rPr>
          <w:rFonts w:hint="eastAsia"/>
          <w:b/>
          <w:color w:val="auto"/>
          <w:sz w:val="21"/>
          <w:szCs w:val="21"/>
          <w:highlight w:val="none"/>
        </w:rPr>
        <w:t>★</w:t>
      </w:r>
      <w:r>
        <w:rPr>
          <w:rFonts w:hint="eastAsia"/>
          <w:color w:val="auto"/>
          <w:sz w:val="21"/>
          <w:szCs w:val="21"/>
          <w:highlight w:val="none"/>
        </w:rPr>
        <w:t>2</w:t>
      </w:r>
      <w:r>
        <w:rPr>
          <w:rFonts w:hint="eastAsia"/>
          <w:color w:val="auto"/>
          <w:sz w:val="21"/>
          <w:szCs w:val="21"/>
          <w:highlight w:val="none"/>
          <w:lang w:val="en-US" w:eastAsia="zh-CN"/>
        </w:rPr>
        <w:t>5</w:t>
      </w:r>
      <w:r>
        <w:rPr>
          <w:rFonts w:hint="eastAsia"/>
          <w:color w:val="auto"/>
          <w:sz w:val="21"/>
          <w:szCs w:val="21"/>
          <w:highlight w:val="none"/>
        </w:rPr>
        <w:t>.2投标人投标所使用的资格、信誉、荣誉、业绩与企业认证必须为本法人所拥有。投标人投标所使用的采购项目实施人员可以为其控股公司的工作人员。</w:t>
      </w:r>
    </w:p>
    <w:p>
      <w:pPr>
        <w:snapToGrid w:val="0"/>
        <w:spacing w:line="380" w:lineRule="exact"/>
        <w:ind w:firstLine="280" w:firstLineChars="133"/>
        <w:outlineLvl w:val="1"/>
        <w:rPr>
          <w:rFonts w:hint="eastAsia"/>
          <w:color w:val="auto"/>
          <w:sz w:val="21"/>
          <w:szCs w:val="21"/>
          <w:highlight w:val="none"/>
        </w:rPr>
      </w:pPr>
      <w:r>
        <w:rPr>
          <w:rFonts w:hint="eastAsia"/>
          <w:b/>
          <w:color w:val="auto"/>
          <w:sz w:val="21"/>
          <w:szCs w:val="21"/>
          <w:highlight w:val="none"/>
        </w:rPr>
        <w:t>★</w:t>
      </w:r>
      <w:r>
        <w:rPr>
          <w:rFonts w:hint="eastAsia"/>
          <w:color w:val="auto"/>
          <w:sz w:val="21"/>
          <w:szCs w:val="21"/>
          <w:highlight w:val="none"/>
        </w:rPr>
        <w:t>2</w:t>
      </w:r>
      <w:r>
        <w:rPr>
          <w:rFonts w:hint="eastAsia"/>
          <w:color w:val="auto"/>
          <w:sz w:val="21"/>
          <w:szCs w:val="21"/>
          <w:highlight w:val="none"/>
          <w:lang w:val="en-US" w:eastAsia="zh-CN"/>
        </w:rPr>
        <w:t>5</w:t>
      </w:r>
      <w:r>
        <w:rPr>
          <w:rFonts w:hint="eastAsia"/>
          <w:color w:val="auto"/>
          <w:sz w:val="21"/>
          <w:szCs w:val="21"/>
          <w:highlight w:val="none"/>
        </w:rPr>
        <w:t>.3投标人在投标活动中提供任何虚假材料或从事其他违法活动的，其投标无效，并报监管部门查处；中标后发现的，中标人须依照《中华人民共和国消费者权益保护法》第49条之规定双倍赔偿采购人。且民事赔偿并不免除违法投标人的行政与刑事责任。</w:t>
      </w:r>
    </w:p>
    <w:p>
      <w:pPr>
        <w:snapToGrid w:val="0"/>
        <w:spacing w:line="380" w:lineRule="exact"/>
        <w:ind w:firstLine="280" w:firstLineChars="133"/>
        <w:outlineLvl w:val="1"/>
        <w:rPr>
          <w:rFonts w:hint="eastAsia"/>
          <w:color w:val="auto"/>
          <w:sz w:val="21"/>
          <w:szCs w:val="21"/>
          <w:highlight w:val="none"/>
        </w:rPr>
      </w:pPr>
      <w:r>
        <w:rPr>
          <w:rFonts w:hint="eastAsia"/>
          <w:b/>
          <w:color w:val="auto"/>
          <w:sz w:val="21"/>
          <w:szCs w:val="21"/>
          <w:highlight w:val="none"/>
        </w:rPr>
        <w:t>★</w:t>
      </w:r>
      <w:r>
        <w:rPr>
          <w:rFonts w:hint="eastAsia"/>
          <w:color w:val="auto"/>
          <w:sz w:val="21"/>
          <w:szCs w:val="21"/>
          <w:highlight w:val="none"/>
        </w:rPr>
        <w:t>2</w:t>
      </w:r>
      <w:r>
        <w:rPr>
          <w:rFonts w:hint="eastAsia"/>
          <w:color w:val="auto"/>
          <w:sz w:val="21"/>
          <w:szCs w:val="21"/>
          <w:highlight w:val="none"/>
          <w:lang w:val="en-US" w:eastAsia="zh-CN"/>
        </w:rPr>
        <w:t>5</w:t>
      </w:r>
      <w:r>
        <w:rPr>
          <w:rFonts w:hint="eastAsia"/>
          <w:color w:val="auto"/>
          <w:sz w:val="21"/>
          <w:szCs w:val="21"/>
          <w:highlight w:val="none"/>
        </w:rPr>
        <w:t>.4投标人应仔细阅读采购文件的所有内容，按照采购文件的要求提交投标文件。投标文件应对采购文件的要求作出实质性响应，并对所提供的全部资料的真实性承担法律责任。</w:t>
      </w:r>
    </w:p>
    <w:p>
      <w:pPr>
        <w:spacing w:line="380" w:lineRule="exact"/>
        <w:ind w:firstLine="314" w:firstLineChars="149"/>
        <w:outlineLvl w:val="1"/>
        <w:rPr>
          <w:rFonts w:hint="eastAsia"/>
          <w:b/>
          <w:bCs/>
          <w:color w:val="auto"/>
          <w:sz w:val="21"/>
          <w:szCs w:val="21"/>
          <w:highlight w:val="none"/>
        </w:rPr>
      </w:pPr>
      <w:r>
        <w:rPr>
          <w:rFonts w:hint="eastAsia"/>
          <w:b/>
          <w:bCs/>
          <w:color w:val="auto"/>
          <w:sz w:val="21"/>
          <w:szCs w:val="21"/>
          <w:highlight w:val="none"/>
        </w:rPr>
        <w:t>九、无效投标的具体情形</w:t>
      </w:r>
    </w:p>
    <w:p>
      <w:pPr>
        <w:spacing w:line="380" w:lineRule="exact"/>
        <w:ind w:firstLine="413" w:firstLineChars="196"/>
        <w:outlineLvl w:val="1"/>
        <w:rPr>
          <w:rFonts w:hint="eastAsia"/>
          <w:b/>
          <w:bCs/>
          <w:color w:val="auto"/>
          <w:sz w:val="21"/>
          <w:szCs w:val="21"/>
          <w:highlight w:val="none"/>
        </w:rPr>
      </w:pPr>
      <w:r>
        <w:rPr>
          <w:rFonts w:hint="eastAsia"/>
          <w:b/>
          <w:bCs/>
          <w:color w:val="auto"/>
          <w:sz w:val="21"/>
          <w:szCs w:val="21"/>
          <w:highlight w:val="none"/>
        </w:rPr>
        <w:t>2</w:t>
      </w:r>
      <w:r>
        <w:rPr>
          <w:rFonts w:hint="eastAsia"/>
          <w:b/>
          <w:bCs/>
          <w:color w:val="auto"/>
          <w:sz w:val="21"/>
          <w:szCs w:val="21"/>
          <w:highlight w:val="none"/>
          <w:lang w:val="en-US" w:eastAsia="zh-CN"/>
        </w:rPr>
        <w:t>6</w:t>
      </w:r>
      <w:r>
        <w:rPr>
          <w:rFonts w:hint="eastAsia"/>
          <w:b/>
          <w:bCs/>
          <w:color w:val="auto"/>
          <w:sz w:val="21"/>
          <w:szCs w:val="21"/>
          <w:highlight w:val="none"/>
        </w:rPr>
        <w:t>、有以下情形之一将作无效标处理</w:t>
      </w:r>
    </w:p>
    <w:p>
      <w:pPr>
        <w:spacing w:line="380" w:lineRule="exact"/>
        <w:ind w:firstLine="435"/>
        <w:outlineLvl w:val="1"/>
        <w:rPr>
          <w:rFonts w:hint="eastAsia"/>
          <w:bCs/>
          <w:color w:val="auto"/>
          <w:sz w:val="21"/>
          <w:szCs w:val="21"/>
          <w:highlight w:val="none"/>
        </w:rPr>
      </w:pPr>
      <w:r>
        <w:rPr>
          <w:rFonts w:hint="eastAsia"/>
          <w:bCs/>
          <w:color w:val="auto"/>
          <w:sz w:val="21"/>
          <w:szCs w:val="21"/>
          <w:highlight w:val="none"/>
        </w:rPr>
        <w:t>2</w:t>
      </w:r>
      <w:r>
        <w:rPr>
          <w:rFonts w:hint="eastAsia"/>
          <w:bCs/>
          <w:color w:val="auto"/>
          <w:sz w:val="21"/>
          <w:szCs w:val="21"/>
          <w:highlight w:val="none"/>
          <w:lang w:val="en-US" w:eastAsia="zh-CN"/>
        </w:rPr>
        <w:t>6</w:t>
      </w:r>
      <w:r>
        <w:rPr>
          <w:rFonts w:hint="eastAsia"/>
          <w:bCs/>
          <w:color w:val="auto"/>
          <w:sz w:val="21"/>
          <w:szCs w:val="21"/>
          <w:highlight w:val="none"/>
        </w:rPr>
        <w:t>.1未按照采购文件中规定要求签署、盖章；</w:t>
      </w:r>
    </w:p>
    <w:p>
      <w:pPr>
        <w:spacing w:line="380" w:lineRule="exact"/>
        <w:ind w:firstLine="435"/>
        <w:outlineLvl w:val="1"/>
        <w:rPr>
          <w:rFonts w:hint="eastAsia"/>
          <w:bCs/>
          <w:color w:val="auto"/>
          <w:sz w:val="21"/>
          <w:szCs w:val="21"/>
          <w:highlight w:val="none"/>
        </w:rPr>
      </w:pPr>
      <w:r>
        <w:rPr>
          <w:rFonts w:hint="eastAsia"/>
          <w:bCs/>
          <w:color w:val="auto"/>
          <w:sz w:val="21"/>
          <w:szCs w:val="21"/>
          <w:highlight w:val="none"/>
        </w:rPr>
        <w:t>2</w:t>
      </w:r>
      <w:r>
        <w:rPr>
          <w:rFonts w:hint="eastAsia"/>
          <w:bCs/>
          <w:color w:val="auto"/>
          <w:sz w:val="21"/>
          <w:szCs w:val="21"/>
          <w:highlight w:val="none"/>
          <w:lang w:val="en-US" w:eastAsia="zh-CN"/>
        </w:rPr>
        <w:t>6</w:t>
      </w:r>
      <w:r>
        <w:rPr>
          <w:rFonts w:hint="eastAsia"/>
          <w:bCs/>
          <w:color w:val="auto"/>
          <w:sz w:val="21"/>
          <w:szCs w:val="21"/>
          <w:highlight w:val="none"/>
        </w:rPr>
        <w:t>.2不具备采购文件中规定资格要求；</w:t>
      </w:r>
    </w:p>
    <w:p>
      <w:pPr>
        <w:spacing w:line="380" w:lineRule="exact"/>
        <w:ind w:firstLine="435"/>
        <w:outlineLvl w:val="1"/>
        <w:rPr>
          <w:rFonts w:hint="eastAsia"/>
          <w:bCs/>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6</w:t>
      </w:r>
      <w:r>
        <w:rPr>
          <w:rFonts w:hint="eastAsia"/>
          <w:color w:val="auto"/>
          <w:sz w:val="21"/>
          <w:szCs w:val="21"/>
          <w:highlight w:val="none"/>
        </w:rPr>
        <w:t>.3不符合法律、法规和采购文件中规定的其他实质性要求。</w:t>
      </w:r>
      <w:bookmarkStart w:id="179" w:name="_Toc353536903"/>
    </w:p>
    <w:bookmarkEnd w:id="179"/>
    <w:p>
      <w:pPr>
        <w:snapToGrid w:val="0"/>
        <w:spacing w:line="380" w:lineRule="exact"/>
        <w:ind w:firstLine="489" w:firstLineChars="232"/>
        <w:outlineLvl w:val="1"/>
        <w:rPr>
          <w:rFonts w:hint="eastAsia"/>
          <w:b/>
          <w:bCs/>
          <w:color w:val="auto"/>
          <w:sz w:val="21"/>
          <w:szCs w:val="21"/>
          <w:highlight w:val="none"/>
        </w:rPr>
      </w:pPr>
      <w:r>
        <w:rPr>
          <w:rFonts w:hint="eastAsia"/>
          <w:b/>
          <w:bCs/>
          <w:color w:val="auto"/>
          <w:sz w:val="21"/>
          <w:szCs w:val="21"/>
          <w:highlight w:val="none"/>
        </w:rPr>
        <w:t>2</w:t>
      </w:r>
      <w:r>
        <w:rPr>
          <w:rFonts w:hint="eastAsia"/>
          <w:b/>
          <w:bCs/>
          <w:color w:val="auto"/>
          <w:sz w:val="21"/>
          <w:szCs w:val="21"/>
          <w:highlight w:val="none"/>
          <w:lang w:val="en-US" w:eastAsia="zh-CN"/>
        </w:rPr>
        <w:t>7</w:t>
      </w:r>
      <w:r>
        <w:rPr>
          <w:rFonts w:hint="eastAsia"/>
          <w:b/>
          <w:bCs/>
          <w:color w:val="auto"/>
          <w:sz w:val="21"/>
          <w:szCs w:val="21"/>
          <w:highlight w:val="none"/>
        </w:rPr>
        <w:t>、中止电子交易活动的情形：</w:t>
      </w:r>
    </w:p>
    <w:p>
      <w:pPr>
        <w:snapToGrid w:val="0"/>
        <w:spacing w:line="380" w:lineRule="exact"/>
        <w:ind w:firstLine="487" w:firstLineChars="23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7.</w:t>
      </w:r>
      <w:r>
        <w:rPr>
          <w:rFonts w:hint="eastAsia"/>
          <w:color w:val="auto"/>
          <w:sz w:val="21"/>
          <w:szCs w:val="21"/>
          <w:highlight w:val="none"/>
        </w:rPr>
        <w:t xml:space="preserve">1电子交易平台发生故障而无法登录访问的； </w:t>
      </w:r>
    </w:p>
    <w:p>
      <w:pPr>
        <w:snapToGrid w:val="0"/>
        <w:spacing w:line="380" w:lineRule="exact"/>
        <w:ind w:firstLine="487" w:firstLineChars="23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7</w:t>
      </w:r>
      <w:r>
        <w:rPr>
          <w:rFonts w:hint="eastAsia"/>
          <w:color w:val="auto"/>
          <w:sz w:val="21"/>
          <w:szCs w:val="21"/>
          <w:highlight w:val="none"/>
        </w:rPr>
        <w:t>.2电子交易平台应用或数据库出现错误，不能进行正常操作的；</w:t>
      </w:r>
    </w:p>
    <w:p>
      <w:pPr>
        <w:snapToGrid w:val="0"/>
        <w:spacing w:line="380" w:lineRule="exact"/>
        <w:ind w:firstLine="487" w:firstLineChars="23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7</w:t>
      </w:r>
      <w:r>
        <w:rPr>
          <w:rFonts w:hint="eastAsia"/>
          <w:color w:val="auto"/>
          <w:sz w:val="21"/>
          <w:szCs w:val="21"/>
          <w:highlight w:val="none"/>
        </w:rPr>
        <w:t>.3电子交易平台发现严重安全漏洞，有潜在泄密危险的；</w:t>
      </w:r>
    </w:p>
    <w:p>
      <w:pPr>
        <w:snapToGrid w:val="0"/>
        <w:spacing w:line="380" w:lineRule="exact"/>
        <w:ind w:firstLine="487" w:firstLineChars="23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7</w:t>
      </w:r>
      <w:r>
        <w:rPr>
          <w:rFonts w:hint="eastAsia"/>
          <w:color w:val="auto"/>
          <w:sz w:val="21"/>
          <w:szCs w:val="21"/>
          <w:highlight w:val="none"/>
        </w:rPr>
        <w:t xml:space="preserve">.4病毒发作导致不能进行正常操作的； </w:t>
      </w:r>
    </w:p>
    <w:p>
      <w:pPr>
        <w:snapToGrid w:val="0"/>
        <w:spacing w:line="380" w:lineRule="exact"/>
        <w:ind w:firstLine="487" w:firstLineChars="232"/>
        <w:outlineLvl w:val="1"/>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7</w:t>
      </w:r>
      <w:r>
        <w:rPr>
          <w:rFonts w:hint="eastAsia"/>
          <w:color w:val="auto"/>
          <w:sz w:val="21"/>
          <w:szCs w:val="21"/>
          <w:highlight w:val="none"/>
        </w:rPr>
        <w:t>.5其他无法保证电子交易的公平、公正和安全的情况。</w:t>
      </w:r>
    </w:p>
    <w:p>
      <w:pPr>
        <w:snapToGrid w:val="0"/>
        <w:spacing w:line="380" w:lineRule="exact"/>
        <w:ind w:firstLine="279" w:firstLineChars="133"/>
        <w:outlineLvl w:val="1"/>
        <w:rPr>
          <w:rFonts w:hint="eastAsia"/>
          <w:color w:val="auto"/>
          <w:sz w:val="21"/>
          <w:szCs w:val="21"/>
          <w:highlight w:val="none"/>
        </w:rPr>
      </w:pPr>
      <w:r>
        <w:rPr>
          <w:rFonts w:hint="eastAsia"/>
          <w:color w:val="auto"/>
          <w:sz w:val="21"/>
          <w:szCs w:val="21"/>
          <w:highlight w:val="none"/>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rPr>
          <w:rFonts w:hint="eastAsia" w:hAnsi="宋体" w:eastAsia="宋体"/>
          <w:b/>
          <w:color w:val="auto"/>
          <w:sz w:val="30"/>
          <w:szCs w:val="30"/>
          <w:highlight w:val="none"/>
          <w:lang w:eastAsia="zh-CN"/>
        </w:rPr>
      </w:pPr>
    </w:p>
    <w:p>
      <w:pPr>
        <w:pStyle w:val="2"/>
        <w:rPr>
          <w:rFonts w:hint="eastAsia" w:hAnsi="宋体" w:eastAsia="宋体"/>
          <w:b/>
          <w:color w:val="auto"/>
          <w:sz w:val="30"/>
          <w:szCs w:val="30"/>
          <w:highlight w:val="none"/>
          <w:lang w:eastAsia="zh-CN"/>
        </w:rPr>
      </w:pPr>
    </w:p>
    <w:p>
      <w:pPr>
        <w:rPr>
          <w:rFonts w:hint="eastAsia" w:hAnsi="宋体"/>
          <w:b/>
          <w:color w:val="auto"/>
          <w:sz w:val="30"/>
          <w:szCs w:val="30"/>
          <w:highlight w:val="none"/>
        </w:rPr>
      </w:pPr>
      <w:r>
        <w:rPr>
          <w:rFonts w:hint="eastAsia" w:hAnsi="宋体"/>
          <w:b/>
          <w:color w:val="auto"/>
          <w:sz w:val="30"/>
          <w:szCs w:val="30"/>
          <w:highlight w:val="none"/>
        </w:rPr>
        <w:br w:type="page"/>
      </w:r>
    </w:p>
    <w:p>
      <w:pPr>
        <w:pStyle w:val="14"/>
        <w:snapToGrid w:val="0"/>
        <w:spacing w:before="120" w:beforeLines="0" w:after="120" w:afterLines="0" w:line="240" w:lineRule="auto"/>
        <w:jc w:val="center"/>
        <w:outlineLvl w:val="0"/>
        <w:rPr>
          <w:rFonts w:hint="eastAsia" w:hAnsi="宋体"/>
          <w:b/>
          <w:color w:val="auto"/>
          <w:sz w:val="30"/>
          <w:szCs w:val="30"/>
          <w:highlight w:val="none"/>
        </w:rPr>
      </w:pPr>
      <w:r>
        <w:rPr>
          <w:rFonts w:hint="eastAsia" w:hAnsi="宋体"/>
          <w:b/>
          <w:color w:val="auto"/>
          <w:sz w:val="30"/>
          <w:szCs w:val="30"/>
          <w:highlight w:val="none"/>
        </w:rPr>
        <w:t>第五章  开标和评标须知</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一、开标</w:t>
      </w:r>
    </w:p>
    <w:p>
      <w:pPr>
        <w:snapToGrid w:val="0"/>
        <w:spacing w:line="420" w:lineRule="exact"/>
        <w:ind w:firstLine="382" w:firstLineChars="182"/>
        <w:outlineLvl w:val="1"/>
        <w:rPr>
          <w:rFonts w:hint="eastAsia"/>
          <w:color w:val="auto"/>
          <w:highlight w:val="none"/>
        </w:rPr>
      </w:pPr>
      <w:r>
        <w:rPr>
          <w:rFonts w:hint="eastAsia"/>
          <w:color w:val="auto"/>
          <w:sz w:val="21"/>
          <w:szCs w:val="21"/>
          <w:highlight w:val="none"/>
        </w:rPr>
        <w:t>1.1、疫情期间：开标现场人员由公证处、项目经办人 1 名、代理监督人员 1 名、采购人（采购人代表和采购人监督人员各 1 名）及评审专家组成。所有人员进入评标室前均须测量体温，经酒精消毒，领取医用一次性口罩、手套并佩戴完毕。</w:t>
      </w:r>
    </w:p>
    <w:p>
      <w:pPr>
        <w:snapToGrid w:val="0"/>
        <w:spacing w:line="420" w:lineRule="exact"/>
        <w:ind w:firstLine="382" w:firstLineChars="182"/>
        <w:outlineLvl w:val="1"/>
        <w:rPr>
          <w:rFonts w:hint="eastAsia"/>
          <w:b/>
          <w:bCs/>
          <w:color w:val="auto"/>
          <w:sz w:val="21"/>
          <w:szCs w:val="21"/>
          <w:highlight w:val="none"/>
        </w:rPr>
      </w:pPr>
      <w:r>
        <w:rPr>
          <w:rFonts w:hint="eastAsia"/>
          <w:color w:val="auto"/>
          <w:sz w:val="21"/>
          <w:szCs w:val="21"/>
          <w:highlight w:val="none"/>
        </w:rPr>
        <w:t>1.2 招标人在采购文件规定的时间和地点公开开标，</w:t>
      </w:r>
      <w:r>
        <w:rPr>
          <w:rFonts w:hint="eastAsia"/>
          <w:color w:val="auto"/>
          <w:sz w:val="21"/>
          <w:szCs w:val="21"/>
          <w:highlight w:val="none"/>
          <w:lang w:eastAsia="zh-CN"/>
        </w:rPr>
        <w:t>浙江展图工程咨询有限公司</w:t>
      </w:r>
      <w:r>
        <w:rPr>
          <w:rFonts w:hint="eastAsia"/>
          <w:color w:val="auto"/>
          <w:sz w:val="21"/>
          <w:szCs w:val="21"/>
          <w:highlight w:val="none"/>
        </w:rPr>
        <w:t>将按照招标文件规定的时间、地点和程序组织评标，各评审专家及相关人员应参加评审活动并接受核验、签到，无关人员不得进入评审现场。</w:t>
      </w:r>
      <w:r>
        <w:rPr>
          <w:rFonts w:hint="eastAsia"/>
          <w:b/>
          <w:bCs/>
          <w:color w:val="auto"/>
          <w:sz w:val="21"/>
          <w:szCs w:val="21"/>
          <w:highlight w:val="none"/>
        </w:rPr>
        <w:t>投标截止时间后，投标人登录政采云平台，用“项目采购-开标评标”功能对电子响应文件进行在线解密。在线解密电子响应文件时间为开标时间起半个小时内。</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二、评标委员会</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2.1 招标人将根据招标采购项目的特点组成评标委员会。评标委员会对投标文件进行审查、质疑、评估和比较。</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2.2 询标期间，投标人法定代表人或其委托代理人必须在场。</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三、对投标文件的审查和响应性的确定</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3.1 开标后，招标人将组织审查投标文件是否完整，文件是否恰当地签署。</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3.2对于投标文件中不构成实质性偏差的不正规、不一致或不规则，招标人可以接受，但这种接受不能损害或影响任何投标人的相对排序。</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3.3在详细评标之前，根据本须知第3.4条的规定，招标人要审查每份投标文件是否实质上响应了采购文件的要求。实质上响应的投标应该是与采购文件要求的全部条款、条件和规格相符，没有重大偏离的投标。对关键条文的偏离、保留或反对，例如关于“【★】”条款及特别说明为强制性要求的偏离将被认为是实质上的偏离。评标委员会决定投标的响应性只根据投标文件的内容，而不寻求外部的证据。</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3.4 实质上没有响应采购文件要求的投标将被拒绝。投标人不得通过修改或撤消不符合要求的偏离或保留从而使其投标成为实质上响应的投标。</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如发现下列情况之一的，其投标将被拒绝或无效：</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3.5.1未按采购文件规定提供相关文件，如资格证明、身份证明等；提供虚假资料的（含中标后查实的）。超出经营范围投标的。</w:t>
      </w:r>
    </w:p>
    <w:p>
      <w:pPr>
        <w:widowControl/>
        <w:spacing w:line="360" w:lineRule="exact"/>
        <w:ind w:firstLine="420"/>
        <w:jc w:val="left"/>
        <w:rPr>
          <w:rFonts w:hint="eastAsia"/>
          <w:color w:val="auto"/>
          <w:sz w:val="21"/>
          <w:szCs w:val="21"/>
          <w:highlight w:val="none"/>
        </w:rPr>
      </w:pPr>
      <w:r>
        <w:rPr>
          <w:rFonts w:hint="eastAsia"/>
          <w:color w:val="auto"/>
          <w:sz w:val="21"/>
          <w:szCs w:val="21"/>
          <w:highlight w:val="none"/>
        </w:rPr>
        <w:t>3.5.2</w:t>
      </w:r>
      <w:r>
        <w:rPr>
          <w:rFonts w:hint="eastAsia"/>
          <w:color w:val="auto"/>
          <w:sz w:val="21"/>
          <w:szCs w:val="21"/>
          <w:highlight w:val="none"/>
          <w:u w:val="single"/>
        </w:rPr>
        <w:t>投标文件不符合采购文件规定，未按规定格式填写，内容不全或关键字迹模糊、无法辨认的。涂改文件、伪造或编造投标文件的。</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3.5.3借用或冒用他人名义或证件投标的。</w:t>
      </w:r>
    </w:p>
    <w:p>
      <w:pPr>
        <w:snapToGrid w:val="0"/>
        <w:spacing w:line="420" w:lineRule="exact"/>
        <w:ind w:firstLine="382" w:firstLineChars="182"/>
        <w:outlineLvl w:val="1"/>
        <w:rPr>
          <w:rFonts w:hint="eastAsia"/>
          <w:strike/>
          <w:color w:val="auto"/>
          <w:sz w:val="21"/>
          <w:szCs w:val="21"/>
          <w:highlight w:val="none"/>
        </w:rPr>
      </w:pPr>
      <w:r>
        <w:rPr>
          <w:rFonts w:hint="eastAsia"/>
          <w:color w:val="auto"/>
          <w:sz w:val="21"/>
          <w:szCs w:val="21"/>
          <w:highlight w:val="none"/>
        </w:rPr>
        <w:t>3.5.4投标人逾期送达投标文件。</w:t>
      </w:r>
    </w:p>
    <w:p>
      <w:pPr>
        <w:widowControl/>
        <w:spacing w:line="360" w:lineRule="exact"/>
        <w:ind w:firstLine="420"/>
        <w:jc w:val="left"/>
        <w:rPr>
          <w:rFonts w:hint="eastAsia"/>
          <w:color w:val="auto"/>
          <w:sz w:val="21"/>
          <w:szCs w:val="21"/>
          <w:highlight w:val="none"/>
          <w:u w:val="single"/>
        </w:rPr>
      </w:pPr>
      <w:r>
        <w:rPr>
          <w:rFonts w:hint="eastAsia"/>
          <w:color w:val="auto"/>
          <w:sz w:val="21"/>
          <w:szCs w:val="21"/>
          <w:highlight w:val="none"/>
        </w:rPr>
        <w:t>3.5.5</w:t>
      </w:r>
      <w:r>
        <w:rPr>
          <w:rFonts w:hint="eastAsia"/>
          <w:color w:val="auto"/>
          <w:sz w:val="21"/>
          <w:szCs w:val="21"/>
          <w:highlight w:val="none"/>
          <w:u w:val="single"/>
        </w:rPr>
        <w:t>未按采购文件的要求签字或盖章的（仅限于单位印章和法定代表人或其委托代理人签字）。</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3.5.6 参投货物的技术商务或价格与采购文件偏离的部分，不能使采购人满意，或实质上不响应采购文件的。</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3.5.7技术商务标中体现或包含投标报价。</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3.5.8投标中不同投标人的投标文件出现雷同或相似（包括部分雷同或相似），对所有雷同或相似投标人按废标处理，采购人将保留进一步追究责任的权利。</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3.5.9投标人递交二份内容不同的投标文件，或在一份投标文件中对同一项目有二个或多个报价，且未声明哪个有效的。按照采购文件规定提交备选投标人方案的除外。</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3.5.10投标人名称或组织结构与资格审查时不一致，投标人不以自己真正身份参加投标，以挂户或以他人名义参与投标的。投标人不具备独立法人资格或不具有独立承担民事责任能力的（如分公司、办事处等）。投标人参加采购活动前三年内在经济活动中有重大违法记录的。</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3.5.11未实质性响应采购文件要求或者投标文件有招标人不能接受的附加条件的。</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3.5.12投标人的报价超过最高限价的和其它不符合《政府采购法》或省、市有关政府采购法律、法规要求的。</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四、投标文件的澄清</w:t>
      </w:r>
    </w:p>
    <w:p>
      <w:pPr>
        <w:spacing w:line="334" w:lineRule="exact"/>
        <w:ind w:left="40" w:right="120" w:firstLine="616"/>
        <w:rPr>
          <w:rFonts w:hint="eastAsia"/>
          <w:color w:val="auto"/>
          <w:sz w:val="21"/>
          <w:szCs w:val="21"/>
          <w:highlight w:val="none"/>
        </w:rPr>
      </w:pPr>
      <w:r>
        <w:rPr>
          <w:rFonts w:hint="eastAsia"/>
          <w:color w:val="auto"/>
          <w:sz w:val="21"/>
          <w:szCs w:val="21"/>
          <w:highlight w:val="none"/>
        </w:rPr>
        <w:t>在评标期间，评标委员会可要求投标人对其投标文件进行澄清，但不得寻求、提供或允许对投标价格等实质性内容做任何更改。有关澄清的要求和答复均通过电子化招标平台进行。</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五、对投标文件的评估和比较</w:t>
      </w:r>
    </w:p>
    <w:p>
      <w:pPr>
        <w:snapToGrid w:val="0"/>
        <w:spacing w:line="420" w:lineRule="exact"/>
        <w:ind w:firstLine="382" w:firstLineChars="182"/>
        <w:outlineLvl w:val="1"/>
        <w:rPr>
          <w:rFonts w:hint="eastAsia"/>
          <w:b/>
          <w:bCs/>
          <w:color w:val="auto"/>
          <w:sz w:val="21"/>
          <w:szCs w:val="21"/>
          <w:highlight w:val="none"/>
        </w:rPr>
      </w:pPr>
      <w:r>
        <w:rPr>
          <w:rFonts w:hint="eastAsia"/>
          <w:color w:val="auto"/>
          <w:sz w:val="21"/>
          <w:szCs w:val="21"/>
          <w:highlight w:val="none"/>
        </w:rPr>
        <w:t>5.1 由评标委员会对各投标书的全部内容进行审阅，并确定各投标文件是否合格有效。凡是对采购文件的实质性要约内容不作响应的投标，将被视为不合格的投标，而不予接受。经过审标，对其投标书中须要进行澄清的问题，将由评标委员会向投标人进行询标，投标人应接受询标、澄清；其记录须经投标人的委托代理人审阅签字，并应视作投标书的补充，对投标人具有约束力。</w:t>
      </w:r>
      <w:r>
        <w:rPr>
          <w:rFonts w:hint="eastAsia"/>
          <w:b/>
          <w:bCs/>
          <w:color w:val="auto"/>
          <w:sz w:val="21"/>
          <w:szCs w:val="21"/>
          <w:highlight w:val="none"/>
        </w:rPr>
        <w:t>评标过程中如发现有异常情况，由评委集体讨论决定。</w:t>
      </w:r>
    </w:p>
    <w:p>
      <w:pPr>
        <w:snapToGrid w:val="0"/>
        <w:spacing w:line="420" w:lineRule="exact"/>
        <w:ind w:firstLine="384" w:firstLineChars="182"/>
        <w:outlineLvl w:val="1"/>
        <w:rPr>
          <w:rFonts w:hint="eastAsia"/>
          <w:b/>
          <w:color w:val="auto"/>
          <w:sz w:val="21"/>
          <w:szCs w:val="21"/>
          <w:highlight w:val="none"/>
        </w:rPr>
      </w:pPr>
      <w:r>
        <w:rPr>
          <w:rFonts w:hint="eastAsia"/>
          <w:b/>
          <w:color w:val="auto"/>
          <w:sz w:val="21"/>
          <w:szCs w:val="21"/>
          <w:highlight w:val="none"/>
        </w:rPr>
        <w:t>5.2若本项目采购响应（指投标或谈判、报价）截止时间止及评审期间，出现有效供应商不足3家的，将依法重新组织采购活动或经评标委员会评审本次投标仍具有竞争力的，经采购人申请可继续采用原方式采购或者其他采购方式组织采购。</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5.3在审标、询标及调查考核的基础上，评标委员会按照平等、客观、公正的原则，先评技术商务标（含资信与服务），并选定入围供应商，再评价格标，审查价格标及其组价是否合理,最后按技术商务标、价格标情况，对招标项目做出评标结论，按本项目评标办法细则确定为中标供应商。（《评标细则》见后）</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六、保密</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6.1 在开标、投标期间，投标人不得向评标委员会成员询问评标情况，不得进行旨在影响评标结果的活动。</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6.2 为保证定标的公正性，在评标过程中，评标成员不得与投标人私人交换意见。在招标工作结束后，凡与评标情况有接触的任何人不得也不应将评标情况扩散出评标成员之外。</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6.3 评标委员会不向落标方解释未中标原因，不退还投标文件。</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七、定标</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7.1评标结束后，由采购人确认评标结果并报兰溪市政府采购监督管理办公室备案，中标人应在2个工作日内供应商通过邮寄方式发送《中标通知书》。如有投标人对评标结果提出质疑的，采购人可在质疑处理完毕后确定中标人。</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7.2 《中标通知书》将作为签订合同的重要依据。</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八、签订合同</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 xml:space="preserve">8.1中标人按《中标通知书》指定的时间、地点与采购人签订合同。同时，采购代理机构对合同内容进行审查，如发现与采购结果和投标承诺内容不一致的，应予以纠正。 </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8.2采购文件、中标人的投标文件及澄清文件等，均为签订采购合同的依据。</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8.3中标人拖延、拒签合同的,取消中标资格。</w:t>
      </w:r>
    </w:p>
    <w:p>
      <w:pPr>
        <w:snapToGrid w:val="0"/>
        <w:spacing w:line="420" w:lineRule="exact"/>
        <w:ind w:firstLine="382" w:firstLineChars="182"/>
        <w:outlineLvl w:val="1"/>
        <w:rPr>
          <w:rFonts w:hint="eastAsia"/>
          <w:color w:val="auto"/>
          <w:sz w:val="21"/>
          <w:szCs w:val="21"/>
          <w:highlight w:val="none"/>
        </w:rPr>
      </w:pPr>
    </w:p>
    <w:p>
      <w:pPr>
        <w:snapToGrid w:val="0"/>
        <w:spacing w:line="420" w:lineRule="exact"/>
        <w:ind w:firstLine="382" w:firstLineChars="182"/>
        <w:outlineLvl w:val="1"/>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pStyle w:val="20"/>
        <w:widowControl w:val="0"/>
        <w:snapToGrid w:val="0"/>
        <w:spacing w:before="156" w:beforeLines="50" w:beforeAutospacing="0" w:after="156" w:afterLines="50" w:afterAutospacing="0"/>
        <w:jc w:val="both"/>
        <w:outlineLvl w:val="0"/>
        <w:rPr>
          <w:rFonts w:hint="eastAsia"/>
          <w:color w:val="auto"/>
          <w:sz w:val="21"/>
          <w:szCs w:val="21"/>
          <w:highlight w:val="none"/>
        </w:rPr>
      </w:pPr>
    </w:p>
    <w:p>
      <w:pPr>
        <w:rPr>
          <w:rFonts w:hint="eastAsia"/>
          <w:color w:val="auto"/>
          <w:sz w:val="21"/>
          <w:szCs w:val="21"/>
          <w:highlight w:val="none"/>
        </w:rPr>
      </w:pPr>
      <w:r>
        <w:rPr>
          <w:rFonts w:hint="eastAsia"/>
          <w:color w:val="auto"/>
          <w:sz w:val="21"/>
          <w:szCs w:val="21"/>
          <w:highlight w:val="none"/>
        </w:rPr>
        <w:br w:type="page"/>
      </w:r>
    </w:p>
    <w:p>
      <w:pPr>
        <w:pStyle w:val="14"/>
        <w:numPr>
          <w:ilvl w:val="0"/>
          <w:numId w:val="4"/>
        </w:numPr>
        <w:snapToGrid w:val="0"/>
        <w:spacing w:before="120" w:beforeLines="0" w:after="120" w:afterLines="0" w:line="240" w:lineRule="auto"/>
        <w:jc w:val="center"/>
        <w:outlineLvl w:val="0"/>
        <w:rPr>
          <w:rFonts w:hint="eastAsia" w:hAnsi="宋体"/>
          <w:b/>
          <w:color w:val="auto"/>
          <w:sz w:val="30"/>
          <w:szCs w:val="30"/>
          <w:highlight w:val="none"/>
        </w:rPr>
      </w:pPr>
      <w:r>
        <w:rPr>
          <w:rFonts w:hint="eastAsia" w:hAnsi="宋体"/>
          <w:b/>
          <w:color w:val="auto"/>
          <w:sz w:val="30"/>
          <w:szCs w:val="30"/>
          <w:highlight w:val="none"/>
        </w:rPr>
        <w:t xml:space="preserve"> 评 标 细 则</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根据《中华人民共和国政府采购法》、《中华人民共和国招标投标法》《浙江省财政厅关于印发浙江省政府采购项目电子交易管理暂行办法的通知》（浙财采监〔2019〕10 号）以及兰溪市的有关规定，更好地做到公开、公平、公正，结合本次招标的特点，特制定本评标定标办法。</w:t>
      </w:r>
    </w:p>
    <w:p>
      <w:pPr>
        <w:snapToGrid w:val="0"/>
        <w:spacing w:line="420" w:lineRule="exact"/>
        <w:ind w:firstLine="384" w:firstLineChars="182"/>
        <w:outlineLvl w:val="1"/>
        <w:rPr>
          <w:rFonts w:hint="eastAsia"/>
          <w:b/>
          <w:color w:val="auto"/>
          <w:sz w:val="21"/>
          <w:szCs w:val="21"/>
          <w:highlight w:val="none"/>
        </w:rPr>
      </w:pPr>
      <w:r>
        <w:rPr>
          <w:rFonts w:hint="eastAsia"/>
          <w:b/>
          <w:color w:val="auto"/>
          <w:sz w:val="21"/>
          <w:szCs w:val="21"/>
          <w:highlight w:val="none"/>
        </w:rPr>
        <w:t>一 、评标组织</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评标委员会由采购人代表和评审专家组成。</w:t>
      </w:r>
    </w:p>
    <w:p>
      <w:pPr>
        <w:snapToGrid w:val="0"/>
        <w:spacing w:line="420" w:lineRule="exact"/>
        <w:ind w:firstLine="384" w:firstLineChars="182"/>
        <w:outlineLvl w:val="1"/>
        <w:rPr>
          <w:rFonts w:hint="eastAsia"/>
          <w:b/>
          <w:color w:val="auto"/>
          <w:sz w:val="21"/>
          <w:szCs w:val="21"/>
          <w:highlight w:val="none"/>
        </w:rPr>
      </w:pPr>
      <w:r>
        <w:rPr>
          <w:rFonts w:hint="eastAsia"/>
          <w:b/>
          <w:color w:val="auto"/>
          <w:sz w:val="21"/>
          <w:szCs w:val="21"/>
          <w:highlight w:val="none"/>
        </w:rPr>
        <w:t>二 、评（定）标方法</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本次评标采</w:t>
      </w:r>
      <w:r>
        <w:rPr>
          <w:rFonts w:hint="eastAsia"/>
          <w:bCs/>
          <w:color w:val="auto"/>
          <w:sz w:val="21"/>
          <w:szCs w:val="21"/>
          <w:highlight w:val="none"/>
        </w:rPr>
        <w:t>用</w:t>
      </w:r>
      <w:r>
        <w:rPr>
          <w:rFonts w:hint="eastAsia"/>
          <w:b/>
          <w:bCs/>
          <w:color w:val="auto"/>
          <w:sz w:val="21"/>
          <w:szCs w:val="21"/>
          <w:highlight w:val="none"/>
        </w:rPr>
        <w:t>综合评分法</w:t>
      </w:r>
      <w:r>
        <w:rPr>
          <w:rFonts w:hint="eastAsia"/>
          <w:color w:val="auto"/>
          <w:sz w:val="21"/>
          <w:szCs w:val="21"/>
          <w:highlight w:val="none"/>
        </w:rPr>
        <w:t>，评标委员会首先对投标书的完整性、符合性、响应性等进行审查。凡不符合有关规定或不响应采购文件要求的投标文件将不进入评标范围。评标专家组以开标、审标、询标情况为基本依据，对有效的投标文件及其投标人按评标内容进行分析、评议，确定合格中标人，先评技术商务标得分（含资信</w:t>
      </w:r>
      <w:r>
        <w:rPr>
          <w:rFonts w:hint="eastAsia"/>
          <w:color w:val="auto"/>
          <w:sz w:val="21"/>
          <w:szCs w:val="21"/>
          <w:highlight w:val="none"/>
          <w:lang w:eastAsia="zh-CN"/>
        </w:rPr>
        <w:t>、</w:t>
      </w:r>
      <w:r>
        <w:rPr>
          <w:rFonts w:hint="eastAsia"/>
          <w:color w:val="auto"/>
          <w:sz w:val="21"/>
          <w:szCs w:val="21"/>
          <w:highlight w:val="none"/>
          <w:lang w:val="en-US" w:eastAsia="zh-CN"/>
        </w:rPr>
        <w:t>技术和演示</w:t>
      </w:r>
      <w:r>
        <w:rPr>
          <w:rFonts w:hint="eastAsia"/>
          <w:color w:val="auto"/>
          <w:sz w:val="21"/>
          <w:szCs w:val="21"/>
          <w:highlight w:val="none"/>
        </w:rPr>
        <w:t>），后再开价格标，取合格投标人中投标价格最终最低的投标报价为评标基准价，对合格的投标人进行商务分计算，以二项总分最高为中标人（总得分相同的，按投标报价由低到高顺序排列；技术商务分与投标报价都相同的，抽签决定中标单位）。中标人因不可抗力或者自身原因不能履行采购合同的，采购人可以与排位在中标人之后第一位的中标候选人签订采购合同，以此类推或重新招标。</w:t>
      </w:r>
    </w:p>
    <w:p>
      <w:pPr>
        <w:snapToGrid w:val="0"/>
        <w:spacing w:line="420" w:lineRule="exact"/>
        <w:ind w:firstLine="384" w:firstLineChars="182"/>
        <w:outlineLvl w:val="1"/>
        <w:rPr>
          <w:rFonts w:hint="eastAsia"/>
          <w:b/>
          <w:color w:val="auto"/>
          <w:sz w:val="21"/>
          <w:szCs w:val="21"/>
          <w:highlight w:val="none"/>
        </w:rPr>
      </w:pPr>
      <w:r>
        <w:rPr>
          <w:rFonts w:hint="eastAsia"/>
          <w:b/>
          <w:color w:val="auto"/>
          <w:sz w:val="21"/>
          <w:szCs w:val="21"/>
          <w:highlight w:val="none"/>
        </w:rPr>
        <w:t>三、技术商务标评定（满分为</w:t>
      </w:r>
      <w:r>
        <w:rPr>
          <w:rFonts w:hint="eastAsia"/>
          <w:b/>
          <w:color w:val="auto"/>
          <w:sz w:val="21"/>
          <w:szCs w:val="21"/>
          <w:highlight w:val="none"/>
          <w:lang w:val="en-US" w:eastAsia="zh-CN"/>
        </w:rPr>
        <w:t>80</w:t>
      </w:r>
      <w:r>
        <w:rPr>
          <w:rFonts w:hint="eastAsia"/>
          <w:b/>
          <w:color w:val="auto"/>
          <w:sz w:val="21"/>
          <w:szCs w:val="21"/>
          <w:highlight w:val="none"/>
        </w:rPr>
        <w:t>分）</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（1）技术商务分设</w:t>
      </w:r>
      <w:r>
        <w:rPr>
          <w:rFonts w:hint="eastAsia"/>
          <w:b w:val="0"/>
          <w:bCs/>
          <w:color w:val="auto"/>
          <w:sz w:val="21"/>
          <w:szCs w:val="21"/>
          <w:highlight w:val="none"/>
        </w:rPr>
        <w:t>置为</w:t>
      </w:r>
      <w:r>
        <w:rPr>
          <w:rFonts w:hint="eastAsia"/>
          <w:b/>
          <w:color w:val="auto"/>
          <w:sz w:val="21"/>
          <w:szCs w:val="21"/>
          <w:highlight w:val="none"/>
          <w:lang w:val="en-US" w:eastAsia="zh-CN"/>
        </w:rPr>
        <w:t>80</w:t>
      </w:r>
      <w:r>
        <w:rPr>
          <w:rFonts w:hint="eastAsia"/>
          <w:b/>
          <w:color w:val="auto"/>
          <w:sz w:val="21"/>
          <w:szCs w:val="21"/>
          <w:highlight w:val="none"/>
        </w:rPr>
        <w:t>分</w:t>
      </w:r>
      <w:r>
        <w:rPr>
          <w:rFonts w:hint="eastAsia"/>
          <w:color w:val="auto"/>
          <w:sz w:val="21"/>
          <w:szCs w:val="21"/>
          <w:highlight w:val="none"/>
        </w:rPr>
        <w:t>，分值分配见以下表格。评标委员会根据表格，对该标项各投标单位的技术商务标进行书面审核和评论后，由各成员独立酌情给分，打分时保留小数1位，每人一份评分表，并签名。在统计得分时，如果发现某一单项评分超过评分细则规定的分值范围，则该张评分表无效。投标人技术商务标（含资信</w:t>
      </w:r>
      <w:r>
        <w:rPr>
          <w:rFonts w:hint="eastAsia"/>
          <w:color w:val="auto"/>
          <w:sz w:val="21"/>
          <w:szCs w:val="21"/>
          <w:highlight w:val="none"/>
          <w:lang w:eastAsia="zh-CN"/>
        </w:rPr>
        <w:t>、</w:t>
      </w:r>
      <w:r>
        <w:rPr>
          <w:rFonts w:hint="eastAsia"/>
          <w:color w:val="auto"/>
          <w:sz w:val="21"/>
          <w:szCs w:val="21"/>
          <w:highlight w:val="none"/>
          <w:lang w:val="en-US" w:eastAsia="zh-CN"/>
        </w:rPr>
        <w:t>技术和演示</w:t>
      </w:r>
      <w:r>
        <w:rPr>
          <w:rFonts w:hint="eastAsia"/>
          <w:color w:val="auto"/>
          <w:sz w:val="21"/>
          <w:szCs w:val="21"/>
          <w:highlight w:val="none"/>
        </w:rPr>
        <w:t>）最终得分为评标成员的有效评分的算术平均值。计算时保留小数2位。</w:t>
      </w:r>
    </w:p>
    <w:p>
      <w:pPr>
        <w:snapToGrid w:val="0"/>
        <w:spacing w:line="420" w:lineRule="exact"/>
        <w:ind w:firstLine="420" w:firstLineChars="200"/>
        <w:outlineLvl w:val="1"/>
        <w:rPr>
          <w:rFonts w:hint="eastAsia"/>
          <w:color w:val="auto"/>
          <w:sz w:val="21"/>
          <w:szCs w:val="21"/>
          <w:highlight w:val="none"/>
        </w:rPr>
      </w:pPr>
      <w:r>
        <w:rPr>
          <w:rFonts w:hint="eastAsia"/>
          <w:color w:val="auto"/>
          <w:sz w:val="21"/>
          <w:szCs w:val="21"/>
          <w:highlight w:val="none"/>
        </w:rPr>
        <w:t>（2）评分标准</w:t>
      </w:r>
    </w:p>
    <w:tbl>
      <w:tblPr>
        <w:tblStyle w:val="22"/>
        <w:tblW w:w="9405" w:type="dxa"/>
        <w:tblInd w:w="-354" w:type="dxa"/>
        <w:tblLayout w:type="fixed"/>
        <w:tblCellMar>
          <w:top w:w="0" w:type="dxa"/>
          <w:left w:w="0" w:type="dxa"/>
          <w:bottom w:w="0" w:type="dxa"/>
          <w:right w:w="0" w:type="dxa"/>
        </w:tblCellMar>
      </w:tblPr>
      <w:tblGrid>
        <w:gridCol w:w="840"/>
        <w:gridCol w:w="1675"/>
        <w:gridCol w:w="5710"/>
        <w:gridCol w:w="40"/>
        <w:gridCol w:w="5"/>
        <w:gridCol w:w="1135"/>
      </w:tblGrid>
      <w:tr>
        <w:tblPrEx>
          <w:tblCellMar>
            <w:top w:w="0" w:type="dxa"/>
            <w:left w:w="0" w:type="dxa"/>
            <w:bottom w:w="0" w:type="dxa"/>
            <w:right w:w="0" w:type="dxa"/>
          </w:tblCellMar>
        </w:tblPrEx>
        <w:trPr>
          <w:trHeight w:val="57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评审内容</w:t>
            </w:r>
          </w:p>
        </w:tc>
        <w:tc>
          <w:tcPr>
            <w:tcW w:w="575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w:t>
            </w:r>
          </w:p>
        </w:tc>
      </w:tr>
      <w:tr>
        <w:tblPrEx>
          <w:tblCellMar>
            <w:top w:w="0" w:type="dxa"/>
            <w:left w:w="0" w:type="dxa"/>
            <w:bottom w:w="0" w:type="dxa"/>
            <w:right w:w="0" w:type="dxa"/>
          </w:tblCellMar>
        </w:tblPrEx>
        <w:trPr>
          <w:trHeight w:val="501" w:hRule="atLeast"/>
        </w:trPr>
        <w:tc>
          <w:tcPr>
            <w:tcW w:w="9405" w:type="dxa"/>
            <w:gridSpan w:val="6"/>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jc w:val="center"/>
              <w:textAlignment w:val="auto"/>
              <w:outlineLvl w:val="1"/>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资信</w:t>
            </w:r>
            <w:r>
              <w:rPr>
                <w:rFonts w:hint="eastAsia" w:ascii="宋体" w:hAnsi="宋体" w:eastAsia="宋体" w:cs="宋体"/>
                <w:color w:val="auto"/>
                <w:sz w:val="21"/>
                <w:szCs w:val="21"/>
                <w:highlight w:val="none"/>
              </w:rPr>
              <w:t>部分</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r>
      <w:tr>
        <w:tblPrEx>
          <w:tblCellMar>
            <w:top w:w="0" w:type="dxa"/>
            <w:left w:w="0" w:type="dxa"/>
            <w:bottom w:w="0" w:type="dxa"/>
            <w:right w:w="0" w:type="dxa"/>
          </w:tblCellMar>
        </w:tblPrEx>
        <w:trPr>
          <w:trHeight w:val="90" w:hRule="atLeast"/>
        </w:trPr>
        <w:tc>
          <w:tcPr>
            <w:tcW w:w="84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167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公司实力</w:t>
            </w:r>
          </w:p>
        </w:tc>
        <w:tc>
          <w:tcPr>
            <w:tcW w:w="57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1、具有ISO20000</w:t>
            </w:r>
            <w:r>
              <w:rPr>
                <w:rFonts w:hint="eastAsia" w:ascii="宋体" w:hAnsi="宋体" w:cs="宋体"/>
                <w:color w:val="auto"/>
                <w:sz w:val="21"/>
                <w:szCs w:val="21"/>
                <w:highlight w:val="none"/>
                <w:lang w:val="en-US" w:eastAsia="zh-CN"/>
              </w:rPr>
              <w:t>信息技术</w:t>
            </w:r>
            <w:r>
              <w:rPr>
                <w:rFonts w:hint="eastAsia" w:ascii="宋体" w:hAnsi="宋体" w:eastAsia="宋体" w:cs="宋体"/>
                <w:color w:val="auto"/>
                <w:sz w:val="21"/>
                <w:szCs w:val="21"/>
                <w:highlight w:val="none"/>
                <w:lang w:val="en-US" w:eastAsia="zh-CN"/>
              </w:rPr>
              <w:t>服务管理体系、ISO27001信息安全管理体系、ISO14001环境管理体系、ISO9001质量管理体系等管理体系认证证书。每提供一个得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分，最高得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2、具有测绘资质证书</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安防工程企业设计施工维护能力证书</w:t>
            </w:r>
            <w:r>
              <w:rPr>
                <w:rFonts w:hint="eastAsia" w:ascii="宋体" w:hAnsi="宋体" w:cs="宋体"/>
                <w:color w:val="auto"/>
                <w:sz w:val="21"/>
                <w:szCs w:val="21"/>
                <w:highlight w:val="none"/>
                <w:lang w:val="en-US" w:eastAsia="zh-CN"/>
              </w:rPr>
              <w:t>、安全技术防范证书或</w:t>
            </w:r>
            <w:r>
              <w:rPr>
                <w:rFonts w:hint="eastAsia" w:ascii="宋体" w:hAnsi="宋体" w:eastAsia="宋体" w:cs="宋体"/>
                <w:color w:val="auto"/>
                <w:sz w:val="21"/>
                <w:szCs w:val="21"/>
                <w:highlight w:val="none"/>
                <w:lang w:val="en-US" w:eastAsia="zh-CN"/>
              </w:rPr>
              <w:t>涉密信息系统集成资质</w:t>
            </w:r>
            <w:r>
              <w:rPr>
                <w:rFonts w:hint="eastAsia" w:ascii="宋体" w:hAnsi="宋体" w:cs="宋体"/>
                <w:color w:val="auto"/>
                <w:sz w:val="21"/>
                <w:szCs w:val="21"/>
                <w:highlight w:val="none"/>
                <w:lang w:val="en-US" w:eastAsia="zh-CN"/>
              </w:rPr>
              <w:t>证书的，每个得1分，最高得4分</w:t>
            </w:r>
            <w:r>
              <w:rPr>
                <w:rFonts w:hint="eastAsia" w:ascii="宋体" w:hAnsi="宋体" w:eastAsia="宋体" w:cs="宋体"/>
                <w:color w:val="auto"/>
                <w:sz w:val="21"/>
                <w:szCs w:val="21"/>
                <w:highlight w:val="none"/>
                <w:lang w:val="en-US" w:eastAsia="zh-CN"/>
              </w:rPr>
              <w:t>。</w:t>
            </w:r>
          </w:p>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、投标人参与智慧化工园区建设指南国家标准起草工作并成功发布得1分，没有不得分。</w:t>
            </w:r>
          </w:p>
          <w:p>
            <w:pPr>
              <w:pStyle w:val="2"/>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kern w:val="2"/>
                <w:sz w:val="21"/>
                <w:szCs w:val="21"/>
                <w:highlight w:val="none"/>
                <w:lang w:val="en-US" w:eastAsia="zh-CN" w:bidi="ar-SA"/>
              </w:rPr>
              <w:t>（须提供相关证明证书原件</w:t>
            </w:r>
            <w:r>
              <w:rPr>
                <w:rFonts w:hint="eastAsia" w:hAnsi="宋体" w:cs="宋体"/>
                <w:b/>
                <w:bCs/>
                <w:color w:val="auto"/>
                <w:kern w:val="2"/>
                <w:sz w:val="21"/>
                <w:szCs w:val="21"/>
                <w:highlight w:val="none"/>
                <w:lang w:val="en-US" w:eastAsia="zh-CN" w:bidi="ar-SA"/>
              </w:rPr>
              <w:t>扫</w:t>
            </w:r>
            <w:r>
              <w:rPr>
                <w:rFonts w:hint="eastAsia" w:ascii="宋体" w:hAnsi="宋体" w:eastAsia="宋体" w:cs="宋体"/>
                <w:b/>
                <w:bCs/>
                <w:color w:val="auto"/>
                <w:kern w:val="2"/>
                <w:sz w:val="21"/>
                <w:szCs w:val="21"/>
                <w:highlight w:val="none"/>
                <w:lang w:val="en-US" w:eastAsia="zh-CN" w:bidi="ar-SA"/>
              </w:rPr>
              <w:t>描件，不提供不得分。各类证书、认证获取的时间需为本项目招标公告发布日之前，招标公告发布后获取的相关证书、认证不得分，如虚假应标则取消其中标资格</w:t>
            </w:r>
            <w:r>
              <w:rPr>
                <w:rFonts w:hint="eastAsia" w:hAnsi="宋体" w:cs="宋体"/>
                <w:b/>
                <w:bCs/>
                <w:color w:val="auto"/>
                <w:kern w:val="2"/>
                <w:sz w:val="21"/>
                <w:szCs w:val="21"/>
                <w:highlight w:val="none"/>
                <w:lang w:val="en-US" w:eastAsia="zh-CN" w:bidi="ar-SA"/>
              </w:rPr>
              <w:t>。</w:t>
            </w:r>
            <w:r>
              <w:rPr>
                <w:rFonts w:hint="eastAsia" w:ascii="宋体" w:hAnsi="宋体" w:eastAsia="宋体" w:cs="宋体"/>
                <w:b/>
                <w:bCs/>
                <w:color w:val="auto"/>
                <w:kern w:val="2"/>
                <w:sz w:val="21"/>
                <w:szCs w:val="21"/>
                <w:highlight w:val="none"/>
                <w:lang w:val="en-US" w:eastAsia="zh-CN" w:bidi="ar-SA"/>
              </w:rPr>
              <w:t>）</w:t>
            </w:r>
          </w:p>
        </w:tc>
        <w:tc>
          <w:tcPr>
            <w:tcW w:w="114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0-</w:t>
            </w:r>
            <w:r>
              <w:rPr>
                <w:rFonts w:hint="eastAsia" w:ascii="宋体" w:hAnsi="宋体" w:cs="宋体"/>
                <w:color w:val="auto"/>
                <w:kern w:val="2"/>
                <w:sz w:val="21"/>
                <w:szCs w:val="21"/>
                <w:highlight w:val="none"/>
                <w:lang w:val="en-US" w:eastAsia="zh-CN" w:bidi="ar-SA"/>
              </w:rPr>
              <w:t>9</w:t>
            </w:r>
          </w:p>
        </w:tc>
      </w:tr>
      <w:tr>
        <w:tblPrEx>
          <w:tblCellMar>
            <w:top w:w="0" w:type="dxa"/>
            <w:left w:w="0" w:type="dxa"/>
            <w:bottom w:w="0" w:type="dxa"/>
            <w:right w:w="0" w:type="dxa"/>
          </w:tblCellMar>
        </w:tblPrEx>
        <w:trPr>
          <w:trHeight w:val="90" w:hRule="atLeast"/>
        </w:trPr>
        <w:tc>
          <w:tcPr>
            <w:tcW w:w="840"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1675"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rPr>
              <w:t>软件产品成熟度</w:t>
            </w:r>
          </w:p>
        </w:tc>
        <w:tc>
          <w:tcPr>
            <w:tcW w:w="5750" w:type="dxa"/>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pStyle w:val="33"/>
              <w:numPr>
                <w:ilvl w:val="0"/>
                <w:numId w:val="0"/>
              </w:numPr>
              <w:adjustRightInd w:val="0"/>
              <w:spacing w:line="240" w:lineRule="auto"/>
              <w:ind w:leftChars="0"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kern w:val="2"/>
                <w:sz w:val="21"/>
                <w:szCs w:val="21"/>
                <w:highlight w:val="none"/>
                <w:lang w:val="en-US" w:eastAsia="zh-CN" w:bidi="ar-SA"/>
              </w:rPr>
              <w:t>具有CMMI软件成熟度五级得</w:t>
            </w: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分，四级得</w:t>
            </w:r>
            <w:r>
              <w:rPr>
                <w:rFonts w:hint="eastAsia" w:ascii="宋体" w:hAnsi="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US" w:eastAsia="zh-CN" w:bidi="ar-SA"/>
              </w:rPr>
              <w:t>分，三级得1分，其他不得分</w:t>
            </w:r>
            <w:r>
              <w:rPr>
                <w:rFonts w:hint="eastAsia" w:ascii="宋体" w:hAnsi="宋体" w:eastAsia="宋体" w:cs="宋体"/>
                <w:color w:val="auto"/>
                <w:sz w:val="21"/>
                <w:szCs w:val="21"/>
                <w:highlight w:val="none"/>
                <w:lang w:val="en-US" w:eastAsia="zh-CN"/>
              </w:rPr>
              <w:t>。</w:t>
            </w:r>
          </w:p>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2、软件著作权</w:t>
            </w:r>
          </w:p>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需提供安全隐患</w:t>
            </w:r>
            <w:r>
              <w:rPr>
                <w:rFonts w:hint="eastAsia" w:ascii="宋体" w:hAnsi="宋体" w:cs="宋体"/>
                <w:color w:val="auto"/>
                <w:sz w:val="21"/>
                <w:szCs w:val="21"/>
                <w:highlight w:val="none"/>
                <w:lang w:val="en-US" w:eastAsia="zh-CN"/>
              </w:rPr>
              <w:t>排查治理</w:t>
            </w:r>
            <w:r>
              <w:rPr>
                <w:rFonts w:hint="eastAsia" w:ascii="宋体" w:hAnsi="宋体" w:eastAsia="宋体" w:cs="宋体"/>
                <w:color w:val="auto"/>
                <w:sz w:val="21"/>
                <w:szCs w:val="21"/>
                <w:highlight w:val="none"/>
                <w:lang w:val="en-US" w:eastAsia="zh-CN"/>
              </w:rPr>
              <w:t>、重大危险源在线监测</w:t>
            </w:r>
            <w:r>
              <w:rPr>
                <w:rFonts w:hint="eastAsia" w:ascii="宋体" w:hAnsi="宋体" w:cs="宋体"/>
                <w:color w:val="auto"/>
                <w:sz w:val="21"/>
                <w:szCs w:val="21"/>
                <w:highlight w:val="none"/>
                <w:lang w:val="en-US" w:eastAsia="zh-CN"/>
              </w:rPr>
              <w:t>、安全生产监测预警、</w:t>
            </w:r>
            <w:r>
              <w:rPr>
                <w:rFonts w:hint="eastAsia" w:ascii="宋体" w:hAnsi="宋体" w:eastAsia="宋体" w:cs="宋体"/>
                <w:color w:val="auto"/>
                <w:sz w:val="21"/>
                <w:szCs w:val="21"/>
                <w:highlight w:val="none"/>
                <w:lang w:val="en-US" w:eastAsia="zh-CN"/>
              </w:rPr>
              <w:t>可视化预警分析、</w:t>
            </w:r>
            <w:r>
              <w:rPr>
                <w:rFonts w:hint="eastAsia" w:ascii="宋体" w:hAnsi="宋体" w:cs="宋体"/>
                <w:color w:val="auto"/>
                <w:sz w:val="21"/>
                <w:szCs w:val="21"/>
                <w:highlight w:val="none"/>
                <w:lang w:val="en-US" w:eastAsia="zh-CN"/>
              </w:rPr>
              <w:t>安全生产辅助决策、</w:t>
            </w:r>
            <w:r>
              <w:rPr>
                <w:rFonts w:hint="eastAsia" w:ascii="宋体" w:hAnsi="宋体" w:eastAsia="宋体" w:cs="宋体"/>
                <w:color w:val="auto"/>
                <w:sz w:val="21"/>
                <w:szCs w:val="21"/>
                <w:highlight w:val="none"/>
                <w:lang w:val="en-US" w:eastAsia="zh-CN"/>
              </w:rPr>
              <w:t>应急指挥、</w:t>
            </w:r>
            <w:r>
              <w:rPr>
                <w:rFonts w:hint="eastAsia" w:ascii="宋体" w:hAnsi="宋体" w:eastAsia="宋体" w:cs="宋体"/>
                <w:color w:val="auto"/>
                <w:sz w:val="21"/>
                <w:szCs w:val="21"/>
                <w:highlight w:val="none"/>
              </w:rPr>
              <w:t>应急救援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应急处置、风险评估等与本项目相关的功能模块产品著作权。每提供一个得</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分，最高得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3、软件测试报告</w:t>
            </w:r>
          </w:p>
          <w:p>
            <w:pPr>
              <w:widowControl/>
              <w:spacing w:line="240" w:lineRule="auto"/>
              <w:ind w:right="171" w:rightChars="61" w:firstLine="420" w:firstLineChars="200"/>
              <w:textAlignment w:val="center"/>
              <w:rPr>
                <w:rFonts w:hint="eastAsia" w:ascii="宋体" w:hAnsi="宋体" w:eastAsia="宋体" w:cs="宋体"/>
                <w:color w:val="auto"/>
                <w:sz w:val="21"/>
                <w:szCs w:val="21"/>
                <w:highlight w:val="none"/>
                <w:lang w:val="en-US" w:eastAsia="zh-CN"/>
              </w:rPr>
            </w:pPr>
            <w:r>
              <w:rPr>
                <w:rFonts w:hint="eastAsia" w:ascii="Times New Roman" w:hAnsi="Times New Roman" w:eastAsia="宋体" w:cs="Times New Roman"/>
                <w:sz w:val="21"/>
                <w:szCs w:val="21"/>
                <w:highlight w:val="none"/>
                <w:lang w:val="en-US" w:eastAsia="zh-CN"/>
              </w:rPr>
              <w:t>投标人需提供经过第三方测评的安全日常监督管理系统</w:t>
            </w:r>
            <w:r>
              <w:rPr>
                <w:rFonts w:hint="eastAsia" w:cs="Times New Roman"/>
                <w:sz w:val="21"/>
                <w:szCs w:val="21"/>
                <w:highlight w:val="none"/>
                <w:lang w:val="en-US" w:eastAsia="zh-CN"/>
              </w:rPr>
              <w:t>、</w:t>
            </w:r>
            <w:r>
              <w:rPr>
                <w:rFonts w:hint="eastAsia" w:ascii="Times New Roman" w:hAnsi="Times New Roman" w:eastAsia="宋体" w:cs="Times New Roman"/>
                <w:sz w:val="21"/>
                <w:szCs w:val="21"/>
                <w:highlight w:val="none"/>
                <w:lang w:val="en-US" w:eastAsia="zh-CN"/>
              </w:rPr>
              <w:t>综合指挥应急平台</w:t>
            </w:r>
            <w:r>
              <w:rPr>
                <w:rFonts w:hint="eastAsia" w:cs="Times New Roman"/>
                <w:sz w:val="21"/>
                <w:szCs w:val="21"/>
                <w:highlight w:val="none"/>
                <w:lang w:val="en-US" w:eastAsia="zh-CN"/>
              </w:rPr>
              <w:t>或企业数据采集</w:t>
            </w:r>
            <w:r>
              <w:rPr>
                <w:rFonts w:hint="eastAsia" w:ascii="Times New Roman" w:hAnsi="Times New Roman" w:eastAsia="宋体" w:cs="Times New Roman"/>
                <w:sz w:val="21"/>
                <w:szCs w:val="21"/>
                <w:highlight w:val="none"/>
                <w:lang w:val="en-US" w:eastAsia="zh-CN"/>
              </w:rPr>
              <w:t>的软件测试报告，</w:t>
            </w:r>
            <w:r>
              <w:rPr>
                <w:rFonts w:hint="eastAsia" w:cs="Times New Roman"/>
                <w:sz w:val="21"/>
                <w:szCs w:val="21"/>
                <w:highlight w:val="none"/>
                <w:lang w:val="en-US" w:eastAsia="zh-CN"/>
              </w:rPr>
              <w:t>评价在</w:t>
            </w:r>
            <w:r>
              <w:rPr>
                <w:rFonts w:hint="eastAsia" w:ascii="Times New Roman" w:hAnsi="Times New Roman" w:eastAsia="宋体" w:cs="Times New Roman"/>
                <w:sz w:val="21"/>
                <w:szCs w:val="21"/>
                <w:highlight w:val="none"/>
                <w:lang w:val="en-US" w:eastAsia="zh-CN"/>
              </w:rPr>
              <w:t>良好</w:t>
            </w:r>
            <w:r>
              <w:rPr>
                <w:rFonts w:hint="eastAsia" w:cs="Times New Roman"/>
                <w:sz w:val="21"/>
                <w:szCs w:val="21"/>
                <w:highlight w:val="none"/>
                <w:lang w:val="en-US" w:eastAsia="zh-CN"/>
              </w:rPr>
              <w:t>（或等价级别）及以上的</w:t>
            </w:r>
            <w:r>
              <w:rPr>
                <w:rFonts w:hint="eastAsia" w:ascii="Times New Roman" w:hAnsi="Times New Roman" w:eastAsia="宋体" w:cs="Times New Roman"/>
                <w:sz w:val="21"/>
                <w:szCs w:val="21"/>
                <w:highlight w:val="none"/>
                <w:lang w:val="en-US" w:eastAsia="zh-CN"/>
              </w:rPr>
              <w:t>，每一项得</w:t>
            </w:r>
            <w:r>
              <w:rPr>
                <w:rFonts w:hint="eastAsia" w:cs="Times New Roman"/>
                <w:sz w:val="21"/>
                <w:szCs w:val="21"/>
                <w:highlight w:val="none"/>
                <w:lang w:val="en-US" w:eastAsia="zh-CN"/>
              </w:rPr>
              <w:t>1</w:t>
            </w:r>
            <w:r>
              <w:rPr>
                <w:rFonts w:hint="eastAsia" w:ascii="Times New Roman" w:hAnsi="Times New Roman" w:eastAsia="宋体" w:cs="Times New Roman"/>
                <w:sz w:val="21"/>
                <w:szCs w:val="21"/>
                <w:highlight w:val="none"/>
                <w:lang w:val="en-US" w:eastAsia="zh-CN"/>
              </w:rPr>
              <w:t>分，最高得</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分</w:t>
            </w:r>
            <w:r>
              <w:rPr>
                <w:rFonts w:hint="eastAsia" w:ascii="宋体" w:hAnsi="宋体" w:eastAsia="宋体" w:cs="宋体"/>
                <w:color w:val="auto"/>
                <w:sz w:val="21"/>
                <w:szCs w:val="21"/>
                <w:highlight w:val="none"/>
                <w:lang w:val="en-US" w:eastAsia="zh-CN"/>
              </w:rPr>
              <w:t>。</w:t>
            </w:r>
          </w:p>
          <w:p>
            <w:pPr>
              <w:pStyle w:val="2"/>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kern w:val="2"/>
                <w:sz w:val="21"/>
                <w:szCs w:val="21"/>
                <w:highlight w:val="none"/>
                <w:lang w:val="en-US" w:eastAsia="zh-CN" w:bidi="ar-SA"/>
              </w:rPr>
              <w:t>（须</w:t>
            </w:r>
            <w:r>
              <w:rPr>
                <w:rFonts w:hint="eastAsia" w:ascii="宋体" w:hAnsi="宋体" w:eastAsia="宋体" w:cs="宋体"/>
                <w:b/>
                <w:bCs/>
                <w:color w:val="auto"/>
                <w:kern w:val="0"/>
                <w:sz w:val="21"/>
                <w:szCs w:val="21"/>
                <w:highlight w:val="none"/>
                <w:lang w:bidi="ar"/>
              </w:rPr>
              <w:t>提供相关证明证书原件</w:t>
            </w:r>
            <w:r>
              <w:rPr>
                <w:rFonts w:hint="eastAsia" w:ascii="宋体" w:hAnsi="宋体" w:eastAsia="宋体" w:cs="宋体"/>
                <w:b/>
                <w:bCs/>
                <w:color w:val="auto"/>
                <w:kern w:val="0"/>
                <w:sz w:val="21"/>
                <w:szCs w:val="21"/>
                <w:highlight w:val="none"/>
                <w:lang w:val="en-US" w:eastAsia="zh-CN" w:bidi="ar"/>
              </w:rPr>
              <w:t>扫描件</w:t>
            </w:r>
            <w:r>
              <w:rPr>
                <w:rFonts w:hint="eastAsia" w:ascii="宋体" w:hAnsi="宋体" w:eastAsia="宋体" w:cs="宋体"/>
                <w:b/>
                <w:bCs/>
                <w:color w:val="auto"/>
                <w:kern w:val="0"/>
                <w:sz w:val="21"/>
                <w:szCs w:val="21"/>
                <w:highlight w:val="none"/>
                <w:lang w:bidi="ar"/>
              </w:rPr>
              <w:t>，各类证书、认证获取的时间需为本项目招标公告发布日，招标公告发布后获取的相关证书、认证不得分，如虚假应标则取消其中标资格</w:t>
            </w:r>
            <w:r>
              <w:rPr>
                <w:rFonts w:hint="eastAsia" w:ascii="宋体" w:hAnsi="宋体" w:eastAsia="宋体" w:cs="宋体"/>
                <w:b/>
                <w:bCs/>
                <w:color w:val="auto"/>
                <w:kern w:val="2"/>
                <w:sz w:val="21"/>
                <w:szCs w:val="21"/>
                <w:highlight w:val="none"/>
                <w:lang w:val="en-US" w:eastAsia="zh-CN" w:bidi="ar-SA"/>
              </w:rPr>
              <w:t>。）</w:t>
            </w:r>
          </w:p>
        </w:tc>
        <w:tc>
          <w:tcPr>
            <w:tcW w:w="1140" w:type="dxa"/>
            <w:gridSpan w:val="2"/>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9</w:t>
            </w:r>
          </w:p>
        </w:tc>
      </w:tr>
      <w:tr>
        <w:tblPrEx>
          <w:tblCellMar>
            <w:top w:w="0" w:type="dxa"/>
            <w:left w:w="0" w:type="dxa"/>
            <w:bottom w:w="0" w:type="dxa"/>
            <w:right w:w="0" w:type="dxa"/>
          </w:tblCellMar>
        </w:tblPrEx>
        <w:trPr>
          <w:trHeight w:val="288" w:hRule="atLeast"/>
        </w:trPr>
        <w:tc>
          <w:tcPr>
            <w:tcW w:w="840"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67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业绩案例</w:t>
            </w:r>
            <w:r>
              <w:rPr>
                <w:rFonts w:hint="eastAsia" w:ascii="宋体" w:hAnsi="宋体" w:eastAsia="宋体" w:cs="宋体"/>
                <w:color w:val="auto"/>
                <w:sz w:val="21"/>
                <w:szCs w:val="21"/>
                <w:highlight w:val="none"/>
                <w:lang w:val="en-US" w:eastAsia="zh-CN"/>
              </w:rPr>
              <w:t>及荣誉</w:t>
            </w:r>
          </w:p>
        </w:tc>
        <w:tc>
          <w:tcPr>
            <w:tcW w:w="575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spacing w:line="240" w:lineRule="auto"/>
              <w:ind w:right="171" w:rightChars="61" w:firstLine="420" w:firstLineChars="200"/>
              <w:textAlignment w:val="center"/>
              <w:rPr>
                <w:rFonts w:hint="eastAsia" w:ascii="宋体" w:hAnsi="宋体" w:eastAsia="宋体" w:cs="宋体"/>
                <w:b/>
                <w:bCs/>
                <w:color w:val="auto"/>
                <w:kern w:val="0"/>
                <w:sz w:val="21"/>
                <w:szCs w:val="21"/>
                <w:highlight w:val="none"/>
                <w:lang w:val="en-US" w:eastAsia="zh-CN" w:bidi="ar"/>
              </w:rPr>
            </w:pPr>
            <w:r>
              <w:rPr>
                <w:rFonts w:hint="eastAsia" w:cs="Times New Roman"/>
                <w:sz w:val="21"/>
                <w:szCs w:val="21"/>
                <w:highlight w:val="none"/>
                <w:lang w:val="en-US" w:eastAsia="zh-CN"/>
              </w:rPr>
              <w:t>1、</w:t>
            </w:r>
            <w:r>
              <w:rPr>
                <w:rFonts w:hint="eastAsia" w:ascii="Times New Roman" w:hAnsi="Times New Roman" w:eastAsia="宋体" w:cs="Times New Roman"/>
                <w:sz w:val="21"/>
                <w:szCs w:val="21"/>
                <w:highlight w:val="none"/>
                <w:lang w:val="en-US" w:eastAsia="zh-CN"/>
              </w:rPr>
              <w:t>投标人自2018年8月1日以来，承建过安全生产应急管理监管系统，建设内容涵盖“安全、应急、环保”类似业绩的每个得1分，最高得4分</w:t>
            </w:r>
            <w:r>
              <w:rPr>
                <w:rFonts w:hint="eastAsia" w:ascii="宋体" w:hAnsi="宋体" w:eastAsia="宋体" w:cs="宋体"/>
                <w:color w:val="auto"/>
                <w:sz w:val="21"/>
                <w:szCs w:val="21"/>
                <w:highlight w:val="none"/>
                <w:lang w:val="en-US" w:eastAsia="zh-CN"/>
              </w:rPr>
              <w:t>。</w:t>
            </w:r>
            <w:r>
              <w:rPr>
                <w:rFonts w:hint="eastAsia" w:ascii="宋体" w:hAnsi="宋体" w:eastAsia="宋体" w:cs="宋体"/>
                <w:b/>
                <w:bCs/>
                <w:color w:val="auto"/>
                <w:kern w:val="0"/>
                <w:sz w:val="21"/>
                <w:szCs w:val="21"/>
                <w:highlight w:val="none"/>
                <w:lang w:val="en-US" w:eastAsia="zh-CN" w:bidi="ar"/>
              </w:rPr>
              <w:t>注：业绩包括</w:t>
            </w:r>
            <w:r>
              <w:rPr>
                <w:rFonts w:hint="eastAsia" w:ascii="宋体" w:hAnsi="宋体" w:eastAsia="宋体" w:cs="宋体"/>
                <w:b/>
                <w:bCs/>
                <w:color w:val="auto"/>
                <w:kern w:val="0"/>
                <w:sz w:val="21"/>
                <w:szCs w:val="21"/>
                <w:highlight w:val="none"/>
                <w:lang w:bidi="ar"/>
              </w:rPr>
              <w:t>正在履约的项目业绩</w:t>
            </w:r>
            <w:r>
              <w:rPr>
                <w:rFonts w:hint="eastAsia" w:ascii="宋体" w:hAnsi="宋体" w:eastAsia="宋体" w:cs="宋体"/>
                <w:b/>
                <w:bCs/>
                <w:color w:val="auto"/>
                <w:kern w:val="0"/>
                <w:sz w:val="21"/>
                <w:szCs w:val="21"/>
                <w:highlight w:val="none"/>
                <w:lang w:eastAsia="zh-CN" w:bidi="ar"/>
              </w:rPr>
              <w:t>，</w:t>
            </w:r>
            <w:r>
              <w:rPr>
                <w:rFonts w:hint="eastAsia" w:ascii="宋体" w:hAnsi="宋体" w:eastAsia="宋体" w:cs="宋体"/>
                <w:b/>
                <w:bCs/>
                <w:color w:val="auto"/>
                <w:kern w:val="0"/>
                <w:sz w:val="21"/>
                <w:szCs w:val="21"/>
                <w:highlight w:val="none"/>
                <w:lang w:val="en-US" w:eastAsia="zh-CN" w:bidi="ar"/>
              </w:rPr>
              <w:t>同时须提供中标通知书及合同原件扫描件。</w:t>
            </w:r>
            <w:r>
              <w:rPr>
                <w:rFonts w:hint="eastAsia" w:ascii="宋体" w:hAnsi="宋体" w:eastAsia="宋体" w:cs="宋体"/>
                <w:b/>
                <w:bCs/>
                <w:color w:val="auto"/>
                <w:kern w:val="0"/>
                <w:sz w:val="21"/>
                <w:szCs w:val="21"/>
                <w:highlight w:val="none"/>
                <w:lang w:eastAsia="zh-CN" w:bidi="ar"/>
              </w:rPr>
              <w:t>（</w:t>
            </w:r>
            <w:r>
              <w:rPr>
                <w:rFonts w:hint="eastAsia" w:ascii="宋体" w:hAnsi="宋体" w:eastAsia="宋体" w:cs="宋体"/>
                <w:b/>
                <w:bCs/>
                <w:color w:val="auto"/>
                <w:kern w:val="0"/>
                <w:sz w:val="21"/>
                <w:szCs w:val="21"/>
                <w:highlight w:val="none"/>
                <w:lang w:val="en-US" w:eastAsia="zh-CN" w:bidi="ar"/>
              </w:rPr>
              <w:t>以合同签订时间为准，每个合同只计分一次</w:t>
            </w:r>
            <w:r>
              <w:rPr>
                <w:rFonts w:hint="eastAsia" w:ascii="宋体" w:hAnsi="宋体" w:eastAsia="宋体" w:cs="宋体"/>
                <w:b/>
                <w:bCs/>
                <w:color w:val="auto"/>
                <w:kern w:val="0"/>
                <w:sz w:val="21"/>
                <w:szCs w:val="21"/>
                <w:highlight w:val="none"/>
                <w:lang w:bidi="ar"/>
              </w:rPr>
              <w:t>）</w:t>
            </w:r>
            <w:r>
              <w:rPr>
                <w:rFonts w:hint="eastAsia" w:ascii="宋体" w:hAnsi="宋体" w:eastAsia="宋体" w:cs="宋体"/>
                <w:b/>
                <w:bCs/>
                <w:color w:val="auto"/>
                <w:kern w:val="0"/>
                <w:sz w:val="21"/>
                <w:szCs w:val="21"/>
                <w:highlight w:val="none"/>
                <w:lang w:val="en-US" w:eastAsia="zh-CN" w:bidi="ar"/>
              </w:rPr>
              <w:t>合同须体现评审要素，否则不得分。</w:t>
            </w:r>
          </w:p>
          <w:p>
            <w:pPr>
              <w:widowControl/>
              <w:spacing w:line="240" w:lineRule="auto"/>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投标人获得过省级</w:t>
            </w:r>
            <w:r>
              <w:rPr>
                <w:rFonts w:hint="eastAsia" w:cs="Times New Roman"/>
                <w:sz w:val="21"/>
                <w:szCs w:val="21"/>
                <w:highlight w:val="none"/>
                <w:lang w:val="en-US" w:eastAsia="zh-CN"/>
              </w:rPr>
              <w:t>部门（省政府、省经信、省环保及省应急局等）及以上</w:t>
            </w:r>
            <w:r>
              <w:rPr>
                <w:rFonts w:hint="eastAsia" w:ascii="Times New Roman" w:hAnsi="Times New Roman" w:eastAsia="宋体" w:cs="Times New Roman"/>
                <w:sz w:val="21"/>
                <w:szCs w:val="21"/>
                <w:highlight w:val="none"/>
                <w:lang w:val="en-US" w:eastAsia="zh-CN"/>
              </w:rPr>
              <w:t>的奖励、评定、荣誉等，每个得1分，最多得3分</w:t>
            </w:r>
            <w:r>
              <w:rPr>
                <w:rFonts w:hint="eastAsia" w:ascii="宋体" w:hAnsi="宋体" w:eastAsia="宋体" w:cs="宋体"/>
                <w:color w:val="auto"/>
                <w:kern w:val="0"/>
                <w:sz w:val="21"/>
                <w:szCs w:val="21"/>
                <w:highlight w:val="none"/>
                <w:lang w:val="en-US" w:eastAsia="zh-CN" w:bidi="ar"/>
              </w:rPr>
              <w:t>。</w:t>
            </w:r>
            <w:r>
              <w:rPr>
                <w:rFonts w:hint="eastAsia" w:ascii="宋体" w:hAnsi="宋体" w:eastAsia="宋体" w:cs="宋体"/>
                <w:b/>
                <w:bCs/>
                <w:color w:val="auto"/>
                <w:kern w:val="0"/>
                <w:sz w:val="21"/>
                <w:szCs w:val="21"/>
                <w:highlight w:val="none"/>
                <w:lang w:val="en-US" w:eastAsia="zh-CN" w:bidi="ar"/>
              </w:rPr>
              <w:t>（须提供相关文件原件扫描件，每提供一项得一分，不重复计分</w:t>
            </w:r>
            <w:r>
              <w:rPr>
                <w:rFonts w:hint="eastAsia" w:ascii="宋体" w:hAnsi="宋体" w:eastAsia="宋体" w:cs="宋体"/>
                <w:b/>
                <w:bCs/>
                <w:color w:val="auto"/>
                <w:kern w:val="0"/>
                <w:sz w:val="21"/>
                <w:szCs w:val="21"/>
                <w:highlight w:val="none"/>
                <w:lang w:bidi="ar"/>
              </w:rPr>
              <w:t>。</w:t>
            </w:r>
            <w:r>
              <w:rPr>
                <w:rFonts w:hint="eastAsia" w:ascii="宋体" w:hAnsi="宋体" w:eastAsia="宋体" w:cs="宋体"/>
                <w:b/>
                <w:bCs/>
                <w:color w:val="auto"/>
                <w:kern w:val="0"/>
                <w:sz w:val="21"/>
                <w:szCs w:val="21"/>
                <w:highlight w:val="none"/>
                <w:lang w:eastAsia="zh-CN" w:bidi="ar"/>
              </w:rPr>
              <w:t>）</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7</w:t>
            </w:r>
          </w:p>
        </w:tc>
      </w:tr>
      <w:tr>
        <w:tblPrEx>
          <w:tblCellMar>
            <w:top w:w="0" w:type="dxa"/>
            <w:left w:w="0" w:type="dxa"/>
            <w:bottom w:w="0" w:type="dxa"/>
            <w:right w:w="0" w:type="dxa"/>
          </w:tblCellMar>
        </w:tblPrEx>
        <w:trPr>
          <w:trHeight w:val="299" w:hRule="atLeast"/>
        </w:trPr>
        <w:tc>
          <w:tcPr>
            <w:tcW w:w="840"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4</w:t>
            </w:r>
          </w:p>
        </w:tc>
        <w:tc>
          <w:tcPr>
            <w:tcW w:w="1675" w:type="dxa"/>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项目实施</w:t>
            </w:r>
          </w:p>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rPr>
              <w:t>人员实力</w:t>
            </w:r>
          </w:p>
        </w:tc>
        <w:tc>
          <w:tcPr>
            <w:tcW w:w="575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spacing w:line="240" w:lineRule="auto"/>
              <w:ind w:right="171" w:rightChars="61" w:firstLine="420" w:firstLineChars="200"/>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val="en-US" w:eastAsia="zh-CN" w:bidi="ar"/>
              </w:rPr>
              <w:t>1、</w:t>
            </w:r>
            <w:r>
              <w:rPr>
                <w:rFonts w:hint="eastAsia" w:ascii="Times New Roman" w:hAnsi="Times New Roman" w:eastAsia="宋体" w:cs="Times New Roman"/>
                <w:sz w:val="21"/>
                <w:szCs w:val="21"/>
                <w:highlight w:val="none"/>
                <w:lang w:val="en-US" w:eastAsia="zh-CN"/>
              </w:rPr>
              <w:t>项目经理具有高级工程师及以上资格证书得</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分，不提供不得分。</w:t>
            </w:r>
            <w:r>
              <w:rPr>
                <w:rFonts w:hint="eastAsia" w:ascii="宋体" w:hAnsi="宋体" w:eastAsia="宋体" w:cs="宋体"/>
                <w:color w:val="auto"/>
                <w:kern w:val="0"/>
                <w:sz w:val="21"/>
                <w:szCs w:val="21"/>
                <w:highlight w:val="none"/>
                <w:lang w:bidi="ar"/>
              </w:rPr>
              <w:t>（</w:t>
            </w:r>
            <w:r>
              <w:rPr>
                <w:rFonts w:hint="eastAsia" w:ascii="宋体" w:hAnsi="宋体" w:cs="宋体"/>
                <w:b/>
                <w:bCs/>
                <w:color w:val="auto"/>
                <w:sz w:val="21"/>
                <w:szCs w:val="21"/>
                <w:highlight w:val="none"/>
              </w:rPr>
              <w:t>投标文件中需提供证书及在本项目投标截止日前6个月内的连续3个月及以上</w:t>
            </w:r>
            <w:r>
              <w:rPr>
                <w:rFonts w:hint="eastAsia" w:ascii="宋体" w:hAnsi="宋体" w:cs="宋体"/>
                <w:b/>
                <w:bCs/>
                <w:color w:val="auto"/>
                <w:sz w:val="21"/>
                <w:szCs w:val="21"/>
                <w:highlight w:val="none"/>
                <w:lang w:val="en-US" w:eastAsia="zh-CN"/>
              </w:rPr>
              <w:t>本</w:t>
            </w:r>
            <w:r>
              <w:rPr>
                <w:rFonts w:hint="eastAsia" w:ascii="宋体" w:hAnsi="宋体" w:cs="宋体"/>
                <w:b/>
                <w:bCs/>
                <w:color w:val="auto"/>
                <w:sz w:val="21"/>
                <w:szCs w:val="21"/>
                <w:highlight w:val="none"/>
              </w:rPr>
              <w:t>投标企业</w:t>
            </w:r>
            <w:r>
              <w:rPr>
                <w:rFonts w:hint="eastAsia" w:ascii="宋体" w:hAnsi="宋体" w:cs="宋体"/>
                <w:b/>
                <w:bCs/>
                <w:color w:val="auto"/>
                <w:sz w:val="21"/>
                <w:szCs w:val="21"/>
                <w:highlight w:val="none"/>
                <w:lang w:val="en-US" w:eastAsia="zh-CN"/>
              </w:rPr>
              <w:t>的</w:t>
            </w:r>
            <w:r>
              <w:rPr>
                <w:rFonts w:hint="eastAsia" w:ascii="宋体" w:hAnsi="宋体" w:cs="宋体"/>
                <w:b/>
                <w:bCs/>
                <w:color w:val="auto"/>
                <w:sz w:val="21"/>
                <w:szCs w:val="21"/>
                <w:highlight w:val="none"/>
              </w:rPr>
              <w:t>社保缴费证明材料</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需提供原件</w:t>
            </w:r>
            <w:r>
              <w:rPr>
                <w:rFonts w:hint="eastAsia" w:ascii="宋体" w:hAnsi="宋体" w:cs="宋体"/>
                <w:b/>
                <w:bCs/>
                <w:color w:val="auto"/>
                <w:sz w:val="21"/>
                <w:szCs w:val="21"/>
                <w:highlight w:val="none"/>
              </w:rPr>
              <w:t>扫描件，未提供或提供不齐全的</w:t>
            </w:r>
            <w:r>
              <w:rPr>
                <w:rFonts w:hint="eastAsia" w:ascii="宋体" w:hAnsi="宋体" w:cs="宋体"/>
                <w:b/>
                <w:bCs/>
                <w:color w:val="auto"/>
                <w:sz w:val="21"/>
                <w:szCs w:val="21"/>
                <w:highlight w:val="none"/>
                <w:lang w:val="en-US" w:eastAsia="zh-CN"/>
              </w:rPr>
              <w:t>不得分</w:t>
            </w:r>
            <w:r>
              <w:rPr>
                <w:rFonts w:hint="eastAsia" w:ascii="宋体" w:hAnsi="宋体" w:cs="宋体"/>
                <w:b/>
                <w:bCs/>
                <w:color w:val="auto"/>
                <w:sz w:val="21"/>
                <w:szCs w:val="21"/>
                <w:highlight w:val="none"/>
              </w:rPr>
              <w:t>。</w:t>
            </w:r>
            <w:r>
              <w:rPr>
                <w:rFonts w:hint="eastAsia" w:ascii="宋体" w:hAnsi="宋体" w:eastAsia="宋体" w:cs="宋体"/>
                <w:color w:val="auto"/>
                <w:kern w:val="0"/>
                <w:sz w:val="21"/>
                <w:szCs w:val="21"/>
                <w:highlight w:val="none"/>
                <w:lang w:bidi="ar"/>
              </w:rPr>
              <w:t>）</w:t>
            </w:r>
          </w:p>
          <w:p>
            <w:pPr>
              <w:widowControl/>
              <w:spacing w:line="240" w:lineRule="auto"/>
              <w:ind w:right="171" w:rightChars="61" w:firstLine="420" w:firstLineChars="200"/>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ascii="Times New Roman" w:hAnsi="Times New Roman" w:eastAsia="宋体" w:cs="Times New Roman"/>
                <w:sz w:val="21"/>
                <w:szCs w:val="21"/>
                <w:highlight w:val="none"/>
                <w:lang w:val="en-US" w:eastAsia="zh-CN"/>
              </w:rPr>
              <w:t>项目组成员（项目经理除外）具有工程师职称及以上或与本项目相关的资格证书（涉及安全、信息、软件等）4名（含4名）以上得1分；6名（含6名）以上得</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US" w:eastAsia="zh-CN"/>
              </w:rPr>
              <w:t>分；8名（含8名）以上得</w:t>
            </w:r>
            <w:r>
              <w:rPr>
                <w:rFonts w:hint="eastAsia" w:cs="Times New Roman"/>
                <w:sz w:val="21"/>
                <w:szCs w:val="21"/>
                <w:highlight w:val="none"/>
                <w:lang w:val="en-US" w:eastAsia="zh-CN"/>
              </w:rPr>
              <w:t>3</w:t>
            </w:r>
            <w:r>
              <w:rPr>
                <w:rFonts w:hint="eastAsia" w:ascii="Times New Roman" w:hAnsi="Times New Roman" w:eastAsia="宋体" w:cs="Times New Roman"/>
                <w:sz w:val="21"/>
                <w:szCs w:val="21"/>
                <w:highlight w:val="none"/>
                <w:lang w:val="en-US" w:eastAsia="zh-CN"/>
              </w:rPr>
              <w:t>分</w:t>
            </w:r>
            <w:r>
              <w:rPr>
                <w:rFonts w:hint="eastAsia" w:ascii="宋体" w:hAnsi="宋体" w:eastAsia="宋体" w:cs="宋体"/>
                <w:color w:val="auto"/>
                <w:kern w:val="0"/>
                <w:sz w:val="21"/>
                <w:szCs w:val="21"/>
                <w:highlight w:val="none"/>
                <w:lang w:eastAsia="zh-CN" w:bidi="ar"/>
              </w:rPr>
              <w:t>。</w:t>
            </w:r>
            <w:r>
              <w:rPr>
                <w:rFonts w:hint="eastAsia" w:ascii="宋体" w:hAnsi="宋体" w:eastAsia="宋体" w:cs="宋体"/>
                <w:color w:val="auto"/>
                <w:kern w:val="0"/>
                <w:sz w:val="21"/>
                <w:szCs w:val="21"/>
                <w:highlight w:val="none"/>
                <w:lang w:bidi="ar"/>
              </w:rPr>
              <w:t>（</w:t>
            </w:r>
            <w:r>
              <w:rPr>
                <w:rFonts w:hint="eastAsia" w:ascii="宋体" w:hAnsi="宋体" w:cs="宋体"/>
                <w:b/>
                <w:bCs/>
                <w:color w:val="auto"/>
                <w:sz w:val="21"/>
                <w:szCs w:val="21"/>
                <w:highlight w:val="none"/>
              </w:rPr>
              <w:t>投标文件中需提供在本项目投标截止日前6个月内的连续3个月及以上</w:t>
            </w:r>
            <w:r>
              <w:rPr>
                <w:rFonts w:hint="eastAsia" w:ascii="宋体" w:hAnsi="宋体" w:cs="宋体"/>
                <w:b/>
                <w:bCs/>
                <w:color w:val="auto"/>
                <w:sz w:val="21"/>
                <w:szCs w:val="21"/>
                <w:highlight w:val="none"/>
                <w:lang w:val="en-US" w:eastAsia="zh-CN"/>
              </w:rPr>
              <w:t>本</w:t>
            </w:r>
            <w:r>
              <w:rPr>
                <w:rFonts w:hint="eastAsia" w:ascii="宋体" w:hAnsi="宋体" w:cs="宋体"/>
                <w:b/>
                <w:bCs/>
                <w:color w:val="auto"/>
                <w:sz w:val="21"/>
                <w:szCs w:val="21"/>
                <w:highlight w:val="none"/>
              </w:rPr>
              <w:t>投标企业</w:t>
            </w:r>
            <w:r>
              <w:rPr>
                <w:rFonts w:hint="eastAsia" w:ascii="宋体" w:hAnsi="宋体" w:cs="宋体"/>
                <w:b/>
                <w:bCs/>
                <w:color w:val="auto"/>
                <w:sz w:val="21"/>
                <w:szCs w:val="21"/>
                <w:highlight w:val="none"/>
                <w:lang w:val="en-US" w:eastAsia="zh-CN"/>
              </w:rPr>
              <w:t>的</w:t>
            </w:r>
            <w:r>
              <w:rPr>
                <w:rFonts w:hint="eastAsia" w:ascii="宋体" w:hAnsi="宋体" w:cs="宋体"/>
                <w:b/>
                <w:bCs/>
                <w:color w:val="auto"/>
                <w:sz w:val="21"/>
                <w:szCs w:val="21"/>
                <w:highlight w:val="none"/>
              </w:rPr>
              <w:t>社保缴费证明材料</w:t>
            </w: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需提供原件</w:t>
            </w:r>
            <w:r>
              <w:rPr>
                <w:rFonts w:hint="eastAsia" w:ascii="宋体" w:hAnsi="宋体" w:cs="宋体"/>
                <w:b/>
                <w:bCs/>
                <w:color w:val="auto"/>
                <w:sz w:val="21"/>
                <w:szCs w:val="21"/>
                <w:highlight w:val="none"/>
              </w:rPr>
              <w:t>扫描件，未提供或提供不齐全的</w:t>
            </w:r>
            <w:r>
              <w:rPr>
                <w:rFonts w:hint="eastAsia" w:ascii="宋体" w:hAnsi="宋体" w:cs="宋体"/>
                <w:b/>
                <w:bCs/>
                <w:color w:val="auto"/>
                <w:sz w:val="21"/>
                <w:szCs w:val="21"/>
                <w:highlight w:val="none"/>
                <w:lang w:val="en-US" w:eastAsia="zh-CN"/>
              </w:rPr>
              <w:t>不得分</w:t>
            </w:r>
            <w:r>
              <w:rPr>
                <w:rFonts w:hint="eastAsia" w:ascii="宋体" w:hAnsi="宋体" w:cs="宋体"/>
                <w:b/>
                <w:bCs/>
                <w:color w:val="auto"/>
                <w:sz w:val="21"/>
                <w:szCs w:val="21"/>
                <w:highlight w:val="none"/>
              </w:rPr>
              <w:t>。</w:t>
            </w:r>
            <w:r>
              <w:rPr>
                <w:rFonts w:hint="eastAsia" w:ascii="宋体" w:hAnsi="宋体" w:eastAsia="宋体" w:cs="宋体"/>
                <w:color w:val="auto"/>
                <w:kern w:val="0"/>
                <w:sz w:val="21"/>
                <w:szCs w:val="21"/>
                <w:highlight w:val="none"/>
                <w:lang w:bidi="ar"/>
              </w:rPr>
              <w:t>）</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5</w:t>
            </w:r>
          </w:p>
        </w:tc>
      </w:tr>
      <w:tr>
        <w:tblPrEx>
          <w:tblCellMar>
            <w:top w:w="0" w:type="dxa"/>
            <w:left w:w="0" w:type="dxa"/>
            <w:bottom w:w="0" w:type="dxa"/>
            <w:right w:w="0" w:type="dxa"/>
          </w:tblCellMar>
        </w:tblPrEx>
        <w:trPr>
          <w:trHeight w:val="436" w:hRule="atLeast"/>
        </w:trPr>
        <w:tc>
          <w:tcPr>
            <w:tcW w:w="9405" w:type="dxa"/>
            <w:gridSpan w:val="6"/>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jc w:val="center"/>
              <w:textAlignment w:val="auto"/>
              <w:outlineLvl w:val="1"/>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技术部分</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r>
      <w:tr>
        <w:tblPrEx>
          <w:tblCellMar>
            <w:top w:w="0" w:type="dxa"/>
            <w:left w:w="0" w:type="dxa"/>
            <w:bottom w:w="0" w:type="dxa"/>
            <w:right w:w="0" w:type="dxa"/>
          </w:tblCellMar>
        </w:tblPrEx>
        <w:trPr>
          <w:trHeight w:val="830" w:hRule="atLeast"/>
        </w:trPr>
        <w:tc>
          <w:tcPr>
            <w:tcW w:w="840" w:type="dxa"/>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5</w:t>
            </w:r>
          </w:p>
        </w:tc>
        <w:tc>
          <w:tcPr>
            <w:tcW w:w="1675" w:type="dxa"/>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目标分析与理解</w:t>
            </w:r>
          </w:p>
        </w:tc>
        <w:tc>
          <w:tcPr>
            <w:tcW w:w="5750" w:type="dxa"/>
            <w:gridSpan w:val="2"/>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投标人对本项目现状、建设目标、业务及功能需求的理解及分析、认识是否到位、建设思路是否清晰。</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0-2</w:t>
            </w:r>
          </w:p>
        </w:tc>
      </w:tr>
      <w:tr>
        <w:tblPrEx>
          <w:tblCellMar>
            <w:top w:w="0" w:type="dxa"/>
            <w:left w:w="0" w:type="dxa"/>
            <w:bottom w:w="0" w:type="dxa"/>
            <w:right w:w="0" w:type="dxa"/>
          </w:tblCellMar>
        </w:tblPrEx>
        <w:trPr>
          <w:trHeight w:val="597" w:hRule="atLeast"/>
        </w:trPr>
        <w:tc>
          <w:tcPr>
            <w:tcW w:w="84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6</w:t>
            </w:r>
          </w:p>
        </w:tc>
        <w:tc>
          <w:tcPr>
            <w:tcW w:w="167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设计方案</w:t>
            </w:r>
          </w:p>
        </w:tc>
        <w:tc>
          <w:tcPr>
            <w:tcW w:w="57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1.依据设计方案中业务需求是否专业、详细进行全面分析，依据项目达成的目标和解决的问题有清晰描述等情况进行评价打分，未提供或完全不符合实际情况的不得分。</w:t>
            </w:r>
            <w:r>
              <w:rPr>
                <w:rFonts w:hint="eastAsia" w:ascii="宋体" w:hAnsi="宋体" w:cs="宋体"/>
                <w:color w:val="auto"/>
                <w:kern w:val="0"/>
                <w:sz w:val="21"/>
                <w:szCs w:val="21"/>
                <w:highlight w:val="none"/>
                <w:lang w:val="en-US" w:eastAsia="zh-CN" w:bidi="ar"/>
              </w:rPr>
              <w:t>（0-2分）</w:t>
            </w:r>
          </w:p>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2.依据设计方案中项目目标与业务需求、系统功能性能等指标之间存在合理一致的逻辑关系等情况进行评价打分，未提供或完全不符合实际情况的不得分。</w:t>
            </w:r>
            <w:r>
              <w:rPr>
                <w:rFonts w:hint="eastAsia" w:ascii="宋体" w:hAnsi="宋体" w:cs="宋体"/>
                <w:color w:val="auto"/>
                <w:kern w:val="0"/>
                <w:sz w:val="21"/>
                <w:szCs w:val="21"/>
                <w:highlight w:val="none"/>
                <w:lang w:val="en-US" w:eastAsia="zh-CN" w:bidi="ar"/>
              </w:rPr>
              <w:t>（0-2分）</w:t>
            </w:r>
          </w:p>
          <w:p>
            <w:pPr>
              <w:widowControl/>
              <w:ind w:right="171" w:rightChars="61" w:firstLine="420" w:firstLineChars="200"/>
              <w:jc w:val="left"/>
              <w:textAlignment w:val="center"/>
              <w:rPr>
                <w:rFonts w:hint="eastAsia"/>
                <w:highlight w:val="none"/>
                <w:lang w:val="en-US" w:eastAsia="zh-CN"/>
              </w:rPr>
            </w:pPr>
            <w:r>
              <w:rPr>
                <w:rFonts w:hint="eastAsia" w:ascii="宋体" w:hAnsi="宋体" w:eastAsia="宋体" w:cs="宋体"/>
                <w:color w:val="auto"/>
                <w:kern w:val="0"/>
                <w:sz w:val="21"/>
                <w:szCs w:val="21"/>
                <w:highlight w:val="none"/>
                <w:lang w:val="en-US" w:eastAsia="zh-CN" w:bidi="ar"/>
              </w:rPr>
              <w:t>3.依据设计方案中列出的系统功能性能指标完全覆盖需求，无重复，无遗漏，必须具备协调性和可扩展性等情况进行评价打分，未提供或完全不符合实际情况的不得分。</w:t>
            </w:r>
            <w:r>
              <w:rPr>
                <w:rFonts w:hint="eastAsia" w:ascii="宋体" w:hAnsi="宋体" w:cs="宋体"/>
                <w:color w:val="auto"/>
                <w:kern w:val="0"/>
                <w:sz w:val="21"/>
                <w:szCs w:val="21"/>
                <w:highlight w:val="none"/>
                <w:lang w:val="en-US" w:eastAsia="zh-CN" w:bidi="ar"/>
              </w:rPr>
              <w:t>（0-2分）</w:t>
            </w:r>
          </w:p>
        </w:tc>
        <w:tc>
          <w:tcPr>
            <w:tcW w:w="1140" w:type="dxa"/>
            <w:gridSpan w:val="2"/>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6</w:t>
            </w:r>
          </w:p>
        </w:tc>
      </w:tr>
      <w:tr>
        <w:tblPrEx>
          <w:tblCellMar>
            <w:top w:w="0" w:type="dxa"/>
            <w:left w:w="0" w:type="dxa"/>
            <w:bottom w:w="0" w:type="dxa"/>
            <w:right w:w="0" w:type="dxa"/>
          </w:tblCellMar>
        </w:tblPrEx>
        <w:trPr>
          <w:trHeight w:val="175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7</w:t>
            </w:r>
          </w:p>
        </w:tc>
        <w:tc>
          <w:tcPr>
            <w:tcW w:w="1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实施方案</w:t>
            </w:r>
          </w:p>
        </w:tc>
        <w:tc>
          <w:tcPr>
            <w:tcW w:w="575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eastAsia="zh-CN" w:bidi="ar"/>
              </w:rPr>
              <w:t>提供实施项目过程中项目调研、需求确认、硬件实施、软件开发、软件部署、软硬件测试、运维服务等方面的详细施工方案，对详细施工方案的针对性、科学合理性，符合项目实际情况的可行性等情况进行评价打分，未提供或完全不符合实际情况的不得分。</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0-2</w:t>
            </w:r>
          </w:p>
        </w:tc>
      </w:tr>
      <w:tr>
        <w:tblPrEx>
          <w:tblCellMar>
            <w:top w:w="0" w:type="dxa"/>
            <w:left w:w="0" w:type="dxa"/>
            <w:bottom w:w="0" w:type="dxa"/>
            <w:right w:w="0" w:type="dxa"/>
          </w:tblCellMar>
        </w:tblPrEx>
        <w:trPr>
          <w:trHeight w:val="898"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8</w:t>
            </w:r>
          </w:p>
        </w:tc>
        <w:tc>
          <w:tcPr>
            <w:tcW w:w="1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进度计划</w:t>
            </w:r>
          </w:p>
        </w:tc>
        <w:tc>
          <w:tcPr>
            <w:tcW w:w="575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eastAsia="zh-CN" w:bidi="ar"/>
              </w:rPr>
              <w:t>对项目实施进度计划、人力投入保障计划、技术保障措施、实施周期科学合理性等进行评价打分。</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blPrEx>
          <w:tblCellMar>
            <w:top w:w="0" w:type="dxa"/>
            <w:left w:w="0" w:type="dxa"/>
            <w:bottom w:w="0" w:type="dxa"/>
            <w:right w:w="0" w:type="dxa"/>
          </w:tblCellMar>
        </w:tblPrEx>
        <w:trPr>
          <w:trHeight w:val="1284"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9</w:t>
            </w:r>
          </w:p>
        </w:tc>
        <w:tc>
          <w:tcPr>
            <w:tcW w:w="1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djustRightInd w:val="0"/>
              <w:spacing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培训方案</w:t>
            </w:r>
          </w:p>
        </w:tc>
        <w:tc>
          <w:tcPr>
            <w:tcW w:w="575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eastAsia="zh-CN" w:bidi="ar"/>
              </w:rPr>
              <w:t>根据项目进度情况，为采购人提供的培训方案的完整性、针对性、科学合理性进行评价打分，包含培训的师资力量安排、培训计划，人力投入计划等，未提供或完全不符合实际情况的不得分。</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blPrEx>
          <w:tblCellMar>
            <w:top w:w="0" w:type="dxa"/>
            <w:left w:w="0" w:type="dxa"/>
            <w:bottom w:w="0" w:type="dxa"/>
            <w:right w:w="0" w:type="dxa"/>
          </w:tblCellMar>
        </w:tblPrEx>
        <w:trPr>
          <w:trHeight w:val="87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10</w:t>
            </w:r>
          </w:p>
        </w:tc>
        <w:tc>
          <w:tcPr>
            <w:tcW w:w="1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售后服务</w:t>
            </w:r>
          </w:p>
        </w:tc>
        <w:tc>
          <w:tcPr>
            <w:tcW w:w="575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ind w:right="171" w:rightChars="61"/>
              <w:jc w:val="left"/>
              <w:textAlignment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售后免费维保</w:t>
            </w:r>
            <w:r>
              <w:rPr>
                <w:rFonts w:hint="eastAsia" w:ascii="宋体" w:hAnsi="宋体" w:cs="宋体"/>
                <w:color w:val="auto"/>
                <w:sz w:val="21"/>
                <w:szCs w:val="21"/>
                <w:highlight w:val="none"/>
                <w:lang w:val="en-US" w:eastAsia="zh-CN"/>
              </w:rPr>
              <w:t>二</w:t>
            </w:r>
            <w:r>
              <w:rPr>
                <w:rFonts w:hint="eastAsia" w:ascii="宋体" w:hAnsi="宋体" w:cs="宋体"/>
                <w:color w:val="auto"/>
                <w:sz w:val="21"/>
                <w:szCs w:val="21"/>
                <w:highlight w:val="none"/>
                <w:lang w:eastAsia="zh-CN"/>
              </w:rPr>
              <w:t>年。</w:t>
            </w:r>
          </w:p>
          <w:p>
            <w:pPr>
              <w:widowControl/>
              <w:ind w:right="171" w:rightChars="61" w:firstLine="420" w:firstLineChars="200"/>
              <w:jc w:val="left"/>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1、售后安装维护服务要求：需落实专人专职驻点负责本地系统维护，派遣人员必须持有相关软件工程师职称，支持24小时故障修复，要求投标人具有良好的运维服务信誉，投标人需提供有效期内信息技术服务运行维护符合性证书二级及以上（ITSS）</w:t>
            </w:r>
            <w:r>
              <w:rPr>
                <w:rFonts w:hint="eastAsia" w:ascii="宋体" w:hAnsi="宋体" w:eastAsia="宋体" w:cs="宋体"/>
                <w:b/>
                <w:bCs/>
                <w:color w:val="auto"/>
                <w:sz w:val="21"/>
                <w:szCs w:val="21"/>
                <w:highlight w:val="none"/>
                <w:lang w:val="en-US" w:eastAsia="zh-CN"/>
              </w:rPr>
              <w:t>原件扫描件</w:t>
            </w:r>
            <w:r>
              <w:rPr>
                <w:rFonts w:hint="eastAsia" w:ascii="宋体" w:hAnsi="宋体" w:eastAsia="宋体" w:cs="宋体"/>
                <w:color w:val="auto"/>
                <w:sz w:val="21"/>
                <w:szCs w:val="21"/>
                <w:highlight w:val="none"/>
                <w:lang w:eastAsia="zh-CN"/>
              </w:rPr>
              <w:t>，本项</w:t>
            </w:r>
            <w:r>
              <w:rPr>
                <w:rFonts w:hint="eastAsia" w:ascii="宋体" w:hAnsi="宋体" w:cs="宋体"/>
                <w:color w:val="auto"/>
                <w:sz w:val="21"/>
                <w:szCs w:val="21"/>
                <w:highlight w:val="none"/>
                <w:lang w:val="en-US" w:eastAsia="zh-CN"/>
              </w:rPr>
              <w:t>最高</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分。</w:t>
            </w:r>
          </w:p>
          <w:p>
            <w:pPr>
              <w:widowControl/>
              <w:ind w:right="171" w:rightChars="61" w:firstLine="420" w:firstLineChars="200"/>
              <w:jc w:val="left"/>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2、投标人在浙江省内设有分公司等售后服务网点（需提供分公司营业执照）的得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分，其他不得分。中标公示后将对售后服务网点进行核查，若存在弄虚作假，或者与投标提供的证明材料不一致，业主有权取消其中标资格。</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须提供营业执照原件扫描件，不提供不得分。）</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3</w:t>
            </w:r>
          </w:p>
        </w:tc>
      </w:tr>
      <w:tr>
        <w:tblPrEx>
          <w:tblCellMar>
            <w:top w:w="0" w:type="dxa"/>
            <w:left w:w="0" w:type="dxa"/>
            <w:bottom w:w="0" w:type="dxa"/>
            <w:right w:w="0" w:type="dxa"/>
          </w:tblCellMar>
        </w:tblPrEx>
        <w:trPr>
          <w:trHeight w:val="870" w:hRule="atLeast"/>
        </w:trPr>
        <w:tc>
          <w:tcPr>
            <w:tcW w:w="8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1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sz w:val="21"/>
                <w:szCs w:val="21"/>
                <w:highlight w:val="none"/>
              </w:rPr>
            </w:pPr>
            <w:r>
              <w:rPr>
                <w:rFonts w:hint="eastAsia" w:ascii="Times New Roman" w:hAnsi="Times New Roman" w:eastAsia="宋体" w:cs="Times New Roman"/>
                <w:sz w:val="21"/>
                <w:szCs w:val="21"/>
                <w:highlight w:val="none"/>
                <w:lang w:val="en-US" w:eastAsia="zh-CN"/>
              </w:rPr>
              <w:t>优惠条件</w:t>
            </w:r>
          </w:p>
        </w:tc>
        <w:tc>
          <w:tcPr>
            <w:tcW w:w="575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eastAsia="zh-CN"/>
              </w:rPr>
            </w:pPr>
            <w:r>
              <w:rPr>
                <w:rFonts w:hint="eastAsia" w:ascii="Times New Roman" w:hAnsi="Times New Roman" w:eastAsia="宋体" w:cs="Times New Roman"/>
                <w:sz w:val="21"/>
                <w:szCs w:val="21"/>
                <w:highlight w:val="none"/>
                <w:lang w:val="en-GB" w:eastAsia="zh-CN"/>
              </w:rPr>
              <w:t>符合</w:t>
            </w:r>
            <w:r>
              <w:rPr>
                <w:rFonts w:hint="eastAsia" w:ascii="Times New Roman" w:hAnsi="Times New Roman" w:eastAsia="宋体" w:cs="Times New Roman"/>
                <w:sz w:val="21"/>
                <w:szCs w:val="21"/>
                <w:highlight w:val="none"/>
                <w:lang w:val="en-US" w:eastAsia="zh-CN"/>
              </w:rPr>
              <w:t>采购</w:t>
            </w:r>
            <w:r>
              <w:rPr>
                <w:rFonts w:hint="eastAsia" w:ascii="Times New Roman" w:hAnsi="Times New Roman" w:eastAsia="宋体" w:cs="Times New Roman"/>
                <w:sz w:val="21"/>
                <w:szCs w:val="21"/>
                <w:highlight w:val="none"/>
                <w:lang w:val="en-GB" w:eastAsia="zh-CN"/>
              </w:rPr>
              <w:t>文件</w:t>
            </w:r>
            <w:r>
              <w:rPr>
                <w:rFonts w:hint="eastAsia" w:ascii="Times New Roman" w:hAnsi="Times New Roman" w:eastAsia="宋体" w:cs="Times New Roman"/>
                <w:sz w:val="21"/>
                <w:szCs w:val="21"/>
                <w:highlight w:val="none"/>
                <w:lang w:val="en-US" w:eastAsia="zh-CN"/>
              </w:rPr>
              <w:t>中</w:t>
            </w:r>
            <w:r>
              <w:rPr>
                <w:rFonts w:hint="eastAsia" w:cs="Times New Roman"/>
                <w:sz w:val="21"/>
                <w:szCs w:val="21"/>
                <w:highlight w:val="none"/>
                <w:lang w:val="en-GB" w:eastAsia="zh-CN"/>
              </w:rPr>
              <w:t>运维及</w:t>
            </w:r>
            <w:r>
              <w:rPr>
                <w:rFonts w:hint="eastAsia" w:cs="Times New Roman"/>
                <w:sz w:val="21"/>
                <w:szCs w:val="21"/>
                <w:highlight w:val="none"/>
                <w:lang w:val="en-US" w:eastAsia="zh-CN"/>
              </w:rPr>
              <w:t>质</w:t>
            </w:r>
            <w:r>
              <w:rPr>
                <w:rFonts w:hint="eastAsia" w:ascii="Times New Roman" w:hAnsi="Times New Roman" w:eastAsia="宋体" w:cs="Times New Roman"/>
                <w:sz w:val="21"/>
                <w:szCs w:val="21"/>
                <w:highlight w:val="none"/>
                <w:lang w:val="en-US" w:eastAsia="zh-CN"/>
              </w:rPr>
              <w:t>保期</w:t>
            </w:r>
            <w:r>
              <w:rPr>
                <w:rFonts w:hint="eastAsia" w:cs="Times New Roman"/>
                <w:sz w:val="21"/>
                <w:szCs w:val="21"/>
                <w:highlight w:val="none"/>
                <w:lang w:val="en-US" w:eastAsia="zh-CN"/>
              </w:rPr>
              <w:t>2</w:t>
            </w:r>
            <w:r>
              <w:rPr>
                <w:rFonts w:hint="eastAsia" w:ascii="Times New Roman" w:hAnsi="Times New Roman" w:eastAsia="宋体" w:cs="Times New Roman"/>
                <w:sz w:val="21"/>
                <w:szCs w:val="21"/>
                <w:highlight w:val="none"/>
                <w:lang w:val="en-GB" w:eastAsia="zh-CN"/>
              </w:rPr>
              <w:t>年的不得分，每增加</w:t>
            </w:r>
            <w:r>
              <w:rPr>
                <w:rFonts w:hint="eastAsia" w:cs="Times New Roman"/>
                <w:sz w:val="21"/>
                <w:szCs w:val="21"/>
                <w:highlight w:val="none"/>
                <w:lang w:val="en-GB" w:eastAsia="zh-CN"/>
              </w:rPr>
              <w:t>运维及</w:t>
            </w:r>
            <w:r>
              <w:rPr>
                <w:rFonts w:hint="eastAsia" w:cs="Times New Roman"/>
                <w:sz w:val="21"/>
                <w:szCs w:val="21"/>
                <w:highlight w:val="none"/>
                <w:lang w:val="en-US" w:eastAsia="zh-CN"/>
              </w:rPr>
              <w:t>质</w:t>
            </w:r>
            <w:r>
              <w:rPr>
                <w:rFonts w:hint="eastAsia" w:ascii="Times New Roman" w:hAnsi="Times New Roman" w:eastAsia="宋体" w:cs="Times New Roman"/>
                <w:sz w:val="21"/>
                <w:szCs w:val="21"/>
                <w:highlight w:val="none"/>
                <w:lang w:val="en-US" w:eastAsia="zh-CN"/>
              </w:rPr>
              <w:t>保期</w:t>
            </w:r>
            <w:r>
              <w:rPr>
                <w:rFonts w:hint="eastAsia" w:ascii="Times New Roman" w:hAnsi="Times New Roman" w:eastAsia="宋体" w:cs="Times New Roman"/>
                <w:sz w:val="21"/>
                <w:szCs w:val="21"/>
                <w:highlight w:val="none"/>
                <w:lang w:val="en-GB" w:eastAsia="zh-CN"/>
              </w:rPr>
              <w:t>1年的</w:t>
            </w:r>
            <w:r>
              <w:rPr>
                <w:rFonts w:hint="eastAsia" w:ascii="Times New Roman" w:hAnsi="Times New Roman" w:eastAsia="宋体" w:cs="Times New Roman"/>
                <w:sz w:val="21"/>
                <w:szCs w:val="21"/>
                <w:highlight w:val="none"/>
                <w:lang w:val="en-US" w:eastAsia="zh-CN"/>
              </w:rPr>
              <w:t>加</w:t>
            </w:r>
            <w:r>
              <w:rPr>
                <w:rFonts w:hint="eastAsia" w:cs="Times New Roman"/>
                <w:sz w:val="21"/>
                <w:szCs w:val="21"/>
                <w:highlight w:val="none"/>
                <w:lang w:val="en-US" w:eastAsia="zh-CN"/>
              </w:rPr>
              <w:t>1.5</w:t>
            </w:r>
            <w:r>
              <w:rPr>
                <w:rFonts w:hint="eastAsia" w:ascii="Times New Roman" w:hAnsi="Times New Roman" w:eastAsia="宋体" w:cs="Times New Roman"/>
                <w:sz w:val="21"/>
                <w:szCs w:val="21"/>
                <w:highlight w:val="none"/>
                <w:lang w:val="en-GB" w:eastAsia="zh-CN"/>
              </w:rPr>
              <w:t>分，本项最高得</w:t>
            </w:r>
            <w:r>
              <w:rPr>
                <w:rFonts w:hint="eastAsia" w:cs="Times New Roman"/>
                <w:sz w:val="21"/>
                <w:szCs w:val="21"/>
                <w:highlight w:val="none"/>
                <w:lang w:val="en-US" w:eastAsia="zh-CN"/>
              </w:rPr>
              <w:t>3</w:t>
            </w:r>
            <w:r>
              <w:rPr>
                <w:rFonts w:hint="eastAsia" w:ascii="Times New Roman" w:hAnsi="Times New Roman" w:eastAsia="宋体" w:cs="Times New Roman"/>
                <w:sz w:val="21"/>
                <w:szCs w:val="21"/>
                <w:highlight w:val="none"/>
                <w:lang w:val="en-GB" w:eastAsia="zh-CN"/>
              </w:rPr>
              <w:t>分。（注：需提供承诺书</w:t>
            </w:r>
            <w:r>
              <w:rPr>
                <w:rFonts w:hint="eastAsia" w:ascii="Times New Roman" w:hAnsi="Times New Roman" w:eastAsia="宋体" w:cs="Times New Roman"/>
                <w:sz w:val="21"/>
                <w:szCs w:val="21"/>
                <w:highlight w:val="none"/>
                <w:lang w:val="en-US" w:eastAsia="zh-CN"/>
              </w:rPr>
              <w:t>并加盖公章原件扫描件</w:t>
            </w:r>
            <w:r>
              <w:rPr>
                <w:rFonts w:hint="eastAsia" w:ascii="Times New Roman" w:hAnsi="Times New Roman" w:eastAsia="宋体" w:cs="Times New Roman"/>
                <w:sz w:val="21"/>
                <w:szCs w:val="21"/>
                <w:highlight w:val="none"/>
                <w:lang w:val="en-GB" w:eastAsia="zh-CN"/>
              </w:rPr>
              <w:t>）</w:t>
            </w:r>
            <w:r>
              <w:rPr>
                <w:rFonts w:hint="eastAsia" w:ascii="Times New Roman" w:hAnsi="Times New Roman" w:eastAsia="宋体" w:cs="Times New Roman"/>
                <w:sz w:val="21"/>
                <w:szCs w:val="21"/>
                <w:highlight w:val="none"/>
                <w:lang w:val="en-US" w:eastAsia="zh-CN"/>
              </w:rPr>
              <w:t>。</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0-3</w:t>
            </w:r>
          </w:p>
        </w:tc>
      </w:tr>
      <w:tr>
        <w:tblPrEx>
          <w:tblCellMar>
            <w:top w:w="0" w:type="dxa"/>
            <w:left w:w="0" w:type="dxa"/>
            <w:bottom w:w="0" w:type="dxa"/>
            <w:right w:w="0" w:type="dxa"/>
          </w:tblCellMar>
        </w:tblPrEx>
        <w:trPr>
          <w:trHeight w:val="276" w:hRule="atLeast"/>
        </w:trPr>
        <w:tc>
          <w:tcPr>
            <w:tcW w:w="9405" w:type="dxa"/>
            <w:gridSpan w:val="6"/>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jc w:val="center"/>
              <w:textAlignment w:val="auto"/>
              <w:outlineLvl w:val="1"/>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系统</w:t>
            </w:r>
            <w:r>
              <w:rPr>
                <w:rFonts w:hint="eastAsia" w:ascii="宋体" w:hAnsi="宋体" w:eastAsia="宋体" w:cs="宋体"/>
                <w:color w:val="auto"/>
                <w:sz w:val="21"/>
                <w:szCs w:val="21"/>
                <w:highlight w:val="none"/>
                <w:lang w:eastAsia="zh-CN"/>
              </w:rPr>
              <w:t>演示（</w:t>
            </w:r>
            <w:r>
              <w:rPr>
                <w:rFonts w:hint="eastAsia" w:ascii="宋体" w:hAnsi="宋体" w:eastAsia="宋体" w:cs="宋体"/>
                <w:color w:val="auto"/>
                <w:sz w:val="21"/>
                <w:szCs w:val="21"/>
                <w:highlight w:val="none"/>
                <w:lang w:val="en-US" w:eastAsia="zh-CN"/>
              </w:rPr>
              <w:t>30分</w:t>
            </w:r>
            <w:r>
              <w:rPr>
                <w:rFonts w:hint="eastAsia" w:ascii="宋体" w:hAnsi="宋体" w:eastAsia="宋体" w:cs="宋体"/>
                <w:color w:val="auto"/>
                <w:sz w:val="21"/>
                <w:szCs w:val="21"/>
                <w:highlight w:val="none"/>
                <w:lang w:eastAsia="zh-CN"/>
              </w:rPr>
              <w:t>）</w:t>
            </w:r>
          </w:p>
          <w:p>
            <w:pPr>
              <w:widowControl/>
              <w:ind w:left="171" w:leftChars="61" w:right="171" w:rightChars="61" w:firstLine="123" w:firstLineChars="59"/>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针对本项目的主要建设内容，投标供应商应结合本项目典型业务场景进行</w:t>
            </w:r>
            <w:r>
              <w:rPr>
                <w:rFonts w:hint="eastAsia" w:ascii="宋体" w:hAnsi="宋体" w:cs="宋体"/>
                <w:color w:val="auto"/>
                <w:kern w:val="0"/>
                <w:sz w:val="21"/>
                <w:szCs w:val="21"/>
                <w:highlight w:val="none"/>
                <w:lang w:val="en-US" w:eastAsia="zh-CN" w:bidi="ar"/>
              </w:rPr>
              <w:t>线上（钉钉）</w:t>
            </w:r>
            <w:r>
              <w:rPr>
                <w:rFonts w:hint="eastAsia" w:ascii="宋体" w:hAnsi="宋体" w:eastAsia="宋体" w:cs="宋体"/>
                <w:color w:val="auto"/>
                <w:kern w:val="0"/>
                <w:sz w:val="21"/>
                <w:szCs w:val="21"/>
                <w:highlight w:val="none"/>
                <w:lang w:bidi="ar"/>
              </w:rPr>
              <w:t>系统演示。</w:t>
            </w:r>
          </w:p>
          <w:p>
            <w:pPr>
              <w:widowControl/>
              <w:ind w:left="171" w:leftChars="61" w:right="171" w:rightChars="61" w:firstLine="123" w:firstLineChars="59"/>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演示时间控制在</w:t>
            </w:r>
            <w:r>
              <w:rPr>
                <w:rFonts w:hint="eastAsia" w:ascii="宋体" w:hAnsi="宋体" w:eastAsia="宋体" w:cs="宋体"/>
                <w:color w:val="auto"/>
                <w:kern w:val="0"/>
                <w:sz w:val="21"/>
                <w:szCs w:val="21"/>
                <w:highlight w:val="none"/>
                <w:lang w:val="en-US" w:eastAsia="zh-CN" w:bidi="ar"/>
              </w:rPr>
              <w:t>20</w:t>
            </w:r>
            <w:r>
              <w:rPr>
                <w:rFonts w:hint="eastAsia" w:ascii="宋体" w:hAnsi="宋体" w:eastAsia="宋体" w:cs="宋体"/>
                <w:color w:val="auto"/>
                <w:kern w:val="0"/>
                <w:sz w:val="21"/>
                <w:szCs w:val="21"/>
                <w:highlight w:val="none"/>
                <w:lang w:bidi="ar"/>
              </w:rPr>
              <w:t>分钟之内。</w:t>
            </w:r>
          </w:p>
          <w:p>
            <w:pPr>
              <w:widowControl/>
              <w:ind w:left="171" w:leftChars="61" w:right="171" w:rightChars="61" w:firstLine="123" w:firstLineChars="59"/>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bidi="ar"/>
              </w:rPr>
              <w:t>①其中采用真实系统演示，每一项功能完整且演示流畅</w:t>
            </w:r>
            <w:r>
              <w:rPr>
                <w:rFonts w:hint="eastAsia" w:ascii="宋体" w:hAnsi="宋体" w:eastAsia="宋体" w:cs="宋体"/>
                <w:color w:val="auto"/>
                <w:kern w:val="0"/>
                <w:sz w:val="21"/>
                <w:szCs w:val="21"/>
                <w:highlight w:val="none"/>
                <w:lang w:eastAsia="zh-CN" w:bidi="ar"/>
              </w:rPr>
              <w:t>的，</w:t>
            </w:r>
            <w:r>
              <w:rPr>
                <w:rFonts w:hint="eastAsia" w:ascii="宋体" w:hAnsi="宋体" w:eastAsia="宋体" w:cs="宋体"/>
                <w:color w:val="auto"/>
                <w:kern w:val="0"/>
                <w:sz w:val="21"/>
                <w:szCs w:val="21"/>
                <w:highlight w:val="none"/>
                <w:lang w:bidi="ar"/>
              </w:rPr>
              <w:t>评标委员会专家对投标人的现场演示部分进行比较后在</w:t>
            </w:r>
            <w:r>
              <w:rPr>
                <w:rFonts w:hint="eastAsia" w:ascii="宋体" w:hAnsi="宋体" w:eastAsia="宋体" w:cs="宋体"/>
                <w:color w:val="auto"/>
                <w:kern w:val="0"/>
                <w:sz w:val="21"/>
                <w:szCs w:val="21"/>
                <w:highlight w:val="none"/>
                <w:lang w:eastAsia="zh-CN" w:bidi="ar"/>
              </w:rPr>
              <w:t>总分</w:t>
            </w:r>
            <w:r>
              <w:rPr>
                <w:rFonts w:hint="eastAsia" w:ascii="宋体" w:hAnsi="宋体" w:eastAsia="宋体" w:cs="宋体"/>
                <w:color w:val="auto"/>
                <w:kern w:val="0"/>
                <w:sz w:val="21"/>
                <w:szCs w:val="21"/>
                <w:highlight w:val="none"/>
                <w:lang w:val="en-US" w:eastAsia="zh-CN" w:bidi="ar"/>
              </w:rPr>
              <w:t>30</w:t>
            </w:r>
            <w:r>
              <w:rPr>
                <w:rFonts w:hint="eastAsia" w:ascii="宋体" w:hAnsi="宋体" w:eastAsia="宋体" w:cs="宋体"/>
                <w:color w:val="auto"/>
                <w:kern w:val="0"/>
                <w:sz w:val="21"/>
                <w:szCs w:val="21"/>
                <w:highlight w:val="none"/>
                <w:lang w:bidi="ar"/>
              </w:rPr>
              <w:t>分内打分。</w:t>
            </w:r>
          </w:p>
          <w:p>
            <w:pPr>
              <w:widowControl/>
              <w:ind w:right="171" w:rightChars="61"/>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 xml:space="preserve"> </w:t>
            </w:r>
            <w:r>
              <w:rPr>
                <w:rFonts w:hint="eastAsia" w:ascii="宋体" w:hAnsi="宋体" w:eastAsia="宋体" w:cs="宋体"/>
                <w:color w:val="auto"/>
                <w:kern w:val="0"/>
                <w:sz w:val="21"/>
                <w:szCs w:val="21"/>
                <w:highlight w:val="none"/>
                <w:lang w:val="en-US" w:eastAsia="zh-CN" w:bidi="ar"/>
              </w:rPr>
              <w:t xml:space="preserve"> </w:t>
            </w:r>
            <w:r>
              <w:rPr>
                <w:rFonts w:hint="eastAsia" w:ascii="宋体" w:hAnsi="宋体" w:eastAsia="宋体" w:cs="宋体"/>
                <w:color w:val="auto"/>
                <w:kern w:val="0"/>
                <w:sz w:val="21"/>
                <w:szCs w:val="21"/>
                <w:highlight w:val="none"/>
                <w:lang w:bidi="ar"/>
              </w:rPr>
              <w:t>②采用原型（DEMO）或静态页面演示，每一项功能完整且演示流畅</w:t>
            </w:r>
            <w:r>
              <w:rPr>
                <w:rFonts w:hint="eastAsia" w:ascii="宋体" w:hAnsi="宋体" w:eastAsia="宋体" w:cs="宋体"/>
                <w:color w:val="auto"/>
                <w:kern w:val="0"/>
                <w:sz w:val="21"/>
                <w:szCs w:val="21"/>
                <w:highlight w:val="none"/>
                <w:lang w:eastAsia="zh-CN" w:bidi="ar"/>
              </w:rPr>
              <w:t>的</w:t>
            </w:r>
            <w:r>
              <w:rPr>
                <w:rFonts w:hint="eastAsia" w:ascii="宋体" w:hAnsi="宋体" w:eastAsia="宋体" w:cs="宋体"/>
                <w:color w:val="auto"/>
                <w:kern w:val="0"/>
                <w:sz w:val="21"/>
                <w:szCs w:val="21"/>
                <w:highlight w:val="none"/>
                <w:lang w:bidi="ar"/>
              </w:rPr>
              <w:t>，评标委员会专家对投标人的现场演示部分进行比较后在</w:t>
            </w:r>
            <w:r>
              <w:rPr>
                <w:rFonts w:hint="eastAsia" w:ascii="宋体" w:hAnsi="宋体" w:eastAsia="宋体" w:cs="宋体"/>
                <w:color w:val="auto"/>
                <w:kern w:val="0"/>
                <w:sz w:val="21"/>
                <w:szCs w:val="21"/>
                <w:highlight w:val="none"/>
                <w:lang w:eastAsia="zh-CN" w:bidi="ar"/>
              </w:rPr>
              <w:t>总分</w:t>
            </w:r>
            <w:r>
              <w:rPr>
                <w:rFonts w:hint="eastAsia" w:ascii="宋体" w:hAnsi="宋体" w:eastAsia="宋体" w:cs="宋体"/>
                <w:color w:val="auto"/>
                <w:kern w:val="0"/>
                <w:sz w:val="21"/>
                <w:szCs w:val="21"/>
                <w:highlight w:val="none"/>
                <w:lang w:val="en-US" w:eastAsia="zh-CN" w:bidi="ar"/>
              </w:rPr>
              <w:t>15</w:t>
            </w:r>
            <w:r>
              <w:rPr>
                <w:rFonts w:hint="eastAsia" w:ascii="宋体" w:hAnsi="宋体" w:eastAsia="宋体" w:cs="宋体"/>
                <w:color w:val="auto"/>
                <w:kern w:val="0"/>
                <w:sz w:val="21"/>
                <w:szCs w:val="21"/>
                <w:highlight w:val="none"/>
                <w:lang w:bidi="ar"/>
              </w:rPr>
              <w:t>分内打分。</w:t>
            </w:r>
          </w:p>
          <w:p>
            <w:pPr>
              <w:widowControl/>
              <w:ind w:left="171" w:leftChars="61" w:right="171" w:rightChars="61" w:firstLine="123" w:firstLineChars="59"/>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③无法提供系统演示或采用录屏及PPT等其他方式演示的不得分。</w:t>
            </w:r>
          </w:p>
          <w:p>
            <w:pPr>
              <w:pStyle w:val="21"/>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bidi="ar"/>
              </w:rPr>
              <w:t>注：演示所需软硬件设备投标人自行准备。</w:t>
            </w:r>
          </w:p>
        </w:tc>
      </w:tr>
      <w:tr>
        <w:tblPrEx>
          <w:tblCellMar>
            <w:top w:w="0" w:type="dxa"/>
            <w:left w:w="0" w:type="dxa"/>
            <w:bottom w:w="0" w:type="dxa"/>
            <w:right w:w="0" w:type="dxa"/>
          </w:tblCellMar>
        </w:tblPrEx>
        <w:trPr>
          <w:trHeight w:val="253" w:hRule="atLeast"/>
        </w:trPr>
        <w:tc>
          <w:tcPr>
            <w:tcW w:w="840" w:type="dxa"/>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2</w:t>
            </w:r>
          </w:p>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现场演示</w:t>
            </w:r>
          </w:p>
        </w:tc>
        <w:tc>
          <w:tcPr>
            <w:tcW w:w="6890" w:type="dxa"/>
            <w:gridSpan w:val="4"/>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firstLine="420" w:firstLineChars="20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园区综合监管一张图</w:t>
            </w:r>
          </w:p>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（根据三维模型数据精细程度、纹理、色彩、整体效果以及平台功能的完整性、先进性、可用性等方面进行综合评判）</w:t>
            </w:r>
          </w:p>
        </w:tc>
      </w:tr>
      <w:tr>
        <w:tblPrEx>
          <w:tblCellMar>
            <w:top w:w="0" w:type="dxa"/>
            <w:left w:w="0" w:type="dxa"/>
            <w:bottom w:w="0" w:type="dxa"/>
            <w:right w:w="0" w:type="dxa"/>
          </w:tblCellMar>
        </w:tblPrEx>
        <w:trPr>
          <w:trHeight w:val="827" w:hRule="atLeast"/>
        </w:trPr>
        <w:tc>
          <w:tcPr>
            <w:tcW w:w="840"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eastAsia="zh-CN"/>
              </w:rPr>
            </w:pPr>
          </w:p>
        </w:tc>
        <w:tc>
          <w:tcPr>
            <w:tcW w:w="571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1、结合三维倾斜摄影地图对化工园区内各企业涉及的安全、环保、能耗数据进行跟随显示，并能实现一键点入功能。</w:t>
            </w:r>
          </w:p>
        </w:tc>
        <w:tc>
          <w:tcPr>
            <w:tcW w:w="1180" w:type="dxa"/>
            <w:gridSpan w:val="3"/>
            <w:tcBorders>
              <w:top w:val="single" w:color="auto" w:sz="4" w:space="0"/>
              <w:left w:val="single" w:color="auto" w:sz="4" w:space="0"/>
              <w:bottom w:val="single" w:color="000000"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rPr>
          <w:trHeight w:val="887" w:hRule="atLeast"/>
        </w:trPr>
        <w:tc>
          <w:tcPr>
            <w:tcW w:w="840"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2、结合三维倾斜摄影地图实现安监运行一张图（企业分布、重大危险源定位监测、安全隐患整改、两重点一重大信息、风险隐患地图定位查看）。</w:t>
            </w:r>
          </w:p>
        </w:tc>
        <w:tc>
          <w:tcPr>
            <w:tcW w:w="1180" w:type="dxa"/>
            <w:gridSpan w:val="3"/>
            <w:tcBorders>
              <w:top w:val="single" w:color="000000" w:sz="4" w:space="0"/>
              <w:left w:val="single" w:color="auto" w:sz="4" w:space="0"/>
              <w:bottom w:val="single" w:color="000000"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blPrEx>
          <w:tblCellMar>
            <w:top w:w="0" w:type="dxa"/>
            <w:left w:w="0" w:type="dxa"/>
            <w:bottom w:w="0" w:type="dxa"/>
            <w:right w:w="0" w:type="dxa"/>
          </w:tblCellMar>
        </w:tblPrEx>
        <w:trPr>
          <w:trHeight w:val="371"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3、结合三维倾斜摄影地图实现环保态势一张图（空气及水质实时监测及其历史数据、污染源排放点、危固废管控、监测点定位）。</w:t>
            </w:r>
          </w:p>
        </w:tc>
        <w:tc>
          <w:tcPr>
            <w:tcW w:w="1180" w:type="dxa"/>
            <w:gridSpan w:val="3"/>
            <w:tcBorders>
              <w:top w:val="single" w:color="000000"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w:t>
            </w:r>
          </w:p>
        </w:tc>
      </w:tr>
      <w:tr>
        <w:tblPrEx>
          <w:tblCellMar>
            <w:top w:w="0" w:type="dxa"/>
            <w:left w:w="0" w:type="dxa"/>
            <w:bottom w:w="0" w:type="dxa"/>
            <w:right w:w="0" w:type="dxa"/>
          </w:tblCellMar>
        </w:tblPrEx>
        <w:trPr>
          <w:trHeight w:val="855"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4、结合三维倾斜摄影地图实现封闭监管一张图（危化品车辆统计、实时定位、进出及违停记录、车流量分时段分析、运营信息、车牌查询、轨迹回放、区域分析检索）</w:t>
            </w:r>
            <w:r>
              <w:rPr>
                <w:rFonts w:hint="eastAsia" w:ascii="宋体" w:hAnsi="宋体" w:cs="宋体"/>
                <w:color w:val="auto"/>
                <w:sz w:val="21"/>
                <w:szCs w:val="21"/>
                <w:highlight w:val="none"/>
                <w:lang w:val="en-US" w:eastAsia="zh-CN"/>
              </w:rPr>
              <w:t>。</w:t>
            </w:r>
          </w:p>
        </w:tc>
        <w:tc>
          <w:tcPr>
            <w:tcW w:w="1180" w:type="dxa"/>
            <w:gridSpan w:val="3"/>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blPrEx>
          <w:tblCellMar>
            <w:top w:w="0" w:type="dxa"/>
            <w:left w:w="0" w:type="dxa"/>
            <w:bottom w:w="0" w:type="dxa"/>
            <w:right w:w="0" w:type="dxa"/>
          </w:tblCellMar>
        </w:tblPrEx>
        <w:trPr>
          <w:trHeight w:val="327"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5、结合三维倾斜摄影地图实现应急资源一张图（应急人员、应急机构、应急资源分布、应急预案）</w:t>
            </w:r>
            <w:r>
              <w:rPr>
                <w:rFonts w:hint="eastAsia" w:ascii="宋体" w:hAnsi="宋体" w:cs="宋体"/>
                <w:color w:val="auto"/>
                <w:sz w:val="21"/>
                <w:szCs w:val="21"/>
                <w:highlight w:val="none"/>
                <w:lang w:val="en-US" w:eastAsia="zh-CN"/>
              </w:rPr>
              <w:t>。</w:t>
            </w:r>
          </w:p>
        </w:tc>
        <w:tc>
          <w:tcPr>
            <w:tcW w:w="1180" w:type="dxa"/>
            <w:gridSpan w:val="3"/>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w:t>
            </w:r>
          </w:p>
        </w:tc>
      </w:tr>
      <w:tr>
        <w:tblPrEx>
          <w:tblCellMar>
            <w:top w:w="0" w:type="dxa"/>
            <w:left w:w="0" w:type="dxa"/>
            <w:bottom w:w="0" w:type="dxa"/>
            <w:right w:w="0" w:type="dxa"/>
          </w:tblCellMar>
        </w:tblPrEx>
        <w:trPr>
          <w:trHeight w:val="307"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一企一档</w:t>
            </w:r>
          </w:p>
        </w:tc>
      </w:tr>
      <w:tr>
        <w:tblPrEx>
          <w:tblCellMar>
            <w:top w:w="0" w:type="dxa"/>
            <w:left w:w="0" w:type="dxa"/>
            <w:bottom w:w="0" w:type="dxa"/>
            <w:right w:w="0" w:type="dxa"/>
          </w:tblCellMar>
        </w:tblPrEx>
        <w:trPr>
          <w:trHeight w:val="628"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录入企业基础信息：包括（工商信息、安全生产基础信息、企业风险辨识图、安全生产许可资质）。</w:t>
            </w:r>
          </w:p>
        </w:tc>
        <w:tc>
          <w:tcPr>
            <w:tcW w:w="1180" w:type="dxa"/>
            <w:gridSpan w:val="3"/>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0-1</w:t>
            </w:r>
          </w:p>
        </w:tc>
      </w:tr>
      <w:tr>
        <w:tblPrEx>
          <w:tblCellMar>
            <w:top w:w="0" w:type="dxa"/>
            <w:left w:w="0" w:type="dxa"/>
            <w:bottom w:w="0" w:type="dxa"/>
            <w:right w:w="0" w:type="dxa"/>
          </w:tblCellMar>
        </w:tblPrEx>
        <w:trPr>
          <w:trHeight w:val="202"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企业画像</w:t>
            </w:r>
          </w:p>
        </w:tc>
      </w:tr>
      <w:tr>
        <w:tblPrEx>
          <w:tblCellMar>
            <w:top w:w="0" w:type="dxa"/>
            <w:left w:w="0" w:type="dxa"/>
            <w:bottom w:w="0" w:type="dxa"/>
            <w:right w:w="0" w:type="dxa"/>
          </w:tblCellMar>
        </w:tblPrEx>
        <w:trPr>
          <w:trHeight w:val="202"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自动生成雷达图企业画像，直观展示的主体责任落实情况及企业存在安全薄弱项，包含企业固有风险得分、动态风险得分，动态风险评估基础得分情况。并支持查看固有风险得分、动态风险得分详情。</w:t>
            </w:r>
          </w:p>
        </w:tc>
        <w:tc>
          <w:tcPr>
            <w:tcW w:w="1180" w:type="dxa"/>
            <w:gridSpan w:val="3"/>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blPrEx>
          <w:tblCellMar>
            <w:top w:w="0" w:type="dxa"/>
            <w:left w:w="0" w:type="dxa"/>
            <w:bottom w:w="0" w:type="dxa"/>
            <w:right w:w="0" w:type="dxa"/>
          </w:tblCellMar>
        </w:tblPrEx>
        <w:trPr>
          <w:trHeight w:val="202"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不安全行为监控分析</w:t>
            </w:r>
          </w:p>
        </w:tc>
      </w:tr>
      <w:tr>
        <w:tblPrEx>
          <w:tblCellMar>
            <w:top w:w="0" w:type="dxa"/>
            <w:left w:w="0" w:type="dxa"/>
            <w:bottom w:w="0" w:type="dxa"/>
            <w:right w:w="0" w:type="dxa"/>
          </w:tblCellMar>
        </w:tblPrEx>
        <w:trPr>
          <w:trHeight w:val="1477"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10"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接入边缘AI计算主机，对企业的不安全行为、接入设备在线情况、异常情况进行监控分析，提供但不仅限于温度监测、压力监测、液位监测、可燃有毒气体监测等传感监测识别；人员离岗、人员睡岗、火星识别、人数超限、温感识别、未戴安全帽识别等视频智能场景识别</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并在发生时系统自动识别截取图片和视频，存储于服务器作为取证信息，同时第一时间将信息发送给企业相关责任人，分级向政府监管人员推送。</w:t>
            </w:r>
          </w:p>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提供事件预警总数、未处置数、处置率，及今日预警情况，并按照事件类型统计事件分布情况；</w:t>
            </w:r>
          </w:p>
        </w:tc>
        <w:tc>
          <w:tcPr>
            <w:tcW w:w="1180" w:type="dxa"/>
            <w:gridSpan w:val="3"/>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0-2</w:t>
            </w:r>
          </w:p>
        </w:tc>
      </w:tr>
      <w:tr>
        <w:tblPrEx>
          <w:tblCellMar>
            <w:top w:w="0" w:type="dxa"/>
            <w:left w:w="0" w:type="dxa"/>
            <w:bottom w:w="0" w:type="dxa"/>
            <w:right w:w="0" w:type="dxa"/>
          </w:tblCellMar>
        </w:tblPrEx>
        <w:trPr>
          <w:trHeight w:val="496"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监测预警</w:t>
            </w:r>
          </w:p>
        </w:tc>
      </w:tr>
      <w:tr>
        <w:tblPrEx>
          <w:tblCellMar>
            <w:top w:w="0" w:type="dxa"/>
            <w:left w:w="0" w:type="dxa"/>
            <w:bottom w:w="0" w:type="dxa"/>
            <w:right w:w="0" w:type="dxa"/>
          </w:tblCellMar>
        </w:tblPrEx>
        <w:trPr>
          <w:trHeight w:val="1477"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直观展现24小时内的事件列表，并可直接查看事件详情。包括</w:t>
            </w:r>
            <w:r>
              <w:rPr>
                <w:rFonts w:hint="eastAsia" w:ascii="宋体" w:hAnsi="宋体" w:cs="宋体"/>
                <w:color w:val="auto"/>
                <w:sz w:val="21"/>
                <w:szCs w:val="21"/>
                <w:highlight w:val="none"/>
                <w:lang w:val="en-US" w:eastAsia="zh-CN"/>
              </w:rPr>
              <w:t>但不仅限于</w:t>
            </w:r>
            <w:r>
              <w:rPr>
                <w:rFonts w:hint="eastAsia" w:ascii="宋体" w:hAnsi="宋体" w:eastAsia="宋体" w:cs="宋体"/>
                <w:color w:val="auto"/>
                <w:sz w:val="21"/>
                <w:szCs w:val="21"/>
                <w:highlight w:val="none"/>
                <w:lang w:val="en-US" w:eastAsia="zh-CN"/>
              </w:rPr>
              <w:t>：企业名称、预警时间、监测类型、事件等级、处置情况、各级预警的短信接收人和联系方式。查看事件时，可呈现企业基本信息、企业传感、视频的接入情况、历史事件预警情况及处置情况，并显示企业的实时风险系数；</w:t>
            </w:r>
          </w:p>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提供预警分析专题，分析预警事件总体情况，并进行各类型预警分析、预警时段分析、处置用时分析、预警及当日处置趋势分析、各地预警事件排行分析、各行业预警分析</w:t>
            </w:r>
            <w:r>
              <w:rPr>
                <w:rFonts w:hint="eastAsia" w:ascii="宋体" w:hAnsi="宋体" w:cs="宋体"/>
                <w:color w:val="auto"/>
                <w:sz w:val="21"/>
                <w:szCs w:val="21"/>
                <w:highlight w:val="none"/>
                <w:lang w:val="en-US" w:eastAsia="zh-CN"/>
              </w:rPr>
              <w:t>。</w:t>
            </w:r>
            <w:bookmarkStart w:id="181" w:name="_GoBack"/>
            <w:bookmarkEnd w:id="181"/>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0-2</w:t>
            </w:r>
          </w:p>
        </w:tc>
      </w:tr>
      <w:tr>
        <w:tblPrEx>
          <w:tblCellMar>
            <w:top w:w="0" w:type="dxa"/>
            <w:left w:w="0" w:type="dxa"/>
            <w:bottom w:w="0" w:type="dxa"/>
            <w:right w:w="0" w:type="dxa"/>
          </w:tblCellMar>
        </w:tblPrEx>
        <w:trPr>
          <w:trHeight w:val="453"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风险分级管控</w:t>
            </w:r>
          </w:p>
        </w:tc>
      </w:tr>
      <w:tr>
        <w:tblPrEx>
          <w:tblCellMar>
            <w:top w:w="0" w:type="dxa"/>
            <w:left w:w="0" w:type="dxa"/>
            <w:bottom w:w="0" w:type="dxa"/>
            <w:right w:w="0" w:type="dxa"/>
          </w:tblCellMar>
        </w:tblPrEx>
        <w:trPr>
          <w:trHeight w:val="1477"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系统内置风险评估方法，包括</w:t>
            </w:r>
            <w:r>
              <w:rPr>
                <w:rFonts w:hint="eastAsia" w:ascii="宋体" w:hAnsi="宋体" w:cs="宋体"/>
                <w:color w:val="auto"/>
                <w:sz w:val="21"/>
                <w:szCs w:val="21"/>
                <w:highlight w:val="none"/>
                <w:lang w:val="en-US" w:eastAsia="zh-CN"/>
              </w:rPr>
              <w:t>但不仅限于</w:t>
            </w:r>
            <w:r>
              <w:rPr>
                <w:rFonts w:hint="eastAsia" w:ascii="宋体" w:hAnsi="宋体" w:eastAsia="宋体" w:cs="宋体"/>
                <w:color w:val="auto"/>
                <w:sz w:val="21"/>
                <w:szCs w:val="21"/>
                <w:highlight w:val="none"/>
                <w:lang w:val="en-US" w:eastAsia="zh-CN"/>
              </w:rPr>
              <w:t>LEC法，LS法，MES法，自动评估风险点等级。</w:t>
            </w:r>
          </w:p>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清单式巡查，发现问题关联记录对应的隐患。</w:t>
            </w:r>
          </w:p>
          <w:p>
            <w:pPr>
              <w:widowControl/>
              <w:ind w:right="171" w:rightChars="61" w:firstLine="420" w:firstLineChars="20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发现隐患自动流转到隐患</w:t>
            </w:r>
            <w:r>
              <w:rPr>
                <w:rFonts w:hint="eastAsia" w:ascii="宋体" w:hAnsi="宋体" w:cs="宋体"/>
                <w:color w:val="auto"/>
                <w:sz w:val="21"/>
                <w:szCs w:val="21"/>
                <w:highlight w:val="none"/>
                <w:lang w:val="en-US" w:eastAsia="zh-CN"/>
              </w:rPr>
              <w:t>治理</w:t>
            </w:r>
            <w:r>
              <w:rPr>
                <w:rFonts w:hint="eastAsia" w:ascii="宋体" w:hAnsi="宋体" w:eastAsia="宋体" w:cs="宋体"/>
                <w:color w:val="auto"/>
                <w:sz w:val="21"/>
                <w:szCs w:val="21"/>
                <w:highlight w:val="none"/>
                <w:lang w:val="en-US" w:eastAsia="zh-CN"/>
              </w:rPr>
              <w:t>模块。</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2</w:t>
            </w:r>
          </w:p>
        </w:tc>
      </w:tr>
      <w:tr>
        <w:tblPrEx>
          <w:tblCellMar>
            <w:top w:w="0" w:type="dxa"/>
            <w:left w:w="0" w:type="dxa"/>
            <w:bottom w:w="0" w:type="dxa"/>
            <w:right w:w="0" w:type="dxa"/>
          </w:tblCellMar>
        </w:tblPrEx>
        <w:trPr>
          <w:trHeight w:val="501"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pStyle w:val="7"/>
              <w:keepNext/>
              <w:keepLines/>
              <w:pageBreakBefore w:val="0"/>
              <w:widowControl w:val="0"/>
              <w:numPr>
                <w:ilvl w:val="0"/>
                <w:numId w:val="0"/>
              </w:numPr>
              <w:kinsoku/>
              <w:wordWrap/>
              <w:overflowPunct/>
              <w:topLinePunct w:val="0"/>
              <w:autoSpaceDE/>
              <w:autoSpaceDN/>
              <w:bidi w:val="0"/>
              <w:adjustRightInd/>
              <w:snapToGrid/>
              <w:spacing w:before="0" w:after="0" w:line="380" w:lineRule="exact"/>
              <w:ind w:leftChars="0"/>
              <w:jc w:val="center"/>
              <w:textAlignment w:val="auto"/>
              <w:rPr>
                <w:rFonts w:hint="eastAsia" w:ascii="宋体" w:hAnsi="宋体" w:eastAsia="宋体" w:cs="宋体"/>
                <w:color w:val="auto"/>
                <w:sz w:val="21"/>
                <w:szCs w:val="21"/>
                <w:highlight w:val="none"/>
              </w:rPr>
            </w:pPr>
            <w:r>
              <w:rPr>
                <w:rFonts w:hint="eastAsia" w:ascii="宋体" w:hAnsi="宋体" w:eastAsia="宋体" w:cs="宋体"/>
                <w:b w:val="0"/>
                <w:bCs w:val="0"/>
                <w:color w:val="auto"/>
                <w:kern w:val="2"/>
                <w:sz w:val="21"/>
                <w:szCs w:val="21"/>
                <w:highlight w:val="none"/>
                <w:lang w:val="en-US" w:eastAsia="zh-CN" w:bidi="ar-SA"/>
              </w:rPr>
              <w:t>日常隐患防控</w:t>
            </w:r>
          </w:p>
        </w:tc>
      </w:tr>
      <w:tr>
        <w:tblPrEx>
          <w:tblCellMar>
            <w:top w:w="0" w:type="dxa"/>
            <w:left w:w="0" w:type="dxa"/>
            <w:bottom w:w="0" w:type="dxa"/>
            <w:right w:w="0" w:type="dxa"/>
          </w:tblCellMar>
        </w:tblPrEx>
        <w:trPr>
          <w:trHeight w:val="1570"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功能包括隐患上报、隐患录入、隐患确认、隐患接收、隐患超期提醒、隐患情况汇总、企业自查隐患监管、政府监督检查隐患监管、隐患挂牌督办、隐患移交和隐患综合查询。同时基于隐患排查治理采集数据，同步监查处置的工作指令至基层安全网格员（安全管理员）进行现场处理。</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0-2</w:t>
            </w:r>
          </w:p>
        </w:tc>
      </w:tr>
      <w:tr>
        <w:tblPrEx>
          <w:tblCellMar>
            <w:top w:w="0" w:type="dxa"/>
            <w:left w:w="0" w:type="dxa"/>
            <w:bottom w:w="0" w:type="dxa"/>
            <w:right w:w="0" w:type="dxa"/>
          </w:tblCellMar>
        </w:tblPrEx>
        <w:trPr>
          <w:trHeight w:val="438"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安全生产评价体系</w:t>
            </w:r>
          </w:p>
        </w:tc>
      </w:tr>
      <w:tr>
        <w:tblPrEx>
          <w:tblCellMar>
            <w:top w:w="0" w:type="dxa"/>
            <w:left w:w="0" w:type="dxa"/>
            <w:bottom w:w="0" w:type="dxa"/>
            <w:right w:w="0" w:type="dxa"/>
          </w:tblCellMar>
        </w:tblPrEx>
        <w:trPr>
          <w:trHeight w:val="799"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 xml:space="preserve">针对企业：从生产系统的风险识别评价、隐患整改、日常管理、教育培训、安全投入等多个维度进行企业安全生产分值评判，并以此为依据对企业进行（红、橙、黄、蓝）四色风险等级评定。 </w:t>
            </w:r>
          </w:p>
          <w:p>
            <w:pPr>
              <w:pStyle w:val="21"/>
              <w:numPr>
                <w:ilvl w:val="0"/>
                <w:numId w:val="0"/>
              </w:numPr>
              <w:ind w:firstLine="420" w:firstLineChars="200"/>
              <w:rPr>
                <w:rFonts w:hint="eastAsia"/>
                <w:color w:val="auto"/>
                <w:highlight w:val="none"/>
                <w:lang w:val="en-US" w:eastAsia="zh-CN"/>
              </w:rPr>
            </w:pPr>
            <w:r>
              <w:rPr>
                <w:rFonts w:hint="eastAsia" w:ascii="宋体" w:hAnsi="宋体" w:eastAsia="宋体" w:cs="宋体"/>
                <w:color w:val="auto"/>
                <w:kern w:val="0"/>
                <w:sz w:val="21"/>
                <w:szCs w:val="21"/>
                <w:highlight w:val="none"/>
                <w:lang w:val="en-US" w:eastAsia="zh-CN" w:bidi="ar"/>
              </w:rPr>
              <w:t>构建企业安全评价体系，包含</w:t>
            </w:r>
            <w:r>
              <w:rPr>
                <w:rFonts w:hint="eastAsia" w:ascii="宋体" w:hAnsi="宋体" w:cs="宋体"/>
                <w:color w:val="auto"/>
                <w:kern w:val="0"/>
                <w:sz w:val="21"/>
                <w:szCs w:val="21"/>
                <w:highlight w:val="none"/>
                <w:lang w:val="en-US" w:eastAsia="zh-CN" w:bidi="ar"/>
              </w:rPr>
              <w:t>但不仅限于</w:t>
            </w:r>
            <w:r>
              <w:rPr>
                <w:rFonts w:hint="eastAsia" w:ascii="宋体" w:hAnsi="宋体" w:eastAsia="宋体" w:cs="宋体"/>
                <w:color w:val="auto"/>
                <w:kern w:val="0"/>
                <w:sz w:val="21"/>
                <w:szCs w:val="21"/>
                <w:highlight w:val="none"/>
                <w:lang w:val="en-US" w:eastAsia="zh-CN" w:bidi="ar"/>
              </w:rPr>
              <w:t xml:space="preserve">固有风险模型、动态评价模型、激励模型、负面清单、一票否决等模型。同时可以查看企业评价等级、总得分、明细得分详情等功能。 </w:t>
            </w:r>
          </w:p>
        </w:tc>
        <w:tc>
          <w:tcPr>
            <w:tcW w:w="1140" w:type="dxa"/>
            <w:gridSpan w:val="2"/>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0-2</w:t>
            </w:r>
          </w:p>
        </w:tc>
      </w:tr>
      <w:tr>
        <w:tblPrEx>
          <w:tblCellMar>
            <w:top w:w="0" w:type="dxa"/>
            <w:left w:w="0" w:type="dxa"/>
            <w:bottom w:w="0" w:type="dxa"/>
            <w:right w:w="0" w:type="dxa"/>
          </w:tblCellMar>
        </w:tblPrEx>
        <w:trPr>
          <w:trHeight w:val="273"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5" w:type="dxa"/>
            <w:gridSpan w:val="3"/>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numPr>
                <w:ilvl w:val="0"/>
                <w:numId w:val="0"/>
              </w:numPr>
              <w:ind w:right="171" w:rightChars="61" w:firstLine="420" w:firstLineChars="200"/>
              <w:jc w:val="left"/>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针对体检站：系统根据日常工作考核评价标准，对体检站工作人员进行自动考核打分。</w:t>
            </w:r>
          </w:p>
        </w:tc>
        <w:tc>
          <w:tcPr>
            <w:tcW w:w="113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w:t>
            </w:r>
          </w:p>
        </w:tc>
      </w:tr>
      <w:tr>
        <w:tblPrEx>
          <w:tblCellMar>
            <w:top w:w="0" w:type="dxa"/>
            <w:left w:w="0" w:type="dxa"/>
            <w:bottom w:w="0" w:type="dxa"/>
            <w:right w:w="0" w:type="dxa"/>
          </w:tblCellMar>
        </w:tblPrEx>
        <w:trPr>
          <w:trHeight w:val="420"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应急指挥系统</w:t>
            </w:r>
          </w:p>
        </w:tc>
      </w:tr>
      <w:tr>
        <w:tblPrEx>
          <w:tblCellMar>
            <w:top w:w="0" w:type="dxa"/>
            <w:left w:w="0" w:type="dxa"/>
            <w:bottom w:w="0" w:type="dxa"/>
            <w:right w:w="0" w:type="dxa"/>
          </w:tblCellMar>
        </w:tblPrEx>
        <w:trPr>
          <w:trHeight w:val="308"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5" w:type="dxa"/>
            <w:gridSpan w:val="3"/>
            <w:tcBorders>
              <w:top w:val="single" w:color="auto" w:sz="4" w:space="0"/>
              <w:left w:val="single" w:color="auto"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left"/>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系统包括但不限于应急预案、应急物资、应急队伍、应急专家、应急处置救援等内容的显示及调用。</w:t>
            </w:r>
          </w:p>
        </w:tc>
        <w:tc>
          <w:tcPr>
            <w:tcW w:w="1135" w:type="dxa"/>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420" w:firstLineChars="200"/>
              <w:jc w:val="left"/>
              <w:textAlignment w:val="auto"/>
              <w:outlineLvl w:val="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0-2</w:t>
            </w:r>
          </w:p>
        </w:tc>
      </w:tr>
      <w:tr>
        <w:tblPrEx>
          <w:tblCellMar>
            <w:top w:w="0" w:type="dxa"/>
            <w:left w:w="0" w:type="dxa"/>
            <w:bottom w:w="0" w:type="dxa"/>
            <w:right w:w="0" w:type="dxa"/>
          </w:tblCellMar>
        </w:tblPrEx>
        <w:trPr>
          <w:trHeight w:val="162"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numPr>
                <w:ilvl w:val="0"/>
                <w:numId w:val="0"/>
              </w:numPr>
              <w:ind w:right="171" w:rightChars="61"/>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危险作业管理</w:t>
            </w:r>
          </w:p>
        </w:tc>
      </w:tr>
      <w:tr>
        <w:tblPrEx>
          <w:tblCellMar>
            <w:top w:w="0" w:type="dxa"/>
            <w:left w:w="0" w:type="dxa"/>
            <w:bottom w:w="0" w:type="dxa"/>
            <w:right w:w="0" w:type="dxa"/>
          </w:tblCellMar>
        </w:tblPrEx>
        <w:trPr>
          <w:trHeight w:val="370"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numPr>
                <w:ilvl w:val="0"/>
                <w:numId w:val="0"/>
              </w:numPr>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企业需要特种作业时，必须根据相关管理规定进行特种作业审批，并上传到政府安全监管系统，由边缘AI计算主机结合视频监控对特种作业合法合规性进行监控。</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widowControl/>
              <w:numPr>
                <w:ilvl w:val="0"/>
                <w:numId w:val="0"/>
              </w:numPr>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0-2</w:t>
            </w:r>
          </w:p>
        </w:tc>
      </w:tr>
      <w:tr>
        <w:tblPrEx>
          <w:tblCellMar>
            <w:top w:w="0" w:type="dxa"/>
            <w:left w:w="0" w:type="dxa"/>
            <w:bottom w:w="0" w:type="dxa"/>
            <w:right w:w="0" w:type="dxa"/>
          </w:tblCellMar>
        </w:tblPrEx>
        <w:trPr>
          <w:trHeight w:val="194"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安全生产知识库</w:t>
            </w:r>
          </w:p>
        </w:tc>
      </w:tr>
      <w:tr>
        <w:tblPrEx>
          <w:tblCellMar>
            <w:top w:w="0" w:type="dxa"/>
            <w:left w:w="0" w:type="dxa"/>
            <w:bottom w:w="0" w:type="dxa"/>
            <w:right w:w="0" w:type="dxa"/>
          </w:tblCellMar>
        </w:tblPrEx>
        <w:trPr>
          <w:trHeight w:val="257"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bottom w:val="single" w:color="auto" w:sz="4" w:space="0"/>
              <w:right w:val="single" w:color="000000" w:sz="4" w:space="0"/>
            </w:tcBorders>
            <w:shd w:val="clear" w:color="auto" w:fill="FFFFFF"/>
            <w:noWrap w:val="0"/>
            <w:vAlign w:val="center"/>
          </w:tcPr>
          <w:p>
            <w:pPr>
              <w:widowControl/>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包括MSDS系统、危化品名录、法律法规、安全生产管理要点。可对知识库内容进行查询和查看。</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w:t>
            </w:r>
          </w:p>
        </w:tc>
      </w:tr>
      <w:tr>
        <w:tblPrEx>
          <w:tblCellMar>
            <w:top w:w="0" w:type="dxa"/>
            <w:left w:w="0" w:type="dxa"/>
            <w:bottom w:w="0" w:type="dxa"/>
            <w:right w:w="0" w:type="dxa"/>
          </w:tblCellMar>
        </w:tblPrEx>
        <w:trPr>
          <w:trHeight w:val="282"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6890" w:type="dxa"/>
            <w:gridSpan w:val="4"/>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cs="宋体"/>
                <w:kern w:val="0"/>
                <w:sz w:val="21"/>
                <w:szCs w:val="21"/>
                <w:lang w:bidi="ar"/>
              </w:rPr>
              <w:t>应急移动指挥</w:t>
            </w:r>
          </w:p>
        </w:tc>
      </w:tr>
      <w:tr>
        <w:tblPrEx>
          <w:tblCellMar>
            <w:top w:w="0" w:type="dxa"/>
            <w:left w:w="0" w:type="dxa"/>
            <w:bottom w:w="0" w:type="dxa"/>
            <w:right w:w="0" w:type="dxa"/>
          </w:tblCellMar>
        </w:tblPrEx>
        <w:trPr>
          <w:trHeight w:val="1860" w:hRule="atLeast"/>
        </w:trPr>
        <w:tc>
          <w:tcPr>
            <w:tcW w:w="840" w:type="dxa"/>
            <w:vMerge w:val="continue"/>
            <w:tcBorders>
              <w:top w:val="single" w:color="auto" w:sz="4" w:space="0"/>
              <w:left w:val="single" w:color="auto"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textAlignment w:val="auto"/>
              <w:outlineLvl w:val="1"/>
              <w:rPr>
                <w:rFonts w:hint="eastAsia" w:ascii="宋体" w:hAnsi="宋体" w:eastAsia="宋体" w:cs="宋体"/>
                <w:color w:val="auto"/>
                <w:sz w:val="21"/>
                <w:szCs w:val="21"/>
                <w:highlight w:val="none"/>
                <w:lang w:val="en-US" w:eastAsia="zh-CN"/>
              </w:rPr>
            </w:pPr>
          </w:p>
        </w:tc>
        <w:tc>
          <w:tcPr>
            <w:tcW w:w="1675" w:type="dxa"/>
            <w:vMerge w:val="continue"/>
            <w:tcBorders>
              <w:top w:val="single" w:color="auto" w:sz="4" w:space="0"/>
              <w:left w:val="single" w:color="000000" w:sz="4" w:space="0"/>
              <w:bottom w:val="single" w:color="auto" w:sz="4" w:space="0"/>
              <w:right w:val="single" w:color="auto"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p>
        </w:tc>
        <w:tc>
          <w:tcPr>
            <w:tcW w:w="5750" w:type="dxa"/>
            <w:gridSpan w:val="2"/>
            <w:tcBorders>
              <w:top w:val="single" w:color="auto" w:sz="4" w:space="0"/>
              <w:left w:val="single" w:color="auto" w:sz="4" w:space="0"/>
              <w:right w:val="single" w:color="000000" w:sz="4" w:space="0"/>
            </w:tcBorders>
            <w:shd w:val="clear" w:color="auto" w:fill="FFFFFF"/>
            <w:noWrap w:val="0"/>
            <w:vAlign w:val="center"/>
          </w:tcPr>
          <w:p>
            <w:pPr>
              <w:widowControl/>
              <w:numPr>
                <w:ilvl w:val="0"/>
                <w:numId w:val="0"/>
              </w:numPr>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通过手机端实现以下功能</w:t>
            </w:r>
            <w:r>
              <w:rPr>
                <w:rFonts w:hint="eastAsia" w:ascii="宋体" w:hAnsi="宋体" w:cs="宋体"/>
                <w:color w:val="auto"/>
                <w:kern w:val="0"/>
                <w:sz w:val="21"/>
                <w:szCs w:val="21"/>
                <w:highlight w:val="none"/>
                <w:lang w:val="en-US" w:eastAsia="zh-CN" w:bidi="ar"/>
              </w:rPr>
              <w:t>（但不限于）</w:t>
            </w:r>
            <w:r>
              <w:rPr>
                <w:rFonts w:hint="eastAsia" w:ascii="宋体" w:hAnsi="宋体" w:eastAsia="宋体" w:cs="宋体"/>
                <w:color w:val="auto"/>
                <w:kern w:val="0"/>
                <w:sz w:val="21"/>
                <w:szCs w:val="21"/>
                <w:highlight w:val="none"/>
                <w:lang w:val="en-US" w:eastAsia="zh-CN" w:bidi="ar"/>
              </w:rPr>
              <w:t>；</w:t>
            </w:r>
          </w:p>
          <w:p>
            <w:pPr>
              <w:widowControl/>
              <w:numPr>
                <w:ilvl w:val="0"/>
                <w:numId w:val="0"/>
              </w:numPr>
              <w:ind w:right="171" w:rightChars="61" w:firstLine="420" w:firstLineChars="200"/>
              <w:jc w:val="left"/>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1、通过手机查看应急预案库，快速查看所需的预案2、快速检索查找仓库以及物资3、快速查找所需专家4、快速查找应急队伍5、通讯录功能6、指令接收和应急任务处置7、一键报警，向指挥中心提交报警信息</w:t>
            </w:r>
          </w:p>
        </w:tc>
        <w:tc>
          <w:tcPr>
            <w:tcW w:w="1140" w:type="dxa"/>
            <w:gridSpan w:val="2"/>
            <w:tcBorders>
              <w:top w:val="single" w:color="auto" w:sz="4" w:space="0"/>
              <w:left w:val="single" w:color="000000" w:sz="4" w:space="0"/>
              <w:bottom w:val="single" w:color="auto"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default" w:ascii="宋体" w:hAnsi="宋体" w:eastAsia="宋体" w:cs="宋体"/>
                <w:color w:val="auto"/>
                <w:sz w:val="21"/>
                <w:szCs w:val="21"/>
                <w:highlight w:val="none"/>
                <w:lang w:val="en-US"/>
              </w:rPr>
            </w:pPr>
            <w:r>
              <w:rPr>
                <w:rFonts w:hint="eastAsia" w:ascii="宋体" w:hAnsi="宋体" w:cs="宋体"/>
                <w:color w:val="auto"/>
                <w:sz w:val="21"/>
                <w:szCs w:val="21"/>
                <w:highlight w:val="none"/>
                <w:lang w:val="en-US" w:eastAsia="zh-CN"/>
              </w:rPr>
              <w:t>0-3</w:t>
            </w:r>
          </w:p>
        </w:tc>
      </w:tr>
      <w:tr>
        <w:tblPrEx>
          <w:tblCellMar>
            <w:top w:w="0" w:type="dxa"/>
            <w:left w:w="0" w:type="dxa"/>
            <w:bottom w:w="0" w:type="dxa"/>
            <w:right w:w="0" w:type="dxa"/>
          </w:tblCellMar>
        </w:tblPrEx>
        <w:trPr>
          <w:trHeight w:val="615" w:hRule="atLeast"/>
        </w:trPr>
        <w:tc>
          <w:tcPr>
            <w:tcW w:w="8265" w:type="dxa"/>
            <w:gridSpan w:val="4"/>
            <w:tcBorders>
              <w:top w:val="single" w:color="auto"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ind w:firstLine="382" w:firstLineChars="182"/>
              <w:jc w:val="center"/>
              <w:textAlignment w:val="auto"/>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114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1"/>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分</w:t>
            </w:r>
          </w:p>
        </w:tc>
      </w:tr>
    </w:tbl>
    <w:p>
      <w:pPr>
        <w:pStyle w:val="2"/>
        <w:keepNext w:val="0"/>
        <w:keepLines w:val="0"/>
        <w:pageBreakBefore w:val="0"/>
        <w:widowControl w:val="0"/>
        <w:tabs>
          <w:tab w:val="left" w:pos="706"/>
        </w:tabs>
        <w:kinsoku/>
        <w:wordWrap/>
        <w:overflowPunct/>
        <w:topLinePunct w:val="0"/>
        <w:autoSpaceDE/>
        <w:autoSpaceDN/>
        <w:bidi w:val="0"/>
        <w:adjustRightInd/>
        <w:snapToGrid/>
        <w:spacing w:after="0"/>
        <w:ind w:left="0" w:leftChars="0" w:firstLine="0" w:firstLineChars="0"/>
        <w:textAlignment w:val="auto"/>
        <w:rPr>
          <w:rFonts w:hint="eastAsia"/>
          <w:b/>
          <w:color w:val="auto"/>
          <w:sz w:val="21"/>
          <w:szCs w:val="21"/>
          <w:highlight w:val="none"/>
        </w:rPr>
      </w:pPr>
      <w:r>
        <w:rPr>
          <w:rFonts w:hint="eastAsia"/>
          <w:b/>
          <w:color w:val="auto"/>
          <w:sz w:val="21"/>
          <w:szCs w:val="21"/>
          <w:highlight w:val="none"/>
        </w:rPr>
        <w:t>四、价格分（满分为</w:t>
      </w:r>
      <w:r>
        <w:rPr>
          <w:rFonts w:hint="eastAsia"/>
          <w:b/>
          <w:color w:val="auto"/>
          <w:sz w:val="21"/>
          <w:szCs w:val="21"/>
          <w:highlight w:val="none"/>
          <w:lang w:val="en-US" w:eastAsia="zh-CN"/>
        </w:rPr>
        <w:t>20</w:t>
      </w:r>
      <w:r>
        <w:rPr>
          <w:rFonts w:hint="eastAsia"/>
          <w:b/>
          <w:color w:val="auto"/>
          <w:sz w:val="21"/>
          <w:szCs w:val="21"/>
          <w:highlight w:val="none"/>
        </w:rPr>
        <w:t>分）</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4.1 价格标的开启：技术商务标评审结束后，开启合格投标人的价格标，公开宣读并由投标人确认。对没有合格的投标人价格标将不予开启。价格分采用低价优先法计算，即满足采购文件要求且投标价格最终最低的投标报价为评标基准价，其价格分为满分。</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投标人的价格分按照下列公式计算：</w:t>
      </w:r>
    </w:p>
    <w:p>
      <w:pPr>
        <w:snapToGrid w:val="0"/>
        <w:spacing w:line="420" w:lineRule="exact"/>
        <w:ind w:firstLine="384" w:firstLineChars="182"/>
        <w:outlineLvl w:val="1"/>
        <w:rPr>
          <w:rFonts w:hint="eastAsia"/>
          <w:color w:val="auto"/>
          <w:sz w:val="21"/>
          <w:szCs w:val="21"/>
          <w:highlight w:val="none"/>
        </w:rPr>
      </w:pPr>
      <w:r>
        <w:rPr>
          <w:rFonts w:hint="eastAsia"/>
          <w:b/>
          <w:bCs/>
          <w:color w:val="auto"/>
          <w:sz w:val="21"/>
          <w:szCs w:val="21"/>
          <w:highlight w:val="none"/>
        </w:rPr>
        <w:t>投标报价得分=（评标基准价/投标报价（或政策功能扣除后的评标价格））×</w:t>
      </w:r>
      <w:r>
        <w:rPr>
          <w:rFonts w:hint="eastAsia"/>
          <w:b/>
          <w:bCs/>
          <w:color w:val="auto"/>
          <w:sz w:val="21"/>
          <w:szCs w:val="21"/>
          <w:highlight w:val="none"/>
          <w:lang w:val="en-US" w:eastAsia="zh-CN"/>
        </w:rPr>
        <w:t>2</w:t>
      </w:r>
      <w:r>
        <w:rPr>
          <w:rFonts w:hint="eastAsia"/>
          <w:b/>
          <w:bCs/>
          <w:color w:val="auto"/>
          <w:sz w:val="21"/>
          <w:szCs w:val="21"/>
          <w:highlight w:val="none"/>
        </w:rPr>
        <w:t>0%×100</w:t>
      </w:r>
    </w:p>
    <w:p>
      <w:pPr>
        <w:snapToGrid w:val="0"/>
        <w:spacing w:line="420" w:lineRule="exact"/>
        <w:ind w:firstLine="382" w:firstLineChars="182"/>
        <w:outlineLvl w:val="1"/>
        <w:rPr>
          <w:rFonts w:hint="eastAsia"/>
          <w:bCs/>
          <w:color w:val="auto"/>
          <w:sz w:val="21"/>
          <w:szCs w:val="21"/>
          <w:highlight w:val="none"/>
        </w:rPr>
      </w:pPr>
      <w:r>
        <w:rPr>
          <w:rFonts w:hint="eastAsia"/>
          <w:bCs/>
          <w:color w:val="auto"/>
          <w:sz w:val="21"/>
          <w:szCs w:val="21"/>
          <w:highlight w:val="none"/>
        </w:rPr>
        <w:t>4.2 根据浙江省财政厅浙江省中小企业局转发财政部工业和信息化部关于印发《政府采购促进中小企业发展暂行办法》的通知（浙财采监【2012】11号文）规定，参加浙江省政府采购的中小企业供应商，应根据浙江省财政厅《关于开展政府采购供应商网上注册登记和诚信管理工作的通知》（浙财采监【2010】8号文）的要求，通过浙江政府采购网申请注册加入政府采购供应商库。</w:t>
      </w:r>
    </w:p>
    <w:p>
      <w:pPr>
        <w:snapToGrid w:val="0"/>
        <w:spacing w:line="420" w:lineRule="exact"/>
        <w:ind w:firstLine="384" w:firstLineChars="182"/>
        <w:outlineLvl w:val="1"/>
        <w:rPr>
          <w:rFonts w:hint="eastAsia"/>
          <w:b/>
          <w:bCs/>
          <w:color w:val="auto"/>
          <w:sz w:val="21"/>
          <w:szCs w:val="21"/>
          <w:highlight w:val="none"/>
        </w:rPr>
      </w:pPr>
      <w:r>
        <w:rPr>
          <w:rFonts w:hint="eastAsia"/>
          <w:b/>
          <w:bCs/>
          <w:color w:val="auto"/>
          <w:sz w:val="21"/>
          <w:szCs w:val="21"/>
          <w:highlight w:val="none"/>
        </w:rPr>
        <w:t>已注册入库且符合《政府采购促进中小企业发展暂行办法》规定的小微企业条件的，在参加浙江省政府采购活动时可享受《政府采购促进中小企业发展暂行办法》规定的优惠政策。供应商应按照浙江省财政厅浙江省经济和信息化委员会《关于简化中小企业类别确认流程有关事项的通知》（浙财采监【2019】2号文）规定，在商务部分中提供《中小企业声明函》，并由评审小组在浙江政府采购网核查确认，可享受价格扣除后参与评审的优惠。</w:t>
      </w:r>
    </w:p>
    <w:p>
      <w:pPr>
        <w:snapToGrid w:val="0"/>
        <w:spacing w:line="420" w:lineRule="exact"/>
        <w:ind w:firstLine="422" w:firstLineChars="200"/>
        <w:outlineLvl w:val="1"/>
        <w:rPr>
          <w:rFonts w:hint="eastAsia"/>
          <w:color w:val="auto"/>
          <w:highlight w:val="none"/>
        </w:rPr>
      </w:pPr>
      <w:r>
        <w:rPr>
          <w:rFonts w:hint="eastAsia"/>
          <w:b/>
          <w:bCs/>
          <w:color w:val="auto"/>
          <w:sz w:val="21"/>
          <w:szCs w:val="21"/>
          <w:highlight w:val="none"/>
        </w:rPr>
        <w:t>残疾人福利性单位参加投标【提供《残疾人福利性单位声明函》】，视为小型、微型企业，享受小微企业政策扶持。此项由评标委员会集体核实后统一打分。</w:t>
      </w:r>
      <w:r>
        <w:rPr>
          <w:rFonts w:hint="eastAsia"/>
          <w:color w:val="auto"/>
          <w:kern w:val="0"/>
          <w:sz w:val="20"/>
          <w:szCs w:val="20"/>
          <w:highlight w:val="none"/>
          <w:lang w:bidi="ar"/>
        </w:rPr>
        <w:t xml:space="preserve"> </w:t>
      </w:r>
    </w:p>
    <w:p>
      <w:pPr>
        <w:snapToGrid w:val="0"/>
        <w:spacing w:line="420" w:lineRule="exact"/>
        <w:ind w:firstLine="382" w:firstLineChars="182"/>
        <w:outlineLvl w:val="1"/>
        <w:rPr>
          <w:rFonts w:hint="eastAsia"/>
          <w:bCs/>
          <w:color w:val="auto"/>
          <w:sz w:val="21"/>
          <w:szCs w:val="21"/>
          <w:highlight w:val="none"/>
        </w:rPr>
      </w:pPr>
      <w:r>
        <w:rPr>
          <w:rFonts w:hint="eastAsia"/>
          <w:bCs/>
          <w:color w:val="auto"/>
          <w:sz w:val="21"/>
          <w:szCs w:val="21"/>
          <w:highlight w:val="none"/>
        </w:rPr>
        <w:t>本项目根据《政府采购促进中小企业发展暂行办法》（财库【2011】181号）规定，对小型和微型企业的价格给予6%的扣除，用扣除后的价格参与评审。监狱企业视同小型、微型企业。即:投标报价得分=[评标基准价/（投标报价×94%）]×</w:t>
      </w:r>
      <w:r>
        <w:rPr>
          <w:rFonts w:hint="eastAsia"/>
          <w:bCs/>
          <w:color w:val="auto"/>
          <w:sz w:val="21"/>
          <w:szCs w:val="21"/>
          <w:highlight w:val="none"/>
          <w:lang w:val="en-US" w:eastAsia="zh-CN"/>
        </w:rPr>
        <w:t>2</w:t>
      </w:r>
      <w:r>
        <w:rPr>
          <w:rFonts w:hint="eastAsia"/>
          <w:bCs/>
          <w:color w:val="auto"/>
          <w:sz w:val="21"/>
          <w:szCs w:val="21"/>
          <w:highlight w:val="none"/>
        </w:rPr>
        <w:t>0%×100</w:t>
      </w:r>
    </w:p>
    <w:p>
      <w:pPr>
        <w:snapToGrid w:val="0"/>
        <w:spacing w:line="420" w:lineRule="exact"/>
        <w:ind w:firstLine="382" w:firstLineChars="182"/>
        <w:outlineLvl w:val="1"/>
        <w:rPr>
          <w:rFonts w:hint="eastAsia"/>
          <w:bCs/>
          <w:color w:val="auto"/>
          <w:sz w:val="21"/>
          <w:szCs w:val="21"/>
          <w:highlight w:val="none"/>
        </w:rPr>
      </w:pPr>
      <w:r>
        <w:rPr>
          <w:rFonts w:hint="eastAsia"/>
          <w:bCs/>
          <w:color w:val="auto"/>
          <w:sz w:val="21"/>
          <w:szCs w:val="21"/>
          <w:highlight w:val="none"/>
        </w:rPr>
        <w:t>此项由评标小组集体核实后统一打分。</w:t>
      </w:r>
    </w:p>
    <w:p>
      <w:pPr>
        <w:snapToGrid w:val="0"/>
        <w:spacing w:line="420" w:lineRule="exact"/>
        <w:ind w:firstLine="382" w:firstLineChars="182"/>
        <w:outlineLvl w:val="1"/>
        <w:rPr>
          <w:rFonts w:hint="eastAsia"/>
          <w:bCs/>
          <w:color w:val="auto"/>
          <w:sz w:val="21"/>
          <w:szCs w:val="21"/>
          <w:highlight w:val="none"/>
        </w:rPr>
      </w:pPr>
      <w:r>
        <w:rPr>
          <w:rFonts w:hint="eastAsia"/>
          <w:bCs/>
          <w:color w:val="auto"/>
          <w:sz w:val="21"/>
          <w:szCs w:val="21"/>
          <w:highlight w:val="none"/>
        </w:rPr>
        <w:t>4.3在价格标文件中，需提供《中小企业声明函》，同时在价格标文件中提供浙江政府采购网正式入库供应商的网站信息证明材料（截图等）或小微名录证明材料，材料提供不全或无法证明的视为不符合政策功能的评标价格扣除要求，将不予评标价格的扣除。</w:t>
      </w:r>
    </w:p>
    <w:p>
      <w:pPr>
        <w:snapToGrid w:val="0"/>
        <w:spacing w:line="420" w:lineRule="exact"/>
        <w:ind w:firstLine="382" w:firstLineChars="182"/>
        <w:outlineLvl w:val="1"/>
        <w:rPr>
          <w:rFonts w:hint="eastAsia"/>
          <w:bCs/>
          <w:color w:val="auto"/>
          <w:sz w:val="21"/>
          <w:szCs w:val="21"/>
          <w:highlight w:val="none"/>
        </w:rPr>
      </w:pPr>
      <w:r>
        <w:rPr>
          <w:rFonts w:hint="eastAsia"/>
          <w:bCs/>
          <w:color w:val="auto"/>
          <w:sz w:val="21"/>
          <w:szCs w:val="21"/>
          <w:highlight w:val="none"/>
        </w:rPr>
        <w:t xml:space="preserve"> 4.4根据《中华人民共和国财政部令第87号》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napToGrid w:val="0"/>
        <w:spacing w:line="420" w:lineRule="exact"/>
        <w:ind w:firstLine="384" w:firstLineChars="182"/>
        <w:outlineLvl w:val="1"/>
        <w:rPr>
          <w:rFonts w:hint="eastAsia"/>
          <w:b/>
          <w:color w:val="auto"/>
          <w:sz w:val="21"/>
          <w:szCs w:val="21"/>
          <w:highlight w:val="none"/>
        </w:rPr>
      </w:pPr>
      <w:bookmarkStart w:id="180" w:name="_Toc276459699"/>
      <w:r>
        <w:rPr>
          <w:rFonts w:hint="eastAsia"/>
          <w:b/>
          <w:color w:val="auto"/>
          <w:sz w:val="21"/>
          <w:szCs w:val="21"/>
          <w:highlight w:val="none"/>
        </w:rPr>
        <w:t>五、总分计算方法（满分为100分）</w:t>
      </w:r>
    </w:p>
    <w:p>
      <w:pPr>
        <w:snapToGrid w:val="0"/>
        <w:spacing w:line="420" w:lineRule="exact"/>
        <w:ind w:firstLine="382" w:firstLineChars="182"/>
        <w:outlineLvl w:val="1"/>
        <w:rPr>
          <w:rFonts w:hint="eastAsia"/>
          <w:color w:val="auto"/>
          <w:sz w:val="21"/>
          <w:szCs w:val="21"/>
          <w:highlight w:val="none"/>
        </w:rPr>
      </w:pPr>
      <w:r>
        <w:rPr>
          <w:rFonts w:hint="eastAsia"/>
          <w:color w:val="auto"/>
          <w:sz w:val="21"/>
          <w:szCs w:val="21"/>
          <w:highlight w:val="none"/>
        </w:rPr>
        <w:t>计算公式：投标人的最终得分= 技术商务得分 + 价格得分（所有分值四舍五入，保留到小数点后2位。</w:t>
      </w:r>
      <w:bookmarkEnd w:id="180"/>
    </w:p>
    <w:p>
      <w:pPr>
        <w:rPr>
          <w:rFonts w:hint="eastAsia"/>
          <w:b/>
          <w:bCs/>
          <w:color w:val="auto"/>
          <w:sz w:val="32"/>
          <w:szCs w:val="32"/>
          <w:highlight w:val="none"/>
          <w:lang w:val="en-US" w:eastAsia="zh-CN"/>
        </w:rPr>
      </w:pPr>
      <w:r>
        <w:rPr>
          <w:rFonts w:hint="eastAsia"/>
          <w:b/>
          <w:bCs/>
          <w:color w:val="auto"/>
          <w:sz w:val="32"/>
          <w:szCs w:val="32"/>
          <w:highlight w:val="none"/>
          <w:lang w:val="en-US" w:eastAsia="zh-CN"/>
        </w:rPr>
        <w:br w:type="page"/>
      </w:r>
    </w:p>
    <w:p>
      <w:pPr>
        <w:spacing w:before="156" w:beforeLines="50" w:after="100" w:afterAutospacing="1" w:line="540" w:lineRule="exact"/>
        <w:jc w:val="center"/>
        <w:outlineLvl w:val="0"/>
        <w:rPr>
          <w:b/>
          <w:bCs/>
          <w:color w:val="auto"/>
          <w:sz w:val="32"/>
          <w:szCs w:val="32"/>
          <w:highlight w:val="none"/>
        </w:rPr>
      </w:pPr>
      <w:r>
        <w:rPr>
          <w:rFonts w:hint="eastAsia"/>
          <w:b/>
          <w:bCs/>
          <w:color w:val="auto"/>
          <w:sz w:val="32"/>
          <w:szCs w:val="32"/>
          <w:highlight w:val="none"/>
          <w:lang w:val="en-US" w:eastAsia="zh-CN"/>
        </w:rPr>
        <w:t xml:space="preserve">第七章  </w:t>
      </w:r>
      <w:r>
        <w:rPr>
          <w:b/>
          <w:bCs/>
          <w:color w:val="auto"/>
          <w:sz w:val="32"/>
          <w:szCs w:val="32"/>
          <w:highlight w:val="none"/>
        </w:rPr>
        <w:t>合同条款</w:t>
      </w:r>
    </w:p>
    <w:p>
      <w:pPr>
        <w:spacing w:line="480" w:lineRule="exact"/>
        <w:rPr>
          <w:color w:val="auto"/>
          <w:sz w:val="21"/>
          <w:highlight w:val="none"/>
        </w:rPr>
      </w:pPr>
      <w:r>
        <w:rPr>
          <w:color w:val="auto"/>
          <w:sz w:val="21"/>
          <w:highlight w:val="none"/>
        </w:rPr>
        <w:t>甲方（需方）：</w:t>
      </w:r>
      <w:r>
        <w:rPr>
          <w:color w:val="auto"/>
          <w:sz w:val="21"/>
          <w:highlight w:val="none"/>
          <w:u w:val="single"/>
        </w:rPr>
        <w:t xml:space="preserve">                          </w:t>
      </w:r>
      <w:r>
        <w:rPr>
          <w:color w:val="auto"/>
          <w:sz w:val="21"/>
          <w:highlight w:val="none"/>
        </w:rPr>
        <w:t xml:space="preserve">  签订地点：</w:t>
      </w:r>
      <w:r>
        <w:rPr>
          <w:color w:val="auto"/>
          <w:sz w:val="21"/>
          <w:highlight w:val="none"/>
          <w:u w:val="single"/>
        </w:rPr>
        <w:t xml:space="preserve"> </w:t>
      </w:r>
      <w:r>
        <w:rPr>
          <w:rFonts w:hint="eastAsia"/>
          <w:color w:val="auto"/>
          <w:sz w:val="21"/>
          <w:highlight w:val="none"/>
          <w:u w:val="single"/>
        </w:rPr>
        <w:t xml:space="preserve">    </w:t>
      </w:r>
      <w:r>
        <w:rPr>
          <w:color w:val="auto"/>
          <w:sz w:val="21"/>
          <w:highlight w:val="none"/>
          <w:u w:val="single"/>
        </w:rPr>
        <w:t xml:space="preserve">              </w:t>
      </w:r>
      <w:r>
        <w:rPr>
          <w:color w:val="auto"/>
          <w:sz w:val="21"/>
          <w:highlight w:val="none"/>
        </w:rPr>
        <w:t xml:space="preserve">    </w:t>
      </w:r>
    </w:p>
    <w:p>
      <w:pPr>
        <w:spacing w:line="480" w:lineRule="exact"/>
        <w:rPr>
          <w:color w:val="auto"/>
          <w:sz w:val="21"/>
          <w:highlight w:val="none"/>
        </w:rPr>
      </w:pPr>
      <w:r>
        <w:rPr>
          <w:color w:val="auto"/>
          <w:sz w:val="21"/>
          <w:highlight w:val="none"/>
        </w:rPr>
        <w:t>乙方（供方）：</w:t>
      </w:r>
      <w:r>
        <w:rPr>
          <w:color w:val="auto"/>
          <w:sz w:val="21"/>
          <w:highlight w:val="none"/>
          <w:u w:val="single"/>
        </w:rPr>
        <w:t xml:space="preserve">                          </w:t>
      </w:r>
      <w:r>
        <w:rPr>
          <w:color w:val="auto"/>
          <w:sz w:val="21"/>
          <w:highlight w:val="none"/>
        </w:rPr>
        <w:t xml:space="preserve">  签订时间：</w:t>
      </w:r>
      <w:r>
        <w:rPr>
          <w:color w:val="auto"/>
          <w:sz w:val="21"/>
          <w:highlight w:val="none"/>
          <w:u w:val="single"/>
        </w:rPr>
        <w:t xml:space="preserve"> </w:t>
      </w:r>
      <w:r>
        <w:rPr>
          <w:rFonts w:hint="eastAsia"/>
          <w:color w:val="auto"/>
          <w:sz w:val="21"/>
          <w:highlight w:val="none"/>
          <w:u w:val="single"/>
          <w:lang w:eastAsia="zh-CN"/>
        </w:rPr>
        <w:t>2021</w:t>
      </w:r>
      <w:r>
        <w:rPr>
          <w:color w:val="auto"/>
          <w:sz w:val="21"/>
          <w:highlight w:val="none"/>
        </w:rPr>
        <w:t>年</w:t>
      </w:r>
      <w:r>
        <w:rPr>
          <w:color w:val="auto"/>
          <w:sz w:val="21"/>
          <w:highlight w:val="none"/>
          <w:u w:val="single"/>
        </w:rPr>
        <w:t xml:space="preserve">    </w:t>
      </w:r>
      <w:r>
        <w:rPr>
          <w:color w:val="auto"/>
          <w:sz w:val="21"/>
          <w:highlight w:val="none"/>
        </w:rPr>
        <w:t>月</w:t>
      </w:r>
      <w:r>
        <w:rPr>
          <w:color w:val="auto"/>
          <w:sz w:val="21"/>
          <w:highlight w:val="none"/>
          <w:u w:val="single"/>
        </w:rPr>
        <w:t xml:space="preserve">     </w:t>
      </w:r>
      <w:r>
        <w:rPr>
          <w:color w:val="auto"/>
          <w:sz w:val="21"/>
          <w:highlight w:val="none"/>
        </w:rPr>
        <w:t>日</w:t>
      </w:r>
    </w:p>
    <w:p>
      <w:pPr>
        <w:spacing w:line="440" w:lineRule="exact"/>
        <w:ind w:firstLine="420"/>
        <w:rPr>
          <w:color w:val="auto"/>
          <w:sz w:val="21"/>
          <w:szCs w:val="21"/>
          <w:highlight w:val="none"/>
        </w:rPr>
      </w:pPr>
      <w:r>
        <w:rPr>
          <w:color w:val="auto"/>
          <w:sz w:val="21"/>
          <w:szCs w:val="21"/>
          <w:highlight w:val="none"/>
        </w:rPr>
        <w:t>根据《中华人民共和国政府采购法》、《中华人民共和国合同法》等有关政府采购法规，甲乙双方按照</w:t>
      </w:r>
      <w:r>
        <w:rPr>
          <w:color w:val="auto"/>
          <w:sz w:val="21"/>
          <w:szCs w:val="21"/>
          <w:highlight w:val="none"/>
          <w:u w:val="single"/>
        </w:rPr>
        <w:t xml:space="preserve">               </w:t>
      </w:r>
      <w:r>
        <w:rPr>
          <w:color w:val="auto"/>
          <w:sz w:val="21"/>
          <w:szCs w:val="21"/>
          <w:highlight w:val="none"/>
        </w:rPr>
        <w:t>（采购编号</w:t>
      </w:r>
      <w:r>
        <w:rPr>
          <w:rFonts w:hint="eastAsia"/>
          <w:color w:val="auto"/>
          <w:sz w:val="21"/>
          <w:szCs w:val="21"/>
          <w:highlight w:val="none"/>
          <w:u w:val="single"/>
        </w:rPr>
        <w:t xml:space="preserve">            </w:t>
      </w:r>
      <w:r>
        <w:rPr>
          <w:color w:val="auto"/>
          <w:sz w:val="21"/>
          <w:szCs w:val="21"/>
          <w:highlight w:val="none"/>
        </w:rPr>
        <w:t>）采购结果，签订本合同：</w:t>
      </w:r>
    </w:p>
    <w:p>
      <w:pPr>
        <w:spacing w:line="440" w:lineRule="exact"/>
        <w:ind w:firstLine="420"/>
        <w:rPr>
          <w:color w:val="auto"/>
          <w:sz w:val="21"/>
          <w:szCs w:val="21"/>
          <w:highlight w:val="none"/>
        </w:rPr>
      </w:pPr>
      <w:r>
        <w:rPr>
          <w:b/>
          <w:bCs/>
          <w:color w:val="auto"/>
          <w:sz w:val="21"/>
          <w:szCs w:val="21"/>
          <w:highlight w:val="none"/>
        </w:rPr>
        <w:t>一、合同文件组成及解释顺序：</w:t>
      </w:r>
      <w:r>
        <w:rPr>
          <w:color w:val="auto"/>
          <w:sz w:val="21"/>
          <w:szCs w:val="21"/>
          <w:highlight w:val="none"/>
        </w:rPr>
        <w:t>采购文件及其补充文件、询标承诺、技术澄清、投标响应文件、双方来函。合同文件组成的所有内容是构成合同不可分割的部分，与合同具有同等法律效力。除上述合同顺序外，合同文件之间有矛盾的，以较后时间制定的为准。</w:t>
      </w:r>
    </w:p>
    <w:p>
      <w:pPr>
        <w:widowControl/>
        <w:spacing w:line="440" w:lineRule="exact"/>
        <w:ind w:firstLine="480"/>
        <w:rPr>
          <w:rFonts w:hint="default" w:ascii="宋体" w:hAnsi="宋体" w:eastAsia="宋体"/>
          <w:color w:val="auto"/>
          <w:spacing w:val="-4"/>
          <w:sz w:val="21"/>
          <w:szCs w:val="21"/>
          <w:highlight w:val="none"/>
          <w:lang w:val="en-US" w:eastAsia="zh-CN"/>
        </w:rPr>
      </w:pPr>
      <w:r>
        <w:rPr>
          <w:b/>
          <w:color w:val="auto"/>
          <w:sz w:val="21"/>
          <w:szCs w:val="21"/>
          <w:highlight w:val="none"/>
        </w:rPr>
        <w:t>二、</w:t>
      </w:r>
      <w:r>
        <w:rPr>
          <w:rFonts w:hint="eastAsia" w:ascii="宋体" w:hAnsi="宋体"/>
          <w:color w:val="auto"/>
          <w:spacing w:val="-4"/>
          <w:sz w:val="21"/>
          <w:szCs w:val="21"/>
          <w:highlight w:val="none"/>
        </w:rPr>
        <w:t>合同金额</w:t>
      </w:r>
      <w:r>
        <w:rPr>
          <w:rFonts w:hint="eastAsia" w:ascii="宋体" w:hAnsi="宋体"/>
          <w:color w:val="auto"/>
          <w:spacing w:val="-4"/>
          <w:sz w:val="21"/>
          <w:szCs w:val="21"/>
          <w:highlight w:val="none"/>
          <w:lang w:eastAsia="zh-CN"/>
        </w:rPr>
        <w:t>、</w:t>
      </w:r>
      <w:r>
        <w:rPr>
          <w:rFonts w:hint="eastAsia" w:ascii="宋体" w:hAnsi="宋体"/>
          <w:color w:val="auto"/>
          <w:spacing w:val="-4"/>
          <w:sz w:val="21"/>
          <w:szCs w:val="21"/>
          <w:highlight w:val="none"/>
          <w:lang w:val="en-US" w:eastAsia="zh-CN"/>
        </w:rPr>
        <w:t>工期</w:t>
      </w:r>
    </w:p>
    <w:p>
      <w:pPr>
        <w:widowControl/>
        <w:spacing w:line="440" w:lineRule="exact"/>
        <w:ind w:firstLine="480"/>
        <w:rPr>
          <w:rFonts w:hint="eastAsia" w:ascii="宋体" w:hAnsi="宋体"/>
          <w:color w:val="auto"/>
          <w:sz w:val="21"/>
          <w:szCs w:val="21"/>
          <w:highlight w:val="none"/>
        </w:rPr>
      </w:pP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合同总价：金额(大写）:</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 xml:space="preserve"> 元整，小写（</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olor w:val="auto"/>
          <w:sz w:val="21"/>
          <w:szCs w:val="21"/>
          <w:highlight w:val="none"/>
        </w:rPr>
        <w:t xml:space="preserve">）.   </w:t>
      </w:r>
    </w:p>
    <w:p>
      <w:pPr>
        <w:spacing w:line="440" w:lineRule="exact"/>
        <w:ind w:firstLine="420"/>
        <w:rPr>
          <w:rFonts w:hint="eastAsia" w:ascii="宋体" w:hAnsi="宋体"/>
          <w:color w:val="auto"/>
          <w:sz w:val="21"/>
          <w:szCs w:val="21"/>
          <w:highlight w:val="none"/>
        </w:rPr>
      </w:pPr>
      <w:r>
        <w:rPr>
          <w:rFonts w:hint="eastAsia"/>
          <w:b/>
          <w:bCs/>
          <w:color w:val="auto"/>
          <w:sz w:val="21"/>
          <w:szCs w:val="21"/>
          <w:highlight w:val="none"/>
        </w:rPr>
        <w:t>合同总价包括</w:t>
      </w:r>
      <w:r>
        <w:rPr>
          <w:rFonts w:hint="eastAsia" w:hAnsi="宋体"/>
          <w:b/>
          <w:bCs/>
          <w:color w:val="auto"/>
          <w:sz w:val="21"/>
          <w:szCs w:val="21"/>
          <w:highlight w:val="none"/>
        </w:rPr>
        <w:t>产品购置费、设备价款必备的附件、运输费、安装调试费、土建施工费、本地光纤接入租用费</w:t>
      </w:r>
      <w:r>
        <w:rPr>
          <w:rFonts w:hint="eastAsia" w:hAnsi="宋体"/>
          <w:b/>
          <w:bCs/>
          <w:color w:val="auto"/>
          <w:sz w:val="21"/>
          <w:szCs w:val="21"/>
          <w:highlight w:val="none"/>
          <w:lang w:eastAsia="zh-CN"/>
        </w:rPr>
        <w:t>、</w:t>
      </w:r>
      <w:r>
        <w:rPr>
          <w:rFonts w:hint="eastAsia" w:hAnsi="宋体"/>
          <w:b/>
          <w:bCs/>
          <w:color w:val="auto"/>
          <w:sz w:val="21"/>
          <w:szCs w:val="21"/>
          <w:highlight w:val="none"/>
          <w:lang w:val="en-US" w:eastAsia="zh-CN"/>
        </w:rPr>
        <w:t>从企业接进大数据的接入硬件费</w:t>
      </w:r>
      <w:r>
        <w:rPr>
          <w:rFonts w:hint="eastAsia" w:hAnsi="宋体"/>
          <w:b/>
          <w:bCs/>
          <w:color w:val="auto"/>
          <w:sz w:val="21"/>
          <w:szCs w:val="21"/>
          <w:highlight w:val="none"/>
        </w:rPr>
        <w:t>、辅料费、验收、质保期内的维修费和税金</w:t>
      </w:r>
      <w:r>
        <w:rPr>
          <w:rFonts w:hAnsi="宋体"/>
          <w:b/>
          <w:bCs/>
          <w:color w:val="auto"/>
          <w:sz w:val="21"/>
          <w:szCs w:val="21"/>
          <w:highlight w:val="none"/>
        </w:rPr>
        <w:t>等一切费用。</w:t>
      </w:r>
      <w:r>
        <w:rPr>
          <w:rFonts w:hint="eastAsia" w:ascii="宋体" w:hAnsi="宋体"/>
          <w:color w:val="auto"/>
          <w:sz w:val="21"/>
          <w:szCs w:val="21"/>
          <w:highlight w:val="none"/>
        </w:rPr>
        <w:t>投标人所投报的投标报价为投标人所能承受的整个项目的一次性最终最低报价(为本采购项目总价)，组价如有漏项，视同已包含在其它项目中，合同单价不做调整。</w:t>
      </w:r>
    </w:p>
    <w:p>
      <w:pPr>
        <w:widowControl/>
        <w:numPr>
          <w:ilvl w:val="0"/>
          <w:numId w:val="5"/>
        </w:numPr>
        <w:spacing w:line="440" w:lineRule="exact"/>
        <w:ind w:firstLine="480"/>
        <w:rPr>
          <w:rFonts w:hint="eastAsia" w:ascii="Times New Roman" w:hAnsi="宋体" w:cs="Times New Roman"/>
          <w:b/>
          <w:bCs/>
          <w:color w:val="auto"/>
          <w:sz w:val="21"/>
          <w:szCs w:val="21"/>
          <w:highlight w:val="none"/>
          <w:lang w:val="en-US" w:eastAsia="zh-CN"/>
        </w:rPr>
      </w:pPr>
      <w:r>
        <w:rPr>
          <w:rFonts w:hint="eastAsia" w:ascii="Times New Roman" w:hAnsi="宋体" w:cs="Times New Roman"/>
          <w:b/>
          <w:bCs/>
          <w:color w:val="auto"/>
          <w:sz w:val="21"/>
          <w:szCs w:val="21"/>
          <w:highlight w:val="none"/>
          <w:lang w:val="en-US" w:eastAsia="zh-CN"/>
        </w:rPr>
        <w:t>政务云、数据采集终端30套(具体要求以采购人为准，按实际发生结算)。</w:t>
      </w:r>
    </w:p>
    <w:p>
      <w:pPr>
        <w:widowControl/>
        <w:spacing w:line="440" w:lineRule="exact"/>
        <w:ind w:firstLine="480"/>
        <w:rPr>
          <w:rFonts w:hint="eastAsia"/>
          <w:lang w:val="en-US" w:eastAsia="zh-CN"/>
        </w:rPr>
      </w:pPr>
      <w:r>
        <w:rPr>
          <w:rFonts w:hint="eastAsia" w:ascii="宋体" w:hAnsi="宋体"/>
          <w:sz w:val="21"/>
          <w:szCs w:val="21"/>
          <w:highlight w:val="none"/>
          <w:lang w:val="en-US" w:eastAsia="zh-CN"/>
        </w:rPr>
        <w:t>3、工期要求：</w:t>
      </w:r>
      <w:r>
        <w:rPr>
          <w:rFonts w:hint="eastAsia" w:ascii="宋体" w:hAnsi="宋体"/>
          <w:sz w:val="21"/>
          <w:szCs w:val="21"/>
          <w:highlight w:val="none"/>
        </w:rPr>
        <w:t>本项目工期从中标之日起</w:t>
      </w:r>
      <w:r>
        <w:rPr>
          <w:rFonts w:hint="eastAsia" w:ascii="宋体" w:hAnsi="宋体"/>
          <w:sz w:val="21"/>
          <w:szCs w:val="21"/>
          <w:highlight w:val="none"/>
          <w:lang w:val="en-US" w:eastAsia="zh-CN"/>
        </w:rPr>
        <w:t>5</w:t>
      </w:r>
      <w:r>
        <w:rPr>
          <w:rFonts w:hint="eastAsia" w:ascii="宋体" w:hAnsi="宋体"/>
          <w:sz w:val="21"/>
          <w:szCs w:val="21"/>
          <w:highlight w:val="none"/>
        </w:rPr>
        <w:t>个月内完成项目建设并具备试运行条件。</w:t>
      </w:r>
    </w:p>
    <w:p>
      <w:pPr>
        <w:spacing w:line="440" w:lineRule="exact"/>
        <w:ind w:firstLine="420"/>
        <w:rPr>
          <w:rFonts w:hint="default" w:ascii="宋体" w:hAnsi="宋体" w:eastAsia="宋体"/>
          <w:b w:val="0"/>
          <w:bCs w:val="0"/>
          <w:color w:val="auto"/>
          <w:sz w:val="21"/>
          <w:szCs w:val="21"/>
          <w:highlight w:val="none"/>
          <w:lang w:val="en-US" w:eastAsia="zh-CN"/>
        </w:rPr>
      </w:pPr>
      <w:r>
        <w:rPr>
          <w:rFonts w:hint="eastAsia" w:ascii="宋体" w:hAnsi="宋体"/>
          <w:b/>
          <w:bCs/>
          <w:color w:val="auto"/>
          <w:sz w:val="21"/>
          <w:szCs w:val="21"/>
          <w:highlight w:val="none"/>
        </w:rPr>
        <w:t>三、</w:t>
      </w:r>
      <w:r>
        <w:rPr>
          <w:rFonts w:hint="eastAsia" w:ascii="宋体" w:hAnsi="宋体"/>
          <w:b/>
          <w:bCs/>
          <w:color w:val="auto"/>
          <w:sz w:val="21"/>
          <w:szCs w:val="21"/>
          <w:highlight w:val="none"/>
          <w:lang w:val="en-US" w:eastAsia="zh-CN"/>
        </w:rPr>
        <w:t>规格及要求：</w:t>
      </w:r>
      <w:r>
        <w:rPr>
          <w:rFonts w:hint="eastAsia" w:ascii="宋体" w:hAnsi="宋体"/>
          <w:b w:val="0"/>
          <w:bCs w:val="0"/>
          <w:color w:val="auto"/>
          <w:sz w:val="21"/>
          <w:szCs w:val="21"/>
          <w:highlight w:val="none"/>
          <w:lang w:val="en-US" w:eastAsia="zh-CN"/>
        </w:rPr>
        <w:t>具体详见采购文件第三章《采购需求》</w:t>
      </w:r>
    </w:p>
    <w:p>
      <w:pPr>
        <w:spacing w:line="440" w:lineRule="exact"/>
        <w:ind w:firstLine="420"/>
        <w:rPr>
          <w:rFonts w:hint="eastAsia" w:ascii="宋体" w:hAnsi="宋体"/>
          <w:color w:val="auto"/>
          <w:sz w:val="21"/>
          <w:szCs w:val="21"/>
          <w:highlight w:val="none"/>
        </w:rPr>
      </w:pPr>
      <w:r>
        <w:rPr>
          <w:rFonts w:hint="eastAsia" w:ascii="宋体" w:hAnsi="宋体"/>
          <w:b/>
          <w:bCs/>
          <w:color w:val="auto"/>
          <w:sz w:val="21"/>
          <w:szCs w:val="21"/>
          <w:highlight w:val="none"/>
        </w:rPr>
        <w:t>四、供货时间、地点：</w:t>
      </w:r>
      <w:r>
        <w:rPr>
          <w:rFonts w:hint="eastAsia" w:ascii="宋体" w:hAnsi="宋体"/>
          <w:color w:val="auto"/>
          <w:sz w:val="21"/>
          <w:szCs w:val="21"/>
          <w:highlight w:val="none"/>
        </w:rPr>
        <w:t>签订合同后，甲方安排指定地点。</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2" w:firstLineChars="200"/>
        <w:textAlignment w:val="auto"/>
        <w:rPr>
          <w:rFonts w:hint="eastAsia" w:ascii="宋体" w:hAnsi="宋体"/>
          <w:b/>
          <w:bCs/>
          <w:color w:val="auto"/>
          <w:sz w:val="21"/>
          <w:szCs w:val="21"/>
          <w:highlight w:val="none"/>
        </w:rPr>
      </w:pPr>
      <w:r>
        <w:rPr>
          <w:rFonts w:hint="eastAsia" w:ascii="宋体" w:hAnsi="宋体"/>
          <w:b/>
          <w:bCs/>
          <w:color w:val="auto"/>
          <w:sz w:val="21"/>
          <w:szCs w:val="21"/>
          <w:highlight w:val="none"/>
        </w:rPr>
        <w:t>五、付款方式：</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自合同生效后</w:t>
      </w:r>
      <w:r>
        <w:rPr>
          <w:rFonts w:hint="eastAsia" w:ascii="宋体" w:hAnsi="宋体" w:eastAsia="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按期完成项目全部软件建设且经</w:t>
      </w:r>
      <w:r>
        <w:rPr>
          <w:rFonts w:hint="eastAsia" w:ascii="宋体" w:hAnsi="宋体" w:eastAsia="宋体" w:cs="宋体"/>
          <w:bCs/>
          <w:color w:val="auto"/>
          <w:sz w:val="21"/>
          <w:szCs w:val="21"/>
          <w:highlight w:val="none"/>
          <w:lang w:val="en-US" w:eastAsia="zh-CN"/>
        </w:rPr>
        <w:t>采购人</w:t>
      </w:r>
      <w:r>
        <w:rPr>
          <w:rFonts w:hint="eastAsia" w:ascii="宋体" w:hAnsi="宋体" w:cs="宋体"/>
          <w:bCs/>
          <w:color w:val="auto"/>
          <w:sz w:val="21"/>
          <w:szCs w:val="21"/>
          <w:highlight w:val="none"/>
          <w:lang w:val="en-US" w:eastAsia="zh-CN"/>
        </w:rPr>
        <w:t>和市级相关主管部门</w:t>
      </w:r>
      <w:r>
        <w:rPr>
          <w:rFonts w:hint="eastAsia" w:ascii="宋体" w:hAnsi="宋体" w:eastAsia="宋体" w:cs="宋体"/>
          <w:bCs/>
          <w:color w:val="auto"/>
          <w:sz w:val="21"/>
          <w:szCs w:val="21"/>
          <w:highlight w:val="none"/>
        </w:rPr>
        <w:t>确认后</w:t>
      </w:r>
      <w:r>
        <w:rPr>
          <w:rFonts w:hint="eastAsia" w:ascii="宋体" w:hAnsi="宋体" w:eastAsia="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3.按期</w:t>
      </w:r>
      <w:r>
        <w:rPr>
          <w:rFonts w:hint="eastAsia" w:ascii="宋体" w:hAnsi="宋体" w:eastAsia="宋体" w:cs="宋体"/>
          <w:bCs/>
          <w:color w:val="auto"/>
          <w:sz w:val="21"/>
          <w:szCs w:val="21"/>
          <w:highlight w:val="none"/>
        </w:rPr>
        <w:t>完成项目全部软件建设</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完成全部硬件设备安装并通过初验且经</w:t>
      </w:r>
      <w:r>
        <w:rPr>
          <w:rFonts w:hint="eastAsia" w:ascii="宋体" w:hAnsi="宋体" w:eastAsia="宋体" w:cs="宋体"/>
          <w:bCs/>
          <w:color w:val="auto"/>
          <w:sz w:val="21"/>
          <w:szCs w:val="21"/>
          <w:highlight w:val="none"/>
          <w:lang w:val="en-US" w:eastAsia="zh-CN"/>
        </w:rPr>
        <w:t>采购人</w:t>
      </w:r>
      <w:r>
        <w:rPr>
          <w:rFonts w:hint="eastAsia" w:ascii="宋体" w:hAnsi="宋体" w:cs="宋体"/>
          <w:bCs/>
          <w:color w:val="auto"/>
          <w:sz w:val="21"/>
          <w:szCs w:val="21"/>
          <w:highlight w:val="none"/>
          <w:lang w:val="en-US" w:eastAsia="zh-CN"/>
        </w:rPr>
        <w:t>和市级相关主管部门</w:t>
      </w:r>
      <w:r>
        <w:rPr>
          <w:rFonts w:hint="eastAsia" w:ascii="宋体" w:hAnsi="宋体" w:eastAsia="宋体" w:cs="宋体"/>
          <w:bCs/>
          <w:color w:val="auto"/>
          <w:sz w:val="21"/>
          <w:szCs w:val="21"/>
          <w:highlight w:val="none"/>
        </w:rPr>
        <w:t>确认后</w:t>
      </w:r>
      <w:r>
        <w:rPr>
          <w:rFonts w:hint="eastAsia" w:ascii="宋体" w:hAnsi="宋体" w:cs="宋体"/>
          <w:bCs/>
          <w:color w:val="auto"/>
          <w:sz w:val="21"/>
          <w:szCs w:val="21"/>
          <w:highlight w:val="none"/>
          <w:lang w:val="en-US" w:eastAsia="zh-CN"/>
        </w:rPr>
        <w:t>30</w:t>
      </w:r>
      <w:r>
        <w:rPr>
          <w:rFonts w:hint="eastAsia" w:ascii="宋体" w:hAnsi="宋体" w:eastAsia="宋体" w:cs="宋体"/>
          <w:bCs/>
          <w:color w:val="auto"/>
          <w:sz w:val="21"/>
          <w:szCs w:val="21"/>
          <w:highlight w:val="none"/>
        </w:rPr>
        <w:t>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20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val="en-US" w:eastAsia="zh-CN"/>
        </w:rPr>
        <w:t>自</w:t>
      </w:r>
      <w:r>
        <w:rPr>
          <w:rFonts w:hint="eastAsia" w:ascii="宋体" w:hAnsi="宋体" w:eastAsia="宋体" w:cs="宋体"/>
          <w:bCs/>
          <w:color w:val="auto"/>
          <w:sz w:val="21"/>
          <w:szCs w:val="21"/>
          <w:highlight w:val="none"/>
        </w:rPr>
        <w:t>项目通过初验之日起且试运行3个月，申请并通过市级相关主管部门</w:t>
      </w:r>
      <w:r>
        <w:rPr>
          <w:rFonts w:hint="eastAsia" w:ascii="宋体" w:hAnsi="宋体" w:eastAsia="宋体" w:cs="宋体"/>
          <w:bCs/>
          <w:color w:val="auto"/>
          <w:sz w:val="21"/>
          <w:szCs w:val="21"/>
          <w:highlight w:val="none"/>
          <w:lang w:eastAsia="zh-CN"/>
        </w:rPr>
        <w:t>和专业第三方检测机构</w:t>
      </w:r>
      <w:r>
        <w:rPr>
          <w:rFonts w:hint="eastAsia" w:ascii="宋体" w:hAnsi="宋体" w:eastAsia="宋体" w:cs="宋体"/>
          <w:bCs/>
          <w:color w:val="auto"/>
          <w:sz w:val="21"/>
          <w:szCs w:val="21"/>
          <w:highlight w:val="none"/>
        </w:rPr>
        <w:t>的终验，且经</w:t>
      </w:r>
      <w:r>
        <w:rPr>
          <w:rFonts w:hint="eastAsia" w:ascii="宋体" w:hAnsi="宋体" w:eastAsia="宋体" w:cs="宋体"/>
          <w:bCs/>
          <w:color w:val="auto"/>
          <w:sz w:val="21"/>
          <w:szCs w:val="21"/>
          <w:highlight w:val="none"/>
          <w:lang w:val="en-US" w:eastAsia="zh-CN"/>
        </w:rPr>
        <w:t>采购人</w:t>
      </w:r>
      <w:r>
        <w:rPr>
          <w:rFonts w:hint="eastAsia" w:ascii="宋体" w:hAnsi="宋体" w:eastAsia="宋体" w:cs="宋体"/>
          <w:bCs/>
          <w:color w:val="auto"/>
          <w:sz w:val="21"/>
          <w:szCs w:val="21"/>
          <w:highlight w:val="none"/>
        </w:rPr>
        <w:t>确认后30日内支付</w:t>
      </w:r>
      <w:r>
        <w:rPr>
          <w:rFonts w:hint="eastAsia" w:ascii="宋体" w:hAnsi="宋体" w:eastAsia="宋体" w:cs="宋体"/>
          <w:bCs/>
          <w:color w:val="auto"/>
          <w:sz w:val="21"/>
          <w:szCs w:val="21"/>
          <w:highlight w:val="none"/>
          <w:lang w:val="en-US" w:eastAsia="zh-CN"/>
        </w:rPr>
        <w:t>合同价</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val="en-US" w:eastAsia="zh-CN"/>
        </w:rPr>
        <w:t>4</w:t>
      </w:r>
      <w:r>
        <w:rPr>
          <w:rFonts w:hint="eastAsia" w:ascii="宋体" w:hAnsi="宋体" w:cs="宋体"/>
          <w:bCs/>
          <w:color w:val="auto"/>
          <w:sz w:val="21"/>
          <w:szCs w:val="21"/>
          <w:highlight w:val="none"/>
          <w:lang w:val="en-US" w:eastAsia="zh-CN"/>
        </w:rPr>
        <w:t>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w:t>
      </w:r>
    </w:p>
    <w:p>
      <w:pPr>
        <w:spacing w:line="440" w:lineRule="exact"/>
        <w:ind w:firstLine="420" w:firstLineChars="200"/>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5.自项目终验之日起算满一年后支付合同价的5%；</w:t>
      </w:r>
    </w:p>
    <w:p>
      <w:pPr>
        <w:spacing w:line="440" w:lineRule="exact"/>
        <w:ind w:firstLine="420"/>
        <w:rPr>
          <w:rFonts w:hint="eastAsia" w:ascii="宋体" w:hAnsi="宋体"/>
          <w:b/>
          <w:bCs/>
          <w:color w:val="auto"/>
          <w:sz w:val="21"/>
          <w:szCs w:val="21"/>
          <w:highlight w:val="none"/>
        </w:rPr>
      </w:pPr>
      <w:r>
        <w:rPr>
          <w:rFonts w:hint="eastAsia" w:ascii="宋体" w:hAnsi="宋体" w:cs="宋体"/>
          <w:bCs/>
          <w:color w:val="auto"/>
          <w:sz w:val="21"/>
          <w:szCs w:val="21"/>
          <w:highlight w:val="none"/>
          <w:lang w:val="en-US" w:eastAsia="zh-CN"/>
        </w:rPr>
        <w:t>6.自项目终验之日起算满二年后支付合同价的5%。</w:t>
      </w:r>
    </w:p>
    <w:p>
      <w:pPr>
        <w:spacing w:line="440" w:lineRule="exact"/>
        <w:ind w:firstLine="420"/>
        <w:rPr>
          <w:rFonts w:hint="eastAsia" w:ascii="宋体" w:hAnsi="宋体"/>
          <w:b/>
          <w:bCs/>
          <w:color w:val="auto"/>
          <w:sz w:val="21"/>
          <w:szCs w:val="21"/>
          <w:highlight w:val="none"/>
        </w:rPr>
      </w:pPr>
      <w:r>
        <w:rPr>
          <w:rFonts w:hint="eastAsia" w:ascii="宋体" w:hAnsi="宋体"/>
          <w:b/>
          <w:bCs/>
          <w:color w:val="auto"/>
          <w:sz w:val="21"/>
          <w:szCs w:val="21"/>
          <w:highlight w:val="none"/>
        </w:rPr>
        <w:t>六、违约责任：</w:t>
      </w:r>
    </w:p>
    <w:p>
      <w:pPr>
        <w:spacing w:line="440" w:lineRule="exact"/>
        <w:rPr>
          <w:rFonts w:hint="eastAsia" w:ascii="宋体" w:hAnsi="宋体"/>
          <w:color w:val="auto"/>
          <w:sz w:val="21"/>
          <w:szCs w:val="21"/>
          <w:highlight w:val="none"/>
        </w:rPr>
      </w:pPr>
      <w:r>
        <w:rPr>
          <w:rFonts w:hint="eastAsia" w:ascii="宋体" w:hAnsi="宋体"/>
          <w:color w:val="auto"/>
          <w:sz w:val="21"/>
          <w:szCs w:val="21"/>
          <w:highlight w:val="none"/>
        </w:rPr>
        <w:t xml:space="preserve">    (1)乙(供)方在签订合同的同时需向</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交纳合同总金额</w:t>
      </w:r>
      <w:r>
        <w:rPr>
          <w:rFonts w:hint="eastAsia" w:ascii="宋体" w:hAnsi="宋体"/>
          <w:color w:val="auto"/>
          <w:sz w:val="21"/>
          <w:szCs w:val="21"/>
          <w:highlight w:val="none"/>
          <w:u w:val="single"/>
        </w:rPr>
        <w:t>5</w:t>
      </w:r>
      <w:r>
        <w:rPr>
          <w:rFonts w:hint="eastAsia" w:ascii="宋体" w:hAnsi="宋体"/>
          <w:color w:val="auto"/>
          <w:sz w:val="21"/>
          <w:szCs w:val="21"/>
          <w:highlight w:val="none"/>
        </w:rPr>
        <w:t>％的履约保证金(大写)</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留作履保。</w:t>
      </w:r>
    </w:p>
    <w:p>
      <w:pPr>
        <w:spacing w:line="440" w:lineRule="exact"/>
        <w:rPr>
          <w:rFonts w:hint="eastAsia" w:ascii="宋体" w:hAnsi="宋体"/>
          <w:color w:val="auto"/>
          <w:sz w:val="21"/>
          <w:szCs w:val="21"/>
          <w:highlight w:val="none"/>
        </w:rPr>
      </w:pPr>
      <w:r>
        <w:rPr>
          <w:rFonts w:hint="eastAsia" w:ascii="宋体" w:hAnsi="宋体"/>
          <w:color w:val="auto"/>
          <w:sz w:val="21"/>
          <w:szCs w:val="21"/>
          <w:highlight w:val="none"/>
        </w:rPr>
        <w:t xml:space="preserve">    (2)如乙方延期交(提)货，除人力不可抗拒的因素外，乙方应偿还延期违约金，按延期货物价值每日0.4％的标准从履约保证金中扣除。</w:t>
      </w:r>
    </w:p>
    <w:p>
      <w:pPr>
        <w:spacing w:line="440" w:lineRule="exact"/>
        <w:rPr>
          <w:rFonts w:hint="eastAsia" w:ascii="宋体" w:hAnsi="宋体"/>
          <w:color w:val="auto"/>
          <w:sz w:val="21"/>
          <w:szCs w:val="21"/>
          <w:highlight w:val="none"/>
        </w:rPr>
      </w:pPr>
      <w:r>
        <w:rPr>
          <w:rFonts w:hint="eastAsia" w:ascii="宋体" w:hAnsi="宋体"/>
          <w:color w:val="auto"/>
          <w:sz w:val="21"/>
          <w:szCs w:val="21"/>
          <w:highlight w:val="none"/>
        </w:rPr>
        <w:t xml:space="preserve">    (3)如甲方延期付款时(有正当拒付理由者除外)应向乙方偿还延期付款违约金，按每日应付金额的0.4％计算。</w:t>
      </w:r>
    </w:p>
    <w:p>
      <w:pPr>
        <w:spacing w:line="440" w:lineRule="exact"/>
        <w:rPr>
          <w:rFonts w:hint="eastAsia" w:ascii="宋体" w:hAnsi="宋体"/>
          <w:color w:val="auto"/>
          <w:sz w:val="21"/>
          <w:szCs w:val="21"/>
          <w:highlight w:val="none"/>
        </w:rPr>
      </w:pPr>
      <w:r>
        <w:rPr>
          <w:rFonts w:hint="eastAsia" w:ascii="宋体" w:hAnsi="宋体"/>
          <w:color w:val="auto"/>
          <w:sz w:val="21"/>
          <w:szCs w:val="21"/>
          <w:highlight w:val="none"/>
        </w:rPr>
        <w:t xml:space="preserve">    (4)由于甲方的使用单位延期的原因要求延期交货时，甲方使用单位应按规定承付货款，并承担供方所提供的代为保管费用(按有关仓储规定另议)。</w:t>
      </w:r>
    </w:p>
    <w:p>
      <w:pPr>
        <w:spacing w:line="440" w:lineRule="exact"/>
        <w:ind w:firstLine="420"/>
        <w:rPr>
          <w:rFonts w:hint="eastAsia" w:ascii="宋体" w:hAnsi="宋体"/>
          <w:b/>
          <w:bCs/>
          <w:color w:val="auto"/>
          <w:sz w:val="21"/>
          <w:szCs w:val="21"/>
          <w:highlight w:val="none"/>
        </w:rPr>
      </w:pPr>
      <w:r>
        <w:rPr>
          <w:rFonts w:hint="eastAsia" w:ascii="宋体" w:hAnsi="宋体"/>
          <w:b/>
          <w:bCs/>
          <w:color w:val="auto"/>
          <w:sz w:val="21"/>
          <w:szCs w:val="21"/>
          <w:highlight w:val="none"/>
        </w:rPr>
        <w:t>七、合同相关文件：</w:t>
      </w:r>
      <w:r>
        <w:rPr>
          <w:rFonts w:hint="eastAsia" w:ascii="宋体" w:hAnsi="宋体"/>
          <w:color w:val="auto"/>
          <w:sz w:val="21"/>
          <w:szCs w:val="21"/>
          <w:highlight w:val="none"/>
        </w:rPr>
        <w:t>有关本次采购项目的采购文件以及相关的函件如答疑函、承诺函等均为本合同不可分割的一部份。若“本次采购项目的采购文件以及相关的函件、如答疑函、承诺函”与本合同有出入时，以“本次采购项目的采购文件以及相关的函件如答疑函、承诺函”为准。</w:t>
      </w:r>
    </w:p>
    <w:p>
      <w:pPr>
        <w:spacing w:line="440" w:lineRule="exact"/>
        <w:ind w:firstLine="420"/>
        <w:rPr>
          <w:rFonts w:hint="eastAsia" w:ascii="宋体" w:hAnsi="宋体" w:cs="宋体"/>
          <w:color w:val="auto"/>
          <w:sz w:val="21"/>
          <w:szCs w:val="21"/>
          <w:highlight w:val="none"/>
        </w:rPr>
      </w:pPr>
      <w:r>
        <w:rPr>
          <w:rFonts w:hint="eastAsia" w:ascii="宋体" w:hAnsi="宋体" w:cs="宋体"/>
          <w:b/>
          <w:color w:val="auto"/>
          <w:sz w:val="21"/>
          <w:szCs w:val="21"/>
          <w:highlight w:val="none"/>
        </w:rPr>
        <w:t>八、合同在执行过程中出现的未尽事宜，</w:t>
      </w:r>
      <w:r>
        <w:rPr>
          <w:rFonts w:hint="eastAsia" w:ascii="宋体" w:hAnsi="宋体" w:cs="宋体"/>
          <w:color w:val="auto"/>
          <w:sz w:val="21"/>
          <w:szCs w:val="21"/>
          <w:highlight w:val="none"/>
        </w:rPr>
        <w:t>双方在不违背本合同和采购(招标)文件的原则下，协商解决，协商结果以书面形式盖章记录在案，作为本合同的附件，具有同等效力。</w:t>
      </w:r>
    </w:p>
    <w:p>
      <w:pPr>
        <w:spacing w:line="440" w:lineRule="exact"/>
        <w:ind w:firstLine="207" w:firstLineChars="98"/>
        <w:rPr>
          <w:rFonts w:hint="eastAsia" w:ascii="宋体" w:hAnsi="宋体" w:cs="宋体"/>
          <w:color w:val="auto"/>
          <w:sz w:val="21"/>
          <w:szCs w:val="21"/>
          <w:highlight w:val="none"/>
        </w:rPr>
      </w:pPr>
      <w:r>
        <w:rPr>
          <w:rFonts w:hint="eastAsia" w:ascii="宋体" w:hAnsi="宋体" w:cs="宋体"/>
          <w:b/>
          <w:color w:val="auto"/>
          <w:sz w:val="21"/>
          <w:szCs w:val="21"/>
          <w:highlight w:val="none"/>
        </w:rPr>
        <w:t xml:space="preserve">  九、合同争议处理方式：</w:t>
      </w:r>
      <w:r>
        <w:rPr>
          <w:rFonts w:hint="eastAsia" w:ascii="宋体" w:hAnsi="宋体" w:cs="宋体"/>
          <w:color w:val="auto"/>
          <w:sz w:val="21"/>
          <w:szCs w:val="21"/>
          <w:highlight w:val="none"/>
        </w:rPr>
        <w:t>本合同在履行中若发生争议，双方应协商解决。协商不成时，按下列第</w:t>
      </w:r>
      <w:r>
        <w:rPr>
          <w:rFonts w:hint="eastAsia" w:ascii="宋体" w:hAnsi="宋体" w:cs="宋体"/>
          <w:color w:val="auto"/>
          <w:sz w:val="21"/>
          <w:szCs w:val="21"/>
          <w:highlight w:val="none"/>
          <w:u w:val="single"/>
        </w:rPr>
        <w:t xml:space="preserve"> （2）   </w:t>
      </w:r>
      <w:r>
        <w:rPr>
          <w:rFonts w:hint="eastAsia" w:ascii="宋体" w:hAnsi="宋体" w:cs="宋体"/>
          <w:color w:val="auto"/>
          <w:sz w:val="21"/>
          <w:szCs w:val="21"/>
          <w:highlight w:val="none"/>
        </w:rPr>
        <w:t>种方式处理：</w:t>
      </w:r>
    </w:p>
    <w:p>
      <w:pPr>
        <w:spacing w:line="44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(1)提交</w:t>
      </w:r>
      <w:r>
        <w:rPr>
          <w:rFonts w:hint="eastAsia" w:ascii="宋体" w:hAnsi="宋体" w:cs="宋体"/>
          <w:color w:val="auto"/>
          <w:sz w:val="21"/>
          <w:szCs w:val="21"/>
          <w:highlight w:val="none"/>
          <w:u w:val="single"/>
        </w:rPr>
        <w:t xml:space="preserve">   /  </w:t>
      </w:r>
      <w:r>
        <w:rPr>
          <w:rFonts w:hint="eastAsia" w:ascii="宋体" w:hAnsi="宋体" w:cs="宋体"/>
          <w:color w:val="auto"/>
          <w:sz w:val="21"/>
          <w:szCs w:val="21"/>
          <w:highlight w:val="none"/>
        </w:rPr>
        <w:t>仲裁委员会仲裁。    (2)依法向人民法院起诉。</w:t>
      </w:r>
    </w:p>
    <w:p>
      <w:pPr>
        <w:spacing w:line="440" w:lineRule="exact"/>
        <w:rPr>
          <w:color w:val="auto"/>
          <w:sz w:val="21"/>
          <w:szCs w:val="21"/>
          <w:highlight w:val="none"/>
        </w:rPr>
      </w:pPr>
      <w:r>
        <w:rPr>
          <w:color w:val="auto"/>
          <w:sz w:val="21"/>
          <w:highlight w:val="none"/>
        </w:rPr>
        <w:t xml:space="preserve">    本合同一式陆份，</w:t>
      </w:r>
      <w:r>
        <w:rPr>
          <w:rFonts w:hint="eastAsia" w:ascii="宋体" w:hAnsi="宋体"/>
          <w:color w:val="auto"/>
          <w:sz w:val="21"/>
          <w:szCs w:val="21"/>
          <w:highlight w:val="none"/>
        </w:rPr>
        <w:t>甲、乙双方各执二份，浙江展图工程咨询有限公司一份</w:t>
      </w:r>
      <w:r>
        <w:rPr>
          <w:color w:val="auto"/>
          <w:sz w:val="21"/>
          <w:szCs w:val="21"/>
          <w:highlight w:val="none"/>
        </w:rPr>
        <w:t>，兰溪市政府采购管理办公室备案一份。</w:t>
      </w:r>
    </w:p>
    <w:p>
      <w:pPr>
        <w:spacing w:line="440" w:lineRule="exact"/>
        <w:rPr>
          <w:color w:val="auto"/>
          <w:sz w:val="21"/>
          <w:highlight w:val="none"/>
        </w:rPr>
      </w:pPr>
      <w:r>
        <w:rPr>
          <w:rFonts w:hint="eastAsia"/>
          <w:color w:val="auto"/>
          <w:sz w:val="21"/>
          <w:highlight w:val="none"/>
        </w:rPr>
        <w:t xml:space="preserve">    </w:t>
      </w:r>
      <w:r>
        <w:rPr>
          <w:color w:val="auto"/>
          <w:sz w:val="21"/>
          <w:highlight w:val="none"/>
        </w:rPr>
        <w:t xml:space="preserve">合同附件和本合同均具有同等法律效力。   </w:t>
      </w:r>
    </w:p>
    <w:tbl>
      <w:tblPr>
        <w:tblStyle w:val="22"/>
        <w:tblpPr w:leftFromText="180" w:rightFromText="180" w:vertAnchor="text" w:horzAnchor="page" w:tblpX="1582" w:tblpY="16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77"/>
        <w:gridCol w:w="4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2" w:hRule="exact"/>
        </w:trPr>
        <w:tc>
          <w:tcPr>
            <w:tcW w:w="4377" w:type="dxa"/>
            <w:noWrap w:val="0"/>
            <w:vAlign w:val="top"/>
          </w:tcPr>
          <w:p>
            <w:pPr>
              <w:spacing w:line="400" w:lineRule="exact"/>
              <w:jc w:val="center"/>
              <w:rPr>
                <w:color w:val="auto"/>
                <w:sz w:val="21"/>
                <w:highlight w:val="none"/>
              </w:rPr>
            </w:pPr>
            <w:r>
              <w:rPr>
                <w:color w:val="auto"/>
                <w:sz w:val="21"/>
                <w:highlight w:val="none"/>
              </w:rPr>
              <w:t>甲（采购）方</w:t>
            </w:r>
          </w:p>
          <w:p>
            <w:pPr>
              <w:spacing w:line="400" w:lineRule="exact"/>
              <w:rPr>
                <w:color w:val="auto"/>
                <w:sz w:val="21"/>
                <w:highlight w:val="none"/>
              </w:rPr>
            </w:pPr>
            <w:r>
              <w:rPr>
                <w:color w:val="auto"/>
                <w:sz w:val="21"/>
                <w:highlight w:val="none"/>
              </w:rPr>
              <w:t>单位名称（章）：</w:t>
            </w:r>
          </w:p>
          <w:p>
            <w:pPr>
              <w:spacing w:line="400" w:lineRule="exact"/>
              <w:rPr>
                <w:color w:val="auto"/>
                <w:sz w:val="21"/>
                <w:highlight w:val="none"/>
              </w:rPr>
            </w:pPr>
          </w:p>
          <w:p>
            <w:pPr>
              <w:spacing w:line="400" w:lineRule="exact"/>
              <w:rPr>
                <w:color w:val="auto"/>
                <w:sz w:val="21"/>
                <w:highlight w:val="none"/>
              </w:rPr>
            </w:pPr>
            <w:r>
              <w:rPr>
                <w:color w:val="auto"/>
                <w:sz w:val="21"/>
                <w:highlight w:val="none"/>
              </w:rPr>
              <w:t>单位地址：</w:t>
            </w:r>
          </w:p>
          <w:p>
            <w:pPr>
              <w:spacing w:line="400" w:lineRule="exact"/>
              <w:rPr>
                <w:color w:val="auto"/>
                <w:sz w:val="21"/>
                <w:highlight w:val="none"/>
              </w:rPr>
            </w:pPr>
          </w:p>
          <w:p>
            <w:pPr>
              <w:spacing w:line="400" w:lineRule="exact"/>
              <w:rPr>
                <w:color w:val="auto"/>
                <w:sz w:val="21"/>
                <w:highlight w:val="none"/>
              </w:rPr>
            </w:pPr>
            <w:r>
              <w:rPr>
                <w:color w:val="auto"/>
                <w:sz w:val="21"/>
                <w:highlight w:val="none"/>
              </w:rPr>
              <w:t>法定代表人（签字）：</w:t>
            </w:r>
          </w:p>
          <w:p>
            <w:pPr>
              <w:spacing w:line="400" w:lineRule="exact"/>
              <w:rPr>
                <w:color w:val="auto"/>
                <w:sz w:val="21"/>
                <w:highlight w:val="none"/>
              </w:rPr>
            </w:pPr>
            <w:r>
              <w:rPr>
                <w:color w:val="auto"/>
                <w:sz w:val="21"/>
                <w:highlight w:val="none"/>
              </w:rPr>
              <w:t>委托代理人（签字）：</w:t>
            </w:r>
          </w:p>
          <w:p>
            <w:pPr>
              <w:spacing w:line="400" w:lineRule="exact"/>
              <w:rPr>
                <w:color w:val="auto"/>
                <w:sz w:val="21"/>
                <w:highlight w:val="none"/>
              </w:rPr>
            </w:pPr>
            <w:r>
              <w:rPr>
                <w:color w:val="auto"/>
                <w:sz w:val="21"/>
                <w:highlight w:val="none"/>
              </w:rPr>
              <w:t>电话：</w:t>
            </w:r>
          </w:p>
          <w:p>
            <w:pPr>
              <w:spacing w:line="400" w:lineRule="exact"/>
              <w:rPr>
                <w:color w:val="auto"/>
                <w:sz w:val="21"/>
                <w:highlight w:val="none"/>
              </w:rPr>
            </w:pPr>
            <w:r>
              <w:rPr>
                <w:color w:val="auto"/>
                <w:sz w:val="21"/>
                <w:highlight w:val="none"/>
              </w:rPr>
              <w:t>开户银行：</w:t>
            </w:r>
          </w:p>
          <w:p>
            <w:pPr>
              <w:spacing w:line="400" w:lineRule="exact"/>
              <w:rPr>
                <w:color w:val="auto"/>
                <w:sz w:val="21"/>
                <w:highlight w:val="none"/>
              </w:rPr>
            </w:pPr>
            <w:r>
              <w:rPr>
                <w:rFonts w:hint="eastAsia"/>
                <w:color w:val="auto"/>
                <w:sz w:val="21"/>
                <w:highlight w:val="none"/>
              </w:rPr>
              <w:t>账</w:t>
            </w:r>
            <w:r>
              <w:rPr>
                <w:color w:val="auto"/>
                <w:sz w:val="21"/>
                <w:highlight w:val="none"/>
              </w:rPr>
              <w:t>号：</w:t>
            </w:r>
          </w:p>
          <w:p>
            <w:pPr>
              <w:spacing w:line="400" w:lineRule="exact"/>
              <w:rPr>
                <w:color w:val="auto"/>
                <w:sz w:val="21"/>
                <w:highlight w:val="none"/>
              </w:rPr>
            </w:pPr>
          </w:p>
          <w:p>
            <w:pPr>
              <w:spacing w:line="400" w:lineRule="exact"/>
              <w:rPr>
                <w:color w:val="auto"/>
                <w:sz w:val="21"/>
                <w:highlight w:val="none"/>
              </w:rPr>
            </w:pPr>
            <w:r>
              <w:rPr>
                <w:color w:val="auto"/>
                <w:sz w:val="21"/>
                <w:highlight w:val="none"/>
              </w:rPr>
              <w:t>邮政编码：</w:t>
            </w:r>
          </w:p>
        </w:tc>
        <w:tc>
          <w:tcPr>
            <w:tcW w:w="4524" w:type="dxa"/>
            <w:noWrap w:val="0"/>
            <w:vAlign w:val="top"/>
          </w:tcPr>
          <w:p>
            <w:pPr>
              <w:spacing w:line="400" w:lineRule="exact"/>
              <w:jc w:val="center"/>
              <w:rPr>
                <w:color w:val="auto"/>
                <w:sz w:val="21"/>
                <w:highlight w:val="none"/>
              </w:rPr>
            </w:pPr>
            <w:r>
              <w:rPr>
                <w:color w:val="auto"/>
                <w:sz w:val="21"/>
                <w:highlight w:val="none"/>
              </w:rPr>
              <w:t>乙（供货）方</w:t>
            </w:r>
          </w:p>
          <w:p>
            <w:pPr>
              <w:spacing w:line="400" w:lineRule="exact"/>
              <w:rPr>
                <w:color w:val="auto"/>
                <w:sz w:val="21"/>
                <w:highlight w:val="none"/>
              </w:rPr>
            </w:pPr>
            <w:r>
              <w:rPr>
                <w:color w:val="auto"/>
                <w:sz w:val="21"/>
                <w:highlight w:val="none"/>
              </w:rPr>
              <w:t>单位名称（章）：</w:t>
            </w:r>
          </w:p>
          <w:p>
            <w:pPr>
              <w:spacing w:line="400" w:lineRule="exact"/>
              <w:rPr>
                <w:color w:val="auto"/>
                <w:sz w:val="21"/>
                <w:highlight w:val="none"/>
              </w:rPr>
            </w:pPr>
          </w:p>
          <w:p>
            <w:pPr>
              <w:spacing w:line="400" w:lineRule="exact"/>
              <w:rPr>
                <w:color w:val="auto"/>
                <w:sz w:val="21"/>
                <w:highlight w:val="none"/>
              </w:rPr>
            </w:pPr>
            <w:r>
              <w:rPr>
                <w:color w:val="auto"/>
                <w:sz w:val="21"/>
                <w:highlight w:val="none"/>
              </w:rPr>
              <w:t>单位地址：</w:t>
            </w:r>
          </w:p>
          <w:p>
            <w:pPr>
              <w:spacing w:line="400" w:lineRule="exact"/>
              <w:rPr>
                <w:color w:val="auto"/>
                <w:sz w:val="21"/>
                <w:highlight w:val="none"/>
              </w:rPr>
            </w:pPr>
          </w:p>
          <w:p>
            <w:pPr>
              <w:spacing w:line="400" w:lineRule="exact"/>
              <w:rPr>
                <w:color w:val="auto"/>
                <w:sz w:val="21"/>
                <w:highlight w:val="none"/>
              </w:rPr>
            </w:pPr>
            <w:r>
              <w:rPr>
                <w:color w:val="auto"/>
                <w:sz w:val="21"/>
                <w:highlight w:val="none"/>
              </w:rPr>
              <w:t>法定代表人（签字）：</w:t>
            </w:r>
          </w:p>
          <w:p>
            <w:pPr>
              <w:spacing w:line="400" w:lineRule="exact"/>
              <w:rPr>
                <w:color w:val="auto"/>
                <w:sz w:val="21"/>
                <w:highlight w:val="none"/>
              </w:rPr>
            </w:pPr>
            <w:r>
              <w:rPr>
                <w:color w:val="auto"/>
                <w:sz w:val="21"/>
                <w:highlight w:val="none"/>
              </w:rPr>
              <w:t>委托代理人（签字）：</w:t>
            </w:r>
          </w:p>
          <w:p>
            <w:pPr>
              <w:spacing w:line="400" w:lineRule="exact"/>
              <w:rPr>
                <w:color w:val="auto"/>
                <w:sz w:val="21"/>
                <w:highlight w:val="none"/>
              </w:rPr>
            </w:pPr>
            <w:r>
              <w:rPr>
                <w:color w:val="auto"/>
                <w:sz w:val="21"/>
                <w:highlight w:val="none"/>
              </w:rPr>
              <w:t>电话：</w:t>
            </w:r>
          </w:p>
          <w:p>
            <w:pPr>
              <w:spacing w:line="400" w:lineRule="exact"/>
              <w:rPr>
                <w:color w:val="auto"/>
                <w:sz w:val="21"/>
                <w:highlight w:val="none"/>
              </w:rPr>
            </w:pPr>
            <w:r>
              <w:rPr>
                <w:color w:val="auto"/>
                <w:sz w:val="21"/>
                <w:highlight w:val="none"/>
              </w:rPr>
              <w:t>开户银行：</w:t>
            </w:r>
          </w:p>
          <w:p>
            <w:pPr>
              <w:spacing w:line="400" w:lineRule="exact"/>
              <w:rPr>
                <w:color w:val="auto"/>
                <w:sz w:val="21"/>
                <w:highlight w:val="none"/>
              </w:rPr>
            </w:pPr>
            <w:r>
              <w:rPr>
                <w:rFonts w:hint="eastAsia"/>
                <w:color w:val="auto"/>
                <w:sz w:val="21"/>
                <w:highlight w:val="none"/>
              </w:rPr>
              <w:t>账</w:t>
            </w:r>
            <w:r>
              <w:rPr>
                <w:color w:val="auto"/>
                <w:sz w:val="21"/>
                <w:highlight w:val="none"/>
              </w:rPr>
              <w:t>号：</w:t>
            </w:r>
          </w:p>
          <w:p>
            <w:pPr>
              <w:spacing w:line="400" w:lineRule="exact"/>
              <w:rPr>
                <w:color w:val="auto"/>
                <w:sz w:val="21"/>
                <w:highlight w:val="none"/>
              </w:rPr>
            </w:pPr>
          </w:p>
          <w:p>
            <w:pPr>
              <w:spacing w:line="400" w:lineRule="exact"/>
              <w:rPr>
                <w:color w:val="auto"/>
                <w:sz w:val="21"/>
                <w:highlight w:val="none"/>
              </w:rPr>
            </w:pPr>
            <w:r>
              <w:rPr>
                <w:color w:val="auto"/>
                <w:sz w:val="21"/>
                <w:highlight w:val="none"/>
              </w:rPr>
              <w:t>邮政编码：</w:t>
            </w:r>
          </w:p>
          <w:p>
            <w:pPr>
              <w:spacing w:line="400" w:lineRule="exact"/>
              <w:ind w:firstLine="420" w:firstLineChars="200"/>
              <w:jc w:val="right"/>
              <w:rPr>
                <w:color w:val="auto"/>
                <w:sz w:val="21"/>
                <w:highlight w:val="none"/>
              </w:rPr>
            </w:pPr>
            <w:r>
              <w:rPr>
                <w:color w:val="auto"/>
                <w:sz w:val="21"/>
                <w:highlight w:val="none"/>
              </w:rPr>
              <w:t xml:space="preserve"> </w:t>
            </w:r>
          </w:p>
        </w:tc>
      </w:tr>
    </w:tbl>
    <w:p>
      <w:pPr>
        <w:pStyle w:val="14"/>
        <w:snapToGrid w:val="0"/>
        <w:spacing w:before="120" w:beforeLines="0" w:after="120" w:afterLines="0" w:line="400" w:lineRule="exact"/>
        <w:outlineLvl w:val="0"/>
        <w:rPr>
          <w:color w:val="auto"/>
          <w:sz w:val="21"/>
          <w:szCs w:val="21"/>
          <w:highlight w:val="none"/>
        </w:rPr>
      </w:pPr>
      <w:r>
        <w:rPr>
          <w:rFonts w:ascii="Times New Roman" w:hAnsi="Times New Roman"/>
          <w:bCs/>
          <w:color w:val="auto"/>
          <w:sz w:val="21"/>
          <w:szCs w:val="21"/>
          <w:highlight w:val="none"/>
        </w:rPr>
        <w:t>注：此合同样本仅作参考，需方、供方可根据采购项目的实际情况进行修改。</w:t>
      </w:r>
    </w:p>
    <w:p>
      <w:pPr>
        <w:pStyle w:val="14"/>
        <w:snapToGrid w:val="0"/>
        <w:spacing w:before="120" w:beforeLines="0" w:after="120" w:afterLines="0" w:line="240" w:lineRule="auto"/>
        <w:outlineLvl w:val="0"/>
        <w:rPr>
          <w:rFonts w:ascii="Times New Roman" w:hAnsi="Times New Roman"/>
          <w:b/>
          <w:color w:val="auto"/>
          <w:sz w:val="32"/>
          <w:highlight w:val="none"/>
        </w:rPr>
      </w:pPr>
    </w:p>
    <w:p>
      <w:pPr>
        <w:spacing w:before="156" w:beforeLines="50" w:line="540" w:lineRule="exact"/>
        <w:jc w:val="center"/>
        <w:rPr>
          <w:rFonts w:hint="eastAsia"/>
          <w:b/>
          <w:bCs/>
          <w:color w:val="auto"/>
          <w:sz w:val="32"/>
          <w:szCs w:val="32"/>
          <w:highlight w:val="none"/>
        </w:rPr>
      </w:pPr>
    </w:p>
    <w:p>
      <w:pPr>
        <w:spacing w:before="156" w:beforeLines="50" w:line="540" w:lineRule="exact"/>
        <w:jc w:val="center"/>
        <w:rPr>
          <w:rFonts w:hint="eastAsia"/>
          <w:b/>
          <w:bCs/>
          <w:color w:val="auto"/>
          <w:sz w:val="32"/>
          <w:szCs w:val="32"/>
          <w:highlight w:val="none"/>
        </w:rPr>
      </w:pPr>
    </w:p>
    <w:p>
      <w:pPr>
        <w:spacing w:before="156" w:beforeLines="50" w:line="540" w:lineRule="exact"/>
        <w:jc w:val="center"/>
        <w:rPr>
          <w:rFonts w:hint="eastAsia"/>
          <w:b/>
          <w:bCs/>
          <w:color w:val="auto"/>
          <w:sz w:val="32"/>
          <w:szCs w:val="32"/>
          <w:highlight w:val="none"/>
        </w:rPr>
      </w:pPr>
      <w:r>
        <w:rPr>
          <w:rFonts w:hint="eastAsia"/>
          <w:b/>
          <w:bCs/>
          <w:color w:val="auto"/>
          <w:sz w:val="32"/>
          <w:szCs w:val="32"/>
          <w:highlight w:val="none"/>
          <w:lang w:val="en-US" w:eastAsia="zh-CN"/>
        </w:rPr>
        <w:t xml:space="preserve">第八章  </w:t>
      </w:r>
      <w:r>
        <w:rPr>
          <w:rFonts w:hint="eastAsia"/>
          <w:b/>
          <w:bCs/>
          <w:color w:val="auto"/>
          <w:sz w:val="32"/>
          <w:szCs w:val="32"/>
          <w:highlight w:val="none"/>
        </w:rPr>
        <w:t>投标文件格式</w:t>
      </w:r>
    </w:p>
    <w:p>
      <w:pPr>
        <w:widowControl/>
        <w:spacing w:line="380" w:lineRule="exact"/>
        <w:rPr>
          <w:rFonts w:hint="eastAsia" w:eastAsia="宋体"/>
          <w:b/>
          <w:color w:val="auto"/>
          <w:kern w:val="0"/>
          <w:sz w:val="21"/>
          <w:szCs w:val="21"/>
          <w:highlight w:val="none"/>
          <w:lang w:val="en-US" w:eastAsia="zh-CN"/>
        </w:rPr>
      </w:pPr>
      <w:r>
        <w:rPr>
          <w:rFonts w:hint="eastAsia"/>
          <w:b/>
          <w:color w:val="auto"/>
          <w:kern w:val="0"/>
          <w:sz w:val="21"/>
          <w:szCs w:val="21"/>
          <w:highlight w:val="none"/>
        </w:rPr>
        <w:t>资格证明文件</w:t>
      </w:r>
      <w:r>
        <w:rPr>
          <w:rFonts w:hint="eastAsia"/>
          <w:b/>
          <w:color w:val="auto"/>
          <w:kern w:val="0"/>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rPr>
        <w:t>（1）</w:t>
      </w:r>
      <w:r>
        <w:rPr>
          <w:rFonts w:hint="eastAsia"/>
          <w:color w:val="auto"/>
          <w:sz w:val="21"/>
          <w:szCs w:val="21"/>
          <w:highlight w:val="none"/>
          <w:lang w:val="en-US" w:eastAsia="zh-CN"/>
        </w:rPr>
        <w:t>经有关部门年检通过且在有效期内的营业执照或法人证书复印件</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2）投标人提供投标截止日最近季度的财务报表、税收以及社会保障资金的交纳材料复印件（无交纳记录的提供说明，格式自拟）</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3）具有履行合同所必须的设备和专业技术能力的书面声明</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4）参加政府采购活动前三年内（开标之日往前推算），在经营活动中没有重大违法记录的书面声明</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default"/>
          <w:color w:val="auto"/>
          <w:sz w:val="21"/>
          <w:szCs w:val="21"/>
          <w:highlight w:val="none"/>
          <w:lang w:val="en-US" w:eastAsia="zh-CN"/>
        </w:rPr>
      </w:pPr>
      <w:r>
        <w:rPr>
          <w:rFonts w:hint="eastAsia"/>
          <w:color w:val="auto"/>
          <w:sz w:val="21"/>
          <w:szCs w:val="21"/>
          <w:highlight w:val="none"/>
          <w:lang w:val="en-US" w:eastAsia="zh-CN"/>
        </w:rPr>
        <w:t>（5）无围标串标等负面行为承诺书；</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6）信用记录：投标人提供投标截止前五个工作日内的查询信息：查询渠道：“信用中国” （www.creditchina.gov.cn）、“中国政府采购网”（www.ccgp.gov.cn）任意一处即可</w:t>
      </w:r>
      <w:r>
        <w:rPr>
          <w:rFonts w:hint="eastAsia"/>
          <w:color w:val="auto"/>
          <w:sz w:val="21"/>
          <w:szCs w:val="21"/>
          <w:highlight w:val="none"/>
        </w:rPr>
        <w:t>。</w:t>
      </w:r>
    </w:p>
    <w:p>
      <w:pPr>
        <w:pStyle w:val="14"/>
        <w:snapToGrid w:val="0"/>
        <w:spacing w:beforeLines="0" w:afterLines="0" w:line="240" w:lineRule="auto"/>
        <w:ind w:firstLine="422" w:firstLineChars="200"/>
        <w:outlineLvl w:val="0"/>
        <w:rPr>
          <w:rFonts w:hint="eastAsia" w:hAnsi="宋体"/>
          <w:b/>
          <w:color w:val="auto"/>
          <w:sz w:val="21"/>
          <w:szCs w:val="21"/>
          <w:highlight w:val="none"/>
        </w:rPr>
      </w:pPr>
      <w:r>
        <w:rPr>
          <w:rFonts w:hint="eastAsia" w:hAnsi="宋体"/>
          <w:b/>
          <w:color w:val="auto"/>
          <w:sz w:val="21"/>
          <w:szCs w:val="21"/>
          <w:highlight w:val="none"/>
        </w:rPr>
        <w:t>说明 ：以上材料均需加盖公司公章</w:t>
      </w:r>
    </w:p>
    <w:p>
      <w:pPr>
        <w:pStyle w:val="14"/>
        <w:snapToGrid w:val="0"/>
        <w:spacing w:beforeLines="0" w:afterLines="0" w:line="240" w:lineRule="auto"/>
        <w:outlineLvl w:val="0"/>
        <w:rPr>
          <w:rFonts w:hint="eastAsia"/>
          <w:b/>
          <w:bCs/>
          <w:color w:val="auto"/>
          <w:sz w:val="21"/>
          <w:szCs w:val="21"/>
          <w:highlight w:val="none"/>
        </w:rPr>
      </w:pPr>
      <w:r>
        <w:rPr>
          <w:rFonts w:hint="eastAsia"/>
          <w:b/>
          <w:bCs/>
          <w:color w:val="auto"/>
          <w:sz w:val="21"/>
          <w:szCs w:val="21"/>
          <w:highlight w:val="none"/>
        </w:rPr>
        <w:t>价格标：</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rPr>
        <w:t>（1）投标函；</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rPr>
        <w:t>开标一览表；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rPr>
        <w:t>中小企业声明函</w:t>
      </w:r>
      <w:r>
        <w:rPr>
          <w:rFonts w:hint="eastAsia"/>
          <w:color w:val="auto"/>
          <w:sz w:val="21"/>
          <w:szCs w:val="21"/>
          <w:highlight w:val="none"/>
          <w:lang w:eastAsia="zh-CN"/>
        </w:rPr>
        <w:t>（</w:t>
      </w:r>
      <w:r>
        <w:rPr>
          <w:rFonts w:hint="eastAsia"/>
          <w:color w:val="auto"/>
          <w:sz w:val="21"/>
          <w:szCs w:val="21"/>
          <w:highlight w:val="none"/>
          <w:lang w:val="en-US" w:eastAsia="zh-CN"/>
        </w:rPr>
        <w:t>如有</w:t>
      </w:r>
      <w:r>
        <w:rPr>
          <w:rFonts w:hint="eastAsia"/>
          <w:color w:val="auto"/>
          <w:sz w:val="21"/>
          <w:szCs w:val="21"/>
          <w:highlight w:val="none"/>
          <w:lang w:eastAsia="zh-CN"/>
        </w:rPr>
        <w:t>）</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rPr>
        <w:t>残疾人福利性单位声明函（如有）；</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5）</w:t>
      </w:r>
      <w:r>
        <w:rPr>
          <w:rFonts w:hint="eastAsia"/>
          <w:color w:val="auto"/>
          <w:sz w:val="21"/>
          <w:szCs w:val="21"/>
          <w:highlight w:val="none"/>
        </w:rPr>
        <w:t>其他投标人认为有必要提供的资料，如投标分项报价表等。</w:t>
      </w:r>
    </w:p>
    <w:p>
      <w:pPr>
        <w:spacing w:line="500" w:lineRule="exact"/>
        <w:rPr>
          <w:rFonts w:hint="eastAsia"/>
          <w:b/>
          <w:bCs/>
          <w:color w:val="auto"/>
          <w:sz w:val="21"/>
          <w:szCs w:val="21"/>
          <w:highlight w:val="none"/>
        </w:rPr>
      </w:pPr>
      <w:r>
        <w:rPr>
          <w:rFonts w:hint="eastAsia"/>
          <w:b/>
          <w:bCs/>
          <w:color w:val="auto"/>
          <w:sz w:val="21"/>
          <w:szCs w:val="21"/>
          <w:highlight w:val="none"/>
        </w:rPr>
        <w:t>技术商务标：</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rPr>
        <w:t>（1）投标声明书；</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rPr>
        <w:t>法定代表人证明或法定代表人授权委托书；</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rPr>
        <w:t>法定代表人或受托人身份证复印件；</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rPr>
        <w:t>投标人资质证书（如有）；</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5）技术规格偏离表；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default"/>
          <w:color w:val="auto"/>
          <w:sz w:val="21"/>
          <w:szCs w:val="21"/>
          <w:highlight w:val="none"/>
          <w:lang w:val="en-US" w:eastAsia="zh-CN"/>
        </w:rPr>
      </w:pPr>
      <w:r>
        <w:rPr>
          <w:rFonts w:hint="eastAsia"/>
          <w:color w:val="auto"/>
          <w:sz w:val="21"/>
          <w:szCs w:val="21"/>
          <w:highlight w:val="none"/>
          <w:lang w:val="en-US" w:eastAsia="zh-CN"/>
        </w:rPr>
        <w:t>（6）商务偏离表；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val="en-US" w:eastAsia="zh-CN"/>
        </w:rPr>
        <w:t>（7）类似项目业绩（投标人同类项目中标通知书、合同原件扫描件等）；</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8）针对本项目的实施方案（如：项目分析与理解</w:t>
      </w:r>
      <w:r>
        <w:rPr>
          <w:rFonts w:hint="eastAsia"/>
          <w:color w:val="auto"/>
          <w:sz w:val="21"/>
          <w:szCs w:val="21"/>
          <w:highlight w:val="none"/>
        </w:rPr>
        <w:t>、</w:t>
      </w:r>
      <w:r>
        <w:rPr>
          <w:rFonts w:hint="eastAsia"/>
          <w:color w:val="auto"/>
          <w:sz w:val="21"/>
          <w:szCs w:val="21"/>
          <w:highlight w:val="none"/>
          <w:lang w:val="en-US" w:eastAsia="zh-CN"/>
        </w:rPr>
        <w:t>设计方案</w:t>
      </w:r>
      <w:r>
        <w:rPr>
          <w:rFonts w:hint="eastAsia"/>
          <w:color w:val="auto"/>
          <w:sz w:val="21"/>
          <w:szCs w:val="21"/>
          <w:highlight w:val="none"/>
        </w:rPr>
        <w:t>、</w:t>
      </w:r>
      <w:r>
        <w:rPr>
          <w:rFonts w:hint="eastAsia"/>
          <w:color w:val="auto"/>
          <w:sz w:val="21"/>
          <w:szCs w:val="21"/>
          <w:highlight w:val="none"/>
          <w:lang w:val="en-US" w:eastAsia="zh-CN"/>
        </w:rPr>
        <w:t>实施方案</w:t>
      </w:r>
      <w:r>
        <w:rPr>
          <w:rFonts w:hint="eastAsia"/>
          <w:color w:val="auto"/>
          <w:sz w:val="21"/>
          <w:szCs w:val="21"/>
          <w:highlight w:val="none"/>
        </w:rPr>
        <w:t>和</w:t>
      </w:r>
      <w:r>
        <w:rPr>
          <w:rFonts w:hint="eastAsia"/>
          <w:color w:val="auto"/>
          <w:sz w:val="21"/>
          <w:szCs w:val="21"/>
          <w:highlight w:val="none"/>
          <w:lang w:val="en-US" w:eastAsia="zh-CN"/>
        </w:rPr>
        <w:t>进度计划</w:t>
      </w:r>
      <w:r>
        <w:rPr>
          <w:rFonts w:hint="eastAsia"/>
          <w:color w:val="auto"/>
          <w:sz w:val="21"/>
          <w:szCs w:val="21"/>
          <w:highlight w:val="none"/>
        </w:rPr>
        <w:t>、</w:t>
      </w:r>
      <w:r>
        <w:rPr>
          <w:rFonts w:hint="eastAsia"/>
          <w:color w:val="auto"/>
          <w:sz w:val="21"/>
          <w:szCs w:val="21"/>
          <w:highlight w:val="none"/>
          <w:lang w:val="en-US" w:eastAsia="zh-CN"/>
        </w:rPr>
        <w:t>培训方案</w:t>
      </w:r>
      <w:r>
        <w:rPr>
          <w:rFonts w:hint="eastAsia"/>
          <w:color w:val="auto"/>
          <w:sz w:val="21"/>
          <w:szCs w:val="21"/>
          <w:highlight w:val="none"/>
        </w:rPr>
        <w:t>等内容</w:t>
      </w:r>
      <w:r>
        <w:rPr>
          <w:rFonts w:hint="eastAsia"/>
          <w:color w:val="auto"/>
          <w:sz w:val="21"/>
          <w:szCs w:val="21"/>
          <w:highlight w:val="none"/>
          <w:lang w:eastAsia="zh-CN"/>
        </w:rPr>
        <w:t>）</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9）售后</w:t>
      </w:r>
      <w:r>
        <w:rPr>
          <w:rFonts w:hint="eastAsia"/>
          <w:color w:val="auto"/>
          <w:sz w:val="21"/>
          <w:szCs w:val="21"/>
          <w:highlight w:val="none"/>
        </w:rPr>
        <w:t>服务承诺</w:t>
      </w:r>
      <w:r>
        <w:rPr>
          <w:rFonts w:hint="eastAsia"/>
          <w:color w:val="auto"/>
          <w:sz w:val="21"/>
          <w:szCs w:val="21"/>
          <w:highlight w:val="none"/>
          <w:lang w:val="en-US" w:eastAsia="zh-CN"/>
        </w:rPr>
        <w:t>书</w:t>
      </w:r>
      <w:r>
        <w:rPr>
          <w:rFonts w:hint="eastAsia"/>
          <w:color w:val="auto"/>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10）投标人基本情况表；</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outlineLvl w:val="1"/>
        <w:rPr>
          <w:rFonts w:hint="eastAsia"/>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11）拟投入本项目的人员配备表及相关证书（扫描件）；</w:t>
      </w:r>
    </w:p>
    <w:p>
      <w:pPr>
        <w:spacing w:line="480" w:lineRule="auto"/>
        <w:ind w:firstLine="420"/>
        <w:rPr>
          <w:rFonts w:hint="eastAsia"/>
          <w:b/>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12）</w:t>
      </w:r>
      <w:r>
        <w:rPr>
          <w:rFonts w:hint="eastAsia"/>
          <w:color w:val="auto"/>
          <w:sz w:val="21"/>
          <w:szCs w:val="21"/>
          <w:highlight w:val="none"/>
        </w:rPr>
        <w:t>投标人认为需要说明的其他资料。</w:t>
      </w:r>
      <w:r>
        <w:rPr>
          <w:rFonts w:hint="eastAsia"/>
          <w:b/>
          <w:color w:val="auto"/>
          <w:sz w:val="21"/>
          <w:szCs w:val="21"/>
          <w:highlight w:val="none"/>
        </w:rPr>
        <w:t xml:space="preserve">    </w:t>
      </w:r>
    </w:p>
    <w:p>
      <w:pPr>
        <w:spacing w:line="480" w:lineRule="auto"/>
        <w:ind w:firstLine="420"/>
        <w:rPr>
          <w:rFonts w:ascii="宋体" w:hAnsi="宋体"/>
          <w:b/>
          <w:color w:val="auto"/>
          <w:sz w:val="21"/>
          <w:szCs w:val="21"/>
          <w:highlight w:val="none"/>
        </w:rPr>
      </w:pPr>
      <w:r>
        <w:rPr>
          <w:rFonts w:hint="eastAsia"/>
          <w:b/>
          <w:color w:val="auto"/>
          <w:sz w:val="21"/>
          <w:szCs w:val="21"/>
          <w:highlight w:val="none"/>
        </w:rPr>
        <w:t>说明：</w:t>
      </w:r>
      <w:r>
        <w:rPr>
          <w:rFonts w:hint="eastAsia" w:ascii="宋体" w:hAnsi="宋体"/>
          <w:b/>
          <w:color w:val="auto"/>
          <w:sz w:val="21"/>
          <w:szCs w:val="21"/>
          <w:highlight w:val="none"/>
        </w:rPr>
        <w:t>1、</w:t>
      </w:r>
      <w:r>
        <w:rPr>
          <w:rFonts w:ascii="宋体" w:hAnsi="宋体"/>
          <w:b/>
          <w:color w:val="auto"/>
          <w:sz w:val="21"/>
          <w:szCs w:val="21"/>
          <w:highlight w:val="none"/>
        </w:rPr>
        <w:t>具体的投标文件组成见第四章投标须知</w:t>
      </w:r>
      <w:r>
        <w:rPr>
          <w:rFonts w:hint="eastAsia" w:ascii="宋体" w:hAnsi="宋体"/>
          <w:b/>
          <w:color w:val="auto"/>
          <w:sz w:val="21"/>
          <w:szCs w:val="21"/>
          <w:highlight w:val="none"/>
        </w:rPr>
        <w:t>及第六章评标细则的要求。</w:t>
      </w:r>
    </w:p>
    <w:p>
      <w:pPr>
        <w:spacing w:line="480" w:lineRule="auto"/>
        <w:rPr>
          <w:rFonts w:hint="eastAsia"/>
          <w:color w:val="auto"/>
          <w:highlight w:val="none"/>
        </w:rPr>
      </w:pPr>
      <w:r>
        <w:rPr>
          <w:rFonts w:hint="eastAsia" w:ascii="宋体" w:hAnsi="宋体"/>
          <w:b/>
          <w:color w:val="auto"/>
          <w:sz w:val="21"/>
          <w:szCs w:val="21"/>
          <w:highlight w:val="none"/>
        </w:rPr>
        <w:t xml:space="preserve"> </w:t>
      </w:r>
      <w:r>
        <w:rPr>
          <w:rFonts w:hint="eastAsia" w:ascii="宋体" w:hAnsi="宋体"/>
          <w:b/>
          <w:color w:val="auto"/>
          <w:sz w:val="21"/>
          <w:szCs w:val="21"/>
          <w:highlight w:val="none"/>
          <w:lang w:val="en-US" w:eastAsia="zh-CN"/>
        </w:rPr>
        <w:t xml:space="preserve">             </w:t>
      </w:r>
      <w:r>
        <w:rPr>
          <w:rFonts w:hint="eastAsia" w:ascii="宋体" w:hAnsi="宋体"/>
          <w:b/>
          <w:color w:val="auto"/>
          <w:sz w:val="21"/>
          <w:szCs w:val="21"/>
          <w:highlight w:val="none"/>
        </w:rPr>
        <w:t>2、未提供的表格各投标单位可自行制作。</w:t>
      </w:r>
    </w:p>
    <w:p>
      <w:pPr>
        <w:pStyle w:val="5"/>
        <w:spacing w:after="120"/>
        <w:jc w:val="center"/>
        <w:rPr>
          <w:rFonts w:hint="eastAsia" w:ascii="宋体" w:hAnsi="宋体" w:eastAsia="宋体"/>
          <w:color w:val="auto"/>
          <w:sz w:val="30"/>
          <w:szCs w:val="30"/>
          <w:highlight w:val="none"/>
        </w:rPr>
      </w:pPr>
      <w:r>
        <w:rPr>
          <w:rFonts w:hint="eastAsia" w:ascii="宋体" w:hAnsi="宋体" w:eastAsia="宋体"/>
          <w:color w:val="auto"/>
          <w:sz w:val="30"/>
          <w:szCs w:val="30"/>
          <w:highlight w:val="none"/>
        </w:rPr>
        <w:t>投  标  函</w:t>
      </w:r>
    </w:p>
    <w:p>
      <w:pPr>
        <w:spacing w:line="440" w:lineRule="exact"/>
        <w:rPr>
          <w:rFonts w:hint="eastAsia" w:eastAsia="宋体"/>
          <w:color w:val="auto"/>
          <w:sz w:val="21"/>
          <w:szCs w:val="21"/>
          <w:highlight w:val="none"/>
          <w:lang w:eastAsia="zh-CN"/>
        </w:rPr>
      </w:pPr>
      <w:r>
        <w:rPr>
          <w:rFonts w:hint="eastAsia"/>
          <w:color w:val="auto"/>
          <w:sz w:val="21"/>
          <w:szCs w:val="21"/>
          <w:highlight w:val="none"/>
        </w:rPr>
        <w:t>致：</w:t>
      </w:r>
      <w:r>
        <w:rPr>
          <w:rFonts w:hint="eastAsia"/>
          <w:color w:val="auto"/>
          <w:sz w:val="21"/>
          <w:szCs w:val="21"/>
          <w:highlight w:val="none"/>
          <w:lang w:eastAsia="zh-CN"/>
        </w:rPr>
        <w:t xml:space="preserve"> 浙江省兰溪经济开发区管理委员会</w:t>
      </w:r>
    </w:p>
    <w:p>
      <w:pPr>
        <w:pStyle w:val="14"/>
        <w:spacing w:before="120" w:beforeLines="0" w:after="120" w:afterLines="0" w:line="440" w:lineRule="exact"/>
        <w:rPr>
          <w:rFonts w:hint="eastAsia" w:hAnsi="宋体"/>
          <w:color w:val="auto"/>
          <w:sz w:val="21"/>
          <w:szCs w:val="21"/>
          <w:highlight w:val="none"/>
        </w:rPr>
      </w:pPr>
      <w:r>
        <w:rPr>
          <w:rFonts w:hint="eastAsia" w:hAnsi="宋体"/>
          <w:color w:val="auto"/>
          <w:sz w:val="21"/>
          <w:szCs w:val="21"/>
          <w:highlight w:val="none"/>
        </w:rPr>
        <w:t xml:space="preserve">    _________________________（投标人全称）授权_________________（全名、职务）为全权代表参加贵方组织的_________________________（招标项目名称、采购编号）招标的有关活动。为此提交下述文件。</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1、技术商务投标书；</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2、价格投标书；</w:t>
      </w:r>
    </w:p>
    <w:p>
      <w:pPr>
        <w:spacing w:line="440" w:lineRule="exact"/>
        <w:ind w:firstLine="420" w:firstLineChars="200"/>
        <w:jc w:val="left"/>
        <w:rPr>
          <w:rFonts w:hint="eastAsia" w:eastAsia="宋体"/>
          <w:color w:val="auto"/>
          <w:sz w:val="21"/>
          <w:szCs w:val="21"/>
          <w:highlight w:val="none"/>
          <w:lang w:eastAsia="zh-CN"/>
        </w:rPr>
      </w:pPr>
      <w:r>
        <w:rPr>
          <w:rFonts w:hint="eastAsia"/>
          <w:color w:val="auto"/>
          <w:sz w:val="21"/>
          <w:szCs w:val="21"/>
          <w:highlight w:val="none"/>
        </w:rPr>
        <w:t>3、资</w:t>
      </w:r>
      <w:r>
        <w:rPr>
          <w:rFonts w:hint="eastAsia"/>
          <w:color w:val="auto"/>
          <w:sz w:val="21"/>
          <w:szCs w:val="21"/>
          <w:highlight w:val="none"/>
          <w:lang w:val="en-US" w:eastAsia="zh-CN"/>
        </w:rPr>
        <w:t>格</w:t>
      </w:r>
      <w:r>
        <w:rPr>
          <w:rFonts w:hint="eastAsia"/>
          <w:color w:val="auto"/>
          <w:sz w:val="21"/>
          <w:szCs w:val="21"/>
          <w:highlight w:val="none"/>
        </w:rPr>
        <w:t>证明</w:t>
      </w:r>
      <w:r>
        <w:rPr>
          <w:rFonts w:hint="eastAsia"/>
          <w:color w:val="auto"/>
          <w:sz w:val="21"/>
          <w:szCs w:val="21"/>
          <w:highlight w:val="none"/>
          <w:lang w:val="en-US" w:eastAsia="zh-CN"/>
        </w:rPr>
        <w:t>文件</w:t>
      </w:r>
      <w:r>
        <w:rPr>
          <w:rFonts w:hint="eastAsia"/>
          <w:color w:val="auto"/>
          <w:sz w:val="21"/>
          <w:szCs w:val="21"/>
          <w:highlight w:val="none"/>
          <w:lang w:eastAsia="zh-CN"/>
        </w:rPr>
        <w:t>；</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4、其他：</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5、代表宣布同意如下：</w:t>
      </w:r>
    </w:p>
    <w:p>
      <w:pPr>
        <w:wordWrap w:val="0"/>
        <w:spacing w:line="440" w:lineRule="exact"/>
        <w:ind w:firstLine="420" w:firstLineChars="200"/>
        <w:jc w:val="left"/>
        <w:rPr>
          <w:rFonts w:hint="eastAsia"/>
          <w:color w:val="auto"/>
          <w:sz w:val="21"/>
          <w:szCs w:val="21"/>
          <w:highlight w:val="none"/>
        </w:rPr>
      </w:pPr>
      <w:r>
        <w:rPr>
          <w:rFonts w:hint="eastAsia"/>
          <w:color w:val="auto"/>
          <w:sz w:val="21"/>
          <w:szCs w:val="21"/>
          <w:highlight w:val="none"/>
        </w:rPr>
        <w:t>1）所附开标一览表中规定的应提供和支付的服务投标报价为人民币(大写)________________元（￥_________元）。</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2)投标人已详细审查全部采购文件，我们完全理解并同意放弃对这方面有不明及误解的权利。</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3）投标人将按采购文件规定履行合同责任和义务。</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4)其投标自开标之日起有效期</w:t>
      </w:r>
      <w:r>
        <w:rPr>
          <w:rFonts w:hint="eastAsia"/>
          <w:color w:val="auto"/>
          <w:sz w:val="21"/>
          <w:szCs w:val="21"/>
          <w:highlight w:val="none"/>
          <w:u w:val="single"/>
        </w:rPr>
        <w:t>90</w:t>
      </w:r>
      <w:r>
        <w:rPr>
          <w:rFonts w:hint="eastAsia"/>
          <w:color w:val="auto"/>
          <w:sz w:val="21"/>
          <w:szCs w:val="21"/>
          <w:highlight w:val="none"/>
        </w:rPr>
        <w:t>个工作日。</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5)投标人同意提供按照贵方可能要求的与其投标有关的一切数据或资料，理解贵方不一定要接受最低价的投标或收到的任何投标。</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6)与本投标有关的一切正式往来通讯请寄：</w:t>
      </w:r>
    </w:p>
    <w:p>
      <w:pPr>
        <w:spacing w:line="440" w:lineRule="exact"/>
        <w:ind w:firstLine="420" w:firstLineChars="200"/>
        <w:jc w:val="left"/>
        <w:rPr>
          <w:rFonts w:hint="eastAsia"/>
          <w:color w:val="auto"/>
          <w:sz w:val="21"/>
          <w:szCs w:val="21"/>
          <w:highlight w:val="none"/>
        </w:rPr>
      </w:pP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 xml:space="preserve">       地址：______________________邮编：______________________                </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 xml:space="preserve">       电话：______________________传真：______________________                </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 xml:space="preserve">       投标人： ___________________________ (公章)</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 xml:space="preserve">       投标人法定代表人姓名、职务： ______________________</w:t>
      </w:r>
    </w:p>
    <w:p>
      <w:pPr>
        <w:spacing w:line="440" w:lineRule="exact"/>
        <w:ind w:firstLine="420" w:firstLineChars="200"/>
        <w:jc w:val="left"/>
        <w:rPr>
          <w:rFonts w:hint="eastAsia"/>
          <w:color w:val="auto"/>
          <w:sz w:val="21"/>
          <w:szCs w:val="21"/>
          <w:highlight w:val="none"/>
        </w:rPr>
      </w:pPr>
      <w:r>
        <w:rPr>
          <w:rFonts w:hint="eastAsia"/>
          <w:color w:val="auto"/>
          <w:sz w:val="21"/>
          <w:szCs w:val="21"/>
          <w:highlight w:val="none"/>
        </w:rPr>
        <w:t xml:space="preserve">       委托代理人（签字）： ____________________</w:t>
      </w:r>
    </w:p>
    <w:p>
      <w:pPr>
        <w:spacing w:line="440" w:lineRule="exact"/>
        <w:ind w:firstLine="1050" w:firstLineChars="500"/>
        <w:jc w:val="left"/>
        <w:rPr>
          <w:rFonts w:hint="eastAsia"/>
          <w:color w:val="auto"/>
          <w:highlight w:val="none"/>
        </w:rPr>
      </w:pPr>
      <w:r>
        <w:rPr>
          <w:rFonts w:hint="eastAsia"/>
          <w:color w:val="auto"/>
          <w:sz w:val="21"/>
          <w:szCs w:val="21"/>
          <w:highlight w:val="none"/>
        </w:rPr>
        <w:t xml:space="preserve"> 投标日期：_________年______月_____日</w:t>
      </w: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14"/>
        <w:spacing w:before="120" w:beforeLines="0" w:after="120" w:afterLines="0"/>
        <w:jc w:val="center"/>
        <w:rPr>
          <w:rFonts w:ascii="Times New Roman" w:hAnsi="Times New Roman"/>
          <w:b/>
          <w:bCs/>
          <w:color w:val="auto"/>
          <w:sz w:val="32"/>
          <w:szCs w:val="32"/>
          <w:highlight w:val="none"/>
        </w:rPr>
      </w:pPr>
      <w:r>
        <w:rPr>
          <w:rFonts w:ascii="Times New Roman" w:hAnsi="Times New Roman"/>
          <w:b/>
          <w:bCs/>
          <w:color w:val="auto"/>
          <w:sz w:val="32"/>
          <w:szCs w:val="32"/>
          <w:highlight w:val="none"/>
        </w:rPr>
        <w:t>开标一览表</w:t>
      </w:r>
    </w:p>
    <w:tbl>
      <w:tblPr>
        <w:tblStyle w:val="22"/>
        <w:tblW w:w="103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05"/>
        <w:gridCol w:w="4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5905" w:type="dxa"/>
            <w:noWrap w:val="0"/>
            <w:vAlign w:val="center"/>
          </w:tcPr>
          <w:p>
            <w:pPr>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项目名称</w:t>
            </w:r>
          </w:p>
        </w:tc>
        <w:tc>
          <w:tcPr>
            <w:tcW w:w="4464" w:type="dxa"/>
            <w:noWrap w:val="0"/>
            <w:vAlign w:val="center"/>
          </w:tcPr>
          <w:p>
            <w:pPr>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投标报价（人民币：元）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5905" w:type="dxa"/>
            <w:noWrap w:val="0"/>
            <w:vAlign w:val="center"/>
          </w:tcPr>
          <w:p>
            <w:pPr>
              <w:spacing w:line="360" w:lineRule="auto"/>
              <w:rPr>
                <w:rFonts w:hint="eastAsia" w:ascii="宋体" w:hAnsi="宋体"/>
                <w:color w:val="auto"/>
                <w:sz w:val="21"/>
                <w:szCs w:val="21"/>
                <w:highlight w:val="none"/>
              </w:rPr>
            </w:pPr>
            <w:r>
              <w:rPr>
                <w:rFonts w:hint="eastAsia" w:ascii="宋体" w:hAnsi="宋体" w:cs="宋体"/>
                <w:bCs/>
                <w:color w:val="000000" w:themeColor="text1"/>
                <w:sz w:val="21"/>
                <w:szCs w:val="21"/>
                <w:highlight w:val="none"/>
                <w:lang w:eastAsia="zh-CN"/>
                <w14:textFill>
                  <w14:solidFill>
                    <w14:schemeClr w14:val="tx1"/>
                  </w14:solidFill>
                </w14:textFill>
              </w:rPr>
              <w:t>兰溪经济开发区化工园区一体化智慧管控系统采购项目</w:t>
            </w:r>
          </w:p>
        </w:tc>
        <w:tc>
          <w:tcPr>
            <w:tcW w:w="4464" w:type="dxa"/>
            <w:noWrap w:val="0"/>
            <w:vAlign w:val="center"/>
          </w:tcPr>
          <w:p>
            <w:pPr>
              <w:spacing w:line="360" w:lineRule="auto"/>
              <w:rPr>
                <w:rFonts w:hint="eastAsia" w:ascii="宋体" w:hAnsi="宋体"/>
                <w:color w:val="auto"/>
                <w:sz w:val="21"/>
                <w:szCs w:val="21"/>
                <w:highlight w:val="none"/>
              </w:rPr>
            </w:pPr>
            <w:r>
              <w:rPr>
                <w:rFonts w:hint="eastAsia" w:ascii="宋体" w:hAnsi="宋体"/>
                <w:color w:val="auto"/>
                <w:sz w:val="21"/>
                <w:szCs w:val="21"/>
                <w:highlight w:val="none"/>
              </w:rPr>
              <w:t>合计：___________________________</w:t>
            </w:r>
          </w:p>
          <w:p>
            <w:pPr>
              <w:spacing w:line="360" w:lineRule="auto"/>
              <w:rPr>
                <w:rFonts w:hint="eastAsia" w:ascii="宋体" w:hAnsi="宋体"/>
                <w:color w:val="auto"/>
                <w:sz w:val="21"/>
                <w:szCs w:val="21"/>
                <w:highlight w:val="none"/>
              </w:rPr>
            </w:pPr>
            <w:r>
              <w:rPr>
                <w:rFonts w:hint="eastAsia" w:ascii="宋体" w:hAnsi="宋体"/>
                <w:color w:val="auto"/>
                <w:sz w:val="21"/>
                <w:szCs w:val="21"/>
                <w:highlight w:val="none"/>
              </w:rPr>
              <w:t>(大写)___________________________</w:t>
            </w:r>
          </w:p>
        </w:tc>
      </w:tr>
    </w:tbl>
    <w:p>
      <w:pPr>
        <w:spacing w:line="360" w:lineRule="auto"/>
        <w:rPr>
          <w:color w:val="auto"/>
          <w:sz w:val="21"/>
          <w:szCs w:val="21"/>
          <w:highlight w:val="none"/>
        </w:rPr>
      </w:pPr>
    </w:p>
    <w:p>
      <w:pPr>
        <w:spacing w:line="360" w:lineRule="auto"/>
        <w:rPr>
          <w:color w:val="auto"/>
          <w:sz w:val="21"/>
          <w:szCs w:val="21"/>
          <w:highlight w:val="none"/>
        </w:rPr>
      </w:pPr>
      <w:r>
        <w:rPr>
          <w:color w:val="auto"/>
          <w:sz w:val="21"/>
          <w:szCs w:val="21"/>
          <w:highlight w:val="none"/>
        </w:rPr>
        <w:t xml:space="preserve">投标人名称（盖章）：____________________________  </w:t>
      </w:r>
      <w:r>
        <w:rPr>
          <w:rFonts w:hint="eastAsia"/>
          <w:color w:val="auto"/>
          <w:sz w:val="21"/>
          <w:szCs w:val="21"/>
          <w:highlight w:val="none"/>
        </w:rPr>
        <w:t xml:space="preserve">  </w:t>
      </w:r>
      <w:r>
        <w:rPr>
          <w:color w:val="auto"/>
          <w:sz w:val="21"/>
          <w:szCs w:val="21"/>
          <w:highlight w:val="none"/>
        </w:rPr>
        <w:t>日  期</w:t>
      </w:r>
      <w:r>
        <w:rPr>
          <w:rFonts w:hint="eastAsia"/>
          <w:color w:val="auto"/>
          <w:sz w:val="21"/>
          <w:szCs w:val="21"/>
          <w:highlight w:val="none"/>
        </w:rPr>
        <w:t>：</w:t>
      </w:r>
      <w:r>
        <w:rPr>
          <w:color w:val="auto"/>
          <w:sz w:val="21"/>
          <w:szCs w:val="21"/>
          <w:highlight w:val="none"/>
        </w:rPr>
        <w:t>________________</w:t>
      </w:r>
    </w:p>
    <w:p>
      <w:pPr>
        <w:spacing w:line="360" w:lineRule="auto"/>
        <w:rPr>
          <w:color w:val="auto"/>
          <w:sz w:val="21"/>
          <w:szCs w:val="21"/>
          <w:highlight w:val="none"/>
          <w:u w:val="single"/>
        </w:rPr>
      </w:pPr>
      <w:r>
        <w:rPr>
          <w:color w:val="auto"/>
          <w:sz w:val="21"/>
          <w:szCs w:val="21"/>
          <w:highlight w:val="none"/>
        </w:rPr>
        <w:t>投标人法定代表人（签字</w:t>
      </w:r>
      <w:r>
        <w:rPr>
          <w:rFonts w:hint="eastAsia"/>
          <w:color w:val="auto"/>
          <w:sz w:val="21"/>
          <w:szCs w:val="21"/>
          <w:highlight w:val="none"/>
          <w:lang w:val="en-US" w:eastAsia="zh-CN"/>
        </w:rPr>
        <w:t>或盖章</w:t>
      </w:r>
      <w:r>
        <w:rPr>
          <w:color w:val="auto"/>
          <w:sz w:val="21"/>
          <w:szCs w:val="21"/>
          <w:highlight w:val="none"/>
        </w:rPr>
        <w:t>）：</w:t>
      </w:r>
      <w:r>
        <w:rPr>
          <w:rFonts w:hint="eastAsia"/>
          <w:color w:val="auto"/>
          <w:sz w:val="21"/>
          <w:szCs w:val="21"/>
          <w:highlight w:val="none"/>
          <w:u w:val="single"/>
        </w:rPr>
        <w:t xml:space="preserve">  </w:t>
      </w:r>
      <w:r>
        <w:rPr>
          <w:color w:val="auto"/>
          <w:sz w:val="21"/>
          <w:szCs w:val="21"/>
          <w:highlight w:val="none"/>
          <w:u w:val="single"/>
        </w:rPr>
        <w:t xml:space="preserve">           </w:t>
      </w:r>
      <w:r>
        <w:rPr>
          <w:rFonts w:hint="eastAsia"/>
          <w:color w:val="auto"/>
          <w:sz w:val="21"/>
          <w:szCs w:val="21"/>
          <w:highlight w:val="none"/>
          <w:u w:val="single"/>
        </w:rPr>
        <w:t xml:space="preserve">       </w:t>
      </w:r>
      <w:r>
        <w:rPr>
          <w:color w:val="auto"/>
          <w:sz w:val="21"/>
          <w:szCs w:val="21"/>
          <w:highlight w:val="none"/>
          <w:u w:val="single"/>
        </w:rPr>
        <w:t xml:space="preserve">    </w:t>
      </w:r>
    </w:p>
    <w:p>
      <w:pPr>
        <w:spacing w:line="360" w:lineRule="auto"/>
        <w:rPr>
          <w:color w:val="auto"/>
          <w:sz w:val="21"/>
          <w:szCs w:val="21"/>
          <w:highlight w:val="none"/>
        </w:rPr>
      </w:pPr>
      <w:r>
        <w:rPr>
          <w:rFonts w:hint="eastAsia"/>
          <w:color w:val="auto"/>
          <w:sz w:val="21"/>
          <w:szCs w:val="21"/>
          <w:highlight w:val="none"/>
        </w:rPr>
        <w:t>委托代理</w:t>
      </w:r>
      <w:r>
        <w:rPr>
          <w:color w:val="auto"/>
          <w:sz w:val="21"/>
          <w:szCs w:val="21"/>
          <w:highlight w:val="none"/>
        </w:rPr>
        <w:t>人</w:t>
      </w:r>
      <w:r>
        <w:rPr>
          <w:rFonts w:hint="eastAsia"/>
          <w:color w:val="auto"/>
          <w:sz w:val="21"/>
          <w:szCs w:val="21"/>
          <w:highlight w:val="none"/>
        </w:rPr>
        <w:t>（</w:t>
      </w:r>
      <w:r>
        <w:rPr>
          <w:color w:val="auto"/>
          <w:sz w:val="21"/>
          <w:szCs w:val="21"/>
          <w:highlight w:val="none"/>
        </w:rPr>
        <w:t>签字</w:t>
      </w:r>
      <w:r>
        <w:rPr>
          <w:rFonts w:hint="eastAsia"/>
          <w:color w:val="auto"/>
          <w:sz w:val="21"/>
          <w:szCs w:val="21"/>
          <w:highlight w:val="none"/>
          <w:lang w:val="en-US" w:eastAsia="zh-CN"/>
        </w:rPr>
        <w:t>或盖章</w:t>
      </w:r>
      <w:r>
        <w:rPr>
          <w:rFonts w:hint="eastAsia"/>
          <w:color w:val="auto"/>
          <w:sz w:val="21"/>
          <w:szCs w:val="21"/>
          <w:highlight w:val="none"/>
        </w:rPr>
        <w:t>）</w:t>
      </w:r>
      <w:r>
        <w:rPr>
          <w:color w:val="auto"/>
          <w:sz w:val="21"/>
          <w:szCs w:val="21"/>
          <w:highlight w:val="none"/>
        </w:rPr>
        <w:t>：</w:t>
      </w:r>
      <w:r>
        <w:rPr>
          <w:rFonts w:hint="eastAsia"/>
          <w:color w:val="auto"/>
          <w:sz w:val="21"/>
          <w:szCs w:val="21"/>
          <w:highlight w:val="none"/>
          <w:u w:val="single"/>
        </w:rPr>
        <w:t xml:space="preserve">                             </w:t>
      </w:r>
      <w:r>
        <w:rPr>
          <w:color w:val="auto"/>
          <w:sz w:val="21"/>
          <w:szCs w:val="21"/>
          <w:highlight w:val="none"/>
        </w:rPr>
        <w:t xml:space="preserve">  </w:t>
      </w:r>
      <w:r>
        <w:rPr>
          <w:rFonts w:hint="eastAsia"/>
          <w:color w:val="auto"/>
          <w:sz w:val="21"/>
          <w:szCs w:val="21"/>
          <w:highlight w:val="none"/>
        </w:rPr>
        <w:t xml:space="preserve">  </w:t>
      </w:r>
      <w:r>
        <w:rPr>
          <w:color w:val="auto"/>
          <w:sz w:val="21"/>
          <w:szCs w:val="21"/>
          <w:highlight w:val="none"/>
        </w:rPr>
        <w:t>职  务</w:t>
      </w:r>
      <w:r>
        <w:rPr>
          <w:rFonts w:hint="eastAsia"/>
          <w:color w:val="auto"/>
          <w:sz w:val="21"/>
          <w:szCs w:val="21"/>
          <w:highlight w:val="none"/>
        </w:rPr>
        <w:t>：</w:t>
      </w:r>
      <w:r>
        <w:rPr>
          <w:color w:val="auto"/>
          <w:sz w:val="21"/>
          <w:szCs w:val="21"/>
          <w:highlight w:val="none"/>
        </w:rPr>
        <w:t>____________</w:t>
      </w:r>
    </w:p>
    <w:p>
      <w:pPr>
        <w:spacing w:line="360" w:lineRule="auto"/>
        <w:rPr>
          <w:color w:val="auto"/>
          <w:sz w:val="21"/>
          <w:szCs w:val="21"/>
          <w:highlight w:val="none"/>
        </w:rPr>
      </w:pPr>
    </w:p>
    <w:p>
      <w:pPr>
        <w:spacing w:line="360" w:lineRule="auto"/>
        <w:rPr>
          <w:color w:val="auto"/>
          <w:sz w:val="21"/>
          <w:szCs w:val="21"/>
          <w:highlight w:val="none"/>
        </w:rPr>
      </w:pPr>
      <w:r>
        <w:rPr>
          <w:color w:val="auto"/>
          <w:sz w:val="21"/>
          <w:szCs w:val="21"/>
          <w:highlight w:val="none"/>
        </w:rPr>
        <w:t>备注：</w:t>
      </w:r>
    </w:p>
    <w:p>
      <w:pPr>
        <w:spacing w:line="400" w:lineRule="exact"/>
        <w:rPr>
          <w:color w:val="auto"/>
          <w:sz w:val="21"/>
          <w:szCs w:val="21"/>
          <w:highlight w:val="none"/>
        </w:rPr>
      </w:pPr>
      <w:r>
        <w:rPr>
          <w:color w:val="auto"/>
          <w:sz w:val="21"/>
          <w:szCs w:val="21"/>
          <w:highlight w:val="none"/>
        </w:rPr>
        <w:t xml:space="preserve">   </w:t>
      </w:r>
      <w:r>
        <w:rPr>
          <w:rFonts w:hint="eastAsia"/>
          <w:color w:val="auto"/>
          <w:sz w:val="21"/>
          <w:szCs w:val="21"/>
          <w:highlight w:val="none"/>
        </w:rPr>
        <w:t xml:space="preserve"> </w:t>
      </w:r>
      <w:r>
        <w:rPr>
          <w:color w:val="auto"/>
          <w:sz w:val="21"/>
          <w:szCs w:val="21"/>
          <w:highlight w:val="none"/>
        </w:rPr>
        <w:t>1.</w:t>
      </w:r>
      <w:r>
        <w:rPr>
          <w:rFonts w:hint="eastAsia"/>
          <w:color w:val="auto"/>
          <w:highlight w:val="none"/>
        </w:rPr>
        <w:t xml:space="preserve"> </w:t>
      </w:r>
      <w:r>
        <w:rPr>
          <w:rFonts w:hint="eastAsia"/>
          <w:color w:val="auto"/>
          <w:sz w:val="21"/>
          <w:szCs w:val="21"/>
          <w:highlight w:val="none"/>
        </w:rPr>
        <w:t>整个项目报价须包括本项目所需的一切产品购置费、设备价款必备的附件、运输费、安装调试费、验收、质保期内的维修费和税金（包含须由投标人承担的各种税费</w:t>
      </w:r>
      <w:r>
        <w:rPr>
          <w:rFonts w:hint="eastAsia"/>
          <w:color w:val="auto"/>
          <w:sz w:val="21"/>
          <w:szCs w:val="21"/>
          <w:highlight w:val="none"/>
          <w:lang w:eastAsia="zh-CN"/>
        </w:rPr>
        <w:t>、</w:t>
      </w:r>
      <w:r>
        <w:rPr>
          <w:rFonts w:hint="eastAsia" w:hAnsi="宋体"/>
          <w:b/>
          <w:bCs/>
          <w:color w:val="auto"/>
          <w:sz w:val="21"/>
          <w:szCs w:val="21"/>
          <w:highlight w:val="none"/>
          <w:lang w:val="en-US" w:eastAsia="zh-CN"/>
        </w:rPr>
        <w:t>从企业接进系统平台的接入硬件费用</w:t>
      </w:r>
      <w:r>
        <w:rPr>
          <w:rFonts w:hint="eastAsia"/>
          <w:color w:val="auto"/>
          <w:sz w:val="21"/>
          <w:szCs w:val="21"/>
          <w:highlight w:val="none"/>
        </w:rPr>
        <w:t>）、招标代理费，其它需投标人承担的费用及潜在满足采购人监管要求可能涉及的一切费用。</w:t>
      </w:r>
      <w:r>
        <w:rPr>
          <w:color w:val="auto"/>
          <w:sz w:val="21"/>
          <w:szCs w:val="21"/>
          <w:highlight w:val="none"/>
        </w:rPr>
        <w:br w:type="textWrapping"/>
      </w:r>
      <w:r>
        <w:rPr>
          <w:rFonts w:hint="eastAsia"/>
          <w:color w:val="auto"/>
          <w:sz w:val="21"/>
          <w:szCs w:val="21"/>
          <w:highlight w:val="none"/>
        </w:rPr>
        <w:t xml:space="preserve">    </w:t>
      </w:r>
      <w:r>
        <w:rPr>
          <w:color w:val="auto"/>
          <w:sz w:val="21"/>
          <w:szCs w:val="21"/>
          <w:highlight w:val="none"/>
        </w:rPr>
        <w:t>2、此表在不改变表式的情况下，可自行制作。</w:t>
      </w:r>
    </w:p>
    <w:p>
      <w:pPr>
        <w:spacing w:line="360" w:lineRule="auto"/>
        <w:rPr>
          <w:color w:val="auto"/>
          <w:sz w:val="21"/>
          <w:szCs w:val="21"/>
          <w:highlight w:val="none"/>
        </w:rPr>
      </w:pPr>
      <w:r>
        <w:rPr>
          <w:color w:val="auto"/>
          <w:sz w:val="21"/>
          <w:szCs w:val="21"/>
          <w:highlight w:val="none"/>
        </w:rPr>
        <w:t xml:space="preserve">    </w:t>
      </w:r>
    </w:p>
    <w:p>
      <w:pPr>
        <w:pStyle w:val="14"/>
        <w:spacing w:before="120" w:beforeLines="0" w:after="120" w:afterLines="0"/>
        <w:jc w:val="center"/>
        <w:rPr>
          <w:rFonts w:ascii="Times New Roman" w:hAnsi="Times New Roman"/>
          <w:color w:val="auto"/>
          <w:sz w:val="21"/>
          <w:szCs w:val="21"/>
          <w:highlight w:val="none"/>
        </w:rPr>
      </w:pPr>
    </w:p>
    <w:p>
      <w:pPr>
        <w:pStyle w:val="14"/>
        <w:spacing w:before="120" w:beforeLines="0" w:after="120" w:afterLines="0"/>
        <w:ind w:left="1540" w:hanging="420"/>
        <w:jc w:val="center"/>
        <w:rPr>
          <w:rFonts w:ascii="Times New Roman" w:hAnsi="Times New Roman"/>
          <w:color w:val="auto"/>
          <w:sz w:val="21"/>
          <w:szCs w:val="21"/>
          <w:highlight w:val="none"/>
        </w:rPr>
      </w:pPr>
    </w:p>
    <w:p>
      <w:pPr>
        <w:rPr>
          <w:color w:val="auto"/>
          <w:highlight w:val="none"/>
        </w:rPr>
      </w:pPr>
      <w:r>
        <w:rPr>
          <w:color w:val="auto"/>
          <w:highlight w:val="none"/>
        </w:rPr>
        <w:br w:type="page"/>
      </w:r>
    </w:p>
    <w:p>
      <w:pPr>
        <w:snapToGrid w:val="0"/>
        <w:jc w:val="center"/>
        <w:outlineLvl w:val="2"/>
        <w:rPr>
          <w:rFonts w:ascii="宋体" w:hAnsi="宋体"/>
          <w:b/>
          <w:bCs/>
          <w:color w:val="auto"/>
          <w:kern w:val="0"/>
          <w:sz w:val="30"/>
          <w:szCs w:val="30"/>
          <w:highlight w:val="none"/>
        </w:rPr>
      </w:pPr>
      <w:r>
        <w:rPr>
          <w:color w:val="auto"/>
          <w:highlight w:val="none"/>
        </w:rPr>
        <w:fldChar w:fldCharType="begin"/>
      </w:r>
      <w:r>
        <w:rPr>
          <w:color w:val="auto"/>
          <w:highlight w:val="none"/>
        </w:rPr>
        <w:instrText xml:space="preserve"> HYPERLINK \l "_Toc476230529" </w:instrText>
      </w:r>
      <w:r>
        <w:rPr>
          <w:color w:val="auto"/>
          <w:highlight w:val="none"/>
        </w:rPr>
        <w:fldChar w:fldCharType="separate"/>
      </w:r>
      <w:r>
        <w:rPr>
          <w:rFonts w:hint="eastAsia" w:ascii="宋体" w:hAnsi="宋体" w:cs="宋体"/>
          <w:b/>
          <w:bCs/>
          <w:color w:val="auto"/>
          <w:kern w:val="0"/>
          <w:sz w:val="30"/>
          <w:szCs w:val="30"/>
          <w:highlight w:val="none"/>
        </w:rPr>
        <w:t>中小企业声明函</w:t>
      </w:r>
      <w:r>
        <w:rPr>
          <w:rFonts w:ascii="宋体" w:hAnsi="宋体" w:cs="宋体"/>
          <w:b/>
          <w:bCs/>
          <w:color w:val="auto"/>
          <w:kern w:val="0"/>
          <w:sz w:val="30"/>
          <w:szCs w:val="30"/>
          <w:highlight w:val="none"/>
        </w:rPr>
        <w:fldChar w:fldCharType="end"/>
      </w:r>
      <w:r>
        <w:rPr>
          <w:rFonts w:hint="eastAsia" w:ascii="宋体" w:hAnsi="宋体" w:cs="宋体"/>
          <w:b/>
          <w:bCs/>
          <w:color w:val="auto"/>
          <w:kern w:val="0"/>
          <w:sz w:val="30"/>
          <w:szCs w:val="30"/>
          <w:highlight w:val="none"/>
        </w:rPr>
        <w:t>（如有）</w:t>
      </w:r>
    </w:p>
    <w:p>
      <w:pPr>
        <w:snapToGrid w:val="0"/>
        <w:jc w:val="center"/>
        <w:outlineLvl w:val="2"/>
        <w:rPr>
          <w:rFonts w:ascii="宋体" w:hAnsi="宋体"/>
          <w:b/>
          <w:bCs/>
          <w:color w:val="auto"/>
          <w:kern w:val="0"/>
          <w:sz w:val="30"/>
          <w:szCs w:val="30"/>
          <w:highlight w:val="none"/>
        </w:rPr>
      </w:pPr>
    </w:p>
    <w:p>
      <w:pPr>
        <w:widowControl/>
        <w:spacing w:line="440"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本公司郑重声明，根据《政府采购促进中小企业发展暂行办法》（财库[2011]181号）的规定，本公司为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 xml:space="preserve">  （请填写：中型、小型、微型）企业。即，本公司同时满足以下条件：</w:t>
      </w:r>
    </w:p>
    <w:p>
      <w:pPr>
        <w:widowControl/>
        <w:spacing w:line="440" w:lineRule="exact"/>
        <w:ind w:firstLine="420" w:firstLineChars="200"/>
        <w:jc w:val="left"/>
        <w:rPr>
          <w:rFonts w:ascii="宋体" w:hAnsi="宋体"/>
          <w:color w:val="auto"/>
          <w:kern w:val="0"/>
          <w:sz w:val="21"/>
          <w:szCs w:val="21"/>
          <w:highlight w:val="none"/>
        </w:rPr>
      </w:pPr>
      <w:r>
        <w:rPr>
          <w:rFonts w:ascii="宋体" w:hAnsi="宋体"/>
          <w:color w:val="auto"/>
          <w:kern w:val="0"/>
          <w:sz w:val="21"/>
          <w:szCs w:val="21"/>
          <w:highlight w:val="none"/>
        </w:rPr>
        <w:t>1.根据《工业和信息化部、国家统计局、国家发展和改革委员会、财政部关于印发中小企业划型标准规定的通知》（工信部联企业[2011]300号）规定的划分标准</w:t>
      </w:r>
      <w:r>
        <w:rPr>
          <w:rFonts w:hint="eastAsia" w:ascii="宋体" w:hAnsi="宋体"/>
          <w:color w:val="auto"/>
          <w:kern w:val="0"/>
          <w:sz w:val="21"/>
          <w:szCs w:val="21"/>
          <w:highlight w:val="none"/>
        </w:rPr>
        <w:t>，</w:t>
      </w:r>
      <w:r>
        <w:rPr>
          <w:rFonts w:ascii="宋体" w:hAnsi="宋体"/>
          <w:color w:val="auto"/>
          <w:kern w:val="0"/>
          <w:sz w:val="21"/>
          <w:szCs w:val="21"/>
          <w:highlight w:val="none"/>
        </w:rPr>
        <w:t>本公司为</w:t>
      </w:r>
      <w:r>
        <w:rPr>
          <w:rFonts w:ascii="宋体" w:hAnsi="宋体"/>
          <w:color w:val="auto"/>
          <w:kern w:val="0"/>
          <w:sz w:val="21"/>
          <w:szCs w:val="21"/>
          <w:highlight w:val="none"/>
          <w:u w:val="single"/>
        </w:rPr>
        <w:t xml:space="preserve">                </w:t>
      </w:r>
      <w:r>
        <w:rPr>
          <w:rFonts w:ascii="宋体" w:hAnsi="宋体"/>
          <w:color w:val="auto"/>
          <w:kern w:val="0"/>
          <w:sz w:val="21"/>
          <w:szCs w:val="21"/>
          <w:highlight w:val="none"/>
        </w:rPr>
        <w:t>（请填写：中型、小型、微型）企业。</w:t>
      </w:r>
    </w:p>
    <w:p>
      <w:pPr>
        <w:pStyle w:val="14"/>
        <w:spacing w:line="400" w:lineRule="exact"/>
        <w:ind w:firstLine="420" w:firstLineChars="200"/>
        <w:rPr>
          <w:rFonts w:hAnsi="宋体"/>
          <w:color w:val="auto"/>
          <w:sz w:val="21"/>
          <w:szCs w:val="21"/>
          <w:highlight w:val="none"/>
          <w:lang w:val="en-GB"/>
        </w:rPr>
      </w:pPr>
      <w:r>
        <w:rPr>
          <w:rFonts w:hAnsi="宋体"/>
          <w:color w:val="auto"/>
          <w:kern w:val="0"/>
          <w:sz w:val="21"/>
          <w:szCs w:val="21"/>
          <w:highlight w:val="none"/>
        </w:rPr>
        <w:t>2.本公司参加</w:t>
      </w:r>
      <w:r>
        <w:rPr>
          <w:rFonts w:hAnsi="宋体"/>
          <w:color w:val="auto"/>
          <w:kern w:val="0"/>
          <w:sz w:val="21"/>
          <w:szCs w:val="21"/>
          <w:highlight w:val="none"/>
          <w:u w:val="single"/>
        </w:rPr>
        <w:t xml:space="preserve">               </w:t>
      </w:r>
      <w:r>
        <w:rPr>
          <w:rFonts w:hAnsi="宋体"/>
          <w:color w:val="auto"/>
          <w:kern w:val="0"/>
          <w:sz w:val="21"/>
          <w:szCs w:val="21"/>
          <w:highlight w:val="none"/>
        </w:rPr>
        <w:t>单位的</w:t>
      </w:r>
      <w:r>
        <w:rPr>
          <w:rFonts w:hAnsi="宋体"/>
          <w:color w:val="auto"/>
          <w:kern w:val="0"/>
          <w:sz w:val="21"/>
          <w:szCs w:val="21"/>
          <w:highlight w:val="none"/>
          <w:u w:val="single"/>
        </w:rPr>
        <w:t xml:space="preserve">                     </w:t>
      </w:r>
      <w:r>
        <w:rPr>
          <w:rFonts w:hAnsi="宋体"/>
          <w:color w:val="auto"/>
          <w:kern w:val="0"/>
          <w:sz w:val="21"/>
          <w:szCs w:val="21"/>
          <w:highlight w:val="none"/>
        </w:rPr>
        <w:t>项目采购活动提供本企业制造的货物</w:t>
      </w:r>
      <w:r>
        <w:rPr>
          <w:rFonts w:hint="eastAsia" w:hAnsi="宋体"/>
          <w:color w:val="auto"/>
          <w:kern w:val="0"/>
          <w:sz w:val="21"/>
          <w:szCs w:val="21"/>
          <w:highlight w:val="none"/>
        </w:rPr>
        <w:t>，</w:t>
      </w:r>
      <w:r>
        <w:rPr>
          <w:rFonts w:hAnsi="宋体"/>
          <w:color w:val="auto"/>
          <w:kern w:val="0"/>
          <w:sz w:val="21"/>
          <w:szCs w:val="21"/>
          <w:highlight w:val="none"/>
        </w:rPr>
        <w:t>由本企业承担工程、提供服务</w:t>
      </w:r>
      <w:r>
        <w:rPr>
          <w:rFonts w:hint="eastAsia" w:hAnsi="宋体"/>
          <w:color w:val="auto"/>
          <w:kern w:val="0"/>
          <w:sz w:val="21"/>
          <w:szCs w:val="21"/>
          <w:highlight w:val="none"/>
        </w:rPr>
        <w:t>，</w:t>
      </w:r>
      <w:r>
        <w:rPr>
          <w:rFonts w:hAnsi="宋体"/>
          <w:color w:val="auto"/>
          <w:kern w:val="0"/>
          <w:sz w:val="21"/>
          <w:szCs w:val="21"/>
          <w:highlight w:val="none"/>
        </w:rPr>
        <w:t>或者提供其他</w:t>
      </w:r>
      <w:r>
        <w:rPr>
          <w:rFonts w:hAnsi="宋体"/>
          <w:color w:val="auto"/>
          <w:kern w:val="0"/>
          <w:sz w:val="21"/>
          <w:szCs w:val="21"/>
          <w:highlight w:val="none"/>
          <w:u w:val="single"/>
        </w:rPr>
        <w:t xml:space="preserve">                       </w:t>
      </w:r>
      <w:r>
        <w:rPr>
          <w:rFonts w:hAnsi="宋体"/>
          <w:color w:val="auto"/>
          <w:kern w:val="0"/>
          <w:sz w:val="21"/>
          <w:szCs w:val="21"/>
          <w:highlight w:val="none"/>
        </w:rPr>
        <w:t>（请填写：中型、小型、微型）企业制造的货物。</w:t>
      </w:r>
      <w:r>
        <w:rPr>
          <w:rFonts w:hAnsi="宋体"/>
          <w:color w:val="auto"/>
          <w:sz w:val="21"/>
          <w:szCs w:val="21"/>
          <w:highlight w:val="none"/>
          <w:lang w:val="en-GB"/>
        </w:rPr>
        <w:t>本条所称货物不包括使用大型企业注册商标的货物。</w:t>
      </w:r>
    </w:p>
    <w:p>
      <w:pPr>
        <w:pStyle w:val="14"/>
        <w:spacing w:line="400" w:lineRule="exact"/>
        <w:ind w:firstLine="420" w:firstLineChars="200"/>
        <w:rPr>
          <w:rFonts w:hAnsi="宋体"/>
          <w:color w:val="auto"/>
          <w:kern w:val="0"/>
          <w:sz w:val="21"/>
          <w:szCs w:val="21"/>
          <w:highlight w:val="none"/>
        </w:rPr>
      </w:pPr>
      <w:r>
        <w:rPr>
          <w:rFonts w:hAnsi="宋体"/>
          <w:color w:val="auto"/>
          <w:sz w:val="21"/>
          <w:szCs w:val="21"/>
          <w:highlight w:val="none"/>
          <w:lang w:val="en-GB"/>
        </w:rPr>
        <w:t>本公司对上述声明的真实性负责。如有虚假</w:t>
      </w:r>
      <w:r>
        <w:rPr>
          <w:rFonts w:hint="eastAsia" w:hAnsi="宋体"/>
          <w:color w:val="auto"/>
          <w:sz w:val="21"/>
          <w:szCs w:val="21"/>
          <w:highlight w:val="none"/>
          <w:lang w:val="en-GB"/>
        </w:rPr>
        <w:t>，</w:t>
      </w:r>
      <w:r>
        <w:rPr>
          <w:rFonts w:hAnsi="宋体"/>
          <w:color w:val="auto"/>
          <w:sz w:val="21"/>
          <w:szCs w:val="21"/>
          <w:highlight w:val="none"/>
          <w:lang w:val="en-GB"/>
        </w:rPr>
        <w:t>将依法承担相应责任</w:t>
      </w:r>
      <w:r>
        <w:rPr>
          <w:rFonts w:hAnsi="宋体"/>
          <w:color w:val="auto"/>
          <w:kern w:val="0"/>
          <w:sz w:val="21"/>
          <w:szCs w:val="21"/>
          <w:highlight w:val="none"/>
        </w:rPr>
        <w:t>。</w:t>
      </w:r>
    </w:p>
    <w:p>
      <w:pPr>
        <w:widowControl/>
        <w:spacing w:line="440" w:lineRule="exact"/>
        <w:ind w:firstLine="420" w:firstLineChars="200"/>
        <w:jc w:val="left"/>
        <w:rPr>
          <w:rFonts w:ascii="宋体" w:hAnsi="宋体" w:cs="宋体"/>
          <w:color w:val="auto"/>
          <w:kern w:val="0"/>
          <w:sz w:val="21"/>
          <w:szCs w:val="21"/>
          <w:highlight w:val="none"/>
        </w:rPr>
      </w:pPr>
    </w:p>
    <w:p>
      <w:pPr>
        <w:widowControl/>
        <w:spacing w:line="440" w:lineRule="exact"/>
        <w:ind w:firstLine="420" w:firstLineChars="200"/>
        <w:jc w:val="left"/>
        <w:rPr>
          <w:rFonts w:ascii="宋体" w:hAnsi="宋体" w:cs="宋体"/>
          <w:color w:val="auto"/>
          <w:kern w:val="0"/>
          <w:sz w:val="21"/>
          <w:szCs w:val="21"/>
          <w:highlight w:val="none"/>
        </w:rPr>
      </w:pPr>
    </w:p>
    <w:p>
      <w:pPr>
        <w:widowControl/>
        <w:spacing w:line="440" w:lineRule="exact"/>
        <w:ind w:firstLine="420" w:firstLineChars="200"/>
        <w:jc w:val="left"/>
        <w:rPr>
          <w:rFonts w:ascii="宋体" w:hAnsi="宋体" w:cs="宋体"/>
          <w:color w:val="auto"/>
          <w:kern w:val="0"/>
          <w:sz w:val="21"/>
          <w:szCs w:val="21"/>
          <w:highlight w:val="none"/>
        </w:rPr>
      </w:pPr>
    </w:p>
    <w:p>
      <w:pPr>
        <w:pStyle w:val="14"/>
        <w:spacing w:line="540" w:lineRule="exact"/>
        <w:ind w:firstLine="3570" w:firstLineChars="1700"/>
        <w:rPr>
          <w:rFonts w:hAnsi="宋体" w:cs="宋体"/>
          <w:color w:val="auto"/>
          <w:kern w:val="0"/>
          <w:sz w:val="21"/>
          <w:szCs w:val="21"/>
          <w:highlight w:val="none"/>
        </w:rPr>
      </w:pPr>
      <w:r>
        <w:rPr>
          <w:rFonts w:hint="eastAsia" w:hAnsi="宋体" w:cs="宋体"/>
          <w:color w:val="auto"/>
          <w:kern w:val="0"/>
          <w:sz w:val="21"/>
          <w:szCs w:val="21"/>
          <w:highlight w:val="none"/>
        </w:rPr>
        <w:t xml:space="preserve">投标人名称（公章）：______________________ </w:t>
      </w:r>
    </w:p>
    <w:p>
      <w:pPr>
        <w:pStyle w:val="14"/>
        <w:spacing w:line="540" w:lineRule="exact"/>
        <w:ind w:firstLine="3570" w:firstLineChars="1700"/>
        <w:rPr>
          <w:rFonts w:hAnsi="宋体" w:cs="宋体"/>
          <w:color w:val="auto"/>
          <w:kern w:val="0"/>
          <w:sz w:val="21"/>
          <w:szCs w:val="21"/>
          <w:highlight w:val="none"/>
          <w:u w:val="single"/>
        </w:rPr>
      </w:pPr>
      <w:r>
        <w:rPr>
          <w:rFonts w:hint="eastAsia" w:hAnsi="宋体" w:cs="宋体"/>
          <w:color w:val="auto"/>
          <w:kern w:val="0"/>
          <w:sz w:val="21"/>
          <w:szCs w:val="21"/>
          <w:highlight w:val="none"/>
        </w:rPr>
        <w:t>日 期：___________________________________</w:t>
      </w:r>
    </w:p>
    <w:p>
      <w:pPr>
        <w:snapToGrid w:val="0"/>
        <w:spacing w:line="402" w:lineRule="atLeast"/>
        <w:jc w:val="center"/>
        <w:rPr>
          <w:rFonts w:ascii="宋体" w:hAnsi="宋体"/>
          <w:b/>
          <w:color w:val="auto"/>
          <w:sz w:val="30"/>
          <w:szCs w:val="30"/>
          <w:highlight w:val="none"/>
        </w:rPr>
      </w:pPr>
    </w:p>
    <w:p>
      <w:pPr>
        <w:snapToGrid w:val="0"/>
        <w:spacing w:line="402" w:lineRule="atLeast"/>
        <w:jc w:val="center"/>
        <w:rPr>
          <w:rFonts w:ascii="宋体" w:hAnsi="宋体"/>
          <w:b/>
          <w:color w:val="auto"/>
          <w:sz w:val="30"/>
          <w:szCs w:val="30"/>
          <w:highlight w:val="none"/>
        </w:rPr>
      </w:pPr>
    </w:p>
    <w:p>
      <w:pPr>
        <w:snapToGrid w:val="0"/>
        <w:spacing w:line="402" w:lineRule="atLeast"/>
        <w:jc w:val="center"/>
        <w:rPr>
          <w:rFonts w:ascii="宋体" w:hAnsi="宋体"/>
          <w:b/>
          <w:color w:val="auto"/>
          <w:sz w:val="30"/>
          <w:szCs w:val="30"/>
          <w:highlight w:val="none"/>
        </w:rPr>
      </w:pPr>
    </w:p>
    <w:p>
      <w:pPr>
        <w:snapToGrid w:val="0"/>
        <w:spacing w:line="402" w:lineRule="atLeast"/>
        <w:jc w:val="center"/>
        <w:rPr>
          <w:rFonts w:ascii="宋体" w:hAnsi="宋体"/>
          <w:b/>
          <w:color w:val="auto"/>
          <w:sz w:val="30"/>
          <w:szCs w:val="30"/>
          <w:highlight w:val="none"/>
        </w:rPr>
      </w:pPr>
    </w:p>
    <w:p>
      <w:pPr>
        <w:snapToGrid w:val="0"/>
        <w:spacing w:line="402" w:lineRule="atLeast"/>
        <w:jc w:val="center"/>
        <w:rPr>
          <w:rFonts w:ascii="宋体" w:hAnsi="宋体"/>
          <w:b/>
          <w:color w:val="auto"/>
          <w:sz w:val="30"/>
          <w:szCs w:val="30"/>
          <w:highlight w:val="none"/>
        </w:rPr>
      </w:pPr>
    </w:p>
    <w:p>
      <w:pPr>
        <w:snapToGrid w:val="0"/>
        <w:spacing w:line="402" w:lineRule="atLeast"/>
        <w:jc w:val="center"/>
        <w:rPr>
          <w:rFonts w:ascii="宋体" w:hAnsi="宋体"/>
          <w:b/>
          <w:color w:val="auto"/>
          <w:sz w:val="30"/>
          <w:szCs w:val="30"/>
          <w:highlight w:val="none"/>
        </w:rPr>
      </w:pPr>
    </w:p>
    <w:p>
      <w:pPr>
        <w:snapToGrid w:val="0"/>
        <w:spacing w:line="402" w:lineRule="atLeast"/>
        <w:jc w:val="center"/>
        <w:rPr>
          <w:rFonts w:ascii="宋体" w:hAnsi="宋体"/>
          <w:b/>
          <w:color w:val="auto"/>
          <w:sz w:val="30"/>
          <w:szCs w:val="30"/>
          <w:highlight w:val="none"/>
        </w:rPr>
      </w:pPr>
    </w:p>
    <w:p>
      <w:pPr>
        <w:pStyle w:val="31"/>
        <w:spacing w:line="540" w:lineRule="exact"/>
        <w:ind w:firstLine="0" w:firstLineChars="0"/>
        <w:rPr>
          <w:rFonts w:ascii="宋体" w:eastAsia="宋体"/>
          <w:b/>
          <w:bCs/>
          <w:color w:val="auto"/>
          <w:sz w:val="24"/>
          <w:szCs w:val="24"/>
          <w:highlight w:val="none"/>
        </w:rPr>
      </w:pPr>
      <w:r>
        <w:rPr>
          <w:rFonts w:hint="eastAsia" w:ascii="宋体" w:eastAsia="宋体"/>
          <w:b/>
          <w:bCs/>
          <w:color w:val="auto"/>
          <w:sz w:val="24"/>
          <w:szCs w:val="24"/>
          <w:highlight w:val="none"/>
        </w:rPr>
        <w:t>注：本函为中小企业提供。</w:t>
      </w:r>
    </w:p>
    <w:p>
      <w:pPr>
        <w:pStyle w:val="20"/>
        <w:widowControl w:val="0"/>
        <w:spacing w:before="156" w:beforeLines="50" w:beforeAutospacing="0" w:after="156" w:afterLines="50" w:afterAutospacing="0" w:line="400" w:lineRule="atLeast"/>
        <w:jc w:val="center"/>
        <w:rPr>
          <w:b/>
          <w:color w:val="auto"/>
          <w:kern w:val="2"/>
          <w:sz w:val="28"/>
          <w:szCs w:val="28"/>
          <w:highlight w:val="none"/>
        </w:rPr>
      </w:pPr>
    </w:p>
    <w:p>
      <w:pPr>
        <w:pStyle w:val="20"/>
        <w:widowControl w:val="0"/>
        <w:spacing w:before="156" w:beforeLines="50" w:beforeAutospacing="0" w:after="156" w:afterLines="50" w:afterAutospacing="0" w:line="400" w:lineRule="atLeast"/>
        <w:jc w:val="center"/>
        <w:rPr>
          <w:b/>
          <w:color w:val="auto"/>
          <w:kern w:val="2"/>
          <w:sz w:val="28"/>
          <w:szCs w:val="28"/>
          <w:highlight w:val="none"/>
        </w:rPr>
      </w:pPr>
    </w:p>
    <w:p>
      <w:pPr>
        <w:pStyle w:val="20"/>
        <w:widowControl w:val="0"/>
        <w:spacing w:before="156" w:beforeLines="50" w:beforeAutospacing="0" w:after="156" w:afterLines="50" w:afterAutospacing="0" w:line="400" w:lineRule="atLeast"/>
        <w:jc w:val="center"/>
        <w:rPr>
          <w:b/>
          <w:color w:val="auto"/>
          <w:kern w:val="2"/>
          <w:sz w:val="28"/>
          <w:szCs w:val="28"/>
          <w:highlight w:val="none"/>
        </w:rPr>
      </w:pPr>
    </w:p>
    <w:p>
      <w:pPr>
        <w:keepNext w:val="0"/>
        <w:keepLines w:val="0"/>
        <w:widowControl/>
        <w:suppressLineNumbers w:val="0"/>
        <w:jc w:val="center"/>
        <w:rPr>
          <w:rFonts w:hint="eastAsia" w:ascii="宋体" w:hAnsi="宋体" w:eastAsia="宋体" w:cs="宋体"/>
          <w:color w:val="auto"/>
          <w:highlight w:val="none"/>
        </w:rPr>
      </w:pPr>
      <w:r>
        <w:rPr>
          <w:rFonts w:hint="eastAsia" w:ascii="宋体" w:hAnsi="宋体" w:eastAsia="宋体" w:cs="宋体"/>
          <w:b/>
          <w:color w:val="auto"/>
          <w:kern w:val="0"/>
          <w:sz w:val="30"/>
          <w:szCs w:val="30"/>
          <w:highlight w:val="none"/>
          <w:lang w:val="en-US" w:eastAsia="zh-CN" w:bidi="ar"/>
        </w:rPr>
        <w:t>残疾人福利性单位声明函</w:t>
      </w:r>
      <w:r>
        <w:rPr>
          <w:rFonts w:hint="eastAsia" w:ascii="宋体" w:hAnsi="宋体" w:cs="宋体"/>
          <w:b/>
          <w:color w:val="auto"/>
          <w:kern w:val="0"/>
          <w:sz w:val="30"/>
          <w:szCs w:val="30"/>
          <w:highlight w:val="none"/>
          <w:lang w:val="en-US" w:eastAsia="zh-CN" w:bidi="ar"/>
        </w:rPr>
        <w:t>（如有）</w:t>
      </w:r>
    </w:p>
    <w:p>
      <w:pPr>
        <w:keepNext w:val="0"/>
        <w:keepLines w:val="0"/>
        <w:pageBreakBefore w:val="0"/>
        <w:widowControl/>
        <w:suppressLineNumbers w:val="0"/>
        <w:kinsoku/>
        <w:wordWrap/>
        <w:overflowPunct/>
        <w:topLinePunct w:val="0"/>
        <w:autoSpaceDE/>
        <w:autoSpaceDN/>
        <w:bidi w:val="0"/>
        <w:adjustRightInd/>
        <w:snapToGrid/>
        <w:spacing w:line="700" w:lineRule="exact"/>
        <w:ind w:firstLine="420" w:firstLineChars="200"/>
        <w:jc w:val="left"/>
        <w:textAlignment w:val="auto"/>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color w:val="auto"/>
          <w:kern w:val="2"/>
          <w:sz w:val="21"/>
          <w:szCs w:val="21"/>
          <w:highlight w:val="none"/>
          <w:lang w:val="en-US" w:eastAsia="zh-CN" w:bidi="ar-SA"/>
        </w:rPr>
        <w:t xml:space="preserve">本单位郑重声明，根据《财政部 民政部 中国残疾人联合会关于促进残疾人就业政府采购政策的通知》（财库〔2017〕 141 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 </w:t>
      </w:r>
    </w:p>
    <w:p>
      <w:pPr>
        <w:keepNext w:val="0"/>
        <w:keepLines w:val="0"/>
        <w:pageBreakBefore w:val="0"/>
        <w:widowControl/>
        <w:suppressLineNumbers w:val="0"/>
        <w:kinsoku/>
        <w:wordWrap/>
        <w:overflowPunct/>
        <w:topLinePunct w:val="0"/>
        <w:autoSpaceDE/>
        <w:autoSpaceDN/>
        <w:bidi w:val="0"/>
        <w:adjustRightInd/>
        <w:snapToGrid/>
        <w:spacing w:line="700" w:lineRule="exact"/>
        <w:ind w:firstLine="420" w:firstLineChars="200"/>
        <w:jc w:val="left"/>
        <w:textAlignment w:val="auto"/>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color w:val="auto"/>
          <w:kern w:val="2"/>
          <w:sz w:val="21"/>
          <w:szCs w:val="21"/>
          <w:highlight w:val="none"/>
          <w:lang w:val="en-US" w:eastAsia="zh-CN" w:bidi="ar-SA"/>
        </w:rPr>
        <w:t xml:space="preserve">本单位对上述声明的真实性负责。如有虚假，将依法承担相应责任。 </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1"/>
          <w:szCs w:val="21"/>
          <w:highlight w:val="none"/>
          <w:lang w:val="en-US" w:eastAsia="zh-CN" w:bidi="ar-SA"/>
        </w:rPr>
      </w:pP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1"/>
          <w:szCs w:val="21"/>
          <w:highlight w:val="none"/>
          <w:lang w:val="en-US" w:eastAsia="zh-CN" w:bidi="ar-SA"/>
        </w:rPr>
      </w:pP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1"/>
          <w:szCs w:val="21"/>
          <w:highlight w:val="none"/>
          <w:lang w:val="en-US" w:eastAsia="zh-CN" w:bidi="ar-SA"/>
        </w:rPr>
      </w:pPr>
    </w:p>
    <w:p>
      <w:pPr>
        <w:keepNext w:val="0"/>
        <w:keepLines w:val="0"/>
        <w:pageBreakBefore w:val="0"/>
        <w:widowControl/>
        <w:suppressLineNumbers w:val="0"/>
        <w:kinsoku/>
        <w:wordWrap/>
        <w:overflowPunct/>
        <w:topLinePunct w:val="0"/>
        <w:autoSpaceDE/>
        <w:autoSpaceDN/>
        <w:bidi w:val="0"/>
        <w:adjustRightInd/>
        <w:snapToGrid/>
        <w:spacing w:line="400" w:lineRule="exact"/>
        <w:ind w:firstLine="5460" w:firstLineChars="2600"/>
        <w:jc w:val="left"/>
        <w:textAlignment w:val="auto"/>
        <w:rPr>
          <w:rFonts w:hint="eastAsia" w:ascii="宋体" w:hAnsi="宋体" w:eastAsia="宋体" w:cs="宋体"/>
          <w:color w:val="auto"/>
          <w:kern w:val="2"/>
          <w:sz w:val="21"/>
          <w:szCs w:val="21"/>
          <w:highlight w:val="none"/>
          <w:lang w:val="en-GB" w:eastAsia="zh-CN" w:bidi="ar-SA"/>
        </w:rPr>
      </w:pPr>
      <w:r>
        <w:rPr>
          <w:rFonts w:hint="eastAsia" w:hAnsi="宋体" w:cs="宋体"/>
          <w:color w:val="auto"/>
          <w:kern w:val="0"/>
          <w:sz w:val="21"/>
          <w:szCs w:val="21"/>
          <w:highlight w:val="none"/>
        </w:rPr>
        <w:t>投标人名称</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公</w:t>
      </w:r>
      <w:r>
        <w:rPr>
          <w:rFonts w:hint="eastAsia" w:ascii="宋体" w:hAnsi="宋体" w:eastAsia="宋体" w:cs="宋体"/>
          <w:color w:val="auto"/>
          <w:kern w:val="2"/>
          <w:sz w:val="21"/>
          <w:szCs w:val="21"/>
          <w:highlight w:val="none"/>
          <w:lang w:val="en-US" w:eastAsia="zh-CN" w:bidi="ar-SA"/>
        </w:rPr>
        <w:t xml:space="preserve">章）：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5460" w:firstLineChars="2600"/>
        <w:jc w:val="left"/>
        <w:textAlignment w:val="auto"/>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color w:val="auto"/>
          <w:kern w:val="2"/>
          <w:sz w:val="21"/>
          <w:szCs w:val="21"/>
          <w:highlight w:val="none"/>
          <w:lang w:val="en-US" w:eastAsia="zh-CN" w:bidi="ar-SA"/>
        </w:rPr>
        <w:t xml:space="preserve">日 期： </w:t>
      </w:r>
    </w:p>
    <w:p>
      <w:pPr>
        <w:keepNext w:val="0"/>
        <w:keepLines w:val="0"/>
        <w:widowControl/>
        <w:suppressLineNumbers w:val="0"/>
        <w:jc w:val="left"/>
        <w:rPr>
          <w:rFonts w:hint="eastAsia" w:ascii="宋体" w:hAnsi="宋体" w:eastAsia="宋体" w:cs="宋体"/>
          <w:b/>
          <w:color w:val="auto"/>
          <w:kern w:val="0"/>
          <w:sz w:val="28"/>
          <w:szCs w:val="28"/>
          <w:highlight w:val="none"/>
          <w:lang w:val="en-US" w:eastAsia="zh-CN" w:bidi="ar"/>
        </w:rPr>
      </w:pPr>
    </w:p>
    <w:p>
      <w:pPr>
        <w:keepNext w:val="0"/>
        <w:keepLines w:val="0"/>
        <w:widowControl/>
        <w:suppressLineNumbers w:val="0"/>
        <w:jc w:val="left"/>
        <w:rPr>
          <w:rFonts w:hint="eastAsia" w:ascii="宋体" w:hAnsi="宋体" w:eastAsia="宋体" w:cs="宋体"/>
          <w:b/>
          <w:color w:val="auto"/>
          <w:kern w:val="0"/>
          <w:sz w:val="28"/>
          <w:szCs w:val="28"/>
          <w:highlight w:val="none"/>
          <w:lang w:val="en-US" w:eastAsia="zh-CN" w:bidi="ar"/>
        </w:rPr>
      </w:pPr>
    </w:p>
    <w:p>
      <w:pPr>
        <w:keepNext w:val="0"/>
        <w:keepLines w:val="0"/>
        <w:widowControl/>
        <w:suppressLineNumbers w:val="0"/>
        <w:jc w:val="left"/>
        <w:rPr>
          <w:rFonts w:hint="eastAsia" w:ascii="宋体" w:hAnsi="宋体" w:eastAsia="宋体" w:cs="宋体"/>
          <w:b/>
          <w:color w:val="auto"/>
          <w:kern w:val="0"/>
          <w:sz w:val="28"/>
          <w:szCs w:val="28"/>
          <w:highlight w:val="none"/>
          <w:lang w:val="en-US" w:eastAsia="zh-CN" w:bidi="ar"/>
        </w:rPr>
      </w:pP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b/>
          <w:color w:val="auto"/>
          <w:kern w:val="0"/>
          <w:sz w:val="28"/>
          <w:szCs w:val="28"/>
          <w:highlight w:val="none"/>
          <w:lang w:val="en-US" w:eastAsia="zh-CN" w:bidi="ar"/>
        </w:rPr>
        <w:t>注：本函为残疾人福利性单位提供。</w:t>
      </w:r>
    </w:p>
    <w:p>
      <w:pPr>
        <w:pStyle w:val="20"/>
        <w:widowControl w:val="0"/>
        <w:spacing w:before="156" w:beforeLines="50" w:beforeAutospacing="0" w:after="156" w:afterLines="50" w:afterAutospacing="0" w:line="400" w:lineRule="atLeast"/>
        <w:jc w:val="both"/>
        <w:rPr>
          <w:rFonts w:hint="eastAsia" w:ascii="宋体" w:hAnsi="宋体" w:eastAsia="宋体" w:cs="宋体"/>
          <w:b/>
          <w:color w:val="auto"/>
          <w:kern w:val="2"/>
          <w:sz w:val="28"/>
          <w:szCs w:val="28"/>
          <w:highlight w:val="none"/>
        </w:rPr>
      </w:pPr>
    </w:p>
    <w:p>
      <w:pPr>
        <w:pStyle w:val="20"/>
        <w:widowControl w:val="0"/>
        <w:spacing w:before="156" w:beforeLines="50" w:beforeAutospacing="0" w:after="156" w:afterLines="50" w:afterAutospacing="0" w:line="400" w:lineRule="atLeast"/>
        <w:jc w:val="both"/>
        <w:rPr>
          <w:rFonts w:hint="eastAsia" w:ascii="宋体" w:hAnsi="宋体" w:eastAsia="宋体" w:cs="宋体"/>
          <w:b/>
          <w:color w:val="auto"/>
          <w:kern w:val="2"/>
          <w:sz w:val="28"/>
          <w:szCs w:val="28"/>
          <w:highlight w:val="none"/>
        </w:rPr>
      </w:pPr>
    </w:p>
    <w:p>
      <w:pPr>
        <w:pStyle w:val="20"/>
        <w:widowControl w:val="0"/>
        <w:spacing w:before="156" w:beforeLines="50" w:beforeAutospacing="0" w:after="156" w:afterLines="50" w:afterAutospacing="0" w:line="400" w:lineRule="atLeast"/>
        <w:jc w:val="both"/>
        <w:rPr>
          <w:rFonts w:hint="eastAsia" w:ascii="宋体" w:hAnsi="宋体" w:eastAsia="宋体" w:cs="宋体"/>
          <w:b/>
          <w:color w:val="auto"/>
          <w:kern w:val="2"/>
          <w:sz w:val="28"/>
          <w:szCs w:val="28"/>
          <w:highlight w:val="none"/>
        </w:rPr>
      </w:pPr>
    </w:p>
    <w:p>
      <w:pPr>
        <w:pStyle w:val="20"/>
        <w:widowControl w:val="0"/>
        <w:spacing w:before="156" w:beforeLines="50" w:beforeAutospacing="0" w:after="156" w:afterLines="50" w:afterAutospacing="0" w:line="400" w:lineRule="atLeast"/>
        <w:jc w:val="both"/>
        <w:rPr>
          <w:rFonts w:hint="eastAsia" w:ascii="宋体" w:hAnsi="宋体" w:eastAsia="宋体" w:cs="宋体"/>
          <w:b/>
          <w:color w:val="auto"/>
          <w:kern w:val="2"/>
          <w:sz w:val="28"/>
          <w:szCs w:val="28"/>
          <w:highlight w:val="none"/>
        </w:rPr>
      </w:pPr>
    </w:p>
    <w:p>
      <w:pPr>
        <w:pStyle w:val="20"/>
        <w:widowControl w:val="0"/>
        <w:spacing w:before="156" w:beforeLines="50" w:beforeAutospacing="0" w:after="156" w:afterLines="50" w:afterAutospacing="0" w:line="400" w:lineRule="atLeast"/>
        <w:jc w:val="both"/>
        <w:rPr>
          <w:rFonts w:hint="eastAsia" w:ascii="宋体" w:hAnsi="宋体" w:eastAsia="宋体" w:cs="宋体"/>
          <w:b/>
          <w:color w:val="auto"/>
          <w:kern w:val="2"/>
          <w:sz w:val="28"/>
          <w:szCs w:val="28"/>
          <w:highlight w:val="none"/>
        </w:rPr>
      </w:pPr>
    </w:p>
    <w:p>
      <w:pPr>
        <w:pStyle w:val="20"/>
        <w:widowControl w:val="0"/>
        <w:spacing w:before="156" w:beforeLines="50" w:beforeAutospacing="0" w:after="156" w:afterLines="50" w:afterAutospacing="0" w:line="400" w:lineRule="atLeast"/>
        <w:jc w:val="both"/>
        <w:rPr>
          <w:rFonts w:hint="eastAsia" w:ascii="宋体" w:hAnsi="宋体" w:eastAsia="宋体" w:cs="宋体"/>
          <w:b/>
          <w:color w:val="auto"/>
          <w:kern w:val="2"/>
          <w:sz w:val="28"/>
          <w:szCs w:val="28"/>
          <w:highlight w:val="none"/>
        </w:rPr>
      </w:pPr>
    </w:p>
    <w:p>
      <w:pPr>
        <w:pStyle w:val="14"/>
        <w:spacing w:before="120" w:beforeLines="0" w:after="120" w:afterLines="0"/>
        <w:jc w:val="center"/>
        <w:rPr>
          <w:rFonts w:hint="eastAsia" w:ascii="Times New Roman" w:hAnsi="Times New Roman"/>
          <w:b/>
          <w:bCs/>
          <w:color w:val="auto"/>
          <w:sz w:val="28"/>
          <w:szCs w:val="28"/>
          <w:highlight w:val="none"/>
        </w:rPr>
      </w:pPr>
    </w:p>
    <w:p>
      <w:pPr>
        <w:pStyle w:val="14"/>
        <w:spacing w:before="120" w:beforeLines="0" w:after="120" w:afterLines="0"/>
        <w:jc w:val="center"/>
        <w:rPr>
          <w:rFonts w:ascii="Times New Roman" w:hAnsi="Times New Roman"/>
          <w:b/>
          <w:bCs/>
          <w:color w:val="auto"/>
          <w:sz w:val="28"/>
          <w:szCs w:val="28"/>
          <w:highlight w:val="none"/>
        </w:rPr>
      </w:pPr>
      <w:r>
        <w:rPr>
          <w:rFonts w:ascii="Times New Roman" w:hAnsi="Times New Roman"/>
          <w:b/>
          <w:bCs/>
          <w:color w:val="auto"/>
          <w:sz w:val="28"/>
          <w:szCs w:val="28"/>
          <w:highlight w:val="none"/>
        </w:rPr>
        <w:t>投标声明书</w:t>
      </w:r>
    </w:p>
    <w:p>
      <w:pPr>
        <w:pStyle w:val="14"/>
        <w:spacing w:before="120" w:beforeLines="0" w:after="120" w:afterLines="0" w:line="460" w:lineRule="exact"/>
        <w:rPr>
          <w:rFonts w:ascii="Times New Roman" w:hAnsi="Times New Roman"/>
          <w:color w:val="auto"/>
          <w:sz w:val="21"/>
          <w:szCs w:val="21"/>
          <w:highlight w:val="none"/>
        </w:rPr>
      </w:pPr>
      <w:r>
        <w:rPr>
          <w:rFonts w:ascii="Times New Roman" w:hAnsi="Times New Roman"/>
          <w:color w:val="auto"/>
          <w:sz w:val="21"/>
          <w:szCs w:val="21"/>
          <w:highlight w:val="none"/>
        </w:rPr>
        <w:t>致：浙江省兰溪经济开发区管理委员会</w:t>
      </w:r>
    </w:p>
    <w:p>
      <w:pPr>
        <w:pStyle w:val="14"/>
        <w:spacing w:before="120" w:beforeLines="0" w:after="120" w:afterLines="0" w:line="460" w:lineRule="exact"/>
        <w:rPr>
          <w:rFonts w:ascii="Times New Roman" w:hAnsi="Times New Roman"/>
          <w:color w:val="auto"/>
          <w:sz w:val="21"/>
          <w:szCs w:val="21"/>
          <w:highlight w:val="none"/>
        </w:rPr>
      </w:pPr>
      <w:r>
        <w:rPr>
          <w:rFonts w:ascii="Times New Roman" w:hAnsi="Times New Roman"/>
          <w:color w:val="auto"/>
          <w:sz w:val="21"/>
          <w:szCs w:val="21"/>
          <w:highlight w:val="none"/>
        </w:rPr>
        <w:t xml:space="preserve">    </w:t>
      </w:r>
      <w:r>
        <w:rPr>
          <w:rFonts w:ascii="Times New Roman" w:hAnsi="Times New Roman"/>
          <w:color w:val="auto"/>
          <w:sz w:val="21"/>
          <w:szCs w:val="21"/>
          <w:highlight w:val="none"/>
          <w:u w:val="single"/>
        </w:rPr>
        <w:t xml:space="preserve">  </w:t>
      </w:r>
      <w:r>
        <w:rPr>
          <w:rFonts w:hint="eastAsia" w:ascii="Times New Roman" w:hAnsi="Times New Roman"/>
          <w:color w:val="auto"/>
          <w:sz w:val="21"/>
          <w:szCs w:val="21"/>
          <w:highlight w:val="none"/>
          <w:u w:val="single"/>
        </w:rPr>
        <w:t xml:space="preserve">              </w:t>
      </w:r>
      <w:r>
        <w:rPr>
          <w:rFonts w:ascii="Times New Roman" w:hAnsi="Times New Roman"/>
          <w:color w:val="auto"/>
          <w:sz w:val="21"/>
          <w:szCs w:val="21"/>
          <w:highlight w:val="none"/>
          <w:u w:val="single"/>
        </w:rPr>
        <w:t xml:space="preserve">          </w:t>
      </w:r>
      <w:r>
        <w:rPr>
          <w:rFonts w:ascii="Times New Roman" w:hAnsi="Times New Roman"/>
          <w:color w:val="auto"/>
          <w:sz w:val="21"/>
          <w:szCs w:val="21"/>
          <w:highlight w:val="none"/>
        </w:rPr>
        <w:t>（投标人名称）系中华人民共和国合法企业，经营地址</w:t>
      </w:r>
      <w:r>
        <w:rPr>
          <w:rFonts w:ascii="Times New Roman" w:hAnsi="Times New Roman"/>
          <w:color w:val="auto"/>
          <w:sz w:val="21"/>
          <w:szCs w:val="21"/>
          <w:highlight w:val="none"/>
          <w:u w:val="single"/>
        </w:rPr>
        <w:t xml:space="preserve">                              </w:t>
      </w:r>
      <w:r>
        <w:rPr>
          <w:rFonts w:ascii="Times New Roman" w:hAnsi="Times New Roman"/>
          <w:color w:val="auto"/>
          <w:sz w:val="21"/>
          <w:szCs w:val="21"/>
          <w:highlight w:val="none"/>
        </w:rPr>
        <w:t xml:space="preserve"> 。</w:t>
      </w:r>
    </w:p>
    <w:p>
      <w:pPr>
        <w:snapToGrid w:val="0"/>
        <w:spacing w:line="460" w:lineRule="exact"/>
        <w:ind w:firstLine="420" w:firstLineChars="200"/>
        <w:rPr>
          <w:color w:val="auto"/>
          <w:sz w:val="21"/>
          <w:szCs w:val="21"/>
          <w:highlight w:val="none"/>
        </w:rPr>
      </w:pPr>
      <w:r>
        <w:rPr>
          <w:color w:val="auto"/>
          <w:sz w:val="21"/>
          <w:szCs w:val="21"/>
          <w:highlight w:val="none"/>
        </w:rPr>
        <w:t>我</w:t>
      </w:r>
      <w:r>
        <w:rPr>
          <w:color w:val="auto"/>
          <w:sz w:val="21"/>
          <w:szCs w:val="21"/>
          <w:highlight w:val="none"/>
          <w:u w:val="single"/>
        </w:rPr>
        <w:t xml:space="preserve">          （</w:t>
      </w:r>
      <w:r>
        <w:rPr>
          <w:color w:val="auto"/>
          <w:sz w:val="21"/>
          <w:szCs w:val="21"/>
          <w:highlight w:val="none"/>
        </w:rPr>
        <w:t>姓名）系</w:t>
      </w:r>
      <w:r>
        <w:rPr>
          <w:color w:val="auto"/>
          <w:sz w:val="21"/>
          <w:szCs w:val="21"/>
          <w:highlight w:val="none"/>
          <w:u w:val="single"/>
        </w:rPr>
        <w:t xml:space="preserve">                           </w:t>
      </w:r>
      <w:r>
        <w:rPr>
          <w:color w:val="auto"/>
          <w:sz w:val="21"/>
          <w:szCs w:val="21"/>
          <w:highlight w:val="none"/>
        </w:rPr>
        <w:t>（投标人名称）的法定代表人，我方愿意参加贵方组织的</w:t>
      </w:r>
      <w:r>
        <w:rPr>
          <w:color w:val="auto"/>
          <w:sz w:val="21"/>
          <w:szCs w:val="21"/>
          <w:highlight w:val="none"/>
          <w:u w:val="single"/>
        </w:rPr>
        <w:t xml:space="preserve">                       </w:t>
      </w:r>
      <w:r>
        <w:rPr>
          <w:color w:val="auto"/>
          <w:sz w:val="21"/>
          <w:szCs w:val="21"/>
          <w:highlight w:val="none"/>
        </w:rPr>
        <w:t>项目的</w:t>
      </w:r>
      <w:r>
        <w:rPr>
          <w:rFonts w:hint="eastAsia"/>
          <w:color w:val="auto"/>
          <w:sz w:val="21"/>
          <w:szCs w:val="21"/>
          <w:highlight w:val="none"/>
        </w:rPr>
        <w:t>招标</w:t>
      </w:r>
      <w:r>
        <w:rPr>
          <w:color w:val="auto"/>
          <w:sz w:val="21"/>
          <w:szCs w:val="21"/>
          <w:highlight w:val="none"/>
        </w:rPr>
        <w:t>，为便于贵方公正、择优地确定中标人及其服务，我方就本次投标有关事项郑重声明如下：</w:t>
      </w:r>
    </w:p>
    <w:p>
      <w:pPr>
        <w:snapToGrid w:val="0"/>
        <w:spacing w:line="460" w:lineRule="exact"/>
        <w:ind w:firstLine="420" w:firstLineChars="200"/>
        <w:rPr>
          <w:color w:val="auto"/>
          <w:sz w:val="21"/>
          <w:szCs w:val="21"/>
          <w:highlight w:val="none"/>
        </w:rPr>
      </w:pPr>
      <w:r>
        <w:rPr>
          <w:color w:val="auto"/>
          <w:sz w:val="21"/>
          <w:szCs w:val="21"/>
          <w:highlight w:val="none"/>
        </w:rPr>
        <w:t>1、我方向贵方提交的所有投标响应文件、资料都是准确的和真实的；</w:t>
      </w:r>
    </w:p>
    <w:p>
      <w:pPr>
        <w:snapToGrid w:val="0"/>
        <w:spacing w:before="156" w:beforeLines="50" w:line="460" w:lineRule="exact"/>
        <w:ind w:firstLine="420" w:firstLineChars="200"/>
        <w:rPr>
          <w:color w:val="auto"/>
          <w:sz w:val="21"/>
          <w:szCs w:val="21"/>
          <w:highlight w:val="none"/>
        </w:rPr>
      </w:pPr>
    </w:p>
    <w:p>
      <w:pPr>
        <w:snapToGrid w:val="0"/>
        <w:spacing w:before="156" w:beforeLines="50" w:line="460" w:lineRule="exact"/>
        <w:ind w:firstLine="420" w:firstLineChars="200"/>
        <w:rPr>
          <w:color w:val="auto"/>
          <w:sz w:val="21"/>
          <w:szCs w:val="21"/>
          <w:highlight w:val="none"/>
        </w:rPr>
      </w:pPr>
      <w:r>
        <w:rPr>
          <w:color w:val="auto"/>
          <w:sz w:val="21"/>
          <w:szCs w:val="21"/>
          <w:highlight w:val="none"/>
        </w:rPr>
        <w:t>2、我方不是采购人的附属机构；在获知本项目采购信息后，与采购人聘请的为此项目提供咨询服务的公司及其附属机构没有任何联系。</w:t>
      </w:r>
    </w:p>
    <w:p>
      <w:pPr>
        <w:snapToGrid w:val="0"/>
        <w:spacing w:before="156" w:beforeLines="50" w:line="336" w:lineRule="auto"/>
        <w:ind w:firstLine="420" w:firstLineChars="200"/>
        <w:rPr>
          <w:color w:val="auto"/>
          <w:sz w:val="21"/>
          <w:szCs w:val="21"/>
          <w:highlight w:val="none"/>
        </w:rPr>
      </w:pPr>
    </w:p>
    <w:p>
      <w:pPr>
        <w:snapToGrid w:val="0"/>
        <w:spacing w:before="156" w:beforeLines="50" w:line="336" w:lineRule="auto"/>
        <w:ind w:firstLine="420" w:firstLineChars="200"/>
        <w:rPr>
          <w:color w:val="auto"/>
          <w:sz w:val="21"/>
          <w:szCs w:val="21"/>
          <w:highlight w:val="none"/>
        </w:rPr>
      </w:pPr>
    </w:p>
    <w:p>
      <w:pPr>
        <w:pStyle w:val="3"/>
        <w:numPr>
          <w:ilvl w:val="0"/>
          <w:numId w:val="6"/>
        </w:numPr>
        <w:snapToGrid w:val="0"/>
        <w:spacing w:line="336" w:lineRule="auto"/>
        <w:ind w:left="0" w:leftChars="0" w:firstLine="404" w:firstLineChars="200"/>
        <w:rPr>
          <w:rFonts w:ascii="宋体" w:hAnsi="宋体"/>
          <w:color w:val="auto"/>
          <w:sz w:val="21"/>
          <w:szCs w:val="21"/>
          <w:highlight w:val="none"/>
        </w:rPr>
      </w:pPr>
      <w:r>
        <w:rPr>
          <w:rFonts w:ascii="宋体" w:hAnsi="宋体"/>
          <w:color w:val="auto"/>
          <w:sz w:val="21"/>
          <w:szCs w:val="21"/>
          <w:highlight w:val="none"/>
        </w:rPr>
        <w:t>我方诚意提请贵方关注：有关该产品的生产、供货、售后服务以及性能等方面的重大决策和事项有：</w:t>
      </w:r>
    </w:p>
    <w:p>
      <w:pPr>
        <w:rPr>
          <w:color w:val="auto"/>
          <w:highlight w:val="none"/>
        </w:rPr>
      </w:pPr>
    </w:p>
    <w:p>
      <w:pPr>
        <w:pStyle w:val="3"/>
        <w:numPr>
          <w:ilvl w:val="0"/>
          <w:numId w:val="6"/>
        </w:numPr>
        <w:snapToGrid w:val="0"/>
        <w:spacing w:line="336" w:lineRule="auto"/>
        <w:ind w:left="0" w:leftChars="0" w:firstLine="404" w:firstLineChars="200"/>
        <w:rPr>
          <w:rFonts w:hint="default" w:ascii="Times New Roman" w:hAnsi="Times New Roman"/>
          <w:color w:val="auto"/>
          <w:sz w:val="21"/>
          <w:szCs w:val="21"/>
          <w:highlight w:val="none"/>
        </w:rPr>
      </w:pPr>
      <w:r>
        <w:rPr>
          <w:rFonts w:hint="default" w:ascii="Times New Roman" w:hAnsi="Times New Roman"/>
          <w:color w:val="auto"/>
          <w:sz w:val="21"/>
          <w:szCs w:val="21"/>
          <w:highlight w:val="none"/>
        </w:rPr>
        <w:t>我方最近三年内的被公开披露或查处的违法违规行为有：</w:t>
      </w:r>
    </w:p>
    <w:p>
      <w:pPr>
        <w:pStyle w:val="13"/>
        <w:tabs>
          <w:tab w:val="left" w:pos="939"/>
        </w:tabs>
        <w:snapToGrid w:val="0"/>
        <w:spacing w:line="336" w:lineRule="auto"/>
        <w:ind w:left="821" w:leftChars="150" w:hanging="401" w:hangingChars="191"/>
        <w:rPr>
          <w:color w:val="auto"/>
          <w:sz w:val="21"/>
          <w:szCs w:val="21"/>
          <w:highlight w:val="none"/>
        </w:rPr>
      </w:pPr>
    </w:p>
    <w:p>
      <w:pPr>
        <w:pStyle w:val="13"/>
        <w:tabs>
          <w:tab w:val="left" w:pos="939"/>
        </w:tabs>
        <w:snapToGrid w:val="0"/>
        <w:spacing w:line="336" w:lineRule="auto"/>
        <w:ind w:left="821" w:leftChars="150" w:hanging="401" w:hangingChars="191"/>
        <w:rPr>
          <w:color w:val="auto"/>
          <w:sz w:val="21"/>
          <w:szCs w:val="21"/>
          <w:highlight w:val="none"/>
        </w:rPr>
      </w:pPr>
    </w:p>
    <w:p>
      <w:pPr>
        <w:pStyle w:val="13"/>
        <w:tabs>
          <w:tab w:val="left" w:pos="939"/>
        </w:tabs>
        <w:snapToGrid w:val="0"/>
        <w:spacing w:line="336" w:lineRule="auto"/>
        <w:ind w:left="821" w:leftChars="150" w:hanging="401" w:hangingChars="191"/>
        <w:rPr>
          <w:color w:val="auto"/>
          <w:sz w:val="21"/>
          <w:szCs w:val="21"/>
          <w:highlight w:val="none"/>
        </w:rPr>
      </w:pPr>
    </w:p>
    <w:p>
      <w:pPr>
        <w:pStyle w:val="13"/>
        <w:tabs>
          <w:tab w:val="left" w:pos="939"/>
        </w:tabs>
        <w:snapToGrid w:val="0"/>
        <w:spacing w:line="336" w:lineRule="auto"/>
        <w:ind w:left="821" w:leftChars="150" w:hanging="401" w:hangingChars="191"/>
        <w:rPr>
          <w:color w:val="auto"/>
          <w:sz w:val="21"/>
          <w:szCs w:val="21"/>
          <w:highlight w:val="none"/>
        </w:rPr>
      </w:pPr>
    </w:p>
    <w:p>
      <w:pPr>
        <w:pStyle w:val="13"/>
        <w:tabs>
          <w:tab w:val="left" w:pos="939"/>
        </w:tabs>
        <w:snapToGrid w:val="0"/>
        <w:spacing w:line="336" w:lineRule="auto"/>
        <w:ind w:left="821" w:leftChars="150" w:hanging="401" w:hangingChars="191"/>
        <w:rPr>
          <w:color w:val="auto"/>
          <w:sz w:val="21"/>
          <w:szCs w:val="21"/>
          <w:highlight w:val="none"/>
        </w:rPr>
      </w:pPr>
      <w:r>
        <w:rPr>
          <w:rFonts w:hint="eastAsia"/>
          <w:color w:val="auto"/>
          <w:sz w:val="21"/>
          <w:szCs w:val="21"/>
          <w:highlight w:val="none"/>
          <w:lang w:val="en-US" w:eastAsia="zh-CN"/>
        </w:rPr>
        <w:t>5</w:t>
      </w:r>
      <w:r>
        <w:rPr>
          <w:color w:val="auto"/>
          <w:sz w:val="21"/>
          <w:szCs w:val="21"/>
          <w:highlight w:val="none"/>
        </w:rPr>
        <w:t>、以上事项如有虚假或隐瞒，我方愿意承担一切后果和责任。</w:t>
      </w:r>
    </w:p>
    <w:p>
      <w:pPr>
        <w:pStyle w:val="32"/>
        <w:snapToGrid w:val="0"/>
        <w:spacing w:before="156" w:beforeLines="50" w:line="336" w:lineRule="auto"/>
        <w:ind w:firstLine="200"/>
        <w:rPr>
          <w:rFonts w:ascii="Times New Roman" w:hAnsi="Times New Roman"/>
          <w:color w:val="auto"/>
          <w:sz w:val="21"/>
          <w:szCs w:val="21"/>
          <w:highlight w:val="none"/>
        </w:rPr>
      </w:pPr>
    </w:p>
    <w:p>
      <w:pPr>
        <w:pStyle w:val="32"/>
        <w:snapToGrid w:val="0"/>
        <w:spacing w:before="156" w:beforeLines="50" w:line="336" w:lineRule="auto"/>
        <w:ind w:firstLine="200"/>
        <w:rPr>
          <w:rFonts w:ascii="Times New Roman" w:hAnsi="Times New Roman"/>
          <w:color w:val="auto"/>
          <w:sz w:val="21"/>
          <w:szCs w:val="21"/>
          <w:highlight w:val="none"/>
        </w:rPr>
      </w:pPr>
    </w:p>
    <w:p>
      <w:pPr>
        <w:snapToGrid w:val="0"/>
        <w:spacing w:before="156" w:beforeLines="50" w:line="336" w:lineRule="auto"/>
        <w:ind w:firstLine="4410" w:firstLineChars="2100"/>
        <w:rPr>
          <w:color w:val="auto"/>
          <w:sz w:val="21"/>
          <w:szCs w:val="21"/>
          <w:highlight w:val="none"/>
          <w:u w:val="single"/>
        </w:rPr>
      </w:pPr>
      <w:r>
        <w:rPr>
          <w:color w:val="auto"/>
          <w:sz w:val="21"/>
          <w:szCs w:val="21"/>
          <w:highlight w:val="none"/>
        </w:rPr>
        <w:t>法定代表人签字：</w:t>
      </w:r>
      <w:r>
        <w:rPr>
          <w:color w:val="auto"/>
          <w:sz w:val="21"/>
          <w:szCs w:val="21"/>
          <w:highlight w:val="none"/>
          <w:u w:val="single"/>
        </w:rPr>
        <w:t xml:space="preserve">             </w:t>
      </w:r>
    </w:p>
    <w:p>
      <w:pPr>
        <w:snapToGrid w:val="0"/>
        <w:spacing w:before="156" w:beforeLines="50" w:after="50" w:line="336" w:lineRule="auto"/>
        <w:ind w:firstLine="4410" w:firstLineChars="2100"/>
        <w:rPr>
          <w:color w:val="auto"/>
          <w:sz w:val="21"/>
          <w:szCs w:val="21"/>
          <w:highlight w:val="none"/>
        </w:rPr>
      </w:pPr>
      <w:r>
        <w:rPr>
          <w:color w:val="auto"/>
          <w:sz w:val="21"/>
          <w:szCs w:val="21"/>
          <w:highlight w:val="none"/>
        </w:rPr>
        <w:t>投标人公章：</w:t>
      </w:r>
      <w:r>
        <w:rPr>
          <w:color w:val="auto"/>
          <w:sz w:val="21"/>
          <w:szCs w:val="21"/>
          <w:highlight w:val="none"/>
          <w:u w:val="single"/>
        </w:rPr>
        <w:t xml:space="preserve">               </w:t>
      </w:r>
      <w:r>
        <w:rPr>
          <w:color w:val="auto"/>
          <w:sz w:val="21"/>
          <w:szCs w:val="21"/>
          <w:highlight w:val="none"/>
        </w:rPr>
        <w:t xml:space="preserve">                      </w:t>
      </w:r>
    </w:p>
    <w:p>
      <w:pPr>
        <w:snapToGrid w:val="0"/>
        <w:spacing w:before="156" w:beforeLines="50" w:after="50" w:line="336" w:lineRule="auto"/>
        <w:ind w:firstLine="4410" w:firstLineChars="2100"/>
        <w:rPr>
          <w:color w:val="auto"/>
          <w:sz w:val="21"/>
          <w:szCs w:val="21"/>
          <w:highlight w:val="none"/>
        </w:rPr>
      </w:pPr>
      <w:r>
        <w:rPr>
          <w:color w:val="auto"/>
          <w:sz w:val="21"/>
          <w:szCs w:val="21"/>
          <w:highlight w:val="none"/>
        </w:rPr>
        <w:t>年    月    日</w:t>
      </w:r>
    </w:p>
    <w:p>
      <w:pPr>
        <w:pStyle w:val="20"/>
        <w:rPr>
          <w:rFonts w:ascii="Times New Roman" w:hAnsi="Times New Roman"/>
          <w:color w:val="auto"/>
          <w:sz w:val="21"/>
          <w:szCs w:val="21"/>
          <w:highlight w:val="none"/>
        </w:rPr>
      </w:pPr>
    </w:p>
    <w:p>
      <w:pPr>
        <w:pStyle w:val="20"/>
        <w:rPr>
          <w:rFonts w:ascii="Times New Roman" w:hAnsi="Times New Roman"/>
          <w:color w:val="auto"/>
          <w:sz w:val="21"/>
          <w:szCs w:val="21"/>
          <w:highlight w:val="none"/>
        </w:rPr>
      </w:pPr>
    </w:p>
    <w:p>
      <w:pPr>
        <w:rPr>
          <w:b/>
          <w:bCs/>
          <w:color w:val="auto"/>
          <w:sz w:val="30"/>
          <w:szCs w:val="30"/>
          <w:highlight w:val="none"/>
        </w:rPr>
      </w:pPr>
      <w:r>
        <w:rPr>
          <w:b/>
          <w:bCs/>
          <w:color w:val="auto"/>
          <w:sz w:val="30"/>
          <w:szCs w:val="30"/>
          <w:highlight w:val="none"/>
        </w:rPr>
        <w:br w:type="page"/>
      </w:r>
    </w:p>
    <w:p>
      <w:pPr>
        <w:pStyle w:val="14"/>
        <w:spacing w:before="120" w:beforeLines="0" w:after="120" w:afterLines="0"/>
        <w:jc w:val="center"/>
        <w:rPr>
          <w:rFonts w:hint="eastAsia" w:hAnsi="宋体" w:eastAsia="楷体_GB2312"/>
          <w:b/>
          <w:bCs/>
          <w:color w:val="auto"/>
          <w:szCs w:val="28"/>
          <w:highlight w:val="none"/>
        </w:rPr>
      </w:pPr>
      <w:r>
        <w:rPr>
          <w:rFonts w:hint="eastAsia"/>
          <w:b/>
          <w:bCs/>
          <w:color w:val="auto"/>
          <w:sz w:val="28"/>
          <w:szCs w:val="28"/>
          <w:highlight w:val="none"/>
        </w:rPr>
        <w:t>技术规格偏离表</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投标人名称（盖章）：                          采购编号：</w:t>
      </w:r>
    </w:p>
    <w:tbl>
      <w:tblPr>
        <w:tblStyle w:val="22"/>
        <w:tblW w:w="0" w:type="auto"/>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223"/>
        <w:gridCol w:w="2250"/>
        <w:gridCol w:w="2181"/>
        <w:gridCol w:w="1031"/>
        <w:gridCol w:w="778"/>
        <w:gridCol w:w="9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626"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序号</w:t>
            </w:r>
          </w:p>
        </w:tc>
        <w:tc>
          <w:tcPr>
            <w:tcW w:w="1223"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货物名称</w:t>
            </w:r>
          </w:p>
        </w:tc>
        <w:tc>
          <w:tcPr>
            <w:tcW w:w="2250"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采购文件规范要求</w:t>
            </w:r>
          </w:p>
        </w:tc>
        <w:tc>
          <w:tcPr>
            <w:tcW w:w="2181"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投标文件对应规范</w:t>
            </w:r>
          </w:p>
        </w:tc>
        <w:tc>
          <w:tcPr>
            <w:tcW w:w="1031"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是否</w:t>
            </w:r>
          </w:p>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响应</w:t>
            </w:r>
          </w:p>
        </w:tc>
        <w:tc>
          <w:tcPr>
            <w:tcW w:w="778"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偏离</w:t>
            </w:r>
          </w:p>
        </w:tc>
        <w:tc>
          <w:tcPr>
            <w:tcW w:w="914" w:type="dxa"/>
            <w:noWrap w:val="0"/>
            <w:vAlign w:val="center"/>
          </w:tcPr>
          <w:p>
            <w:pPr>
              <w:spacing w:line="360" w:lineRule="auto"/>
              <w:jc w:val="center"/>
              <w:rPr>
                <w:rFonts w:hint="eastAsia" w:ascii="宋体" w:hAnsi="宋体"/>
                <w:b/>
                <w:bCs/>
                <w:color w:val="auto"/>
                <w:sz w:val="21"/>
                <w:szCs w:val="21"/>
                <w:highlight w:val="none"/>
              </w:rPr>
            </w:pPr>
            <w:r>
              <w:rPr>
                <w:rFonts w:hint="eastAsia" w:ascii="宋体" w:hAnsi="宋体"/>
                <w:b/>
                <w:bCs/>
                <w:color w:val="auto"/>
                <w:sz w:val="21"/>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noWrap w:val="0"/>
            <w:vAlign w:val="top"/>
          </w:tcPr>
          <w:p>
            <w:pPr>
              <w:spacing w:line="360" w:lineRule="auto"/>
              <w:ind w:firstLine="420" w:firstLineChars="200"/>
              <w:rPr>
                <w:rFonts w:hint="eastAsia" w:ascii="宋体" w:hAnsi="宋体"/>
                <w:color w:val="auto"/>
                <w:sz w:val="21"/>
                <w:szCs w:val="21"/>
                <w:highlight w:val="none"/>
              </w:rPr>
            </w:pPr>
          </w:p>
        </w:tc>
        <w:tc>
          <w:tcPr>
            <w:tcW w:w="1223" w:type="dxa"/>
            <w:noWrap w:val="0"/>
            <w:vAlign w:val="top"/>
          </w:tcPr>
          <w:p>
            <w:pPr>
              <w:spacing w:line="360" w:lineRule="auto"/>
              <w:ind w:firstLine="420" w:firstLineChars="200"/>
              <w:rPr>
                <w:rFonts w:hint="eastAsia" w:ascii="宋体" w:hAnsi="宋体"/>
                <w:color w:val="auto"/>
                <w:sz w:val="21"/>
                <w:szCs w:val="21"/>
                <w:highlight w:val="none"/>
              </w:rPr>
            </w:pPr>
          </w:p>
        </w:tc>
        <w:tc>
          <w:tcPr>
            <w:tcW w:w="2250" w:type="dxa"/>
            <w:noWrap w:val="0"/>
            <w:vAlign w:val="top"/>
          </w:tcPr>
          <w:p>
            <w:pPr>
              <w:spacing w:line="360" w:lineRule="auto"/>
              <w:ind w:firstLine="420" w:firstLineChars="200"/>
              <w:rPr>
                <w:rFonts w:hint="eastAsia" w:ascii="宋体" w:hAnsi="宋体"/>
                <w:color w:val="auto"/>
                <w:sz w:val="21"/>
                <w:szCs w:val="21"/>
                <w:highlight w:val="none"/>
              </w:rPr>
            </w:pPr>
          </w:p>
        </w:tc>
        <w:tc>
          <w:tcPr>
            <w:tcW w:w="2181" w:type="dxa"/>
            <w:noWrap w:val="0"/>
            <w:vAlign w:val="top"/>
          </w:tcPr>
          <w:p>
            <w:pPr>
              <w:spacing w:line="360" w:lineRule="auto"/>
              <w:ind w:firstLine="420" w:firstLineChars="200"/>
              <w:rPr>
                <w:rFonts w:hint="eastAsia" w:ascii="宋体" w:hAnsi="宋体"/>
                <w:color w:val="auto"/>
                <w:sz w:val="21"/>
                <w:szCs w:val="21"/>
                <w:highlight w:val="none"/>
              </w:rPr>
            </w:pPr>
          </w:p>
        </w:tc>
        <w:tc>
          <w:tcPr>
            <w:tcW w:w="1031" w:type="dxa"/>
            <w:noWrap w:val="0"/>
            <w:vAlign w:val="top"/>
          </w:tcPr>
          <w:p>
            <w:pPr>
              <w:spacing w:line="360" w:lineRule="auto"/>
              <w:ind w:firstLine="420" w:firstLineChars="200"/>
              <w:rPr>
                <w:rFonts w:hint="eastAsia" w:ascii="宋体" w:hAnsi="宋体"/>
                <w:color w:val="auto"/>
                <w:sz w:val="21"/>
                <w:szCs w:val="21"/>
                <w:highlight w:val="none"/>
              </w:rPr>
            </w:pPr>
          </w:p>
        </w:tc>
        <w:tc>
          <w:tcPr>
            <w:tcW w:w="778" w:type="dxa"/>
            <w:noWrap w:val="0"/>
            <w:vAlign w:val="top"/>
          </w:tcPr>
          <w:p>
            <w:pPr>
              <w:spacing w:line="360" w:lineRule="auto"/>
              <w:ind w:firstLine="420" w:firstLineChars="200"/>
              <w:rPr>
                <w:rFonts w:hint="eastAsia" w:ascii="宋体" w:hAnsi="宋体"/>
                <w:color w:val="auto"/>
                <w:sz w:val="21"/>
                <w:szCs w:val="21"/>
                <w:highlight w:val="none"/>
              </w:rPr>
            </w:pPr>
          </w:p>
        </w:tc>
        <w:tc>
          <w:tcPr>
            <w:tcW w:w="914" w:type="dxa"/>
            <w:noWrap w:val="0"/>
            <w:vAlign w:val="top"/>
          </w:tcPr>
          <w:p>
            <w:pPr>
              <w:spacing w:line="360" w:lineRule="auto"/>
              <w:ind w:firstLine="420" w:firstLineChars="200"/>
              <w:rPr>
                <w:rFonts w:hint="eastAsia" w:ascii="宋体" w:hAnsi="宋体"/>
                <w:color w:val="auto"/>
                <w:sz w:val="21"/>
                <w:szCs w:val="21"/>
                <w:highlight w:val="none"/>
              </w:rPr>
            </w:pPr>
          </w:p>
        </w:tc>
      </w:tr>
    </w:tbl>
    <w:p>
      <w:pPr>
        <w:spacing w:line="360" w:lineRule="auto"/>
        <w:ind w:firstLine="420" w:firstLineChars="200"/>
        <w:rPr>
          <w:rFonts w:hint="eastAsia" w:ascii="宋体" w:hAnsi="宋体"/>
          <w:color w:val="auto"/>
          <w:sz w:val="21"/>
          <w:szCs w:val="21"/>
          <w:highlight w:val="none"/>
        </w:rPr>
      </w:pP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注：对每个需求的响应必须遵循如下规则：</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1、重复该需求；</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2、用“是/否”响应来表明该需求是否被满足（描述性需求）；</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3、描述投标人方案如何满足该需求；</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4、解释投标人方案与用户需求之间的偏差；</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5、用数量来表示的需求，必须用确切的数字、单位来响应。</w:t>
      </w:r>
    </w:p>
    <w:p>
      <w:pPr>
        <w:spacing w:line="360" w:lineRule="auto"/>
        <w:ind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w:t>
      </w:r>
    </w:p>
    <w:p>
      <w:pPr>
        <w:spacing w:line="360" w:lineRule="auto"/>
        <w:ind w:firstLine="5040" w:firstLineChars="2400"/>
        <w:rPr>
          <w:rFonts w:hint="eastAsia" w:ascii="宋体" w:hAnsi="宋体"/>
          <w:color w:val="auto"/>
          <w:sz w:val="21"/>
          <w:szCs w:val="21"/>
          <w:highlight w:val="none"/>
        </w:rPr>
      </w:pPr>
      <w:r>
        <w:rPr>
          <w:rFonts w:hint="eastAsia" w:ascii="宋体" w:hAnsi="宋体"/>
          <w:color w:val="auto"/>
          <w:sz w:val="21"/>
          <w:szCs w:val="21"/>
          <w:highlight w:val="none"/>
        </w:rPr>
        <w:t>投标人（盖章）：</w:t>
      </w:r>
    </w:p>
    <w:p>
      <w:pPr>
        <w:spacing w:line="360" w:lineRule="auto"/>
        <w:ind w:firstLine="4935" w:firstLineChars="2350"/>
        <w:rPr>
          <w:rFonts w:hint="eastAsia" w:ascii="宋体" w:hAnsi="宋体"/>
          <w:color w:val="auto"/>
          <w:sz w:val="21"/>
          <w:szCs w:val="21"/>
          <w:highlight w:val="none"/>
        </w:rPr>
      </w:pPr>
      <w:r>
        <w:rPr>
          <w:rFonts w:hint="eastAsia" w:ascii="宋体" w:hAnsi="宋体"/>
          <w:color w:val="auto"/>
          <w:sz w:val="21"/>
          <w:szCs w:val="21"/>
          <w:highlight w:val="none"/>
        </w:rPr>
        <w:t xml:space="preserve"> </w:t>
      </w:r>
      <w:r>
        <w:rPr>
          <w:rFonts w:hint="eastAsia"/>
          <w:color w:val="auto"/>
          <w:sz w:val="21"/>
          <w:szCs w:val="21"/>
          <w:highlight w:val="none"/>
        </w:rPr>
        <w:t>法定代表人或</w:t>
      </w:r>
      <w:r>
        <w:rPr>
          <w:rFonts w:hint="eastAsia" w:ascii="宋体" w:hAnsi="宋体"/>
          <w:color w:val="auto"/>
          <w:sz w:val="21"/>
          <w:szCs w:val="21"/>
          <w:highlight w:val="none"/>
        </w:rPr>
        <w:t>委托代理人（签字）：</w:t>
      </w:r>
    </w:p>
    <w:p>
      <w:pPr>
        <w:spacing w:line="360" w:lineRule="auto"/>
        <w:rPr>
          <w:rFonts w:hint="eastAsia"/>
          <w:color w:val="auto"/>
          <w:sz w:val="21"/>
          <w:szCs w:val="21"/>
          <w:highlight w:val="none"/>
        </w:rPr>
      </w:pPr>
      <w:r>
        <w:rPr>
          <w:rFonts w:hint="eastAsia" w:ascii="宋体" w:hAnsi="宋体"/>
          <w:color w:val="auto"/>
          <w:sz w:val="21"/>
          <w:szCs w:val="21"/>
          <w:highlight w:val="none"/>
        </w:rPr>
        <w:t xml:space="preserve">                                         </w:t>
      </w:r>
      <w:r>
        <w:rPr>
          <w:rFonts w:hint="eastAsia"/>
          <w:color w:val="auto"/>
          <w:sz w:val="21"/>
          <w:szCs w:val="21"/>
          <w:highlight w:val="none"/>
        </w:rPr>
        <w:t xml:space="preserve">       日      期：</w:t>
      </w:r>
    </w:p>
    <w:p>
      <w:pPr>
        <w:rPr>
          <w:b/>
          <w:bCs/>
          <w:color w:val="auto"/>
          <w:sz w:val="30"/>
          <w:szCs w:val="30"/>
          <w:highlight w:val="none"/>
        </w:rPr>
      </w:pPr>
      <w:r>
        <w:rPr>
          <w:b/>
          <w:bCs/>
          <w:color w:val="auto"/>
          <w:sz w:val="30"/>
          <w:szCs w:val="30"/>
          <w:highlight w:val="none"/>
        </w:rPr>
        <w:br w:type="page"/>
      </w:r>
    </w:p>
    <w:p>
      <w:pPr>
        <w:pStyle w:val="14"/>
        <w:spacing w:before="120" w:beforeLines="0" w:after="120" w:afterLines="0"/>
        <w:jc w:val="center"/>
        <w:rPr>
          <w:rFonts w:hint="eastAsia" w:eastAsia="楷体_GB2312"/>
          <w:b/>
          <w:bCs/>
          <w:color w:val="auto"/>
          <w:szCs w:val="28"/>
          <w:highlight w:val="none"/>
        </w:rPr>
      </w:pPr>
      <w:r>
        <w:rPr>
          <w:rFonts w:hint="eastAsia"/>
          <w:b/>
          <w:bCs/>
          <w:color w:val="auto"/>
          <w:sz w:val="28"/>
          <w:szCs w:val="28"/>
          <w:highlight w:val="none"/>
        </w:rPr>
        <w:t>商 务 偏</w:t>
      </w:r>
      <w:r>
        <w:rPr>
          <w:b/>
          <w:bCs/>
          <w:color w:val="auto"/>
          <w:sz w:val="28"/>
          <w:szCs w:val="28"/>
          <w:highlight w:val="none"/>
        </w:rPr>
        <w:t xml:space="preserve"> </w:t>
      </w:r>
      <w:r>
        <w:rPr>
          <w:rFonts w:hint="eastAsia"/>
          <w:b/>
          <w:bCs/>
          <w:color w:val="auto"/>
          <w:sz w:val="28"/>
          <w:szCs w:val="28"/>
          <w:highlight w:val="none"/>
        </w:rPr>
        <w:t>离</w:t>
      </w:r>
      <w:r>
        <w:rPr>
          <w:b/>
          <w:bCs/>
          <w:color w:val="auto"/>
          <w:sz w:val="28"/>
          <w:szCs w:val="28"/>
          <w:highlight w:val="none"/>
        </w:rPr>
        <w:t xml:space="preserve"> </w:t>
      </w:r>
      <w:r>
        <w:rPr>
          <w:rFonts w:hint="eastAsia"/>
          <w:b/>
          <w:bCs/>
          <w:color w:val="auto"/>
          <w:sz w:val="28"/>
          <w:szCs w:val="28"/>
          <w:highlight w:val="none"/>
        </w:rPr>
        <w:t>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
        <w:gridCol w:w="2045"/>
        <w:gridCol w:w="2629"/>
        <w:gridCol w:w="2426"/>
        <w:gridCol w:w="1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序</w:t>
            </w:r>
            <w:r>
              <w:rPr>
                <w:rFonts w:ascii="宋体" w:hAnsi="宋体"/>
                <w:color w:val="auto"/>
                <w:sz w:val="21"/>
                <w:szCs w:val="21"/>
                <w:highlight w:val="none"/>
              </w:rPr>
              <w:t xml:space="preserve"> </w:t>
            </w:r>
            <w:r>
              <w:rPr>
                <w:rFonts w:hint="eastAsia" w:ascii="宋体" w:hAnsi="宋体"/>
                <w:color w:val="auto"/>
                <w:sz w:val="21"/>
                <w:szCs w:val="21"/>
                <w:highlight w:val="none"/>
              </w:rPr>
              <w:t>号</w:t>
            </w:r>
          </w:p>
        </w:tc>
        <w:tc>
          <w:tcPr>
            <w:tcW w:w="20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内容</w:t>
            </w:r>
          </w:p>
        </w:tc>
        <w:tc>
          <w:tcPr>
            <w:tcW w:w="262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采购文件</w:t>
            </w:r>
          </w:p>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规范要求</w:t>
            </w:r>
          </w:p>
        </w:tc>
        <w:tc>
          <w:tcPr>
            <w:tcW w:w="24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投标文件</w:t>
            </w:r>
          </w:p>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对应规范</w:t>
            </w:r>
          </w:p>
        </w:tc>
        <w:tc>
          <w:tcPr>
            <w:tcW w:w="128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备</w:t>
            </w:r>
            <w:r>
              <w:rPr>
                <w:rFonts w:ascii="宋体" w:hAnsi="宋体"/>
                <w:color w:val="auto"/>
                <w:sz w:val="21"/>
                <w:szCs w:val="21"/>
                <w:highlight w:val="none"/>
              </w:rPr>
              <w:t xml:space="preserve"> </w:t>
            </w:r>
            <w:r>
              <w:rPr>
                <w:rFonts w:hint="eastAsia" w:ascii="宋体" w:hAnsi="宋体"/>
                <w:color w:val="auto"/>
                <w:sz w:val="21"/>
                <w:szCs w:val="21"/>
                <w:highlight w:val="none"/>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5" w:hRule="atLeast"/>
          <w:jc w:val="center"/>
        </w:trPr>
        <w:tc>
          <w:tcPr>
            <w:tcW w:w="89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045"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629"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2426"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c>
          <w:tcPr>
            <w:tcW w:w="1281"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20" w:firstLineChars="200"/>
              <w:rPr>
                <w:rFonts w:ascii="宋体" w:hAnsi="宋体"/>
                <w:color w:val="auto"/>
                <w:sz w:val="21"/>
                <w:szCs w:val="21"/>
                <w:highlight w:val="none"/>
              </w:rPr>
            </w:pPr>
          </w:p>
        </w:tc>
      </w:tr>
    </w:tbl>
    <w:p>
      <w:pPr>
        <w:spacing w:line="360" w:lineRule="auto"/>
        <w:ind w:firstLine="1050" w:firstLineChars="500"/>
        <w:rPr>
          <w:rFonts w:hint="eastAsia" w:ascii="宋体" w:hAnsi="宋体"/>
          <w:color w:val="auto"/>
          <w:sz w:val="21"/>
          <w:szCs w:val="21"/>
          <w:highlight w:val="none"/>
        </w:rPr>
      </w:pPr>
    </w:p>
    <w:p>
      <w:pPr>
        <w:spacing w:line="360" w:lineRule="auto"/>
        <w:ind w:firstLine="1050" w:firstLineChars="500"/>
        <w:rPr>
          <w:rFonts w:hint="eastAsia" w:ascii="宋体" w:hAnsi="宋体"/>
          <w:color w:val="auto"/>
          <w:sz w:val="21"/>
          <w:szCs w:val="21"/>
          <w:highlight w:val="none"/>
        </w:rPr>
      </w:pPr>
    </w:p>
    <w:p>
      <w:pPr>
        <w:spacing w:line="360" w:lineRule="auto"/>
        <w:ind w:firstLine="1050" w:firstLineChars="500"/>
        <w:rPr>
          <w:rFonts w:hint="eastAsia" w:ascii="宋体" w:hAnsi="宋体"/>
          <w:color w:val="auto"/>
          <w:sz w:val="21"/>
          <w:szCs w:val="21"/>
          <w:highlight w:val="none"/>
        </w:rPr>
      </w:pPr>
    </w:p>
    <w:p>
      <w:pPr>
        <w:spacing w:line="360" w:lineRule="auto"/>
        <w:ind w:firstLine="1050" w:firstLineChars="500"/>
        <w:rPr>
          <w:rFonts w:hint="eastAsia" w:ascii="宋体" w:hAnsi="宋体"/>
          <w:color w:val="auto"/>
          <w:sz w:val="21"/>
          <w:szCs w:val="21"/>
          <w:highlight w:val="none"/>
        </w:rPr>
      </w:pPr>
    </w:p>
    <w:p>
      <w:pPr>
        <w:spacing w:line="360" w:lineRule="auto"/>
        <w:ind w:firstLine="5145" w:firstLineChars="2450"/>
        <w:rPr>
          <w:rFonts w:hint="eastAsia" w:ascii="宋体" w:hAnsi="宋体"/>
          <w:color w:val="auto"/>
          <w:sz w:val="21"/>
          <w:szCs w:val="21"/>
          <w:highlight w:val="none"/>
        </w:rPr>
      </w:pPr>
      <w:r>
        <w:rPr>
          <w:rFonts w:hint="eastAsia" w:ascii="宋体" w:hAnsi="宋体"/>
          <w:color w:val="auto"/>
          <w:sz w:val="21"/>
          <w:szCs w:val="21"/>
          <w:highlight w:val="none"/>
        </w:rPr>
        <w:t>投标人（盖章）：</w:t>
      </w:r>
    </w:p>
    <w:p>
      <w:pPr>
        <w:spacing w:line="360" w:lineRule="auto"/>
        <w:ind w:firstLine="4935" w:firstLineChars="2350"/>
        <w:rPr>
          <w:rFonts w:hint="eastAsia" w:ascii="宋体" w:hAnsi="宋体"/>
          <w:color w:val="auto"/>
          <w:sz w:val="21"/>
          <w:szCs w:val="21"/>
          <w:highlight w:val="none"/>
        </w:rPr>
      </w:pPr>
      <w:r>
        <w:rPr>
          <w:rFonts w:hint="eastAsia" w:ascii="宋体" w:hAnsi="宋体"/>
          <w:color w:val="auto"/>
          <w:sz w:val="21"/>
          <w:szCs w:val="21"/>
          <w:highlight w:val="none"/>
        </w:rPr>
        <w:t xml:space="preserve"> </w:t>
      </w:r>
      <w:r>
        <w:rPr>
          <w:rFonts w:hint="eastAsia"/>
          <w:color w:val="auto"/>
          <w:sz w:val="21"/>
          <w:szCs w:val="21"/>
          <w:highlight w:val="none"/>
        </w:rPr>
        <w:t>法定代表人或</w:t>
      </w:r>
      <w:r>
        <w:rPr>
          <w:rFonts w:hint="eastAsia" w:ascii="宋体" w:hAnsi="宋体"/>
          <w:color w:val="auto"/>
          <w:sz w:val="21"/>
          <w:szCs w:val="21"/>
          <w:highlight w:val="none"/>
        </w:rPr>
        <w:t>委托代理人（签字）：</w:t>
      </w:r>
    </w:p>
    <w:p>
      <w:pPr>
        <w:spacing w:line="360" w:lineRule="auto"/>
        <w:rPr>
          <w:rFonts w:hint="eastAsia"/>
          <w:color w:val="auto"/>
          <w:sz w:val="21"/>
          <w:szCs w:val="21"/>
          <w:highlight w:val="none"/>
        </w:rPr>
      </w:pPr>
      <w:r>
        <w:rPr>
          <w:rFonts w:hint="eastAsia" w:ascii="宋体" w:hAnsi="宋体"/>
          <w:color w:val="auto"/>
          <w:sz w:val="21"/>
          <w:szCs w:val="21"/>
          <w:highlight w:val="none"/>
        </w:rPr>
        <w:t xml:space="preserve">                                         </w:t>
      </w:r>
      <w:r>
        <w:rPr>
          <w:rFonts w:hint="eastAsia"/>
          <w:color w:val="auto"/>
          <w:sz w:val="21"/>
          <w:szCs w:val="21"/>
          <w:highlight w:val="none"/>
        </w:rPr>
        <w:t xml:space="preserve">       日      期：</w:t>
      </w:r>
    </w:p>
    <w:p>
      <w:pPr>
        <w:rPr>
          <w:b/>
          <w:bCs/>
          <w:color w:val="auto"/>
          <w:sz w:val="30"/>
          <w:szCs w:val="30"/>
          <w:highlight w:val="none"/>
        </w:rPr>
      </w:pPr>
    </w:p>
    <w:p>
      <w:pPr>
        <w:rPr>
          <w:b/>
          <w:bCs/>
          <w:color w:val="auto"/>
          <w:sz w:val="30"/>
          <w:szCs w:val="30"/>
          <w:highlight w:val="none"/>
        </w:rPr>
      </w:pPr>
      <w:r>
        <w:rPr>
          <w:b/>
          <w:bCs/>
          <w:color w:val="auto"/>
          <w:sz w:val="30"/>
          <w:szCs w:val="30"/>
          <w:highlight w:val="none"/>
        </w:rPr>
        <w:br w:type="page"/>
      </w:r>
    </w:p>
    <w:p>
      <w:pPr>
        <w:jc w:val="center"/>
        <w:rPr>
          <w:rFonts w:hint="eastAsia" w:ascii="宋体" w:hAnsi="宋体"/>
          <w:b/>
          <w:bCs/>
          <w:color w:val="auto"/>
          <w:szCs w:val="28"/>
          <w:highlight w:val="none"/>
        </w:rPr>
      </w:pPr>
      <w:r>
        <w:rPr>
          <w:rFonts w:hint="eastAsia" w:ascii="宋体" w:hAnsi="宋体"/>
          <w:b/>
          <w:bCs/>
          <w:color w:val="auto"/>
          <w:szCs w:val="28"/>
          <w:highlight w:val="none"/>
        </w:rPr>
        <w:t>类似项目业绩汇总表</w:t>
      </w:r>
    </w:p>
    <w:p>
      <w:pPr>
        <w:jc w:val="center"/>
        <w:rPr>
          <w:rFonts w:hint="eastAsia" w:ascii="宋体" w:hAnsi="宋体"/>
          <w:b/>
          <w:bCs/>
          <w:color w:val="auto"/>
          <w:sz w:val="18"/>
          <w:szCs w:val="18"/>
          <w:highlight w:val="none"/>
        </w:rPr>
      </w:pP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4140"/>
        <w:gridCol w:w="1440"/>
        <w:gridCol w:w="144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836" w:type="dxa"/>
            <w:noWrap w:val="0"/>
            <w:vAlign w:val="center"/>
          </w:tcPr>
          <w:p>
            <w:pPr>
              <w:jc w:val="center"/>
              <w:rPr>
                <w:rFonts w:hint="eastAsia"/>
                <w:color w:val="auto"/>
                <w:sz w:val="21"/>
                <w:szCs w:val="21"/>
                <w:highlight w:val="none"/>
              </w:rPr>
            </w:pPr>
            <w:r>
              <w:rPr>
                <w:rFonts w:hint="eastAsia"/>
                <w:color w:val="auto"/>
                <w:sz w:val="21"/>
                <w:szCs w:val="21"/>
                <w:highlight w:val="none"/>
              </w:rPr>
              <w:t>序号</w:t>
            </w:r>
          </w:p>
        </w:tc>
        <w:tc>
          <w:tcPr>
            <w:tcW w:w="4140" w:type="dxa"/>
            <w:noWrap w:val="0"/>
            <w:vAlign w:val="center"/>
          </w:tcPr>
          <w:p>
            <w:pPr>
              <w:jc w:val="center"/>
              <w:rPr>
                <w:color w:val="auto"/>
                <w:sz w:val="21"/>
                <w:szCs w:val="21"/>
                <w:highlight w:val="none"/>
              </w:rPr>
            </w:pPr>
            <w:r>
              <w:rPr>
                <w:rFonts w:hint="eastAsia"/>
                <w:color w:val="auto"/>
                <w:sz w:val="21"/>
                <w:szCs w:val="21"/>
                <w:highlight w:val="none"/>
              </w:rPr>
              <w:t>项目名称</w:t>
            </w:r>
          </w:p>
        </w:tc>
        <w:tc>
          <w:tcPr>
            <w:tcW w:w="1440" w:type="dxa"/>
            <w:noWrap w:val="0"/>
            <w:vAlign w:val="center"/>
          </w:tcPr>
          <w:p>
            <w:pPr>
              <w:jc w:val="center"/>
              <w:rPr>
                <w:rFonts w:hint="eastAsia"/>
                <w:color w:val="auto"/>
                <w:sz w:val="21"/>
                <w:szCs w:val="21"/>
                <w:highlight w:val="none"/>
              </w:rPr>
            </w:pPr>
            <w:r>
              <w:rPr>
                <w:rFonts w:hint="eastAsia"/>
                <w:color w:val="auto"/>
                <w:sz w:val="21"/>
                <w:szCs w:val="21"/>
                <w:highlight w:val="none"/>
              </w:rPr>
              <w:t>工程规模</w:t>
            </w:r>
          </w:p>
        </w:tc>
        <w:tc>
          <w:tcPr>
            <w:tcW w:w="1440" w:type="dxa"/>
            <w:noWrap w:val="0"/>
            <w:vAlign w:val="center"/>
          </w:tcPr>
          <w:p>
            <w:pPr>
              <w:jc w:val="center"/>
              <w:rPr>
                <w:rFonts w:hint="eastAsia"/>
                <w:color w:val="auto"/>
                <w:sz w:val="21"/>
                <w:szCs w:val="21"/>
                <w:highlight w:val="none"/>
              </w:rPr>
            </w:pPr>
            <w:r>
              <w:rPr>
                <w:rFonts w:hint="eastAsia"/>
                <w:color w:val="auto"/>
                <w:sz w:val="21"/>
                <w:szCs w:val="21"/>
                <w:highlight w:val="none"/>
              </w:rPr>
              <w:t>完工时间</w:t>
            </w:r>
          </w:p>
        </w:tc>
        <w:tc>
          <w:tcPr>
            <w:tcW w:w="1440" w:type="dxa"/>
            <w:noWrap w:val="0"/>
            <w:vAlign w:val="center"/>
          </w:tcPr>
          <w:p>
            <w:pPr>
              <w:jc w:val="center"/>
              <w:rPr>
                <w:rFonts w:hint="eastAsia"/>
                <w:color w:val="auto"/>
                <w:sz w:val="21"/>
                <w:szCs w:val="21"/>
                <w:highlight w:val="none"/>
              </w:rPr>
            </w:pPr>
            <w:r>
              <w:rPr>
                <w:rFonts w:hint="eastAsia"/>
                <w:color w:val="auto"/>
                <w:sz w:val="21"/>
                <w:szCs w:val="21"/>
                <w:highlight w:val="none"/>
              </w:rPr>
              <w:t>建设方联系电话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836" w:type="dxa"/>
            <w:noWrap w:val="0"/>
            <w:vAlign w:val="top"/>
          </w:tcPr>
          <w:p>
            <w:pPr>
              <w:jc w:val="center"/>
              <w:rPr>
                <w:rFonts w:hint="eastAsia"/>
                <w:color w:val="auto"/>
                <w:sz w:val="21"/>
                <w:szCs w:val="21"/>
                <w:highlight w:val="none"/>
              </w:rPr>
            </w:pPr>
          </w:p>
        </w:tc>
        <w:tc>
          <w:tcPr>
            <w:tcW w:w="41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c>
          <w:tcPr>
            <w:tcW w:w="1440" w:type="dxa"/>
            <w:noWrap w:val="0"/>
            <w:vAlign w:val="top"/>
          </w:tcPr>
          <w:p>
            <w:pPr>
              <w:jc w:val="center"/>
              <w:rPr>
                <w:color w:val="auto"/>
                <w:sz w:val="21"/>
                <w:szCs w:val="21"/>
                <w:highlight w:val="none"/>
              </w:rPr>
            </w:pPr>
          </w:p>
        </w:tc>
      </w:tr>
    </w:tbl>
    <w:p>
      <w:pPr>
        <w:pStyle w:val="3"/>
        <w:ind w:firstLine="101" w:firstLineChars="50"/>
        <w:rPr>
          <w:color w:val="auto"/>
          <w:sz w:val="21"/>
          <w:szCs w:val="21"/>
          <w:highlight w:val="none"/>
        </w:rPr>
      </w:pPr>
      <w:r>
        <w:rPr>
          <w:color w:val="auto"/>
          <w:sz w:val="21"/>
          <w:szCs w:val="21"/>
          <w:highlight w:val="none"/>
        </w:rPr>
        <w:t xml:space="preserve"> </w:t>
      </w:r>
    </w:p>
    <w:p>
      <w:pPr>
        <w:pStyle w:val="3"/>
        <w:ind w:firstLine="101" w:firstLineChars="50"/>
        <w:rPr>
          <w:color w:val="auto"/>
          <w:sz w:val="21"/>
          <w:szCs w:val="21"/>
          <w:highlight w:val="none"/>
        </w:rPr>
      </w:pPr>
      <w:r>
        <w:rPr>
          <w:color w:val="auto"/>
          <w:sz w:val="21"/>
          <w:szCs w:val="21"/>
          <w:highlight w:val="none"/>
        </w:rPr>
        <w:t>附：相关证明材料</w:t>
      </w:r>
    </w:p>
    <w:p>
      <w:pPr>
        <w:pStyle w:val="3"/>
        <w:ind w:firstLine="0"/>
        <w:rPr>
          <w:b/>
          <w:bCs/>
          <w:color w:val="auto"/>
          <w:sz w:val="21"/>
          <w:szCs w:val="21"/>
          <w:highlight w:val="none"/>
        </w:rPr>
      </w:pPr>
      <w:r>
        <w:rPr>
          <w:color w:val="auto"/>
          <w:sz w:val="21"/>
          <w:szCs w:val="21"/>
          <w:highlight w:val="none"/>
        </w:rPr>
        <w:t xml:space="preserve"> </w:t>
      </w:r>
    </w:p>
    <w:p>
      <w:pPr>
        <w:spacing w:line="440" w:lineRule="exact"/>
        <w:rPr>
          <w:rFonts w:hint="eastAsia" w:ascii="宋体"/>
          <w:color w:val="auto"/>
          <w:sz w:val="21"/>
          <w:szCs w:val="21"/>
          <w:highlight w:val="none"/>
          <w:u w:val="single"/>
        </w:rPr>
      </w:pPr>
      <w:r>
        <w:rPr>
          <w:rFonts w:hint="eastAsia"/>
          <w:b/>
          <w:bCs/>
          <w:color w:val="auto"/>
          <w:sz w:val="21"/>
          <w:szCs w:val="21"/>
          <w:highlight w:val="none"/>
        </w:rPr>
        <w:t xml:space="preserve">                       </w:t>
      </w:r>
      <w:r>
        <w:rPr>
          <w:rFonts w:hint="eastAsia"/>
          <w:b/>
          <w:bCs/>
          <w:color w:val="auto"/>
          <w:sz w:val="21"/>
          <w:szCs w:val="21"/>
          <w:highlight w:val="none"/>
          <w:lang w:val="en-US" w:eastAsia="zh-CN"/>
        </w:rPr>
        <w:t xml:space="preserve">             </w:t>
      </w:r>
      <w:r>
        <w:rPr>
          <w:rFonts w:hint="eastAsia"/>
          <w:b/>
          <w:bCs/>
          <w:color w:val="auto"/>
          <w:sz w:val="21"/>
          <w:szCs w:val="21"/>
          <w:highlight w:val="none"/>
        </w:rPr>
        <w:t xml:space="preserve"> </w:t>
      </w:r>
      <w:r>
        <w:rPr>
          <w:rFonts w:hint="eastAsia" w:ascii="宋体"/>
          <w:color w:val="auto"/>
          <w:sz w:val="21"/>
          <w:szCs w:val="21"/>
          <w:highlight w:val="none"/>
        </w:rPr>
        <w:t>投标人：</w:t>
      </w:r>
      <w:r>
        <w:rPr>
          <w:rFonts w:hint="eastAsia" w:ascii="宋体"/>
          <w:color w:val="auto"/>
          <w:sz w:val="21"/>
          <w:szCs w:val="21"/>
          <w:highlight w:val="none"/>
          <w:u w:val="single"/>
        </w:rPr>
        <w:t xml:space="preserve">                  （盖章）</w:t>
      </w:r>
    </w:p>
    <w:p>
      <w:pPr>
        <w:spacing w:line="440" w:lineRule="exact"/>
        <w:rPr>
          <w:rFonts w:hint="eastAsia" w:ascii="宋体"/>
          <w:color w:val="auto"/>
          <w:sz w:val="21"/>
          <w:szCs w:val="21"/>
          <w:highlight w:val="none"/>
        </w:rPr>
      </w:pPr>
      <w:r>
        <w:rPr>
          <w:rFonts w:hint="eastAsia" w:ascii="宋体"/>
          <w:color w:val="auto"/>
          <w:sz w:val="21"/>
          <w:szCs w:val="21"/>
          <w:highlight w:val="none"/>
        </w:rPr>
        <w:t xml:space="preserve">                                     </w:t>
      </w:r>
    </w:p>
    <w:p>
      <w:pPr>
        <w:spacing w:line="440" w:lineRule="exact"/>
        <w:rPr>
          <w:rFonts w:hint="eastAsia" w:ascii="宋体"/>
          <w:color w:val="auto"/>
          <w:sz w:val="21"/>
          <w:szCs w:val="21"/>
          <w:highlight w:val="none"/>
        </w:rPr>
      </w:pPr>
      <w:r>
        <w:rPr>
          <w:rFonts w:hint="eastAsia" w:ascii="宋体"/>
          <w:color w:val="auto"/>
          <w:sz w:val="21"/>
          <w:szCs w:val="21"/>
          <w:highlight w:val="none"/>
        </w:rPr>
        <w:t xml:space="preserve">                                     法定代表人（或委托代理人）：</w:t>
      </w:r>
      <w:r>
        <w:rPr>
          <w:rFonts w:hint="eastAsia" w:ascii="宋体"/>
          <w:color w:val="auto"/>
          <w:sz w:val="21"/>
          <w:szCs w:val="21"/>
          <w:highlight w:val="none"/>
          <w:u w:val="single"/>
        </w:rPr>
        <w:t xml:space="preserve">             （签字）</w:t>
      </w:r>
    </w:p>
    <w:p>
      <w:pPr>
        <w:spacing w:line="440" w:lineRule="exact"/>
        <w:rPr>
          <w:rFonts w:hint="eastAsia" w:ascii="宋体"/>
          <w:color w:val="auto"/>
          <w:sz w:val="21"/>
          <w:szCs w:val="21"/>
          <w:highlight w:val="none"/>
        </w:rPr>
      </w:pPr>
      <w:r>
        <w:rPr>
          <w:rFonts w:hint="eastAsia" w:ascii="宋体"/>
          <w:color w:val="auto"/>
          <w:sz w:val="21"/>
          <w:szCs w:val="21"/>
          <w:highlight w:val="none"/>
        </w:rPr>
        <w:t xml:space="preserve">                                                    </w:t>
      </w:r>
    </w:p>
    <w:p>
      <w:pPr>
        <w:spacing w:line="360" w:lineRule="auto"/>
        <w:rPr>
          <w:rFonts w:hint="eastAsia" w:ascii="仿宋_GB2312" w:eastAsia="仿宋_GB2312" w:cs="宋体"/>
          <w:color w:val="auto"/>
          <w:spacing w:val="-4"/>
          <w:kern w:val="0"/>
          <w:sz w:val="21"/>
          <w:szCs w:val="21"/>
          <w:highlight w:val="none"/>
        </w:rPr>
      </w:pPr>
      <w:r>
        <w:rPr>
          <w:rFonts w:hint="eastAsia" w:ascii="宋体"/>
          <w:color w:val="auto"/>
          <w:sz w:val="21"/>
          <w:szCs w:val="21"/>
          <w:highlight w:val="none"/>
        </w:rPr>
        <w:t xml:space="preserve">                                     年   月    日</w:t>
      </w:r>
    </w:p>
    <w:p>
      <w:pPr>
        <w:rPr>
          <w:b/>
          <w:bCs/>
          <w:color w:val="auto"/>
          <w:sz w:val="30"/>
          <w:szCs w:val="30"/>
          <w:highlight w:val="none"/>
        </w:rPr>
      </w:pPr>
      <w:r>
        <w:rPr>
          <w:b/>
          <w:bCs/>
          <w:color w:val="auto"/>
          <w:sz w:val="30"/>
          <w:szCs w:val="30"/>
          <w:highlight w:val="none"/>
        </w:rPr>
        <w:br w:type="page"/>
      </w:r>
    </w:p>
    <w:p>
      <w:pPr>
        <w:spacing w:line="460" w:lineRule="exact"/>
        <w:ind w:firstLine="432"/>
        <w:jc w:val="center"/>
        <w:rPr>
          <w:b/>
          <w:bCs/>
          <w:color w:val="auto"/>
          <w:sz w:val="30"/>
          <w:szCs w:val="30"/>
          <w:highlight w:val="none"/>
        </w:rPr>
      </w:pPr>
      <w:r>
        <w:rPr>
          <w:b/>
          <w:bCs/>
          <w:color w:val="auto"/>
          <w:sz w:val="30"/>
          <w:szCs w:val="30"/>
          <w:highlight w:val="none"/>
        </w:rPr>
        <w:t>法定代表人</w:t>
      </w:r>
      <w:r>
        <w:rPr>
          <w:rFonts w:hint="eastAsia"/>
          <w:b/>
          <w:bCs/>
          <w:color w:val="auto"/>
          <w:sz w:val="30"/>
          <w:szCs w:val="30"/>
          <w:highlight w:val="none"/>
        </w:rPr>
        <w:t>身份证明书</w:t>
      </w:r>
    </w:p>
    <w:p>
      <w:pPr>
        <w:spacing w:line="460" w:lineRule="exact"/>
        <w:ind w:firstLine="432"/>
        <w:jc w:val="center"/>
        <w:rPr>
          <w:b/>
          <w:bCs/>
          <w:color w:val="auto"/>
          <w:sz w:val="44"/>
          <w:highlight w:val="none"/>
        </w:rPr>
      </w:pPr>
    </w:p>
    <w:p>
      <w:pPr>
        <w:spacing w:line="460" w:lineRule="exact"/>
        <w:ind w:firstLine="432"/>
        <w:jc w:val="center"/>
        <w:rPr>
          <w:b/>
          <w:bCs/>
          <w:color w:val="auto"/>
          <w:sz w:val="44"/>
          <w:highlight w:val="none"/>
        </w:rPr>
      </w:pPr>
    </w:p>
    <w:p>
      <w:pPr>
        <w:spacing w:line="600" w:lineRule="exact"/>
        <w:ind w:firstLine="431"/>
        <w:rPr>
          <w:color w:val="auto"/>
          <w:sz w:val="21"/>
          <w:szCs w:val="21"/>
          <w:highlight w:val="none"/>
          <w:u w:val="single"/>
        </w:rPr>
      </w:pPr>
      <w:r>
        <w:rPr>
          <w:color w:val="auto"/>
          <w:sz w:val="21"/>
          <w:szCs w:val="21"/>
          <w:highlight w:val="none"/>
        </w:rPr>
        <w:t>投标人名称：</w:t>
      </w:r>
      <w:r>
        <w:rPr>
          <w:color w:val="auto"/>
          <w:sz w:val="21"/>
          <w:szCs w:val="21"/>
          <w:highlight w:val="none"/>
          <w:u w:val="single"/>
        </w:rPr>
        <w:t xml:space="preserve">                              </w:t>
      </w:r>
    </w:p>
    <w:p>
      <w:pPr>
        <w:spacing w:line="600" w:lineRule="exact"/>
        <w:ind w:firstLine="431"/>
        <w:rPr>
          <w:color w:val="auto"/>
          <w:sz w:val="21"/>
          <w:szCs w:val="21"/>
          <w:highlight w:val="none"/>
          <w:u w:val="single"/>
        </w:rPr>
      </w:pPr>
      <w:r>
        <w:rPr>
          <w:color w:val="auto"/>
          <w:spacing w:val="26"/>
          <w:sz w:val="21"/>
          <w:szCs w:val="21"/>
          <w:highlight w:val="none"/>
        </w:rPr>
        <w:t>单位性质</w:t>
      </w:r>
      <w:r>
        <w:rPr>
          <w:color w:val="auto"/>
          <w:sz w:val="21"/>
          <w:szCs w:val="21"/>
          <w:highlight w:val="none"/>
        </w:rPr>
        <w:t>：</w:t>
      </w:r>
      <w:r>
        <w:rPr>
          <w:color w:val="auto"/>
          <w:sz w:val="21"/>
          <w:szCs w:val="21"/>
          <w:highlight w:val="none"/>
          <w:u w:val="single"/>
        </w:rPr>
        <w:t xml:space="preserve">                              </w:t>
      </w:r>
    </w:p>
    <w:p>
      <w:pPr>
        <w:spacing w:line="600" w:lineRule="exact"/>
        <w:ind w:firstLine="431"/>
        <w:rPr>
          <w:color w:val="auto"/>
          <w:sz w:val="21"/>
          <w:szCs w:val="21"/>
          <w:highlight w:val="none"/>
          <w:u w:val="single"/>
        </w:rPr>
      </w:pPr>
      <w:r>
        <w:rPr>
          <w:color w:val="auto"/>
          <w:sz w:val="21"/>
          <w:szCs w:val="21"/>
          <w:highlight w:val="none"/>
        </w:rPr>
        <w:t>地      址：</w:t>
      </w:r>
      <w:r>
        <w:rPr>
          <w:color w:val="auto"/>
          <w:sz w:val="21"/>
          <w:szCs w:val="21"/>
          <w:highlight w:val="none"/>
          <w:u w:val="single"/>
        </w:rPr>
        <w:t xml:space="preserve">                              </w:t>
      </w:r>
    </w:p>
    <w:p>
      <w:pPr>
        <w:spacing w:line="600" w:lineRule="exact"/>
        <w:ind w:firstLine="431"/>
        <w:rPr>
          <w:color w:val="auto"/>
          <w:sz w:val="21"/>
          <w:szCs w:val="21"/>
          <w:highlight w:val="none"/>
          <w:u w:val="single"/>
        </w:rPr>
      </w:pPr>
      <w:r>
        <w:rPr>
          <w:color w:val="auto"/>
          <w:spacing w:val="26"/>
          <w:sz w:val="21"/>
          <w:szCs w:val="21"/>
          <w:highlight w:val="none"/>
        </w:rPr>
        <w:t>成立时间</w:t>
      </w:r>
      <w:r>
        <w:rPr>
          <w:color w:val="auto"/>
          <w:sz w:val="21"/>
          <w:szCs w:val="21"/>
          <w:highlight w:val="none"/>
        </w:rPr>
        <w:t>：</w:t>
      </w:r>
      <w:r>
        <w:rPr>
          <w:color w:val="auto"/>
          <w:sz w:val="21"/>
          <w:szCs w:val="21"/>
          <w:highlight w:val="none"/>
          <w:u w:val="single"/>
        </w:rPr>
        <w:t xml:space="preserve">     </w:t>
      </w:r>
      <w:r>
        <w:rPr>
          <w:color w:val="auto"/>
          <w:sz w:val="21"/>
          <w:szCs w:val="21"/>
          <w:highlight w:val="none"/>
        </w:rPr>
        <w:t>年</w:t>
      </w:r>
      <w:r>
        <w:rPr>
          <w:color w:val="auto"/>
          <w:sz w:val="21"/>
          <w:szCs w:val="21"/>
          <w:highlight w:val="none"/>
          <w:u w:val="single"/>
        </w:rPr>
        <w:t xml:space="preserve">    </w:t>
      </w:r>
      <w:r>
        <w:rPr>
          <w:color w:val="auto"/>
          <w:sz w:val="21"/>
          <w:szCs w:val="21"/>
          <w:highlight w:val="none"/>
        </w:rPr>
        <w:t>月</w:t>
      </w:r>
      <w:r>
        <w:rPr>
          <w:color w:val="auto"/>
          <w:sz w:val="21"/>
          <w:szCs w:val="21"/>
          <w:highlight w:val="none"/>
          <w:u w:val="single"/>
        </w:rPr>
        <w:t xml:space="preserve">    </w:t>
      </w:r>
      <w:r>
        <w:rPr>
          <w:color w:val="auto"/>
          <w:sz w:val="21"/>
          <w:szCs w:val="21"/>
          <w:highlight w:val="none"/>
        </w:rPr>
        <w:t>日</w:t>
      </w:r>
    </w:p>
    <w:p>
      <w:pPr>
        <w:spacing w:line="600" w:lineRule="exact"/>
        <w:ind w:firstLine="431"/>
        <w:rPr>
          <w:color w:val="auto"/>
          <w:sz w:val="21"/>
          <w:szCs w:val="21"/>
          <w:highlight w:val="none"/>
          <w:u w:val="single"/>
        </w:rPr>
      </w:pPr>
      <w:r>
        <w:rPr>
          <w:color w:val="auto"/>
          <w:spacing w:val="26"/>
          <w:sz w:val="21"/>
          <w:szCs w:val="21"/>
          <w:highlight w:val="none"/>
        </w:rPr>
        <w:t>经营期限</w:t>
      </w:r>
      <w:r>
        <w:rPr>
          <w:color w:val="auto"/>
          <w:sz w:val="21"/>
          <w:szCs w:val="21"/>
          <w:highlight w:val="none"/>
        </w:rPr>
        <w:t>：</w:t>
      </w:r>
      <w:r>
        <w:rPr>
          <w:color w:val="auto"/>
          <w:sz w:val="21"/>
          <w:szCs w:val="21"/>
          <w:highlight w:val="none"/>
          <w:u w:val="single"/>
        </w:rPr>
        <w:t xml:space="preserve">                       </w:t>
      </w:r>
    </w:p>
    <w:p>
      <w:pPr>
        <w:spacing w:line="600" w:lineRule="exact"/>
        <w:ind w:firstLine="431"/>
        <w:rPr>
          <w:color w:val="auto"/>
          <w:sz w:val="21"/>
          <w:szCs w:val="21"/>
          <w:highlight w:val="none"/>
          <w:u w:val="single"/>
        </w:rPr>
      </w:pPr>
      <w:r>
        <w:rPr>
          <w:color w:val="auto"/>
          <w:sz w:val="21"/>
          <w:szCs w:val="21"/>
          <w:highlight w:val="none"/>
        </w:rPr>
        <w:t>姓      名：</w:t>
      </w:r>
      <w:r>
        <w:rPr>
          <w:color w:val="auto"/>
          <w:sz w:val="21"/>
          <w:szCs w:val="21"/>
          <w:highlight w:val="none"/>
          <w:u w:val="single"/>
        </w:rPr>
        <w:t xml:space="preserve">           </w:t>
      </w:r>
      <w:r>
        <w:rPr>
          <w:color w:val="auto"/>
          <w:sz w:val="21"/>
          <w:szCs w:val="21"/>
          <w:highlight w:val="none"/>
        </w:rPr>
        <w:t>性别：</w:t>
      </w:r>
      <w:r>
        <w:rPr>
          <w:color w:val="auto"/>
          <w:sz w:val="21"/>
          <w:szCs w:val="21"/>
          <w:highlight w:val="none"/>
          <w:u w:val="single"/>
        </w:rPr>
        <w:t xml:space="preserve">     </w:t>
      </w:r>
      <w:r>
        <w:rPr>
          <w:color w:val="auto"/>
          <w:sz w:val="21"/>
          <w:szCs w:val="21"/>
          <w:highlight w:val="none"/>
        </w:rPr>
        <w:t>年龄：</w:t>
      </w:r>
      <w:r>
        <w:rPr>
          <w:color w:val="auto"/>
          <w:sz w:val="21"/>
          <w:szCs w:val="21"/>
          <w:highlight w:val="none"/>
          <w:u w:val="single"/>
        </w:rPr>
        <w:t xml:space="preserve">      </w:t>
      </w:r>
      <w:r>
        <w:rPr>
          <w:color w:val="auto"/>
          <w:sz w:val="21"/>
          <w:szCs w:val="21"/>
          <w:highlight w:val="none"/>
        </w:rPr>
        <w:t>职务：</w:t>
      </w:r>
      <w:r>
        <w:rPr>
          <w:color w:val="auto"/>
          <w:sz w:val="21"/>
          <w:szCs w:val="21"/>
          <w:highlight w:val="none"/>
          <w:u w:val="single"/>
        </w:rPr>
        <w:t xml:space="preserve">           </w:t>
      </w:r>
    </w:p>
    <w:p>
      <w:pPr>
        <w:spacing w:line="600" w:lineRule="exact"/>
        <w:ind w:firstLine="431"/>
        <w:rPr>
          <w:color w:val="auto"/>
          <w:sz w:val="21"/>
          <w:szCs w:val="21"/>
          <w:highlight w:val="none"/>
        </w:rPr>
      </w:pPr>
      <w:r>
        <w:rPr>
          <w:color w:val="auto"/>
          <w:sz w:val="21"/>
          <w:szCs w:val="21"/>
          <w:highlight w:val="none"/>
        </w:rPr>
        <w:t>系</w:t>
      </w:r>
      <w:r>
        <w:rPr>
          <w:color w:val="auto"/>
          <w:sz w:val="21"/>
          <w:szCs w:val="21"/>
          <w:highlight w:val="none"/>
          <w:u w:val="single"/>
        </w:rPr>
        <w:t xml:space="preserve">                            </w:t>
      </w:r>
      <w:r>
        <w:rPr>
          <w:color w:val="auto"/>
          <w:sz w:val="21"/>
          <w:szCs w:val="21"/>
          <w:highlight w:val="none"/>
        </w:rPr>
        <w:t>（投标人名称）的法定代表人</w:t>
      </w:r>
    </w:p>
    <w:p>
      <w:pPr>
        <w:spacing w:line="600" w:lineRule="exact"/>
        <w:ind w:firstLine="741" w:firstLineChars="353"/>
        <w:rPr>
          <w:color w:val="auto"/>
          <w:sz w:val="21"/>
          <w:szCs w:val="21"/>
          <w:highlight w:val="none"/>
        </w:rPr>
      </w:pPr>
      <w:r>
        <w:rPr>
          <w:color w:val="auto"/>
          <w:sz w:val="21"/>
          <w:szCs w:val="21"/>
          <w:highlight w:val="none"/>
        </w:rPr>
        <w:t>特此证明。</w:t>
      </w:r>
    </w:p>
    <w:p>
      <w:pPr>
        <w:spacing w:line="460" w:lineRule="exact"/>
        <w:ind w:firstLine="744" w:firstLineChars="353"/>
        <w:rPr>
          <w:color w:val="auto"/>
          <w:sz w:val="21"/>
          <w:szCs w:val="21"/>
          <w:highlight w:val="none"/>
        </w:rPr>
      </w:pPr>
      <w:r>
        <w:rPr>
          <w:b/>
          <w:color w:val="auto"/>
          <w:sz w:val="21"/>
          <w:szCs w:val="21"/>
          <w:highlight w:val="none"/>
        </w:rPr>
        <w:t>法定代表人身份证复印件：</w:t>
      </w:r>
    </w:p>
    <w:p>
      <w:pPr>
        <w:spacing w:line="460" w:lineRule="exact"/>
        <w:ind w:firstLine="432"/>
        <w:jc w:val="center"/>
        <w:rPr>
          <w:color w:val="auto"/>
          <w:sz w:val="21"/>
          <w:szCs w:val="21"/>
          <w:highlight w:val="none"/>
        </w:rPr>
      </w:pPr>
    </w:p>
    <w:p>
      <w:pPr>
        <w:spacing w:line="460" w:lineRule="exact"/>
        <w:ind w:firstLine="432"/>
        <w:jc w:val="center"/>
        <w:rPr>
          <w:color w:val="auto"/>
          <w:sz w:val="21"/>
          <w:szCs w:val="21"/>
          <w:highlight w:val="none"/>
        </w:rPr>
      </w:pPr>
    </w:p>
    <w:p>
      <w:pPr>
        <w:spacing w:line="460" w:lineRule="exact"/>
        <w:ind w:firstLine="432"/>
        <w:jc w:val="center"/>
        <w:rPr>
          <w:color w:val="auto"/>
          <w:sz w:val="21"/>
          <w:szCs w:val="21"/>
          <w:highlight w:val="none"/>
        </w:rPr>
      </w:pPr>
    </w:p>
    <w:p>
      <w:pPr>
        <w:spacing w:line="460" w:lineRule="exact"/>
        <w:ind w:firstLine="432"/>
        <w:jc w:val="center"/>
        <w:rPr>
          <w:color w:val="auto"/>
          <w:sz w:val="21"/>
          <w:szCs w:val="21"/>
          <w:highlight w:val="none"/>
        </w:rPr>
      </w:pPr>
    </w:p>
    <w:p>
      <w:pPr>
        <w:spacing w:line="520" w:lineRule="exact"/>
        <w:ind w:firstLine="431"/>
        <w:jc w:val="center"/>
        <w:rPr>
          <w:color w:val="auto"/>
          <w:sz w:val="21"/>
          <w:szCs w:val="21"/>
          <w:highlight w:val="none"/>
        </w:rPr>
      </w:pPr>
      <w:r>
        <w:rPr>
          <w:color w:val="auto"/>
          <w:sz w:val="21"/>
          <w:szCs w:val="21"/>
          <w:highlight w:val="none"/>
        </w:rPr>
        <w:t xml:space="preserve">                      </w:t>
      </w:r>
    </w:p>
    <w:p>
      <w:pPr>
        <w:spacing w:line="520" w:lineRule="exact"/>
        <w:ind w:firstLine="431"/>
        <w:jc w:val="center"/>
        <w:rPr>
          <w:color w:val="auto"/>
          <w:sz w:val="21"/>
          <w:szCs w:val="21"/>
          <w:highlight w:val="none"/>
        </w:rPr>
      </w:pPr>
    </w:p>
    <w:p>
      <w:pPr>
        <w:spacing w:line="520" w:lineRule="exact"/>
        <w:ind w:firstLine="431"/>
        <w:jc w:val="center"/>
        <w:rPr>
          <w:color w:val="auto"/>
          <w:sz w:val="21"/>
          <w:szCs w:val="21"/>
          <w:highlight w:val="none"/>
        </w:rPr>
      </w:pPr>
    </w:p>
    <w:p>
      <w:pPr>
        <w:spacing w:line="520" w:lineRule="exact"/>
        <w:ind w:firstLine="431"/>
        <w:jc w:val="center"/>
        <w:rPr>
          <w:color w:val="auto"/>
          <w:sz w:val="21"/>
          <w:szCs w:val="21"/>
          <w:highlight w:val="none"/>
          <w:u w:val="single"/>
        </w:rPr>
      </w:pPr>
      <w:r>
        <w:rPr>
          <w:color w:val="auto"/>
          <w:sz w:val="21"/>
          <w:szCs w:val="21"/>
          <w:highlight w:val="none"/>
        </w:rPr>
        <w:t xml:space="preserve">                            投标人：</w:t>
      </w:r>
      <w:r>
        <w:rPr>
          <w:color w:val="auto"/>
          <w:sz w:val="21"/>
          <w:szCs w:val="21"/>
          <w:highlight w:val="none"/>
          <w:u w:val="single"/>
        </w:rPr>
        <w:t xml:space="preserve">                 </w:t>
      </w:r>
      <w:r>
        <w:rPr>
          <w:color w:val="auto"/>
          <w:sz w:val="21"/>
          <w:szCs w:val="21"/>
          <w:highlight w:val="none"/>
        </w:rPr>
        <w:t>（盖单位章）</w:t>
      </w:r>
    </w:p>
    <w:p>
      <w:pPr>
        <w:spacing w:line="720" w:lineRule="auto"/>
        <w:ind w:firstLine="3150" w:firstLineChars="1500"/>
        <w:rPr>
          <w:color w:val="auto"/>
          <w:sz w:val="21"/>
          <w:szCs w:val="21"/>
          <w:highlight w:val="none"/>
        </w:rPr>
      </w:pPr>
      <w:r>
        <w:rPr>
          <w:color w:val="auto"/>
          <w:sz w:val="21"/>
          <w:szCs w:val="21"/>
          <w:highlight w:val="none"/>
        </w:rPr>
        <w:t xml:space="preserve">                      </w:t>
      </w:r>
      <w:r>
        <w:rPr>
          <w:color w:val="auto"/>
          <w:sz w:val="21"/>
          <w:szCs w:val="21"/>
          <w:highlight w:val="none"/>
          <w:u w:val="single"/>
        </w:rPr>
        <w:t xml:space="preserve">     </w:t>
      </w:r>
      <w:r>
        <w:rPr>
          <w:color w:val="auto"/>
          <w:sz w:val="21"/>
          <w:szCs w:val="21"/>
          <w:highlight w:val="none"/>
        </w:rPr>
        <w:t>年</w:t>
      </w:r>
      <w:r>
        <w:rPr>
          <w:color w:val="auto"/>
          <w:sz w:val="21"/>
          <w:szCs w:val="21"/>
          <w:highlight w:val="none"/>
          <w:u w:val="single"/>
        </w:rPr>
        <w:t xml:space="preserve">     </w:t>
      </w:r>
      <w:r>
        <w:rPr>
          <w:color w:val="auto"/>
          <w:sz w:val="21"/>
          <w:szCs w:val="21"/>
          <w:highlight w:val="none"/>
        </w:rPr>
        <w:t>月</w:t>
      </w:r>
      <w:r>
        <w:rPr>
          <w:color w:val="auto"/>
          <w:sz w:val="21"/>
          <w:szCs w:val="21"/>
          <w:highlight w:val="none"/>
          <w:u w:val="single"/>
        </w:rPr>
        <w:t xml:space="preserve">     </w:t>
      </w:r>
      <w:r>
        <w:rPr>
          <w:color w:val="auto"/>
          <w:sz w:val="21"/>
          <w:szCs w:val="21"/>
          <w:highlight w:val="none"/>
        </w:rPr>
        <w:t>日</w:t>
      </w:r>
    </w:p>
    <w:p>
      <w:pPr>
        <w:pStyle w:val="14"/>
        <w:spacing w:before="120" w:beforeLines="0" w:after="120" w:afterLines="0"/>
        <w:jc w:val="center"/>
        <w:rPr>
          <w:rFonts w:ascii="Times New Roman" w:hAnsi="Times New Roman"/>
          <w:bCs/>
          <w:color w:val="auto"/>
          <w:kern w:val="0"/>
          <w:sz w:val="21"/>
          <w:szCs w:val="21"/>
          <w:highlight w:val="none"/>
        </w:rPr>
      </w:pPr>
    </w:p>
    <w:p>
      <w:pPr>
        <w:pStyle w:val="14"/>
        <w:spacing w:before="120" w:beforeLines="0" w:after="120" w:afterLines="0"/>
        <w:rPr>
          <w:rFonts w:ascii="Times New Roman" w:hAnsi="Times New Roman"/>
          <w:bCs/>
          <w:color w:val="auto"/>
          <w:kern w:val="0"/>
          <w:sz w:val="21"/>
          <w:szCs w:val="21"/>
          <w:highlight w:val="none"/>
        </w:rPr>
      </w:pPr>
    </w:p>
    <w:p>
      <w:pPr>
        <w:pStyle w:val="14"/>
        <w:spacing w:before="120" w:beforeLines="0" w:after="120" w:afterLines="0"/>
        <w:rPr>
          <w:rFonts w:ascii="Times New Roman" w:hAnsi="Times New Roman"/>
          <w:b/>
          <w:bCs/>
          <w:color w:val="auto"/>
          <w:sz w:val="32"/>
          <w:szCs w:val="32"/>
          <w:highlight w:val="none"/>
        </w:rPr>
      </w:pPr>
    </w:p>
    <w:p>
      <w:pPr>
        <w:pStyle w:val="14"/>
        <w:spacing w:before="120" w:beforeLines="0" w:after="120" w:afterLines="0"/>
        <w:rPr>
          <w:rFonts w:ascii="Times New Roman" w:hAnsi="Times New Roman"/>
          <w:b/>
          <w:bCs/>
          <w:color w:val="auto"/>
          <w:sz w:val="32"/>
          <w:szCs w:val="32"/>
          <w:highlight w:val="none"/>
        </w:rPr>
      </w:pPr>
    </w:p>
    <w:p>
      <w:pPr>
        <w:pStyle w:val="20"/>
        <w:widowControl w:val="0"/>
        <w:spacing w:beforeLines="50" w:beforeAutospacing="0" w:afterLines="50" w:afterAutospacing="0" w:line="400" w:lineRule="atLeast"/>
        <w:jc w:val="center"/>
        <w:rPr>
          <w:bCs/>
          <w:color w:val="auto"/>
          <w:szCs w:val="28"/>
          <w:highlight w:val="none"/>
        </w:rPr>
      </w:pPr>
      <w:r>
        <w:rPr>
          <w:b/>
          <w:color w:val="auto"/>
          <w:kern w:val="2"/>
          <w:sz w:val="28"/>
          <w:szCs w:val="28"/>
          <w:highlight w:val="none"/>
        </w:rPr>
        <w:t>法定代表人授权</w:t>
      </w:r>
      <w:r>
        <w:rPr>
          <w:rFonts w:hint="eastAsia"/>
          <w:b/>
          <w:color w:val="auto"/>
          <w:kern w:val="2"/>
          <w:sz w:val="28"/>
          <w:szCs w:val="28"/>
          <w:highlight w:val="none"/>
        </w:rPr>
        <w:t>委托</w:t>
      </w:r>
      <w:r>
        <w:rPr>
          <w:b/>
          <w:color w:val="auto"/>
          <w:kern w:val="2"/>
          <w:sz w:val="28"/>
          <w:szCs w:val="28"/>
          <w:highlight w:val="none"/>
        </w:rPr>
        <w:t>书</w:t>
      </w:r>
    </w:p>
    <w:p>
      <w:pPr>
        <w:rPr>
          <w:rFonts w:ascii="宋体" w:hAnsi="宋体"/>
          <w:color w:val="auto"/>
          <w:sz w:val="21"/>
          <w:szCs w:val="21"/>
          <w:highlight w:val="none"/>
        </w:rPr>
      </w:pPr>
    </w:p>
    <w:p>
      <w:pPr>
        <w:spacing w:line="600" w:lineRule="exact"/>
        <w:rPr>
          <w:rFonts w:ascii="宋体" w:hAnsi="宋体"/>
          <w:color w:val="auto"/>
          <w:sz w:val="21"/>
          <w:szCs w:val="21"/>
          <w:highlight w:val="none"/>
        </w:rPr>
      </w:pPr>
      <w:r>
        <w:rPr>
          <w:rFonts w:ascii="宋体" w:hAnsi="宋体"/>
          <w:color w:val="auto"/>
          <w:sz w:val="21"/>
          <w:szCs w:val="21"/>
          <w:highlight w:val="none"/>
        </w:rPr>
        <w:t xml:space="preserve">   本授权书声明：注册于</w:t>
      </w:r>
      <w:r>
        <w:rPr>
          <w:rFonts w:hint="eastAsia" w:ascii="宋体" w:hAnsi="宋体"/>
          <w:color w:val="auto"/>
          <w:sz w:val="21"/>
          <w:szCs w:val="21"/>
          <w:highlight w:val="none"/>
          <w:u w:val="single"/>
        </w:rPr>
        <w:t xml:space="preserve">              </w:t>
      </w:r>
      <w:r>
        <w:rPr>
          <w:rFonts w:ascii="宋体" w:hAnsi="宋体"/>
          <w:color w:val="auto"/>
          <w:sz w:val="21"/>
          <w:szCs w:val="21"/>
          <w:highlight w:val="none"/>
        </w:rPr>
        <w:t>（注册地）</w:t>
      </w:r>
      <w:r>
        <w:rPr>
          <w:rFonts w:hint="eastAsia" w:ascii="宋体" w:hAnsi="宋体"/>
          <w:color w:val="auto"/>
          <w:sz w:val="21"/>
          <w:szCs w:val="21"/>
          <w:highlight w:val="none"/>
          <w:u w:val="single"/>
        </w:rPr>
        <w:t xml:space="preserve">         </w:t>
      </w:r>
      <w:r>
        <w:rPr>
          <w:rFonts w:ascii="宋体" w:hAnsi="宋体"/>
          <w:color w:val="auto"/>
          <w:sz w:val="21"/>
          <w:szCs w:val="21"/>
          <w:highlight w:val="none"/>
        </w:rPr>
        <w:t>公司的在下面签字的</w:t>
      </w:r>
      <w:r>
        <w:rPr>
          <w:rFonts w:hint="eastAsia" w:ascii="宋体" w:hAnsi="宋体"/>
          <w:color w:val="auto"/>
          <w:sz w:val="21"/>
          <w:szCs w:val="21"/>
          <w:highlight w:val="none"/>
          <w:u w:val="single"/>
        </w:rPr>
        <w:t xml:space="preserve">           </w:t>
      </w:r>
      <w:r>
        <w:rPr>
          <w:rFonts w:ascii="宋体" w:hAnsi="宋体"/>
          <w:color w:val="auto"/>
          <w:sz w:val="21"/>
          <w:szCs w:val="21"/>
          <w:highlight w:val="none"/>
        </w:rPr>
        <w:t>(法定代表人姓名、职务)代表本公司授权的在下面签字的</w:t>
      </w:r>
      <w:r>
        <w:rPr>
          <w:rFonts w:hint="eastAsia" w:ascii="宋体" w:hAnsi="宋体"/>
          <w:color w:val="auto"/>
          <w:sz w:val="21"/>
          <w:szCs w:val="21"/>
          <w:highlight w:val="none"/>
          <w:u w:val="single"/>
        </w:rPr>
        <w:t xml:space="preserve">              </w:t>
      </w:r>
      <w:r>
        <w:rPr>
          <w:rFonts w:ascii="宋体" w:hAnsi="宋体"/>
          <w:color w:val="auto"/>
          <w:sz w:val="21"/>
          <w:szCs w:val="21"/>
          <w:highlight w:val="none"/>
        </w:rPr>
        <w:t>（被授权人的姓名、职务）为本公司的唯一合法代理人</w:t>
      </w:r>
      <w:r>
        <w:rPr>
          <w:rFonts w:hint="eastAsia" w:ascii="宋体" w:hAnsi="宋体"/>
          <w:color w:val="auto"/>
          <w:sz w:val="21"/>
          <w:szCs w:val="21"/>
          <w:highlight w:val="none"/>
        </w:rPr>
        <w:t>，</w:t>
      </w:r>
      <w:r>
        <w:rPr>
          <w:rFonts w:ascii="宋体" w:hAnsi="宋体"/>
          <w:color w:val="auto"/>
          <w:sz w:val="21"/>
          <w:szCs w:val="21"/>
          <w:highlight w:val="none"/>
        </w:rPr>
        <w:t>就</w:t>
      </w:r>
      <w:r>
        <w:rPr>
          <w:rFonts w:hint="eastAsia" w:ascii="宋体" w:hAnsi="宋体"/>
          <w:color w:val="auto"/>
          <w:sz w:val="21"/>
          <w:szCs w:val="21"/>
          <w:highlight w:val="none"/>
          <w:u w:val="single"/>
        </w:rPr>
        <w:t xml:space="preserve">                        </w:t>
      </w:r>
      <w:r>
        <w:rPr>
          <w:rFonts w:ascii="宋体" w:hAnsi="宋体"/>
          <w:color w:val="auto"/>
          <w:sz w:val="21"/>
          <w:szCs w:val="21"/>
          <w:highlight w:val="none"/>
        </w:rPr>
        <w:t>项目的投标及合同的执行完成和保修</w:t>
      </w:r>
      <w:r>
        <w:rPr>
          <w:rFonts w:hint="eastAsia" w:ascii="宋体" w:hAnsi="宋体"/>
          <w:color w:val="auto"/>
          <w:sz w:val="21"/>
          <w:szCs w:val="21"/>
          <w:highlight w:val="none"/>
        </w:rPr>
        <w:t>，</w:t>
      </w:r>
      <w:r>
        <w:rPr>
          <w:rFonts w:ascii="宋体" w:hAnsi="宋体"/>
          <w:color w:val="auto"/>
          <w:sz w:val="21"/>
          <w:szCs w:val="21"/>
          <w:highlight w:val="none"/>
        </w:rPr>
        <w:t>以本公司名义处理一切与之有关的事务。</w:t>
      </w:r>
    </w:p>
    <w:p>
      <w:pPr>
        <w:spacing w:line="600" w:lineRule="exact"/>
        <w:rPr>
          <w:rFonts w:ascii="宋体" w:hAnsi="宋体"/>
          <w:b/>
          <w:color w:val="auto"/>
          <w:sz w:val="21"/>
          <w:szCs w:val="21"/>
          <w:highlight w:val="none"/>
        </w:rPr>
      </w:pPr>
      <w:r>
        <w:rPr>
          <w:rFonts w:ascii="宋体" w:hAnsi="宋体"/>
          <w:b/>
          <w:color w:val="auto"/>
          <w:sz w:val="21"/>
          <w:szCs w:val="21"/>
          <w:highlight w:val="none"/>
        </w:rPr>
        <w:t>被授权人身份证复印件：</w:t>
      </w: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spacing w:line="600" w:lineRule="exact"/>
        <w:ind w:firstLine="105" w:firstLineChars="50"/>
        <w:rPr>
          <w:rFonts w:ascii="宋体" w:hAnsi="宋体"/>
          <w:color w:val="auto"/>
          <w:sz w:val="21"/>
          <w:szCs w:val="21"/>
          <w:highlight w:val="none"/>
          <w:u w:val="single"/>
        </w:rPr>
      </w:pPr>
      <w:r>
        <w:rPr>
          <w:rFonts w:ascii="宋体" w:hAnsi="宋体"/>
          <w:color w:val="auto"/>
          <w:sz w:val="21"/>
          <w:szCs w:val="21"/>
          <w:highlight w:val="none"/>
        </w:rPr>
        <w:t>法定代表人（签字）：</w:t>
      </w:r>
      <w:r>
        <w:rPr>
          <w:rFonts w:ascii="宋体" w:hAnsi="宋体"/>
          <w:color w:val="auto"/>
          <w:sz w:val="21"/>
          <w:szCs w:val="21"/>
          <w:highlight w:val="none"/>
          <w:u w:val="single"/>
        </w:rPr>
        <w:t xml:space="preserve">                             </w:t>
      </w:r>
    </w:p>
    <w:p>
      <w:pPr>
        <w:spacing w:line="600" w:lineRule="exact"/>
        <w:rPr>
          <w:rFonts w:ascii="宋体" w:hAnsi="宋体"/>
          <w:color w:val="auto"/>
          <w:sz w:val="21"/>
          <w:szCs w:val="21"/>
          <w:highlight w:val="none"/>
        </w:rPr>
      </w:pPr>
      <w:r>
        <w:rPr>
          <w:rFonts w:ascii="宋体" w:hAnsi="宋体"/>
          <w:color w:val="auto"/>
          <w:sz w:val="21"/>
          <w:szCs w:val="21"/>
          <w:highlight w:val="none"/>
        </w:rPr>
        <w:t xml:space="preserve"> 受权代表（被授权人）签字：</w:t>
      </w:r>
      <w:r>
        <w:rPr>
          <w:rFonts w:ascii="宋体" w:hAnsi="宋体"/>
          <w:color w:val="auto"/>
          <w:sz w:val="21"/>
          <w:szCs w:val="21"/>
          <w:highlight w:val="none"/>
          <w:u w:val="single"/>
        </w:rPr>
        <w:t xml:space="preserve">                       </w:t>
      </w:r>
    </w:p>
    <w:p>
      <w:pPr>
        <w:spacing w:line="600" w:lineRule="exact"/>
        <w:rPr>
          <w:rFonts w:ascii="宋体" w:hAnsi="宋体"/>
          <w:color w:val="auto"/>
          <w:sz w:val="21"/>
          <w:szCs w:val="21"/>
          <w:highlight w:val="none"/>
          <w:u w:val="single"/>
        </w:rPr>
      </w:pPr>
      <w:r>
        <w:rPr>
          <w:rFonts w:ascii="宋体" w:hAnsi="宋体"/>
          <w:color w:val="auto"/>
          <w:sz w:val="21"/>
          <w:szCs w:val="21"/>
          <w:highlight w:val="none"/>
        </w:rPr>
        <w:t xml:space="preserve"> 单位名称：</w:t>
      </w:r>
      <w:r>
        <w:rPr>
          <w:rFonts w:ascii="宋体" w:hAnsi="宋体"/>
          <w:color w:val="auto"/>
          <w:sz w:val="21"/>
          <w:szCs w:val="21"/>
          <w:highlight w:val="none"/>
          <w:u w:val="single"/>
        </w:rPr>
        <w:t xml:space="preserve">                                       </w:t>
      </w:r>
    </w:p>
    <w:p>
      <w:pPr>
        <w:spacing w:line="600" w:lineRule="exact"/>
        <w:ind w:firstLine="105" w:firstLineChars="50"/>
        <w:rPr>
          <w:rFonts w:ascii="宋体" w:hAnsi="宋体"/>
          <w:color w:val="auto"/>
          <w:sz w:val="21"/>
          <w:szCs w:val="21"/>
          <w:highlight w:val="none"/>
        </w:rPr>
      </w:pPr>
      <w:r>
        <w:rPr>
          <w:rFonts w:ascii="宋体" w:hAnsi="宋体"/>
          <w:color w:val="auto"/>
          <w:sz w:val="21"/>
          <w:szCs w:val="21"/>
          <w:highlight w:val="none"/>
        </w:rPr>
        <w:t>地址：</w:t>
      </w:r>
      <w:r>
        <w:rPr>
          <w:rFonts w:ascii="宋体" w:hAnsi="宋体"/>
          <w:color w:val="auto"/>
          <w:sz w:val="21"/>
          <w:szCs w:val="21"/>
          <w:highlight w:val="none"/>
          <w:u w:val="single"/>
        </w:rPr>
        <w:t xml:space="preserve">                                           </w:t>
      </w: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p>
    <w:p>
      <w:pPr>
        <w:rPr>
          <w:rFonts w:ascii="宋体" w:hAnsi="宋体"/>
          <w:color w:val="auto"/>
          <w:sz w:val="21"/>
          <w:szCs w:val="21"/>
          <w:highlight w:val="none"/>
        </w:rPr>
      </w:pPr>
      <w:r>
        <w:rPr>
          <w:rFonts w:ascii="宋体" w:hAnsi="宋体"/>
          <w:color w:val="auto"/>
          <w:sz w:val="21"/>
          <w:szCs w:val="21"/>
          <w:highlight w:val="none"/>
        </w:rPr>
        <w:t xml:space="preserve">   </w:t>
      </w:r>
    </w:p>
    <w:p>
      <w:pPr>
        <w:rPr>
          <w:rFonts w:ascii="宋体" w:hAnsi="宋体"/>
          <w:color w:val="auto"/>
          <w:sz w:val="21"/>
          <w:szCs w:val="21"/>
          <w:highlight w:val="none"/>
        </w:rPr>
      </w:pPr>
    </w:p>
    <w:p>
      <w:pPr>
        <w:rPr>
          <w:rFonts w:ascii="宋体" w:hAnsi="宋体"/>
          <w:color w:val="auto"/>
          <w:sz w:val="21"/>
          <w:szCs w:val="21"/>
          <w:highlight w:val="none"/>
        </w:rPr>
      </w:pPr>
      <w:r>
        <w:rPr>
          <w:rFonts w:ascii="宋体" w:hAnsi="宋体"/>
          <w:color w:val="auto"/>
          <w:sz w:val="21"/>
          <w:szCs w:val="21"/>
          <w:highlight w:val="none"/>
        </w:rPr>
        <w:t xml:space="preserve">                                              日期：     年    月   日  </w:t>
      </w:r>
    </w:p>
    <w:p>
      <w:pPr>
        <w:pStyle w:val="21"/>
        <w:ind w:left="0" w:leftChars="0" w:firstLine="0" w:firstLineChars="0"/>
        <w:rPr>
          <w:rFonts w:hint="eastAsia"/>
          <w:color w:val="auto"/>
          <w:highlight w:val="none"/>
        </w:rPr>
      </w:pPr>
    </w:p>
    <w:p>
      <w:pPr>
        <w:pStyle w:val="21"/>
        <w:ind w:left="0" w:leftChars="0" w:firstLine="0" w:firstLineChars="0"/>
        <w:rPr>
          <w:rFonts w:hint="eastAsia"/>
          <w:color w:val="auto"/>
          <w:highlight w:val="none"/>
        </w:rPr>
      </w:pPr>
    </w:p>
    <w:p>
      <w:pPr>
        <w:pStyle w:val="21"/>
        <w:ind w:left="0" w:leftChars="0" w:firstLine="0" w:firstLineChars="0"/>
        <w:rPr>
          <w:rFonts w:hint="eastAsia"/>
          <w:color w:val="auto"/>
          <w:highlight w:val="none"/>
        </w:rPr>
      </w:pPr>
    </w:p>
    <w:p>
      <w:pPr>
        <w:pStyle w:val="21"/>
        <w:ind w:left="0" w:leftChars="0" w:firstLine="0" w:firstLineChars="0"/>
        <w:rPr>
          <w:rFonts w:hint="eastAsia"/>
          <w:color w:val="auto"/>
          <w:highlight w:val="none"/>
        </w:rPr>
      </w:pPr>
    </w:p>
    <w:p>
      <w:pPr>
        <w:snapToGrid w:val="0"/>
        <w:spacing w:before="50" w:after="50"/>
        <w:jc w:val="center"/>
        <w:rPr>
          <w:rFonts w:hint="eastAsia"/>
          <w:b/>
          <w:color w:val="auto"/>
          <w:szCs w:val="28"/>
          <w:highlight w:val="none"/>
        </w:rPr>
      </w:pPr>
    </w:p>
    <w:p>
      <w:pPr>
        <w:pStyle w:val="20"/>
        <w:jc w:val="center"/>
        <w:rPr>
          <w:rFonts w:hint="eastAsia"/>
          <w:b/>
          <w:color w:val="auto"/>
          <w:sz w:val="28"/>
          <w:szCs w:val="28"/>
          <w:highlight w:val="none"/>
        </w:rPr>
      </w:pPr>
      <w:r>
        <w:rPr>
          <w:rFonts w:hint="eastAsia"/>
          <w:b/>
          <w:color w:val="auto"/>
          <w:sz w:val="28"/>
          <w:szCs w:val="28"/>
          <w:highlight w:val="none"/>
        </w:rPr>
        <w:t>售后服务承诺书</w:t>
      </w:r>
    </w:p>
    <w:p>
      <w:pPr>
        <w:pStyle w:val="20"/>
        <w:rPr>
          <w:color w:val="auto"/>
          <w:sz w:val="21"/>
          <w:szCs w:val="21"/>
          <w:highlight w:val="none"/>
        </w:rPr>
      </w:pPr>
    </w:p>
    <w:p>
      <w:pPr>
        <w:pStyle w:val="20"/>
        <w:rPr>
          <w:rFonts w:hint="eastAsia"/>
          <w:color w:val="auto"/>
          <w:sz w:val="21"/>
          <w:szCs w:val="21"/>
          <w:highlight w:val="none"/>
        </w:rPr>
      </w:pPr>
      <w:r>
        <w:rPr>
          <w:rFonts w:hint="eastAsia"/>
          <w:color w:val="auto"/>
          <w:sz w:val="21"/>
          <w:szCs w:val="21"/>
          <w:highlight w:val="none"/>
        </w:rPr>
        <w:t>1、产品质量、保修年限、范围、保修条件</w:t>
      </w:r>
    </w:p>
    <w:p>
      <w:pPr>
        <w:pStyle w:val="20"/>
        <w:rPr>
          <w:color w:val="auto"/>
          <w:sz w:val="21"/>
          <w:szCs w:val="21"/>
          <w:highlight w:val="none"/>
        </w:rPr>
      </w:pPr>
    </w:p>
    <w:p>
      <w:pPr>
        <w:pStyle w:val="20"/>
        <w:rPr>
          <w:color w:val="auto"/>
          <w:sz w:val="21"/>
          <w:szCs w:val="21"/>
          <w:highlight w:val="none"/>
        </w:rPr>
      </w:pPr>
    </w:p>
    <w:p>
      <w:pPr>
        <w:pStyle w:val="20"/>
        <w:rPr>
          <w:rFonts w:hint="eastAsia"/>
          <w:color w:val="auto"/>
          <w:sz w:val="21"/>
          <w:szCs w:val="21"/>
          <w:highlight w:val="none"/>
        </w:rPr>
      </w:pPr>
      <w:r>
        <w:rPr>
          <w:rFonts w:hint="eastAsia"/>
          <w:color w:val="auto"/>
          <w:sz w:val="21"/>
          <w:szCs w:val="21"/>
          <w:highlight w:val="none"/>
        </w:rPr>
        <w:t>2、</w:t>
      </w:r>
      <w:r>
        <w:rPr>
          <w:rFonts w:hint="eastAsia"/>
          <w:color w:val="auto"/>
          <w:sz w:val="21"/>
          <w:szCs w:val="21"/>
          <w:highlight w:val="none"/>
          <w:lang w:val="en-US" w:eastAsia="zh-CN"/>
        </w:rPr>
        <w:t>服务期</w:t>
      </w:r>
      <w:r>
        <w:rPr>
          <w:rFonts w:hint="eastAsia"/>
          <w:color w:val="auto"/>
          <w:sz w:val="21"/>
          <w:szCs w:val="21"/>
          <w:highlight w:val="none"/>
        </w:rPr>
        <w:t>、解决问题、排除故障的速度</w:t>
      </w:r>
    </w:p>
    <w:p>
      <w:pPr>
        <w:pStyle w:val="20"/>
        <w:rPr>
          <w:color w:val="auto"/>
          <w:sz w:val="21"/>
          <w:szCs w:val="21"/>
          <w:highlight w:val="none"/>
        </w:rPr>
      </w:pPr>
    </w:p>
    <w:p>
      <w:pPr>
        <w:pStyle w:val="20"/>
        <w:rPr>
          <w:color w:val="auto"/>
          <w:sz w:val="21"/>
          <w:szCs w:val="21"/>
          <w:highlight w:val="none"/>
        </w:rPr>
      </w:pPr>
    </w:p>
    <w:p>
      <w:pPr>
        <w:pStyle w:val="20"/>
        <w:rPr>
          <w:rFonts w:hint="eastAsia"/>
          <w:color w:val="auto"/>
          <w:sz w:val="21"/>
          <w:szCs w:val="21"/>
          <w:highlight w:val="none"/>
        </w:rPr>
      </w:pPr>
      <w:r>
        <w:rPr>
          <w:rFonts w:hint="eastAsia"/>
          <w:color w:val="auto"/>
          <w:sz w:val="21"/>
          <w:szCs w:val="21"/>
          <w:highlight w:val="none"/>
        </w:rPr>
        <w:t>3、设备使用的培训、指导</w:t>
      </w:r>
    </w:p>
    <w:p>
      <w:pPr>
        <w:pStyle w:val="20"/>
        <w:rPr>
          <w:color w:val="auto"/>
          <w:sz w:val="21"/>
          <w:szCs w:val="21"/>
          <w:highlight w:val="none"/>
        </w:rPr>
      </w:pPr>
    </w:p>
    <w:p>
      <w:pPr>
        <w:pStyle w:val="20"/>
        <w:rPr>
          <w:color w:val="auto"/>
          <w:sz w:val="21"/>
          <w:szCs w:val="21"/>
          <w:highlight w:val="none"/>
        </w:rPr>
      </w:pPr>
    </w:p>
    <w:p>
      <w:pPr>
        <w:pStyle w:val="20"/>
        <w:rPr>
          <w:rFonts w:hint="eastAsia"/>
          <w:color w:val="auto"/>
          <w:sz w:val="21"/>
          <w:szCs w:val="21"/>
          <w:highlight w:val="none"/>
        </w:rPr>
      </w:pPr>
      <w:r>
        <w:rPr>
          <w:rFonts w:hint="eastAsia"/>
          <w:color w:val="auto"/>
          <w:sz w:val="21"/>
          <w:szCs w:val="21"/>
          <w:highlight w:val="none"/>
        </w:rPr>
        <w:t>4、售后服务方面的其他承诺（安装、定期巡检等）</w:t>
      </w:r>
    </w:p>
    <w:p>
      <w:pPr>
        <w:pStyle w:val="20"/>
        <w:rPr>
          <w:color w:val="auto"/>
          <w:sz w:val="21"/>
          <w:szCs w:val="21"/>
          <w:highlight w:val="none"/>
        </w:rPr>
      </w:pPr>
    </w:p>
    <w:p>
      <w:pPr>
        <w:pStyle w:val="20"/>
        <w:rPr>
          <w:color w:val="auto"/>
          <w:sz w:val="21"/>
          <w:szCs w:val="21"/>
          <w:highlight w:val="none"/>
        </w:rPr>
      </w:pPr>
    </w:p>
    <w:p>
      <w:pPr>
        <w:pStyle w:val="20"/>
        <w:rPr>
          <w:color w:val="auto"/>
          <w:sz w:val="21"/>
          <w:szCs w:val="21"/>
          <w:highlight w:val="none"/>
        </w:rPr>
      </w:pPr>
    </w:p>
    <w:p>
      <w:pPr>
        <w:pStyle w:val="20"/>
        <w:rPr>
          <w:rFonts w:hint="eastAsia"/>
          <w:color w:val="auto"/>
          <w:sz w:val="21"/>
          <w:szCs w:val="21"/>
          <w:highlight w:val="none"/>
        </w:rPr>
      </w:pPr>
      <w:r>
        <w:rPr>
          <w:rFonts w:hint="eastAsia"/>
          <w:color w:val="auto"/>
          <w:sz w:val="21"/>
          <w:szCs w:val="21"/>
          <w:highlight w:val="none"/>
        </w:rPr>
        <w:t>5、售后服务联系方式（联系人、联系电话、维修点等）</w:t>
      </w:r>
    </w:p>
    <w:p>
      <w:pPr>
        <w:pStyle w:val="20"/>
        <w:rPr>
          <w:color w:val="auto"/>
          <w:sz w:val="21"/>
          <w:szCs w:val="21"/>
          <w:highlight w:val="none"/>
        </w:rPr>
      </w:pPr>
    </w:p>
    <w:p>
      <w:pPr>
        <w:pStyle w:val="20"/>
        <w:rPr>
          <w:color w:val="auto"/>
          <w:sz w:val="21"/>
          <w:szCs w:val="21"/>
          <w:highlight w:val="none"/>
        </w:rPr>
      </w:pPr>
    </w:p>
    <w:p>
      <w:pPr>
        <w:pStyle w:val="20"/>
        <w:rPr>
          <w:rFonts w:hint="eastAsia"/>
          <w:color w:val="auto"/>
          <w:sz w:val="21"/>
          <w:szCs w:val="21"/>
          <w:highlight w:val="none"/>
        </w:rPr>
      </w:pPr>
      <w:r>
        <w:rPr>
          <w:rFonts w:hint="eastAsia"/>
          <w:color w:val="auto"/>
          <w:sz w:val="21"/>
          <w:szCs w:val="21"/>
          <w:highlight w:val="none"/>
        </w:rPr>
        <w:t>6、其他优惠条件</w:t>
      </w:r>
    </w:p>
    <w:p>
      <w:pPr>
        <w:pStyle w:val="20"/>
        <w:rPr>
          <w:color w:val="auto"/>
          <w:sz w:val="21"/>
          <w:szCs w:val="21"/>
          <w:highlight w:val="none"/>
        </w:rPr>
      </w:pPr>
    </w:p>
    <w:p>
      <w:pPr>
        <w:pStyle w:val="20"/>
        <w:ind w:firstLine="105" w:firstLineChars="50"/>
        <w:rPr>
          <w:rFonts w:hint="eastAsia"/>
          <w:color w:val="auto"/>
          <w:sz w:val="21"/>
          <w:szCs w:val="21"/>
          <w:highlight w:val="none"/>
        </w:rPr>
      </w:pPr>
      <w:r>
        <w:rPr>
          <w:rFonts w:hint="eastAsia"/>
          <w:color w:val="auto"/>
          <w:sz w:val="21"/>
          <w:szCs w:val="21"/>
          <w:highlight w:val="none"/>
        </w:rPr>
        <w:t>投标人（盖章）：</w:t>
      </w:r>
    </w:p>
    <w:p>
      <w:pPr>
        <w:pStyle w:val="20"/>
        <w:rPr>
          <w:rFonts w:hint="eastAsia"/>
          <w:color w:val="auto"/>
          <w:sz w:val="21"/>
          <w:szCs w:val="21"/>
          <w:highlight w:val="none"/>
        </w:rPr>
      </w:pPr>
      <w:r>
        <w:rPr>
          <w:rFonts w:hint="eastAsia"/>
          <w:color w:val="auto"/>
          <w:sz w:val="21"/>
          <w:szCs w:val="21"/>
          <w:highlight w:val="none"/>
        </w:rPr>
        <w:t xml:space="preserve"> 法定代表人或委托代理人（签字）：</w:t>
      </w:r>
    </w:p>
    <w:p>
      <w:pPr>
        <w:pStyle w:val="20"/>
        <w:rPr>
          <w:rFonts w:hint="eastAsia"/>
          <w:color w:val="auto"/>
          <w:sz w:val="21"/>
          <w:szCs w:val="21"/>
          <w:highlight w:val="none"/>
        </w:rPr>
      </w:pPr>
      <w:r>
        <w:rPr>
          <w:rFonts w:hint="eastAsia"/>
          <w:color w:val="auto"/>
          <w:sz w:val="21"/>
          <w:szCs w:val="21"/>
          <w:highlight w:val="none"/>
        </w:rPr>
        <w:t xml:space="preserve">                                                日      期：</w:t>
      </w:r>
    </w:p>
    <w:p>
      <w:pPr>
        <w:rPr>
          <w:rFonts w:hint="eastAsia"/>
          <w:b/>
          <w:color w:val="auto"/>
          <w:sz w:val="32"/>
          <w:szCs w:val="32"/>
          <w:highlight w:val="none"/>
        </w:rPr>
      </w:pPr>
      <w:r>
        <w:rPr>
          <w:rFonts w:hint="eastAsia"/>
          <w:b/>
          <w:color w:val="auto"/>
          <w:sz w:val="32"/>
          <w:szCs w:val="32"/>
          <w:highlight w:val="none"/>
        </w:rPr>
        <w:br w:type="page"/>
      </w:r>
    </w:p>
    <w:p>
      <w:pPr>
        <w:snapToGrid w:val="0"/>
        <w:spacing w:before="50" w:after="50"/>
        <w:jc w:val="center"/>
        <w:rPr>
          <w:b/>
          <w:color w:val="auto"/>
          <w:sz w:val="32"/>
          <w:szCs w:val="32"/>
          <w:highlight w:val="none"/>
        </w:rPr>
      </w:pPr>
      <w:r>
        <w:rPr>
          <w:rFonts w:hint="eastAsia"/>
          <w:b/>
          <w:color w:val="auto"/>
          <w:sz w:val="32"/>
          <w:szCs w:val="32"/>
          <w:highlight w:val="none"/>
        </w:rPr>
        <w:t>投标人</w:t>
      </w:r>
      <w:r>
        <w:rPr>
          <w:b/>
          <w:color w:val="auto"/>
          <w:sz w:val="32"/>
          <w:szCs w:val="32"/>
          <w:highlight w:val="none"/>
        </w:rPr>
        <w:t>基本情况表</w:t>
      </w:r>
    </w:p>
    <w:tbl>
      <w:tblPr>
        <w:tblStyle w:val="22"/>
        <w:tblpPr w:leftFromText="180" w:rightFromText="180" w:vertAnchor="text" w:horzAnchor="margin" w:tblpX="250" w:tblpY="3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8"/>
        <w:gridCol w:w="3797"/>
        <w:gridCol w:w="1559"/>
        <w:gridCol w:w="1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1698"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单位名称</w:t>
            </w:r>
          </w:p>
        </w:tc>
        <w:tc>
          <w:tcPr>
            <w:tcW w:w="3797"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p>
          <w:p>
            <w:pPr>
              <w:widowControl/>
              <w:rPr>
                <w:color w:val="auto"/>
                <w:sz w:val="21"/>
                <w:szCs w:val="21"/>
                <w:highlight w:val="none"/>
              </w:rPr>
            </w:pPr>
            <w:r>
              <w:rPr>
                <w:color w:val="auto"/>
                <w:sz w:val="21"/>
                <w:szCs w:val="21"/>
                <w:highlight w:val="none"/>
              </w:rPr>
              <w:t> </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联系电话</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1698"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单位地址</w:t>
            </w:r>
          </w:p>
        </w:tc>
        <w:tc>
          <w:tcPr>
            <w:tcW w:w="3797"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p>
          <w:p>
            <w:pPr>
              <w:widowControl/>
              <w:rPr>
                <w:color w:val="auto"/>
                <w:sz w:val="21"/>
                <w:szCs w:val="21"/>
                <w:highlight w:val="none"/>
              </w:rPr>
            </w:pPr>
            <w:r>
              <w:rPr>
                <w:color w:val="auto"/>
                <w:sz w:val="21"/>
                <w:szCs w:val="21"/>
                <w:highlight w:val="none"/>
              </w:rPr>
              <w:t> </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联系人</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1698"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成立时间</w:t>
            </w:r>
          </w:p>
        </w:tc>
        <w:tc>
          <w:tcPr>
            <w:tcW w:w="3797"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p>
          <w:p>
            <w:pPr>
              <w:widowControl/>
              <w:rPr>
                <w:color w:val="auto"/>
                <w:sz w:val="21"/>
                <w:szCs w:val="21"/>
                <w:highlight w:val="none"/>
              </w:rPr>
            </w:pPr>
            <w:r>
              <w:rPr>
                <w:color w:val="auto"/>
                <w:sz w:val="21"/>
                <w:szCs w:val="21"/>
                <w:highlight w:val="none"/>
              </w:rPr>
              <w:t> </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传真</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1698" w:type="dxa"/>
            <w:vMerge w:val="restart"/>
            <w:tcBorders>
              <w:top w:val="single" w:color="auto" w:sz="4" w:space="0"/>
              <w:left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开户银行</w:t>
            </w:r>
          </w:p>
          <w:p>
            <w:pPr>
              <w:widowControl/>
              <w:rPr>
                <w:color w:val="auto"/>
                <w:sz w:val="21"/>
                <w:szCs w:val="21"/>
                <w:highlight w:val="none"/>
              </w:rPr>
            </w:pPr>
            <w:r>
              <w:rPr>
                <w:color w:val="auto"/>
                <w:sz w:val="21"/>
                <w:szCs w:val="21"/>
                <w:highlight w:val="none"/>
              </w:rPr>
              <w:t>及账号</w:t>
            </w:r>
          </w:p>
        </w:tc>
        <w:tc>
          <w:tcPr>
            <w:tcW w:w="3797"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rFonts w:hint="eastAsia"/>
                <w:color w:val="auto"/>
                <w:sz w:val="21"/>
                <w:szCs w:val="21"/>
                <w:highlight w:val="none"/>
              </w:rPr>
              <w:t>开户行：</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邮政编码</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trPr>
        <w:tc>
          <w:tcPr>
            <w:tcW w:w="1698" w:type="dxa"/>
            <w:vMerge w:val="continue"/>
            <w:tcBorders>
              <w:left w:val="single" w:color="auto" w:sz="4" w:space="0"/>
              <w:bottom w:val="single" w:color="auto" w:sz="4" w:space="0"/>
              <w:right w:val="single" w:color="auto" w:sz="4" w:space="0"/>
            </w:tcBorders>
            <w:noWrap w:val="0"/>
            <w:vAlign w:val="center"/>
          </w:tcPr>
          <w:p>
            <w:pPr>
              <w:widowControl/>
              <w:rPr>
                <w:color w:val="auto"/>
                <w:sz w:val="21"/>
                <w:szCs w:val="21"/>
                <w:highlight w:val="none"/>
              </w:rPr>
            </w:pPr>
          </w:p>
        </w:tc>
        <w:tc>
          <w:tcPr>
            <w:tcW w:w="3797"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账号</w:t>
            </w:r>
            <w:r>
              <w:rPr>
                <w:rFonts w:hint="eastAsia"/>
                <w:color w:val="auto"/>
                <w:sz w:val="21"/>
                <w:szCs w:val="21"/>
                <w:highlight w:val="none"/>
              </w:rPr>
              <w:t>：</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单位性质</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trPr>
        <w:tc>
          <w:tcPr>
            <w:tcW w:w="1698"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法人证书登记号</w:t>
            </w:r>
          </w:p>
        </w:tc>
        <w:tc>
          <w:tcPr>
            <w:tcW w:w="3797"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p>
            <w:pPr>
              <w:widowControl/>
              <w:rPr>
                <w:color w:val="auto"/>
                <w:sz w:val="21"/>
                <w:szCs w:val="21"/>
                <w:highlight w:val="none"/>
              </w:rPr>
            </w:pPr>
            <w:r>
              <w:rPr>
                <w:color w:val="auto"/>
                <w:sz w:val="21"/>
                <w:szCs w:val="21"/>
                <w:highlight w:val="none"/>
              </w:rPr>
              <w:t> </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注册资本</w:t>
            </w:r>
          </w:p>
          <w:p>
            <w:pPr>
              <w:widowControl/>
              <w:rPr>
                <w:color w:val="auto"/>
                <w:sz w:val="21"/>
                <w:szCs w:val="21"/>
                <w:highlight w:val="none"/>
              </w:rPr>
            </w:pPr>
            <w:r>
              <w:rPr>
                <w:color w:val="auto"/>
                <w:sz w:val="21"/>
                <w:szCs w:val="21"/>
                <w:highlight w:val="none"/>
              </w:rPr>
              <w:t>(万元)</w:t>
            </w:r>
          </w:p>
        </w:tc>
        <w:tc>
          <w:tcPr>
            <w:tcW w:w="1876" w:type="dxa"/>
            <w:tcBorders>
              <w:top w:val="single" w:color="auto" w:sz="4" w:space="0"/>
              <w:left w:val="single" w:color="auto" w:sz="4" w:space="0"/>
              <w:bottom w:val="single" w:color="auto" w:sz="4" w:space="0"/>
              <w:right w:val="single" w:color="auto" w:sz="4" w:space="0"/>
            </w:tcBorders>
            <w:noWrap w:val="0"/>
            <w:vAlign w:val="center"/>
          </w:tcPr>
          <w:p>
            <w:pPr>
              <w:widowControl/>
              <w:rPr>
                <w:color w:val="auto"/>
                <w:sz w:val="21"/>
                <w:szCs w:val="21"/>
                <w:highlight w:val="none"/>
              </w:rPr>
            </w:pPr>
            <w:r>
              <w:rPr>
                <w:color w:val="auto"/>
                <w:sz w:val="21"/>
                <w:szCs w:val="21"/>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7" w:hRule="atLeast"/>
        </w:trPr>
        <w:tc>
          <w:tcPr>
            <w:tcW w:w="1698" w:type="dxa"/>
            <w:tcBorders>
              <w:top w:val="single" w:color="auto" w:sz="4" w:space="0"/>
              <w:left w:val="single" w:color="auto" w:sz="4" w:space="0"/>
              <w:right w:val="single" w:color="auto" w:sz="4" w:space="0"/>
            </w:tcBorders>
            <w:noWrap w:val="0"/>
            <w:vAlign w:val="center"/>
          </w:tcPr>
          <w:p>
            <w:pPr>
              <w:jc w:val="center"/>
              <w:rPr>
                <w:color w:val="auto"/>
                <w:sz w:val="21"/>
                <w:szCs w:val="21"/>
                <w:highlight w:val="none"/>
              </w:rPr>
            </w:pPr>
            <w:r>
              <w:rPr>
                <w:color w:val="auto"/>
                <w:sz w:val="21"/>
                <w:szCs w:val="21"/>
                <w:highlight w:val="none"/>
              </w:rPr>
              <w:t>经营</w:t>
            </w:r>
          </w:p>
          <w:p>
            <w:pPr>
              <w:jc w:val="center"/>
              <w:rPr>
                <w:color w:val="auto"/>
                <w:sz w:val="21"/>
                <w:szCs w:val="21"/>
                <w:highlight w:val="none"/>
              </w:rPr>
            </w:pPr>
            <w:r>
              <w:rPr>
                <w:color w:val="auto"/>
                <w:sz w:val="21"/>
                <w:szCs w:val="21"/>
                <w:highlight w:val="none"/>
              </w:rPr>
              <w:t>范围</w:t>
            </w:r>
          </w:p>
          <w:p>
            <w:pPr>
              <w:jc w:val="center"/>
              <w:rPr>
                <w:color w:val="auto"/>
                <w:sz w:val="21"/>
                <w:szCs w:val="21"/>
                <w:highlight w:val="none"/>
              </w:rPr>
            </w:pPr>
          </w:p>
        </w:tc>
        <w:tc>
          <w:tcPr>
            <w:tcW w:w="7232" w:type="dxa"/>
            <w:gridSpan w:val="3"/>
            <w:tcBorders>
              <w:top w:val="single" w:color="auto" w:sz="4" w:space="0"/>
              <w:left w:val="single" w:color="auto" w:sz="4" w:space="0"/>
              <w:right w:val="single" w:color="auto" w:sz="4" w:space="0"/>
            </w:tcBorders>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9" w:hRule="atLeast"/>
        </w:trPr>
        <w:tc>
          <w:tcPr>
            <w:tcW w:w="1698" w:type="dxa"/>
            <w:tcBorders>
              <w:top w:val="single" w:color="auto" w:sz="4" w:space="0"/>
              <w:left w:val="single" w:color="auto" w:sz="4" w:space="0"/>
              <w:right w:val="single" w:color="auto" w:sz="4" w:space="0"/>
            </w:tcBorders>
            <w:noWrap w:val="0"/>
            <w:vAlign w:val="center"/>
          </w:tcPr>
          <w:p>
            <w:pPr>
              <w:jc w:val="center"/>
              <w:rPr>
                <w:color w:val="auto"/>
                <w:sz w:val="21"/>
                <w:szCs w:val="21"/>
                <w:highlight w:val="none"/>
              </w:rPr>
            </w:pPr>
            <w:r>
              <w:rPr>
                <w:color w:val="auto"/>
                <w:sz w:val="21"/>
                <w:szCs w:val="21"/>
                <w:highlight w:val="none"/>
              </w:rPr>
              <w:t>企业现有的</w:t>
            </w:r>
          </w:p>
          <w:p>
            <w:pPr>
              <w:jc w:val="center"/>
              <w:rPr>
                <w:color w:val="auto"/>
                <w:sz w:val="21"/>
                <w:szCs w:val="21"/>
                <w:highlight w:val="none"/>
              </w:rPr>
            </w:pPr>
            <w:r>
              <w:rPr>
                <w:color w:val="auto"/>
                <w:sz w:val="21"/>
                <w:szCs w:val="21"/>
                <w:highlight w:val="none"/>
              </w:rPr>
              <w:t>资质证书</w:t>
            </w:r>
          </w:p>
        </w:tc>
        <w:tc>
          <w:tcPr>
            <w:tcW w:w="7232" w:type="dxa"/>
            <w:gridSpan w:val="3"/>
            <w:tcBorders>
              <w:top w:val="single" w:color="auto" w:sz="4" w:space="0"/>
              <w:left w:val="single" w:color="auto" w:sz="4" w:space="0"/>
              <w:right w:val="single" w:color="auto" w:sz="4" w:space="0"/>
            </w:tcBorders>
            <w:noWrap w:val="0"/>
            <w:vAlign w:val="top"/>
          </w:tcPr>
          <w:p>
            <w:pPr>
              <w:jc w:val="center"/>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3" w:hRule="atLeast"/>
        </w:trPr>
        <w:tc>
          <w:tcPr>
            <w:tcW w:w="169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color w:val="auto"/>
                <w:sz w:val="21"/>
                <w:szCs w:val="21"/>
                <w:highlight w:val="none"/>
              </w:rPr>
            </w:pPr>
            <w:r>
              <w:rPr>
                <w:b/>
                <w:color w:val="auto"/>
                <w:sz w:val="21"/>
                <w:szCs w:val="21"/>
                <w:highlight w:val="none"/>
              </w:rPr>
              <w:t>近三年的年营业总额</w:t>
            </w:r>
          </w:p>
        </w:tc>
        <w:tc>
          <w:tcPr>
            <w:tcW w:w="7232" w:type="dxa"/>
            <w:gridSpan w:val="3"/>
            <w:tcBorders>
              <w:top w:val="single" w:color="auto" w:sz="4" w:space="0"/>
              <w:left w:val="single" w:color="auto" w:sz="4" w:space="0"/>
              <w:bottom w:val="single" w:color="auto" w:sz="4" w:space="0"/>
              <w:right w:val="single" w:color="auto" w:sz="4" w:space="0"/>
            </w:tcBorders>
            <w:noWrap w:val="0"/>
            <w:vAlign w:val="top"/>
          </w:tcPr>
          <w:p>
            <w:pPr>
              <w:jc w:val="center"/>
              <w:rPr>
                <w:color w:val="auto"/>
                <w:sz w:val="21"/>
                <w:szCs w:val="21"/>
                <w:highlight w:val="none"/>
              </w:rPr>
            </w:pPr>
            <w:r>
              <w:rPr>
                <w:color w:val="auto"/>
                <w:sz w:val="21"/>
                <w:szCs w:val="21"/>
                <w:highlight w:val="none"/>
              </w:rPr>
              <w:t> </w:t>
            </w:r>
          </w:p>
        </w:tc>
      </w:tr>
    </w:tbl>
    <w:p>
      <w:pPr>
        <w:widowControl/>
        <w:snapToGrid w:val="0"/>
        <w:rPr>
          <w:color w:val="auto"/>
          <w:sz w:val="21"/>
          <w:szCs w:val="21"/>
          <w:highlight w:val="none"/>
        </w:rPr>
      </w:pPr>
    </w:p>
    <w:p>
      <w:pPr>
        <w:widowControl/>
        <w:snapToGrid w:val="0"/>
        <w:rPr>
          <w:color w:val="auto"/>
          <w:sz w:val="21"/>
          <w:szCs w:val="21"/>
          <w:highlight w:val="none"/>
        </w:rPr>
      </w:pPr>
      <w:r>
        <w:rPr>
          <w:color w:val="auto"/>
          <w:sz w:val="21"/>
          <w:szCs w:val="21"/>
          <w:highlight w:val="none"/>
        </w:rPr>
        <w:t>注： 1、单位性质指企业或事业；</w:t>
      </w:r>
    </w:p>
    <w:p>
      <w:pPr>
        <w:rPr>
          <w:color w:val="auto"/>
          <w:sz w:val="21"/>
          <w:szCs w:val="21"/>
          <w:highlight w:val="none"/>
        </w:rPr>
      </w:pPr>
      <w:r>
        <w:rPr>
          <w:color w:val="auto"/>
          <w:sz w:val="21"/>
          <w:szCs w:val="21"/>
          <w:highlight w:val="none"/>
        </w:rPr>
        <w:t xml:space="preserve">     2、此表仅供参考，可自行制作。</w:t>
      </w:r>
    </w:p>
    <w:p>
      <w:pPr>
        <w:widowControl/>
        <w:snapToGrid w:val="0"/>
        <w:rPr>
          <w:color w:val="auto"/>
          <w:sz w:val="21"/>
          <w:szCs w:val="21"/>
          <w:highlight w:val="none"/>
        </w:rPr>
      </w:pPr>
    </w:p>
    <w:p>
      <w:pPr>
        <w:widowControl/>
        <w:snapToGrid w:val="0"/>
        <w:rPr>
          <w:color w:val="auto"/>
          <w:sz w:val="21"/>
          <w:szCs w:val="21"/>
          <w:highlight w:val="none"/>
        </w:rPr>
      </w:pPr>
    </w:p>
    <w:p>
      <w:pPr>
        <w:widowControl/>
        <w:snapToGrid w:val="0"/>
        <w:ind w:firstLine="4620" w:firstLineChars="2200"/>
        <w:rPr>
          <w:color w:val="auto"/>
          <w:sz w:val="21"/>
          <w:szCs w:val="21"/>
          <w:highlight w:val="none"/>
        </w:rPr>
      </w:pPr>
      <w:r>
        <w:rPr>
          <w:color w:val="auto"/>
          <w:sz w:val="21"/>
          <w:szCs w:val="21"/>
          <w:highlight w:val="none"/>
        </w:rPr>
        <w:t>投标人名称（</w:t>
      </w:r>
      <w:r>
        <w:rPr>
          <w:rFonts w:hint="eastAsia"/>
          <w:color w:val="auto"/>
          <w:sz w:val="21"/>
          <w:szCs w:val="21"/>
          <w:highlight w:val="none"/>
        </w:rPr>
        <w:t>盖章</w:t>
      </w:r>
      <w:r>
        <w:rPr>
          <w:color w:val="auto"/>
          <w:sz w:val="21"/>
          <w:szCs w:val="21"/>
          <w:highlight w:val="none"/>
        </w:rPr>
        <w:t>）：</w:t>
      </w:r>
    </w:p>
    <w:p>
      <w:pPr>
        <w:spacing w:line="380" w:lineRule="exact"/>
        <w:ind w:firstLine="4200" w:firstLineChars="2000"/>
        <w:rPr>
          <w:color w:val="auto"/>
          <w:sz w:val="21"/>
          <w:szCs w:val="21"/>
          <w:highlight w:val="none"/>
        </w:rPr>
      </w:pPr>
      <w:r>
        <w:rPr>
          <w:color w:val="auto"/>
          <w:sz w:val="21"/>
          <w:szCs w:val="21"/>
          <w:highlight w:val="none"/>
        </w:rPr>
        <w:t xml:space="preserve">    法定代表人或</w:t>
      </w:r>
      <w:r>
        <w:rPr>
          <w:rFonts w:hint="eastAsia"/>
          <w:color w:val="auto"/>
          <w:sz w:val="21"/>
          <w:szCs w:val="21"/>
          <w:highlight w:val="none"/>
        </w:rPr>
        <w:t>其</w:t>
      </w:r>
      <w:r>
        <w:rPr>
          <w:color w:val="auto"/>
          <w:sz w:val="21"/>
          <w:szCs w:val="21"/>
          <w:highlight w:val="none"/>
        </w:rPr>
        <w:t>委托代理人（签字）：</w:t>
      </w:r>
    </w:p>
    <w:p>
      <w:pPr>
        <w:widowControl/>
        <w:snapToGrid w:val="0"/>
        <w:ind w:firstLine="5565" w:firstLineChars="2650"/>
        <w:rPr>
          <w:b/>
          <w:color w:val="auto"/>
          <w:sz w:val="21"/>
          <w:szCs w:val="21"/>
          <w:highlight w:val="none"/>
        </w:rPr>
      </w:pPr>
      <w:r>
        <w:rPr>
          <w:color w:val="auto"/>
          <w:sz w:val="21"/>
          <w:szCs w:val="21"/>
          <w:highlight w:val="none"/>
        </w:rPr>
        <w:t xml:space="preserve">  </w:t>
      </w:r>
      <w:r>
        <w:rPr>
          <w:b/>
          <w:color w:val="auto"/>
          <w:sz w:val="21"/>
          <w:szCs w:val="21"/>
          <w:highlight w:val="none"/>
        </w:rPr>
        <w:t xml:space="preserve">        </w:t>
      </w:r>
    </w:p>
    <w:p>
      <w:pPr>
        <w:snapToGrid w:val="0"/>
        <w:spacing w:before="50" w:after="50"/>
        <w:ind w:firstLine="5565" w:firstLineChars="2650"/>
        <w:rPr>
          <w:color w:val="auto"/>
          <w:sz w:val="21"/>
          <w:szCs w:val="21"/>
          <w:highlight w:val="none"/>
        </w:rPr>
      </w:pPr>
      <w:r>
        <w:rPr>
          <w:color w:val="auto"/>
          <w:sz w:val="21"/>
          <w:szCs w:val="21"/>
          <w:highlight w:val="none"/>
        </w:rPr>
        <w:t>日期：    年  月   日</w:t>
      </w:r>
    </w:p>
    <w:p>
      <w:pPr>
        <w:pStyle w:val="21"/>
        <w:ind w:left="0" w:leftChars="0" w:firstLine="0" w:firstLineChars="0"/>
        <w:rPr>
          <w:rFonts w:hint="eastAsia"/>
          <w:color w:val="auto"/>
          <w:highlight w:val="none"/>
        </w:rPr>
      </w:pPr>
    </w:p>
    <w:p>
      <w:pPr>
        <w:pStyle w:val="21"/>
        <w:ind w:left="0" w:leftChars="0" w:firstLine="0" w:firstLineChars="0"/>
        <w:rPr>
          <w:rFonts w:hint="eastAsia"/>
          <w:color w:val="auto"/>
          <w:highlight w:val="none"/>
        </w:rPr>
      </w:pPr>
    </w:p>
    <w:p>
      <w:pPr>
        <w:rPr>
          <w:b/>
          <w:bCs/>
          <w:color w:val="auto"/>
          <w:kern w:val="0"/>
          <w:sz w:val="32"/>
          <w:szCs w:val="32"/>
          <w:highlight w:val="none"/>
        </w:rPr>
      </w:pPr>
      <w:r>
        <w:rPr>
          <w:b/>
          <w:bCs/>
          <w:color w:val="auto"/>
          <w:kern w:val="0"/>
          <w:sz w:val="32"/>
          <w:szCs w:val="32"/>
          <w:highlight w:val="none"/>
        </w:rPr>
        <w:br w:type="page"/>
      </w:r>
    </w:p>
    <w:p>
      <w:pPr>
        <w:widowControl/>
        <w:jc w:val="center"/>
        <w:rPr>
          <w:b/>
          <w:bCs/>
          <w:color w:val="auto"/>
          <w:kern w:val="0"/>
          <w:sz w:val="32"/>
          <w:szCs w:val="32"/>
          <w:highlight w:val="none"/>
        </w:rPr>
      </w:pPr>
      <w:r>
        <w:rPr>
          <w:b/>
          <w:bCs/>
          <w:color w:val="auto"/>
          <w:kern w:val="0"/>
          <w:sz w:val="32"/>
          <w:szCs w:val="32"/>
          <w:highlight w:val="none"/>
        </w:rPr>
        <w:t>拟投入本项目的人员配备表</w:t>
      </w:r>
    </w:p>
    <w:p>
      <w:pPr>
        <w:spacing w:line="260" w:lineRule="exact"/>
        <w:jc w:val="center"/>
        <w:rPr>
          <w:b/>
          <w:bCs/>
          <w:color w:val="auto"/>
          <w:sz w:val="32"/>
          <w:szCs w:val="32"/>
          <w:highlight w:val="none"/>
        </w:rPr>
      </w:pPr>
    </w:p>
    <w:p>
      <w:pPr>
        <w:spacing w:line="260" w:lineRule="exact"/>
        <w:jc w:val="center"/>
        <w:rPr>
          <w:rFonts w:eastAsia="楷体_GB2312"/>
          <w:b/>
          <w:bCs/>
          <w:color w:val="auto"/>
          <w:sz w:val="32"/>
          <w:szCs w:val="32"/>
          <w:highlight w:val="none"/>
        </w:rPr>
      </w:pP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855"/>
        <w:gridCol w:w="765"/>
        <w:gridCol w:w="1095"/>
        <w:gridCol w:w="1005"/>
        <w:gridCol w:w="1050"/>
        <w:gridCol w:w="1050"/>
        <w:gridCol w:w="1080"/>
        <w:gridCol w:w="1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exact"/>
        </w:trPr>
        <w:tc>
          <w:tcPr>
            <w:tcW w:w="655" w:type="dxa"/>
            <w:noWrap w:val="0"/>
            <w:textDirection w:val="tbRlV"/>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序号</w:t>
            </w:r>
          </w:p>
        </w:tc>
        <w:tc>
          <w:tcPr>
            <w:tcW w:w="855"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姓名</w:t>
            </w:r>
          </w:p>
        </w:tc>
        <w:tc>
          <w:tcPr>
            <w:tcW w:w="765"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性别</w:t>
            </w:r>
          </w:p>
        </w:tc>
        <w:tc>
          <w:tcPr>
            <w:tcW w:w="1095"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出生年月</w:t>
            </w:r>
          </w:p>
        </w:tc>
        <w:tc>
          <w:tcPr>
            <w:tcW w:w="1005"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学历</w:t>
            </w:r>
          </w:p>
        </w:tc>
        <w:tc>
          <w:tcPr>
            <w:tcW w:w="1050"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专业</w:t>
            </w:r>
          </w:p>
        </w:tc>
        <w:tc>
          <w:tcPr>
            <w:tcW w:w="1050"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 xml:space="preserve">职称/执业资格 </w:t>
            </w:r>
          </w:p>
        </w:tc>
        <w:tc>
          <w:tcPr>
            <w:tcW w:w="1080"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本项目中的职责</w:t>
            </w:r>
          </w:p>
        </w:tc>
        <w:tc>
          <w:tcPr>
            <w:tcW w:w="1485" w:type="dxa"/>
            <w:noWrap w:val="0"/>
            <w:vAlign w:val="center"/>
          </w:tcPr>
          <w:p>
            <w:pPr>
              <w:jc w:val="center"/>
              <w:rPr>
                <w:rFonts w:hint="eastAsia" w:ascii="宋体" w:hAnsi="宋体"/>
                <w:color w:val="auto"/>
                <w:sz w:val="21"/>
                <w:szCs w:val="21"/>
                <w:highlight w:val="none"/>
              </w:rPr>
            </w:pPr>
            <w:r>
              <w:rPr>
                <w:rFonts w:hint="eastAsia" w:ascii="宋体" w:hAnsi="宋体"/>
                <w:color w:val="auto"/>
                <w:sz w:val="21"/>
                <w:szCs w:val="21"/>
                <w:highlight w:val="none"/>
              </w:rPr>
              <w:t>项目经历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exact"/>
        </w:trPr>
        <w:tc>
          <w:tcPr>
            <w:tcW w:w="655" w:type="dxa"/>
            <w:noWrap w:val="0"/>
            <w:vAlign w:val="center"/>
          </w:tcPr>
          <w:p>
            <w:pPr>
              <w:rPr>
                <w:rFonts w:hint="eastAsia" w:ascii="宋体" w:hAnsi="宋体"/>
                <w:color w:val="auto"/>
                <w:sz w:val="21"/>
                <w:szCs w:val="21"/>
                <w:highlight w:val="none"/>
              </w:rPr>
            </w:pPr>
          </w:p>
        </w:tc>
        <w:tc>
          <w:tcPr>
            <w:tcW w:w="855" w:type="dxa"/>
            <w:noWrap w:val="0"/>
            <w:vAlign w:val="center"/>
          </w:tcPr>
          <w:p>
            <w:pPr>
              <w:rPr>
                <w:rFonts w:hint="eastAsia" w:ascii="宋体" w:hAnsi="宋体"/>
                <w:color w:val="auto"/>
                <w:sz w:val="21"/>
                <w:szCs w:val="21"/>
                <w:highlight w:val="none"/>
              </w:rPr>
            </w:pPr>
          </w:p>
        </w:tc>
        <w:tc>
          <w:tcPr>
            <w:tcW w:w="765" w:type="dxa"/>
            <w:noWrap w:val="0"/>
            <w:vAlign w:val="center"/>
          </w:tcPr>
          <w:p>
            <w:pPr>
              <w:rPr>
                <w:rFonts w:hint="eastAsia" w:ascii="宋体" w:hAnsi="宋体"/>
                <w:color w:val="auto"/>
                <w:sz w:val="21"/>
                <w:szCs w:val="21"/>
                <w:highlight w:val="none"/>
              </w:rPr>
            </w:pPr>
          </w:p>
        </w:tc>
        <w:tc>
          <w:tcPr>
            <w:tcW w:w="1095" w:type="dxa"/>
            <w:noWrap w:val="0"/>
            <w:vAlign w:val="center"/>
          </w:tcPr>
          <w:p>
            <w:pPr>
              <w:rPr>
                <w:rFonts w:hint="eastAsia" w:ascii="宋体" w:hAnsi="宋体"/>
                <w:color w:val="auto"/>
                <w:sz w:val="21"/>
                <w:szCs w:val="21"/>
                <w:highlight w:val="none"/>
              </w:rPr>
            </w:pPr>
          </w:p>
        </w:tc>
        <w:tc>
          <w:tcPr>
            <w:tcW w:w="1005"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50" w:type="dxa"/>
            <w:noWrap w:val="0"/>
            <w:vAlign w:val="center"/>
          </w:tcPr>
          <w:p>
            <w:pPr>
              <w:rPr>
                <w:rFonts w:hint="eastAsia" w:ascii="宋体" w:hAnsi="宋体"/>
                <w:color w:val="auto"/>
                <w:sz w:val="21"/>
                <w:szCs w:val="21"/>
                <w:highlight w:val="none"/>
              </w:rPr>
            </w:pPr>
          </w:p>
        </w:tc>
        <w:tc>
          <w:tcPr>
            <w:tcW w:w="1080" w:type="dxa"/>
            <w:noWrap w:val="0"/>
            <w:vAlign w:val="center"/>
          </w:tcPr>
          <w:p>
            <w:pPr>
              <w:rPr>
                <w:rFonts w:hint="eastAsia" w:ascii="宋体" w:hAnsi="宋体"/>
                <w:color w:val="auto"/>
                <w:sz w:val="21"/>
                <w:szCs w:val="21"/>
                <w:highlight w:val="none"/>
              </w:rPr>
            </w:pPr>
          </w:p>
        </w:tc>
        <w:tc>
          <w:tcPr>
            <w:tcW w:w="1485" w:type="dxa"/>
            <w:noWrap w:val="0"/>
            <w:vAlign w:val="center"/>
          </w:tcPr>
          <w:p>
            <w:pPr>
              <w:rPr>
                <w:rFonts w:hint="eastAsia" w:ascii="宋体" w:hAnsi="宋体"/>
                <w:color w:val="auto"/>
                <w:sz w:val="21"/>
                <w:szCs w:val="21"/>
                <w:highlight w:val="none"/>
              </w:rPr>
            </w:pPr>
          </w:p>
        </w:tc>
      </w:tr>
    </w:tbl>
    <w:p>
      <w:pPr>
        <w:spacing w:line="360" w:lineRule="auto"/>
        <w:rPr>
          <w:color w:val="auto"/>
          <w:sz w:val="21"/>
          <w:szCs w:val="21"/>
          <w:highlight w:val="none"/>
        </w:rPr>
      </w:pPr>
      <w:r>
        <w:rPr>
          <w:color w:val="auto"/>
          <w:sz w:val="21"/>
          <w:szCs w:val="21"/>
          <w:highlight w:val="none"/>
        </w:rPr>
        <w:t>注：1.投标人可根据本采购项目的要求自行扩展。</w:t>
      </w:r>
    </w:p>
    <w:p>
      <w:pPr>
        <w:spacing w:line="360" w:lineRule="auto"/>
        <w:rPr>
          <w:rFonts w:hint="eastAsia" w:eastAsia="宋体"/>
          <w:color w:val="auto"/>
          <w:sz w:val="21"/>
          <w:szCs w:val="21"/>
          <w:highlight w:val="none"/>
          <w:lang w:eastAsia="zh-CN"/>
        </w:rPr>
      </w:pPr>
      <w:r>
        <w:rPr>
          <w:rFonts w:hint="eastAsia"/>
          <w:color w:val="auto"/>
          <w:sz w:val="21"/>
          <w:szCs w:val="21"/>
          <w:highlight w:val="none"/>
        </w:rPr>
        <w:t xml:space="preserve">    2.附专业人员资格证书</w:t>
      </w:r>
      <w:r>
        <w:rPr>
          <w:rFonts w:hint="eastAsia"/>
          <w:color w:val="auto"/>
          <w:sz w:val="21"/>
          <w:szCs w:val="21"/>
          <w:highlight w:val="none"/>
          <w:lang w:val="en-US" w:eastAsia="zh-CN"/>
        </w:rPr>
        <w:t>原件扫描件</w:t>
      </w:r>
      <w:r>
        <w:rPr>
          <w:rFonts w:hint="eastAsia"/>
          <w:color w:val="auto"/>
          <w:sz w:val="21"/>
          <w:szCs w:val="21"/>
          <w:highlight w:val="none"/>
          <w:lang w:eastAsia="zh-CN"/>
        </w:rPr>
        <w:t>。</w:t>
      </w:r>
    </w:p>
    <w:p>
      <w:pPr>
        <w:rPr>
          <w:color w:val="auto"/>
          <w:kern w:val="0"/>
          <w:sz w:val="21"/>
          <w:szCs w:val="21"/>
          <w:highlight w:val="none"/>
        </w:rPr>
      </w:pPr>
    </w:p>
    <w:p>
      <w:pPr>
        <w:rPr>
          <w:color w:val="auto"/>
          <w:sz w:val="21"/>
          <w:szCs w:val="21"/>
          <w:highlight w:val="none"/>
        </w:rPr>
      </w:pPr>
      <w:r>
        <w:rPr>
          <w:color w:val="auto"/>
          <w:kern w:val="0"/>
          <w:sz w:val="21"/>
          <w:szCs w:val="21"/>
          <w:highlight w:val="none"/>
        </w:rPr>
        <w:t xml:space="preserve">投标人：(盖章)  </w:t>
      </w:r>
    </w:p>
    <w:p>
      <w:pPr>
        <w:rPr>
          <w:color w:val="auto"/>
          <w:sz w:val="21"/>
          <w:szCs w:val="21"/>
          <w:highlight w:val="none"/>
        </w:rPr>
      </w:pPr>
    </w:p>
    <w:p>
      <w:pPr>
        <w:rPr>
          <w:color w:val="auto"/>
          <w:sz w:val="21"/>
          <w:szCs w:val="21"/>
          <w:highlight w:val="none"/>
        </w:rPr>
      </w:pPr>
      <w:r>
        <w:rPr>
          <w:color w:val="auto"/>
          <w:sz w:val="21"/>
          <w:szCs w:val="21"/>
          <w:highlight w:val="none"/>
        </w:rPr>
        <w:t>法定代表人或其</w:t>
      </w:r>
      <w:r>
        <w:rPr>
          <w:rFonts w:hint="eastAsia"/>
          <w:color w:val="auto"/>
          <w:sz w:val="21"/>
          <w:szCs w:val="21"/>
          <w:highlight w:val="none"/>
        </w:rPr>
        <w:t>委托代理人</w:t>
      </w:r>
      <w:r>
        <w:rPr>
          <w:color w:val="auto"/>
          <w:sz w:val="21"/>
          <w:szCs w:val="21"/>
          <w:highlight w:val="none"/>
        </w:rPr>
        <w:t>（签字）：</w:t>
      </w:r>
    </w:p>
    <w:p>
      <w:pPr>
        <w:rPr>
          <w:color w:val="auto"/>
          <w:kern w:val="0"/>
          <w:sz w:val="21"/>
          <w:szCs w:val="21"/>
          <w:highlight w:val="none"/>
        </w:rPr>
      </w:pPr>
    </w:p>
    <w:p>
      <w:pPr>
        <w:spacing w:line="360" w:lineRule="auto"/>
        <w:rPr>
          <w:color w:val="auto"/>
          <w:sz w:val="21"/>
          <w:szCs w:val="21"/>
          <w:highlight w:val="none"/>
        </w:rPr>
      </w:pPr>
      <w:r>
        <w:rPr>
          <w:color w:val="auto"/>
          <w:sz w:val="21"/>
          <w:szCs w:val="21"/>
          <w:highlight w:val="none"/>
        </w:rPr>
        <w:t>日期：    年  月   日</w:t>
      </w:r>
    </w:p>
    <w:p>
      <w:pPr>
        <w:pStyle w:val="12"/>
        <w:rPr>
          <w:color w:val="auto"/>
          <w:sz w:val="21"/>
          <w:szCs w:val="21"/>
          <w:highlight w:val="none"/>
        </w:rPr>
      </w:pPr>
    </w:p>
    <w:p>
      <w:pPr>
        <w:pStyle w:val="21"/>
        <w:rPr>
          <w:color w:val="auto"/>
          <w:highlight w:val="none"/>
        </w:rPr>
      </w:pPr>
    </w:p>
    <w:p>
      <w:pPr>
        <w:pStyle w:val="14"/>
        <w:spacing w:before="120" w:beforeLines="0" w:after="120" w:afterLines="0"/>
        <w:jc w:val="center"/>
        <w:rPr>
          <w:rFonts w:hint="eastAsia" w:hAnsi="宋体" w:cs="宋体"/>
          <w:b/>
          <w:bCs/>
          <w:color w:val="auto"/>
          <w:sz w:val="32"/>
          <w:szCs w:val="32"/>
          <w:highlight w:val="none"/>
        </w:rPr>
      </w:pPr>
      <w:r>
        <w:rPr>
          <w:rFonts w:hint="eastAsia" w:hAnsi="宋体" w:cs="宋体"/>
          <w:b/>
          <w:bCs/>
          <w:color w:val="auto"/>
          <w:sz w:val="32"/>
          <w:szCs w:val="32"/>
          <w:highlight w:val="none"/>
        </w:rPr>
        <w:t>无围标串标等负面行为承诺书</w:t>
      </w:r>
    </w:p>
    <w:p>
      <w:pPr>
        <w:rPr>
          <w:rFonts w:hint="eastAsia"/>
          <w:color w:val="auto"/>
          <w:highlight w:val="none"/>
        </w:rPr>
      </w:pPr>
    </w:p>
    <w:p>
      <w:pPr>
        <w:ind w:firstLine="452" w:firstLineChars="200"/>
        <w:rPr>
          <w:rFonts w:hint="eastAsia" w:ascii="宋体" w:hAnsi="宋体" w:cs="宋体"/>
          <w:color w:val="auto"/>
          <w:spacing w:val="8"/>
          <w:kern w:val="0"/>
          <w:sz w:val="21"/>
          <w:szCs w:val="21"/>
          <w:highlight w:val="none"/>
        </w:rPr>
      </w:pPr>
      <w:r>
        <w:rPr>
          <w:rFonts w:hint="eastAsia" w:ascii="宋体" w:hAnsi="宋体" w:cs="宋体"/>
          <w:color w:val="auto"/>
          <w:spacing w:val="8"/>
          <w:kern w:val="0"/>
          <w:sz w:val="21"/>
          <w:szCs w:val="21"/>
          <w:highlight w:val="none"/>
        </w:rPr>
        <w:t>本人作为经授权的投标人（或供应商、竞拍人等，下同）代表，清楚知晓我单位参与本项目投标（交易，下同），现对以下事项作出郑重承诺并签名：</w:t>
      </w:r>
    </w:p>
    <w:p>
      <w:pPr>
        <w:ind w:firstLine="452" w:firstLineChars="200"/>
        <w:rPr>
          <w:rFonts w:hint="eastAsia" w:ascii="宋体" w:hAnsi="宋体" w:cs="宋体"/>
          <w:color w:val="auto"/>
          <w:spacing w:val="8"/>
          <w:kern w:val="0"/>
          <w:sz w:val="21"/>
          <w:szCs w:val="21"/>
          <w:highlight w:val="none"/>
        </w:rPr>
      </w:pPr>
      <w:r>
        <w:rPr>
          <w:rFonts w:hint="eastAsia" w:ascii="宋体" w:hAnsi="宋体" w:cs="宋体"/>
          <w:color w:val="auto"/>
          <w:spacing w:val="8"/>
          <w:kern w:val="0"/>
          <w:sz w:val="21"/>
          <w:szCs w:val="21"/>
          <w:highlight w:val="none"/>
        </w:rPr>
        <w:t>一、我单位和本人遵循公开、公平、公正、诚实守信的原则，所提供的一切材料均真实、有效、合法，依法依规参与本项目投标。</w:t>
      </w:r>
    </w:p>
    <w:p>
      <w:pPr>
        <w:ind w:firstLine="452" w:firstLineChars="200"/>
        <w:rPr>
          <w:rFonts w:hint="eastAsia" w:ascii="宋体" w:hAnsi="宋体" w:cs="宋体"/>
          <w:color w:val="auto"/>
          <w:spacing w:val="8"/>
          <w:kern w:val="0"/>
          <w:sz w:val="21"/>
          <w:szCs w:val="21"/>
          <w:highlight w:val="none"/>
        </w:rPr>
      </w:pPr>
      <w:r>
        <w:rPr>
          <w:rFonts w:hint="eastAsia" w:ascii="宋体" w:hAnsi="宋体" w:cs="宋体"/>
          <w:color w:val="auto"/>
          <w:spacing w:val="8"/>
          <w:kern w:val="0"/>
          <w:sz w:val="21"/>
          <w:szCs w:val="21"/>
          <w:highlight w:val="none"/>
        </w:rPr>
        <w:t>二、我单位和本人在本项目招标投标活动中，拒绝参与围标串标，决不损害其它投标人、招标人（或采购人、拍卖人等，下同）的合法权益。</w:t>
      </w:r>
    </w:p>
    <w:p>
      <w:pPr>
        <w:ind w:firstLine="452" w:firstLineChars="200"/>
        <w:rPr>
          <w:rFonts w:hint="eastAsia"/>
          <w:color w:val="auto"/>
          <w:highlight w:val="none"/>
        </w:rPr>
      </w:pPr>
      <w:r>
        <w:rPr>
          <w:rFonts w:hint="eastAsia" w:ascii="宋体" w:hAnsi="宋体" w:cs="宋体"/>
          <w:color w:val="auto"/>
          <w:spacing w:val="8"/>
          <w:kern w:val="0"/>
          <w:sz w:val="21"/>
          <w:szCs w:val="21"/>
          <w:highlight w:val="none"/>
        </w:rPr>
        <w:t>三、我单位如被查实在本项目公共资源交易活动中存在围标串标等行为，本人作为违法行为直接责任人员，将承担被执行失信惩戒并被依法追究相关责任的后果。</w:t>
      </w:r>
    </w:p>
    <w:p>
      <w:pPr>
        <w:pStyle w:val="12"/>
        <w:rPr>
          <w:color w:val="auto"/>
          <w:highlight w:val="none"/>
        </w:rPr>
      </w:pPr>
    </w:p>
    <w:p>
      <w:pPr>
        <w:pStyle w:val="14"/>
        <w:spacing w:before="120" w:beforeLines="0" w:after="120" w:afterLines="0"/>
        <w:jc w:val="center"/>
        <w:rPr>
          <w:rFonts w:hint="eastAsia" w:hAnsi="宋体" w:cs="宋体"/>
          <w:b/>
          <w:bCs/>
          <w:color w:val="auto"/>
          <w:sz w:val="32"/>
          <w:szCs w:val="32"/>
          <w:highlight w:val="none"/>
        </w:rPr>
      </w:pPr>
      <w:r>
        <w:rPr>
          <w:rFonts w:hint="eastAsia" w:hAnsi="宋体" w:cs="宋体"/>
          <w:b/>
          <w:bCs/>
          <w:color w:val="auto"/>
          <w:sz w:val="32"/>
          <w:szCs w:val="32"/>
          <w:highlight w:val="none"/>
        </w:rPr>
        <w:t>《无围标串标等负面行为承诺书》签署页</w:t>
      </w:r>
    </w:p>
    <w:p>
      <w:pPr>
        <w:ind w:firstLine="512" w:firstLineChars="200"/>
        <w:rPr>
          <w:rFonts w:hint="eastAsia" w:ascii="宋体" w:hAnsi="宋体" w:cs="宋体"/>
          <w:color w:val="auto"/>
          <w:spacing w:val="8"/>
          <w:kern w:val="0"/>
          <w:sz w:val="24"/>
          <w:szCs w:val="24"/>
          <w:highlight w:val="none"/>
        </w:rPr>
      </w:pPr>
      <w:r>
        <w:rPr>
          <w:rFonts w:hint="eastAsia" w:ascii="宋体" w:hAnsi="宋体" w:cs="宋体"/>
          <w:color w:val="auto"/>
          <w:spacing w:val="8"/>
          <w:kern w:val="0"/>
          <w:sz w:val="24"/>
          <w:szCs w:val="24"/>
          <w:highlight w:val="none"/>
        </w:rPr>
        <w:t xml:space="preserve">项目名称：  </w:t>
      </w:r>
      <w:r>
        <w:rPr>
          <w:rFonts w:hint="eastAsia" w:ascii="宋体" w:hAnsi="宋体" w:cs="宋体"/>
          <w:color w:val="auto"/>
          <w:spacing w:val="8"/>
          <w:kern w:val="0"/>
          <w:sz w:val="24"/>
          <w:szCs w:val="24"/>
          <w:highlight w:val="none"/>
          <w:lang w:val="en-US" w:eastAsia="zh-CN"/>
        </w:rPr>
        <w:t xml:space="preserve">                              </w:t>
      </w:r>
      <w:r>
        <w:rPr>
          <w:rFonts w:hint="eastAsia" w:ascii="宋体" w:hAnsi="宋体" w:cs="宋体"/>
          <w:color w:val="auto"/>
          <w:spacing w:val="8"/>
          <w:kern w:val="0"/>
          <w:sz w:val="24"/>
          <w:szCs w:val="24"/>
          <w:highlight w:val="none"/>
        </w:rPr>
        <w:t xml:space="preserve"> 项目编号:                          </w:t>
      </w:r>
    </w:p>
    <w:tbl>
      <w:tblPr>
        <w:tblStyle w:val="22"/>
        <w:tblW w:w="90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1"/>
        <w:gridCol w:w="2597"/>
        <w:gridCol w:w="3347"/>
        <w:gridCol w:w="1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231" w:type="dxa"/>
            <w:noWrap w:val="0"/>
            <w:vAlign w:val="center"/>
          </w:tcPr>
          <w:p>
            <w:pPr>
              <w:widowControl/>
              <w:spacing w:line="500" w:lineRule="exact"/>
              <w:jc w:val="center"/>
              <w:rPr>
                <w:rFonts w:hint="eastAsia" w:ascii="宋体" w:hAnsi="宋体" w:cs="宋体"/>
                <w:b/>
                <w:bCs/>
                <w:color w:val="auto"/>
                <w:spacing w:val="8"/>
                <w:kern w:val="0"/>
                <w:sz w:val="24"/>
                <w:szCs w:val="24"/>
                <w:highlight w:val="none"/>
              </w:rPr>
            </w:pPr>
            <w:r>
              <w:rPr>
                <w:rFonts w:hint="eastAsia" w:ascii="宋体" w:hAnsi="宋体" w:cs="宋体"/>
                <w:b/>
                <w:bCs/>
                <w:color w:val="auto"/>
                <w:spacing w:val="8"/>
                <w:kern w:val="0"/>
                <w:sz w:val="24"/>
                <w:szCs w:val="24"/>
                <w:highlight w:val="none"/>
              </w:rPr>
              <w:t>序号</w:t>
            </w:r>
          </w:p>
        </w:tc>
        <w:tc>
          <w:tcPr>
            <w:tcW w:w="2597" w:type="dxa"/>
            <w:noWrap w:val="0"/>
            <w:vAlign w:val="center"/>
          </w:tcPr>
          <w:p>
            <w:pPr>
              <w:widowControl/>
              <w:spacing w:line="500" w:lineRule="exact"/>
              <w:jc w:val="center"/>
              <w:rPr>
                <w:rFonts w:hint="eastAsia" w:ascii="宋体" w:hAnsi="宋体" w:cs="宋体"/>
                <w:b/>
                <w:bCs/>
                <w:color w:val="auto"/>
                <w:spacing w:val="8"/>
                <w:kern w:val="0"/>
                <w:sz w:val="24"/>
                <w:szCs w:val="24"/>
                <w:highlight w:val="none"/>
              </w:rPr>
            </w:pPr>
            <w:r>
              <w:rPr>
                <w:rFonts w:hint="eastAsia" w:ascii="宋体" w:hAnsi="宋体" w:cs="宋体"/>
                <w:b/>
                <w:bCs/>
                <w:color w:val="auto"/>
                <w:spacing w:val="8"/>
                <w:kern w:val="0"/>
                <w:sz w:val="24"/>
                <w:szCs w:val="24"/>
                <w:highlight w:val="none"/>
              </w:rPr>
              <w:t>投标单位名称</w:t>
            </w:r>
          </w:p>
        </w:tc>
        <w:tc>
          <w:tcPr>
            <w:tcW w:w="3347" w:type="dxa"/>
            <w:noWrap w:val="0"/>
            <w:vAlign w:val="center"/>
          </w:tcPr>
          <w:p>
            <w:pPr>
              <w:widowControl/>
              <w:spacing w:line="500" w:lineRule="exact"/>
              <w:jc w:val="center"/>
              <w:rPr>
                <w:rFonts w:hint="eastAsia" w:ascii="宋体" w:hAnsi="宋体" w:cs="宋体"/>
                <w:b/>
                <w:bCs/>
                <w:color w:val="auto"/>
                <w:spacing w:val="8"/>
                <w:kern w:val="0"/>
                <w:sz w:val="24"/>
                <w:szCs w:val="24"/>
                <w:highlight w:val="none"/>
              </w:rPr>
            </w:pPr>
            <w:r>
              <w:rPr>
                <w:rFonts w:hint="eastAsia" w:ascii="宋体" w:hAnsi="宋体" w:cs="宋体"/>
                <w:b/>
                <w:bCs/>
                <w:color w:val="auto"/>
                <w:spacing w:val="8"/>
                <w:kern w:val="0"/>
                <w:sz w:val="24"/>
                <w:szCs w:val="24"/>
                <w:highlight w:val="none"/>
              </w:rPr>
              <w:t>投标人代表签名</w:t>
            </w:r>
          </w:p>
        </w:tc>
        <w:tc>
          <w:tcPr>
            <w:tcW w:w="1874" w:type="dxa"/>
            <w:noWrap w:val="0"/>
            <w:vAlign w:val="center"/>
          </w:tcPr>
          <w:p>
            <w:pPr>
              <w:widowControl/>
              <w:spacing w:line="500" w:lineRule="exact"/>
              <w:jc w:val="center"/>
              <w:rPr>
                <w:rFonts w:hint="eastAsia" w:ascii="宋体" w:hAnsi="宋体" w:cs="宋体"/>
                <w:b/>
                <w:bCs/>
                <w:color w:val="auto"/>
                <w:spacing w:val="8"/>
                <w:kern w:val="0"/>
                <w:sz w:val="24"/>
                <w:szCs w:val="24"/>
                <w:highlight w:val="none"/>
              </w:rPr>
            </w:pPr>
            <w:r>
              <w:rPr>
                <w:rFonts w:hint="eastAsia" w:ascii="宋体" w:hAnsi="宋体" w:cs="宋体"/>
                <w:b/>
                <w:bCs/>
                <w:color w:val="auto"/>
                <w:spacing w:val="8"/>
                <w:kern w:val="0"/>
                <w:sz w:val="24"/>
                <w:szCs w:val="24"/>
                <w:highlight w:val="none"/>
              </w:rPr>
              <w:t>联系号码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1231" w:type="dxa"/>
            <w:noWrap w:val="0"/>
            <w:vAlign w:val="center"/>
          </w:tcPr>
          <w:p>
            <w:pPr>
              <w:widowControl/>
              <w:spacing w:line="500" w:lineRule="exact"/>
              <w:jc w:val="center"/>
              <w:rPr>
                <w:rFonts w:hint="eastAsia" w:ascii="宋体" w:hAnsi="宋体" w:cs="宋体"/>
                <w:color w:val="auto"/>
                <w:spacing w:val="8"/>
                <w:kern w:val="0"/>
                <w:sz w:val="24"/>
                <w:szCs w:val="24"/>
                <w:highlight w:val="none"/>
              </w:rPr>
            </w:pPr>
            <w:r>
              <w:rPr>
                <w:rFonts w:hint="eastAsia" w:ascii="宋体" w:hAnsi="宋体" w:cs="宋体"/>
                <w:color w:val="auto"/>
                <w:spacing w:val="8"/>
                <w:kern w:val="0"/>
                <w:sz w:val="24"/>
                <w:szCs w:val="24"/>
                <w:highlight w:val="none"/>
              </w:rPr>
              <w:t>1</w:t>
            </w:r>
          </w:p>
        </w:tc>
        <w:tc>
          <w:tcPr>
            <w:tcW w:w="2597" w:type="dxa"/>
            <w:noWrap w:val="0"/>
            <w:vAlign w:val="center"/>
          </w:tcPr>
          <w:p>
            <w:pPr>
              <w:widowControl/>
              <w:jc w:val="center"/>
              <w:textAlignment w:val="center"/>
              <w:rPr>
                <w:rFonts w:hint="eastAsia" w:ascii="宋体" w:hAnsi="宋体" w:cs="宋体"/>
                <w:color w:val="auto"/>
                <w:spacing w:val="8"/>
                <w:kern w:val="0"/>
                <w:sz w:val="24"/>
                <w:szCs w:val="24"/>
                <w:highlight w:val="none"/>
              </w:rPr>
            </w:pPr>
          </w:p>
        </w:tc>
        <w:tc>
          <w:tcPr>
            <w:tcW w:w="3347" w:type="dxa"/>
            <w:noWrap w:val="0"/>
            <w:vAlign w:val="center"/>
          </w:tcPr>
          <w:p>
            <w:pPr>
              <w:widowControl/>
              <w:spacing w:line="500" w:lineRule="exact"/>
              <w:jc w:val="center"/>
              <w:rPr>
                <w:rFonts w:hint="eastAsia" w:ascii="宋体" w:hAnsi="宋体" w:cs="宋体"/>
                <w:color w:val="auto"/>
                <w:spacing w:val="8"/>
                <w:kern w:val="0"/>
                <w:sz w:val="24"/>
                <w:szCs w:val="24"/>
                <w:highlight w:val="none"/>
              </w:rPr>
            </w:pPr>
          </w:p>
        </w:tc>
        <w:tc>
          <w:tcPr>
            <w:tcW w:w="1874" w:type="dxa"/>
            <w:noWrap w:val="0"/>
            <w:vAlign w:val="top"/>
          </w:tcPr>
          <w:p>
            <w:pPr>
              <w:widowControl/>
              <w:spacing w:line="500" w:lineRule="exact"/>
              <w:jc w:val="center"/>
              <w:rPr>
                <w:rFonts w:hint="eastAsia" w:ascii="宋体" w:hAnsi="宋体" w:cs="宋体"/>
                <w:color w:val="auto"/>
                <w:spacing w:val="8"/>
                <w:kern w:val="0"/>
                <w:sz w:val="24"/>
                <w:szCs w:val="24"/>
                <w:highlight w:val="none"/>
              </w:rPr>
            </w:pPr>
          </w:p>
        </w:tc>
      </w:tr>
    </w:tbl>
    <w:p>
      <w:pPr>
        <w:pStyle w:val="21"/>
        <w:ind w:firstLine="280"/>
        <w:rPr>
          <w:rFonts w:hint="eastAsia"/>
          <w:color w:val="auto"/>
          <w:highlight w:val="none"/>
        </w:rPr>
      </w:pPr>
    </w:p>
    <w:p>
      <w:pPr>
        <w:pStyle w:val="21"/>
        <w:ind w:firstLine="280"/>
        <w:rPr>
          <w:rFonts w:hint="eastAsia"/>
          <w:color w:val="auto"/>
          <w:highlight w:val="none"/>
        </w:rPr>
      </w:pPr>
    </w:p>
    <w:p>
      <w:pPr>
        <w:widowControl/>
        <w:spacing w:line="400" w:lineRule="atLeast"/>
        <w:ind w:firstLine="420"/>
        <w:rPr>
          <w:color w:val="auto"/>
          <w:kern w:val="0"/>
          <w:sz w:val="21"/>
          <w:szCs w:val="21"/>
          <w:highlight w:val="none"/>
        </w:rPr>
      </w:pPr>
      <w:r>
        <w:rPr>
          <w:color w:val="auto"/>
          <w:kern w:val="0"/>
          <w:sz w:val="21"/>
          <w:szCs w:val="21"/>
          <w:highlight w:val="none"/>
        </w:rPr>
        <w:t xml:space="preserve"> </w:t>
      </w:r>
      <w:r>
        <w:rPr>
          <w:rFonts w:hint="eastAsia"/>
          <w:color w:val="auto"/>
          <w:kern w:val="0"/>
          <w:sz w:val="21"/>
          <w:szCs w:val="21"/>
          <w:highlight w:val="none"/>
          <w:lang w:val="en-US" w:eastAsia="zh-CN"/>
        </w:rPr>
        <w:t xml:space="preserve">                                          </w:t>
      </w:r>
      <w:r>
        <w:rPr>
          <w:color w:val="auto"/>
          <w:kern w:val="0"/>
          <w:sz w:val="21"/>
          <w:szCs w:val="21"/>
          <w:highlight w:val="none"/>
        </w:rPr>
        <w:t>法定代表人或</w:t>
      </w:r>
      <w:r>
        <w:rPr>
          <w:rFonts w:hint="eastAsia"/>
          <w:color w:val="auto"/>
          <w:kern w:val="0"/>
          <w:sz w:val="21"/>
          <w:szCs w:val="21"/>
          <w:highlight w:val="none"/>
        </w:rPr>
        <w:t>其委托代理人（</w:t>
      </w:r>
      <w:r>
        <w:rPr>
          <w:color w:val="auto"/>
          <w:kern w:val="0"/>
          <w:sz w:val="21"/>
          <w:szCs w:val="21"/>
          <w:highlight w:val="none"/>
        </w:rPr>
        <w:t>签名</w:t>
      </w:r>
      <w:r>
        <w:rPr>
          <w:rFonts w:hint="eastAsia"/>
          <w:color w:val="auto"/>
          <w:kern w:val="0"/>
          <w:sz w:val="21"/>
          <w:szCs w:val="21"/>
          <w:highlight w:val="none"/>
        </w:rPr>
        <w:t>）</w:t>
      </w:r>
      <w:r>
        <w:rPr>
          <w:color w:val="auto"/>
          <w:kern w:val="0"/>
          <w:sz w:val="21"/>
          <w:szCs w:val="21"/>
          <w:highlight w:val="none"/>
        </w:rPr>
        <w:t>：</w:t>
      </w:r>
    </w:p>
    <w:p>
      <w:pPr>
        <w:widowControl/>
        <w:spacing w:line="400" w:lineRule="atLeast"/>
        <w:ind w:firstLine="420"/>
        <w:rPr>
          <w:color w:val="auto"/>
          <w:kern w:val="0"/>
          <w:sz w:val="21"/>
          <w:szCs w:val="21"/>
          <w:highlight w:val="none"/>
        </w:rPr>
      </w:pPr>
      <w:r>
        <w:rPr>
          <w:color w:val="auto"/>
          <w:kern w:val="0"/>
          <w:sz w:val="21"/>
          <w:szCs w:val="21"/>
          <w:highlight w:val="none"/>
        </w:rPr>
        <w:t xml:space="preserve">                                           投标人</w:t>
      </w:r>
      <w:r>
        <w:rPr>
          <w:rFonts w:hint="eastAsia"/>
          <w:color w:val="auto"/>
          <w:kern w:val="0"/>
          <w:sz w:val="21"/>
          <w:szCs w:val="21"/>
          <w:highlight w:val="none"/>
        </w:rPr>
        <w:t>（</w:t>
      </w:r>
      <w:r>
        <w:rPr>
          <w:color w:val="auto"/>
          <w:kern w:val="0"/>
          <w:sz w:val="21"/>
          <w:szCs w:val="21"/>
          <w:highlight w:val="none"/>
        </w:rPr>
        <w:t>盖章</w:t>
      </w:r>
      <w:r>
        <w:rPr>
          <w:rFonts w:hint="eastAsia"/>
          <w:color w:val="auto"/>
          <w:kern w:val="0"/>
          <w:sz w:val="21"/>
          <w:szCs w:val="21"/>
          <w:highlight w:val="none"/>
        </w:rPr>
        <w:t>）</w:t>
      </w:r>
      <w:r>
        <w:rPr>
          <w:color w:val="auto"/>
          <w:kern w:val="0"/>
          <w:sz w:val="21"/>
          <w:szCs w:val="21"/>
          <w:highlight w:val="none"/>
        </w:rPr>
        <w:t>：</w:t>
      </w:r>
    </w:p>
    <w:p>
      <w:pPr>
        <w:widowControl/>
        <w:spacing w:line="400" w:lineRule="atLeast"/>
        <w:ind w:firstLine="5040" w:firstLineChars="2400"/>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日       期:</w:t>
      </w:r>
    </w:p>
    <w:p>
      <w:pPr>
        <w:pStyle w:val="4"/>
        <w:rPr>
          <w:rFonts w:hint="eastAsia"/>
          <w:color w:val="auto"/>
          <w:highlight w:val="none"/>
        </w:rPr>
      </w:pPr>
      <w:r>
        <w:rPr>
          <w:color w:val="auto"/>
          <w:kern w:val="0"/>
          <w:sz w:val="21"/>
          <w:szCs w:val="21"/>
          <w:highlight w:val="none"/>
        </w:rPr>
        <w:t xml:space="preserve">                              </w:t>
      </w:r>
    </w:p>
    <w:p>
      <w:pPr>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rPr>
          <w:rFonts w:hint="eastAsia"/>
          <w:color w:val="auto"/>
          <w:highlight w:val="none"/>
        </w:rPr>
      </w:pPr>
    </w:p>
    <w:p>
      <w:pPr>
        <w:widowControl/>
        <w:jc w:val="center"/>
        <w:rPr>
          <w:rFonts w:hint="eastAsia"/>
          <w:color w:val="auto"/>
          <w:highlight w:val="none"/>
        </w:rPr>
      </w:pPr>
      <w:r>
        <w:rPr>
          <w:rFonts w:hint="eastAsia"/>
          <w:b/>
          <w:color w:val="auto"/>
          <w:kern w:val="0"/>
          <w:sz w:val="31"/>
          <w:szCs w:val="31"/>
          <w:highlight w:val="none"/>
          <w:lang w:bidi="ar"/>
        </w:rPr>
        <w:t>备份电子投标文件的密封</w:t>
      </w:r>
    </w:p>
    <w:p>
      <w:pPr>
        <w:widowControl/>
        <w:jc w:val="left"/>
        <w:rPr>
          <w:rFonts w:hint="eastAsia"/>
          <w:b/>
          <w:color w:val="auto"/>
          <w:kern w:val="0"/>
          <w:sz w:val="24"/>
          <w:highlight w:val="none"/>
          <w:lang w:bidi="ar"/>
        </w:rPr>
      </w:pPr>
    </w:p>
    <w:p>
      <w:pPr>
        <w:widowControl/>
        <w:jc w:val="left"/>
        <w:rPr>
          <w:rFonts w:hint="eastAsia"/>
          <w:b/>
          <w:color w:val="auto"/>
          <w:kern w:val="0"/>
          <w:sz w:val="24"/>
          <w:highlight w:val="none"/>
          <w:lang w:bidi="ar"/>
        </w:rPr>
      </w:pPr>
    </w:p>
    <w:p>
      <w:pPr>
        <w:widowControl/>
        <w:jc w:val="left"/>
        <w:rPr>
          <w:rFonts w:hint="eastAsia"/>
          <w:b/>
          <w:color w:val="auto"/>
          <w:kern w:val="0"/>
          <w:sz w:val="24"/>
          <w:highlight w:val="none"/>
          <w:lang w:bidi="ar"/>
        </w:rPr>
      </w:pPr>
    </w:p>
    <w:p>
      <w:pPr>
        <w:widowControl/>
        <w:jc w:val="left"/>
        <w:rPr>
          <w:rFonts w:hint="eastAsia"/>
          <w:b/>
          <w:color w:val="auto"/>
          <w:kern w:val="0"/>
          <w:sz w:val="24"/>
          <w:highlight w:val="none"/>
          <w:lang w:bidi="ar"/>
        </w:rPr>
      </w:pPr>
    </w:p>
    <w:p>
      <w:pPr>
        <w:widowControl/>
        <w:jc w:val="left"/>
        <w:rPr>
          <w:rFonts w:hint="eastAsia"/>
          <w:color w:val="auto"/>
          <w:highlight w:val="none"/>
        </w:rPr>
      </w:pPr>
      <w:r>
        <w:rPr>
          <w:rFonts w:hint="eastAsia"/>
          <w:b/>
          <w:color w:val="auto"/>
          <w:kern w:val="0"/>
          <w:sz w:val="24"/>
          <w:highlight w:val="none"/>
          <w:lang w:bidi="ar"/>
        </w:rPr>
        <w:t xml:space="preserve">备份电子投标文件包装封面格式： </w:t>
      </w:r>
    </w:p>
    <w:p>
      <w:pPr>
        <w:widowControl/>
        <w:jc w:val="left"/>
        <w:rPr>
          <w:rFonts w:hint="eastAsia"/>
          <w:b/>
          <w:color w:val="auto"/>
          <w:kern w:val="0"/>
          <w:sz w:val="36"/>
          <w:szCs w:val="36"/>
          <w:highlight w:val="none"/>
          <w:lang w:bidi="ar"/>
        </w:rPr>
      </w:pPr>
    </w:p>
    <w:p>
      <w:pPr>
        <w:widowControl/>
        <w:jc w:val="left"/>
        <w:rPr>
          <w:rFonts w:hint="eastAsia"/>
          <w:b/>
          <w:color w:val="auto"/>
          <w:kern w:val="0"/>
          <w:sz w:val="36"/>
          <w:szCs w:val="36"/>
          <w:highlight w:val="none"/>
          <w:lang w:bidi="ar"/>
        </w:rPr>
      </w:pPr>
    </w:p>
    <w:p>
      <w:pPr>
        <w:pStyle w:val="5"/>
        <w:rPr>
          <w:rFonts w:hint="eastAsia" w:ascii="宋体" w:hAnsi="宋体" w:eastAsia="宋体"/>
          <w:color w:val="auto"/>
          <w:kern w:val="0"/>
          <w:sz w:val="36"/>
          <w:szCs w:val="36"/>
          <w:highlight w:val="none"/>
          <w:lang w:bidi="ar"/>
        </w:rPr>
      </w:pPr>
    </w:p>
    <w:p>
      <w:pPr>
        <w:rPr>
          <w:rFonts w:hint="eastAsia"/>
          <w:color w:val="auto"/>
          <w:highlight w:val="none"/>
        </w:rPr>
      </w:pPr>
    </w:p>
    <w:p>
      <w:pPr>
        <w:widowControl/>
        <w:jc w:val="center"/>
        <w:rPr>
          <w:rFonts w:hint="eastAsia"/>
          <w:color w:val="auto"/>
          <w:highlight w:val="none"/>
        </w:rPr>
      </w:pPr>
      <w:r>
        <w:rPr>
          <w:rFonts w:hint="eastAsia"/>
          <w:b/>
          <w:color w:val="auto"/>
          <w:kern w:val="0"/>
          <w:sz w:val="36"/>
          <w:szCs w:val="36"/>
          <w:highlight w:val="none"/>
          <w:lang w:bidi="ar"/>
        </w:rPr>
        <w:t>备份电子投标文件</w:t>
      </w:r>
    </w:p>
    <w:p>
      <w:pPr>
        <w:widowControl/>
        <w:jc w:val="left"/>
        <w:rPr>
          <w:rFonts w:hint="eastAsia"/>
          <w:color w:val="auto"/>
          <w:kern w:val="0"/>
          <w:sz w:val="24"/>
          <w:highlight w:val="none"/>
          <w:lang w:bidi="ar"/>
        </w:rPr>
      </w:pPr>
    </w:p>
    <w:p>
      <w:pPr>
        <w:widowControl/>
        <w:jc w:val="left"/>
        <w:rPr>
          <w:rFonts w:hint="eastAsia"/>
          <w:color w:val="auto"/>
          <w:kern w:val="0"/>
          <w:sz w:val="24"/>
          <w:highlight w:val="none"/>
          <w:lang w:bidi="ar"/>
        </w:rPr>
      </w:pPr>
    </w:p>
    <w:p>
      <w:pPr>
        <w:widowControl/>
        <w:jc w:val="left"/>
        <w:rPr>
          <w:rFonts w:hint="eastAsia"/>
          <w:color w:val="auto"/>
          <w:kern w:val="0"/>
          <w:sz w:val="24"/>
          <w:highlight w:val="none"/>
          <w:lang w:bidi="ar"/>
        </w:rPr>
      </w:pPr>
    </w:p>
    <w:p>
      <w:pPr>
        <w:widowControl/>
        <w:jc w:val="left"/>
        <w:rPr>
          <w:rFonts w:hint="eastAsia"/>
          <w:color w:val="auto"/>
          <w:kern w:val="0"/>
          <w:sz w:val="24"/>
          <w:highlight w:val="none"/>
          <w:lang w:bidi="ar"/>
        </w:rPr>
      </w:pPr>
    </w:p>
    <w:p>
      <w:pPr>
        <w:widowControl/>
        <w:jc w:val="left"/>
        <w:rPr>
          <w:rFonts w:hint="eastAsia"/>
          <w:color w:val="auto"/>
          <w:kern w:val="0"/>
          <w:sz w:val="24"/>
          <w:highlight w:val="none"/>
          <w:lang w:bidi="ar"/>
        </w:rPr>
      </w:pPr>
    </w:p>
    <w:p>
      <w:pPr>
        <w:widowControl/>
        <w:jc w:val="left"/>
        <w:rPr>
          <w:rFonts w:hint="eastAsia"/>
          <w:color w:val="auto"/>
          <w:kern w:val="0"/>
          <w:sz w:val="24"/>
          <w:highlight w:val="none"/>
          <w:lang w:bidi="ar"/>
        </w:rPr>
      </w:pPr>
    </w:p>
    <w:p>
      <w:pPr>
        <w:widowControl/>
        <w:spacing w:line="800" w:lineRule="exact"/>
        <w:ind w:firstLine="2400" w:firstLineChars="1000"/>
        <w:jc w:val="left"/>
        <w:rPr>
          <w:rFonts w:hint="eastAsia"/>
          <w:color w:val="auto"/>
          <w:highlight w:val="none"/>
        </w:rPr>
      </w:pPr>
      <w:r>
        <w:rPr>
          <w:rFonts w:hint="eastAsia"/>
          <w:color w:val="auto"/>
          <w:kern w:val="0"/>
          <w:sz w:val="24"/>
          <w:highlight w:val="none"/>
          <w:lang w:bidi="ar"/>
        </w:rPr>
        <w:t>项目名称：</w:t>
      </w:r>
    </w:p>
    <w:p>
      <w:pPr>
        <w:widowControl/>
        <w:spacing w:line="800" w:lineRule="exact"/>
        <w:ind w:firstLine="2400" w:firstLineChars="1000"/>
        <w:jc w:val="left"/>
        <w:rPr>
          <w:rFonts w:hint="eastAsia"/>
          <w:color w:val="auto"/>
          <w:highlight w:val="none"/>
        </w:rPr>
      </w:pPr>
      <w:r>
        <w:rPr>
          <w:rFonts w:hint="eastAsia"/>
          <w:color w:val="auto"/>
          <w:kern w:val="0"/>
          <w:sz w:val="24"/>
          <w:highlight w:val="none"/>
          <w:lang w:bidi="ar"/>
        </w:rPr>
        <w:t>项目编号：</w:t>
      </w:r>
    </w:p>
    <w:p>
      <w:pPr>
        <w:widowControl/>
        <w:spacing w:line="800" w:lineRule="exact"/>
        <w:ind w:firstLine="2400" w:firstLineChars="1000"/>
        <w:jc w:val="left"/>
        <w:rPr>
          <w:rFonts w:hint="eastAsia"/>
          <w:color w:val="auto"/>
          <w:highlight w:val="none"/>
        </w:rPr>
      </w:pPr>
      <w:r>
        <w:rPr>
          <w:rFonts w:hint="eastAsia"/>
          <w:color w:val="auto"/>
          <w:kern w:val="0"/>
          <w:sz w:val="24"/>
          <w:highlight w:val="none"/>
          <w:lang w:bidi="ar"/>
        </w:rPr>
        <w:t>投标人名称：</w:t>
      </w:r>
      <w:r>
        <w:rPr>
          <w:rFonts w:hint="eastAsia"/>
          <w:color w:val="auto"/>
          <w:kern w:val="0"/>
          <w:sz w:val="24"/>
          <w:highlight w:val="none"/>
          <w:u w:val="single"/>
          <w:lang w:bidi="ar"/>
        </w:rPr>
        <w:t xml:space="preserve">                </w:t>
      </w:r>
      <w:r>
        <w:rPr>
          <w:rFonts w:hint="eastAsia"/>
          <w:color w:val="auto"/>
          <w:kern w:val="0"/>
          <w:sz w:val="24"/>
          <w:highlight w:val="none"/>
          <w:lang w:bidi="ar"/>
        </w:rPr>
        <w:t>（公章）</w:t>
      </w:r>
    </w:p>
    <w:p>
      <w:pPr>
        <w:widowControl/>
        <w:spacing w:line="800" w:lineRule="exact"/>
        <w:ind w:firstLine="2400" w:firstLineChars="1000"/>
        <w:jc w:val="left"/>
        <w:rPr>
          <w:rFonts w:hint="eastAsia"/>
          <w:color w:val="auto"/>
          <w:highlight w:val="none"/>
        </w:rPr>
      </w:pPr>
      <w:r>
        <w:rPr>
          <w:rFonts w:hint="eastAsia"/>
          <w:color w:val="auto"/>
          <w:kern w:val="0"/>
          <w:sz w:val="24"/>
          <w:highlight w:val="none"/>
          <w:lang w:bidi="ar"/>
        </w:rPr>
        <w:t>投标人地址：</w:t>
      </w:r>
    </w:p>
    <w:p>
      <w:pPr>
        <w:widowControl/>
        <w:spacing w:line="800" w:lineRule="exact"/>
        <w:ind w:firstLine="2400" w:firstLineChars="1000"/>
        <w:jc w:val="left"/>
        <w:rPr>
          <w:rFonts w:hint="eastAsia"/>
          <w:color w:val="auto"/>
          <w:highlight w:val="none"/>
        </w:rPr>
      </w:pPr>
      <w:r>
        <w:rPr>
          <w:rFonts w:hint="eastAsia"/>
          <w:color w:val="auto"/>
          <w:kern w:val="0"/>
          <w:sz w:val="24"/>
          <w:highlight w:val="none"/>
          <w:lang w:bidi="ar"/>
        </w:rPr>
        <w:t>法定代表人或授权委托人：（签字或盖章）</w:t>
      </w:r>
    </w:p>
    <w:p>
      <w:pPr>
        <w:widowControl/>
        <w:spacing w:line="800" w:lineRule="exact"/>
        <w:ind w:firstLine="2160" w:firstLineChars="900"/>
        <w:jc w:val="left"/>
        <w:rPr>
          <w:rFonts w:hint="eastAsia"/>
          <w:color w:val="auto"/>
          <w:highlight w:val="none"/>
        </w:rPr>
      </w:pPr>
      <w:r>
        <w:rPr>
          <w:rFonts w:hint="eastAsia"/>
          <w:color w:val="auto"/>
          <w:kern w:val="0"/>
          <w:sz w:val="24"/>
          <w:highlight w:val="none"/>
          <w:lang w:bidi="ar"/>
        </w:rPr>
        <w:t>在 年 月 日 时 分之前不得启封（开标时间）</w:t>
      </w:r>
    </w:p>
    <w:p>
      <w:pPr>
        <w:widowControl/>
        <w:spacing w:line="800" w:lineRule="exact"/>
        <w:ind w:firstLine="6000" w:firstLineChars="2500"/>
        <w:jc w:val="left"/>
        <w:rPr>
          <w:rFonts w:hint="eastAsia"/>
          <w:color w:val="auto"/>
          <w:kern w:val="0"/>
          <w:sz w:val="24"/>
          <w:highlight w:val="none"/>
          <w:lang w:bidi="ar"/>
        </w:rPr>
      </w:pPr>
      <w:r>
        <w:rPr>
          <w:rFonts w:hint="eastAsia"/>
          <w:color w:val="auto"/>
          <w:kern w:val="0"/>
          <w:sz w:val="24"/>
          <w:highlight w:val="none"/>
          <w:lang w:bidi="ar"/>
        </w:rPr>
        <w:t>年 月 日</w:t>
      </w:r>
    </w:p>
    <w:p>
      <w:pPr>
        <w:pStyle w:val="12"/>
        <w:rPr>
          <w:rFonts w:hint="eastAsia"/>
          <w:color w:val="auto"/>
          <w:highlight w:val="none"/>
        </w:rPr>
      </w:pPr>
    </w:p>
    <w:p>
      <w:pPr>
        <w:jc w:val="center"/>
        <w:rPr>
          <w:rFonts w:hint="eastAsia"/>
          <w:b/>
          <w:bCs/>
          <w:color w:val="auto"/>
          <w:kern w:val="0"/>
          <w:sz w:val="21"/>
          <w:szCs w:val="21"/>
          <w:highlight w:val="none"/>
        </w:rPr>
      </w:pPr>
    </w:p>
    <w:p>
      <w:pPr>
        <w:snapToGrid w:val="0"/>
        <w:spacing w:before="156" w:beforeLines="50" w:after="50" w:line="440" w:lineRule="exact"/>
        <w:rPr>
          <w:b/>
          <w:bCs/>
          <w:color w:val="auto"/>
          <w:sz w:val="24"/>
          <w:highlight w:val="none"/>
        </w:rPr>
      </w:pPr>
      <w:r>
        <w:rPr>
          <w:rFonts w:hint="eastAsia"/>
          <w:b/>
          <w:bCs/>
          <w:color w:val="auto"/>
          <w:sz w:val="24"/>
          <w:highlight w:val="none"/>
          <w:lang w:eastAsia="zh-CN"/>
        </w:rPr>
        <w:t>中标单位提供的</w:t>
      </w:r>
      <w:r>
        <w:rPr>
          <w:b/>
          <w:bCs/>
          <w:color w:val="auto"/>
          <w:sz w:val="24"/>
          <w:highlight w:val="none"/>
        </w:rPr>
        <w:t>所有投标文件的封面格式：</w:t>
      </w:r>
    </w:p>
    <w:p>
      <w:pPr>
        <w:snapToGrid w:val="0"/>
        <w:spacing w:before="156" w:beforeLines="50" w:after="50" w:line="440" w:lineRule="exact"/>
        <w:rPr>
          <w:b/>
          <w:bCs/>
          <w:color w:val="auto"/>
          <w:sz w:val="24"/>
          <w:highlight w:val="none"/>
        </w:rPr>
      </w:pPr>
      <w:r>
        <w:rPr>
          <w:color w:val="auto"/>
          <w:sz w:val="24"/>
          <w:highlight w:val="none"/>
        </w:rPr>
        <w:t xml:space="preserve">                                               </w:t>
      </w:r>
      <w:r>
        <w:rPr>
          <w:b/>
          <w:bCs/>
          <w:color w:val="auto"/>
          <w:sz w:val="24"/>
          <w:highlight w:val="none"/>
        </w:rPr>
        <w:t>正本或副本</w:t>
      </w:r>
    </w:p>
    <w:p>
      <w:pPr>
        <w:snapToGrid w:val="0"/>
        <w:spacing w:before="156" w:beforeLines="50" w:after="50" w:line="440" w:lineRule="exact"/>
        <w:rPr>
          <w:b/>
          <w:bCs/>
          <w:color w:val="auto"/>
          <w:sz w:val="24"/>
          <w:highlight w:val="none"/>
        </w:rPr>
      </w:pPr>
    </w:p>
    <w:p>
      <w:pPr>
        <w:snapToGrid w:val="0"/>
        <w:spacing w:before="156" w:beforeLines="50" w:after="50" w:line="440" w:lineRule="exact"/>
        <w:ind w:firstLine="2760" w:firstLineChars="1150"/>
        <w:rPr>
          <w:color w:val="auto"/>
          <w:sz w:val="24"/>
          <w:highlight w:val="none"/>
        </w:rPr>
      </w:pPr>
      <w:r>
        <w:rPr>
          <w:color w:val="auto"/>
          <w:sz w:val="24"/>
          <w:highlight w:val="none"/>
        </w:rPr>
        <w:t>资格证明文件</w:t>
      </w:r>
      <w:r>
        <w:rPr>
          <w:rFonts w:hint="eastAsia"/>
          <w:color w:val="auto"/>
          <w:sz w:val="24"/>
          <w:highlight w:val="none"/>
        </w:rPr>
        <w:t>/</w:t>
      </w:r>
      <w:r>
        <w:rPr>
          <w:color w:val="auto"/>
          <w:sz w:val="24"/>
          <w:highlight w:val="none"/>
        </w:rPr>
        <w:t>技术商务标</w:t>
      </w:r>
      <w:r>
        <w:rPr>
          <w:rFonts w:hint="eastAsia"/>
          <w:color w:val="auto"/>
          <w:sz w:val="24"/>
          <w:highlight w:val="none"/>
        </w:rPr>
        <w:t>/</w:t>
      </w:r>
      <w:r>
        <w:rPr>
          <w:color w:val="auto"/>
          <w:sz w:val="24"/>
          <w:highlight w:val="none"/>
        </w:rPr>
        <w:t>价格标</w:t>
      </w:r>
    </w:p>
    <w:p>
      <w:pPr>
        <w:snapToGrid w:val="0"/>
        <w:spacing w:before="156" w:beforeLines="50" w:after="50" w:line="440" w:lineRule="exact"/>
        <w:ind w:firstLine="1080" w:firstLineChars="450"/>
        <w:rPr>
          <w:color w:val="auto"/>
          <w:sz w:val="24"/>
          <w:highlight w:val="none"/>
        </w:rPr>
      </w:pPr>
    </w:p>
    <w:p>
      <w:pPr>
        <w:snapToGrid w:val="0"/>
        <w:spacing w:before="156" w:beforeLines="50" w:after="50" w:line="440" w:lineRule="exact"/>
        <w:ind w:firstLine="1080" w:firstLineChars="450"/>
        <w:rPr>
          <w:color w:val="auto"/>
          <w:sz w:val="24"/>
          <w:highlight w:val="none"/>
        </w:rPr>
      </w:pPr>
      <w:r>
        <w:rPr>
          <w:color w:val="auto"/>
          <w:sz w:val="24"/>
          <w:highlight w:val="none"/>
        </w:rPr>
        <w:t xml:space="preserve">项目名称：   </w:t>
      </w:r>
    </w:p>
    <w:p>
      <w:pPr>
        <w:snapToGrid w:val="0"/>
        <w:spacing w:before="156" w:beforeLines="50" w:after="50" w:line="440" w:lineRule="exact"/>
        <w:ind w:left="106" w:leftChars="38" w:firstLine="945" w:firstLineChars="394"/>
        <w:rPr>
          <w:color w:val="auto"/>
          <w:sz w:val="24"/>
          <w:highlight w:val="none"/>
        </w:rPr>
      </w:pPr>
      <w:r>
        <w:rPr>
          <w:color w:val="auto"/>
          <w:sz w:val="24"/>
          <w:highlight w:val="none"/>
        </w:rPr>
        <w:t>项目编号：</w:t>
      </w:r>
    </w:p>
    <w:p>
      <w:pPr>
        <w:snapToGrid w:val="0"/>
        <w:spacing w:before="156" w:beforeLines="50" w:after="50" w:line="440" w:lineRule="exact"/>
        <w:ind w:firstLine="1080" w:firstLineChars="450"/>
        <w:rPr>
          <w:color w:val="auto"/>
          <w:sz w:val="24"/>
          <w:highlight w:val="none"/>
        </w:rPr>
      </w:pPr>
      <w:r>
        <w:rPr>
          <w:color w:val="auto"/>
          <w:sz w:val="24"/>
          <w:highlight w:val="none"/>
        </w:rPr>
        <w:t>投标人名称（公章）：</w:t>
      </w:r>
    </w:p>
    <w:p>
      <w:pPr>
        <w:snapToGrid w:val="0"/>
        <w:spacing w:before="156" w:beforeLines="50" w:after="50" w:line="440" w:lineRule="exact"/>
        <w:ind w:firstLine="1080" w:firstLineChars="450"/>
        <w:rPr>
          <w:rFonts w:hint="default"/>
          <w:color w:val="auto"/>
          <w:sz w:val="24"/>
          <w:highlight w:val="none"/>
          <w:lang w:val="en-US" w:eastAsia="zh-CN"/>
        </w:rPr>
      </w:pPr>
      <w:r>
        <w:rPr>
          <w:rFonts w:hint="eastAsia"/>
          <w:color w:val="auto"/>
          <w:sz w:val="24"/>
          <w:highlight w:val="none"/>
          <w:lang w:val="en-US" w:eastAsia="zh-CN"/>
        </w:rPr>
        <w:t>法定代表人或其委托代理人：（签字或盖章）</w:t>
      </w:r>
    </w:p>
    <w:p>
      <w:pPr>
        <w:snapToGrid w:val="0"/>
        <w:spacing w:before="156" w:beforeLines="50" w:after="50" w:line="440" w:lineRule="exact"/>
        <w:ind w:firstLine="1080" w:firstLineChars="450"/>
        <w:rPr>
          <w:color w:val="auto"/>
          <w:sz w:val="24"/>
          <w:highlight w:val="none"/>
        </w:rPr>
      </w:pPr>
      <w:r>
        <w:rPr>
          <w:color w:val="auto"/>
          <w:sz w:val="24"/>
          <w:highlight w:val="none"/>
        </w:rPr>
        <w:t>投标人地址：</w:t>
      </w:r>
    </w:p>
    <w:p>
      <w:pPr>
        <w:widowControl/>
        <w:snapToGrid w:val="0"/>
        <w:spacing w:before="50" w:after="50" w:line="440" w:lineRule="exact"/>
        <w:rPr>
          <w:color w:val="auto"/>
          <w:sz w:val="24"/>
          <w:highlight w:val="none"/>
        </w:rPr>
      </w:pPr>
    </w:p>
    <w:p>
      <w:pPr>
        <w:widowControl/>
        <w:snapToGrid w:val="0"/>
        <w:spacing w:before="50" w:after="50" w:line="440" w:lineRule="exact"/>
        <w:ind w:firstLine="960" w:firstLineChars="400"/>
        <w:rPr>
          <w:color w:val="auto"/>
          <w:sz w:val="24"/>
          <w:highlight w:val="none"/>
        </w:rPr>
      </w:pPr>
      <w:r>
        <w:rPr>
          <w:color w:val="auto"/>
          <w:sz w:val="24"/>
          <w:highlight w:val="none"/>
        </w:rPr>
        <w:t xml:space="preserve">                                年  月  日</w:t>
      </w:r>
    </w:p>
    <w:p>
      <w:pPr>
        <w:pStyle w:val="12"/>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pStyle w:val="21"/>
        <w:rPr>
          <w:rFonts w:hint="eastAsia"/>
          <w:color w:val="auto"/>
          <w:highlight w:val="none"/>
        </w:rPr>
      </w:pPr>
    </w:p>
    <w:p>
      <w:pPr>
        <w:rPr>
          <w:rFonts w:hint="eastAsia"/>
          <w:b/>
          <w:bCs/>
          <w:color w:val="auto"/>
          <w:kern w:val="0"/>
          <w:sz w:val="21"/>
          <w:szCs w:val="21"/>
          <w:highlight w:val="none"/>
        </w:rPr>
      </w:pPr>
      <w:r>
        <w:rPr>
          <w:rFonts w:hint="eastAsia"/>
          <w:b/>
          <w:bCs/>
          <w:color w:val="auto"/>
          <w:kern w:val="0"/>
          <w:sz w:val="21"/>
          <w:szCs w:val="21"/>
          <w:highlight w:val="none"/>
        </w:rPr>
        <w:br w:type="page"/>
      </w:r>
    </w:p>
    <w:p>
      <w:pPr>
        <w:keepNext w:val="0"/>
        <w:keepLines w:val="0"/>
        <w:widowControl/>
        <w:suppressLineNumbers w:val="0"/>
        <w:jc w:val="center"/>
        <w:rPr>
          <w:rFonts w:hint="eastAsia" w:ascii="宋体" w:hAnsi="宋体" w:eastAsia="宋体" w:cs="宋体"/>
          <w:color w:val="000000"/>
          <w:kern w:val="0"/>
          <w:sz w:val="36"/>
          <w:szCs w:val="36"/>
          <w:lang w:val="en-US" w:eastAsia="zh-CN" w:bidi="ar"/>
        </w:rPr>
      </w:pPr>
      <w:r>
        <w:rPr>
          <w:rFonts w:hint="eastAsia" w:ascii="宋体" w:hAnsi="宋体" w:eastAsia="宋体" w:cs="宋体"/>
          <w:color w:val="000000"/>
          <w:kern w:val="0"/>
          <w:sz w:val="52"/>
          <w:szCs w:val="52"/>
          <w:lang w:val="en-US" w:eastAsia="zh-CN" w:bidi="ar"/>
        </w:rPr>
        <w:t>弃标确认函</w:t>
      </w:r>
    </w:p>
    <w:p>
      <w:pPr>
        <w:pStyle w:val="2"/>
      </w:pPr>
    </w:p>
    <w:p>
      <w:pPr>
        <w:keepNext w:val="0"/>
        <w:keepLines w:val="0"/>
        <w:widowControl/>
        <w:suppressLineNumbers w:val="0"/>
        <w:jc w:val="left"/>
      </w:pPr>
      <w:r>
        <w:rPr>
          <w:rFonts w:hint="eastAsia" w:ascii="宋体" w:hAnsi="宋体" w:eastAsia="宋体" w:cs="宋体"/>
          <w:color w:val="000000"/>
          <w:kern w:val="0"/>
          <w:sz w:val="28"/>
          <w:szCs w:val="28"/>
          <w:lang w:val="en-US" w:eastAsia="zh-CN" w:bidi="ar"/>
        </w:rPr>
        <w:t xml:space="preserve">浙江展图工程咨询有限公司： </w:t>
      </w:r>
    </w:p>
    <w:p>
      <w:pPr>
        <w:keepNext w:val="0"/>
        <w:keepLines w:val="0"/>
        <w:widowControl/>
        <w:suppressLineNumbers w:val="0"/>
        <w:ind w:firstLine="560" w:firstLineChars="200"/>
        <w:jc w:val="left"/>
        <w:rPr>
          <w:rFonts w:hint="default"/>
          <w:lang w:val="en-US"/>
        </w:rPr>
      </w:pPr>
      <w:r>
        <w:rPr>
          <w:rFonts w:hint="eastAsia" w:ascii="宋体" w:hAnsi="宋体" w:eastAsia="宋体" w:cs="宋体"/>
          <w:color w:val="000000"/>
          <w:kern w:val="0"/>
          <w:sz w:val="28"/>
          <w:szCs w:val="28"/>
          <w:lang w:val="en-US" w:eastAsia="zh-CN" w:bidi="ar"/>
        </w:rPr>
        <w:t>我公司因</w:t>
      </w:r>
      <w:r>
        <w:rPr>
          <w:rFonts w:hint="eastAsia" w:ascii="宋体" w:hAnsi="宋体" w:eastAsia="宋体" w:cs="宋体"/>
          <w:color w:val="000000"/>
          <w:kern w:val="0"/>
          <w:sz w:val="28"/>
          <w:szCs w:val="28"/>
          <w:u w:val="single"/>
          <w:lang w:val="en-US" w:eastAsia="zh-CN" w:bidi="ar"/>
        </w:rPr>
        <w:t xml:space="preserve">                                </w:t>
      </w:r>
      <w:r>
        <w:rPr>
          <w:rFonts w:hint="eastAsia" w:ascii="宋体" w:hAnsi="宋体" w:eastAsia="宋体" w:cs="宋体"/>
          <w:color w:val="000000"/>
          <w:kern w:val="0"/>
          <w:sz w:val="28"/>
          <w:szCs w:val="28"/>
          <w:lang w:val="en-US" w:eastAsia="zh-CN" w:bidi="ar"/>
        </w:rPr>
        <w:t>原因，对于已报名的</w:t>
      </w:r>
      <w:r>
        <w:rPr>
          <w:rFonts w:hint="eastAsia" w:ascii="宋体" w:hAnsi="宋体" w:eastAsia="宋体" w:cs="宋体"/>
          <w:color w:val="000000"/>
          <w:kern w:val="0"/>
          <w:sz w:val="28"/>
          <w:szCs w:val="28"/>
          <w:u w:val="single"/>
          <w:lang w:val="en-US" w:eastAsia="zh-CN" w:bidi="ar"/>
        </w:rPr>
        <w:t xml:space="preserve">          </w:t>
      </w:r>
    </w:p>
    <w:p>
      <w:pPr>
        <w:keepNext w:val="0"/>
        <w:keepLines w:val="0"/>
        <w:widowControl/>
        <w:suppressLineNumbers w:val="0"/>
        <w:jc w:val="left"/>
      </w:pPr>
      <w:r>
        <w:rPr>
          <w:rFonts w:hint="eastAsia" w:ascii="宋体" w:hAnsi="宋体" w:eastAsia="宋体" w:cs="宋体"/>
          <w:color w:val="000000"/>
          <w:kern w:val="0"/>
          <w:sz w:val="28"/>
          <w:szCs w:val="28"/>
          <w:lang w:val="en-US" w:eastAsia="zh-CN" w:bidi="ar"/>
        </w:rPr>
        <w:t>项目（项目编号</w:t>
      </w:r>
      <w:r>
        <w:rPr>
          <w:rFonts w:hint="eastAsia" w:ascii="宋体" w:hAnsi="宋体" w:eastAsia="宋体" w:cs="宋体"/>
          <w:color w:val="000000"/>
          <w:kern w:val="0"/>
          <w:sz w:val="28"/>
          <w:szCs w:val="28"/>
          <w:u w:val="single"/>
          <w:lang w:val="en-US" w:eastAsia="zh-CN" w:bidi="ar"/>
        </w:rPr>
        <w:t xml:space="preserve">                 </w:t>
      </w:r>
      <w:r>
        <w:rPr>
          <w:rFonts w:hint="eastAsia" w:ascii="宋体" w:hAnsi="宋体" w:eastAsia="宋体" w:cs="宋体"/>
          <w:color w:val="000000"/>
          <w:kern w:val="0"/>
          <w:sz w:val="28"/>
          <w:szCs w:val="28"/>
          <w:lang w:val="en-US" w:eastAsia="zh-CN" w:bidi="ar"/>
        </w:rPr>
        <w:t xml:space="preserve">），现决定自愿放弃参加投标活动。特发函向贵公司确认。 </w:t>
      </w:r>
    </w:p>
    <w:p>
      <w:pPr>
        <w:keepNext w:val="0"/>
        <w:keepLines w:val="0"/>
        <w:widowControl/>
        <w:suppressLineNumbers w:val="0"/>
        <w:jc w:val="left"/>
        <w:rPr>
          <w:rFonts w:hint="eastAsia" w:ascii="宋体" w:hAnsi="宋体" w:eastAsia="宋体" w:cs="宋体"/>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color w:val="000000"/>
          <w:kern w:val="0"/>
          <w:sz w:val="28"/>
          <w:szCs w:val="28"/>
          <w:lang w:val="en-US" w:eastAsia="zh-CN" w:bidi="ar"/>
        </w:rPr>
      </w:pPr>
    </w:p>
    <w:p>
      <w:pPr>
        <w:keepNext w:val="0"/>
        <w:keepLines w:val="0"/>
        <w:widowControl/>
        <w:suppressLineNumbers w:val="0"/>
        <w:jc w:val="left"/>
      </w:pPr>
      <w:r>
        <w:rPr>
          <w:rFonts w:hint="eastAsia" w:ascii="宋体" w:hAnsi="宋体" w:eastAsia="宋体" w:cs="宋体"/>
          <w:color w:val="000000"/>
          <w:kern w:val="0"/>
          <w:sz w:val="28"/>
          <w:szCs w:val="28"/>
          <w:lang w:val="en-US" w:eastAsia="zh-CN" w:bidi="ar"/>
        </w:rPr>
        <w:t xml:space="preserve">企业名称（盖章）： </w:t>
      </w:r>
    </w:p>
    <w:p>
      <w:pPr>
        <w:keepNext w:val="0"/>
        <w:keepLines w:val="0"/>
        <w:widowControl/>
        <w:suppressLineNumbers w:val="0"/>
        <w:jc w:val="left"/>
        <w:rPr>
          <w:rFonts w:hint="eastAsia" w:ascii="宋体" w:hAnsi="宋体" w:eastAsia="宋体" w:cs="宋体"/>
          <w:color w:val="000000"/>
          <w:kern w:val="0"/>
          <w:sz w:val="28"/>
          <w:szCs w:val="28"/>
          <w:lang w:val="en-US" w:eastAsia="zh-CN" w:bidi="ar"/>
        </w:rPr>
      </w:pPr>
    </w:p>
    <w:p>
      <w:pPr>
        <w:keepNext w:val="0"/>
        <w:keepLines w:val="0"/>
        <w:widowControl/>
        <w:suppressLineNumbers w:val="0"/>
        <w:jc w:val="left"/>
        <w:rPr>
          <w:rFonts w:hint="default"/>
          <w:lang w:val="en-US"/>
        </w:rPr>
      </w:pPr>
      <w:r>
        <w:rPr>
          <w:rFonts w:hint="eastAsia" w:ascii="宋体" w:hAnsi="宋体" w:eastAsia="宋体" w:cs="宋体"/>
          <w:color w:val="000000"/>
          <w:kern w:val="0"/>
          <w:sz w:val="28"/>
          <w:szCs w:val="28"/>
          <w:lang w:val="en-US" w:eastAsia="zh-CN" w:bidi="ar"/>
        </w:rPr>
        <w:t>日 期：     年     月    日</w:t>
      </w:r>
    </w:p>
    <w:p>
      <w:pPr>
        <w:rPr>
          <w:rFonts w:hint="eastAsia"/>
          <w:b/>
          <w:bCs/>
          <w:color w:val="auto"/>
          <w:kern w:val="0"/>
          <w:sz w:val="21"/>
          <w:szCs w:val="21"/>
          <w:highlight w:val="none"/>
        </w:rPr>
      </w:pPr>
    </w:p>
    <w:p>
      <w:pPr>
        <w:rPr>
          <w:rFonts w:hint="eastAsia"/>
          <w:b/>
          <w:bCs/>
          <w:color w:val="auto"/>
          <w:kern w:val="0"/>
          <w:sz w:val="21"/>
          <w:szCs w:val="21"/>
          <w:highlight w:val="none"/>
        </w:rPr>
      </w:pPr>
      <w:r>
        <w:rPr>
          <w:rFonts w:hint="eastAsia"/>
          <w:b/>
          <w:bCs/>
          <w:color w:val="auto"/>
          <w:kern w:val="0"/>
          <w:sz w:val="21"/>
          <w:szCs w:val="21"/>
          <w:highlight w:val="none"/>
        </w:rPr>
        <w:br w:type="page"/>
      </w:r>
    </w:p>
    <w:p>
      <w:pPr>
        <w:jc w:val="center"/>
        <w:rPr>
          <w:rFonts w:hint="eastAsia"/>
          <w:b/>
          <w:bCs/>
          <w:color w:val="auto"/>
          <w:kern w:val="0"/>
          <w:sz w:val="21"/>
          <w:szCs w:val="21"/>
          <w:highlight w:val="none"/>
        </w:rPr>
      </w:pPr>
      <w:r>
        <w:rPr>
          <w:rFonts w:hint="eastAsia"/>
          <w:b/>
          <w:bCs/>
          <w:color w:val="auto"/>
          <w:kern w:val="0"/>
          <w:sz w:val="21"/>
          <w:szCs w:val="21"/>
          <w:highlight w:val="none"/>
        </w:rPr>
        <w:t>国家计委关于印发《招标代理服务收费管理暂行办法》的通知</w:t>
      </w:r>
    </w:p>
    <w:p>
      <w:pPr>
        <w:widowControl/>
        <w:jc w:val="center"/>
        <w:rPr>
          <w:rFonts w:hint="eastAsia"/>
          <w:b/>
          <w:bCs/>
          <w:color w:val="auto"/>
          <w:kern w:val="0"/>
          <w:sz w:val="21"/>
          <w:szCs w:val="21"/>
          <w:highlight w:val="none"/>
        </w:rPr>
      </w:pPr>
      <w:r>
        <w:rPr>
          <w:rFonts w:hint="eastAsia"/>
          <w:b/>
          <w:bCs/>
          <w:color w:val="auto"/>
          <w:kern w:val="0"/>
          <w:sz w:val="21"/>
          <w:szCs w:val="21"/>
          <w:highlight w:val="none"/>
        </w:rPr>
        <w:t>计价格[2002]1980号</w:t>
      </w:r>
    </w:p>
    <w:p>
      <w:pPr>
        <w:widowControl/>
        <w:spacing w:before="100" w:beforeAutospacing="1" w:after="100" w:afterAutospacing="1" w:line="360" w:lineRule="auto"/>
        <w:ind w:firstLine="567"/>
        <w:jc w:val="left"/>
        <w:rPr>
          <w:rFonts w:hint="eastAsia"/>
          <w:color w:val="auto"/>
          <w:kern w:val="0"/>
          <w:sz w:val="21"/>
          <w:szCs w:val="21"/>
          <w:highlight w:val="none"/>
        </w:rPr>
      </w:pPr>
      <w:r>
        <w:rPr>
          <w:rFonts w:hint="eastAsia"/>
          <w:color w:val="auto"/>
          <w:kern w:val="0"/>
          <w:sz w:val="21"/>
          <w:szCs w:val="21"/>
          <w:highlight w:val="none"/>
        </w:rPr>
        <w:t xml:space="preserve">各省、自治区、直辖市计委、物价局： </w:t>
      </w:r>
    </w:p>
    <w:p>
      <w:pPr>
        <w:widowControl/>
        <w:spacing w:before="100" w:beforeAutospacing="1" w:after="100" w:afterAutospacing="1" w:line="360" w:lineRule="auto"/>
        <w:ind w:firstLine="567"/>
        <w:jc w:val="left"/>
        <w:rPr>
          <w:rFonts w:hint="eastAsia"/>
          <w:color w:val="auto"/>
          <w:kern w:val="0"/>
          <w:sz w:val="21"/>
          <w:szCs w:val="21"/>
          <w:highlight w:val="none"/>
        </w:rPr>
      </w:pPr>
      <w:r>
        <w:rPr>
          <w:rFonts w:hint="eastAsia"/>
          <w:color w:val="auto"/>
          <w:kern w:val="0"/>
          <w:sz w:val="21"/>
          <w:szCs w:val="21"/>
          <w:highlight w:val="none"/>
        </w:rPr>
        <w:t xml:space="preserve">为规范招标代理服务收费行为，维护招标人、投标人和招标代理机构的合法权益，促进招标代理行业的健康发展，我委制定了《招标代理服务收费管理暂行办法》（以下简称《办法》），现印发给你们，请按照执行。 </w:t>
      </w:r>
    </w:p>
    <w:p>
      <w:pPr>
        <w:widowControl/>
        <w:spacing w:before="100" w:beforeAutospacing="1" w:after="100" w:afterAutospacing="1" w:line="360" w:lineRule="auto"/>
        <w:ind w:firstLine="567"/>
        <w:jc w:val="left"/>
        <w:rPr>
          <w:rFonts w:hint="eastAsia"/>
          <w:color w:val="auto"/>
          <w:kern w:val="0"/>
          <w:sz w:val="21"/>
          <w:szCs w:val="21"/>
          <w:highlight w:val="none"/>
        </w:rPr>
      </w:pPr>
      <w:r>
        <w:rPr>
          <w:rFonts w:hint="eastAsia"/>
          <w:color w:val="auto"/>
          <w:kern w:val="0"/>
          <w:sz w:val="21"/>
          <w:szCs w:val="21"/>
          <w:highlight w:val="none"/>
        </w:rPr>
        <w:t xml:space="preserve">根据《国家计委、财政部关于整顿招标投标收费的通知》（计价格[2002]520号）规定，实行由中标人付费的机电设备招标代理服务，可暂按现行有关规定执行，至2004年1月1日统一执行委托人付费。机电设备招标代理服务收费标准，自《办法》生效之日起按《办法》规定执行。（国家发展和改革委员会办公厅发改办价格[2003]857号文件《国家发展改革委办公厅关于招标代理服务收费有关问题的通知》删去本段内容） </w:t>
      </w:r>
    </w:p>
    <w:p>
      <w:pPr>
        <w:widowControl/>
        <w:spacing w:before="100" w:beforeAutospacing="1" w:after="100" w:afterAutospacing="1" w:line="360" w:lineRule="auto"/>
        <w:ind w:firstLine="567"/>
        <w:jc w:val="left"/>
        <w:rPr>
          <w:rFonts w:hint="eastAsia"/>
          <w:color w:val="auto"/>
          <w:kern w:val="0"/>
          <w:sz w:val="21"/>
          <w:szCs w:val="21"/>
          <w:highlight w:val="none"/>
        </w:rPr>
      </w:pPr>
      <w:r>
        <w:rPr>
          <w:rFonts w:hint="eastAsia"/>
          <w:color w:val="auto"/>
          <w:kern w:val="0"/>
          <w:sz w:val="21"/>
          <w:szCs w:val="21"/>
          <w:highlight w:val="none"/>
        </w:rPr>
        <w:t xml:space="preserve">药品集中招标采购收费暂按现行有关规定执行。 </w:t>
      </w:r>
    </w:p>
    <w:p>
      <w:pPr>
        <w:widowControl/>
        <w:spacing w:before="100" w:beforeAutospacing="1" w:after="100" w:afterAutospacing="1" w:line="360" w:lineRule="auto"/>
        <w:ind w:firstLine="567"/>
        <w:jc w:val="left"/>
        <w:rPr>
          <w:rFonts w:hint="eastAsia"/>
          <w:color w:val="auto"/>
          <w:kern w:val="0"/>
          <w:sz w:val="21"/>
          <w:szCs w:val="21"/>
          <w:highlight w:val="none"/>
        </w:rPr>
      </w:pPr>
      <w:r>
        <w:rPr>
          <w:rFonts w:hint="eastAsia"/>
          <w:color w:val="auto"/>
          <w:kern w:val="0"/>
          <w:sz w:val="21"/>
          <w:szCs w:val="21"/>
          <w:highlight w:val="none"/>
        </w:rPr>
        <w:t xml:space="preserve">特此通知。 </w:t>
      </w:r>
    </w:p>
    <w:p>
      <w:pPr>
        <w:widowControl/>
        <w:spacing w:before="100" w:beforeAutospacing="1" w:after="100" w:afterAutospacing="1" w:line="360" w:lineRule="auto"/>
        <w:ind w:firstLine="567"/>
        <w:jc w:val="left"/>
        <w:rPr>
          <w:rFonts w:hint="eastAsia"/>
          <w:color w:val="auto"/>
          <w:kern w:val="0"/>
          <w:sz w:val="21"/>
          <w:szCs w:val="21"/>
          <w:highlight w:val="none"/>
        </w:rPr>
      </w:pPr>
      <w:r>
        <w:rPr>
          <w:rFonts w:hint="eastAsia"/>
          <w:color w:val="auto"/>
          <w:kern w:val="0"/>
          <w:sz w:val="21"/>
          <w:szCs w:val="21"/>
          <w:highlight w:val="none"/>
        </w:rPr>
        <w:t xml:space="preserve">附件：招标代理服务收费管理暂行办法。 </w:t>
      </w:r>
    </w:p>
    <w:p>
      <w:pPr>
        <w:widowControl/>
        <w:spacing w:before="100" w:beforeAutospacing="1" w:after="100" w:afterAutospacing="1" w:line="360" w:lineRule="auto"/>
        <w:jc w:val="left"/>
        <w:rPr>
          <w:rFonts w:hint="eastAsia"/>
          <w:color w:val="auto"/>
          <w:kern w:val="0"/>
          <w:sz w:val="21"/>
          <w:szCs w:val="21"/>
          <w:highlight w:val="none"/>
        </w:rPr>
      </w:pPr>
      <w:r>
        <w:rPr>
          <w:rFonts w:hint="eastAsia"/>
          <w:color w:val="auto"/>
          <w:kern w:val="0"/>
          <w:sz w:val="21"/>
          <w:szCs w:val="21"/>
          <w:highlight w:val="none"/>
        </w:rPr>
        <w:t xml:space="preserve">                                                     中华人民共和国国家发展计划委员会</w:t>
      </w:r>
    </w:p>
    <w:p>
      <w:pPr>
        <w:widowControl/>
        <w:spacing w:before="100" w:beforeAutospacing="1" w:after="100" w:afterAutospacing="1" w:line="360" w:lineRule="auto"/>
        <w:ind w:left="6986" w:leftChars="2270" w:hanging="630" w:hangingChars="300"/>
        <w:jc w:val="left"/>
        <w:rPr>
          <w:rFonts w:hint="eastAsia"/>
          <w:color w:val="auto"/>
          <w:kern w:val="0"/>
          <w:sz w:val="21"/>
          <w:szCs w:val="21"/>
          <w:highlight w:val="none"/>
        </w:rPr>
      </w:pPr>
      <w:r>
        <w:rPr>
          <w:rFonts w:hint="eastAsia"/>
          <w:color w:val="auto"/>
          <w:kern w:val="0"/>
          <w:sz w:val="21"/>
          <w:szCs w:val="21"/>
          <w:highlight w:val="none"/>
        </w:rPr>
        <w:t xml:space="preserve">    二〇〇二年十月十五日 </w:t>
      </w:r>
    </w:p>
    <w:p>
      <w:pPr>
        <w:widowControl/>
        <w:spacing w:before="100" w:beforeAutospacing="1" w:after="100" w:afterAutospacing="1"/>
        <w:ind w:firstLine="480"/>
        <w:jc w:val="left"/>
        <w:rPr>
          <w:rFonts w:hint="eastAsia"/>
          <w:color w:val="auto"/>
          <w:kern w:val="0"/>
          <w:sz w:val="21"/>
          <w:szCs w:val="21"/>
          <w:highlight w:val="none"/>
        </w:rPr>
      </w:pPr>
      <w:r>
        <w:rPr>
          <w:rFonts w:hint="eastAsia"/>
          <w:color w:val="auto"/>
          <w:kern w:val="0"/>
          <w:sz w:val="21"/>
          <w:szCs w:val="21"/>
          <w:highlight w:val="none"/>
        </w:rPr>
        <w:t xml:space="preserve"> </w:t>
      </w:r>
    </w:p>
    <w:p>
      <w:pPr>
        <w:widowControl/>
        <w:spacing w:before="100" w:beforeAutospacing="1" w:after="100" w:afterAutospacing="1"/>
        <w:ind w:firstLine="480"/>
        <w:jc w:val="left"/>
        <w:rPr>
          <w:rFonts w:hint="eastAsia"/>
          <w:color w:val="auto"/>
          <w:kern w:val="0"/>
          <w:sz w:val="21"/>
          <w:szCs w:val="21"/>
          <w:highlight w:val="none"/>
        </w:rPr>
      </w:pPr>
      <w:r>
        <w:rPr>
          <w:rFonts w:hint="eastAsia"/>
          <w:color w:val="auto"/>
          <w:kern w:val="0"/>
          <w:sz w:val="21"/>
          <w:szCs w:val="21"/>
          <w:highlight w:val="none"/>
        </w:rPr>
        <w:t xml:space="preserve"> </w:t>
      </w:r>
    </w:p>
    <w:p>
      <w:pPr>
        <w:widowControl/>
        <w:spacing w:before="100" w:beforeAutospacing="1" w:after="100" w:afterAutospacing="1"/>
        <w:ind w:firstLine="480"/>
        <w:jc w:val="left"/>
        <w:rPr>
          <w:rFonts w:hint="eastAsia"/>
          <w:color w:val="auto"/>
          <w:kern w:val="0"/>
          <w:sz w:val="21"/>
          <w:szCs w:val="21"/>
          <w:highlight w:val="none"/>
        </w:rPr>
      </w:pPr>
      <w:r>
        <w:rPr>
          <w:rFonts w:hint="eastAsia"/>
          <w:color w:val="auto"/>
          <w:kern w:val="0"/>
          <w:sz w:val="21"/>
          <w:szCs w:val="21"/>
          <w:highlight w:val="none"/>
        </w:rPr>
        <w:t xml:space="preserve"> </w:t>
      </w:r>
    </w:p>
    <w:p>
      <w:pPr>
        <w:widowControl/>
        <w:spacing w:before="100" w:beforeAutospacing="1" w:after="100" w:afterAutospacing="1"/>
        <w:ind w:firstLine="480"/>
        <w:jc w:val="left"/>
        <w:rPr>
          <w:rFonts w:hint="eastAsia"/>
          <w:color w:val="auto"/>
          <w:kern w:val="0"/>
          <w:sz w:val="21"/>
          <w:szCs w:val="21"/>
          <w:highlight w:val="none"/>
        </w:rPr>
      </w:pPr>
    </w:p>
    <w:p>
      <w:pPr>
        <w:pStyle w:val="2"/>
        <w:rPr>
          <w:rFonts w:hint="eastAsia"/>
          <w:color w:val="auto"/>
          <w:highlight w:val="none"/>
        </w:rPr>
      </w:pPr>
    </w:p>
    <w:p>
      <w:pPr>
        <w:widowControl/>
        <w:spacing w:before="100" w:beforeAutospacing="1" w:after="100" w:afterAutospacing="1"/>
        <w:ind w:firstLine="480"/>
        <w:jc w:val="left"/>
        <w:rPr>
          <w:rFonts w:hint="eastAsia"/>
          <w:color w:val="auto"/>
          <w:kern w:val="0"/>
          <w:sz w:val="21"/>
          <w:szCs w:val="21"/>
          <w:highlight w:val="none"/>
        </w:rPr>
      </w:pPr>
      <w:r>
        <w:rPr>
          <w:rFonts w:hint="eastAsia"/>
          <w:color w:val="auto"/>
          <w:kern w:val="0"/>
          <w:sz w:val="21"/>
          <w:szCs w:val="21"/>
          <w:highlight w:val="none"/>
        </w:rPr>
        <w:t xml:space="preserve"> </w:t>
      </w:r>
    </w:p>
    <w:p>
      <w:pPr>
        <w:widowControl/>
        <w:spacing w:before="100" w:beforeAutospacing="1" w:after="100" w:afterAutospacing="1"/>
        <w:jc w:val="left"/>
        <w:rPr>
          <w:rFonts w:hint="eastAsia"/>
          <w:color w:val="auto"/>
          <w:kern w:val="0"/>
          <w:sz w:val="21"/>
          <w:szCs w:val="21"/>
          <w:highlight w:val="none"/>
        </w:rPr>
      </w:pPr>
    </w:p>
    <w:p>
      <w:pPr>
        <w:widowControl/>
        <w:spacing w:before="100" w:beforeAutospacing="1" w:after="100" w:afterAutospacing="1"/>
        <w:ind w:firstLine="480"/>
        <w:jc w:val="left"/>
        <w:rPr>
          <w:rFonts w:hint="eastAsia"/>
          <w:color w:val="auto"/>
          <w:kern w:val="0"/>
          <w:sz w:val="21"/>
          <w:szCs w:val="21"/>
          <w:highlight w:val="none"/>
        </w:rPr>
      </w:pPr>
    </w:p>
    <w:p>
      <w:pPr>
        <w:widowControl/>
        <w:spacing w:before="100" w:beforeAutospacing="1" w:after="100" w:afterAutospacing="1"/>
        <w:ind w:firstLine="480"/>
        <w:jc w:val="left"/>
        <w:rPr>
          <w:rFonts w:hint="eastAsia"/>
          <w:b/>
          <w:bCs/>
          <w:color w:val="auto"/>
          <w:kern w:val="0"/>
          <w:sz w:val="21"/>
          <w:szCs w:val="21"/>
          <w:highlight w:val="none"/>
        </w:rPr>
      </w:pPr>
      <w:r>
        <w:rPr>
          <w:rFonts w:hint="eastAsia"/>
          <w:color w:val="auto"/>
          <w:kern w:val="0"/>
          <w:sz w:val="21"/>
          <w:szCs w:val="21"/>
          <w:highlight w:val="none"/>
        </w:rPr>
        <w:t xml:space="preserve">附件: </w:t>
      </w:r>
    </w:p>
    <w:p>
      <w:pPr>
        <w:widowControl/>
        <w:jc w:val="center"/>
        <w:rPr>
          <w:rFonts w:hint="eastAsia"/>
          <w:b/>
          <w:bCs/>
          <w:color w:val="auto"/>
          <w:kern w:val="0"/>
          <w:sz w:val="21"/>
          <w:szCs w:val="21"/>
          <w:highlight w:val="none"/>
        </w:rPr>
      </w:pPr>
      <w:r>
        <w:rPr>
          <w:rFonts w:hint="eastAsia"/>
          <w:b/>
          <w:bCs/>
          <w:color w:val="auto"/>
          <w:kern w:val="0"/>
          <w:sz w:val="21"/>
          <w:szCs w:val="21"/>
          <w:highlight w:val="none"/>
        </w:rPr>
        <w:t>招标代理服务收费管理暂行办法</w:t>
      </w:r>
    </w:p>
    <w:p>
      <w:pPr>
        <w:widowControl/>
        <w:jc w:val="center"/>
        <w:rPr>
          <w:rFonts w:hint="eastAsia"/>
          <w:b/>
          <w:bCs/>
          <w:color w:val="auto"/>
          <w:kern w:val="0"/>
          <w:sz w:val="21"/>
          <w:szCs w:val="21"/>
          <w:highlight w:val="none"/>
        </w:rPr>
      </w:pPr>
      <w:r>
        <w:rPr>
          <w:rFonts w:hint="eastAsia"/>
          <w:b/>
          <w:bCs/>
          <w:color w:val="auto"/>
          <w:kern w:val="0"/>
          <w:sz w:val="21"/>
          <w:szCs w:val="21"/>
          <w:highlight w:val="none"/>
        </w:rPr>
        <w:t xml:space="preserve">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第一条 为规范招标代理服务收费行为，维护招标人、投标人和招标代理机构的合法权益,根据《中华人民共和国价格法》、《中华人民共和国招标投标法》及有关法律、行政法规,制定本办法。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第二条 中华人民共和国境内发生的各类招标代理服务的收费行为,适用本办法。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第三条 本办法所称招标代理服务收费,是指招标代理机构接受招标人委托,从事编制采购文件(包括编制资格预审文件和标底),审查投标人资格,组织投标人踏勘现场并答疑,组织开标、评标、定标,以及提供招标前期咨询、协调合同的签订等业务所收取的费用。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第四条 招标代理机构从事招标代理业务并收取服务费用的,必须符合《中华人民共和国招标投标法》第十三条、第十四条规定的条件,具备独立法人资格和相应资质。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第五条 招标代理机构应当在招标人委托的范围内办理招标事宜,遵守国家法律、法规及政策规定,符合招标人的技术、质量要求。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第六条 招标代理服务应当遵循公开、公正、平等、自愿、有偿的原则。严格禁止任何单位和个人为招标人强制指定招标代理机构或强制具有自行招标资格的单位接受代理并收取费用。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第七条 招标代理服务收费按照招标代理业务性质分为: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(一)各类土木工程、建筑工程、设备安装、管道线路敷设、装饰装修等建设以及附带服务的工程招标代理服务收费。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(二)原材料、产品、设备和固态、液态或气态物体和电力等货物及其附带服务的货物招标代理服务收费。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(三)工程勘察、设计、咨询、监理,矿业权、土地使用权出让、转让和保险等工程和货物以外的服务招标代理服务收费。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第八条 招标代理服务收费实行政府指导价。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第九条 招标代理服务收费采用差额定率累进计费方式。收费标准按本办法附件规定执行,上下浮动幅度不超过20%。具体收费额由招标代理机构和招标委托人在规定的收费标准和浮动幅度内协商确定。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出售采购文件可以收取编制成本费,具体定价办法由省、自治区、直辖市价格主管部门按照不以营利为目的原则制定。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第十条 招标代理服务实行"谁委托谁付费"。（国家发展和改革委员会办公厅发改办价格[2003]857号文件《国家发展改革委办公厅关于招标代理服务收费有关问题的通知》将本条修改为"招标代理服务费用应由招标人支付，招标人、招标代理机构与投标人另有约定的，从其约定。"）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工程招标委托人支付的招标代理服务费,可计入工程前期费用。货物招标和服务招标委托人支付的招标代理服务费,按照财政部门规定列支。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第十一条 招标代理机构按规定收取代理费用和出售采购文件后,不得再要求招标委托人无偿提供食宿、交通等或收取其他费用。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第十二条 招标代理业务中有超出本办法第三条规定的要求的,招标代理机构可与招标委托人就所增加的工作量,另行协商确定服务费用。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第十三条 招标代理服务收费纠纷,依据《中华人民共和国价格法》、《中华人民共和国合同法》及其他有关法律、法规处理。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第十四条 各级政府有关部门或者其授权、委托的单位,按照国务院关于招标投标管理职能分工规定履行监督职能,要求招标投标当事人履行审批、备案及其他手续的,一律不得收费。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违反前款规定,擅自设立收费项目、制定收费标准以及收取管理性费用的,由政府价格主管部门予以处罚。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第十五条 招标代理机构违反本办法规定的,由政府价格主管部门依据《中华人民共和国价格法》和《价格违法行为行政处罚规定》予以查处。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第十六条 本办法由国家计委负责解释。 </w:t>
      </w:r>
    </w:p>
    <w:p>
      <w:pPr>
        <w:widowControl/>
        <w:spacing w:line="40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第十七条 本办法自2003年1月1日起执行。国家计委及有关部门,各省、自治区、直辖市价格主管部门制定的相关规定,凡与本办法相抵触的,自本办法生效之日起废止。 </w:t>
      </w:r>
    </w:p>
    <w:p>
      <w:pPr>
        <w:widowControl/>
        <w:spacing w:before="100" w:beforeAutospacing="1" w:after="100" w:afterAutospacing="1" w:line="360" w:lineRule="auto"/>
        <w:ind w:firstLine="210" w:firstLineChars="100"/>
        <w:jc w:val="left"/>
        <w:rPr>
          <w:rFonts w:hint="eastAsia"/>
          <w:color w:val="auto"/>
          <w:kern w:val="0"/>
          <w:sz w:val="21"/>
          <w:szCs w:val="21"/>
          <w:highlight w:val="none"/>
        </w:rPr>
      </w:pPr>
      <w:r>
        <w:rPr>
          <w:rFonts w:hint="eastAsia"/>
          <w:color w:val="auto"/>
          <w:kern w:val="0"/>
          <w:sz w:val="21"/>
          <w:szCs w:val="21"/>
          <w:highlight w:val="none"/>
        </w:rPr>
        <w:t>附： 招标代理服务收费标准</w:t>
      </w:r>
    </w:p>
    <w:tbl>
      <w:tblPr>
        <w:tblStyle w:val="22"/>
        <w:tblW w:w="6298" w:type="dxa"/>
        <w:tblInd w:w="1260" w:type="dxa"/>
        <w:tblLayout w:type="fixed"/>
        <w:tblCellMar>
          <w:top w:w="0" w:type="dxa"/>
          <w:left w:w="108" w:type="dxa"/>
          <w:bottom w:w="0" w:type="dxa"/>
          <w:right w:w="108" w:type="dxa"/>
        </w:tblCellMar>
      </w:tblPr>
      <w:tblGrid>
        <w:gridCol w:w="2875"/>
        <w:gridCol w:w="1131"/>
        <w:gridCol w:w="1131"/>
        <w:gridCol w:w="1161"/>
      </w:tblGrid>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服务费率中标金额（万元）</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货物招标</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服务招标</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工程招标</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100以下</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1.5%</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1.5%</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100-500</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1.1%</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0.8%</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0.7%</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500-1000</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0.8%</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0.45%</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0.55%</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1000-5000</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0.5%</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0.25%</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0.35%</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5000-10000</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0.25%</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0.1%</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0.2%</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10000-100000</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0.05%</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0.05%</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0.05%</w:t>
            </w:r>
          </w:p>
        </w:tc>
      </w:tr>
      <w:tr>
        <w:tblPrEx>
          <w:tblCellMar>
            <w:top w:w="0" w:type="dxa"/>
            <w:left w:w="108" w:type="dxa"/>
            <w:bottom w:w="0" w:type="dxa"/>
            <w:right w:w="108" w:type="dxa"/>
          </w:tblCellMar>
        </w:tblPrEx>
        <w:tc>
          <w:tcPr>
            <w:tcW w:w="2875"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1000000以上</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0.01%</w:t>
            </w:r>
          </w:p>
        </w:tc>
        <w:tc>
          <w:tcPr>
            <w:tcW w:w="113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0.01%</w:t>
            </w:r>
          </w:p>
        </w:tc>
        <w:tc>
          <w:tcPr>
            <w:tcW w:w="1161" w:type="dxa"/>
            <w:noWrap w:val="0"/>
            <w:tcMar>
              <w:top w:w="15" w:type="dxa"/>
              <w:left w:w="15" w:type="dxa"/>
              <w:bottom w:w="15" w:type="dxa"/>
              <w:right w:w="15" w:type="dxa"/>
            </w:tcMar>
            <w:vAlign w:val="center"/>
          </w:tcPr>
          <w:p>
            <w:pPr>
              <w:widowControl/>
              <w:ind w:firstLine="210" w:firstLineChars="100"/>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0.01%</w:t>
            </w:r>
          </w:p>
        </w:tc>
      </w:tr>
    </w:tbl>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 </w:t>
      </w:r>
    </w:p>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注：1.按本表费率计算的收费为招标代理服务全过程的收费基准价格，单独提供编制采购文件（有标底的含标底）服务的，可按规定标准的30%计收。2.招标代理服务收费按差额定率累进法计算。例如：某工程招标代理业务中标金额为6000万元，计算招标代理服务收费额如下： </w:t>
      </w:r>
    </w:p>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 100万元×1.0%=1万元 </w:t>
      </w:r>
    </w:p>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（500-100）万元×0.7%=2.8万元 </w:t>
      </w:r>
    </w:p>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（1000-500）×0.55%=2.75万元 </w:t>
      </w:r>
    </w:p>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（5000-1000）×0.35%=14万元 </w:t>
      </w:r>
    </w:p>
    <w:p>
      <w:pPr>
        <w:widowControl/>
        <w:spacing w:line="440" w:lineRule="exact"/>
        <w:ind w:firstLine="210" w:firstLineChars="100"/>
        <w:jc w:val="left"/>
        <w:rPr>
          <w:rFonts w:hint="eastAsia"/>
          <w:color w:val="auto"/>
          <w:kern w:val="0"/>
          <w:sz w:val="21"/>
          <w:szCs w:val="21"/>
          <w:highlight w:val="none"/>
        </w:rPr>
      </w:pPr>
      <w:r>
        <w:rPr>
          <w:rFonts w:hint="eastAsia"/>
          <w:color w:val="auto"/>
          <w:kern w:val="0"/>
          <w:sz w:val="21"/>
          <w:szCs w:val="21"/>
          <w:highlight w:val="none"/>
        </w:rPr>
        <w:t xml:space="preserve">（6000-5000）×0.2%=2万元 </w:t>
      </w:r>
    </w:p>
    <w:p>
      <w:pPr>
        <w:widowControl/>
        <w:spacing w:line="440" w:lineRule="exact"/>
        <w:ind w:firstLine="210" w:firstLineChars="100"/>
        <w:jc w:val="left"/>
        <w:rPr>
          <w:color w:val="auto"/>
          <w:highlight w:val="none"/>
        </w:rPr>
      </w:pPr>
      <w:r>
        <w:rPr>
          <w:rFonts w:hint="eastAsia"/>
          <w:color w:val="auto"/>
          <w:kern w:val="0"/>
          <w:sz w:val="21"/>
          <w:szCs w:val="21"/>
          <w:highlight w:val="none"/>
        </w:rPr>
        <w:t xml:space="preserve">合计收费=1+2.8+2.75+14+2=22.55（万元） </w:t>
      </w:r>
    </w:p>
    <w:sectPr>
      <w:headerReference r:id="rId12" w:type="first"/>
      <w:footerReference r:id="rId14" w:type="first"/>
      <w:headerReference r:id="rId11" w:type="default"/>
      <w:footerReference r:id="rId13" w:type="default"/>
      <w:pgSz w:w="11850" w:h="16783"/>
      <w:pgMar w:top="1080" w:right="1440" w:bottom="1080" w:left="1440" w:header="851" w:footer="851"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 w:name="Wingdings 2">
    <w:panose1 w:val="05020102010507070707"/>
    <w:charset w:val="00"/>
    <w:family w:val="auto"/>
    <w:pitch w:val="default"/>
    <w:sig w:usb0="00000000" w:usb1="00000000" w:usb2="00000000" w:usb3="00000000" w:csb0="80000000" w:csb1="00000000"/>
  </w:font>
  <w:font w:name="楷体_GB2312">
    <w:altName w:val="楷体"/>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tab/>
    </w: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1"/>
      <w:rPr>
        <w:rStyle w:val="26"/>
      </w:rPr>
    </w:pPr>
    <w:r>
      <w:fldChar w:fldCharType="begin"/>
    </w:r>
    <w:r>
      <w:rPr>
        <w:rStyle w:val="26"/>
      </w:rPr>
      <w:instrText xml:space="preserve">PAGE  </w:instrText>
    </w:r>
    <w:r>
      <w:fldChar w:fldCharType="separate"/>
    </w:r>
    <w:r>
      <w:rPr>
        <w:rStyle w:val="26"/>
      </w:rPr>
      <w:t>7</w:t>
    </w:r>
    <w:r>
      <w:fldChar w:fldCharType="end"/>
    </w:r>
  </w:p>
  <w:p>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rPr>
        <w:rFonts w:hint="eastAsia"/>
        <w:sz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p>
                </w:txbxContent>
              </v:textbox>
            </v:shape>
          </w:pict>
        </mc:Fallback>
      </mc:AlternateContent>
    </w:r>
  </w:p>
  <w:p>
    <w:pPr>
      <w:pStyle w:val="1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sVhPrSAQAAo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s7H1Quy6vU2oF/Md9xHZyl6nCCDsVxtllntOepeV47uesp39r&#10;/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ixWE+tIBAACjAwAADgAAAAAAAAABACAAAAAi&#10;AQAAZHJzL2Uyb0RvYy54bWxQSwUGAAAAAAYABgBZAQAAZgUAAAAA&#10;">
              <v:fill on="f" focussize="0,0"/>
              <v:stroke on="f" weight="1.25pt"/>
              <v:imagedata o:title=""/>
              <o:lock v:ext="edit" aspectratio="f"/>
              <v:textbox inset="0mm,0mm,0mm,0mm" style="mso-fit-shape-to-text:t;">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rPr>
        <w:rFonts w:hint="eastAsia"/>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E6ED18"/>
    <w:multiLevelType w:val="singleLevel"/>
    <w:tmpl w:val="82E6ED18"/>
    <w:lvl w:ilvl="0" w:tentative="0">
      <w:start w:val="2"/>
      <w:numFmt w:val="chineseCounting"/>
      <w:suff w:val="space"/>
      <w:lvlText w:val="第%1章"/>
      <w:lvlJc w:val="left"/>
      <w:rPr>
        <w:rFonts w:hint="eastAsia"/>
      </w:rPr>
    </w:lvl>
  </w:abstractNum>
  <w:abstractNum w:abstractNumId="1">
    <w:nsid w:val="E1EAB9ED"/>
    <w:multiLevelType w:val="singleLevel"/>
    <w:tmpl w:val="E1EAB9ED"/>
    <w:lvl w:ilvl="0" w:tentative="0">
      <w:start w:val="2"/>
      <w:numFmt w:val="decimal"/>
      <w:suff w:val="nothing"/>
      <w:lvlText w:val="%1、"/>
      <w:lvlJc w:val="left"/>
    </w:lvl>
  </w:abstractNum>
  <w:abstractNum w:abstractNumId="2">
    <w:nsid w:val="E5957E31"/>
    <w:multiLevelType w:val="singleLevel"/>
    <w:tmpl w:val="E5957E31"/>
    <w:lvl w:ilvl="0" w:tentative="0">
      <w:start w:val="2"/>
      <w:numFmt w:val="decimal"/>
      <w:suff w:val="nothing"/>
      <w:lvlText w:val="%1、"/>
      <w:lvlJc w:val="left"/>
    </w:lvl>
  </w:abstractNum>
  <w:abstractNum w:abstractNumId="3">
    <w:nsid w:val="0645CABE"/>
    <w:multiLevelType w:val="singleLevel"/>
    <w:tmpl w:val="0645CABE"/>
    <w:lvl w:ilvl="0" w:tentative="0">
      <w:start w:val="2"/>
      <w:numFmt w:val="decimal"/>
      <w:suff w:val="nothing"/>
      <w:lvlText w:val="%1、"/>
      <w:lvlJc w:val="left"/>
    </w:lvl>
  </w:abstractNum>
  <w:abstractNum w:abstractNumId="4">
    <w:nsid w:val="5AD1F791"/>
    <w:multiLevelType w:val="singleLevel"/>
    <w:tmpl w:val="5AD1F791"/>
    <w:lvl w:ilvl="0" w:tentative="0">
      <w:start w:val="6"/>
      <w:numFmt w:val="chineseCounting"/>
      <w:suff w:val="space"/>
      <w:lvlText w:val="第%1章"/>
      <w:lvlJc w:val="left"/>
    </w:lvl>
  </w:abstractNum>
  <w:abstractNum w:abstractNumId="5">
    <w:nsid w:val="683E503E"/>
    <w:multiLevelType w:val="multilevel"/>
    <w:tmpl w:val="683E503E"/>
    <w:lvl w:ilvl="0" w:tentative="0">
      <w:start w:val="1"/>
      <w:numFmt w:val="decimal"/>
      <w:lvlText w:val="%1."/>
      <w:lvlJc w:val="left"/>
      <w:pPr>
        <w:ind w:left="425" w:hanging="425"/>
      </w:pPr>
      <w:rPr>
        <w:rFonts w:hint="eastAsia"/>
      </w:rPr>
    </w:lvl>
    <w:lvl w:ilvl="1" w:tentative="0">
      <w:start w:val="1"/>
      <w:numFmt w:val="decimal"/>
      <w:lvlText w:val="%1.%2."/>
      <w:lvlJc w:val="left"/>
      <w:pPr>
        <w:ind w:left="567" w:hanging="567"/>
      </w:pPr>
      <w:rPr>
        <w:rFonts w:hint="eastAsia"/>
      </w:rPr>
    </w:lvl>
    <w:lvl w:ilvl="2" w:tentative="0">
      <w:start w:val="1"/>
      <w:numFmt w:val="decimal"/>
      <w:lvlText w:val="%1.%2.%3."/>
      <w:lvlJc w:val="left"/>
      <w:pPr>
        <w:ind w:left="6947" w:hanging="709"/>
      </w:pPr>
      <w:rPr>
        <w:rFonts w:hint="eastAsia"/>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pStyle w:val="9"/>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num w:numId="1">
    <w:abstractNumId w:val="5"/>
  </w:num>
  <w:num w:numId="2">
    <w:abstractNumId w:val="0"/>
  </w:num>
  <w:num w:numId="3">
    <w:abstractNumId w:val="3"/>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C64E68"/>
    <w:rsid w:val="003578AE"/>
    <w:rsid w:val="006062E4"/>
    <w:rsid w:val="00786C9E"/>
    <w:rsid w:val="00B17710"/>
    <w:rsid w:val="00F73AE7"/>
    <w:rsid w:val="010B7483"/>
    <w:rsid w:val="01BC19F4"/>
    <w:rsid w:val="02873A06"/>
    <w:rsid w:val="02E16CE9"/>
    <w:rsid w:val="03310AFF"/>
    <w:rsid w:val="034A6549"/>
    <w:rsid w:val="035A412D"/>
    <w:rsid w:val="037306D8"/>
    <w:rsid w:val="03D0613B"/>
    <w:rsid w:val="05024E80"/>
    <w:rsid w:val="05E018E9"/>
    <w:rsid w:val="06017507"/>
    <w:rsid w:val="064E6650"/>
    <w:rsid w:val="068E3EC1"/>
    <w:rsid w:val="079B7819"/>
    <w:rsid w:val="07B34EF0"/>
    <w:rsid w:val="080C4B92"/>
    <w:rsid w:val="082C69D5"/>
    <w:rsid w:val="088C6A4A"/>
    <w:rsid w:val="08DA3796"/>
    <w:rsid w:val="08F71901"/>
    <w:rsid w:val="090C4ECD"/>
    <w:rsid w:val="09336DDF"/>
    <w:rsid w:val="0A1D3B2A"/>
    <w:rsid w:val="0A202565"/>
    <w:rsid w:val="0D59549E"/>
    <w:rsid w:val="0D6E1693"/>
    <w:rsid w:val="0D8D7703"/>
    <w:rsid w:val="0DA50DC6"/>
    <w:rsid w:val="0DA632FA"/>
    <w:rsid w:val="0DBB2535"/>
    <w:rsid w:val="0DEE2A62"/>
    <w:rsid w:val="0E336EAA"/>
    <w:rsid w:val="0E897DE8"/>
    <w:rsid w:val="0ED81ED4"/>
    <w:rsid w:val="0F157099"/>
    <w:rsid w:val="0F9C4F60"/>
    <w:rsid w:val="0FBD4297"/>
    <w:rsid w:val="0FCA611C"/>
    <w:rsid w:val="0FDE635F"/>
    <w:rsid w:val="0FE406C0"/>
    <w:rsid w:val="107D6FAA"/>
    <w:rsid w:val="10CB730A"/>
    <w:rsid w:val="10E00E5D"/>
    <w:rsid w:val="111838C9"/>
    <w:rsid w:val="11333BA2"/>
    <w:rsid w:val="11D9037C"/>
    <w:rsid w:val="12495D6E"/>
    <w:rsid w:val="124C6DA2"/>
    <w:rsid w:val="125856E7"/>
    <w:rsid w:val="12C100D9"/>
    <w:rsid w:val="133468D9"/>
    <w:rsid w:val="134C2C4C"/>
    <w:rsid w:val="13BC68CB"/>
    <w:rsid w:val="14414D8B"/>
    <w:rsid w:val="14B87A1D"/>
    <w:rsid w:val="14C569B4"/>
    <w:rsid w:val="15D05293"/>
    <w:rsid w:val="16541BC7"/>
    <w:rsid w:val="16621E8D"/>
    <w:rsid w:val="16F3088C"/>
    <w:rsid w:val="16F94B38"/>
    <w:rsid w:val="17B12AFE"/>
    <w:rsid w:val="17CD228F"/>
    <w:rsid w:val="187A18EB"/>
    <w:rsid w:val="18862F0B"/>
    <w:rsid w:val="19665A4F"/>
    <w:rsid w:val="1A0E148D"/>
    <w:rsid w:val="1A132DAB"/>
    <w:rsid w:val="1A983F0D"/>
    <w:rsid w:val="1B780420"/>
    <w:rsid w:val="1BA31E76"/>
    <w:rsid w:val="1CBE388C"/>
    <w:rsid w:val="1D1E399A"/>
    <w:rsid w:val="1D8E1669"/>
    <w:rsid w:val="1DBE6286"/>
    <w:rsid w:val="1DC671A9"/>
    <w:rsid w:val="1E110832"/>
    <w:rsid w:val="1E2C524A"/>
    <w:rsid w:val="1EA83F94"/>
    <w:rsid w:val="1F087973"/>
    <w:rsid w:val="1F5C5B76"/>
    <w:rsid w:val="1FA12128"/>
    <w:rsid w:val="20EE1278"/>
    <w:rsid w:val="210B61BE"/>
    <w:rsid w:val="211B6888"/>
    <w:rsid w:val="21376AFC"/>
    <w:rsid w:val="21582367"/>
    <w:rsid w:val="21D63B2D"/>
    <w:rsid w:val="225D2CFC"/>
    <w:rsid w:val="22B060DA"/>
    <w:rsid w:val="22B460D7"/>
    <w:rsid w:val="22D66314"/>
    <w:rsid w:val="22EA335A"/>
    <w:rsid w:val="235B1468"/>
    <w:rsid w:val="23ED0817"/>
    <w:rsid w:val="249B20DB"/>
    <w:rsid w:val="250A01E8"/>
    <w:rsid w:val="252B233F"/>
    <w:rsid w:val="25832155"/>
    <w:rsid w:val="25954BE0"/>
    <w:rsid w:val="27131F3B"/>
    <w:rsid w:val="27302A11"/>
    <w:rsid w:val="274D681E"/>
    <w:rsid w:val="2750590A"/>
    <w:rsid w:val="27A35E34"/>
    <w:rsid w:val="27D15B37"/>
    <w:rsid w:val="27DB2F7F"/>
    <w:rsid w:val="282B5187"/>
    <w:rsid w:val="285F3EA7"/>
    <w:rsid w:val="28870355"/>
    <w:rsid w:val="29276E0E"/>
    <w:rsid w:val="294B59A9"/>
    <w:rsid w:val="29932181"/>
    <w:rsid w:val="2AC14BE6"/>
    <w:rsid w:val="2AC64E68"/>
    <w:rsid w:val="2AC66219"/>
    <w:rsid w:val="2AF03CA3"/>
    <w:rsid w:val="2B661854"/>
    <w:rsid w:val="2B974299"/>
    <w:rsid w:val="2BAE2455"/>
    <w:rsid w:val="2BD4573B"/>
    <w:rsid w:val="2C9120EF"/>
    <w:rsid w:val="2CAC12F9"/>
    <w:rsid w:val="2E14007A"/>
    <w:rsid w:val="2E1F048F"/>
    <w:rsid w:val="2E3C00C1"/>
    <w:rsid w:val="2EB15005"/>
    <w:rsid w:val="2F3F60F3"/>
    <w:rsid w:val="2F5646D2"/>
    <w:rsid w:val="2F8424A3"/>
    <w:rsid w:val="2FEF3B9A"/>
    <w:rsid w:val="30B5036E"/>
    <w:rsid w:val="30F74A5F"/>
    <w:rsid w:val="31107718"/>
    <w:rsid w:val="315E19B0"/>
    <w:rsid w:val="31CF66B9"/>
    <w:rsid w:val="321B7F87"/>
    <w:rsid w:val="325657D3"/>
    <w:rsid w:val="325B2720"/>
    <w:rsid w:val="32C352B1"/>
    <w:rsid w:val="32EB5A56"/>
    <w:rsid w:val="33090C9E"/>
    <w:rsid w:val="331F3FDC"/>
    <w:rsid w:val="337427C5"/>
    <w:rsid w:val="33ED170B"/>
    <w:rsid w:val="34120779"/>
    <w:rsid w:val="3466784A"/>
    <w:rsid w:val="34790D7F"/>
    <w:rsid w:val="34AD03AE"/>
    <w:rsid w:val="35C85B13"/>
    <w:rsid w:val="369532CF"/>
    <w:rsid w:val="36C517CE"/>
    <w:rsid w:val="36D634E6"/>
    <w:rsid w:val="36F77E4B"/>
    <w:rsid w:val="38227210"/>
    <w:rsid w:val="384635F3"/>
    <w:rsid w:val="38820A40"/>
    <w:rsid w:val="389A346C"/>
    <w:rsid w:val="38E61B20"/>
    <w:rsid w:val="39651C92"/>
    <w:rsid w:val="39B5744F"/>
    <w:rsid w:val="39E10178"/>
    <w:rsid w:val="3A0726E1"/>
    <w:rsid w:val="3A4F4F3A"/>
    <w:rsid w:val="3A623D97"/>
    <w:rsid w:val="3A934455"/>
    <w:rsid w:val="3A9C6A97"/>
    <w:rsid w:val="3AA26E6B"/>
    <w:rsid w:val="3BB61D9E"/>
    <w:rsid w:val="3C115CBA"/>
    <w:rsid w:val="3D3A5C10"/>
    <w:rsid w:val="3D806410"/>
    <w:rsid w:val="3F7F648C"/>
    <w:rsid w:val="40286A42"/>
    <w:rsid w:val="407B062A"/>
    <w:rsid w:val="40A06FDF"/>
    <w:rsid w:val="40EB535B"/>
    <w:rsid w:val="410F739B"/>
    <w:rsid w:val="419F161F"/>
    <w:rsid w:val="41D4500C"/>
    <w:rsid w:val="429F3526"/>
    <w:rsid w:val="42C41731"/>
    <w:rsid w:val="42E65BD7"/>
    <w:rsid w:val="431F2D00"/>
    <w:rsid w:val="433551B0"/>
    <w:rsid w:val="434925CE"/>
    <w:rsid w:val="43A31E60"/>
    <w:rsid w:val="43A8794A"/>
    <w:rsid w:val="44135EAA"/>
    <w:rsid w:val="448B7C59"/>
    <w:rsid w:val="4508254D"/>
    <w:rsid w:val="454B240C"/>
    <w:rsid w:val="45AA206F"/>
    <w:rsid w:val="45CC0A13"/>
    <w:rsid w:val="46194E86"/>
    <w:rsid w:val="46600280"/>
    <w:rsid w:val="478C52E2"/>
    <w:rsid w:val="48094718"/>
    <w:rsid w:val="48411879"/>
    <w:rsid w:val="487C3C3B"/>
    <w:rsid w:val="4947165E"/>
    <w:rsid w:val="4AD22CE7"/>
    <w:rsid w:val="4AF52CE6"/>
    <w:rsid w:val="4B6D1AB1"/>
    <w:rsid w:val="4BB66B98"/>
    <w:rsid w:val="4C4A375C"/>
    <w:rsid w:val="4CB919EE"/>
    <w:rsid w:val="4CC6063E"/>
    <w:rsid w:val="4D34465E"/>
    <w:rsid w:val="4D501F14"/>
    <w:rsid w:val="4DA80995"/>
    <w:rsid w:val="4DDC6F91"/>
    <w:rsid w:val="4E0D5E76"/>
    <w:rsid w:val="4EA209A5"/>
    <w:rsid w:val="4EEF3C7B"/>
    <w:rsid w:val="4F532A27"/>
    <w:rsid w:val="4FBD7B77"/>
    <w:rsid w:val="50556FD9"/>
    <w:rsid w:val="506411A0"/>
    <w:rsid w:val="50B86067"/>
    <w:rsid w:val="50D23922"/>
    <w:rsid w:val="520C21A7"/>
    <w:rsid w:val="525F0DDF"/>
    <w:rsid w:val="52722868"/>
    <w:rsid w:val="52791532"/>
    <w:rsid w:val="52837764"/>
    <w:rsid w:val="52957E85"/>
    <w:rsid w:val="530D6DB4"/>
    <w:rsid w:val="53B819D5"/>
    <w:rsid w:val="54D42CAE"/>
    <w:rsid w:val="553B576B"/>
    <w:rsid w:val="55AD72F7"/>
    <w:rsid w:val="56081CCB"/>
    <w:rsid w:val="56A35663"/>
    <w:rsid w:val="57550466"/>
    <w:rsid w:val="5773457C"/>
    <w:rsid w:val="57AF60FD"/>
    <w:rsid w:val="57DB1781"/>
    <w:rsid w:val="58A6499E"/>
    <w:rsid w:val="598476A2"/>
    <w:rsid w:val="5A522D0B"/>
    <w:rsid w:val="5A9C3E3B"/>
    <w:rsid w:val="5AE61258"/>
    <w:rsid w:val="5B7417B0"/>
    <w:rsid w:val="5C067C3B"/>
    <w:rsid w:val="5C392391"/>
    <w:rsid w:val="5C620460"/>
    <w:rsid w:val="5CBF485B"/>
    <w:rsid w:val="5D5C60FE"/>
    <w:rsid w:val="5DF42C7D"/>
    <w:rsid w:val="5E6730CF"/>
    <w:rsid w:val="5EAD13F8"/>
    <w:rsid w:val="61102773"/>
    <w:rsid w:val="6242027F"/>
    <w:rsid w:val="636F0086"/>
    <w:rsid w:val="639A71B6"/>
    <w:rsid w:val="64D96EDA"/>
    <w:rsid w:val="64F564CC"/>
    <w:rsid w:val="65194723"/>
    <w:rsid w:val="65865536"/>
    <w:rsid w:val="660C6498"/>
    <w:rsid w:val="68646993"/>
    <w:rsid w:val="68DB7341"/>
    <w:rsid w:val="6944469E"/>
    <w:rsid w:val="697A246E"/>
    <w:rsid w:val="69BF4C24"/>
    <w:rsid w:val="69DA424B"/>
    <w:rsid w:val="6A6A2299"/>
    <w:rsid w:val="6A732CAE"/>
    <w:rsid w:val="6A990297"/>
    <w:rsid w:val="6AAF14AB"/>
    <w:rsid w:val="6B310B14"/>
    <w:rsid w:val="6BFB053A"/>
    <w:rsid w:val="6C79687C"/>
    <w:rsid w:val="6C835F67"/>
    <w:rsid w:val="6D553890"/>
    <w:rsid w:val="6D9508C1"/>
    <w:rsid w:val="6D9E38A5"/>
    <w:rsid w:val="6DE84638"/>
    <w:rsid w:val="6F6A6C36"/>
    <w:rsid w:val="6F6E3200"/>
    <w:rsid w:val="6F7E6D89"/>
    <w:rsid w:val="6F951F09"/>
    <w:rsid w:val="6FFC7384"/>
    <w:rsid w:val="70237C90"/>
    <w:rsid w:val="71312C79"/>
    <w:rsid w:val="71722A1A"/>
    <w:rsid w:val="71F65166"/>
    <w:rsid w:val="73FD5758"/>
    <w:rsid w:val="74064202"/>
    <w:rsid w:val="741F3EDF"/>
    <w:rsid w:val="747F2BAD"/>
    <w:rsid w:val="75EB79EE"/>
    <w:rsid w:val="76216FDA"/>
    <w:rsid w:val="764E4E91"/>
    <w:rsid w:val="767F4D5B"/>
    <w:rsid w:val="77464FC6"/>
    <w:rsid w:val="77A52760"/>
    <w:rsid w:val="78242E93"/>
    <w:rsid w:val="78620405"/>
    <w:rsid w:val="789665BD"/>
    <w:rsid w:val="78BE4CF5"/>
    <w:rsid w:val="78DD68FE"/>
    <w:rsid w:val="78FF3CCC"/>
    <w:rsid w:val="795B4794"/>
    <w:rsid w:val="79C47B6E"/>
    <w:rsid w:val="7B622C9D"/>
    <w:rsid w:val="7B7D02D8"/>
    <w:rsid w:val="7B7E1E70"/>
    <w:rsid w:val="7BBA15FB"/>
    <w:rsid w:val="7BCF04D9"/>
    <w:rsid w:val="7BE11E57"/>
    <w:rsid w:val="7C1B0ACF"/>
    <w:rsid w:val="7C1F670E"/>
    <w:rsid w:val="7C2D1418"/>
    <w:rsid w:val="7C8B583D"/>
    <w:rsid w:val="7CD353B9"/>
    <w:rsid w:val="7CF67984"/>
    <w:rsid w:val="7D9A5B47"/>
    <w:rsid w:val="7E053DB4"/>
    <w:rsid w:val="7E060FB6"/>
    <w:rsid w:val="7E352642"/>
    <w:rsid w:val="7EA77B51"/>
    <w:rsid w:val="7EDE0917"/>
    <w:rsid w:val="7EF44612"/>
    <w:rsid w:val="7F111EC9"/>
    <w:rsid w:val="7F203B34"/>
    <w:rsid w:val="7F8853AE"/>
    <w:rsid w:val="7F966C92"/>
    <w:rsid w:val="7FEF4633"/>
    <w:rsid w:val="7FF144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semiHidden="0" w:name="heading 4"/>
    <w:lsdException w:qFormat="1" w:uiPriority="9"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4"/>
      <w:lang w:val="en-US" w:eastAsia="zh-CN" w:bidi="ar-SA"/>
    </w:rPr>
  </w:style>
  <w:style w:type="paragraph" w:styleId="4">
    <w:name w:val="heading 1"/>
    <w:basedOn w:val="1"/>
    <w:next w:val="1"/>
    <w:qFormat/>
    <w:uiPriority w:val="0"/>
    <w:pPr>
      <w:keepNext/>
      <w:keepLines/>
      <w:spacing w:before="340" w:beforeLines="0" w:after="330" w:afterLines="0" w:line="576" w:lineRule="auto"/>
      <w:outlineLvl w:val="0"/>
    </w:pPr>
    <w:rPr>
      <w:rFonts w:eastAsia="宋体"/>
      <w:b/>
      <w:color w:val="000000"/>
      <w:kern w:val="44"/>
      <w:sz w:val="44"/>
      <w:szCs w:val="21"/>
      <w:lang w:val="en-US" w:eastAsia="zh-CN" w:bidi="ar-SA"/>
    </w:rPr>
  </w:style>
  <w:style w:type="paragraph" w:styleId="5">
    <w:name w:val="heading 2"/>
    <w:basedOn w:val="1"/>
    <w:next w:val="1"/>
    <w:qFormat/>
    <w:uiPriority w:val="0"/>
    <w:pPr>
      <w:keepNext/>
      <w:keepLines/>
      <w:spacing w:before="260" w:beforeLines="0" w:after="260" w:afterLines="0" w:line="415" w:lineRule="auto"/>
      <w:outlineLvl w:val="1"/>
    </w:pPr>
    <w:rPr>
      <w:rFonts w:ascii="Arial" w:hAnsi="Arial" w:eastAsia="黑体"/>
      <w:b/>
      <w:bCs/>
      <w:sz w:val="32"/>
      <w:szCs w:val="32"/>
    </w:rPr>
  </w:style>
  <w:style w:type="paragraph" w:styleId="6">
    <w:name w:val="heading 3"/>
    <w:basedOn w:val="1"/>
    <w:next w:val="1"/>
    <w:qFormat/>
    <w:uiPriority w:val="0"/>
    <w:pPr>
      <w:keepNext/>
      <w:keepLines/>
      <w:spacing w:before="260" w:beforeLines="0" w:after="260" w:afterLines="0" w:line="416" w:lineRule="auto"/>
      <w:outlineLvl w:val="2"/>
    </w:pPr>
    <w:rPr>
      <w:rFonts w:eastAsia="黑体"/>
      <w:b/>
      <w:bCs/>
      <w:sz w:val="32"/>
      <w:szCs w:val="32"/>
    </w:rPr>
  </w:style>
  <w:style w:type="paragraph" w:styleId="7">
    <w:name w:val="heading 4"/>
    <w:basedOn w:val="1"/>
    <w:next w:val="1"/>
    <w:link w:val="39"/>
    <w:unhideWhenUsed/>
    <w:qFormat/>
    <w:uiPriority w:val="9"/>
    <w:pPr>
      <w:keepNext/>
      <w:keepLines/>
      <w:spacing w:before="280" w:after="290" w:line="376" w:lineRule="auto"/>
      <w:outlineLvl w:val="3"/>
    </w:pPr>
    <w:rPr>
      <w:rFonts w:asciiTheme="majorHAnsi" w:hAnsiTheme="majorHAnsi" w:cstheme="majorBidi"/>
      <w:b/>
      <w:bCs/>
      <w:sz w:val="24"/>
      <w:szCs w:val="28"/>
    </w:rPr>
  </w:style>
  <w:style w:type="paragraph" w:styleId="8">
    <w:name w:val="heading 5"/>
    <w:basedOn w:val="1"/>
    <w:next w:val="1"/>
    <w:unhideWhenUsed/>
    <w:qFormat/>
    <w:uiPriority w:val="9"/>
    <w:pPr>
      <w:keepNext/>
      <w:keepLines/>
      <w:spacing w:before="280" w:after="290" w:line="376" w:lineRule="auto"/>
      <w:outlineLvl w:val="4"/>
    </w:pPr>
    <w:rPr>
      <w:b/>
      <w:bCs/>
      <w:sz w:val="24"/>
      <w:szCs w:val="28"/>
    </w:rPr>
  </w:style>
  <w:style w:type="paragraph" w:styleId="9">
    <w:name w:val="heading 6"/>
    <w:basedOn w:val="1"/>
    <w:next w:val="1"/>
    <w:unhideWhenUsed/>
    <w:qFormat/>
    <w:uiPriority w:val="9"/>
    <w:pPr>
      <w:keepNext/>
      <w:keepLines/>
      <w:numPr>
        <w:ilvl w:val="5"/>
        <w:numId w:val="1"/>
      </w:numPr>
      <w:spacing w:before="240" w:after="64" w:line="320" w:lineRule="auto"/>
      <w:outlineLvl w:val="5"/>
    </w:pPr>
    <w:rPr>
      <w:rFonts w:asciiTheme="majorHAnsi" w:hAnsiTheme="majorHAnsi" w:eastAsiaTheme="majorEastAsia" w:cstheme="majorBidi"/>
      <w:b/>
      <w:bCs/>
      <w:sz w:val="24"/>
      <w:szCs w:val="24"/>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spacing w:after="120" w:line="240" w:lineRule="auto"/>
      <w:ind w:left="420" w:leftChars="200" w:firstLine="420"/>
    </w:pPr>
    <w:rPr>
      <w:rFonts w:cs="宋体"/>
      <w:sz w:val="21"/>
      <w:szCs w:val="21"/>
    </w:rPr>
  </w:style>
  <w:style w:type="paragraph" w:styleId="3">
    <w:name w:val="Body Text Indent"/>
    <w:basedOn w:val="1"/>
    <w:next w:val="1"/>
    <w:qFormat/>
    <w:uiPriority w:val="0"/>
    <w:pPr>
      <w:spacing w:line="200" w:lineRule="atLeast"/>
      <w:ind w:firstLine="301"/>
    </w:pPr>
    <w:rPr>
      <w:rFonts w:hint="eastAsia" w:ascii="宋体" w:hAnsi="Courier New"/>
      <w:spacing w:val="-4"/>
      <w:sz w:val="18"/>
      <w:szCs w:val="20"/>
    </w:rPr>
  </w:style>
  <w:style w:type="paragraph" w:styleId="10">
    <w:name w:val="Normal Indent"/>
    <w:basedOn w:val="1"/>
    <w:next w:val="3"/>
    <w:qFormat/>
    <w:uiPriority w:val="0"/>
    <w:pPr>
      <w:ind w:firstLine="420"/>
    </w:pPr>
    <w:rPr>
      <w:rFonts w:eastAsia="宋体"/>
      <w:kern w:val="2"/>
      <w:sz w:val="21"/>
      <w:lang w:val="en-US" w:eastAsia="zh-CN" w:bidi="ar-SA"/>
    </w:rPr>
  </w:style>
  <w:style w:type="paragraph" w:styleId="11">
    <w:name w:val="index 5"/>
    <w:basedOn w:val="1"/>
    <w:next w:val="1"/>
    <w:qFormat/>
    <w:uiPriority w:val="0"/>
    <w:pPr>
      <w:ind w:left="800" w:leftChars="800"/>
    </w:pPr>
  </w:style>
  <w:style w:type="paragraph" w:styleId="12">
    <w:name w:val="Body Text"/>
    <w:basedOn w:val="1"/>
    <w:next w:val="1"/>
    <w:qFormat/>
    <w:uiPriority w:val="0"/>
    <w:pPr>
      <w:spacing w:after="120" w:afterLines="0"/>
    </w:pPr>
  </w:style>
  <w:style w:type="paragraph" w:styleId="13">
    <w:name w:val="List 2"/>
    <w:basedOn w:val="1"/>
    <w:qFormat/>
    <w:uiPriority w:val="0"/>
    <w:pPr>
      <w:ind w:leftChars="200" w:hanging="200" w:hangingChars="200"/>
    </w:pPr>
  </w:style>
  <w:style w:type="paragraph" w:styleId="14">
    <w:name w:val="Plain Text"/>
    <w:basedOn w:val="1"/>
    <w:next w:val="1"/>
    <w:qFormat/>
    <w:uiPriority w:val="0"/>
    <w:pPr>
      <w:spacing w:before="156" w:beforeLines="50" w:after="156" w:afterLines="50" w:line="400" w:lineRule="atLeast"/>
    </w:pPr>
    <w:rPr>
      <w:rFonts w:hAnsi="Courier New"/>
      <w:sz w:val="24"/>
    </w:rPr>
  </w:style>
  <w:style w:type="paragraph" w:styleId="15">
    <w:name w:val="Body Text Indent 2"/>
    <w:basedOn w:val="1"/>
    <w:next w:val="16"/>
    <w:qFormat/>
    <w:uiPriority w:val="0"/>
    <w:pPr>
      <w:snapToGrid w:val="0"/>
      <w:ind w:firstLine="542" w:firstLineChars="225"/>
    </w:pPr>
    <w:rPr>
      <w:rFonts w:ascii="仿宋_GB2312" w:hAnsi="宋体"/>
      <w:b/>
      <w:color w:val="000000"/>
      <w:sz w:val="24"/>
    </w:rPr>
  </w:style>
  <w:style w:type="paragraph" w:styleId="16">
    <w:name w:val="toc 1"/>
    <w:basedOn w:val="1"/>
    <w:next w:val="1"/>
    <w:qFormat/>
    <w:uiPriority w:val="0"/>
    <w:rPr>
      <w:sz w:val="21"/>
    </w:rPr>
  </w:style>
  <w:style w:type="paragraph" w:styleId="17">
    <w:name w:val="footer"/>
    <w:basedOn w:val="1"/>
    <w:qFormat/>
    <w:uiPriority w:val="0"/>
    <w:pPr>
      <w:tabs>
        <w:tab w:val="center" w:pos="4153"/>
        <w:tab w:val="right" w:pos="8306"/>
      </w:tabs>
      <w:snapToGrid w:val="0"/>
      <w:jc w:val="left"/>
    </w:pPr>
    <w:rPr>
      <w:sz w:val="18"/>
      <w:szCs w:val="18"/>
    </w:rPr>
  </w:style>
  <w:style w:type="paragraph" w:styleId="18">
    <w:name w:val="header"/>
    <w:basedOn w:val="1"/>
    <w:next w:val="15"/>
    <w:qFormat/>
    <w:uiPriority w:val="99"/>
    <w:pPr>
      <w:pBdr>
        <w:bottom w:val="single" w:color="auto" w:sz="6" w:space="1"/>
      </w:pBdr>
      <w:tabs>
        <w:tab w:val="center" w:pos="4153"/>
        <w:tab w:val="right" w:pos="8306"/>
      </w:tabs>
      <w:snapToGrid w:val="0"/>
      <w:jc w:val="center"/>
    </w:pPr>
    <w:rPr>
      <w:rFonts w:eastAsia="宋体"/>
      <w:kern w:val="2"/>
      <w:sz w:val="18"/>
      <w:szCs w:val="18"/>
      <w:lang w:val="en-US" w:eastAsia="zh-CN" w:bidi="ar-SA"/>
    </w:rPr>
  </w:style>
  <w:style w:type="paragraph" w:styleId="19">
    <w:name w:val="toc 6"/>
    <w:basedOn w:val="1"/>
    <w:next w:val="1"/>
    <w:qFormat/>
    <w:uiPriority w:val="39"/>
    <w:pPr>
      <w:widowControl w:val="0"/>
      <w:ind w:left="840"/>
    </w:pPr>
    <w:rPr>
      <w:rFonts w:ascii="Calibri" w:hAnsi="Calibri" w:cs="Calibri"/>
      <w:kern w:val="2"/>
      <w:sz w:val="20"/>
      <w:szCs w:val="20"/>
    </w:rPr>
  </w:style>
  <w:style w:type="paragraph" w:styleId="20">
    <w:name w:val="Normal (Web)"/>
    <w:basedOn w:val="1"/>
    <w:qFormat/>
    <w:uiPriority w:val="0"/>
    <w:pPr>
      <w:widowControl/>
      <w:spacing w:before="100" w:beforeLines="0" w:beforeAutospacing="1" w:after="100" w:afterLines="0" w:afterAutospacing="1"/>
      <w:jc w:val="left"/>
    </w:pPr>
    <w:rPr>
      <w:rFonts w:ascii="宋体" w:hAnsi="宋体"/>
      <w:kern w:val="0"/>
      <w:sz w:val="24"/>
    </w:rPr>
  </w:style>
  <w:style w:type="paragraph" w:styleId="21">
    <w:name w:val="Body Text First Indent"/>
    <w:basedOn w:val="12"/>
    <w:next w:val="19"/>
    <w:qFormat/>
    <w:uiPriority w:val="0"/>
    <w:pPr>
      <w:ind w:firstLine="420" w:firstLineChars="100"/>
    </w:pPr>
  </w:style>
  <w:style w:type="table" w:styleId="23">
    <w:name w:val="Table Grid"/>
    <w:basedOn w:val="22"/>
    <w:unhideWhenUsed/>
    <w:qFormat/>
    <w:uiPriority w:val="99"/>
    <w:rPr>
      <w:rFonts w:ascii="Times New Roman" w:hAnsi="Times New Roman" w:eastAsia="Times New Roman"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22"/>
    <w:rPr>
      <w:b/>
      <w:bCs/>
    </w:rPr>
  </w:style>
  <w:style w:type="character" w:styleId="26">
    <w:name w:val="page number"/>
    <w:basedOn w:val="24"/>
    <w:qFormat/>
    <w:uiPriority w:val="0"/>
  </w:style>
  <w:style w:type="character" w:styleId="27">
    <w:name w:val="Hyperlink"/>
    <w:basedOn w:val="24"/>
    <w:qFormat/>
    <w:uiPriority w:val="0"/>
    <w:rPr>
      <w:color w:val="0000FF"/>
      <w:u w:val="single"/>
    </w:rPr>
  </w:style>
  <w:style w:type="paragraph" w:customStyle="1" w:styleId="28">
    <w:name w:val="正文1"/>
    <w:basedOn w:val="1"/>
    <w:qFormat/>
    <w:uiPriority w:val="0"/>
    <w:pPr>
      <w:adjustRightInd w:val="0"/>
      <w:spacing w:line="318" w:lineRule="atLeast"/>
      <w:ind w:left="369" w:firstLine="369"/>
      <w:textAlignment w:val="baseline"/>
    </w:pPr>
    <w:rPr>
      <w:rFonts w:ascii="宋体"/>
      <w:sz w:val="21"/>
      <w:szCs w:val="20"/>
    </w:rPr>
  </w:style>
  <w:style w:type="paragraph" w:customStyle="1" w:styleId="29">
    <w:name w:val="正文段"/>
    <w:basedOn w:val="1"/>
    <w:next w:val="11"/>
    <w:qFormat/>
    <w:uiPriority w:val="0"/>
    <w:pPr>
      <w:widowControl/>
      <w:snapToGrid w:val="0"/>
      <w:spacing w:after="156" w:afterLines="50"/>
      <w:ind w:firstLine="200" w:firstLineChars="200"/>
    </w:pPr>
    <w:rPr>
      <w:kern w:val="0"/>
      <w:sz w:val="24"/>
      <w:szCs w:val="20"/>
    </w:rPr>
  </w:style>
  <w:style w:type="paragraph" w:customStyle="1" w:styleId="30">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31">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32">
    <w:name w:val="默认段落字体 Para Char Char Char Char Char Char Char Char Char1 Char Char Char Char"/>
    <w:basedOn w:val="1"/>
    <w:qFormat/>
    <w:uiPriority w:val="0"/>
    <w:rPr>
      <w:rFonts w:ascii="Tahoma" w:hAnsi="Tahoma"/>
      <w:sz w:val="24"/>
      <w:szCs w:val="20"/>
    </w:rPr>
  </w:style>
  <w:style w:type="paragraph" w:styleId="33">
    <w:name w:val="List Paragraph"/>
    <w:basedOn w:val="1"/>
    <w:qFormat/>
    <w:uiPriority w:val="34"/>
    <w:pPr>
      <w:ind w:firstLine="420" w:firstLineChars="200"/>
    </w:pPr>
  </w:style>
  <w:style w:type="table" w:customStyle="1" w:styleId="34">
    <w:name w:val="网格型1"/>
    <w:basedOn w:val="22"/>
    <w:unhideWhenUsed/>
    <w:qFormat/>
    <w:uiPriority w:val="99"/>
    <w:rPr>
      <w:rFonts w:ascii="Times New Roman" w:hAnsi="Times New Roman" w:eastAsia="Times New Roman"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5">
    <w:name w:val="正文（缩进）"/>
    <w:basedOn w:val="1"/>
    <w:qFormat/>
    <w:uiPriority w:val="0"/>
    <w:pPr>
      <w:adjustRightInd/>
      <w:spacing w:beforeLines="50" w:afterLines="50" w:line="360" w:lineRule="auto"/>
      <w:ind w:firstLine="480" w:firstLineChars="200"/>
    </w:pPr>
    <w:rPr>
      <w:rFonts w:ascii="Times New Roman" w:hAnsi="Times New Roman"/>
      <w:sz w:val="28"/>
      <w:lang w:val="zh-CN"/>
    </w:rPr>
  </w:style>
  <w:style w:type="paragraph" w:customStyle="1" w:styleId="36">
    <w:name w:val="C503-正文格式"/>
    <w:basedOn w:val="1"/>
    <w:qFormat/>
    <w:uiPriority w:val="0"/>
    <w:rPr>
      <w:rFonts w:cs="宋体"/>
    </w:rPr>
  </w:style>
  <w:style w:type="paragraph" w:customStyle="1" w:styleId="37">
    <w:name w:val="首行缩进"/>
    <w:basedOn w:val="1"/>
    <w:qFormat/>
    <w:uiPriority w:val="0"/>
    <w:pPr>
      <w:spacing w:line="360" w:lineRule="auto"/>
      <w:ind w:firstLine="480" w:firstLineChars="200"/>
    </w:pPr>
    <w:rPr>
      <w:sz w:val="24"/>
      <w:lang w:val="zh-CN"/>
    </w:rPr>
  </w:style>
  <w:style w:type="paragraph" w:customStyle="1" w:styleId="38">
    <w:name w:val="！正文"/>
    <w:basedOn w:val="1"/>
    <w:qFormat/>
    <w:uiPriority w:val="0"/>
    <w:pPr>
      <w:widowControl/>
      <w:adjustRightInd w:val="0"/>
      <w:snapToGrid w:val="0"/>
      <w:spacing w:line="324" w:lineRule="auto"/>
      <w:ind w:firstLine="200" w:firstLineChars="200"/>
      <w:jc w:val="left"/>
    </w:pPr>
    <w:rPr>
      <w:rFonts w:ascii="Times New Roman" w:hAnsi="Times New Roman" w:eastAsia="微软雅黑" w:cs="宋体"/>
      <w:kern w:val="0"/>
      <w:szCs w:val="24"/>
    </w:rPr>
  </w:style>
  <w:style w:type="character" w:customStyle="1" w:styleId="39">
    <w:name w:val="标题 4 字符"/>
    <w:basedOn w:val="24"/>
    <w:link w:val="7"/>
    <w:qFormat/>
    <w:uiPriority w:val="9"/>
    <w:rPr>
      <w:rFonts w:asciiTheme="majorHAnsi" w:hAnsiTheme="majorHAnsi" w:cstheme="majorBidi"/>
      <w:b/>
      <w:bCs/>
      <w:sz w:val="24"/>
      <w:szCs w:val="28"/>
    </w:rPr>
  </w:style>
  <w:style w:type="character" w:customStyle="1" w:styleId="40">
    <w:name w:val="NormalCharacter"/>
    <w:link w:val="41"/>
    <w:qFormat/>
    <w:uiPriority w:val="0"/>
    <w:rPr>
      <w:kern w:val="0"/>
      <w:sz w:val="21"/>
    </w:rPr>
  </w:style>
  <w:style w:type="paragraph" w:customStyle="1" w:styleId="41">
    <w:name w:val="UserStyle_24"/>
    <w:basedOn w:val="1"/>
    <w:link w:val="40"/>
    <w:qFormat/>
    <w:uiPriority w:val="0"/>
    <w:pPr>
      <w:widowControl/>
      <w:textAlignment w:val="baseline"/>
    </w:pPr>
    <w:rPr>
      <w:kern w:val="0"/>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5.png"/><Relationship Id="rId2" Type="http://schemas.openxmlformats.org/officeDocument/2006/relationships/settings" Target="settings.xml"/><Relationship Id="rId19" Type="http://schemas.openxmlformats.org/officeDocument/2006/relationships/image" Target="media/image4.png"/><Relationship Id="rId18" Type="http://schemas.openxmlformats.org/officeDocument/2006/relationships/image" Target="media/image3.emf"/><Relationship Id="rId17" Type="http://schemas.openxmlformats.org/officeDocument/2006/relationships/image" Target="media/image2.emf"/><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135</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2020-09-09T06:48:00Z</dcterms:created>
  <dc:creator>徐琼</dc:creator>
  <cp:lastModifiedBy>H、</cp:lastModifiedBy>
  <cp:lastPrinted>2021-12-06T00:40:00Z</cp:lastPrinted>
  <dcterms:modified xsi:type="dcterms:W3CDTF">2021-12-07T08:19:58Z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7543765EC099416F83546D748F9A5252</vt:lpwstr>
  </property>
</Properties>
</file>