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1" w:rightChars="-29"/>
        <w:jc w:val="center"/>
        <w:rPr>
          <w:rFonts w:ascii="宋体" w:hAnsi="宋体" w:cs="宋体"/>
          <w:b/>
          <w:color w:val="000000"/>
          <w:kern w:val="1"/>
          <w:sz w:val="44"/>
          <w:szCs w:val="44"/>
        </w:rPr>
      </w:pPr>
      <w:bookmarkStart w:id="51" w:name="_GoBack"/>
      <w:bookmarkEnd w:id="51"/>
    </w:p>
    <w:p>
      <w:pPr>
        <w:ind w:right="-61" w:rightChars="-29"/>
        <w:jc w:val="center"/>
        <w:rPr>
          <w:rFonts w:hint="eastAsia" w:ascii="宋体" w:hAnsi="宋体" w:cs="宋体"/>
          <w:b/>
          <w:color w:val="000000"/>
          <w:kern w:val="1"/>
          <w:sz w:val="44"/>
          <w:szCs w:val="44"/>
        </w:rPr>
      </w:pPr>
      <w:r>
        <w:rPr>
          <w:rFonts w:hint="eastAsia" w:ascii="宋体" w:hAnsi="宋体"/>
          <w:b/>
          <w:color w:val="000000"/>
          <w:sz w:val="44"/>
          <w:szCs w:val="44"/>
        </w:rPr>
        <w:t>浦江县中医院新院区搬迁信息化与LED屏采购项目</w:t>
      </w:r>
    </w:p>
    <w:p>
      <w:pPr>
        <w:spacing w:before="120" w:beforeLines="50"/>
        <w:jc w:val="center"/>
        <w:rPr>
          <w:rFonts w:ascii="宋体" w:hAnsi="宋体"/>
          <w:b/>
          <w:color w:val="000000"/>
          <w:sz w:val="44"/>
          <w:szCs w:val="44"/>
        </w:rPr>
      </w:pPr>
      <w:r>
        <w:rPr>
          <w:rFonts w:hint="eastAsia" w:ascii="宋体" w:hAnsi="宋体"/>
          <w:b/>
          <w:color w:val="000000"/>
          <w:sz w:val="44"/>
          <w:szCs w:val="44"/>
        </w:rPr>
        <w:t>采购文件</w:t>
      </w:r>
    </w:p>
    <w:p>
      <w:pPr>
        <w:spacing w:before="120" w:beforeLines="50"/>
        <w:jc w:val="center"/>
        <w:rPr>
          <w:rFonts w:ascii="宋体" w:hAnsi="宋体"/>
          <w:b/>
          <w:color w:val="000000"/>
          <w:sz w:val="44"/>
          <w:szCs w:val="44"/>
        </w:rPr>
      </w:pPr>
      <w:r>
        <w:rPr>
          <w:rFonts w:hint="eastAsia" w:ascii="宋体" w:hAnsi="宋体"/>
          <w:b/>
          <w:color w:val="000000"/>
          <w:sz w:val="44"/>
          <w:szCs w:val="44"/>
        </w:rPr>
        <w:t>（公开招标）</w:t>
      </w:r>
    </w:p>
    <w:p>
      <w:pPr>
        <w:spacing w:before="120" w:beforeLines="50"/>
        <w:jc w:val="center"/>
        <w:rPr>
          <w:rFonts w:ascii="宋体" w:hAnsi="宋体"/>
          <w:b/>
          <w:color w:val="000000"/>
          <w:sz w:val="44"/>
          <w:szCs w:val="44"/>
        </w:rPr>
      </w:pPr>
    </w:p>
    <w:p>
      <w:pPr>
        <w:spacing w:before="120" w:beforeLines="50"/>
        <w:jc w:val="center"/>
        <w:rPr>
          <w:rFonts w:ascii="宋体" w:hAnsi="宋体"/>
          <w:b/>
          <w:color w:val="000000"/>
          <w:sz w:val="44"/>
          <w:szCs w:val="44"/>
        </w:rPr>
      </w:pPr>
    </w:p>
    <w:p>
      <w:pPr>
        <w:spacing w:before="120" w:beforeLines="50"/>
        <w:jc w:val="center"/>
        <w:rPr>
          <w:rFonts w:ascii="宋体" w:hAnsi="宋体"/>
          <w:b/>
          <w:color w:val="000000"/>
          <w:sz w:val="44"/>
          <w:szCs w:val="44"/>
        </w:rPr>
      </w:pPr>
    </w:p>
    <w:p>
      <w:pPr>
        <w:spacing w:before="120" w:beforeLines="50"/>
        <w:jc w:val="center"/>
        <w:rPr>
          <w:rFonts w:ascii="宋体" w:hAnsi="宋体"/>
          <w:b/>
          <w:color w:val="000000"/>
          <w:sz w:val="44"/>
          <w:szCs w:val="44"/>
        </w:rPr>
      </w:pPr>
    </w:p>
    <w:p>
      <w:pPr>
        <w:spacing w:before="120" w:beforeLines="50"/>
        <w:jc w:val="center"/>
        <w:rPr>
          <w:rFonts w:ascii="宋体" w:hAnsi="宋体"/>
          <w:b/>
          <w:color w:val="000000"/>
          <w:sz w:val="44"/>
          <w:szCs w:val="44"/>
        </w:rPr>
      </w:pPr>
    </w:p>
    <w:p>
      <w:pPr>
        <w:spacing w:before="120" w:beforeLines="50"/>
        <w:jc w:val="center"/>
        <w:rPr>
          <w:rFonts w:ascii="宋体" w:hAnsi="宋体"/>
          <w:b/>
          <w:color w:val="000000"/>
          <w:sz w:val="44"/>
          <w:szCs w:val="44"/>
        </w:rPr>
      </w:pPr>
    </w:p>
    <w:p>
      <w:pPr>
        <w:spacing w:before="120" w:beforeLines="50"/>
        <w:jc w:val="center"/>
        <w:rPr>
          <w:rFonts w:ascii="宋体" w:hAnsi="宋体"/>
          <w:b/>
          <w:color w:val="000000"/>
          <w:sz w:val="44"/>
          <w:szCs w:val="44"/>
        </w:rPr>
      </w:pPr>
    </w:p>
    <w:p>
      <w:pPr>
        <w:spacing w:before="120" w:beforeLines="50"/>
        <w:jc w:val="center"/>
        <w:rPr>
          <w:rFonts w:ascii="宋体" w:hAnsi="宋体"/>
          <w:b/>
          <w:color w:val="000000"/>
          <w:sz w:val="44"/>
          <w:szCs w:val="44"/>
        </w:rPr>
      </w:pPr>
    </w:p>
    <w:p>
      <w:pPr>
        <w:spacing w:before="120" w:beforeLines="50"/>
        <w:jc w:val="center"/>
        <w:rPr>
          <w:rFonts w:ascii="宋体" w:hAnsi="宋体"/>
          <w:b/>
          <w:color w:val="000000"/>
          <w:sz w:val="44"/>
          <w:szCs w:val="44"/>
        </w:rPr>
      </w:pPr>
    </w:p>
    <w:p>
      <w:pPr>
        <w:spacing w:before="120" w:beforeLines="50"/>
        <w:jc w:val="center"/>
        <w:rPr>
          <w:rFonts w:ascii="宋体" w:hAnsi="宋体"/>
          <w:b/>
          <w:color w:val="000000"/>
          <w:sz w:val="44"/>
          <w:szCs w:val="44"/>
        </w:rPr>
      </w:pPr>
    </w:p>
    <w:p>
      <w:pPr>
        <w:spacing w:before="120" w:beforeLines="50" w:line="700" w:lineRule="exact"/>
        <w:jc w:val="left"/>
        <w:rPr>
          <w:rFonts w:ascii="宋体" w:hAnsi="宋体"/>
          <w:b/>
          <w:color w:val="000000"/>
          <w:sz w:val="36"/>
          <w:szCs w:val="36"/>
        </w:rPr>
      </w:pPr>
      <w:r>
        <w:rPr>
          <w:rFonts w:hint="eastAsia" w:ascii="宋体" w:hAnsi="宋体"/>
          <w:b/>
          <w:color w:val="000000"/>
          <w:sz w:val="36"/>
          <w:szCs w:val="36"/>
        </w:rPr>
        <w:t>项目编号：ZPGK2023-041</w:t>
      </w:r>
    </w:p>
    <w:p>
      <w:pPr>
        <w:spacing w:before="120" w:beforeLines="50" w:line="700" w:lineRule="exact"/>
        <w:jc w:val="left"/>
        <w:rPr>
          <w:rFonts w:hint="eastAsia" w:ascii="宋体" w:hAnsi="宋体"/>
          <w:b/>
          <w:color w:val="000000"/>
          <w:sz w:val="36"/>
          <w:szCs w:val="36"/>
        </w:rPr>
      </w:pPr>
      <w:r>
        <w:rPr>
          <w:rFonts w:hint="eastAsia" w:ascii="宋体" w:hAnsi="宋体"/>
          <w:b/>
          <w:color w:val="000000"/>
          <w:sz w:val="36"/>
          <w:szCs w:val="36"/>
        </w:rPr>
        <w:t>采 购 人：浦江县中医院</w:t>
      </w:r>
    </w:p>
    <w:p>
      <w:pPr>
        <w:spacing w:before="120" w:beforeLines="50" w:line="700" w:lineRule="exact"/>
        <w:jc w:val="left"/>
        <w:rPr>
          <w:rFonts w:ascii="宋体" w:hAnsi="宋体"/>
          <w:b/>
          <w:color w:val="000000"/>
          <w:sz w:val="36"/>
          <w:szCs w:val="36"/>
        </w:rPr>
      </w:pPr>
      <w:r>
        <w:rPr>
          <w:rFonts w:hint="eastAsia" w:ascii="宋体" w:hAnsi="宋体"/>
          <w:b/>
          <w:color w:val="000000"/>
          <w:sz w:val="36"/>
          <w:szCs w:val="36"/>
        </w:rPr>
        <w:t>集采机构：金华市公共资源交易中心浦江县分中心</w:t>
      </w:r>
    </w:p>
    <w:p>
      <w:pPr>
        <w:spacing w:before="120" w:beforeLines="50"/>
        <w:jc w:val="center"/>
        <w:rPr>
          <w:rFonts w:ascii="宋体" w:hAnsi="宋体"/>
          <w:b/>
          <w:color w:val="000000"/>
          <w:sz w:val="44"/>
          <w:szCs w:val="44"/>
        </w:rPr>
      </w:pPr>
    </w:p>
    <w:p>
      <w:pPr>
        <w:spacing w:before="120" w:beforeLines="50"/>
        <w:jc w:val="center"/>
        <w:rPr>
          <w:rFonts w:ascii="宋体" w:hAnsi="宋体"/>
          <w:b/>
          <w:color w:val="000000"/>
          <w:sz w:val="44"/>
          <w:szCs w:val="44"/>
        </w:rPr>
      </w:pPr>
      <w:r>
        <w:rPr>
          <w:rFonts w:hint="eastAsia" w:ascii="宋体" w:hAnsi="宋体"/>
          <w:b/>
          <w:color w:val="000000"/>
          <w:sz w:val="44"/>
          <w:szCs w:val="44"/>
        </w:rPr>
        <w:t>二〇二三年十一月</w:t>
      </w:r>
    </w:p>
    <w:p>
      <w:pPr>
        <w:spacing w:before="120" w:beforeLines="50"/>
        <w:jc w:val="center"/>
        <w:rPr>
          <w:rFonts w:hint="eastAsia" w:ascii="宋体" w:hAnsi="宋体"/>
          <w:b/>
          <w:color w:val="000000"/>
          <w:sz w:val="44"/>
          <w:szCs w:val="44"/>
        </w:rPr>
      </w:pPr>
    </w:p>
    <w:p>
      <w:pPr>
        <w:pStyle w:val="30"/>
        <w:numPr>
          <w:ilvl w:val="0"/>
          <w:numId w:val="0"/>
        </w:numPr>
        <w:tabs>
          <w:tab w:val="left" w:pos="1200"/>
        </w:tabs>
        <w:spacing w:before="120" w:after="120" w:line="360" w:lineRule="auto"/>
        <w:ind w:firstLine="3520" w:firstLineChars="800"/>
        <w:rPr>
          <w:rFonts w:hint="eastAsia" w:hAnsi="宋体"/>
          <w:color w:val="000000"/>
          <w:sz w:val="44"/>
          <w:szCs w:val="44"/>
        </w:rPr>
      </w:pPr>
    </w:p>
    <w:p>
      <w:pPr>
        <w:pStyle w:val="30"/>
        <w:numPr>
          <w:ilvl w:val="0"/>
          <w:numId w:val="0"/>
        </w:numPr>
        <w:tabs>
          <w:tab w:val="left" w:pos="1200"/>
        </w:tabs>
        <w:spacing w:before="120" w:after="120" w:line="360" w:lineRule="auto"/>
        <w:ind w:firstLine="3520" w:firstLineChars="800"/>
        <w:rPr>
          <w:rFonts w:hint="eastAsia" w:hAnsi="宋体"/>
          <w:color w:val="000000"/>
          <w:sz w:val="44"/>
          <w:szCs w:val="44"/>
        </w:rPr>
      </w:pPr>
      <w:r>
        <w:rPr>
          <w:rFonts w:hint="eastAsia" w:hAnsi="宋体"/>
          <w:color w:val="000000"/>
          <w:sz w:val="44"/>
          <w:szCs w:val="44"/>
        </w:rPr>
        <w:t>目    录</w:t>
      </w:r>
    </w:p>
    <w:p>
      <w:pPr>
        <w:numPr>
          <w:ilvl w:val="0"/>
          <w:numId w:val="8"/>
        </w:numPr>
        <w:spacing w:before="120" w:beforeLines="50" w:line="480" w:lineRule="exact"/>
        <w:rPr>
          <w:rFonts w:ascii="宋体" w:hAnsi="宋体"/>
          <w:color w:val="000000"/>
          <w:sz w:val="30"/>
          <w:szCs w:val="20"/>
        </w:rPr>
      </w:pPr>
      <w:r>
        <w:rPr>
          <w:rFonts w:hint="eastAsia" w:ascii="宋体" w:hAnsi="宋体"/>
          <w:color w:val="000000"/>
          <w:sz w:val="30"/>
        </w:rPr>
        <w:t>公开招标采购公告</w:t>
      </w:r>
    </w:p>
    <w:p>
      <w:pPr>
        <w:numPr>
          <w:ilvl w:val="0"/>
          <w:numId w:val="8"/>
        </w:numPr>
        <w:spacing w:before="120" w:beforeLines="50" w:line="480" w:lineRule="exact"/>
        <w:rPr>
          <w:rFonts w:ascii="宋体" w:hAnsi="宋体"/>
          <w:color w:val="000000"/>
          <w:sz w:val="30"/>
          <w:szCs w:val="20"/>
        </w:rPr>
      </w:pPr>
      <w:r>
        <w:rPr>
          <w:rFonts w:hint="eastAsia" w:ascii="宋体" w:hAnsi="宋体"/>
          <w:color w:val="000000"/>
          <w:sz w:val="30"/>
        </w:rPr>
        <w:t>采购需求</w:t>
      </w:r>
    </w:p>
    <w:p>
      <w:pPr>
        <w:numPr>
          <w:ilvl w:val="0"/>
          <w:numId w:val="8"/>
        </w:numPr>
        <w:spacing w:before="120" w:beforeLines="50" w:line="480" w:lineRule="exact"/>
        <w:rPr>
          <w:rFonts w:ascii="宋体" w:hAnsi="宋体"/>
          <w:color w:val="000000"/>
          <w:sz w:val="30"/>
          <w:szCs w:val="20"/>
        </w:rPr>
      </w:pPr>
      <w:r>
        <w:rPr>
          <w:rFonts w:hint="eastAsia" w:ascii="宋体" w:hAnsi="宋体"/>
          <w:color w:val="000000"/>
          <w:sz w:val="30"/>
        </w:rPr>
        <w:t>投标供应商须知</w:t>
      </w:r>
    </w:p>
    <w:p>
      <w:pPr>
        <w:numPr>
          <w:ilvl w:val="0"/>
          <w:numId w:val="8"/>
        </w:numPr>
        <w:spacing w:before="120" w:beforeLines="50" w:line="480" w:lineRule="exact"/>
        <w:rPr>
          <w:rFonts w:ascii="宋体" w:hAnsi="宋体"/>
          <w:color w:val="000000"/>
          <w:sz w:val="30"/>
          <w:szCs w:val="20"/>
        </w:rPr>
      </w:pPr>
      <w:r>
        <w:rPr>
          <w:rFonts w:hint="eastAsia" w:ascii="宋体" w:hAnsi="宋体"/>
          <w:color w:val="000000"/>
          <w:sz w:val="30"/>
        </w:rPr>
        <w:t>评标办法及评分标准</w:t>
      </w:r>
    </w:p>
    <w:p>
      <w:pPr>
        <w:numPr>
          <w:ilvl w:val="0"/>
          <w:numId w:val="8"/>
        </w:numPr>
        <w:spacing w:before="120" w:beforeLines="50" w:line="480" w:lineRule="exact"/>
        <w:rPr>
          <w:rFonts w:ascii="宋体" w:hAnsi="宋体"/>
          <w:color w:val="000000"/>
          <w:sz w:val="30"/>
          <w:szCs w:val="20"/>
        </w:rPr>
      </w:pPr>
      <w:r>
        <w:rPr>
          <w:rFonts w:hint="eastAsia" w:ascii="宋体" w:hAnsi="宋体"/>
          <w:color w:val="000000"/>
          <w:sz w:val="30"/>
        </w:rPr>
        <w:t>政府采购合同主要条款</w:t>
      </w:r>
    </w:p>
    <w:p>
      <w:pPr>
        <w:numPr>
          <w:ilvl w:val="0"/>
          <w:numId w:val="8"/>
        </w:numPr>
        <w:spacing w:before="120" w:beforeLines="50" w:line="480" w:lineRule="exact"/>
        <w:rPr>
          <w:rFonts w:ascii="宋体" w:hAnsi="宋体"/>
          <w:color w:val="000000"/>
          <w:sz w:val="30"/>
          <w:szCs w:val="20"/>
        </w:rPr>
      </w:pPr>
      <w:r>
        <w:rPr>
          <w:rFonts w:hint="eastAsia" w:ascii="宋体" w:hAnsi="宋体"/>
          <w:color w:val="000000"/>
          <w:sz w:val="30"/>
        </w:rPr>
        <w:t>投标文件格式</w:t>
      </w:r>
    </w:p>
    <w:p>
      <w:pPr>
        <w:pStyle w:val="30"/>
        <w:numPr>
          <w:ilvl w:val="0"/>
          <w:numId w:val="0"/>
        </w:numPr>
        <w:spacing w:before="120" w:after="120"/>
        <w:ind w:left="851"/>
        <w:rPr>
          <w:rFonts w:hint="eastAsia" w:hAnsi="宋体"/>
          <w:color w:val="000000"/>
        </w:rPr>
      </w:pPr>
    </w:p>
    <w:p>
      <w:pPr>
        <w:pStyle w:val="30"/>
        <w:numPr>
          <w:ilvl w:val="0"/>
          <w:numId w:val="0"/>
        </w:numPr>
        <w:spacing w:before="120" w:after="120"/>
        <w:ind w:left="851"/>
        <w:rPr>
          <w:rFonts w:hint="eastAsia" w:hAnsi="宋体"/>
          <w:color w:val="000000"/>
        </w:rPr>
      </w:pPr>
    </w:p>
    <w:p>
      <w:pPr>
        <w:pStyle w:val="30"/>
        <w:numPr>
          <w:ilvl w:val="0"/>
          <w:numId w:val="0"/>
        </w:numPr>
        <w:spacing w:before="120" w:after="120"/>
        <w:ind w:left="851"/>
        <w:rPr>
          <w:rFonts w:hint="eastAsia" w:hAnsi="宋体"/>
          <w:color w:val="000000"/>
        </w:rPr>
      </w:pPr>
    </w:p>
    <w:p>
      <w:pPr>
        <w:spacing w:line="360" w:lineRule="auto"/>
        <w:rPr>
          <w:rFonts w:ascii="宋体" w:hAnsi="宋体"/>
          <w:b/>
          <w:bCs/>
          <w:color w:val="000000"/>
          <w:sz w:val="30"/>
        </w:rPr>
      </w:pPr>
      <w:r>
        <w:rPr>
          <w:rFonts w:hint="eastAsia" w:ascii="宋体" w:hAnsi="宋体"/>
          <w:b/>
          <w:bCs/>
          <w:color w:val="000000"/>
          <w:sz w:val="30"/>
        </w:rPr>
        <w:t>温馨提示：</w:t>
      </w:r>
    </w:p>
    <w:p>
      <w:pPr>
        <w:spacing w:line="360" w:lineRule="auto"/>
        <w:rPr>
          <w:rFonts w:ascii="宋体" w:hAnsi="宋体"/>
          <w:bCs/>
          <w:color w:val="000000"/>
          <w:sz w:val="30"/>
        </w:rPr>
      </w:pPr>
      <w:r>
        <w:rPr>
          <w:rFonts w:ascii="宋体" w:hAnsi="宋体"/>
          <w:color w:val="000000"/>
          <w:sz w:val="30"/>
        </w:rPr>
        <w:t xml:space="preserve">        </w:t>
      </w:r>
      <w:r>
        <w:rPr>
          <w:rFonts w:hint="eastAsia" w:ascii="宋体" w:hAnsi="宋体"/>
          <w:bCs/>
          <w:color w:val="000000"/>
          <w:sz w:val="30"/>
        </w:rPr>
        <w:t>请认真阅读此采购文件，并按规定制作投标文件，否则我们的努力将是徒劳。</w:t>
      </w:r>
    </w:p>
    <w:p>
      <w:pPr>
        <w:spacing w:line="360" w:lineRule="auto"/>
        <w:ind w:firstLine="1200" w:firstLineChars="400"/>
        <w:rPr>
          <w:rFonts w:ascii="宋体" w:hAnsi="宋体"/>
          <w:bCs/>
          <w:color w:val="000000"/>
          <w:sz w:val="30"/>
        </w:rPr>
      </w:pPr>
      <w:r>
        <w:rPr>
          <w:rFonts w:hint="eastAsia" w:ascii="宋体" w:hAnsi="宋体"/>
          <w:bCs/>
          <w:color w:val="000000"/>
          <w:sz w:val="30"/>
        </w:rPr>
        <w:t>投标供应商不得向采购人、政府采购工作人员、评委行贿，违者一经查实，将列入政府采购黑名单！</w:t>
      </w:r>
    </w:p>
    <w:p>
      <w:pPr>
        <w:pStyle w:val="30"/>
        <w:numPr>
          <w:ilvl w:val="0"/>
          <w:numId w:val="0"/>
        </w:numPr>
        <w:tabs>
          <w:tab w:val="left" w:pos="1200"/>
        </w:tabs>
        <w:snapToGrid w:val="0"/>
        <w:spacing w:before="120" w:after="120" w:line="240" w:lineRule="auto"/>
        <w:outlineLvl w:val="0"/>
        <w:rPr>
          <w:rFonts w:hAnsi="宋体"/>
          <w:color w:val="000000"/>
          <w:sz w:val="30"/>
          <w:szCs w:val="30"/>
        </w:rPr>
        <w:sectPr>
          <w:headerReference r:id="rId3" w:type="first"/>
          <w:footerReference r:id="rId4" w:type="default"/>
          <w:footerReference r:id="rId5" w:type="even"/>
          <w:pgSz w:w="11906" w:h="16838"/>
          <w:pgMar w:top="1474" w:right="1134" w:bottom="1134" w:left="1361" w:header="851" w:footer="851" w:gutter="0"/>
          <w:cols w:space="720" w:num="1"/>
          <w:docGrid w:linePitch="312" w:charSpace="0"/>
        </w:sectPr>
      </w:pPr>
    </w:p>
    <w:p>
      <w:pPr>
        <w:pStyle w:val="30"/>
        <w:numPr>
          <w:ilvl w:val="0"/>
          <w:numId w:val="0"/>
        </w:numPr>
        <w:tabs>
          <w:tab w:val="left" w:pos="1200"/>
        </w:tabs>
        <w:snapToGrid w:val="0"/>
        <w:spacing w:before="120" w:after="120" w:line="240" w:lineRule="auto"/>
        <w:ind w:firstLine="2550" w:firstLineChars="850"/>
        <w:outlineLvl w:val="0"/>
        <w:rPr>
          <w:rFonts w:hint="eastAsia" w:hAnsi="宋体"/>
          <w:color w:val="000000"/>
          <w:sz w:val="30"/>
          <w:szCs w:val="30"/>
        </w:rPr>
      </w:pPr>
      <w:r>
        <w:rPr>
          <w:rFonts w:hint="eastAsia" w:hAnsi="宋体"/>
          <w:color w:val="000000"/>
          <w:sz w:val="30"/>
          <w:szCs w:val="30"/>
        </w:rPr>
        <w:t>第一章  公开招标采购公告</w:t>
      </w:r>
    </w:p>
    <w:p>
      <w:pPr>
        <w:ind w:right="-61" w:rightChars="-29" w:firstLine="480" w:firstLineChars="200"/>
        <w:jc w:val="left"/>
        <w:rPr>
          <w:rFonts w:ascii="宋体" w:hAnsi="宋体"/>
          <w:color w:val="000000"/>
          <w:sz w:val="24"/>
        </w:rPr>
      </w:pPr>
      <w:r>
        <w:rPr>
          <w:rFonts w:hint="eastAsia" w:ascii="宋体" w:hAnsi="宋体"/>
          <w:color w:val="000000"/>
          <w:sz w:val="24"/>
        </w:rPr>
        <w:t>根据</w:t>
      </w:r>
      <w:r>
        <w:rPr>
          <w:rFonts w:hint="eastAsia" w:ascii="宋体" w:hAnsi="宋体"/>
          <w:color w:val="000000"/>
          <w:sz w:val="24"/>
          <w:u w:val="single"/>
        </w:rPr>
        <w:t>《中华人民共和国政府采购法》、《中华人民共和国政府采购法实施条例》、《政府采购货物和服务招标投标管理办法》</w:t>
      </w:r>
      <w:r>
        <w:rPr>
          <w:rFonts w:hint="eastAsia" w:ascii="宋体" w:hAnsi="宋体"/>
          <w:color w:val="000000"/>
          <w:sz w:val="24"/>
        </w:rPr>
        <w:t>等规定，经浦江县财政局政府采购计划书</w:t>
      </w:r>
      <w:r>
        <w:rPr>
          <w:rFonts w:hint="eastAsia" w:ascii="宋体" w:hAnsi="宋体"/>
          <w:color w:val="000000"/>
          <w:sz w:val="24"/>
          <w:u w:val="single"/>
        </w:rPr>
        <w:t>36100420230083、36100420230080</w:t>
      </w:r>
      <w:r>
        <w:rPr>
          <w:rFonts w:hint="eastAsia" w:ascii="宋体" w:hAnsi="宋体"/>
          <w:color w:val="000000"/>
          <w:sz w:val="24"/>
          <w:u w:val="single"/>
        </w:rPr>
        <w:fldChar w:fldCharType="begin"/>
      </w:r>
      <w:r>
        <w:rPr>
          <w:rFonts w:hint="eastAsia" w:ascii="宋体" w:hAnsi="宋体"/>
          <w:color w:val="000000"/>
          <w:sz w:val="24"/>
          <w:u w:val="single"/>
        </w:rPr>
        <w:instrText xml:space="preserve"> HYPERLINK "https://pay.zcygov.cn/purchaseplan_front/" \l "/plan/list/view?id=1000000000010019563" \t "https://www.zcygov.cn/delegation-order/order/orderInfo/check/_blank" </w:instrText>
      </w:r>
      <w:r>
        <w:rPr>
          <w:rFonts w:hint="eastAsia" w:ascii="宋体" w:hAnsi="宋体"/>
          <w:color w:val="000000"/>
          <w:sz w:val="24"/>
          <w:u w:val="single"/>
        </w:rPr>
        <w:fldChar w:fldCharType="separate"/>
      </w:r>
      <w:r>
        <w:rPr>
          <w:rFonts w:hint="eastAsia" w:ascii="宋体" w:hAnsi="宋体"/>
          <w:color w:val="000000"/>
          <w:sz w:val="24"/>
          <w:u w:val="single"/>
        </w:rPr>
        <w:fldChar w:fldCharType="end"/>
      </w:r>
      <w:r>
        <w:rPr>
          <w:rFonts w:hint="eastAsia" w:ascii="宋体" w:hAnsi="宋体"/>
          <w:color w:val="000000"/>
          <w:sz w:val="24"/>
          <w:shd w:val="clear" w:color="auto" w:fill="FFFFFF"/>
        </w:rPr>
        <w:t>号</w:t>
      </w:r>
      <w:r>
        <w:rPr>
          <w:rFonts w:hint="eastAsia" w:ascii="宋体" w:hAnsi="宋体"/>
          <w:color w:val="000000"/>
          <w:sz w:val="24"/>
        </w:rPr>
        <w:t>批准，现就</w:t>
      </w:r>
      <w:r>
        <w:rPr>
          <w:rFonts w:hint="eastAsia" w:hAnsi="宋体"/>
          <w:b/>
          <w:bCs/>
          <w:color w:val="000000"/>
          <w:sz w:val="24"/>
        </w:rPr>
        <w:t>浦江县中医院新院区搬迁信息化与LED屏采购项目</w:t>
      </w:r>
      <w:r>
        <w:rPr>
          <w:rFonts w:ascii="宋体" w:hAnsi="宋体"/>
          <w:color w:val="000000"/>
          <w:sz w:val="24"/>
        </w:rPr>
        <w:t>进行公开招标采购，</w:t>
      </w:r>
      <w:r>
        <w:rPr>
          <w:rFonts w:hint="eastAsia" w:ascii="宋体" w:hAnsi="宋体"/>
          <w:color w:val="000000"/>
          <w:sz w:val="24"/>
        </w:rPr>
        <w:t>欢迎国内合格的供应商前来投标：</w:t>
      </w:r>
    </w:p>
    <w:p>
      <w:pPr>
        <w:snapToGrid w:val="0"/>
        <w:spacing w:line="360" w:lineRule="auto"/>
        <w:ind w:firstLine="482" w:firstLineChars="200"/>
        <w:rPr>
          <w:rFonts w:ascii="宋体" w:hAnsi="宋体" w:cs="Arial"/>
          <w:color w:val="000000"/>
          <w:sz w:val="24"/>
        </w:rPr>
      </w:pPr>
      <w:r>
        <w:rPr>
          <w:rFonts w:hint="eastAsia" w:ascii="宋体" w:hAnsi="宋体" w:cs="Arial"/>
          <w:b/>
          <w:bCs/>
          <w:color w:val="000000"/>
          <w:sz w:val="24"/>
        </w:rPr>
        <w:t>一、采购编号：ZPGK2023-041</w:t>
      </w:r>
    </w:p>
    <w:p>
      <w:pPr>
        <w:snapToGrid w:val="0"/>
        <w:spacing w:line="360" w:lineRule="auto"/>
        <w:ind w:firstLine="482" w:firstLineChars="200"/>
        <w:rPr>
          <w:rFonts w:hint="eastAsia" w:ascii="宋体" w:hAnsi="宋体" w:cs="Arial"/>
          <w:b/>
          <w:color w:val="000000"/>
          <w:sz w:val="24"/>
        </w:rPr>
      </w:pPr>
      <w:r>
        <w:rPr>
          <w:rFonts w:hint="eastAsia" w:ascii="宋体" w:hAnsi="宋体" w:cs="Arial"/>
          <w:b/>
          <w:color w:val="000000"/>
          <w:sz w:val="24"/>
        </w:rPr>
        <w:t>二、组织类型：政府集中采购-委托本级集采。</w:t>
      </w:r>
    </w:p>
    <w:p>
      <w:pPr>
        <w:snapToGrid w:val="0"/>
        <w:spacing w:line="360" w:lineRule="auto"/>
        <w:ind w:firstLine="482" w:firstLineChars="200"/>
        <w:rPr>
          <w:rFonts w:hint="eastAsia" w:ascii="宋体" w:hAnsi="宋体" w:cs="Arial"/>
          <w:b/>
          <w:color w:val="000000"/>
          <w:sz w:val="24"/>
        </w:rPr>
      </w:pPr>
      <w:r>
        <w:rPr>
          <w:rFonts w:hint="eastAsia" w:ascii="宋体" w:hAnsi="宋体" w:cs="Arial"/>
          <w:b/>
          <w:color w:val="000000"/>
          <w:sz w:val="24"/>
        </w:rPr>
        <w:t>三、采购方式：</w:t>
      </w:r>
      <w:r>
        <w:rPr>
          <w:rFonts w:hint="eastAsia" w:ascii="宋体" w:hAnsi="宋体" w:cs="Arial"/>
          <w:color w:val="000000"/>
          <w:sz w:val="24"/>
        </w:rPr>
        <w:t>公开招标</w:t>
      </w:r>
    </w:p>
    <w:p>
      <w:pPr>
        <w:adjustRightInd w:val="0"/>
        <w:snapToGrid w:val="0"/>
        <w:spacing w:line="360" w:lineRule="auto"/>
        <w:ind w:firstLine="482" w:firstLineChars="200"/>
        <w:rPr>
          <w:rFonts w:hint="eastAsia" w:ascii="宋体" w:hAnsi="宋体" w:cs="Arial"/>
          <w:b/>
          <w:bCs/>
          <w:color w:val="000000"/>
          <w:sz w:val="24"/>
        </w:rPr>
      </w:pPr>
      <w:r>
        <w:rPr>
          <w:rFonts w:hint="eastAsia" w:ascii="宋体" w:hAnsi="宋体" w:cs="Arial"/>
          <w:b/>
          <w:color w:val="000000"/>
          <w:sz w:val="24"/>
        </w:rPr>
        <w:t>四、</w:t>
      </w:r>
      <w:r>
        <w:rPr>
          <w:rFonts w:hint="eastAsia" w:ascii="宋体" w:hAnsi="宋体" w:cs="Arial"/>
          <w:b/>
          <w:bCs/>
          <w:color w:val="000000"/>
          <w:sz w:val="24"/>
        </w:rPr>
        <w:t>采购内容及数量</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937"/>
        <w:gridCol w:w="1358"/>
        <w:gridCol w:w="159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7" w:hRule="atLeast"/>
          <w:jc w:val="center"/>
        </w:trPr>
        <w:tc>
          <w:tcPr>
            <w:tcW w:w="1198" w:type="dxa"/>
            <w:noWrap w:val="0"/>
            <w:vAlign w:val="center"/>
          </w:tcPr>
          <w:p>
            <w:pPr>
              <w:jc w:val="center"/>
              <w:rPr>
                <w:rFonts w:ascii="宋体" w:hAnsi="宋体" w:cs="宋体"/>
                <w:b/>
                <w:color w:val="000000"/>
                <w:kern w:val="1"/>
                <w:sz w:val="24"/>
              </w:rPr>
            </w:pPr>
            <w:r>
              <w:rPr>
                <w:rFonts w:hint="eastAsia" w:ascii="宋体" w:hAnsi="宋体" w:cs="宋体"/>
                <w:b/>
                <w:color w:val="000000"/>
                <w:kern w:val="1"/>
                <w:sz w:val="24"/>
              </w:rPr>
              <w:t>标项</w:t>
            </w:r>
          </w:p>
        </w:tc>
        <w:tc>
          <w:tcPr>
            <w:tcW w:w="2937" w:type="dxa"/>
            <w:noWrap w:val="0"/>
            <w:vAlign w:val="center"/>
          </w:tcPr>
          <w:p>
            <w:pPr>
              <w:jc w:val="center"/>
              <w:rPr>
                <w:rFonts w:ascii="宋体" w:hAnsi="宋体" w:cs="宋体"/>
                <w:b/>
                <w:color w:val="000000"/>
                <w:kern w:val="1"/>
                <w:sz w:val="24"/>
              </w:rPr>
            </w:pPr>
            <w:r>
              <w:rPr>
                <w:rFonts w:hint="eastAsia" w:ascii="宋体" w:hAnsi="宋体" w:cs="宋体"/>
                <w:b/>
                <w:color w:val="000000"/>
                <w:kern w:val="1"/>
                <w:sz w:val="24"/>
              </w:rPr>
              <w:t>采购内容</w:t>
            </w:r>
          </w:p>
        </w:tc>
        <w:tc>
          <w:tcPr>
            <w:tcW w:w="1358" w:type="dxa"/>
            <w:noWrap w:val="0"/>
            <w:vAlign w:val="center"/>
          </w:tcPr>
          <w:p>
            <w:pPr>
              <w:ind w:right="-61" w:rightChars="-29"/>
              <w:jc w:val="center"/>
              <w:rPr>
                <w:rFonts w:ascii="宋体" w:hAnsi="宋体" w:cs="宋体"/>
                <w:b/>
                <w:color w:val="000000"/>
                <w:kern w:val="1"/>
                <w:sz w:val="24"/>
              </w:rPr>
            </w:pPr>
            <w:r>
              <w:rPr>
                <w:rFonts w:hint="eastAsia" w:ascii="宋体" w:hAnsi="宋体" w:cs="宋体"/>
                <w:b/>
                <w:color w:val="000000"/>
                <w:kern w:val="1"/>
                <w:sz w:val="24"/>
              </w:rPr>
              <w:t>数量</w:t>
            </w:r>
          </w:p>
        </w:tc>
        <w:tc>
          <w:tcPr>
            <w:tcW w:w="1595" w:type="dxa"/>
            <w:noWrap w:val="0"/>
            <w:vAlign w:val="center"/>
          </w:tcPr>
          <w:p>
            <w:pPr>
              <w:jc w:val="center"/>
              <w:rPr>
                <w:rFonts w:ascii="宋体" w:hAnsi="宋体" w:cs="宋体"/>
                <w:b/>
                <w:color w:val="000000"/>
                <w:kern w:val="1"/>
                <w:sz w:val="24"/>
              </w:rPr>
            </w:pPr>
            <w:r>
              <w:rPr>
                <w:rFonts w:hint="eastAsia" w:ascii="宋体" w:hAnsi="宋体" w:cs="宋体"/>
                <w:b/>
                <w:color w:val="000000"/>
                <w:kern w:val="1"/>
                <w:sz w:val="24"/>
              </w:rPr>
              <w:t>预算</w:t>
            </w:r>
          </w:p>
        </w:tc>
        <w:tc>
          <w:tcPr>
            <w:tcW w:w="2038" w:type="dxa"/>
            <w:noWrap w:val="0"/>
            <w:vAlign w:val="center"/>
          </w:tcPr>
          <w:p>
            <w:pPr>
              <w:jc w:val="center"/>
              <w:rPr>
                <w:rFonts w:hint="eastAsia" w:ascii="宋体" w:hAnsi="宋体"/>
                <w:color w:val="000000"/>
                <w:sz w:val="24"/>
              </w:rPr>
            </w:pPr>
            <w:r>
              <w:rPr>
                <w:rFonts w:hint="eastAsia" w:ascii="宋体" w:hAnsi="宋体" w:cs="宋体"/>
                <w:b/>
                <w:color w:val="000000"/>
                <w:kern w:val="1"/>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198" w:type="dxa"/>
            <w:noWrap w:val="0"/>
            <w:vAlign w:val="center"/>
          </w:tcPr>
          <w:p>
            <w:pPr>
              <w:jc w:val="center"/>
              <w:rPr>
                <w:rFonts w:hint="eastAsia" w:ascii="宋体" w:hAnsi="宋体"/>
                <w:b/>
                <w:color w:val="000000"/>
                <w:sz w:val="24"/>
              </w:rPr>
            </w:pPr>
            <w:r>
              <w:rPr>
                <w:rFonts w:hint="eastAsia" w:ascii="宋体" w:hAnsi="宋体"/>
                <w:b/>
                <w:color w:val="000000"/>
                <w:sz w:val="24"/>
              </w:rPr>
              <w:t>标项一</w:t>
            </w:r>
          </w:p>
        </w:tc>
        <w:tc>
          <w:tcPr>
            <w:tcW w:w="2937" w:type="dxa"/>
            <w:noWrap w:val="0"/>
            <w:vAlign w:val="center"/>
          </w:tcPr>
          <w:p>
            <w:pPr>
              <w:ind w:right="-61" w:rightChars="-29"/>
              <w:jc w:val="center"/>
              <w:rPr>
                <w:rFonts w:hint="eastAsia" w:ascii="宋体" w:hAnsi="宋体"/>
                <w:color w:val="000000"/>
                <w:sz w:val="24"/>
              </w:rPr>
            </w:pPr>
            <w:r>
              <w:rPr>
                <w:rFonts w:hint="eastAsia" w:ascii="宋体" w:hAnsi="宋体"/>
                <w:color w:val="000000"/>
                <w:sz w:val="24"/>
              </w:rPr>
              <w:t>浦江县中医院新院区搬迁信息化2023年建设</w:t>
            </w:r>
          </w:p>
        </w:tc>
        <w:tc>
          <w:tcPr>
            <w:tcW w:w="1358" w:type="dxa"/>
            <w:noWrap w:val="0"/>
            <w:vAlign w:val="center"/>
          </w:tcPr>
          <w:p>
            <w:pPr>
              <w:ind w:right="-61" w:rightChars="-29"/>
              <w:jc w:val="center"/>
              <w:rPr>
                <w:rFonts w:hint="eastAsia" w:ascii="宋体" w:hAnsi="宋体"/>
                <w:color w:val="000000"/>
                <w:sz w:val="24"/>
              </w:rPr>
            </w:pPr>
            <w:r>
              <w:rPr>
                <w:rFonts w:hint="eastAsia" w:ascii="宋体" w:hAnsi="宋体"/>
                <w:color w:val="000000"/>
                <w:sz w:val="24"/>
              </w:rPr>
              <w:t>1批</w:t>
            </w:r>
          </w:p>
        </w:tc>
        <w:tc>
          <w:tcPr>
            <w:tcW w:w="1595" w:type="dxa"/>
            <w:noWrap w:val="0"/>
            <w:vAlign w:val="center"/>
          </w:tcPr>
          <w:p>
            <w:pPr>
              <w:jc w:val="center"/>
              <w:rPr>
                <w:rFonts w:hint="eastAsia" w:ascii="宋体" w:hAnsi="宋体"/>
                <w:color w:val="000000"/>
                <w:sz w:val="24"/>
              </w:rPr>
            </w:pPr>
            <w:r>
              <w:rPr>
                <w:rFonts w:hint="eastAsia" w:ascii="宋体" w:hAnsi="宋体"/>
                <w:color w:val="000000"/>
                <w:sz w:val="24"/>
              </w:rPr>
              <w:t>1117.43万元</w:t>
            </w:r>
          </w:p>
        </w:tc>
        <w:tc>
          <w:tcPr>
            <w:tcW w:w="2038" w:type="dxa"/>
            <w:vMerge w:val="restart"/>
            <w:noWrap w:val="0"/>
            <w:vAlign w:val="center"/>
          </w:tcPr>
          <w:p>
            <w:pPr>
              <w:jc w:val="center"/>
              <w:rPr>
                <w:rFonts w:hint="eastAsia" w:ascii="宋体" w:hAnsi="宋体" w:cs="宋体"/>
                <w:b/>
                <w:color w:val="000000"/>
                <w:kern w:val="1"/>
                <w:sz w:val="24"/>
              </w:rPr>
            </w:pPr>
            <w:r>
              <w:rPr>
                <w:rFonts w:hint="eastAsia" w:hAnsi="宋体"/>
                <w:b/>
                <w:bCs/>
                <w:color w:val="000000"/>
                <w:sz w:val="24"/>
              </w:rPr>
              <w:t>浦江县中医院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198" w:type="dxa"/>
            <w:noWrap w:val="0"/>
            <w:vAlign w:val="center"/>
          </w:tcPr>
          <w:p>
            <w:pPr>
              <w:jc w:val="center"/>
              <w:rPr>
                <w:rFonts w:hint="eastAsia" w:ascii="宋体" w:hAnsi="宋体"/>
                <w:b/>
                <w:color w:val="000000"/>
                <w:sz w:val="24"/>
              </w:rPr>
            </w:pPr>
            <w:r>
              <w:rPr>
                <w:rFonts w:hint="eastAsia" w:ascii="宋体" w:hAnsi="宋体"/>
                <w:b/>
                <w:color w:val="000000"/>
                <w:sz w:val="24"/>
              </w:rPr>
              <w:t>标项二</w:t>
            </w:r>
          </w:p>
        </w:tc>
        <w:tc>
          <w:tcPr>
            <w:tcW w:w="2937" w:type="dxa"/>
            <w:noWrap w:val="0"/>
            <w:vAlign w:val="center"/>
          </w:tcPr>
          <w:p>
            <w:pPr>
              <w:ind w:right="-61" w:rightChars="-29"/>
              <w:jc w:val="center"/>
              <w:rPr>
                <w:rFonts w:hint="eastAsia" w:ascii="宋体" w:hAnsi="宋体"/>
                <w:color w:val="000000"/>
                <w:sz w:val="24"/>
              </w:rPr>
            </w:pPr>
            <w:r>
              <w:rPr>
                <w:rFonts w:hint="eastAsia" w:ascii="宋体" w:hAnsi="宋体"/>
                <w:color w:val="000000"/>
                <w:sz w:val="24"/>
              </w:rPr>
              <w:t>浦江县中医院新院区LED屏2023年建设项目</w:t>
            </w:r>
          </w:p>
        </w:tc>
        <w:tc>
          <w:tcPr>
            <w:tcW w:w="1358" w:type="dxa"/>
            <w:noWrap w:val="0"/>
            <w:vAlign w:val="center"/>
          </w:tcPr>
          <w:p>
            <w:pPr>
              <w:ind w:right="-61" w:rightChars="-29"/>
              <w:jc w:val="center"/>
              <w:rPr>
                <w:rFonts w:hint="eastAsia" w:ascii="宋体" w:hAnsi="宋体"/>
                <w:color w:val="000000"/>
                <w:sz w:val="24"/>
              </w:rPr>
            </w:pPr>
            <w:r>
              <w:rPr>
                <w:rFonts w:hint="eastAsia" w:ascii="宋体" w:hAnsi="宋体"/>
                <w:color w:val="000000"/>
                <w:sz w:val="24"/>
              </w:rPr>
              <w:t>1批</w:t>
            </w:r>
          </w:p>
        </w:tc>
        <w:tc>
          <w:tcPr>
            <w:tcW w:w="1595" w:type="dxa"/>
            <w:noWrap w:val="0"/>
            <w:vAlign w:val="center"/>
          </w:tcPr>
          <w:p>
            <w:pPr>
              <w:jc w:val="center"/>
              <w:rPr>
                <w:rFonts w:hint="eastAsia" w:ascii="宋体" w:hAnsi="宋体"/>
                <w:color w:val="000000"/>
                <w:sz w:val="24"/>
              </w:rPr>
            </w:pPr>
            <w:r>
              <w:rPr>
                <w:rFonts w:hint="eastAsia" w:ascii="宋体" w:hAnsi="宋体"/>
                <w:color w:val="000000"/>
                <w:sz w:val="24"/>
              </w:rPr>
              <w:t>76.03万元</w:t>
            </w:r>
          </w:p>
        </w:tc>
        <w:tc>
          <w:tcPr>
            <w:tcW w:w="2038" w:type="dxa"/>
            <w:vMerge w:val="continue"/>
            <w:noWrap w:val="0"/>
            <w:vAlign w:val="center"/>
          </w:tcPr>
          <w:p>
            <w:pPr>
              <w:jc w:val="center"/>
              <w:rPr>
                <w:rFonts w:hint="eastAsia" w:hAnsi="宋体"/>
                <w:b/>
                <w:bCs/>
                <w:color w:val="000000"/>
                <w:sz w:val="24"/>
              </w:rPr>
            </w:pPr>
          </w:p>
        </w:tc>
      </w:tr>
    </w:tbl>
    <w:p>
      <w:pPr>
        <w:snapToGrid w:val="0"/>
        <w:spacing w:line="360" w:lineRule="auto"/>
        <w:ind w:firstLine="482" w:firstLineChars="200"/>
        <w:rPr>
          <w:rFonts w:hint="eastAsia" w:ascii="宋体" w:hAnsi="宋体" w:cs="Arial"/>
          <w:b/>
          <w:color w:val="000000"/>
          <w:sz w:val="24"/>
        </w:rPr>
      </w:pPr>
      <w:r>
        <w:rPr>
          <w:rFonts w:hint="eastAsia" w:ascii="宋体" w:hAnsi="宋体" w:cs="Arial"/>
          <w:b/>
          <w:color w:val="000000"/>
          <w:sz w:val="24"/>
        </w:rPr>
        <w:t>本项目共计两个标段，总预算金额为1193.46万元，投标供应商的报价不得超出各个标项的预算，否则做无效处理。</w:t>
      </w:r>
    </w:p>
    <w:p>
      <w:pPr>
        <w:spacing w:line="360" w:lineRule="auto"/>
        <w:ind w:firstLine="482" w:firstLineChars="200"/>
        <w:rPr>
          <w:rFonts w:ascii="宋体" w:hAnsi="宋体" w:cs="宋体"/>
          <w:b/>
          <w:color w:val="000000"/>
          <w:sz w:val="24"/>
        </w:rPr>
      </w:pPr>
      <w:r>
        <w:rPr>
          <w:rFonts w:hint="eastAsia" w:ascii="宋体" w:hAnsi="宋体" w:cs="Arial"/>
          <w:b/>
          <w:color w:val="000000"/>
          <w:sz w:val="24"/>
        </w:rPr>
        <w:t>五</w:t>
      </w:r>
      <w:r>
        <w:rPr>
          <w:rFonts w:hint="eastAsia" w:ascii="宋体" w:hAnsi="宋体" w:cs="Arial"/>
          <w:color w:val="000000"/>
          <w:sz w:val="24"/>
        </w:rPr>
        <w:t>、</w:t>
      </w:r>
      <w:r>
        <w:rPr>
          <w:rFonts w:hint="eastAsia" w:ascii="宋体" w:hAnsi="宋体" w:cs="Arial"/>
          <w:b/>
          <w:bCs/>
          <w:color w:val="000000"/>
          <w:sz w:val="24"/>
        </w:rPr>
        <w:t>合格投标供应商的资格要求</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标项一、标项二：</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1、符合《中华人民共和国政府采购法》第二十二条的要求；</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w:t>
      </w:r>
      <w:r>
        <w:rPr>
          <w:rFonts w:ascii="宋体" w:hAnsi="宋体" w:cs="宋体"/>
          <w:b/>
          <w:color w:val="000000"/>
          <w:sz w:val="24"/>
        </w:rPr>
        <w:t>根据财库[2016]125号文件，通过“信用中国”网站（www.creditchina.gov.cn）、中国政府采购网（www.ccgp.gov.cn）</w:t>
      </w:r>
      <w:r>
        <w:rPr>
          <w:rFonts w:hint="eastAsia" w:ascii="宋体" w:hAnsi="宋体" w:cs="宋体"/>
          <w:b/>
          <w:color w:val="000000"/>
          <w:sz w:val="24"/>
        </w:rPr>
        <w:t>对投标供应商进行查询</w:t>
      </w:r>
      <w:r>
        <w:rPr>
          <w:rFonts w:ascii="宋体" w:hAnsi="宋体" w:cs="宋体"/>
          <w:b/>
          <w:color w:val="000000"/>
          <w:sz w:val="24"/>
        </w:rPr>
        <w:t>，对列入失信被执行人、重大税收违法案件当事人名单、政府采购严重违法失信行为记录名单的</w:t>
      </w:r>
      <w:r>
        <w:rPr>
          <w:rFonts w:hint="eastAsia" w:ascii="宋体" w:hAnsi="宋体" w:cs="宋体"/>
          <w:b/>
          <w:color w:val="000000"/>
          <w:sz w:val="24"/>
        </w:rPr>
        <w:t>投标供应商</w:t>
      </w:r>
      <w:r>
        <w:rPr>
          <w:rFonts w:ascii="宋体" w:hAnsi="宋体" w:cs="宋体"/>
          <w:b/>
          <w:color w:val="000000"/>
          <w:sz w:val="24"/>
        </w:rPr>
        <w:t>，其投标将作无效标处理</w:t>
      </w:r>
      <w:r>
        <w:rPr>
          <w:rFonts w:hint="eastAsia" w:ascii="宋体" w:hAnsi="宋体" w:cs="宋体"/>
          <w:b/>
          <w:color w:val="000000"/>
          <w:sz w:val="24"/>
        </w:rPr>
        <w:t>，</w:t>
      </w:r>
      <w:r>
        <w:rPr>
          <w:rFonts w:ascii="宋体" w:hAnsi="宋体" w:cs="宋体"/>
          <w:b/>
          <w:color w:val="000000"/>
          <w:sz w:val="24"/>
        </w:rPr>
        <w:t>以开标当日网页查询记录为准。</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3、本项目不得转包，谢绝联合体投标。</w:t>
      </w:r>
    </w:p>
    <w:p/>
    <w:p>
      <w:pPr>
        <w:snapToGrid w:val="0"/>
        <w:spacing w:line="360" w:lineRule="auto"/>
        <w:ind w:firstLine="542" w:firstLineChars="225"/>
        <w:rPr>
          <w:rFonts w:ascii="宋体" w:hAnsi="宋体" w:cs="Arial"/>
          <w:color w:val="000000"/>
          <w:sz w:val="24"/>
        </w:rPr>
      </w:pPr>
      <w:r>
        <w:rPr>
          <w:rFonts w:hint="eastAsia" w:ascii="宋体" w:hAnsi="宋体" w:cs="Arial"/>
          <w:b/>
          <w:bCs/>
          <w:color w:val="000000"/>
          <w:sz w:val="24"/>
        </w:rPr>
        <w:t>六、采购文件的集中获取</w:t>
      </w:r>
      <w:r>
        <w:rPr>
          <w:rFonts w:hint="eastAsia" w:ascii="宋体" w:hAnsi="宋体" w:cs="Arial"/>
          <w:color w:val="000000"/>
          <w:sz w:val="24"/>
        </w:rPr>
        <w:t>：</w:t>
      </w:r>
    </w:p>
    <w:p>
      <w:pPr>
        <w:snapToGrid w:val="0"/>
        <w:spacing w:line="360" w:lineRule="auto"/>
        <w:ind w:firstLine="540" w:firstLineChars="225"/>
        <w:rPr>
          <w:rFonts w:ascii="宋体" w:hAnsi="宋体"/>
          <w:color w:val="000000"/>
          <w:sz w:val="24"/>
        </w:rPr>
      </w:pPr>
      <w:r>
        <w:rPr>
          <w:rFonts w:ascii="宋体" w:hAnsi="宋体"/>
          <w:color w:val="000000"/>
          <w:sz w:val="24"/>
        </w:rPr>
        <w:t>1.</w:t>
      </w:r>
      <w:r>
        <w:rPr>
          <w:rFonts w:hint="eastAsia" w:ascii="宋体" w:hAnsi="宋体"/>
          <w:color w:val="000000"/>
          <w:sz w:val="24"/>
        </w:rPr>
        <w:t>集中</w:t>
      </w:r>
      <w:r>
        <w:rPr>
          <w:rFonts w:ascii="宋体" w:hAnsi="宋体"/>
          <w:color w:val="000000"/>
          <w:sz w:val="24"/>
        </w:rPr>
        <w:t xml:space="preserve">获取时间：本项目采购文件公告期为自本公告发布之日起至第6个工作日24时。 </w:t>
      </w:r>
    </w:p>
    <w:p>
      <w:pPr>
        <w:snapToGrid w:val="0"/>
        <w:spacing w:line="360" w:lineRule="auto"/>
        <w:ind w:firstLine="540" w:firstLineChars="225"/>
        <w:rPr>
          <w:rFonts w:ascii="宋体" w:hAnsi="宋体"/>
          <w:b/>
          <w:bCs/>
          <w:color w:val="000000"/>
          <w:sz w:val="24"/>
        </w:rPr>
      </w:pPr>
      <w:r>
        <w:rPr>
          <w:rFonts w:ascii="宋体" w:hAnsi="宋体"/>
          <w:color w:val="000000"/>
          <w:sz w:val="24"/>
        </w:rPr>
        <w:t>2.获取方式：</w:t>
      </w:r>
      <w:r>
        <w:rPr>
          <w:rFonts w:hint="eastAsia" w:ascii="宋体" w:hAnsi="宋体"/>
          <w:color w:val="000000"/>
          <w:sz w:val="24"/>
        </w:rPr>
        <w:t>请各潜在投标供应商应按照浙江省政府采购网（http://zfcg.czt.zj.gov.cn/）上所</w:t>
      </w:r>
      <w:r>
        <w:rPr>
          <w:rFonts w:hint="eastAsia" w:ascii="宋体" w:hAnsi="宋体"/>
          <w:b/>
          <w:bCs/>
          <w:color w:val="000000"/>
          <w:sz w:val="24"/>
        </w:rPr>
        <w:t>提示的方式免费获取采购文件。</w:t>
      </w:r>
    </w:p>
    <w:p>
      <w:pPr>
        <w:snapToGrid w:val="0"/>
        <w:spacing w:line="360" w:lineRule="auto"/>
        <w:ind w:firstLine="540" w:firstLineChars="225"/>
        <w:rPr>
          <w:rFonts w:hint="eastAsia" w:ascii="宋体" w:hAnsi="宋体" w:cs="Arial"/>
          <w:color w:val="000000"/>
          <w:sz w:val="24"/>
        </w:rPr>
      </w:pPr>
      <w:r>
        <w:rPr>
          <w:rFonts w:ascii="宋体" w:hAnsi="宋体" w:cs="Arial"/>
          <w:color w:val="000000"/>
          <w:sz w:val="24"/>
        </w:rPr>
        <w:t>3</w:t>
      </w:r>
      <w:r>
        <w:rPr>
          <w:rFonts w:hint="eastAsia" w:ascii="宋体" w:hAnsi="宋体" w:cs="Arial"/>
          <w:color w:val="000000"/>
          <w:sz w:val="24"/>
        </w:rPr>
        <w:t>.</w:t>
      </w:r>
      <w:r>
        <w:rPr>
          <w:rFonts w:ascii="宋体" w:hAnsi="宋体" w:cs="Arial"/>
          <w:color w:val="000000"/>
          <w:sz w:val="24"/>
        </w:rPr>
        <w:t>售价：</w:t>
      </w:r>
      <w:r>
        <w:rPr>
          <w:rFonts w:hint="eastAsia" w:ascii="宋体" w:hAnsi="宋体" w:cs="Arial"/>
          <w:color w:val="000000"/>
          <w:sz w:val="24"/>
        </w:rPr>
        <w:t>免费。</w:t>
      </w:r>
    </w:p>
    <w:p>
      <w:pPr>
        <w:snapToGrid w:val="0"/>
        <w:spacing w:line="360" w:lineRule="auto"/>
        <w:ind w:firstLine="540" w:firstLineChars="225"/>
        <w:rPr>
          <w:rFonts w:ascii="宋体" w:hAnsi="宋体" w:cs="Arial"/>
          <w:color w:val="000000"/>
          <w:sz w:val="24"/>
        </w:rPr>
      </w:pPr>
    </w:p>
    <w:p>
      <w:pPr>
        <w:pStyle w:val="33"/>
        <w:spacing w:line="276" w:lineRule="auto"/>
        <w:ind w:firstLine="588" w:firstLineChars="244"/>
        <w:rPr>
          <w:rFonts w:hint="eastAsia" w:ascii="宋体" w:cs="Times New Roman"/>
        </w:rPr>
      </w:pPr>
      <w:r>
        <w:rPr>
          <w:rFonts w:ascii="宋体" w:cs="Times New Roman"/>
        </w:rPr>
        <w:t>注意：1、本项目实行电子投标，网上获取采购文件，请各潜在</w:t>
      </w:r>
      <w:r>
        <w:rPr>
          <w:rFonts w:hint="eastAsia" w:ascii="宋体" w:cs="Times New Roman"/>
        </w:rPr>
        <w:t>投标供应商</w:t>
      </w:r>
      <w:r>
        <w:rPr>
          <w:rFonts w:ascii="宋体" w:cs="Times New Roman"/>
        </w:rPr>
        <w:t>尽早注册成为政采云用户，</w:t>
      </w:r>
      <w:r>
        <w:rPr>
          <w:rFonts w:hint="eastAsia" w:ascii="宋体" w:cs="Times New Roman"/>
        </w:rPr>
        <w:t>并</w:t>
      </w:r>
      <w:r>
        <w:rPr>
          <w:rFonts w:ascii="宋体" w:cs="Times New Roman"/>
        </w:rPr>
        <w:t>登录获取（注册流程详见：</w:t>
      </w:r>
      <w:r>
        <w:rPr>
          <w:rFonts w:ascii="宋体" w:cs="Times New Roman"/>
        </w:rPr>
        <w:fldChar w:fldCharType="begin"/>
      </w:r>
      <w:r>
        <w:rPr>
          <w:rFonts w:ascii="宋体" w:cs="Times New Roman"/>
        </w:rPr>
        <w:instrText xml:space="preserve"> HYPERLINK "http://zfcg.czt.zj.gov.cn/register/2017-07-24/6728.html?" </w:instrText>
      </w:r>
      <w:r>
        <w:rPr>
          <w:rFonts w:ascii="宋体" w:cs="Times New Roman"/>
        </w:rPr>
        <w:fldChar w:fldCharType="separate"/>
      </w:r>
      <w:r>
        <w:rPr>
          <w:rFonts w:ascii="宋体"/>
        </w:rPr>
        <w:t>http://zfcg.czt.zj.gov.cn/register/2017-07-24/6728.html?</w:t>
      </w:r>
      <w:r>
        <w:rPr>
          <w:rFonts w:ascii="宋体" w:cs="Times New Roman"/>
        </w:rPr>
        <w:fldChar w:fldCharType="end"/>
      </w:r>
      <w:r>
        <w:rPr>
          <w:rFonts w:ascii="宋体" w:cs="Times New Roman"/>
        </w:rPr>
        <w:t>），如在注册过程当中遇到问题需咨询的，请拨打</w:t>
      </w:r>
      <w:r>
        <w:rPr>
          <w:rFonts w:hint="eastAsia" w:ascii="宋体" w:cs="Times New Roman"/>
        </w:rPr>
        <w:t>95763</w:t>
      </w:r>
      <w:r>
        <w:rPr>
          <w:rFonts w:ascii="宋体" w:cs="Times New Roman"/>
        </w:rPr>
        <w:t>。</w:t>
      </w:r>
    </w:p>
    <w:p>
      <w:pPr>
        <w:pStyle w:val="33"/>
        <w:spacing w:line="276" w:lineRule="auto"/>
        <w:ind w:firstLine="588" w:firstLineChars="244"/>
        <w:rPr>
          <w:rFonts w:ascii="宋体" w:cs="Times New Roman"/>
        </w:rPr>
      </w:pPr>
      <w:r>
        <w:rPr>
          <w:rFonts w:hint="eastAsia" w:ascii="宋体" w:cs="Times New Roman"/>
        </w:rPr>
        <w:t>2</w:t>
      </w:r>
      <w:r>
        <w:rPr>
          <w:rFonts w:ascii="宋体" w:cs="Times New Roman"/>
        </w:rPr>
        <w:t>、网上获取采购文件流程：项目采购—获取采购文件—申请获取采购文件</w:t>
      </w:r>
    </w:p>
    <w:p>
      <w:pPr>
        <w:pStyle w:val="33"/>
        <w:spacing w:line="360" w:lineRule="auto"/>
        <w:ind w:firstLine="588" w:firstLineChars="244"/>
        <w:rPr>
          <w:rFonts w:ascii="宋体" w:cs="Times New Roman"/>
          <w:bCs w:val="0"/>
          <w:u w:val="single"/>
        </w:rPr>
      </w:pPr>
      <w:r>
        <w:rPr>
          <w:rFonts w:hint="eastAsia" w:ascii="宋体" w:cs="Times New Roman"/>
        </w:rPr>
        <w:t>3</w:t>
      </w:r>
      <w:r>
        <w:rPr>
          <w:rFonts w:ascii="宋体" w:cs="Times New Roman"/>
        </w:rPr>
        <w:t>、</w:t>
      </w:r>
      <w:r>
        <w:rPr>
          <w:rFonts w:hint="eastAsia" w:ascii="宋体" w:cs="Times New Roman"/>
        </w:rPr>
        <w:t>采购</w:t>
      </w:r>
      <w:r>
        <w:rPr>
          <w:rFonts w:ascii="宋体" w:cs="Times New Roman"/>
        </w:rPr>
        <w:t>文件集中获取截止时间后至投标截止时间前允许潜在</w:t>
      </w:r>
      <w:r>
        <w:rPr>
          <w:rFonts w:hint="eastAsia" w:ascii="宋体" w:cs="Times New Roman"/>
        </w:rPr>
        <w:t>投标供应商</w:t>
      </w:r>
      <w:r>
        <w:rPr>
          <w:rFonts w:ascii="宋体" w:cs="Times New Roman"/>
        </w:rPr>
        <w:t>前来</w:t>
      </w:r>
      <w:r>
        <w:rPr>
          <w:rFonts w:hint="eastAsia" w:ascii="宋体" w:cs="Times New Roman"/>
        </w:rPr>
        <w:t>获取采购</w:t>
      </w:r>
      <w:r>
        <w:rPr>
          <w:rFonts w:ascii="宋体" w:cs="Times New Roman"/>
        </w:rPr>
        <w:t>文件。</w:t>
      </w:r>
    </w:p>
    <w:p>
      <w:pPr>
        <w:snapToGrid w:val="0"/>
        <w:ind w:firstLine="480" w:firstLineChars="200"/>
        <w:rPr>
          <w:rFonts w:hint="eastAsia" w:ascii="宋体" w:hAnsi="宋体" w:cs="Arial"/>
          <w:color w:val="000000"/>
          <w:sz w:val="24"/>
        </w:rPr>
      </w:pPr>
    </w:p>
    <w:p>
      <w:pPr>
        <w:snapToGrid w:val="0"/>
        <w:ind w:firstLine="482" w:firstLineChars="200"/>
        <w:rPr>
          <w:rFonts w:ascii="宋体" w:hAnsi="宋体" w:cs="Arial"/>
          <w:color w:val="000000"/>
          <w:sz w:val="24"/>
        </w:rPr>
      </w:pPr>
      <w:r>
        <w:rPr>
          <w:rFonts w:hint="eastAsia" w:ascii="宋体" w:hAnsi="宋体" w:cs="Arial"/>
          <w:b/>
          <w:bCs/>
          <w:color w:val="000000"/>
          <w:sz w:val="24"/>
        </w:rPr>
        <w:t>七、保证金</w:t>
      </w:r>
      <w:r>
        <w:rPr>
          <w:rFonts w:hint="eastAsia" w:ascii="宋体" w:hAnsi="宋体" w:cs="Arial"/>
          <w:color w:val="000000"/>
          <w:sz w:val="24"/>
        </w:rPr>
        <w:t>：</w:t>
      </w:r>
    </w:p>
    <w:p>
      <w:pPr>
        <w:snapToGrid w:val="0"/>
        <w:ind w:firstLine="480" w:firstLineChars="200"/>
        <w:rPr>
          <w:rFonts w:hint="eastAsia" w:ascii="宋体" w:hAnsi="宋体" w:cs="Arial"/>
          <w:color w:val="000000"/>
          <w:sz w:val="24"/>
        </w:rPr>
      </w:pPr>
      <w:r>
        <w:rPr>
          <w:rFonts w:hint="eastAsia" w:ascii="宋体" w:hAnsi="宋体" w:cs="Arial"/>
          <w:color w:val="000000"/>
          <w:sz w:val="24"/>
        </w:rPr>
        <w:t>本项目标项一、标项二不收取投标保证金。</w:t>
      </w:r>
    </w:p>
    <w:p>
      <w:pPr>
        <w:snapToGrid w:val="0"/>
        <w:ind w:firstLine="480" w:firstLineChars="200"/>
        <w:rPr>
          <w:color w:val="000000"/>
          <w:sz w:val="24"/>
        </w:rPr>
      </w:pPr>
      <w:r>
        <w:rPr>
          <w:rFonts w:hint="eastAsia" w:hAnsi="宋体" w:cs="Arial"/>
          <w:color w:val="000000"/>
          <w:sz w:val="24"/>
        </w:rPr>
        <w:t>本项目标项一、标项二不收取履约保证金。</w:t>
      </w:r>
    </w:p>
    <w:p>
      <w:pPr>
        <w:snapToGrid w:val="0"/>
        <w:ind w:firstLine="480" w:firstLineChars="200"/>
        <w:rPr>
          <w:rFonts w:hint="eastAsia" w:ascii="宋体" w:hAnsi="宋体" w:cs="Arial"/>
          <w:color w:val="000000"/>
          <w:sz w:val="24"/>
        </w:rPr>
      </w:pPr>
    </w:p>
    <w:p>
      <w:pPr>
        <w:snapToGrid w:val="0"/>
        <w:ind w:firstLine="480" w:firstLineChars="200"/>
        <w:rPr>
          <w:rFonts w:hint="eastAsia" w:ascii="宋体" w:hAnsi="宋体" w:cs="Arial"/>
          <w:color w:val="000000"/>
          <w:sz w:val="24"/>
        </w:rPr>
      </w:pPr>
    </w:p>
    <w:p>
      <w:pPr>
        <w:snapToGrid w:val="0"/>
        <w:ind w:firstLine="482" w:firstLineChars="200"/>
        <w:jc w:val="left"/>
        <w:rPr>
          <w:rFonts w:ascii="宋体" w:hAnsi="宋体" w:cs="Arial"/>
          <w:color w:val="000000"/>
          <w:sz w:val="24"/>
        </w:rPr>
      </w:pPr>
      <w:r>
        <w:rPr>
          <w:rFonts w:hint="eastAsia" w:ascii="宋体" w:hAnsi="宋体" w:cs="Arial"/>
          <w:b/>
          <w:bCs/>
          <w:color w:val="000000"/>
          <w:sz w:val="24"/>
        </w:rPr>
        <w:t>八、投标截止时间和地点</w:t>
      </w:r>
      <w:r>
        <w:rPr>
          <w:rFonts w:hint="eastAsia" w:ascii="宋体" w:hAnsi="宋体" w:cs="Arial"/>
          <w:color w:val="000000"/>
          <w:sz w:val="24"/>
        </w:rPr>
        <w:t>：</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投标供应商</w:t>
      </w:r>
      <w:r>
        <w:rPr>
          <w:rFonts w:ascii="宋体" w:hAnsi="宋体"/>
          <w:color w:val="000000"/>
          <w:sz w:val="24"/>
        </w:rPr>
        <w:t>应于</w:t>
      </w:r>
      <w:r>
        <w:rPr>
          <w:rFonts w:hint="eastAsia" w:ascii="宋体" w:hAnsi="宋体"/>
          <w:color w:val="000000"/>
          <w:sz w:val="24"/>
          <w:u w:val="single"/>
        </w:rPr>
        <w:t xml:space="preserve"> 2023年12月20日9：30 时</w:t>
      </w:r>
      <w:r>
        <w:rPr>
          <w:rFonts w:ascii="宋体" w:hAnsi="宋体"/>
          <w:color w:val="000000"/>
          <w:sz w:val="24"/>
        </w:rPr>
        <w:t>（时间）前</w:t>
      </w:r>
      <w:r>
        <w:rPr>
          <w:rFonts w:ascii="宋体" w:hAnsi="宋体"/>
          <w:b/>
          <w:color w:val="000000"/>
          <w:sz w:val="24"/>
        </w:rPr>
        <w:t>将电子加密标书上传到“政采云”平台，</w:t>
      </w:r>
      <w:r>
        <w:rPr>
          <w:rFonts w:ascii="宋体" w:hAnsi="宋体"/>
          <w:color w:val="000000"/>
          <w:sz w:val="24"/>
        </w:rPr>
        <w:t>并应于</w:t>
      </w:r>
      <w:r>
        <w:rPr>
          <w:rFonts w:hint="eastAsia" w:ascii="宋体" w:hAnsi="宋体"/>
          <w:color w:val="000000"/>
          <w:sz w:val="24"/>
          <w:u w:val="single"/>
        </w:rPr>
        <w:t>2023年12月20日9：30 时</w:t>
      </w:r>
      <w:r>
        <w:rPr>
          <w:rFonts w:ascii="宋体" w:hAnsi="宋体"/>
          <w:color w:val="000000"/>
          <w:sz w:val="24"/>
        </w:rPr>
        <w:t>（时间）前，将以U盘或DVD光盘存储的电子备份投标文件密封，寄送至</w:t>
      </w:r>
      <w:r>
        <w:rPr>
          <w:rFonts w:ascii="宋体" w:hAnsi="宋体"/>
          <w:color w:val="000000"/>
          <w:sz w:val="24"/>
          <w:u w:val="single"/>
        </w:rPr>
        <w:t>浦江县人民东路83号三楼开标室（地点）</w:t>
      </w:r>
      <w:r>
        <w:rPr>
          <w:rFonts w:ascii="宋体" w:hAnsi="宋体"/>
          <w:color w:val="000000"/>
          <w:sz w:val="24"/>
        </w:rPr>
        <w:t>，逾期送达、未按指定地点送达或未密封将予以拒收。</w:t>
      </w:r>
      <w:r>
        <w:rPr>
          <w:rFonts w:ascii="宋体" w:hAnsi="宋体"/>
          <w:b/>
          <w:color w:val="000000"/>
          <w:sz w:val="24"/>
        </w:rPr>
        <w:t>电子备份投标文件的提交不作强制要求。</w:t>
      </w:r>
    </w:p>
    <w:p>
      <w:pPr>
        <w:adjustRightInd w:val="0"/>
        <w:snapToGrid w:val="0"/>
        <w:spacing w:line="400" w:lineRule="atLeast"/>
        <w:ind w:firstLine="482" w:firstLineChars="200"/>
        <w:rPr>
          <w:rFonts w:hint="eastAsia" w:ascii="宋体" w:hAnsi="宋体"/>
          <w:color w:val="000000"/>
          <w:sz w:val="24"/>
        </w:rPr>
      </w:pPr>
      <w:r>
        <w:rPr>
          <w:rFonts w:ascii="宋体" w:hAnsi="宋体"/>
          <w:b/>
          <w:bCs/>
          <w:color w:val="000000"/>
          <w:sz w:val="24"/>
        </w:rPr>
        <w:t>注意</w:t>
      </w:r>
      <w:r>
        <w:rPr>
          <w:rFonts w:hint="eastAsia" w:ascii="宋体" w:hAnsi="宋体"/>
          <w:b/>
          <w:bCs/>
          <w:color w:val="000000"/>
          <w:sz w:val="24"/>
        </w:rPr>
        <w:t>事项</w:t>
      </w:r>
      <w:r>
        <w:rPr>
          <w:rFonts w:ascii="宋体" w:hAnsi="宋体"/>
          <w:b/>
          <w:bCs/>
          <w:color w:val="000000"/>
          <w:sz w:val="24"/>
        </w:rPr>
        <w:t>：1、标前准备：</w:t>
      </w:r>
      <w:r>
        <w:rPr>
          <w:rFonts w:ascii="宋体" w:hAnsi="宋体"/>
          <w:color w:val="000000"/>
          <w:sz w:val="24"/>
        </w:rPr>
        <w:t>各</w:t>
      </w:r>
      <w:r>
        <w:rPr>
          <w:rFonts w:hint="eastAsia" w:ascii="宋体" w:hAnsi="宋体"/>
          <w:color w:val="000000"/>
          <w:sz w:val="24"/>
        </w:rPr>
        <w:t>投标供应商</w:t>
      </w:r>
      <w:r>
        <w:rPr>
          <w:rFonts w:ascii="宋体" w:hAnsi="宋体"/>
          <w:color w:val="000000"/>
          <w:sz w:val="24"/>
        </w:rPr>
        <w:t>应在开标前应注册成为浙江省政府采购网供应商，并完成CA数字证书办理。因未注册入库、未办理CA数字证书等原因造成无法投标或投标失败等后果由</w:t>
      </w:r>
      <w:r>
        <w:rPr>
          <w:rFonts w:hint="eastAsia" w:ascii="宋体" w:hAnsi="宋体"/>
          <w:color w:val="000000"/>
          <w:sz w:val="24"/>
        </w:rPr>
        <w:t>投标供应商</w:t>
      </w:r>
      <w:r>
        <w:rPr>
          <w:rFonts w:ascii="宋体" w:hAnsi="宋体"/>
          <w:color w:val="000000"/>
          <w:sz w:val="24"/>
        </w:rPr>
        <w:t>自行承担（CA驱动和申领流程详见</w:t>
      </w:r>
      <w:r>
        <w:rPr>
          <w:rFonts w:ascii="宋体" w:hAnsi="宋体"/>
          <w:color w:val="000000"/>
          <w:sz w:val="24"/>
        </w:rPr>
        <w:fldChar w:fldCharType="begin"/>
      </w:r>
      <w:r>
        <w:rPr>
          <w:rFonts w:ascii="宋体" w:hAnsi="宋体"/>
          <w:color w:val="000000"/>
          <w:sz w:val="24"/>
        </w:rPr>
        <w:instrText xml:space="preserve"> HYPERLINK "http://zfcg.czt.zj.gov.cn/bidClientTemplate/2019-05-27/12945.html" </w:instrText>
      </w:r>
      <w:r>
        <w:rPr>
          <w:rFonts w:ascii="宋体" w:hAnsi="宋体"/>
          <w:color w:val="000000"/>
          <w:sz w:val="24"/>
        </w:rPr>
        <w:fldChar w:fldCharType="separate"/>
      </w:r>
      <w:r>
        <w:rPr>
          <w:rStyle w:val="69"/>
          <w:rFonts w:ascii="宋体" w:hAnsi="宋体"/>
          <w:color w:val="000000"/>
          <w:sz w:val="24"/>
        </w:rPr>
        <w:t>http://zfcg.czt.zj.gov.cn/bidClientTemplate/2019-05-27/12945.html</w:t>
      </w:r>
      <w:r>
        <w:rPr>
          <w:rFonts w:ascii="宋体" w:hAnsi="宋体"/>
          <w:color w:val="000000"/>
          <w:sz w:val="24"/>
        </w:rPr>
        <w:fldChar w:fldCharType="end"/>
      </w:r>
      <w:r>
        <w:rPr>
          <w:rFonts w:ascii="宋体" w:hAnsi="宋体"/>
          <w:color w:val="000000"/>
          <w:sz w:val="24"/>
        </w:rPr>
        <w:t>）。完成CA数字证书办理预计一周左右，建议各</w:t>
      </w:r>
      <w:r>
        <w:rPr>
          <w:rFonts w:hint="eastAsia" w:ascii="宋体" w:hAnsi="宋体"/>
          <w:color w:val="000000"/>
          <w:sz w:val="24"/>
        </w:rPr>
        <w:t>投标供应商</w:t>
      </w:r>
      <w:r>
        <w:rPr>
          <w:rFonts w:ascii="宋体" w:hAnsi="宋体"/>
          <w:color w:val="000000"/>
          <w:sz w:val="24"/>
        </w:rPr>
        <w:t>抓紧时间办理。</w:t>
      </w:r>
    </w:p>
    <w:p>
      <w:pPr>
        <w:adjustRightInd w:val="0"/>
        <w:snapToGrid w:val="0"/>
        <w:spacing w:line="400" w:lineRule="atLeast"/>
        <w:ind w:firstLine="482" w:firstLineChars="200"/>
        <w:rPr>
          <w:rFonts w:hint="eastAsia" w:ascii="宋体" w:hAnsi="宋体"/>
          <w:b/>
          <w:color w:val="000000"/>
          <w:sz w:val="24"/>
          <w:u w:val="single"/>
        </w:rPr>
      </w:pPr>
      <w:r>
        <w:rPr>
          <w:rFonts w:hint="eastAsia" w:ascii="宋体" w:hAnsi="宋体"/>
          <w:b/>
          <w:color w:val="000000"/>
          <w:sz w:val="24"/>
          <w:u w:val="single"/>
        </w:rPr>
        <w:t>CA相关热点问题TOP专题页：</w:t>
      </w:r>
    </w:p>
    <w:p>
      <w:pPr>
        <w:adjustRightInd w:val="0"/>
        <w:snapToGrid w:val="0"/>
        <w:spacing w:line="400" w:lineRule="atLeast"/>
        <w:rPr>
          <w:rFonts w:hint="eastAsia" w:ascii="宋体" w:hAnsi="宋体"/>
          <w:b/>
          <w:bCs/>
          <w:color w:val="000000"/>
          <w:sz w:val="24"/>
        </w:rPr>
      </w:pPr>
      <w:r>
        <w:rPr>
          <w:rStyle w:val="69"/>
          <w:rFonts w:hint="eastAsia" w:ascii="宋体" w:hAnsi="宋体" w:cs="宋体"/>
          <w:color w:val="000000"/>
          <w:sz w:val="24"/>
        </w:rPr>
        <w:t>https://service.zcygov.cn/#/knowledges/depk120BkjoVoiMyPhAJ/8QejCnEBiyELHE-ohzp-</w:t>
      </w:r>
    </w:p>
    <w:p>
      <w:pPr>
        <w:adjustRightInd w:val="0"/>
        <w:snapToGrid w:val="0"/>
        <w:spacing w:line="400" w:lineRule="atLeast"/>
        <w:ind w:firstLine="482" w:firstLineChars="200"/>
        <w:rPr>
          <w:rFonts w:hint="eastAsia" w:ascii="宋体" w:hAnsi="宋体"/>
          <w:bCs/>
          <w:color w:val="000000"/>
          <w:sz w:val="24"/>
        </w:rPr>
      </w:pPr>
      <w:r>
        <w:rPr>
          <w:rFonts w:ascii="宋体" w:hAnsi="宋体"/>
          <w:b/>
          <w:bCs/>
          <w:color w:val="000000"/>
          <w:sz w:val="24"/>
        </w:rPr>
        <w:t>2、</w:t>
      </w:r>
      <w:r>
        <w:rPr>
          <w:rFonts w:hint="eastAsia" w:ascii="宋体" w:hAnsi="宋体"/>
          <w:b/>
          <w:bCs/>
          <w:color w:val="000000"/>
          <w:sz w:val="24"/>
        </w:rPr>
        <w:t>投标文件制作：</w:t>
      </w:r>
      <w:r>
        <w:rPr>
          <w:rFonts w:hint="eastAsia" w:ascii="宋体" w:hAnsi="宋体"/>
          <w:bCs/>
          <w:color w:val="000000"/>
          <w:sz w:val="24"/>
        </w:rPr>
        <w:t>投标供应商</w:t>
      </w:r>
      <w:r>
        <w:rPr>
          <w:rFonts w:ascii="宋体" w:hAnsi="宋体"/>
          <w:bCs/>
          <w:color w:val="000000"/>
          <w:sz w:val="24"/>
        </w:rPr>
        <w:t>通过“政采云”平台电子投标工具制作投标文件</w:t>
      </w:r>
      <w:r>
        <w:rPr>
          <w:rFonts w:hint="eastAsia" w:ascii="宋体" w:hAnsi="宋体"/>
          <w:bCs/>
          <w:color w:val="000000"/>
          <w:sz w:val="24"/>
        </w:rPr>
        <w:t>，具体详情请查看《【浙江省】供应商-政府采购项目电子交易操作视频》（</w:t>
      </w:r>
      <w:r>
        <w:rPr>
          <w:rStyle w:val="69"/>
          <w:rFonts w:ascii="宋体" w:hAnsi="宋体" w:cs="宋体"/>
          <w:color w:val="000000"/>
          <w:sz w:val="24"/>
        </w:rPr>
        <w:t>https://service.zcygov.cn/#/knowledges/CW1EtGwBFdiHxlNd6I3m/7GyLXW0BXgMSmLUuYuPM</w:t>
      </w:r>
      <w:r>
        <w:rPr>
          <w:rFonts w:hint="eastAsia" w:ascii="宋体" w:hAnsi="宋体" w:cs="宋体"/>
          <w:color w:val="000000"/>
          <w:sz w:val="24"/>
        </w:rPr>
        <w:fldChar w:fldCharType="begin"/>
      </w:r>
      <w:r>
        <w:rPr>
          <w:rStyle w:val="69"/>
          <w:rFonts w:hint="eastAsia" w:ascii="宋体" w:hAnsi="宋体" w:cs="宋体"/>
          <w:color w:val="000000"/>
          <w:sz w:val="24"/>
        </w:rPr>
        <w:instrText xml:space="preserve"> HYPERLINK "https://help.zcygov.cn/web/site_2/2018/12-28/2573.html" </w:instrText>
      </w:r>
      <w:r>
        <w:rPr>
          <w:rFonts w:hint="eastAsia" w:ascii="宋体" w:hAnsi="宋体" w:cs="宋体"/>
          <w:color w:val="000000"/>
          <w:sz w:val="24"/>
        </w:rPr>
        <w:fldChar w:fldCharType="separate"/>
      </w:r>
      <w:r>
        <w:rPr>
          <w:rFonts w:hint="eastAsia" w:ascii="宋体" w:hAnsi="宋体" w:cs="宋体"/>
          <w:color w:val="000000"/>
          <w:sz w:val="24"/>
        </w:rPr>
        <w:fldChar w:fldCharType="end"/>
      </w:r>
      <w:r>
        <w:rPr>
          <w:rStyle w:val="69"/>
          <w:rFonts w:hint="eastAsia" w:ascii="宋体" w:hAnsi="宋体" w:cs="宋体"/>
          <w:color w:val="000000"/>
          <w:sz w:val="24"/>
        </w:rPr>
        <w:t>）</w:t>
      </w:r>
      <w:r>
        <w:rPr>
          <w:rFonts w:hint="eastAsia" w:ascii="宋体" w:hAnsi="宋体"/>
          <w:bCs/>
          <w:color w:val="000000"/>
          <w:sz w:val="24"/>
        </w:rPr>
        <w:t>。</w:t>
      </w:r>
    </w:p>
    <w:p>
      <w:pPr>
        <w:adjustRightInd w:val="0"/>
        <w:snapToGrid w:val="0"/>
        <w:spacing w:line="400" w:lineRule="atLeast"/>
        <w:rPr>
          <w:rFonts w:hint="eastAsia" w:ascii="宋体" w:hAnsi="宋体"/>
          <w:b/>
          <w:bCs/>
          <w:color w:val="000000"/>
          <w:sz w:val="24"/>
          <w:u w:val="single"/>
        </w:rPr>
      </w:pPr>
      <w:r>
        <w:rPr>
          <w:rFonts w:hint="eastAsia" w:ascii="宋体" w:hAnsi="宋体"/>
          <w:b/>
          <w:bCs/>
          <w:color w:val="000000"/>
          <w:sz w:val="24"/>
          <w:u w:val="single"/>
        </w:rPr>
        <w:t>政采云电子交易客户端下载地址：</w:t>
      </w:r>
    </w:p>
    <w:p>
      <w:pPr>
        <w:adjustRightInd w:val="0"/>
        <w:snapToGrid w:val="0"/>
        <w:spacing w:line="400" w:lineRule="atLeast"/>
        <w:rPr>
          <w:rStyle w:val="69"/>
          <w:rFonts w:hint="eastAsia" w:ascii="宋体" w:hAnsi="宋体" w:cs="宋体"/>
          <w:color w:val="000000"/>
          <w:sz w:val="24"/>
        </w:rPr>
      </w:pPr>
      <w:r>
        <w:rPr>
          <w:rFonts w:ascii="宋体" w:hAnsi="宋体" w:cs="宋体"/>
          <w:color w:val="000000"/>
          <w:sz w:val="24"/>
        </w:rPr>
        <w:fldChar w:fldCharType="begin"/>
      </w:r>
      <w:r>
        <w:rPr>
          <w:rStyle w:val="69"/>
          <w:rFonts w:ascii="宋体" w:hAnsi="宋体" w:cs="宋体"/>
          <w:color w:val="000000"/>
          <w:sz w:val="24"/>
        </w:rPr>
        <w:instrText xml:space="preserve"> HYPERLINK "https://zfcg.czt.zj.gov.cn/bidClientTemplate/2020-10-01/12975.html?utm=web_government_front.a2eab82.0.0.cdedb2b0289411eb957a0ba21cf5fb2b" </w:instrText>
      </w:r>
      <w:r>
        <w:rPr>
          <w:rFonts w:ascii="宋体" w:hAnsi="宋体" w:cs="宋体"/>
          <w:color w:val="000000"/>
          <w:sz w:val="24"/>
        </w:rPr>
        <w:fldChar w:fldCharType="separate"/>
      </w:r>
      <w:r>
        <w:rPr>
          <w:rStyle w:val="69"/>
          <w:rFonts w:ascii="宋体" w:hAnsi="宋体" w:cs="宋体"/>
          <w:color w:val="000000"/>
          <w:sz w:val="24"/>
        </w:rPr>
        <w:t>https://zfcg.czt.zj.gov.cn/bidClientTemplate/2020-10-01/12975.html?utm=web_government_front.a2eab82.0.0.cdedb2b0289411eb957a0ba21cf5fb2b</w:t>
      </w:r>
      <w:r>
        <w:rPr>
          <w:rFonts w:ascii="宋体" w:hAnsi="宋体" w:cs="宋体"/>
          <w:color w:val="000000"/>
          <w:sz w:val="24"/>
        </w:rPr>
        <w:fldChar w:fldCharType="end"/>
      </w:r>
      <w:r>
        <w:rPr>
          <w:rStyle w:val="69"/>
          <w:rFonts w:hint="eastAsia" w:ascii="宋体" w:hAnsi="宋体" w:cs="宋体"/>
          <w:color w:val="000000"/>
          <w:sz w:val="24"/>
        </w:rPr>
        <w:t>。</w:t>
      </w:r>
    </w:p>
    <w:p>
      <w:pPr>
        <w:adjustRightInd w:val="0"/>
        <w:snapToGrid w:val="0"/>
        <w:spacing w:line="400" w:lineRule="atLeast"/>
        <w:ind w:firstLine="482" w:firstLineChars="200"/>
        <w:rPr>
          <w:rFonts w:ascii="宋体" w:hAnsi="宋体"/>
          <w:b/>
          <w:bCs/>
          <w:color w:val="000000"/>
          <w:sz w:val="24"/>
        </w:rPr>
      </w:pPr>
      <w:r>
        <w:rPr>
          <w:rFonts w:ascii="宋体" w:hAnsi="宋体"/>
          <w:b/>
          <w:bCs/>
          <w:color w:val="000000"/>
          <w:sz w:val="24"/>
        </w:rPr>
        <w:t>3、在制作投标文件前请各</w:t>
      </w:r>
      <w:r>
        <w:rPr>
          <w:rFonts w:hint="eastAsia" w:ascii="宋体" w:hAnsi="宋体"/>
          <w:b/>
          <w:bCs/>
          <w:color w:val="000000"/>
          <w:sz w:val="24"/>
        </w:rPr>
        <w:t>投标供应商</w:t>
      </w:r>
      <w:r>
        <w:rPr>
          <w:rFonts w:ascii="宋体" w:hAnsi="宋体"/>
          <w:b/>
          <w:bCs/>
          <w:color w:val="000000"/>
          <w:sz w:val="24"/>
        </w:rPr>
        <w:t>先学习《浙江省“政府采购项目电子交易系统/不见面开评标”学习专题》的内容。地址如下：</w:t>
      </w:r>
    </w:p>
    <w:p>
      <w:pPr>
        <w:adjustRightInd w:val="0"/>
        <w:snapToGrid w:val="0"/>
        <w:spacing w:line="400" w:lineRule="atLeast"/>
        <w:ind w:firstLine="482" w:firstLineChars="200"/>
        <w:rPr>
          <w:rFonts w:ascii="宋体" w:hAnsi="宋体"/>
          <w:b/>
          <w:bCs/>
          <w:color w:val="000000"/>
          <w:sz w:val="24"/>
        </w:rPr>
      </w:pPr>
      <w:r>
        <w:rPr>
          <w:rFonts w:ascii="宋体" w:hAnsi="宋体"/>
          <w:b/>
          <w:bCs/>
          <w:color w:val="000000"/>
          <w:sz w:val="24"/>
        </w:rPr>
        <w:t>（</w:t>
      </w:r>
      <w:r>
        <w:rPr>
          <w:rFonts w:ascii="宋体" w:hAnsi="宋体"/>
          <w:color w:val="000000"/>
          <w:sz w:val="24"/>
        </w:rPr>
        <w:fldChar w:fldCharType="begin"/>
      </w:r>
      <w:r>
        <w:rPr>
          <w:rStyle w:val="69"/>
          <w:rFonts w:ascii="宋体" w:hAnsi="宋体"/>
          <w:color w:val="000000"/>
          <w:sz w:val="24"/>
        </w:rPr>
        <w:instrText xml:space="preserve"> HYPERLINK "https://edu.zcygov.cn/luban/e-biding?utm=a0004.2ef5001f.0001.0109.4f6f4630e0d111e9aec67f342b8df9a1" </w:instrText>
      </w:r>
      <w:r>
        <w:rPr>
          <w:rFonts w:ascii="宋体" w:hAnsi="宋体"/>
          <w:color w:val="000000"/>
          <w:sz w:val="24"/>
        </w:rPr>
        <w:fldChar w:fldCharType="separate"/>
      </w:r>
      <w:r>
        <w:rPr>
          <w:rStyle w:val="69"/>
          <w:rFonts w:ascii="宋体" w:hAnsi="宋体"/>
          <w:color w:val="000000"/>
          <w:sz w:val="24"/>
        </w:rPr>
        <w:t>https://edu.zcygov.cn/luban/e-biding?utm=a0004.2ef5001f.0001.0109.4f6f4630e0d111e9aec67f342b8df9a1</w:t>
      </w:r>
      <w:r>
        <w:rPr>
          <w:rFonts w:ascii="宋体" w:hAnsi="宋体"/>
          <w:color w:val="000000"/>
          <w:sz w:val="24"/>
        </w:rPr>
        <w:fldChar w:fldCharType="end"/>
      </w:r>
      <w:r>
        <w:rPr>
          <w:rFonts w:ascii="宋体" w:hAnsi="宋体"/>
          <w:b/>
          <w:bCs/>
          <w:color w:val="000000"/>
          <w:sz w:val="24"/>
        </w:rPr>
        <w:t xml:space="preserve"> ）</w:t>
      </w:r>
    </w:p>
    <w:p>
      <w:pPr>
        <w:adjustRightInd w:val="0"/>
        <w:snapToGrid w:val="0"/>
        <w:spacing w:line="400" w:lineRule="atLeast"/>
        <w:ind w:firstLine="482" w:firstLineChars="200"/>
        <w:rPr>
          <w:rFonts w:hint="eastAsia" w:ascii="宋体" w:hAnsi="宋体"/>
          <w:b/>
          <w:bCs/>
          <w:color w:val="000000"/>
          <w:sz w:val="24"/>
        </w:rPr>
      </w:pPr>
      <w:r>
        <w:rPr>
          <w:rFonts w:hint="eastAsia" w:ascii="宋体" w:hAnsi="宋体"/>
          <w:b/>
          <w:bCs/>
          <w:color w:val="000000"/>
          <w:sz w:val="24"/>
        </w:rPr>
        <w:t>4、若对项目采购电子交易系统操作有疑问，可登录政采云（https://www.zcygov.cn/），点击右侧咨询小采，获取采小蜜智能服务管家帮助，或拨打政采云服务热线95763获取热线服务帮助。</w:t>
      </w:r>
    </w:p>
    <w:p>
      <w:pPr>
        <w:snapToGrid w:val="0"/>
        <w:spacing w:line="276" w:lineRule="auto"/>
        <w:ind w:firstLine="482" w:firstLineChars="200"/>
        <w:rPr>
          <w:rFonts w:hint="eastAsia" w:ascii="宋体" w:hAnsi="宋体"/>
          <w:b/>
          <w:bCs/>
          <w:color w:val="000000"/>
          <w:sz w:val="24"/>
        </w:rPr>
      </w:pPr>
      <w:r>
        <w:rPr>
          <w:rFonts w:hint="eastAsia" w:ascii="宋体" w:hAnsi="宋体"/>
          <w:b/>
          <w:bCs/>
          <w:color w:val="000000"/>
          <w:sz w:val="24"/>
        </w:rPr>
        <w:t>CA问题联系电话（人工）：汇信CA 400-888-4636；天谷CA 400-087-8198。</w:t>
      </w:r>
    </w:p>
    <w:p>
      <w:pPr>
        <w:snapToGrid w:val="0"/>
        <w:spacing w:line="276" w:lineRule="auto"/>
        <w:ind w:firstLine="482" w:firstLineChars="200"/>
        <w:rPr>
          <w:rFonts w:hint="eastAsia" w:ascii="宋体" w:hAnsi="宋体" w:cs="Arial"/>
          <w:b/>
          <w:bCs/>
          <w:color w:val="000000"/>
          <w:sz w:val="24"/>
        </w:rPr>
      </w:pPr>
    </w:p>
    <w:p>
      <w:pPr>
        <w:snapToGrid w:val="0"/>
        <w:spacing w:line="400" w:lineRule="exact"/>
        <w:ind w:firstLine="482" w:firstLineChars="200"/>
        <w:rPr>
          <w:rFonts w:ascii="宋体" w:hAnsi="宋体" w:cs="Arial"/>
          <w:color w:val="000000"/>
          <w:sz w:val="24"/>
        </w:rPr>
      </w:pPr>
      <w:r>
        <w:rPr>
          <w:rFonts w:hint="eastAsia" w:ascii="宋体" w:hAnsi="宋体" w:cs="Arial"/>
          <w:b/>
          <w:bCs/>
          <w:color w:val="000000"/>
          <w:sz w:val="24"/>
        </w:rPr>
        <w:t>九、开标时间及地点</w:t>
      </w:r>
      <w:r>
        <w:rPr>
          <w:rFonts w:hint="eastAsia" w:ascii="宋体" w:hAnsi="宋体" w:cs="Arial"/>
          <w:color w:val="000000"/>
          <w:sz w:val="24"/>
        </w:rPr>
        <w:t>：</w:t>
      </w:r>
    </w:p>
    <w:p>
      <w:pPr>
        <w:snapToGrid w:val="0"/>
        <w:spacing w:line="400" w:lineRule="exact"/>
        <w:ind w:firstLine="480" w:firstLineChars="200"/>
        <w:rPr>
          <w:rFonts w:hint="eastAsia" w:ascii="宋体" w:hAnsi="宋体" w:cs="Arial"/>
          <w:color w:val="000000"/>
          <w:sz w:val="24"/>
        </w:rPr>
      </w:pPr>
      <w:r>
        <w:rPr>
          <w:rFonts w:hint="eastAsia" w:ascii="宋体" w:hAnsi="宋体" w:cs="Arial"/>
          <w:color w:val="000000"/>
          <w:sz w:val="24"/>
        </w:rPr>
        <w:t>本次招标将于</w:t>
      </w:r>
      <w:r>
        <w:rPr>
          <w:rFonts w:hint="eastAsia" w:ascii="宋体" w:hAnsi="宋体"/>
          <w:color w:val="000000"/>
          <w:sz w:val="24"/>
          <w:u w:val="single"/>
        </w:rPr>
        <w:t>2023年12月20日9：30 时</w:t>
      </w:r>
      <w:r>
        <w:rPr>
          <w:rFonts w:hint="eastAsia" w:ascii="宋体" w:hAnsi="宋体"/>
          <w:color w:val="000000"/>
          <w:sz w:val="24"/>
        </w:rPr>
        <w:t>（时间）</w:t>
      </w:r>
      <w:r>
        <w:rPr>
          <w:rFonts w:hint="eastAsia" w:ascii="宋体" w:hAnsi="宋体" w:cs="Arial"/>
          <w:color w:val="000000"/>
          <w:sz w:val="24"/>
        </w:rPr>
        <w:t>在</w:t>
      </w:r>
      <w:r>
        <w:rPr>
          <w:rFonts w:hint="eastAsia" w:ascii="宋体" w:hAnsi="宋体" w:cs="Arial"/>
          <w:color w:val="000000"/>
          <w:sz w:val="24"/>
          <w:u w:val="single"/>
        </w:rPr>
        <w:t>浦江县人民东路83号三楼开标室</w:t>
      </w:r>
      <w:r>
        <w:rPr>
          <w:rFonts w:hint="eastAsia" w:ascii="宋体" w:hAnsi="宋体"/>
          <w:color w:val="000000"/>
          <w:sz w:val="24"/>
        </w:rPr>
        <w:t>（地点）开</w:t>
      </w:r>
      <w:r>
        <w:rPr>
          <w:rFonts w:hint="eastAsia" w:ascii="宋体" w:hAnsi="宋体" w:cs="Arial"/>
          <w:color w:val="000000"/>
          <w:sz w:val="24"/>
        </w:rPr>
        <w:t>标。本项目不要求投标供应商到开标现场开标，但投标供应商应派法定代表人或委托代理人准时在线出席电子开标会议，随时关注开标进度。如在开标过程中有电子询标，应在规定的时间内对电子询标进行澄清、答复。投标供应商未按采购文件要求派代表参加电子开标会议的，视同认可开标结果。</w:t>
      </w:r>
    </w:p>
    <w:p>
      <w:pPr>
        <w:snapToGrid w:val="0"/>
        <w:spacing w:line="400" w:lineRule="exact"/>
        <w:ind w:firstLine="480" w:firstLineChars="200"/>
        <w:rPr>
          <w:rFonts w:hint="eastAsia" w:ascii="宋体" w:hAnsi="宋体" w:cs="Arial"/>
          <w:color w:val="000000"/>
          <w:sz w:val="24"/>
        </w:rPr>
      </w:pPr>
      <w:r>
        <w:rPr>
          <w:rFonts w:hint="eastAsia" w:ascii="宋体" w:hAnsi="宋体" w:cs="Arial"/>
          <w:color w:val="000000"/>
          <w:sz w:val="24"/>
        </w:rPr>
        <w:t>开标时间后30分钟内（</w:t>
      </w:r>
      <w:r>
        <w:rPr>
          <w:rFonts w:hint="eastAsia" w:ascii="宋体" w:hAnsi="宋体"/>
          <w:color w:val="000000"/>
          <w:sz w:val="24"/>
          <w:u w:val="single"/>
        </w:rPr>
        <w:t xml:space="preserve">2023年12月20日10:00 </w:t>
      </w:r>
      <w:r>
        <w:rPr>
          <w:rFonts w:ascii="宋体" w:hAnsi="宋体" w:cs="Arial"/>
          <w:color w:val="000000"/>
          <w:sz w:val="24"/>
        </w:rPr>
        <w:t>前</w:t>
      </w:r>
      <w:r>
        <w:rPr>
          <w:rFonts w:hint="eastAsia" w:ascii="宋体" w:hAnsi="宋体" w:cs="Arial"/>
          <w:color w:val="000000"/>
          <w:sz w:val="24"/>
        </w:rPr>
        <w:t>）投标供应商</w:t>
      </w:r>
      <w:r>
        <w:rPr>
          <w:rFonts w:ascii="宋体" w:hAnsi="宋体" w:cs="Arial"/>
          <w:color w:val="000000"/>
          <w:sz w:val="24"/>
        </w:rPr>
        <w:t>可以登录“</w:t>
      </w:r>
      <w:r>
        <w:rPr>
          <w:rFonts w:hint="eastAsia" w:ascii="宋体" w:hAnsi="宋体" w:cs="Arial"/>
          <w:color w:val="000000"/>
          <w:sz w:val="24"/>
        </w:rPr>
        <w:t>政采云</w:t>
      </w:r>
      <w:r>
        <w:rPr>
          <w:rFonts w:ascii="宋体" w:hAnsi="宋体" w:cs="Arial"/>
          <w:color w:val="000000"/>
          <w:sz w:val="24"/>
        </w:rPr>
        <w:t>”</w:t>
      </w:r>
      <w:r>
        <w:rPr>
          <w:rFonts w:hint="eastAsia" w:ascii="宋体" w:hAnsi="宋体" w:cs="Arial"/>
          <w:color w:val="000000"/>
          <w:sz w:val="24"/>
        </w:rPr>
        <w:t>平台</w:t>
      </w:r>
      <w:r>
        <w:rPr>
          <w:rFonts w:ascii="宋体" w:hAnsi="宋体" w:cs="Arial"/>
          <w:color w:val="000000"/>
          <w:sz w:val="24"/>
        </w:rPr>
        <w:t>，用“</w:t>
      </w:r>
      <w:r>
        <w:rPr>
          <w:rFonts w:hint="eastAsia" w:ascii="宋体" w:hAnsi="宋体" w:cs="Arial"/>
          <w:color w:val="000000"/>
          <w:sz w:val="24"/>
        </w:rPr>
        <w:t>项目采购-开标评标</w:t>
      </w:r>
      <w:r>
        <w:rPr>
          <w:rFonts w:ascii="宋体" w:hAnsi="宋体" w:cs="Arial"/>
          <w:color w:val="000000"/>
          <w:sz w:val="24"/>
        </w:rPr>
        <w:t>”功能</w:t>
      </w:r>
      <w:r>
        <w:rPr>
          <w:rFonts w:hint="eastAsia" w:ascii="宋体" w:hAnsi="宋体" w:cs="Arial"/>
          <w:color w:val="000000"/>
          <w:sz w:val="24"/>
        </w:rPr>
        <w:t>进行解密投标文件（为防止解密失败，政采云建议采用制作投标文件的电脑进行解密）</w:t>
      </w:r>
      <w:r>
        <w:rPr>
          <w:rFonts w:ascii="宋体" w:hAnsi="宋体" w:cs="Arial"/>
          <w:color w:val="000000"/>
          <w:sz w:val="24"/>
        </w:rPr>
        <w:t>。</w:t>
      </w:r>
      <w:r>
        <w:rPr>
          <w:rFonts w:hint="eastAsia" w:ascii="宋体" w:hAnsi="宋体" w:cs="Arial"/>
          <w:color w:val="000000"/>
          <w:sz w:val="24"/>
        </w:rPr>
        <w:t>若投标供应商在规定时间内（</w:t>
      </w:r>
      <w:r>
        <w:rPr>
          <w:rFonts w:hint="eastAsia" w:ascii="宋体" w:hAnsi="宋体"/>
          <w:color w:val="000000"/>
          <w:sz w:val="24"/>
          <w:u w:val="single"/>
        </w:rPr>
        <w:t xml:space="preserve">2023年12月20日10:00 </w:t>
      </w:r>
      <w:r>
        <w:rPr>
          <w:rFonts w:ascii="宋体" w:hAnsi="宋体" w:cs="Arial"/>
          <w:color w:val="000000"/>
          <w:sz w:val="24"/>
        </w:rPr>
        <w:t>前</w:t>
      </w:r>
      <w:r>
        <w:rPr>
          <w:rFonts w:hint="eastAsia" w:ascii="宋体" w:hAnsi="宋体" w:cs="Arial"/>
          <w:color w:val="000000"/>
          <w:sz w:val="24"/>
        </w:rPr>
        <w:t>）无法解密或解密失败的，投标供应商提供了备份投标文件的，以备份投标文件作为依据，否则视为投标文件撤回。投标文件已按时解密的，备份投标文件自动失效。</w:t>
      </w:r>
    </w:p>
    <w:p>
      <w:pPr>
        <w:snapToGrid w:val="0"/>
        <w:ind w:firstLine="482" w:firstLineChars="200"/>
        <w:rPr>
          <w:rFonts w:hint="eastAsia" w:ascii="宋体" w:hAnsi="宋体" w:cs="Arial"/>
          <w:b/>
          <w:color w:val="000000"/>
          <w:sz w:val="24"/>
        </w:rPr>
      </w:pPr>
    </w:p>
    <w:p>
      <w:pPr>
        <w:snapToGrid w:val="0"/>
        <w:ind w:firstLine="482" w:firstLineChars="200"/>
        <w:rPr>
          <w:rFonts w:hint="eastAsia" w:ascii="宋体" w:hAnsi="宋体" w:cs="Arial"/>
          <w:b/>
          <w:color w:val="000000"/>
          <w:sz w:val="24"/>
        </w:rPr>
      </w:pPr>
      <w:r>
        <w:rPr>
          <w:rFonts w:hint="eastAsia" w:ascii="宋体" w:hAnsi="宋体" w:cs="Arial"/>
          <w:b/>
          <w:color w:val="000000"/>
          <w:sz w:val="24"/>
        </w:rPr>
        <w:t>十、其他事项：</w:t>
      </w:r>
    </w:p>
    <w:p>
      <w:pPr>
        <w:snapToGrid w:val="0"/>
        <w:spacing w:line="276" w:lineRule="auto"/>
        <w:ind w:firstLine="480" w:firstLineChars="200"/>
        <w:rPr>
          <w:rFonts w:ascii="宋体" w:hAnsi="宋体" w:cs="Arial"/>
          <w:color w:val="000000"/>
          <w:sz w:val="24"/>
        </w:rPr>
      </w:pPr>
      <w:r>
        <w:rPr>
          <w:rFonts w:hint="eastAsia" w:ascii="宋体" w:hAnsi="宋体" w:cs="Arial"/>
          <w:color w:val="000000"/>
          <w:sz w:val="24"/>
        </w:rPr>
        <w:t>1.本项目公告期限为5个工作日，供应商认为采购文件使自己的权益受到损害的，可以自收到采购文件之日（获取截止日之后收到采购文件的，以获取截止日为准）或者采购文件公告期限届满之日（招标公告为公告发布后的第6个工作日）起7个工作日内，以书面形式向采购人和集采机构提出质疑，</w:t>
      </w:r>
      <w:r>
        <w:rPr>
          <w:rFonts w:hint="eastAsia" w:ascii="宋体" w:hAnsi="宋体" w:cs="宋体"/>
          <w:b/>
          <w:color w:val="000000"/>
          <w:sz w:val="24"/>
        </w:rPr>
        <w:t>针对同一采购程序环节的质疑应一次性提出</w:t>
      </w:r>
      <w:r>
        <w:rPr>
          <w:rFonts w:hint="eastAsia" w:ascii="宋体" w:hAnsi="宋体" w:cs="宋体"/>
          <w:color w:val="000000"/>
          <w:sz w:val="24"/>
        </w:rPr>
        <w:t>。</w:t>
      </w:r>
      <w:r>
        <w:rPr>
          <w:rFonts w:hint="eastAsia" w:ascii="宋体" w:hAnsi="宋体" w:cs="Arial"/>
          <w:color w:val="000000"/>
          <w:sz w:val="24"/>
        </w:rPr>
        <w:t>质疑供应商对采购人、集采机构的答复不满意或者采购人、集采机构未在规定的时间内作出答复的，可以在答复期满后十五个工作日内向同级政府采购监督管理部门投诉。</w:t>
      </w:r>
    </w:p>
    <w:p>
      <w:pPr>
        <w:snapToGrid w:val="0"/>
        <w:ind w:firstLine="420"/>
        <w:rPr>
          <w:rFonts w:ascii="宋体" w:hAnsi="宋体" w:cs="Arial"/>
          <w:b/>
          <w:color w:val="000000"/>
          <w:sz w:val="24"/>
        </w:rPr>
      </w:pPr>
      <w:r>
        <w:rPr>
          <w:rFonts w:hint="eastAsia" w:ascii="宋体" w:hAnsi="宋体" w:cs="Arial"/>
          <w:b/>
          <w:color w:val="000000"/>
          <w:sz w:val="24"/>
        </w:rPr>
        <w:t>十一、</w:t>
      </w:r>
      <w:r>
        <w:rPr>
          <w:rFonts w:hint="eastAsia" w:ascii="宋体" w:hAnsi="宋体"/>
          <w:b/>
          <w:color w:val="000000"/>
          <w:sz w:val="24"/>
        </w:rPr>
        <w:t>凡对本次招标提出询问、质疑、投诉，请按以下方式联系</w:t>
      </w:r>
      <w:r>
        <w:rPr>
          <w:rFonts w:ascii="宋体" w:hAnsi="宋体"/>
          <w:b/>
          <w:color w:val="000000"/>
          <w:sz w:val="24"/>
        </w:rPr>
        <w:t>：</w:t>
      </w:r>
    </w:p>
    <w:p>
      <w:pPr>
        <w:widowControl/>
        <w:adjustRightInd w:val="0"/>
        <w:snapToGrid w:val="0"/>
        <w:ind w:firstLine="360" w:firstLineChars="150"/>
        <w:jc w:val="left"/>
        <w:rPr>
          <w:rFonts w:ascii="宋体" w:hAnsi="宋体"/>
          <w:color w:val="000000"/>
          <w:sz w:val="24"/>
        </w:rPr>
      </w:pPr>
      <w:r>
        <w:rPr>
          <w:rFonts w:ascii="宋体" w:hAnsi="宋体"/>
          <w:color w:val="000000"/>
          <w:sz w:val="24"/>
        </w:rPr>
        <w:t>1.采购人信息</w:t>
      </w:r>
      <w:r>
        <w:rPr>
          <w:rFonts w:hint="eastAsia" w:ascii="宋体" w:hAnsi="宋体"/>
          <w:color w:val="000000"/>
          <w:sz w:val="24"/>
        </w:rPr>
        <w:t>：</w:t>
      </w:r>
    </w:p>
    <w:p>
      <w:pPr>
        <w:widowControl/>
        <w:adjustRightInd w:val="0"/>
        <w:snapToGrid w:val="0"/>
        <w:ind w:firstLine="840" w:firstLineChars="350"/>
        <w:jc w:val="left"/>
        <w:rPr>
          <w:rFonts w:hint="eastAsia" w:ascii="宋体" w:hAnsi="宋体"/>
          <w:color w:val="000000"/>
          <w:sz w:val="24"/>
        </w:rPr>
      </w:pPr>
      <w:r>
        <w:rPr>
          <w:rFonts w:ascii="宋体" w:hAnsi="宋体"/>
          <w:color w:val="000000"/>
          <w:sz w:val="24"/>
        </w:rPr>
        <w:t>名    称：</w:t>
      </w:r>
      <w:r>
        <w:rPr>
          <w:rFonts w:hint="eastAsia" w:hAnsi="宋体"/>
          <w:color w:val="000000"/>
          <w:sz w:val="24"/>
        </w:rPr>
        <w:t>浦江县中医院</w:t>
      </w:r>
      <w:r>
        <w:rPr>
          <w:rFonts w:hint="eastAsia" w:ascii="宋体" w:hAnsi="宋体"/>
          <w:color w:val="000000"/>
          <w:sz w:val="24"/>
        </w:rPr>
        <w:t> </w:t>
      </w:r>
    </w:p>
    <w:p>
      <w:pPr>
        <w:widowControl/>
        <w:adjustRightInd w:val="0"/>
        <w:snapToGrid w:val="0"/>
        <w:ind w:firstLine="840" w:firstLineChars="350"/>
        <w:jc w:val="left"/>
        <w:rPr>
          <w:rFonts w:hint="eastAsia" w:hAnsi="宋体"/>
          <w:color w:val="000000"/>
          <w:sz w:val="24"/>
        </w:rPr>
      </w:pPr>
      <w:r>
        <w:rPr>
          <w:rFonts w:hint="eastAsia" w:ascii="宋体" w:hAnsi="宋体"/>
          <w:color w:val="000000"/>
          <w:sz w:val="24"/>
        </w:rPr>
        <w:t>地    址：</w:t>
      </w:r>
      <w:r>
        <w:rPr>
          <w:rFonts w:hint="eastAsia" w:hAnsi="宋体"/>
          <w:color w:val="000000"/>
          <w:sz w:val="24"/>
        </w:rPr>
        <w:t xml:space="preserve"> 浙江省金华市浦江县浦阳街道新华西路1号</w:t>
      </w:r>
    </w:p>
    <w:p>
      <w:pPr>
        <w:widowControl/>
        <w:adjustRightInd w:val="0"/>
        <w:snapToGrid w:val="0"/>
        <w:ind w:firstLine="840" w:firstLineChars="350"/>
        <w:jc w:val="left"/>
        <w:rPr>
          <w:rFonts w:hint="eastAsia" w:ascii="宋体" w:hAnsi="宋体"/>
          <w:color w:val="000000"/>
          <w:sz w:val="24"/>
        </w:rPr>
      </w:pPr>
      <w:r>
        <w:rPr>
          <w:rFonts w:hint="eastAsia" w:ascii="宋体" w:hAnsi="宋体"/>
          <w:color w:val="000000"/>
          <w:sz w:val="24"/>
        </w:rPr>
        <w:t>项目联系人（询问）： 张先生</w:t>
      </w:r>
    </w:p>
    <w:p>
      <w:pPr>
        <w:widowControl/>
        <w:adjustRightInd w:val="0"/>
        <w:snapToGrid w:val="0"/>
        <w:ind w:firstLine="840" w:firstLineChars="350"/>
        <w:jc w:val="left"/>
        <w:rPr>
          <w:rFonts w:hint="eastAsia" w:ascii="宋体" w:hAnsi="宋体"/>
          <w:color w:val="000000"/>
          <w:sz w:val="24"/>
        </w:rPr>
      </w:pPr>
      <w:r>
        <w:rPr>
          <w:rFonts w:hint="eastAsia" w:ascii="宋体" w:hAnsi="宋体"/>
          <w:color w:val="000000"/>
          <w:sz w:val="24"/>
        </w:rPr>
        <w:t>项目联系方式（询问）：0579-84133026</w:t>
      </w:r>
    </w:p>
    <w:p>
      <w:pPr>
        <w:widowControl/>
        <w:adjustRightInd w:val="0"/>
        <w:snapToGrid w:val="0"/>
        <w:ind w:firstLine="840" w:firstLineChars="350"/>
        <w:jc w:val="left"/>
        <w:rPr>
          <w:rFonts w:hint="eastAsia" w:ascii="宋体" w:hAnsi="宋体"/>
          <w:color w:val="000000"/>
          <w:sz w:val="24"/>
        </w:rPr>
      </w:pPr>
      <w:r>
        <w:rPr>
          <w:rFonts w:hint="eastAsia" w:ascii="宋体" w:hAnsi="宋体"/>
          <w:color w:val="000000"/>
          <w:sz w:val="24"/>
        </w:rPr>
        <w:t>质疑联系人： 吴先生</w:t>
      </w:r>
    </w:p>
    <w:p>
      <w:pPr>
        <w:widowControl/>
        <w:adjustRightInd w:val="0"/>
        <w:snapToGrid w:val="0"/>
        <w:ind w:firstLine="840" w:firstLineChars="350"/>
        <w:jc w:val="left"/>
        <w:rPr>
          <w:rFonts w:hint="eastAsia" w:ascii="宋体" w:hAnsi="宋体"/>
          <w:color w:val="000000"/>
          <w:sz w:val="24"/>
        </w:rPr>
      </w:pPr>
      <w:r>
        <w:rPr>
          <w:rFonts w:hint="eastAsia" w:ascii="宋体" w:hAnsi="宋体"/>
          <w:color w:val="000000"/>
          <w:sz w:val="24"/>
        </w:rPr>
        <w:t>质疑联系方式：0579-84132070   </w:t>
      </w:r>
      <w:r>
        <w:rPr>
          <w:rFonts w:hint="eastAsia" w:ascii="宋体" w:hAnsi="宋体"/>
          <w:color w:val="000000"/>
          <w:sz w:val="24"/>
        </w:rPr>
        <w:br w:type="textWrapping"/>
      </w:r>
      <w:r>
        <w:rPr>
          <w:rFonts w:hint="eastAsia" w:ascii="宋体" w:hAnsi="宋体"/>
          <w:color w:val="000000"/>
          <w:sz w:val="24"/>
        </w:rPr>
        <w:t>   </w:t>
      </w:r>
    </w:p>
    <w:p>
      <w:pPr>
        <w:widowControl/>
        <w:adjustRightInd w:val="0"/>
        <w:snapToGrid w:val="0"/>
        <w:jc w:val="left"/>
        <w:rPr>
          <w:rFonts w:ascii="宋体" w:hAnsi="宋体"/>
          <w:color w:val="000000"/>
          <w:sz w:val="24"/>
        </w:rPr>
      </w:pPr>
      <w:r>
        <w:rPr>
          <w:rFonts w:ascii="宋体" w:hAnsi="宋体"/>
          <w:color w:val="000000"/>
          <w:sz w:val="24"/>
        </w:rPr>
        <w:t>2.</w:t>
      </w:r>
      <w:r>
        <w:rPr>
          <w:rFonts w:hint="eastAsia" w:ascii="宋体" w:hAnsi="宋体"/>
          <w:color w:val="000000"/>
          <w:sz w:val="24"/>
        </w:rPr>
        <w:t>集采</w:t>
      </w:r>
      <w:r>
        <w:rPr>
          <w:rFonts w:ascii="宋体" w:hAnsi="宋体"/>
          <w:color w:val="000000"/>
          <w:sz w:val="24"/>
        </w:rPr>
        <w:t>机构信息</w:t>
      </w:r>
      <w:r>
        <w:rPr>
          <w:rFonts w:hint="eastAsia" w:ascii="宋体" w:hAnsi="宋体"/>
          <w:color w:val="000000"/>
          <w:sz w:val="24"/>
        </w:rPr>
        <w:t>：</w:t>
      </w:r>
    </w:p>
    <w:p>
      <w:pPr>
        <w:widowControl/>
        <w:adjustRightInd w:val="0"/>
        <w:snapToGrid w:val="0"/>
        <w:jc w:val="left"/>
        <w:rPr>
          <w:rFonts w:ascii="宋体" w:hAnsi="宋体"/>
          <w:color w:val="000000"/>
          <w:sz w:val="24"/>
        </w:rPr>
      </w:pPr>
      <w:r>
        <w:rPr>
          <w:rFonts w:ascii="宋体" w:hAnsi="宋体"/>
          <w:color w:val="000000"/>
          <w:sz w:val="24"/>
        </w:rPr>
        <w:t>    名    称：</w:t>
      </w:r>
      <w:r>
        <w:rPr>
          <w:rFonts w:hint="eastAsia" w:ascii="宋体" w:hAnsi="宋体"/>
          <w:color w:val="000000"/>
          <w:sz w:val="24"/>
        </w:rPr>
        <w:t>金华市公共资源交易中心浦江县分中心</w:t>
      </w:r>
    </w:p>
    <w:p>
      <w:pPr>
        <w:widowControl/>
        <w:adjustRightInd w:val="0"/>
        <w:snapToGrid w:val="0"/>
        <w:jc w:val="left"/>
        <w:rPr>
          <w:rFonts w:ascii="宋体" w:hAnsi="宋体"/>
          <w:color w:val="000000"/>
          <w:sz w:val="24"/>
        </w:rPr>
      </w:pPr>
      <w:r>
        <w:rPr>
          <w:rFonts w:ascii="宋体" w:hAnsi="宋体"/>
          <w:color w:val="000000"/>
          <w:sz w:val="24"/>
        </w:rPr>
        <w:t>    地    址：</w:t>
      </w:r>
      <w:r>
        <w:rPr>
          <w:rFonts w:hint="eastAsia" w:ascii="宋体" w:hAnsi="宋体"/>
          <w:color w:val="000000"/>
          <w:sz w:val="24"/>
        </w:rPr>
        <w:t>浦江县人民东路83号</w:t>
      </w:r>
      <w:r>
        <w:rPr>
          <w:rFonts w:ascii="宋体" w:hAnsi="宋体"/>
          <w:color w:val="000000"/>
          <w:sz w:val="24"/>
        </w:rPr>
        <w:t> </w:t>
      </w:r>
    </w:p>
    <w:p>
      <w:pPr>
        <w:widowControl/>
        <w:adjustRightInd w:val="0"/>
        <w:snapToGrid w:val="0"/>
        <w:jc w:val="left"/>
        <w:rPr>
          <w:rFonts w:hint="eastAsia" w:ascii="宋体" w:hAnsi="宋体"/>
          <w:color w:val="000000"/>
          <w:sz w:val="24"/>
        </w:rPr>
      </w:pPr>
      <w:r>
        <w:rPr>
          <w:rFonts w:ascii="宋体" w:hAnsi="宋体"/>
          <w:color w:val="000000"/>
          <w:sz w:val="24"/>
        </w:rPr>
        <w:t>    项目联系人（询问）：</w:t>
      </w:r>
      <w:r>
        <w:rPr>
          <w:rFonts w:hint="eastAsia" w:ascii="宋体" w:hAnsi="宋体"/>
          <w:color w:val="000000"/>
          <w:sz w:val="24"/>
        </w:rPr>
        <w:t>陈女士</w:t>
      </w:r>
    </w:p>
    <w:p>
      <w:pPr>
        <w:widowControl/>
        <w:adjustRightInd w:val="0"/>
        <w:snapToGrid w:val="0"/>
        <w:jc w:val="left"/>
        <w:rPr>
          <w:rFonts w:ascii="宋体" w:hAnsi="宋体"/>
          <w:color w:val="000000"/>
          <w:sz w:val="24"/>
        </w:rPr>
      </w:pPr>
      <w:r>
        <w:rPr>
          <w:rFonts w:ascii="宋体" w:hAnsi="宋体"/>
          <w:color w:val="000000"/>
          <w:sz w:val="24"/>
        </w:rPr>
        <w:t>    项目联系方式（询问）：</w:t>
      </w:r>
      <w:r>
        <w:rPr>
          <w:rFonts w:hint="eastAsia" w:ascii="宋体" w:hAnsi="宋体"/>
          <w:color w:val="000000"/>
          <w:sz w:val="24"/>
        </w:rPr>
        <w:t>0579-88088931</w:t>
      </w:r>
    </w:p>
    <w:p>
      <w:pPr>
        <w:widowControl/>
        <w:adjustRightInd w:val="0"/>
        <w:snapToGrid w:val="0"/>
        <w:jc w:val="left"/>
        <w:rPr>
          <w:rFonts w:hint="eastAsia" w:ascii="宋体" w:hAnsi="宋体"/>
          <w:color w:val="000000"/>
          <w:sz w:val="24"/>
        </w:rPr>
      </w:pPr>
      <w:r>
        <w:rPr>
          <w:rFonts w:ascii="宋体" w:hAnsi="宋体"/>
          <w:color w:val="000000"/>
          <w:sz w:val="24"/>
        </w:rPr>
        <w:t>    质疑联系人：</w:t>
      </w:r>
      <w:r>
        <w:rPr>
          <w:rFonts w:hint="eastAsia" w:ascii="宋体" w:hAnsi="宋体"/>
          <w:color w:val="000000"/>
          <w:sz w:val="24"/>
        </w:rPr>
        <w:t>方先生</w:t>
      </w:r>
    </w:p>
    <w:p>
      <w:pPr>
        <w:widowControl/>
        <w:adjustRightInd w:val="0"/>
        <w:snapToGrid w:val="0"/>
        <w:jc w:val="left"/>
        <w:rPr>
          <w:rFonts w:ascii="宋体" w:hAnsi="宋体"/>
          <w:color w:val="000000"/>
          <w:sz w:val="24"/>
        </w:rPr>
      </w:pPr>
      <w:r>
        <w:rPr>
          <w:rFonts w:ascii="宋体" w:hAnsi="宋体"/>
          <w:color w:val="000000"/>
          <w:sz w:val="24"/>
        </w:rPr>
        <w:t>    质疑联系方式：</w:t>
      </w:r>
      <w:r>
        <w:rPr>
          <w:rFonts w:hint="eastAsia" w:ascii="宋体" w:hAnsi="宋体"/>
          <w:color w:val="000000"/>
          <w:sz w:val="24"/>
        </w:rPr>
        <w:t>0579-88088931</w:t>
      </w:r>
    </w:p>
    <w:p>
      <w:pPr>
        <w:widowControl/>
        <w:adjustRightInd w:val="0"/>
        <w:snapToGrid w:val="0"/>
        <w:jc w:val="left"/>
        <w:rPr>
          <w:rFonts w:ascii="宋体" w:hAnsi="宋体"/>
          <w:color w:val="000000"/>
          <w:sz w:val="24"/>
        </w:rPr>
      </w:pPr>
      <w:r>
        <w:rPr>
          <w:rFonts w:ascii="宋体" w:hAnsi="宋体"/>
          <w:color w:val="000000"/>
          <w:sz w:val="24"/>
        </w:rPr>
        <w:t>   </w:t>
      </w:r>
      <w:r>
        <w:rPr>
          <w:rFonts w:ascii="宋体" w:hAnsi="宋体"/>
          <w:color w:val="000000"/>
          <w:sz w:val="24"/>
        </w:rPr>
        <w:br w:type="textWrapping"/>
      </w:r>
      <w:r>
        <w:rPr>
          <w:rFonts w:ascii="宋体" w:hAnsi="宋体"/>
          <w:color w:val="000000"/>
          <w:sz w:val="24"/>
        </w:rPr>
        <w:t>3. 同级政府采购监督管理部门：</w:t>
      </w:r>
    </w:p>
    <w:p>
      <w:pPr>
        <w:widowControl/>
        <w:adjustRightInd w:val="0"/>
        <w:snapToGrid w:val="0"/>
        <w:jc w:val="left"/>
        <w:rPr>
          <w:rFonts w:ascii="宋体" w:hAnsi="宋体"/>
          <w:color w:val="000000"/>
          <w:sz w:val="24"/>
        </w:rPr>
      </w:pPr>
      <w:r>
        <w:rPr>
          <w:rFonts w:ascii="宋体" w:hAnsi="宋体"/>
          <w:color w:val="000000"/>
          <w:sz w:val="24"/>
        </w:rPr>
        <w:t>    名    称：浦江县财政局政府采购监管科 </w:t>
      </w:r>
    </w:p>
    <w:p>
      <w:pPr>
        <w:widowControl/>
        <w:adjustRightInd w:val="0"/>
        <w:snapToGrid w:val="0"/>
        <w:jc w:val="left"/>
        <w:rPr>
          <w:rFonts w:ascii="宋体" w:hAnsi="宋体"/>
          <w:color w:val="000000"/>
          <w:sz w:val="24"/>
        </w:rPr>
      </w:pPr>
      <w:r>
        <w:rPr>
          <w:rFonts w:ascii="宋体" w:hAnsi="宋体"/>
          <w:color w:val="000000"/>
          <w:sz w:val="24"/>
        </w:rPr>
        <w:t>    地    址：</w:t>
      </w:r>
      <w:r>
        <w:rPr>
          <w:rFonts w:hint="eastAsia" w:ascii="宋体" w:hAnsi="宋体"/>
          <w:color w:val="000000"/>
          <w:sz w:val="24"/>
        </w:rPr>
        <w:t>浦江县人民东路83号</w:t>
      </w:r>
      <w:r>
        <w:rPr>
          <w:rFonts w:ascii="宋体" w:hAnsi="宋体"/>
          <w:color w:val="000000"/>
          <w:sz w:val="24"/>
        </w:rPr>
        <w:t> </w:t>
      </w:r>
    </w:p>
    <w:p>
      <w:pPr>
        <w:widowControl/>
        <w:adjustRightInd w:val="0"/>
        <w:snapToGrid w:val="0"/>
        <w:jc w:val="left"/>
        <w:rPr>
          <w:rFonts w:ascii="宋体" w:hAnsi="宋体"/>
          <w:color w:val="000000"/>
          <w:sz w:val="24"/>
        </w:rPr>
      </w:pPr>
      <w:r>
        <w:rPr>
          <w:rFonts w:ascii="宋体" w:hAnsi="宋体"/>
          <w:color w:val="000000"/>
          <w:sz w:val="24"/>
        </w:rPr>
        <w:t>    联系人 ：</w:t>
      </w:r>
      <w:r>
        <w:rPr>
          <w:rFonts w:hint="eastAsia" w:ascii="宋体" w:hAnsi="宋体"/>
          <w:color w:val="000000"/>
          <w:sz w:val="24"/>
        </w:rPr>
        <w:t>赵先生</w:t>
      </w:r>
      <w:r>
        <w:rPr>
          <w:rFonts w:ascii="宋体" w:hAnsi="宋体"/>
          <w:color w:val="000000"/>
          <w:sz w:val="24"/>
        </w:rPr>
        <w:t> </w:t>
      </w:r>
    </w:p>
    <w:p>
      <w:pPr>
        <w:adjustRightInd w:val="0"/>
        <w:snapToGrid w:val="0"/>
        <w:ind w:firstLine="720" w:firstLineChars="300"/>
        <w:jc w:val="left"/>
        <w:rPr>
          <w:rFonts w:hint="eastAsia" w:ascii="宋体" w:hAnsi="宋体"/>
          <w:color w:val="000000"/>
          <w:sz w:val="24"/>
        </w:rPr>
      </w:pPr>
      <w:r>
        <w:rPr>
          <w:rFonts w:ascii="宋体" w:hAnsi="宋体"/>
          <w:color w:val="000000"/>
          <w:sz w:val="24"/>
        </w:rPr>
        <w:t>监督投诉电话：0579-84123011</w:t>
      </w:r>
    </w:p>
    <w:p>
      <w:pPr>
        <w:snapToGrid w:val="0"/>
        <w:spacing w:line="400" w:lineRule="exact"/>
        <w:ind w:firstLine="405"/>
        <w:jc w:val="left"/>
        <w:rPr>
          <w:rFonts w:hint="eastAsia" w:ascii="宋体" w:hAnsi="宋体"/>
          <w:color w:val="000000"/>
          <w:sz w:val="24"/>
        </w:rPr>
      </w:pPr>
    </w:p>
    <w:p>
      <w:pPr>
        <w:snapToGrid w:val="0"/>
        <w:spacing w:line="400" w:lineRule="exact"/>
        <w:ind w:firstLine="405"/>
        <w:jc w:val="left"/>
        <w:rPr>
          <w:rFonts w:ascii="宋体" w:hAnsi="宋体"/>
          <w:color w:val="000000"/>
          <w:sz w:val="24"/>
          <w:u w:val="single"/>
        </w:rPr>
      </w:pPr>
    </w:p>
    <w:p>
      <w:pPr>
        <w:wordWrap w:val="0"/>
        <w:snapToGrid w:val="0"/>
        <w:spacing w:line="400" w:lineRule="exact"/>
        <w:ind w:left="238"/>
        <w:jc w:val="right"/>
        <w:rPr>
          <w:rFonts w:hint="eastAsia"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hint="eastAsia" w:hAnsi="宋体"/>
          <w:color w:val="000000"/>
          <w:sz w:val="24"/>
        </w:rPr>
        <w:t>浦江县中医院</w:t>
      </w:r>
    </w:p>
    <w:p>
      <w:pPr>
        <w:snapToGrid w:val="0"/>
        <w:spacing w:line="400" w:lineRule="exact"/>
        <w:ind w:left="238"/>
        <w:jc w:val="right"/>
        <w:rPr>
          <w:rFonts w:ascii="宋体" w:hAnsi="宋体"/>
          <w:color w:val="000000"/>
          <w:sz w:val="24"/>
        </w:rPr>
      </w:pPr>
      <w:r>
        <w:rPr>
          <w:rFonts w:ascii="宋体" w:hAnsi="宋体"/>
          <w:color w:val="000000"/>
          <w:sz w:val="24"/>
        </w:rPr>
        <w:t>金华市公共资源交易中心浦江县分中心</w:t>
      </w:r>
    </w:p>
    <w:p>
      <w:pPr>
        <w:snapToGrid w:val="0"/>
        <w:spacing w:line="400" w:lineRule="exact"/>
        <w:ind w:left="238"/>
        <w:jc w:val="right"/>
        <w:rPr>
          <w:rFonts w:ascii="宋体" w:hAnsi="宋体"/>
          <w:color w:val="000000"/>
          <w:sz w:val="24"/>
        </w:rPr>
      </w:pPr>
      <w:r>
        <w:rPr>
          <w:rFonts w:ascii="宋体" w:hAnsi="宋体"/>
          <w:color w:val="000000"/>
          <w:sz w:val="24"/>
        </w:rPr>
        <w:t xml:space="preserve">                                     　202</w:t>
      </w:r>
      <w:r>
        <w:rPr>
          <w:rFonts w:hint="eastAsia" w:ascii="宋体" w:hAnsi="宋体"/>
          <w:color w:val="000000"/>
          <w:sz w:val="24"/>
        </w:rPr>
        <w:t>3</w:t>
      </w:r>
      <w:r>
        <w:rPr>
          <w:rFonts w:ascii="宋体" w:hAnsi="宋体"/>
          <w:color w:val="000000"/>
          <w:sz w:val="24"/>
        </w:rPr>
        <w:t>年</w:t>
      </w:r>
      <w:r>
        <w:rPr>
          <w:rFonts w:hint="eastAsia" w:ascii="宋体" w:hAnsi="宋体"/>
          <w:color w:val="000000"/>
          <w:sz w:val="24"/>
        </w:rPr>
        <w:t>11</w:t>
      </w:r>
      <w:r>
        <w:rPr>
          <w:rFonts w:ascii="宋体" w:hAnsi="宋体"/>
          <w:color w:val="000000"/>
          <w:sz w:val="24"/>
        </w:rPr>
        <w:t>月</w:t>
      </w:r>
      <w:r>
        <w:rPr>
          <w:rFonts w:hint="eastAsia" w:ascii="宋体" w:hAnsi="宋体"/>
          <w:color w:val="000000"/>
          <w:sz w:val="24"/>
        </w:rPr>
        <w:t>29</w:t>
      </w:r>
      <w:r>
        <w:rPr>
          <w:rFonts w:ascii="宋体" w:hAnsi="宋体"/>
          <w:color w:val="000000"/>
          <w:sz w:val="24"/>
        </w:rPr>
        <w:t>日</w:t>
      </w:r>
    </w:p>
    <w:p>
      <w:pPr>
        <w:snapToGrid w:val="0"/>
        <w:spacing w:before="120" w:beforeLines="50" w:after="120" w:afterLines="50"/>
        <w:rPr>
          <w:rFonts w:ascii="宋体" w:hAnsi="宋体"/>
          <w:color w:val="000000"/>
          <w:sz w:val="24"/>
        </w:rPr>
        <w:sectPr>
          <w:headerReference r:id="rId6" w:type="default"/>
          <w:footerReference r:id="rId7" w:type="default"/>
          <w:pgSz w:w="11906" w:h="16838"/>
          <w:pgMar w:top="1474" w:right="1134" w:bottom="1134" w:left="1361" w:header="851" w:footer="851" w:gutter="0"/>
          <w:pgNumType w:start="1"/>
          <w:cols w:space="720" w:num="1"/>
          <w:docGrid w:linePitch="312" w:charSpace="0"/>
        </w:sectPr>
      </w:pPr>
    </w:p>
    <w:p>
      <w:pPr>
        <w:pStyle w:val="30"/>
        <w:numPr>
          <w:ilvl w:val="0"/>
          <w:numId w:val="0"/>
        </w:numPr>
        <w:tabs>
          <w:tab w:val="left" w:pos="1200"/>
        </w:tabs>
        <w:snapToGrid w:val="0"/>
        <w:spacing w:line="240" w:lineRule="auto"/>
        <w:ind w:left="360" w:hanging="360" w:hangingChars="120"/>
        <w:jc w:val="center"/>
        <w:outlineLvl w:val="0"/>
        <w:rPr>
          <w:rFonts w:hint="eastAsia" w:hAnsi="宋体"/>
          <w:color w:val="000000"/>
          <w:sz w:val="30"/>
          <w:szCs w:val="30"/>
        </w:rPr>
      </w:pPr>
      <w:r>
        <w:rPr>
          <w:rFonts w:hint="eastAsia" w:hAnsi="宋体"/>
          <w:color w:val="000000"/>
          <w:sz w:val="30"/>
          <w:szCs w:val="30"/>
        </w:rPr>
        <w:t>第二章   采购需求</w:t>
      </w:r>
    </w:p>
    <w:p>
      <w:pPr>
        <w:spacing w:line="360" w:lineRule="auto"/>
        <w:jc w:val="center"/>
        <w:rPr>
          <w:rFonts w:hint="eastAsia" w:ascii="宋体" w:hAnsi="宋体"/>
          <w:b/>
          <w:color w:val="000000"/>
          <w:sz w:val="28"/>
        </w:rPr>
      </w:pPr>
      <w:bookmarkStart w:id="0" w:name="_Toc253388747"/>
      <w:r>
        <w:rPr>
          <w:rFonts w:hint="eastAsia" w:ascii="宋体" w:hAnsi="宋体"/>
          <w:b/>
          <w:color w:val="000000"/>
          <w:sz w:val="28"/>
        </w:rPr>
        <w:t>（▲条款为实质性响应条款，不允许负偏离，否则将导致投标无效）</w:t>
      </w:r>
      <w:bookmarkEnd w:id="0"/>
    </w:p>
    <w:p>
      <w:pPr>
        <w:pStyle w:val="2"/>
        <w:adjustRightInd w:val="0"/>
        <w:snapToGrid w:val="0"/>
        <w:spacing w:before="0" w:after="0" w:line="360" w:lineRule="auto"/>
        <w:rPr>
          <w:rFonts w:hint="eastAsia"/>
        </w:rPr>
      </w:pPr>
      <w:r>
        <w:rPr>
          <w:rFonts w:hint="eastAsia"/>
        </w:rPr>
        <w:t>标项一：浦江县中医院新院区搬迁信息化2023年建设</w:t>
      </w:r>
    </w:p>
    <w:p>
      <w:pPr>
        <w:pStyle w:val="3"/>
        <w:adjustRightInd w:val="0"/>
        <w:snapToGrid w:val="0"/>
        <w:spacing w:before="0" w:after="0" w:line="240" w:lineRule="auto"/>
        <w:rPr>
          <w:sz w:val="32"/>
        </w:rPr>
      </w:pPr>
      <w:r>
        <w:rPr>
          <w:rFonts w:hint="eastAsia"/>
          <w:sz w:val="32"/>
        </w:rPr>
        <w:t>一、招标清单</w:t>
      </w:r>
    </w:p>
    <w:tbl>
      <w:tblPr>
        <w:tblStyle w:val="57"/>
        <w:tblW w:w="9171" w:type="dxa"/>
        <w:tblInd w:w="91" w:type="dxa"/>
        <w:tblLayout w:type="fixed"/>
        <w:tblCellMar>
          <w:top w:w="0" w:type="dxa"/>
          <w:left w:w="108" w:type="dxa"/>
          <w:bottom w:w="0" w:type="dxa"/>
          <w:right w:w="108" w:type="dxa"/>
        </w:tblCellMar>
      </w:tblPr>
      <w:tblGrid>
        <w:gridCol w:w="649"/>
        <w:gridCol w:w="2145"/>
        <w:gridCol w:w="5532"/>
        <w:gridCol w:w="845"/>
      </w:tblGrid>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序号</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设备名称</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textAlignment w:val="center"/>
              <w:rPr>
                <w:rFonts w:ascii="宋体" w:hAnsi="宋体" w:cs="宋体"/>
                <w:b/>
                <w:bCs/>
                <w:color w:val="000000"/>
                <w:sz w:val="24"/>
              </w:rPr>
            </w:pPr>
            <w:r>
              <w:rPr>
                <w:rFonts w:hint="eastAsia" w:ascii="宋体" w:hAnsi="宋体" w:cs="宋体"/>
                <w:b/>
                <w:bCs/>
                <w:color w:val="000000"/>
                <w:kern w:val="0"/>
                <w:sz w:val="24"/>
              </w:rPr>
              <w:t>技术规格/性能需求</w:t>
            </w:r>
          </w:p>
        </w:tc>
        <w:tc>
          <w:tcPr>
            <w:tcW w:w="8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数 量</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数据库服务器</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光纤交换机</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全闪存储系统</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分布式存储</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存储后端交换机</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内网超融合系统</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超融合交换机</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数据库容灾一体机</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CDP灾备一体机</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textAlignment w:val="center"/>
              <w:rPr>
                <w:rFonts w:ascii="宋体" w:hAnsi="宋体" w:cs="宋体"/>
                <w:color w:val="000000"/>
                <w:sz w:val="24"/>
              </w:rPr>
            </w:pPr>
            <w:r>
              <w:rPr>
                <w:rFonts w:hint="eastAsia" w:ascii="宋体" w:hAnsi="宋体" w:cs="宋体"/>
                <w:color w:val="000000"/>
                <w:kern w:val="0"/>
                <w:sz w:val="24"/>
              </w:rPr>
              <w:t>核心交换机</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textAlignment w:val="center"/>
              <w:rPr>
                <w:rFonts w:ascii="宋体" w:hAnsi="宋体" w:cs="宋体"/>
                <w:color w:val="000000"/>
                <w:sz w:val="24"/>
              </w:rPr>
            </w:pPr>
            <w:r>
              <w:rPr>
                <w:rFonts w:hint="eastAsia" w:ascii="宋体" w:hAnsi="宋体" w:cs="宋体"/>
                <w:color w:val="000000"/>
                <w:kern w:val="0"/>
                <w:sz w:val="24"/>
              </w:rPr>
              <w:t>服务器汇聚交换机</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21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textAlignment w:val="center"/>
              <w:rPr>
                <w:rFonts w:ascii="宋体" w:hAnsi="宋体" w:cs="宋体"/>
                <w:color w:val="000000"/>
                <w:sz w:val="24"/>
              </w:rPr>
            </w:pPr>
            <w:r>
              <w:rPr>
                <w:rFonts w:hint="eastAsia" w:ascii="宋体" w:hAnsi="宋体" w:cs="宋体"/>
                <w:color w:val="000000"/>
                <w:kern w:val="0"/>
                <w:sz w:val="24"/>
              </w:rPr>
              <w:t>接入层交换机</w:t>
            </w:r>
          </w:p>
        </w:tc>
        <w:tc>
          <w:tcPr>
            <w:tcW w:w="5532"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时间同步服务器</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IT综合运维监控管理系统</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瘦终端服务器</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胖终端</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17</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胖终端管理平台</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18</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瘦终端</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19</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自助机</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病区网络打印机</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21</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热敏打印机1</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22</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热敏纸打印机2</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15</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23</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门诊黑白打印机</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80</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24</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复印机</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25</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智能会议屏65寸(带摄像头)</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26</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移动查房车</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27</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PDA</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90</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28</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移动护理系统</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29</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内网防火墙（医保等）</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数据中心防火墙</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31</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WEB防火墙</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32</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网闸</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33</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零信任网关</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34</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安全感知平台</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35</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潜伏威胁探针（内网）</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36</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潜伏威胁探针（外网）</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250" w:hRule="atLeast"/>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37</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日志审计</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38</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堡垒机</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39</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杀毒扩容扩容与续保</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40</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服务器虚拟化安全扩容与续保</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41</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准入控制扩容续保</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42</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数据库审计(防统方）</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43</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商用密码解决方案评审</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44</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商用密码应用安全性评估</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Pr>
        <w:tc>
          <w:tcPr>
            <w:tcW w:w="6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45</w:t>
            </w:r>
          </w:p>
        </w:tc>
        <w:tc>
          <w:tcPr>
            <w:tcW w:w="21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数据集成服务</w:t>
            </w:r>
          </w:p>
        </w:tc>
        <w:tc>
          <w:tcPr>
            <w:tcW w:w="553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详见技术参数</w:t>
            </w:r>
          </w:p>
        </w:tc>
        <w:tc>
          <w:tcPr>
            <w:tcW w:w="845"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r>
    </w:tbl>
    <w:p>
      <w:pPr>
        <w:rPr>
          <w:rFonts w:hint="eastAsia"/>
        </w:rPr>
      </w:pPr>
    </w:p>
    <w:p>
      <w:pPr>
        <w:pStyle w:val="3"/>
        <w:adjustRightInd w:val="0"/>
        <w:snapToGrid w:val="0"/>
        <w:spacing w:before="0" w:after="0" w:line="240" w:lineRule="auto"/>
        <w:rPr>
          <w:rFonts w:hint="eastAsia"/>
          <w:sz w:val="32"/>
        </w:rPr>
      </w:pPr>
      <w:r>
        <w:rPr>
          <w:rFonts w:hint="eastAsia"/>
          <w:sz w:val="32"/>
        </w:rPr>
        <w:t>二、技术参数</w:t>
      </w:r>
    </w:p>
    <w:p>
      <w:pPr>
        <w:pStyle w:val="2"/>
        <w:numPr>
          <w:ilvl w:val="1"/>
          <w:numId w:val="9"/>
        </w:numPr>
        <w:spacing w:before="240" w:after="60" w:line="413" w:lineRule="auto"/>
      </w:pPr>
      <w:r>
        <w:rPr>
          <w:rFonts w:hint="eastAsia"/>
        </w:rPr>
        <w:t>数据库服务器</w:t>
      </w:r>
    </w:p>
    <w:tbl>
      <w:tblPr>
        <w:tblStyle w:val="57"/>
        <w:tblW w:w="9271" w:type="dxa"/>
        <w:tblInd w:w="0" w:type="dxa"/>
        <w:tblLayout w:type="fixed"/>
        <w:tblCellMar>
          <w:top w:w="0" w:type="dxa"/>
          <w:left w:w="57" w:type="dxa"/>
          <w:bottom w:w="0" w:type="dxa"/>
          <w:right w:w="57" w:type="dxa"/>
        </w:tblCellMar>
      </w:tblPr>
      <w:tblGrid>
        <w:gridCol w:w="1333"/>
        <w:gridCol w:w="7938"/>
      </w:tblGrid>
      <w:tr>
        <w:tblPrEx>
          <w:tblCellMar>
            <w:top w:w="0" w:type="dxa"/>
            <w:left w:w="57" w:type="dxa"/>
            <w:bottom w:w="0" w:type="dxa"/>
            <w:right w:w="57" w:type="dxa"/>
          </w:tblCellMar>
        </w:tblPrEx>
        <w:trPr>
          <w:wBefore w:w="0" w:type="dxa"/>
          <w:wAfter w:w="0" w:type="dxa"/>
          <w:trHeight w:val="70" w:hRule="atLeast"/>
        </w:trPr>
        <w:tc>
          <w:tcPr>
            <w:tcW w:w="1333" w:type="dxa"/>
            <w:tcBorders>
              <w:top w:val="single" w:color="auto" w:sz="4" w:space="0"/>
              <w:left w:val="single" w:color="auto" w:sz="4" w:space="0"/>
              <w:bottom w:val="single" w:color="auto" w:sz="4" w:space="0"/>
              <w:right w:val="single" w:color="auto" w:sz="4" w:space="0"/>
            </w:tcBorders>
            <w:noWrap w:val="0"/>
            <w:vAlign w:val="center"/>
          </w:tcPr>
          <w:p>
            <w:pPr>
              <w:pStyle w:val="1054"/>
              <w:rPr>
                <w:rFonts w:ascii="宋体" w:hAnsi="宋体" w:cs="宋体"/>
                <w:b/>
                <w:bCs/>
                <w:sz w:val="24"/>
                <w:szCs w:val="24"/>
              </w:rPr>
            </w:pPr>
            <w:r>
              <w:rPr>
                <w:rFonts w:hint="eastAsia" w:ascii="宋体" w:hAnsi="宋体" w:cs="宋体"/>
                <w:b/>
                <w:bCs/>
                <w:sz w:val="24"/>
                <w:szCs w:val="24"/>
              </w:rPr>
              <w:t>技术指标</w:t>
            </w:r>
          </w:p>
        </w:tc>
        <w:tc>
          <w:tcPr>
            <w:tcW w:w="7938" w:type="dxa"/>
            <w:tcBorders>
              <w:top w:val="single" w:color="auto" w:sz="4" w:space="0"/>
              <w:left w:val="nil"/>
              <w:bottom w:val="single" w:color="auto" w:sz="4" w:space="0"/>
              <w:right w:val="single" w:color="auto" w:sz="4" w:space="0"/>
            </w:tcBorders>
            <w:noWrap w:val="0"/>
            <w:vAlign w:val="center"/>
          </w:tcPr>
          <w:p>
            <w:pPr>
              <w:pStyle w:val="1054"/>
              <w:ind w:firstLine="2891" w:firstLineChars="1200"/>
              <w:rPr>
                <w:rFonts w:ascii="宋体" w:hAnsi="宋体" w:cs="宋体"/>
                <w:b/>
                <w:bCs/>
                <w:sz w:val="24"/>
                <w:szCs w:val="24"/>
              </w:rPr>
            </w:pPr>
            <w:r>
              <w:rPr>
                <w:rFonts w:hint="eastAsia" w:ascii="宋体" w:hAnsi="宋体" w:cs="宋体"/>
                <w:b/>
                <w:bCs/>
                <w:sz w:val="24"/>
                <w:szCs w:val="24"/>
              </w:rPr>
              <w:t>指标要求</w:t>
            </w:r>
          </w:p>
        </w:tc>
      </w:tr>
      <w:tr>
        <w:tblPrEx>
          <w:tblCellMar>
            <w:top w:w="0" w:type="dxa"/>
            <w:left w:w="57" w:type="dxa"/>
            <w:bottom w:w="0" w:type="dxa"/>
            <w:right w:w="57" w:type="dxa"/>
          </w:tblCellMar>
        </w:tblPrEx>
        <w:trPr>
          <w:wBefore w:w="0" w:type="dxa"/>
          <w:wAfter w:w="0" w:type="dxa"/>
          <w:trHeight w:val="221" w:hRule="atLeast"/>
        </w:trPr>
        <w:tc>
          <w:tcPr>
            <w:tcW w:w="1333" w:type="dxa"/>
            <w:tcBorders>
              <w:top w:val="single" w:color="auto" w:sz="4" w:space="0"/>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整体要求</w:t>
            </w:r>
          </w:p>
        </w:tc>
        <w:tc>
          <w:tcPr>
            <w:tcW w:w="7938" w:type="dxa"/>
            <w:tcBorders>
              <w:top w:val="single" w:color="auto" w:sz="4" w:space="0"/>
              <w:left w:val="nil"/>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国产品牌，4U机架, 含安装导轨；</w:t>
            </w:r>
          </w:p>
        </w:tc>
      </w:tr>
      <w:tr>
        <w:tblPrEx>
          <w:tblCellMar>
            <w:top w:w="0" w:type="dxa"/>
            <w:left w:w="57" w:type="dxa"/>
            <w:bottom w:w="0" w:type="dxa"/>
            <w:right w:w="57" w:type="dxa"/>
          </w:tblCellMar>
        </w:tblPrEx>
        <w:trPr>
          <w:wBefore w:w="0" w:type="dxa"/>
          <w:wAfter w:w="0" w:type="dxa"/>
          <w:trHeight w:val="70" w:hRule="atLeast"/>
        </w:trPr>
        <w:tc>
          <w:tcPr>
            <w:tcW w:w="1333" w:type="dxa"/>
            <w:vMerge w:val="restart"/>
            <w:tcBorders>
              <w:top w:val="nil"/>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基本配置</w:t>
            </w:r>
          </w:p>
        </w:tc>
        <w:tc>
          <w:tcPr>
            <w:tcW w:w="7938" w:type="dxa"/>
            <w:tcBorders>
              <w:top w:val="single" w:color="auto" w:sz="4" w:space="0"/>
              <w:left w:val="nil"/>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★处理器：数量≥4颗，单CPU主频≥2.8GHz，单CPU物理核数≥16核，</w:t>
            </w:r>
            <w:r>
              <w:rPr>
                <w:rFonts w:hint="eastAsia" w:ascii="微软雅黑" w:hAnsi="微软雅黑" w:eastAsia="微软雅黑"/>
                <w:shd w:val="clear" w:color="auto" w:fill="FFFFFF"/>
              </w:rPr>
              <w:t>缓存</w:t>
            </w:r>
            <w:r>
              <w:rPr>
                <w:rFonts w:hint="eastAsia" w:ascii="宋体" w:hAnsi="宋体" w:cs="宋体"/>
                <w:sz w:val="24"/>
                <w:szCs w:val="24"/>
              </w:rPr>
              <w:t>≥</w:t>
            </w:r>
            <w:r>
              <w:rPr>
                <w:rFonts w:hint="eastAsia" w:ascii="微软雅黑" w:hAnsi="微软雅黑" w:eastAsia="微软雅黑"/>
                <w:shd w:val="clear" w:color="auto" w:fill="FFFFFF"/>
              </w:rPr>
              <w:t>22M</w:t>
            </w:r>
            <w:r>
              <w:rPr>
                <w:rFonts w:hint="eastAsia" w:ascii="宋体" w:hAnsi="宋体" w:cs="宋体"/>
                <w:kern w:val="0"/>
                <w:sz w:val="24"/>
                <w:szCs w:val="24"/>
              </w:rPr>
              <w:t>。</w:t>
            </w:r>
          </w:p>
        </w:tc>
      </w:tr>
      <w:tr>
        <w:tblPrEx>
          <w:tblCellMar>
            <w:top w:w="0" w:type="dxa"/>
            <w:left w:w="57" w:type="dxa"/>
            <w:bottom w:w="0" w:type="dxa"/>
            <w:right w:w="57" w:type="dxa"/>
          </w:tblCellMar>
        </w:tblPrEx>
        <w:trPr>
          <w:wBefore w:w="0" w:type="dxa"/>
          <w:wAfter w:w="0" w:type="dxa"/>
          <w:trHeight w:val="70" w:hRule="atLeast"/>
        </w:trPr>
        <w:tc>
          <w:tcPr>
            <w:tcW w:w="13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 w:val="24"/>
              </w:rPr>
            </w:pPr>
          </w:p>
        </w:tc>
        <w:tc>
          <w:tcPr>
            <w:tcW w:w="7938" w:type="dxa"/>
            <w:tcBorders>
              <w:top w:val="nil"/>
              <w:left w:val="nil"/>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★内存：配置≥512GB DDR4内存，单内存容量≥32GB，支持48个内存插槽</w:t>
            </w:r>
            <w:r>
              <w:rPr>
                <w:rFonts w:hint="eastAsia" w:ascii="宋体" w:hAnsi="宋体" w:cs="宋体"/>
                <w:kern w:val="0"/>
                <w:sz w:val="24"/>
                <w:szCs w:val="24"/>
              </w:rPr>
              <w:t>。</w:t>
            </w:r>
          </w:p>
        </w:tc>
      </w:tr>
      <w:tr>
        <w:tblPrEx>
          <w:tblCellMar>
            <w:top w:w="0" w:type="dxa"/>
            <w:left w:w="57" w:type="dxa"/>
            <w:bottom w:w="0" w:type="dxa"/>
            <w:right w:w="57" w:type="dxa"/>
          </w:tblCellMar>
        </w:tblPrEx>
        <w:trPr>
          <w:wBefore w:w="0" w:type="dxa"/>
          <w:wAfter w:w="0" w:type="dxa"/>
          <w:trHeight w:val="70" w:hRule="atLeast"/>
        </w:trPr>
        <w:tc>
          <w:tcPr>
            <w:tcW w:w="13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 w:val="24"/>
              </w:rPr>
            </w:pPr>
          </w:p>
        </w:tc>
        <w:tc>
          <w:tcPr>
            <w:tcW w:w="7938" w:type="dxa"/>
            <w:tcBorders>
              <w:top w:val="nil"/>
              <w:left w:val="nil"/>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★硬盘：配置≥2块960GB SATA SSD盘，支持前置最高24块U.2 NVMe硬盘，支持PCIe NVMe存储加速卡</w:t>
            </w:r>
            <w:r>
              <w:rPr>
                <w:rFonts w:hint="eastAsia" w:ascii="宋体" w:hAnsi="宋体" w:cs="宋体"/>
                <w:kern w:val="0"/>
                <w:sz w:val="24"/>
                <w:szCs w:val="24"/>
              </w:rPr>
              <w:t>。</w:t>
            </w:r>
          </w:p>
        </w:tc>
      </w:tr>
      <w:tr>
        <w:tblPrEx>
          <w:tblCellMar>
            <w:top w:w="0" w:type="dxa"/>
            <w:left w:w="57" w:type="dxa"/>
            <w:bottom w:w="0" w:type="dxa"/>
            <w:right w:w="57" w:type="dxa"/>
          </w:tblCellMar>
        </w:tblPrEx>
        <w:trPr>
          <w:wBefore w:w="0" w:type="dxa"/>
          <w:wAfter w:w="0" w:type="dxa"/>
          <w:trHeight w:val="399" w:hRule="atLeast"/>
        </w:trPr>
        <w:tc>
          <w:tcPr>
            <w:tcW w:w="13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sz w:val="24"/>
              </w:rPr>
            </w:pPr>
          </w:p>
        </w:tc>
        <w:tc>
          <w:tcPr>
            <w:tcW w:w="7938" w:type="dxa"/>
            <w:tcBorders>
              <w:top w:val="nil"/>
              <w:left w:val="nil"/>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★网卡：≥</w:t>
            </w:r>
            <w:r>
              <w:rPr>
                <w:rFonts w:hint="eastAsia" w:ascii="宋体" w:hAnsi="宋体" w:cs="宋体"/>
                <w:kern w:val="0"/>
                <w:sz w:val="24"/>
                <w:szCs w:val="24"/>
              </w:rPr>
              <w:t>2*双口万兆网卡（含光模块），</w:t>
            </w:r>
            <w:r>
              <w:rPr>
                <w:rFonts w:hint="eastAsia" w:ascii="宋体" w:hAnsi="宋体" w:cs="宋体"/>
                <w:sz w:val="24"/>
                <w:szCs w:val="24"/>
              </w:rPr>
              <w:t>≥</w:t>
            </w:r>
            <w:r>
              <w:rPr>
                <w:rFonts w:hint="eastAsia" w:ascii="宋体" w:hAnsi="宋体" w:cs="宋体"/>
                <w:kern w:val="0"/>
                <w:sz w:val="24"/>
                <w:szCs w:val="24"/>
              </w:rPr>
              <w:t>2*单口32Gb光纤通道HBA卡(含模块)，</w:t>
            </w:r>
            <w:r>
              <w:rPr>
                <w:rFonts w:hint="eastAsia" w:ascii="宋体" w:hAnsi="宋体" w:cs="宋体"/>
                <w:sz w:val="24"/>
                <w:szCs w:val="24"/>
              </w:rPr>
              <w:t>≥</w:t>
            </w:r>
            <w:r>
              <w:rPr>
                <w:rFonts w:hint="eastAsia" w:ascii="宋体" w:hAnsi="宋体" w:cs="宋体"/>
                <w:kern w:val="0"/>
                <w:sz w:val="24"/>
                <w:szCs w:val="24"/>
              </w:rPr>
              <w:t>4*千兆电口。</w:t>
            </w:r>
          </w:p>
        </w:tc>
      </w:tr>
      <w:tr>
        <w:tblPrEx>
          <w:tblCellMar>
            <w:top w:w="0" w:type="dxa"/>
            <w:left w:w="57" w:type="dxa"/>
            <w:bottom w:w="0" w:type="dxa"/>
            <w:right w:w="57" w:type="dxa"/>
          </w:tblCellMar>
        </w:tblPrEx>
        <w:trPr>
          <w:wBefore w:w="0" w:type="dxa"/>
          <w:wAfter w:w="0" w:type="dxa"/>
          <w:trHeight w:val="153" w:hRule="atLeast"/>
        </w:trPr>
        <w:tc>
          <w:tcPr>
            <w:tcW w:w="1333" w:type="dxa"/>
            <w:tcBorders>
              <w:top w:val="nil"/>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阵列控制器</w:t>
            </w:r>
          </w:p>
        </w:tc>
        <w:tc>
          <w:tcPr>
            <w:tcW w:w="7938" w:type="dxa"/>
            <w:tcBorders>
              <w:top w:val="nil"/>
              <w:left w:val="nil"/>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配置≥1块RAID卡,支持RAID 0/1/10</w:t>
            </w:r>
            <w:r>
              <w:rPr>
                <w:rFonts w:hint="eastAsia" w:ascii="宋体" w:hAnsi="宋体" w:cs="宋体"/>
                <w:color w:val="000000"/>
                <w:kern w:val="0"/>
                <w:sz w:val="24"/>
                <w:szCs w:val="24"/>
              </w:rPr>
              <w:t>。</w:t>
            </w:r>
          </w:p>
        </w:tc>
      </w:tr>
      <w:tr>
        <w:tblPrEx>
          <w:tblCellMar>
            <w:top w:w="0" w:type="dxa"/>
            <w:left w:w="57" w:type="dxa"/>
            <w:bottom w:w="0" w:type="dxa"/>
            <w:right w:w="57" w:type="dxa"/>
          </w:tblCellMar>
        </w:tblPrEx>
        <w:trPr>
          <w:wBefore w:w="0" w:type="dxa"/>
          <w:wAfter w:w="0" w:type="dxa"/>
          <w:trHeight w:val="324" w:hRule="atLeast"/>
        </w:trPr>
        <w:tc>
          <w:tcPr>
            <w:tcW w:w="1333" w:type="dxa"/>
            <w:tcBorders>
              <w:top w:val="nil"/>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扩展性</w:t>
            </w:r>
          </w:p>
        </w:tc>
        <w:tc>
          <w:tcPr>
            <w:tcW w:w="7938" w:type="dxa"/>
            <w:tcBorders>
              <w:top w:val="nil"/>
              <w:left w:val="nil"/>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10个PCIe 3.0全高可用插槽和1个OCP 3.0 x16网卡专用插槽</w:t>
            </w:r>
            <w:r>
              <w:rPr>
                <w:rFonts w:hint="eastAsia" w:ascii="宋体" w:hAnsi="宋体" w:cs="宋体"/>
                <w:color w:val="000000"/>
                <w:kern w:val="0"/>
                <w:sz w:val="24"/>
                <w:szCs w:val="24"/>
              </w:rPr>
              <w:t>。</w:t>
            </w:r>
          </w:p>
        </w:tc>
      </w:tr>
      <w:tr>
        <w:tblPrEx>
          <w:tblCellMar>
            <w:top w:w="0" w:type="dxa"/>
            <w:left w:w="57" w:type="dxa"/>
            <w:bottom w:w="0" w:type="dxa"/>
            <w:right w:w="57" w:type="dxa"/>
          </w:tblCellMar>
        </w:tblPrEx>
        <w:trPr>
          <w:wBefore w:w="0" w:type="dxa"/>
          <w:wAfter w:w="0" w:type="dxa"/>
          <w:trHeight w:val="60" w:hRule="atLeast"/>
        </w:trPr>
        <w:tc>
          <w:tcPr>
            <w:tcW w:w="1333" w:type="dxa"/>
            <w:tcBorders>
              <w:top w:val="nil"/>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环境温度</w:t>
            </w:r>
          </w:p>
        </w:tc>
        <w:tc>
          <w:tcPr>
            <w:tcW w:w="7938" w:type="dxa"/>
            <w:tcBorders>
              <w:top w:val="nil"/>
              <w:left w:val="nil"/>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长期工作温度支持：5°C ～ 45°C（41°F ～ 113°F）（符合ASHRAE CLASS A3 和 A4 标准）</w:t>
            </w:r>
            <w:r>
              <w:rPr>
                <w:rFonts w:hint="eastAsia" w:ascii="宋体" w:hAnsi="宋体" w:cs="宋体"/>
                <w:color w:val="000000"/>
                <w:kern w:val="0"/>
                <w:sz w:val="24"/>
                <w:szCs w:val="24"/>
              </w:rPr>
              <w:t>。</w:t>
            </w:r>
          </w:p>
        </w:tc>
      </w:tr>
      <w:tr>
        <w:tblPrEx>
          <w:tblCellMar>
            <w:top w:w="0" w:type="dxa"/>
            <w:left w:w="57" w:type="dxa"/>
            <w:bottom w:w="0" w:type="dxa"/>
            <w:right w:w="57" w:type="dxa"/>
          </w:tblCellMar>
        </w:tblPrEx>
        <w:trPr>
          <w:wBefore w:w="0" w:type="dxa"/>
          <w:wAfter w:w="0" w:type="dxa"/>
          <w:trHeight w:val="60" w:hRule="atLeast"/>
        </w:trPr>
        <w:tc>
          <w:tcPr>
            <w:tcW w:w="1333" w:type="dxa"/>
            <w:tcBorders>
              <w:top w:val="nil"/>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电源及风扇</w:t>
            </w:r>
          </w:p>
        </w:tc>
        <w:tc>
          <w:tcPr>
            <w:tcW w:w="7938" w:type="dxa"/>
            <w:tcBorders>
              <w:top w:val="nil"/>
              <w:left w:val="nil"/>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仿宋" w:hAnsi="仿宋" w:eastAsia="仿宋" w:cs="仿宋"/>
                <w:sz w:val="24"/>
              </w:rPr>
              <w:t>不少于</w:t>
            </w:r>
            <w:r>
              <w:rPr>
                <w:rFonts w:hint="eastAsia" w:ascii="仿宋" w:hAnsi="仿宋" w:eastAsia="仿宋" w:cs="仿宋"/>
                <w:color w:val="000000"/>
                <w:sz w:val="24"/>
              </w:rPr>
              <w:t>4</w:t>
            </w:r>
            <w:r>
              <w:rPr>
                <w:rFonts w:hint="eastAsia" w:ascii="宋体" w:hAnsi="宋体" w:cs="宋体"/>
                <w:sz w:val="24"/>
                <w:szCs w:val="24"/>
              </w:rPr>
              <w:t>*1300W冗余电源，冗余风扇，热拔插冗余对旋风扇，支持N+1冗余</w:t>
            </w:r>
            <w:r>
              <w:rPr>
                <w:rFonts w:hint="eastAsia" w:ascii="宋体" w:hAnsi="宋体" w:cs="宋体"/>
                <w:color w:val="000000"/>
                <w:kern w:val="0"/>
                <w:sz w:val="24"/>
                <w:szCs w:val="24"/>
              </w:rPr>
              <w:t>。</w:t>
            </w:r>
          </w:p>
        </w:tc>
      </w:tr>
      <w:tr>
        <w:tblPrEx>
          <w:tblCellMar>
            <w:top w:w="0" w:type="dxa"/>
            <w:left w:w="57" w:type="dxa"/>
            <w:bottom w:w="0" w:type="dxa"/>
            <w:right w:w="57" w:type="dxa"/>
          </w:tblCellMar>
        </w:tblPrEx>
        <w:trPr>
          <w:wBefore w:w="0" w:type="dxa"/>
          <w:wAfter w:w="0" w:type="dxa"/>
          <w:trHeight w:val="60" w:hRule="atLeast"/>
        </w:trPr>
        <w:tc>
          <w:tcPr>
            <w:tcW w:w="1333" w:type="dxa"/>
            <w:tcBorders>
              <w:top w:val="single" w:color="auto" w:sz="4" w:space="0"/>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滑动导轨</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原厂滑动机架导轨</w:t>
            </w:r>
            <w:r>
              <w:rPr>
                <w:rFonts w:hint="eastAsia" w:ascii="宋体" w:hAnsi="宋体" w:cs="宋体"/>
                <w:color w:val="000000"/>
                <w:kern w:val="0"/>
                <w:sz w:val="24"/>
                <w:szCs w:val="24"/>
              </w:rPr>
              <w:t>。</w:t>
            </w:r>
          </w:p>
        </w:tc>
      </w:tr>
      <w:tr>
        <w:tblPrEx>
          <w:tblCellMar>
            <w:top w:w="0" w:type="dxa"/>
            <w:left w:w="57" w:type="dxa"/>
            <w:bottom w:w="0" w:type="dxa"/>
            <w:right w:w="57" w:type="dxa"/>
          </w:tblCellMar>
        </w:tblPrEx>
        <w:trPr>
          <w:wBefore w:w="0" w:type="dxa"/>
          <w:wAfter w:w="0" w:type="dxa"/>
          <w:trHeight w:val="60" w:hRule="atLeast"/>
        </w:trPr>
        <w:tc>
          <w:tcPr>
            <w:tcW w:w="1333" w:type="dxa"/>
            <w:tcBorders>
              <w:top w:val="single" w:color="auto" w:sz="4" w:space="0"/>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其它安全选项</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提供UEFI安全启动</w:t>
            </w:r>
            <w:r>
              <w:rPr>
                <w:rFonts w:hint="eastAsia" w:ascii="宋体" w:hAnsi="宋体" w:cs="宋体"/>
                <w:color w:val="000000"/>
                <w:kern w:val="0"/>
                <w:sz w:val="24"/>
                <w:szCs w:val="24"/>
              </w:rPr>
              <w:t>。</w:t>
            </w:r>
          </w:p>
        </w:tc>
      </w:tr>
      <w:tr>
        <w:tblPrEx>
          <w:tblCellMar>
            <w:top w:w="0" w:type="dxa"/>
            <w:left w:w="57" w:type="dxa"/>
            <w:bottom w:w="0" w:type="dxa"/>
            <w:right w:w="57" w:type="dxa"/>
          </w:tblCellMar>
        </w:tblPrEx>
        <w:trPr>
          <w:wBefore w:w="0" w:type="dxa"/>
          <w:wAfter w:w="0" w:type="dxa"/>
          <w:trHeight w:val="60" w:hRule="atLeast"/>
        </w:trPr>
        <w:tc>
          <w:tcPr>
            <w:tcW w:w="1333" w:type="dxa"/>
            <w:tcBorders>
              <w:top w:val="single" w:color="auto" w:sz="4" w:space="0"/>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sz w:val="24"/>
                <w:szCs w:val="24"/>
              </w:rPr>
              <w:t>服务要求</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pStyle w:val="1054"/>
              <w:rPr>
                <w:rFonts w:ascii="宋体" w:hAnsi="宋体" w:cs="宋体"/>
                <w:sz w:val="24"/>
                <w:szCs w:val="24"/>
              </w:rPr>
            </w:pPr>
            <w:r>
              <w:rPr>
                <w:rFonts w:hint="eastAsia" w:ascii="宋体" w:hAnsi="宋体" w:cs="宋体"/>
                <w:kern w:val="0"/>
                <w:sz w:val="24"/>
                <w:szCs w:val="24"/>
              </w:rPr>
              <w:t>▲</w:t>
            </w:r>
            <w:r>
              <w:rPr>
                <w:rFonts w:hint="eastAsia" w:ascii="宋体" w:hAnsi="宋体" w:cs="宋体"/>
                <w:sz w:val="24"/>
                <w:szCs w:val="24"/>
              </w:rPr>
              <w:t>本次提供不少于5年原厂质保。</w:t>
            </w:r>
          </w:p>
        </w:tc>
      </w:tr>
    </w:tbl>
    <w:p>
      <w:pPr>
        <w:pStyle w:val="2"/>
        <w:numPr>
          <w:ilvl w:val="1"/>
          <w:numId w:val="9"/>
        </w:numPr>
        <w:spacing w:before="240" w:after="60" w:line="413" w:lineRule="auto"/>
      </w:pPr>
      <w:r>
        <w:rPr>
          <w:rFonts w:hint="eastAsia"/>
        </w:rPr>
        <w:t>光纤交换机</w:t>
      </w:r>
    </w:p>
    <w:tbl>
      <w:tblPr>
        <w:tblStyle w:val="57"/>
        <w:tblW w:w="9322" w:type="dxa"/>
        <w:tblInd w:w="0" w:type="dxa"/>
        <w:tblLayout w:type="fixed"/>
        <w:tblCellMar>
          <w:top w:w="0" w:type="dxa"/>
          <w:left w:w="108" w:type="dxa"/>
          <w:bottom w:w="0" w:type="dxa"/>
          <w:right w:w="108" w:type="dxa"/>
        </w:tblCellMar>
      </w:tblPr>
      <w:tblGrid>
        <w:gridCol w:w="1526"/>
        <w:gridCol w:w="7796"/>
      </w:tblGrid>
      <w:tr>
        <w:tblPrEx>
          <w:tblCellMar>
            <w:top w:w="0" w:type="dxa"/>
            <w:left w:w="108" w:type="dxa"/>
            <w:bottom w:w="0" w:type="dxa"/>
            <w:right w:w="108" w:type="dxa"/>
          </w:tblCellMar>
        </w:tblPrEx>
        <w:trPr>
          <w:wBefore w:w="0" w:type="dxa"/>
          <w:wAfter w:w="0" w:type="dxa"/>
          <w:trHeight w:val="9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300" w:lineRule="auto"/>
              <w:ind w:firstLine="241" w:firstLineChars="100"/>
              <w:rPr>
                <w:rFonts w:ascii="宋体" w:hAnsi="宋体" w:cs="宋体"/>
                <w:color w:val="000000"/>
                <w:kern w:val="0"/>
                <w:sz w:val="24"/>
              </w:rPr>
            </w:pPr>
            <w:r>
              <w:rPr>
                <w:b/>
                <w:bCs/>
                <w:sz w:val="24"/>
                <w:lang w:val="zh-TW"/>
              </w:rPr>
              <w:t>指标</w:t>
            </w:r>
            <w:r>
              <w:rPr>
                <w:rFonts w:hint="eastAsia" w:ascii="宋体" w:hAnsi="宋体" w:cs="宋体"/>
                <w:b/>
                <w:bCs/>
                <w:color w:val="000000"/>
                <w:kern w:val="0"/>
                <w:sz w:val="24"/>
              </w:rPr>
              <w:t>项</w:t>
            </w:r>
          </w:p>
        </w:tc>
        <w:tc>
          <w:tcPr>
            <w:tcW w:w="7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jc w:val="center"/>
              <w:rPr>
                <w:rFonts w:ascii="宋体" w:hAnsi="宋体" w:cs="宋体"/>
                <w:color w:val="000000"/>
                <w:kern w:val="0"/>
                <w:sz w:val="24"/>
              </w:rPr>
            </w:pPr>
            <w:r>
              <w:rPr>
                <w:b/>
                <w:bCs/>
                <w:sz w:val="24"/>
                <w:lang w:val="zh-TW"/>
              </w:rPr>
              <w:t>参数要求</w:t>
            </w:r>
          </w:p>
        </w:tc>
      </w:tr>
      <w:tr>
        <w:tblPrEx>
          <w:tblCellMar>
            <w:top w:w="0" w:type="dxa"/>
            <w:left w:w="108" w:type="dxa"/>
            <w:bottom w:w="0" w:type="dxa"/>
            <w:right w:w="108" w:type="dxa"/>
          </w:tblCellMar>
        </w:tblPrEx>
        <w:trPr>
          <w:wBefore w:w="0" w:type="dxa"/>
          <w:wAfter w:w="0" w:type="dxa"/>
          <w:trHeight w:val="288"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接口</w:t>
            </w:r>
          </w:p>
        </w:tc>
        <w:tc>
          <w:tcPr>
            <w:tcW w:w="7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sz w:val="24"/>
              </w:rPr>
              <w:t>★</w:t>
            </w:r>
            <w:r>
              <w:rPr>
                <w:rFonts w:hint="eastAsia" w:ascii="宋体" w:hAnsi="宋体" w:cs="宋体"/>
                <w:color w:val="000000"/>
                <w:kern w:val="0"/>
                <w:sz w:val="24"/>
              </w:rPr>
              <w:t>配置激活≥24*32GB端口（含24个32G FC模块）及5M光纤线、支持最大FC端口数≥64。</w:t>
            </w:r>
          </w:p>
        </w:tc>
      </w:tr>
      <w:tr>
        <w:tblPrEx>
          <w:tblCellMar>
            <w:top w:w="0" w:type="dxa"/>
            <w:left w:w="108" w:type="dxa"/>
            <w:bottom w:w="0" w:type="dxa"/>
            <w:right w:w="108" w:type="dxa"/>
          </w:tblCellMar>
        </w:tblPrEx>
        <w:trPr>
          <w:wBefore w:w="0" w:type="dxa"/>
          <w:wAfter w:w="0" w:type="dxa"/>
          <w:trHeight w:val="9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管理</w:t>
            </w:r>
          </w:p>
        </w:tc>
        <w:tc>
          <w:tcPr>
            <w:tcW w:w="7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支持SNMPv1/v3 、Telnet、Web管理／GUI界面。</w:t>
            </w:r>
          </w:p>
        </w:tc>
      </w:tr>
      <w:tr>
        <w:tblPrEx>
          <w:tblCellMar>
            <w:top w:w="0" w:type="dxa"/>
            <w:left w:w="108" w:type="dxa"/>
            <w:bottom w:w="0" w:type="dxa"/>
            <w:right w:w="108" w:type="dxa"/>
          </w:tblCellMar>
        </w:tblPrEx>
        <w:trPr>
          <w:wBefore w:w="0" w:type="dxa"/>
          <w:wAfter w:w="0" w:type="dxa"/>
          <w:trHeight w:val="346"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虚拟化</w:t>
            </w:r>
          </w:p>
        </w:tc>
        <w:tc>
          <w:tcPr>
            <w:tcW w:w="7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支持集成路由和虚拟Fabric(VF)技术。</w:t>
            </w:r>
          </w:p>
        </w:tc>
      </w:tr>
      <w:tr>
        <w:tblPrEx>
          <w:tblCellMar>
            <w:top w:w="0" w:type="dxa"/>
            <w:left w:w="108" w:type="dxa"/>
            <w:bottom w:w="0" w:type="dxa"/>
            <w:right w:w="108" w:type="dxa"/>
          </w:tblCellMar>
        </w:tblPrEx>
        <w:trPr>
          <w:wBefore w:w="0" w:type="dxa"/>
          <w:wAfter w:w="0" w:type="dxa"/>
          <w:trHeight w:val="288"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54"/>
              <w:rPr>
                <w:rFonts w:ascii="宋体" w:hAnsi="宋体" w:cs="宋体"/>
                <w:color w:val="000000"/>
                <w:kern w:val="0"/>
                <w:sz w:val="24"/>
                <w:szCs w:val="24"/>
              </w:rPr>
            </w:pPr>
            <w:r>
              <w:rPr>
                <w:rFonts w:hint="eastAsia" w:ascii="宋体" w:hAnsi="宋体" w:cs="宋体"/>
                <w:sz w:val="24"/>
                <w:szCs w:val="24"/>
              </w:rPr>
              <w:t>服务要求</w:t>
            </w:r>
          </w:p>
        </w:tc>
        <w:tc>
          <w:tcPr>
            <w:tcW w:w="7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54"/>
              <w:rPr>
                <w:rFonts w:ascii="宋体" w:hAnsi="宋体" w:cs="宋体"/>
                <w:sz w:val="24"/>
                <w:szCs w:val="24"/>
              </w:rPr>
            </w:pPr>
            <w:r>
              <w:rPr>
                <w:rFonts w:hint="eastAsia" w:ascii="宋体" w:hAnsi="宋体" w:cs="宋体"/>
                <w:kern w:val="0"/>
                <w:sz w:val="24"/>
                <w:szCs w:val="24"/>
              </w:rPr>
              <w:t>▲</w:t>
            </w:r>
            <w:r>
              <w:rPr>
                <w:rFonts w:hint="eastAsia" w:ascii="宋体" w:hAnsi="宋体" w:cs="宋体"/>
                <w:sz w:val="24"/>
                <w:szCs w:val="24"/>
              </w:rPr>
              <w:t>本次提供不少于5年原厂质保。</w:t>
            </w:r>
          </w:p>
        </w:tc>
      </w:tr>
    </w:tbl>
    <w:p>
      <w:pPr>
        <w:pStyle w:val="2"/>
        <w:numPr>
          <w:ilvl w:val="1"/>
          <w:numId w:val="9"/>
        </w:numPr>
        <w:spacing w:before="240" w:after="60" w:line="413" w:lineRule="auto"/>
      </w:pPr>
      <w:r>
        <w:rPr>
          <w:rFonts w:hint="eastAsia"/>
        </w:rPr>
        <w:t>全闪存储系统</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trPr>
        <w:tc>
          <w:tcPr>
            <w:tcW w:w="1474" w:type="dxa"/>
            <w:shd w:val="clear" w:color="auto" w:fill="auto"/>
            <w:noWrap w:val="0"/>
            <w:vAlign w:val="center"/>
          </w:tcPr>
          <w:p>
            <w:pPr>
              <w:jc w:val="center"/>
              <w:rPr>
                <w:rFonts w:ascii="宋体" w:hAnsi="宋体" w:cs="宋体"/>
                <w:color w:val="000000"/>
                <w:kern w:val="0"/>
                <w:sz w:val="24"/>
              </w:rPr>
            </w:pPr>
            <w:r>
              <w:rPr>
                <w:rFonts w:hint="eastAsia" w:ascii="宋体" w:hAnsi="宋体" w:cs="宋体"/>
                <w:b/>
                <w:bCs/>
                <w:color w:val="000000"/>
                <w:kern w:val="0"/>
                <w:sz w:val="24"/>
              </w:rPr>
              <w:t>指标项</w:t>
            </w:r>
          </w:p>
        </w:tc>
        <w:tc>
          <w:tcPr>
            <w:tcW w:w="7848" w:type="dxa"/>
            <w:shd w:val="clear" w:color="auto" w:fill="auto"/>
            <w:noWrap w:val="0"/>
            <w:vAlign w:val="top"/>
          </w:tcPr>
          <w:p>
            <w:pPr>
              <w:jc w:val="center"/>
              <w:rPr>
                <w:rFonts w:ascii="宋体" w:hAnsi="宋体" w:cs="宋体"/>
                <w:color w:val="000000"/>
                <w:kern w:val="0"/>
                <w:sz w:val="24"/>
              </w:rPr>
            </w:pPr>
            <w:r>
              <w:rPr>
                <w:b/>
                <w:bCs/>
                <w:sz w:val="24"/>
                <w:lang w:val="zh-TW"/>
              </w:rPr>
              <w:t>参数</w:t>
            </w:r>
            <w:r>
              <w:rPr>
                <w:rFonts w:hint="eastAsia" w:ascii="宋体" w:hAnsi="宋体" w:cs="宋体"/>
                <w:b/>
                <w:bCs/>
                <w:color w:val="000000"/>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体系架构：盘控一体</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采用2U盘控一体架构，控制器框提供≥24个硬盘槽位。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2"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A-A架构，负载均衡</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控制器采用Active-Active架构，LUN不归属于某一个控制器，业务负载均衡到≥2个控制器。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4"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体系架构：SAN和NAS融合</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SAN和NAS一体化，配置NAS协议（包括NFS、CIFS以及NDMP）、IP SAN和FC SAN协议，不需额外配置NAS网关，支持SAN和NAS共资源池，无需独立分配。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全系端到端NVMe架构</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前端采用基于FC或者RDMA的NVMe协议，后端支持基于RDMA或者PCI-E的NVMe协议，支持端到端NVMe架构。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NDU升级</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支持无中断升级，采用模块化软件架构设计，超过90%的组件用户态，升级无需重启控制器。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控制器配置</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sz w:val="24"/>
              </w:rPr>
              <w:t>★</w:t>
            </w:r>
            <w:r>
              <w:rPr>
                <w:rFonts w:hint="eastAsia" w:ascii="宋体" w:hAnsi="宋体" w:cs="宋体"/>
                <w:color w:val="000000"/>
                <w:kern w:val="0"/>
                <w:sz w:val="24"/>
              </w:rPr>
              <w:t>配置≥2个控制器，控制器采用多核处理器，且控制器处理器总核心数≥32核。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4"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存储缓存容量</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sz w:val="24"/>
              </w:rPr>
              <w:t>★</w:t>
            </w:r>
            <w:r>
              <w:rPr>
                <w:rFonts w:hint="eastAsia" w:ascii="宋体" w:hAnsi="宋体" w:cs="宋体"/>
                <w:color w:val="000000"/>
                <w:kern w:val="0"/>
                <w:sz w:val="24"/>
              </w:rPr>
              <w:t>系统内总一级缓存容量配置≥256GB，且任意控制器一级缓存容量≥128GB（不含任何性能加速模块、FlashCache、PAM卡，SSD Cache、SCM等）。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前端主机通道接口数量</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配置≥8*千兆电口，≥8*10Gbps Ethernet接口（含多模光模块），32GB FC端口数≥4（含光模块）。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配置硬盘</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sz w:val="24"/>
              </w:rPr>
              <w:t>★</w:t>
            </w:r>
            <w:r>
              <w:rPr>
                <w:rFonts w:hint="eastAsia" w:ascii="宋体" w:hAnsi="宋体" w:cs="宋体"/>
                <w:color w:val="000000"/>
                <w:kern w:val="0"/>
                <w:sz w:val="24"/>
              </w:rPr>
              <w:t>配置≥10*3.84TB SSD 硬盘单元。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9"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支持RAID</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★支持RAID-TP，在同一个RAID组内容忍任意3盘同时失效，数据不丢&amp;不中断业务</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双活功能</w:t>
            </w:r>
          </w:p>
        </w:tc>
        <w:tc>
          <w:tcPr>
            <w:tcW w:w="7848"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配置双活功能许可。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QoS</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配置Qos功能，支持按照LUN、LUN组和主机的方式进行流量控制。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2"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时延</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稳定时延≤0.5ms</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4"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WORM</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支持WORM特性，满足一次写入不可修改和删除或者写入超过指定时间（比如2小时）锁定不可修改，满足关键业务文件信息安全以及法规遵从的要求。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trPr>
        <w:tc>
          <w:tcPr>
            <w:tcW w:w="1474"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sz w:val="24"/>
              </w:rPr>
              <w:t>服务要求</w:t>
            </w:r>
          </w:p>
        </w:tc>
        <w:tc>
          <w:tcPr>
            <w:tcW w:w="7848" w:type="dxa"/>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分布式存储</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trPr>
        <w:tc>
          <w:tcPr>
            <w:tcW w:w="1474" w:type="dxa"/>
            <w:shd w:val="clear" w:color="auto" w:fill="auto"/>
            <w:noWrap w:val="0"/>
            <w:vAlign w:val="center"/>
          </w:tcPr>
          <w:p>
            <w:pPr>
              <w:jc w:val="center"/>
              <w:rPr>
                <w:rFonts w:ascii="宋体" w:hAnsi="宋体" w:cs="宋体"/>
                <w:color w:val="000000"/>
                <w:kern w:val="0"/>
                <w:sz w:val="24"/>
              </w:rPr>
            </w:pPr>
            <w:r>
              <w:rPr>
                <w:rFonts w:hint="eastAsia" w:ascii="宋体" w:hAnsi="宋体" w:cs="宋体"/>
                <w:b/>
                <w:bCs/>
                <w:color w:val="000000"/>
                <w:kern w:val="0"/>
                <w:sz w:val="24"/>
              </w:rPr>
              <w:t>指标项</w:t>
            </w:r>
          </w:p>
        </w:tc>
        <w:tc>
          <w:tcPr>
            <w:tcW w:w="7848" w:type="dxa"/>
            <w:shd w:val="clear" w:color="auto" w:fill="auto"/>
            <w:noWrap w:val="0"/>
            <w:vAlign w:val="top"/>
          </w:tcPr>
          <w:p>
            <w:pPr>
              <w:jc w:val="center"/>
              <w:rPr>
                <w:rFonts w:ascii="宋体" w:hAnsi="宋体" w:cs="宋体"/>
                <w:color w:val="000000"/>
                <w:kern w:val="0"/>
                <w:sz w:val="24"/>
              </w:rPr>
            </w:pPr>
            <w:r>
              <w:rPr>
                <w:b/>
                <w:bCs/>
                <w:sz w:val="24"/>
                <w:lang w:val="zh-TW"/>
              </w:rPr>
              <w:t>参数</w:t>
            </w:r>
            <w:r>
              <w:rPr>
                <w:rFonts w:hint="eastAsia" w:ascii="宋体" w:hAnsi="宋体" w:cs="宋体"/>
                <w:b/>
                <w:bCs/>
                <w:color w:val="000000"/>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trPr>
        <w:tc>
          <w:tcPr>
            <w:tcW w:w="1474"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存储节点数量</w:t>
            </w:r>
          </w:p>
        </w:tc>
        <w:tc>
          <w:tcPr>
            <w:tcW w:w="7848"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▲不得少于3节点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★CPU</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CPU≥2.6GHz, 单节点核数≥2*32C。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8"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★内存</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单存储节点内存≥256GB。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★硬盘</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本次每节点配置：≥12*14T 7.2K rpm SATA硬盘，≥2*600GB SSD SATA硬盘单元，≥2*3.2TB SSD SAS硬盘单元。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接口</w:t>
            </w:r>
          </w:p>
        </w:tc>
        <w:tc>
          <w:tcPr>
            <w:tcW w:w="7848"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提</w:t>
            </w:r>
            <w:r>
              <w:rPr>
                <w:rFonts w:hint="eastAsia" w:ascii="宋体" w:hAnsi="宋体" w:cs="宋体"/>
                <w:kern w:val="0"/>
                <w:sz w:val="24"/>
              </w:rPr>
              <w:t>供≥4*GE端口，≥4</w:t>
            </w:r>
            <w:r>
              <w:rPr>
                <w:rFonts w:hint="eastAsia" w:ascii="宋体" w:hAnsi="宋体" w:cs="宋体"/>
                <w:color w:val="000000"/>
                <w:kern w:val="0"/>
                <w:sz w:val="24"/>
              </w:rPr>
              <w:t>*25G/10G自适应光口（含万兆多模光模块）。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4"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数据重构</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支持数据快速重构，当磁盘或存储节点故障时，系统能自动进行数据重建，在无人工干预条件下，数据重建速度能满足：每TB≤15分钟。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4"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端到端DIF</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支持存储软件端到端数据完整性校验，字节跳变、读偏、写偏等数据静默错误可自动校验并修复，提升数据可靠性。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EC和并行客户端</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支持2副本/3副本、EC的数据保护模式，且支持+2/+3/+4灵活EC配比。支持并行客户端，支持MPI-IO，兼容OpenMPI， MPICH2。支持回收站功能。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QoS</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支持卷的IOPS、带宽的上限设置，可设置卷的总IOPS和带宽，也可以设置每单位容量的IOPS与带宽。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协议支持</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一套存储支持NFS/CIFS/POSIX/MPI-IO/HDFS/S3多种访问协议，无需配置独立的网关节点。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4"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数据冗余保护</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支持数据高冗余模式，最多可容忍任意4个节点同时失效而不丢失数据。支持动态EC，当节点故障时，自动调整EC配比，确保新数据可靠性不降级。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多租户</w:t>
            </w:r>
          </w:p>
        </w:tc>
        <w:tc>
          <w:tcPr>
            <w:tcW w:w="7848" w:type="dxa"/>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支持多租户能力，可基于租户设置域控、协议类型、Qos，以租户为粒度进行元数据检索和审计日志查询。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1474"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sz w:val="24"/>
              </w:rPr>
              <w:t>服务要求</w:t>
            </w:r>
          </w:p>
        </w:tc>
        <w:tc>
          <w:tcPr>
            <w:tcW w:w="7848" w:type="dxa"/>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存储后端交换机</w:t>
      </w:r>
    </w:p>
    <w:tbl>
      <w:tblPr>
        <w:tblStyle w:val="57"/>
        <w:tblW w:w="9226" w:type="dxa"/>
        <w:tblInd w:w="96" w:type="dxa"/>
        <w:tblLayout w:type="fixed"/>
        <w:tblCellMar>
          <w:top w:w="0" w:type="dxa"/>
          <w:left w:w="108" w:type="dxa"/>
          <w:bottom w:w="0" w:type="dxa"/>
          <w:right w:w="108" w:type="dxa"/>
        </w:tblCellMar>
      </w:tblPr>
      <w:tblGrid>
        <w:gridCol w:w="1226"/>
        <w:gridCol w:w="8000"/>
      </w:tblGrid>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360" w:lineRule="auto"/>
              <w:rPr>
                <w:rFonts w:ascii="宋体" w:hAnsi="宋体" w:cs="宋体"/>
                <w:color w:val="000000"/>
                <w:kern w:val="0"/>
                <w:sz w:val="24"/>
              </w:rPr>
            </w:pPr>
            <w:r>
              <w:rPr>
                <w:rFonts w:hint="eastAsia" w:ascii="宋体" w:hAnsi="宋体" w:cs="宋体"/>
                <w:b/>
                <w:bCs/>
                <w:color w:val="000000"/>
                <w:kern w:val="0"/>
                <w:sz w:val="24"/>
              </w:rPr>
              <w:t>指标项</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360" w:lineRule="auto"/>
              <w:ind w:firstLine="422"/>
              <w:jc w:val="center"/>
              <w:rPr>
                <w:rFonts w:ascii="宋体" w:hAnsi="宋体" w:cs="宋体"/>
                <w:color w:val="000000"/>
                <w:kern w:val="0"/>
                <w:sz w:val="24"/>
              </w:rPr>
            </w:pPr>
            <w:r>
              <w:rPr>
                <w:rFonts w:hint="eastAsia" w:ascii="宋体" w:hAnsi="宋体" w:cs="宋体"/>
                <w:b/>
                <w:bCs/>
                <w:color w:val="000000"/>
                <w:kern w:val="0"/>
                <w:sz w:val="24"/>
              </w:rPr>
              <w:t>参数要求</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★性能</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交换容量≥2.5Tbps，包转发率≥1200Mpps。</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★接口</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万兆光口≥24；</w:t>
            </w:r>
            <w:r>
              <w:rPr>
                <w:rFonts w:hint="eastAsia" w:ascii="宋体" w:hAnsi="宋体" w:cs="宋体"/>
                <w:kern w:val="0"/>
                <w:sz w:val="24"/>
              </w:rPr>
              <w:t>40G/100G光口≥6</w:t>
            </w:r>
            <w:r>
              <w:rPr>
                <w:rFonts w:hint="eastAsia" w:ascii="宋体" w:hAnsi="宋体" w:cs="宋体"/>
                <w:color w:val="000000"/>
                <w:kern w:val="0"/>
                <w:sz w:val="24"/>
              </w:rPr>
              <w:t>，实配万兆多模光模块≥16个，40G堆叠线缆5m一根。</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电源</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为了提高设备可靠性，支持并实配双电源。</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散热</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为了提高设备散热性能，支持可插拔风扇，风扇个数≥4。</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ARP</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ARP规格容量≥131k；MAC地址表容量≥290k。</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路由表</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IPv4路由规格≥256k，IPv6路由规格≥120k。</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路由协议</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支持静态路由、RIP V1/2、OSPF、IS-IS、BGP、RIPng、OSPFv3、BGP4+、ISISv6等路由协议。</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VXLAN支持</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支持VxLAN功能，支持BGP EVPN 。</w:t>
            </w:r>
          </w:p>
        </w:tc>
      </w:tr>
      <w:tr>
        <w:tblPrEx>
          <w:tblCellMar>
            <w:top w:w="0" w:type="dxa"/>
            <w:left w:w="108" w:type="dxa"/>
            <w:bottom w:w="0" w:type="dxa"/>
            <w:right w:w="108" w:type="dxa"/>
          </w:tblCellMar>
        </w:tblPrEx>
        <w:trPr>
          <w:wBefore w:w="0" w:type="dxa"/>
          <w:wAfter w:w="0" w:type="dxa"/>
          <w:trHeight w:val="576"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sz w:val="24"/>
              </w:rPr>
              <w:t>服务要求</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内网超融合系统</w:t>
      </w:r>
    </w:p>
    <w:tbl>
      <w:tblPr>
        <w:tblStyle w:val="57"/>
        <w:tblW w:w="92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Layout w:type="fixed"/>
        <w:tblCellMar>
          <w:top w:w="0" w:type="dxa"/>
          <w:left w:w="0" w:type="dxa"/>
          <w:bottom w:w="0" w:type="dxa"/>
          <w:right w:w="0" w:type="dxa"/>
        </w:tblCellMar>
      </w:tblPr>
      <w:tblGrid>
        <w:gridCol w:w="1165"/>
        <w:gridCol w:w="8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CellMar>
            <w:top w:w="0" w:type="dxa"/>
            <w:left w:w="0" w:type="dxa"/>
            <w:bottom w:w="0" w:type="dxa"/>
            <w:right w:w="0" w:type="dxa"/>
          </w:tblCellMar>
        </w:tblPrEx>
        <w:trPr>
          <w:wBefore w:w="0" w:type="dxa"/>
          <w:wAfter w:w="0" w:type="dxa"/>
          <w:trHeight w:val="250" w:hRule="atLeast"/>
        </w:trPr>
        <w:tc>
          <w:tcPr>
            <w:tcW w:w="1165" w:type="dxa"/>
            <w:shd w:val="clear" w:color="auto" w:fill="FFFFFF"/>
            <w:noWrap w:val="0"/>
            <w:tcMar>
              <w:top w:w="80" w:type="dxa"/>
              <w:left w:w="80" w:type="dxa"/>
              <w:bottom w:w="80" w:type="dxa"/>
              <w:right w:w="80" w:type="dxa"/>
            </w:tcMar>
            <w:vAlign w:val="top"/>
          </w:tcPr>
          <w:p>
            <w:pPr>
              <w:spacing w:line="300" w:lineRule="auto"/>
              <w:rPr>
                <w:rFonts w:ascii="宋体" w:hAnsi="宋体" w:cs="宋体"/>
                <w:b/>
                <w:bCs/>
                <w:sz w:val="24"/>
                <w:lang w:val="zh-TW"/>
              </w:rPr>
            </w:pPr>
            <w:r>
              <w:rPr>
                <w:rFonts w:hint="eastAsia" w:ascii="宋体" w:hAnsi="宋体" w:cs="宋体"/>
                <w:b/>
                <w:bCs/>
                <w:sz w:val="24"/>
                <w:lang w:val="zh-TW"/>
              </w:rPr>
              <w:t>技术指标</w:t>
            </w:r>
          </w:p>
        </w:tc>
        <w:tc>
          <w:tcPr>
            <w:tcW w:w="8129" w:type="dxa"/>
            <w:shd w:val="clear" w:color="auto" w:fill="FFFFFF"/>
            <w:noWrap w:val="0"/>
            <w:tcMar>
              <w:top w:w="80" w:type="dxa"/>
              <w:left w:w="80" w:type="dxa"/>
              <w:bottom w:w="80" w:type="dxa"/>
              <w:right w:w="80" w:type="dxa"/>
            </w:tcMar>
            <w:vAlign w:val="center"/>
          </w:tcPr>
          <w:p>
            <w:pPr>
              <w:spacing w:line="300" w:lineRule="auto"/>
              <w:jc w:val="center"/>
              <w:rPr>
                <w:rFonts w:ascii="宋体" w:hAnsi="宋体" w:cs="宋体"/>
                <w:b/>
                <w:bCs/>
                <w:sz w:val="24"/>
                <w:lang w:val="zh-TW"/>
              </w:rPr>
            </w:pPr>
            <w:r>
              <w:rPr>
                <w:rFonts w:hint="eastAsia" w:ascii="宋体" w:hAnsi="宋体" w:cs="宋体"/>
                <w:b/>
                <w:bCs/>
                <w:sz w:val="24"/>
                <w:lang w:val="zh-TW"/>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1533" w:hRule="atLeast"/>
        </w:trPr>
        <w:tc>
          <w:tcPr>
            <w:tcW w:w="1165" w:type="dxa"/>
            <w:shd w:val="clear" w:color="auto" w:fill="auto"/>
            <w:noWrap w:val="0"/>
            <w:vAlign w:val="center"/>
          </w:tcPr>
          <w:p>
            <w:pPr>
              <w:spacing w:line="300" w:lineRule="auto"/>
              <w:jc w:val="center"/>
              <w:rPr>
                <w:rFonts w:ascii="宋体" w:hAnsi="宋体" w:cs="宋体"/>
                <w:sz w:val="24"/>
              </w:rPr>
            </w:pPr>
            <w:r>
              <w:rPr>
                <w:rFonts w:hint="eastAsia" w:ascii="宋体" w:hAnsi="宋体" w:cs="宋体"/>
                <w:color w:val="000000"/>
                <w:kern w:val="0"/>
                <w:sz w:val="24"/>
              </w:rPr>
              <w:t>★</w:t>
            </w:r>
            <w:r>
              <w:rPr>
                <w:rFonts w:hint="eastAsia" w:ascii="宋体" w:hAnsi="宋体" w:cs="宋体"/>
                <w:sz w:val="24"/>
              </w:rPr>
              <w:t>性能要求</w:t>
            </w: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每台</w:t>
            </w:r>
            <w:r>
              <w:rPr>
                <w:rFonts w:hint="eastAsia" w:ascii="宋体" w:hAnsi="宋体" w:cs="宋体"/>
                <w:sz w:val="24"/>
                <w:lang w:val="zh-TW"/>
              </w:rPr>
              <w:t>规格</w:t>
            </w:r>
            <w:r>
              <w:rPr>
                <w:rFonts w:hint="eastAsia" w:ascii="宋体" w:hAnsi="宋体" w:cs="宋体"/>
                <w:sz w:val="24"/>
              </w:rPr>
              <w:t>≥</w:t>
            </w:r>
            <w:r>
              <w:rPr>
                <w:rFonts w:hint="eastAsia" w:ascii="宋体" w:hAnsi="宋体" w:cs="宋体"/>
                <w:sz w:val="24"/>
                <w:lang w:val="zh-TW"/>
              </w:rPr>
              <w:t>2U；</w:t>
            </w:r>
            <w:r>
              <w:rPr>
                <w:rFonts w:hint="eastAsia" w:ascii="宋体" w:hAnsi="宋体" w:cs="宋体"/>
                <w:sz w:val="24"/>
              </w:rPr>
              <w:t>配置≥2颗CPU，单颗</w:t>
            </w:r>
            <w:r>
              <w:rPr>
                <w:rFonts w:hint="eastAsia" w:ascii="宋体" w:hAnsi="宋体" w:cs="宋体"/>
                <w:sz w:val="24"/>
                <w:lang w:val="zh-TW"/>
              </w:rPr>
              <w:t>CPU</w:t>
            </w:r>
            <w:r>
              <w:rPr>
                <w:rFonts w:hint="eastAsia" w:ascii="宋体" w:hAnsi="宋体" w:cs="宋体"/>
                <w:sz w:val="24"/>
              </w:rPr>
              <w:t>主频≥</w:t>
            </w:r>
            <w:r>
              <w:rPr>
                <w:rFonts w:hint="eastAsia" w:ascii="宋体" w:hAnsi="宋体" w:cs="宋体"/>
                <w:sz w:val="24"/>
                <w:lang w:val="zh-TW"/>
              </w:rPr>
              <w:t>2.</w:t>
            </w:r>
            <w:r>
              <w:rPr>
                <w:rFonts w:hint="eastAsia" w:ascii="宋体" w:hAnsi="宋体" w:cs="宋体"/>
                <w:sz w:val="24"/>
              </w:rPr>
              <w:t>1</w:t>
            </w:r>
            <w:r>
              <w:rPr>
                <w:rFonts w:hint="eastAsia" w:ascii="宋体" w:hAnsi="宋体" w:cs="宋体"/>
                <w:sz w:val="24"/>
                <w:lang w:val="zh-TW"/>
              </w:rPr>
              <w:t>GHz</w:t>
            </w:r>
            <w:r>
              <w:rPr>
                <w:rFonts w:hint="eastAsia" w:ascii="宋体" w:hAnsi="宋体" w:cs="宋体"/>
                <w:sz w:val="24"/>
              </w:rPr>
              <w:t>核数≥24</w:t>
            </w:r>
            <w:r>
              <w:rPr>
                <w:rFonts w:hint="eastAsia" w:ascii="宋体" w:hAnsi="宋体" w:cs="宋体"/>
                <w:sz w:val="24"/>
                <w:lang w:val="zh-TW"/>
              </w:rPr>
              <w:t>C；内存</w:t>
            </w:r>
            <w:r>
              <w:rPr>
                <w:rFonts w:hint="eastAsia" w:ascii="宋体" w:hAnsi="宋体" w:cs="宋体"/>
                <w:sz w:val="24"/>
              </w:rPr>
              <w:t>≥1TB</w:t>
            </w:r>
            <w:r>
              <w:rPr>
                <w:rFonts w:hint="eastAsia" w:ascii="宋体" w:hAnsi="宋体" w:cs="宋体"/>
                <w:sz w:val="24"/>
                <w:lang w:val="zh-TW"/>
              </w:rPr>
              <w:t xml:space="preserve"> DDR4 </w:t>
            </w:r>
            <w:r>
              <w:rPr>
                <w:rFonts w:hint="eastAsia" w:ascii="宋体" w:hAnsi="宋体" w:cs="宋体"/>
                <w:sz w:val="24"/>
              </w:rPr>
              <w:t>2933</w:t>
            </w:r>
            <w:r>
              <w:rPr>
                <w:rFonts w:hint="eastAsia" w:ascii="宋体" w:hAnsi="宋体" w:cs="宋体"/>
                <w:sz w:val="24"/>
                <w:lang w:val="zh-TW"/>
              </w:rPr>
              <w:t>，系统盘</w:t>
            </w:r>
            <w:r>
              <w:rPr>
                <w:rFonts w:hint="eastAsia" w:ascii="宋体" w:hAnsi="宋体" w:cs="宋体"/>
                <w:sz w:val="24"/>
              </w:rPr>
              <w:t>≥</w:t>
            </w:r>
            <w:r>
              <w:rPr>
                <w:rFonts w:hint="eastAsia" w:ascii="宋体" w:hAnsi="宋体" w:cs="宋体"/>
                <w:sz w:val="24"/>
                <w:lang w:val="zh-TW"/>
              </w:rPr>
              <w:t>2*480G SATA SSD，标配盘位数</w:t>
            </w:r>
            <w:r>
              <w:rPr>
                <w:rFonts w:hint="eastAsia" w:ascii="宋体" w:hAnsi="宋体" w:cs="宋体"/>
                <w:sz w:val="24"/>
              </w:rPr>
              <w:t>≥</w:t>
            </w:r>
            <w:r>
              <w:rPr>
                <w:rFonts w:hint="eastAsia" w:ascii="宋体" w:hAnsi="宋体" w:cs="宋体"/>
                <w:sz w:val="24"/>
                <w:lang w:val="zh-TW"/>
              </w:rPr>
              <w:t>12，电源：冗余电源，接口</w:t>
            </w:r>
            <w:r>
              <w:rPr>
                <w:rFonts w:hint="eastAsia" w:ascii="宋体" w:hAnsi="宋体" w:cs="宋体"/>
                <w:sz w:val="24"/>
              </w:rPr>
              <w:t>≥4</w:t>
            </w:r>
            <w:r>
              <w:rPr>
                <w:rFonts w:hint="eastAsia" w:ascii="宋体" w:hAnsi="宋体" w:cs="宋体"/>
                <w:sz w:val="24"/>
                <w:lang w:val="zh-TW"/>
              </w:rPr>
              <w:t>千兆电口+</w:t>
            </w:r>
            <w:r>
              <w:rPr>
                <w:rFonts w:hint="eastAsia" w:ascii="宋体" w:hAnsi="宋体" w:cs="宋体"/>
                <w:sz w:val="24"/>
              </w:rPr>
              <w:t>4</w:t>
            </w:r>
            <w:r>
              <w:rPr>
                <w:rFonts w:hint="eastAsia" w:ascii="宋体" w:hAnsi="宋体" w:cs="宋体"/>
                <w:sz w:val="24"/>
                <w:lang w:val="zh-TW"/>
              </w:rPr>
              <w:t>万兆光口（</w:t>
            </w:r>
            <w:r>
              <w:rPr>
                <w:rFonts w:hint="eastAsia" w:ascii="宋体" w:hAnsi="宋体" w:cs="宋体"/>
                <w:sz w:val="24"/>
              </w:rPr>
              <w:t>含模块</w:t>
            </w:r>
            <w:r>
              <w:rPr>
                <w:rFonts w:hint="eastAsia" w:ascii="宋体" w:hAnsi="宋体" w:cs="宋体"/>
                <w:sz w:val="24"/>
                <w:lang w:val="zh-TW"/>
              </w:rPr>
              <w:t>）。</w:t>
            </w:r>
            <w:r>
              <w:rPr>
                <w:rFonts w:hint="eastAsia" w:ascii="宋体" w:hAnsi="宋体" w:cs="宋体"/>
                <w:sz w:val="24"/>
              </w:rPr>
              <w:t>硬盘≥2块1.6</w:t>
            </w:r>
            <w:r>
              <w:rPr>
                <w:rFonts w:hint="eastAsia" w:ascii="宋体" w:hAnsi="宋体" w:cs="宋体"/>
                <w:sz w:val="24"/>
                <w:lang w:val="zh-TW"/>
              </w:rPr>
              <w:t>T</w:t>
            </w:r>
            <w:r>
              <w:rPr>
                <w:rFonts w:hint="eastAsia" w:ascii="宋体" w:hAnsi="宋体" w:cs="宋体"/>
                <w:sz w:val="24"/>
              </w:rPr>
              <w:t xml:space="preserve"> NVME SSD固态硬盘+4块3.84T SATA SSD固态硬盘。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CellMar>
            <w:top w:w="0" w:type="dxa"/>
            <w:left w:w="0" w:type="dxa"/>
            <w:bottom w:w="0" w:type="dxa"/>
            <w:right w:w="0" w:type="dxa"/>
          </w:tblCellMar>
        </w:tblPrEx>
        <w:trPr>
          <w:wBefore w:w="0" w:type="dxa"/>
          <w:wAfter w:w="0" w:type="dxa"/>
          <w:trHeight w:val="975" w:hRule="atLeast"/>
        </w:trPr>
        <w:tc>
          <w:tcPr>
            <w:tcW w:w="1165" w:type="dxa"/>
            <w:shd w:val="clear" w:color="auto" w:fill="auto"/>
            <w:noWrap w:val="0"/>
            <w:vAlign w:val="center"/>
          </w:tcPr>
          <w:p>
            <w:pPr>
              <w:spacing w:line="300" w:lineRule="auto"/>
              <w:jc w:val="center"/>
              <w:rPr>
                <w:rFonts w:ascii="宋体" w:hAnsi="宋体" w:cs="宋体"/>
                <w:sz w:val="24"/>
              </w:rPr>
            </w:pPr>
            <w:r>
              <w:rPr>
                <w:rFonts w:hint="eastAsia" w:ascii="宋体" w:hAnsi="宋体" w:cs="宋体"/>
                <w:sz w:val="24"/>
              </w:rPr>
              <w:t>超融合授权</w:t>
            </w: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本次项目提供≥2个物理CPU数量的国产超融合软件（包含计算虚拟化、存储虚拟化、网络虚拟化、云管平台），含超融合数据库管理平台。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75" w:hRule="atLeast"/>
        </w:trPr>
        <w:tc>
          <w:tcPr>
            <w:tcW w:w="1165" w:type="dxa"/>
            <w:shd w:val="clear" w:color="auto" w:fill="auto"/>
            <w:noWrap w:val="0"/>
            <w:vAlign w:val="center"/>
          </w:tcPr>
          <w:p>
            <w:pPr>
              <w:spacing w:line="300" w:lineRule="auto"/>
              <w:jc w:val="center"/>
              <w:rPr>
                <w:rFonts w:ascii="宋体" w:hAnsi="宋体" w:cs="宋体"/>
                <w:sz w:val="24"/>
              </w:rPr>
            </w:pPr>
            <w:r>
              <w:rPr>
                <w:rFonts w:hint="eastAsia" w:ascii="宋体" w:hAnsi="宋体" w:cs="宋体"/>
                <w:sz w:val="24"/>
              </w:rPr>
              <w:t>超融合容灾改造及授权</w:t>
            </w: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本次需提供原有三台服务器的改造（每台服务器增加256GB内存），用作本次超融合服务器平台的容灾平台，另需提供改造所需的授权软件（国产）及容灾软件，并提供对应负载均衡模块授权，使可以作为新建超融合平台的应急接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75" w:hRule="atLeast"/>
        </w:trPr>
        <w:tc>
          <w:tcPr>
            <w:tcW w:w="1165" w:type="dxa"/>
            <w:shd w:val="clear" w:color="auto" w:fill="auto"/>
            <w:noWrap w:val="0"/>
            <w:vAlign w:val="center"/>
          </w:tcPr>
          <w:p>
            <w:pPr>
              <w:spacing w:line="300" w:lineRule="auto"/>
              <w:jc w:val="center"/>
              <w:rPr>
                <w:rFonts w:ascii="宋体" w:hAnsi="宋体" w:cs="宋体"/>
                <w:sz w:val="24"/>
              </w:rPr>
            </w:pPr>
            <w:r>
              <w:rPr>
                <w:rFonts w:hint="eastAsia" w:ascii="宋体" w:hAnsi="宋体" w:cs="宋体"/>
                <w:sz w:val="24"/>
              </w:rPr>
              <w:t>超融合软件要求</w:t>
            </w:r>
          </w:p>
        </w:tc>
        <w:tc>
          <w:tcPr>
            <w:tcW w:w="8129" w:type="dxa"/>
            <w:shd w:val="clear" w:color="auto" w:fill="auto"/>
            <w:noWrap w:val="0"/>
            <w:tcMar>
              <w:top w:w="80" w:type="dxa"/>
              <w:left w:w="80" w:type="dxa"/>
              <w:bottom w:w="80" w:type="dxa"/>
              <w:right w:w="80" w:type="dxa"/>
            </w:tcMar>
            <w:vAlign w:val="center"/>
          </w:tcPr>
          <w:p>
            <w:pPr>
              <w:spacing w:line="300" w:lineRule="auto"/>
            </w:pPr>
            <w:r>
              <w:rPr>
                <w:rFonts w:hint="eastAsia" w:ascii="宋体" w:hAnsi="宋体" w:cs="宋体"/>
                <w:sz w:val="24"/>
              </w:rPr>
              <w:t>为确保厂商软件开发能力与云平台自身稳定可靠性，产品厂商具备中国网络安全审查技术与认证中心颁发的软件安全开发一级服务资质认证证书，提供证书扫描件。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131" w:hRule="atLeast"/>
        </w:trPr>
        <w:tc>
          <w:tcPr>
            <w:tcW w:w="1165" w:type="dxa"/>
            <w:vMerge w:val="restart"/>
            <w:shd w:val="clear" w:color="auto" w:fill="FFFFFF"/>
            <w:noWrap w:val="0"/>
            <w:vAlign w:val="center"/>
          </w:tcPr>
          <w:p>
            <w:pPr>
              <w:spacing w:line="300" w:lineRule="auto"/>
              <w:jc w:val="center"/>
              <w:rPr>
                <w:rFonts w:ascii="宋体" w:hAnsi="宋体" w:cs="宋体"/>
                <w:sz w:val="24"/>
                <w:lang w:val="zh-TW"/>
              </w:rPr>
            </w:pPr>
            <w:r>
              <w:rPr>
                <w:rFonts w:hint="eastAsia" w:ascii="宋体" w:hAnsi="宋体" w:cs="宋体"/>
                <w:sz w:val="24"/>
                <w:lang w:val="zh-TW"/>
              </w:rPr>
              <w:t>计算虚拟化要求</w:t>
            </w: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支持点击还原按钮，还原回收站列表指定项，可恢复30天内已删除的虚拟机，可以查看回收站列表项信息，包括名称、描述、存储和删除时间和保留时间。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FFFFFF"/>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lang w:val="zh-TW"/>
              </w:rPr>
            </w:pPr>
            <w:r>
              <w:rPr>
                <w:rFonts w:hint="eastAsia" w:ascii="宋体" w:hAnsi="宋体" w:cs="宋体"/>
                <w:sz w:val="24"/>
              </w:rPr>
              <w:t>支持虚拟机卡死或蓝屏的检测界面并实现自动重启，无需人工干预，减少运维工作量</w:t>
            </w:r>
            <w:r>
              <w:rPr>
                <w:rFonts w:hint="eastAsia" w:ascii="宋体" w:hAnsi="宋体" w:cs="宋体"/>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79" w:hRule="atLeast"/>
        </w:trPr>
        <w:tc>
          <w:tcPr>
            <w:tcW w:w="1165" w:type="dxa"/>
            <w:vMerge w:val="continue"/>
            <w:shd w:val="clear" w:color="auto" w:fill="FFFFFF"/>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lang w:val="zh-TW"/>
              </w:rPr>
            </w:pPr>
            <w:r>
              <w:rPr>
                <w:rFonts w:hint="eastAsia" w:ascii="宋体" w:hAnsi="宋体" w:cs="宋体"/>
                <w:sz w:val="24"/>
              </w:rPr>
              <w:t>支持无代理跨物理主机的虚拟机USB映射，需要使用USB KEY时，无需在虚拟机上安装客户端插件，且虚拟机迁移到其它物理主机后，仍能正常使用迁移前所在物理主机上的USB资源，对于业务的自适应能力、使用便捷性更佳。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FFFFFF"/>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支持扩展持续数据保护CDP软件模块，采用无代理的方案，避免对虚拟机的稳定性和性能产生影响。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FFFFFF"/>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提供基于CLI命令行界面，通过命令行可以进行管理计算虚拟化、存储虚拟化、网络虚拟化模块，并通过脚本可简化用户运维操作。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CellMar>
            <w:top w:w="0" w:type="dxa"/>
            <w:left w:w="0" w:type="dxa"/>
            <w:bottom w:w="0" w:type="dxa"/>
            <w:right w:w="0" w:type="dxa"/>
          </w:tblCellMar>
        </w:tblPrEx>
        <w:trPr>
          <w:wBefore w:w="0" w:type="dxa"/>
          <w:wAfter w:w="0" w:type="dxa"/>
          <w:trHeight w:val="1275" w:hRule="atLeast"/>
        </w:trPr>
        <w:tc>
          <w:tcPr>
            <w:tcW w:w="1165" w:type="dxa"/>
            <w:vMerge w:val="restart"/>
            <w:shd w:val="clear" w:color="auto" w:fill="FFFFFF"/>
            <w:noWrap w:val="0"/>
            <w:vAlign w:val="center"/>
          </w:tcPr>
          <w:p>
            <w:pPr>
              <w:spacing w:line="300" w:lineRule="auto"/>
              <w:jc w:val="center"/>
              <w:rPr>
                <w:rFonts w:ascii="宋体" w:hAnsi="宋体" w:cs="宋体"/>
                <w:sz w:val="24"/>
                <w:lang w:val="zh-TW"/>
              </w:rPr>
            </w:pPr>
            <w:r>
              <w:rPr>
                <w:rFonts w:hint="eastAsia" w:ascii="宋体" w:hAnsi="宋体" w:cs="宋体"/>
                <w:sz w:val="24"/>
                <w:lang w:val="zh-TW"/>
              </w:rPr>
              <w:t>存储虚拟化要求</w:t>
            </w:r>
          </w:p>
        </w:tc>
        <w:tc>
          <w:tcPr>
            <w:tcW w:w="8129" w:type="dxa"/>
            <w:shd w:val="clear" w:color="auto" w:fill="auto"/>
            <w:noWrap w:val="0"/>
            <w:tcMar>
              <w:top w:w="80" w:type="dxa"/>
              <w:left w:w="80" w:type="dxa"/>
              <w:bottom w:w="80" w:type="dxa"/>
              <w:right w:w="80" w:type="dxa"/>
            </w:tcMar>
            <w:vAlign w:val="top"/>
          </w:tcPr>
          <w:p>
            <w:pPr>
              <w:spacing w:line="300" w:lineRule="auto"/>
              <w:rPr>
                <w:rFonts w:ascii="宋体" w:hAnsi="宋体" w:cs="宋体"/>
                <w:sz w:val="24"/>
                <w:lang w:val="zh-TW"/>
              </w:rPr>
            </w:pPr>
            <w:r>
              <w:rPr>
                <w:rFonts w:hint="eastAsia" w:ascii="宋体" w:hAnsi="宋体" w:cs="宋体"/>
                <w:sz w:val="24"/>
              </w:rPr>
              <w:t>支持数据重建优先级调整，可以查看数据重建任务列表信息，包括对象名称、对象类型、数据量和优先级等信息，可以点击操作中的优先级对数据重建进行优先重建，保证重要的业务优先恢复数据的安全性。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FFFFFF"/>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lang w:val="zh-TW"/>
              </w:rPr>
            </w:pPr>
            <w:r>
              <w:rPr>
                <w:rFonts w:hint="eastAsia" w:ascii="宋体" w:hAnsi="宋体" w:cs="宋体"/>
                <w:sz w:val="24"/>
                <w:lang w:val="zh-TW"/>
              </w:rPr>
              <w:t>支持数据重建智能保护业务性能，可以对数据重建速度进行智能限速，避免数据重建过程中IO性能占用导致对业务的性能造成影响。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FFFFFF"/>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lang w:val="zh-TW"/>
              </w:rPr>
            </w:pPr>
            <w:r>
              <w:rPr>
                <w:rFonts w:hint="eastAsia" w:ascii="宋体" w:hAnsi="宋体" w:cs="宋体"/>
                <w:sz w:val="24"/>
              </w:rPr>
              <w:t>支持条带化界面，实现分布式raid0的性能提升效果，并且支持以虚拟磁盘为单位设置不同的条带数。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FFFFFF"/>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针对卡慢盘、支持在磁盘管理界面显示告警并隔离被注入故障的SSD和HDD磁盘。针对HDD慢盘可进行自动临时隔离，针对HDD卡盘可进行自动永久隔离。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restart"/>
            <w:shd w:val="clear" w:color="auto" w:fill="FFFFFF"/>
            <w:noWrap w:val="0"/>
            <w:vAlign w:val="center"/>
          </w:tcPr>
          <w:p>
            <w:pPr>
              <w:spacing w:line="300" w:lineRule="auto"/>
              <w:jc w:val="center"/>
              <w:rPr>
                <w:rFonts w:ascii="宋体" w:hAnsi="宋体" w:cs="宋体"/>
                <w:sz w:val="24"/>
                <w:lang w:val="zh-TW"/>
              </w:rPr>
            </w:pPr>
            <w:r>
              <w:rPr>
                <w:rFonts w:hint="eastAsia" w:ascii="宋体" w:hAnsi="宋体" w:cs="宋体"/>
                <w:sz w:val="24"/>
                <w:lang w:val="zh-TW"/>
              </w:rPr>
              <w:t>网络虚拟化要求</w:t>
            </w: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lang w:val="zh-TW"/>
              </w:rPr>
            </w:pPr>
            <w:r>
              <w:rPr>
                <w:rFonts w:hint="eastAsia" w:ascii="宋体" w:hAnsi="宋体" w:cs="宋体"/>
                <w:sz w:val="24"/>
              </w:rPr>
              <w:t>在管理平台上能快速的实现整个业务逻辑，并且可以连接、开启、关闭虚拟网络设备，支持对整个平台虚拟设备实现统一的管理，提升运维管理的工作效率。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FFFFFF"/>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超融合需提供网络可视化组件，可在图形化界面上观察到所有虚拟机的流量走向与访问关系，包括源对象、源IP、目标对象、目的IP、访问次数、服务类型、动作等。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08" w:hRule="atLeast"/>
        </w:trPr>
        <w:tc>
          <w:tcPr>
            <w:tcW w:w="1165" w:type="dxa"/>
            <w:vMerge w:val="restart"/>
            <w:shd w:val="clear" w:color="auto" w:fill="auto"/>
            <w:noWrap w:val="0"/>
            <w:vAlign w:val="center"/>
          </w:tcPr>
          <w:p>
            <w:pPr>
              <w:spacing w:line="300" w:lineRule="auto"/>
              <w:jc w:val="center"/>
              <w:rPr>
                <w:rFonts w:ascii="宋体" w:hAnsi="宋体" w:cs="宋体"/>
                <w:sz w:val="24"/>
                <w:lang w:val="zh-TW"/>
              </w:rPr>
            </w:pPr>
            <w:r>
              <w:rPr>
                <w:rFonts w:hint="eastAsia" w:ascii="宋体" w:hAnsi="宋体" w:cs="宋体"/>
                <w:sz w:val="24"/>
              </w:rPr>
              <w:t>云管平台要求</w:t>
            </w: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lang w:val="zh-TW"/>
              </w:rPr>
            </w:pPr>
            <w:r>
              <w:rPr>
                <w:rFonts w:hint="eastAsia" w:ascii="宋体" w:hAnsi="宋体" w:cs="宋体"/>
                <w:sz w:val="24"/>
                <w:lang w:val="zh-TW"/>
              </w:rPr>
              <w:t>支持对X86、ARM架构的物理机进行生命周期管理，包括开关机、控制台接入、分配给租户、回收、删除操作，可单台或批量添加物理机至云平台并实时监控物理机的CPU、内存信息。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CED7E7"/>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lang w:val="zh-TW"/>
              </w:rPr>
            </w:pPr>
            <w:r>
              <w:rPr>
                <w:rFonts w:hint="eastAsia" w:ascii="宋体" w:hAnsi="宋体" w:cs="宋体"/>
                <w:sz w:val="24"/>
              </w:rPr>
              <w:t>为保障云平台的安全效果和兼容性，可以支持扩展同一品牌的下一代防火墙、上网行为管理、数据库审计、运维安全管理、日志审计、安全联动等虚拟化组件。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CED7E7"/>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支持对虚拟机漏洞情况进行扫描，支持查看漏洞详情并修复</w:t>
            </w:r>
            <w:r>
              <w:rPr>
                <w:rFonts w:hint="eastAsia" w:ascii="宋体" w:hAnsi="宋体" w:cs="宋体"/>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CED7E7"/>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提供云端智能运维平台，可通过云端探针对HCI的软硬件告警进行实时采集并上报至云端运维平台，在云端实现智能告警分析，或时发现业务环境故障并主动提供闭环服务。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CellMar>
            <w:top w:w="0" w:type="dxa"/>
            <w:left w:w="0" w:type="dxa"/>
            <w:bottom w:w="0" w:type="dxa"/>
            <w:right w:w="0" w:type="dxa"/>
          </w:tblCellMar>
        </w:tblPrEx>
        <w:trPr>
          <w:wBefore w:w="0" w:type="dxa"/>
          <w:wAfter w:w="0" w:type="dxa"/>
          <w:trHeight w:val="495" w:hRule="atLeast"/>
        </w:trPr>
        <w:tc>
          <w:tcPr>
            <w:tcW w:w="1165" w:type="dxa"/>
            <w:vMerge w:val="restart"/>
            <w:shd w:val="clear" w:color="auto" w:fill="FFFFFF"/>
            <w:noWrap w:val="0"/>
            <w:vAlign w:val="center"/>
          </w:tcPr>
          <w:p>
            <w:pPr>
              <w:spacing w:line="300" w:lineRule="auto"/>
              <w:jc w:val="center"/>
              <w:rPr>
                <w:rFonts w:ascii="宋体" w:hAnsi="宋体" w:cs="宋体"/>
                <w:sz w:val="24"/>
                <w:lang w:val="zh-TW"/>
              </w:rPr>
            </w:pPr>
            <w:r>
              <w:rPr>
                <w:rFonts w:hint="eastAsia" w:ascii="宋体" w:hAnsi="宋体" w:cs="宋体"/>
                <w:sz w:val="24"/>
                <w:lang w:val="zh-TW"/>
              </w:rPr>
              <w:t>数据库管理</w:t>
            </w: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lang w:eastAsia="zh-TW"/>
              </w:rPr>
            </w:pPr>
            <w:r>
              <w:rPr>
                <w:rFonts w:hint="eastAsia" w:ascii="宋体" w:hAnsi="宋体" w:cs="宋体"/>
                <w:sz w:val="24"/>
                <w:lang w:eastAsia="zh-TW"/>
              </w:rPr>
              <w:t>★管理平台内置数据库管理模块，可以进行一键部署数据库操作，可以选择数据库类型，包括MySQL、SQL Server和Oracle，可以选择部署架构，包括MySQL（单机，主从），SQL Server（单机，AlwaysOn），Oracle（单机，RAC）（需提供产品界面截图）</w:t>
            </w:r>
            <w:r>
              <w:rPr>
                <w:rFonts w:hint="eastAsia" w:ascii="宋体" w:hAnsi="宋体" w:cs="宋体"/>
                <w:color w:val="000000"/>
                <w:kern w:val="0"/>
                <w:sz w:val="24"/>
                <w:lang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FFFFFF"/>
            <w:noWrap w:val="0"/>
            <w:vAlign w:val="center"/>
          </w:tcPr>
          <w:p>
            <w:pPr>
              <w:spacing w:line="300" w:lineRule="auto"/>
              <w:jc w:val="center"/>
              <w:rPr>
                <w:rFonts w:ascii="宋体" w:hAnsi="宋体" w:cs="宋体"/>
                <w:sz w:val="24"/>
                <w:lang w:val="zh-TW" w:eastAsia="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lang w:eastAsia="zh-TW"/>
              </w:rPr>
              <w:t>支持数据库一键诊断，可覆盖资源、会话、锁、性能分析（包括实时与历史的慢SQL定位和执行计划分析），以便快速了解数据库运行效率，发现性能问题</w:t>
            </w:r>
            <w:r>
              <w:rPr>
                <w:rFonts w:hint="eastAsia" w:ascii="宋体" w:hAnsi="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124" w:hRule="atLeast"/>
        </w:trPr>
        <w:tc>
          <w:tcPr>
            <w:tcW w:w="1165" w:type="dxa"/>
            <w:vMerge w:val="continue"/>
            <w:shd w:val="clear" w:color="auto" w:fill="FFFFFF"/>
            <w:noWrap w:val="0"/>
            <w:vAlign w:val="center"/>
          </w:tcPr>
          <w:p>
            <w:pPr>
              <w:spacing w:line="300" w:lineRule="auto"/>
              <w:jc w:val="center"/>
              <w:rPr>
                <w:rFonts w:ascii="宋体" w:hAnsi="宋体" w:cs="宋体"/>
                <w:sz w:val="24"/>
                <w:lang w:val="zh-TW"/>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lang w:eastAsia="zh-TW"/>
              </w:rPr>
              <w:t>数据库单机和集群在出现严重故障的情况下，提供数据库故障自愈能力。根据故障原因自动进行故障进程拉起、集群服务修复、故障节点重启、故障节点异机拉起等自愈操作</w:t>
            </w:r>
            <w:r>
              <w:rPr>
                <w:rFonts w:hint="eastAsia" w:ascii="宋体" w:hAnsi="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57" w:hRule="atLeast"/>
        </w:trPr>
        <w:tc>
          <w:tcPr>
            <w:tcW w:w="1165" w:type="dxa"/>
            <w:vMerge w:val="restart"/>
            <w:shd w:val="clear" w:color="auto" w:fill="auto"/>
            <w:noWrap w:val="0"/>
            <w:vAlign w:val="center"/>
          </w:tcPr>
          <w:p>
            <w:pPr>
              <w:spacing w:line="300" w:lineRule="auto"/>
              <w:jc w:val="center"/>
              <w:rPr>
                <w:rFonts w:ascii="宋体" w:hAnsi="宋体" w:cs="宋体"/>
                <w:sz w:val="24"/>
              </w:rPr>
            </w:pPr>
            <w:r>
              <w:rPr>
                <w:rFonts w:hint="eastAsia" w:ascii="宋体" w:hAnsi="宋体" w:cs="宋体"/>
                <w:sz w:val="24"/>
              </w:rPr>
              <w:t>数据迁移</w:t>
            </w: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lang w:eastAsia="zh-TW"/>
              </w:rPr>
              <w:t>★</w:t>
            </w:r>
            <w:r>
              <w:rPr>
                <w:rFonts w:hint="eastAsia" w:ascii="宋体" w:hAnsi="宋体" w:cs="宋体"/>
                <w:sz w:val="24"/>
              </w:rPr>
              <w:t>为保证业务迁移时的最大兼容性，提供自研的迁移工具，无需采购第三方迁移服务，支持原主机和异构目标机之间的自动化迁移功能（提供工具安装界面和登录界面截图证明）。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auto"/>
            <w:noWrap w:val="0"/>
            <w:vAlign w:val="center"/>
          </w:tcPr>
          <w:p>
            <w:pPr>
              <w:spacing w:line="300" w:lineRule="auto"/>
              <w:jc w:val="center"/>
              <w:rPr>
                <w:rFonts w:ascii="宋体" w:hAnsi="宋体" w:cs="宋体"/>
                <w:sz w:val="24"/>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支持在线增量迁移、全量迁移，且是迁移期间不中断业务的热迁移，仅最后一次增量数据迁移需要停虚拟机。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95" w:hRule="atLeast"/>
        </w:trPr>
        <w:tc>
          <w:tcPr>
            <w:tcW w:w="1165" w:type="dxa"/>
            <w:vMerge w:val="continue"/>
            <w:shd w:val="clear" w:color="auto" w:fill="auto"/>
            <w:noWrap w:val="0"/>
            <w:vAlign w:val="center"/>
          </w:tcPr>
          <w:p>
            <w:pPr>
              <w:spacing w:line="300" w:lineRule="auto"/>
              <w:jc w:val="center"/>
              <w:rPr>
                <w:rFonts w:ascii="宋体" w:hAnsi="宋体" w:cs="宋体"/>
                <w:sz w:val="24"/>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迁移过程中对源机业务影响小，可以动态调整源机IO占用、网络带宽占用，确保迁移过程不影响源主机正常运行。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177" w:hRule="atLeast"/>
        </w:trPr>
        <w:tc>
          <w:tcPr>
            <w:tcW w:w="1165" w:type="dxa"/>
            <w:vMerge w:val="continue"/>
            <w:shd w:val="clear" w:color="auto" w:fill="auto"/>
            <w:noWrap w:val="0"/>
            <w:vAlign w:val="center"/>
          </w:tcPr>
          <w:p>
            <w:pPr>
              <w:spacing w:line="300" w:lineRule="auto"/>
              <w:jc w:val="center"/>
              <w:rPr>
                <w:rFonts w:ascii="宋体" w:hAnsi="宋体" w:cs="宋体"/>
                <w:sz w:val="24"/>
              </w:rPr>
            </w:pPr>
          </w:p>
        </w:tc>
        <w:tc>
          <w:tcPr>
            <w:tcW w:w="8129" w:type="dxa"/>
            <w:shd w:val="clear" w:color="auto" w:fill="auto"/>
            <w:noWrap w:val="0"/>
            <w:tcMar>
              <w:top w:w="80" w:type="dxa"/>
              <w:left w:w="80" w:type="dxa"/>
              <w:bottom w:w="80" w:type="dxa"/>
              <w:right w:w="80" w:type="dxa"/>
            </w:tcMar>
            <w:vAlign w:val="center"/>
          </w:tcPr>
          <w:p>
            <w:pPr>
              <w:spacing w:line="300" w:lineRule="auto"/>
              <w:rPr>
                <w:rFonts w:ascii="宋体" w:hAnsi="宋体" w:cs="宋体"/>
                <w:sz w:val="24"/>
              </w:rPr>
            </w:pPr>
            <w:r>
              <w:rPr>
                <w:rFonts w:hint="eastAsia" w:ascii="宋体" w:hAnsi="宋体" w:cs="宋体"/>
                <w:sz w:val="24"/>
              </w:rPr>
              <w:t>提供整体灾备重建迁移，支持任意秒历史点回退切换，确保迁移到正常系统状态（需提供产品功能截图）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78" w:hRule="atLeast"/>
        </w:trPr>
        <w:tc>
          <w:tcPr>
            <w:tcW w:w="1165" w:type="dxa"/>
            <w:shd w:val="clear" w:color="auto" w:fill="auto"/>
            <w:noWrap w:val="0"/>
            <w:vAlign w:val="center"/>
          </w:tcPr>
          <w:p>
            <w:pPr>
              <w:pStyle w:val="1054"/>
              <w:rPr>
                <w:rFonts w:ascii="宋体" w:hAnsi="宋体" w:cs="宋体"/>
                <w:sz w:val="24"/>
                <w:szCs w:val="24"/>
              </w:rPr>
            </w:pPr>
            <w:r>
              <w:rPr>
                <w:rFonts w:hint="eastAsia" w:ascii="宋体" w:hAnsi="宋体" w:cs="宋体"/>
                <w:sz w:val="24"/>
                <w:szCs w:val="24"/>
              </w:rPr>
              <w:t>服务要求</w:t>
            </w:r>
          </w:p>
        </w:tc>
        <w:tc>
          <w:tcPr>
            <w:tcW w:w="8129" w:type="dxa"/>
            <w:shd w:val="clear" w:color="auto" w:fill="auto"/>
            <w:noWrap w:val="0"/>
            <w:tcMar>
              <w:top w:w="80" w:type="dxa"/>
              <w:left w:w="80" w:type="dxa"/>
              <w:bottom w:w="80" w:type="dxa"/>
              <w:right w:w="80" w:type="dxa"/>
            </w:tcMar>
            <w:vAlign w:val="center"/>
          </w:tcPr>
          <w:p>
            <w:pPr>
              <w:pStyle w:val="1054"/>
              <w:rPr>
                <w:rFonts w:ascii="宋体" w:hAnsi="宋体" w:cs="宋体"/>
                <w:sz w:val="24"/>
                <w:szCs w:val="24"/>
              </w:rPr>
            </w:pPr>
            <w:r>
              <w:rPr>
                <w:rFonts w:hint="eastAsia" w:ascii="宋体" w:hAnsi="宋体" w:cs="宋体"/>
                <w:kern w:val="0"/>
                <w:sz w:val="24"/>
                <w:szCs w:val="24"/>
              </w:rPr>
              <w:t>▲</w:t>
            </w:r>
            <w:r>
              <w:rPr>
                <w:rFonts w:hint="eastAsia" w:ascii="宋体" w:hAnsi="宋体" w:cs="宋体"/>
                <w:sz w:val="24"/>
                <w:szCs w:val="24"/>
              </w:rPr>
              <w:t>本次提供不少于5年原厂质保。</w:t>
            </w:r>
          </w:p>
        </w:tc>
      </w:tr>
    </w:tbl>
    <w:p>
      <w:pPr>
        <w:pStyle w:val="2"/>
        <w:numPr>
          <w:ilvl w:val="1"/>
          <w:numId w:val="9"/>
        </w:numPr>
        <w:spacing w:before="240" w:after="60" w:line="413" w:lineRule="auto"/>
      </w:pPr>
      <w:r>
        <w:rPr>
          <w:rFonts w:hint="eastAsia"/>
        </w:rPr>
        <w:t>超融合交换机</w:t>
      </w:r>
    </w:p>
    <w:tbl>
      <w:tblPr>
        <w:tblStyle w:val="57"/>
        <w:tblW w:w="9226" w:type="dxa"/>
        <w:tblInd w:w="96" w:type="dxa"/>
        <w:tblLayout w:type="fixed"/>
        <w:tblCellMar>
          <w:top w:w="0" w:type="dxa"/>
          <w:left w:w="108" w:type="dxa"/>
          <w:bottom w:w="0" w:type="dxa"/>
          <w:right w:w="108" w:type="dxa"/>
        </w:tblCellMar>
      </w:tblPr>
      <w:tblGrid>
        <w:gridCol w:w="1226"/>
        <w:gridCol w:w="8000"/>
      </w:tblGrid>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360" w:lineRule="auto"/>
              <w:rPr>
                <w:rFonts w:ascii="宋体" w:hAnsi="宋体" w:cs="宋体"/>
                <w:color w:val="000000"/>
                <w:kern w:val="0"/>
                <w:sz w:val="24"/>
              </w:rPr>
            </w:pPr>
            <w:r>
              <w:rPr>
                <w:rFonts w:hint="eastAsia" w:ascii="宋体" w:hAnsi="宋体" w:cs="宋体"/>
                <w:b/>
                <w:bCs/>
                <w:color w:val="000000"/>
                <w:kern w:val="0"/>
                <w:sz w:val="24"/>
              </w:rPr>
              <w:t>技术指标</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360" w:lineRule="auto"/>
              <w:ind w:firstLine="422"/>
              <w:jc w:val="center"/>
              <w:rPr>
                <w:rFonts w:ascii="宋体" w:hAnsi="宋体" w:cs="宋体"/>
                <w:color w:val="000000"/>
                <w:kern w:val="0"/>
                <w:sz w:val="24"/>
              </w:rPr>
            </w:pPr>
            <w:r>
              <w:rPr>
                <w:rFonts w:hint="eastAsia" w:ascii="宋体" w:hAnsi="宋体" w:cs="宋体"/>
                <w:b/>
                <w:bCs/>
                <w:color w:val="000000"/>
                <w:kern w:val="0"/>
                <w:sz w:val="24"/>
              </w:rPr>
              <w:t>参数要求</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sz w:val="24"/>
                <w:lang w:eastAsia="zh-TW"/>
              </w:rPr>
              <w:t>★</w:t>
            </w:r>
            <w:r>
              <w:rPr>
                <w:rFonts w:hint="eastAsia" w:ascii="宋体" w:hAnsi="宋体" w:cs="宋体"/>
                <w:color w:val="000000"/>
                <w:kern w:val="0"/>
                <w:sz w:val="24"/>
              </w:rPr>
              <w:t>性能</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交换容量≥2.5Tbps，包转发率≥1200Mpps。</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sz w:val="24"/>
                <w:lang w:eastAsia="zh-TW"/>
              </w:rPr>
              <w:t>★</w:t>
            </w:r>
            <w:r>
              <w:rPr>
                <w:rFonts w:hint="eastAsia" w:ascii="宋体" w:hAnsi="宋体" w:cs="宋体"/>
                <w:color w:val="000000"/>
                <w:kern w:val="0"/>
                <w:sz w:val="24"/>
              </w:rPr>
              <w:t>接口</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万兆光口≥24；</w:t>
            </w:r>
            <w:r>
              <w:rPr>
                <w:rFonts w:hint="eastAsia" w:ascii="宋体" w:hAnsi="宋体" w:cs="宋体"/>
                <w:kern w:val="0"/>
                <w:sz w:val="24"/>
              </w:rPr>
              <w:t>40G/100G光口≥6</w:t>
            </w:r>
            <w:r>
              <w:rPr>
                <w:rFonts w:hint="eastAsia" w:ascii="宋体" w:hAnsi="宋体" w:cs="宋体"/>
                <w:color w:val="000000"/>
                <w:kern w:val="0"/>
                <w:sz w:val="24"/>
              </w:rPr>
              <w:t>，实配万兆多模光模块≥24个，40G堆叠线缆5m一根。</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电源</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为了提高设备可靠性，支持并实配双电源。</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散热</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为了提高设备散热性能，支持可插拔风扇，风扇个数≥2。</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ARP</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ARP规格容量≥131k；MAC地址表容量≥290k。</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路由表</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IPv4路由规格≥256k，IPv6路由规格≥120k。</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路由协议</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支持静态路由、RIP V1/2、OSPF、IS-IS、BGP、RIPng、OSPFv3、BGP4+、ISISv6等路由协议。</w:t>
            </w:r>
          </w:p>
        </w:tc>
      </w:tr>
      <w:tr>
        <w:tblPrEx>
          <w:tblCellMar>
            <w:top w:w="0" w:type="dxa"/>
            <w:left w:w="108" w:type="dxa"/>
            <w:bottom w:w="0" w:type="dxa"/>
            <w:right w:w="108" w:type="dxa"/>
          </w:tblCellMar>
        </w:tblPrEx>
        <w:trPr>
          <w:wBefore w:w="0" w:type="dxa"/>
          <w:wAfter w:w="0" w:type="dxa"/>
          <w:trHeight w:val="28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VXLAN支持</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支持VxLAN功能，支持BGP EVPN 。</w:t>
            </w:r>
          </w:p>
        </w:tc>
      </w:tr>
      <w:tr>
        <w:tblPrEx>
          <w:tblCellMar>
            <w:top w:w="0" w:type="dxa"/>
            <w:left w:w="108" w:type="dxa"/>
            <w:bottom w:w="0" w:type="dxa"/>
            <w:right w:w="108" w:type="dxa"/>
          </w:tblCellMar>
        </w:tblPrEx>
        <w:trPr>
          <w:wBefore w:w="0" w:type="dxa"/>
          <w:wAfter w:w="0" w:type="dxa"/>
          <w:trHeight w:val="576"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工作方式</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支持本地管理和云平台两种方式，可以通过云管理平台对交换机进行云端配置、监控、巡检等，减少部署和运维的投入，降低网络的OPEX。</w:t>
            </w:r>
          </w:p>
        </w:tc>
      </w:tr>
      <w:tr>
        <w:tblPrEx>
          <w:tblCellMar>
            <w:top w:w="0" w:type="dxa"/>
            <w:left w:w="108" w:type="dxa"/>
            <w:bottom w:w="0" w:type="dxa"/>
            <w:right w:w="108" w:type="dxa"/>
          </w:tblCellMar>
        </w:tblPrEx>
        <w:trPr>
          <w:wBefore w:w="0" w:type="dxa"/>
          <w:wAfter w:w="0" w:type="dxa"/>
          <w:trHeight w:val="576"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sz w:val="24"/>
              </w:rPr>
              <w:t>服务要求</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数据库容灾一体机</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noWrap w:val="0"/>
            <w:vAlign w:val="center"/>
          </w:tcPr>
          <w:p>
            <w:pPr>
              <w:jc w:val="center"/>
              <w:rPr>
                <w:rFonts w:ascii="宋体" w:hAnsi="宋体" w:cs="宋体"/>
                <w:b/>
                <w:bCs/>
                <w:color w:val="000000"/>
                <w:kern w:val="0"/>
                <w:sz w:val="24"/>
              </w:rPr>
            </w:pPr>
            <w:r>
              <w:rPr>
                <w:rFonts w:hint="eastAsia" w:ascii="宋体" w:hAnsi="宋体" w:cs="宋体"/>
                <w:b/>
                <w:bCs/>
                <w:color w:val="000000"/>
                <w:kern w:val="0"/>
                <w:sz w:val="24"/>
              </w:rPr>
              <w:t>指标项</w:t>
            </w:r>
          </w:p>
        </w:tc>
        <w:tc>
          <w:tcPr>
            <w:tcW w:w="7843" w:type="dxa"/>
            <w:shd w:val="clear" w:color="auto" w:fill="FFFFFF"/>
            <w:noWrap w:val="0"/>
            <w:vAlign w:val="top"/>
          </w:tcPr>
          <w:p>
            <w:pPr>
              <w:jc w:val="center"/>
              <w:rPr>
                <w:rFonts w:ascii="宋体" w:hAnsi="宋体" w:cs="宋体"/>
                <w:color w:val="000000"/>
                <w:kern w:val="0"/>
                <w:sz w:val="24"/>
              </w:rPr>
            </w:pPr>
            <w:r>
              <w:rPr>
                <w:rFonts w:hint="eastAsia" w:ascii="宋体" w:hAnsi="宋体" w:cs="宋体"/>
                <w:b/>
                <w:bCs/>
                <w:color w:val="000000"/>
                <w:kern w:val="0"/>
                <w:sz w:val="24"/>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auto"/>
            <w:noWrap w:val="0"/>
            <w:vAlign w:val="center"/>
          </w:tcPr>
          <w:p>
            <w:pPr>
              <w:jc w:val="center"/>
              <w:rPr>
                <w:rFonts w:ascii="宋体" w:hAnsi="宋体" w:cs="宋体"/>
                <w:b/>
                <w:bCs/>
                <w:color w:val="000000"/>
                <w:kern w:val="0"/>
                <w:sz w:val="24"/>
              </w:rPr>
            </w:pPr>
            <w:r>
              <w:rPr>
                <w:rFonts w:hint="eastAsia" w:ascii="宋体" w:hAnsi="宋体" w:cs="宋体"/>
                <w:b/>
                <w:bCs/>
                <w:color w:val="000000"/>
                <w:kern w:val="0"/>
                <w:sz w:val="24"/>
              </w:rPr>
              <w:t>部署要求</w:t>
            </w:r>
          </w:p>
        </w:tc>
        <w:tc>
          <w:tcPr>
            <w:tcW w:w="7843" w:type="dxa"/>
            <w:shd w:val="clear" w:color="auto" w:fill="auto"/>
            <w:noWrap w:val="0"/>
            <w:vAlign w:val="top"/>
          </w:tcPr>
          <w:p>
            <w:pPr>
              <w:rPr>
                <w:rFonts w:ascii="宋体" w:hAnsi="宋体" w:cs="宋体"/>
                <w:color w:val="000000"/>
                <w:kern w:val="0"/>
                <w:sz w:val="24"/>
              </w:rPr>
            </w:pPr>
            <w:r>
              <w:rPr>
                <w:rFonts w:hint="eastAsia" w:ascii="宋体" w:hAnsi="宋体" w:cs="宋体"/>
                <w:color w:val="000000"/>
                <w:kern w:val="0"/>
                <w:sz w:val="24"/>
              </w:rPr>
              <w:t>全业务集成灾备管理平台，支持防范因自然灾害、各类软硬件故障、逻辑错误等情况所造成的业务系统不可用，提供应急灾难恢复功能，保障业务连续性。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auto"/>
            <w:noWrap w:val="0"/>
            <w:vAlign w:val="center"/>
          </w:tcPr>
          <w:p>
            <w:pPr>
              <w:jc w:val="center"/>
              <w:rPr>
                <w:rFonts w:ascii="宋体" w:hAnsi="宋体" w:cs="宋体"/>
                <w:b/>
                <w:bCs/>
                <w:color w:val="000000"/>
                <w:kern w:val="0"/>
                <w:sz w:val="24"/>
              </w:rPr>
            </w:pPr>
          </w:p>
        </w:tc>
        <w:tc>
          <w:tcPr>
            <w:tcW w:w="7843" w:type="dxa"/>
            <w:shd w:val="clear" w:color="auto" w:fill="auto"/>
            <w:noWrap w:val="0"/>
            <w:vAlign w:val="top"/>
          </w:tcPr>
          <w:p>
            <w:pPr>
              <w:rPr>
                <w:rFonts w:ascii="宋体" w:hAnsi="宋体" w:cs="宋体"/>
                <w:color w:val="000000"/>
                <w:kern w:val="0"/>
                <w:sz w:val="24"/>
              </w:rPr>
            </w:pPr>
            <w:r>
              <w:rPr>
                <w:rFonts w:hint="eastAsia" w:ascii="宋体" w:hAnsi="宋体" w:cs="宋体"/>
                <w:color w:val="000000"/>
                <w:kern w:val="0"/>
                <w:sz w:val="24"/>
              </w:rPr>
              <w:t>支持针对数据库、网络等整体或单项按需进行切换恢复；容灾系统对生产数据库服务器的性能损耗影响不得超过生产数据库服务器总体的性能的5%。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vMerge w:val="continue"/>
            <w:shd w:val="clear" w:color="auto" w:fill="auto"/>
            <w:noWrap w:val="0"/>
            <w:vAlign w:val="center"/>
          </w:tcPr>
          <w:p>
            <w:pPr>
              <w:jc w:val="center"/>
              <w:rPr>
                <w:rFonts w:ascii="宋体" w:hAnsi="宋体" w:cs="宋体"/>
                <w:b/>
                <w:bCs/>
                <w:color w:val="000000"/>
                <w:kern w:val="0"/>
                <w:sz w:val="24"/>
              </w:rPr>
            </w:pPr>
          </w:p>
        </w:tc>
        <w:tc>
          <w:tcPr>
            <w:tcW w:w="7843" w:type="dxa"/>
            <w:shd w:val="clear" w:color="auto" w:fill="auto"/>
            <w:noWrap w:val="0"/>
            <w:vAlign w:val="top"/>
          </w:tcPr>
          <w:p>
            <w:pPr>
              <w:rPr>
                <w:rFonts w:ascii="宋体" w:hAnsi="宋体" w:cs="宋体"/>
                <w:kern w:val="0"/>
                <w:sz w:val="24"/>
              </w:rPr>
            </w:pPr>
            <w:r>
              <w:rPr>
                <w:rFonts w:hint="eastAsia" w:ascii="宋体" w:hAnsi="宋体" w:cs="宋体"/>
                <w:kern w:val="0"/>
                <w:sz w:val="24"/>
              </w:rPr>
              <w:t>★配置1套容灾管理软件许可（≥6个数据库容灾许可）</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auto"/>
            <w:noWrap w:val="0"/>
            <w:vAlign w:val="center"/>
          </w:tcPr>
          <w:p>
            <w:pPr>
              <w:jc w:val="center"/>
              <w:rPr>
                <w:rFonts w:ascii="宋体" w:hAnsi="宋体" w:cs="宋体"/>
                <w:b/>
                <w:bCs/>
                <w:color w:val="000000"/>
                <w:kern w:val="0"/>
                <w:sz w:val="24"/>
              </w:rPr>
            </w:pPr>
          </w:p>
        </w:tc>
        <w:tc>
          <w:tcPr>
            <w:tcW w:w="7843" w:type="dxa"/>
            <w:shd w:val="clear" w:color="auto" w:fill="auto"/>
            <w:noWrap w:val="0"/>
            <w:vAlign w:val="top"/>
          </w:tcPr>
          <w:p>
            <w:pPr>
              <w:rPr>
                <w:rFonts w:ascii="宋体" w:hAnsi="宋体" w:cs="宋体"/>
                <w:color w:val="000000"/>
                <w:kern w:val="0"/>
                <w:sz w:val="24"/>
              </w:rPr>
            </w:pPr>
            <w:r>
              <w:rPr>
                <w:rFonts w:hint="eastAsia" w:ascii="宋体" w:hAnsi="宋体" w:cs="宋体"/>
                <w:color w:val="000000"/>
                <w:kern w:val="0"/>
                <w:sz w:val="24"/>
              </w:rPr>
              <w:t>支持针对部署在小型机、X86物理服务器、虚拟机和云主机上的数据库系统进行容灾。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auto"/>
            <w:noWrap w:val="0"/>
            <w:vAlign w:val="top"/>
          </w:tcPr>
          <w:p>
            <w:pPr>
              <w:jc w:val="center"/>
              <w:rPr>
                <w:rFonts w:ascii="宋体" w:hAnsi="宋体" w:cs="宋体"/>
                <w:color w:val="000000"/>
                <w:kern w:val="0"/>
                <w:sz w:val="24"/>
              </w:rPr>
            </w:pPr>
          </w:p>
        </w:tc>
        <w:tc>
          <w:tcPr>
            <w:tcW w:w="7843" w:type="dxa"/>
            <w:shd w:val="clear" w:color="auto" w:fill="auto"/>
            <w:noWrap w:val="0"/>
            <w:vAlign w:val="top"/>
          </w:tcPr>
          <w:p>
            <w:pPr>
              <w:rPr>
                <w:rFonts w:ascii="宋体" w:hAnsi="宋体" w:cs="宋体"/>
                <w:color w:val="000000"/>
                <w:kern w:val="0"/>
                <w:sz w:val="24"/>
              </w:rPr>
            </w:pPr>
            <w:r>
              <w:rPr>
                <w:rFonts w:hint="eastAsia" w:ascii="宋体" w:hAnsi="宋体" w:cs="宋体"/>
                <w:color w:val="000000"/>
                <w:kern w:val="0"/>
                <w:sz w:val="24"/>
              </w:rPr>
              <w:t>支持对部署在AIX、HP-UNIX、Solaris、Windows、RHEL、Centos、Ubuntu、中标麒麟等操作系统下的数据库进行容灾，满足数据库系统复杂性和兼容性需求。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auto"/>
            <w:noWrap w:val="0"/>
            <w:vAlign w:val="top"/>
          </w:tcPr>
          <w:p>
            <w:pPr>
              <w:jc w:val="center"/>
              <w:rPr>
                <w:rFonts w:ascii="宋体" w:hAnsi="宋体" w:cs="宋体"/>
                <w:color w:val="000000"/>
                <w:kern w:val="0"/>
                <w:sz w:val="24"/>
              </w:rPr>
            </w:pPr>
          </w:p>
        </w:tc>
        <w:tc>
          <w:tcPr>
            <w:tcW w:w="7843" w:type="dxa"/>
            <w:shd w:val="clear" w:color="auto" w:fill="auto"/>
            <w:noWrap w:val="0"/>
            <w:vAlign w:val="top"/>
          </w:tcPr>
          <w:p>
            <w:pPr>
              <w:rPr>
                <w:rFonts w:ascii="宋体" w:hAnsi="宋体" w:cs="宋体"/>
                <w:color w:val="000000"/>
                <w:kern w:val="0"/>
                <w:sz w:val="24"/>
              </w:rPr>
            </w:pPr>
            <w:r>
              <w:rPr>
                <w:rFonts w:hint="eastAsia" w:ascii="宋体" w:hAnsi="宋体" w:cs="宋体"/>
                <w:color w:val="000000"/>
                <w:kern w:val="0"/>
                <w:sz w:val="24"/>
              </w:rPr>
              <w:t>支持对Oracle（含RAC）、SQL Server、MySQL、达梦等数据库进行容灾。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auto"/>
            <w:noWrap w:val="0"/>
            <w:vAlign w:val="center"/>
          </w:tcPr>
          <w:p>
            <w:pPr>
              <w:jc w:val="center"/>
              <w:rPr>
                <w:rFonts w:ascii="宋体" w:hAnsi="宋体" w:cs="宋体"/>
                <w:b/>
                <w:bCs/>
                <w:color w:val="000000"/>
                <w:kern w:val="0"/>
                <w:sz w:val="24"/>
              </w:rPr>
            </w:pPr>
          </w:p>
        </w:tc>
        <w:tc>
          <w:tcPr>
            <w:tcW w:w="7843" w:type="dxa"/>
            <w:shd w:val="clear" w:color="auto" w:fill="auto"/>
            <w:noWrap w:val="0"/>
            <w:vAlign w:val="top"/>
          </w:tcPr>
          <w:p>
            <w:pPr>
              <w:widowControl/>
              <w:spacing w:after="62" w:afterLines="20" w:line="276" w:lineRule="auto"/>
              <w:rPr>
                <w:rFonts w:ascii="宋体" w:hAnsi="宋体" w:cs="宋体"/>
                <w:color w:val="000000"/>
                <w:kern w:val="0"/>
                <w:sz w:val="24"/>
              </w:rPr>
            </w:pPr>
            <w:r>
              <w:rPr>
                <w:rFonts w:hint="eastAsia" w:ascii="宋体" w:hAnsi="宋体" w:cs="宋体"/>
                <w:color w:val="000000"/>
                <w:kern w:val="0"/>
                <w:sz w:val="24"/>
              </w:rPr>
              <w:t>要求容灾软件安装过程中，无需改造生产主机上的文件系统，无需更改系统卷配置；软件部署完后，无需重启或中断业务即可生效；支持容灾端数据库初始化自动化，无需重新配置。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auto"/>
            <w:noWrap w:val="0"/>
            <w:vAlign w:val="center"/>
          </w:tcPr>
          <w:p>
            <w:pPr>
              <w:jc w:val="center"/>
              <w:rPr>
                <w:rFonts w:ascii="宋体" w:hAnsi="宋体" w:cs="宋体"/>
                <w:b/>
                <w:bCs/>
                <w:color w:val="000000"/>
                <w:kern w:val="0"/>
                <w:sz w:val="24"/>
              </w:rPr>
            </w:pPr>
            <w:r>
              <w:rPr>
                <w:rFonts w:hint="eastAsia" w:ascii="宋体" w:hAnsi="宋体" w:cs="宋体"/>
                <w:b/>
                <w:bCs/>
                <w:color w:val="000000"/>
                <w:kern w:val="0"/>
                <w:sz w:val="24"/>
              </w:rPr>
              <w:t>数据同步</w:t>
            </w:r>
          </w:p>
        </w:tc>
        <w:tc>
          <w:tcPr>
            <w:tcW w:w="7843" w:type="dxa"/>
            <w:shd w:val="clear" w:color="auto" w:fill="auto"/>
            <w:noWrap w:val="0"/>
            <w:vAlign w:val="top"/>
          </w:tcPr>
          <w:p>
            <w:pPr>
              <w:widowControl/>
              <w:spacing w:after="62" w:afterLines="20" w:line="276" w:lineRule="auto"/>
              <w:rPr>
                <w:rFonts w:ascii="宋体" w:hAnsi="宋体" w:cs="宋体"/>
                <w:color w:val="000000"/>
                <w:kern w:val="0"/>
                <w:sz w:val="24"/>
              </w:rPr>
            </w:pPr>
            <w:r>
              <w:rPr>
                <w:rFonts w:hint="eastAsia" w:ascii="宋体" w:hAnsi="宋体" w:cs="宋体"/>
                <w:color w:val="000000"/>
                <w:kern w:val="0"/>
                <w:sz w:val="24"/>
              </w:rPr>
              <w:t>支持含小型机、物理机、虚拟化和云计算等平台下的数据库同步；数据同步支持多节点同步，如主主、主备、一对多、级联等同步模式；支持包括 Weblogic,Websphere,Tomcat等中间件数据同步；数据库同步采用物理同步方式，支持数据库中所有对象的同步，支持所有DDL、DML等语句的复制。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auto"/>
            <w:noWrap w:val="0"/>
            <w:vAlign w:val="center"/>
          </w:tcPr>
          <w:p>
            <w:pPr>
              <w:jc w:val="center"/>
              <w:rPr>
                <w:rFonts w:ascii="宋体" w:hAnsi="宋体" w:cs="宋体"/>
                <w:b/>
                <w:bCs/>
                <w:color w:val="000000"/>
                <w:kern w:val="0"/>
                <w:sz w:val="24"/>
              </w:rPr>
            </w:pPr>
            <w:r>
              <w:rPr>
                <w:rFonts w:hint="eastAsia" w:ascii="宋体" w:hAnsi="宋体" w:cs="宋体"/>
                <w:b/>
                <w:bCs/>
                <w:color w:val="000000"/>
                <w:kern w:val="0"/>
                <w:sz w:val="24"/>
              </w:rPr>
              <w:t>基本要求</w:t>
            </w:r>
          </w:p>
        </w:tc>
        <w:tc>
          <w:tcPr>
            <w:tcW w:w="7843" w:type="dxa"/>
            <w:shd w:val="clear" w:color="auto" w:fill="auto"/>
            <w:noWrap w:val="0"/>
            <w:vAlign w:val="top"/>
          </w:tcPr>
          <w:p>
            <w:pPr>
              <w:rPr>
                <w:rFonts w:ascii="宋体" w:hAnsi="宋体" w:cs="宋体"/>
                <w:color w:val="000000"/>
                <w:kern w:val="0"/>
                <w:sz w:val="24"/>
              </w:rPr>
            </w:pPr>
            <w:r>
              <w:rPr>
                <w:rFonts w:hint="eastAsia" w:ascii="宋体" w:hAnsi="宋体" w:cs="宋体"/>
                <w:color w:val="000000"/>
                <w:kern w:val="0"/>
                <w:sz w:val="24"/>
              </w:rPr>
              <w:t>要求具备实时监测数据传输状态的功能，并且当链路故障恢复后可自动执行断点续传。要求灾备系统具有数据压缩功能，对容灾数据进行压缩，适应在窄带宽传输的要求；支持利用多块网卡或多条链路实现链路容错,当某一链路出现故障、暂停或时断时续的现象时，灾备系统可以实现切换，不影响灾备系统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auto"/>
            <w:noWrap w:val="0"/>
            <w:vAlign w:val="center"/>
          </w:tcPr>
          <w:p>
            <w:pPr>
              <w:jc w:val="center"/>
              <w:rPr>
                <w:rFonts w:ascii="宋体" w:hAnsi="宋体" w:cs="宋体"/>
                <w:b/>
                <w:bCs/>
                <w:color w:val="000000"/>
                <w:kern w:val="0"/>
                <w:sz w:val="24"/>
              </w:rPr>
            </w:pPr>
          </w:p>
        </w:tc>
        <w:tc>
          <w:tcPr>
            <w:tcW w:w="7843" w:type="dxa"/>
            <w:shd w:val="clear" w:color="auto" w:fill="auto"/>
            <w:noWrap w:val="0"/>
            <w:vAlign w:val="center"/>
          </w:tcPr>
          <w:p>
            <w:pPr>
              <w:rPr>
                <w:rFonts w:ascii="宋体" w:hAnsi="宋体" w:cs="宋体"/>
                <w:color w:val="000000"/>
                <w:kern w:val="0"/>
                <w:sz w:val="24"/>
              </w:rPr>
            </w:pPr>
            <w:r>
              <w:rPr>
                <w:rFonts w:hint="eastAsia" w:ascii="宋体" w:hAnsi="宋体" w:cs="宋体"/>
                <w:color w:val="000000"/>
                <w:kern w:val="0"/>
                <w:sz w:val="24"/>
              </w:rPr>
              <w:t>针对Oracle数据库，要求支持实现对数据库的所有对象和数据操作复制，且实现生产和灾备站点之间的数据库对象完全一致；支持同步和异步模式，同步模式下要求实现数据零丢失；在启动容灾切换后，切换时间小于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auto"/>
            <w:noWrap w:val="0"/>
            <w:vAlign w:val="center"/>
          </w:tcPr>
          <w:p>
            <w:pPr>
              <w:jc w:val="center"/>
              <w:rPr>
                <w:rFonts w:ascii="宋体" w:hAnsi="宋体" w:cs="宋体"/>
                <w:b/>
                <w:bCs/>
                <w:color w:val="000000"/>
                <w:kern w:val="0"/>
                <w:sz w:val="24"/>
              </w:rPr>
            </w:pPr>
            <w:r>
              <w:rPr>
                <w:rFonts w:hint="eastAsia" w:ascii="宋体" w:hAnsi="宋体" w:cs="宋体"/>
                <w:b/>
                <w:bCs/>
                <w:color w:val="000000"/>
                <w:kern w:val="0"/>
                <w:sz w:val="24"/>
              </w:rPr>
              <w:t>功能要求</w:t>
            </w:r>
          </w:p>
        </w:tc>
        <w:tc>
          <w:tcPr>
            <w:tcW w:w="7843" w:type="dxa"/>
            <w:shd w:val="clear" w:color="auto" w:fill="auto"/>
            <w:noWrap w:val="0"/>
            <w:vAlign w:val="center"/>
          </w:tcPr>
          <w:p>
            <w:pPr>
              <w:rPr>
                <w:rFonts w:ascii="宋体" w:hAnsi="宋体" w:cs="宋体"/>
                <w:color w:val="000000"/>
                <w:kern w:val="0"/>
                <w:sz w:val="24"/>
              </w:rPr>
            </w:pPr>
            <w:r>
              <w:rPr>
                <w:rFonts w:hint="eastAsia" w:ascii="宋体" w:hAnsi="宋体" w:cs="宋体"/>
                <w:color w:val="000000"/>
                <w:kern w:val="0"/>
                <w:sz w:val="24"/>
              </w:rPr>
              <w:t>提供直观的简体中文图形化WEB操作控制台，可以在一个WEB图形界面里管理所有业务系统的容灾系统管理, 要求所有容灾功能统一在WEB界面上操作。支持对网络和数据据库容灾对象进行资源化定义和管理。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auto"/>
            <w:noWrap w:val="0"/>
            <w:vAlign w:val="center"/>
          </w:tcPr>
          <w:p>
            <w:pPr>
              <w:jc w:val="center"/>
              <w:rPr>
                <w:rFonts w:ascii="宋体" w:hAnsi="宋体" w:cs="宋体"/>
                <w:b/>
                <w:bCs/>
                <w:color w:val="000000"/>
                <w:kern w:val="0"/>
                <w:sz w:val="24"/>
              </w:rPr>
            </w:pPr>
          </w:p>
        </w:tc>
        <w:tc>
          <w:tcPr>
            <w:tcW w:w="7843" w:type="dxa"/>
            <w:shd w:val="clear" w:color="auto" w:fill="auto"/>
            <w:noWrap w:val="0"/>
            <w:vAlign w:val="top"/>
          </w:tcPr>
          <w:p>
            <w:pPr>
              <w:rPr>
                <w:rFonts w:ascii="宋体" w:hAnsi="宋体" w:cs="宋体"/>
                <w:color w:val="000000"/>
                <w:kern w:val="0"/>
                <w:sz w:val="24"/>
              </w:rPr>
            </w:pPr>
            <w:r>
              <w:rPr>
                <w:rFonts w:hint="eastAsia" w:ascii="宋体" w:hAnsi="宋体" w:cs="宋体"/>
                <w:color w:val="000000"/>
                <w:kern w:val="0"/>
                <w:sz w:val="24"/>
              </w:rPr>
              <w:t>支持从数据业务视角监测各主从资源状态及指标详情；提供容灾切换和计划维护切换等各类场景下的一键容灾切换功能；支持切换流程一键转化为回切流程，并自动执行生产端初始化；支持通过一键切换功能执行站点回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auto"/>
            <w:noWrap w:val="0"/>
            <w:vAlign w:val="center"/>
          </w:tcPr>
          <w:p>
            <w:pPr>
              <w:jc w:val="center"/>
              <w:rPr>
                <w:rFonts w:ascii="宋体" w:hAnsi="宋体" w:cs="宋体"/>
                <w:b/>
                <w:bCs/>
                <w:color w:val="000000"/>
                <w:kern w:val="0"/>
                <w:sz w:val="24"/>
              </w:rPr>
            </w:pPr>
          </w:p>
        </w:tc>
        <w:tc>
          <w:tcPr>
            <w:tcW w:w="7843" w:type="dxa"/>
            <w:shd w:val="clear" w:color="auto" w:fill="auto"/>
            <w:noWrap w:val="0"/>
            <w:vAlign w:val="top"/>
          </w:tcPr>
          <w:p>
            <w:pPr>
              <w:rPr>
                <w:rFonts w:ascii="宋体" w:hAnsi="宋体" w:cs="宋体"/>
                <w:color w:val="000000"/>
                <w:kern w:val="0"/>
                <w:sz w:val="24"/>
              </w:rPr>
            </w:pPr>
            <w:r>
              <w:rPr>
                <w:rFonts w:hint="eastAsia" w:ascii="宋体" w:hAnsi="宋体" w:cs="宋体"/>
                <w:color w:val="000000"/>
                <w:kern w:val="0"/>
                <w:sz w:val="24"/>
              </w:rPr>
              <w:t>要求支持模拟演练，并提供一键演练和一键恢复，可随时对灾备站点应用及数据进行可用性验证；要求容灾站点实现边同步边查询的能力，活动数据库提供活动数据而不是静态数据，随时跟踪生产站点数据库，差异性间隔时间：0至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auto"/>
            <w:noWrap w:val="0"/>
            <w:vAlign w:val="center"/>
          </w:tcPr>
          <w:p>
            <w:pPr>
              <w:jc w:val="center"/>
              <w:rPr>
                <w:rFonts w:ascii="宋体" w:hAnsi="宋体" w:cs="宋体"/>
                <w:b/>
                <w:bCs/>
                <w:color w:val="000000"/>
                <w:kern w:val="0"/>
                <w:sz w:val="24"/>
              </w:rPr>
            </w:pPr>
          </w:p>
        </w:tc>
        <w:tc>
          <w:tcPr>
            <w:tcW w:w="7843" w:type="dxa"/>
            <w:shd w:val="clear" w:color="auto" w:fill="auto"/>
            <w:noWrap w:val="0"/>
            <w:vAlign w:val="top"/>
          </w:tcPr>
          <w:p>
            <w:pPr>
              <w:rPr>
                <w:rFonts w:ascii="宋体" w:hAnsi="宋体" w:cs="宋体"/>
                <w:color w:val="000000"/>
                <w:kern w:val="0"/>
                <w:sz w:val="24"/>
              </w:rPr>
            </w:pPr>
            <w:r>
              <w:rPr>
                <w:rFonts w:hint="eastAsia" w:ascii="宋体" w:hAnsi="宋体" w:cs="宋体"/>
                <w:color w:val="000000"/>
                <w:kern w:val="0"/>
                <w:sz w:val="24"/>
              </w:rPr>
              <w:t>要求容灾端数据库可支持在线作为逻辑备份、数据仓库等源数据，被应用程序或ETL工具所使用。对于程序错误、误操作以及入侵破坏等操作，要求提供快速的恢复能力，防止人为误操作导致的数据丢失。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auto"/>
            <w:noWrap w:val="0"/>
            <w:vAlign w:val="center"/>
          </w:tcPr>
          <w:p>
            <w:pPr>
              <w:jc w:val="center"/>
              <w:rPr>
                <w:rFonts w:ascii="宋体" w:hAnsi="宋体" w:cs="宋体"/>
                <w:b/>
                <w:bCs/>
                <w:color w:val="000000"/>
                <w:kern w:val="0"/>
                <w:sz w:val="24"/>
              </w:rPr>
            </w:pPr>
            <w:r>
              <w:rPr>
                <w:rFonts w:hint="eastAsia" w:ascii="宋体" w:hAnsi="宋体" w:cs="宋体"/>
                <w:b/>
                <w:bCs/>
                <w:color w:val="000000"/>
                <w:kern w:val="0"/>
                <w:sz w:val="24"/>
              </w:rPr>
              <w:t>安全与升级拓展</w:t>
            </w:r>
          </w:p>
        </w:tc>
        <w:tc>
          <w:tcPr>
            <w:tcW w:w="7843" w:type="dxa"/>
            <w:shd w:val="clear" w:color="auto" w:fill="auto"/>
            <w:noWrap w:val="0"/>
            <w:vAlign w:val="top"/>
          </w:tcPr>
          <w:p>
            <w:pPr>
              <w:rPr>
                <w:rFonts w:ascii="宋体" w:hAnsi="宋体" w:cs="宋体"/>
                <w:color w:val="000000"/>
                <w:kern w:val="0"/>
                <w:sz w:val="24"/>
                <w:lang w:val="zh-CN"/>
              </w:rPr>
            </w:pPr>
            <w:r>
              <w:rPr>
                <w:rFonts w:hint="eastAsia" w:ascii="宋体" w:hAnsi="宋体" w:cs="宋体"/>
                <w:color w:val="000000"/>
                <w:kern w:val="0"/>
                <w:sz w:val="24"/>
              </w:rPr>
              <w:t>要求容灾软件及其所属服务器自身不得存储任何生产业务相关数据。对容灾平台进行软件升级安装时，无需停止容灾平台，不中断容灾业务系统的运行。要求容灾软件提供API接口,具备二次开发能力，支持定制部分容灾平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auto"/>
            <w:noWrap w:val="0"/>
            <w:vAlign w:val="center"/>
          </w:tcPr>
          <w:p>
            <w:pPr>
              <w:widowControl/>
              <w:jc w:val="left"/>
              <w:textAlignment w:val="center"/>
              <w:rPr>
                <w:rFonts w:ascii="宋体" w:hAnsi="宋体" w:cs="宋体"/>
                <w:b/>
                <w:bCs/>
                <w:color w:val="000000"/>
                <w:kern w:val="0"/>
                <w:sz w:val="24"/>
              </w:rPr>
            </w:pPr>
            <w:r>
              <w:rPr>
                <w:rFonts w:hint="eastAsia" w:ascii="宋体" w:hAnsi="宋体" w:cs="宋体"/>
                <w:sz w:val="24"/>
              </w:rPr>
              <w:t>服务要求</w:t>
            </w:r>
          </w:p>
        </w:tc>
        <w:tc>
          <w:tcPr>
            <w:tcW w:w="7843" w:type="dxa"/>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CDP灾备一体机</w:t>
      </w:r>
    </w:p>
    <w:tbl>
      <w:tblPr>
        <w:tblStyle w:val="57"/>
        <w:tblW w:w="932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9"/>
        <w:gridCol w:w="79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shd w:val="clear" w:color="auto" w:fill="auto"/>
            <w:noWrap w:val="0"/>
            <w:tcMar>
              <w:top w:w="28" w:type="dxa"/>
              <w:bottom w:w="28" w:type="dxa"/>
            </w:tcMar>
            <w:vAlign w:val="center"/>
          </w:tcPr>
          <w:p>
            <w:pPr>
              <w:pStyle w:val="497"/>
              <w:tabs>
                <w:tab w:val="left" w:pos="862"/>
              </w:tabs>
              <w:spacing w:before="156" w:after="156"/>
              <w:ind w:firstLine="0" w:firstLineChars="0"/>
              <w:jc w:val="center"/>
              <w:rPr>
                <w:rFonts w:cs="宋体"/>
                <w:b/>
                <w:kern w:val="0"/>
              </w:rPr>
            </w:pPr>
            <w:r>
              <w:rPr>
                <w:rFonts w:hint="eastAsia" w:cs="宋体"/>
                <w:b/>
                <w:kern w:val="0"/>
              </w:rPr>
              <w:t>指标项</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ind w:left="425"/>
              <w:jc w:val="center"/>
              <w:rPr>
                <w:rFonts w:ascii="宋体" w:hAnsi="宋体" w:cs="宋体"/>
                <w:b/>
                <w:kern w:val="0"/>
                <w:sz w:val="24"/>
              </w:rPr>
            </w:pPr>
            <w:r>
              <w:rPr>
                <w:rFonts w:hint="eastAsia" w:ascii="宋体" w:hAnsi="宋体" w:cs="宋体"/>
                <w:b/>
                <w:kern w:val="0"/>
                <w:sz w:val="24"/>
              </w:rPr>
              <w:t>指标要求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r>
              <w:rPr>
                <w:rFonts w:hint="eastAsia" w:cs="宋体"/>
                <w:kern w:val="0"/>
              </w:rPr>
              <w:t>★硬件配置</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jc w:val="left"/>
              <w:rPr>
                <w:rFonts w:ascii="宋体" w:hAnsi="宋体" w:cs="宋体"/>
                <w:kern w:val="0"/>
                <w:sz w:val="24"/>
              </w:rPr>
            </w:pPr>
            <w:r>
              <w:rPr>
                <w:rFonts w:hint="eastAsia" w:ascii="宋体" w:hAnsi="宋体" w:cs="宋体"/>
                <w:kern w:val="0"/>
                <w:sz w:val="24"/>
              </w:rPr>
              <w:t>2U机架式，550（1+1）冗余电源，≥2颗Intel八核处理器，内存≥64GB，≥10个热插拔盘位，10块8T SATA 7200企业级硬盘，提供≥2个万兆以太网接口</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vMerge w:val="restart"/>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r>
              <w:rPr>
                <w:rFonts w:hint="eastAsia" w:cs="宋体"/>
                <w:kern w:val="0"/>
              </w:rPr>
              <w:t>部署方式</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color w:val="FF0000"/>
                <w:kern w:val="0"/>
                <w:sz w:val="24"/>
              </w:rPr>
            </w:pPr>
            <w:r>
              <w:rPr>
                <w:rFonts w:hint="eastAsia" w:ascii="宋体" w:hAnsi="宋体" w:cs="宋体"/>
                <w:kern w:val="0"/>
                <w:sz w:val="24"/>
              </w:rPr>
              <w:t>支持单机或集群部署模式</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vMerge w:val="continue"/>
            <w:tcBorders>
              <w:bottom w:val="single" w:color="auto" w:sz="2" w:space="0"/>
            </w:tcBorders>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支持客户端在线安装、一键批量下发部署，可同时添加多个保护对象；内置服务器硬件驱动库，部署时自动匹配对应驱动；支持驱动在线自动更新或手动上传更新</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r>
              <w:rPr>
                <w:rFonts w:hint="eastAsia" w:cs="宋体"/>
                <w:kern w:val="0"/>
              </w:rPr>
              <w:t>资源管理</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计算资源、存储资源横向扩展，在资源不足时可以通过增加独立的计算或者存储节点扩展资源，而不是依赖原有一体机的硬件配置能力；扩展过程对业务无影响；支持存储容量自动精简配置能力，可根据实际使用量分配空间</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vMerge w:val="restart"/>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r>
              <w:rPr>
                <w:rFonts w:hint="eastAsia" w:cs="宋体"/>
                <w:kern w:val="0"/>
              </w:rPr>
              <w:t>对象适配</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支持对物理机、虚拟机、超融合主机、私有云主机和公有云主机资产进行整机保护</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vMerge w:val="continue"/>
            <w:tcBorders>
              <w:bottom w:val="single" w:color="auto" w:sz="2" w:space="0"/>
            </w:tcBorders>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★支持对Windows、Redhat、Ubuntu、Suse、OracleLin</w:t>
            </w:r>
            <w:r>
              <w:rPr>
                <w:rFonts w:hint="eastAsia" w:ascii="宋体" w:hAnsi="宋体" w:cs="宋体"/>
                <w:sz w:val="24"/>
              </w:rPr>
              <w:t>ux、麒麟、华为openEuler、统信V20、红旗Linux客户端进行整机保护</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r>
              <w:rPr>
                <w:rFonts w:hint="eastAsia" w:cs="宋体"/>
                <w:kern w:val="0"/>
              </w:rPr>
              <w:t>容灾许可</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提供不限数量的物理机保护许可、≥150个虚拟机保护许可和核心业务数据库的微秒级CDP保护</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shd w:val="clear" w:color="auto" w:fill="auto"/>
            <w:noWrap w:val="0"/>
            <w:tcMar>
              <w:top w:w="28" w:type="dxa"/>
              <w:bottom w:w="28" w:type="dxa"/>
            </w:tcMar>
            <w:vAlign w:val="center"/>
          </w:tcPr>
          <w:p>
            <w:pPr>
              <w:pStyle w:val="497"/>
              <w:spacing w:before="156" w:after="156"/>
              <w:ind w:firstLine="0" w:firstLineChars="0"/>
              <w:rPr>
                <w:rFonts w:cs="宋体"/>
                <w:kern w:val="0"/>
              </w:rPr>
            </w:pPr>
            <w:r>
              <w:rPr>
                <w:rFonts w:hint="eastAsia" w:cs="宋体"/>
                <w:kern w:val="0"/>
              </w:rPr>
              <w:t>整机备份</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支持基于磁盘块级别的持续数据保护，可精确到秒级，同时能够产生连续的秒级恢复点，可恢复到选定的任意时间点</w:t>
            </w:r>
            <w:r>
              <w:rPr>
                <w:rFonts w:hint="eastAsia" w:ascii="宋体" w:hAnsi="宋体" w:cs="宋体"/>
                <w:color w:val="000000"/>
                <w:kern w:val="0"/>
                <w:sz w:val="24"/>
              </w:rPr>
              <w:t>；</w:t>
            </w:r>
          </w:p>
          <w:p>
            <w:pPr>
              <w:widowControl/>
              <w:spacing w:after="62" w:afterLines="20"/>
              <w:rPr>
                <w:rFonts w:ascii="宋体" w:hAnsi="宋体" w:cs="宋体"/>
                <w:kern w:val="0"/>
                <w:sz w:val="24"/>
              </w:rPr>
            </w:pPr>
            <w:r>
              <w:rPr>
                <w:rFonts w:hint="eastAsia" w:ascii="宋体" w:hAnsi="宋体" w:cs="宋体"/>
                <w:kern w:val="0"/>
                <w:sz w:val="24"/>
              </w:rPr>
              <w:t>支持不需区分业务系统类型、部署方法、业务系统间的数据交互机制、数据结构、逻辑关系和数据库的品牌、版本等实现数据保护；</w:t>
            </w:r>
          </w:p>
          <w:p>
            <w:pPr>
              <w:widowControl/>
              <w:spacing w:after="62" w:afterLines="20"/>
              <w:rPr>
                <w:rFonts w:ascii="宋体" w:hAnsi="宋体" w:cs="宋体"/>
                <w:color w:val="FF0000"/>
                <w:kern w:val="0"/>
                <w:sz w:val="24"/>
              </w:rPr>
            </w:pPr>
            <w:r>
              <w:rPr>
                <w:rFonts w:hint="eastAsia" w:ascii="宋体" w:hAnsi="宋体" w:cs="宋体"/>
                <w:kern w:val="0"/>
                <w:sz w:val="24"/>
              </w:rPr>
              <w:t>支持整机、磁盘、分区/卷级别的细粒度备份，且支持磁盘排除备份</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shd w:val="clear" w:color="auto" w:fill="auto"/>
            <w:noWrap w:val="0"/>
            <w:tcMar>
              <w:top w:w="28" w:type="dxa"/>
              <w:bottom w:w="28" w:type="dxa"/>
            </w:tcMar>
            <w:vAlign w:val="center"/>
          </w:tcPr>
          <w:p>
            <w:pPr>
              <w:pStyle w:val="497"/>
              <w:spacing w:before="156" w:after="156"/>
              <w:ind w:firstLine="0" w:firstLineChars="0"/>
              <w:rPr>
                <w:rFonts w:cs="宋体"/>
                <w:kern w:val="0"/>
              </w:rPr>
            </w:pPr>
            <w:r>
              <w:rPr>
                <w:rFonts w:hint="eastAsia" w:cs="宋体"/>
                <w:kern w:val="0"/>
              </w:rPr>
              <w:t>备份策略</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color w:val="FF0000"/>
                <w:kern w:val="0"/>
                <w:sz w:val="24"/>
              </w:rPr>
            </w:pPr>
            <w:r>
              <w:rPr>
                <w:rFonts w:hint="eastAsia" w:ascii="宋体" w:hAnsi="宋体" w:cs="宋体"/>
                <w:kern w:val="0"/>
                <w:sz w:val="24"/>
              </w:rPr>
              <w:t>支持系统内置多个备份策略，无需配置即可开箱即用；策略之间相互独立，可灵活定义数据保护模式、备份间隔、数据保留时间、策略执行时间、数据校验时间、备份性能模式、带宽速度等</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shd w:val="clear" w:color="auto" w:fill="auto"/>
            <w:noWrap w:val="0"/>
            <w:tcMar>
              <w:top w:w="28" w:type="dxa"/>
              <w:bottom w:w="28" w:type="dxa"/>
            </w:tcMar>
            <w:vAlign w:val="center"/>
          </w:tcPr>
          <w:p>
            <w:pPr>
              <w:pStyle w:val="497"/>
              <w:spacing w:before="156" w:after="156"/>
              <w:ind w:firstLine="0" w:firstLineChars="0"/>
              <w:rPr>
                <w:rFonts w:cs="宋体"/>
                <w:kern w:val="0"/>
              </w:rPr>
            </w:pPr>
            <w:r>
              <w:rPr>
                <w:rFonts w:hint="eastAsia" w:cs="宋体"/>
                <w:kern w:val="0"/>
              </w:rPr>
              <w:t>数据传输</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数据传输支持客户端级加密，支持任务级数据重删和断点续传</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shd w:val="clear" w:color="auto" w:fill="auto"/>
            <w:noWrap w:val="0"/>
            <w:tcMar>
              <w:top w:w="28" w:type="dxa"/>
              <w:bottom w:w="28" w:type="dxa"/>
            </w:tcMar>
            <w:vAlign w:val="center"/>
          </w:tcPr>
          <w:p>
            <w:pPr>
              <w:pStyle w:val="497"/>
              <w:spacing w:before="156" w:after="156"/>
              <w:ind w:firstLine="0" w:firstLineChars="0"/>
              <w:rPr>
                <w:rFonts w:cs="宋体"/>
                <w:kern w:val="0"/>
              </w:rPr>
            </w:pPr>
            <w:r>
              <w:rPr>
                <w:rFonts w:hint="eastAsia" w:cs="宋体"/>
                <w:kern w:val="0"/>
              </w:rPr>
              <w:t>资源控制</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支持选择业务优先、备份优先等多种备份模式；支持通过百分比方式限制源端存储资源占用；支持网络带宽限制</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vMerge w:val="restart"/>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r>
              <w:rPr>
                <w:rFonts w:hint="eastAsia" w:cs="宋体"/>
                <w:kern w:val="0"/>
              </w:rPr>
              <w:t>数据验证</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支持同时对单台或多台客户端进行一致性验证，验证时间点支持实时或者自定义时间点；验证过程与生产环境隔离，不影响生产业务系统</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vMerge w:val="continue"/>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内嵌逻辑隔离网络环境，可根据实际网络情况，自定义配置验证网络，用于容灾演练、数据验证等场景。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r>
              <w:rPr>
                <w:rFonts w:hint="eastAsia" w:cs="宋体"/>
                <w:kern w:val="0"/>
              </w:rPr>
              <w:t>数据恢复</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支持生产系统操作系统、应用、数据一体化在线恢复，无需对恢复目标安装操作系统、配置软件、拷贝数据等操作；</w:t>
            </w:r>
          </w:p>
          <w:p>
            <w:pPr>
              <w:pStyle w:val="1051"/>
              <w:spacing w:after="156"/>
            </w:pPr>
            <w:r>
              <w:rPr>
                <w:rFonts w:hint="eastAsia" w:ascii="宋体" w:hAnsi="宋体" w:cs="宋体"/>
                <w:kern w:val="0"/>
                <w:sz w:val="24"/>
                <w:szCs w:val="24"/>
              </w:rPr>
              <w:t>支持接管恢复、备份恢复、实时恢复等多种恢复类型；支持整机恢复、磁盘恢复、分区/卷恢复等多种细粒度恢复。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r>
              <w:rPr>
                <w:rFonts w:hint="eastAsia" w:cs="宋体"/>
                <w:kern w:val="0"/>
              </w:rPr>
              <w:t>接管恢复</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支持基于接管机的恢复，恢复过程接管机无需停机，不影响业务运行；恢复基于接管机，无需再次创建备份任务；恢复过程包含接管机运行后新增业务数据；</w:t>
            </w:r>
            <w:r>
              <w:rPr>
                <w:rFonts w:hint="eastAsia" w:ascii="宋体" w:hAnsi="宋体" w:cs="宋体"/>
                <w:color w:val="000000"/>
                <w:sz w:val="24"/>
              </w:rPr>
              <w:t>（提供</w:t>
            </w:r>
            <w:r>
              <w:rPr>
                <w:rFonts w:hint="eastAsia" w:ascii="宋体" w:hAnsi="宋体" w:cs="宋体"/>
                <w:sz w:val="24"/>
              </w:rPr>
              <w:t>相关明确材料</w:t>
            </w:r>
            <w:r>
              <w:rPr>
                <w:rFonts w:hint="eastAsia" w:ascii="宋体" w:hAnsi="宋体" w:cs="宋体"/>
                <w:color w:val="000000"/>
                <w:sz w:val="24"/>
              </w:rPr>
              <w:t>）</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shd w:val="clear" w:color="auto" w:fill="auto"/>
            <w:noWrap w:val="0"/>
            <w:tcMar>
              <w:top w:w="28" w:type="dxa"/>
              <w:bottom w:w="28" w:type="dxa"/>
            </w:tcMar>
            <w:vAlign w:val="center"/>
          </w:tcPr>
          <w:p>
            <w:pPr>
              <w:pStyle w:val="497"/>
              <w:tabs>
                <w:tab w:val="left" w:pos="862"/>
              </w:tabs>
              <w:spacing w:before="156" w:after="156"/>
              <w:ind w:firstLine="0" w:firstLineChars="0"/>
              <w:rPr>
                <w:rFonts w:cs="宋体"/>
                <w:kern w:val="0"/>
              </w:rPr>
            </w:pPr>
            <w:r>
              <w:rPr>
                <w:rFonts w:hint="eastAsia" w:cs="宋体"/>
                <w:kern w:val="0"/>
              </w:rPr>
              <w:t>实时恢复</w:t>
            </w:r>
          </w:p>
        </w:tc>
        <w:tc>
          <w:tcPr>
            <w:tcW w:w="7913" w:type="dxa"/>
            <w:tcBorders>
              <w:bottom w:val="single" w:color="auto" w:sz="2" w:space="0"/>
            </w:tcBorders>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支持实时恢复功能，实时备份过程中，进行实时恢复，新增的备份数据会自动进行实时恢复，支持无系统X86、物理机、虚拟化主机、超融合主机、云主机间端到端的实时增量恢复。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vMerge w:val="restart"/>
            <w:shd w:val="clear" w:color="auto" w:fill="auto"/>
            <w:noWrap w:val="0"/>
            <w:tcMar>
              <w:top w:w="28" w:type="dxa"/>
              <w:bottom w:w="28" w:type="dxa"/>
            </w:tcMar>
            <w:vAlign w:val="center"/>
          </w:tcPr>
          <w:p>
            <w:pPr>
              <w:pStyle w:val="497"/>
              <w:spacing w:before="156" w:after="156"/>
              <w:ind w:firstLine="0" w:firstLineChars="0"/>
              <w:rPr>
                <w:rFonts w:cs="宋体"/>
                <w:kern w:val="0"/>
              </w:rPr>
            </w:pPr>
            <w:r>
              <w:rPr>
                <w:rFonts w:hint="eastAsia" w:cs="宋体"/>
                <w:kern w:val="0"/>
              </w:rPr>
              <w:t>应急接管</w:t>
            </w:r>
          </w:p>
        </w:tc>
        <w:tc>
          <w:tcPr>
            <w:tcW w:w="7913" w:type="dxa"/>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支持快速应急接管，可根据保护过程中收集源系统负载信息,自动匹配、自动构建接管虚拟网络、智能化自动分配接管资源。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vMerge w:val="continue"/>
            <w:shd w:val="clear" w:color="auto" w:fill="auto"/>
            <w:noWrap w:val="0"/>
            <w:tcMar>
              <w:top w:w="28" w:type="dxa"/>
              <w:bottom w:w="28" w:type="dxa"/>
            </w:tcMar>
            <w:vAlign w:val="center"/>
          </w:tcPr>
          <w:p>
            <w:pPr>
              <w:pStyle w:val="497"/>
              <w:spacing w:before="156" w:after="156"/>
              <w:ind w:firstLine="0" w:firstLineChars="0"/>
              <w:rPr>
                <w:rFonts w:cs="宋体"/>
                <w:kern w:val="0"/>
              </w:rPr>
            </w:pPr>
          </w:p>
        </w:tc>
        <w:tc>
          <w:tcPr>
            <w:tcW w:w="7913" w:type="dxa"/>
            <w:shd w:val="clear" w:color="auto" w:fill="auto"/>
            <w:noWrap w:val="0"/>
            <w:tcMar>
              <w:top w:w="28" w:type="dxa"/>
              <w:bottom w:w="28" w:type="dxa"/>
            </w:tcMar>
            <w:vAlign w:val="center"/>
          </w:tcPr>
          <w:p>
            <w:pPr>
              <w:widowControl/>
              <w:spacing w:after="62" w:afterLines="20"/>
              <w:rPr>
                <w:rFonts w:ascii="宋体" w:hAnsi="宋体" w:cs="宋体"/>
                <w:kern w:val="0"/>
                <w:sz w:val="24"/>
              </w:rPr>
            </w:pPr>
            <w:r>
              <w:rPr>
                <w:rFonts w:hint="eastAsia" w:ascii="宋体" w:hAnsi="宋体" w:cs="宋体"/>
                <w:kern w:val="0"/>
                <w:sz w:val="24"/>
              </w:rPr>
              <w:t>支持配置切换计划，参数配置支持与源设备一致或者自定义配置；接管时间点提供多种细粒度选择；切换方式支持不同切换条件，切换条件支持多次确认机制</w:t>
            </w:r>
            <w:r>
              <w:rPr>
                <w:rFonts w:hint="eastAsia" w:ascii="宋体" w:hAnsi="宋体" w:cs="宋体"/>
                <w:color w:val="000000"/>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shd w:val="clear" w:color="auto" w:fill="auto"/>
            <w:noWrap w:val="0"/>
            <w:tcMar>
              <w:top w:w="28" w:type="dxa"/>
              <w:bottom w:w="28" w:type="dxa"/>
            </w:tcMar>
            <w:vAlign w:val="center"/>
          </w:tcPr>
          <w:p>
            <w:pPr>
              <w:widowControl/>
              <w:jc w:val="left"/>
              <w:textAlignment w:val="center"/>
              <w:rPr>
                <w:rFonts w:ascii="宋体" w:hAnsi="宋体" w:cs="宋体"/>
                <w:kern w:val="0"/>
                <w:sz w:val="24"/>
              </w:rPr>
            </w:pPr>
            <w:r>
              <w:rPr>
                <w:rFonts w:hint="eastAsia" w:ascii="宋体" w:hAnsi="宋体" w:cs="宋体"/>
                <w:sz w:val="24"/>
              </w:rPr>
              <w:t>服务要求</w:t>
            </w:r>
          </w:p>
        </w:tc>
        <w:tc>
          <w:tcPr>
            <w:tcW w:w="7913" w:type="dxa"/>
            <w:tcBorders>
              <w:bottom w:val="single" w:color="auto" w:sz="2" w:space="0"/>
            </w:tcBorders>
            <w:shd w:val="clear" w:color="auto" w:fill="auto"/>
            <w:noWrap w:val="0"/>
            <w:tcMar>
              <w:top w:w="28" w:type="dxa"/>
              <w:bottom w:w="28"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核心交换机</w:t>
      </w:r>
    </w:p>
    <w:tbl>
      <w:tblPr>
        <w:tblStyle w:val="57"/>
        <w:tblW w:w="9322" w:type="dxa"/>
        <w:tblInd w:w="0" w:type="dxa"/>
        <w:tblLayout w:type="fixed"/>
        <w:tblCellMar>
          <w:top w:w="0" w:type="dxa"/>
          <w:left w:w="108" w:type="dxa"/>
          <w:bottom w:w="0" w:type="dxa"/>
          <w:right w:w="108" w:type="dxa"/>
        </w:tblCellMar>
      </w:tblPr>
      <w:tblGrid>
        <w:gridCol w:w="1365"/>
        <w:gridCol w:w="7957"/>
      </w:tblGrid>
      <w:tr>
        <w:tblPrEx>
          <w:tblCellMar>
            <w:top w:w="0" w:type="dxa"/>
            <w:left w:w="108" w:type="dxa"/>
            <w:bottom w:w="0" w:type="dxa"/>
            <w:right w:w="108" w:type="dxa"/>
          </w:tblCellMar>
        </w:tblPrEx>
        <w:trPr>
          <w:wBefore w:w="0" w:type="dxa"/>
          <w:wAfter w:w="0" w:type="dxa"/>
          <w:trHeight w:val="224"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宋体" w:hAnsi="宋体" w:cs="宋体"/>
                <w:color w:val="000000"/>
                <w:kern w:val="0"/>
                <w:sz w:val="24"/>
              </w:rPr>
            </w:pPr>
            <w:r>
              <w:rPr>
                <w:rFonts w:hint="eastAsia" w:ascii="宋体" w:hAnsi="宋体" w:cs="宋体"/>
                <w:b/>
                <w:sz w:val="24"/>
              </w:rPr>
              <w:t>指标项</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宋体" w:hAnsi="宋体" w:cs="宋体"/>
                <w:color w:val="000000"/>
                <w:kern w:val="0"/>
                <w:sz w:val="24"/>
              </w:rPr>
            </w:pPr>
            <w:r>
              <w:rPr>
                <w:rFonts w:hint="eastAsia" w:ascii="宋体" w:hAnsi="宋体" w:cs="宋体"/>
                <w:b/>
                <w:sz w:val="24"/>
              </w:rPr>
              <w:t>参数要求</w:t>
            </w:r>
          </w:p>
        </w:tc>
      </w:tr>
      <w:tr>
        <w:tblPrEx>
          <w:tblCellMar>
            <w:top w:w="0" w:type="dxa"/>
            <w:left w:w="108" w:type="dxa"/>
            <w:bottom w:w="0" w:type="dxa"/>
            <w:right w:w="108" w:type="dxa"/>
          </w:tblCellMar>
        </w:tblPrEx>
        <w:trPr>
          <w:wBefore w:w="0" w:type="dxa"/>
          <w:wAfter w:w="0" w:type="dxa"/>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芯片</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采用国产CPU芯片</w:t>
            </w:r>
          </w:p>
        </w:tc>
      </w:tr>
      <w:tr>
        <w:tblPrEx>
          <w:tblCellMar>
            <w:top w:w="0" w:type="dxa"/>
            <w:left w:w="108" w:type="dxa"/>
            <w:bottom w:w="0" w:type="dxa"/>
            <w:right w:w="108" w:type="dxa"/>
          </w:tblCellMar>
        </w:tblPrEx>
        <w:trPr>
          <w:wBefore w:w="0" w:type="dxa"/>
          <w:wAfter w:w="0" w:type="dxa"/>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性能</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★交换容量≥380Tbps，包转发率≥110000Mpps。</w:t>
            </w:r>
          </w:p>
        </w:tc>
      </w:tr>
      <w:tr>
        <w:tblPrEx>
          <w:tblCellMar>
            <w:top w:w="0" w:type="dxa"/>
            <w:left w:w="108" w:type="dxa"/>
            <w:bottom w:w="0" w:type="dxa"/>
            <w:right w:w="108" w:type="dxa"/>
          </w:tblCellMar>
        </w:tblPrEx>
        <w:trPr>
          <w:wBefore w:w="0" w:type="dxa"/>
          <w:wAfter w:w="0" w:type="dxa"/>
          <w:trHeight w:val="576"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槽位</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主控槽位≥2个，独立交换网板槽位≥2个，业务槽位数≥4；要求主控引擎与交换网板完全物理分离，主控槽位与业务线卡槽位均为全宽槽位。</w:t>
            </w:r>
          </w:p>
        </w:tc>
      </w:tr>
      <w:tr>
        <w:tblPrEx>
          <w:tblCellMar>
            <w:top w:w="0" w:type="dxa"/>
            <w:left w:w="108" w:type="dxa"/>
            <w:bottom w:w="0" w:type="dxa"/>
            <w:right w:w="108" w:type="dxa"/>
          </w:tblCellMar>
        </w:tblPrEx>
        <w:trPr>
          <w:wBefore w:w="0" w:type="dxa"/>
          <w:wAfter w:w="0" w:type="dxa"/>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路由</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支持RIPng、OSPFv3、BGP4+、IS-ISv6协议，支持IPv6策略路由；</w:t>
            </w:r>
          </w:p>
        </w:tc>
      </w:tr>
      <w:tr>
        <w:tblPrEx>
          <w:tblCellMar>
            <w:top w:w="0" w:type="dxa"/>
            <w:left w:w="108" w:type="dxa"/>
            <w:bottom w:w="0" w:type="dxa"/>
            <w:right w:w="108" w:type="dxa"/>
          </w:tblCellMar>
        </w:tblPrEx>
        <w:trPr>
          <w:wBefore w:w="0" w:type="dxa"/>
          <w:wAfter w:w="0" w:type="dxa"/>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IPV6</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支持DHCPv6功能、IPv6 portal功能、IPv6管理功能；支持基于IPv6的VRRP功能。</w:t>
            </w:r>
          </w:p>
        </w:tc>
      </w:tr>
      <w:tr>
        <w:tblPrEx>
          <w:tblCellMar>
            <w:top w:w="0" w:type="dxa"/>
            <w:left w:w="108" w:type="dxa"/>
            <w:bottom w:w="0" w:type="dxa"/>
            <w:right w:w="108" w:type="dxa"/>
          </w:tblCellMar>
        </w:tblPrEx>
        <w:trPr>
          <w:wBefore w:w="0" w:type="dxa"/>
          <w:wAfter w:w="0" w:type="dxa"/>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融合性</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支持融合 AC 功能，整机支持最大管理AP≥10k。</w:t>
            </w:r>
          </w:p>
        </w:tc>
      </w:tr>
      <w:tr>
        <w:tblPrEx>
          <w:tblCellMar>
            <w:top w:w="0" w:type="dxa"/>
            <w:left w:w="108" w:type="dxa"/>
            <w:bottom w:w="0" w:type="dxa"/>
            <w:right w:w="108" w:type="dxa"/>
          </w:tblCellMar>
        </w:tblPrEx>
        <w:trPr>
          <w:wBefore w:w="0" w:type="dxa"/>
          <w:wAfter w:w="0" w:type="dxa"/>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虚拟化技术</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支持纵向虚拟化技术，支持把交换机和AP虚拟为一台设备。</w:t>
            </w:r>
          </w:p>
        </w:tc>
      </w:tr>
      <w:tr>
        <w:tblPrEx>
          <w:tblCellMar>
            <w:top w:w="0" w:type="dxa"/>
            <w:left w:w="108" w:type="dxa"/>
            <w:bottom w:w="0" w:type="dxa"/>
            <w:right w:w="108" w:type="dxa"/>
          </w:tblCellMar>
        </w:tblPrEx>
        <w:trPr>
          <w:wBefore w:w="0" w:type="dxa"/>
          <w:wAfter w:w="0" w:type="dxa"/>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VXLAN</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支持VxLAN二层网关，支持VxLAN三层网关，支持EVPN，支持基于IPv4/IPv6的VxLAN二三层互通。</w:t>
            </w:r>
          </w:p>
        </w:tc>
      </w:tr>
      <w:tr>
        <w:tblPrEx>
          <w:tblCellMar>
            <w:top w:w="0" w:type="dxa"/>
            <w:left w:w="108" w:type="dxa"/>
            <w:bottom w:w="0" w:type="dxa"/>
            <w:right w:w="108" w:type="dxa"/>
          </w:tblCellMar>
        </w:tblPrEx>
        <w:trPr>
          <w:wBefore w:w="0" w:type="dxa"/>
          <w:wAfter w:w="0" w:type="dxa"/>
          <w:trHeight w:val="576"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热补丁升级</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支持NSF/GR for OSFP/BGP/IS-IS，支持热补丁功能，可在线进行补丁升级，支持BFD，BFD for VRRP/BGP/IS-IS/OSPF/RSVP/LDP/RIP/静态路由。</w:t>
            </w:r>
          </w:p>
        </w:tc>
      </w:tr>
      <w:tr>
        <w:tblPrEx>
          <w:tblCellMar>
            <w:top w:w="0" w:type="dxa"/>
            <w:left w:w="108" w:type="dxa"/>
            <w:bottom w:w="0" w:type="dxa"/>
            <w:right w:w="108" w:type="dxa"/>
          </w:tblCellMar>
        </w:tblPrEx>
        <w:trPr>
          <w:wBefore w:w="0" w:type="dxa"/>
          <w:wAfter w:w="0" w:type="dxa"/>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QOS</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每端口支持优先级队列，丢弃优先级，支持SP、WRR、SP+WRR等三种队列调度算法。</w:t>
            </w:r>
          </w:p>
        </w:tc>
      </w:tr>
      <w:tr>
        <w:tblPrEx>
          <w:tblCellMar>
            <w:top w:w="0" w:type="dxa"/>
            <w:left w:w="108" w:type="dxa"/>
            <w:bottom w:w="0" w:type="dxa"/>
            <w:right w:w="108" w:type="dxa"/>
          </w:tblCellMar>
        </w:tblPrEx>
        <w:trPr>
          <w:wBefore w:w="0" w:type="dxa"/>
          <w:wAfter w:w="0" w:type="dxa"/>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★实际配置</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实配双主控，满配交换网板，双电源，万兆光口≥48个，40G光口≥12个。实配48个万兆多模光模块，40G单模光模块≥8个。</w:t>
            </w:r>
          </w:p>
        </w:tc>
      </w:tr>
      <w:tr>
        <w:tblPrEx>
          <w:tblCellMar>
            <w:top w:w="0" w:type="dxa"/>
            <w:left w:w="108" w:type="dxa"/>
            <w:bottom w:w="0" w:type="dxa"/>
            <w:right w:w="108" w:type="dxa"/>
          </w:tblCellMar>
        </w:tblPrEx>
        <w:trPr>
          <w:wBefore w:w="0" w:type="dxa"/>
          <w:wAfter w:w="0" w:type="dxa"/>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sz w:val="24"/>
              </w:rPr>
              <w:t>服务要求</w:t>
            </w:r>
          </w:p>
        </w:tc>
        <w:tc>
          <w:tcPr>
            <w:tcW w:w="7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服务器汇聚交换机</w:t>
      </w:r>
    </w:p>
    <w:tbl>
      <w:tblPr>
        <w:tblStyle w:val="57"/>
        <w:tblW w:w="9356" w:type="dxa"/>
        <w:tblInd w:w="-34" w:type="dxa"/>
        <w:tblLayout w:type="fixed"/>
        <w:tblCellMar>
          <w:top w:w="0" w:type="dxa"/>
          <w:left w:w="108" w:type="dxa"/>
          <w:bottom w:w="0" w:type="dxa"/>
          <w:right w:w="108" w:type="dxa"/>
        </w:tblCellMar>
      </w:tblPr>
      <w:tblGrid>
        <w:gridCol w:w="1411"/>
        <w:gridCol w:w="7945"/>
      </w:tblGrid>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宋体" w:hAnsi="宋体" w:cs="宋体"/>
                <w:color w:val="000000"/>
                <w:kern w:val="0"/>
                <w:sz w:val="24"/>
              </w:rPr>
            </w:pPr>
            <w:r>
              <w:rPr>
                <w:rFonts w:hint="eastAsia" w:ascii="宋体" w:hAnsi="宋体" w:cs="宋体"/>
                <w:b/>
                <w:sz w:val="24"/>
              </w:rPr>
              <w:t>指标项</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宋体" w:hAnsi="宋体" w:cs="宋体"/>
                <w:color w:val="000000"/>
                <w:kern w:val="0"/>
                <w:sz w:val="24"/>
              </w:rPr>
            </w:pPr>
            <w:r>
              <w:rPr>
                <w:rFonts w:hint="eastAsia" w:ascii="宋体" w:hAnsi="宋体" w:cs="宋体"/>
                <w:b/>
                <w:sz w:val="24"/>
              </w:rPr>
              <w:t>参数要求</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★性能</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交换容量≥4.8Tbps，包转发率≥2000Mpps</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★接口</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10GE光端口数量≥48个，40GE/100GE端口数量≥6个；配16个10GE多模光模块，4</w:t>
            </w:r>
            <w:r>
              <w:rPr>
                <w:rFonts w:hint="eastAsia" w:ascii="宋体" w:hAnsi="宋体" w:cs="宋体"/>
                <w:color w:val="000000"/>
                <w:kern w:val="0"/>
                <w:sz w:val="24"/>
                <w:shd w:val="clear" w:color="auto" w:fill="FFFFFF"/>
              </w:rPr>
              <w:t>个40G多模光模块</w:t>
            </w:r>
            <w:r>
              <w:rPr>
                <w:rFonts w:hint="eastAsia" w:ascii="宋体" w:hAnsi="宋体" w:cs="宋体"/>
                <w:color w:val="000000"/>
                <w:kern w:val="0"/>
                <w:sz w:val="24"/>
              </w:rPr>
              <w:t>。</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缓存</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缓存≥32M</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电源</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电源1+1备份，风扇3+1备份</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风道</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支持前后、后前风道</w:t>
            </w:r>
          </w:p>
        </w:tc>
      </w:tr>
      <w:tr>
        <w:tblPrEx>
          <w:tblCellMar>
            <w:top w:w="0" w:type="dxa"/>
            <w:left w:w="108" w:type="dxa"/>
            <w:bottom w:w="0" w:type="dxa"/>
            <w:right w:w="108" w:type="dxa"/>
          </w:tblCellMar>
        </w:tblPrEx>
        <w:trPr>
          <w:wBefore w:w="0" w:type="dxa"/>
          <w:wAfter w:w="0" w:type="dxa"/>
          <w:trHeight w:val="57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M-LAG</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支持M-LAG技术（跨框链路聚合，要求配对设备有独立的控制平面，不能用堆叠等多虚一技术实现）。</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VXLAN</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支持组播OVER VXLAN</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流量分析</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支持netstream、sFlow；</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网管协议</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支持SNMP V1/V2/V3、Telnet、RMON、SSH</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ERPS</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支持ERPS以太环保护协议（G.8032）</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路由</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支持RIP、OSPF、ISIS、BGP等IPv4动态路由协议，BGP4+等IPv6动态路由协议</w:t>
            </w:r>
          </w:p>
        </w:tc>
      </w:tr>
      <w:tr>
        <w:tblPrEx>
          <w:tblCellMar>
            <w:top w:w="0" w:type="dxa"/>
            <w:left w:w="108" w:type="dxa"/>
            <w:bottom w:w="0" w:type="dxa"/>
            <w:right w:w="108" w:type="dxa"/>
          </w:tblCellMar>
        </w:tblPrEx>
        <w:trPr>
          <w:wBefore w:w="0" w:type="dxa"/>
          <w:wAfter w:w="0" w:type="dxa"/>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sz w:val="24"/>
              </w:rPr>
              <w:t>服务要求</w:t>
            </w:r>
          </w:p>
        </w:tc>
        <w:tc>
          <w:tcPr>
            <w:tcW w:w="7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接入层交换机</w:t>
      </w:r>
    </w:p>
    <w:tbl>
      <w:tblPr>
        <w:tblStyle w:val="57"/>
        <w:tblW w:w="9322" w:type="dxa"/>
        <w:tblInd w:w="0" w:type="dxa"/>
        <w:tblLayout w:type="fixed"/>
        <w:tblCellMar>
          <w:top w:w="0" w:type="dxa"/>
          <w:left w:w="108" w:type="dxa"/>
          <w:bottom w:w="0" w:type="dxa"/>
          <w:right w:w="108" w:type="dxa"/>
        </w:tblCellMar>
      </w:tblPr>
      <w:tblGrid>
        <w:gridCol w:w="1355"/>
        <w:gridCol w:w="7967"/>
      </w:tblGrid>
      <w:tr>
        <w:tblPrEx>
          <w:tblCellMar>
            <w:top w:w="0" w:type="dxa"/>
            <w:left w:w="108" w:type="dxa"/>
            <w:bottom w:w="0" w:type="dxa"/>
            <w:right w:w="108" w:type="dxa"/>
          </w:tblCellMar>
        </w:tblPrEx>
        <w:trPr>
          <w:wBefore w:w="0" w:type="dxa"/>
          <w:wAfter w:w="0" w:type="dxa"/>
          <w:trHeight w:val="288"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宋体" w:hAnsi="宋体" w:cs="宋体"/>
                <w:color w:val="000000"/>
                <w:kern w:val="0"/>
                <w:sz w:val="24"/>
              </w:rPr>
            </w:pPr>
            <w:r>
              <w:rPr>
                <w:rFonts w:hint="eastAsia" w:ascii="宋体" w:hAnsi="宋体" w:cs="宋体"/>
                <w:b/>
                <w:sz w:val="24"/>
              </w:rPr>
              <w:t>指标项</w:t>
            </w:r>
          </w:p>
        </w:tc>
        <w:tc>
          <w:tcPr>
            <w:tcW w:w="796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宋体" w:hAnsi="宋体" w:cs="宋体"/>
                <w:color w:val="000000"/>
                <w:kern w:val="0"/>
                <w:sz w:val="24"/>
              </w:rPr>
            </w:pPr>
            <w:r>
              <w:rPr>
                <w:rFonts w:hint="eastAsia" w:ascii="宋体" w:hAnsi="宋体" w:cs="宋体"/>
                <w:b/>
                <w:sz w:val="24"/>
              </w:rPr>
              <w:t>参数要求</w:t>
            </w:r>
          </w:p>
        </w:tc>
      </w:tr>
      <w:tr>
        <w:tblPrEx>
          <w:tblCellMar>
            <w:top w:w="0" w:type="dxa"/>
            <w:left w:w="108" w:type="dxa"/>
            <w:bottom w:w="0" w:type="dxa"/>
            <w:right w:w="108" w:type="dxa"/>
          </w:tblCellMar>
        </w:tblPrEx>
        <w:trPr>
          <w:wBefore w:w="0" w:type="dxa"/>
          <w:wAfter w:w="0" w:type="dxa"/>
          <w:trHeight w:val="288"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性能</w:t>
            </w:r>
          </w:p>
        </w:tc>
        <w:tc>
          <w:tcPr>
            <w:tcW w:w="7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交换容量≥520Gbps，包转发率≥200Mpps</w:t>
            </w:r>
          </w:p>
        </w:tc>
      </w:tr>
      <w:tr>
        <w:tblPrEx>
          <w:tblCellMar>
            <w:top w:w="0" w:type="dxa"/>
            <w:left w:w="108" w:type="dxa"/>
            <w:bottom w:w="0" w:type="dxa"/>
            <w:right w:w="108" w:type="dxa"/>
          </w:tblCellMar>
        </w:tblPrEx>
        <w:trPr>
          <w:wBefore w:w="0" w:type="dxa"/>
          <w:wAfter w:w="0" w:type="dxa"/>
          <w:trHeight w:val="288"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接口</w:t>
            </w:r>
          </w:p>
        </w:tc>
        <w:tc>
          <w:tcPr>
            <w:tcW w:w="7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千兆电口≥48个，万兆光口≥4个；2个10GE单模光模块</w:t>
            </w:r>
          </w:p>
        </w:tc>
      </w:tr>
      <w:tr>
        <w:tblPrEx>
          <w:tblCellMar>
            <w:top w:w="0" w:type="dxa"/>
            <w:left w:w="108" w:type="dxa"/>
            <w:bottom w:w="0" w:type="dxa"/>
            <w:right w:w="108" w:type="dxa"/>
          </w:tblCellMar>
        </w:tblPrEx>
        <w:trPr>
          <w:wBefore w:w="0" w:type="dxa"/>
          <w:wAfter w:w="0" w:type="dxa"/>
          <w:trHeight w:val="288"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芯片</w:t>
            </w:r>
          </w:p>
        </w:tc>
        <w:tc>
          <w:tcPr>
            <w:tcW w:w="7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为响应自主可控，要求CPU和LSW国产化</w:t>
            </w:r>
          </w:p>
        </w:tc>
      </w:tr>
      <w:tr>
        <w:tblPrEx>
          <w:tblCellMar>
            <w:top w:w="0" w:type="dxa"/>
            <w:left w:w="108" w:type="dxa"/>
            <w:bottom w:w="0" w:type="dxa"/>
            <w:right w:w="108" w:type="dxa"/>
          </w:tblCellMar>
        </w:tblPrEx>
        <w:trPr>
          <w:wBefore w:w="0" w:type="dxa"/>
          <w:wAfter w:w="0" w:type="dxa"/>
          <w:trHeight w:val="288"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内存</w:t>
            </w:r>
          </w:p>
        </w:tc>
        <w:tc>
          <w:tcPr>
            <w:tcW w:w="7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内存≥2GB</w:t>
            </w:r>
          </w:p>
        </w:tc>
      </w:tr>
      <w:tr>
        <w:tblPrEx>
          <w:tblCellMar>
            <w:top w:w="0" w:type="dxa"/>
            <w:left w:w="108" w:type="dxa"/>
            <w:bottom w:w="0" w:type="dxa"/>
            <w:right w:w="108" w:type="dxa"/>
          </w:tblCellMar>
        </w:tblPrEx>
        <w:trPr>
          <w:wBefore w:w="0" w:type="dxa"/>
          <w:wAfter w:w="0" w:type="dxa"/>
          <w:trHeight w:val="288"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表项</w:t>
            </w:r>
          </w:p>
        </w:tc>
        <w:tc>
          <w:tcPr>
            <w:tcW w:w="7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MAC地址表容量≥32K，FIBv4条目≥4000，FIBv6条目≥1000</w:t>
            </w:r>
          </w:p>
        </w:tc>
      </w:tr>
      <w:tr>
        <w:tblPrEx>
          <w:tblCellMar>
            <w:top w:w="0" w:type="dxa"/>
            <w:left w:w="108" w:type="dxa"/>
            <w:bottom w:w="0" w:type="dxa"/>
            <w:right w:w="108" w:type="dxa"/>
          </w:tblCellMar>
        </w:tblPrEx>
        <w:trPr>
          <w:wBefore w:w="0" w:type="dxa"/>
          <w:wAfter w:w="0" w:type="dxa"/>
          <w:trHeight w:val="288"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路由</w:t>
            </w:r>
          </w:p>
        </w:tc>
        <w:tc>
          <w:tcPr>
            <w:tcW w:w="7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支持RIP、RIPng、OSPF、OSPFv3路由协议</w:t>
            </w:r>
          </w:p>
        </w:tc>
      </w:tr>
      <w:tr>
        <w:tblPrEx>
          <w:tblCellMar>
            <w:top w:w="0" w:type="dxa"/>
            <w:left w:w="108" w:type="dxa"/>
            <w:bottom w:w="0" w:type="dxa"/>
            <w:right w:w="108" w:type="dxa"/>
          </w:tblCellMar>
        </w:tblPrEx>
        <w:trPr>
          <w:wBefore w:w="0" w:type="dxa"/>
          <w:wAfter w:w="0" w:type="dxa"/>
          <w:trHeight w:val="288"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快速定位</w:t>
            </w:r>
          </w:p>
        </w:tc>
        <w:tc>
          <w:tcPr>
            <w:tcW w:w="7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支持ID指示灯，便于维护人员快速定位设备位置，可以在后台点亮后去机房直接找到相对于设备。</w:t>
            </w:r>
          </w:p>
        </w:tc>
      </w:tr>
      <w:tr>
        <w:tblPrEx>
          <w:tblCellMar>
            <w:top w:w="0" w:type="dxa"/>
            <w:left w:w="108" w:type="dxa"/>
            <w:bottom w:w="0" w:type="dxa"/>
            <w:right w:w="108" w:type="dxa"/>
          </w:tblCellMar>
        </w:tblPrEx>
        <w:trPr>
          <w:wBefore w:w="0" w:type="dxa"/>
          <w:wAfter w:w="0" w:type="dxa"/>
          <w:trHeight w:val="288"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sz w:val="24"/>
              </w:rPr>
              <w:t>服务要求</w:t>
            </w:r>
          </w:p>
        </w:tc>
        <w:tc>
          <w:tcPr>
            <w:tcW w:w="7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时间同步服务器</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84" w:type="dxa"/>
            <w:shd w:val="clear" w:color="auto" w:fill="auto"/>
            <w:noWrap/>
            <w:vAlign w:val="top"/>
          </w:tcPr>
          <w:p>
            <w:pPr>
              <w:spacing w:line="600" w:lineRule="exact"/>
              <w:jc w:val="left"/>
              <w:rPr>
                <w:rFonts w:ascii="宋体" w:hAnsi="宋体" w:cs="宋体"/>
                <w:b/>
                <w:color w:val="000000"/>
                <w:sz w:val="24"/>
              </w:rPr>
            </w:pPr>
            <w:r>
              <w:rPr>
                <w:rFonts w:hint="eastAsia" w:ascii="宋体" w:hAnsi="宋体" w:cs="宋体"/>
                <w:b/>
                <w:color w:val="000000"/>
                <w:sz w:val="24"/>
              </w:rPr>
              <w:t>指标项</w:t>
            </w:r>
          </w:p>
        </w:tc>
        <w:tc>
          <w:tcPr>
            <w:tcW w:w="7938" w:type="dxa"/>
            <w:shd w:val="clear" w:color="auto" w:fill="auto"/>
            <w:noWrap/>
            <w:vAlign w:val="top"/>
          </w:tcPr>
          <w:p>
            <w:pPr>
              <w:spacing w:line="600" w:lineRule="exact"/>
              <w:ind w:firstLine="2891" w:firstLineChars="1200"/>
              <w:jc w:val="left"/>
              <w:rPr>
                <w:rFonts w:ascii="宋体" w:hAnsi="宋体" w:cs="宋体"/>
                <w:b/>
                <w:color w:val="000000"/>
                <w:sz w:val="24"/>
              </w:rPr>
            </w:pPr>
            <w:r>
              <w:rPr>
                <w:rFonts w:hint="eastAsia" w:ascii="宋体" w:hAnsi="宋体" w:cs="宋体"/>
                <w:b/>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noWrap/>
            <w:vAlign w:val="center"/>
          </w:tcPr>
          <w:p>
            <w:pPr>
              <w:widowControl/>
              <w:spacing w:before="48" w:after="48" w:line="600" w:lineRule="exact"/>
              <w:jc w:val="left"/>
              <w:rPr>
                <w:rFonts w:ascii="宋体" w:hAnsi="宋体" w:cs="宋体"/>
                <w:color w:val="000000"/>
                <w:kern w:val="0"/>
                <w:sz w:val="24"/>
              </w:rPr>
            </w:pPr>
            <w:r>
              <w:rPr>
                <w:rFonts w:hint="eastAsia" w:ascii="宋体" w:hAnsi="宋体" w:cs="宋体"/>
                <w:color w:val="000000"/>
                <w:kern w:val="0"/>
                <w:sz w:val="24"/>
              </w:rPr>
              <w:t>性能要求</w:t>
            </w:r>
          </w:p>
        </w:tc>
        <w:tc>
          <w:tcPr>
            <w:tcW w:w="7938" w:type="dxa"/>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系统基本功能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采用标准NTP或SNTP协议，将局域网内部各计算机的时间同步至卫星标准时间。</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支持基于GPS/北斗卫星的工作模式，支持单GPS、单北斗和GPS北斗双模工作模式。</w:t>
            </w:r>
          </w:p>
          <w:p>
            <w:pPr>
              <w:widowControl/>
              <w:jc w:val="left"/>
              <w:textAlignment w:val="center"/>
              <w:rPr>
                <w:rFonts w:ascii="宋体" w:hAnsi="宋体" w:cs="宋体"/>
                <w:kern w:val="0"/>
                <w:sz w:val="24"/>
              </w:rPr>
            </w:pPr>
            <w:r>
              <w:rPr>
                <w:rFonts w:hint="eastAsia" w:ascii="宋体" w:hAnsi="宋体" w:cs="宋体"/>
                <w:kern w:val="0"/>
                <w:sz w:val="24"/>
              </w:rPr>
              <w:t>支持不少于2个独立IP地址的10/100M网络接口，可同时支持不少于2个物理隔离的独立网络校时。</w:t>
            </w:r>
          </w:p>
          <w:p>
            <w:pPr>
              <w:widowControl/>
              <w:jc w:val="left"/>
              <w:textAlignment w:val="center"/>
              <w:rPr>
                <w:rFonts w:ascii="宋体" w:hAnsi="宋体" w:cs="宋体"/>
                <w:color w:val="000000"/>
                <w:kern w:val="0"/>
                <w:sz w:val="24"/>
              </w:rPr>
            </w:pPr>
            <w:r>
              <w:rPr>
                <w:rFonts w:hint="eastAsia" w:ascii="宋体" w:hAnsi="宋体" w:cs="宋体"/>
                <w:kern w:val="0"/>
                <w:sz w:val="24"/>
              </w:rPr>
              <w:t>支持不少于4路RS-422电平的PPS或IRIG-B输出和不少于</w:t>
            </w:r>
            <w:r>
              <w:rPr>
                <w:rFonts w:hint="eastAsia" w:ascii="宋体" w:hAnsi="宋体" w:cs="宋体"/>
                <w:color w:val="000000"/>
                <w:kern w:val="0"/>
                <w:sz w:val="24"/>
              </w:rPr>
              <w:t>4路PPS/PPM空节点输出。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支持RS-232C串口输出时间信息。</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客户端支持WINDOWS9X、WINDOWS NT/2000/XP/2003/Win7/Win10、LINUX、UNIX、SUN SOLARIS等UNIX类操作系统和CISCO的路由器及交换机。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支持电源断电报警和卫星失步报警。</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性能指标</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网络协议</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·NTP v2, v3 &amp; v4 (RFC1119&amp; 1305)</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·NTP broadcast mode</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·SNTP Simple Network Time Protocol （RFC2030）</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输入/输出接口</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·网络接口：≥ 2个NTP 10/100自适应以太网接口；RJ－45</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·报警接口输出：包括电源消失报警和GPS/BDS失步报警</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断开：正常</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闭合：报警</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IRIG-B(DC)码：RS-422电平输出，准时上升沿时间准确度≤1us</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PPS: RS-422电平输出，准时上升沿时间准确度≤1us</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PPS/PPM空节点：准时上升沿时间准确度≤3us</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时间服务功能 （一级卫星时间同步系统）</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卫星时钟参考模式 </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每秒NTP请求量 时间标识精度 可处理用户终端请求量</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0～8000 1～10ms 48,000</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8000～16000 10～100ms 96,000</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GPS接收机/天线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12并行通道卫星接收机,以UTC时钟为基准的卫星时钟</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天线的射频灵敏度：-165dBW, 天线配带30米馈线。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自动定位时间：热启动&lt;15秒     重新捕获&lt;2秒</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冷启动&lt;35秒　   自动搜索&lt;900秒</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UTC同步秒脉冲精度为：200ns，网络因素可导致用户终端的同步时钟精度降低至1～10ms（典型值）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BDS接收机/天线                                                           </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12并行通道卫星接收机,以UTC时钟为基准的卫星时钟</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天线的射频灵敏度：2491.75±4.08MHz(谱零点带宽), 天线配带30米馈线。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自动定位时间：热启动&lt;15秒     重新捕获&lt;2秒</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冷启动&lt;35秒　   自动搜索&lt;900秒</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UTC同步秒脉冲精度为：200ns，网络因素可导致用户终端的同步时钟精度降低至1～10ms（典型值）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物理及环境参数</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电源： AC/DC  85～265V，47~63Hz，&lt;15W</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工作温度： -25℃～+55℃</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存贮温度： -40℃～+80℃</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湿度： 5% - 90% 不凝结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sz w:val="24"/>
              </w:rPr>
              <w:t>服务要求</w:t>
            </w:r>
          </w:p>
        </w:tc>
        <w:tc>
          <w:tcPr>
            <w:tcW w:w="7938" w:type="dxa"/>
            <w:shd w:val="clear" w:color="auto" w:fill="auto"/>
            <w:noWrap/>
            <w:vAlign w:val="center"/>
          </w:tcPr>
          <w:p>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IT综合运维监控管理系统</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07"/>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FFFFFF"/>
            <w:noWrap w:val="0"/>
            <w:vAlign w:val="center"/>
          </w:tcPr>
          <w:p>
            <w:pPr>
              <w:rPr>
                <w:rFonts w:ascii="宋体" w:hAnsi="宋体" w:cs="宋体"/>
                <w:b/>
                <w:bCs/>
                <w:sz w:val="24"/>
              </w:rPr>
            </w:pPr>
            <w:r>
              <w:rPr>
                <w:rFonts w:hint="eastAsia" w:ascii="宋体" w:hAnsi="宋体" w:cs="宋体"/>
                <w:b/>
                <w:bCs/>
                <w:sz w:val="24"/>
              </w:rPr>
              <w:t>序号</w:t>
            </w:r>
          </w:p>
        </w:tc>
        <w:tc>
          <w:tcPr>
            <w:tcW w:w="1707" w:type="dxa"/>
            <w:shd w:val="clear" w:color="auto" w:fill="FFFFFF"/>
            <w:noWrap w:val="0"/>
            <w:vAlign w:val="center"/>
          </w:tcPr>
          <w:p>
            <w:pPr>
              <w:ind w:firstLine="241" w:firstLineChars="100"/>
              <w:rPr>
                <w:rFonts w:ascii="宋体" w:hAnsi="宋体" w:cs="宋体"/>
                <w:b/>
                <w:bCs/>
                <w:sz w:val="24"/>
              </w:rPr>
            </w:pPr>
            <w:r>
              <w:rPr>
                <w:rFonts w:hint="eastAsia" w:ascii="宋体" w:hAnsi="宋体" w:cs="宋体"/>
                <w:b/>
                <w:bCs/>
                <w:sz w:val="24"/>
              </w:rPr>
              <w:t>指标项</w:t>
            </w:r>
          </w:p>
        </w:tc>
        <w:tc>
          <w:tcPr>
            <w:tcW w:w="6831" w:type="dxa"/>
            <w:shd w:val="clear" w:color="auto" w:fill="FFFFFF"/>
            <w:noWrap w:val="0"/>
            <w:vAlign w:val="center"/>
          </w:tcPr>
          <w:p>
            <w:pPr>
              <w:tabs>
                <w:tab w:val="right" w:pos="4972"/>
              </w:tabs>
              <w:ind w:firstLine="1687" w:firstLineChars="700"/>
              <w:rPr>
                <w:rFonts w:ascii="宋体" w:hAnsi="宋体" w:cs="宋体"/>
                <w:b/>
                <w:bCs/>
                <w:sz w:val="24"/>
              </w:rPr>
            </w:pPr>
            <w:r>
              <w:rPr>
                <w:rFonts w:hint="eastAsia" w:ascii="宋体" w:hAnsi="宋体" w:cs="宋体"/>
                <w:b/>
                <w:bCs/>
                <w:sz w:val="24"/>
              </w:rPr>
              <w:t>参数要求</w:t>
            </w:r>
            <w:r>
              <w:rPr>
                <w:rFonts w:hint="eastAsia" w:ascii="宋体" w:hAnsi="宋体" w:cs="宋体"/>
                <w:b/>
                <w:bCs/>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1</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产品运行环境要求</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要求平台运行于Linux操作系统，优先考虑支持国产Linux操作系统，同时平台基于开源数据库运行，用户无需另行购买数据库授权。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2</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产品使用授权要求</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要求平台为终身授权，开放系统所有模块供用户使用，且被监控对象授权数量不做限制，支持无限扩容。质保期内，免费提供产品售后及升级服务。要求提供承诺材料。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3</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监控范围及报警方式</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为基于内网的企业级运维监控产品，平台以业务系统监控为主线，实现集业务、软件（包含数据库、中间件、虚拟化软件、负载均衡、消息队列、Webservice等）、网络、设备的多维度立体化统一运维监控及数据分析。支持微信公众号报警推送功能，同时支持以短信、邮件、页面、声音的多种报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4</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系统全文检索功能</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要求平台支持全文检索功能，可对报警信息、配置信息、日志信息等按内容建立全文索引，支持按关键字查找相关内容。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5</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业务监控及下钻分析</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要求平台提供对全院业务系统健康状况报警、提醒、正常的直观展示，支持对业务报警进行逐层下钻；支持以业务拓扑图方式展示报警信息。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6</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责任到人巡检管理体系</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支持网格化巡检功能，支持“谁的业务谁负责巡检”的管理体系，支持巡检内容、频度的自定义配置；系统自动生成巡检计划，巡检结果自动生成，只需人工核实，完成巡检，管理者即可直观了解巡检情况及健康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7</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资源预期预判功能</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要求平台支持对Windows、Linux磁盘空间、Oracle表空间、ASM共享存储空间预计用完日期的预期预判，同时平台支持对空间用尽剩余天数，做报警提醒。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8</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资源分配合理度分析</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要求平台提供全网服务器、虚拟机资源的CPU、内存、硬盘资源的分配情况及分配合理度进行分析，同时支持台账导出功能。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9</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业务健康度分析报告</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要求平台支持自定义生成一段时间内业务系统运行的健康度分析报告，包括资源分配的合理度、报警分析、业务可用性监控分析等，同时支持导出为PDF文件。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10</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完善的设备速查功能</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要求平台支持设备速查功能，可以快速查询单台服务器的资源配置情况、使用情况、合理度分析三个维度在同一个页面内的直观对比展示，支持对CPU、内存性能、服务器报警情况环比对照分析。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11</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重要端口服务进程监控</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要求平台支持对支撑业务系统正常运行的重要端口、服务、进程的可用性进行监控。当状态出现异常时，第一时间发出报警信息。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12</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WebService接口监控</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要求平台支持对WebService的深度监控，支持对运行于Windows操作系统IIS环境下的WebService具备自动发现机制</w:t>
            </w:r>
            <w:bookmarkStart w:id="1" w:name="_Hlk111727361"/>
            <w:r>
              <w:rPr>
                <w:rFonts w:hint="eastAsia" w:ascii="宋体" w:hAnsi="宋体" w:cs="宋体"/>
                <w:color w:val="000000"/>
                <w:kern w:val="0"/>
                <w:sz w:val="24"/>
              </w:rPr>
              <w:t>。同时系统支持对WSDL地址可用性进行监控。</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13</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CMDB调用链关系展示</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要求平台支持生成端口、服务、进程的调用链，并以图形方式展示端口、服务、进程的调用关系。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14</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Oracle数据库监控</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★要求平台支持对Oracle（含RAC）数据库的监控，包括如：数据库监听、表空间、会话、进程、阻塞、作业、RMAN、AWR、DG、SGA、实时Top SQL等的监控。支持对Oracle数据库阻塞的监控，支持对主从阻塞的识别，可定位导致阻塞的会话，及引起阻塞的SQL语句，并支持自动生成解锁命令。</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要求提供截图等相关材料。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15</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MS SQL Server监控</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支持对MS SQL Server数据库的监控；</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支持对MS SQL SERVER数据库阻塞/锁表的监控，实现对主从阻塞的识别，支持定位导致阻塞的会话情况，及引起锁表的SQL语句，并可自动生成解锁命令。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16</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网络设备监控</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要求平台支持SNMP V1/V2/V3版本的兼容。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支持对核心、汇聚、接入层交换机的网络拓扑（包含子拓扑）的自动发现、自动生成拓扑图功能。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17</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服务器存储监控</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能够提供适配业界常见的物理服务器、存储的带外管理口（即IPMI）的监控，以实现对物理服务器、存储设备的硬件状态监控；可监控服务器磁盘吞吐量与磁盘IOPS性能指标。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18</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基线和异常增速报警</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要求平台支持对CPU、内存使用率的超过或低于设定的基线范围时，自动触发报警，以及对磁盘使用率、Oracle表空间出现异常增速时，自动触发报警。同时，要求平台具备资源使用回溯功能。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20</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自定义报警策略机制</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要求平台支持对监控策略自定义配置功能，支持对状态类、阈值类、和数值类报警，进行报警策略配置；支持按照业务系统、IP地址、设备类型、监控指标等进行单独或分组配置。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21</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产品验证要求</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对于投标方承诺的符合要求的产品，招标方有权利在签订采购合同前，进行功能测试（所发生的费用由中标人承担），对招标参数的每项指标均进行功能有效性验证，以确保产品实际质量及交付功能满足需求。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noWrap w:val="0"/>
            <w:vAlign w:val="center"/>
          </w:tcPr>
          <w:p>
            <w:pPr>
              <w:rPr>
                <w:rFonts w:ascii="宋体" w:hAnsi="宋体" w:cs="宋体"/>
                <w:sz w:val="24"/>
              </w:rPr>
            </w:pPr>
            <w:r>
              <w:rPr>
                <w:rFonts w:hint="eastAsia" w:ascii="宋体" w:hAnsi="宋体" w:cs="宋体"/>
                <w:sz w:val="24"/>
              </w:rPr>
              <w:t>22</w:t>
            </w:r>
          </w:p>
        </w:tc>
        <w:tc>
          <w:tcPr>
            <w:tcW w:w="1707"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服务要求</w:t>
            </w:r>
          </w:p>
        </w:tc>
        <w:tc>
          <w:tcPr>
            <w:tcW w:w="6831" w:type="dxa"/>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提供软件原厂不少于5年免费维护服务</w:t>
            </w:r>
          </w:p>
        </w:tc>
      </w:tr>
    </w:tbl>
    <w:p>
      <w:pPr>
        <w:pStyle w:val="2"/>
        <w:numPr>
          <w:ilvl w:val="1"/>
          <w:numId w:val="9"/>
        </w:numPr>
        <w:spacing w:before="240" w:after="60" w:line="413" w:lineRule="auto"/>
      </w:pPr>
      <w:r>
        <w:rPr>
          <w:rFonts w:hint="eastAsia"/>
        </w:rPr>
        <w:t>瘦终端服务器</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33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60" w:lineRule="auto"/>
              <w:rPr>
                <w:rFonts w:ascii="宋体" w:hAnsi="宋体" w:cs="宋体"/>
                <w:b/>
                <w:bCs/>
                <w:color w:val="000000"/>
                <w:kern w:val="0"/>
                <w:sz w:val="24"/>
              </w:rPr>
            </w:pPr>
            <w:r>
              <w:rPr>
                <w:rFonts w:hint="eastAsia" w:ascii="宋体" w:hAnsi="宋体" w:cs="宋体"/>
                <w:b/>
                <w:bCs/>
                <w:color w:val="000000"/>
                <w:kern w:val="0"/>
                <w:sz w:val="24"/>
              </w:rPr>
              <w:t>技术指标</w:t>
            </w:r>
          </w:p>
        </w:tc>
        <w:tc>
          <w:tcPr>
            <w:tcW w:w="8056" w:type="dxa"/>
            <w:gridSpan w:val="2"/>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firstLine="422"/>
              <w:jc w:val="center"/>
              <w:rPr>
                <w:rFonts w:ascii="宋体" w:hAnsi="宋体" w:cs="宋体"/>
                <w:b/>
                <w:bCs/>
                <w:color w:val="000000"/>
                <w:kern w:val="0"/>
                <w:sz w:val="24"/>
              </w:rPr>
            </w:pPr>
            <w:r>
              <w:rPr>
                <w:rFonts w:hint="eastAsia" w:ascii="宋体" w:hAnsi="宋体" w:cs="宋体"/>
                <w:b/>
                <w:bCs/>
                <w:color w:val="000000"/>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Merge w:val="restart"/>
            <w:tcBorders>
              <w:top w:val="single" w:color="auto" w:sz="4" w:space="0"/>
              <w:left w:val="single" w:color="auto" w:sz="4" w:space="0"/>
              <w:right w:val="single" w:color="auto" w:sz="4" w:space="0"/>
            </w:tcBorders>
            <w:shd w:val="clear" w:color="auto" w:fill="auto"/>
            <w:noWrap w:val="0"/>
            <w:vAlign w:val="center"/>
          </w:tcPr>
          <w:p>
            <w:pPr>
              <w:spacing w:line="360" w:lineRule="auto"/>
              <w:jc w:val="center"/>
              <w:rPr>
                <w:rFonts w:ascii="宋体" w:hAnsi="宋体" w:cs="宋体"/>
                <w:b/>
                <w:bCs/>
                <w:color w:val="000000"/>
                <w:kern w:val="0"/>
                <w:sz w:val="24"/>
              </w:rPr>
            </w:pPr>
            <w:bookmarkStart w:id="2" w:name="_Hlk51888880"/>
            <w:r>
              <w:rPr>
                <w:rFonts w:hint="eastAsia" w:ascii="宋体" w:hAnsi="宋体" w:cs="宋体"/>
                <w:b/>
                <w:bCs/>
                <w:color w:val="000000"/>
                <w:kern w:val="0"/>
                <w:sz w:val="24"/>
              </w:rPr>
              <w:t>配置要求</w:t>
            </w:r>
            <w:bookmarkEnd w:id="2"/>
          </w:p>
        </w:tc>
        <w:tc>
          <w:tcPr>
            <w:tcW w:w="8056"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用于瘦终端访问，本项目要求服务器与桌面云软件同一品牌，出厂时必须预装各类桌面云软件（含服务器虚拟化、存储虚拟化等），不允许提供祼机设备。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Merge w:val="continue"/>
            <w:tcBorders>
              <w:left w:val="single" w:color="auto" w:sz="4" w:space="0"/>
              <w:right w:val="single" w:color="auto" w:sz="4" w:space="0"/>
            </w:tcBorders>
            <w:shd w:val="clear" w:color="auto" w:fill="auto"/>
            <w:noWrap w:val="0"/>
            <w:vAlign w:val="center"/>
          </w:tcPr>
          <w:p>
            <w:pPr>
              <w:spacing w:line="360" w:lineRule="auto"/>
              <w:ind w:firstLine="422"/>
              <w:jc w:val="center"/>
              <w:rPr>
                <w:rFonts w:ascii="宋体" w:hAnsi="宋体" w:cs="宋体"/>
                <w:b/>
                <w:bCs/>
                <w:color w:val="000000"/>
                <w:kern w:val="0"/>
                <w:sz w:val="24"/>
              </w:rPr>
            </w:pPr>
          </w:p>
        </w:tc>
        <w:tc>
          <w:tcPr>
            <w:tcW w:w="8056"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sz w:val="24"/>
              </w:rPr>
              <w:t>★</w:t>
            </w:r>
            <w:r>
              <w:rPr>
                <w:rFonts w:hint="eastAsia" w:ascii="宋体" w:hAnsi="宋体" w:cs="宋体"/>
                <w:color w:val="000000"/>
                <w:kern w:val="0"/>
                <w:sz w:val="24"/>
              </w:rPr>
              <w:t>每台服务器至少提供2颗CPU，单CPU核数≥24（主频不低于2.8GHz），内存≥16*32GB DDR4 3200，12*SATA/SAS盘位，系统盘≥2*240GB SSD，至少配备2块960G SSD和6块4T SATA硬盘，接口≥4个千兆电口+2个万兆光口，2U设备，冗余电源。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tcBorders>
              <w:left w:val="single" w:color="auto" w:sz="4" w:space="0"/>
              <w:right w:val="single" w:color="auto" w:sz="4" w:space="0"/>
            </w:tcBorders>
            <w:shd w:val="clear" w:color="auto" w:fill="auto"/>
            <w:noWrap w:val="0"/>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授权</w:t>
            </w:r>
          </w:p>
        </w:tc>
        <w:tc>
          <w:tcPr>
            <w:tcW w:w="8056"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提供≥50个VDI用户授权，支持发布专有桌面、还原桌面（包含池模式桌面）、共享桌面、远程应用多种桌面资源，满足不同场景的应用需求。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restart"/>
            <w:tcBorders>
              <w:left w:val="single" w:color="auto" w:sz="4" w:space="0"/>
              <w:right w:val="single" w:color="auto" w:sz="4" w:space="0"/>
            </w:tcBorders>
            <w:shd w:val="clear" w:color="auto" w:fill="auto"/>
            <w:noWrap w:val="0"/>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基础功能</w:t>
            </w:r>
          </w:p>
        </w:tc>
        <w:tc>
          <w:tcPr>
            <w:tcW w:w="8056"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为了满足多种场景的桌面使用需求，所投产品需支持可选择不同的主机建立多个存储分卷，满足不同桌面业务的IO、性能隔离需求。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Merge w:val="continue"/>
            <w:tcBorders>
              <w:left w:val="single" w:color="auto" w:sz="4" w:space="0"/>
              <w:right w:val="single" w:color="auto" w:sz="4" w:space="0"/>
            </w:tcBorders>
            <w:shd w:val="clear" w:color="auto" w:fill="auto"/>
            <w:noWrap w:val="0"/>
            <w:vAlign w:val="center"/>
          </w:tcPr>
          <w:p>
            <w:pPr>
              <w:widowControl/>
              <w:spacing w:line="360" w:lineRule="auto"/>
              <w:ind w:firstLine="422"/>
              <w:jc w:val="left"/>
              <w:rPr>
                <w:rFonts w:ascii="宋体" w:hAnsi="宋体" w:cs="宋体"/>
                <w:b/>
                <w:bCs/>
                <w:color w:val="000000"/>
                <w:kern w:val="0"/>
                <w:sz w:val="24"/>
              </w:rPr>
            </w:pPr>
          </w:p>
        </w:tc>
        <w:tc>
          <w:tcPr>
            <w:tcW w:w="805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支持全局热备盘技术，管理员可配置在集群中保留多块磁盘作为热备盘，分布在不同主机上，当任何一台主机的任意一块硬盘出现故障后，会自动选择其中1块热备盘进行替换和重建。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Merge w:val="restart"/>
            <w:tcBorders>
              <w:left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虚拟化功能要求</w:t>
            </w:r>
          </w:p>
        </w:tc>
        <w:tc>
          <w:tcPr>
            <w:tcW w:w="805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单集群管理时无需部署集中管理平台，通过Web方式接入集群主服务器，实现对服务器、虚拟机、网络、存储虚拟化等进行统一管理。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Merge w:val="continue"/>
            <w:tcBorders>
              <w:left w:val="single" w:color="auto" w:sz="4" w:space="0"/>
              <w:right w:val="single" w:color="auto" w:sz="4" w:space="0"/>
            </w:tcBorders>
            <w:shd w:val="clear" w:color="auto" w:fill="auto"/>
            <w:noWrap w:val="0"/>
            <w:vAlign w:val="center"/>
          </w:tcPr>
          <w:p>
            <w:pPr>
              <w:widowControl/>
              <w:spacing w:line="360" w:lineRule="auto"/>
              <w:ind w:firstLine="422"/>
              <w:jc w:val="center"/>
              <w:rPr>
                <w:rFonts w:ascii="宋体" w:hAnsi="宋体" w:cs="宋体"/>
                <w:b/>
                <w:bCs/>
                <w:color w:val="000000"/>
                <w:kern w:val="0"/>
                <w:sz w:val="24"/>
              </w:rPr>
            </w:pPr>
          </w:p>
        </w:tc>
        <w:tc>
          <w:tcPr>
            <w:tcW w:w="805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bookmarkStart w:id="3" w:name="_Hlk123662120"/>
            <w:r>
              <w:rPr>
                <w:rFonts w:hint="eastAsia" w:ascii="宋体" w:hAnsi="宋体" w:cs="宋体"/>
                <w:color w:val="000000"/>
                <w:kern w:val="0"/>
                <w:sz w:val="24"/>
              </w:rPr>
              <w:t>支持集群冗余技术，当硬盘故障时，HA机制就会自动触发虚机迁移动作，实现毫秒级切换；主机或者网络故障，虚拟桌面可以快速切换到另一台服务器拉起。以保障用户稳定的使用</w:t>
            </w:r>
            <w:bookmarkEnd w:id="3"/>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Merge w:val="continue"/>
            <w:tcBorders>
              <w:left w:val="single" w:color="auto" w:sz="4" w:space="0"/>
              <w:right w:val="single" w:color="auto" w:sz="4" w:space="0"/>
            </w:tcBorders>
            <w:shd w:val="clear" w:color="auto" w:fill="auto"/>
            <w:noWrap w:val="0"/>
            <w:vAlign w:val="center"/>
          </w:tcPr>
          <w:p>
            <w:pPr>
              <w:widowControl/>
              <w:spacing w:line="360" w:lineRule="auto"/>
              <w:ind w:firstLine="422"/>
              <w:jc w:val="center"/>
              <w:rPr>
                <w:rFonts w:ascii="宋体" w:hAnsi="宋体" w:cs="宋体"/>
                <w:b/>
                <w:bCs/>
                <w:color w:val="000000"/>
                <w:kern w:val="0"/>
                <w:sz w:val="24"/>
              </w:rPr>
            </w:pPr>
          </w:p>
        </w:tc>
        <w:tc>
          <w:tcPr>
            <w:tcW w:w="805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为确保业务连续性，虚拟化平台需支持平滑滚动升级，支持群集不停机情况下的服务器逐台升级，升级时将自动迁移虚拟机至其他主机，不影响业务运行。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Merge w:val="continue"/>
            <w:tcBorders>
              <w:left w:val="single" w:color="auto" w:sz="4" w:space="0"/>
              <w:right w:val="single" w:color="auto" w:sz="4" w:space="0"/>
            </w:tcBorders>
            <w:shd w:val="clear" w:color="auto" w:fill="auto"/>
            <w:noWrap w:val="0"/>
            <w:vAlign w:val="center"/>
          </w:tcPr>
          <w:p>
            <w:pPr>
              <w:widowControl/>
              <w:spacing w:line="360" w:lineRule="auto"/>
              <w:ind w:firstLine="422"/>
              <w:jc w:val="center"/>
              <w:rPr>
                <w:rFonts w:ascii="宋体" w:hAnsi="宋体" w:cs="宋体"/>
                <w:b/>
                <w:bCs/>
                <w:color w:val="000000"/>
                <w:kern w:val="0"/>
                <w:sz w:val="24"/>
              </w:rPr>
            </w:pPr>
          </w:p>
        </w:tc>
        <w:tc>
          <w:tcPr>
            <w:tcW w:w="805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bookmarkStart w:id="4" w:name="_Hlk123662325"/>
            <w:r>
              <w:rPr>
                <w:rFonts w:hint="eastAsia" w:ascii="宋体" w:hAnsi="宋体" w:cs="宋体"/>
                <w:color w:val="000000"/>
                <w:kern w:val="0"/>
                <w:sz w:val="24"/>
              </w:rPr>
              <w:t>支持虚拟机集中备份与恢复，可按需选择多个虚拟机或全部虚拟机备份至外置服务器，支持设置备份策略，实现全自动化备份。</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66" w:type="dxa"/>
            <w:vMerge w:val="restart"/>
            <w:tcBorders>
              <w:left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桌面云管理平台</w:t>
            </w:r>
          </w:p>
        </w:tc>
        <w:tc>
          <w:tcPr>
            <w:tcW w:w="1331" w:type="dxa"/>
            <w:tcBorders>
              <w:top w:val="single" w:color="auto" w:sz="4" w:space="0"/>
              <w:left w:val="nil"/>
              <w:bottom w:val="single" w:color="auto" w:sz="4" w:space="0"/>
              <w:right w:val="single" w:color="auto" w:sz="4" w:space="0"/>
            </w:tcBorders>
            <w:shd w:val="clear" w:color="auto" w:fill="auto"/>
            <w:noWrap w:val="0"/>
            <w:vAlign w:val="center"/>
          </w:tcPr>
          <w:p>
            <w:pPr>
              <w:pStyle w:val="1040"/>
              <w:spacing w:line="360" w:lineRule="auto"/>
              <w:ind w:firstLine="0"/>
              <w:jc w:val="center"/>
              <w:rPr>
                <w:rFonts w:ascii="宋体" w:hAnsi="宋体" w:eastAsia="宋体" w:cs="宋体"/>
                <w:b/>
                <w:bCs/>
                <w:sz w:val="24"/>
              </w:rPr>
            </w:pPr>
            <w:r>
              <w:rPr>
                <w:rFonts w:hint="eastAsia" w:ascii="宋体" w:hAnsi="宋体" w:eastAsia="宋体" w:cs="宋体"/>
                <w:b/>
                <w:bCs/>
                <w:sz w:val="24"/>
              </w:rPr>
              <w:t>配置要求</w:t>
            </w: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为提升桌面云接入性能或稳定性，本项目要求配备1台硬件控制平台，与桌面云终端、服务器同一品牌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Calibri" w:hAnsi="Calibri" w:eastAsia="Times New Roman"/>
              </w:rPr>
            </w:pPr>
          </w:p>
        </w:tc>
        <w:tc>
          <w:tcPr>
            <w:tcW w:w="1331" w:type="dxa"/>
            <w:vMerge w:val="restart"/>
            <w:tcBorders>
              <w:top w:val="single" w:color="auto" w:sz="4" w:space="0"/>
              <w:left w:val="nil"/>
              <w:right w:val="single" w:color="auto" w:sz="4" w:space="0"/>
            </w:tcBorders>
            <w:shd w:val="clear" w:color="auto" w:fill="auto"/>
            <w:noWrap w:val="0"/>
            <w:vAlign w:val="center"/>
          </w:tcPr>
          <w:p>
            <w:pPr>
              <w:pStyle w:val="1040"/>
              <w:spacing w:line="360" w:lineRule="auto"/>
              <w:ind w:firstLine="0"/>
              <w:jc w:val="center"/>
              <w:rPr>
                <w:rFonts w:ascii="宋体" w:hAnsi="宋体" w:eastAsia="宋体" w:cs="宋体"/>
                <w:sz w:val="24"/>
              </w:rPr>
            </w:pPr>
            <w:r>
              <w:rPr>
                <w:rFonts w:hint="eastAsia" w:ascii="宋体" w:hAnsi="宋体" w:eastAsia="宋体" w:cs="宋体"/>
                <w:b/>
                <w:bCs/>
                <w:sz w:val="24"/>
              </w:rPr>
              <w:t>应用虚拟化</w:t>
            </w: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支持PC防截屏、防录屏，在PC利旧场景下，支持PC客户端接入虚拟机后，保护窗口内容，屏蔽本地任意截屏、录屏软件、远程会议软件等获取窗口画面，防止数据外泄，以保护桌面数据安全。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Calibri" w:hAnsi="Calibri" w:eastAsia="Times New Roman"/>
              </w:rPr>
            </w:pPr>
          </w:p>
        </w:tc>
        <w:tc>
          <w:tcPr>
            <w:tcW w:w="1331" w:type="dxa"/>
            <w:vMerge w:val="continue"/>
            <w:tcBorders>
              <w:left w:val="nil"/>
              <w:right w:val="single" w:color="auto" w:sz="4" w:space="0"/>
            </w:tcBorders>
            <w:shd w:val="clear" w:color="auto" w:fill="auto"/>
            <w:noWrap w:val="0"/>
            <w:vAlign w:val="center"/>
          </w:tcPr>
          <w:p>
            <w:pPr>
              <w:widowControl/>
              <w:jc w:val="center"/>
              <w:textAlignment w:val="center"/>
              <w:rPr>
                <w:rFonts w:ascii="宋体" w:hAnsi="宋体" w:cs="宋体"/>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支持故障自动切换，硬盘故障，存储则会被重新指向另外一台服务器上可用的数据副本，实现毫秒级切换；主机或者网络故障，应用虚拟化可以快速切换到另一台服务器拉起；支持虚拟机热迁移技术。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Calibri" w:hAnsi="Calibri" w:eastAsia="Times New Roman"/>
              </w:rPr>
            </w:pPr>
          </w:p>
        </w:tc>
        <w:tc>
          <w:tcPr>
            <w:tcW w:w="1331" w:type="dxa"/>
            <w:vMerge w:val="continue"/>
            <w:tcBorders>
              <w:left w:val="nil"/>
              <w:right w:val="single" w:color="auto" w:sz="4" w:space="0"/>
            </w:tcBorders>
            <w:shd w:val="clear" w:color="auto" w:fill="auto"/>
            <w:noWrap w:val="0"/>
            <w:vAlign w:val="center"/>
          </w:tcPr>
          <w:p>
            <w:pPr>
              <w:widowControl/>
              <w:jc w:val="center"/>
              <w:textAlignment w:val="center"/>
              <w:rPr>
                <w:rFonts w:ascii="宋体" w:hAnsi="宋体" w:cs="宋体"/>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考虑到用户的数据存储或数据共享需求，所投方案需自带云盘存储方案，通过分配个人盘保护用户个人数据存储需求或隐私保护需求，而共用盘允许所有人访问，实现数据共享需求。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vMerge w:val="continue"/>
            <w:tcBorders>
              <w:left w:val="nil"/>
              <w:right w:val="single" w:color="auto" w:sz="4" w:space="0"/>
            </w:tcBorders>
            <w:shd w:val="clear" w:color="auto" w:fill="auto"/>
            <w:noWrap w:val="0"/>
            <w:vAlign w:val="center"/>
          </w:tcPr>
          <w:p>
            <w:pPr>
              <w:widowControl/>
              <w:jc w:val="center"/>
              <w:textAlignment w:val="center"/>
              <w:rPr>
                <w:rFonts w:ascii="宋体" w:hAnsi="宋体" w:cs="宋体"/>
                <w:color w:val="000000"/>
                <w:kern w:val="0"/>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为了提高资源利用率，需支持设置用户闲置超过一定期限、超过一段时间无会话或一定时间没有对虚拟机操作后桌面自动注销，释放资源。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vMerge w:val="continue"/>
            <w:tcBorders>
              <w:left w:val="nil"/>
              <w:right w:val="single" w:color="auto" w:sz="4" w:space="0"/>
            </w:tcBorders>
            <w:shd w:val="clear" w:color="auto" w:fill="auto"/>
            <w:noWrap w:val="0"/>
            <w:vAlign w:val="center"/>
          </w:tcPr>
          <w:p>
            <w:pPr>
              <w:widowControl/>
              <w:jc w:val="center"/>
              <w:textAlignment w:val="center"/>
              <w:rPr>
                <w:rFonts w:ascii="宋体" w:hAnsi="宋体" w:cs="宋体"/>
                <w:color w:val="000000"/>
                <w:kern w:val="0"/>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为了提高打印机配置或维护效率，所投产品需支持通过打印机配置上传、复用等功能，解决打印机快速部署的问题，减少部署工作量。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vMerge w:val="continue"/>
            <w:tcBorders>
              <w:left w:val="nil"/>
              <w:right w:val="single" w:color="auto" w:sz="4" w:space="0"/>
            </w:tcBorders>
            <w:shd w:val="clear" w:color="auto" w:fill="auto"/>
            <w:noWrap w:val="0"/>
            <w:vAlign w:val="center"/>
          </w:tcPr>
          <w:p>
            <w:pPr>
              <w:widowControl/>
              <w:jc w:val="center"/>
              <w:textAlignment w:val="center"/>
              <w:rPr>
                <w:rFonts w:ascii="宋体" w:hAnsi="宋体" w:cs="宋体"/>
                <w:color w:val="000000"/>
                <w:kern w:val="0"/>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考虑到后期可能会采用PC利旧场景，为了方便使用，需要支持PC本地硬盘可直接映射到虚拟桌面上使用，考虑到数据安全，需支持可根据策略进行文件读写权限设置和文件导出审计，并可配置不允许拷贝数据到本地桌面，以降低外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vMerge w:val="continue"/>
            <w:tcBorders>
              <w:left w:val="nil"/>
              <w:right w:val="single" w:color="auto" w:sz="4" w:space="0"/>
            </w:tcBorders>
            <w:shd w:val="clear" w:color="auto" w:fill="auto"/>
            <w:noWrap w:val="0"/>
            <w:vAlign w:val="center"/>
          </w:tcPr>
          <w:p>
            <w:pPr>
              <w:widowControl/>
              <w:jc w:val="center"/>
              <w:textAlignment w:val="center"/>
              <w:rPr>
                <w:rFonts w:ascii="宋体" w:hAnsi="宋体" w:cs="宋体"/>
                <w:color w:val="000000"/>
                <w:kern w:val="0"/>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为了保证在广域网或者网络条件较差的场景接入虚拟桌面的体验，要求所投产品需支持配置压缩质量、帧率等网络优化技术，以达到优质稳定的连接。（提供功能配置截图或第三方检测报告证明）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vMerge w:val="continue"/>
            <w:tcBorders>
              <w:left w:val="nil"/>
              <w:right w:val="single" w:color="auto" w:sz="4" w:space="0"/>
            </w:tcBorders>
            <w:shd w:val="clear" w:color="auto" w:fill="auto"/>
            <w:noWrap w:val="0"/>
            <w:vAlign w:val="center"/>
          </w:tcPr>
          <w:p>
            <w:pPr>
              <w:widowControl/>
              <w:jc w:val="center"/>
              <w:textAlignment w:val="center"/>
              <w:rPr>
                <w:rFonts w:ascii="宋体" w:hAnsi="宋体" w:cs="宋体"/>
                <w:color w:val="000000"/>
                <w:kern w:val="0"/>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自助快照恢复，当用户自己误操作导致云桌面卡慢、蓝屏、死机或者中病毒的时候，用户通过导航条按钮，可以自助进行系统盘快照还原操作，支持安卓瘦终端、PC客户端（提供功能截图证明或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vMerge w:val="continue"/>
            <w:tcBorders>
              <w:left w:val="nil"/>
              <w:bottom w:val="single" w:color="auto" w:sz="4" w:space="0"/>
              <w:right w:val="single" w:color="auto" w:sz="4" w:space="0"/>
            </w:tcBorders>
            <w:shd w:val="clear" w:color="auto" w:fill="auto"/>
            <w:noWrap w:val="0"/>
            <w:vAlign w:val="center"/>
          </w:tcPr>
          <w:p>
            <w:pPr>
              <w:widowControl/>
              <w:jc w:val="center"/>
              <w:textAlignment w:val="center"/>
              <w:rPr>
                <w:rFonts w:ascii="宋体" w:hAnsi="宋体" w:cs="宋体"/>
                <w:color w:val="000000"/>
                <w:kern w:val="0"/>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便于用户了解桌面运行状态，性能状态等，提升用户运维体验，提供桌面内置运维工具，可查看桌面运行状态，VDI版本信息，告警事件，VDC集群实时带宽等，VMP集群、主机和虚拟机的健康状态等信息，支持首页按钮直接导出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tcBorders>
              <w:top w:val="single" w:color="auto" w:sz="4" w:space="0"/>
              <w:left w:val="nil"/>
              <w:right w:val="single" w:color="auto" w:sz="4" w:space="0"/>
            </w:tcBorders>
            <w:shd w:val="clear" w:color="auto" w:fill="auto"/>
            <w:noWrap w:val="0"/>
            <w:vAlign w:val="center"/>
          </w:tcPr>
          <w:p>
            <w:pPr>
              <w:pStyle w:val="1040"/>
              <w:spacing w:line="360" w:lineRule="auto"/>
              <w:ind w:firstLine="0"/>
              <w:jc w:val="center"/>
              <w:rPr>
                <w:rFonts w:ascii="宋体" w:hAnsi="宋体" w:eastAsia="宋体" w:cs="宋体"/>
                <w:color w:val="000000"/>
                <w:kern w:val="0"/>
                <w:sz w:val="24"/>
              </w:rPr>
            </w:pPr>
            <w:r>
              <w:rPr>
                <w:rFonts w:hint="eastAsia" w:ascii="宋体" w:hAnsi="宋体" w:eastAsia="宋体" w:cs="宋体"/>
                <w:b/>
                <w:bCs/>
                <w:sz w:val="24"/>
              </w:rPr>
              <w:t>运维功能</w:t>
            </w: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本次项目需提供一套智能运维管理平台软件，平台需单独通过虚拟机部署，实现智能运维功能。支持空闲虚拟机识别、虚拟机扩容和减配识别、支持软件资源占用统计和业务软件识别、支持软件分发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vMerge w:val="restart"/>
            <w:tcBorders>
              <w:top w:val="single" w:color="auto" w:sz="4" w:space="0"/>
              <w:left w:val="nil"/>
              <w:right w:val="single" w:color="auto" w:sz="4" w:space="0"/>
            </w:tcBorders>
            <w:shd w:val="clear" w:color="auto" w:fill="auto"/>
            <w:noWrap w:val="0"/>
            <w:vAlign w:val="center"/>
          </w:tcPr>
          <w:p>
            <w:pPr>
              <w:pStyle w:val="1040"/>
              <w:spacing w:line="360" w:lineRule="auto"/>
              <w:ind w:firstLine="0"/>
              <w:jc w:val="center"/>
              <w:rPr>
                <w:rFonts w:ascii="宋体" w:hAnsi="宋体" w:eastAsia="宋体" w:cs="宋体"/>
                <w:color w:val="000000"/>
                <w:kern w:val="0"/>
                <w:sz w:val="24"/>
              </w:rPr>
            </w:pPr>
            <w:r>
              <w:rPr>
                <w:rFonts w:hint="eastAsia" w:ascii="宋体" w:hAnsi="宋体" w:eastAsia="宋体" w:cs="宋体"/>
                <w:b/>
                <w:bCs/>
                <w:sz w:val="24"/>
              </w:rPr>
              <w:t>安全管理</w:t>
            </w: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sz w:val="24"/>
                <w:lang w:eastAsia="zh-TW"/>
              </w:rPr>
              <w:t>★</w:t>
            </w:r>
            <w:r>
              <w:rPr>
                <w:rFonts w:hint="eastAsia" w:ascii="宋体" w:hAnsi="宋体" w:cs="宋体"/>
                <w:color w:val="000000"/>
                <w:kern w:val="0"/>
                <w:sz w:val="24"/>
              </w:rPr>
              <w:t>为保证终端接入环境的安全，产品需支持客户端准入检测，可根据用户接入的终端类型、操作系统版本、接入IP和时间、软件安装情况等条件设置接入访问策略，如客户端不满足安全检测要求则不允许接入（提供功能截图及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Calibri" w:hAnsi="Calibri" w:eastAsia="Times New Roman"/>
              </w:rPr>
            </w:pPr>
          </w:p>
        </w:tc>
        <w:tc>
          <w:tcPr>
            <w:tcW w:w="1331" w:type="dxa"/>
            <w:vMerge w:val="continue"/>
            <w:tcBorders>
              <w:left w:val="nil"/>
              <w:right w:val="single" w:color="auto" w:sz="4" w:space="0"/>
            </w:tcBorders>
            <w:shd w:val="clear" w:color="auto" w:fill="auto"/>
            <w:noWrap w:val="0"/>
            <w:vAlign w:val="center"/>
          </w:tcPr>
          <w:p>
            <w:pPr>
              <w:widowControl/>
              <w:jc w:val="left"/>
              <w:textAlignment w:val="center"/>
              <w:rPr>
                <w:rFonts w:ascii="Calibri" w:hAnsi="Calibri" w:eastAsia="Times New Roman"/>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支持USB黑白名单技术，能够精准识别每一款不同类型的外设（包括高拍仪、摄像头、USB光驱、认证key等），并设置放通或者限制策略，提高管控粒度和安全性。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vMerge w:val="continue"/>
            <w:tcBorders>
              <w:left w:val="nil"/>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桌面云控制平台内置防火墙，包括设置过滤规则、NAT设置、访问监控、防DDOS攻击。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vMerge w:val="continue"/>
            <w:tcBorders>
              <w:left w:val="nil"/>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为满足不同用户的安全访问需求，所投产品需支持虚拟门户，不同用户通过不同地址接入虚拟桌面，在互联网访问场景，可以指定特定账号在外网访问桌面云，而其他用户只能在内网访问。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266" w:type="dxa"/>
            <w:vMerge w:val="continue"/>
            <w:tcBorders>
              <w:left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1331" w:type="dxa"/>
            <w:vMerge w:val="continue"/>
            <w:tcBorders>
              <w:left w:val="nil"/>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p>
        </w:tc>
        <w:tc>
          <w:tcPr>
            <w:tcW w:w="6725"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支持个人盘加密技术，对云桌面个人数据进行加密保存，保障个人隐私安全。持文件导出内容审计。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Merge w:val="restart"/>
            <w:tcBorders>
              <w:left w:val="single" w:color="auto" w:sz="4" w:space="0"/>
              <w:right w:val="single" w:color="auto" w:sz="4" w:space="0"/>
            </w:tcBorders>
            <w:shd w:val="clear" w:color="auto" w:fill="auto"/>
            <w:noWrap w:val="0"/>
            <w:vAlign w:val="center"/>
          </w:tcPr>
          <w:p>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其他要求</w:t>
            </w:r>
          </w:p>
        </w:tc>
        <w:tc>
          <w:tcPr>
            <w:tcW w:w="805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为应对勒索病毒等对桌面云平台进行攻击，导致数据被加密不可用，要求桌面云平台厂商应具备较强的安全应急服务能力，需要提供网络安全应急服务支撑单位证书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Merge w:val="continue"/>
            <w:tcBorders>
              <w:left w:val="single" w:color="auto" w:sz="4" w:space="0"/>
              <w:right w:val="single" w:color="auto" w:sz="4" w:space="0"/>
            </w:tcBorders>
            <w:shd w:val="clear" w:color="auto" w:fill="auto"/>
            <w:noWrap w:val="0"/>
            <w:vAlign w:val="top"/>
          </w:tcPr>
          <w:p>
            <w:pPr>
              <w:widowControl/>
              <w:spacing w:line="360" w:lineRule="auto"/>
              <w:ind w:firstLine="422"/>
              <w:jc w:val="center"/>
              <w:rPr>
                <w:rFonts w:ascii="宋体" w:hAnsi="宋体" w:cs="宋体"/>
                <w:b/>
                <w:bCs/>
                <w:color w:val="000000"/>
                <w:kern w:val="0"/>
                <w:sz w:val="24"/>
              </w:rPr>
            </w:pPr>
          </w:p>
        </w:tc>
        <w:tc>
          <w:tcPr>
            <w:tcW w:w="805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提供不少于5年硬件质保和软件升级服务。</w:t>
            </w:r>
          </w:p>
        </w:tc>
      </w:tr>
    </w:tbl>
    <w:p>
      <w:pPr>
        <w:pStyle w:val="2"/>
        <w:numPr>
          <w:ilvl w:val="1"/>
          <w:numId w:val="9"/>
        </w:numPr>
        <w:spacing w:before="240" w:after="60" w:line="413" w:lineRule="auto"/>
      </w:pPr>
      <w:r>
        <w:rPr>
          <w:rFonts w:hint="eastAsia"/>
        </w:rPr>
        <w:t>胖终端</w:t>
      </w:r>
    </w:p>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0"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0"/>
              <w:rPr>
                <w:rFonts w:ascii="微软雅黑" w:hAnsi="微软雅黑" w:eastAsia="微软雅黑" w:cs="宋体"/>
                <w:b/>
                <w:bCs/>
                <w:color w:val="000000"/>
                <w:kern w:val="0"/>
                <w:sz w:val="24"/>
              </w:rPr>
            </w:pPr>
            <w:r>
              <w:rPr>
                <w:rFonts w:hint="eastAsia" w:ascii="宋体" w:hAnsi="宋体" w:cs="宋体"/>
                <w:b/>
                <w:color w:val="000000"/>
                <w:sz w:val="24"/>
              </w:rPr>
              <w:t>功能类别</w:t>
            </w:r>
          </w:p>
        </w:tc>
        <w:tc>
          <w:tcPr>
            <w:tcW w:w="8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0"/>
              <w:rPr>
                <w:rFonts w:ascii="微软雅黑" w:hAnsi="微软雅黑" w:eastAsia="微软雅黑" w:cs="宋体"/>
                <w:b/>
                <w:bCs/>
                <w:color w:val="000000"/>
                <w:kern w:val="0"/>
                <w:sz w:val="24"/>
              </w:rPr>
            </w:pPr>
            <w:r>
              <w:rPr>
                <w:rFonts w:hint="eastAsia" w:ascii="宋体" w:hAnsi="宋体" w:cs="宋体"/>
                <w:b/>
                <w:color w:val="000000"/>
                <w:sz w:val="24"/>
              </w:rPr>
              <w:t>技术要求及指标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0" w:hRule="atLeast"/>
        </w:trPr>
        <w:tc>
          <w:tcPr>
            <w:tcW w:w="124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b/>
                <w:bCs/>
                <w:color w:val="1F2329"/>
                <w:kern w:val="0"/>
                <w:sz w:val="24"/>
              </w:rPr>
            </w:pPr>
            <w:r>
              <w:rPr>
                <w:rFonts w:hint="eastAsia" w:ascii="宋体" w:hAnsi="宋体" w:cs="宋体"/>
                <w:sz w:val="24"/>
              </w:rPr>
              <w:t>硬件规格</w:t>
            </w:r>
          </w:p>
        </w:tc>
        <w:tc>
          <w:tcPr>
            <w:tcW w:w="8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为保证云桌面软件系统的兼容效果和稳定运行，所有终端均需采用x86架构，且为国内自主品牌。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Calibri" w:hAnsi="Calibri"/>
                <w:sz w:val="24"/>
              </w:rPr>
            </w:pPr>
          </w:p>
        </w:tc>
        <w:tc>
          <w:tcPr>
            <w:tcW w:w="8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★配置CPU性能不低于四核八线程处理器（处理器主频≥3.3GHz，睿频≥4.3GHz）；内存容量≥16GB，显卡性能不低于Intel UHD 730；本地存储≥512 GB SSD；≥23.8英寸显示器，分辨率≥1920×1080； 配置键盘鼠标。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Calibri" w:hAnsi="Calibri"/>
                <w:sz w:val="24"/>
              </w:rPr>
            </w:pPr>
          </w:p>
        </w:tc>
        <w:tc>
          <w:tcPr>
            <w:tcW w:w="8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USB接口数量≥6个（其中USB 3.0接口≥3个，USB 2.0接口≥3个），千兆网口≥1个，HDMI接口≥1个，音频输入输出接口≥1对。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2"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微软雅黑" w:hAnsi="微软雅黑" w:eastAsia="微软雅黑" w:cs="宋体"/>
                <w:b/>
                <w:bCs/>
                <w:color w:val="1F2329"/>
                <w:kern w:val="0"/>
                <w:sz w:val="24"/>
              </w:rPr>
            </w:pPr>
            <w:r>
              <w:rPr>
                <w:rFonts w:hint="eastAsia" w:ascii="宋体" w:hAnsi="宋体" w:cs="宋体"/>
                <w:sz w:val="24"/>
              </w:rPr>
              <w:t>兼容性</w:t>
            </w:r>
          </w:p>
        </w:tc>
        <w:tc>
          <w:tcPr>
            <w:tcW w:w="8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★要求和胖终端管理平台完全兼容。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2"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服务要求</w:t>
            </w:r>
          </w:p>
        </w:tc>
        <w:tc>
          <w:tcPr>
            <w:tcW w:w="8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胖终端管理平台</w:t>
      </w:r>
    </w:p>
    <w:tbl>
      <w:tblPr>
        <w:tblStyle w:val="57"/>
        <w:tblW w:w="9322" w:type="dxa"/>
        <w:tblInd w:w="0" w:type="dxa"/>
        <w:tblLayout w:type="fixed"/>
        <w:tblCellMar>
          <w:top w:w="0" w:type="dxa"/>
          <w:left w:w="108" w:type="dxa"/>
          <w:bottom w:w="0" w:type="dxa"/>
          <w:right w:w="108" w:type="dxa"/>
        </w:tblCellMar>
      </w:tblPr>
      <w:tblGrid>
        <w:gridCol w:w="1242"/>
        <w:gridCol w:w="142"/>
        <w:gridCol w:w="7938"/>
      </w:tblGrid>
      <w:tr>
        <w:tblPrEx>
          <w:tblCellMar>
            <w:top w:w="0" w:type="dxa"/>
            <w:left w:w="108" w:type="dxa"/>
            <w:bottom w:w="0" w:type="dxa"/>
            <w:right w:w="108" w:type="dxa"/>
          </w:tblCellMar>
        </w:tblPrEx>
        <w:trPr>
          <w:wBefore w:w="0" w:type="dxa"/>
          <w:wAfter w:w="0" w:type="dxa"/>
          <w:trHeight w:val="290" w:hRule="atLeast"/>
        </w:trPr>
        <w:tc>
          <w:tcPr>
            <w:tcW w:w="1242" w:type="dxa"/>
            <w:tcBorders>
              <w:top w:val="single" w:color="1F2329" w:sz="4" w:space="0"/>
              <w:left w:val="single" w:color="1F2329" w:sz="4" w:space="0"/>
              <w:bottom w:val="single" w:color="1F2329" w:sz="4" w:space="0"/>
              <w:right w:val="single" w:color="1F2329" w:sz="4" w:space="0"/>
            </w:tcBorders>
            <w:shd w:val="clear" w:color="auto" w:fill="auto"/>
            <w:noWrap w:val="0"/>
            <w:vAlign w:val="center"/>
          </w:tcPr>
          <w:p>
            <w:pPr>
              <w:widowControl/>
              <w:jc w:val="center"/>
              <w:outlineLvl w:val="0"/>
              <w:rPr>
                <w:rFonts w:ascii="宋体" w:hAnsi="宋体" w:cs="宋体"/>
                <w:b/>
                <w:bCs/>
                <w:color w:val="000000"/>
                <w:kern w:val="0"/>
                <w:sz w:val="24"/>
              </w:rPr>
            </w:pPr>
            <w:r>
              <w:rPr>
                <w:rFonts w:hint="eastAsia" w:ascii="宋体" w:hAnsi="宋体" w:cs="宋体"/>
                <w:b/>
                <w:color w:val="000000"/>
                <w:sz w:val="24"/>
              </w:rPr>
              <w:t>功能类别</w:t>
            </w:r>
          </w:p>
        </w:tc>
        <w:tc>
          <w:tcPr>
            <w:tcW w:w="8080" w:type="dxa"/>
            <w:gridSpan w:val="2"/>
            <w:tcBorders>
              <w:top w:val="single" w:color="1F2329" w:sz="4" w:space="0"/>
              <w:left w:val="nil"/>
              <w:bottom w:val="single" w:color="1F2329" w:sz="4" w:space="0"/>
              <w:right w:val="single" w:color="1F2329" w:sz="4" w:space="0"/>
            </w:tcBorders>
            <w:shd w:val="clear" w:color="auto" w:fill="auto"/>
            <w:noWrap w:val="0"/>
            <w:vAlign w:val="center"/>
          </w:tcPr>
          <w:p>
            <w:pPr>
              <w:widowControl/>
              <w:jc w:val="center"/>
              <w:outlineLvl w:val="0"/>
              <w:rPr>
                <w:rFonts w:ascii="宋体" w:hAnsi="宋体" w:cs="宋体"/>
                <w:b/>
                <w:bCs/>
                <w:color w:val="000000"/>
                <w:kern w:val="0"/>
                <w:sz w:val="24"/>
              </w:rPr>
            </w:pPr>
            <w:r>
              <w:rPr>
                <w:rFonts w:hint="eastAsia" w:ascii="宋体" w:hAnsi="宋体" w:cs="宋体"/>
                <w:b/>
                <w:color w:val="000000"/>
                <w:sz w:val="24"/>
              </w:rPr>
              <w:t>技术要求及指标</w:t>
            </w:r>
          </w:p>
        </w:tc>
      </w:tr>
      <w:tr>
        <w:tblPrEx>
          <w:tblCellMar>
            <w:top w:w="0" w:type="dxa"/>
            <w:left w:w="108" w:type="dxa"/>
            <w:bottom w:w="0" w:type="dxa"/>
            <w:right w:w="108" w:type="dxa"/>
          </w:tblCellMar>
        </w:tblPrEx>
        <w:trPr>
          <w:wBefore w:w="0" w:type="dxa"/>
          <w:wAfter w:w="0" w:type="dxa"/>
          <w:trHeight w:val="290" w:hRule="atLeast"/>
        </w:trPr>
        <w:tc>
          <w:tcPr>
            <w:tcW w:w="9322" w:type="dxa"/>
            <w:gridSpan w:val="3"/>
            <w:tcBorders>
              <w:top w:val="single" w:color="1F2329" w:sz="4" w:space="0"/>
              <w:left w:val="single" w:color="1F2329" w:sz="4" w:space="0"/>
              <w:bottom w:val="single" w:color="1F2329" w:sz="4" w:space="0"/>
              <w:right w:val="single" w:color="1F2329" w:sz="4" w:space="0"/>
            </w:tcBorders>
            <w:shd w:val="clear" w:color="auto" w:fill="auto"/>
            <w:noWrap w:val="0"/>
            <w:vAlign w:val="center"/>
          </w:tcPr>
          <w:p>
            <w:pPr>
              <w:widowControl/>
              <w:rPr>
                <w:rFonts w:ascii="宋体" w:hAnsi="宋体" w:cs="宋体"/>
                <w:sz w:val="24"/>
              </w:rPr>
            </w:pPr>
            <w:r>
              <w:rPr>
                <w:rFonts w:hint="eastAsia" w:ascii="宋体" w:hAnsi="宋体" w:cs="宋体"/>
                <w:sz w:val="24"/>
              </w:rPr>
              <w:t>硬件配置要求</w:t>
            </w:r>
          </w:p>
        </w:tc>
      </w:tr>
      <w:tr>
        <w:tblPrEx>
          <w:tblCellMar>
            <w:top w:w="0" w:type="dxa"/>
            <w:left w:w="108" w:type="dxa"/>
            <w:bottom w:w="0" w:type="dxa"/>
            <w:right w:w="108" w:type="dxa"/>
          </w:tblCellMar>
        </w:tblPrEx>
        <w:trPr>
          <w:wBefore w:w="0" w:type="dxa"/>
          <w:wAfter w:w="0" w:type="dxa"/>
          <w:trHeight w:val="290" w:hRule="atLeast"/>
        </w:trPr>
        <w:tc>
          <w:tcPr>
            <w:tcW w:w="1242" w:type="dxa"/>
            <w:tcBorders>
              <w:top w:val="single" w:color="1F2329" w:sz="4" w:space="0"/>
              <w:left w:val="single" w:color="1F2329" w:sz="4" w:space="0"/>
              <w:bottom w:val="single" w:color="auto" w:sz="4" w:space="0"/>
              <w:right w:val="single" w:color="1F2329" w:sz="4" w:space="0"/>
            </w:tcBorders>
            <w:shd w:val="clear" w:color="auto" w:fill="auto"/>
            <w:noWrap w:val="0"/>
            <w:vAlign w:val="center"/>
          </w:tcPr>
          <w:p>
            <w:pPr>
              <w:widowControl/>
              <w:jc w:val="center"/>
              <w:rPr>
                <w:rFonts w:ascii="宋体" w:hAnsi="宋体" w:cs="宋体"/>
                <w:bCs/>
                <w:color w:val="000000"/>
                <w:kern w:val="0"/>
                <w:sz w:val="24"/>
              </w:rPr>
            </w:pPr>
            <w:r>
              <w:rPr>
                <w:rFonts w:hint="eastAsia" w:ascii="宋体" w:hAnsi="宋体" w:cs="宋体"/>
                <w:sz w:val="24"/>
              </w:rPr>
              <w:t>硬件要求</w:t>
            </w:r>
          </w:p>
        </w:tc>
        <w:tc>
          <w:tcPr>
            <w:tcW w:w="8080" w:type="dxa"/>
            <w:gridSpan w:val="2"/>
            <w:tcBorders>
              <w:top w:val="single" w:color="1F2329" w:sz="4" w:space="0"/>
              <w:left w:val="nil"/>
              <w:bottom w:val="single" w:color="1F2329" w:sz="4" w:space="0"/>
              <w:right w:val="single" w:color="1F2329" w:sz="4" w:space="0"/>
            </w:tcBorders>
            <w:shd w:val="clear" w:color="auto" w:fill="auto"/>
            <w:noWrap w:val="0"/>
            <w:vAlign w:val="center"/>
          </w:tcPr>
          <w:p>
            <w:pPr>
              <w:widowControl/>
              <w:rPr>
                <w:rFonts w:ascii="宋体" w:hAnsi="宋体" w:cs="宋体"/>
                <w:sz w:val="24"/>
              </w:rPr>
            </w:pPr>
            <w:r>
              <w:rPr>
                <w:rFonts w:hint="eastAsia" w:ascii="宋体" w:hAnsi="宋体" w:cs="宋体"/>
                <w:sz w:val="24"/>
              </w:rPr>
              <w:t>配置≥1颗国产处理器，每颗CPU≥8核心16线程，主频≥3.0Ghz。</w:t>
            </w:r>
          </w:p>
          <w:p>
            <w:pPr>
              <w:pStyle w:val="1051"/>
              <w:spacing w:after="156"/>
              <w:rPr>
                <w:rFonts w:ascii="宋体" w:hAnsi="宋体" w:cs="宋体"/>
                <w:sz w:val="24"/>
                <w:szCs w:val="24"/>
              </w:rPr>
            </w:pPr>
            <w:r>
              <w:rPr>
                <w:rFonts w:hint="eastAsia" w:ascii="宋体" w:hAnsi="宋体" w:cs="宋体"/>
                <w:sz w:val="24"/>
                <w:szCs w:val="24"/>
              </w:rPr>
              <w:t>内存：提供内存插槽≥4个，实配内存容量≥32G。</w:t>
            </w:r>
          </w:p>
          <w:p>
            <w:pPr>
              <w:pStyle w:val="1051"/>
              <w:spacing w:after="156"/>
              <w:rPr>
                <w:rFonts w:ascii="宋体" w:hAnsi="宋体" w:cs="宋体"/>
                <w:sz w:val="24"/>
                <w:szCs w:val="24"/>
              </w:rPr>
            </w:pPr>
            <w:r>
              <w:rPr>
                <w:rFonts w:hint="eastAsia" w:ascii="宋体" w:hAnsi="宋体" w:cs="宋体"/>
                <w:sz w:val="24"/>
                <w:szCs w:val="24"/>
              </w:rPr>
              <w:t>SSD：实配固态硬盘容量≥480G，M.2 SSD容量≥240G。</w:t>
            </w:r>
          </w:p>
          <w:p>
            <w:pPr>
              <w:pStyle w:val="1051"/>
              <w:spacing w:after="156"/>
            </w:pPr>
            <w:r>
              <w:rPr>
                <w:rFonts w:hint="eastAsia" w:ascii="宋体" w:hAnsi="宋体" w:cs="宋体"/>
                <w:sz w:val="24"/>
                <w:szCs w:val="24"/>
              </w:rPr>
              <w:t>硬盘：集成SATA硬盘控制器，整机配置硬盘≥2块3.5寸 4TB 7200转 SATA III硬盘。网口：提供千兆网口≥4个。电源：电源功率≥350W。</w:t>
            </w:r>
          </w:p>
        </w:tc>
      </w:tr>
      <w:tr>
        <w:tblPrEx>
          <w:tblCellMar>
            <w:top w:w="0" w:type="dxa"/>
            <w:left w:w="108" w:type="dxa"/>
            <w:bottom w:w="0" w:type="dxa"/>
            <w:right w:w="108" w:type="dxa"/>
          </w:tblCellMar>
        </w:tblPrEx>
        <w:trPr>
          <w:wBefore w:w="0" w:type="dxa"/>
          <w:wAfter w:w="0" w:type="dxa"/>
          <w:trHeight w:val="580"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sz w:val="24"/>
              </w:rPr>
            </w:pPr>
            <w:r>
              <w:rPr>
                <w:rFonts w:hint="eastAsia" w:ascii="宋体" w:hAnsi="宋体" w:cs="宋体"/>
                <w:sz w:val="24"/>
              </w:rPr>
              <w:t>产品架构</w:t>
            </w:r>
          </w:p>
        </w:tc>
        <w:tc>
          <w:tcPr>
            <w:tcW w:w="80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云桌面控制平台软件，采用B/S架构，提供云桌面管理、镜像管理、用户管理、终端管理、策略管理等功能模块。</w:t>
            </w:r>
          </w:p>
        </w:tc>
      </w:tr>
      <w:tr>
        <w:tblPrEx>
          <w:tblCellMar>
            <w:top w:w="0" w:type="dxa"/>
            <w:left w:w="108" w:type="dxa"/>
            <w:bottom w:w="0" w:type="dxa"/>
            <w:right w:w="108" w:type="dxa"/>
          </w:tblCellMar>
        </w:tblPrEx>
        <w:trPr>
          <w:wBefore w:w="0" w:type="dxa"/>
          <w:wAfter w:w="0" w:type="dxa"/>
          <w:trHeight w:val="482"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sz w:val="24"/>
              </w:rPr>
            </w:pPr>
            <w:r>
              <w:rPr>
                <w:rFonts w:hint="eastAsia" w:ascii="宋体" w:hAnsi="宋体" w:cs="宋体"/>
                <w:sz w:val="24"/>
              </w:rPr>
              <w:t>云桌面控制器要求</w:t>
            </w:r>
          </w:p>
        </w:tc>
      </w:tr>
      <w:tr>
        <w:tblPrEx>
          <w:tblCellMar>
            <w:top w:w="0" w:type="dxa"/>
            <w:left w:w="108" w:type="dxa"/>
            <w:bottom w:w="0" w:type="dxa"/>
            <w:right w:w="108" w:type="dxa"/>
          </w:tblCellMar>
        </w:tblPrEx>
        <w:trPr>
          <w:wBefore w:w="0" w:type="dxa"/>
          <w:wAfter w:w="0" w:type="dxa"/>
          <w:trHeight w:val="482"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sz w:val="24"/>
              </w:rPr>
            </w:pPr>
            <w:r>
              <w:rPr>
                <w:rFonts w:hint="eastAsia" w:ascii="宋体" w:hAnsi="宋体" w:cs="宋体"/>
                <w:sz w:val="24"/>
              </w:rPr>
              <w:t>云桌面管理</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支持以下三种类型云桌面：1、关闭云桌面后用户的个性化配置与数据不会丢失；2、每次关闭云桌面后自动还原系统盘到初始状态；3、用户桌面统一升级安装应用软件，但用户的个性数据不受影响。</w:t>
            </w:r>
          </w:p>
        </w:tc>
      </w:tr>
      <w:tr>
        <w:tblPrEx>
          <w:tblCellMar>
            <w:top w:w="0" w:type="dxa"/>
            <w:left w:w="108" w:type="dxa"/>
            <w:bottom w:w="0" w:type="dxa"/>
            <w:right w:w="108" w:type="dxa"/>
          </w:tblCellMar>
        </w:tblPrEx>
        <w:trPr>
          <w:wBefore w:w="0" w:type="dxa"/>
          <w:wAfter w:w="0" w:type="dxa"/>
          <w:trHeight w:val="580"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sz w:val="24"/>
              </w:rPr>
            </w:pPr>
            <w:r>
              <w:rPr>
                <w:rFonts w:hint="eastAsia" w:ascii="宋体" w:hAnsi="宋体" w:cs="宋体"/>
                <w:sz w:val="24"/>
              </w:rPr>
              <w:t>镜像管理</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支持通过上传操作系统ISO文件、QCOW2等格式文件来制作生成镜像；</w:t>
            </w:r>
          </w:p>
          <w:p>
            <w:pPr>
              <w:widowControl/>
              <w:rPr>
                <w:rFonts w:ascii="宋体" w:hAnsi="宋体" w:cs="宋体"/>
                <w:sz w:val="24"/>
              </w:rPr>
            </w:pPr>
            <w:r>
              <w:rPr>
                <w:rFonts w:hint="eastAsia" w:ascii="宋体" w:hAnsi="宋体" w:cs="宋体"/>
                <w:sz w:val="24"/>
              </w:rPr>
              <w:t>支持镜像自动快照功能，管理员发布镜像时系统自动生成快照；</w:t>
            </w:r>
          </w:p>
          <w:p>
            <w:pPr>
              <w:widowControl/>
              <w:rPr>
                <w:rFonts w:ascii="宋体" w:hAnsi="宋体" w:cs="宋体"/>
                <w:sz w:val="24"/>
              </w:rPr>
            </w:pPr>
            <w:r>
              <w:rPr>
                <w:rFonts w:hint="eastAsia" w:ascii="宋体" w:hAnsi="宋体" w:cs="宋体"/>
                <w:sz w:val="24"/>
              </w:rPr>
              <w:t>支持快照恢复，支持应用程序安装包和共享文件的管理，包括：上传、删除、查询与制作镜像时加载到虚拟机内部</w:t>
            </w:r>
            <w:r>
              <w:rPr>
                <w:rFonts w:hint="eastAsia" w:ascii="宋体" w:hAnsi="宋体" w:cs="宋体"/>
                <w:color w:val="000000"/>
                <w:kern w:val="0"/>
                <w:sz w:val="24"/>
              </w:rPr>
              <w:t>。</w:t>
            </w:r>
          </w:p>
        </w:tc>
      </w:tr>
      <w:tr>
        <w:tblPrEx>
          <w:tblCellMar>
            <w:top w:w="0" w:type="dxa"/>
            <w:left w:w="108" w:type="dxa"/>
            <w:bottom w:w="0" w:type="dxa"/>
            <w:right w:w="108" w:type="dxa"/>
          </w:tblCellMar>
        </w:tblPrEx>
        <w:trPr>
          <w:wBefore w:w="0" w:type="dxa"/>
          <w:wAfter w:w="0" w:type="dxa"/>
          <w:trHeight w:val="618"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sz w:val="24"/>
              </w:rPr>
            </w:pPr>
            <w:r>
              <w:rPr>
                <w:rFonts w:hint="eastAsia" w:ascii="宋体" w:hAnsi="宋体" w:cs="宋体"/>
                <w:sz w:val="24"/>
              </w:rPr>
              <w:t>用户管理</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 w:val="24"/>
              </w:rPr>
            </w:pPr>
            <w:r>
              <w:rPr>
                <w:rFonts w:hint="eastAsia" w:ascii="宋体" w:hAnsi="宋体" w:cs="宋体"/>
                <w:sz w:val="24"/>
              </w:rPr>
              <w:t>支持对接LDAP、AD域导入用户，支持通过导入Excel文件的方式批量新建用户信息；支持用户密码初始化，管理员可以在Web管理界面初始化用户的密码支持灵活配置多种用户安全访问策略，支持一个用户可以分配多个云桌面。</w:t>
            </w:r>
          </w:p>
        </w:tc>
      </w:tr>
      <w:tr>
        <w:tblPrEx>
          <w:tblCellMar>
            <w:top w:w="0" w:type="dxa"/>
            <w:left w:w="108" w:type="dxa"/>
            <w:bottom w:w="0" w:type="dxa"/>
            <w:right w:w="108" w:type="dxa"/>
          </w:tblCellMar>
        </w:tblPrEx>
        <w:trPr>
          <w:wBefore w:w="0" w:type="dxa"/>
          <w:wAfter w:w="0" w:type="dxa"/>
          <w:trHeight w:val="1125"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sz w:val="24"/>
              </w:rPr>
            </w:pPr>
            <w:r>
              <w:rPr>
                <w:rFonts w:hint="eastAsia" w:ascii="宋体" w:hAnsi="宋体" w:cs="宋体"/>
                <w:sz w:val="24"/>
              </w:rPr>
              <w:t>桌面小助手</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提供物理PC桌面管理工具，可安装在PC或虚拟机环境中。管理工具可显示基本硬件信息，支持用户端可以主动报障功能，并高亮显示报障信息。</w:t>
            </w:r>
          </w:p>
        </w:tc>
      </w:tr>
      <w:tr>
        <w:tblPrEx>
          <w:tblCellMar>
            <w:top w:w="0" w:type="dxa"/>
            <w:left w:w="108" w:type="dxa"/>
            <w:bottom w:w="0" w:type="dxa"/>
            <w:right w:w="108" w:type="dxa"/>
          </w:tblCellMar>
        </w:tblPrEx>
        <w:trPr>
          <w:wBefore w:w="0" w:type="dxa"/>
          <w:wAfter w:w="0" w:type="dxa"/>
          <w:trHeight w:val="2119"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sz w:val="24"/>
              </w:rPr>
            </w:pPr>
            <w:r>
              <w:rPr>
                <w:rFonts w:hint="eastAsia" w:ascii="宋体" w:hAnsi="宋体" w:cs="宋体"/>
                <w:sz w:val="24"/>
              </w:rPr>
              <w:t>云盘功能</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集成云盘功能：1、在用户登录云桌面时自动登录云盘；2、支持自动或手动创建用户群组，群成员可在组内分享文件；3、为实现分级管理，管理员可设置不同权限的管理员角色；4、可通过配置支持通过互联网访问内网云盘数据（非VPN）；5、提供文件收集功能，用户可以发起文件收集任务，收集任务可以设置截止时间和催收时间；6、支持在异地电脑上安装云盘客户端，网络可达条件下，实现和云桌面同步获取云盘数据。</w:t>
            </w:r>
          </w:p>
        </w:tc>
      </w:tr>
      <w:tr>
        <w:tblPrEx>
          <w:tblCellMar>
            <w:top w:w="0" w:type="dxa"/>
            <w:left w:w="108" w:type="dxa"/>
            <w:bottom w:w="0" w:type="dxa"/>
            <w:right w:w="108" w:type="dxa"/>
          </w:tblCellMar>
        </w:tblPrEx>
        <w:trPr>
          <w:wBefore w:w="0" w:type="dxa"/>
          <w:wAfter w:w="0" w:type="dxa"/>
          <w:trHeight w:val="854"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sz w:val="24"/>
              </w:rPr>
            </w:pPr>
            <w:r>
              <w:rPr>
                <w:rFonts w:hint="eastAsia" w:ascii="宋体" w:hAnsi="宋体" w:cs="宋体"/>
                <w:sz w:val="24"/>
              </w:rPr>
              <w:t>扩展性</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为满足建设需求，按需提升办公桌面的图像处理能力，平台需要具备GPU的扩展能能力</w:t>
            </w:r>
            <w:r>
              <w:rPr>
                <w:rFonts w:hint="eastAsia" w:ascii="宋体" w:hAnsi="宋体" w:cs="宋体"/>
                <w:color w:val="000000"/>
                <w:kern w:val="0"/>
                <w:sz w:val="24"/>
              </w:rPr>
              <w:t>。</w:t>
            </w:r>
          </w:p>
        </w:tc>
      </w:tr>
      <w:tr>
        <w:tblPrEx>
          <w:tblCellMar>
            <w:top w:w="0" w:type="dxa"/>
            <w:left w:w="108" w:type="dxa"/>
            <w:bottom w:w="0" w:type="dxa"/>
            <w:right w:w="108" w:type="dxa"/>
          </w:tblCellMar>
        </w:tblPrEx>
        <w:trPr>
          <w:wBefore w:w="0" w:type="dxa"/>
          <w:wAfter w:w="0" w:type="dxa"/>
          <w:trHeight w:val="556"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sz w:val="24"/>
              </w:rPr>
            </w:pPr>
            <w:r>
              <w:rPr>
                <w:rFonts w:hint="eastAsia" w:ascii="宋体" w:hAnsi="宋体" w:cs="宋体"/>
                <w:sz w:val="24"/>
              </w:rPr>
              <w:t>配置要求</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★实配≥300个IDV终端使用授权</w:t>
            </w:r>
          </w:p>
        </w:tc>
      </w:tr>
      <w:tr>
        <w:tblPrEx>
          <w:tblCellMar>
            <w:top w:w="0" w:type="dxa"/>
            <w:left w:w="108" w:type="dxa"/>
            <w:bottom w:w="0" w:type="dxa"/>
            <w:right w:w="108" w:type="dxa"/>
          </w:tblCellMar>
        </w:tblPrEx>
        <w:trPr>
          <w:wBefore w:w="0" w:type="dxa"/>
          <w:wAfter w:w="0" w:type="dxa"/>
          <w:trHeight w:val="486" w:hRule="atLeast"/>
        </w:trPr>
        <w:tc>
          <w:tcPr>
            <w:tcW w:w="932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outlineLvl w:val="0"/>
              <w:rPr>
                <w:rFonts w:ascii="宋体" w:hAnsi="宋体" w:cs="宋体"/>
                <w:b/>
                <w:bCs/>
                <w:color w:val="000000"/>
                <w:kern w:val="0"/>
                <w:sz w:val="24"/>
              </w:rPr>
            </w:pPr>
            <w:r>
              <w:rPr>
                <w:rFonts w:hint="eastAsia" w:ascii="宋体" w:hAnsi="宋体" w:cs="宋体"/>
                <w:b/>
                <w:color w:val="000000"/>
                <w:sz w:val="24"/>
              </w:rPr>
              <w:t>云桌面计算平台要求</w:t>
            </w:r>
          </w:p>
        </w:tc>
      </w:tr>
      <w:tr>
        <w:tblPrEx>
          <w:tblCellMar>
            <w:top w:w="0" w:type="dxa"/>
            <w:left w:w="108" w:type="dxa"/>
            <w:bottom w:w="0" w:type="dxa"/>
            <w:right w:w="108" w:type="dxa"/>
          </w:tblCellMar>
        </w:tblPrEx>
        <w:trPr>
          <w:wBefore w:w="0" w:type="dxa"/>
          <w:wAfter w:w="0" w:type="dxa"/>
          <w:trHeight w:val="870"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sz w:val="24"/>
              </w:rPr>
            </w:pPr>
            <w:r>
              <w:rPr>
                <w:rFonts w:hint="eastAsia" w:ascii="宋体" w:hAnsi="宋体" w:cs="宋体"/>
                <w:sz w:val="24"/>
              </w:rPr>
              <w:t>产品架构</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要求采用超融合基础架构，在同一管理平台内至少包含计算资源、存储资源、网络资源等功能管理模块。所有功能模块需要通过一个厂家的一套软件实现超融合部署，不可以使用多套软件或产品叠加实现。</w:t>
            </w:r>
          </w:p>
          <w:p>
            <w:pPr>
              <w:pStyle w:val="1051"/>
              <w:spacing w:after="156"/>
            </w:pPr>
            <w:r>
              <w:rPr>
                <w:rFonts w:hint="eastAsia" w:ascii="宋体" w:hAnsi="宋体" w:cs="宋体"/>
                <w:sz w:val="24"/>
                <w:szCs w:val="24"/>
              </w:rPr>
              <w:t>管理平台采用B/S（Broswer/Server)架构，支持中文图形化操作界面，同一管理界面中可实现对计算、存储、网络等功能的配置和操作。</w:t>
            </w:r>
          </w:p>
        </w:tc>
      </w:tr>
      <w:tr>
        <w:tblPrEx>
          <w:tblCellMar>
            <w:top w:w="0" w:type="dxa"/>
            <w:left w:w="108" w:type="dxa"/>
            <w:bottom w:w="0" w:type="dxa"/>
            <w:right w:w="108" w:type="dxa"/>
          </w:tblCellMar>
        </w:tblPrEx>
        <w:trPr>
          <w:wBefore w:w="0" w:type="dxa"/>
          <w:wAfter w:w="0" w:type="dxa"/>
          <w:trHeight w:val="379"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sz w:val="24"/>
              </w:rPr>
            </w:pPr>
            <w:r>
              <w:rPr>
                <w:rFonts w:hint="eastAsia" w:ascii="宋体" w:hAnsi="宋体" w:cs="宋体"/>
                <w:sz w:val="24"/>
              </w:rPr>
              <w:t>计算集群</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支持在集群中添加、移除服务器主机节点。</w:t>
            </w:r>
          </w:p>
          <w:p>
            <w:pPr>
              <w:pStyle w:val="1051"/>
              <w:spacing w:after="156"/>
            </w:pPr>
            <w:r>
              <w:rPr>
                <w:rFonts w:hint="eastAsia" w:ascii="宋体" w:hAnsi="宋体" w:cs="宋体"/>
                <w:sz w:val="24"/>
                <w:szCs w:val="24"/>
              </w:rPr>
              <w:t>支持将服务器主机节点添加为计算集群，为上层业务平台提供统一的计算、存储、网络资源调度，形成基础计算平台支撑。</w:t>
            </w:r>
          </w:p>
        </w:tc>
      </w:tr>
      <w:tr>
        <w:tblPrEx>
          <w:tblCellMar>
            <w:top w:w="0" w:type="dxa"/>
            <w:left w:w="108" w:type="dxa"/>
            <w:bottom w:w="0" w:type="dxa"/>
            <w:right w:w="108" w:type="dxa"/>
          </w:tblCellMar>
        </w:tblPrEx>
        <w:trPr>
          <w:wBefore w:w="0" w:type="dxa"/>
          <w:wAfter w:w="0" w:type="dxa"/>
          <w:trHeight w:val="985" w:hRule="atLeast"/>
        </w:trPr>
        <w:tc>
          <w:tcPr>
            <w:tcW w:w="138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sz w:val="24"/>
              </w:rPr>
            </w:pPr>
            <w:r>
              <w:rPr>
                <w:rFonts w:hint="eastAsia" w:ascii="宋体" w:hAnsi="宋体" w:cs="宋体"/>
                <w:sz w:val="24"/>
              </w:rPr>
              <w:t>存储集群</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支持按需创建多个存储池，支持按需指定每个存储池所需使用的冗余策略。同时还可以根据具体需求选择每个存储池对应的容量盘，容量盘可以选择服务器集群中任意几个节点中的一块或多块未被使用的磁盘。</w:t>
            </w:r>
          </w:p>
        </w:tc>
      </w:tr>
      <w:tr>
        <w:tblPrEx>
          <w:tblCellMar>
            <w:top w:w="0" w:type="dxa"/>
            <w:left w:w="108" w:type="dxa"/>
            <w:bottom w:w="0" w:type="dxa"/>
            <w:right w:w="108" w:type="dxa"/>
          </w:tblCellMar>
        </w:tblPrEx>
        <w:trPr>
          <w:wBefore w:w="0" w:type="dxa"/>
          <w:wAfter w:w="0" w:type="dxa"/>
          <w:trHeight w:val="580" w:hRule="atLeast"/>
        </w:trPr>
        <w:tc>
          <w:tcPr>
            <w:tcW w:w="138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存储池可以设置多种冗余策略，支持多级缓存技术，支持数据均衡负载策略。</w:t>
            </w:r>
          </w:p>
        </w:tc>
      </w:tr>
      <w:tr>
        <w:tblPrEx>
          <w:tblCellMar>
            <w:top w:w="0" w:type="dxa"/>
            <w:left w:w="108" w:type="dxa"/>
            <w:bottom w:w="0" w:type="dxa"/>
            <w:right w:w="108" w:type="dxa"/>
          </w:tblCellMar>
        </w:tblPrEx>
        <w:trPr>
          <w:wBefore w:w="0" w:type="dxa"/>
          <w:wAfter w:w="0" w:type="dxa"/>
          <w:trHeight w:val="660" w:hRule="atLeast"/>
        </w:trPr>
        <w:tc>
          <w:tcPr>
            <w:tcW w:w="138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为保证硬盘故障后，数据可以快速重构，要求所投产品在分布式存储的方案下，1T数据重构时间≤15分钟。</w:t>
            </w:r>
          </w:p>
        </w:tc>
      </w:tr>
      <w:tr>
        <w:tblPrEx>
          <w:tblCellMar>
            <w:top w:w="0" w:type="dxa"/>
            <w:left w:w="108" w:type="dxa"/>
            <w:bottom w:w="0" w:type="dxa"/>
            <w:right w:w="108" w:type="dxa"/>
          </w:tblCellMar>
        </w:tblPrEx>
        <w:trPr>
          <w:wBefore w:w="0" w:type="dxa"/>
          <w:wAfter w:w="0" w:type="dxa"/>
          <w:trHeight w:val="699" w:hRule="atLeast"/>
        </w:trPr>
        <w:tc>
          <w:tcPr>
            <w:tcW w:w="138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在硬盘故障维修等需要交出硬盘的场景，为避免用户数据外泄，要求分布式存储采用块虚拟化技术。</w:t>
            </w:r>
          </w:p>
        </w:tc>
      </w:tr>
      <w:tr>
        <w:tblPrEx>
          <w:tblCellMar>
            <w:top w:w="0" w:type="dxa"/>
            <w:left w:w="108" w:type="dxa"/>
            <w:bottom w:w="0" w:type="dxa"/>
            <w:right w:w="108" w:type="dxa"/>
          </w:tblCellMar>
        </w:tblPrEx>
        <w:trPr>
          <w:wBefore w:w="0" w:type="dxa"/>
          <w:wAfter w:w="0" w:type="dxa"/>
          <w:trHeight w:val="290"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sz w:val="24"/>
              </w:rPr>
            </w:pPr>
            <w:r>
              <w:rPr>
                <w:rFonts w:hint="eastAsia" w:ascii="宋体" w:hAnsi="宋体" w:cs="宋体"/>
                <w:sz w:val="24"/>
              </w:rPr>
              <w:t>虚拟交换</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支持创建虚拟交换机，支持FLAT虚拟机交换机，支持VLAN虚拟交换机</w:t>
            </w:r>
          </w:p>
          <w:p>
            <w:pPr>
              <w:pStyle w:val="1051"/>
              <w:spacing w:after="156"/>
            </w:pPr>
            <w:r>
              <w:rPr>
                <w:rFonts w:hint="eastAsia" w:ascii="宋体" w:hAnsi="宋体" w:cs="宋体"/>
                <w:sz w:val="24"/>
                <w:szCs w:val="24"/>
              </w:rPr>
              <w:t>单个数据中心可创建≥64个虚拟机交换机，单个虚拟交换机可创建≥2048个端口。</w:t>
            </w:r>
          </w:p>
        </w:tc>
      </w:tr>
      <w:tr>
        <w:tblPrEx>
          <w:tblCellMar>
            <w:top w:w="0" w:type="dxa"/>
            <w:left w:w="108" w:type="dxa"/>
            <w:bottom w:w="0" w:type="dxa"/>
            <w:right w:w="108" w:type="dxa"/>
          </w:tblCellMar>
        </w:tblPrEx>
        <w:trPr>
          <w:wBefore w:w="0" w:type="dxa"/>
          <w:wAfter w:w="0" w:type="dxa"/>
          <w:trHeight w:val="580"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sz w:val="24"/>
              </w:rPr>
            </w:pPr>
            <w:r>
              <w:rPr>
                <w:rFonts w:hint="eastAsia" w:ascii="宋体" w:hAnsi="宋体" w:cs="宋体"/>
                <w:sz w:val="24"/>
              </w:rPr>
              <w:t>日志查询</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支持查询、下载系统管理员的操作日志，日志包括：管理员账号、IP地址、操作时间、操作内容等。</w:t>
            </w:r>
          </w:p>
        </w:tc>
      </w:tr>
      <w:tr>
        <w:tblPrEx>
          <w:tblCellMar>
            <w:top w:w="0" w:type="dxa"/>
            <w:left w:w="108" w:type="dxa"/>
            <w:bottom w:w="0" w:type="dxa"/>
            <w:right w:w="108" w:type="dxa"/>
          </w:tblCellMar>
        </w:tblPrEx>
        <w:trPr>
          <w:wBefore w:w="0" w:type="dxa"/>
          <w:wAfter w:w="0" w:type="dxa"/>
          <w:trHeight w:val="520"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sz w:val="24"/>
              </w:rPr>
            </w:pPr>
            <w:r>
              <w:rPr>
                <w:rFonts w:hint="eastAsia" w:ascii="宋体" w:hAnsi="宋体" w:cs="宋体"/>
                <w:sz w:val="24"/>
              </w:rPr>
              <w:t>授权配置</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sz w:val="24"/>
              </w:rPr>
            </w:pPr>
            <w:r>
              <w:rPr>
                <w:rFonts w:hint="eastAsia" w:ascii="宋体" w:hAnsi="宋体" w:cs="宋体"/>
                <w:sz w:val="24"/>
              </w:rPr>
              <w:t>单台服务器提供≥1个授权，满足服务器使用需求。</w:t>
            </w:r>
          </w:p>
        </w:tc>
      </w:tr>
      <w:tr>
        <w:tblPrEx>
          <w:tblCellMar>
            <w:top w:w="0" w:type="dxa"/>
            <w:left w:w="108" w:type="dxa"/>
            <w:bottom w:w="0" w:type="dxa"/>
            <w:right w:w="108" w:type="dxa"/>
          </w:tblCellMar>
        </w:tblPrEx>
        <w:trPr>
          <w:wBefore w:w="0" w:type="dxa"/>
          <w:wAfter w:w="0" w:type="dxa"/>
          <w:trHeight w:val="290"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服务要求</w:t>
            </w:r>
          </w:p>
        </w:tc>
        <w:tc>
          <w:tcPr>
            <w:tcW w:w="7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宋体"/>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瘦终端</w:t>
      </w:r>
    </w:p>
    <w:tbl>
      <w:tblPr>
        <w:tblStyle w:val="57"/>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7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ascii="宋体" w:hAnsi="宋体" w:cs="宋体"/>
                <w:b/>
                <w:bCs/>
                <w:sz w:val="24"/>
              </w:rPr>
            </w:pPr>
            <w:bookmarkStart w:id="5" w:name="_Hlk144409685"/>
            <w:r>
              <w:rPr>
                <w:rFonts w:hint="eastAsia" w:ascii="宋体" w:hAnsi="宋体" w:cs="宋体"/>
                <w:b/>
                <w:bCs/>
                <w:sz w:val="24"/>
              </w:rPr>
              <w:t>技术指标</w:t>
            </w:r>
          </w:p>
        </w:tc>
        <w:tc>
          <w:tcPr>
            <w:tcW w:w="797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ascii="宋体" w:hAnsi="宋体" w:cs="宋体"/>
                <w:b/>
                <w:bCs/>
                <w:sz w:val="24"/>
              </w:rPr>
            </w:pPr>
            <w:r>
              <w:rPr>
                <w:rFonts w:hint="eastAsia" w:ascii="宋体" w:hAnsi="宋体" w:cs="宋体"/>
                <w:b/>
                <w:bCs/>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r>
              <w:rPr>
                <w:rFonts w:hint="eastAsia" w:ascii="宋体" w:hAnsi="宋体" w:cs="宋体"/>
                <w:b/>
                <w:bCs/>
                <w:sz w:val="24"/>
              </w:rPr>
              <w:t>数量要求</w:t>
            </w:r>
          </w:p>
        </w:tc>
        <w:tc>
          <w:tcPr>
            <w:tcW w:w="7970"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kern w:val="0"/>
                <w:sz w:val="24"/>
              </w:rPr>
              <w:t>▲须</w:t>
            </w:r>
            <w:r>
              <w:rPr>
                <w:rFonts w:hint="eastAsia" w:ascii="宋体" w:hAnsi="宋体" w:cs="宋体"/>
                <w:color w:val="000000"/>
                <w:kern w:val="0"/>
                <w:sz w:val="24"/>
              </w:rPr>
              <w:t>与瘦终端服务器同一品牌。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r>
              <w:rPr>
                <w:rFonts w:hint="eastAsia" w:ascii="宋体" w:hAnsi="宋体" w:cs="宋体"/>
                <w:b/>
                <w:bCs/>
                <w:sz w:val="24"/>
              </w:rPr>
              <w:t>瘦终端硬件规格</w:t>
            </w:r>
          </w:p>
        </w:tc>
        <w:tc>
          <w:tcPr>
            <w:tcW w:w="7970"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ARM架构，CPU：≥四核1.6GHZ；内存≥1GB、硬盘容量≥4GB、USB口≥6个、1个VGA接口、1个以太网口。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restart"/>
            <w:tcBorders>
              <w:top w:val="nil"/>
              <w:left w:val="single" w:color="auto" w:sz="4" w:space="0"/>
              <w:right w:val="single" w:color="auto" w:sz="4" w:space="0"/>
            </w:tcBorders>
            <w:shd w:val="clear" w:color="auto" w:fill="auto"/>
            <w:noWrap w:val="0"/>
            <w:vAlign w:val="center"/>
          </w:tcPr>
          <w:p>
            <w:pPr>
              <w:spacing w:line="360" w:lineRule="auto"/>
              <w:rPr>
                <w:rFonts w:ascii="宋体" w:hAnsi="宋体" w:cs="宋体"/>
                <w:b/>
                <w:bCs/>
                <w:sz w:val="24"/>
              </w:rPr>
            </w:pPr>
            <w:r>
              <w:rPr>
                <w:rFonts w:hint="eastAsia" w:ascii="宋体" w:hAnsi="宋体" w:cs="宋体"/>
                <w:b/>
                <w:bCs/>
                <w:sz w:val="24"/>
              </w:rPr>
              <w:t>管理运维</w:t>
            </w:r>
          </w:p>
        </w:tc>
        <w:tc>
          <w:tcPr>
            <w:tcW w:w="7970"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bookmarkStart w:id="6" w:name="_Hlk123670739"/>
            <w:r>
              <w:rPr>
                <w:rFonts w:hint="eastAsia" w:ascii="宋体" w:hAnsi="宋体" w:cs="宋体"/>
                <w:color w:val="000000"/>
                <w:kern w:val="0"/>
                <w:sz w:val="24"/>
              </w:rPr>
              <w:t>为了方便管理，管理方式为虚拟机和瘦终端统一管理，降低管理难度。（提供功能截图）</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970"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bookmarkStart w:id="7" w:name="_Hlk123671287"/>
            <w:r>
              <w:rPr>
                <w:rFonts w:hint="eastAsia" w:ascii="宋体" w:hAnsi="宋体" w:cs="宋体"/>
                <w:sz w:val="24"/>
                <w:lang w:eastAsia="zh-TW"/>
              </w:rPr>
              <w:t>★</w:t>
            </w:r>
            <w:r>
              <w:rPr>
                <w:rFonts w:hint="eastAsia" w:ascii="宋体" w:hAnsi="宋体" w:cs="宋体"/>
                <w:color w:val="000000"/>
                <w:kern w:val="0"/>
                <w:sz w:val="24"/>
              </w:rPr>
              <w:t>在瘦终端的管理方面，需支持分组管理、批量移动、删除、关闭瘦终端，支持配置定时开关机计划或加电自启动功能，支持自定义开机画面、配置自动登录和保存密码。（提供功能截图及第三方检测报告）</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r>
              <w:rPr>
                <w:rFonts w:hint="eastAsia" w:ascii="宋体" w:hAnsi="宋体" w:cs="宋体"/>
                <w:b/>
                <w:bCs/>
                <w:sz w:val="24"/>
              </w:rPr>
              <w:t>接入安全</w:t>
            </w:r>
          </w:p>
        </w:tc>
        <w:tc>
          <w:tcPr>
            <w:tcW w:w="7970"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考虑到接入安全，需支持修改云终端配置和登录信息时需要密码，可限制未接入过环境的瘦终端的接入或者接入桌面环境需要输入密码。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r>
              <w:rPr>
                <w:rFonts w:hint="eastAsia" w:ascii="宋体" w:hAnsi="宋体" w:cs="宋体"/>
                <w:b/>
                <w:bCs/>
                <w:sz w:val="24"/>
              </w:rPr>
              <w:t>用户体验</w:t>
            </w:r>
          </w:p>
        </w:tc>
        <w:tc>
          <w:tcPr>
            <w:tcW w:w="7970"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为了降低用户的使用难度，需要瘦终端的使用可以和PC一致，在关机方面，在虚拟机中点击“开始”菜单、点击“关机”按钮，云终端和操作系统将会一体化关闭。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Borders>
              <w:top w:val="single" w:color="auto" w:sz="4" w:space="0"/>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r>
              <w:rPr>
                <w:rFonts w:hint="eastAsia" w:ascii="宋体" w:hAnsi="宋体" w:cs="宋体"/>
                <w:b/>
                <w:bCs/>
                <w:sz w:val="24"/>
              </w:rPr>
              <w:t>服务要求</w:t>
            </w:r>
          </w:p>
        </w:tc>
        <w:tc>
          <w:tcPr>
            <w:tcW w:w="7970" w:type="dxa"/>
            <w:tcBorders>
              <w:top w:val="single" w:color="auto" w:sz="4" w:space="0"/>
              <w:left w:val="nil"/>
              <w:bottom w:val="single" w:color="auto" w:sz="4" w:space="0"/>
              <w:right w:val="single" w:color="auto" w:sz="4" w:space="0"/>
            </w:tcBorders>
            <w:shd w:val="clear" w:color="auto" w:fill="auto"/>
            <w:noWrap w:val="0"/>
            <w:vAlign w:val="top"/>
          </w:tcPr>
          <w:p>
            <w:pPr>
              <w:widowControl/>
              <w:jc w:val="left"/>
              <w:textAlignment w:val="center"/>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本次要求提供不少于5年原厂质保</w:t>
            </w:r>
          </w:p>
        </w:tc>
      </w:tr>
      <w:bookmarkEnd w:id="5"/>
    </w:tbl>
    <w:p>
      <w:pPr>
        <w:pStyle w:val="2"/>
        <w:numPr>
          <w:ilvl w:val="1"/>
          <w:numId w:val="9"/>
        </w:numPr>
        <w:spacing w:before="240" w:after="60" w:line="413" w:lineRule="auto"/>
      </w:pPr>
      <w:r>
        <w:rPr>
          <w:rFonts w:hint="eastAsia"/>
        </w:rPr>
        <w:t>自助机</w:t>
      </w:r>
    </w:p>
    <w:p/>
    <w:tbl>
      <w:tblPr>
        <w:tblStyle w:val="57"/>
        <w:tblW w:w="935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70" w:hRule="atLeast"/>
        </w:trPr>
        <w:tc>
          <w:tcPr>
            <w:tcW w:w="1418" w:type="dxa"/>
            <w:noWrap w:val="0"/>
            <w:vAlign w:val="center"/>
          </w:tcPr>
          <w:p>
            <w:pPr>
              <w:jc w:val="center"/>
              <w:rPr>
                <w:rFonts w:ascii="宋体" w:hAnsi="宋体" w:cs="宋体"/>
                <w:b/>
                <w:sz w:val="24"/>
              </w:rPr>
            </w:pPr>
            <w:r>
              <w:rPr>
                <w:rFonts w:hint="eastAsia" w:ascii="宋体" w:hAnsi="宋体" w:cs="宋体"/>
                <w:b/>
                <w:sz w:val="24"/>
              </w:rPr>
              <w:t>技术指标分类</w:t>
            </w:r>
          </w:p>
        </w:tc>
        <w:tc>
          <w:tcPr>
            <w:tcW w:w="7938" w:type="dxa"/>
            <w:noWrap w:val="0"/>
            <w:vAlign w:val="center"/>
          </w:tcPr>
          <w:p>
            <w:pPr>
              <w:jc w:val="center"/>
              <w:rPr>
                <w:rFonts w:ascii="宋体" w:hAnsi="宋体" w:cs="宋体"/>
                <w:b/>
                <w:sz w:val="24"/>
              </w:rPr>
            </w:pPr>
            <w:r>
              <w:rPr>
                <w:rFonts w:hint="eastAsia" w:ascii="宋体" w:hAnsi="宋体" w:cs="宋体"/>
                <w:b/>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9356" w:type="dxa"/>
            <w:gridSpan w:val="2"/>
            <w:noWrap w:val="0"/>
            <w:vAlign w:val="center"/>
          </w:tcPr>
          <w:p>
            <w:pPr>
              <w:widowControl/>
              <w:textAlignment w:val="center"/>
              <w:rPr>
                <w:rFonts w:ascii="宋体" w:hAnsi="宋体" w:cs="宋体"/>
                <w:sz w:val="24"/>
              </w:rPr>
            </w:pPr>
            <w:r>
              <w:rPr>
                <w:rFonts w:hint="eastAsia" w:ascii="宋体" w:hAnsi="宋体" w:cs="宋体"/>
                <w:b/>
                <w:bCs/>
                <w:sz w:val="24"/>
              </w:rPr>
              <w:t>硬件要求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vMerge w:val="restart"/>
            <w:noWrap w:val="0"/>
            <w:vAlign w:val="center"/>
          </w:tcPr>
          <w:p>
            <w:pPr>
              <w:widowControl/>
              <w:jc w:val="center"/>
              <w:textAlignment w:val="center"/>
              <w:rPr>
                <w:rFonts w:ascii="宋体" w:hAnsi="宋体" w:cs="宋体"/>
                <w:sz w:val="24"/>
              </w:rPr>
            </w:pPr>
            <w:r>
              <w:rPr>
                <w:rFonts w:hint="eastAsia" w:ascii="宋体" w:hAnsi="宋体" w:cs="宋体"/>
                <w:sz w:val="24"/>
              </w:rPr>
              <w:t>★主控模块</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主板：H110或更高档次芯片组；</w:t>
            </w:r>
          </w:p>
          <w:p>
            <w:pPr>
              <w:widowControl/>
              <w:textAlignment w:val="center"/>
              <w:rPr>
                <w:rFonts w:ascii="宋体" w:hAnsi="宋体" w:cs="宋体"/>
                <w:sz w:val="24"/>
              </w:rPr>
            </w:pPr>
            <w:r>
              <w:rPr>
                <w:rFonts w:hint="eastAsia" w:ascii="宋体" w:hAnsi="宋体" w:cs="宋体"/>
                <w:sz w:val="24"/>
              </w:rPr>
              <w:t>英特尔 CPU内建显示核心，DDR4 Memory，板载音频解码器、千兆网卡。存储：2*SATAⅡ；扩展插槽：≥1*MINI-PCIE 1*PCIE；≥2*LAN端口；≥2*VGA端口；≥1*DVI端口；1*PS/2端口；≥2*USB3.0，≥2*USB2.0（≥6*USB2.0可扩展)；10*COM(COM2可支持485)，独立双显VGA，HDMI</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vMerge w:val="continue"/>
            <w:noWrap w:val="0"/>
            <w:vAlign w:val="center"/>
          </w:tcPr>
          <w:p>
            <w:pPr>
              <w:widowControl/>
              <w:textAlignment w:val="center"/>
              <w:rPr>
                <w:rFonts w:ascii="宋体" w:hAnsi="宋体" w:cs="宋体"/>
                <w:sz w:val="24"/>
              </w:rPr>
            </w:pP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CPU：Intel I</w:t>
            </w:r>
            <w:r>
              <w:rPr>
                <w:rFonts w:ascii="宋体" w:hAnsi="宋体" w:cs="宋体"/>
                <w:sz w:val="24"/>
              </w:rPr>
              <w:t>7</w:t>
            </w:r>
            <w:r>
              <w:rPr>
                <w:rFonts w:hint="eastAsia" w:ascii="宋体" w:hAnsi="宋体" w:cs="宋体"/>
                <w:sz w:val="24"/>
              </w:rPr>
              <w:t xml:space="preserve"> 六代或以上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vMerge w:val="continue"/>
            <w:noWrap w:val="0"/>
            <w:vAlign w:val="center"/>
          </w:tcPr>
          <w:p>
            <w:pPr>
              <w:widowControl/>
              <w:textAlignment w:val="center"/>
              <w:rPr>
                <w:rFonts w:ascii="宋体" w:hAnsi="宋体" w:cs="宋体"/>
                <w:sz w:val="24"/>
              </w:rPr>
            </w:pP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内存：≥8G（可扩展）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vMerge w:val="continue"/>
            <w:noWrap w:val="0"/>
            <w:vAlign w:val="center"/>
          </w:tcPr>
          <w:p>
            <w:pPr>
              <w:widowControl/>
              <w:textAlignment w:val="center"/>
              <w:rPr>
                <w:rFonts w:ascii="宋体" w:hAnsi="宋体" w:cs="宋体"/>
                <w:sz w:val="24"/>
              </w:rPr>
            </w:pP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硬盘：≥</w:t>
            </w:r>
            <w:r>
              <w:rPr>
                <w:rFonts w:ascii="宋体" w:hAnsi="宋体" w:cs="宋体"/>
                <w:sz w:val="24"/>
              </w:rPr>
              <w:t>256</w:t>
            </w:r>
            <w:r>
              <w:rPr>
                <w:rFonts w:hint="eastAsia" w:ascii="宋体" w:hAnsi="宋体" w:cs="宋体"/>
                <w:sz w:val="24"/>
              </w:rPr>
              <w:t>G固态（可扩展）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vMerge w:val="restart"/>
            <w:noWrap w:val="0"/>
            <w:vAlign w:val="center"/>
          </w:tcPr>
          <w:p>
            <w:pPr>
              <w:widowControl/>
              <w:textAlignment w:val="center"/>
              <w:rPr>
                <w:rFonts w:ascii="宋体" w:hAnsi="宋体" w:cs="宋体"/>
                <w:sz w:val="24"/>
              </w:rPr>
            </w:pPr>
            <w:r>
              <w:rPr>
                <w:rFonts w:hint="eastAsia" w:ascii="宋体" w:hAnsi="宋体" w:cs="宋体"/>
                <w:sz w:val="24"/>
              </w:rPr>
              <w:t>★高清全视角电容一体屏</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显示部分：</w:t>
            </w:r>
          </w:p>
          <w:p>
            <w:pPr>
              <w:widowControl/>
              <w:textAlignment w:val="center"/>
              <w:rPr>
                <w:rFonts w:ascii="宋体" w:hAnsi="宋体" w:cs="宋体"/>
                <w:sz w:val="24"/>
              </w:rPr>
            </w:pPr>
            <w:r>
              <w:rPr>
                <w:rFonts w:hint="eastAsia" w:ascii="宋体" w:hAnsi="宋体" w:cs="宋体"/>
                <w:sz w:val="24"/>
              </w:rPr>
              <w:t>尺寸及规格：≥</w:t>
            </w:r>
            <w:r>
              <w:rPr>
                <w:rFonts w:ascii="宋体" w:hAnsi="宋体" w:cs="宋体"/>
                <w:sz w:val="24"/>
              </w:rPr>
              <w:t>43</w:t>
            </w:r>
            <w:r>
              <w:rPr>
                <w:rFonts w:hint="eastAsia" w:ascii="宋体" w:hAnsi="宋体" w:cs="宋体"/>
                <w:sz w:val="24"/>
              </w:rPr>
              <w:t>”TFT LCD全视角</w:t>
            </w:r>
          </w:p>
          <w:p>
            <w:pPr>
              <w:widowControl/>
              <w:textAlignment w:val="center"/>
              <w:rPr>
                <w:rFonts w:ascii="宋体" w:hAnsi="宋体" w:cs="宋体"/>
                <w:sz w:val="24"/>
              </w:rPr>
            </w:pPr>
            <w:r>
              <w:rPr>
                <w:rFonts w:hint="eastAsia" w:ascii="宋体" w:hAnsi="宋体" w:cs="宋体"/>
                <w:sz w:val="24"/>
              </w:rPr>
              <w:t>颜色：≥16.7M</w:t>
            </w:r>
          </w:p>
          <w:p>
            <w:pPr>
              <w:widowControl/>
              <w:textAlignment w:val="center"/>
              <w:rPr>
                <w:rFonts w:ascii="宋体" w:hAnsi="宋体" w:cs="宋体"/>
                <w:sz w:val="24"/>
              </w:rPr>
            </w:pPr>
            <w:r>
              <w:rPr>
                <w:rFonts w:hint="eastAsia" w:ascii="宋体" w:hAnsi="宋体" w:cs="宋体"/>
                <w:sz w:val="24"/>
              </w:rPr>
              <w:t>分辨率：≥1920*1080</w:t>
            </w:r>
          </w:p>
          <w:p>
            <w:pPr>
              <w:widowControl/>
              <w:textAlignment w:val="center"/>
              <w:rPr>
                <w:rFonts w:ascii="宋体" w:hAnsi="宋体" w:cs="宋体"/>
                <w:sz w:val="24"/>
              </w:rPr>
            </w:pPr>
            <w:r>
              <w:rPr>
                <w:rFonts w:hint="eastAsia" w:ascii="宋体" w:hAnsi="宋体" w:cs="宋体"/>
                <w:sz w:val="24"/>
              </w:rPr>
              <w:t>亮度：≥330 cd/m²</w:t>
            </w:r>
          </w:p>
          <w:p>
            <w:pPr>
              <w:widowControl/>
              <w:textAlignment w:val="center"/>
              <w:rPr>
                <w:rFonts w:ascii="宋体" w:hAnsi="宋体" w:cs="宋体"/>
                <w:sz w:val="24"/>
              </w:rPr>
            </w:pPr>
            <w:r>
              <w:rPr>
                <w:rFonts w:hint="eastAsia" w:ascii="宋体" w:hAnsi="宋体" w:cs="宋体"/>
                <w:sz w:val="24"/>
              </w:rPr>
              <w:t>对比度：≥ 1200:1</w:t>
            </w:r>
          </w:p>
          <w:p>
            <w:pPr>
              <w:widowControl/>
              <w:textAlignment w:val="center"/>
              <w:rPr>
                <w:rFonts w:ascii="宋体" w:hAnsi="宋体" w:cs="宋体"/>
                <w:sz w:val="24"/>
              </w:rPr>
            </w:pPr>
            <w:r>
              <w:rPr>
                <w:rFonts w:hint="eastAsia" w:ascii="宋体" w:hAnsi="宋体" w:cs="宋体"/>
                <w:sz w:val="24"/>
              </w:rPr>
              <w:t>响应时间：≤15 ms</w:t>
            </w:r>
          </w:p>
          <w:p>
            <w:pPr>
              <w:widowControl/>
              <w:textAlignment w:val="center"/>
              <w:rPr>
                <w:rFonts w:ascii="宋体" w:hAnsi="宋体" w:cs="宋体"/>
                <w:sz w:val="24"/>
              </w:rPr>
            </w:pPr>
            <w:r>
              <w:rPr>
                <w:rFonts w:hint="eastAsia" w:ascii="宋体" w:hAnsi="宋体" w:cs="宋体"/>
                <w:sz w:val="24"/>
              </w:rPr>
              <w:t xml:space="preserve">接口及形式：VGA/HDMI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vMerge w:val="continue"/>
            <w:noWrap w:val="0"/>
            <w:vAlign w:val="center"/>
          </w:tcPr>
          <w:p>
            <w:pPr>
              <w:widowControl/>
              <w:textAlignment w:val="center"/>
              <w:rPr>
                <w:rFonts w:ascii="宋体" w:hAnsi="宋体" w:cs="宋体"/>
                <w:sz w:val="24"/>
              </w:rPr>
            </w:pP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触摸部分：</w:t>
            </w:r>
          </w:p>
          <w:p>
            <w:pPr>
              <w:widowControl/>
              <w:textAlignment w:val="center"/>
              <w:rPr>
                <w:rFonts w:ascii="宋体" w:hAnsi="宋体" w:cs="宋体"/>
                <w:sz w:val="24"/>
              </w:rPr>
            </w:pPr>
            <w:r>
              <w:rPr>
                <w:rFonts w:hint="eastAsia" w:ascii="宋体" w:hAnsi="宋体" w:cs="宋体"/>
                <w:sz w:val="24"/>
              </w:rPr>
              <w:t>尺寸：≥</w:t>
            </w:r>
            <w:r>
              <w:rPr>
                <w:rFonts w:ascii="宋体" w:hAnsi="宋体" w:cs="宋体"/>
                <w:sz w:val="24"/>
              </w:rPr>
              <w:t>43</w:t>
            </w:r>
            <w:r>
              <w:rPr>
                <w:rFonts w:hint="eastAsia" w:ascii="宋体" w:hAnsi="宋体" w:cs="宋体"/>
                <w:sz w:val="24"/>
              </w:rPr>
              <w:t>寸电容屏</w:t>
            </w:r>
          </w:p>
          <w:p>
            <w:pPr>
              <w:widowControl/>
              <w:textAlignment w:val="center"/>
              <w:rPr>
                <w:rFonts w:ascii="宋体" w:hAnsi="宋体" w:cs="宋体"/>
                <w:sz w:val="24"/>
              </w:rPr>
            </w:pPr>
            <w:r>
              <w:rPr>
                <w:rFonts w:hint="eastAsia" w:ascii="宋体" w:hAnsi="宋体" w:cs="宋体"/>
                <w:sz w:val="24"/>
              </w:rPr>
              <w:t>10点触摸，高灵敏，高透光率</w:t>
            </w:r>
          </w:p>
          <w:p>
            <w:pPr>
              <w:widowControl/>
              <w:textAlignment w:val="center"/>
              <w:rPr>
                <w:rFonts w:ascii="宋体" w:hAnsi="宋体" w:cs="宋体"/>
                <w:sz w:val="24"/>
              </w:rPr>
            </w:pPr>
            <w:r>
              <w:rPr>
                <w:rFonts w:hint="eastAsia" w:ascii="宋体" w:hAnsi="宋体" w:cs="宋体"/>
                <w:sz w:val="24"/>
              </w:rPr>
              <w:t>寿命：≥5000万次同点触摸</w:t>
            </w:r>
          </w:p>
          <w:p>
            <w:pPr>
              <w:widowControl/>
              <w:textAlignment w:val="center"/>
              <w:rPr>
                <w:rFonts w:ascii="宋体" w:hAnsi="宋体" w:cs="宋体"/>
                <w:sz w:val="24"/>
              </w:rPr>
            </w:pPr>
            <w:r>
              <w:rPr>
                <w:rFonts w:hint="eastAsia" w:ascii="宋体" w:hAnsi="宋体" w:cs="宋体"/>
                <w:sz w:val="24"/>
              </w:rPr>
              <w:t>盖板玻璃 ≥3钢化mm</w:t>
            </w:r>
          </w:p>
          <w:p>
            <w:pPr>
              <w:widowControl/>
              <w:textAlignment w:val="center"/>
              <w:rPr>
                <w:rFonts w:ascii="宋体" w:hAnsi="宋体" w:cs="宋体"/>
                <w:sz w:val="24"/>
              </w:rPr>
            </w:pPr>
            <w:r>
              <w:rPr>
                <w:rFonts w:hint="eastAsia" w:ascii="宋体" w:hAnsi="宋体" w:cs="宋体"/>
                <w:sz w:val="24"/>
              </w:rPr>
              <w:t>触摸线性度  ＜2%</w:t>
            </w:r>
          </w:p>
          <w:p>
            <w:pPr>
              <w:widowControl/>
              <w:textAlignment w:val="center"/>
              <w:rPr>
                <w:rFonts w:ascii="宋体" w:hAnsi="宋体" w:cs="宋体"/>
                <w:sz w:val="24"/>
              </w:rPr>
            </w:pPr>
            <w:r>
              <w:rPr>
                <w:rFonts w:hint="eastAsia" w:ascii="宋体" w:hAnsi="宋体" w:cs="宋体"/>
                <w:sz w:val="24"/>
              </w:rPr>
              <w:t>防水性能（正面） 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7" w:hRule="atLeast"/>
        </w:trPr>
        <w:tc>
          <w:tcPr>
            <w:tcW w:w="1418" w:type="dxa"/>
            <w:noWrap w:val="0"/>
            <w:vAlign w:val="center"/>
          </w:tcPr>
          <w:p>
            <w:pPr>
              <w:widowControl/>
              <w:textAlignment w:val="center"/>
              <w:rPr>
                <w:rFonts w:ascii="宋体" w:hAnsi="宋体" w:cs="宋体"/>
                <w:sz w:val="24"/>
              </w:rPr>
            </w:pPr>
            <w:r>
              <w:rPr>
                <w:rFonts w:hint="eastAsia" w:ascii="宋体" w:hAnsi="宋体" w:cs="宋体"/>
                <w:sz w:val="24"/>
              </w:rPr>
              <w:t>条码扫描器</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图形传感器</w:t>
            </w:r>
            <w:r>
              <w:rPr>
                <w:rFonts w:hint="eastAsia" w:ascii="宋体" w:hAnsi="宋体" w:cs="宋体"/>
                <w:sz w:val="24"/>
              </w:rPr>
              <w:tab/>
            </w:r>
            <w:r>
              <w:rPr>
                <w:rFonts w:hint="eastAsia" w:ascii="宋体" w:hAnsi="宋体" w:cs="宋体"/>
                <w:sz w:val="24"/>
              </w:rPr>
              <w:t>30万像素CMOS传感芯片</w:t>
            </w:r>
          </w:p>
          <w:p>
            <w:pPr>
              <w:widowControl/>
              <w:textAlignment w:val="center"/>
              <w:rPr>
                <w:rFonts w:ascii="宋体" w:hAnsi="宋体" w:cs="宋体"/>
                <w:sz w:val="24"/>
              </w:rPr>
            </w:pPr>
            <w:r>
              <w:rPr>
                <w:rFonts w:hint="eastAsia" w:ascii="宋体" w:hAnsi="宋体" w:cs="宋体"/>
                <w:sz w:val="24"/>
              </w:rPr>
              <w:t>分辨率</w:t>
            </w:r>
            <w:r>
              <w:rPr>
                <w:rFonts w:hint="eastAsia" w:ascii="宋体" w:hAnsi="宋体" w:cs="宋体"/>
                <w:sz w:val="24"/>
              </w:rPr>
              <w:tab/>
            </w:r>
            <w:r>
              <w:rPr>
                <w:rFonts w:hint="eastAsia" w:ascii="宋体" w:hAnsi="宋体" w:cs="宋体"/>
                <w:sz w:val="24"/>
              </w:rPr>
              <w:t>≥640*480</w:t>
            </w:r>
          </w:p>
          <w:p>
            <w:pPr>
              <w:widowControl/>
              <w:textAlignment w:val="center"/>
              <w:rPr>
                <w:rFonts w:ascii="宋体" w:hAnsi="宋体" w:cs="宋体"/>
                <w:sz w:val="24"/>
              </w:rPr>
            </w:pPr>
            <w:r>
              <w:rPr>
                <w:rFonts w:hint="eastAsia" w:ascii="宋体" w:hAnsi="宋体" w:cs="宋体"/>
                <w:sz w:val="24"/>
              </w:rPr>
              <w:t>识读速度：</w:t>
            </w:r>
            <w:r>
              <w:rPr>
                <w:rFonts w:hint="eastAsia" w:ascii="宋体" w:hAnsi="宋体" w:cs="宋体"/>
                <w:sz w:val="24"/>
              </w:rPr>
              <w:tab/>
            </w:r>
            <w:r>
              <w:rPr>
                <w:rFonts w:hint="eastAsia" w:ascii="宋体" w:hAnsi="宋体" w:cs="宋体"/>
                <w:sz w:val="24"/>
              </w:rPr>
              <w:t>≥50ms（平均），支持连续扫描</w:t>
            </w:r>
          </w:p>
          <w:p>
            <w:pPr>
              <w:widowControl/>
              <w:textAlignment w:val="center"/>
              <w:rPr>
                <w:rFonts w:ascii="宋体" w:hAnsi="宋体" w:cs="宋体"/>
                <w:sz w:val="24"/>
              </w:rPr>
            </w:pPr>
            <w:r>
              <w:rPr>
                <w:rFonts w:hint="eastAsia" w:ascii="宋体" w:hAnsi="宋体" w:cs="宋体"/>
                <w:sz w:val="24"/>
              </w:rPr>
              <w:t>帧数：≥30FPS</w:t>
            </w:r>
          </w:p>
          <w:p>
            <w:pPr>
              <w:widowControl/>
              <w:textAlignment w:val="center"/>
              <w:rPr>
                <w:rFonts w:ascii="宋体" w:hAnsi="宋体" w:cs="宋体"/>
                <w:sz w:val="24"/>
              </w:rPr>
            </w:pPr>
            <w:r>
              <w:rPr>
                <w:rFonts w:hint="eastAsia" w:ascii="宋体" w:hAnsi="宋体" w:cs="宋体"/>
                <w:sz w:val="24"/>
              </w:rPr>
              <w:t>支持一维码、二维码读取</w:t>
            </w:r>
          </w:p>
          <w:p>
            <w:pPr>
              <w:widowControl/>
              <w:textAlignment w:val="center"/>
              <w:rPr>
                <w:rFonts w:ascii="宋体" w:hAnsi="宋体" w:cs="宋体"/>
                <w:sz w:val="24"/>
              </w:rPr>
            </w:pPr>
            <w:r>
              <w:rPr>
                <w:rFonts w:hint="eastAsia" w:ascii="宋体" w:hAnsi="宋体" w:cs="宋体"/>
                <w:sz w:val="24"/>
              </w:rPr>
              <w:t>识读方向：水平360度</w:t>
            </w:r>
          </w:p>
          <w:p>
            <w:pPr>
              <w:widowControl/>
              <w:textAlignment w:val="center"/>
              <w:rPr>
                <w:rFonts w:ascii="宋体" w:hAnsi="宋体" w:cs="宋体"/>
                <w:sz w:val="24"/>
              </w:rPr>
            </w:pPr>
            <w:r>
              <w:rPr>
                <w:rFonts w:hint="eastAsia" w:ascii="宋体" w:hAnsi="宋体" w:cs="宋体"/>
                <w:sz w:val="24"/>
              </w:rPr>
              <w:t>Diagonal：85°，Horizontal：64°，Vertical：70°</w:t>
            </w:r>
          </w:p>
          <w:p>
            <w:pPr>
              <w:widowControl/>
              <w:textAlignment w:val="center"/>
              <w:rPr>
                <w:rFonts w:ascii="宋体" w:hAnsi="宋体" w:cs="宋体"/>
                <w:sz w:val="24"/>
              </w:rPr>
            </w:pPr>
            <w:r>
              <w:rPr>
                <w:rFonts w:hint="eastAsia" w:ascii="宋体" w:hAnsi="宋体" w:cs="宋体"/>
                <w:sz w:val="24"/>
              </w:rPr>
              <w:t>支持接口</w:t>
            </w:r>
            <w:r>
              <w:rPr>
                <w:rFonts w:hint="eastAsia" w:ascii="宋体" w:hAnsi="宋体" w:cs="宋体"/>
                <w:sz w:val="24"/>
              </w:rPr>
              <w:tab/>
            </w:r>
            <w:r>
              <w:rPr>
                <w:rFonts w:hint="eastAsia" w:ascii="宋体" w:hAnsi="宋体" w:cs="宋体"/>
                <w:sz w:val="24"/>
              </w:rPr>
              <w:t>USB，RS232，PS2，RJ11，RJ45</w:t>
            </w:r>
            <w:r>
              <w:rPr>
                <w:rFonts w:hint="eastAsia" w:ascii="宋体" w:hAnsi="宋体"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7" w:hRule="atLeast"/>
        </w:trPr>
        <w:tc>
          <w:tcPr>
            <w:tcW w:w="1418" w:type="dxa"/>
            <w:noWrap w:val="0"/>
            <w:vAlign w:val="center"/>
          </w:tcPr>
          <w:p>
            <w:pPr>
              <w:widowControl/>
              <w:textAlignment w:val="center"/>
              <w:rPr>
                <w:rFonts w:ascii="宋体" w:hAnsi="宋体" w:cs="宋体"/>
                <w:sz w:val="24"/>
              </w:rPr>
            </w:pPr>
            <w:r>
              <w:rPr>
                <w:rFonts w:hint="eastAsia" w:ascii="宋体" w:hAnsi="宋体" w:cs="宋体"/>
                <w:sz w:val="24"/>
              </w:rPr>
              <w:t>身份证阅读器</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标准：符合公安部《GA450-2003台式居民身份证阅读器通用技术要求》</w:t>
            </w:r>
          </w:p>
          <w:p>
            <w:pPr>
              <w:widowControl/>
              <w:textAlignment w:val="center"/>
              <w:rPr>
                <w:rFonts w:ascii="宋体" w:hAnsi="宋体" w:cs="宋体"/>
                <w:sz w:val="24"/>
              </w:rPr>
            </w:pPr>
            <w:r>
              <w:rPr>
                <w:rFonts w:hint="eastAsia" w:ascii="宋体" w:hAnsi="宋体" w:cs="宋体"/>
                <w:sz w:val="24"/>
              </w:rPr>
              <w:t>符合公安部《1GA450-2003台式居民身份证阅读器通用技术要求第1号修改单》标准，内嵌专用安全模块</w:t>
            </w:r>
          </w:p>
          <w:p>
            <w:pPr>
              <w:widowControl/>
              <w:textAlignment w:val="center"/>
              <w:rPr>
                <w:rFonts w:ascii="宋体" w:hAnsi="宋体" w:cs="宋体"/>
                <w:sz w:val="24"/>
              </w:rPr>
            </w:pPr>
            <w:r>
              <w:rPr>
                <w:rFonts w:hint="eastAsia" w:ascii="宋体" w:hAnsi="宋体" w:cs="宋体"/>
                <w:sz w:val="24"/>
              </w:rPr>
              <w:t>符合《GA467-2004 居民身份证验证安全控制模块接口技术规范 》</w:t>
            </w:r>
          </w:p>
          <w:p>
            <w:pPr>
              <w:widowControl/>
              <w:textAlignment w:val="center"/>
              <w:rPr>
                <w:rFonts w:ascii="宋体" w:hAnsi="宋体" w:cs="宋体"/>
                <w:sz w:val="24"/>
              </w:rPr>
            </w:pPr>
            <w:r>
              <w:rPr>
                <w:rFonts w:hint="eastAsia" w:ascii="宋体" w:hAnsi="宋体" w:cs="宋体"/>
                <w:sz w:val="24"/>
              </w:rPr>
              <w:t>符合《GA490-2004 居民身份证机读信息规范》标准符合非接触IC卡 ISO14443（TypeB）非接触卡国家标准</w:t>
            </w:r>
          </w:p>
          <w:p>
            <w:pPr>
              <w:widowControl/>
              <w:textAlignment w:val="center"/>
              <w:rPr>
                <w:rFonts w:ascii="宋体" w:hAnsi="宋体" w:cs="宋体"/>
                <w:sz w:val="24"/>
              </w:rPr>
            </w:pPr>
            <w:r>
              <w:rPr>
                <w:rFonts w:hint="eastAsia" w:ascii="宋体" w:hAnsi="宋体" w:cs="宋体"/>
                <w:sz w:val="24"/>
              </w:rPr>
              <w:t>读卡时间：≤1秒</w:t>
            </w:r>
          </w:p>
          <w:p>
            <w:pPr>
              <w:widowControl/>
              <w:textAlignment w:val="center"/>
              <w:rPr>
                <w:rFonts w:ascii="宋体" w:hAnsi="宋体" w:cs="宋体"/>
                <w:sz w:val="24"/>
              </w:rPr>
            </w:pPr>
            <w:r>
              <w:rPr>
                <w:rFonts w:hint="eastAsia" w:ascii="宋体" w:hAnsi="宋体" w:cs="宋体"/>
                <w:sz w:val="24"/>
              </w:rPr>
              <w:t>感应区域面积：≥120mm*100mm；</w:t>
            </w:r>
          </w:p>
          <w:p>
            <w:pPr>
              <w:widowControl/>
              <w:textAlignment w:val="center"/>
              <w:rPr>
                <w:rFonts w:ascii="宋体" w:hAnsi="宋体" w:cs="宋体"/>
                <w:sz w:val="24"/>
              </w:rPr>
            </w:pPr>
            <w:r>
              <w:rPr>
                <w:rFonts w:hint="eastAsia" w:ascii="宋体" w:hAnsi="宋体" w:cs="宋体"/>
                <w:sz w:val="24"/>
              </w:rPr>
              <w:t>读卡距离：0~50mm ,读卡角度：0~70度</w:t>
            </w:r>
          </w:p>
          <w:p>
            <w:pPr>
              <w:widowControl/>
              <w:textAlignment w:val="center"/>
              <w:rPr>
                <w:rFonts w:ascii="宋体" w:hAnsi="宋体" w:cs="宋体"/>
                <w:sz w:val="24"/>
              </w:rPr>
            </w:pPr>
            <w:r>
              <w:rPr>
                <w:rFonts w:hint="eastAsia" w:ascii="宋体" w:hAnsi="宋体" w:cs="宋体"/>
                <w:sz w:val="24"/>
              </w:rPr>
              <w:t>通信接口：RS232或USB  自动识别</w:t>
            </w:r>
          </w:p>
          <w:p>
            <w:pPr>
              <w:widowControl/>
              <w:textAlignment w:val="center"/>
              <w:rPr>
                <w:rFonts w:ascii="宋体" w:hAnsi="宋体" w:cs="宋体"/>
                <w:sz w:val="24"/>
              </w:rPr>
            </w:pPr>
            <w:r>
              <w:rPr>
                <w:rFonts w:hint="eastAsia" w:ascii="宋体" w:hAnsi="宋体" w:cs="宋体"/>
                <w:sz w:val="24"/>
              </w:rPr>
              <w:t>断电保护：具备掉电、过流、过压、短路、极性反接等保护措施。当电压恢复正常时，能自动恢复正常工作状态</w:t>
            </w:r>
          </w:p>
          <w:p>
            <w:pPr>
              <w:widowControl/>
              <w:textAlignment w:val="center"/>
              <w:rPr>
                <w:rFonts w:ascii="宋体" w:hAnsi="宋体" w:cs="宋体"/>
                <w:sz w:val="24"/>
              </w:rPr>
            </w:pPr>
            <w:r>
              <w:rPr>
                <w:rFonts w:hint="eastAsia" w:ascii="宋体" w:hAnsi="宋体" w:cs="宋体"/>
                <w:sz w:val="24"/>
              </w:rPr>
              <w:t>可靠性：MTBF ≥ 30000小时</w:t>
            </w:r>
          </w:p>
          <w:p>
            <w:pPr>
              <w:widowControl/>
              <w:textAlignment w:val="center"/>
              <w:rPr>
                <w:rFonts w:ascii="宋体" w:hAnsi="宋体" w:cs="宋体"/>
                <w:sz w:val="24"/>
              </w:rPr>
            </w:pPr>
            <w:r>
              <w:rPr>
                <w:rFonts w:hint="eastAsia" w:ascii="宋体" w:hAnsi="宋体" w:cs="宋体"/>
                <w:sz w:val="24"/>
              </w:rPr>
              <w:t>供电：通过计算机的USB接口</w:t>
            </w:r>
          </w:p>
          <w:p>
            <w:pPr>
              <w:widowControl/>
              <w:textAlignment w:val="center"/>
              <w:rPr>
                <w:rFonts w:ascii="宋体" w:hAnsi="宋体" w:cs="宋体"/>
                <w:sz w:val="24"/>
              </w:rPr>
            </w:pPr>
            <w:r>
              <w:rPr>
                <w:rFonts w:hint="eastAsia" w:ascii="宋体" w:hAnsi="宋体" w:cs="宋体"/>
                <w:sz w:val="24"/>
              </w:rPr>
              <w:t>符合 GB/T 2423-2001 标准规定</w:t>
            </w:r>
          </w:p>
          <w:p>
            <w:pPr>
              <w:widowControl/>
              <w:textAlignment w:val="center"/>
              <w:rPr>
                <w:rFonts w:ascii="宋体" w:hAnsi="宋体" w:cs="宋体"/>
                <w:sz w:val="24"/>
              </w:rPr>
            </w:pPr>
            <w:r>
              <w:rPr>
                <w:rFonts w:hint="eastAsia" w:ascii="宋体" w:hAnsi="宋体" w:cs="宋体"/>
                <w:sz w:val="24"/>
              </w:rPr>
              <w:t>功耗：读卡时≤1.25瓦</w:t>
            </w:r>
          </w:p>
          <w:p>
            <w:pPr>
              <w:widowControl/>
              <w:textAlignment w:val="center"/>
              <w:rPr>
                <w:rFonts w:ascii="宋体" w:hAnsi="宋体" w:cs="宋体"/>
                <w:sz w:val="24"/>
              </w:rPr>
            </w:pPr>
            <w:r>
              <w:rPr>
                <w:rFonts w:hint="eastAsia" w:ascii="宋体" w:hAnsi="宋体" w:cs="宋体"/>
                <w:sz w:val="24"/>
              </w:rPr>
              <w:t>透明灯光板指示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7" w:hRule="atLeast"/>
        </w:trPr>
        <w:tc>
          <w:tcPr>
            <w:tcW w:w="1418" w:type="dxa"/>
            <w:noWrap w:val="0"/>
            <w:vAlign w:val="center"/>
          </w:tcPr>
          <w:p>
            <w:pPr>
              <w:widowControl/>
              <w:textAlignment w:val="center"/>
              <w:rPr>
                <w:rFonts w:ascii="宋体" w:hAnsi="宋体" w:cs="宋体"/>
                <w:sz w:val="24"/>
              </w:rPr>
            </w:pPr>
            <w:r>
              <w:rPr>
                <w:rFonts w:hint="eastAsia" w:ascii="宋体" w:hAnsi="宋体" w:cs="宋体"/>
                <w:sz w:val="24"/>
              </w:rPr>
              <w:t>社保卡读卡器</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可读取符合当地人力资源社会保障部社保卡规范的社会保障卡信息</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7" w:hRule="atLeast"/>
        </w:trPr>
        <w:tc>
          <w:tcPr>
            <w:tcW w:w="1418" w:type="dxa"/>
            <w:noWrap w:val="0"/>
            <w:vAlign w:val="center"/>
          </w:tcPr>
          <w:p>
            <w:pPr>
              <w:widowControl/>
              <w:textAlignment w:val="center"/>
              <w:rPr>
                <w:rFonts w:ascii="宋体" w:hAnsi="宋体" w:cs="宋体"/>
                <w:sz w:val="24"/>
              </w:rPr>
            </w:pPr>
            <w:r>
              <w:rPr>
                <w:rFonts w:hint="eastAsia" w:ascii="宋体" w:hAnsi="宋体" w:cs="宋体"/>
                <w:sz w:val="24"/>
              </w:rPr>
              <w:t>就诊卡读卡器</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电动式进卡，带安全闸门，防止异物插入。卡位置检测: 光电检测；电动保护闸门：磁感应电动式；掉电吐卡功能：支持；收卡功能：有；走卡速度：&gt;100mm/秒；寿命：磁头≥80万次、IC触点≥50万次；卡盒可存放≥20张磁卡(用于吞卡)；，装异型接口；卡喉设计：露出的取卡部分不少于卡片的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7" w:hRule="atLeast"/>
        </w:trPr>
        <w:tc>
          <w:tcPr>
            <w:tcW w:w="1418" w:type="dxa"/>
            <w:noWrap w:val="0"/>
            <w:vAlign w:val="center"/>
          </w:tcPr>
          <w:p>
            <w:pPr>
              <w:widowControl/>
              <w:textAlignment w:val="center"/>
              <w:rPr>
                <w:rFonts w:ascii="宋体" w:hAnsi="宋体" w:cs="宋体"/>
                <w:sz w:val="24"/>
              </w:rPr>
            </w:pPr>
            <w:r>
              <w:rPr>
                <w:rFonts w:hint="eastAsia" w:ascii="宋体" w:hAnsi="宋体" w:cs="宋体"/>
                <w:sz w:val="24"/>
              </w:rPr>
              <w:t>银行卡电动读卡器</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读卡方式：电动式</w:t>
            </w:r>
          </w:p>
          <w:p>
            <w:pPr>
              <w:widowControl/>
              <w:textAlignment w:val="center"/>
              <w:rPr>
                <w:rFonts w:ascii="宋体" w:hAnsi="宋体" w:cs="宋体"/>
                <w:sz w:val="24"/>
              </w:rPr>
            </w:pPr>
            <w:r>
              <w:rPr>
                <w:rFonts w:hint="eastAsia" w:ascii="宋体" w:hAnsi="宋体" w:cs="宋体"/>
                <w:sz w:val="24"/>
              </w:rPr>
              <w:t>支持银联卡</w:t>
            </w:r>
          </w:p>
          <w:p>
            <w:pPr>
              <w:widowControl/>
              <w:textAlignment w:val="center"/>
              <w:rPr>
                <w:rFonts w:ascii="宋体" w:hAnsi="宋体" w:cs="宋体"/>
                <w:sz w:val="24"/>
              </w:rPr>
            </w:pPr>
            <w:r>
              <w:rPr>
                <w:rFonts w:hint="eastAsia" w:ascii="宋体" w:hAnsi="宋体" w:cs="宋体"/>
                <w:sz w:val="24"/>
              </w:rPr>
              <w:t>支持三合一读卡：IC卡/RF卡读写，磁卡只读，支持掉电弹卡，PSAM卡板选择；有效的防尘、防异物卡扣设计；兼容多种通讯协议；银行PBOC3.0&amp;EMV认证；卡片类型：磁卡：ISO7810 ID-1、7811，IC卡：ISO7816-2，支持T=0、T=1 CPU卡，支持 T=0、T=1 SIM卡，RF卡：支持ISO14443 TYPE A＆B，支持 Mifare S50、S70、UL卡。</w:t>
            </w:r>
          </w:p>
          <w:p>
            <w:pPr>
              <w:widowControl/>
              <w:textAlignment w:val="center"/>
              <w:rPr>
                <w:rFonts w:ascii="宋体" w:hAnsi="宋体" w:cs="宋体"/>
                <w:sz w:val="24"/>
              </w:rPr>
            </w:pPr>
            <w:r>
              <w:rPr>
                <w:rFonts w:hint="eastAsia" w:ascii="宋体" w:hAnsi="宋体" w:cs="宋体"/>
                <w:sz w:val="24"/>
              </w:rPr>
              <w:t>符合合作银行读卡标准。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rPr>
                <w:rFonts w:ascii="宋体" w:hAnsi="宋体" w:cs="宋体"/>
                <w:sz w:val="24"/>
              </w:rPr>
            </w:pPr>
            <w:r>
              <w:rPr>
                <w:rFonts w:hint="eastAsia" w:ascii="宋体" w:hAnsi="宋体" w:cs="宋体"/>
                <w:sz w:val="24"/>
              </w:rPr>
              <w:t>热敏凭条打印机</w:t>
            </w:r>
          </w:p>
        </w:tc>
        <w:tc>
          <w:tcPr>
            <w:tcW w:w="7938" w:type="dxa"/>
            <w:noWrap w:val="0"/>
            <w:vAlign w:val="center"/>
          </w:tcPr>
          <w:p>
            <w:pPr>
              <w:rPr>
                <w:rFonts w:ascii="宋体" w:hAnsi="宋体" w:cs="宋体"/>
                <w:sz w:val="24"/>
              </w:rPr>
            </w:pPr>
            <w:r>
              <w:rPr>
                <w:rFonts w:hint="eastAsia" w:ascii="宋体" w:hAnsi="宋体" w:cs="宋体"/>
                <w:sz w:val="24"/>
              </w:rPr>
              <w:t>打印方式</w:t>
            </w:r>
            <w:r>
              <w:rPr>
                <w:rFonts w:hint="eastAsia" w:ascii="宋体" w:hAnsi="宋体" w:cs="宋体"/>
                <w:sz w:val="24"/>
              </w:rPr>
              <w:tab/>
            </w:r>
            <w:r>
              <w:rPr>
                <w:rFonts w:hint="eastAsia" w:ascii="宋体" w:hAnsi="宋体" w:cs="宋体"/>
                <w:sz w:val="24"/>
              </w:rPr>
              <w:t>行式热敏打印</w:t>
            </w:r>
          </w:p>
          <w:p>
            <w:pPr>
              <w:rPr>
                <w:rFonts w:ascii="宋体" w:hAnsi="宋体" w:cs="宋体"/>
                <w:sz w:val="24"/>
              </w:rPr>
            </w:pPr>
            <w:r>
              <w:rPr>
                <w:rFonts w:hint="eastAsia" w:ascii="宋体" w:hAnsi="宋体" w:cs="宋体"/>
                <w:sz w:val="24"/>
              </w:rPr>
              <w:t>点阵</w:t>
            </w:r>
            <w:r>
              <w:rPr>
                <w:rFonts w:hint="eastAsia" w:ascii="宋体" w:hAnsi="宋体" w:cs="宋体"/>
                <w:sz w:val="24"/>
              </w:rPr>
              <w:tab/>
            </w:r>
            <w:r>
              <w:rPr>
                <w:rFonts w:hint="eastAsia" w:ascii="宋体" w:hAnsi="宋体" w:cs="宋体"/>
                <w:sz w:val="24"/>
              </w:rPr>
              <w:t>640dots</w:t>
            </w:r>
          </w:p>
          <w:p>
            <w:pPr>
              <w:rPr>
                <w:rFonts w:ascii="宋体" w:hAnsi="宋体" w:cs="宋体"/>
                <w:sz w:val="24"/>
              </w:rPr>
            </w:pPr>
            <w:r>
              <w:rPr>
                <w:rFonts w:hint="eastAsia" w:ascii="宋体" w:hAnsi="宋体" w:cs="宋体"/>
                <w:sz w:val="24"/>
              </w:rPr>
              <w:t>打印速度</w:t>
            </w:r>
            <w:r>
              <w:rPr>
                <w:rFonts w:hint="eastAsia" w:ascii="宋体" w:hAnsi="宋体" w:cs="宋体"/>
                <w:sz w:val="24"/>
              </w:rPr>
              <w:tab/>
            </w:r>
            <w:r>
              <w:rPr>
                <w:rFonts w:hint="eastAsia" w:ascii="宋体" w:hAnsi="宋体" w:cs="宋体"/>
                <w:sz w:val="24"/>
              </w:rPr>
              <w:t>≥250mm/s</w:t>
            </w:r>
          </w:p>
          <w:p>
            <w:pPr>
              <w:rPr>
                <w:rFonts w:ascii="宋体" w:hAnsi="宋体" w:cs="宋体"/>
                <w:sz w:val="24"/>
              </w:rPr>
            </w:pPr>
            <w:r>
              <w:rPr>
                <w:rFonts w:hint="eastAsia" w:ascii="宋体" w:hAnsi="宋体" w:cs="宋体"/>
                <w:sz w:val="24"/>
              </w:rPr>
              <w:t>打印宽度</w:t>
            </w:r>
            <w:r>
              <w:rPr>
                <w:rFonts w:hint="eastAsia" w:ascii="宋体" w:hAnsi="宋体" w:cs="宋体"/>
                <w:sz w:val="24"/>
              </w:rPr>
              <w:tab/>
            </w:r>
            <w:r>
              <w:rPr>
                <w:rFonts w:hint="eastAsia" w:ascii="宋体" w:hAnsi="宋体" w:cs="宋体"/>
                <w:sz w:val="24"/>
              </w:rPr>
              <w:t xml:space="preserve">≥80mm </w:t>
            </w:r>
          </w:p>
          <w:p>
            <w:pPr>
              <w:rPr>
                <w:rFonts w:ascii="宋体" w:hAnsi="宋体" w:cs="宋体"/>
                <w:sz w:val="24"/>
              </w:rPr>
            </w:pPr>
            <w:r>
              <w:rPr>
                <w:rFonts w:hint="eastAsia" w:ascii="宋体" w:hAnsi="宋体" w:cs="宋体"/>
                <w:sz w:val="24"/>
              </w:rPr>
              <w:t>纸宽</w:t>
            </w:r>
            <w:r>
              <w:rPr>
                <w:rFonts w:hint="eastAsia" w:ascii="宋体" w:hAnsi="宋体" w:cs="宋体"/>
                <w:sz w:val="24"/>
              </w:rPr>
              <w:tab/>
            </w:r>
            <w:r>
              <w:rPr>
                <w:rFonts w:hint="eastAsia" w:ascii="宋体" w:hAnsi="宋体" w:cs="宋体"/>
                <w:sz w:val="24"/>
              </w:rPr>
              <w:t>≥80mm</w:t>
            </w:r>
          </w:p>
          <w:p>
            <w:pPr>
              <w:rPr>
                <w:rFonts w:ascii="宋体" w:hAnsi="宋体" w:cs="宋体"/>
                <w:sz w:val="24"/>
              </w:rPr>
            </w:pPr>
            <w:r>
              <w:rPr>
                <w:rFonts w:hint="eastAsia" w:ascii="宋体" w:hAnsi="宋体" w:cs="宋体"/>
                <w:sz w:val="24"/>
              </w:rPr>
              <w:t>纸厚</w:t>
            </w:r>
            <w:r>
              <w:rPr>
                <w:rFonts w:hint="eastAsia" w:ascii="宋体" w:hAnsi="宋体" w:cs="宋体"/>
                <w:sz w:val="24"/>
              </w:rPr>
              <w:tab/>
            </w:r>
            <w:r>
              <w:rPr>
                <w:rFonts w:hint="eastAsia" w:ascii="宋体" w:hAnsi="宋体" w:cs="宋体"/>
                <w:sz w:val="24"/>
              </w:rPr>
              <w:t>60 ~150um</w:t>
            </w:r>
          </w:p>
          <w:p>
            <w:pPr>
              <w:rPr>
                <w:rFonts w:ascii="宋体" w:hAnsi="宋体" w:cs="宋体"/>
                <w:sz w:val="24"/>
              </w:rPr>
            </w:pPr>
            <w:r>
              <w:rPr>
                <w:rFonts w:hint="eastAsia" w:ascii="宋体" w:hAnsi="宋体" w:cs="宋体"/>
                <w:sz w:val="24"/>
              </w:rPr>
              <w:t>可装入纸卷</w:t>
            </w:r>
            <w:r>
              <w:rPr>
                <w:rFonts w:hint="eastAsia" w:ascii="宋体" w:hAnsi="宋体" w:cs="宋体"/>
                <w:sz w:val="24"/>
              </w:rPr>
              <w:tab/>
            </w:r>
            <w:r>
              <w:rPr>
                <w:rFonts w:hint="eastAsia" w:ascii="宋体" w:hAnsi="宋体" w:cs="宋体"/>
                <w:sz w:val="24"/>
              </w:rPr>
              <w:t>≥Ø150mm</w:t>
            </w:r>
          </w:p>
          <w:p>
            <w:pPr>
              <w:rPr>
                <w:rFonts w:ascii="宋体" w:hAnsi="宋体" w:cs="宋体"/>
                <w:sz w:val="24"/>
              </w:rPr>
            </w:pPr>
            <w:r>
              <w:rPr>
                <w:rFonts w:hint="eastAsia" w:ascii="宋体" w:hAnsi="宋体" w:cs="宋体"/>
                <w:sz w:val="24"/>
              </w:rPr>
              <w:t>进纸方式</w:t>
            </w:r>
            <w:r>
              <w:rPr>
                <w:rFonts w:hint="eastAsia" w:ascii="宋体" w:hAnsi="宋体" w:cs="宋体"/>
                <w:sz w:val="24"/>
              </w:rPr>
              <w:tab/>
            </w:r>
            <w:r>
              <w:rPr>
                <w:rFonts w:hint="eastAsia" w:ascii="宋体" w:hAnsi="宋体" w:cs="宋体"/>
                <w:sz w:val="24"/>
              </w:rPr>
              <w:t>自动进纸( 水平180°)</w:t>
            </w:r>
          </w:p>
          <w:p>
            <w:pPr>
              <w:rPr>
                <w:rFonts w:ascii="宋体" w:hAnsi="宋体" w:cs="宋体"/>
                <w:sz w:val="24"/>
              </w:rPr>
            </w:pPr>
            <w:r>
              <w:rPr>
                <w:rFonts w:hint="eastAsia" w:ascii="宋体" w:hAnsi="宋体" w:cs="宋体"/>
                <w:sz w:val="24"/>
              </w:rPr>
              <w:t>切纸方式</w:t>
            </w:r>
            <w:r>
              <w:rPr>
                <w:rFonts w:hint="eastAsia" w:ascii="宋体" w:hAnsi="宋体" w:cs="宋体"/>
                <w:sz w:val="24"/>
              </w:rPr>
              <w:tab/>
            </w:r>
            <w:r>
              <w:rPr>
                <w:rFonts w:hint="eastAsia" w:ascii="宋体" w:hAnsi="宋体" w:cs="宋体"/>
                <w:sz w:val="24"/>
              </w:rPr>
              <w:t>全切/半切</w:t>
            </w:r>
          </w:p>
          <w:p>
            <w:pPr>
              <w:rPr>
                <w:rFonts w:ascii="宋体" w:hAnsi="宋体" w:cs="宋体"/>
                <w:sz w:val="24"/>
              </w:rPr>
            </w:pPr>
            <w:r>
              <w:rPr>
                <w:rFonts w:hint="eastAsia" w:ascii="宋体" w:hAnsi="宋体" w:cs="宋体"/>
                <w:sz w:val="24"/>
              </w:rPr>
              <w:t>打印长度</w:t>
            </w:r>
            <w:r>
              <w:rPr>
                <w:rFonts w:hint="eastAsia" w:ascii="宋体" w:hAnsi="宋体" w:cs="宋体"/>
                <w:sz w:val="24"/>
              </w:rPr>
              <w:tab/>
            </w:r>
            <w:r>
              <w:rPr>
                <w:rFonts w:hint="eastAsia" w:ascii="宋体" w:hAnsi="宋体" w:cs="宋体"/>
                <w:sz w:val="24"/>
              </w:rPr>
              <w:t>≥100KM</w:t>
            </w:r>
          </w:p>
          <w:p>
            <w:pPr>
              <w:rPr>
                <w:rFonts w:ascii="宋体" w:hAnsi="宋体" w:cs="宋体"/>
                <w:sz w:val="24"/>
              </w:rPr>
            </w:pPr>
            <w:r>
              <w:rPr>
                <w:rFonts w:hint="eastAsia" w:ascii="宋体" w:hAnsi="宋体" w:cs="宋体"/>
                <w:sz w:val="24"/>
              </w:rPr>
              <w:t>打印格式</w:t>
            </w:r>
            <w:r>
              <w:rPr>
                <w:rFonts w:hint="eastAsia" w:ascii="宋体" w:hAnsi="宋体" w:cs="宋体"/>
                <w:sz w:val="24"/>
              </w:rPr>
              <w:tab/>
            </w:r>
            <w:r>
              <w:rPr>
                <w:rFonts w:hint="eastAsia" w:ascii="宋体" w:hAnsi="宋体" w:cs="宋体"/>
                <w:sz w:val="24"/>
              </w:rPr>
              <w:t>反白、下划线、斜体、粗体等</w:t>
            </w:r>
          </w:p>
          <w:p>
            <w:pPr>
              <w:rPr>
                <w:rFonts w:ascii="宋体" w:hAnsi="宋体" w:cs="宋体"/>
                <w:sz w:val="24"/>
              </w:rPr>
            </w:pPr>
            <w:r>
              <w:rPr>
                <w:rFonts w:hint="eastAsia" w:ascii="宋体" w:hAnsi="宋体" w:cs="宋体"/>
                <w:sz w:val="24"/>
              </w:rPr>
              <w:t>切刀寿命</w:t>
            </w:r>
            <w:r>
              <w:rPr>
                <w:rFonts w:hint="eastAsia" w:ascii="宋体" w:hAnsi="宋体" w:cs="宋体"/>
                <w:sz w:val="24"/>
              </w:rPr>
              <w:tab/>
            </w:r>
            <w:r>
              <w:rPr>
                <w:rFonts w:hint="eastAsia" w:ascii="宋体" w:hAnsi="宋体" w:cs="宋体"/>
                <w:sz w:val="24"/>
              </w:rPr>
              <w:t>100万次</w:t>
            </w:r>
          </w:p>
          <w:p>
            <w:pPr>
              <w:rPr>
                <w:rFonts w:ascii="宋体" w:hAnsi="宋体" w:cs="宋体"/>
                <w:sz w:val="24"/>
              </w:rPr>
            </w:pPr>
            <w:r>
              <w:rPr>
                <w:rFonts w:hint="eastAsia" w:ascii="宋体" w:hAnsi="宋体" w:cs="宋体"/>
                <w:sz w:val="24"/>
              </w:rPr>
              <w:t>打印波特率</w:t>
            </w:r>
            <w:r>
              <w:rPr>
                <w:rFonts w:hint="eastAsia" w:ascii="宋体" w:hAnsi="宋体" w:cs="宋体"/>
                <w:sz w:val="24"/>
              </w:rPr>
              <w:tab/>
            </w:r>
            <w:r>
              <w:rPr>
                <w:rFonts w:hint="eastAsia" w:ascii="宋体" w:hAnsi="宋体" w:cs="宋体"/>
                <w:sz w:val="24"/>
              </w:rPr>
              <w:t>9600、19200、38400、115200</w:t>
            </w:r>
          </w:p>
          <w:p>
            <w:pPr>
              <w:rPr>
                <w:rFonts w:ascii="宋体" w:hAnsi="宋体" w:cs="宋体"/>
                <w:sz w:val="24"/>
              </w:rPr>
            </w:pPr>
            <w:r>
              <w:rPr>
                <w:rFonts w:hint="eastAsia" w:ascii="宋体" w:hAnsi="宋体" w:cs="宋体"/>
                <w:sz w:val="24"/>
              </w:rPr>
              <w:t>单张打印最短长度</w:t>
            </w:r>
            <w:r>
              <w:rPr>
                <w:rFonts w:hint="eastAsia" w:ascii="宋体" w:hAnsi="宋体" w:cs="宋体"/>
                <w:sz w:val="24"/>
              </w:rPr>
              <w:tab/>
            </w:r>
            <w:r>
              <w:rPr>
                <w:rFonts w:hint="eastAsia" w:ascii="宋体" w:hAnsi="宋体" w:cs="宋体"/>
                <w:sz w:val="24"/>
              </w:rPr>
              <w:t>80mm</w:t>
            </w:r>
          </w:p>
          <w:p>
            <w:pPr>
              <w:rPr>
                <w:rFonts w:ascii="宋体" w:hAnsi="宋体" w:cs="宋体"/>
                <w:sz w:val="24"/>
              </w:rPr>
            </w:pPr>
            <w:r>
              <w:rPr>
                <w:rFonts w:hint="eastAsia" w:ascii="宋体" w:hAnsi="宋体" w:cs="宋体"/>
                <w:sz w:val="24"/>
              </w:rPr>
              <w:t>ASCII</w:t>
            </w:r>
            <w:r>
              <w:rPr>
                <w:rFonts w:hint="eastAsia" w:ascii="宋体" w:hAnsi="宋体" w:cs="宋体"/>
                <w:sz w:val="24"/>
              </w:rPr>
              <w:tab/>
            </w:r>
            <w:r>
              <w:rPr>
                <w:rFonts w:hint="eastAsia" w:ascii="宋体" w:hAnsi="宋体" w:cs="宋体"/>
                <w:sz w:val="24"/>
              </w:rPr>
              <w:t>9*17、12*24</w:t>
            </w:r>
          </w:p>
          <w:p>
            <w:pPr>
              <w:rPr>
                <w:rFonts w:ascii="宋体" w:hAnsi="宋体" w:cs="宋体"/>
                <w:sz w:val="24"/>
              </w:rPr>
            </w:pPr>
            <w:r>
              <w:rPr>
                <w:rFonts w:hint="eastAsia" w:ascii="宋体" w:hAnsi="宋体" w:cs="宋体"/>
                <w:sz w:val="24"/>
              </w:rPr>
              <w:t>Chinese</w:t>
            </w:r>
            <w:r>
              <w:rPr>
                <w:rFonts w:hint="eastAsia" w:ascii="宋体" w:hAnsi="宋体" w:cs="宋体"/>
                <w:sz w:val="24"/>
              </w:rPr>
              <w:tab/>
            </w:r>
            <w:r>
              <w:rPr>
                <w:rFonts w:hint="eastAsia" w:ascii="宋体" w:hAnsi="宋体" w:cs="宋体"/>
                <w:sz w:val="24"/>
              </w:rPr>
              <w:t>24*24 、16 * 16</w:t>
            </w:r>
          </w:p>
          <w:p>
            <w:pPr>
              <w:rPr>
                <w:rFonts w:ascii="宋体" w:hAnsi="宋体" w:cs="宋体"/>
                <w:sz w:val="24"/>
              </w:rPr>
            </w:pPr>
            <w:r>
              <w:rPr>
                <w:rFonts w:hint="eastAsia" w:ascii="宋体" w:hAnsi="宋体" w:cs="宋体"/>
                <w:sz w:val="24"/>
              </w:rPr>
              <w:t>打印头温度</w:t>
            </w:r>
            <w:r>
              <w:rPr>
                <w:rFonts w:hint="eastAsia" w:ascii="宋体" w:hAnsi="宋体" w:cs="宋体"/>
                <w:sz w:val="24"/>
              </w:rPr>
              <w:tab/>
            </w:r>
            <w:r>
              <w:rPr>
                <w:rFonts w:hint="eastAsia" w:ascii="宋体" w:hAnsi="宋体" w:cs="宋体"/>
                <w:sz w:val="24"/>
              </w:rPr>
              <w:t>温度传感器</w:t>
            </w:r>
          </w:p>
          <w:p>
            <w:pPr>
              <w:rPr>
                <w:rFonts w:ascii="宋体" w:hAnsi="宋体" w:cs="宋体"/>
                <w:sz w:val="24"/>
              </w:rPr>
            </w:pPr>
            <w:r>
              <w:rPr>
                <w:rFonts w:hint="eastAsia" w:ascii="宋体" w:hAnsi="宋体" w:cs="宋体"/>
                <w:sz w:val="24"/>
              </w:rPr>
              <w:t>抬杆检测</w:t>
            </w:r>
            <w:r>
              <w:rPr>
                <w:rFonts w:hint="eastAsia" w:ascii="宋体" w:hAnsi="宋体" w:cs="宋体"/>
                <w:sz w:val="24"/>
              </w:rPr>
              <w:tab/>
            </w:r>
            <w:r>
              <w:rPr>
                <w:rFonts w:hint="eastAsia" w:ascii="宋体" w:hAnsi="宋体" w:cs="宋体"/>
                <w:sz w:val="24"/>
              </w:rPr>
              <w:t>微动开关</w:t>
            </w:r>
          </w:p>
          <w:p>
            <w:pPr>
              <w:rPr>
                <w:rFonts w:ascii="宋体" w:hAnsi="宋体" w:cs="宋体"/>
                <w:sz w:val="24"/>
              </w:rPr>
            </w:pPr>
            <w:r>
              <w:rPr>
                <w:rFonts w:hint="eastAsia" w:ascii="宋体" w:hAnsi="宋体" w:cs="宋体"/>
                <w:sz w:val="24"/>
              </w:rPr>
              <w:t>有纸检测、出纸检测：机械式光电传感器</w:t>
            </w:r>
          </w:p>
          <w:p>
            <w:pPr>
              <w:rPr>
                <w:rFonts w:ascii="宋体" w:hAnsi="宋体" w:cs="宋体"/>
                <w:sz w:val="24"/>
              </w:rPr>
            </w:pPr>
            <w:r>
              <w:rPr>
                <w:rFonts w:hint="eastAsia" w:ascii="宋体" w:hAnsi="宋体" w:cs="宋体"/>
                <w:sz w:val="24"/>
              </w:rPr>
              <w:t>纸将尽检测、黑标检测、过刀纸检测：反射式光电传感器</w:t>
            </w:r>
          </w:p>
          <w:p>
            <w:pPr>
              <w:pStyle w:val="48"/>
              <w:spacing w:line="240" w:lineRule="auto"/>
              <w:rPr>
                <w:rFonts w:cs="宋体"/>
              </w:rPr>
            </w:pPr>
            <w:r>
              <w:rPr>
                <w:rFonts w:hint="eastAsia" w:cs="宋体"/>
              </w:rPr>
              <w:t>探缝检测(发射、接收)</w:t>
            </w:r>
            <w:r>
              <w:rPr>
                <w:rFonts w:hint="eastAsia" w:cs="宋体"/>
              </w:rPr>
              <w:tab/>
            </w:r>
            <w:r>
              <w:rPr>
                <w:rFonts w:hint="eastAsia" w:cs="宋体"/>
              </w:rPr>
              <w:t>、拽纸检测</w:t>
            </w:r>
            <w:r>
              <w:rPr>
                <w:rFonts w:hint="eastAsia" w:cs="宋体"/>
              </w:rPr>
              <w:tab/>
            </w:r>
            <w:r>
              <w:rPr>
                <w:rFonts w:hint="eastAsia" w:cs="宋体"/>
              </w:rPr>
              <w:t>、堵纸检测：对射式光电传感器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rPr>
                <w:rFonts w:ascii="宋体" w:hAnsi="宋体" w:cs="宋体"/>
                <w:sz w:val="24"/>
              </w:rPr>
            </w:pPr>
            <w:r>
              <w:rPr>
                <w:rFonts w:hint="eastAsia" w:ascii="宋体" w:hAnsi="宋体" w:cs="宋体"/>
                <w:sz w:val="24"/>
              </w:rPr>
              <w:t>热敏打印机（支持打印A</w:t>
            </w:r>
            <w:r>
              <w:rPr>
                <w:rFonts w:ascii="宋体" w:hAnsi="宋体" w:cs="宋体"/>
                <w:sz w:val="24"/>
              </w:rPr>
              <w:t>4A5</w:t>
            </w:r>
            <w:r>
              <w:rPr>
                <w:rFonts w:hint="eastAsia" w:ascii="宋体" w:hAnsi="宋体" w:cs="宋体"/>
                <w:sz w:val="24"/>
              </w:rPr>
              <w:t>）</w:t>
            </w:r>
          </w:p>
        </w:tc>
        <w:tc>
          <w:tcPr>
            <w:tcW w:w="7938" w:type="dxa"/>
            <w:noWrap w:val="0"/>
            <w:vAlign w:val="center"/>
          </w:tcPr>
          <w:p>
            <w:pPr>
              <w:rPr>
                <w:rFonts w:ascii="宋体" w:hAnsi="宋体" w:cs="宋体"/>
                <w:sz w:val="24"/>
              </w:rPr>
            </w:pPr>
            <w:r>
              <w:rPr>
                <w:rFonts w:hint="eastAsia" w:ascii="宋体" w:hAnsi="宋体" w:cs="宋体"/>
                <w:sz w:val="24"/>
              </w:rPr>
              <w:t>打印方式：行式热敏打印</w:t>
            </w:r>
          </w:p>
          <w:p>
            <w:pPr>
              <w:rPr>
                <w:rFonts w:ascii="宋体" w:hAnsi="宋体" w:cs="宋体"/>
                <w:sz w:val="24"/>
              </w:rPr>
            </w:pPr>
            <w:r>
              <w:rPr>
                <w:rFonts w:ascii="宋体" w:hAnsi="宋体" w:cs="宋体"/>
                <w:sz w:val="24"/>
              </w:rPr>
              <w:t>打印密度</w:t>
            </w:r>
            <w:r>
              <w:rPr>
                <w:rFonts w:hint="eastAsia" w:ascii="宋体" w:hAnsi="宋体" w:cs="宋体"/>
                <w:sz w:val="24"/>
              </w:rPr>
              <w:t>：8点/</w:t>
            </w:r>
            <w:r>
              <w:rPr>
                <w:rFonts w:ascii="宋体" w:hAnsi="宋体" w:cs="宋体"/>
                <w:sz w:val="24"/>
              </w:rPr>
              <w:t>mm(203dpi),1728点</w:t>
            </w:r>
            <w:r>
              <w:rPr>
                <w:rFonts w:hint="eastAsia" w:ascii="宋体" w:hAnsi="宋体" w:cs="宋体"/>
                <w:sz w:val="24"/>
              </w:rPr>
              <w:t>/行</w:t>
            </w:r>
          </w:p>
          <w:p>
            <w:pPr>
              <w:rPr>
                <w:rFonts w:ascii="宋体" w:hAnsi="宋体" w:cs="宋体"/>
                <w:sz w:val="24"/>
              </w:rPr>
            </w:pPr>
            <w:r>
              <w:rPr>
                <w:rFonts w:ascii="宋体" w:hAnsi="宋体" w:cs="宋体"/>
                <w:sz w:val="24"/>
              </w:rPr>
              <w:t>打印速度</w:t>
            </w:r>
            <w:r>
              <w:rPr>
                <w:rFonts w:hint="eastAsia" w:ascii="宋体" w:hAnsi="宋体" w:cs="宋体"/>
                <w:sz w:val="24"/>
              </w:rPr>
              <w:t>：</w:t>
            </w:r>
            <w:r>
              <w:rPr>
                <w:rFonts w:ascii="宋体" w:hAnsi="宋体" w:cs="宋体"/>
                <w:sz w:val="24"/>
              </w:rPr>
              <w:t>最大打印速度为</w:t>
            </w:r>
            <w:r>
              <w:rPr>
                <w:rFonts w:hint="eastAsia" w:ascii="宋体" w:hAnsi="宋体" w:cs="宋体"/>
                <w:sz w:val="24"/>
              </w:rPr>
              <w:t>1</w:t>
            </w:r>
            <w:r>
              <w:rPr>
                <w:rFonts w:ascii="宋体" w:hAnsi="宋体" w:cs="宋体"/>
                <w:sz w:val="24"/>
              </w:rPr>
              <w:t>20mm/s(节能模式</w:t>
            </w:r>
            <w:r>
              <w:rPr>
                <w:rFonts w:hint="eastAsia" w:ascii="宋体" w:hAnsi="宋体" w:cs="宋体"/>
                <w:sz w:val="24"/>
              </w:rPr>
              <w:t>;</w:t>
            </w:r>
            <w:r>
              <w:rPr>
                <w:rFonts w:ascii="宋体" w:hAnsi="宋体" w:cs="宋体"/>
                <w:sz w:val="24"/>
              </w:rPr>
              <w:t>50mm/s  Max)</w:t>
            </w:r>
          </w:p>
          <w:p>
            <w:pPr>
              <w:rPr>
                <w:rFonts w:ascii="宋体" w:hAnsi="宋体" w:cs="宋体"/>
                <w:sz w:val="24"/>
              </w:rPr>
            </w:pPr>
            <w:r>
              <w:rPr>
                <w:rFonts w:ascii="宋体" w:hAnsi="宋体" w:cs="宋体"/>
                <w:sz w:val="24"/>
              </w:rPr>
              <w:t>有效打印宽度</w:t>
            </w:r>
            <w:r>
              <w:rPr>
                <w:rFonts w:hint="eastAsia" w:ascii="宋体" w:hAnsi="宋体" w:cs="宋体"/>
                <w:sz w:val="24"/>
              </w:rPr>
              <w:t>：2</w:t>
            </w:r>
            <w:r>
              <w:rPr>
                <w:rFonts w:ascii="宋体" w:hAnsi="宋体" w:cs="宋体"/>
                <w:sz w:val="24"/>
              </w:rPr>
              <w:t>16mm</w:t>
            </w:r>
          </w:p>
          <w:p>
            <w:pPr>
              <w:rPr>
                <w:rFonts w:ascii="宋体" w:hAnsi="宋体" w:cs="宋体"/>
                <w:sz w:val="24"/>
              </w:rPr>
            </w:pPr>
            <w:r>
              <w:rPr>
                <w:rFonts w:hint="eastAsia" w:ascii="宋体" w:hAnsi="宋体" w:cs="宋体"/>
                <w:sz w:val="24"/>
              </w:rPr>
              <w:t>打印纸款：1</w:t>
            </w:r>
            <w:r>
              <w:rPr>
                <w:rFonts w:ascii="宋体" w:hAnsi="宋体" w:cs="宋体"/>
                <w:sz w:val="24"/>
              </w:rPr>
              <w:t>50</w:t>
            </w:r>
            <w:r>
              <w:rPr>
                <w:rFonts w:hint="eastAsia" w:ascii="宋体" w:hAnsi="宋体" w:cs="宋体"/>
                <w:sz w:val="24"/>
              </w:rPr>
              <w:t>~</w:t>
            </w:r>
            <w:r>
              <w:rPr>
                <w:rFonts w:ascii="宋体" w:hAnsi="宋体" w:cs="宋体"/>
                <w:sz w:val="24"/>
              </w:rPr>
              <w:t>216mm(建议)</w:t>
            </w:r>
          </w:p>
          <w:p>
            <w:pPr>
              <w:rPr>
                <w:rFonts w:ascii="宋体" w:hAnsi="宋体" w:cs="宋体"/>
                <w:sz w:val="24"/>
              </w:rPr>
            </w:pPr>
            <w:r>
              <w:rPr>
                <w:rFonts w:ascii="宋体" w:hAnsi="宋体" w:cs="宋体"/>
                <w:sz w:val="24"/>
              </w:rPr>
              <w:t>输入电压</w:t>
            </w:r>
            <w:r>
              <w:rPr>
                <w:rFonts w:hint="eastAsia" w:ascii="宋体" w:hAnsi="宋体" w:cs="宋体"/>
                <w:sz w:val="24"/>
              </w:rPr>
              <w:t>：2</w:t>
            </w:r>
            <w:r>
              <w:rPr>
                <w:rFonts w:ascii="宋体" w:hAnsi="宋体" w:cs="宋体"/>
                <w:sz w:val="24"/>
              </w:rPr>
              <w:t>4.0V-5.0A</w:t>
            </w:r>
          </w:p>
          <w:p>
            <w:pPr>
              <w:rPr>
                <w:rFonts w:ascii="宋体" w:hAnsi="宋体" w:cs="宋体"/>
                <w:sz w:val="24"/>
              </w:rPr>
            </w:pPr>
            <w:r>
              <w:rPr>
                <w:rFonts w:ascii="宋体" w:hAnsi="宋体" w:cs="宋体"/>
                <w:sz w:val="24"/>
              </w:rPr>
              <w:t>打印头寿命</w:t>
            </w:r>
            <w:r>
              <w:rPr>
                <w:rFonts w:hint="eastAsia" w:ascii="宋体" w:hAnsi="宋体" w:cs="宋体"/>
                <w:sz w:val="24"/>
              </w:rPr>
              <w:t>：5</w:t>
            </w:r>
            <w:r>
              <w:rPr>
                <w:rFonts w:ascii="宋体" w:hAnsi="宋体" w:cs="宋体"/>
                <w:sz w:val="24"/>
              </w:rPr>
              <w:t>0KM</w:t>
            </w:r>
          </w:p>
          <w:p>
            <w:pPr>
              <w:rPr>
                <w:rFonts w:ascii="宋体" w:hAnsi="宋体" w:cs="宋体"/>
                <w:sz w:val="24"/>
              </w:rPr>
            </w:pPr>
            <w:r>
              <w:rPr>
                <w:rFonts w:hint="eastAsia" w:ascii="宋体" w:hAnsi="宋体" w:cs="宋体"/>
                <w:sz w:val="24"/>
              </w:rPr>
              <w:t>U</w:t>
            </w:r>
            <w:r>
              <w:rPr>
                <w:rFonts w:ascii="宋体" w:hAnsi="宋体" w:cs="宋体"/>
                <w:sz w:val="24"/>
              </w:rPr>
              <w:t>SB接口</w:t>
            </w:r>
            <w:r>
              <w:rPr>
                <w:rFonts w:hint="eastAsia" w:ascii="宋体" w:hAnsi="宋体" w:cs="宋体"/>
                <w:sz w:val="24"/>
              </w:rPr>
              <w:t>：</w:t>
            </w:r>
            <w:r>
              <w:rPr>
                <w:rFonts w:ascii="宋体" w:hAnsi="宋体" w:cs="宋体"/>
                <w:sz w:val="24"/>
              </w:rPr>
              <w:t>标准</w:t>
            </w:r>
            <w:r>
              <w:rPr>
                <w:rFonts w:hint="eastAsia" w:ascii="宋体" w:hAnsi="宋体" w:cs="宋体"/>
                <w:sz w:val="24"/>
              </w:rPr>
              <w:t>B型U</w:t>
            </w:r>
            <w:r>
              <w:rPr>
                <w:rFonts w:ascii="宋体" w:hAnsi="宋体" w:cs="宋体"/>
                <w:sz w:val="24"/>
              </w:rPr>
              <w:t>SB接口</w:t>
            </w:r>
            <w:r>
              <w:rPr>
                <w:rFonts w:hint="eastAsia" w:ascii="宋体" w:hAnsi="宋体" w:cs="宋体"/>
                <w:sz w:val="24"/>
              </w:rPr>
              <w:t>（母口）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jc w:val="center"/>
              <w:rPr>
                <w:rFonts w:ascii="宋体" w:hAnsi="宋体" w:cs="宋体"/>
                <w:sz w:val="24"/>
              </w:rPr>
            </w:pPr>
            <w:r>
              <w:rPr>
                <w:rFonts w:hint="eastAsia" w:ascii="宋体" w:hAnsi="宋体" w:cs="宋体"/>
                <w:sz w:val="24"/>
              </w:rPr>
              <w:t>人脸识别摄像头</w:t>
            </w:r>
          </w:p>
        </w:tc>
        <w:tc>
          <w:tcPr>
            <w:tcW w:w="7938" w:type="dxa"/>
            <w:noWrap w:val="0"/>
            <w:vAlign w:val="center"/>
          </w:tcPr>
          <w:p>
            <w:pPr>
              <w:widowControl/>
              <w:textAlignment w:val="center"/>
              <w:rPr>
                <w:rFonts w:ascii="宋体" w:hAnsi="宋体" w:cs="宋体"/>
                <w:sz w:val="24"/>
              </w:rPr>
            </w:pPr>
            <w:r>
              <w:rPr>
                <w:rFonts w:ascii="宋体" w:hAnsi="宋体" w:cs="宋体"/>
                <w:sz w:val="24"/>
              </w:rPr>
              <w:t>Depth :0x06le  RGB:0x05le</w:t>
            </w:r>
          </w:p>
          <w:p>
            <w:pPr>
              <w:widowControl/>
              <w:textAlignment w:val="center"/>
              <w:rPr>
                <w:rFonts w:ascii="宋体" w:hAnsi="宋体" w:cs="宋体"/>
                <w:sz w:val="24"/>
              </w:rPr>
            </w:pPr>
            <w:r>
              <w:rPr>
                <w:rFonts w:ascii="宋体" w:hAnsi="宋体" w:cs="宋体"/>
                <w:sz w:val="24"/>
              </w:rPr>
              <w:t>Baseline   40mm</w:t>
            </w:r>
          </w:p>
          <w:p>
            <w:pPr>
              <w:widowControl/>
              <w:textAlignment w:val="center"/>
              <w:rPr>
                <w:rFonts w:ascii="宋体" w:hAnsi="宋体" w:cs="宋体"/>
                <w:sz w:val="24"/>
              </w:rPr>
            </w:pPr>
            <w:r>
              <w:rPr>
                <w:rFonts w:hint="eastAsia" w:ascii="宋体" w:hAnsi="宋体" w:cs="宋体"/>
                <w:sz w:val="24"/>
              </w:rPr>
              <w:t xml:space="preserve">深度范围 </w:t>
            </w:r>
            <w:r>
              <w:rPr>
                <w:rFonts w:ascii="宋体" w:hAnsi="宋体" w:cs="宋体"/>
                <w:sz w:val="24"/>
              </w:rPr>
              <w:t xml:space="preserve">  30cm~100cm</w:t>
            </w:r>
          </w:p>
          <w:p>
            <w:pPr>
              <w:widowControl/>
              <w:textAlignment w:val="center"/>
              <w:rPr>
                <w:rFonts w:ascii="宋体" w:hAnsi="宋体" w:cs="宋体"/>
                <w:sz w:val="24"/>
              </w:rPr>
            </w:pPr>
            <w:r>
              <w:rPr>
                <w:rFonts w:hint="eastAsia" w:ascii="宋体" w:hAnsi="宋体" w:cs="宋体"/>
                <w:sz w:val="24"/>
              </w:rPr>
              <w:t>相对精度 (81%FOV)</w:t>
            </w:r>
            <w:r>
              <w:rPr>
                <w:rFonts w:ascii="宋体" w:hAnsi="宋体" w:cs="宋体"/>
                <w:sz w:val="24"/>
              </w:rPr>
              <w:t xml:space="preserve">   +lmm@300mm+2mm@600mm +4mm@1000mm</w:t>
            </w:r>
          </w:p>
          <w:p>
            <w:pPr>
              <w:widowControl/>
              <w:textAlignment w:val="center"/>
              <w:rPr>
                <w:rFonts w:ascii="宋体" w:hAnsi="宋体" w:cs="宋体"/>
                <w:sz w:val="24"/>
              </w:rPr>
            </w:pPr>
            <w:r>
              <w:rPr>
                <w:rFonts w:hint="eastAsia" w:ascii="宋体" w:hAnsi="宋体" w:cs="宋体"/>
                <w:sz w:val="24"/>
              </w:rPr>
              <w:t xml:space="preserve">平均功耗 </w:t>
            </w:r>
            <w:r>
              <w:rPr>
                <w:rFonts w:ascii="宋体" w:hAnsi="宋体" w:cs="宋体"/>
                <w:sz w:val="24"/>
              </w:rPr>
              <w:t>&lt;1.2W/ 5V</w:t>
            </w:r>
          </w:p>
          <w:p>
            <w:pPr>
              <w:widowControl/>
              <w:textAlignment w:val="center"/>
              <w:rPr>
                <w:rFonts w:ascii="宋体" w:hAnsi="宋体" w:cs="宋体"/>
                <w:sz w:val="24"/>
              </w:rPr>
            </w:pPr>
            <w:r>
              <w:rPr>
                <w:rFonts w:hint="eastAsia" w:ascii="宋体" w:hAnsi="宋体" w:cs="宋体"/>
                <w:sz w:val="24"/>
              </w:rPr>
              <w:t>深度图分辨率 ≥</w:t>
            </w:r>
            <w:r>
              <w:rPr>
                <w:rFonts w:ascii="宋体" w:hAnsi="宋体" w:cs="宋体"/>
                <w:sz w:val="24"/>
              </w:rPr>
              <w:t>480x640@30fps</w:t>
            </w:r>
          </w:p>
          <w:p>
            <w:pPr>
              <w:widowControl/>
              <w:textAlignment w:val="center"/>
              <w:rPr>
                <w:rFonts w:ascii="宋体" w:hAnsi="宋体" w:cs="宋体"/>
                <w:sz w:val="24"/>
              </w:rPr>
            </w:pPr>
            <w:r>
              <w:rPr>
                <w:rFonts w:hint="eastAsia" w:ascii="宋体" w:hAnsi="宋体" w:cs="宋体"/>
                <w:sz w:val="24"/>
              </w:rPr>
              <w:t>彩色图分辨率 ≥</w:t>
            </w:r>
            <w:r>
              <w:rPr>
                <w:rFonts w:ascii="宋体" w:hAnsi="宋体" w:cs="宋体"/>
                <w:sz w:val="24"/>
              </w:rPr>
              <w:t>960*1280@30fps480*640@30fps</w:t>
            </w:r>
          </w:p>
          <w:p>
            <w:pPr>
              <w:widowControl/>
              <w:textAlignment w:val="center"/>
              <w:rPr>
                <w:rFonts w:ascii="宋体" w:hAnsi="宋体" w:cs="宋体"/>
                <w:sz w:val="24"/>
              </w:rPr>
            </w:pPr>
            <w:r>
              <w:rPr>
                <w:rFonts w:hint="eastAsia" w:ascii="宋体" w:hAnsi="宋体" w:cs="宋体"/>
                <w:sz w:val="24"/>
              </w:rPr>
              <w:t>D2C分辨率 ≥</w:t>
            </w:r>
            <w:r>
              <w:rPr>
                <w:rFonts w:ascii="宋体" w:hAnsi="宋体" w:cs="宋体"/>
                <w:sz w:val="24"/>
              </w:rPr>
              <w:t>480*640@30fps</w:t>
            </w:r>
          </w:p>
          <w:p>
            <w:pPr>
              <w:widowControl/>
              <w:textAlignment w:val="center"/>
              <w:rPr>
                <w:rFonts w:ascii="宋体" w:hAnsi="宋体" w:cs="宋体"/>
                <w:sz w:val="24"/>
              </w:rPr>
            </w:pPr>
            <w:r>
              <w:rPr>
                <w:rFonts w:hint="eastAsia" w:ascii="宋体" w:hAnsi="宋体" w:cs="宋体"/>
                <w:sz w:val="24"/>
              </w:rPr>
              <w:t>深度FOV</w:t>
            </w:r>
            <w:r>
              <w:rPr>
                <w:rFonts w:ascii="宋体" w:hAnsi="宋体" w:cs="宋体"/>
                <w:sz w:val="24"/>
              </w:rPr>
              <w:t xml:space="preserve">    H 54°+2°V 68°3°</w:t>
            </w:r>
          </w:p>
          <w:p>
            <w:pPr>
              <w:widowControl/>
              <w:textAlignment w:val="center"/>
              <w:rPr>
                <w:rFonts w:ascii="宋体" w:hAnsi="宋体" w:cs="宋体"/>
                <w:sz w:val="24"/>
              </w:rPr>
            </w:pPr>
            <w:r>
              <w:rPr>
                <w:rFonts w:hint="eastAsia" w:ascii="宋体" w:hAnsi="宋体" w:cs="宋体"/>
                <w:sz w:val="24"/>
              </w:rPr>
              <w:t>彩色FOV</w:t>
            </w:r>
            <w:r>
              <w:rPr>
                <w:rFonts w:ascii="宋体" w:hAnsi="宋体" w:cs="宋体"/>
                <w:sz w:val="24"/>
              </w:rPr>
              <w:t xml:space="preserve">   H 54+2°V 683</w:t>
            </w:r>
          </w:p>
          <w:p>
            <w:pPr>
              <w:widowControl/>
              <w:textAlignment w:val="center"/>
              <w:rPr>
                <w:rFonts w:ascii="宋体" w:hAnsi="宋体" w:cs="宋体"/>
                <w:sz w:val="24"/>
              </w:rPr>
            </w:pPr>
            <w:r>
              <w:rPr>
                <w:rFonts w:ascii="宋体" w:hAnsi="宋体" w:cs="宋体"/>
                <w:sz w:val="24"/>
              </w:rPr>
              <w:t>D2C FOV   H 54°+2°V 68°3°</w:t>
            </w:r>
          </w:p>
          <w:p>
            <w:pPr>
              <w:widowControl/>
              <w:textAlignment w:val="center"/>
              <w:rPr>
                <w:rFonts w:ascii="宋体" w:hAnsi="宋体" w:cs="宋体"/>
                <w:sz w:val="24"/>
              </w:rPr>
            </w:pPr>
            <w:r>
              <w:rPr>
                <w:rFonts w:hint="eastAsia" w:ascii="宋体" w:hAnsi="宋体" w:cs="宋体"/>
                <w:sz w:val="24"/>
              </w:rPr>
              <w:t xml:space="preserve">数据传输 </w:t>
            </w:r>
            <w:r>
              <w:rPr>
                <w:rFonts w:ascii="宋体" w:hAnsi="宋体" w:cs="宋体"/>
                <w:sz w:val="24"/>
              </w:rPr>
              <w:t xml:space="preserve"> USB2.0</w:t>
            </w:r>
          </w:p>
          <w:p>
            <w:pPr>
              <w:widowControl/>
              <w:textAlignment w:val="center"/>
              <w:rPr>
                <w:rFonts w:ascii="宋体" w:hAnsi="宋体" w:cs="宋体"/>
                <w:sz w:val="24"/>
              </w:rPr>
            </w:pPr>
            <w:r>
              <w:rPr>
                <w:rFonts w:hint="eastAsia" w:ascii="宋体" w:hAnsi="宋体" w:cs="宋体"/>
                <w:sz w:val="24"/>
              </w:rPr>
              <w:t xml:space="preserve">支持操作系统 </w:t>
            </w:r>
            <w:r>
              <w:rPr>
                <w:rFonts w:ascii="宋体" w:hAnsi="宋体" w:cs="宋体"/>
                <w:sz w:val="24"/>
              </w:rPr>
              <w:t xml:space="preserve"> Windows 7/10/Android4.4~9.0</w:t>
            </w:r>
          </w:p>
          <w:p>
            <w:pPr>
              <w:widowControl/>
              <w:textAlignment w:val="center"/>
              <w:rPr>
                <w:rFonts w:ascii="宋体" w:hAnsi="宋体" w:cs="宋体"/>
                <w:sz w:val="24"/>
              </w:rPr>
            </w:pPr>
            <w:r>
              <w:rPr>
                <w:rFonts w:hint="eastAsia" w:ascii="宋体" w:hAnsi="宋体" w:cs="宋体"/>
                <w:sz w:val="24"/>
              </w:rPr>
              <w:t>供电方式 支持</w:t>
            </w:r>
            <w:r>
              <w:rPr>
                <w:rFonts w:ascii="宋体" w:hAnsi="宋体" w:cs="宋体"/>
                <w:sz w:val="24"/>
              </w:rPr>
              <w:t xml:space="preserve"> Micro USB/I-PEX</w:t>
            </w:r>
          </w:p>
          <w:p>
            <w:pPr>
              <w:widowControl/>
              <w:textAlignment w:val="center"/>
              <w:rPr>
                <w:rFonts w:ascii="宋体" w:hAnsi="宋体" w:cs="宋体"/>
                <w:sz w:val="24"/>
              </w:rPr>
            </w:pPr>
            <w:r>
              <w:rPr>
                <w:rFonts w:hint="eastAsia" w:ascii="宋体" w:hAnsi="宋体" w:cs="宋体"/>
                <w:sz w:val="24"/>
              </w:rPr>
              <w:t xml:space="preserve">工作环境温度 </w:t>
            </w:r>
            <w:r>
              <w:rPr>
                <w:rFonts w:ascii="宋体" w:hAnsi="宋体" w:cs="宋体"/>
                <w:sz w:val="24"/>
              </w:rPr>
              <w:t xml:space="preserve">  -10°C~50°C</w:t>
            </w:r>
          </w:p>
          <w:p>
            <w:pPr>
              <w:widowControl/>
              <w:textAlignment w:val="center"/>
              <w:rPr>
                <w:rFonts w:ascii="宋体" w:hAnsi="宋体" w:cs="宋体"/>
                <w:sz w:val="24"/>
              </w:rPr>
            </w:pPr>
            <w:r>
              <w:rPr>
                <w:rFonts w:hint="eastAsia" w:ascii="宋体" w:hAnsi="宋体" w:cs="宋体"/>
                <w:sz w:val="24"/>
              </w:rPr>
              <w:t>适用场景 室内、半室外@7~8W Lux @60cm</w:t>
            </w:r>
          </w:p>
          <w:p>
            <w:pPr>
              <w:widowControl/>
              <w:textAlignment w:val="center"/>
              <w:rPr>
                <w:rFonts w:ascii="宋体" w:hAnsi="宋体" w:cs="宋体"/>
                <w:sz w:val="24"/>
              </w:rPr>
            </w:pPr>
            <w:r>
              <w:rPr>
                <w:rFonts w:hint="eastAsia" w:ascii="宋体" w:hAnsi="宋体" w:cs="宋体"/>
                <w:sz w:val="24"/>
              </w:rPr>
              <w:t xml:space="preserve">安全性 </w:t>
            </w:r>
            <w:r>
              <w:rPr>
                <w:rFonts w:ascii="宋体" w:hAnsi="宋体" w:cs="宋体"/>
                <w:sz w:val="24"/>
              </w:rPr>
              <w:t xml:space="preserve">  Class1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jc w:val="center"/>
              <w:rPr>
                <w:rFonts w:ascii="宋体" w:hAnsi="宋体" w:cs="宋体"/>
                <w:sz w:val="24"/>
              </w:rPr>
            </w:pPr>
            <w:r>
              <w:rPr>
                <w:rFonts w:hint="eastAsia" w:ascii="宋体" w:hAnsi="宋体" w:cs="宋体"/>
                <w:sz w:val="24"/>
              </w:rPr>
              <w:t>密码键盘</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加密算法：支持ECB和CBC方式的DES、3DES算法及ANSI X 9.8 PIN Block 格式</w:t>
            </w:r>
          </w:p>
          <w:p>
            <w:pPr>
              <w:widowControl/>
              <w:textAlignment w:val="center"/>
              <w:rPr>
                <w:rFonts w:ascii="宋体" w:hAnsi="宋体" w:cs="宋体"/>
                <w:sz w:val="24"/>
              </w:rPr>
            </w:pPr>
            <w:r>
              <w:rPr>
                <w:rFonts w:hint="eastAsia" w:ascii="宋体" w:hAnsi="宋体" w:cs="宋体"/>
                <w:sz w:val="24"/>
              </w:rPr>
              <w:t>键数：16键金属键盘，10个数字键，6个功能键</w:t>
            </w:r>
          </w:p>
          <w:p>
            <w:pPr>
              <w:widowControl/>
              <w:textAlignment w:val="center"/>
              <w:rPr>
                <w:rFonts w:ascii="宋体" w:hAnsi="宋体" w:cs="宋体"/>
                <w:sz w:val="24"/>
              </w:rPr>
            </w:pPr>
            <w:r>
              <w:rPr>
                <w:rFonts w:hint="eastAsia" w:ascii="宋体" w:hAnsi="宋体" w:cs="宋体"/>
                <w:sz w:val="24"/>
              </w:rPr>
              <w:t>按键压力：2~3N；</w:t>
            </w:r>
          </w:p>
          <w:p>
            <w:pPr>
              <w:widowControl/>
              <w:textAlignment w:val="center"/>
              <w:rPr>
                <w:rFonts w:ascii="宋体" w:hAnsi="宋体" w:cs="宋体"/>
                <w:sz w:val="24"/>
              </w:rPr>
            </w:pPr>
            <w:r>
              <w:rPr>
                <w:rFonts w:hint="eastAsia" w:ascii="宋体" w:hAnsi="宋体" w:cs="宋体"/>
                <w:sz w:val="24"/>
              </w:rPr>
              <w:t>接口：RS-232C</w:t>
            </w:r>
          </w:p>
          <w:p>
            <w:pPr>
              <w:widowControl/>
              <w:textAlignment w:val="center"/>
              <w:rPr>
                <w:rFonts w:ascii="宋体" w:hAnsi="宋体" w:cs="宋体"/>
                <w:sz w:val="24"/>
              </w:rPr>
            </w:pPr>
            <w:r>
              <w:rPr>
                <w:rFonts w:hint="eastAsia" w:ascii="宋体" w:hAnsi="宋体" w:cs="宋体"/>
                <w:sz w:val="24"/>
              </w:rPr>
              <w:t>密钥管理：可存储16组64位的密钥，只能写入不能读出，带密钥拆封自毁功能，带密钥拆封自毁功能</w:t>
            </w:r>
          </w:p>
          <w:p>
            <w:pPr>
              <w:widowControl/>
              <w:textAlignment w:val="center"/>
              <w:rPr>
                <w:rFonts w:ascii="宋体" w:hAnsi="宋体" w:cs="宋体"/>
                <w:sz w:val="24"/>
              </w:rPr>
            </w:pPr>
            <w:r>
              <w:rPr>
                <w:rFonts w:hint="eastAsia" w:ascii="宋体" w:hAnsi="宋体" w:cs="宋体"/>
                <w:sz w:val="24"/>
              </w:rPr>
              <w:t>保护功能：采用凹陷设计、具有防偷窥设计</w:t>
            </w:r>
          </w:p>
          <w:p>
            <w:pPr>
              <w:widowControl/>
              <w:textAlignment w:val="center"/>
              <w:rPr>
                <w:rFonts w:ascii="宋体" w:hAnsi="宋体" w:cs="宋体"/>
                <w:sz w:val="24"/>
              </w:rPr>
            </w:pPr>
            <w:r>
              <w:rPr>
                <w:rFonts w:hint="eastAsia" w:ascii="宋体" w:hAnsi="宋体" w:cs="宋体"/>
                <w:sz w:val="24"/>
              </w:rPr>
              <w:t>使用寿命：单键点击＞200万次</w:t>
            </w:r>
          </w:p>
          <w:p>
            <w:pPr>
              <w:widowControl/>
              <w:textAlignment w:val="center"/>
              <w:rPr>
                <w:rFonts w:ascii="宋体" w:hAnsi="宋体" w:cs="宋体"/>
                <w:sz w:val="24"/>
              </w:rPr>
            </w:pPr>
            <w:r>
              <w:rPr>
                <w:rFonts w:hint="eastAsia" w:ascii="宋体" w:hAnsi="宋体" w:cs="宋体"/>
                <w:sz w:val="24"/>
              </w:rPr>
              <w:t>防水、防尘、防暴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jc w:val="center"/>
              <w:rPr>
                <w:rFonts w:ascii="宋体" w:hAnsi="宋体" w:cs="宋体"/>
                <w:sz w:val="24"/>
              </w:rPr>
            </w:pPr>
            <w:r>
              <w:rPr>
                <w:rFonts w:hint="eastAsia" w:ascii="宋体" w:hAnsi="宋体" w:cs="宋体"/>
                <w:sz w:val="24"/>
              </w:rPr>
              <w:t>电源模块</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负载稳定度：±1％  典型值</w:t>
            </w:r>
          </w:p>
          <w:p>
            <w:pPr>
              <w:widowControl/>
              <w:textAlignment w:val="center"/>
              <w:rPr>
                <w:rFonts w:ascii="宋体" w:hAnsi="宋体" w:cs="宋体"/>
                <w:sz w:val="24"/>
              </w:rPr>
            </w:pPr>
            <w:r>
              <w:rPr>
                <w:rFonts w:hint="eastAsia" w:ascii="宋体" w:hAnsi="宋体" w:cs="宋体"/>
                <w:sz w:val="24"/>
              </w:rPr>
              <w:t>电压稳定度：0.5 % 典型值</w:t>
            </w:r>
          </w:p>
          <w:p>
            <w:pPr>
              <w:widowControl/>
              <w:textAlignment w:val="center"/>
              <w:rPr>
                <w:rFonts w:ascii="宋体" w:hAnsi="宋体" w:cs="宋体"/>
                <w:sz w:val="24"/>
              </w:rPr>
            </w:pPr>
            <w:r>
              <w:rPr>
                <w:rFonts w:hint="eastAsia" w:ascii="宋体" w:hAnsi="宋体" w:cs="宋体"/>
                <w:sz w:val="24"/>
              </w:rPr>
              <w:t>纹波及噪声：１％ 峰峰值</w:t>
            </w:r>
          </w:p>
          <w:p>
            <w:pPr>
              <w:widowControl/>
              <w:textAlignment w:val="center"/>
              <w:rPr>
                <w:rFonts w:ascii="宋体" w:hAnsi="宋体" w:cs="宋体"/>
                <w:sz w:val="24"/>
              </w:rPr>
            </w:pPr>
            <w:r>
              <w:rPr>
                <w:rFonts w:hint="eastAsia" w:ascii="宋体" w:hAnsi="宋体" w:cs="宋体"/>
                <w:sz w:val="24"/>
              </w:rPr>
              <w:t>输出功率及接口： 12V5A，24V6A</w:t>
            </w:r>
          </w:p>
          <w:p>
            <w:pPr>
              <w:widowControl/>
              <w:textAlignment w:val="center"/>
              <w:rPr>
                <w:rFonts w:ascii="宋体" w:hAnsi="宋体" w:cs="宋体"/>
                <w:sz w:val="24"/>
              </w:rPr>
            </w:pPr>
            <w:r>
              <w:rPr>
                <w:rFonts w:hint="eastAsia" w:ascii="宋体" w:hAnsi="宋体" w:cs="宋体"/>
                <w:sz w:val="24"/>
              </w:rPr>
              <w:t>保护功能：过压保护、过流保护、短路保护</w:t>
            </w:r>
          </w:p>
          <w:p>
            <w:pPr>
              <w:widowControl/>
              <w:textAlignment w:val="center"/>
              <w:rPr>
                <w:rFonts w:ascii="宋体" w:hAnsi="宋体" w:cs="宋体"/>
                <w:sz w:val="24"/>
              </w:rPr>
            </w:pPr>
            <w:r>
              <w:rPr>
                <w:rFonts w:hint="eastAsia" w:ascii="宋体" w:hAnsi="宋体" w:cs="宋体"/>
                <w:sz w:val="24"/>
              </w:rPr>
              <w:t>用独立电源模块为所有配件供电，电源模块按强电、弱电分为两个部分</w:t>
            </w:r>
          </w:p>
          <w:p>
            <w:pPr>
              <w:widowControl/>
              <w:textAlignment w:val="center"/>
              <w:rPr>
                <w:rFonts w:ascii="宋体" w:hAnsi="宋体" w:cs="宋体"/>
                <w:sz w:val="24"/>
              </w:rPr>
            </w:pPr>
            <w:r>
              <w:rPr>
                <w:rFonts w:hint="eastAsia" w:ascii="宋体" w:hAnsi="宋体" w:cs="宋体"/>
                <w:sz w:val="24"/>
              </w:rPr>
              <w:t>具备定时开关机功能</w:t>
            </w:r>
          </w:p>
          <w:p>
            <w:pPr>
              <w:widowControl/>
              <w:textAlignment w:val="center"/>
              <w:rPr>
                <w:rFonts w:ascii="宋体" w:hAnsi="宋体" w:cs="宋体"/>
                <w:sz w:val="24"/>
              </w:rPr>
            </w:pPr>
            <w:r>
              <w:rPr>
                <w:rFonts w:hint="eastAsia" w:ascii="宋体" w:hAnsi="宋体" w:cs="宋体"/>
                <w:sz w:val="24"/>
              </w:rPr>
              <w:t>输入电源有防拉出设计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jc w:val="center"/>
              <w:rPr>
                <w:rFonts w:ascii="宋体" w:hAnsi="宋体" w:cs="宋体"/>
                <w:sz w:val="24"/>
              </w:rPr>
            </w:pPr>
            <w:r>
              <w:rPr>
                <w:rFonts w:hint="eastAsia" w:ascii="宋体" w:hAnsi="宋体" w:cs="宋体"/>
                <w:sz w:val="24"/>
              </w:rPr>
              <w:t>UPS</w:t>
            </w:r>
          </w:p>
        </w:tc>
        <w:tc>
          <w:tcPr>
            <w:tcW w:w="7938" w:type="dxa"/>
            <w:noWrap w:val="0"/>
            <w:vAlign w:val="center"/>
          </w:tcPr>
          <w:p>
            <w:pPr>
              <w:rPr>
                <w:rFonts w:ascii="宋体" w:hAnsi="宋体" w:cs="宋体"/>
                <w:sz w:val="24"/>
              </w:rPr>
            </w:pPr>
            <w:r>
              <w:rPr>
                <w:rFonts w:hint="eastAsia" w:ascii="宋体" w:hAnsi="宋体" w:cs="宋体"/>
                <w:sz w:val="24"/>
              </w:rPr>
              <w:t>方式</w:t>
            </w:r>
            <w:r>
              <w:rPr>
                <w:rFonts w:hint="eastAsia" w:ascii="宋体" w:hAnsi="宋体" w:cs="宋体"/>
                <w:sz w:val="24"/>
              </w:rPr>
              <w:tab/>
            </w:r>
            <w:r>
              <w:rPr>
                <w:rFonts w:hint="eastAsia" w:ascii="宋体" w:hAnsi="宋体" w:cs="宋体"/>
                <w:sz w:val="24"/>
              </w:rPr>
              <w:t>后备式</w:t>
            </w:r>
          </w:p>
          <w:p>
            <w:pPr>
              <w:rPr>
                <w:rFonts w:ascii="宋体" w:hAnsi="宋体" w:cs="宋体"/>
                <w:sz w:val="24"/>
              </w:rPr>
            </w:pPr>
            <w:r>
              <w:rPr>
                <w:rFonts w:hint="eastAsia" w:ascii="宋体" w:hAnsi="宋体" w:cs="宋体"/>
                <w:sz w:val="24"/>
              </w:rPr>
              <w:t>转换时间</w:t>
            </w:r>
            <w:r>
              <w:rPr>
                <w:rFonts w:hint="eastAsia" w:ascii="宋体" w:hAnsi="宋体" w:cs="宋体"/>
                <w:sz w:val="24"/>
              </w:rPr>
              <w:tab/>
            </w:r>
            <w:r>
              <w:rPr>
                <w:rFonts w:hint="eastAsia" w:ascii="宋体" w:hAnsi="宋体" w:cs="宋体"/>
                <w:sz w:val="24"/>
              </w:rPr>
              <w:t>≤10ms</w:t>
            </w:r>
          </w:p>
          <w:p>
            <w:pPr>
              <w:rPr>
                <w:rFonts w:ascii="宋体" w:hAnsi="宋体" w:cs="宋体"/>
                <w:sz w:val="24"/>
              </w:rPr>
            </w:pPr>
            <w:r>
              <w:rPr>
                <w:rFonts w:hint="eastAsia" w:ascii="宋体" w:hAnsi="宋体" w:cs="宋体"/>
                <w:sz w:val="24"/>
              </w:rPr>
              <w:t>电池</w:t>
            </w:r>
            <w:r>
              <w:rPr>
                <w:rFonts w:hint="eastAsia" w:ascii="宋体" w:hAnsi="宋体" w:cs="宋体"/>
                <w:sz w:val="24"/>
              </w:rPr>
              <w:tab/>
            </w:r>
            <w:r>
              <w:rPr>
                <w:rFonts w:hint="eastAsia" w:ascii="宋体" w:hAnsi="宋体" w:cs="宋体"/>
                <w:sz w:val="24"/>
              </w:rPr>
              <w:t>免维护密封铅酸蓄电池</w:t>
            </w:r>
          </w:p>
          <w:p>
            <w:pPr>
              <w:rPr>
                <w:rFonts w:ascii="宋体" w:hAnsi="宋体" w:cs="宋体"/>
                <w:sz w:val="24"/>
              </w:rPr>
            </w:pPr>
            <w:r>
              <w:rPr>
                <w:rFonts w:hint="eastAsia" w:ascii="宋体" w:hAnsi="宋体" w:cs="宋体"/>
                <w:sz w:val="24"/>
              </w:rPr>
              <w:t>输入电压范围</w:t>
            </w:r>
            <w:r>
              <w:rPr>
                <w:rFonts w:hint="eastAsia" w:ascii="宋体" w:hAnsi="宋体" w:cs="宋体"/>
                <w:sz w:val="24"/>
              </w:rPr>
              <w:tab/>
            </w:r>
            <w:r>
              <w:rPr>
                <w:rFonts w:hint="eastAsia" w:ascii="宋体" w:hAnsi="宋体" w:cs="宋体"/>
                <w:sz w:val="24"/>
              </w:rPr>
              <w:t>220V ±25%</w:t>
            </w:r>
          </w:p>
          <w:p>
            <w:pPr>
              <w:rPr>
                <w:rFonts w:ascii="宋体" w:hAnsi="宋体" w:cs="宋体"/>
                <w:sz w:val="24"/>
              </w:rPr>
            </w:pPr>
            <w:r>
              <w:rPr>
                <w:rFonts w:hint="eastAsia" w:ascii="宋体" w:hAnsi="宋体" w:cs="宋体"/>
                <w:sz w:val="24"/>
              </w:rPr>
              <w:t>输入频率范围</w:t>
            </w:r>
            <w:r>
              <w:rPr>
                <w:rFonts w:hint="eastAsia" w:ascii="宋体" w:hAnsi="宋体" w:cs="宋体"/>
                <w:sz w:val="24"/>
              </w:rPr>
              <w:tab/>
            </w:r>
            <w:r>
              <w:rPr>
                <w:rFonts w:hint="eastAsia" w:ascii="宋体" w:hAnsi="宋体" w:cs="宋体"/>
                <w:sz w:val="24"/>
              </w:rPr>
              <w:t>45～65Hz</w:t>
            </w:r>
          </w:p>
          <w:p>
            <w:pPr>
              <w:rPr>
                <w:rFonts w:ascii="宋体" w:hAnsi="宋体" w:cs="宋体"/>
                <w:sz w:val="24"/>
              </w:rPr>
            </w:pPr>
            <w:r>
              <w:rPr>
                <w:rFonts w:hint="eastAsia" w:ascii="宋体" w:hAnsi="宋体" w:cs="宋体"/>
                <w:sz w:val="24"/>
              </w:rPr>
              <w:t>输出电压范围</w:t>
            </w:r>
            <w:r>
              <w:rPr>
                <w:rFonts w:hint="eastAsia" w:ascii="宋体" w:hAnsi="宋体" w:cs="宋体"/>
                <w:sz w:val="24"/>
              </w:rPr>
              <w:tab/>
            </w:r>
            <w:r>
              <w:rPr>
                <w:rFonts w:hint="eastAsia" w:ascii="宋体" w:hAnsi="宋体" w:cs="宋体"/>
                <w:sz w:val="24"/>
              </w:rPr>
              <w:t>220V±10%</w:t>
            </w:r>
          </w:p>
          <w:p>
            <w:pPr>
              <w:rPr>
                <w:rFonts w:ascii="宋体" w:hAnsi="宋体" w:cs="宋体"/>
                <w:sz w:val="24"/>
              </w:rPr>
            </w:pPr>
            <w:r>
              <w:rPr>
                <w:rFonts w:hint="eastAsia" w:ascii="宋体" w:hAnsi="宋体" w:cs="宋体"/>
                <w:sz w:val="24"/>
              </w:rPr>
              <w:t>输出频率范围</w:t>
            </w:r>
            <w:r>
              <w:rPr>
                <w:rFonts w:hint="eastAsia" w:ascii="宋体" w:hAnsi="宋体" w:cs="宋体"/>
                <w:sz w:val="24"/>
              </w:rPr>
              <w:tab/>
            </w:r>
            <w:r>
              <w:rPr>
                <w:rFonts w:hint="eastAsia" w:ascii="宋体" w:hAnsi="宋体" w:cs="宋体"/>
                <w:sz w:val="24"/>
              </w:rPr>
              <w:t>50/60Hz±0.5hz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widowControl/>
              <w:ind w:firstLine="240" w:firstLineChars="100"/>
              <w:jc w:val="center"/>
              <w:textAlignment w:val="center"/>
              <w:rPr>
                <w:rFonts w:ascii="宋体" w:hAnsi="宋体" w:cs="宋体"/>
                <w:sz w:val="24"/>
              </w:rPr>
            </w:pPr>
            <w:r>
              <w:rPr>
                <w:rFonts w:hint="eastAsia" w:ascii="宋体" w:hAnsi="宋体" w:cs="宋体"/>
                <w:sz w:val="24"/>
              </w:rPr>
              <w:t>嵌入式大屏</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屏幕整体嵌入机柜，屏幕与机柜一体化，设计平滑，操作方便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widowControl/>
              <w:jc w:val="center"/>
              <w:textAlignment w:val="center"/>
              <w:rPr>
                <w:rFonts w:ascii="宋体" w:hAnsi="宋体" w:cs="宋体"/>
                <w:sz w:val="24"/>
              </w:rPr>
            </w:pPr>
            <w:r>
              <w:rPr>
                <w:rFonts w:hint="eastAsia" w:ascii="宋体" w:hAnsi="宋体" w:cs="宋体"/>
                <w:sz w:val="24"/>
              </w:rPr>
              <w:t>前维护设计</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常用耗材增添采用前开门式设计，方便运维人员日常维护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widowControl/>
              <w:jc w:val="center"/>
              <w:textAlignment w:val="center"/>
              <w:rPr>
                <w:rFonts w:ascii="宋体" w:hAnsi="宋体" w:cs="宋体"/>
                <w:sz w:val="24"/>
              </w:rPr>
            </w:pPr>
            <w:r>
              <w:rPr>
                <w:rFonts w:hint="eastAsia" w:ascii="宋体" w:hAnsi="宋体" w:cs="宋体"/>
                <w:sz w:val="24"/>
              </w:rPr>
              <w:t>防窥设计</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整体采用防窥设计，如密码键盘、放窥镜等，尊重他人隐私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widowControl/>
              <w:jc w:val="center"/>
              <w:textAlignment w:val="center"/>
              <w:rPr>
                <w:rFonts w:ascii="宋体" w:hAnsi="宋体" w:cs="宋体"/>
                <w:sz w:val="24"/>
              </w:rPr>
            </w:pPr>
            <w:r>
              <w:rPr>
                <w:rFonts w:hint="eastAsia" w:ascii="宋体" w:hAnsi="宋体" w:cs="宋体"/>
                <w:sz w:val="24"/>
              </w:rPr>
              <w:t>电控锁设计</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整机安全性能高，开门配备非接电控锁，感应自动开门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widowControl/>
              <w:jc w:val="center"/>
              <w:textAlignment w:val="center"/>
              <w:rPr>
                <w:rFonts w:ascii="宋体" w:hAnsi="宋体" w:cs="宋体"/>
                <w:sz w:val="24"/>
              </w:rPr>
            </w:pPr>
            <w:r>
              <w:rPr>
                <w:rFonts w:hint="eastAsia" w:ascii="宋体" w:hAnsi="宋体" w:cs="宋体"/>
                <w:sz w:val="24"/>
              </w:rPr>
              <w:t>人体工学设计</w:t>
            </w:r>
          </w:p>
        </w:tc>
        <w:tc>
          <w:tcPr>
            <w:tcW w:w="7938" w:type="dxa"/>
            <w:noWrap w:val="0"/>
            <w:vAlign w:val="center"/>
          </w:tcPr>
          <w:p>
            <w:pPr>
              <w:pStyle w:val="609"/>
              <w:widowControl/>
              <w:ind w:firstLine="0" w:firstLineChars="0"/>
              <w:textAlignment w:val="center"/>
              <w:rPr>
                <w:rFonts w:ascii="宋体" w:hAnsi="宋体" w:cs="宋体"/>
                <w:sz w:val="24"/>
              </w:rPr>
            </w:pPr>
            <w:r>
              <w:rPr>
                <w:rFonts w:hint="eastAsia" w:ascii="宋体" w:hAnsi="宋体" w:cs="宋体"/>
                <w:sz w:val="24"/>
              </w:rPr>
              <w:t>所有操作均在台面以上，符合人体工程操作原理，降低老、幼、孕人群操作难度；</w:t>
            </w:r>
          </w:p>
          <w:p>
            <w:pPr>
              <w:widowControl/>
              <w:textAlignment w:val="center"/>
              <w:rPr>
                <w:rFonts w:ascii="宋体" w:hAnsi="宋体" w:cs="宋体"/>
                <w:sz w:val="24"/>
              </w:rPr>
            </w:pPr>
            <w:r>
              <w:rPr>
                <w:rFonts w:hint="eastAsia" w:ascii="宋体" w:hAnsi="宋体" w:cs="宋体"/>
                <w:sz w:val="24"/>
              </w:rPr>
              <w:t>嵌入式大屏操作加以有效地语音、动画等指引操作，患者学习成本低</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widowControl/>
              <w:jc w:val="center"/>
              <w:textAlignment w:val="center"/>
              <w:rPr>
                <w:rFonts w:ascii="宋体" w:hAnsi="宋体" w:cs="宋体"/>
                <w:sz w:val="24"/>
              </w:rPr>
            </w:pPr>
            <w:r>
              <w:rPr>
                <w:rFonts w:hint="eastAsia" w:ascii="宋体" w:hAnsi="宋体" w:cs="宋体"/>
                <w:sz w:val="24"/>
              </w:rPr>
              <w:t>定时开关机</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设置工控主机定时开关机功能，改变了传统的手动开关机；具有省电、安全、提高机器使用寿命功能；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widowControl/>
              <w:jc w:val="center"/>
              <w:textAlignment w:val="center"/>
              <w:rPr>
                <w:rFonts w:ascii="宋体" w:hAnsi="宋体" w:cs="宋体"/>
                <w:sz w:val="24"/>
              </w:rPr>
            </w:pPr>
            <w:r>
              <w:rPr>
                <w:rFonts w:hint="eastAsia" w:ascii="宋体" w:hAnsi="宋体" w:cs="宋体"/>
                <w:sz w:val="24"/>
              </w:rPr>
              <w:t>声效模块</w:t>
            </w:r>
          </w:p>
        </w:tc>
        <w:tc>
          <w:tcPr>
            <w:tcW w:w="7938" w:type="dxa"/>
            <w:noWrap w:val="0"/>
            <w:vAlign w:val="center"/>
          </w:tcPr>
          <w:p>
            <w:pPr>
              <w:widowControl/>
              <w:textAlignment w:val="center"/>
              <w:rPr>
                <w:rFonts w:ascii="宋体" w:hAnsi="宋体" w:cs="宋体"/>
                <w:sz w:val="24"/>
              </w:rPr>
            </w:pPr>
            <w:r>
              <w:rPr>
                <w:rFonts w:hint="eastAsia" w:ascii="宋体" w:hAnsi="宋体" w:cs="宋体"/>
                <w:sz w:val="24"/>
              </w:rPr>
              <w:t>声卡、多媒体音箱；提供声音合成软件供调用，有利于对操作人员的清晰引导；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noWrap w:val="0"/>
            <w:vAlign w:val="center"/>
          </w:tcPr>
          <w:p>
            <w:pPr>
              <w:widowControl/>
              <w:jc w:val="center"/>
              <w:textAlignment w:val="center"/>
              <w:rPr>
                <w:rFonts w:ascii="宋体" w:hAnsi="宋体" w:cs="宋体"/>
                <w:sz w:val="24"/>
              </w:rPr>
            </w:pPr>
            <w:r>
              <w:rPr>
                <w:rFonts w:hint="eastAsia" w:ascii="宋体" w:hAnsi="宋体" w:cs="宋体"/>
                <w:sz w:val="24"/>
              </w:rPr>
              <w:t>机柜</w:t>
            </w:r>
          </w:p>
        </w:tc>
        <w:tc>
          <w:tcPr>
            <w:tcW w:w="7938" w:type="dxa"/>
            <w:noWrap w:val="0"/>
            <w:vAlign w:val="center"/>
          </w:tcPr>
          <w:p>
            <w:pPr>
              <w:rPr>
                <w:rFonts w:ascii="宋体" w:hAnsi="宋体" w:cs="宋体"/>
                <w:sz w:val="24"/>
              </w:rPr>
            </w:pPr>
            <w:r>
              <w:rPr>
                <w:rFonts w:hint="eastAsia" w:ascii="宋体" w:hAnsi="宋体" w:cs="宋体"/>
                <w:sz w:val="24"/>
              </w:rPr>
              <w:t>大堂式机柜，外接接口：外接网络接口，电源接口等，设备底部装有移动轮+刹车轮，易推移</w:t>
            </w:r>
            <w:r>
              <w:rPr>
                <w:rFonts w:hint="eastAsia" w:ascii="宋体" w:hAnsi="宋体" w:cs="宋体"/>
                <w:color w:val="000000"/>
                <w:kern w:val="0"/>
                <w:sz w:val="24"/>
              </w:rPr>
              <w:t>。</w:t>
            </w:r>
          </w:p>
          <w:p>
            <w:pPr>
              <w:widowControl/>
              <w:textAlignment w:val="center"/>
              <w:rPr>
                <w:rFonts w:ascii="宋体" w:hAnsi="宋体" w:cs="宋体"/>
                <w:sz w:val="24"/>
              </w:rPr>
            </w:pPr>
            <w:r>
              <w:rPr>
                <w:rFonts w:hint="eastAsia" w:ascii="宋体" w:hAnsi="宋体" w:cs="宋体"/>
                <w:sz w:val="24"/>
              </w:rPr>
              <w:t>功能设计要符合人性化设计，方便病人使用，不易变形，外观美观、大方，防水、防尘、防锈、防腐、耐磨，布线规范、合理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9356" w:type="dxa"/>
            <w:gridSpan w:val="2"/>
            <w:noWrap w:val="0"/>
            <w:vAlign w:val="center"/>
          </w:tcPr>
          <w:p>
            <w:pPr>
              <w:rPr>
                <w:rFonts w:ascii="宋体" w:hAnsi="宋体" w:cs="宋体"/>
                <w:sz w:val="24"/>
              </w:rPr>
            </w:pPr>
            <w:r>
              <w:rPr>
                <w:rFonts w:hint="eastAsia" w:ascii="宋体" w:hAnsi="宋体" w:cs="宋体"/>
                <w:b/>
                <w:bCs/>
                <w:sz w:val="24"/>
              </w:rPr>
              <w:t>软件要求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s="宋体"/>
                <w:sz w:val="24"/>
              </w:rPr>
            </w:pPr>
            <w:r>
              <w:rPr>
                <w:rFonts w:hint="eastAsia" w:ascii="宋体" w:hAnsi="宋体" w:cs="宋体"/>
                <w:sz w:val="24"/>
              </w:rPr>
              <w:t>整体设计</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ascii="宋体" w:hAnsi="宋体" w:cs="宋体"/>
                <w:sz w:val="24"/>
              </w:rPr>
              <w:t>对屏幕内容显示区域进行合理切分，划分为业务操作区域和协同区域，界面稳重、大方，整体明亮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 w:val="24"/>
              </w:rPr>
            </w:pPr>
            <w:r>
              <w:rPr>
                <w:rFonts w:hint="eastAsia" w:ascii="宋体" w:hAnsi="宋体" w:cs="宋体"/>
                <w:sz w:val="24"/>
              </w:rPr>
              <w:t>协同区域</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ascii="宋体" w:hAnsi="宋体" w:cs="宋体"/>
                <w:sz w:val="24"/>
              </w:rPr>
              <w:t>业务操作过程中作为协同引导区域，对业务相关信息进行关联显示界面稳重、大方，整体明亮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s="宋体"/>
                <w:sz w:val="24"/>
              </w:rPr>
            </w:pPr>
            <w:r>
              <w:rPr>
                <w:rFonts w:hint="eastAsia" w:ascii="宋体" w:hAnsi="宋体" w:cs="宋体"/>
                <w:sz w:val="24"/>
              </w:rPr>
              <w:t>业务操作区域</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ascii="宋体" w:hAnsi="宋体" w:cs="宋体"/>
                <w:sz w:val="24"/>
              </w:rPr>
              <w:t>信息直观展示，减少患者翻页操作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sz w:val="24"/>
              </w:rPr>
            </w:pPr>
          </w:p>
        </w:tc>
        <w:tc>
          <w:tcPr>
            <w:tcW w:w="793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ascii="宋体" w:hAnsi="宋体" w:cs="宋体"/>
                <w:sz w:val="24"/>
              </w:rPr>
              <w:t>内容信息大图标、大字体显示，针对按钮，需有明显标记，方便患者快速找到并点击界面稳重、大方，整体明亮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6" w:hRule="atLeast"/>
        </w:trPr>
        <w:tc>
          <w:tcPr>
            <w:tcW w:w="1418"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 w:val="24"/>
              </w:rPr>
            </w:pPr>
          </w:p>
        </w:tc>
        <w:tc>
          <w:tcPr>
            <w:tcW w:w="793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ascii="宋体" w:hAnsi="宋体" w:cs="宋体"/>
                <w:sz w:val="24"/>
              </w:rPr>
              <w:t>具备业务办理步骤显示区域，逐步提示。</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jc w:val="center"/>
              <w:rPr>
                <w:rFonts w:ascii="宋体" w:hAnsi="宋体"/>
                <w:b/>
                <w:bCs/>
                <w:kern w:val="0"/>
                <w:sz w:val="24"/>
              </w:rPr>
            </w:pPr>
            <w:r>
              <w:rPr>
                <w:rFonts w:hint="eastAsia" w:ascii="宋体" w:hAnsi="宋体"/>
                <w:b/>
                <w:bCs/>
                <w:kern w:val="0"/>
                <w:sz w:val="24"/>
              </w:rPr>
              <w:t>功能清单</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宋体" w:hAnsi="宋体" w:cs="宋体"/>
                <w:sz w:val="24"/>
              </w:rPr>
            </w:pPr>
            <w:r>
              <w:rPr>
                <w:rFonts w:hint="eastAsia" w:ascii="宋体" w:hAnsi="宋体" w:cs="宋体"/>
                <w:sz w:val="24"/>
              </w:rPr>
              <w:t>详细要求</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就诊介质</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★支持健康卡、社保卡、电子健康卡、电子社保卡、电子医保凭证、人脸身份识别等；</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支付方式</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★微信、支付宝、银行卡、刷脸付、医保移动支付等；</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自助建档</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通过自助机读取电子健康卡/社保卡，高效地采集病人信息，提高了建档的效率，避免了人工的错误输入；</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当日挂号</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当日挂号分为普通挂号和专家挂号，需要患者输入就诊介质，读卡成功后查询科室信息，调用接口普通/专家（查询当日专家信息）门诊挂号处理，打印就诊指引单；</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预约挂号</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预约挂号分为普通预约和专家预约，需要患者输入就诊介质，读卡成功后可查询到患者信息，之后查询普通门诊信息或者科室专家信息、专家排班信息，并调用接口进行预约处理，该功能提供预约取消操作；</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预约取号</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支持医院全渠道预约统一取号；</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预约检查</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通过调用院内预约检查接口进行预约处理</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门诊结算</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在医院自助设备自助结算时，需要患者输入就诊介质，读卡成功后可查询到病人信息、收费单据、收费单据明细，调用结算接口进行结算，医保部分插医保卡\电子健康卡/电子医保凭证等渠道扣款，自费部分支持微信、支付宝、银行卡等渠道支付。</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报告单打印</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支持报告单打印</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自助查询服务</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★支持院内信息查询（如医院、科室、医生等信息介绍，药品、收费项目信息）</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住院预缴金缴纳</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在医院自助设备预缴金额时，需要患者输入就诊介质，读卡成功后可查询到病人信息，输入预缴金额后，通过银行卡，支付宝，微信等方式进行账户充值。</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住院总清单查询打印</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支持住院费用清单查询打印</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住院日清单查询打印</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支持每日住院清单查询打印</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left="-52" w:leftChars="-25" w:hanging="1"/>
              <w:rPr>
                <w:rFonts w:ascii="宋体" w:hAnsi="宋体"/>
                <w:kern w:val="0"/>
                <w:sz w:val="24"/>
              </w:rPr>
            </w:pPr>
            <w:r>
              <w:rPr>
                <w:rFonts w:hint="eastAsia" w:ascii="宋体" w:hAnsi="宋体"/>
                <w:kern w:val="0"/>
                <w:sz w:val="24"/>
              </w:rPr>
              <w:t>出院结算</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宋体" w:hAnsi="宋体" w:cs="宋体"/>
                <w:sz w:val="24"/>
              </w:rPr>
            </w:pPr>
            <w:r>
              <w:rPr>
                <w:rFonts w:hint="eastAsia" w:ascii="宋体" w:hAnsi="宋体" w:cs="宋体"/>
                <w:sz w:val="24"/>
              </w:rPr>
              <w:t>在医院自助设备自助结算时，需要患者输入就诊介质，读卡成功后可查询到病人信息、收费单据、收费单据明细，调用结算接口进行结算。</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ind w:firstLine="240" w:firstLineChars="100"/>
              <w:rPr>
                <w:rFonts w:ascii="宋体" w:hAnsi="宋体"/>
                <w:bCs/>
                <w:kern w:val="0"/>
                <w:sz w:val="24"/>
              </w:rPr>
            </w:pPr>
            <w:r>
              <w:rPr>
                <w:rFonts w:hint="eastAsia" w:ascii="宋体" w:hAnsi="宋体" w:cs="宋体"/>
                <w:bCs/>
                <w:sz w:val="24"/>
              </w:rPr>
              <w:t>升级</w:t>
            </w:r>
            <w:r>
              <w:rPr>
                <w:rFonts w:ascii="宋体" w:hAnsi="宋体" w:cs="宋体"/>
                <w:bCs/>
                <w:sz w:val="24"/>
              </w:rPr>
              <w:t>功能</w:t>
            </w:r>
          </w:p>
        </w:tc>
        <w:tc>
          <w:tcPr>
            <w:tcW w:w="7938" w:type="dxa"/>
            <w:tcBorders>
              <w:top w:val="single" w:color="auto" w:sz="4" w:space="0"/>
              <w:left w:val="single" w:color="auto" w:sz="4" w:space="0"/>
              <w:bottom w:val="single" w:color="auto" w:sz="4" w:space="0"/>
              <w:right w:val="single" w:color="auto" w:sz="4" w:space="0"/>
            </w:tcBorders>
            <w:noWrap w:val="0"/>
            <w:vAlign w:val="top"/>
          </w:tcPr>
          <w:p>
            <w:pPr>
              <w:widowControl/>
              <w:textAlignment w:val="center"/>
              <w:rPr>
                <w:rFonts w:ascii="宋体" w:hAnsi="宋体" w:cs="宋体"/>
                <w:sz w:val="24"/>
              </w:rPr>
            </w:pPr>
            <w:r>
              <w:rPr>
                <w:rFonts w:hint="eastAsia" w:ascii="宋体" w:hAnsi="宋体" w:cs="宋体"/>
                <w:sz w:val="24"/>
              </w:rPr>
              <w:t>★</w:t>
            </w:r>
            <w:r>
              <w:rPr>
                <w:rFonts w:hint="eastAsia" w:ascii="宋体" w:hAnsi="宋体" w:cs="宋体"/>
                <w:bCs/>
                <w:sz w:val="24"/>
              </w:rPr>
              <w:t>医院利旧自助机实现同样系统功能升级</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dxa"/>
          <w:wAfter w:w="0" w:type="dxa"/>
          <w:trHeight w:val="386" w:hRule="atLeast"/>
        </w:trPr>
        <w:tc>
          <w:tcPr>
            <w:tcW w:w="1418" w:type="dxa"/>
            <w:tcBorders>
              <w:top w:val="single" w:color="auto" w:sz="4" w:space="0"/>
              <w:left w:val="single" w:color="auto" w:sz="4" w:space="0"/>
              <w:bottom w:val="single" w:color="auto" w:sz="4" w:space="0"/>
            </w:tcBorders>
            <w:noWrap w:val="0"/>
            <w:vAlign w:val="top"/>
          </w:tcPr>
          <w:p>
            <w:pPr>
              <w:spacing w:line="360" w:lineRule="auto"/>
              <w:jc w:val="center"/>
              <w:rPr>
                <w:rFonts w:ascii="宋体" w:hAnsi="宋体" w:cs="宋体"/>
                <w:bCs/>
                <w:sz w:val="24"/>
              </w:rPr>
            </w:pPr>
            <w:r>
              <w:rPr>
                <w:rFonts w:hint="eastAsia" w:ascii="宋体" w:hAnsi="宋体" w:cs="宋体"/>
                <w:bCs/>
                <w:sz w:val="24"/>
              </w:rPr>
              <w:t>服务要求</w:t>
            </w:r>
          </w:p>
        </w:tc>
        <w:tc>
          <w:tcPr>
            <w:tcW w:w="793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本次要求提供不少于5年原厂质保</w:t>
            </w:r>
          </w:p>
        </w:tc>
      </w:tr>
    </w:tbl>
    <w:p>
      <w:pPr>
        <w:pStyle w:val="2"/>
        <w:numPr>
          <w:ilvl w:val="1"/>
          <w:numId w:val="9"/>
        </w:numPr>
        <w:spacing w:before="240" w:after="60" w:line="413" w:lineRule="auto"/>
      </w:pPr>
      <w:r>
        <w:rPr>
          <w:rFonts w:hint="eastAsia"/>
        </w:rPr>
        <w:t>病区网络打印机</w:t>
      </w:r>
    </w:p>
    <w:tbl>
      <w:tblPr>
        <w:tblStyle w:val="57"/>
        <w:tblW w:w="9322" w:type="dxa"/>
        <w:tblInd w:w="0" w:type="dxa"/>
        <w:tblLayout w:type="fixed"/>
        <w:tblCellMar>
          <w:top w:w="0" w:type="dxa"/>
          <w:left w:w="108" w:type="dxa"/>
          <w:bottom w:w="0" w:type="dxa"/>
          <w:right w:w="108" w:type="dxa"/>
        </w:tblCellMar>
      </w:tblPr>
      <w:tblGrid>
        <w:gridCol w:w="817"/>
        <w:gridCol w:w="1276"/>
        <w:gridCol w:w="7229"/>
      </w:tblGrid>
      <w:tr>
        <w:tblPrEx>
          <w:tblCellMar>
            <w:top w:w="0" w:type="dxa"/>
            <w:left w:w="108" w:type="dxa"/>
            <w:bottom w:w="0" w:type="dxa"/>
            <w:right w:w="108" w:type="dxa"/>
          </w:tblCellMar>
        </w:tblPrEx>
        <w:trPr>
          <w:wBefore w:w="0" w:type="dxa"/>
          <w:wAfter w:w="0" w:type="dxa"/>
          <w:trHeight w:val="42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rFonts w:ascii="宋体" w:hAnsi="宋体" w:cs="宋体"/>
                <w:sz w:val="24"/>
              </w:rPr>
            </w:pPr>
            <w:r>
              <w:rPr>
                <w:rFonts w:hint="eastAsia" w:ascii="宋体" w:hAnsi="宋体" w:cs="宋体"/>
                <w:sz w:val="24"/>
              </w:rPr>
              <w:t>序号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技术指标</w:t>
            </w:r>
          </w:p>
        </w:tc>
        <w:tc>
          <w:tcPr>
            <w:tcW w:w="722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指标要求</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ascii="宋体" w:hAnsi="宋体" w:cs="宋体"/>
                <w:sz w:val="24"/>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产品类型</w:t>
            </w:r>
          </w:p>
        </w:tc>
        <w:tc>
          <w:tcPr>
            <w:tcW w:w="722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A4黑白激光打印机</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3</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打印速度</w:t>
            </w:r>
          </w:p>
        </w:tc>
        <w:tc>
          <w:tcPr>
            <w:tcW w:w="722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A4打印速度≥40ppm， A5打印速度≥58ppm, 最大月打印量：≥80000页, 首页打印时间：≤6.9秒, 处理器：≥800MHz, 内存：≥512MB, 高速 USB 2.0 ；接口类型：有线网络：IEEE 802.3 10/100Base-Tx</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4</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双面打印</w:t>
            </w:r>
          </w:p>
        </w:tc>
        <w:tc>
          <w:tcPr>
            <w:tcW w:w="722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自动双面</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5</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耗材类型</w:t>
            </w:r>
          </w:p>
        </w:tc>
        <w:tc>
          <w:tcPr>
            <w:tcW w:w="722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鼓粉分离</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6</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纸张输入容量</w:t>
            </w:r>
          </w:p>
        </w:tc>
        <w:tc>
          <w:tcPr>
            <w:tcW w:w="722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自动纸盒：≥250页，手动进纸器：≥60页 可选配双层纸盒，最大纸张输入容量：≥1410页</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7</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环境参数</w:t>
            </w:r>
          </w:p>
        </w:tc>
        <w:tc>
          <w:tcPr>
            <w:tcW w:w="722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最佳打印温度范围：10-32℃，湿度范围：20% - 80%</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8</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随机粉盒容量</w:t>
            </w:r>
          </w:p>
        </w:tc>
        <w:tc>
          <w:tcPr>
            <w:tcW w:w="722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≥6000页</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9</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服务要求</w:t>
            </w:r>
          </w:p>
        </w:tc>
        <w:tc>
          <w:tcPr>
            <w:tcW w:w="722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kern w:val="0"/>
                <w:sz w:val="24"/>
              </w:rPr>
              <w:t>▲</w:t>
            </w:r>
            <w:r>
              <w:rPr>
                <w:rFonts w:hint="eastAsia" w:ascii="宋体" w:hAnsi="宋体" w:cs="宋体"/>
                <w:sz w:val="24"/>
              </w:rPr>
              <w:t>原厂工程师不少于三年免费上门保修。</w:t>
            </w:r>
          </w:p>
        </w:tc>
      </w:tr>
    </w:tbl>
    <w:p/>
    <w:p>
      <w:pPr>
        <w:pStyle w:val="2"/>
        <w:numPr>
          <w:ilvl w:val="1"/>
          <w:numId w:val="9"/>
        </w:numPr>
        <w:spacing w:before="240" w:after="60" w:line="413" w:lineRule="auto"/>
      </w:pPr>
      <w:r>
        <w:rPr>
          <w:rFonts w:hint="eastAsia"/>
        </w:rPr>
        <w:t>热敏打印机1</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trPr>
        <w:tc>
          <w:tcPr>
            <w:tcW w:w="708" w:type="dxa"/>
            <w:noWrap w:val="0"/>
            <w:vAlign w:val="center"/>
          </w:tcPr>
          <w:p>
            <w:pPr>
              <w:spacing w:line="360" w:lineRule="auto"/>
              <w:jc w:val="center"/>
              <w:rPr>
                <w:rFonts w:ascii="宋体" w:hAnsi="宋体" w:cs="宋体"/>
                <w:sz w:val="24"/>
              </w:rPr>
            </w:pPr>
            <w:r>
              <w:rPr>
                <w:rFonts w:hint="eastAsia" w:ascii="宋体" w:hAnsi="宋体" w:cs="宋体"/>
                <w:b/>
                <w:bCs/>
                <w:sz w:val="24"/>
              </w:rPr>
              <w:t>序号</w:t>
            </w:r>
          </w:p>
        </w:tc>
        <w:tc>
          <w:tcPr>
            <w:tcW w:w="1668" w:type="dxa"/>
            <w:noWrap w:val="0"/>
            <w:vAlign w:val="center"/>
          </w:tcPr>
          <w:p>
            <w:pPr>
              <w:spacing w:line="360" w:lineRule="auto"/>
              <w:jc w:val="center"/>
              <w:rPr>
                <w:rFonts w:ascii="宋体" w:hAnsi="宋体" w:cs="宋体"/>
                <w:sz w:val="24"/>
              </w:rPr>
            </w:pPr>
            <w:r>
              <w:rPr>
                <w:rFonts w:hint="eastAsia" w:ascii="宋体" w:hAnsi="宋体" w:cs="宋体"/>
                <w:b/>
                <w:bCs/>
                <w:sz w:val="24"/>
              </w:rPr>
              <w:t>名称</w:t>
            </w:r>
          </w:p>
        </w:tc>
        <w:tc>
          <w:tcPr>
            <w:tcW w:w="6946" w:type="dxa"/>
            <w:noWrap w:val="0"/>
            <w:vAlign w:val="center"/>
          </w:tcPr>
          <w:p>
            <w:pPr>
              <w:jc w:val="center"/>
              <w:rPr>
                <w:rFonts w:ascii="宋体" w:hAnsi="宋体" w:cs="宋体"/>
                <w:sz w:val="24"/>
              </w:rPr>
            </w:pPr>
            <w:r>
              <w:rPr>
                <w:rFonts w:hint="eastAsia" w:ascii="宋体" w:hAnsi="宋体" w:cs="宋体"/>
                <w:b/>
                <w:bCs/>
                <w:color w:val="000000"/>
                <w:sz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708" w:type="dxa"/>
            <w:noWrap w:val="0"/>
            <w:vAlign w:val="center"/>
          </w:tcPr>
          <w:p>
            <w:pPr>
              <w:jc w:val="center"/>
              <w:rPr>
                <w:rFonts w:ascii="宋体" w:hAnsi="宋体" w:cs="宋体"/>
                <w:sz w:val="24"/>
              </w:rPr>
            </w:pPr>
            <w:r>
              <w:rPr>
                <w:rFonts w:hint="eastAsia" w:ascii="宋体" w:hAnsi="宋体" w:cs="宋体"/>
                <w:sz w:val="24"/>
              </w:rPr>
              <w:t>1</w:t>
            </w:r>
          </w:p>
        </w:tc>
        <w:tc>
          <w:tcPr>
            <w:tcW w:w="1668" w:type="dxa"/>
            <w:noWrap w:val="0"/>
            <w:vAlign w:val="center"/>
          </w:tcPr>
          <w:p>
            <w:pPr>
              <w:jc w:val="center"/>
              <w:rPr>
                <w:rFonts w:ascii="宋体" w:hAnsi="宋体" w:cs="宋体"/>
                <w:sz w:val="24"/>
              </w:rPr>
            </w:pPr>
            <w:r>
              <w:rPr>
                <w:rFonts w:hint="eastAsia" w:ascii="宋体" w:hAnsi="宋体" w:cs="宋体"/>
                <w:sz w:val="24"/>
              </w:rPr>
              <w:t>打印方法</w:t>
            </w:r>
          </w:p>
        </w:tc>
        <w:tc>
          <w:tcPr>
            <w:tcW w:w="6946" w:type="dxa"/>
            <w:noWrap w:val="0"/>
            <w:vAlign w:val="center"/>
          </w:tcPr>
          <w:p>
            <w:pPr>
              <w:jc w:val="center"/>
              <w:rPr>
                <w:rFonts w:ascii="宋体" w:hAnsi="宋体" w:cs="宋体"/>
                <w:sz w:val="24"/>
              </w:rPr>
            </w:pPr>
            <w:r>
              <w:rPr>
                <w:rFonts w:hint="eastAsia" w:ascii="宋体" w:hAnsi="宋体" w:cs="宋体"/>
                <w:sz w:val="24"/>
              </w:rPr>
              <w:t>热敏或热转印, 打印速度≥127毫米</w:t>
            </w:r>
            <w:r>
              <w:rPr>
                <w:rFonts w:ascii="宋体" w:hAnsi="宋体" w:cs="宋体"/>
                <w:sz w:val="24"/>
              </w:rPr>
              <w:t>/</w:t>
            </w:r>
            <w:r>
              <w:rPr>
                <w:rFonts w:hint="eastAsia" w:ascii="宋体" w:hAnsi="宋体" w:cs="宋体"/>
                <w:sz w:val="24"/>
              </w:rPr>
              <w:t>秒, 打印头寿命≥</w:t>
            </w:r>
            <w:r>
              <w:rPr>
                <w:rFonts w:ascii="宋体" w:hAnsi="宋体" w:cs="宋体"/>
                <w:sz w:val="24"/>
              </w:rPr>
              <w:t>150KM</w:t>
            </w:r>
            <w:r>
              <w:rPr>
                <w:rFonts w:hint="eastAsia" w:ascii="宋体" w:hAnsi="宋体" w:cs="宋体"/>
                <w:sz w:val="24"/>
              </w:rPr>
              <w:t>, 分辨率≥203</w:t>
            </w:r>
            <w:r>
              <w:rPr>
                <w:rFonts w:ascii="宋体" w:hAnsi="宋体" w:cs="宋体"/>
                <w:sz w:val="24"/>
              </w:rPr>
              <w:t xml:space="preserve"> dpi</w:t>
            </w:r>
            <w:r>
              <w:rPr>
                <w:rFonts w:hint="eastAsia" w:ascii="宋体" w:hAnsi="宋体" w:cs="宋体"/>
                <w:sz w:val="24"/>
              </w:rPr>
              <w:t>（</w:t>
            </w:r>
            <w:r>
              <w:rPr>
                <w:rFonts w:ascii="宋体" w:hAnsi="宋体" w:cs="宋体"/>
                <w:sz w:val="24"/>
              </w:rPr>
              <w:t xml:space="preserve">8 </w:t>
            </w:r>
            <w:r>
              <w:rPr>
                <w:rFonts w:hint="eastAsia" w:ascii="宋体" w:hAnsi="宋体" w:cs="宋体"/>
                <w:sz w:val="24"/>
              </w:rPr>
              <w:t>点</w:t>
            </w:r>
            <w:r>
              <w:rPr>
                <w:rFonts w:ascii="宋体" w:hAnsi="宋体" w:cs="宋体"/>
                <w:sz w:val="24"/>
              </w:rPr>
              <w:t>/</w:t>
            </w:r>
            <w:r>
              <w:rPr>
                <w:rFonts w:hint="eastAsia" w:ascii="宋体" w:hAnsi="宋体" w:cs="宋体"/>
                <w:sz w:val="24"/>
              </w:rPr>
              <w:t>毫米), 内存≥</w:t>
            </w:r>
            <w:r>
              <w:rPr>
                <w:rFonts w:ascii="宋体" w:hAnsi="宋体" w:cs="宋体"/>
                <w:sz w:val="24"/>
              </w:rPr>
              <w:t>8MB</w:t>
            </w:r>
            <w:r>
              <w:rPr>
                <w:rFonts w:hint="eastAsia" w:ascii="宋体" w:hAnsi="宋体" w:cs="宋体"/>
                <w:sz w:val="24"/>
              </w:rPr>
              <w:t>, 打印实际宽度≥</w:t>
            </w:r>
            <w:r>
              <w:rPr>
                <w:rFonts w:ascii="宋体" w:hAnsi="宋体" w:cs="宋体"/>
                <w:sz w:val="24"/>
              </w:rPr>
              <w:t xml:space="preserve">108 </w:t>
            </w:r>
            <w:r>
              <w:rPr>
                <w:rFonts w:hint="eastAsia" w:ascii="宋体" w:hAnsi="宋体" w:cs="宋体"/>
                <w:sz w:val="24"/>
              </w:rPr>
              <w:t>毫米, 介质最大长度:卷纸外径≥127MM,</w:t>
            </w:r>
            <w:r>
              <w:rPr>
                <w:rFonts w:ascii="宋体" w:hAnsi="宋体" w:cs="宋体"/>
                <w:sz w:val="24"/>
              </w:rPr>
              <w:t xml:space="preserve"> USB</w:t>
            </w:r>
            <w:r>
              <w:rPr>
                <w:rFonts w:hint="eastAsia" w:ascii="宋体" w:hAnsi="宋体" w:cs="宋体"/>
                <w:sz w:val="24"/>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708" w:type="dxa"/>
            <w:noWrap w:val="0"/>
            <w:vAlign w:val="center"/>
          </w:tcPr>
          <w:p>
            <w:pPr>
              <w:jc w:val="center"/>
              <w:rPr>
                <w:rFonts w:ascii="宋体" w:hAnsi="宋体" w:cs="宋体"/>
                <w:sz w:val="24"/>
              </w:rPr>
            </w:pPr>
            <w:r>
              <w:rPr>
                <w:rFonts w:hint="eastAsia" w:ascii="宋体" w:hAnsi="宋体" w:cs="宋体"/>
                <w:sz w:val="24"/>
              </w:rPr>
              <w:t>2</w:t>
            </w:r>
          </w:p>
        </w:tc>
        <w:tc>
          <w:tcPr>
            <w:tcW w:w="1668" w:type="dxa"/>
            <w:noWrap w:val="0"/>
            <w:vAlign w:val="center"/>
          </w:tcPr>
          <w:p>
            <w:pPr>
              <w:jc w:val="center"/>
              <w:rPr>
                <w:rFonts w:ascii="宋体" w:hAnsi="宋体" w:cs="宋体"/>
                <w:sz w:val="24"/>
              </w:rPr>
            </w:pPr>
            <w:r>
              <w:rPr>
                <w:rFonts w:hint="eastAsia" w:ascii="宋体" w:hAnsi="宋体" w:cs="宋体"/>
                <w:sz w:val="24"/>
              </w:rPr>
              <w:t>介质传感器</w:t>
            </w:r>
          </w:p>
        </w:tc>
        <w:tc>
          <w:tcPr>
            <w:tcW w:w="6946" w:type="dxa"/>
            <w:noWrap w:val="0"/>
            <w:vAlign w:val="center"/>
          </w:tcPr>
          <w:p>
            <w:pPr>
              <w:jc w:val="center"/>
              <w:rPr>
                <w:rFonts w:ascii="宋体" w:hAnsi="宋体" w:cs="宋体"/>
                <w:sz w:val="24"/>
              </w:rPr>
            </w:pPr>
            <w:r>
              <w:rPr>
                <w:rFonts w:hint="eastAsia" w:ascii="宋体" w:hAnsi="宋体" w:cs="宋体"/>
                <w:sz w:val="24"/>
              </w:rPr>
              <w:t>反射式穿透式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5" w:hRule="atLeast"/>
        </w:trPr>
        <w:tc>
          <w:tcPr>
            <w:tcW w:w="708" w:type="dxa"/>
            <w:noWrap w:val="0"/>
            <w:vAlign w:val="center"/>
          </w:tcPr>
          <w:p>
            <w:pPr>
              <w:jc w:val="center"/>
              <w:rPr>
                <w:rFonts w:ascii="宋体" w:hAnsi="宋体" w:cs="宋体"/>
                <w:sz w:val="24"/>
              </w:rPr>
            </w:pPr>
            <w:r>
              <w:rPr>
                <w:rFonts w:hint="eastAsia" w:ascii="宋体" w:hAnsi="宋体" w:cs="宋体"/>
                <w:sz w:val="24"/>
              </w:rPr>
              <w:t>3</w:t>
            </w:r>
          </w:p>
        </w:tc>
        <w:tc>
          <w:tcPr>
            <w:tcW w:w="1668" w:type="dxa"/>
            <w:noWrap w:val="0"/>
            <w:vAlign w:val="center"/>
          </w:tcPr>
          <w:p>
            <w:pPr>
              <w:jc w:val="center"/>
              <w:rPr>
                <w:rFonts w:ascii="宋体" w:hAnsi="宋体" w:cs="宋体"/>
                <w:sz w:val="24"/>
              </w:rPr>
            </w:pPr>
            <w:r>
              <w:rPr>
                <w:rFonts w:hint="eastAsia" w:ascii="宋体" w:hAnsi="宋体" w:cs="宋体"/>
                <w:sz w:val="24"/>
              </w:rPr>
              <w:t>介质类型</w:t>
            </w:r>
          </w:p>
        </w:tc>
        <w:tc>
          <w:tcPr>
            <w:tcW w:w="6946" w:type="dxa"/>
            <w:noWrap w:val="0"/>
            <w:vAlign w:val="center"/>
          </w:tcPr>
          <w:p>
            <w:pPr>
              <w:jc w:val="center"/>
              <w:rPr>
                <w:rFonts w:ascii="宋体" w:hAnsi="宋体" w:cs="宋体"/>
                <w:sz w:val="24"/>
              </w:rPr>
            </w:pPr>
            <w:r>
              <w:rPr>
                <w:rFonts w:hint="eastAsia" w:ascii="宋体" w:hAnsi="宋体" w:cs="宋体"/>
                <w:sz w:val="24"/>
              </w:rPr>
              <w:t>卷筒纸、连续纸、模切纸、连续热敏标签、</w:t>
            </w:r>
            <w:r>
              <w:rPr>
                <w:rFonts w:ascii="宋体" w:hAnsi="宋体" w:cs="宋体"/>
                <w:sz w:val="24"/>
              </w:rPr>
              <w:t>tag</w:t>
            </w:r>
            <w:r>
              <w:rPr>
                <w:rFonts w:hint="eastAsia" w:ascii="宋体" w:hAnsi="宋体" w:cs="宋体"/>
                <w:sz w:val="24"/>
              </w:rPr>
              <w:t>材料、连续收据纸，支持腕带和免衬纸热敏介质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46" w:hRule="atLeast"/>
        </w:trPr>
        <w:tc>
          <w:tcPr>
            <w:tcW w:w="708" w:type="dxa"/>
            <w:noWrap w:val="0"/>
            <w:vAlign w:val="center"/>
          </w:tcPr>
          <w:p>
            <w:pPr>
              <w:jc w:val="center"/>
              <w:rPr>
                <w:rFonts w:ascii="宋体" w:hAnsi="宋体" w:cs="宋体"/>
                <w:sz w:val="24"/>
              </w:rPr>
            </w:pPr>
            <w:r>
              <w:rPr>
                <w:rFonts w:hint="eastAsia" w:ascii="宋体" w:hAnsi="宋体" w:cs="宋体"/>
                <w:sz w:val="24"/>
              </w:rPr>
              <w:t>4</w:t>
            </w:r>
          </w:p>
        </w:tc>
        <w:tc>
          <w:tcPr>
            <w:tcW w:w="1668" w:type="dxa"/>
            <w:noWrap w:val="0"/>
            <w:vAlign w:val="center"/>
          </w:tcPr>
          <w:p>
            <w:pPr>
              <w:jc w:val="center"/>
              <w:rPr>
                <w:rFonts w:ascii="宋体" w:hAnsi="宋体" w:cs="宋体"/>
                <w:sz w:val="24"/>
              </w:rPr>
            </w:pPr>
            <w:r>
              <w:rPr>
                <w:rFonts w:hint="eastAsia" w:ascii="宋体" w:hAnsi="宋体" w:cs="宋体"/>
                <w:sz w:val="24"/>
              </w:rPr>
              <w:t>其他</w:t>
            </w:r>
          </w:p>
        </w:tc>
        <w:tc>
          <w:tcPr>
            <w:tcW w:w="6946" w:type="dxa"/>
            <w:noWrap w:val="0"/>
            <w:vAlign w:val="center"/>
          </w:tcPr>
          <w:p>
            <w:pPr>
              <w:jc w:val="left"/>
              <w:rPr>
                <w:rFonts w:ascii="宋体" w:hAnsi="宋体" w:cs="宋体"/>
                <w:sz w:val="24"/>
              </w:rPr>
            </w:pPr>
            <w:r>
              <w:rPr>
                <w:rFonts w:hint="eastAsia" w:ascii="宋体" w:hAnsi="宋体" w:cs="宋体"/>
                <w:sz w:val="24"/>
              </w:rPr>
              <w:t>自动定位不浪费首页；自动节能模式，打印智能小助手,根据客户需要提供二次开发包，协助客户进行二次开发。配置最新版的SDK开发包，提供双向通讯协议模块：标配缺纸、卡纸、缺碳带、色带故障、打印机故障、显示器故障等远程双向通讯协议,预留升级接口。</w:t>
            </w: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1" w:hRule="atLeast"/>
        </w:trPr>
        <w:tc>
          <w:tcPr>
            <w:tcW w:w="708" w:type="dxa"/>
            <w:noWrap w:val="0"/>
            <w:vAlign w:val="center"/>
          </w:tcPr>
          <w:p>
            <w:pPr>
              <w:jc w:val="center"/>
              <w:rPr>
                <w:rFonts w:ascii="宋体" w:hAnsi="宋体" w:cs="宋体"/>
                <w:sz w:val="24"/>
              </w:rPr>
            </w:pPr>
            <w:r>
              <w:rPr>
                <w:rFonts w:hint="eastAsia" w:ascii="宋体" w:hAnsi="宋体" w:cs="宋体"/>
                <w:sz w:val="24"/>
              </w:rPr>
              <w:t>5</w:t>
            </w:r>
          </w:p>
        </w:tc>
        <w:tc>
          <w:tcPr>
            <w:tcW w:w="1668" w:type="dxa"/>
            <w:noWrap w:val="0"/>
            <w:vAlign w:val="center"/>
          </w:tcPr>
          <w:p>
            <w:pPr>
              <w:jc w:val="center"/>
              <w:rPr>
                <w:rFonts w:ascii="宋体" w:hAnsi="宋体" w:cs="宋体"/>
                <w:sz w:val="24"/>
              </w:rPr>
            </w:pPr>
            <w:r>
              <w:rPr>
                <w:rFonts w:hint="eastAsia" w:ascii="宋体" w:hAnsi="宋体" w:cs="宋体"/>
                <w:sz w:val="24"/>
              </w:rPr>
              <w:t>检测功能</w:t>
            </w:r>
          </w:p>
        </w:tc>
        <w:tc>
          <w:tcPr>
            <w:tcW w:w="6946" w:type="dxa"/>
            <w:noWrap w:val="0"/>
            <w:vAlign w:val="center"/>
          </w:tcPr>
          <w:p>
            <w:pPr>
              <w:jc w:val="center"/>
              <w:rPr>
                <w:rFonts w:ascii="宋体" w:hAnsi="宋体" w:cs="宋体"/>
                <w:sz w:val="24"/>
              </w:rPr>
            </w:pPr>
            <w:r>
              <w:rPr>
                <w:rFonts w:hint="eastAsia" w:ascii="宋体" w:hAnsi="宋体" w:cs="宋体"/>
                <w:sz w:val="24"/>
              </w:rPr>
              <w:t>纸张检测、标签检测、黑标检测、机构检测、碳带检测；一种碳带双拔轮传动的条码打印机；一种条码打印机撕纸结构；一种条码打印机用热敏打印头的定位结构；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708" w:type="dxa"/>
            <w:noWrap w:val="0"/>
            <w:vAlign w:val="center"/>
          </w:tcPr>
          <w:p>
            <w:pPr>
              <w:jc w:val="center"/>
              <w:rPr>
                <w:rFonts w:ascii="宋体" w:hAnsi="宋体" w:cs="宋体"/>
                <w:sz w:val="24"/>
              </w:rPr>
            </w:pPr>
            <w:r>
              <w:rPr>
                <w:rFonts w:hint="eastAsia" w:ascii="宋体" w:hAnsi="宋体" w:cs="宋体"/>
                <w:sz w:val="24"/>
              </w:rPr>
              <w:t>6</w:t>
            </w:r>
          </w:p>
        </w:tc>
        <w:tc>
          <w:tcPr>
            <w:tcW w:w="1668" w:type="dxa"/>
            <w:noWrap w:val="0"/>
            <w:vAlign w:val="center"/>
          </w:tcPr>
          <w:p>
            <w:pPr>
              <w:jc w:val="center"/>
              <w:rPr>
                <w:rFonts w:ascii="宋体" w:hAnsi="宋体" w:cs="宋体"/>
                <w:sz w:val="24"/>
              </w:rPr>
            </w:pPr>
            <w:r>
              <w:rPr>
                <w:rFonts w:hint="eastAsia" w:ascii="宋体" w:hAnsi="宋体" w:cs="宋体"/>
                <w:sz w:val="24"/>
              </w:rPr>
              <w:t>质保</w:t>
            </w:r>
          </w:p>
        </w:tc>
        <w:tc>
          <w:tcPr>
            <w:tcW w:w="6946" w:type="dxa"/>
            <w:noWrap w:val="0"/>
            <w:vAlign w:val="center"/>
          </w:tcPr>
          <w:p>
            <w:pPr>
              <w:jc w:val="center"/>
              <w:rPr>
                <w:rFonts w:ascii="宋体" w:hAnsi="宋体" w:cs="宋体"/>
                <w:sz w:val="24"/>
              </w:rPr>
            </w:pPr>
            <w:r>
              <w:rPr>
                <w:rFonts w:hint="eastAsia" w:ascii="宋体" w:hAnsi="宋体" w:cs="宋体"/>
                <w:kern w:val="0"/>
                <w:sz w:val="24"/>
              </w:rPr>
              <w:t>▲</w:t>
            </w:r>
            <w:r>
              <w:rPr>
                <w:rFonts w:hint="eastAsia" w:ascii="宋体" w:hAnsi="宋体" w:cs="宋体"/>
                <w:sz w:val="24"/>
              </w:rPr>
              <w:t>原厂工程师不少于三年免费上门保修。</w:t>
            </w:r>
          </w:p>
        </w:tc>
      </w:tr>
    </w:tbl>
    <w:p>
      <w:pPr>
        <w:pStyle w:val="2"/>
        <w:numPr>
          <w:ilvl w:val="1"/>
          <w:numId w:val="9"/>
        </w:numPr>
        <w:spacing w:before="240" w:after="60" w:line="413" w:lineRule="auto"/>
      </w:pPr>
      <w:r>
        <w:rPr>
          <w:rFonts w:hint="eastAsia"/>
        </w:rPr>
        <w:t>热敏纸打印机2</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59"/>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7" w:hRule="atLeast"/>
        </w:trPr>
        <w:tc>
          <w:tcPr>
            <w:tcW w:w="751" w:type="dxa"/>
            <w:noWrap w:val="0"/>
            <w:vAlign w:val="top"/>
          </w:tcPr>
          <w:p>
            <w:pPr>
              <w:jc w:val="center"/>
              <w:rPr>
                <w:rFonts w:ascii="宋体" w:hAnsi="宋体" w:cs="宋体"/>
                <w:sz w:val="24"/>
              </w:rPr>
            </w:pPr>
            <w:r>
              <w:rPr>
                <w:rFonts w:hint="eastAsia" w:ascii="宋体" w:hAnsi="宋体" w:cs="宋体"/>
                <w:sz w:val="24"/>
              </w:rPr>
              <w:t>序号</w:t>
            </w:r>
          </w:p>
        </w:tc>
        <w:tc>
          <w:tcPr>
            <w:tcW w:w="1259" w:type="dxa"/>
            <w:noWrap w:val="0"/>
            <w:vAlign w:val="top"/>
          </w:tcPr>
          <w:p>
            <w:pPr>
              <w:jc w:val="center"/>
              <w:rPr>
                <w:rFonts w:ascii="宋体" w:hAnsi="宋体" w:cs="宋体"/>
                <w:sz w:val="24"/>
              </w:rPr>
            </w:pPr>
            <w:r>
              <w:rPr>
                <w:rFonts w:hint="eastAsia" w:ascii="宋体" w:hAnsi="宋体" w:cs="宋体"/>
                <w:sz w:val="24"/>
              </w:rPr>
              <w:t>名称</w:t>
            </w:r>
          </w:p>
        </w:tc>
        <w:tc>
          <w:tcPr>
            <w:tcW w:w="7312" w:type="dxa"/>
            <w:noWrap w:val="0"/>
            <w:vAlign w:val="top"/>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751" w:type="dxa"/>
            <w:noWrap w:val="0"/>
            <w:vAlign w:val="top"/>
          </w:tcPr>
          <w:p>
            <w:pPr>
              <w:jc w:val="center"/>
              <w:rPr>
                <w:rFonts w:ascii="宋体" w:hAnsi="宋体" w:cs="宋体"/>
                <w:sz w:val="24"/>
              </w:rPr>
            </w:pPr>
            <w:r>
              <w:rPr>
                <w:rFonts w:hint="eastAsia" w:ascii="宋体" w:hAnsi="宋体" w:cs="宋体"/>
                <w:sz w:val="24"/>
              </w:rPr>
              <w:t>1</w:t>
            </w:r>
          </w:p>
        </w:tc>
        <w:tc>
          <w:tcPr>
            <w:tcW w:w="1259" w:type="dxa"/>
            <w:noWrap w:val="0"/>
            <w:vAlign w:val="top"/>
          </w:tcPr>
          <w:p>
            <w:pPr>
              <w:jc w:val="center"/>
              <w:rPr>
                <w:rFonts w:ascii="宋体" w:hAnsi="宋体" w:cs="宋体"/>
                <w:sz w:val="24"/>
              </w:rPr>
            </w:pPr>
            <w:r>
              <w:rPr>
                <w:rFonts w:hint="eastAsia" w:ascii="宋体" w:hAnsi="宋体" w:cs="宋体"/>
                <w:sz w:val="24"/>
              </w:rPr>
              <w:t>硬件参数</w:t>
            </w:r>
          </w:p>
        </w:tc>
        <w:tc>
          <w:tcPr>
            <w:tcW w:w="7312" w:type="dxa"/>
            <w:noWrap w:val="0"/>
            <w:vAlign w:val="top"/>
          </w:tcPr>
          <w:p>
            <w:pPr>
              <w:jc w:val="left"/>
              <w:rPr>
                <w:rFonts w:ascii="宋体" w:hAnsi="宋体" w:cs="宋体"/>
                <w:sz w:val="24"/>
              </w:rPr>
            </w:pPr>
            <w:r>
              <w:rPr>
                <w:rFonts w:hint="eastAsia" w:ascii="宋体" w:hAnsi="宋体" w:cs="宋体"/>
                <w:sz w:val="24"/>
              </w:rPr>
              <w:t>热敏或热转印，自动切纸；打印速度≥150毫米</w:t>
            </w:r>
            <w:r>
              <w:rPr>
                <w:rFonts w:ascii="宋体" w:hAnsi="宋体" w:cs="宋体"/>
                <w:sz w:val="24"/>
              </w:rPr>
              <w:t>/</w:t>
            </w:r>
            <w:r>
              <w:rPr>
                <w:rFonts w:hint="eastAsia" w:ascii="宋体" w:hAnsi="宋体" w:cs="宋体"/>
                <w:sz w:val="24"/>
              </w:rPr>
              <w:t>秒；打印头寿命≥</w:t>
            </w:r>
            <w:r>
              <w:rPr>
                <w:rFonts w:ascii="宋体" w:hAnsi="宋体" w:cs="宋体"/>
                <w:sz w:val="24"/>
              </w:rPr>
              <w:t>150KM</w:t>
            </w:r>
            <w:r>
              <w:rPr>
                <w:rFonts w:hint="eastAsia" w:ascii="宋体" w:hAnsi="宋体" w:cs="宋体"/>
                <w:sz w:val="24"/>
              </w:rPr>
              <w:t>；分辨率≥</w:t>
            </w:r>
            <w:r>
              <w:rPr>
                <w:rFonts w:ascii="宋体" w:hAnsi="宋体" w:cs="宋体"/>
                <w:sz w:val="24"/>
              </w:rPr>
              <w:t>300dpi</w:t>
            </w:r>
            <w:r>
              <w:rPr>
                <w:rFonts w:hint="eastAsia" w:ascii="宋体" w:hAnsi="宋体" w:cs="宋体"/>
                <w:sz w:val="24"/>
              </w:rPr>
              <w:t>（</w:t>
            </w:r>
            <w:r>
              <w:rPr>
                <w:rFonts w:ascii="宋体" w:hAnsi="宋体" w:cs="宋体"/>
                <w:sz w:val="24"/>
              </w:rPr>
              <w:t xml:space="preserve">8 </w:t>
            </w:r>
            <w:r>
              <w:rPr>
                <w:rFonts w:hint="eastAsia" w:ascii="宋体" w:hAnsi="宋体" w:cs="宋体"/>
                <w:sz w:val="24"/>
              </w:rPr>
              <w:t>点</w:t>
            </w:r>
            <w:r>
              <w:rPr>
                <w:rFonts w:ascii="宋体" w:hAnsi="宋体" w:cs="宋体"/>
                <w:sz w:val="24"/>
              </w:rPr>
              <w:t>/</w:t>
            </w:r>
            <w:r>
              <w:rPr>
                <w:rFonts w:hint="eastAsia" w:ascii="宋体" w:hAnsi="宋体" w:cs="宋体"/>
                <w:sz w:val="24"/>
              </w:rPr>
              <w:t>毫米）；内存：≥</w:t>
            </w:r>
            <w:r>
              <w:rPr>
                <w:rFonts w:ascii="宋体" w:hAnsi="宋体" w:cs="宋体"/>
                <w:sz w:val="24"/>
              </w:rPr>
              <w:t> 8 MB</w:t>
            </w:r>
            <w:r>
              <w:rPr>
                <w:rFonts w:hint="eastAsia" w:ascii="宋体" w:hAnsi="宋体" w:cs="宋体"/>
                <w:sz w:val="24"/>
              </w:rPr>
              <w:t>；打印实际宽度≥</w:t>
            </w:r>
            <w:r>
              <w:rPr>
                <w:rFonts w:ascii="宋体" w:hAnsi="宋体" w:cs="宋体"/>
                <w:sz w:val="24"/>
              </w:rPr>
              <w:t xml:space="preserve">108 </w:t>
            </w:r>
            <w:r>
              <w:rPr>
                <w:rFonts w:hint="eastAsia" w:ascii="宋体" w:hAnsi="宋体" w:cs="宋体"/>
                <w:sz w:val="24"/>
              </w:rPr>
              <w:t>毫米；介质传感器：反射式穿透式；质最大长度≥</w:t>
            </w:r>
            <w:r>
              <w:rPr>
                <w:rFonts w:ascii="宋体" w:hAnsi="宋体" w:cs="宋体"/>
                <w:sz w:val="24"/>
              </w:rPr>
              <w:t xml:space="preserve">990 </w:t>
            </w:r>
            <w:r>
              <w:rPr>
                <w:rFonts w:hint="eastAsia" w:ascii="宋体" w:hAnsi="宋体" w:cs="宋体"/>
                <w:sz w:val="24"/>
              </w:rPr>
              <w:t>毫米；最大介质卷尺寸：卷纸外径≥127MM；通讯接口：</w:t>
            </w:r>
            <w:r>
              <w:rPr>
                <w:rFonts w:ascii="宋体" w:hAnsi="宋体" w:cs="宋体"/>
                <w:sz w:val="24"/>
              </w:rPr>
              <w:t>USB</w:t>
            </w:r>
            <w:r>
              <w:rPr>
                <w:rFonts w:hint="eastAsia" w:ascii="宋体" w:hAnsi="宋体" w:cs="宋体"/>
                <w:sz w:val="24"/>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51" w:type="dxa"/>
            <w:noWrap w:val="0"/>
            <w:vAlign w:val="top"/>
          </w:tcPr>
          <w:p>
            <w:pPr>
              <w:jc w:val="center"/>
              <w:rPr>
                <w:rFonts w:ascii="宋体" w:hAnsi="宋体" w:cs="宋体"/>
                <w:sz w:val="24"/>
              </w:rPr>
            </w:pPr>
            <w:r>
              <w:rPr>
                <w:rFonts w:hint="eastAsia" w:ascii="宋体" w:hAnsi="宋体" w:cs="宋体"/>
                <w:sz w:val="24"/>
              </w:rPr>
              <w:t>2</w:t>
            </w:r>
          </w:p>
        </w:tc>
        <w:tc>
          <w:tcPr>
            <w:tcW w:w="1259" w:type="dxa"/>
            <w:noWrap w:val="0"/>
            <w:vAlign w:val="top"/>
          </w:tcPr>
          <w:p>
            <w:pPr>
              <w:jc w:val="center"/>
              <w:rPr>
                <w:rFonts w:ascii="宋体" w:hAnsi="宋体" w:cs="宋体"/>
                <w:sz w:val="24"/>
              </w:rPr>
            </w:pPr>
            <w:r>
              <w:rPr>
                <w:rFonts w:hint="eastAsia" w:ascii="宋体" w:hAnsi="宋体" w:cs="宋体"/>
                <w:sz w:val="24"/>
              </w:rPr>
              <w:t>介质类型</w:t>
            </w:r>
          </w:p>
        </w:tc>
        <w:tc>
          <w:tcPr>
            <w:tcW w:w="7312" w:type="dxa"/>
            <w:noWrap w:val="0"/>
            <w:vAlign w:val="top"/>
          </w:tcPr>
          <w:p>
            <w:pPr>
              <w:jc w:val="left"/>
              <w:rPr>
                <w:rFonts w:ascii="宋体" w:hAnsi="宋体" w:cs="宋体"/>
                <w:sz w:val="24"/>
              </w:rPr>
            </w:pPr>
            <w:r>
              <w:rPr>
                <w:rFonts w:hint="eastAsia" w:ascii="宋体" w:hAnsi="宋体" w:cs="宋体"/>
                <w:sz w:val="24"/>
              </w:rPr>
              <w:t>卷筒纸、连续纸、模切纸、连续热敏标签、</w:t>
            </w:r>
            <w:r>
              <w:rPr>
                <w:rFonts w:ascii="宋体" w:hAnsi="宋体" w:cs="宋体"/>
                <w:sz w:val="24"/>
              </w:rPr>
              <w:t>tag</w:t>
            </w:r>
            <w:r>
              <w:rPr>
                <w:rFonts w:hint="eastAsia" w:ascii="宋体" w:hAnsi="宋体" w:cs="宋体"/>
                <w:sz w:val="24"/>
              </w:rPr>
              <w:t>材料、连续收据纸，支持腕带和免衬纸热敏介质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43" w:hRule="atLeast"/>
        </w:trPr>
        <w:tc>
          <w:tcPr>
            <w:tcW w:w="751" w:type="dxa"/>
            <w:noWrap w:val="0"/>
            <w:vAlign w:val="top"/>
          </w:tcPr>
          <w:p>
            <w:pPr>
              <w:jc w:val="center"/>
              <w:rPr>
                <w:rFonts w:ascii="宋体" w:hAnsi="宋体" w:cs="宋体"/>
                <w:sz w:val="24"/>
              </w:rPr>
            </w:pPr>
            <w:r>
              <w:rPr>
                <w:rFonts w:hint="eastAsia" w:ascii="宋体" w:hAnsi="宋体" w:cs="宋体"/>
                <w:sz w:val="24"/>
              </w:rPr>
              <w:t>3</w:t>
            </w:r>
          </w:p>
        </w:tc>
        <w:tc>
          <w:tcPr>
            <w:tcW w:w="1259" w:type="dxa"/>
            <w:noWrap w:val="0"/>
            <w:vAlign w:val="top"/>
          </w:tcPr>
          <w:p>
            <w:pPr>
              <w:jc w:val="center"/>
              <w:rPr>
                <w:rFonts w:ascii="宋体" w:hAnsi="宋体" w:cs="宋体"/>
                <w:sz w:val="24"/>
              </w:rPr>
            </w:pPr>
            <w:r>
              <w:rPr>
                <w:rFonts w:hint="eastAsia" w:ascii="宋体" w:hAnsi="宋体" w:cs="宋体"/>
                <w:sz w:val="24"/>
              </w:rPr>
              <w:t>其他</w:t>
            </w:r>
          </w:p>
        </w:tc>
        <w:tc>
          <w:tcPr>
            <w:tcW w:w="7312" w:type="dxa"/>
            <w:noWrap w:val="0"/>
            <w:vAlign w:val="top"/>
          </w:tcPr>
          <w:p>
            <w:pPr>
              <w:jc w:val="left"/>
              <w:rPr>
                <w:rFonts w:ascii="宋体" w:hAnsi="宋体" w:cs="宋体"/>
                <w:sz w:val="24"/>
              </w:rPr>
            </w:pPr>
            <w:r>
              <w:rPr>
                <w:rFonts w:hint="eastAsia" w:ascii="宋体" w:hAnsi="宋体" w:cs="宋体"/>
                <w:sz w:val="24"/>
              </w:rPr>
              <w:t>自动定位不浪费首页；自动节能模式，打印智能小助手,根据客户需要提供二次开发包，协助客户进行二次开发。配置最新版的SDK开发包，提供双向通讯协议模块：标配缺纸、卡纸、缺碳带、色带故障、打印机故障、显示器故障等远程双向通讯协议,预留升级接口。</w:t>
            </w:r>
          </w:p>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3" w:hRule="atLeast"/>
        </w:trPr>
        <w:tc>
          <w:tcPr>
            <w:tcW w:w="751" w:type="dxa"/>
            <w:noWrap w:val="0"/>
            <w:vAlign w:val="top"/>
          </w:tcPr>
          <w:p>
            <w:pPr>
              <w:jc w:val="center"/>
              <w:rPr>
                <w:rFonts w:ascii="宋体" w:hAnsi="宋体" w:cs="宋体"/>
                <w:sz w:val="24"/>
              </w:rPr>
            </w:pPr>
            <w:r>
              <w:rPr>
                <w:rFonts w:hint="eastAsia" w:ascii="宋体" w:hAnsi="宋体" w:cs="宋体"/>
                <w:sz w:val="24"/>
              </w:rPr>
              <w:t>4</w:t>
            </w:r>
          </w:p>
        </w:tc>
        <w:tc>
          <w:tcPr>
            <w:tcW w:w="1259" w:type="dxa"/>
            <w:noWrap w:val="0"/>
            <w:vAlign w:val="top"/>
          </w:tcPr>
          <w:p>
            <w:pPr>
              <w:jc w:val="center"/>
              <w:rPr>
                <w:rFonts w:ascii="宋体" w:hAnsi="宋体" w:cs="宋体"/>
                <w:sz w:val="24"/>
              </w:rPr>
            </w:pPr>
            <w:r>
              <w:rPr>
                <w:rFonts w:hint="eastAsia" w:ascii="宋体" w:hAnsi="宋体" w:cs="宋体"/>
                <w:sz w:val="24"/>
              </w:rPr>
              <w:t>检测功能</w:t>
            </w:r>
          </w:p>
        </w:tc>
        <w:tc>
          <w:tcPr>
            <w:tcW w:w="7312" w:type="dxa"/>
            <w:noWrap w:val="0"/>
            <w:vAlign w:val="top"/>
          </w:tcPr>
          <w:p>
            <w:pPr>
              <w:jc w:val="left"/>
              <w:rPr>
                <w:rFonts w:ascii="宋体" w:hAnsi="宋体" w:cs="宋体"/>
                <w:sz w:val="24"/>
              </w:rPr>
            </w:pPr>
            <w:r>
              <w:rPr>
                <w:rFonts w:hint="eastAsia" w:ascii="宋体" w:hAnsi="宋体" w:cs="宋体"/>
                <w:sz w:val="24"/>
              </w:rPr>
              <w:t>纸张检测、标签检测、黑标检测、机构检测、碳带检测；一种碳带双拔轮传动的条码打印机；一种条码打印机撕纸结构；一种条码打印机用热敏打印头的定位结构。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51" w:type="dxa"/>
            <w:noWrap w:val="0"/>
            <w:vAlign w:val="top"/>
          </w:tcPr>
          <w:p>
            <w:pPr>
              <w:jc w:val="center"/>
              <w:rPr>
                <w:rFonts w:ascii="宋体" w:hAnsi="宋体" w:cs="宋体"/>
                <w:sz w:val="24"/>
              </w:rPr>
            </w:pPr>
            <w:r>
              <w:rPr>
                <w:rFonts w:hint="eastAsia" w:ascii="宋体" w:hAnsi="宋体" w:cs="宋体"/>
                <w:sz w:val="24"/>
              </w:rPr>
              <w:t>5</w:t>
            </w:r>
          </w:p>
        </w:tc>
        <w:tc>
          <w:tcPr>
            <w:tcW w:w="1259" w:type="dxa"/>
            <w:noWrap w:val="0"/>
            <w:vAlign w:val="top"/>
          </w:tcPr>
          <w:p>
            <w:pPr>
              <w:jc w:val="center"/>
              <w:rPr>
                <w:rFonts w:ascii="宋体" w:hAnsi="宋体" w:cs="宋体"/>
                <w:sz w:val="24"/>
              </w:rPr>
            </w:pPr>
            <w:r>
              <w:rPr>
                <w:rFonts w:hint="eastAsia" w:ascii="宋体" w:hAnsi="宋体" w:cs="宋体"/>
                <w:sz w:val="24"/>
              </w:rPr>
              <w:t>质保</w:t>
            </w:r>
          </w:p>
        </w:tc>
        <w:tc>
          <w:tcPr>
            <w:tcW w:w="7312" w:type="dxa"/>
            <w:noWrap w:val="0"/>
            <w:vAlign w:val="top"/>
          </w:tcPr>
          <w:p>
            <w:pPr>
              <w:jc w:val="left"/>
              <w:rPr>
                <w:rFonts w:ascii="宋体" w:hAnsi="宋体" w:cs="宋体"/>
                <w:sz w:val="24"/>
              </w:rPr>
            </w:pPr>
            <w:r>
              <w:rPr>
                <w:rFonts w:hint="eastAsia" w:ascii="宋体" w:hAnsi="宋体" w:cs="宋体"/>
                <w:kern w:val="0"/>
                <w:sz w:val="24"/>
              </w:rPr>
              <w:t>▲</w:t>
            </w:r>
            <w:r>
              <w:rPr>
                <w:rFonts w:hint="eastAsia" w:ascii="宋体" w:hAnsi="宋体" w:cs="宋体"/>
                <w:sz w:val="24"/>
              </w:rPr>
              <w:t>原厂工程师不少于三年免费上门保修。</w:t>
            </w:r>
          </w:p>
        </w:tc>
      </w:tr>
    </w:tbl>
    <w:p>
      <w:pPr>
        <w:pStyle w:val="2"/>
        <w:numPr>
          <w:ilvl w:val="1"/>
          <w:numId w:val="9"/>
        </w:numPr>
        <w:spacing w:before="240" w:after="60" w:line="413" w:lineRule="auto"/>
      </w:pPr>
      <w:r>
        <w:rPr>
          <w:rFonts w:hint="eastAsia"/>
        </w:rPr>
        <w:t>门诊黑白打印机</w:t>
      </w:r>
    </w:p>
    <w:tbl>
      <w:tblPr>
        <w:tblStyle w:val="57"/>
        <w:tblW w:w="9322" w:type="dxa"/>
        <w:tblInd w:w="0" w:type="dxa"/>
        <w:tblLayout w:type="fixed"/>
        <w:tblCellMar>
          <w:top w:w="0" w:type="dxa"/>
          <w:left w:w="108" w:type="dxa"/>
          <w:bottom w:w="0" w:type="dxa"/>
          <w:right w:w="108" w:type="dxa"/>
        </w:tblCellMar>
      </w:tblPr>
      <w:tblGrid>
        <w:gridCol w:w="817"/>
        <w:gridCol w:w="1276"/>
        <w:gridCol w:w="7229"/>
      </w:tblGrid>
      <w:tr>
        <w:tblPrEx>
          <w:tblCellMar>
            <w:top w:w="0" w:type="dxa"/>
            <w:left w:w="108" w:type="dxa"/>
            <w:bottom w:w="0" w:type="dxa"/>
            <w:right w:w="108" w:type="dxa"/>
          </w:tblCellMar>
        </w:tblPrEx>
        <w:trPr>
          <w:wBefore w:w="0" w:type="dxa"/>
          <w:wAfter w:w="0" w:type="dxa"/>
          <w:trHeight w:val="42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rFonts w:ascii="宋体" w:hAnsi="宋体" w:cs="仿宋"/>
                <w:b/>
                <w:bCs/>
                <w:kern w:val="16"/>
                <w:sz w:val="24"/>
              </w:rPr>
            </w:pPr>
            <w:r>
              <w:rPr>
                <w:rFonts w:hint="eastAsia" w:ascii="宋体" w:hAnsi="宋体" w:cs="仿宋"/>
                <w:b/>
                <w:bCs/>
                <w:kern w:val="16"/>
                <w:sz w:val="24"/>
              </w:rPr>
              <w:t>序号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仿宋"/>
                <w:b/>
                <w:bCs/>
                <w:kern w:val="16"/>
                <w:sz w:val="24"/>
              </w:rPr>
            </w:pPr>
            <w:r>
              <w:rPr>
                <w:rFonts w:hint="eastAsia" w:ascii="宋体" w:hAnsi="宋体" w:cs="仿宋"/>
                <w:b/>
                <w:bCs/>
                <w:kern w:val="16"/>
                <w:sz w:val="24"/>
              </w:rPr>
              <w:t>技术指标</w:t>
            </w:r>
          </w:p>
        </w:tc>
        <w:tc>
          <w:tcPr>
            <w:tcW w:w="722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仿宋"/>
                <w:b/>
                <w:bCs/>
                <w:kern w:val="16"/>
                <w:sz w:val="24"/>
              </w:rPr>
            </w:pPr>
            <w:r>
              <w:rPr>
                <w:rFonts w:hint="eastAsia" w:ascii="宋体" w:hAnsi="宋体" w:cs="仿宋"/>
                <w:b/>
                <w:bCs/>
                <w:kern w:val="16"/>
                <w:sz w:val="24"/>
              </w:rPr>
              <w:t>指标要求</w:t>
            </w:r>
          </w:p>
        </w:tc>
      </w:tr>
      <w:tr>
        <w:trPr>
          <w:wBefore w:w="0" w:type="dxa"/>
          <w:wAfter w:w="0" w:type="dxa"/>
          <w:trHeight w:val="42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ascii="宋体" w:hAnsi="宋体" w:cs="宋体"/>
                <w:sz w:val="24"/>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产品类型</w:t>
            </w:r>
          </w:p>
        </w:tc>
        <w:tc>
          <w:tcPr>
            <w:tcW w:w="7229"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cs="宋体"/>
                <w:sz w:val="24"/>
              </w:rPr>
            </w:pPr>
            <w:r>
              <w:rPr>
                <w:rFonts w:hint="eastAsia" w:ascii="宋体" w:hAnsi="宋体" w:cs="宋体"/>
                <w:sz w:val="24"/>
              </w:rPr>
              <w:t>A4黑白激光打印机</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2</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打印速度：</w:t>
            </w:r>
          </w:p>
        </w:tc>
        <w:tc>
          <w:tcPr>
            <w:tcW w:w="7229" w:type="dxa"/>
            <w:tcBorders>
              <w:top w:val="nil"/>
              <w:left w:val="nil"/>
              <w:bottom w:val="single" w:color="auto" w:sz="4" w:space="0"/>
              <w:right w:val="single" w:color="auto" w:sz="4" w:space="0"/>
            </w:tcBorders>
            <w:shd w:val="clear" w:color="auto" w:fill="auto"/>
            <w:noWrap/>
            <w:vAlign w:val="center"/>
          </w:tcPr>
          <w:p>
            <w:pPr>
              <w:spacing w:line="220" w:lineRule="atLeast"/>
              <w:jc w:val="left"/>
              <w:rPr>
                <w:rFonts w:ascii="宋体" w:hAnsi="宋体"/>
                <w:sz w:val="24"/>
              </w:rPr>
            </w:pPr>
            <w:r>
              <w:rPr>
                <w:rFonts w:hint="eastAsia" w:ascii="宋体" w:hAnsi="宋体" w:cs="宋体"/>
                <w:sz w:val="24"/>
              </w:rPr>
              <w:t>处理器：</w:t>
            </w:r>
            <w:r>
              <w:rPr>
                <w:rFonts w:hint="eastAsia" w:ascii="宋体" w:hAnsi="宋体"/>
                <w:sz w:val="24"/>
              </w:rPr>
              <w:t>≥600MHz,</w:t>
            </w:r>
            <w:r>
              <w:rPr>
                <w:rFonts w:hint="eastAsia" w:ascii="宋体" w:hAnsi="宋体" w:cs="宋体"/>
                <w:sz w:val="24"/>
              </w:rPr>
              <w:t>内存：≥512MB</w:t>
            </w:r>
            <w:r>
              <w:rPr>
                <w:rFonts w:hint="eastAsia" w:ascii="宋体" w:hAnsi="宋体"/>
                <w:sz w:val="24"/>
              </w:rPr>
              <w:t>,A4打印速度≥33ppm， A5打印速度≥58ppm；</w:t>
            </w:r>
            <w:r>
              <w:rPr>
                <w:rFonts w:hint="eastAsia" w:ascii="宋体" w:hAnsi="宋体" w:cs="宋体"/>
                <w:sz w:val="24"/>
              </w:rPr>
              <w:t>首页打印时间：</w:t>
            </w:r>
            <w:r>
              <w:rPr>
                <w:rFonts w:hint="eastAsia" w:ascii="宋体" w:hAnsi="宋体"/>
                <w:sz w:val="24"/>
              </w:rPr>
              <w:t>≤8.2秒；</w:t>
            </w:r>
            <w:r>
              <w:rPr>
                <w:rFonts w:hint="eastAsia" w:ascii="宋体" w:hAnsi="宋体" w:cs="宋体"/>
                <w:sz w:val="24"/>
              </w:rPr>
              <w:t xml:space="preserve">月负荷量：最大月打印量：≥80000页; 高速 USB 2.0 </w:t>
            </w:r>
            <w:r>
              <w:rPr>
                <w:rFonts w:hint="eastAsia" w:ascii="宋体" w:hAnsi="宋体"/>
                <w:sz w:val="24"/>
              </w:rPr>
              <w:t>；</w:t>
            </w:r>
            <w:r>
              <w:rPr>
                <w:rFonts w:hint="eastAsia" w:ascii="宋体" w:hAnsi="宋体" w:cs="宋体"/>
                <w:sz w:val="24"/>
              </w:rPr>
              <w:t>有线网络：IEEE 802.3 10/100Base-Tx</w:t>
            </w:r>
            <w:r>
              <w:rPr>
                <w:rFonts w:hint="eastAsia" w:ascii="宋体" w:hAnsi="宋体"/>
                <w:sz w:val="24"/>
              </w:rPr>
              <w:t>；自动纸盒：250页，手动进纸器：1页；最佳打印温度范围：10-32℃，湿度范围：20% - 80%。</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3</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双面打印</w:t>
            </w:r>
          </w:p>
        </w:tc>
        <w:tc>
          <w:tcPr>
            <w:tcW w:w="7229"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sz w:val="24"/>
              </w:rPr>
            </w:pPr>
            <w:r>
              <w:rPr>
                <w:rFonts w:hint="eastAsia" w:ascii="宋体" w:hAnsi="宋体" w:cs="宋体"/>
                <w:sz w:val="24"/>
              </w:rPr>
              <w:t>自动双面</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4</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耗材类型</w:t>
            </w:r>
          </w:p>
        </w:tc>
        <w:tc>
          <w:tcPr>
            <w:tcW w:w="7229"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sz w:val="24"/>
              </w:rPr>
            </w:pPr>
            <w:r>
              <w:rPr>
                <w:rFonts w:hint="eastAsia" w:ascii="宋体" w:hAnsi="宋体" w:cs="宋体"/>
                <w:sz w:val="24"/>
              </w:rPr>
              <w:t>鼓粉分离, 随机粉盒容量：</w:t>
            </w:r>
            <w:r>
              <w:rPr>
                <w:rFonts w:hint="eastAsia" w:ascii="宋体" w:hAnsi="宋体"/>
                <w:sz w:val="24"/>
              </w:rPr>
              <w:t>≥3000页</w:t>
            </w:r>
          </w:p>
        </w:tc>
      </w:tr>
      <w:tr>
        <w:tblPrEx>
          <w:tblCellMar>
            <w:top w:w="0" w:type="dxa"/>
            <w:left w:w="108" w:type="dxa"/>
            <w:bottom w:w="0" w:type="dxa"/>
            <w:right w:w="108" w:type="dxa"/>
          </w:tblCellMar>
        </w:tblPrEx>
        <w:trPr>
          <w:wBefore w:w="0" w:type="dxa"/>
          <w:wAfter w:w="0" w:type="dxa"/>
          <w:trHeight w:val="425"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5</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服务要求：</w:t>
            </w:r>
          </w:p>
        </w:tc>
        <w:tc>
          <w:tcPr>
            <w:tcW w:w="7229"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sz w:val="24"/>
              </w:rPr>
            </w:pPr>
            <w:r>
              <w:rPr>
                <w:rFonts w:hint="eastAsia" w:ascii="宋体" w:hAnsi="宋体" w:cs="宋体"/>
                <w:kern w:val="0"/>
                <w:sz w:val="24"/>
              </w:rPr>
              <w:t>▲</w:t>
            </w:r>
            <w:r>
              <w:rPr>
                <w:rFonts w:hint="eastAsia" w:ascii="宋体" w:hAnsi="宋体" w:cs="宋体"/>
                <w:sz w:val="24"/>
              </w:rPr>
              <w:t>原厂工程师不少于三年免费上门保修。</w:t>
            </w:r>
          </w:p>
        </w:tc>
      </w:tr>
    </w:tbl>
    <w:p>
      <w:pPr>
        <w:pStyle w:val="2"/>
        <w:numPr>
          <w:ilvl w:val="1"/>
          <w:numId w:val="9"/>
        </w:numPr>
        <w:spacing w:before="240" w:after="60" w:line="413" w:lineRule="auto"/>
      </w:pPr>
      <w:r>
        <w:rPr>
          <w:rFonts w:hint="eastAsia"/>
        </w:rPr>
        <w:t>复印机（A3）</w:t>
      </w:r>
    </w:p>
    <w:tbl>
      <w:tblPr>
        <w:tblStyle w:val="57"/>
        <w:tblW w:w="9322" w:type="dxa"/>
        <w:tblInd w:w="0" w:type="dxa"/>
        <w:tblLayout w:type="fixed"/>
        <w:tblCellMar>
          <w:top w:w="0" w:type="dxa"/>
          <w:left w:w="108" w:type="dxa"/>
          <w:bottom w:w="0" w:type="dxa"/>
          <w:right w:w="108" w:type="dxa"/>
        </w:tblCellMar>
      </w:tblPr>
      <w:tblGrid>
        <w:gridCol w:w="456"/>
        <w:gridCol w:w="1353"/>
        <w:gridCol w:w="7513"/>
      </w:tblGrid>
      <w:tr>
        <w:tblPrEx>
          <w:tblCellMar>
            <w:top w:w="0" w:type="dxa"/>
            <w:left w:w="108" w:type="dxa"/>
            <w:bottom w:w="0" w:type="dxa"/>
            <w:right w:w="108" w:type="dxa"/>
          </w:tblCellMar>
        </w:tblPrEx>
        <w:trPr>
          <w:wBefore w:w="0" w:type="dxa"/>
          <w:wAfter w:w="0" w:type="dxa"/>
          <w:trHeight w:val="342"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ascii="宋体" w:hAnsi="宋体" w:cs="宋体"/>
                <w:sz w:val="24"/>
              </w:rPr>
              <w:t>1</w:t>
            </w:r>
          </w:p>
        </w:tc>
        <w:tc>
          <w:tcPr>
            <w:tcW w:w="135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产品类型</w:t>
            </w:r>
          </w:p>
        </w:tc>
        <w:tc>
          <w:tcPr>
            <w:tcW w:w="75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数码复合机</w:t>
            </w:r>
          </w:p>
        </w:tc>
      </w:tr>
      <w:tr>
        <w:tblPrEx>
          <w:tblCellMar>
            <w:top w:w="0" w:type="dxa"/>
            <w:left w:w="108" w:type="dxa"/>
            <w:bottom w:w="0" w:type="dxa"/>
            <w:right w:w="108" w:type="dxa"/>
          </w:tblCellMar>
        </w:tblPrEx>
        <w:trPr>
          <w:wBefore w:w="0" w:type="dxa"/>
          <w:wAfter w:w="0" w:type="dxa"/>
          <w:trHeight w:val="342"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2</w:t>
            </w:r>
          </w:p>
        </w:tc>
        <w:tc>
          <w:tcPr>
            <w:tcW w:w="135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屏幕</w:t>
            </w:r>
          </w:p>
        </w:tc>
        <w:tc>
          <w:tcPr>
            <w:tcW w:w="75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ascii="宋体" w:hAnsi="宋体" w:cs="宋体"/>
                <w:sz w:val="24"/>
              </w:rPr>
              <w:t>彩色触摸显示屏</w:t>
            </w:r>
          </w:p>
        </w:tc>
      </w:tr>
      <w:tr>
        <w:tblPrEx>
          <w:tblCellMar>
            <w:top w:w="0" w:type="dxa"/>
            <w:left w:w="108" w:type="dxa"/>
            <w:bottom w:w="0" w:type="dxa"/>
            <w:right w:w="108" w:type="dxa"/>
          </w:tblCellMar>
        </w:tblPrEx>
        <w:trPr>
          <w:wBefore w:w="0" w:type="dxa"/>
          <w:wAfter w:w="0" w:type="dxa"/>
          <w:trHeight w:val="342" w:hRule="atLeast"/>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3</w:t>
            </w:r>
          </w:p>
        </w:tc>
        <w:tc>
          <w:tcPr>
            <w:tcW w:w="135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性能参数</w:t>
            </w:r>
          </w:p>
        </w:tc>
        <w:tc>
          <w:tcPr>
            <w:tcW w:w="751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打印速度≥50ppm，一次扫描≥100页，连续复印页数：1-999页，月负荷量：最大月打印量：≥80000页；首页打印时间：≤4秒；接口类型：USB接口，有线网络接口；复印分辨率：600*600DP；标配双面自动输稿器。</w:t>
            </w:r>
          </w:p>
        </w:tc>
      </w:tr>
      <w:tr>
        <w:tblPrEx>
          <w:tblCellMar>
            <w:top w:w="0" w:type="dxa"/>
            <w:left w:w="108" w:type="dxa"/>
            <w:bottom w:w="0" w:type="dxa"/>
            <w:right w:w="108" w:type="dxa"/>
          </w:tblCellMar>
        </w:tblPrEx>
        <w:trPr>
          <w:wBefore w:w="0" w:type="dxa"/>
          <w:wAfter w:w="0" w:type="dxa"/>
          <w:trHeight w:val="342" w:hRule="atLeast"/>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4</w:t>
            </w:r>
          </w:p>
        </w:tc>
        <w:tc>
          <w:tcPr>
            <w:tcW w:w="135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双面打印：</w:t>
            </w:r>
          </w:p>
        </w:tc>
        <w:tc>
          <w:tcPr>
            <w:tcW w:w="751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自动双面</w:t>
            </w:r>
          </w:p>
        </w:tc>
      </w:tr>
      <w:tr>
        <w:tblPrEx>
          <w:tblCellMar>
            <w:top w:w="0" w:type="dxa"/>
            <w:left w:w="108" w:type="dxa"/>
            <w:bottom w:w="0" w:type="dxa"/>
            <w:right w:w="108" w:type="dxa"/>
          </w:tblCellMar>
        </w:tblPrEx>
        <w:trPr>
          <w:wBefore w:w="0" w:type="dxa"/>
          <w:wAfter w:w="0" w:type="dxa"/>
          <w:trHeight w:val="342" w:hRule="atLeast"/>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5</w:t>
            </w:r>
          </w:p>
        </w:tc>
        <w:tc>
          <w:tcPr>
            <w:tcW w:w="135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涵盖功能：</w:t>
            </w:r>
          </w:p>
        </w:tc>
        <w:tc>
          <w:tcPr>
            <w:tcW w:w="751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复印/打印/扫描能</w:t>
            </w:r>
          </w:p>
        </w:tc>
      </w:tr>
      <w:tr>
        <w:tblPrEx>
          <w:tblCellMar>
            <w:top w:w="0" w:type="dxa"/>
            <w:left w:w="108" w:type="dxa"/>
            <w:bottom w:w="0" w:type="dxa"/>
            <w:right w:w="108" w:type="dxa"/>
          </w:tblCellMar>
        </w:tblPrEx>
        <w:trPr>
          <w:wBefore w:w="0" w:type="dxa"/>
          <w:wAfter w:w="0" w:type="dxa"/>
          <w:trHeight w:val="342" w:hRule="atLeast"/>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6</w:t>
            </w:r>
          </w:p>
        </w:tc>
        <w:tc>
          <w:tcPr>
            <w:tcW w:w="135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耗材类型：</w:t>
            </w:r>
          </w:p>
        </w:tc>
        <w:tc>
          <w:tcPr>
            <w:tcW w:w="751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鼓粉分离</w:t>
            </w:r>
          </w:p>
        </w:tc>
      </w:tr>
      <w:tr>
        <w:tblPrEx>
          <w:tblCellMar>
            <w:top w:w="0" w:type="dxa"/>
            <w:left w:w="108" w:type="dxa"/>
            <w:bottom w:w="0" w:type="dxa"/>
            <w:right w:w="108" w:type="dxa"/>
          </w:tblCellMar>
        </w:tblPrEx>
        <w:trPr>
          <w:wBefore w:w="0" w:type="dxa"/>
          <w:wAfter w:w="0" w:type="dxa"/>
          <w:trHeight w:val="570" w:hRule="atLeast"/>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7</w:t>
            </w:r>
          </w:p>
        </w:tc>
        <w:tc>
          <w:tcPr>
            <w:tcW w:w="135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纸张输入容量：</w:t>
            </w:r>
          </w:p>
        </w:tc>
        <w:tc>
          <w:tcPr>
            <w:tcW w:w="751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双纸盒，可选内置装订器，可选传真组件</w:t>
            </w:r>
          </w:p>
        </w:tc>
      </w:tr>
      <w:tr>
        <w:tblPrEx>
          <w:tblCellMar>
            <w:top w:w="0" w:type="dxa"/>
            <w:left w:w="108" w:type="dxa"/>
            <w:bottom w:w="0" w:type="dxa"/>
            <w:right w:w="108" w:type="dxa"/>
          </w:tblCellMar>
        </w:tblPrEx>
        <w:trPr>
          <w:wBefore w:w="0" w:type="dxa"/>
          <w:wAfter w:w="0" w:type="dxa"/>
          <w:trHeight w:val="570" w:hRule="atLeast"/>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8</w:t>
            </w:r>
          </w:p>
        </w:tc>
        <w:tc>
          <w:tcPr>
            <w:tcW w:w="135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随机粉盒容量：</w:t>
            </w:r>
          </w:p>
        </w:tc>
        <w:tc>
          <w:tcPr>
            <w:tcW w:w="751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(≥3万大容量碳粉)和超长寿命硒鼓(200000页）、废粉收集器(10万页）</w:t>
            </w:r>
          </w:p>
        </w:tc>
      </w:tr>
      <w:tr>
        <w:tblPrEx>
          <w:tblCellMar>
            <w:top w:w="0" w:type="dxa"/>
            <w:left w:w="108" w:type="dxa"/>
            <w:bottom w:w="0" w:type="dxa"/>
            <w:right w:w="108" w:type="dxa"/>
          </w:tblCellMar>
        </w:tblPrEx>
        <w:trPr>
          <w:wBefore w:w="0" w:type="dxa"/>
          <w:wAfter w:w="0" w:type="dxa"/>
          <w:trHeight w:val="450" w:hRule="atLeast"/>
        </w:trPr>
        <w:tc>
          <w:tcPr>
            <w:tcW w:w="456" w:type="dxa"/>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9</w:t>
            </w:r>
          </w:p>
        </w:tc>
        <w:tc>
          <w:tcPr>
            <w:tcW w:w="135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服务要求：</w:t>
            </w:r>
          </w:p>
        </w:tc>
        <w:tc>
          <w:tcPr>
            <w:tcW w:w="7513"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kern w:val="0"/>
                <w:sz w:val="24"/>
              </w:rPr>
              <w:t>▲</w:t>
            </w:r>
            <w:r>
              <w:rPr>
                <w:rFonts w:hint="eastAsia" w:ascii="宋体" w:hAnsi="宋体" w:cs="宋体"/>
                <w:sz w:val="24"/>
              </w:rPr>
              <w:t>整机不少于三年免费上门保修</w:t>
            </w:r>
          </w:p>
        </w:tc>
      </w:tr>
    </w:tbl>
    <w:p>
      <w:pPr>
        <w:pStyle w:val="2"/>
        <w:numPr>
          <w:ilvl w:val="1"/>
          <w:numId w:val="9"/>
        </w:numPr>
        <w:spacing w:before="240" w:after="60" w:line="413" w:lineRule="auto"/>
      </w:pPr>
      <w:r>
        <w:rPr>
          <w:rFonts w:hint="eastAsia"/>
        </w:rPr>
        <w:t>智能会议屏65寸(带摄像头)</w:t>
      </w:r>
    </w:p>
    <w:tbl>
      <w:tblPr>
        <w:tblStyle w:val="57"/>
        <w:tblW w:w="935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220"/>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76" w:hRule="atLeast"/>
        </w:trPr>
        <w:tc>
          <w:tcPr>
            <w:tcW w:w="727" w:type="dxa"/>
            <w:noWrap w:val="0"/>
            <w:vAlign w:val="center"/>
          </w:tcPr>
          <w:p>
            <w:pPr>
              <w:rPr>
                <w:rFonts w:ascii="宋体" w:hAnsi="宋体" w:cs="宋体"/>
                <w:b/>
                <w:bCs/>
                <w:sz w:val="24"/>
              </w:rPr>
            </w:pPr>
            <w:r>
              <w:rPr>
                <w:rFonts w:hint="eastAsia" w:ascii="宋体" w:hAnsi="宋体" w:cs="宋体"/>
                <w:b/>
                <w:bCs/>
                <w:sz w:val="24"/>
              </w:rPr>
              <w:t>序号</w:t>
            </w:r>
          </w:p>
        </w:tc>
        <w:tc>
          <w:tcPr>
            <w:tcW w:w="1220" w:type="dxa"/>
            <w:noWrap w:val="0"/>
            <w:vAlign w:val="center"/>
          </w:tcPr>
          <w:p>
            <w:pPr>
              <w:rPr>
                <w:rFonts w:ascii="宋体" w:hAnsi="宋体" w:cs="宋体"/>
                <w:b/>
                <w:bCs/>
                <w:sz w:val="24"/>
              </w:rPr>
            </w:pPr>
            <w:r>
              <w:rPr>
                <w:rFonts w:hint="eastAsia" w:ascii="宋体" w:hAnsi="宋体" w:cs="宋体"/>
                <w:b/>
                <w:bCs/>
                <w:sz w:val="24"/>
              </w:rPr>
              <w:t>设备名称</w:t>
            </w:r>
          </w:p>
        </w:tc>
        <w:tc>
          <w:tcPr>
            <w:tcW w:w="7409" w:type="dxa"/>
            <w:noWrap w:val="0"/>
            <w:vAlign w:val="center"/>
          </w:tcPr>
          <w:p>
            <w:pPr>
              <w:ind w:firstLine="2168" w:firstLineChars="900"/>
              <w:rPr>
                <w:rFonts w:ascii="宋体" w:hAnsi="宋体" w:cs="宋体"/>
                <w:b/>
                <w:bCs/>
                <w:sz w:val="24"/>
              </w:rPr>
            </w:pPr>
            <w:r>
              <w:rPr>
                <w:rFonts w:hint="eastAsia" w:ascii="宋体" w:hAnsi="宋体" w:cs="宋体"/>
                <w:b/>
                <w:bCs/>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0" w:hRule="atLeast"/>
        </w:trPr>
        <w:tc>
          <w:tcPr>
            <w:tcW w:w="727" w:type="dxa"/>
            <w:noWrap w:val="0"/>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1</w:t>
            </w:r>
          </w:p>
        </w:tc>
        <w:tc>
          <w:tcPr>
            <w:tcW w:w="1220" w:type="dxa"/>
            <w:noWrap w:val="0"/>
            <w:vAlign w:val="center"/>
          </w:tcPr>
          <w:p>
            <w:pPr>
              <w:jc w:val="center"/>
              <w:rPr>
                <w:rFonts w:ascii="宋体" w:hAnsi="宋体" w:cs="宋体"/>
                <w:sz w:val="20"/>
              </w:rPr>
            </w:pPr>
            <w:r>
              <w:rPr>
                <w:rFonts w:hint="eastAsia" w:ascii="宋体" w:hAnsi="宋体" w:cs="宋体"/>
                <w:kern w:val="0"/>
                <w:sz w:val="22"/>
              </w:rPr>
              <w:t>65寸智慧屏</w:t>
            </w:r>
          </w:p>
        </w:tc>
        <w:tc>
          <w:tcPr>
            <w:tcW w:w="7409" w:type="dxa"/>
            <w:noWrap w:val="0"/>
            <w:vAlign w:val="center"/>
          </w:tcPr>
          <w:p>
            <w:pPr>
              <w:jc w:val="left"/>
              <w:rPr>
                <w:rFonts w:ascii="宋体" w:hAnsi="宋体" w:cs="宋体"/>
                <w:color w:val="000000"/>
                <w:kern w:val="0"/>
                <w:sz w:val="22"/>
              </w:rPr>
            </w:pPr>
            <w:r>
              <w:rPr>
                <w:rFonts w:hint="eastAsia" w:ascii="宋体" w:hAnsi="宋体" w:cs="宋体"/>
                <w:color w:val="000000"/>
                <w:kern w:val="0"/>
                <w:sz w:val="22"/>
              </w:rPr>
              <w:t>1、屏幕尺寸≥65寸，背光类型为E-LED；</w:t>
            </w:r>
          </w:p>
          <w:p>
            <w:pPr>
              <w:jc w:val="left"/>
              <w:rPr>
                <w:rFonts w:ascii="宋体" w:hAnsi="宋体" w:cs="宋体"/>
                <w:color w:val="000000"/>
                <w:kern w:val="0"/>
                <w:sz w:val="22"/>
              </w:rPr>
            </w:pPr>
            <w:r>
              <w:rPr>
                <w:rFonts w:hint="eastAsia" w:ascii="宋体" w:hAnsi="宋体" w:cs="宋体"/>
                <w:color w:val="000000"/>
                <w:kern w:val="0"/>
                <w:sz w:val="22"/>
              </w:rPr>
              <w:t>2、为保障产品质量及显示效果，要求使用A级屏；</w:t>
            </w:r>
          </w:p>
          <w:p>
            <w:pPr>
              <w:jc w:val="left"/>
              <w:rPr>
                <w:rFonts w:ascii="宋体" w:hAnsi="宋体" w:cs="宋体"/>
                <w:color w:val="000000"/>
                <w:kern w:val="0"/>
                <w:sz w:val="22"/>
              </w:rPr>
            </w:pPr>
            <w:r>
              <w:rPr>
                <w:rFonts w:hint="eastAsia" w:ascii="宋体" w:hAnsi="宋体" w:cs="宋体"/>
                <w:color w:val="000000"/>
                <w:kern w:val="0"/>
                <w:sz w:val="22"/>
              </w:rPr>
              <w:t>3、屏幕分辨率≥3840×2160；</w:t>
            </w:r>
          </w:p>
          <w:p>
            <w:pPr>
              <w:jc w:val="left"/>
              <w:rPr>
                <w:rFonts w:ascii="宋体" w:hAnsi="宋体" w:cs="宋体"/>
                <w:color w:val="000000"/>
                <w:kern w:val="0"/>
                <w:sz w:val="22"/>
              </w:rPr>
            </w:pPr>
            <w:r>
              <w:rPr>
                <w:rFonts w:hint="eastAsia" w:ascii="宋体" w:hAnsi="宋体" w:cs="宋体"/>
                <w:color w:val="000000"/>
                <w:kern w:val="0"/>
                <w:sz w:val="22"/>
              </w:rPr>
              <w:t>4、色彩度检测不低于8bit；</w:t>
            </w:r>
          </w:p>
          <w:p>
            <w:pPr>
              <w:jc w:val="left"/>
              <w:rPr>
                <w:rFonts w:ascii="宋体" w:hAnsi="宋体" w:cs="宋体"/>
                <w:color w:val="000000"/>
                <w:kern w:val="0"/>
                <w:sz w:val="22"/>
              </w:rPr>
            </w:pPr>
            <w:r>
              <w:rPr>
                <w:rFonts w:hint="eastAsia" w:ascii="宋体" w:hAnsi="宋体" w:cs="宋体"/>
                <w:color w:val="000000"/>
                <w:kern w:val="0"/>
                <w:sz w:val="22"/>
              </w:rPr>
              <w:t>5、内置双腔六驱大音响，功率≥15W×2；</w:t>
            </w:r>
          </w:p>
          <w:p>
            <w:pPr>
              <w:jc w:val="left"/>
              <w:rPr>
                <w:rFonts w:ascii="宋体" w:hAnsi="宋体" w:cs="宋体"/>
                <w:color w:val="000000"/>
                <w:kern w:val="0"/>
                <w:sz w:val="22"/>
              </w:rPr>
            </w:pPr>
            <w:r>
              <w:rPr>
                <w:rFonts w:hint="eastAsia" w:ascii="宋体" w:hAnsi="宋体" w:cs="宋体"/>
                <w:kern w:val="0"/>
                <w:sz w:val="22"/>
              </w:rPr>
              <w:t>6、内置≥8颗麦克风阵列，≥12米拾音距离，180°拾音角度，支持自动增益，智能滤噪，声源定位；</w:t>
            </w:r>
          </w:p>
          <w:p>
            <w:pPr>
              <w:jc w:val="left"/>
              <w:rPr>
                <w:rFonts w:ascii="宋体" w:hAnsi="宋体" w:cs="宋体"/>
                <w:color w:val="000000"/>
                <w:kern w:val="0"/>
                <w:sz w:val="22"/>
              </w:rPr>
            </w:pPr>
            <w:r>
              <w:rPr>
                <w:rFonts w:hint="eastAsia" w:ascii="宋体" w:hAnsi="宋体" w:cs="宋体"/>
                <w:color w:val="000000"/>
                <w:kern w:val="0"/>
                <w:sz w:val="22"/>
              </w:rPr>
              <w:t>7、前置多功能物理按键，支持一键回到主页、一键亮熄屏、一键整机开关机；</w:t>
            </w:r>
          </w:p>
          <w:p>
            <w:pPr>
              <w:jc w:val="left"/>
              <w:rPr>
                <w:rFonts w:ascii="宋体" w:hAnsi="宋体" w:cs="宋体"/>
                <w:color w:val="000000"/>
                <w:kern w:val="0"/>
                <w:sz w:val="22"/>
              </w:rPr>
            </w:pPr>
            <w:r>
              <w:rPr>
                <w:rFonts w:hint="eastAsia" w:ascii="宋体" w:hAnsi="宋体" w:cs="宋体"/>
                <w:color w:val="000000"/>
                <w:kern w:val="0"/>
                <w:sz w:val="22"/>
              </w:rPr>
              <w:t>8、屏幕两侧具有双磁吸设计，可以同时固定至少两支触控笔；</w:t>
            </w:r>
          </w:p>
          <w:p>
            <w:pPr>
              <w:jc w:val="left"/>
              <w:rPr>
                <w:rFonts w:ascii="宋体" w:hAnsi="宋体" w:cs="宋体"/>
                <w:kern w:val="0"/>
                <w:sz w:val="22"/>
              </w:rPr>
            </w:pPr>
            <w:r>
              <w:rPr>
                <w:rFonts w:hint="eastAsia" w:ascii="宋体" w:hAnsi="宋体" w:cs="宋体"/>
              </w:rPr>
              <w:t>9、产品配置双系统：安卓系统CPU采用≥4核，GPU采用≥4核，系统内存≥4GB，存储容量≥32GB；OPS正版win10操作系统，处理器：Intel I5 8代处理器及以上，内存8G及以上，硬盘为SSD 128G或以上；</w:t>
            </w:r>
          </w:p>
          <w:p>
            <w:pPr>
              <w:jc w:val="left"/>
              <w:rPr>
                <w:rFonts w:ascii="宋体" w:hAnsi="宋体" w:cs="宋体"/>
                <w:kern w:val="0"/>
                <w:sz w:val="22"/>
              </w:rPr>
            </w:pPr>
            <w:r>
              <w:rPr>
                <w:rFonts w:hint="eastAsia" w:ascii="宋体" w:hAnsi="宋体" w:cs="宋体"/>
                <w:kern w:val="0"/>
                <w:sz w:val="22"/>
              </w:rPr>
              <w:t>10、内置摄像头分辨率≥4K，最大视角≥120°，4倍数字变焦；</w:t>
            </w:r>
          </w:p>
          <w:p>
            <w:pPr>
              <w:jc w:val="left"/>
              <w:rPr>
                <w:rFonts w:ascii="宋体" w:hAnsi="宋体" w:cs="宋体"/>
                <w:kern w:val="0"/>
                <w:sz w:val="22"/>
              </w:rPr>
            </w:pPr>
            <w:r>
              <w:rPr>
                <w:rFonts w:hint="eastAsia" w:ascii="宋体" w:hAnsi="宋体" w:cs="宋体"/>
                <w:kern w:val="0"/>
                <w:sz w:val="22"/>
              </w:rPr>
              <w:t>11、采用全贴合工艺，钢化玻璃与液晶面板之间距离为0mm，无任何间隙，书写无悬空感；</w:t>
            </w:r>
          </w:p>
          <w:p>
            <w:pPr>
              <w:jc w:val="left"/>
              <w:rPr>
                <w:rFonts w:ascii="宋体" w:hAnsi="宋体" w:cs="宋体"/>
                <w:kern w:val="0"/>
                <w:sz w:val="22"/>
              </w:rPr>
            </w:pPr>
            <w:r>
              <w:rPr>
                <w:rFonts w:hint="eastAsia" w:ascii="宋体" w:hAnsi="宋体" w:cs="宋体"/>
                <w:kern w:val="0"/>
                <w:sz w:val="22"/>
              </w:rPr>
              <w:t>12、整机摄像头支持智能取景，自动调节构图，形成最佳会议视角；</w:t>
            </w:r>
          </w:p>
          <w:p>
            <w:pPr>
              <w:jc w:val="left"/>
              <w:rPr>
                <w:rFonts w:ascii="宋体" w:hAnsi="宋体" w:cs="宋体"/>
                <w:kern w:val="0"/>
                <w:sz w:val="22"/>
              </w:rPr>
            </w:pPr>
            <w:r>
              <w:rPr>
                <w:rFonts w:hint="eastAsia" w:ascii="宋体" w:hAnsi="宋体" w:cs="宋体"/>
                <w:kern w:val="0"/>
                <w:sz w:val="22"/>
              </w:rPr>
              <w:t>13、支持发言人定位追踪，有效捕捉发言</w:t>
            </w:r>
            <w:r>
              <w:rPr>
                <w:rFonts w:hint="eastAsia" w:ascii="宋体" w:hAnsi="宋体" w:cs="宋体"/>
                <w:color w:val="000000"/>
                <w:kern w:val="0"/>
                <w:sz w:val="22"/>
              </w:rPr>
              <w:t>；</w:t>
            </w:r>
          </w:p>
          <w:p>
            <w:pPr>
              <w:jc w:val="left"/>
              <w:rPr>
                <w:rFonts w:ascii="宋体" w:hAnsi="宋体" w:cs="宋体"/>
                <w:color w:val="000000"/>
                <w:kern w:val="0"/>
                <w:sz w:val="22"/>
              </w:rPr>
            </w:pPr>
            <w:r>
              <w:rPr>
                <w:rFonts w:hint="eastAsia" w:ascii="宋体" w:hAnsi="宋体" w:cs="宋体"/>
                <w:color w:val="000000"/>
                <w:kern w:val="0"/>
                <w:sz w:val="22"/>
              </w:rPr>
              <w:t>14、支持四级触控：细笔书写、粗笔批注、手指精细擦除、手背范围擦除；1mm书写精度，支持20点触控，书写流畅无悬浮感；</w:t>
            </w:r>
          </w:p>
          <w:p>
            <w:pPr>
              <w:jc w:val="left"/>
              <w:rPr>
                <w:rFonts w:ascii="宋体" w:hAnsi="宋体" w:cs="宋体"/>
                <w:color w:val="000000"/>
                <w:kern w:val="0"/>
                <w:sz w:val="22"/>
              </w:rPr>
            </w:pPr>
            <w:r>
              <w:rPr>
                <w:rFonts w:hint="eastAsia" w:ascii="宋体" w:hAnsi="宋体" w:cs="宋体"/>
                <w:color w:val="000000"/>
                <w:kern w:val="0"/>
                <w:sz w:val="22"/>
              </w:rPr>
              <w:t>15、开机画面自定义：支持开机动画、LOGO、屏保、欢迎页的个性化定制；</w:t>
            </w:r>
          </w:p>
          <w:p>
            <w:pPr>
              <w:jc w:val="left"/>
              <w:rPr>
                <w:rFonts w:ascii="宋体" w:hAnsi="宋体" w:cs="宋体"/>
                <w:color w:val="000000"/>
                <w:kern w:val="0"/>
                <w:sz w:val="22"/>
              </w:rPr>
            </w:pPr>
            <w:r>
              <w:rPr>
                <w:rFonts w:hint="eastAsia" w:ascii="宋体" w:hAnsi="宋体" w:cs="宋体"/>
                <w:color w:val="000000"/>
                <w:kern w:val="0"/>
                <w:sz w:val="22"/>
              </w:rPr>
              <w:t>16、支持超级任务栏，功能包括：结束会议，打开应用，任务视图，主页，设置，网络状态，时间/日历，触控精灵菜单入口；</w:t>
            </w:r>
          </w:p>
          <w:p>
            <w:pPr>
              <w:jc w:val="left"/>
              <w:rPr>
                <w:rFonts w:ascii="宋体" w:hAnsi="宋体" w:cs="宋体"/>
                <w:kern w:val="0"/>
                <w:sz w:val="22"/>
              </w:rPr>
            </w:pPr>
            <w:r>
              <w:rPr>
                <w:rFonts w:hint="eastAsia" w:ascii="宋体" w:hAnsi="宋体" w:cs="宋体"/>
                <w:kern w:val="0"/>
                <w:sz w:val="22"/>
              </w:rPr>
              <w:t>17、支持Wi-Fi 6功能；</w:t>
            </w:r>
          </w:p>
          <w:p>
            <w:pPr>
              <w:jc w:val="left"/>
              <w:rPr>
                <w:rFonts w:ascii="宋体" w:hAnsi="宋体" w:cs="宋体"/>
                <w:color w:val="000000"/>
                <w:kern w:val="0"/>
                <w:sz w:val="22"/>
              </w:rPr>
            </w:pPr>
            <w:r>
              <w:rPr>
                <w:rFonts w:hint="eastAsia" w:ascii="宋体" w:hAnsi="宋体" w:cs="宋体"/>
                <w:kern w:val="0"/>
                <w:sz w:val="22"/>
              </w:rPr>
              <w:t>18、整机可以作为云桌面瘦终端与云桌面服务器进行接入使用；</w:t>
            </w:r>
          </w:p>
          <w:p>
            <w:pPr>
              <w:jc w:val="left"/>
              <w:rPr>
                <w:rFonts w:ascii="宋体" w:hAnsi="宋体" w:cs="宋体"/>
                <w:color w:val="000000"/>
                <w:kern w:val="0"/>
                <w:sz w:val="22"/>
              </w:rPr>
            </w:pPr>
            <w:r>
              <w:rPr>
                <w:rFonts w:hint="eastAsia" w:ascii="宋体" w:hAnsi="宋体" w:cs="宋体"/>
                <w:color w:val="000000"/>
                <w:kern w:val="0"/>
                <w:sz w:val="22"/>
              </w:rPr>
              <w:t>19、屏在任意状态五指同时触控屏幕可以，快速调取中控菜单快速回到安卓系统，并支持通过中控菜单控制电脑开关、关闭Windows应用等；</w:t>
            </w:r>
          </w:p>
          <w:p>
            <w:pPr>
              <w:jc w:val="left"/>
              <w:rPr>
                <w:rFonts w:ascii="宋体" w:hAnsi="宋体" w:cs="宋体"/>
                <w:color w:val="000000"/>
                <w:kern w:val="0"/>
                <w:sz w:val="22"/>
              </w:rPr>
            </w:pPr>
            <w:r>
              <w:rPr>
                <w:rFonts w:hint="eastAsia" w:ascii="宋体" w:hAnsi="宋体" w:cs="宋体"/>
                <w:color w:val="000000"/>
                <w:kern w:val="0"/>
                <w:sz w:val="22"/>
              </w:rPr>
              <w:t>20、采用悬浮菜单设计，支持在屏幕上任意移动，小工具包括计时器/计算器/投票器/日历等。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0" w:hRule="atLeast"/>
        </w:trPr>
        <w:tc>
          <w:tcPr>
            <w:tcW w:w="727" w:type="dxa"/>
            <w:noWrap w:val="0"/>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w:t>
            </w:r>
          </w:p>
        </w:tc>
        <w:tc>
          <w:tcPr>
            <w:tcW w:w="1220" w:type="dxa"/>
            <w:noWrap w:val="0"/>
            <w:vAlign w:val="center"/>
          </w:tcPr>
          <w:p>
            <w:pPr>
              <w:rPr>
                <w:rFonts w:ascii="宋体" w:hAnsi="宋体" w:cs="宋体"/>
                <w:sz w:val="24"/>
              </w:rPr>
            </w:pPr>
            <w:r>
              <w:rPr>
                <w:rFonts w:hint="eastAsia" w:ascii="宋体" w:hAnsi="宋体" w:cs="宋体"/>
                <w:sz w:val="24"/>
              </w:rPr>
              <w:t>服务要求：</w:t>
            </w:r>
          </w:p>
        </w:tc>
        <w:tc>
          <w:tcPr>
            <w:tcW w:w="7409" w:type="dxa"/>
            <w:noWrap w:val="0"/>
            <w:vAlign w:val="center"/>
          </w:tcPr>
          <w:p>
            <w:pPr>
              <w:rPr>
                <w:rFonts w:ascii="宋体" w:hAnsi="宋体" w:cs="宋体"/>
                <w:sz w:val="24"/>
              </w:rPr>
            </w:pPr>
            <w:r>
              <w:rPr>
                <w:rFonts w:hint="eastAsia" w:ascii="宋体" w:hAnsi="宋体" w:cs="宋体"/>
                <w:kern w:val="0"/>
                <w:sz w:val="24"/>
              </w:rPr>
              <w:t>▲</w:t>
            </w:r>
            <w:r>
              <w:rPr>
                <w:rFonts w:hint="eastAsia" w:ascii="宋体" w:hAnsi="宋体" w:cs="宋体"/>
                <w:sz w:val="24"/>
              </w:rPr>
              <w:t>本次要求提供不少于三年原厂质保</w:t>
            </w:r>
          </w:p>
        </w:tc>
      </w:tr>
    </w:tbl>
    <w:p>
      <w:pPr>
        <w:pStyle w:val="2"/>
        <w:numPr>
          <w:ilvl w:val="1"/>
          <w:numId w:val="9"/>
        </w:numPr>
        <w:spacing w:before="240" w:after="60" w:line="413" w:lineRule="auto"/>
      </w:pPr>
      <w:r>
        <w:rPr>
          <w:rFonts w:hint="eastAsia"/>
        </w:rPr>
        <w:t>移动查房车</w:t>
      </w:r>
    </w:p>
    <w:tbl>
      <w:tblPr>
        <w:tblStyle w:val="57"/>
        <w:tblW w:w="93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23"/>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1223" w:type="dxa"/>
            <w:shd w:val="clear" w:color="auto" w:fill="auto"/>
            <w:noWrap w:val="0"/>
            <w:vAlign w:val="center"/>
          </w:tcPr>
          <w:p>
            <w:pPr>
              <w:spacing w:line="360" w:lineRule="auto"/>
              <w:jc w:val="center"/>
              <w:rPr>
                <w:rFonts w:ascii="宋体" w:hAnsi="宋体" w:cs="宋体"/>
                <w:b/>
                <w:sz w:val="24"/>
              </w:rPr>
            </w:pPr>
            <w:r>
              <w:rPr>
                <w:rFonts w:hint="eastAsia" w:ascii="宋体" w:hAnsi="宋体" w:cs="宋体"/>
                <w:b/>
                <w:sz w:val="24"/>
              </w:rPr>
              <w:t>子项</w:t>
            </w:r>
          </w:p>
        </w:tc>
        <w:tc>
          <w:tcPr>
            <w:tcW w:w="7317" w:type="dxa"/>
            <w:shd w:val="clear" w:color="auto" w:fill="auto"/>
            <w:noWrap w:val="0"/>
            <w:vAlign w:val="center"/>
          </w:tcPr>
          <w:p>
            <w:pPr>
              <w:spacing w:line="360" w:lineRule="auto"/>
              <w:jc w:val="center"/>
              <w:rPr>
                <w:rFonts w:ascii="宋体" w:hAnsi="宋体" w:cs="宋体"/>
                <w:b/>
                <w:sz w:val="24"/>
              </w:rPr>
            </w:pPr>
            <w:r>
              <w:rPr>
                <w:rFonts w:hint="eastAsia" w:ascii="宋体" w:hAnsi="宋体" w:cs="宋体"/>
                <w:b/>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一体化设计</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★整车一体化设计，电池内嵌保护于台面内，不外挂，不外漏，主机高度集成，保证主机和电源安全。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b/>
                <w:sz w:val="24"/>
              </w:rPr>
            </w:pPr>
            <w:r>
              <w:rPr>
                <w:rFonts w:hint="eastAsia" w:ascii="宋体" w:hAnsi="宋体" w:cs="宋体"/>
                <w:sz w:val="24"/>
              </w:rPr>
              <w:t>台面尺寸</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实际操作台面（不含把手和键盘托）尺寸为≥400mm*400mm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台面设计</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 xml:space="preserve">采用航空级铝合金压铸一体成型设计台面，承重抗压性强，表面UV固化处理, 耐受医院常用消毒剂，耐清洗，耐刮擦，抗紫外线；圆弧形无缝设计，清洁无死角。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防滑挡条</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 xml:space="preserve">工作台面具有与台面完全压铸一体成型的铝合金防滑挡条，高度≥1mm；挡条与台面无缝一体成型，防止物品滑落和漏液侵蚀车体;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台面把手</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★工作台面具有与台面完全压铸一体成型的全铝合金把手，把手与台面之间无螺丝固定，颜色材质一致，坚固耐用；把手为圆弧形闭环设计，方便操作推动。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ind w:firstLine="240" w:firstLineChars="100"/>
              <w:rPr>
                <w:rFonts w:ascii="宋体" w:hAnsi="宋体" w:cs="宋体"/>
                <w:sz w:val="24"/>
              </w:rPr>
            </w:pPr>
            <w:r>
              <w:rPr>
                <w:rFonts w:hint="eastAsia" w:ascii="宋体" w:hAnsi="宋体" w:cs="宋体"/>
                <w:sz w:val="24"/>
              </w:rPr>
              <w:t>键盘托</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★配置与台面把手一体成型的全铝合金键盘托，键盘托向上倾斜≥10°，符合人体工程学设计，操作使用舒适。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键盘照明灯</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台面下方内嵌LED键盘照明灯，支持在光线较弱情况下人体自动感应照明，方便医护人员在黑暗环境下操作使用。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鼠标托盘</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★配置旋转式鼠标托盘，尺寸≥130mm*120mm；支持在键盘托左右侧灵活选配，满足不同人群使用习惯，不用时旋转收缩在键盘内侧，不占用空间。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抽屉设计</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置≥4层抽屉，抽屉规格≥2种；抽屉内框架采用铝合金支撑，外表面采用抗菌ABS材质覆盖，车体轻便；抽屉采用全铝合金圆弧形闭环结构拉手，方便抽拉抽屉，易清洁维护。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显示器固定支架</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显示器固定支架支持单独≥150mm升降；支持俯角≥15°，仰角≥30°调节；支持横竖屏转换，便于床旁阅片；显示器线缆完全隐藏于显示器固定支架内，无外漏。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电量显示</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显示器固定支架上具备LED百分比电量显示灯，方便实时查看电池状态及电量情况,电池续行能力≥8小时。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主机</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显示模块：尺寸≥23.8”，最佳分辨率≥1920x1080，内置双扬声器；</w:t>
            </w:r>
          </w:p>
          <w:p>
            <w:pPr>
              <w:spacing w:line="360" w:lineRule="auto"/>
              <w:rPr>
                <w:rFonts w:ascii="宋体" w:hAnsi="宋体" w:cs="宋体"/>
                <w:sz w:val="24"/>
              </w:rPr>
            </w:pPr>
            <w:r>
              <w:rPr>
                <w:rFonts w:hint="eastAsia" w:ascii="宋体" w:hAnsi="宋体" w:cs="宋体"/>
                <w:sz w:val="24"/>
              </w:rPr>
              <w:t>CPU：酷睿I5八代及以上，内存：≥16GB 内存</w:t>
            </w:r>
          </w:p>
          <w:p>
            <w:pPr>
              <w:spacing w:line="360" w:lineRule="auto"/>
              <w:rPr>
                <w:rFonts w:ascii="宋体" w:hAnsi="宋体" w:cs="宋体"/>
                <w:sz w:val="24"/>
              </w:rPr>
            </w:pPr>
            <w:r>
              <w:rPr>
                <w:rFonts w:hint="eastAsia" w:ascii="宋体" w:hAnsi="宋体" w:cs="宋体"/>
                <w:sz w:val="24"/>
              </w:rPr>
              <w:t>固态硬盘：容量≥256GB，操作系统：windows 10专业版及以上，Intel系列网卡：支持2.4G/5G Hz Wifi网络，支持802.11 b/g/n/ac以上标准，接口：USB3.0≥2个，USB2.0≥4个。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硬盘支架</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配置防震设计的硬盘支架，固定防护硬盘，适合医护人员高频移动操作设备，保障数据存储安全稳定。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jc w:val="center"/>
              <w:rPr>
                <w:rFonts w:ascii="宋体" w:hAnsi="宋体" w:cs="宋体"/>
                <w:sz w:val="24"/>
              </w:rPr>
            </w:pPr>
            <w:r>
              <w:rPr>
                <w:rFonts w:hint="eastAsia" w:ascii="宋体" w:hAnsi="宋体" w:cs="宋体"/>
                <w:sz w:val="24"/>
              </w:rPr>
              <w:t>医疗电源</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配置医疗电源控制模板，确保输出电压、电流可调节，提高电源使用效率，避免能源浪费。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rPr>
                <w:rFonts w:ascii="宋体" w:hAnsi="宋体" w:cs="宋体"/>
                <w:sz w:val="24"/>
              </w:rPr>
            </w:pPr>
            <w:r>
              <w:rPr>
                <w:rFonts w:hint="eastAsia" w:ascii="宋体" w:hAnsi="宋体" w:cs="宋体"/>
                <w:sz w:val="24"/>
              </w:rPr>
              <w:t>安规管理体系</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sz w:val="24"/>
              </w:rPr>
              <w:t>整车厂商具备完善的安全生产管理体系，并同时通过ISO9001、ISO14001、ISO45001、ISO13485、ISO20000、ISO27001认证。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pPr>
              <w:numPr>
                <w:ilvl w:val="0"/>
                <w:numId w:val="10"/>
              </w:numPr>
              <w:spacing w:line="360" w:lineRule="auto"/>
              <w:jc w:val="center"/>
              <w:rPr>
                <w:rFonts w:ascii="宋体" w:hAnsi="宋体" w:cs="宋体"/>
                <w:sz w:val="24"/>
              </w:rPr>
            </w:pPr>
          </w:p>
        </w:tc>
        <w:tc>
          <w:tcPr>
            <w:tcW w:w="1223" w:type="dxa"/>
            <w:shd w:val="clear" w:color="auto" w:fill="auto"/>
            <w:noWrap w:val="0"/>
            <w:vAlign w:val="center"/>
          </w:tcPr>
          <w:p>
            <w:pPr>
              <w:spacing w:line="360" w:lineRule="auto"/>
              <w:rPr>
                <w:rFonts w:ascii="宋体" w:hAnsi="宋体" w:cs="宋体"/>
                <w:sz w:val="24"/>
              </w:rPr>
            </w:pPr>
            <w:r>
              <w:rPr>
                <w:rFonts w:hint="eastAsia" w:ascii="宋体" w:hAnsi="宋体" w:cs="宋体"/>
                <w:sz w:val="24"/>
              </w:rPr>
              <w:t>★服务要求</w:t>
            </w:r>
          </w:p>
        </w:tc>
        <w:tc>
          <w:tcPr>
            <w:tcW w:w="7317" w:type="dxa"/>
            <w:shd w:val="clear" w:color="auto" w:fill="auto"/>
            <w:noWrap w:val="0"/>
            <w:vAlign w:val="center"/>
          </w:tcPr>
          <w:p>
            <w:p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原厂质保期不少于五年</w:t>
            </w:r>
          </w:p>
        </w:tc>
      </w:tr>
    </w:tbl>
    <w:p>
      <w:pPr>
        <w:pStyle w:val="2"/>
        <w:numPr>
          <w:ilvl w:val="1"/>
          <w:numId w:val="9"/>
        </w:numPr>
        <w:spacing w:before="240" w:after="60" w:line="413" w:lineRule="auto"/>
      </w:pPr>
      <w:r>
        <w:rPr>
          <w:rFonts w:hint="eastAsia"/>
        </w:rPr>
        <w:t>PDA</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25"/>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top"/>
          </w:tcPr>
          <w:p>
            <w:pPr>
              <w:jc w:val="center"/>
              <w:rPr>
                <w:rFonts w:ascii="宋体" w:hAnsi="宋体" w:cs="宋体"/>
                <w:b/>
                <w:sz w:val="24"/>
              </w:rPr>
            </w:pPr>
            <w:r>
              <w:rPr>
                <w:rFonts w:hint="eastAsia" w:ascii="宋体" w:hAnsi="宋体" w:cs="宋体"/>
                <w:b/>
                <w:sz w:val="24"/>
              </w:rPr>
              <w:t>序号</w:t>
            </w:r>
          </w:p>
        </w:tc>
        <w:tc>
          <w:tcPr>
            <w:tcW w:w="1425" w:type="dxa"/>
            <w:noWrap w:val="0"/>
            <w:vAlign w:val="center"/>
          </w:tcPr>
          <w:p>
            <w:pPr>
              <w:jc w:val="left"/>
              <w:rPr>
                <w:rFonts w:ascii="宋体" w:hAnsi="宋体" w:cs="宋体"/>
                <w:b/>
                <w:sz w:val="24"/>
              </w:rPr>
            </w:pPr>
            <w:r>
              <w:rPr>
                <w:rFonts w:hint="eastAsia" w:ascii="宋体" w:hAnsi="宋体" w:cs="宋体"/>
                <w:b/>
                <w:sz w:val="24"/>
              </w:rPr>
              <w:t>技术指标</w:t>
            </w:r>
          </w:p>
        </w:tc>
        <w:tc>
          <w:tcPr>
            <w:tcW w:w="7160" w:type="dxa"/>
            <w:noWrap w:val="0"/>
            <w:vAlign w:val="center"/>
          </w:tcPr>
          <w:p>
            <w:pPr>
              <w:ind w:firstLine="2891" w:firstLineChars="1200"/>
              <w:jc w:val="left"/>
              <w:rPr>
                <w:rFonts w:ascii="宋体" w:hAnsi="宋体" w:cs="宋体"/>
                <w:b/>
                <w:sz w:val="24"/>
              </w:rPr>
            </w:pPr>
            <w:r>
              <w:rPr>
                <w:rFonts w:hint="eastAsia" w:ascii="宋体" w:hAnsi="宋体" w:cs="宋体"/>
                <w:b/>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1</w:t>
            </w:r>
          </w:p>
        </w:tc>
        <w:tc>
          <w:tcPr>
            <w:tcW w:w="1425" w:type="dxa"/>
            <w:noWrap w:val="0"/>
            <w:vAlign w:val="center"/>
          </w:tcPr>
          <w:p>
            <w:pPr>
              <w:jc w:val="left"/>
              <w:rPr>
                <w:rFonts w:ascii="宋体" w:hAnsi="宋体" w:cs="宋体"/>
                <w:sz w:val="24"/>
              </w:rPr>
            </w:pPr>
            <w:r>
              <w:rPr>
                <w:rFonts w:hint="eastAsia" w:ascii="宋体" w:hAnsi="宋体" w:cs="宋体"/>
                <w:sz w:val="24"/>
              </w:rPr>
              <w:t>操作系统</w:t>
            </w:r>
          </w:p>
        </w:tc>
        <w:tc>
          <w:tcPr>
            <w:tcW w:w="7160" w:type="dxa"/>
            <w:noWrap w:val="0"/>
            <w:vAlign w:val="center"/>
          </w:tcPr>
          <w:p>
            <w:pPr>
              <w:jc w:val="left"/>
              <w:rPr>
                <w:rFonts w:ascii="宋体" w:hAnsi="宋体" w:cs="宋体"/>
                <w:sz w:val="24"/>
              </w:rPr>
            </w:pPr>
            <w:r>
              <w:rPr>
                <w:rFonts w:hint="eastAsia" w:ascii="宋体" w:hAnsi="宋体" w:cs="宋体"/>
                <w:sz w:val="24"/>
              </w:rPr>
              <w:t>Android 11.0或以上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2</w:t>
            </w:r>
          </w:p>
        </w:tc>
        <w:tc>
          <w:tcPr>
            <w:tcW w:w="1425" w:type="dxa"/>
            <w:noWrap w:val="0"/>
            <w:vAlign w:val="center"/>
          </w:tcPr>
          <w:p>
            <w:pPr>
              <w:jc w:val="left"/>
              <w:rPr>
                <w:rFonts w:ascii="宋体" w:hAnsi="宋体" w:cs="宋体"/>
                <w:sz w:val="24"/>
              </w:rPr>
            </w:pPr>
            <w:r>
              <w:rPr>
                <w:rFonts w:hint="eastAsia" w:ascii="宋体" w:hAnsi="宋体" w:cs="宋体"/>
                <w:sz w:val="24"/>
              </w:rPr>
              <w:t>★处理器</w:t>
            </w:r>
          </w:p>
        </w:tc>
        <w:tc>
          <w:tcPr>
            <w:tcW w:w="7160" w:type="dxa"/>
            <w:noWrap w:val="0"/>
            <w:vAlign w:val="top"/>
          </w:tcPr>
          <w:p>
            <w:pPr>
              <w:jc w:val="left"/>
              <w:rPr>
                <w:rFonts w:ascii="宋体" w:hAnsi="宋体" w:cs="宋体"/>
                <w:sz w:val="24"/>
              </w:rPr>
            </w:pPr>
            <w:r>
              <w:rPr>
                <w:rFonts w:hint="eastAsia" w:ascii="宋体" w:hAnsi="宋体" w:cs="宋体"/>
                <w:sz w:val="24"/>
              </w:rPr>
              <w:t>≥八核、≥2.0GHz高性能处理器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3</w:t>
            </w:r>
          </w:p>
        </w:tc>
        <w:tc>
          <w:tcPr>
            <w:tcW w:w="1425" w:type="dxa"/>
            <w:noWrap w:val="0"/>
            <w:vAlign w:val="center"/>
          </w:tcPr>
          <w:p>
            <w:pPr>
              <w:jc w:val="left"/>
              <w:rPr>
                <w:rFonts w:ascii="宋体" w:hAnsi="宋体" w:cs="宋体"/>
                <w:sz w:val="24"/>
              </w:rPr>
            </w:pPr>
            <w:r>
              <w:rPr>
                <w:rFonts w:hint="eastAsia" w:ascii="宋体" w:hAnsi="宋体" w:cs="宋体"/>
                <w:sz w:val="24"/>
              </w:rPr>
              <w:t>★存储器</w:t>
            </w:r>
          </w:p>
        </w:tc>
        <w:tc>
          <w:tcPr>
            <w:tcW w:w="7160" w:type="dxa"/>
            <w:noWrap w:val="0"/>
            <w:vAlign w:val="top"/>
          </w:tcPr>
          <w:p>
            <w:pPr>
              <w:jc w:val="left"/>
              <w:rPr>
                <w:rFonts w:ascii="宋体" w:hAnsi="宋体" w:cs="宋体"/>
                <w:sz w:val="24"/>
              </w:rPr>
            </w:pPr>
            <w:r>
              <w:rPr>
                <w:rFonts w:hint="eastAsia" w:ascii="宋体" w:hAnsi="宋体" w:cs="宋体"/>
                <w:sz w:val="24"/>
              </w:rPr>
              <w:t>≥4GB RAM，≥64GB ROM，支持128GB+6GB选配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4</w:t>
            </w:r>
          </w:p>
        </w:tc>
        <w:tc>
          <w:tcPr>
            <w:tcW w:w="1425" w:type="dxa"/>
            <w:noWrap w:val="0"/>
            <w:vAlign w:val="center"/>
          </w:tcPr>
          <w:p>
            <w:pPr>
              <w:jc w:val="left"/>
              <w:rPr>
                <w:rFonts w:ascii="宋体" w:hAnsi="宋体" w:cs="宋体"/>
                <w:sz w:val="24"/>
              </w:rPr>
            </w:pPr>
            <w:r>
              <w:rPr>
                <w:rFonts w:hint="eastAsia" w:ascii="宋体" w:hAnsi="宋体" w:cs="宋体"/>
                <w:sz w:val="24"/>
              </w:rPr>
              <w:t>显示屏</w:t>
            </w:r>
          </w:p>
        </w:tc>
        <w:tc>
          <w:tcPr>
            <w:tcW w:w="7160" w:type="dxa"/>
            <w:noWrap w:val="0"/>
            <w:vAlign w:val="center"/>
          </w:tcPr>
          <w:p>
            <w:pPr>
              <w:jc w:val="left"/>
              <w:rPr>
                <w:rFonts w:ascii="宋体" w:hAnsi="宋体" w:cs="宋体"/>
                <w:sz w:val="24"/>
              </w:rPr>
            </w:pPr>
            <w:r>
              <w:rPr>
                <w:rFonts w:hint="eastAsia" w:ascii="宋体" w:hAnsi="宋体" w:cs="宋体"/>
                <w:sz w:val="24"/>
              </w:rPr>
              <w:t>屏幕≥6英寸，分辨率：≥1520*720；工业级电容触控屏，支持带手套触控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5</w:t>
            </w:r>
          </w:p>
        </w:tc>
        <w:tc>
          <w:tcPr>
            <w:tcW w:w="1425" w:type="dxa"/>
            <w:noWrap w:val="0"/>
            <w:vAlign w:val="center"/>
          </w:tcPr>
          <w:p>
            <w:pPr>
              <w:jc w:val="left"/>
              <w:rPr>
                <w:rFonts w:ascii="宋体" w:hAnsi="宋体" w:cs="宋体"/>
                <w:sz w:val="24"/>
              </w:rPr>
            </w:pPr>
            <w:r>
              <w:rPr>
                <w:rFonts w:hint="eastAsia" w:ascii="宋体" w:hAnsi="宋体" w:cs="宋体"/>
                <w:sz w:val="24"/>
              </w:rPr>
              <w:t>功能键</w:t>
            </w:r>
          </w:p>
        </w:tc>
        <w:tc>
          <w:tcPr>
            <w:tcW w:w="7160" w:type="dxa"/>
            <w:noWrap w:val="0"/>
            <w:vAlign w:val="top"/>
          </w:tcPr>
          <w:p>
            <w:pPr>
              <w:jc w:val="left"/>
              <w:rPr>
                <w:rFonts w:ascii="宋体" w:hAnsi="宋体" w:cs="宋体"/>
                <w:sz w:val="24"/>
              </w:rPr>
            </w:pPr>
            <w:r>
              <w:rPr>
                <w:rFonts w:hint="eastAsia" w:ascii="宋体" w:hAnsi="宋体" w:cs="宋体"/>
                <w:sz w:val="24"/>
              </w:rPr>
              <w:t>共5键，侧面扫描键*2，侧面电源键*1，侧面音量±键*2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6</w:t>
            </w:r>
          </w:p>
        </w:tc>
        <w:tc>
          <w:tcPr>
            <w:tcW w:w="1425" w:type="dxa"/>
            <w:noWrap w:val="0"/>
            <w:vAlign w:val="center"/>
          </w:tcPr>
          <w:p>
            <w:pPr>
              <w:jc w:val="left"/>
              <w:rPr>
                <w:rFonts w:ascii="宋体" w:hAnsi="宋体" w:cs="宋体"/>
                <w:sz w:val="24"/>
              </w:rPr>
            </w:pPr>
            <w:r>
              <w:rPr>
                <w:rFonts w:hint="eastAsia" w:ascii="宋体" w:hAnsi="宋体" w:cs="宋体"/>
                <w:sz w:val="24"/>
              </w:rPr>
              <w:t>电池容量</w:t>
            </w:r>
          </w:p>
        </w:tc>
        <w:tc>
          <w:tcPr>
            <w:tcW w:w="7160" w:type="dxa"/>
            <w:noWrap w:val="0"/>
            <w:vAlign w:val="center"/>
          </w:tcPr>
          <w:p>
            <w:pPr>
              <w:jc w:val="left"/>
              <w:rPr>
                <w:rFonts w:ascii="宋体" w:hAnsi="宋体" w:cs="宋体"/>
                <w:sz w:val="24"/>
              </w:rPr>
            </w:pPr>
            <w:r>
              <w:rPr>
                <w:rFonts w:hint="eastAsia" w:ascii="宋体" w:hAnsi="宋体" w:cs="宋体"/>
                <w:sz w:val="24"/>
              </w:rPr>
              <w:t>≥ 4200mAh锂离子电池，无需借助其他工具可自行拆卸和更换，可选配支持NFC，无线充电电池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7</w:t>
            </w:r>
          </w:p>
        </w:tc>
        <w:tc>
          <w:tcPr>
            <w:tcW w:w="1425" w:type="dxa"/>
            <w:noWrap w:val="0"/>
            <w:vAlign w:val="center"/>
          </w:tcPr>
          <w:p>
            <w:pPr>
              <w:jc w:val="left"/>
              <w:rPr>
                <w:rFonts w:ascii="宋体" w:hAnsi="宋体" w:cs="宋体"/>
                <w:sz w:val="24"/>
              </w:rPr>
            </w:pPr>
            <w:r>
              <w:rPr>
                <w:rFonts w:hint="eastAsia" w:ascii="宋体" w:hAnsi="宋体" w:cs="宋体"/>
                <w:sz w:val="24"/>
              </w:rPr>
              <w:t>扫描头</w:t>
            </w:r>
          </w:p>
        </w:tc>
        <w:tc>
          <w:tcPr>
            <w:tcW w:w="7160" w:type="dxa"/>
            <w:noWrap w:val="0"/>
            <w:vAlign w:val="center"/>
          </w:tcPr>
          <w:p>
            <w:pPr>
              <w:jc w:val="left"/>
              <w:rPr>
                <w:rFonts w:ascii="宋体" w:hAnsi="宋体" w:cs="宋体"/>
                <w:sz w:val="24"/>
              </w:rPr>
            </w:pPr>
            <w:r>
              <w:rPr>
                <w:rFonts w:hint="eastAsia" w:ascii="宋体" w:hAnsi="宋体" w:cs="宋体"/>
                <w:sz w:val="24"/>
              </w:rPr>
              <w:t>使用同厂家自研专业扫描头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8</w:t>
            </w:r>
          </w:p>
        </w:tc>
        <w:tc>
          <w:tcPr>
            <w:tcW w:w="1425" w:type="dxa"/>
            <w:noWrap w:val="0"/>
            <w:vAlign w:val="center"/>
          </w:tcPr>
          <w:p>
            <w:pPr>
              <w:jc w:val="left"/>
              <w:rPr>
                <w:rFonts w:ascii="宋体" w:hAnsi="宋体" w:cs="宋体"/>
                <w:sz w:val="24"/>
              </w:rPr>
            </w:pPr>
            <w:r>
              <w:rPr>
                <w:rFonts w:hint="eastAsia" w:ascii="宋体" w:hAnsi="宋体" w:cs="宋体"/>
                <w:sz w:val="24"/>
              </w:rPr>
              <w:t>音频</w:t>
            </w:r>
          </w:p>
        </w:tc>
        <w:tc>
          <w:tcPr>
            <w:tcW w:w="7160" w:type="dxa"/>
            <w:noWrap w:val="0"/>
            <w:vAlign w:val="center"/>
          </w:tcPr>
          <w:p>
            <w:pPr>
              <w:jc w:val="left"/>
              <w:rPr>
                <w:rFonts w:ascii="宋体" w:hAnsi="宋体" w:cs="宋体"/>
                <w:sz w:val="24"/>
              </w:rPr>
            </w:pPr>
            <w:r>
              <w:rPr>
                <w:rFonts w:hint="eastAsia" w:ascii="宋体" w:hAnsi="宋体" w:cs="宋体"/>
                <w:sz w:val="24"/>
              </w:rPr>
              <w:t>内置双麦克风（降噪麦克风）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9</w:t>
            </w:r>
          </w:p>
        </w:tc>
        <w:tc>
          <w:tcPr>
            <w:tcW w:w="1425" w:type="dxa"/>
            <w:noWrap w:val="0"/>
            <w:vAlign w:val="center"/>
          </w:tcPr>
          <w:p>
            <w:pPr>
              <w:jc w:val="left"/>
              <w:rPr>
                <w:rFonts w:ascii="宋体" w:hAnsi="宋体" w:cs="宋体"/>
                <w:sz w:val="24"/>
              </w:rPr>
            </w:pPr>
            <w:r>
              <w:rPr>
                <w:rFonts w:hint="eastAsia" w:ascii="宋体" w:hAnsi="宋体" w:cs="宋体"/>
                <w:sz w:val="24"/>
              </w:rPr>
              <w:t>提示</w:t>
            </w:r>
          </w:p>
        </w:tc>
        <w:tc>
          <w:tcPr>
            <w:tcW w:w="7160" w:type="dxa"/>
            <w:noWrap w:val="0"/>
            <w:vAlign w:val="center"/>
          </w:tcPr>
          <w:p>
            <w:pPr>
              <w:jc w:val="left"/>
              <w:rPr>
                <w:rFonts w:ascii="宋体" w:hAnsi="宋体" w:cs="宋体"/>
                <w:sz w:val="24"/>
              </w:rPr>
            </w:pPr>
            <w:r>
              <w:rPr>
                <w:rFonts w:hint="eastAsia" w:ascii="宋体" w:hAnsi="宋体" w:cs="宋体"/>
                <w:sz w:val="24"/>
              </w:rPr>
              <w:t>大功率喇叭/振动提示/LED提示/音频提示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10</w:t>
            </w:r>
          </w:p>
        </w:tc>
        <w:tc>
          <w:tcPr>
            <w:tcW w:w="1425" w:type="dxa"/>
            <w:noWrap w:val="0"/>
            <w:vAlign w:val="center"/>
          </w:tcPr>
          <w:p>
            <w:pPr>
              <w:jc w:val="left"/>
              <w:rPr>
                <w:rFonts w:ascii="宋体" w:hAnsi="宋体" w:cs="宋体"/>
                <w:sz w:val="24"/>
              </w:rPr>
            </w:pPr>
            <w:r>
              <w:rPr>
                <w:rFonts w:hint="eastAsia" w:ascii="宋体" w:hAnsi="宋体" w:cs="宋体"/>
                <w:sz w:val="24"/>
              </w:rPr>
              <w:t>指纹识别</w:t>
            </w:r>
          </w:p>
        </w:tc>
        <w:tc>
          <w:tcPr>
            <w:tcW w:w="7160" w:type="dxa"/>
            <w:noWrap w:val="0"/>
            <w:vAlign w:val="center"/>
          </w:tcPr>
          <w:p>
            <w:pPr>
              <w:jc w:val="left"/>
              <w:rPr>
                <w:rFonts w:ascii="宋体" w:hAnsi="宋体" w:cs="宋体"/>
                <w:sz w:val="24"/>
              </w:rPr>
            </w:pPr>
            <w:r>
              <w:rPr>
                <w:rFonts w:hint="eastAsia" w:ascii="宋体" w:hAnsi="宋体" w:cs="宋体"/>
                <w:sz w:val="24"/>
              </w:rPr>
              <w:t>支持背部指纹识别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11</w:t>
            </w:r>
          </w:p>
        </w:tc>
        <w:tc>
          <w:tcPr>
            <w:tcW w:w="1425" w:type="dxa"/>
            <w:noWrap w:val="0"/>
            <w:vAlign w:val="center"/>
          </w:tcPr>
          <w:p>
            <w:pPr>
              <w:jc w:val="left"/>
              <w:rPr>
                <w:rFonts w:ascii="宋体" w:hAnsi="宋体" w:cs="宋体"/>
                <w:sz w:val="24"/>
              </w:rPr>
            </w:pPr>
            <w:r>
              <w:rPr>
                <w:rFonts w:hint="eastAsia" w:ascii="宋体" w:hAnsi="宋体" w:cs="宋体"/>
                <w:sz w:val="24"/>
              </w:rPr>
              <w:t>震动马达</w:t>
            </w:r>
          </w:p>
        </w:tc>
        <w:tc>
          <w:tcPr>
            <w:tcW w:w="7160" w:type="dxa"/>
            <w:noWrap w:val="0"/>
            <w:vAlign w:val="center"/>
          </w:tcPr>
          <w:p>
            <w:pPr>
              <w:jc w:val="left"/>
              <w:rPr>
                <w:rFonts w:ascii="宋体" w:hAnsi="宋体" w:cs="宋体"/>
                <w:sz w:val="24"/>
              </w:rPr>
            </w:pPr>
            <w:r>
              <w:rPr>
                <w:rFonts w:hint="eastAsia" w:ascii="宋体" w:hAnsi="宋体" w:cs="宋体"/>
                <w:sz w:val="24"/>
              </w:rPr>
              <w:t>内置震动马达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12</w:t>
            </w:r>
          </w:p>
        </w:tc>
        <w:tc>
          <w:tcPr>
            <w:tcW w:w="1425" w:type="dxa"/>
            <w:noWrap w:val="0"/>
            <w:vAlign w:val="center"/>
          </w:tcPr>
          <w:p>
            <w:pPr>
              <w:jc w:val="left"/>
              <w:rPr>
                <w:rFonts w:ascii="宋体" w:hAnsi="宋体" w:cs="宋体"/>
                <w:sz w:val="24"/>
              </w:rPr>
            </w:pPr>
            <w:r>
              <w:rPr>
                <w:rFonts w:hint="eastAsia" w:ascii="宋体" w:hAnsi="宋体" w:cs="宋体"/>
                <w:sz w:val="24"/>
              </w:rPr>
              <w:t>传感器</w:t>
            </w:r>
          </w:p>
        </w:tc>
        <w:tc>
          <w:tcPr>
            <w:tcW w:w="7160" w:type="dxa"/>
            <w:noWrap w:val="0"/>
            <w:vAlign w:val="center"/>
          </w:tcPr>
          <w:p>
            <w:pPr>
              <w:jc w:val="left"/>
              <w:rPr>
                <w:rFonts w:ascii="宋体" w:hAnsi="宋体" w:cs="宋体"/>
                <w:sz w:val="24"/>
              </w:rPr>
            </w:pPr>
            <w:r>
              <w:rPr>
                <w:rFonts w:hint="eastAsia" w:ascii="宋体" w:hAnsi="宋体" w:cs="宋体"/>
                <w:sz w:val="24"/>
              </w:rPr>
              <w:t>重力传感器（G-sensor）/接近传感器/光线传感器/地磁传感器/陀螺仪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13</w:t>
            </w:r>
          </w:p>
        </w:tc>
        <w:tc>
          <w:tcPr>
            <w:tcW w:w="1425" w:type="dxa"/>
            <w:noWrap w:val="0"/>
            <w:vAlign w:val="center"/>
          </w:tcPr>
          <w:p>
            <w:pPr>
              <w:jc w:val="left"/>
              <w:rPr>
                <w:rFonts w:ascii="宋体" w:hAnsi="宋体" w:cs="宋体"/>
                <w:sz w:val="24"/>
              </w:rPr>
            </w:pPr>
            <w:r>
              <w:rPr>
                <w:rFonts w:hint="eastAsia" w:ascii="宋体" w:hAnsi="宋体" w:cs="宋体"/>
                <w:sz w:val="24"/>
              </w:rPr>
              <w:t>重量及尺寸</w:t>
            </w:r>
          </w:p>
        </w:tc>
        <w:tc>
          <w:tcPr>
            <w:tcW w:w="7160" w:type="dxa"/>
            <w:noWrap w:val="0"/>
            <w:vAlign w:val="top"/>
          </w:tcPr>
          <w:p>
            <w:pPr>
              <w:jc w:val="left"/>
              <w:rPr>
                <w:rFonts w:ascii="宋体" w:hAnsi="宋体" w:cs="宋体"/>
                <w:sz w:val="24"/>
              </w:rPr>
            </w:pPr>
            <w:r>
              <w:rPr>
                <w:rFonts w:hint="eastAsia" w:ascii="宋体" w:hAnsi="宋体" w:cs="宋体"/>
                <w:sz w:val="24"/>
              </w:rPr>
              <w:t>≤300g（含电池）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2" w:hRule="atLeast"/>
        </w:trPr>
        <w:tc>
          <w:tcPr>
            <w:tcW w:w="737" w:type="dxa"/>
            <w:noWrap w:val="0"/>
            <w:vAlign w:val="center"/>
          </w:tcPr>
          <w:p>
            <w:pPr>
              <w:jc w:val="center"/>
              <w:rPr>
                <w:rFonts w:ascii="宋体" w:hAnsi="宋体" w:cs="宋体"/>
                <w:sz w:val="24"/>
              </w:rPr>
            </w:pPr>
            <w:r>
              <w:rPr>
                <w:rFonts w:hint="eastAsia" w:ascii="宋体" w:hAnsi="宋体" w:cs="宋体"/>
                <w:sz w:val="24"/>
              </w:rPr>
              <w:t>14</w:t>
            </w:r>
          </w:p>
        </w:tc>
        <w:tc>
          <w:tcPr>
            <w:tcW w:w="1425" w:type="dxa"/>
            <w:noWrap w:val="0"/>
            <w:vAlign w:val="center"/>
          </w:tcPr>
          <w:p>
            <w:pPr>
              <w:jc w:val="left"/>
              <w:rPr>
                <w:rFonts w:ascii="宋体" w:hAnsi="宋体" w:cs="宋体"/>
                <w:sz w:val="24"/>
              </w:rPr>
            </w:pPr>
            <w:r>
              <w:rPr>
                <w:rFonts w:hint="eastAsia" w:ascii="宋体" w:hAnsi="宋体" w:cs="宋体"/>
                <w:sz w:val="24"/>
              </w:rPr>
              <w:t>摄像头</w:t>
            </w:r>
          </w:p>
        </w:tc>
        <w:tc>
          <w:tcPr>
            <w:tcW w:w="7160" w:type="dxa"/>
            <w:noWrap w:val="0"/>
            <w:vAlign w:val="center"/>
          </w:tcPr>
          <w:p>
            <w:pPr>
              <w:jc w:val="left"/>
              <w:rPr>
                <w:rFonts w:ascii="宋体" w:hAnsi="宋体" w:cs="宋体"/>
                <w:sz w:val="24"/>
              </w:rPr>
            </w:pPr>
            <w:r>
              <w:rPr>
                <w:rFonts w:hint="eastAsia" w:ascii="宋体" w:hAnsi="宋体" w:cs="宋体"/>
                <w:sz w:val="24"/>
              </w:rPr>
              <w:t>后置≥1300万摄像头，前置500万像素，支持自动对焦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15</w:t>
            </w:r>
          </w:p>
        </w:tc>
        <w:tc>
          <w:tcPr>
            <w:tcW w:w="1425" w:type="dxa"/>
            <w:noWrap w:val="0"/>
            <w:vAlign w:val="center"/>
          </w:tcPr>
          <w:p>
            <w:pPr>
              <w:jc w:val="left"/>
              <w:rPr>
                <w:rFonts w:ascii="宋体" w:hAnsi="宋体" w:cs="宋体"/>
                <w:sz w:val="24"/>
              </w:rPr>
            </w:pPr>
            <w:r>
              <w:rPr>
                <w:rFonts w:hint="eastAsia" w:ascii="宋体" w:hAnsi="宋体" w:cs="宋体"/>
                <w:sz w:val="24"/>
              </w:rPr>
              <w:t>工作温度</w:t>
            </w:r>
          </w:p>
        </w:tc>
        <w:tc>
          <w:tcPr>
            <w:tcW w:w="7160" w:type="dxa"/>
            <w:noWrap w:val="0"/>
            <w:vAlign w:val="center"/>
          </w:tcPr>
          <w:p>
            <w:pPr>
              <w:jc w:val="left"/>
              <w:rPr>
                <w:rFonts w:ascii="宋体" w:hAnsi="宋体" w:cs="宋体"/>
                <w:sz w:val="24"/>
              </w:rPr>
            </w:pPr>
            <w:r>
              <w:rPr>
                <w:rFonts w:hint="eastAsia" w:ascii="宋体" w:hAnsi="宋体" w:cs="宋体"/>
                <w:sz w:val="24"/>
              </w:rPr>
              <w:t>-20°C ~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16</w:t>
            </w:r>
          </w:p>
        </w:tc>
        <w:tc>
          <w:tcPr>
            <w:tcW w:w="1425" w:type="dxa"/>
            <w:noWrap w:val="0"/>
            <w:vAlign w:val="center"/>
          </w:tcPr>
          <w:p>
            <w:pPr>
              <w:jc w:val="left"/>
              <w:rPr>
                <w:rFonts w:ascii="宋体" w:hAnsi="宋体" w:cs="宋体"/>
                <w:sz w:val="24"/>
              </w:rPr>
            </w:pPr>
            <w:r>
              <w:rPr>
                <w:rFonts w:hint="eastAsia" w:ascii="宋体" w:hAnsi="宋体" w:cs="宋体"/>
                <w:sz w:val="24"/>
              </w:rPr>
              <w:t>存储温度</w:t>
            </w:r>
          </w:p>
        </w:tc>
        <w:tc>
          <w:tcPr>
            <w:tcW w:w="7160" w:type="dxa"/>
            <w:noWrap w:val="0"/>
            <w:vAlign w:val="center"/>
          </w:tcPr>
          <w:p>
            <w:pPr>
              <w:jc w:val="left"/>
              <w:rPr>
                <w:rFonts w:ascii="宋体" w:hAnsi="宋体" w:cs="宋体"/>
                <w:sz w:val="24"/>
              </w:rPr>
            </w:pPr>
            <w:r>
              <w:rPr>
                <w:rFonts w:hint="eastAsia" w:ascii="宋体" w:hAnsi="宋体" w:cs="宋体"/>
                <w:sz w:val="24"/>
              </w:rPr>
              <w:t>-40°C ~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17</w:t>
            </w:r>
          </w:p>
        </w:tc>
        <w:tc>
          <w:tcPr>
            <w:tcW w:w="1425" w:type="dxa"/>
            <w:noWrap w:val="0"/>
            <w:vAlign w:val="center"/>
          </w:tcPr>
          <w:p>
            <w:pPr>
              <w:jc w:val="left"/>
              <w:rPr>
                <w:rFonts w:ascii="宋体" w:hAnsi="宋体" w:cs="宋体"/>
                <w:sz w:val="24"/>
              </w:rPr>
            </w:pPr>
            <w:r>
              <w:rPr>
                <w:rFonts w:hint="eastAsia" w:ascii="宋体" w:hAnsi="宋体" w:cs="宋体"/>
                <w:sz w:val="24"/>
              </w:rPr>
              <w:t>静电放电</w:t>
            </w:r>
          </w:p>
        </w:tc>
        <w:tc>
          <w:tcPr>
            <w:tcW w:w="7160" w:type="dxa"/>
            <w:noWrap w:val="0"/>
            <w:vAlign w:val="center"/>
          </w:tcPr>
          <w:p>
            <w:pPr>
              <w:jc w:val="left"/>
              <w:rPr>
                <w:rFonts w:ascii="宋体" w:hAnsi="宋体" w:cs="宋体"/>
                <w:sz w:val="24"/>
              </w:rPr>
            </w:pPr>
            <w:r>
              <w:rPr>
                <w:rFonts w:hint="eastAsia" w:ascii="宋体" w:hAnsi="宋体" w:cs="宋体"/>
                <w:sz w:val="24"/>
              </w:rPr>
              <w:t>±15kV空气放电，±8kV直接放电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18</w:t>
            </w:r>
          </w:p>
        </w:tc>
        <w:tc>
          <w:tcPr>
            <w:tcW w:w="1425" w:type="dxa"/>
            <w:noWrap w:val="0"/>
            <w:vAlign w:val="center"/>
          </w:tcPr>
          <w:p>
            <w:pPr>
              <w:jc w:val="left"/>
              <w:rPr>
                <w:rFonts w:ascii="宋体" w:hAnsi="宋体" w:cs="宋体"/>
                <w:sz w:val="24"/>
              </w:rPr>
            </w:pPr>
            <w:r>
              <w:rPr>
                <w:rFonts w:hint="eastAsia" w:ascii="宋体" w:hAnsi="宋体" w:cs="宋体"/>
                <w:sz w:val="24"/>
              </w:rPr>
              <w:t>湿度</w:t>
            </w:r>
          </w:p>
        </w:tc>
        <w:tc>
          <w:tcPr>
            <w:tcW w:w="7160" w:type="dxa"/>
            <w:noWrap w:val="0"/>
            <w:vAlign w:val="center"/>
          </w:tcPr>
          <w:p>
            <w:pPr>
              <w:jc w:val="left"/>
              <w:rPr>
                <w:rFonts w:ascii="宋体" w:hAnsi="宋体" w:cs="宋体"/>
                <w:sz w:val="24"/>
              </w:rPr>
            </w:pPr>
            <w:r>
              <w:rPr>
                <w:rFonts w:hint="eastAsia" w:ascii="宋体" w:hAnsi="宋体" w:cs="宋体"/>
                <w:sz w:val="24"/>
              </w:rPr>
              <w:t xml:space="preserve">0 ~ 95% (无结露)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19</w:t>
            </w:r>
          </w:p>
        </w:tc>
        <w:tc>
          <w:tcPr>
            <w:tcW w:w="1425" w:type="dxa"/>
            <w:noWrap w:val="0"/>
            <w:vAlign w:val="center"/>
          </w:tcPr>
          <w:p>
            <w:pPr>
              <w:jc w:val="left"/>
              <w:rPr>
                <w:rFonts w:ascii="宋体" w:hAnsi="宋体" w:cs="宋体"/>
                <w:sz w:val="24"/>
              </w:rPr>
            </w:pPr>
            <w:r>
              <w:rPr>
                <w:rFonts w:hint="eastAsia" w:ascii="宋体" w:hAnsi="宋体" w:cs="宋体"/>
                <w:sz w:val="24"/>
              </w:rPr>
              <w:t>充电模式</w:t>
            </w:r>
          </w:p>
        </w:tc>
        <w:tc>
          <w:tcPr>
            <w:tcW w:w="7160" w:type="dxa"/>
            <w:noWrap w:val="0"/>
            <w:vAlign w:val="top"/>
          </w:tcPr>
          <w:p>
            <w:pPr>
              <w:jc w:val="left"/>
              <w:rPr>
                <w:rFonts w:ascii="宋体" w:hAnsi="宋体" w:cs="宋体"/>
                <w:sz w:val="24"/>
              </w:rPr>
            </w:pPr>
            <w:r>
              <w:rPr>
                <w:rFonts w:hint="eastAsia" w:ascii="宋体" w:hAnsi="宋体" w:cs="宋体"/>
                <w:sz w:val="24"/>
              </w:rPr>
              <w:t>可选充电卡夹，单座充，主机四联充，电池四联充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20</w:t>
            </w:r>
          </w:p>
        </w:tc>
        <w:tc>
          <w:tcPr>
            <w:tcW w:w="1425" w:type="dxa"/>
            <w:noWrap w:val="0"/>
            <w:vAlign w:val="center"/>
          </w:tcPr>
          <w:p>
            <w:pPr>
              <w:jc w:val="left"/>
              <w:rPr>
                <w:rFonts w:ascii="宋体" w:hAnsi="宋体" w:cs="宋体"/>
                <w:sz w:val="24"/>
              </w:rPr>
            </w:pPr>
            <w:r>
              <w:rPr>
                <w:rFonts w:hint="eastAsia" w:ascii="宋体" w:hAnsi="宋体" w:cs="宋体"/>
                <w:sz w:val="24"/>
              </w:rPr>
              <w:t>扫码读取</w:t>
            </w:r>
          </w:p>
        </w:tc>
        <w:tc>
          <w:tcPr>
            <w:tcW w:w="7160" w:type="dxa"/>
            <w:noWrap w:val="0"/>
            <w:vAlign w:val="center"/>
          </w:tcPr>
          <w:p>
            <w:pPr>
              <w:jc w:val="left"/>
              <w:rPr>
                <w:rFonts w:ascii="宋体" w:hAnsi="宋体" w:cs="宋体"/>
                <w:sz w:val="24"/>
              </w:rPr>
            </w:pPr>
            <w:r>
              <w:rPr>
                <w:rFonts w:hint="eastAsia" w:ascii="宋体" w:hAnsi="宋体" w:cs="宋体"/>
                <w:sz w:val="24"/>
              </w:rPr>
              <w:t>支持国际通用的一维条码与二维条码。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21</w:t>
            </w:r>
          </w:p>
        </w:tc>
        <w:tc>
          <w:tcPr>
            <w:tcW w:w="1425" w:type="dxa"/>
            <w:noWrap w:val="0"/>
            <w:vAlign w:val="center"/>
          </w:tcPr>
          <w:p>
            <w:pPr>
              <w:jc w:val="left"/>
              <w:rPr>
                <w:rFonts w:ascii="宋体" w:hAnsi="宋体" w:cs="宋体"/>
                <w:sz w:val="24"/>
              </w:rPr>
            </w:pPr>
            <w:r>
              <w:rPr>
                <w:rFonts w:hint="eastAsia" w:ascii="宋体" w:hAnsi="宋体" w:cs="宋体"/>
                <w:sz w:val="24"/>
              </w:rPr>
              <w:t>抗摔高度</w:t>
            </w:r>
          </w:p>
        </w:tc>
        <w:tc>
          <w:tcPr>
            <w:tcW w:w="7160" w:type="dxa"/>
            <w:noWrap w:val="0"/>
            <w:vAlign w:val="center"/>
          </w:tcPr>
          <w:p>
            <w:pPr>
              <w:jc w:val="left"/>
              <w:rPr>
                <w:rFonts w:ascii="宋体" w:hAnsi="宋体" w:cs="宋体"/>
                <w:sz w:val="24"/>
              </w:rPr>
            </w:pPr>
            <w:r>
              <w:rPr>
                <w:rFonts w:hint="eastAsia" w:ascii="宋体" w:hAnsi="宋体" w:cs="宋体"/>
                <w:sz w:val="24"/>
              </w:rPr>
              <w:t>可经受多次1.5米到水泥地面的跌落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22</w:t>
            </w:r>
          </w:p>
        </w:tc>
        <w:tc>
          <w:tcPr>
            <w:tcW w:w="1425" w:type="dxa"/>
            <w:noWrap w:val="0"/>
            <w:vAlign w:val="center"/>
          </w:tcPr>
          <w:p>
            <w:pPr>
              <w:jc w:val="left"/>
              <w:rPr>
                <w:rFonts w:ascii="宋体" w:hAnsi="宋体" w:cs="宋体"/>
                <w:sz w:val="24"/>
              </w:rPr>
            </w:pPr>
            <w:r>
              <w:rPr>
                <w:rFonts w:hint="eastAsia" w:ascii="宋体" w:hAnsi="宋体" w:cs="宋体"/>
                <w:sz w:val="24"/>
              </w:rPr>
              <w:t>工业防护等级</w:t>
            </w:r>
          </w:p>
        </w:tc>
        <w:tc>
          <w:tcPr>
            <w:tcW w:w="7160" w:type="dxa"/>
            <w:noWrap w:val="0"/>
            <w:vAlign w:val="top"/>
          </w:tcPr>
          <w:p>
            <w:pPr>
              <w:jc w:val="left"/>
              <w:rPr>
                <w:rFonts w:ascii="宋体" w:hAnsi="宋体" w:cs="宋体"/>
                <w:sz w:val="24"/>
              </w:rPr>
            </w:pPr>
            <w:r>
              <w:rPr>
                <w:rFonts w:hint="eastAsia" w:ascii="宋体" w:hAnsi="宋体" w:cs="宋体"/>
                <w:sz w:val="24"/>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23</w:t>
            </w:r>
          </w:p>
        </w:tc>
        <w:tc>
          <w:tcPr>
            <w:tcW w:w="1425" w:type="dxa"/>
            <w:noWrap w:val="0"/>
            <w:vAlign w:val="center"/>
          </w:tcPr>
          <w:p>
            <w:pPr>
              <w:jc w:val="left"/>
              <w:rPr>
                <w:rFonts w:ascii="宋体" w:hAnsi="宋体" w:cs="宋体"/>
                <w:sz w:val="24"/>
              </w:rPr>
            </w:pPr>
            <w:r>
              <w:rPr>
                <w:rFonts w:hint="eastAsia" w:ascii="宋体" w:hAnsi="宋体" w:cs="宋体"/>
                <w:sz w:val="24"/>
              </w:rPr>
              <w:t>网络制式</w:t>
            </w:r>
          </w:p>
        </w:tc>
        <w:tc>
          <w:tcPr>
            <w:tcW w:w="7160" w:type="dxa"/>
            <w:noWrap w:val="0"/>
            <w:vAlign w:val="top"/>
          </w:tcPr>
          <w:p>
            <w:pPr>
              <w:jc w:val="left"/>
              <w:rPr>
                <w:rFonts w:ascii="宋体" w:hAnsi="宋体" w:cs="宋体"/>
                <w:sz w:val="24"/>
              </w:rPr>
            </w:pPr>
            <w:r>
              <w:rPr>
                <w:rFonts w:hint="eastAsia" w:ascii="宋体" w:hAnsi="宋体" w:cs="宋体"/>
                <w:sz w:val="24"/>
              </w:rPr>
              <w:t>具有5G功能，频率：5G：N1/N3/N38/N41/N77/N78/N79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24</w:t>
            </w:r>
          </w:p>
        </w:tc>
        <w:tc>
          <w:tcPr>
            <w:tcW w:w="1425" w:type="dxa"/>
            <w:noWrap w:val="0"/>
            <w:vAlign w:val="center"/>
          </w:tcPr>
          <w:p>
            <w:pPr>
              <w:jc w:val="left"/>
              <w:rPr>
                <w:rFonts w:ascii="宋体" w:hAnsi="宋体" w:cs="宋体"/>
                <w:sz w:val="24"/>
              </w:rPr>
            </w:pPr>
            <w:r>
              <w:rPr>
                <w:rFonts w:hint="eastAsia" w:ascii="宋体" w:hAnsi="宋体" w:cs="宋体"/>
                <w:sz w:val="24"/>
              </w:rPr>
              <w:t>蓝牙</w:t>
            </w:r>
          </w:p>
        </w:tc>
        <w:tc>
          <w:tcPr>
            <w:tcW w:w="7160" w:type="dxa"/>
            <w:noWrap w:val="0"/>
            <w:vAlign w:val="top"/>
          </w:tcPr>
          <w:p>
            <w:pPr>
              <w:jc w:val="left"/>
              <w:rPr>
                <w:rFonts w:ascii="宋体" w:hAnsi="宋体" w:cs="宋体"/>
                <w:sz w:val="24"/>
              </w:rPr>
            </w:pPr>
            <w:r>
              <w:rPr>
                <w:rFonts w:hint="eastAsia" w:ascii="宋体" w:hAnsi="宋体" w:cs="宋体"/>
                <w:sz w:val="24"/>
              </w:rPr>
              <w:t>Bluetooth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25</w:t>
            </w:r>
          </w:p>
        </w:tc>
        <w:tc>
          <w:tcPr>
            <w:tcW w:w="1425" w:type="dxa"/>
            <w:noWrap w:val="0"/>
            <w:vAlign w:val="center"/>
          </w:tcPr>
          <w:p>
            <w:pPr>
              <w:jc w:val="left"/>
              <w:rPr>
                <w:rFonts w:ascii="宋体" w:hAnsi="宋体" w:cs="宋体"/>
                <w:sz w:val="24"/>
              </w:rPr>
            </w:pPr>
            <w:r>
              <w:rPr>
                <w:rFonts w:hint="eastAsia" w:ascii="宋体" w:hAnsi="宋体" w:cs="宋体"/>
                <w:sz w:val="24"/>
              </w:rPr>
              <w:t>无线局域网</w:t>
            </w:r>
          </w:p>
        </w:tc>
        <w:tc>
          <w:tcPr>
            <w:tcW w:w="7160" w:type="dxa"/>
            <w:noWrap w:val="0"/>
            <w:vAlign w:val="top"/>
          </w:tcPr>
          <w:p>
            <w:pPr>
              <w:jc w:val="left"/>
              <w:rPr>
                <w:rFonts w:ascii="宋体" w:hAnsi="宋体" w:cs="宋体"/>
                <w:sz w:val="24"/>
              </w:rPr>
            </w:pPr>
            <w:r>
              <w:rPr>
                <w:rFonts w:hint="eastAsia" w:ascii="宋体" w:hAnsi="宋体" w:cs="宋体"/>
                <w:sz w:val="24"/>
              </w:rPr>
              <w:t>Wi-Fi 802.11a/b/g/n/ac/d/e/h/i/j/k/r/v/w（2.4G+5G双频Wi-Fi），支持快速漫游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shd w:val="clear" w:color="auto" w:fill="auto"/>
            <w:noWrap w:val="0"/>
            <w:vAlign w:val="center"/>
          </w:tcPr>
          <w:p>
            <w:pPr>
              <w:jc w:val="center"/>
              <w:rPr>
                <w:rFonts w:ascii="宋体" w:hAnsi="宋体" w:cs="宋体"/>
                <w:sz w:val="24"/>
              </w:rPr>
            </w:pPr>
            <w:r>
              <w:rPr>
                <w:rFonts w:hint="eastAsia" w:ascii="宋体" w:hAnsi="宋体" w:cs="宋体"/>
                <w:sz w:val="24"/>
              </w:rPr>
              <w:t>26</w:t>
            </w:r>
          </w:p>
        </w:tc>
        <w:tc>
          <w:tcPr>
            <w:tcW w:w="1425" w:type="dxa"/>
            <w:shd w:val="clear" w:color="auto" w:fill="auto"/>
            <w:noWrap w:val="0"/>
            <w:vAlign w:val="center"/>
          </w:tcPr>
          <w:p>
            <w:pPr>
              <w:jc w:val="left"/>
              <w:rPr>
                <w:rFonts w:ascii="宋体" w:hAnsi="宋体" w:cs="宋体"/>
                <w:sz w:val="24"/>
              </w:rPr>
            </w:pPr>
            <w:r>
              <w:rPr>
                <w:rFonts w:hint="eastAsia" w:ascii="宋体" w:hAnsi="宋体" w:cs="宋体"/>
                <w:sz w:val="24"/>
              </w:rPr>
              <w:t>保修服务</w:t>
            </w:r>
          </w:p>
        </w:tc>
        <w:tc>
          <w:tcPr>
            <w:tcW w:w="7160" w:type="dxa"/>
            <w:shd w:val="clear" w:color="auto" w:fill="auto"/>
            <w:noWrap w:val="0"/>
            <w:vAlign w:val="top"/>
          </w:tcPr>
          <w:p>
            <w:pPr>
              <w:jc w:val="left"/>
              <w:rPr>
                <w:rFonts w:ascii="宋体" w:hAnsi="宋体" w:cs="宋体"/>
                <w:sz w:val="24"/>
              </w:rPr>
            </w:pPr>
            <w:r>
              <w:rPr>
                <w:rFonts w:hint="eastAsia" w:ascii="宋体" w:hAnsi="宋体" w:cs="宋体"/>
                <w:kern w:val="0"/>
                <w:sz w:val="24"/>
              </w:rPr>
              <w:t>▲</w:t>
            </w:r>
            <w:r>
              <w:rPr>
                <w:rFonts w:hint="eastAsia" w:ascii="宋体" w:hAnsi="宋体" w:cs="宋体"/>
                <w:sz w:val="24"/>
              </w:rPr>
              <w:t>整机不少于五年免费上门保修（含电池、屏幕）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 w:hRule="atLeast"/>
        </w:trPr>
        <w:tc>
          <w:tcPr>
            <w:tcW w:w="737" w:type="dxa"/>
            <w:noWrap w:val="0"/>
            <w:vAlign w:val="center"/>
          </w:tcPr>
          <w:p>
            <w:pPr>
              <w:jc w:val="center"/>
              <w:rPr>
                <w:rFonts w:ascii="宋体" w:hAnsi="宋体" w:cs="宋体"/>
                <w:sz w:val="24"/>
              </w:rPr>
            </w:pPr>
            <w:r>
              <w:rPr>
                <w:rFonts w:hint="eastAsia" w:ascii="宋体" w:hAnsi="宋体" w:cs="宋体"/>
                <w:sz w:val="24"/>
              </w:rPr>
              <w:t>27</w:t>
            </w:r>
          </w:p>
        </w:tc>
        <w:tc>
          <w:tcPr>
            <w:tcW w:w="1425" w:type="dxa"/>
            <w:noWrap w:val="0"/>
            <w:vAlign w:val="center"/>
          </w:tcPr>
          <w:p>
            <w:pPr>
              <w:jc w:val="left"/>
              <w:rPr>
                <w:rFonts w:ascii="宋体" w:hAnsi="宋体" w:cs="宋体"/>
                <w:sz w:val="24"/>
              </w:rPr>
            </w:pPr>
            <w:r>
              <w:rPr>
                <w:rFonts w:hint="eastAsia" w:ascii="宋体" w:hAnsi="宋体" w:cs="宋体"/>
                <w:sz w:val="24"/>
              </w:rPr>
              <w:t>设备管理系统</w:t>
            </w:r>
          </w:p>
        </w:tc>
        <w:tc>
          <w:tcPr>
            <w:tcW w:w="7160" w:type="dxa"/>
            <w:noWrap w:val="0"/>
            <w:vAlign w:val="top"/>
          </w:tcPr>
          <w:p>
            <w:pPr>
              <w:jc w:val="left"/>
              <w:rPr>
                <w:rFonts w:ascii="宋体" w:hAnsi="宋体" w:cs="宋体"/>
                <w:sz w:val="24"/>
              </w:rPr>
            </w:pPr>
            <w:r>
              <w:rPr>
                <w:rFonts w:hint="eastAsia" w:ascii="宋体" w:hAnsi="宋体" w:cs="宋体"/>
                <w:sz w:val="24"/>
              </w:rPr>
              <w:t>★自带同厂家设备管理系统，包含设备管理，控制管理，推送管理，OS升级等功能。</w:t>
            </w:r>
          </w:p>
        </w:tc>
      </w:tr>
    </w:tbl>
    <w:p/>
    <w:p/>
    <w:p>
      <w:pPr>
        <w:pStyle w:val="2"/>
        <w:numPr>
          <w:ilvl w:val="1"/>
          <w:numId w:val="9"/>
        </w:numPr>
        <w:spacing w:before="240" w:after="60" w:line="413" w:lineRule="auto"/>
      </w:pPr>
      <w:r>
        <w:rPr>
          <w:rFonts w:hint="eastAsia"/>
        </w:rPr>
        <w:t>移动护理系统</w:t>
      </w:r>
    </w:p>
    <w:p>
      <w:pPr>
        <w:rPr>
          <w:rFonts w:ascii="宋体" w:hAnsi="宋体"/>
          <w:sz w:val="24"/>
        </w:rPr>
      </w:pPr>
      <w:r>
        <w:rPr>
          <w:rFonts w:hint="eastAsia" w:ascii="宋体" w:hAnsi="宋体"/>
          <w:sz w:val="24"/>
        </w:rPr>
        <w:t>移动护理系统建设本次主要包括移动护理信息系统、护理管理信息系统、门急诊输液管理系统、护理信息交互平台4个系统模块，所有模块均应按满足</w:t>
      </w:r>
      <w:r>
        <w:rPr>
          <w:rFonts w:hint="eastAsia" w:ascii="宋体" w:hAnsi="宋体" w:cs="宋体"/>
          <w:sz w:val="24"/>
        </w:rPr>
        <w:t>医院四级电子病历、互联互通四甲测评建设标准来建设。</w:t>
      </w:r>
    </w:p>
    <w:p>
      <w:pPr>
        <w:pStyle w:val="4"/>
        <w:numPr>
          <w:ilvl w:val="2"/>
          <w:numId w:val="0"/>
        </w:numPr>
      </w:pPr>
      <w:r>
        <w:rPr>
          <w:rFonts w:hint="eastAsia"/>
        </w:rPr>
        <w:t>1、移动护理信息系统</w:t>
      </w:r>
    </w:p>
    <w:tbl>
      <w:tblPr>
        <w:tblStyle w:val="57"/>
        <w:tblpPr w:leftFromText="180" w:rightFromText="180" w:vertAnchor="text" w:horzAnchor="margin" w:tblpY="333"/>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6"/>
        <w:gridCol w:w="1559"/>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主模块</w:t>
            </w:r>
          </w:p>
        </w:tc>
        <w:tc>
          <w:tcPr>
            <w:tcW w:w="1559" w:type="dxa"/>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子模块</w:t>
            </w:r>
          </w:p>
        </w:tc>
        <w:tc>
          <w:tcPr>
            <w:tcW w:w="6364" w:type="dxa"/>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系统设置</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用户账户管理</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支持对接HIS系统用户管理。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用户权限管理</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支持获取HIS系统操作人员权限分配管理。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功能模块对应的配置</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如系统包含有功能：文书、健康宣教等，则对应的，提供文书模板配置功能，健康宣教知识库配置功能。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快捷入口设置</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对患者列表右键中的快捷菜单进行维护，以使用户快速进入常用功能。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患者在院信息</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患者信息</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根据his能提供的字段显示患者基本信息，包括：姓名、性别、床号、护理级别、联系方式、身份证号、主治医生、诊断、饮食。并在简卡上提醒是否体温过高和待进行手术等。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转科患者查询</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xml:space="preserve">提供患者转科流转记录。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护理等级统计查询</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统计不同护理等级患者数据统计，可打印。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患者分组管理</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将本病区患者分配给相应责任护士（需权限）。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床头卡打印</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打印患者床头卡，主要根据等级护理做护理巡视及床头识别。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医嘱查询</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原始医嘱查看</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查看医生在电子医生站中下达的原始医嘱。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auto"/>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新医嘱查看 </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在护理系统的pc端的患者一览界面中，可以在医生下达新医嘱后在床位卡上进行提示。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auto"/>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护理巡视</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护理巡视</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支持病人巡视功能操作。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auto"/>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护理巡视记录查询</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支持病区病人巡视记录查询。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输液医嘱执行</w:t>
            </w: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输液准备之护士站收药核对</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护士对患者输液用药成组药品的扫描。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输液准备之备药扫描</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输液配药的扫描操作。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输液准备之复核扫描</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输液配药的复核扫描操作。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输液执行之用药核对</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护理人员在输液类医嘱执行前首先扫描输液瓶签上的条码，再扫描患者腕带条码，当两者匹配后继续用药（同时记录用药时间和用药人）；如不匹配进行提醒。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医嘱执行巡视</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对执行用药患者情况的查看及一般情况的基本操作，包括暂停，继续，终止，录入滴速和异常情况。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医嘱执行记录查看</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在PC和移动端查看护士对于患者医嘱执行的相关记录，用于责任追溯。执行计划包括执行时间、执行人、异常记录等。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输液巡视单查询、打印 </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按照医嘱对患者输液用药进行输液巡视单的打印。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医嘱补执行</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因某种原因（比如手术室外出用药</w:t>
            </w:r>
            <w:r>
              <w:rPr>
                <w:rStyle w:val="318"/>
                <w:rFonts w:hint="default"/>
                <w:sz w:val="24"/>
              </w:rPr>
              <w:t>等），护士对患者输液未能执行，在PC端进行补录。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输液执行单查询、打印 </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按照医嘱对患者输液用药进行输液执行单的查询、打印。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执行结果回写</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将输液医嘱执行结果回写至HIS或电子病历系统中。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针剂用药医嘱执行</w:t>
            </w: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针剂医嘱执行</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护理人员在针剂类医嘱执行前首先扫描针剂签上的条码，再扫描患者腕带条码，当两者匹配后继续用药（同时记录用药时间和用药人）；如不匹配进行提醒针剂由于执行时间较短，不需要记录结束时间。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医嘱补执行</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因某种原因（比如手术室外出用药</w:t>
            </w:r>
            <w:r>
              <w:rPr>
                <w:rStyle w:val="318"/>
                <w:rFonts w:hint="default"/>
                <w:sz w:val="24"/>
              </w:rPr>
              <w:t>等），护士对患者用药未能执行，在PC端进行补录。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针剂医嘱执行结果回写</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将针剂医嘱执行结果回写至HIS或电子病历系统中。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针剂执行单查询、打印</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支持针剂医嘱执行查询、打印。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口服药执行</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口服药执行单查询、打印 </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按照医嘱对患者口服药执行单的打印。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病区收药</w:t>
            </w:r>
          </w:p>
        </w:tc>
        <w:tc>
          <w:tcPr>
            <w:tcW w:w="6364" w:type="dxa"/>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 xml:space="preserve">在药房自动包药机包装口服药的模式中，护理系统和自动包药机系统对接，病区按配送批次接收药品，并记录接收批次、批次实际药品总数、接收人、接收时间。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医嘱执行之口服药用药核对</w:t>
            </w:r>
          </w:p>
        </w:tc>
        <w:tc>
          <w:tcPr>
            <w:tcW w:w="6364" w:type="dxa"/>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护理人员在口服药医嘱执行前首先扫描口服药签上的条码，再扫描患者腕带条码，当两者匹配后继续用药（同时记录用药时间和用药人）；如不匹配进行提醒。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医嘱补执行</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因某种原因，护士对患者用药未能有效执行，在PC端进行补录。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口服药执行结果回写</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将口服药执行结果回写至HIS或电子病历系统中。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检验医嘱执行</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标本采集执行单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根据标本采集流程（采集、送检）生成可追溯的采集记录，可根据不同查询条件进行记录查询及标本采集执行单的打印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采集信息回写</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将标本采集信息回写到LIS系统中。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输血医嘱执行</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输血执行单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根据输血执行记录生成输血</w:t>
            </w:r>
            <w:r>
              <w:rPr>
                <w:kern w:val="0"/>
              </w:rPr>
              <w:t>执行单，可按不同条件进行查询、打印。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输血执行结果回写</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将输血医嘱执行结果回写至HIS或电子病历系统中。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护理医嘱执行</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护理医嘱拆分</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护理系统PC端可以和住院电子医嘱对接，按给定的时间频度和医嘱有效期，将医嘱按照频次拆分后，产生护理医嘱执行明细。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护理医嘱执行结果回写</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将输血医嘱执行结果回写至HIS或电子病历系统中。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治疗单查询、打印</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支持护理医嘱执行查询、打印。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医嘱执行提醒</w:t>
            </w:r>
          </w:p>
        </w:tc>
        <w:tc>
          <w:tcPr>
            <w:tcW w:w="1559" w:type="dxa"/>
            <w:noWrap/>
            <w:tcMar>
              <w:top w:w="15" w:type="dxa"/>
              <w:left w:w="15" w:type="dxa"/>
              <w:right w:w="15" w:type="dxa"/>
            </w:tcMar>
            <w:vAlign w:val="bottom"/>
          </w:tcPr>
          <w:p>
            <w:pPr>
              <w:widowControl/>
              <w:jc w:val="left"/>
              <w:textAlignment w:val="bottom"/>
              <w:rPr>
                <w:rFonts w:ascii="宋体" w:hAnsi="宋体" w:cs="宋体"/>
                <w:color w:val="000000"/>
                <w:sz w:val="24"/>
              </w:rPr>
            </w:pPr>
            <w:r>
              <w:rPr>
                <w:rFonts w:hint="eastAsia" w:ascii="宋体" w:hAnsi="宋体" w:cs="宋体"/>
                <w:color w:val="000000"/>
                <w:kern w:val="0"/>
                <w:sz w:val="24"/>
              </w:rPr>
              <w:t>待执行医嘱提醒</w:t>
            </w:r>
          </w:p>
        </w:tc>
        <w:tc>
          <w:tcPr>
            <w:tcW w:w="6364" w:type="dxa"/>
            <w:noWrap/>
            <w:tcMar>
              <w:top w:w="15" w:type="dxa"/>
              <w:left w:w="15" w:type="dxa"/>
              <w:right w:w="15" w:type="dxa"/>
            </w:tcMar>
            <w:vAlign w:val="bottom"/>
          </w:tcPr>
          <w:p>
            <w:pPr>
              <w:widowControl/>
              <w:jc w:val="left"/>
              <w:textAlignment w:val="bottom"/>
              <w:rPr>
                <w:rFonts w:ascii="宋体" w:hAnsi="宋体" w:cs="宋体"/>
                <w:color w:val="000000"/>
                <w:sz w:val="24"/>
              </w:rPr>
            </w:pPr>
            <w:r>
              <w:rPr>
                <w:rFonts w:hint="eastAsia" w:ascii="宋体" w:hAnsi="宋体" w:cs="宋体"/>
                <w:color w:val="000000"/>
                <w:kern w:val="0"/>
                <w:sz w:val="24"/>
              </w:rPr>
              <w:t>系统能对特定时段里，护理人员需执行的医嘱记录进行提醒。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noWrap/>
            <w:tcMar>
              <w:top w:w="15" w:type="dxa"/>
              <w:left w:w="15" w:type="dxa"/>
              <w:right w:w="15" w:type="dxa"/>
            </w:tcMar>
            <w:vAlign w:val="bottom"/>
          </w:tcPr>
          <w:p>
            <w:pPr>
              <w:widowControl/>
              <w:jc w:val="left"/>
              <w:textAlignment w:val="bottom"/>
              <w:rPr>
                <w:rFonts w:ascii="宋体" w:hAnsi="宋体" w:cs="宋体"/>
                <w:color w:val="000000"/>
                <w:sz w:val="24"/>
              </w:rPr>
            </w:pPr>
            <w:r>
              <w:rPr>
                <w:rFonts w:hint="eastAsia" w:ascii="宋体" w:hAnsi="宋体" w:cs="宋体"/>
                <w:color w:val="000000"/>
                <w:kern w:val="0"/>
                <w:sz w:val="24"/>
              </w:rPr>
              <w:t>高危药品执行提示</w:t>
            </w:r>
          </w:p>
        </w:tc>
        <w:tc>
          <w:tcPr>
            <w:tcW w:w="6364" w:type="dxa"/>
            <w:noWrap/>
            <w:tcMar>
              <w:top w:w="15" w:type="dxa"/>
              <w:left w:w="15" w:type="dxa"/>
              <w:right w:w="15" w:type="dxa"/>
            </w:tcMar>
            <w:vAlign w:val="bottom"/>
          </w:tcPr>
          <w:p>
            <w:pPr>
              <w:widowControl/>
              <w:jc w:val="left"/>
              <w:textAlignment w:val="bottom"/>
              <w:rPr>
                <w:rFonts w:ascii="宋体" w:hAnsi="宋体" w:cs="宋体"/>
                <w:color w:val="000000"/>
                <w:sz w:val="24"/>
              </w:rPr>
            </w:pPr>
            <w:r>
              <w:rPr>
                <w:rFonts w:hint="eastAsia" w:ascii="宋体" w:hAnsi="宋体" w:cs="宋体"/>
                <w:color w:val="000000"/>
                <w:kern w:val="0"/>
                <w:sz w:val="24"/>
              </w:rPr>
              <w:t>护理人员在执行高危药品时，系统能智能提醒，可强制双人核对后才能执行。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配置药品过期提示</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护理人员在执行配置超过特定时间（如4小时）的无菌药品时，系统会智能提示拦截。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执行超时提示</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系统能对超过计划执行时间2小时（具体时间可以根据医院管理要求配置）的医嘱记录进行智能提示。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医嘱执行统计管理</w:t>
            </w: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合理给药统计</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系统对提前（或者延后）计划执行时间特定时间的医嘱执行记录进行智能汇总统计，并计算病区特定时段里给药时间符合率。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医嘱执行工作量统计</w:t>
            </w:r>
          </w:p>
        </w:tc>
        <w:tc>
          <w:tcPr>
            <w:tcW w:w="6364" w:type="dxa"/>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统计病区、病区各护理人员特定时段内完成医嘱执行数量。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生命体征管理</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体征录入</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患者体征信息的床旁实时采集，采集体征信息包括:  体温、脉搏、呼吸、心率、出入液量、血氧饱和度、血压、血糖、身高、疼痛、各种引流管、体重、排便次数等各类住院事件。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体征批量录入（仅限PC端）</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根据批量采集的患者体征信息，批量录入到系统中，生成体温单，并可进行体温单打印。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体温单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针对录入的体征信息，按卫生部规定的体温单格式输出，可进行修改、预览、打印。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待测提醒</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根据医院的体征测量规则，自动提醒测量时机。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对外接口</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提供取数结构，供其他系统调用，以使其他系统获取护理体征数据。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班内体征异常查询</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查询班次内体征异常的患者信息。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体征趋势图</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动态查询患者生命体征、能显示单个生命体征某时段的趋势图。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体征异常提醒</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智能提醒用户病区内体征异常患者信息。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健康宣教</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健康教育</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丰富的健康教育知识库，针对患者的不同病症，对住院须知实现床旁宣教。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临床报告</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检查检验报告查看</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查看住院患者的检查检验报告。对危急值进行警示。（由于无线网络传输速度问题，不进行pacs等图形展示）。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综合护理电子病历</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入院评估单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患者入院当天《入院评估单》相关信息的录入。结构化的入院评估单，可配置，易维护。符合国家护理电子病历文书标准，通过勾选的方式，方便护士操作，减轻护士工作量。针对中医特色护理，提供中医特色的入院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入院告知书</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根据医院相关规定，提供患者入院告知书。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一般护理记录单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支持患者住院期间《一般护理记录单》相关信息的录入、编辑、修改、打印，结构化文书操作，可配置，符合国家护理电子病历文书标准。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每日评估单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患者住院期间《每日评估单》相关信息的录入、修改、预览、打印，结构化文书操作，可配置，符合国家护理电子病历文书标准。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血压测量记录单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患者住院期间血压测量相关信息的录入、修改、预览、打印、结构化文书的操作。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血糖趋势图</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动态查询患者血糖信息，显示某时段的血糖趋势图。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血糖批量录入</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根据批量采集的患者血糖信息，批量录入到系统中，生成血糖单，并可进行血糖单打印。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皮试结果记录 </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移动端、PC端记录皮试结果功能。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血糖单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患者住院期间《血糖单》文书信息的录入、删除、修改、预览、打印。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护理电子病历录入模板自定义模板</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能自定义护理电子病历录入模板。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工作量统计</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统计病区、病区各护理人员特定时段内完成护理电子病历数量。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出入量单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患者住院期间《出入量》相关信息的录入、修改、预览、打印，结构化文书操作，可配置，符合等级医院评审标准。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交接单</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危重患者转运交接单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针对危重患者的转运交接单。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科室交接单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科室之间交接。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手术患者转运交接单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针对手术患者的转运交接单。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护理评分</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BRADEN评分</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患者住院期间BRADEN评分。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疼痛评分</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患者住院期间疼痛评分。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跌倒/坠床评分</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患者住院期间跌倒/坠床评分。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镇静评分</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患者住院期间镇静评分。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中心静脉导管评估</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患者住院期间置入中心静脉导管进行评估。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产科晕厥评分</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孕产妇住院期间晕厥评分。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营养评估</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患者住院期间的营养评分。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导管评估单</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患者住院期间不同导管评估。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评分趋势图</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针对不同评分的图形展示。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0"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护理评分查询</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查询患者评分异常数据。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护理评分汇总（患者）</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汇总患者的所有评分记录，根据评分，提供（</w:t>
            </w:r>
            <w:r>
              <w:rPr>
                <w:kern w:val="0"/>
              </w:rPr>
              <w:t xml:space="preserve">疼痛、 跌倒/坠床、呕吐物吸入窒息预防、 </w:t>
            </w:r>
            <w:r>
              <w:rPr>
                <w:rFonts w:ascii="宋体" w:hAnsi="宋体" w:cs="宋体"/>
                <w:kern w:val="0"/>
                <w:sz w:val="24"/>
              </w:rPr>
              <w:t>压力</w:t>
            </w:r>
            <w:r>
              <w:rPr>
                <w:kern w:val="0"/>
              </w:rPr>
              <w:t>性损伤预防、 意外烫伤预防）等不同的护理措施。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护理措施（成人/儿童）</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根据评分，提供不同的护理措施。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压疮告知书</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根据压疮评分，提供患者压疮告知书（包括带入性压疮告知书）。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坠床跌倒告知书</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根据跌倒评分，提供患者坠床跌倒告知书。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shd w:val="clear" w:color="auto" w:fill="FFFFFF"/>
            <w:noWrap/>
            <w:tcMar>
              <w:top w:w="15" w:type="dxa"/>
              <w:left w:w="15" w:type="dxa"/>
              <w:right w:w="15" w:type="dxa"/>
            </w:tcMar>
            <w:vAlign w:val="center"/>
          </w:tcPr>
          <w:p>
            <w:pPr>
              <w:jc w:val="center"/>
              <w:rPr>
                <w:rFonts w:ascii="宋体" w:hAnsi="宋体" w:cs="宋体"/>
                <w:color w:val="000000"/>
                <w:sz w:val="24"/>
              </w:rPr>
            </w:pP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疼痛告知书</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根据疼痛评分，提供患者疼痛告知书。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护理计划</w:t>
            </w:r>
          </w:p>
        </w:tc>
        <w:tc>
          <w:tcPr>
            <w:tcW w:w="1559"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护理计划</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1.有各专科护理计划知识库，可按病种勾选，根据所选计划知识库，制定相应的护理处理措施。</w:t>
            </w:r>
          </w:p>
          <w:p>
            <w:pPr>
              <w:widowControl/>
              <w:jc w:val="left"/>
              <w:textAlignment w:val="center"/>
              <w:rPr>
                <w:rFonts w:ascii="宋体" w:hAnsi="宋体" w:cs="宋体"/>
                <w:color w:val="000000"/>
                <w:sz w:val="24"/>
              </w:rPr>
            </w:pPr>
            <w:r>
              <w:rPr>
                <w:rFonts w:hint="eastAsia" w:ascii="宋体" w:hAnsi="宋体" w:cs="宋体"/>
                <w:color w:val="000000"/>
                <w:kern w:val="0"/>
                <w:sz w:val="24"/>
              </w:rPr>
              <w:t>2.护理计划新增、修改、执行。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restart"/>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中医护理</w:t>
            </w:r>
          </w:p>
        </w:tc>
        <w:tc>
          <w:tcPr>
            <w:tcW w:w="1559" w:type="dxa"/>
            <w:shd w:val="clear" w:color="auto" w:fill="FFFFFF"/>
            <w:noWrap/>
            <w:tcMar>
              <w:top w:w="15" w:type="dxa"/>
              <w:left w:w="15" w:type="dxa"/>
              <w:right w:w="15" w:type="dxa"/>
            </w:tcMar>
            <w:vAlign w:val="top"/>
          </w:tcPr>
          <w:p>
            <w:pPr>
              <w:widowControl/>
              <w:jc w:val="left"/>
              <w:textAlignment w:val="center"/>
              <w:rPr>
                <w:rFonts w:ascii="宋体" w:hAnsi="宋体" w:cs="宋体"/>
                <w:kern w:val="0"/>
                <w:sz w:val="24"/>
              </w:rPr>
            </w:pPr>
            <w:r>
              <w:rPr>
                <w:rFonts w:hint="eastAsia" w:ascii="宋体" w:hAnsi="宋体" w:cs="宋体"/>
                <w:color w:val="000000"/>
                <w:sz w:val="24"/>
              </w:rPr>
              <w:t>★</w:t>
            </w:r>
            <w:r>
              <w:rPr>
                <w:rFonts w:hint="eastAsia" w:ascii="宋体" w:hAnsi="宋体" w:cs="宋体"/>
                <w:kern w:val="0"/>
                <w:sz w:val="24"/>
              </w:rPr>
              <w:t>疾病与症状关联知识库</w:t>
            </w:r>
          </w:p>
        </w:tc>
        <w:tc>
          <w:tcPr>
            <w:tcW w:w="6364" w:type="dxa"/>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系统自带疾病和病症的关系，多对多，即：一个疾病会有多个症状，一个症状会有多个疾病当患者有某一个疾病的时候，系统通过中医知识库查找，能自动提供匹配的症状，需提供知识库截图。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noWrap w:val="0"/>
            <w:vAlign w:val="top"/>
          </w:tcPr>
          <w:p>
            <w:pPr>
              <w:widowControl/>
              <w:jc w:val="left"/>
              <w:textAlignment w:val="center"/>
              <w:rPr>
                <w:rFonts w:ascii="宋体" w:hAnsi="宋体" w:cs="宋体"/>
                <w:kern w:val="0"/>
                <w:sz w:val="24"/>
              </w:rPr>
            </w:pPr>
          </w:p>
        </w:tc>
        <w:tc>
          <w:tcPr>
            <w:tcW w:w="1559" w:type="dxa"/>
            <w:noWrap w:val="0"/>
            <w:vAlign w:val="top"/>
          </w:tcPr>
          <w:p>
            <w:pPr>
              <w:widowControl/>
              <w:jc w:val="left"/>
              <w:textAlignment w:val="center"/>
              <w:rPr>
                <w:rFonts w:ascii="宋体" w:hAnsi="宋体" w:cs="宋体"/>
                <w:kern w:val="0"/>
                <w:sz w:val="24"/>
              </w:rPr>
            </w:pPr>
            <w:r>
              <w:rPr>
                <w:rFonts w:hint="eastAsia" w:ascii="宋体" w:hAnsi="宋体" w:cs="宋体"/>
                <w:color w:val="000000"/>
                <w:sz w:val="24"/>
              </w:rPr>
              <w:t>★</w:t>
            </w:r>
            <w:r>
              <w:rPr>
                <w:rFonts w:hint="eastAsia" w:ascii="宋体" w:hAnsi="宋体" w:cs="宋体"/>
                <w:kern w:val="0"/>
                <w:sz w:val="24"/>
              </w:rPr>
              <w:t>症状与辩证施护方法、中医护理技术关联知识库</w:t>
            </w:r>
          </w:p>
        </w:tc>
        <w:tc>
          <w:tcPr>
            <w:tcW w:w="6364" w:type="dxa"/>
            <w:noWrap w:val="0"/>
            <w:vAlign w:val="center"/>
          </w:tcPr>
          <w:p>
            <w:pPr>
              <w:widowControl/>
              <w:jc w:val="left"/>
              <w:textAlignment w:val="center"/>
              <w:rPr>
                <w:rFonts w:ascii="宋体" w:hAnsi="宋体" w:cs="宋体"/>
                <w:kern w:val="0"/>
                <w:sz w:val="24"/>
                <w:lang w:val="zh-CN"/>
              </w:rPr>
            </w:pPr>
            <w:r>
              <w:rPr>
                <w:rFonts w:hint="eastAsia" w:ascii="宋体" w:hAnsi="宋体" w:cs="宋体"/>
                <w:kern w:val="0"/>
                <w:sz w:val="24"/>
              </w:rPr>
              <w:t>系统维护了症状与辩证施护方法、中医护理技术的关系多对多当患者有某一个疾病的时候，系统能通过知识库匹配到对应的辩证施护方法和中医护理技术，需提供知识库截图。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noWrap w:val="0"/>
            <w:vAlign w:val="top"/>
          </w:tcPr>
          <w:p>
            <w:pPr>
              <w:widowControl/>
              <w:jc w:val="left"/>
              <w:textAlignment w:val="center"/>
              <w:rPr>
                <w:rFonts w:ascii="宋体" w:hAnsi="宋体" w:cs="宋体"/>
                <w:kern w:val="0"/>
                <w:sz w:val="24"/>
              </w:rPr>
            </w:pPr>
          </w:p>
        </w:tc>
        <w:tc>
          <w:tcPr>
            <w:tcW w:w="1559" w:type="dxa"/>
            <w:noWrap w:val="0"/>
            <w:vAlign w:val="top"/>
          </w:tcPr>
          <w:p>
            <w:pPr>
              <w:widowControl/>
              <w:jc w:val="left"/>
              <w:textAlignment w:val="center"/>
              <w:rPr>
                <w:rFonts w:ascii="宋体" w:hAnsi="宋体" w:cs="宋体"/>
                <w:kern w:val="0"/>
                <w:sz w:val="24"/>
              </w:rPr>
            </w:pPr>
            <w:r>
              <w:rPr>
                <w:rFonts w:hint="eastAsia" w:ascii="宋体" w:hAnsi="宋体" w:cs="宋体"/>
                <w:kern w:val="0"/>
                <w:sz w:val="24"/>
              </w:rPr>
              <w:t>中医护理效果评价</w:t>
            </w:r>
          </w:p>
        </w:tc>
        <w:tc>
          <w:tcPr>
            <w:tcW w:w="6364" w:type="dxa"/>
            <w:noWrap w:val="0"/>
            <w:vAlign w:val="center"/>
          </w:tcPr>
          <w:p>
            <w:pPr>
              <w:widowControl/>
              <w:jc w:val="left"/>
              <w:textAlignment w:val="center"/>
              <w:rPr>
                <w:rFonts w:ascii="宋体" w:hAnsi="宋体" w:cs="宋体"/>
                <w:kern w:val="0"/>
                <w:sz w:val="24"/>
              </w:rPr>
            </w:pPr>
            <w:r>
              <w:rPr>
                <w:rFonts w:hint="eastAsia" w:ascii="宋体" w:hAnsi="宋体" w:cs="宋体"/>
                <w:kern w:val="0"/>
                <w:sz w:val="24"/>
              </w:rPr>
              <w:t>针对中医管理局下发的全部中医单病种的中医护理效果进行评价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noWrap w:val="0"/>
            <w:vAlign w:val="top"/>
          </w:tcPr>
          <w:p>
            <w:pPr>
              <w:widowControl/>
              <w:jc w:val="left"/>
              <w:textAlignment w:val="center"/>
              <w:rPr>
                <w:rFonts w:ascii="宋体" w:hAnsi="宋体" w:cs="宋体"/>
                <w:kern w:val="0"/>
                <w:sz w:val="24"/>
              </w:rPr>
            </w:pPr>
          </w:p>
        </w:tc>
        <w:tc>
          <w:tcPr>
            <w:tcW w:w="1559" w:type="dxa"/>
            <w:noWrap w:val="0"/>
            <w:vAlign w:val="top"/>
          </w:tcPr>
          <w:p>
            <w:pPr>
              <w:widowControl/>
              <w:jc w:val="left"/>
              <w:textAlignment w:val="center"/>
              <w:rPr>
                <w:rFonts w:ascii="宋体" w:hAnsi="宋体" w:cs="宋体"/>
                <w:kern w:val="0"/>
                <w:sz w:val="24"/>
              </w:rPr>
            </w:pPr>
            <w:r>
              <w:rPr>
                <w:rFonts w:hint="eastAsia" w:ascii="宋体" w:hAnsi="宋体" w:cs="宋体"/>
                <w:color w:val="000000"/>
                <w:sz w:val="24"/>
              </w:rPr>
              <w:t>★</w:t>
            </w:r>
            <w:r>
              <w:rPr>
                <w:rFonts w:hint="eastAsia" w:ascii="宋体" w:hAnsi="宋体" w:cs="宋体"/>
                <w:kern w:val="0"/>
                <w:sz w:val="24"/>
              </w:rPr>
              <w:t>护理方案的效果分析</w:t>
            </w:r>
          </w:p>
        </w:tc>
        <w:tc>
          <w:tcPr>
            <w:tcW w:w="6364" w:type="dxa"/>
            <w:noWrap w:val="0"/>
            <w:vAlign w:val="center"/>
          </w:tcPr>
          <w:p>
            <w:pPr>
              <w:widowControl/>
              <w:jc w:val="left"/>
              <w:textAlignment w:val="center"/>
              <w:rPr>
                <w:rFonts w:ascii="宋体" w:hAnsi="宋体" w:cs="宋体"/>
                <w:kern w:val="0"/>
                <w:sz w:val="24"/>
              </w:rPr>
            </w:pPr>
            <w:r>
              <w:rPr>
                <w:rFonts w:hint="eastAsia" w:ascii="宋体" w:hAnsi="宋体" w:cs="宋体"/>
                <w:kern w:val="0"/>
                <w:sz w:val="24"/>
              </w:rPr>
              <w:t>显示针对主要症状、实现例数及护理效果的统计分析，需提供统计分析截图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noWrap w:val="0"/>
            <w:vAlign w:val="top"/>
          </w:tcPr>
          <w:p>
            <w:pPr>
              <w:widowControl/>
              <w:jc w:val="left"/>
              <w:textAlignment w:val="center"/>
              <w:rPr>
                <w:rFonts w:ascii="宋体" w:hAnsi="宋体" w:cs="宋体"/>
                <w:kern w:val="0"/>
                <w:sz w:val="24"/>
              </w:rPr>
            </w:pPr>
          </w:p>
        </w:tc>
        <w:tc>
          <w:tcPr>
            <w:tcW w:w="1559" w:type="dxa"/>
            <w:noWrap w:val="0"/>
            <w:vAlign w:val="top"/>
          </w:tcPr>
          <w:p>
            <w:pPr>
              <w:widowControl/>
              <w:jc w:val="left"/>
              <w:textAlignment w:val="center"/>
              <w:rPr>
                <w:rFonts w:ascii="宋体" w:hAnsi="宋体" w:cs="宋体"/>
                <w:kern w:val="0"/>
                <w:sz w:val="24"/>
              </w:rPr>
            </w:pPr>
            <w:r>
              <w:rPr>
                <w:rFonts w:hint="eastAsia" w:ascii="宋体" w:hAnsi="宋体" w:cs="宋体"/>
                <w:kern w:val="0"/>
                <w:sz w:val="24"/>
              </w:rPr>
              <w:t>中医护理技术应用情况分析</w:t>
            </w:r>
          </w:p>
        </w:tc>
        <w:tc>
          <w:tcPr>
            <w:tcW w:w="6364" w:type="dxa"/>
            <w:noWrap w:val="0"/>
            <w:vAlign w:val="center"/>
          </w:tcPr>
          <w:p>
            <w:pPr>
              <w:widowControl/>
              <w:jc w:val="left"/>
              <w:textAlignment w:val="center"/>
              <w:rPr>
                <w:rFonts w:ascii="宋体" w:hAnsi="宋体" w:cs="宋体"/>
                <w:kern w:val="0"/>
                <w:sz w:val="24"/>
              </w:rPr>
            </w:pPr>
            <w:r>
              <w:rPr>
                <w:rFonts w:hint="eastAsia" w:ascii="宋体" w:hAnsi="宋体" w:cs="宋体"/>
                <w:kern w:val="0"/>
                <w:sz w:val="24"/>
              </w:rPr>
              <w:t>显示针对主要症状的病例数及中医护理技术的实施人次及百分比的统计分析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noWrap w:val="0"/>
            <w:vAlign w:val="top"/>
          </w:tcPr>
          <w:p>
            <w:pPr>
              <w:widowControl/>
              <w:jc w:val="left"/>
              <w:textAlignment w:val="center"/>
              <w:rPr>
                <w:rFonts w:ascii="宋体" w:hAnsi="宋体" w:cs="宋体"/>
                <w:kern w:val="0"/>
                <w:sz w:val="24"/>
              </w:rPr>
            </w:pPr>
          </w:p>
        </w:tc>
        <w:tc>
          <w:tcPr>
            <w:tcW w:w="1559" w:type="dxa"/>
            <w:noWrap w:val="0"/>
            <w:vAlign w:val="top"/>
          </w:tcPr>
          <w:p>
            <w:pPr>
              <w:widowControl/>
              <w:jc w:val="left"/>
              <w:textAlignment w:val="center"/>
              <w:rPr>
                <w:rFonts w:ascii="宋体" w:hAnsi="宋体" w:cs="宋体"/>
                <w:kern w:val="0"/>
                <w:sz w:val="24"/>
              </w:rPr>
            </w:pPr>
            <w:r>
              <w:rPr>
                <w:rFonts w:hint="eastAsia" w:ascii="宋体" w:hAnsi="宋体" w:cs="宋体"/>
                <w:kern w:val="0"/>
                <w:sz w:val="24"/>
              </w:rPr>
              <w:t>患者对中医护理技术的依从性和满意度分析</w:t>
            </w:r>
          </w:p>
        </w:tc>
        <w:tc>
          <w:tcPr>
            <w:tcW w:w="6364" w:type="dxa"/>
            <w:noWrap w:val="0"/>
            <w:vAlign w:val="center"/>
          </w:tcPr>
          <w:p>
            <w:pPr>
              <w:widowControl/>
              <w:jc w:val="left"/>
              <w:textAlignment w:val="center"/>
              <w:rPr>
                <w:rFonts w:ascii="宋体" w:hAnsi="宋体" w:cs="宋体"/>
                <w:kern w:val="0"/>
                <w:sz w:val="24"/>
              </w:rPr>
            </w:pPr>
            <w:r>
              <w:rPr>
                <w:rFonts w:hint="eastAsia" w:ascii="宋体" w:hAnsi="宋体" w:cs="宋体"/>
                <w:kern w:val="0"/>
                <w:sz w:val="24"/>
              </w:rPr>
              <w:t>显示针对中医护理技术的实施人次、依从性及满意度的统计分析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noWrap w:val="0"/>
            <w:vAlign w:val="top"/>
          </w:tcPr>
          <w:p>
            <w:pPr>
              <w:widowControl/>
              <w:jc w:val="left"/>
              <w:textAlignment w:val="center"/>
              <w:rPr>
                <w:rFonts w:ascii="宋体" w:hAnsi="宋体" w:cs="宋体"/>
                <w:kern w:val="0"/>
                <w:sz w:val="24"/>
              </w:rPr>
            </w:pPr>
          </w:p>
        </w:tc>
        <w:tc>
          <w:tcPr>
            <w:tcW w:w="1559" w:type="dxa"/>
            <w:noWrap w:val="0"/>
            <w:vAlign w:val="top"/>
          </w:tcPr>
          <w:p>
            <w:pPr>
              <w:widowControl/>
              <w:jc w:val="left"/>
              <w:textAlignment w:val="center"/>
              <w:rPr>
                <w:rFonts w:ascii="宋体" w:hAnsi="宋体" w:cs="宋体"/>
                <w:kern w:val="0"/>
                <w:sz w:val="24"/>
              </w:rPr>
            </w:pPr>
            <w:r>
              <w:rPr>
                <w:rFonts w:hint="eastAsia" w:ascii="宋体" w:hAnsi="宋体" w:cs="宋体"/>
                <w:color w:val="000000"/>
                <w:sz w:val="24"/>
              </w:rPr>
              <w:t>★</w:t>
            </w:r>
            <w:r>
              <w:rPr>
                <w:rFonts w:hint="eastAsia" w:ascii="宋体" w:hAnsi="宋体" w:cs="宋体"/>
                <w:kern w:val="0"/>
                <w:sz w:val="24"/>
              </w:rPr>
              <w:t>应用中医护理技术患者一览</w:t>
            </w:r>
          </w:p>
        </w:tc>
        <w:tc>
          <w:tcPr>
            <w:tcW w:w="6364" w:type="dxa"/>
            <w:noWrap w:val="0"/>
            <w:vAlign w:val="center"/>
          </w:tcPr>
          <w:p>
            <w:pPr>
              <w:widowControl/>
              <w:jc w:val="left"/>
              <w:textAlignment w:val="center"/>
              <w:rPr>
                <w:rFonts w:ascii="宋体" w:hAnsi="宋体" w:cs="宋体"/>
                <w:kern w:val="0"/>
                <w:sz w:val="24"/>
              </w:rPr>
            </w:pPr>
            <w:r>
              <w:rPr>
                <w:rFonts w:hint="eastAsia" w:ascii="宋体" w:hAnsi="宋体" w:cs="宋体"/>
                <w:kern w:val="0"/>
                <w:sz w:val="24"/>
              </w:rPr>
              <w:t>列出应用中医护理技术患者列表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noWrap w:val="0"/>
            <w:vAlign w:val="top"/>
          </w:tcPr>
          <w:p>
            <w:pPr>
              <w:widowControl/>
              <w:jc w:val="left"/>
              <w:textAlignment w:val="center"/>
              <w:rPr>
                <w:rFonts w:ascii="宋体" w:hAnsi="宋体" w:cs="宋体"/>
                <w:kern w:val="0"/>
                <w:sz w:val="24"/>
              </w:rPr>
            </w:pPr>
          </w:p>
        </w:tc>
        <w:tc>
          <w:tcPr>
            <w:tcW w:w="1559" w:type="dxa"/>
            <w:noWrap w:val="0"/>
            <w:vAlign w:val="top"/>
          </w:tcPr>
          <w:p>
            <w:pPr>
              <w:widowControl/>
              <w:jc w:val="left"/>
              <w:textAlignment w:val="center"/>
              <w:rPr>
                <w:rFonts w:ascii="宋体" w:hAnsi="宋体" w:cs="宋体"/>
                <w:kern w:val="0"/>
                <w:sz w:val="24"/>
              </w:rPr>
            </w:pPr>
            <w:r>
              <w:rPr>
                <w:rFonts w:hint="eastAsia" w:ascii="宋体" w:hAnsi="宋体" w:cs="宋体"/>
                <w:kern w:val="0"/>
                <w:sz w:val="24"/>
              </w:rPr>
              <w:t>出院前的中医护理技术效果评价</w:t>
            </w:r>
          </w:p>
        </w:tc>
        <w:tc>
          <w:tcPr>
            <w:tcW w:w="6364" w:type="dxa"/>
            <w:noWrap w:val="0"/>
            <w:vAlign w:val="center"/>
          </w:tcPr>
          <w:p>
            <w:pPr>
              <w:widowControl/>
              <w:jc w:val="left"/>
              <w:textAlignment w:val="center"/>
              <w:rPr>
                <w:rFonts w:ascii="宋体" w:hAnsi="宋体" w:cs="宋体"/>
                <w:kern w:val="0"/>
                <w:sz w:val="24"/>
              </w:rPr>
            </w:pPr>
            <w:r>
              <w:rPr>
                <w:rFonts w:hint="eastAsia" w:ascii="宋体" w:hAnsi="宋体" w:cs="宋体"/>
                <w:kern w:val="0"/>
                <w:sz w:val="24"/>
              </w:rPr>
              <w:t>针对护理依从性、满意度、护理方案的实用性及满意度的统计分析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vMerge w:val="continue"/>
            <w:noWrap w:val="0"/>
            <w:vAlign w:val="top"/>
          </w:tcPr>
          <w:p>
            <w:pPr>
              <w:widowControl/>
              <w:jc w:val="left"/>
              <w:textAlignment w:val="center"/>
              <w:rPr>
                <w:rFonts w:ascii="宋体" w:hAnsi="宋体" w:cs="宋体"/>
                <w:kern w:val="0"/>
                <w:sz w:val="24"/>
              </w:rPr>
            </w:pPr>
          </w:p>
        </w:tc>
        <w:tc>
          <w:tcPr>
            <w:tcW w:w="1559" w:type="dxa"/>
            <w:noWrap w:val="0"/>
            <w:vAlign w:val="top"/>
          </w:tcPr>
          <w:p>
            <w:pPr>
              <w:widowControl/>
              <w:jc w:val="left"/>
              <w:textAlignment w:val="center"/>
              <w:rPr>
                <w:rFonts w:ascii="宋体" w:hAnsi="宋体" w:cs="宋体"/>
                <w:kern w:val="0"/>
                <w:sz w:val="24"/>
              </w:rPr>
            </w:pPr>
            <w:r>
              <w:rPr>
                <w:rFonts w:hint="eastAsia" w:ascii="宋体" w:hAnsi="宋体" w:cs="宋体"/>
                <w:color w:val="000000"/>
                <w:sz w:val="24"/>
              </w:rPr>
              <w:t>★</w:t>
            </w:r>
            <w:r>
              <w:rPr>
                <w:rFonts w:hint="eastAsia" w:ascii="宋体" w:hAnsi="宋体" w:cs="宋体"/>
                <w:kern w:val="0"/>
                <w:sz w:val="24"/>
              </w:rPr>
              <w:t>中医护理效果评价表</w:t>
            </w:r>
          </w:p>
        </w:tc>
        <w:tc>
          <w:tcPr>
            <w:tcW w:w="6364" w:type="dxa"/>
            <w:noWrap w:val="0"/>
            <w:vAlign w:val="center"/>
          </w:tcPr>
          <w:p>
            <w:pPr>
              <w:widowControl/>
              <w:jc w:val="left"/>
              <w:textAlignment w:val="center"/>
              <w:rPr>
                <w:rFonts w:ascii="宋体" w:hAnsi="宋体" w:cs="宋体"/>
                <w:kern w:val="0"/>
                <w:sz w:val="24"/>
              </w:rPr>
            </w:pPr>
            <w:r>
              <w:rPr>
                <w:rFonts w:hint="eastAsia" w:ascii="宋体" w:hAnsi="宋体" w:cs="宋体"/>
                <w:kern w:val="0"/>
                <w:sz w:val="24"/>
              </w:rPr>
              <w:t>针对中医管理局下发的52个中医单病种的中医护理效果进行记录，需提供不少于15种中医单病种效果评价截图。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trPr>
        <w:tc>
          <w:tcPr>
            <w:tcW w:w="1306" w:type="dxa"/>
            <w:noWrap w:val="0"/>
            <w:vAlign w:val="top"/>
          </w:tcPr>
          <w:p>
            <w:pPr>
              <w:widowControl/>
              <w:jc w:val="left"/>
              <w:textAlignment w:val="center"/>
              <w:rPr>
                <w:rFonts w:ascii="宋体" w:hAnsi="宋体" w:cs="宋体"/>
                <w:kern w:val="0"/>
                <w:sz w:val="24"/>
              </w:rPr>
            </w:pPr>
            <w:r>
              <w:rPr>
                <w:rFonts w:hint="eastAsia" w:ascii="宋体" w:hAnsi="宋体" w:cs="宋体"/>
                <w:kern w:val="0"/>
                <w:sz w:val="24"/>
              </w:rPr>
              <w:t>系统集成</w:t>
            </w:r>
          </w:p>
        </w:tc>
        <w:tc>
          <w:tcPr>
            <w:tcW w:w="1559" w:type="dxa"/>
            <w:noWrap w:val="0"/>
            <w:vAlign w:val="top"/>
          </w:tcPr>
          <w:p>
            <w:pPr>
              <w:widowControl/>
              <w:jc w:val="left"/>
              <w:textAlignment w:val="center"/>
              <w:rPr>
                <w:rFonts w:ascii="宋体" w:hAnsi="宋体" w:cs="宋体"/>
                <w:color w:val="000000"/>
                <w:sz w:val="24"/>
              </w:rPr>
            </w:pPr>
            <w:r>
              <w:rPr>
                <w:rFonts w:hint="eastAsia" w:ascii="宋体" w:hAnsi="宋体" w:cs="宋体"/>
                <w:color w:val="000000"/>
                <w:sz w:val="24"/>
              </w:rPr>
              <w:t>▲系统集成</w:t>
            </w:r>
          </w:p>
        </w:tc>
        <w:tc>
          <w:tcPr>
            <w:tcW w:w="6364" w:type="dxa"/>
            <w:noWrap w:val="0"/>
            <w:vAlign w:val="center"/>
          </w:tcPr>
          <w:p>
            <w:pPr>
              <w:widowControl/>
              <w:jc w:val="left"/>
              <w:textAlignment w:val="center"/>
              <w:rPr>
                <w:rFonts w:ascii="宋体" w:hAnsi="宋体" w:cs="宋体"/>
                <w:kern w:val="0"/>
                <w:sz w:val="24"/>
              </w:rPr>
            </w:pPr>
            <w:r>
              <w:rPr>
                <w:rFonts w:hint="eastAsia" w:ascii="宋体" w:hAnsi="宋体" w:cs="宋体"/>
                <w:kern w:val="0"/>
                <w:sz w:val="24"/>
              </w:rPr>
              <w:t>系统需支持与医院现有HIS、EMR等系统集成，系统报价须包含与医院现有系统集成接口费。</w:t>
            </w:r>
          </w:p>
        </w:tc>
      </w:tr>
    </w:tbl>
    <w:p/>
    <w:p>
      <w:pPr>
        <w:pStyle w:val="4"/>
        <w:numPr>
          <w:ilvl w:val="2"/>
          <w:numId w:val="0"/>
        </w:numPr>
      </w:pPr>
      <w:r>
        <w:rPr>
          <w:rFonts w:hint="eastAsia"/>
        </w:rPr>
        <w:t>2、护理管理信息系统</w:t>
      </w:r>
    </w:p>
    <w:tbl>
      <w:tblPr>
        <w:tblStyle w:val="57"/>
        <w:tblW w:w="9229" w:type="dxa"/>
        <w:tblInd w:w="0" w:type="dxa"/>
        <w:shd w:val="clear" w:color="auto" w:fill="FFFFFF"/>
        <w:tblLayout w:type="fixed"/>
        <w:tblCellMar>
          <w:top w:w="0" w:type="dxa"/>
          <w:left w:w="0" w:type="dxa"/>
          <w:bottom w:w="0" w:type="dxa"/>
          <w:right w:w="0" w:type="dxa"/>
        </w:tblCellMar>
      </w:tblPr>
      <w:tblGrid>
        <w:gridCol w:w="1008"/>
        <w:gridCol w:w="1559"/>
        <w:gridCol w:w="6662"/>
      </w:tblGrid>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主模块</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子模块</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功能说明</w:t>
            </w:r>
          </w:p>
        </w:tc>
      </w:tr>
      <w:tr>
        <w:tblPrEx>
          <w:tblCellMar>
            <w:top w:w="0" w:type="dxa"/>
            <w:left w:w="0" w:type="dxa"/>
            <w:bottom w:w="0" w:type="dxa"/>
            <w:right w:w="0" w:type="dxa"/>
          </w:tblCellMar>
        </w:tblPrEx>
        <w:trPr>
          <w:wBefore w:w="0" w:type="dxa"/>
          <w:wAfter w:w="0" w:type="dxa"/>
          <w:trHeight w:val="23"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护理人员动态档案管理</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护理人员基本档案---列表展示及高级查询</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1.可按职工性质分类查询；2.提供工号、姓名、简码的快速查询；3.提供人员高级查询；4.可按科室显示人员；5.可自定义显示列及列显示顺序；6.可自定义每页记录显示数。</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护理人员基本档案---档案导入导出</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1.可自定义excel导入模版（新增或更新）；2.excel数据导入（新增或更新）；3.excel数据导出（可自定义导出列）。</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人员基本信息</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工号、姓名、性别、身份证、出生日期、职工性质、到院日期、参加工作时间、民族、籍贯等基础信息。</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人员联系方式</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工作电话、手机、虚拟短号、电子邮件、QQ号、家庭地址、家庭电话、紧急联系人、紧急联系电话。</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护士职称记录</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本人职称变动记录。</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护士职务记录</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本人职务变动记录。</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护士层级记录</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本人护士层级记录。</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护士教育经历</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本人护士教育经历。</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工作经历记录</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本人工作经历记录。</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执业证书信息</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护士执业证书信息。</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科室人员档案</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用户护士长管理本病区所有护理人员的档案。</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个人档案维护</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通过权限控制，提供护理人员查询个人档案以及修改部分内容的功能。</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护士照片管理</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支持个人照片维护</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证件照片管理</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职称证书、学历证书、学位证书、执业证书、计算机等级证书、英语资格证书。可以单个人维护。</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护理人员调动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1.指定到人员、调出科室、调出日期，执行调动；2.撤消调动记录，清除相关数据痕迹。</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护士批量调动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批量调动多人，帮助减轻调动工作量。</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护理人员调动---查询分析及导出</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1.按科室、人员信息、时间段查询；2.excel导出。</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护理人员一览表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支持按科室，通过不同颜色显示护理人员信息，同时支持点击护士姓名可以查看护士的工作时间，入院时间等内容。</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各分类科室总人数</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各大类科室人数统计。</w:t>
            </w:r>
          </w:p>
        </w:tc>
      </w:tr>
      <w:tr>
        <w:tblPrEx>
          <w:tblCellMar>
            <w:top w:w="0" w:type="dxa"/>
            <w:left w:w="0" w:type="dxa"/>
            <w:bottom w:w="0" w:type="dxa"/>
            <w:right w:w="0" w:type="dxa"/>
          </w:tblCellMar>
        </w:tblPrEx>
        <w:trPr>
          <w:wBefore w:w="0" w:type="dxa"/>
          <w:wAfter w:w="0" w:type="dxa"/>
          <w:trHeight w:val="23" w:hRule="atLeast"/>
        </w:trPr>
        <w:tc>
          <w:tcPr>
            <w:tcW w:w="1008"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统计分析</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护士职务分布分析表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分析全院及各科护士职务分布情况。</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护士职称分布分析表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分析全院及各科护士职称情况。</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护士学历分布分析表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分析全院及各科护士学历分布情况。</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护士工作年限分析表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分析全院及各科护士工作年限情况。</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护士状态分析表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分析护士人事编制情况，如在职、反聘、合同、临时等。</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护士层级分布表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分析全院护士层级分布情况。</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护士层级汇总</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各科室各层级人员列表。</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护士鞋号分布分析表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分析全院护士鞋号分布情况。</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护士离职率分析</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分析全院护士的离职情况。</w:t>
            </w:r>
          </w:p>
        </w:tc>
      </w:tr>
      <w:tr>
        <w:tblPrEx>
          <w:tblCellMar>
            <w:top w:w="0" w:type="dxa"/>
            <w:left w:w="0" w:type="dxa"/>
            <w:bottom w:w="0" w:type="dxa"/>
            <w:right w:w="0" w:type="dxa"/>
          </w:tblCellMar>
        </w:tblPrEx>
        <w:trPr>
          <w:wBefore w:w="0" w:type="dxa"/>
          <w:wAfter w:w="0" w:type="dxa"/>
          <w:trHeight w:val="23"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质量检查与查房</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质量检查指标维护</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分病区，分类型设置质量检查指标或项目。</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病区质量自查</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科室自查本科室的护理质量情况。</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科片质量检查</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科护士长层面，组织的质量检查。</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护理部质量抽查</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护理部组织质量抽查，在此记录检查评分情况。抽查内容包括：普通科室质量检查、</w:t>
            </w:r>
            <w:r>
              <w:rPr>
                <w:rFonts w:ascii="宋体" w:hAnsi="宋体" w:cs="宋体"/>
                <w:kern w:val="0"/>
                <w:sz w:val="24"/>
              </w:rPr>
              <w:t>急诊科室质量检查、ICU质量检查、供应室质量检查、手术室质量检查、新生儿科质量检查、分娩室质量检查等等。</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行政查房</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分护理部行政查房和科护士长行政查房，根据既定的行政查房项目（制度落实、安全目标、护士素质、其他）进行打分，填写扣分原因。(支持满分护理单元快速录入)。</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护理夜查房</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可进行护理夜查房计划、登记管理。包括记录查房日期、主查病区、查房时段、责任值班护士、其他值班护士、问题记录等。问题关键字包含护士素质、劳动纪律、病区环境、了解病情、措施到位、按时巡视、操作正规等方面。</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质量检查分析</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对各病区的质量自查与抽查、行政查房、护理夜查房过程中发现的问题进行PDCA闭环管理。通过模型汇总分析，明确主要质量影响因子，为进一步提升护理质量提供帮助。</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质量问题汇总</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汇总质量自查与抽查、行政查房、护理夜查房过程中发现的问题，方便护理部对单项问题做多病区分析或者对某病区做重点问题分析。</w:t>
            </w:r>
          </w:p>
        </w:tc>
      </w:tr>
      <w:tr>
        <w:tblPrEx>
          <w:tblCellMar>
            <w:top w:w="0" w:type="dxa"/>
            <w:left w:w="0" w:type="dxa"/>
            <w:bottom w:w="0" w:type="dxa"/>
            <w:right w:w="0" w:type="dxa"/>
          </w:tblCellMar>
        </w:tblPrEx>
        <w:trPr>
          <w:wBefore w:w="0" w:type="dxa"/>
          <w:wAfter w:w="0" w:type="dxa"/>
          <w:trHeight w:val="23"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护理日常工作</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护士长工作首页</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将护士长日常的管理工作集成在一个管理工作平台上，包括质量检查与查房、日常工作等，对存在的问题及要做的工作进行自动标识提示，可以直接进行PDCA管理。并以铃铛警示未完成工作项。</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年度工作计划</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病区填报年度工作计划、护理部查看全院科室的工作计划。</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月度工作计划</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病区填报月度工作计划、护理部查看全院科室的工作计划。</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护理疾病查房</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护理疾病查房记录，记录护理疾病名称、病区、主查老师、参加人数、及相关附件。</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护士业务学习项目记录</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登记录入护士在医院进行的各项业务学习内容</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奖励事件登记</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登记科室奖励事件。</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护士长参加主任或医生查房</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记录跟随科主任或者医生查房的相关内容。</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季度工作总结</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病区填写季度工作总结。</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年度工作总结</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病区填报年度工作总结，护理部查看全院科室年度工作总结。</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护理年度工作计划</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护理部填写年度工作计划，全院可阅览。</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护理年度培训计划</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护理部填写年度在职培训计划，全院可阅览。</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季度工作重点</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护理部填写月度工作重点，全院可阅览。</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季度工作总结</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护理部填写季度工作总结，全院可阅览。</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月度质量分析</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记录护理部月度质量分析讨论结果。</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护理年度工作总结</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护理部填写年度工作总结，全院可阅览。</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月度工作督查</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护理部督查各科室月度日常工作填报情况。</w:t>
            </w:r>
          </w:p>
        </w:tc>
      </w:tr>
      <w:tr>
        <w:tblPrEx>
          <w:tblCellMar>
            <w:top w:w="0" w:type="dxa"/>
            <w:left w:w="0" w:type="dxa"/>
            <w:bottom w:w="0" w:type="dxa"/>
            <w:right w:w="0" w:type="dxa"/>
          </w:tblCellMar>
        </w:tblPrEx>
        <w:trPr>
          <w:wBefore w:w="0" w:type="dxa"/>
          <w:wAfter w:w="0" w:type="dxa"/>
          <w:trHeight w:val="23"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护理不良事件</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护理不良事件填报及整改</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针对护理隐患（未发生），护理不良事件（已发生）：给药错误、针刺伤、护理投诉、护理事故、烫伤、压力性损伤、高危压力性损伤、坠床、跌倒、药物外渗、管道滑脱等情况进行的上报、管理、整改处理；支持根据医院模版定制。</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不良事件汇总</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统计已发生、未发生例数及占比；统计各类不良事件例数及占比，提供饼图；统计各伤害程度例数及占比。</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跌倒不良事件汇总报告</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完成跌倒不良事件全部关键项因子的统计分析，可帮助护理部及病区快速完成不良事件报告；支持饼图、柱状图、拆线图；支持图形3D效果。</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坠床不良事件汇总报告</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完成坠床不良事件全部关键项因子的统计分析，可帮助护理部及病区快速完成不良事件报告；支持饼图、柱状图、拆线图；支持图形3D效果。</w:t>
            </w:r>
          </w:p>
        </w:tc>
      </w:tr>
      <w:tr>
        <w:tblPrEx>
          <w:shd w:val="clear" w:color="auto" w:fill="FFFFFF"/>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压疮不良事件汇总报告</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完成压力性损伤不良事件全部关键项因子的统计分析，可帮助护理部及病区快速完成不良事件报告；支持饼图、柱状图、拆线图；支持图形3D效果。</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管道滑脱不良事件汇总报告</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完成管道滑脱不良事件全部关键项因子的统计分析，可帮助护理部及病区快速完成不良事件报告；支持饼图、柱状图、拆线图；支持图形3D效果。</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给药错误不良事件汇总报告</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完成给药错误不良事件全部关键项因子的统计分析，可帮助护理部及病区快速完成不良事件报告；支持饼图、柱状图、拆线图；支持图形3D效果。</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针刺伤不良事件汇总报告</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完成针刺伤不良事件全部关键项因子的统计分析，可帮助护理部及病区快速完成不良事件报告；支持饼图、柱状图、拆线图；支持图形3D效果。</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烫伤不良事件汇总报告</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完成烫伤不良事件全部关键项因子的统计分析，可帮助护理部及病区快速完成不良事件报告；支持饼图、柱状图、拆线图；支持图形3D效果。</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护理不良事件分类汇总表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汇总一段时间内各类不良事件发生记录。</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不良事件职称分布</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1.按不良事件当事人职称统计一段时间的发生次数；2.可全院或分科统计；3.可分不良事件类型统计；4.提供饼状比例图。</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不良事件年资分布</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1.按不良事件当事人年资统计一段时间的发生次数；2.可全院或分科统计；3.可分不良事件类型统计；4.提供饼状比例图。</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不良事件同期对比</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1.按年度汇总各类不良事件的发生次数；2.可全院或分科统计；3.可分不良事件类型统计；4.提供柱状图。</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压疮汇总表</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1.汇总一段时间内的压力性损伤不良事件发生记录，显示关键列数据。</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给药错误事件汇总</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1.汇总一段时间内的给药错误不良事件发生记录，显示关键列数据。</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跌倒、坠床事件汇总</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1.汇总一段时间内的跌倒、坠床事件发生记录，显示关键列数据。</w:t>
            </w:r>
          </w:p>
        </w:tc>
      </w:tr>
      <w:tr>
        <w:tblPrEx>
          <w:tblCellMar>
            <w:top w:w="0" w:type="dxa"/>
            <w:left w:w="0" w:type="dxa"/>
            <w:bottom w:w="0" w:type="dxa"/>
            <w:right w:w="0" w:type="dxa"/>
          </w:tblCellMar>
        </w:tblPrEx>
        <w:trPr>
          <w:wBefore w:w="0" w:type="dxa"/>
          <w:wAfter w:w="0" w:type="dxa"/>
          <w:trHeight w:val="23"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提醒系统</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执业证书到期提醒</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提醒个人，执业证书即将到期。</w:t>
            </w:r>
          </w:p>
        </w:tc>
      </w:tr>
      <w:tr>
        <w:tblPrEx>
          <w:tblCellMar>
            <w:top w:w="0" w:type="dxa"/>
            <w:left w:w="0" w:type="dxa"/>
            <w:bottom w:w="0" w:type="dxa"/>
            <w:right w:w="0" w:type="dxa"/>
          </w:tblCellMar>
        </w:tblPrEx>
        <w:trPr>
          <w:wBefore w:w="0" w:type="dxa"/>
          <w:wAfter w:w="0" w:type="dxa"/>
          <w:trHeight w:val="23"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动态护理制度建档管理</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文档管理</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文档的整理归档，不同岗位的分工进行权限分配，文档多层级多角色进行全方位管理，可对单个文档的修改、上传、下载、阅读权限进行分配管理。</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护理制度权限管理</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用于管理护理人员阅读、下载、修改的权限。</w:t>
            </w:r>
          </w:p>
        </w:tc>
      </w:tr>
      <w:tr>
        <w:tblPrEx>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护理制度与规范</w:t>
            </w:r>
          </w:p>
        </w:tc>
        <w:tc>
          <w:tcPr>
            <w:tcW w:w="6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院内云盘，专门针对护理部以及下属部门制度、规范的管理，护理制度及规范文档由上往下的实时传达，护理工作经验文档的共享等。</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护理排班管理</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排班班次设置</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1.由护理部设置医院各病区需要的排班班次；2.可直接对应班次到指定排班组。</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排班权限设置</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由护理部指定各班组负责排班的人，支持一个护士长给多个病区排班。</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节假日管理</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初始化每年的节假日，并支持修改。</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床位数维护</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1.各病区的核定床位数、固定加床、挂床、实际开放床位数的维护；2.在编人数、核定床护比、固定床护比、实际床护比的统计。</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护理排班</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1.分单元、分人员按周填报护理人员每天排班数据及备注；2.支持一次操作多人、复制粘贴、备注功能；4.支持彩色excel导出、彩色打印；5.支持右侧输入文本。</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人员每周排序</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本单元可自定义人员按周排序，并自动跟入下一周。</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人员调出</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允许护士长对本单元人员调出操作。</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护士外借</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对人员做临时借调操作。</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班次设置</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本单元挑选自己班次。</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班次颜色设置</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本单元可设置班次颜色。</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重载备注列</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备注列数据，可以重载上周。</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导入模版</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可方便导入历史的排班模板数据。</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人员调动情况</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查看本单元人员的调动情况。</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全院排班一览</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可查看所有护理单元的排班情况。</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班次数量统计</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统计一段时间内每个人各类班次的数量。</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全年排班汇总表</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按年度统计指定班次的班时总数。</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全院排时值汇总表</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按时间段统计全院班次分类班时总数。</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排班班次汇总表</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按时间段汇总各班次班时总数。</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科室每月日平均在岗人数</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按月统计科室日平均在岗人数。</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夜班数量统计</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统计夜班数量。</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护理随访</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color w:val="000000"/>
                <w:sz w:val="24"/>
              </w:rPr>
              <w:t>★</w:t>
            </w:r>
            <w:r>
              <w:rPr>
                <w:rFonts w:hint="eastAsia" w:ascii="宋体" w:hAnsi="宋体" w:cs="宋体"/>
                <w:kern w:val="0"/>
                <w:sz w:val="24"/>
              </w:rPr>
              <w:t>随访管理</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方便护理人员统一管理出院病人的出院后情况，针对病人的出院后的用药情况、对病人进行健康宣教、满意度调查以及是否需要二次随访等信息进行记录，确保为病人提供更优质的服务，提供随访表单截图。</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color w:val="000000"/>
                <w:sz w:val="24"/>
              </w:rPr>
              <w:t>★</w:t>
            </w:r>
            <w:r>
              <w:rPr>
                <w:rFonts w:hint="eastAsia" w:ascii="宋体" w:hAnsi="宋体" w:cs="宋体"/>
                <w:kern w:val="0"/>
                <w:sz w:val="24"/>
              </w:rPr>
              <w:t>随访统计</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随访统计是针对各个科室的随访比进行统计，系统支持设置随访目标值，通过很直观的查看哪些科室没有达到目标值，哪些科室没有达到平均值。</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restart"/>
            <w:tcBorders>
              <w:top w:val="single" w:color="auto" w:sz="4" w:space="0"/>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基础设置</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公用代码</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维护系统的公共字典。</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层级职称职务学历代码</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设置N1、N2、N3等层级代码。</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护理单元维护</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科室的维护。</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用户维护</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管理系统操作用户并可重置用户密码。</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权限维护</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维护用户及用户组权限。</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数据权限设置</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对数据进行权限控制，以符合实际使用场景。</w:t>
            </w:r>
          </w:p>
        </w:tc>
      </w:tr>
      <w:tr>
        <w:tblPrEx>
          <w:shd w:val="clear"/>
          <w:tblCellMar>
            <w:top w:w="0" w:type="dxa"/>
            <w:left w:w="0" w:type="dxa"/>
            <w:bottom w:w="0" w:type="dxa"/>
            <w:right w:w="0" w:type="dxa"/>
          </w:tblCellMar>
        </w:tblPrEx>
        <w:trPr>
          <w:wBefore w:w="0" w:type="dxa"/>
          <w:wAfter w:w="0" w:type="dxa"/>
          <w:trHeight w:val="23" w:hRule="atLeast"/>
        </w:trPr>
        <w:tc>
          <w:tcPr>
            <w:tcW w:w="1008"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参数设置</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设置初始密码等。</w:t>
            </w:r>
          </w:p>
        </w:tc>
      </w:tr>
      <w:tr>
        <w:tblPrEx>
          <w:shd w:val="clear"/>
          <w:tblCellMar>
            <w:top w:w="0" w:type="dxa"/>
            <w:left w:w="0" w:type="dxa"/>
            <w:bottom w:w="0" w:type="dxa"/>
            <w:right w:w="0" w:type="dxa"/>
          </w:tblCellMar>
        </w:tblPrEx>
        <w:trPr>
          <w:wBefore w:w="0" w:type="dxa"/>
          <w:wAfter w:w="0" w:type="dxa"/>
          <w:trHeight w:val="23" w:hRule="atLeast"/>
        </w:trPr>
        <w:tc>
          <w:tcPr>
            <w:tcW w:w="1008" w:type="dxa"/>
            <w:tcBorders>
              <w:left w:val="single" w:color="000000" w:sz="4" w:space="0"/>
              <w:bottom w:val="single" w:color="auto" w:sz="4" w:space="0"/>
              <w:right w:val="single" w:color="000000" w:sz="4" w:space="0"/>
            </w:tcBorders>
            <w:shd w:val="clear" w:color="auto" w:fill="FFFFFF"/>
            <w:noWrap/>
            <w:tcMar>
              <w:top w:w="15" w:type="dxa"/>
              <w:left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系统集成</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widowControl/>
              <w:jc w:val="left"/>
              <w:textAlignment w:val="center"/>
              <w:rPr>
                <w:rFonts w:ascii="宋体" w:hAnsi="宋体" w:cs="宋体"/>
                <w:color w:val="000000"/>
                <w:sz w:val="24"/>
              </w:rPr>
            </w:pPr>
            <w:r>
              <w:rPr>
                <w:rFonts w:hint="eastAsia" w:ascii="宋体" w:hAnsi="宋体" w:cs="宋体"/>
                <w:color w:val="000000"/>
                <w:sz w:val="24"/>
              </w:rPr>
              <w:t>▲系统集成</w:t>
            </w:r>
          </w:p>
        </w:tc>
        <w:tc>
          <w:tcPr>
            <w:tcW w:w="6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系统需支持与医院现有HIS、EMR等系统集成，系统报价须包含与医院现有系统集成接口费。</w:t>
            </w:r>
          </w:p>
        </w:tc>
      </w:tr>
    </w:tbl>
    <w:p/>
    <w:p>
      <w:pPr>
        <w:pStyle w:val="4"/>
        <w:numPr>
          <w:ilvl w:val="2"/>
          <w:numId w:val="0"/>
        </w:numPr>
      </w:pPr>
      <w:r>
        <w:rPr>
          <w:rFonts w:hint="eastAsia"/>
        </w:rPr>
        <w:t>3、门急诊输液系统</w:t>
      </w:r>
    </w:p>
    <w:tbl>
      <w:tblPr>
        <w:tblStyle w:val="57"/>
        <w:tblW w:w="93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00"/>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主模块</w:t>
            </w:r>
          </w:p>
        </w:tc>
        <w:tc>
          <w:tcPr>
            <w:tcW w:w="1300" w:type="dxa"/>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子模块</w:t>
            </w: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输液登记</w:t>
            </w:r>
          </w:p>
        </w:tc>
        <w:tc>
          <w:tcPr>
            <w:tcW w:w="130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病人管理</w:t>
            </w: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能够支持扫描注射单、输液单上一维条码方式或刷就诊卡进行输液登记；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接单登记时，能实时查看病人第几次输液登记及前几次的登记人及时间。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能够即时查看病人基本信息；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能够显示病人皮试信息；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查询门急诊输液病人列表，并可显示该人基本信息和输液信息。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打印标签</w:t>
            </w:r>
          </w:p>
        </w:tc>
        <w:tc>
          <w:tcPr>
            <w:tcW w:w="130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标签管理</w:t>
            </w: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输液标签应支持二维条形码，并可以重打输液标签；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打印标签时能够做到所见即所得，包括病人信息，药品和时间。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手持终端扫描病人输液标签和病人标识标签可以实现病人用药核对，如扫描后发现用药错误时，手持终端能够报警提示该药品不属于该病人；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 xml:space="preserve">病人正常或异常输液结束后，扫描病人输液标签应提示输液无效。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输液信息</w:t>
            </w:r>
          </w:p>
        </w:tc>
        <w:tc>
          <w:tcPr>
            <w:tcW w:w="130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输液基本信息</w:t>
            </w: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支持病人刷卡后能够显示病人处方内容（包括处方分组号、药品名称、规格、数量、剂量、频次、天数、用药途径、医生说明、是否已付费、输液状态等）；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显示病人输液历史（包括开始时间、结束时间、处方分组号、药品名称、剂量、输液护士、是否正常输液结束），要求支持利用手持终端记录病人输液异常记录；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利用手持终端记录处方执行情况，开始时间、结束时间、执行护士等信息。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3" w:hRule="atLeast"/>
        </w:trPr>
        <w:tc>
          <w:tcPr>
            <w:tcW w:w="1325" w:type="dxa"/>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病人病情管理</w:t>
            </w:r>
          </w:p>
        </w:tc>
        <w:tc>
          <w:tcPr>
            <w:tcW w:w="1300" w:type="dxa"/>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病人病情管理</w:t>
            </w:r>
          </w:p>
        </w:tc>
        <w:tc>
          <w:tcPr>
            <w:tcW w:w="6717" w:type="dxa"/>
            <w:tcBorders>
              <w:top w:val="single" w:color="auto" w:sz="4" w:space="0"/>
              <w:left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 xml:space="preserve">当病人输液发生异常时，响应操作的护士可以利用手持终端进行异常原因的记录或选择。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统计查询</w:t>
            </w:r>
          </w:p>
        </w:tc>
        <w:tc>
          <w:tcPr>
            <w:tcW w:w="1300"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信息统计查询</w:t>
            </w: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支持门急诊病人统计，支持按科室或日期时间进行查询，包括病人的基本信息、输液历史记录、缴费记录；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进行门急诊输液用药统计， 支持打印和导出；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进行门急诊输液工作量统计，内容包括护士姓名、收药（人次）、执行输液（人次），该工作量必须为输液系统自动统计；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进行各科室年月日病人登记数统计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进行门急诊输液呼叫信息查询，内容包括序号、姓名、未处理次数；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vMerge w:val="continue"/>
            <w:tcBorders>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进行门急诊输液异常查询，内容包括姓名、性别、年龄、流水号、处方号、输液单号、序次、输液时间、异常原因；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restart"/>
            <w:tcBorders>
              <w:top w:val="single" w:color="auto" w:sz="4" w:space="0"/>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PDA端（安卓版）</w:t>
            </w:r>
          </w:p>
        </w:tc>
        <w:tc>
          <w:tcPr>
            <w:tcW w:w="130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系统登录</w:t>
            </w: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使用护士工号密码登录或扫描员工二维码登录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输液执行</w:t>
            </w: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根据输液系统打出的输液条码与病人信息联进行条码核对并记录数据。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输液结束</w:t>
            </w: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根据已输的液体，扫描后进行输液结束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vMerge w:val="continue"/>
            <w:tcBorders>
              <w:left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p>
        </w:tc>
        <w:tc>
          <w:tcPr>
            <w:tcW w:w="130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输液岗位选择</w:t>
            </w: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根据工作流程选择所需要的岗位，例如：配置、巡回、穿刺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325" w:type="dxa"/>
            <w:tcBorders>
              <w:left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kern w:val="0"/>
                <w:sz w:val="24"/>
              </w:rPr>
            </w:pPr>
            <w:r>
              <w:rPr>
                <w:rFonts w:hint="eastAsia" w:ascii="宋体" w:hAnsi="宋体" w:cs="宋体"/>
                <w:kern w:val="0"/>
                <w:sz w:val="24"/>
              </w:rPr>
              <w:t>系统集成</w:t>
            </w:r>
          </w:p>
        </w:tc>
        <w:tc>
          <w:tcPr>
            <w:tcW w:w="130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top"/>
          </w:tcPr>
          <w:p>
            <w:pPr>
              <w:widowControl/>
              <w:jc w:val="left"/>
              <w:textAlignment w:val="center"/>
              <w:rPr>
                <w:rFonts w:ascii="宋体" w:hAnsi="宋体" w:cs="宋体"/>
                <w:color w:val="000000"/>
                <w:sz w:val="24"/>
              </w:rPr>
            </w:pPr>
            <w:r>
              <w:rPr>
                <w:rFonts w:hint="eastAsia" w:ascii="宋体" w:hAnsi="宋体" w:cs="宋体"/>
                <w:color w:val="000000"/>
                <w:sz w:val="24"/>
              </w:rPr>
              <w:t>▲系统集成</w:t>
            </w:r>
          </w:p>
        </w:tc>
        <w:tc>
          <w:tcPr>
            <w:tcW w:w="67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系统需支持与医院现有HIS、EMR等系统集成，系统报价须包含与医院现有系统集成接口费。</w:t>
            </w:r>
          </w:p>
        </w:tc>
      </w:tr>
    </w:tbl>
    <w:p>
      <w:pPr>
        <w:pStyle w:val="4"/>
        <w:numPr>
          <w:ilvl w:val="2"/>
          <w:numId w:val="0"/>
        </w:numPr>
      </w:pPr>
      <w:r>
        <w:rPr>
          <w:rFonts w:hint="eastAsia"/>
        </w:rPr>
        <w:t>4、护理信息交互平台</w:t>
      </w:r>
    </w:p>
    <w:tbl>
      <w:tblPr>
        <w:tblStyle w:val="57"/>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452"/>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shd w:val="clear" w:color="auto" w:fill="auto"/>
            <w:noWrap w:val="0"/>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主模块</w:t>
            </w:r>
          </w:p>
        </w:tc>
        <w:tc>
          <w:tcPr>
            <w:tcW w:w="1452" w:type="dxa"/>
            <w:shd w:val="clear" w:color="auto" w:fill="auto"/>
            <w:noWrap w:val="0"/>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子模块</w:t>
            </w:r>
          </w:p>
        </w:tc>
        <w:tc>
          <w:tcPr>
            <w:tcW w:w="6339" w:type="dxa"/>
            <w:shd w:val="clear" w:color="auto" w:fill="auto"/>
            <w:noWrap w:val="0"/>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restart"/>
            <w:shd w:val="clear" w:color="auto" w:fill="auto"/>
            <w:noWrap w:val="0"/>
            <w:vAlign w:val="top"/>
          </w:tcPr>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ind w:firstLine="240" w:firstLineChars="100"/>
              <w:jc w:val="left"/>
              <w:textAlignment w:val="center"/>
              <w:rPr>
                <w:rFonts w:ascii="宋体" w:hAnsi="宋体" w:cs="宋体"/>
                <w:kern w:val="0"/>
                <w:sz w:val="24"/>
              </w:rPr>
            </w:pPr>
            <w:r>
              <w:rPr>
                <w:rFonts w:hint="eastAsia" w:ascii="宋体" w:hAnsi="宋体" w:cs="宋体"/>
                <w:kern w:val="0"/>
                <w:sz w:val="24"/>
              </w:rPr>
              <w:t>信息大屏</w:t>
            </w: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病人信息一览表</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显示病区病人护理信息（病患姓名、性别、年龄、床位号、住院号、病区号、历史病症、诊断信息等病人基础信息、护理等级、防跌倒、饮食、过敏史等护理信息，主治医生、缴费信息、家属联系人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护理提醒一览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呼叫提醒、治疗提醒、用药提醒、未执行医嘱提醒等消息提醒。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护理交接班信息一览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通过交班信息提取模块，对一般病人、特殊病人交、今日出入院病人、产前病人、手术病人、危急值病人、转科病人、死亡病人等模块病人进行交接班，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手术排班信息一览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当日手术病人排班信息、当日手术病人当前手术状态、下一日手术病人排班信息（病人床号、病人病历号、病人姓名、预约时间、手术间、手术状态、完成时间等信息）。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护理信息一览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今日出院、入院、入科、转科、转床、导管、高危护理、气垫床、静脉置管护理、接触隔离、口腔护理等特殊病人信息展示。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检查信息一览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当日检查一览表、已完成检查、未完成检查（病人床号、病人病历号、病人姓名、预约时间、检查科室、检查项目、当前状态、完成时间）。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皮试监测信息一览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预设皮试监测时间，对需要查看结果的皮试进行高亮显示报警，提醒护士及时查看皮试结果（病人床号、病人姓名、皮试剩余时间）。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危急值信息一览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预设危急值标准，当病区病人出现危急值时，进行高亮展示（病人床号、病人姓名、病人危急值项目、病人危急值数值、参考危急项目数值）。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color w:val="000000"/>
                <w:sz w:val="24"/>
              </w:rPr>
              <w:t>★</w:t>
            </w:r>
            <w:r>
              <w:rPr>
                <w:rFonts w:hint="eastAsia" w:ascii="宋体" w:hAnsi="宋体" w:cs="宋体"/>
                <w:kern w:val="0"/>
                <w:sz w:val="24"/>
              </w:rPr>
              <w:t>异常生命体征信息一览</w:t>
            </w:r>
          </w:p>
        </w:tc>
        <w:tc>
          <w:tcPr>
            <w:tcW w:w="6339" w:type="dxa"/>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kern w:val="0"/>
                <w:sz w:val="24"/>
              </w:rPr>
              <w:t>挖掘并分析移动护理体征数据，将异常生命体征进行高亮展示（病人床号、病人姓名、异常体征项目、异常体征数值、超出异常或低于异常体征指示）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火灾应急信息一览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显示火灾应急项目组相关信息（通报组人员、防护组人员、灭火组人员、疏散组人员等应急组信息）。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总值班电话信息一览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显示总值班电话信息（护理总值班、行政总值班、医疗总值班等值班信息）。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常用电话信息一览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显示常用电话信息（护士值班室、医生办、医生值班室、护士长办、医院总机、总务维修等电话信息）。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值班医生信息一览</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显示当日值班医生信息（医生姓名、医生电话）。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消息推送</w:t>
            </w:r>
          </w:p>
        </w:tc>
        <w:tc>
          <w:tcPr>
            <w:tcW w:w="6339"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在部分跨楼层病区，支持把消息推送至全院其他个科室任意一台物联网主机与万马病区信息屏。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消息推送配置</w:t>
            </w:r>
          </w:p>
        </w:tc>
        <w:tc>
          <w:tcPr>
            <w:tcW w:w="6339" w:type="dxa"/>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kern w:val="0"/>
                <w:sz w:val="24"/>
              </w:rPr>
              <w:t>利用多功能媒体信息单元，在协同网关子系统的支撑下，按照需求完成按全院、按病区、按护士、按病人的内容及消息发布系统，完成医学宣教、媒体播放、广播发布、病区消息提示、报警及提醒展示、气象环境内容发布为一体的发布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shd w:val="clear" w:color="auto" w:fill="auto"/>
            <w:noWrap w:val="0"/>
            <w:vAlign w:val="top"/>
          </w:tcPr>
          <w:p>
            <w:pPr>
              <w:widowControl/>
              <w:jc w:val="left"/>
              <w:textAlignment w:val="center"/>
              <w:rPr>
                <w:rFonts w:ascii="宋体" w:hAnsi="宋体" w:cs="宋体"/>
                <w:kern w:val="0"/>
                <w:sz w:val="24"/>
              </w:rPr>
            </w:pPr>
          </w:p>
        </w:tc>
        <w:tc>
          <w:tcPr>
            <w:tcW w:w="1452"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影音播放</w:t>
            </w:r>
          </w:p>
        </w:tc>
        <w:tc>
          <w:tcPr>
            <w:tcW w:w="6339" w:type="dxa"/>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kern w:val="0"/>
                <w:sz w:val="24"/>
              </w:rPr>
              <w:t>能够按照需求及控制播放相关多媒体内容。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shd w:val="clear" w:color="auto" w:fill="auto"/>
            <w:noWrap w:val="0"/>
            <w:vAlign w:val="top"/>
          </w:tcPr>
          <w:p>
            <w:pPr>
              <w:widowControl/>
              <w:jc w:val="left"/>
              <w:textAlignment w:val="center"/>
              <w:rPr>
                <w:rFonts w:ascii="宋体" w:hAnsi="宋体" w:cs="宋体"/>
                <w:kern w:val="0"/>
                <w:sz w:val="24"/>
              </w:rPr>
            </w:pPr>
            <w:r>
              <w:rPr>
                <w:rFonts w:hint="eastAsia" w:ascii="宋体" w:hAnsi="宋体" w:cs="宋体"/>
                <w:kern w:val="0"/>
                <w:sz w:val="24"/>
              </w:rPr>
              <w:t>系统集成</w:t>
            </w:r>
          </w:p>
        </w:tc>
        <w:tc>
          <w:tcPr>
            <w:tcW w:w="1452" w:type="dxa"/>
            <w:shd w:val="clear" w:color="auto" w:fill="auto"/>
            <w:noWrap w:val="0"/>
            <w:vAlign w:val="top"/>
          </w:tcPr>
          <w:p>
            <w:pPr>
              <w:widowControl/>
              <w:jc w:val="left"/>
              <w:textAlignment w:val="center"/>
              <w:rPr>
                <w:rFonts w:ascii="宋体" w:hAnsi="宋体" w:cs="宋体"/>
                <w:color w:val="000000"/>
                <w:sz w:val="24"/>
              </w:rPr>
            </w:pPr>
            <w:r>
              <w:rPr>
                <w:rFonts w:hint="eastAsia" w:ascii="宋体" w:hAnsi="宋体" w:cs="宋体"/>
                <w:color w:val="000000"/>
                <w:sz w:val="24"/>
              </w:rPr>
              <w:t>▲系统集成</w:t>
            </w:r>
          </w:p>
        </w:tc>
        <w:tc>
          <w:tcPr>
            <w:tcW w:w="6339" w:type="dxa"/>
            <w:shd w:val="clear" w:color="auto" w:fill="auto"/>
            <w:noWrap w:val="0"/>
            <w:vAlign w:val="center"/>
          </w:tcPr>
          <w:p>
            <w:pPr>
              <w:widowControl/>
              <w:jc w:val="left"/>
              <w:textAlignment w:val="center"/>
              <w:rPr>
                <w:rFonts w:ascii="宋体" w:hAnsi="宋体" w:cs="宋体"/>
                <w:kern w:val="0"/>
                <w:sz w:val="24"/>
              </w:rPr>
            </w:pPr>
            <w:r>
              <w:rPr>
                <w:rFonts w:hint="eastAsia" w:ascii="宋体" w:hAnsi="宋体" w:cs="宋体"/>
                <w:kern w:val="0"/>
                <w:sz w:val="24"/>
              </w:rPr>
              <w:t>系统需支持与医院现有HIS、EMR等系统集成，系统报价须包含与医院现有系统集成接口费。</w:t>
            </w:r>
          </w:p>
        </w:tc>
      </w:tr>
    </w:tbl>
    <w:p>
      <w:pPr>
        <w:pStyle w:val="2"/>
        <w:numPr>
          <w:ilvl w:val="1"/>
          <w:numId w:val="9"/>
        </w:numPr>
        <w:spacing w:before="240" w:after="60" w:line="413" w:lineRule="auto"/>
      </w:pPr>
      <w:r>
        <w:rPr>
          <w:rFonts w:hint="eastAsia"/>
        </w:rPr>
        <w:t>内网防火墙（医保等）</w:t>
      </w:r>
    </w:p>
    <w:tbl>
      <w:tblPr>
        <w:tblStyle w:val="57"/>
        <w:tblW w:w="9214" w:type="dxa"/>
        <w:tblInd w:w="-34" w:type="dxa"/>
        <w:tblLayout w:type="fixed"/>
        <w:tblCellMar>
          <w:top w:w="0" w:type="dxa"/>
          <w:left w:w="108" w:type="dxa"/>
          <w:bottom w:w="0" w:type="dxa"/>
          <w:right w:w="108" w:type="dxa"/>
        </w:tblCellMar>
      </w:tblPr>
      <w:tblGrid>
        <w:gridCol w:w="1302"/>
        <w:gridCol w:w="7912"/>
      </w:tblGrid>
      <w:tr>
        <w:tblPrEx>
          <w:tblCellMar>
            <w:top w:w="0" w:type="dxa"/>
            <w:left w:w="108" w:type="dxa"/>
            <w:bottom w:w="0" w:type="dxa"/>
            <w:right w:w="108" w:type="dxa"/>
          </w:tblCellMar>
        </w:tblPrEx>
        <w:trPr>
          <w:wBefore w:w="0" w:type="dxa"/>
          <w:wAfter w:w="0" w:type="dxa"/>
          <w:trHeight w:val="288" w:hRule="atLeast"/>
        </w:trPr>
        <w:tc>
          <w:tcPr>
            <w:tcW w:w="1302" w:type="dxa"/>
            <w:tcBorders>
              <w:top w:val="single" w:color="A2B7B2" w:sz="4" w:space="0"/>
              <w:left w:val="single" w:color="A2B7B2" w:sz="4" w:space="0"/>
              <w:bottom w:val="single" w:color="A2B7B2" w:sz="4" w:space="0"/>
              <w:right w:val="single" w:color="A2B7B2" w:sz="4" w:space="0"/>
            </w:tcBorders>
            <w:shd w:val="clear" w:color="auto" w:fill="DCE4E2"/>
            <w:noWrap w:val="0"/>
            <w:vAlign w:val="center"/>
          </w:tcPr>
          <w:p>
            <w:pPr>
              <w:widowControl/>
              <w:spacing w:line="440" w:lineRule="exact"/>
              <w:rPr>
                <w:rFonts w:ascii="宋体" w:hAnsi="宋体" w:cs="宋体"/>
                <w:color w:val="000000"/>
                <w:kern w:val="0"/>
                <w:sz w:val="24"/>
              </w:rPr>
            </w:pPr>
            <w:r>
              <w:rPr>
                <w:rFonts w:hint="eastAsia" w:ascii="宋体" w:hAnsi="宋体" w:cs="宋体"/>
                <w:b/>
                <w:color w:val="000000"/>
                <w:sz w:val="24"/>
              </w:rPr>
              <w:t>指标项</w:t>
            </w:r>
          </w:p>
        </w:tc>
        <w:tc>
          <w:tcPr>
            <w:tcW w:w="7912" w:type="dxa"/>
            <w:tcBorders>
              <w:top w:val="single" w:color="A2B7B2" w:sz="4" w:space="0"/>
              <w:left w:val="single" w:color="A2B7B2" w:sz="4" w:space="0"/>
              <w:bottom w:val="single" w:color="A2B7B2" w:sz="4" w:space="0"/>
              <w:right w:val="single" w:color="A2B7B2" w:sz="4" w:space="0"/>
            </w:tcBorders>
            <w:shd w:val="clear" w:color="auto" w:fill="DCE4E2"/>
            <w:noWrap w:val="0"/>
            <w:vAlign w:val="center"/>
          </w:tcPr>
          <w:p>
            <w:pPr>
              <w:widowControl/>
              <w:spacing w:line="440" w:lineRule="exact"/>
              <w:ind w:firstLine="2771" w:firstLineChars="1150"/>
              <w:rPr>
                <w:rFonts w:ascii="宋体" w:hAnsi="宋体" w:cs="宋体"/>
                <w:color w:val="000000"/>
                <w:kern w:val="0"/>
                <w:sz w:val="24"/>
              </w:rPr>
            </w:pPr>
            <w:r>
              <w:rPr>
                <w:rFonts w:hint="eastAsia" w:ascii="宋体" w:hAnsi="宋体" w:cs="宋体"/>
                <w:b/>
                <w:color w:val="000000"/>
                <w:sz w:val="24"/>
              </w:rPr>
              <w:t>技术要求</w:t>
            </w:r>
          </w:p>
        </w:tc>
      </w:tr>
      <w:tr>
        <w:tblPrEx>
          <w:tblCellMar>
            <w:top w:w="0" w:type="dxa"/>
            <w:left w:w="108" w:type="dxa"/>
            <w:bottom w:w="0" w:type="dxa"/>
            <w:right w:w="108" w:type="dxa"/>
          </w:tblCellMar>
        </w:tblPrEx>
        <w:trPr>
          <w:wBefore w:w="0" w:type="dxa"/>
          <w:wAfter w:w="0" w:type="dxa"/>
          <w:trHeight w:val="938" w:hRule="atLeast"/>
        </w:trPr>
        <w:tc>
          <w:tcPr>
            <w:tcW w:w="1302" w:type="dxa"/>
            <w:vMerge w:val="restart"/>
            <w:tcBorders>
              <w:top w:val="single" w:color="A2B7B2" w:sz="4" w:space="0"/>
              <w:left w:val="single" w:color="A2B7B2" w:sz="4" w:space="0"/>
              <w:right w:val="single" w:color="A2B7B2" w:sz="4" w:space="0"/>
            </w:tcBorders>
            <w:shd w:val="clear" w:color="auto" w:fill="FEFEFE"/>
            <w:noWrap w:val="0"/>
            <w:vAlign w:val="center"/>
          </w:tcPr>
          <w:p>
            <w:pPr>
              <w:widowControl/>
              <w:jc w:val="left"/>
              <w:textAlignment w:val="center"/>
              <w:rPr>
                <w:rFonts w:ascii="宋体" w:hAnsi="宋体" w:cs="宋体"/>
                <w:color w:val="000000"/>
                <w:kern w:val="0"/>
                <w:sz w:val="24"/>
              </w:rPr>
            </w:pPr>
            <w:r>
              <w:rPr>
                <w:rFonts w:hint="eastAsia" w:ascii="宋体" w:hAnsi="宋体" w:cs="宋体"/>
                <w:kern w:val="0"/>
                <w:sz w:val="24"/>
              </w:rPr>
              <w:t>性能规格</w:t>
            </w:r>
          </w:p>
        </w:tc>
        <w:tc>
          <w:tcPr>
            <w:tcW w:w="7912" w:type="dxa"/>
            <w:tcBorders>
              <w:top w:val="single" w:color="A2B7B2" w:sz="4" w:space="0"/>
              <w:left w:val="single" w:color="A2B7B2" w:sz="4" w:space="0"/>
              <w:bottom w:val="single" w:color="A2B7B2" w:sz="4" w:space="0"/>
              <w:right w:val="single" w:color="A2B7B2" w:sz="4" w:space="0"/>
            </w:tcBorders>
            <w:shd w:val="clear" w:color="auto" w:fill="F0F0F0"/>
            <w:noWrap w:val="0"/>
            <w:vAlign w:val="center"/>
          </w:tcPr>
          <w:p>
            <w:pPr>
              <w:widowControl/>
              <w:jc w:val="left"/>
              <w:textAlignment w:val="center"/>
              <w:rPr>
                <w:rFonts w:ascii="宋体" w:hAnsi="宋体" w:cs="宋体"/>
                <w:color w:val="000000"/>
                <w:sz w:val="24"/>
              </w:rPr>
            </w:pPr>
            <w:r>
              <w:rPr>
                <w:rFonts w:hint="eastAsia" w:ascii="宋体" w:hAnsi="宋体" w:cs="宋体"/>
                <w:kern w:val="0"/>
                <w:sz w:val="24"/>
              </w:rPr>
              <w:t>标准机架式；国产CPU；国产操作系统；内存：≥16GB；硬盘：≥240G固态硬盘+1TB机械硬盘；网络接口：1个管理口、1个HA口、≥12个千兆电口和≥12个千兆光口，万兆光口≥2个；冗余电源。</w:t>
            </w:r>
          </w:p>
        </w:tc>
      </w:tr>
      <w:tr>
        <w:tblPrEx>
          <w:tblCellMar>
            <w:top w:w="0" w:type="dxa"/>
            <w:left w:w="108" w:type="dxa"/>
            <w:bottom w:w="0" w:type="dxa"/>
            <w:right w:w="108" w:type="dxa"/>
          </w:tblCellMar>
        </w:tblPrEx>
        <w:trPr>
          <w:wBefore w:w="0" w:type="dxa"/>
          <w:wAfter w:w="0" w:type="dxa"/>
          <w:trHeight w:val="937" w:hRule="atLeast"/>
        </w:trPr>
        <w:tc>
          <w:tcPr>
            <w:tcW w:w="1302" w:type="dxa"/>
            <w:vMerge w:val="continue"/>
            <w:tcBorders>
              <w:left w:val="single" w:color="A2B7B2" w:sz="4" w:space="0"/>
              <w:bottom w:val="single" w:color="A2B7B2" w:sz="4" w:space="0"/>
              <w:right w:val="single" w:color="A2B7B2" w:sz="4" w:space="0"/>
            </w:tcBorders>
            <w:shd w:val="clear" w:color="auto" w:fill="FEFEFE"/>
            <w:noWrap w:val="0"/>
            <w:vAlign w:val="center"/>
          </w:tcPr>
          <w:p>
            <w:pPr>
              <w:widowControl/>
              <w:jc w:val="left"/>
              <w:textAlignment w:val="center"/>
              <w:rPr>
                <w:rFonts w:ascii="宋体" w:hAnsi="宋体" w:cs="宋体"/>
                <w:sz w:val="24"/>
              </w:rPr>
            </w:pPr>
          </w:p>
        </w:tc>
        <w:tc>
          <w:tcPr>
            <w:tcW w:w="7912" w:type="dxa"/>
            <w:tcBorders>
              <w:top w:val="single" w:color="A2B7B2" w:sz="4" w:space="0"/>
              <w:left w:val="single" w:color="A2B7B2" w:sz="4" w:space="0"/>
              <w:bottom w:val="single" w:color="A2B7B2" w:sz="4" w:space="0"/>
              <w:right w:val="single" w:color="A2B7B2" w:sz="4" w:space="0"/>
            </w:tcBorders>
            <w:shd w:val="clear" w:color="auto" w:fill="F0F0F0"/>
            <w:noWrap w:val="0"/>
            <w:vAlign w:val="center"/>
          </w:tcPr>
          <w:p>
            <w:pPr>
              <w:widowControl/>
              <w:jc w:val="left"/>
              <w:textAlignment w:val="center"/>
              <w:rPr>
                <w:rFonts w:ascii="宋体" w:hAnsi="宋体" w:cs="宋体"/>
                <w:color w:val="000000"/>
                <w:kern w:val="0"/>
                <w:sz w:val="24"/>
              </w:rPr>
            </w:pPr>
            <w:r>
              <w:rPr>
                <w:rFonts w:hint="eastAsia" w:ascii="宋体" w:hAnsi="宋体" w:cs="宋体"/>
                <w:sz w:val="24"/>
              </w:rPr>
              <w:t>★</w:t>
            </w:r>
            <w:r>
              <w:rPr>
                <w:rFonts w:hint="eastAsia" w:ascii="宋体" w:hAnsi="宋体" w:cs="宋体"/>
                <w:color w:val="000000"/>
                <w:kern w:val="0"/>
                <w:sz w:val="24"/>
              </w:rPr>
              <w:t>整机网络层吞吐量(双向)≥20Gbps，整机TCP新建≥8.2万/秒，整机TCP并发≥460万；</w:t>
            </w:r>
            <w:r>
              <w:rPr>
                <w:rFonts w:hint="eastAsia" w:ascii="宋体" w:hAnsi="宋体" w:cs="宋体"/>
                <w:bCs/>
                <w:sz w:val="24"/>
              </w:rPr>
              <w:t>支持主备接口配置以及按比例分配的负载分担方式；</w:t>
            </w:r>
            <w:r>
              <w:rPr>
                <w:rFonts w:hint="eastAsia" w:ascii="宋体" w:hAnsi="宋体" w:cs="宋体"/>
                <w:color w:val="000000"/>
                <w:kern w:val="0"/>
                <w:sz w:val="24"/>
              </w:rPr>
              <w:t>支持IPv4、IPv6网络环境。</w:t>
            </w:r>
          </w:p>
        </w:tc>
      </w:tr>
      <w:tr>
        <w:tblPrEx>
          <w:tblCellMar>
            <w:top w:w="0" w:type="dxa"/>
            <w:left w:w="108" w:type="dxa"/>
            <w:bottom w:w="0" w:type="dxa"/>
            <w:right w:w="108" w:type="dxa"/>
          </w:tblCellMar>
        </w:tblPrEx>
        <w:trPr>
          <w:wBefore w:w="0" w:type="dxa"/>
          <w:wAfter w:w="0" w:type="dxa"/>
          <w:trHeight w:val="1328" w:hRule="atLeast"/>
        </w:trPr>
        <w:tc>
          <w:tcPr>
            <w:tcW w:w="1302" w:type="dxa"/>
            <w:vMerge w:val="restart"/>
            <w:tcBorders>
              <w:top w:val="single" w:color="A2B7B2" w:sz="4" w:space="0"/>
              <w:left w:val="single" w:color="A2B7B2" w:sz="4" w:space="0"/>
              <w:right w:val="single" w:color="A2B7B2" w:sz="4" w:space="0"/>
            </w:tcBorders>
            <w:shd w:val="clear" w:color="auto" w:fill="FEFEFE"/>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功能要求</w:t>
            </w:r>
          </w:p>
        </w:tc>
        <w:tc>
          <w:tcPr>
            <w:tcW w:w="7912" w:type="dxa"/>
            <w:tcBorders>
              <w:top w:val="single" w:color="A2B7B2" w:sz="4" w:space="0"/>
              <w:left w:val="single" w:color="A2B7B2" w:sz="4" w:space="0"/>
              <w:bottom w:val="single" w:color="A2B7B2" w:sz="4" w:space="0"/>
              <w:right w:val="single" w:color="A2B7B2" w:sz="4" w:space="0"/>
            </w:tcBorders>
            <w:shd w:val="clear" w:color="auto" w:fill="F0F0F0"/>
            <w:noWrap w:val="0"/>
            <w:vAlign w:val="center"/>
          </w:tcPr>
          <w:p>
            <w:pPr>
              <w:pStyle w:val="1051"/>
              <w:spacing w:after="156"/>
              <w:rPr>
                <w:rFonts w:ascii="宋体" w:hAnsi="宋体" w:cs="宋体"/>
                <w:kern w:val="0"/>
                <w:sz w:val="24"/>
              </w:rPr>
            </w:pPr>
            <w:r>
              <w:rPr>
                <w:rFonts w:hint="eastAsia" w:ascii="宋体" w:hAnsi="宋体" w:cs="宋体"/>
                <w:kern w:val="0"/>
                <w:sz w:val="24"/>
              </w:rPr>
              <w:t>带入侵防御功能（IPS）和AV防病毒特征库，支持全面NAT功能，提供包过滤、地址转换、状态检测、动态开放端口、带宽管理、连接数控制等网络层访问控制功能；</w:t>
            </w:r>
          </w:p>
          <w:p>
            <w:pPr>
              <w:pStyle w:val="1051"/>
              <w:spacing w:after="156"/>
              <w:rPr>
                <w:rFonts w:ascii="宋体" w:hAnsi="宋体" w:cs="宋体"/>
                <w:kern w:val="0"/>
                <w:sz w:val="24"/>
              </w:rPr>
            </w:pPr>
            <w:r>
              <w:rPr>
                <w:rFonts w:hint="eastAsia" w:ascii="宋体" w:hAnsi="宋体" w:cs="宋体"/>
                <w:kern w:val="0"/>
                <w:sz w:val="24"/>
              </w:rPr>
              <w:t>提供应用类型控制、应用关键内容控制等应用层控制功能；</w:t>
            </w:r>
          </w:p>
          <w:p>
            <w:pPr>
              <w:pStyle w:val="1051"/>
              <w:spacing w:after="156"/>
              <w:rPr>
                <w:rFonts w:ascii="宋体" w:hAnsi="宋体" w:cs="宋体"/>
                <w:kern w:val="0"/>
                <w:sz w:val="24"/>
              </w:rPr>
            </w:pPr>
            <w:r>
              <w:rPr>
                <w:rFonts w:hint="eastAsia" w:ascii="宋体" w:hAnsi="宋体" w:cs="宋体"/>
                <w:kern w:val="0"/>
                <w:sz w:val="24"/>
              </w:rPr>
              <w:t>提供拒绝服务攻击防护、恶意代码防护、应用攻击防护等功能；</w:t>
            </w:r>
          </w:p>
          <w:p>
            <w:pPr>
              <w:pStyle w:val="1051"/>
              <w:spacing w:after="156"/>
              <w:rPr>
                <w:rFonts w:ascii="宋体" w:hAnsi="宋体" w:cs="宋体"/>
                <w:kern w:val="0"/>
                <w:sz w:val="24"/>
              </w:rPr>
            </w:pPr>
            <w:r>
              <w:rPr>
                <w:rFonts w:hint="eastAsia" w:ascii="宋体" w:hAnsi="宋体" w:cs="宋体"/>
                <w:kern w:val="0"/>
                <w:sz w:val="24"/>
              </w:rPr>
              <w:t>支持HTTP、HTTPS、DNS、SIP等应用层Flood攻击，支持流量自学习功能，并自动生成DDoS防范策略。</w:t>
            </w:r>
          </w:p>
        </w:tc>
      </w:tr>
      <w:tr>
        <w:tblPrEx>
          <w:tblCellMar>
            <w:top w:w="0" w:type="dxa"/>
            <w:left w:w="108" w:type="dxa"/>
            <w:bottom w:w="0" w:type="dxa"/>
            <w:right w:w="108" w:type="dxa"/>
          </w:tblCellMar>
        </w:tblPrEx>
        <w:trPr>
          <w:wBefore w:w="0" w:type="dxa"/>
          <w:wAfter w:w="0" w:type="dxa"/>
          <w:trHeight w:val="1197" w:hRule="atLeast"/>
        </w:trPr>
        <w:tc>
          <w:tcPr>
            <w:tcW w:w="1302" w:type="dxa"/>
            <w:vMerge w:val="continue"/>
            <w:tcBorders>
              <w:left w:val="single" w:color="A2B7B2" w:sz="4" w:space="0"/>
              <w:right w:val="single" w:color="A2B7B2" w:sz="4" w:space="0"/>
            </w:tcBorders>
            <w:shd w:val="clear" w:color="auto" w:fill="FEFEFE"/>
            <w:noWrap w:val="0"/>
            <w:vAlign w:val="center"/>
          </w:tcPr>
          <w:p>
            <w:pPr>
              <w:widowControl/>
              <w:jc w:val="left"/>
              <w:textAlignment w:val="center"/>
              <w:rPr>
                <w:rFonts w:ascii="宋体" w:hAnsi="宋体" w:cs="宋体"/>
                <w:color w:val="000000"/>
                <w:kern w:val="0"/>
                <w:sz w:val="24"/>
              </w:rPr>
            </w:pPr>
          </w:p>
        </w:tc>
        <w:tc>
          <w:tcPr>
            <w:tcW w:w="7912" w:type="dxa"/>
            <w:tcBorders>
              <w:top w:val="single" w:color="A2B7B2" w:sz="4" w:space="0"/>
              <w:left w:val="single" w:color="A2B7B2" w:sz="4" w:space="0"/>
              <w:bottom w:val="single" w:color="A2B7B2" w:sz="4" w:space="0"/>
              <w:right w:val="single" w:color="A2B7B2" w:sz="4" w:space="0"/>
            </w:tcBorders>
            <w:shd w:val="clear" w:color="auto" w:fill="F0F0F0"/>
            <w:noWrap w:val="0"/>
            <w:vAlign w:val="center"/>
          </w:tcPr>
          <w:p>
            <w:pPr>
              <w:widowControl/>
              <w:jc w:val="left"/>
              <w:textAlignment w:val="center"/>
              <w:rPr>
                <w:rFonts w:ascii="宋体" w:hAnsi="宋体" w:cs="宋体"/>
                <w:color w:val="000000"/>
                <w:kern w:val="0"/>
                <w:sz w:val="24"/>
              </w:rPr>
            </w:pPr>
            <w:r>
              <w:rPr>
                <w:rFonts w:hint="eastAsia" w:ascii="宋体" w:hAnsi="宋体" w:cs="宋体"/>
                <w:kern w:val="0"/>
                <w:sz w:val="24"/>
              </w:rPr>
              <w:t>支持黑白名单策略、</w:t>
            </w:r>
            <w:r>
              <w:rPr>
                <w:rFonts w:hint="eastAsia" w:ascii="宋体" w:hAnsi="宋体" w:cs="宋体"/>
                <w:color w:val="000000"/>
                <w:kern w:val="0"/>
                <w:sz w:val="24"/>
              </w:rPr>
              <w:t>恶意域名过滤</w:t>
            </w:r>
            <w:r>
              <w:rPr>
                <w:rFonts w:hint="eastAsia" w:ascii="宋体" w:hAnsi="宋体" w:cs="宋体"/>
                <w:kern w:val="0"/>
                <w:sz w:val="24"/>
              </w:rPr>
              <w:t>和IP访问控制（为方便恶意IP管控，应支持批量导入功能），可根据源目的IP，端口，协议等进行访问控制处理。</w:t>
            </w:r>
          </w:p>
        </w:tc>
      </w:tr>
      <w:tr>
        <w:tblPrEx>
          <w:tblCellMar>
            <w:top w:w="0" w:type="dxa"/>
            <w:left w:w="108" w:type="dxa"/>
            <w:bottom w:w="0" w:type="dxa"/>
            <w:right w:w="108" w:type="dxa"/>
          </w:tblCellMar>
        </w:tblPrEx>
        <w:trPr>
          <w:wBefore w:w="0" w:type="dxa"/>
          <w:wAfter w:w="0" w:type="dxa"/>
          <w:trHeight w:val="288" w:hRule="atLeast"/>
        </w:trPr>
        <w:tc>
          <w:tcPr>
            <w:tcW w:w="1302" w:type="dxa"/>
            <w:tcBorders>
              <w:top w:val="single" w:color="A2B7B2" w:sz="4" w:space="0"/>
              <w:left w:val="single" w:color="A2B7B2" w:sz="4" w:space="0"/>
              <w:bottom w:val="single" w:color="A2B7B2" w:sz="4" w:space="0"/>
              <w:right w:val="single" w:color="A2B7B2" w:sz="4" w:space="0"/>
            </w:tcBorders>
            <w:shd w:val="clear" w:color="auto" w:fill="FEFEFE"/>
            <w:noWrap w:val="0"/>
            <w:vAlign w:val="center"/>
          </w:tcPr>
          <w:p>
            <w:pPr>
              <w:widowControl/>
              <w:jc w:val="left"/>
              <w:textAlignment w:val="center"/>
              <w:rPr>
                <w:rFonts w:ascii="宋体" w:hAnsi="宋体" w:cs="宋体"/>
                <w:color w:val="000000"/>
                <w:kern w:val="0"/>
                <w:sz w:val="24"/>
              </w:rPr>
            </w:pPr>
            <w:r>
              <w:rPr>
                <w:rFonts w:hint="eastAsia" w:ascii="宋体" w:hAnsi="宋体" w:cs="宋体"/>
                <w:color w:val="000000"/>
                <w:sz w:val="24"/>
              </w:rPr>
              <w:t>服务要求</w:t>
            </w:r>
          </w:p>
        </w:tc>
        <w:tc>
          <w:tcPr>
            <w:tcW w:w="7912" w:type="dxa"/>
            <w:tcBorders>
              <w:top w:val="single" w:color="A2B7B2" w:sz="4" w:space="0"/>
              <w:left w:val="single" w:color="A2B7B2" w:sz="4" w:space="0"/>
              <w:bottom w:val="single" w:color="A2B7B2" w:sz="4" w:space="0"/>
              <w:right w:val="single" w:color="A2B7B2" w:sz="4" w:space="0"/>
            </w:tcBorders>
            <w:shd w:val="clear" w:color="auto" w:fill="F0F0F0"/>
            <w:noWrap w:val="0"/>
            <w:vAlign w:val="center"/>
          </w:tcPr>
          <w:p>
            <w:pPr>
              <w:widowControl/>
              <w:jc w:val="left"/>
              <w:textAlignment w:val="center"/>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sz w:val="24"/>
              </w:rPr>
              <w:t>本次提供不少于5年原厂质保。</w:t>
            </w:r>
          </w:p>
        </w:tc>
      </w:tr>
    </w:tbl>
    <w:p>
      <w:pPr>
        <w:pStyle w:val="2"/>
        <w:numPr>
          <w:ilvl w:val="1"/>
          <w:numId w:val="9"/>
        </w:numPr>
        <w:spacing w:before="240" w:after="60" w:line="413" w:lineRule="auto"/>
      </w:pPr>
      <w:r>
        <w:rPr>
          <w:rFonts w:hint="eastAsia"/>
        </w:rPr>
        <w:t>数据中心防火墙</w:t>
      </w:r>
    </w:p>
    <w:tbl>
      <w:tblPr>
        <w:tblStyle w:val="57"/>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trPr>
        <w:tc>
          <w:tcPr>
            <w:tcW w:w="1291" w:type="dxa"/>
            <w:noWrap w:val="0"/>
            <w:vAlign w:val="center"/>
          </w:tcPr>
          <w:p>
            <w:pPr>
              <w:widowControl/>
              <w:spacing w:line="440" w:lineRule="exact"/>
              <w:rPr>
                <w:rFonts w:ascii="宋体" w:hAnsi="宋体" w:cs="宋体"/>
                <w:b/>
                <w:sz w:val="24"/>
              </w:rPr>
            </w:pPr>
            <w:r>
              <w:rPr>
                <w:rFonts w:hint="eastAsia" w:ascii="宋体" w:hAnsi="宋体" w:cs="宋体"/>
                <w:b/>
                <w:sz w:val="24"/>
              </w:rPr>
              <w:t>指标项</w:t>
            </w:r>
          </w:p>
        </w:tc>
        <w:tc>
          <w:tcPr>
            <w:tcW w:w="7888" w:type="dxa"/>
            <w:noWrap w:val="0"/>
            <w:vAlign w:val="center"/>
          </w:tcPr>
          <w:p>
            <w:pPr>
              <w:widowControl/>
              <w:spacing w:line="440" w:lineRule="exact"/>
              <w:ind w:firstLine="2771" w:firstLineChars="1150"/>
              <w:rPr>
                <w:rFonts w:ascii="宋体" w:hAnsi="宋体" w:cs="宋体"/>
                <w:b/>
                <w:sz w:val="24"/>
              </w:rPr>
            </w:pPr>
            <w:r>
              <w:rPr>
                <w:rFonts w:hint="eastAsia" w:ascii="宋体" w:hAnsi="宋体" w:cs="宋体"/>
                <w:b/>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291" w:type="dxa"/>
            <w:vMerge w:val="restart"/>
            <w:noWrap w:val="0"/>
            <w:vAlign w:val="center"/>
          </w:tcPr>
          <w:p>
            <w:pPr>
              <w:widowControl/>
              <w:spacing w:line="440" w:lineRule="exact"/>
              <w:rPr>
                <w:rFonts w:ascii="宋体" w:hAnsi="宋体" w:cs="宋体"/>
                <w:bCs/>
                <w:sz w:val="24"/>
              </w:rPr>
            </w:pPr>
            <w:r>
              <w:rPr>
                <w:rFonts w:hint="eastAsia" w:ascii="宋体" w:hAnsi="宋体" w:cs="宋体"/>
                <w:kern w:val="0"/>
                <w:sz w:val="24"/>
              </w:rPr>
              <w:t>性能规格</w:t>
            </w:r>
          </w:p>
        </w:tc>
        <w:tc>
          <w:tcPr>
            <w:tcW w:w="7888" w:type="dxa"/>
            <w:noWrap w:val="0"/>
            <w:vAlign w:val="center"/>
          </w:tcPr>
          <w:p>
            <w:pPr>
              <w:widowControl/>
              <w:spacing w:line="276" w:lineRule="auto"/>
              <w:rPr>
                <w:rFonts w:ascii="宋体" w:hAnsi="宋体" w:cs="宋体"/>
                <w:sz w:val="24"/>
              </w:rPr>
            </w:pPr>
            <w:r>
              <w:rPr>
                <w:rFonts w:hint="eastAsia" w:ascii="宋体" w:hAnsi="宋体" w:cs="宋体"/>
                <w:bCs/>
                <w:sz w:val="24"/>
              </w:rPr>
              <w:t>标准2U机箱；</w:t>
            </w:r>
            <w:r>
              <w:rPr>
                <w:rFonts w:hint="eastAsia" w:ascii="宋体" w:hAnsi="宋体" w:cs="宋体"/>
                <w:kern w:val="0"/>
                <w:sz w:val="24"/>
              </w:rPr>
              <w:t>国产CPU；</w:t>
            </w:r>
            <w:r>
              <w:rPr>
                <w:rFonts w:hint="eastAsia" w:ascii="宋体" w:hAnsi="宋体" w:cs="宋体"/>
                <w:bCs/>
                <w:sz w:val="24"/>
              </w:rPr>
              <w:t>内存：</w:t>
            </w:r>
            <w:r>
              <w:rPr>
                <w:rFonts w:hint="eastAsia" w:ascii="宋体" w:hAnsi="宋体" w:cs="宋体"/>
                <w:kern w:val="0"/>
                <w:sz w:val="24"/>
              </w:rPr>
              <w:t>≥</w:t>
            </w:r>
            <w:r>
              <w:rPr>
                <w:rFonts w:hint="eastAsia" w:ascii="宋体" w:hAnsi="宋体" w:cs="宋体"/>
                <w:bCs/>
                <w:sz w:val="24"/>
              </w:rPr>
              <w:t>32GB,</w:t>
            </w:r>
            <w:r>
              <w:rPr>
                <w:rFonts w:hint="eastAsia" w:ascii="宋体" w:hAnsi="宋体" w:cs="宋体"/>
                <w:kern w:val="0"/>
                <w:sz w:val="24"/>
              </w:rPr>
              <w:t xml:space="preserve"> ≥240G固态硬盘+1TB机械硬盘</w:t>
            </w:r>
            <w:r>
              <w:rPr>
                <w:rFonts w:hint="eastAsia" w:ascii="宋体" w:hAnsi="宋体" w:cs="宋体"/>
                <w:bCs/>
                <w:sz w:val="24"/>
              </w:rPr>
              <w:t>；1个管理网口，1个HA接口，≥8个千兆电口，≥8个千兆光口和≥4个万兆光口;冗余电源。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291" w:type="dxa"/>
            <w:vMerge w:val="continue"/>
            <w:noWrap w:val="0"/>
            <w:vAlign w:val="center"/>
          </w:tcPr>
          <w:p>
            <w:pPr>
              <w:widowControl/>
              <w:spacing w:line="440" w:lineRule="exact"/>
              <w:rPr>
                <w:rFonts w:ascii="宋体" w:hAnsi="宋体" w:cs="宋体"/>
                <w:kern w:val="0"/>
                <w:sz w:val="24"/>
              </w:rPr>
            </w:pPr>
          </w:p>
        </w:tc>
        <w:tc>
          <w:tcPr>
            <w:tcW w:w="7888" w:type="dxa"/>
            <w:noWrap w:val="0"/>
            <w:vAlign w:val="center"/>
          </w:tcPr>
          <w:p>
            <w:pPr>
              <w:widowControl/>
              <w:spacing w:line="276" w:lineRule="auto"/>
              <w:rPr>
                <w:rFonts w:ascii="宋体" w:hAnsi="宋体" w:cs="宋体"/>
                <w:bCs/>
                <w:sz w:val="24"/>
              </w:rPr>
            </w:pPr>
            <w:r>
              <w:rPr>
                <w:rFonts w:hint="eastAsia" w:ascii="宋体" w:hAnsi="宋体" w:cs="宋体"/>
                <w:sz w:val="24"/>
              </w:rPr>
              <w:t>★</w:t>
            </w:r>
            <w:r>
              <w:rPr>
                <w:rFonts w:hint="eastAsia" w:ascii="宋体" w:hAnsi="宋体" w:cs="宋体"/>
                <w:bCs/>
                <w:sz w:val="24"/>
              </w:rPr>
              <w:t>网络层吞吐量≥20G，并发连接≥1200万，每秒新建连接数25.9万；</w:t>
            </w:r>
            <w:r>
              <w:rPr>
                <w:rFonts w:hint="eastAsia" w:ascii="宋体" w:hAnsi="宋体" w:cs="宋体"/>
                <w:color w:val="000000"/>
                <w:kern w:val="0"/>
                <w:sz w:val="24"/>
              </w:rPr>
              <w:t>支持IPv4、IPv6网络环境。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1291" w:type="dxa"/>
            <w:vMerge w:val="continue"/>
            <w:noWrap w:val="0"/>
            <w:vAlign w:val="center"/>
          </w:tcPr>
          <w:p>
            <w:pPr>
              <w:widowControl/>
              <w:spacing w:line="440" w:lineRule="exact"/>
              <w:rPr>
                <w:rFonts w:ascii="宋体" w:hAnsi="宋体" w:cs="宋体"/>
                <w:kern w:val="0"/>
                <w:sz w:val="24"/>
              </w:rPr>
            </w:pPr>
          </w:p>
        </w:tc>
        <w:tc>
          <w:tcPr>
            <w:tcW w:w="7888" w:type="dxa"/>
            <w:noWrap w:val="0"/>
            <w:vAlign w:val="center"/>
          </w:tcPr>
          <w:p>
            <w:pPr>
              <w:widowControl/>
              <w:spacing w:line="276" w:lineRule="auto"/>
              <w:rPr>
                <w:rFonts w:ascii="宋体" w:hAnsi="宋体" w:cs="宋体"/>
                <w:sz w:val="24"/>
              </w:rPr>
            </w:pPr>
            <w:r>
              <w:rPr>
                <w:rFonts w:hint="eastAsia" w:ascii="宋体" w:hAnsi="宋体" w:cs="宋体"/>
                <w:sz w:val="24"/>
              </w:rPr>
              <w:t>★</w:t>
            </w:r>
            <w:r>
              <w:rPr>
                <w:rFonts w:hint="eastAsia" w:ascii="宋体" w:hAnsi="宋体"/>
                <w:sz w:val="24"/>
              </w:rPr>
              <w:t>采用国产化芯片和国产化操作系统，</w:t>
            </w:r>
            <w:r>
              <w:rPr>
                <w:rFonts w:hint="eastAsia" w:ascii="宋体" w:hAnsi="宋体" w:cs="宋体"/>
                <w:sz w:val="24"/>
              </w:rPr>
              <w:t>技术自主可控，整机安全性能符合国家信息技术应用创新标准。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9" w:hRule="atLeast"/>
        </w:trPr>
        <w:tc>
          <w:tcPr>
            <w:tcW w:w="1291" w:type="dxa"/>
            <w:noWrap w:val="0"/>
            <w:vAlign w:val="center"/>
          </w:tcPr>
          <w:p>
            <w:pPr>
              <w:widowControl/>
              <w:spacing w:line="440" w:lineRule="exact"/>
              <w:rPr>
                <w:rFonts w:ascii="宋体" w:hAnsi="宋体" w:cs="宋体"/>
                <w:bCs/>
                <w:sz w:val="24"/>
              </w:rPr>
            </w:pPr>
            <w:r>
              <w:rPr>
                <w:rFonts w:hint="eastAsia" w:ascii="宋体" w:hAnsi="宋体" w:cs="宋体"/>
                <w:bCs/>
                <w:sz w:val="24"/>
              </w:rPr>
              <w:t>部署模式</w:t>
            </w:r>
          </w:p>
        </w:tc>
        <w:tc>
          <w:tcPr>
            <w:tcW w:w="7888" w:type="dxa"/>
            <w:noWrap w:val="0"/>
            <w:vAlign w:val="center"/>
          </w:tcPr>
          <w:p>
            <w:pPr>
              <w:widowControl/>
              <w:spacing w:line="276" w:lineRule="auto"/>
              <w:rPr>
                <w:rFonts w:ascii="宋体" w:hAnsi="宋体" w:cs="宋体"/>
                <w:bCs/>
                <w:sz w:val="24"/>
              </w:rPr>
            </w:pPr>
            <w:r>
              <w:rPr>
                <w:rFonts w:hint="eastAsia" w:ascii="宋体" w:hAnsi="宋体" w:cs="宋体"/>
                <w:bCs/>
                <w:sz w:val="24"/>
              </w:rPr>
              <w:t>支持路由、透明、交换以及混合模式接入，满足复杂应用环境的接入需求。支持主备接口配置以及按比例分配的负载分担方式。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3" w:hRule="atLeast"/>
        </w:trPr>
        <w:tc>
          <w:tcPr>
            <w:tcW w:w="1291" w:type="dxa"/>
            <w:vMerge w:val="restart"/>
            <w:noWrap w:val="0"/>
            <w:vAlign w:val="center"/>
          </w:tcPr>
          <w:p>
            <w:pPr>
              <w:spacing w:line="440" w:lineRule="exact"/>
              <w:rPr>
                <w:rFonts w:ascii="宋体" w:hAnsi="宋体" w:cs="宋体"/>
                <w:bCs/>
                <w:sz w:val="24"/>
              </w:rPr>
            </w:pPr>
            <w:r>
              <w:rPr>
                <w:rFonts w:hint="eastAsia" w:ascii="宋体" w:hAnsi="宋体" w:cs="宋体"/>
                <w:bCs/>
                <w:sz w:val="24"/>
              </w:rPr>
              <w:t>功能要求</w:t>
            </w:r>
          </w:p>
        </w:tc>
        <w:tc>
          <w:tcPr>
            <w:tcW w:w="7888" w:type="dxa"/>
            <w:noWrap w:val="0"/>
            <w:vAlign w:val="center"/>
          </w:tcPr>
          <w:p>
            <w:pPr>
              <w:widowControl/>
              <w:spacing w:line="276" w:lineRule="auto"/>
              <w:rPr>
                <w:rFonts w:ascii="宋体" w:hAnsi="宋体" w:cs="宋体"/>
                <w:bCs/>
                <w:sz w:val="24"/>
              </w:rPr>
            </w:pPr>
            <w:r>
              <w:rPr>
                <w:rFonts w:hint="eastAsia" w:ascii="宋体" w:hAnsi="宋体" w:cs="宋体"/>
                <w:bCs/>
                <w:sz w:val="24"/>
              </w:rPr>
              <w:t>支持旁路模式；</w:t>
            </w:r>
            <w:r>
              <w:rPr>
                <w:rFonts w:hint="eastAsia" w:ascii="宋体" w:hAnsi="宋体" w:cs="宋体"/>
                <w:sz w:val="24"/>
              </w:rPr>
              <w:t>支持多核CPU负载均衡；</w:t>
            </w:r>
            <w:r>
              <w:rPr>
                <w:rFonts w:hint="eastAsia" w:ascii="宋体" w:hAnsi="宋体" w:cs="宋体"/>
                <w:bCs/>
                <w:sz w:val="24"/>
              </w:rPr>
              <w:t>含应用控制、URL过滤、病毒防护、入侵防御、威胁情报检测、IPSec VPN、SSLVPN等功能；支持IPv4和IPv6流量的HTTPS、POP3S、SMTPS、IMAPS协议进行SSL解密。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8" w:hRule="atLeast"/>
        </w:trPr>
        <w:tc>
          <w:tcPr>
            <w:tcW w:w="1291" w:type="dxa"/>
            <w:vMerge w:val="continue"/>
            <w:noWrap w:val="0"/>
            <w:vAlign w:val="center"/>
          </w:tcPr>
          <w:p>
            <w:pPr>
              <w:widowControl/>
              <w:spacing w:line="440" w:lineRule="exact"/>
              <w:rPr>
                <w:rFonts w:ascii="宋体" w:hAnsi="宋体" w:cs="宋体"/>
                <w:bCs/>
                <w:sz w:val="24"/>
              </w:rPr>
            </w:pPr>
          </w:p>
        </w:tc>
        <w:tc>
          <w:tcPr>
            <w:tcW w:w="7888" w:type="dxa"/>
            <w:noWrap w:val="0"/>
            <w:vAlign w:val="center"/>
          </w:tcPr>
          <w:p>
            <w:pPr>
              <w:spacing w:line="276" w:lineRule="auto"/>
              <w:rPr>
                <w:rFonts w:ascii="宋体" w:hAnsi="宋体" w:cs="宋体"/>
                <w:bCs/>
                <w:sz w:val="24"/>
              </w:rPr>
            </w:pPr>
            <w:r>
              <w:rPr>
                <w:rFonts w:hint="eastAsia" w:ascii="宋体" w:hAnsi="宋体" w:cs="宋体"/>
                <w:bCs/>
                <w:sz w:val="24"/>
              </w:rPr>
              <w:t>所投产品的漏洞防护特征库包含高危漏洞攻击特征。</w:t>
            </w:r>
          </w:p>
          <w:p>
            <w:pPr>
              <w:spacing w:line="276" w:lineRule="auto"/>
              <w:rPr>
                <w:rFonts w:ascii="宋体" w:hAnsi="宋体" w:cs="宋体"/>
                <w:bCs/>
                <w:sz w:val="24"/>
              </w:rPr>
            </w:pPr>
            <w:r>
              <w:rPr>
                <w:rFonts w:hint="eastAsia" w:ascii="宋体" w:hAnsi="宋体" w:cs="宋体"/>
                <w:sz w:val="24"/>
              </w:rPr>
              <w:t>能够对HTTP/FTP/POP3/SMTP/IMAP/SMB多种协议进行病毒查杀；本地病毒库规模大于3000万。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1291" w:type="dxa"/>
            <w:noWrap w:val="0"/>
            <w:vAlign w:val="center"/>
          </w:tcPr>
          <w:p>
            <w:pPr>
              <w:widowControl/>
              <w:jc w:val="left"/>
              <w:textAlignment w:val="center"/>
              <w:rPr>
                <w:rFonts w:ascii="宋体" w:hAnsi="宋体" w:cs="宋体"/>
                <w:bCs/>
                <w:sz w:val="24"/>
              </w:rPr>
            </w:pPr>
            <w:r>
              <w:rPr>
                <w:rFonts w:hint="eastAsia"/>
                <w:sz w:val="24"/>
              </w:rPr>
              <w:t>服务要求</w:t>
            </w:r>
          </w:p>
        </w:tc>
        <w:tc>
          <w:tcPr>
            <w:tcW w:w="7888" w:type="dxa"/>
            <w:noWrap w:val="0"/>
            <w:vAlign w:val="center"/>
          </w:tcPr>
          <w:p>
            <w:pPr>
              <w:widowControl/>
              <w:jc w:val="left"/>
              <w:textAlignment w:val="center"/>
              <w:rPr>
                <w:rFonts w:ascii="宋体" w:hAnsi="宋体" w:cs="宋体"/>
                <w:sz w:val="24"/>
              </w:rPr>
            </w:pPr>
            <w:r>
              <w:rPr>
                <w:rFonts w:hint="eastAsia" w:ascii="宋体" w:hAnsi="宋体" w:cs="宋体"/>
                <w:kern w:val="0"/>
                <w:sz w:val="24"/>
              </w:rPr>
              <w:t>▲</w:t>
            </w:r>
            <w:r>
              <w:rPr>
                <w:sz w:val="24"/>
              </w:rPr>
              <w:t>本次提供</w:t>
            </w:r>
            <w:r>
              <w:rPr>
                <w:rFonts w:hint="eastAsia"/>
                <w:sz w:val="24"/>
              </w:rPr>
              <w:t>不少于</w:t>
            </w:r>
            <w:r>
              <w:rPr>
                <w:sz w:val="24"/>
              </w:rPr>
              <w:t>5年</w:t>
            </w:r>
            <w:r>
              <w:rPr>
                <w:rFonts w:hint="eastAsia"/>
                <w:sz w:val="24"/>
              </w:rPr>
              <w:t>原厂质保。</w:t>
            </w:r>
          </w:p>
        </w:tc>
      </w:tr>
    </w:tbl>
    <w:p>
      <w:pPr>
        <w:pStyle w:val="2"/>
        <w:numPr>
          <w:ilvl w:val="1"/>
          <w:numId w:val="9"/>
        </w:numPr>
        <w:spacing w:before="240" w:after="60" w:line="413" w:lineRule="auto"/>
      </w:pPr>
      <w:r>
        <w:rPr>
          <w:rFonts w:hint="eastAsia"/>
        </w:rPr>
        <w:t>WEB防火墙</w:t>
      </w:r>
    </w:p>
    <w:tbl>
      <w:tblPr>
        <w:tblStyle w:val="5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437" w:type="dxa"/>
            <w:shd w:val="clear" w:color="000000" w:fill="FFFFFF"/>
            <w:noWrap w:val="0"/>
            <w:vAlign w:val="center"/>
          </w:tcPr>
          <w:p>
            <w:pPr>
              <w:widowControl/>
              <w:spacing w:line="276" w:lineRule="auto"/>
              <w:jc w:val="center"/>
              <w:rPr>
                <w:rFonts w:ascii="宋体" w:hAnsi="宋体" w:cs="宋体"/>
                <w:b/>
                <w:kern w:val="0"/>
                <w:sz w:val="24"/>
              </w:rPr>
            </w:pPr>
            <w:r>
              <w:rPr>
                <w:rFonts w:hint="eastAsia" w:ascii="宋体" w:hAnsi="宋体" w:cs="宋体"/>
                <w:b/>
                <w:bCs/>
                <w:kern w:val="0"/>
                <w:sz w:val="24"/>
              </w:rPr>
              <w:t>指标项</w:t>
            </w:r>
          </w:p>
        </w:tc>
        <w:tc>
          <w:tcPr>
            <w:tcW w:w="7743" w:type="dxa"/>
            <w:noWrap w:val="0"/>
            <w:vAlign w:val="center"/>
          </w:tcPr>
          <w:p>
            <w:pPr>
              <w:widowControl/>
              <w:spacing w:line="276" w:lineRule="auto"/>
              <w:jc w:val="center"/>
              <w:rPr>
                <w:rFonts w:ascii="宋体" w:hAnsi="宋体" w:cs="宋体"/>
                <w:kern w:val="0"/>
                <w:sz w:val="24"/>
              </w:rPr>
            </w:pPr>
            <w:r>
              <w:rPr>
                <w:rFonts w:hint="eastAsia" w:ascii="宋体" w:hAnsi="宋体" w:cs="宋体"/>
                <w:b/>
                <w:bCs/>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437" w:type="dxa"/>
            <w:vMerge w:val="restart"/>
            <w:shd w:val="clear" w:color="000000" w:fill="FFFFFF"/>
            <w:noWrap w:val="0"/>
            <w:vAlign w:val="center"/>
          </w:tcPr>
          <w:p>
            <w:pPr>
              <w:widowControl/>
              <w:spacing w:line="276" w:lineRule="auto"/>
              <w:jc w:val="center"/>
              <w:rPr>
                <w:rFonts w:ascii="宋体" w:hAnsi="宋体" w:cs="宋体"/>
                <w:kern w:val="0"/>
                <w:sz w:val="24"/>
              </w:rPr>
            </w:pPr>
            <w:r>
              <w:rPr>
                <w:rFonts w:hint="eastAsia" w:ascii="宋体" w:hAnsi="宋体" w:cs="宋体"/>
                <w:kern w:val="0"/>
                <w:sz w:val="24"/>
              </w:rPr>
              <w:t>性能规格</w:t>
            </w:r>
          </w:p>
        </w:tc>
        <w:tc>
          <w:tcPr>
            <w:tcW w:w="7743" w:type="dxa"/>
            <w:noWrap w:val="0"/>
            <w:vAlign w:val="center"/>
          </w:tcPr>
          <w:p>
            <w:pPr>
              <w:widowControl/>
              <w:spacing w:line="276" w:lineRule="auto"/>
              <w:rPr>
                <w:rFonts w:ascii="宋体" w:hAnsi="宋体" w:cs="宋体"/>
                <w:kern w:val="0"/>
                <w:sz w:val="24"/>
              </w:rPr>
            </w:pPr>
            <w:r>
              <w:rPr>
                <w:rFonts w:hint="eastAsia" w:ascii="宋体" w:hAnsi="宋体" w:cs="宋体"/>
                <w:kern w:val="0"/>
                <w:sz w:val="24"/>
              </w:rPr>
              <w:t>标准2U机箱；国产CPU；内存：≥16GB；硬盘：≥240G固态硬盘+1TB机械硬盘；</w:t>
            </w:r>
            <w:r>
              <w:rPr>
                <w:rFonts w:ascii="宋体" w:hAnsi="宋体" w:cs="宋体"/>
                <w:sz w:val="24"/>
              </w:rPr>
              <w:t>网络接口：1个管理口、1个HA口、</w:t>
            </w:r>
            <w:r>
              <w:rPr>
                <w:rFonts w:hint="eastAsia" w:ascii="宋体" w:hAnsi="宋体" w:cs="宋体"/>
                <w:kern w:val="0"/>
                <w:sz w:val="24"/>
              </w:rPr>
              <w:t>≥</w:t>
            </w:r>
            <w:r>
              <w:rPr>
                <w:rFonts w:hint="eastAsia" w:ascii="宋体" w:hAnsi="宋体" w:cs="宋体"/>
                <w:sz w:val="24"/>
              </w:rPr>
              <w:t>12</w:t>
            </w:r>
            <w:r>
              <w:rPr>
                <w:rFonts w:ascii="宋体" w:hAnsi="宋体" w:cs="宋体"/>
                <w:sz w:val="24"/>
              </w:rPr>
              <w:t>个千兆电口和</w:t>
            </w:r>
            <w:r>
              <w:rPr>
                <w:rFonts w:hint="eastAsia" w:ascii="宋体" w:hAnsi="宋体" w:cs="宋体"/>
                <w:kern w:val="0"/>
                <w:sz w:val="24"/>
              </w:rPr>
              <w:t>≥</w:t>
            </w:r>
            <w:r>
              <w:rPr>
                <w:rFonts w:hint="eastAsia" w:ascii="宋体" w:hAnsi="宋体" w:cs="宋体"/>
                <w:sz w:val="24"/>
              </w:rPr>
              <w:t>12</w:t>
            </w:r>
            <w:r>
              <w:rPr>
                <w:rFonts w:ascii="宋体" w:hAnsi="宋体" w:cs="宋体"/>
                <w:sz w:val="24"/>
              </w:rPr>
              <w:t>个千兆光口</w:t>
            </w:r>
            <w:r>
              <w:rPr>
                <w:rFonts w:hint="eastAsia" w:ascii="宋体" w:hAnsi="宋体" w:cs="宋体"/>
                <w:sz w:val="24"/>
              </w:rPr>
              <w:t>；</w:t>
            </w:r>
            <w:r>
              <w:rPr>
                <w:rFonts w:hint="eastAsia" w:ascii="宋体" w:hAnsi="宋体" w:cs="宋体"/>
                <w:kern w:val="0"/>
                <w:sz w:val="24"/>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437" w:type="dxa"/>
            <w:vMerge w:val="continue"/>
            <w:shd w:val="clear" w:color="000000" w:fill="FFFFFF"/>
            <w:noWrap w:val="0"/>
            <w:vAlign w:val="center"/>
          </w:tcPr>
          <w:p>
            <w:pPr>
              <w:widowControl/>
              <w:spacing w:line="276" w:lineRule="auto"/>
              <w:jc w:val="center"/>
              <w:rPr>
                <w:rFonts w:ascii="宋体" w:hAnsi="宋体" w:cs="宋体"/>
                <w:kern w:val="0"/>
                <w:sz w:val="24"/>
              </w:rPr>
            </w:pPr>
          </w:p>
        </w:tc>
        <w:tc>
          <w:tcPr>
            <w:tcW w:w="7743" w:type="dxa"/>
            <w:noWrap w:val="0"/>
            <w:vAlign w:val="center"/>
          </w:tcPr>
          <w:p>
            <w:pPr>
              <w:widowControl/>
              <w:spacing w:line="276" w:lineRule="auto"/>
              <w:rPr>
                <w:rFonts w:ascii="宋体" w:hAnsi="宋体" w:cs="宋体"/>
                <w:kern w:val="0"/>
                <w:sz w:val="24"/>
              </w:rPr>
            </w:pPr>
            <w:r>
              <w:rPr>
                <w:rFonts w:hint="eastAsia" w:ascii="宋体" w:hAnsi="宋体" w:cs="宋体"/>
                <w:sz w:val="24"/>
              </w:rPr>
              <w:t>★</w:t>
            </w:r>
            <w:r>
              <w:rPr>
                <w:rFonts w:hint="eastAsia" w:ascii="宋体" w:hAnsi="宋体"/>
                <w:sz w:val="24"/>
              </w:rPr>
              <w:t>采用国产化芯片和国产化操作系统，</w:t>
            </w:r>
            <w:r>
              <w:rPr>
                <w:rFonts w:hint="eastAsia" w:ascii="宋体" w:hAnsi="宋体" w:cs="宋体"/>
                <w:sz w:val="24"/>
              </w:rPr>
              <w:t>技术自主可控，整机安全性能符合国家信息技术应用创新标准。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1437" w:type="dxa"/>
            <w:vMerge w:val="continue"/>
            <w:shd w:val="clear" w:color="000000" w:fill="FFFFFF"/>
            <w:noWrap w:val="0"/>
            <w:vAlign w:val="center"/>
          </w:tcPr>
          <w:p>
            <w:pPr>
              <w:widowControl/>
              <w:spacing w:line="276" w:lineRule="auto"/>
              <w:jc w:val="center"/>
              <w:rPr>
                <w:rFonts w:ascii="宋体" w:hAnsi="宋体" w:cs="宋体"/>
                <w:kern w:val="0"/>
                <w:sz w:val="24"/>
              </w:rPr>
            </w:pPr>
          </w:p>
        </w:tc>
        <w:tc>
          <w:tcPr>
            <w:tcW w:w="7743" w:type="dxa"/>
            <w:noWrap w:val="0"/>
            <w:vAlign w:val="center"/>
          </w:tcPr>
          <w:p>
            <w:pPr>
              <w:widowControl/>
              <w:spacing w:line="276" w:lineRule="auto"/>
              <w:rPr>
                <w:rFonts w:ascii="宋体" w:hAnsi="宋体" w:cs="宋体"/>
                <w:kern w:val="0"/>
                <w:sz w:val="24"/>
              </w:rPr>
            </w:pPr>
            <w:r>
              <w:rPr>
                <w:rFonts w:hint="eastAsia" w:ascii="宋体" w:hAnsi="宋体" w:cs="宋体"/>
                <w:sz w:val="24"/>
              </w:rPr>
              <w:t>★网络层</w:t>
            </w:r>
            <w:r>
              <w:rPr>
                <w:rFonts w:ascii="宋体" w:hAnsi="宋体" w:cs="宋体"/>
                <w:sz w:val="24"/>
              </w:rPr>
              <w:t>吞吐量≥</w:t>
            </w:r>
            <w:r>
              <w:rPr>
                <w:rFonts w:hint="eastAsia" w:ascii="宋体" w:hAnsi="宋体" w:cs="宋体"/>
                <w:sz w:val="24"/>
              </w:rPr>
              <w:t>2</w:t>
            </w:r>
            <w:r>
              <w:rPr>
                <w:rFonts w:ascii="宋体" w:hAnsi="宋体" w:cs="宋体"/>
                <w:sz w:val="24"/>
              </w:rPr>
              <w:t>0G</w:t>
            </w:r>
            <w:r>
              <w:rPr>
                <w:rFonts w:hint="eastAsia" w:ascii="宋体" w:hAnsi="宋体" w:cs="宋体"/>
                <w:sz w:val="24"/>
              </w:rPr>
              <w:t>bps,</w:t>
            </w:r>
            <w:r>
              <w:rPr>
                <w:rFonts w:hint="eastAsia" w:ascii="宋体" w:hAnsi="宋体" w:cs="宋体"/>
                <w:kern w:val="0"/>
                <w:sz w:val="24"/>
              </w:rPr>
              <w:t>网络并发连接数100万；应用层处理能力为</w:t>
            </w:r>
            <w:r>
              <w:rPr>
                <w:rFonts w:ascii="宋体" w:hAnsi="宋体" w:cs="宋体"/>
                <w:sz w:val="24"/>
              </w:rPr>
              <w:t>≥</w:t>
            </w:r>
            <w:r>
              <w:rPr>
                <w:rFonts w:hint="eastAsia" w:ascii="宋体" w:hAnsi="宋体" w:cs="宋体"/>
                <w:kern w:val="0"/>
                <w:sz w:val="24"/>
              </w:rPr>
              <w:t>0.6Gbps；HTTP并发为70万；HTTP新建连接数大于13000/s；</w:t>
            </w:r>
            <w:r>
              <w:rPr>
                <w:rFonts w:hint="eastAsia" w:ascii="宋体" w:hAnsi="宋体" w:cs="宋体"/>
                <w:color w:val="000000"/>
                <w:kern w:val="0"/>
                <w:sz w:val="24"/>
              </w:rPr>
              <w:t>支持IPv4、IPv6网络环境</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1437" w:type="dxa"/>
            <w:noWrap w:val="0"/>
            <w:vAlign w:val="center"/>
          </w:tcPr>
          <w:p>
            <w:pPr>
              <w:widowControl/>
              <w:spacing w:line="276" w:lineRule="auto"/>
              <w:jc w:val="center"/>
              <w:rPr>
                <w:rFonts w:ascii="宋体" w:hAnsi="宋体" w:cs="宋体"/>
                <w:bCs/>
                <w:kern w:val="0"/>
                <w:sz w:val="24"/>
              </w:rPr>
            </w:pPr>
            <w:r>
              <w:rPr>
                <w:rFonts w:hint="eastAsia" w:ascii="宋体" w:hAnsi="宋体" w:cs="宋体"/>
                <w:bCs/>
                <w:kern w:val="0"/>
                <w:sz w:val="24"/>
              </w:rPr>
              <w:t>部署模式</w:t>
            </w:r>
          </w:p>
        </w:tc>
        <w:tc>
          <w:tcPr>
            <w:tcW w:w="7743" w:type="dxa"/>
            <w:noWrap w:val="0"/>
            <w:vAlign w:val="center"/>
          </w:tcPr>
          <w:p>
            <w:pPr>
              <w:widowControl/>
              <w:spacing w:line="276" w:lineRule="auto"/>
              <w:rPr>
                <w:rFonts w:ascii="宋体" w:hAnsi="宋体" w:cs="宋体"/>
                <w:kern w:val="0"/>
                <w:sz w:val="24"/>
              </w:rPr>
            </w:pPr>
            <w:r>
              <w:rPr>
                <w:rFonts w:hint="eastAsia" w:ascii="宋体" w:hAnsi="宋体" w:cs="宋体"/>
                <w:kern w:val="0"/>
                <w:sz w:val="24"/>
              </w:rPr>
              <w:t>支持透明流、透明代理、反向代理，旁路镜像检测模式及旁路镜像阻断模式。支持路由牵引部署模式。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3" w:hRule="atLeast"/>
        </w:trPr>
        <w:tc>
          <w:tcPr>
            <w:tcW w:w="1437" w:type="dxa"/>
            <w:vMerge w:val="restart"/>
            <w:noWrap w:val="0"/>
            <w:vAlign w:val="center"/>
          </w:tcPr>
          <w:p>
            <w:pPr>
              <w:widowControl/>
              <w:spacing w:line="276" w:lineRule="auto"/>
              <w:jc w:val="center"/>
              <w:rPr>
                <w:rFonts w:ascii="宋体" w:hAnsi="宋体" w:cs="宋体"/>
                <w:bCs/>
                <w:kern w:val="0"/>
                <w:sz w:val="24"/>
              </w:rPr>
            </w:pPr>
            <w:r>
              <w:rPr>
                <w:rFonts w:hint="eastAsia" w:ascii="宋体" w:hAnsi="宋体" w:cs="宋体"/>
                <w:bCs/>
                <w:kern w:val="0"/>
                <w:sz w:val="24"/>
              </w:rPr>
              <w:t>安全防御</w:t>
            </w:r>
          </w:p>
        </w:tc>
        <w:tc>
          <w:tcPr>
            <w:tcW w:w="7743" w:type="dxa"/>
            <w:noWrap w:val="0"/>
            <w:vAlign w:val="center"/>
          </w:tcPr>
          <w:p>
            <w:pPr>
              <w:widowControl/>
              <w:spacing w:line="276" w:lineRule="auto"/>
              <w:rPr>
                <w:rFonts w:ascii="宋体" w:hAnsi="宋体" w:cs="宋体"/>
                <w:kern w:val="0"/>
                <w:sz w:val="24"/>
              </w:rPr>
            </w:pPr>
            <w:r>
              <w:rPr>
                <w:rFonts w:hint="eastAsia" w:ascii="宋体" w:hAnsi="宋体" w:cs="宋体"/>
                <w:kern w:val="0"/>
                <w:sz w:val="24"/>
              </w:rPr>
              <w:t>支持协议合规校验，支持SQL注入、XSS跨站攻击防御策略；</w:t>
            </w:r>
          </w:p>
          <w:p>
            <w:pPr>
              <w:widowControl/>
              <w:spacing w:line="276" w:lineRule="auto"/>
              <w:rPr>
                <w:rFonts w:ascii="宋体" w:hAnsi="宋体" w:cs="宋体"/>
                <w:kern w:val="0"/>
                <w:sz w:val="24"/>
              </w:rPr>
            </w:pPr>
            <w:r>
              <w:rPr>
                <w:rFonts w:hint="eastAsia" w:ascii="宋体" w:hAnsi="宋体" w:cs="宋体"/>
                <w:kern w:val="0"/>
                <w:sz w:val="24"/>
              </w:rPr>
              <w:t>支持恶意活动检测、Web攻击防御功能，提供针对爬虫、黑链、盗链以及内网代理的防护功能。</w:t>
            </w:r>
          </w:p>
          <w:p>
            <w:pPr>
              <w:widowControl/>
              <w:spacing w:line="276" w:lineRule="auto"/>
              <w:rPr>
                <w:rFonts w:ascii="宋体" w:hAnsi="宋体" w:cs="宋体"/>
                <w:kern w:val="0"/>
                <w:sz w:val="24"/>
              </w:rPr>
            </w:pPr>
            <w:r>
              <w:rPr>
                <w:rFonts w:hint="eastAsia" w:ascii="宋体" w:hAnsi="宋体" w:cs="宋体"/>
                <w:kern w:val="0"/>
                <w:sz w:val="24"/>
              </w:rPr>
              <w:t>支持非法文件上传、下载防护、防暴力破解功能；</w:t>
            </w:r>
          </w:p>
          <w:p>
            <w:pPr>
              <w:widowControl/>
              <w:spacing w:line="276" w:lineRule="auto"/>
              <w:rPr>
                <w:rFonts w:ascii="宋体" w:hAnsi="宋体" w:cs="宋体"/>
                <w:kern w:val="0"/>
                <w:sz w:val="24"/>
              </w:rPr>
            </w:pPr>
            <w:r>
              <w:rPr>
                <w:rFonts w:hint="eastAsia" w:ascii="宋体" w:hAnsi="宋体" w:cs="宋体"/>
                <w:kern w:val="0"/>
                <w:sz w:val="24"/>
              </w:rPr>
              <w:t>支持漏洞后门类攻击防护、入侵防护、</w:t>
            </w:r>
            <w:r>
              <w:rPr>
                <w:rFonts w:hint="eastAsia" w:ascii="宋体" w:hAnsi="宋体" w:cs="宋体"/>
                <w:bCs/>
                <w:sz w:val="24"/>
              </w:rPr>
              <w:t>URL过滤、</w:t>
            </w:r>
            <w:r>
              <w:rPr>
                <w:rFonts w:hint="eastAsia" w:ascii="宋体" w:hAnsi="宋体" w:cs="宋体"/>
                <w:kern w:val="0"/>
                <w:sz w:val="24"/>
              </w:rPr>
              <w:t>DDOS防护，并支持对安全日志进行智能分析；</w:t>
            </w:r>
          </w:p>
          <w:p>
            <w:pPr>
              <w:widowControl/>
              <w:spacing w:line="276" w:lineRule="auto"/>
              <w:rPr>
                <w:rFonts w:ascii="宋体" w:hAnsi="宋体" w:cs="宋体"/>
                <w:kern w:val="0"/>
                <w:sz w:val="24"/>
              </w:rPr>
            </w:pPr>
            <w:r>
              <w:rPr>
                <w:rFonts w:hint="eastAsia" w:ascii="宋体" w:hAnsi="宋体" w:cs="宋体"/>
                <w:kern w:val="0"/>
                <w:sz w:val="24"/>
              </w:rPr>
              <w:t>支持智能封禁，支持敏感信息检测防护、敏感词检测及过滤，自带敏感词库并进行可自定义。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3" w:hRule="atLeast"/>
        </w:trPr>
        <w:tc>
          <w:tcPr>
            <w:tcW w:w="1437" w:type="dxa"/>
            <w:vMerge w:val="continue"/>
            <w:noWrap w:val="0"/>
            <w:vAlign w:val="center"/>
          </w:tcPr>
          <w:p>
            <w:pPr>
              <w:widowControl/>
              <w:spacing w:line="276" w:lineRule="auto"/>
              <w:jc w:val="center"/>
              <w:rPr>
                <w:rFonts w:ascii="宋体" w:hAnsi="宋体" w:cs="宋体"/>
                <w:bCs/>
                <w:kern w:val="0"/>
                <w:sz w:val="24"/>
              </w:rPr>
            </w:pPr>
          </w:p>
        </w:tc>
        <w:tc>
          <w:tcPr>
            <w:tcW w:w="7743" w:type="dxa"/>
            <w:noWrap w:val="0"/>
            <w:vAlign w:val="center"/>
          </w:tcPr>
          <w:p>
            <w:pPr>
              <w:widowControl/>
              <w:spacing w:line="276" w:lineRule="auto"/>
              <w:rPr>
                <w:rFonts w:ascii="宋体" w:hAnsi="宋体" w:cs="宋体"/>
                <w:kern w:val="0"/>
                <w:sz w:val="24"/>
              </w:rPr>
            </w:pPr>
            <w:r>
              <w:rPr>
                <w:rFonts w:hint="eastAsia" w:ascii="宋体" w:hAnsi="宋体" w:cs="宋体"/>
                <w:kern w:val="0"/>
                <w:sz w:val="24"/>
              </w:rPr>
              <w:t>支持黑白名单策略和IP访问控制（为方便恶意IP管控，应支持批量导入功能），可根据源目的IP，端口，协议等进行访问控制处理。（提供功能截图）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1437" w:type="dxa"/>
            <w:noWrap w:val="0"/>
            <w:vAlign w:val="center"/>
          </w:tcPr>
          <w:p>
            <w:pPr>
              <w:widowControl/>
              <w:jc w:val="left"/>
              <w:textAlignment w:val="center"/>
              <w:rPr>
                <w:rFonts w:ascii="宋体" w:hAnsi="宋体" w:cs="宋体"/>
                <w:bCs/>
                <w:kern w:val="0"/>
                <w:sz w:val="24"/>
              </w:rPr>
            </w:pPr>
            <w:r>
              <w:rPr>
                <w:rFonts w:hint="eastAsia"/>
                <w:sz w:val="24"/>
              </w:rPr>
              <w:t>服务要求</w:t>
            </w:r>
          </w:p>
        </w:tc>
        <w:tc>
          <w:tcPr>
            <w:tcW w:w="7743" w:type="dxa"/>
            <w:noWrap/>
            <w:vAlign w:val="center"/>
          </w:tcPr>
          <w:p>
            <w:pPr>
              <w:widowControl/>
              <w:jc w:val="left"/>
              <w:textAlignment w:val="center"/>
              <w:rPr>
                <w:rFonts w:ascii="宋体" w:hAnsi="宋体" w:cs="宋体"/>
                <w:sz w:val="24"/>
              </w:rPr>
            </w:pPr>
            <w:r>
              <w:rPr>
                <w:rFonts w:hint="eastAsia" w:ascii="宋体" w:hAnsi="宋体" w:cs="宋体"/>
                <w:kern w:val="0"/>
                <w:sz w:val="24"/>
              </w:rPr>
              <w:t>▲</w:t>
            </w:r>
            <w:r>
              <w:rPr>
                <w:sz w:val="24"/>
              </w:rPr>
              <w:t>本次提供</w:t>
            </w:r>
            <w:r>
              <w:rPr>
                <w:rFonts w:hint="eastAsia"/>
                <w:sz w:val="24"/>
              </w:rPr>
              <w:t>不少于</w:t>
            </w:r>
            <w:r>
              <w:rPr>
                <w:sz w:val="24"/>
              </w:rPr>
              <w:t>5年</w:t>
            </w:r>
            <w:r>
              <w:rPr>
                <w:rFonts w:hint="eastAsia"/>
                <w:sz w:val="24"/>
              </w:rPr>
              <w:t>原厂质保。</w:t>
            </w:r>
          </w:p>
        </w:tc>
      </w:tr>
    </w:tbl>
    <w:p>
      <w:pPr>
        <w:pStyle w:val="2"/>
        <w:numPr>
          <w:ilvl w:val="1"/>
          <w:numId w:val="9"/>
        </w:numPr>
        <w:spacing w:before="240" w:after="60" w:line="413" w:lineRule="auto"/>
      </w:pPr>
      <w:r>
        <w:rPr>
          <w:rFonts w:hint="eastAsia"/>
        </w:rPr>
        <w:t>网闸</w:t>
      </w:r>
    </w:p>
    <w:tbl>
      <w:tblPr>
        <w:tblStyle w:val="57"/>
        <w:tblW w:w="9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noWrap w:val="0"/>
            <w:vAlign w:val="top"/>
          </w:tcPr>
          <w:p>
            <w:pPr>
              <w:jc w:val="center"/>
              <w:rPr>
                <w:rFonts w:ascii="宋体" w:hAnsi="宋体" w:cs="宋体"/>
                <w:b/>
                <w:sz w:val="24"/>
              </w:rPr>
            </w:pPr>
            <w:r>
              <w:rPr>
                <w:rFonts w:hint="eastAsia" w:ascii="宋体" w:hAnsi="宋体" w:cs="宋体"/>
                <w:b/>
                <w:sz w:val="24"/>
              </w:rPr>
              <w:t>指标项</w:t>
            </w:r>
          </w:p>
        </w:tc>
        <w:tc>
          <w:tcPr>
            <w:tcW w:w="7796" w:type="dxa"/>
            <w:shd w:val="clear" w:color="auto" w:fill="auto"/>
            <w:noWrap w:val="0"/>
            <w:vAlign w:val="top"/>
          </w:tcPr>
          <w:p>
            <w:pPr>
              <w:jc w:val="center"/>
              <w:rPr>
                <w:rFonts w:ascii="宋体" w:hAnsi="宋体" w:cs="宋体"/>
                <w:b/>
                <w:sz w:val="24"/>
              </w:rPr>
            </w:pPr>
            <w:r>
              <w:rPr>
                <w:rFonts w:hint="eastAsia" w:ascii="宋体" w:hAnsi="宋体" w:cs="宋体"/>
                <w:b/>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restart"/>
            <w:shd w:val="clear" w:color="auto" w:fill="auto"/>
            <w:noWrap w:val="0"/>
            <w:vAlign w:val="center"/>
          </w:tcPr>
          <w:p>
            <w:pPr>
              <w:jc w:val="center"/>
              <w:rPr>
                <w:rFonts w:ascii="宋体" w:hAnsi="宋体" w:cs="宋体"/>
                <w:sz w:val="24"/>
              </w:rPr>
            </w:pPr>
            <w:r>
              <w:rPr>
                <w:rFonts w:hint="eastAsia" w:ascii="宋体" w:hAnsi="宋体" w:cs="宋体"/>
                <w:sz w:val="24"/>
              </w:rPr>
              <w:t>性能要求</w:t>
            </w:r>
          </w:p>
        </w:tc>
        <w:tc>
          <w:tcPr>
            <w:tcW w:w="7796" w:type="dxa"/>
            <w:shd w:val="clear" w:color="auto" w:fill="auto"/>
            <w:noWrap w:val="0"/>
            <w:vAlign w:val="center"/>
          </w:tcPr>
          <w:p>
            <w:pPr>
              <w:rPr>
                <w:rFonts w:ascii="宋体" w:hAnsi="宋体" w:cs="宋体"/>
                <w:sz w:val="24"/>
              </w:rPr>
            </w:pPr>
            <w:r>
              <w:rPr>
                <w:rFonts w:hint="eastAsia" w:ascii="宋体" w:hAnsi="宋体" w:cs="宋体"/>
                <w:sz w:val="24"/>
              </w:rPr>
              <w:t>★2U机箱；国产CPU：</w:t>
            </w:r>
            <w:r>
              <w:rPr>
                <w:rFonts w:hint="eastAsia" w:ascii="宋体" w:hAnsi="宋体" w:cs="宋体"/>
                <w:kern w:val="0"/>
                <w:sz w:val="24"/>
              </w:rPr>
              <w:t>≥</w:t>
            </w:r>
            <w:r>
              <w:rPr>
                <w:rFonts w:hint="eastAsia" w:ascii="宋体" w:hAnsi="宋体" w:cs="宋体"/>
                <w:sz w:val="24"/>
              </w:rPr>
              <w:t>2.3GHz，</w:t>
            </w:r>
            <w:r>
              <w:rPr>
                <w:rFonts w:hint="eastAsia" w:ascii="宋体" w:hAnsi="宋体" w:cs="宋体"/>
                <w:kern w:val="0"/>
                <w:sz w:val="24"/>
              </w:rPr>
              <w:t>≥</w:t>
            </w:r>
            <w:r>
              <w:rPr>
                <w:rFonts w:hint="eastAsia" w:ascii="宋体" w:hAnsi="宋体" w:cs="宋体"/>
                <w:sz w:val="24"/>
              </w:rPr>
              <w:t>8核,内存：</w:t>
            </w:r>
            <w:r>
              <w:rPr>
                <w:rFonts w:hint="eastAsia" w:ascii="宋体" w:hAnsi="宋体" w:cs="宋体"/>
                <w:kern w:val="0"/>
                <w:sz w:val="24"/>
              </w:rPr>
              <w:t>≥</w:t>
            </w:r>
            <w:r>
              <w:rPr>
                <w:rFonts w:hint="eastAsia" w:ascii="宋体" w:hAnsi="宋体" w:cs="宋体"/>
                <w:sz w:val="24"/>
              </w:rPr>
              <w:t>16GB 硬盘：4TB+64GB；网络接口：1个管理口、1个HA口、4个千兆电口、4个千兆光口；系统吞吐量：900Mbps;冗余电源。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shd w:val="clear" w:color="auto" w:fill="auto"/>
            <w:noWrap w:val="0"/>
            <w:vAlign w:val="center"/>
          </w:tcPr>
          <w:p>
            <w:pPr>
              <w:jc w:val="center"/>
              <w:rPr>
                <w:rFonts w:ascii="宋体" w:hAnsi="宋体" w:cs="宋体"/>
                <w:sz w:val="24"/>
              </w:rPr>
            </w:pPr>
          </w:p>
        </w:tc>
        <w:tc>
          <w:tcPr>
            <w:tcW w:w="7796" w:type="dxa"/>
            <w:shd w:val="clear" w:color="auto" w:fill="auto"/>
            <w:noWrap w:val="0"/>
            <w:vAlign w:val="center"/>
          </w:tcPr>
          <w:p>
            <w:pPr>
              <w:rPr>
                <w:rFonts w:ascii="宋体" w:hAnsi="宋体" w:cs="宋体"/>
                <w:sz w:val="24"/>
              </w:rPr>
            </w:pPr>
            <w:r>
              <w:rPr>
                <w:rFonts w:hint="eastAsia" w:ascii="宋体" w:hAnsi="宋体" w:cs="宋体"/>
                <w:sz w:val="24"/>
              </w:rPr>
              <w:t>★</w:t>
            </w:r>
            <w:r>
              <w:rPr>
                <w:rFonts w:hint="eastAsia" w:ascii="宋体" w:hAnsi="宋体"/>
                <w:sz w:val="24"/>
              </w:rPr>
              <w:t>采用国产化芯片和国产化操作系统，</w:t>
            </w:r>
            <w:r>
              <w:rPr>
                <w:rFonts w:hint="eastAsia" w:ascii="宋体" w:hAnsi="宋体" w:cs="宋体"/>
                <w:sz w:val="24"/>
              </w:rPr>
              <w:t>技术自主可控，整机安全性能符合国家信息技术应用创新标准。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noWrap w:val="0"/>
            <w:vAlign w:val="center"/>
          </w:tcPr>
          <w:p>
            <w:pPr>
              <w:jc w:val="center"/>
              <w:rPr>
                <w:rFonts w:ascii="宋体" w:hAnsi="宋体" w:cs="宋体"/>
                <w:sz w:val="24"/>
              </w:rPr>
            </w:pPr>
            <w:r>
              <w:rPr>
                <w:rFonts w:hint="eastAsia" w:ascii="宋体" w:hAnsi="宋体" w:cs="宋体"/>
                <w:sz w:val="24"/>
              </w:rPr>
              <w:t>硬件架构</w:t>
            </w:r>
          </w:p>
        </w:tc>
        <w:tc>
          <w:tcPr>
            <w:tcW w:w="7796" w:type="dxa"/>
            <w:shd w:val="clear" w:color="auto" w:fill="auto"/>
            <w:noWrap w:val="0"/>
            <w:vAlign w:val="top"/>
          </w:tcPr>
          <w:p>
            <w:pPr>
              <w:rPr>
                <w:rFonts w:ascii="宋体" w:hAnsi="宋体" w:cs="宋体"/>
                <w:sz w:val="24"/>
              </w:rPr>
            </w:pPr>
            <w:r>
              <w:rPr>
                <w:rFonts w:hint="eastAsia" w:ascii="宋体" w:hAnsi="宋体" w:cs="宋体"/>
                <w:sz w:val="24"/>
              </w:rPr>
              <w:t>采用“2+1”模块结构设计，即包括外网主机模块、内网主机模块和隔离交换模块，内外端机为网络协议终点，彻底阻断各种网络协议；</w:t>
            </w:r>
          </w:p>
          <w:p>
            <w:pPr>
              <w:rPr>
                <w:rFonts w:ascii="宋体" w:hAnsi="宋体" w:cs="宋体"/>
                <w:sz w:val="24"/>
              </w:rPr>
            </w:pPr>
            <w:r>
              <w:rPr>
                <w:rFonts w:hint="eastAsia" w:ascii="宋体" w:hAnsi="宋体" w:cs="宋体"/>
                <w:sz w:val="24"/>
              </w:rPr>
              <w:t>产品包含文件交换、数据库同步、数据库访问、邮件访问、安全FTP、安全浏览、定制模块、工控模块、视频模块、双机负载、日志审计、告警中心、防病毒等全功能模块；支持双系统冗余架构，可通过WEB页面进行主备系统切换，当主系统发生故障或需要升级时可切换至备系统进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noWrap w:val="0"/>
            <w:vAlign w:val="center"/>
          </w:tcPr>
          <w:p>
            <w:pPr>
              <w:jc w:val="center"/>
              <w:rPr>
                <w:rFonts w:ascii="宋体" w:hAnsi="宋体" w:cs="宋体"/>
                <w:sz w:val="24"/>
              </w:rPr>
            </w:pPr>
            <w:r>
              <w:rPr>
                <w:rFonts w:hint="eastAsia" w:ascii="宋体" w:hAnsi="宋体" w:cs="宋体"/>
                <w:sz w:val="24"/>
              </w:rPr>
              <w:t>便捷运维</w:t>
            </w:r>
          </w:p>
        </w:tc>
        <w:tc>
          <w:tcPr>
            <w:tcW w:w="7796" w:type="dxa"/>
            <w:shd w:val="clear" w:color="auto" w:fill="auto"/>
            <w:noWrap w:val="0"/>
            <w:vAlign w:val="top"/>
          </w:tcPr>
          <w:p>
            <w:pPr>
              <w:rPr>
                <w:rFonts w:ascii="宋体" w:hAnsi="宋体" w:cs="宋体"/>
                <w:sz w:val="24"/>
              </w:rPr>
            </w:pPr>
            <w:r>
              <w:rPr>
                <w:rFonts w:hint="eastAsia" w:ascii="宋体" w:hAnsi="宋体" w:cs="宋体"/>
                <w:sz w:val="24"/>
              </w:rPr>
              <w:t>具备配置智能备份功能，可灵活设置备份周期，系统内置调试工具，包括但不限于：trace、connect、tcpdump、ping、arp。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noWrap w:val="0"/>
            <w:vAlign w:val="center"/>
          </w:tcPr>
          <w:p>
            <w:pPr>
              <w:jc w:val="center"/>
              <w:rPr>
                <w:rFonts w:ascii="宋体" w:hAnsi="宋体" w:cs="宋体"/>
                <w:sz w:val="24"/>
              </w:rPr>
            </w:pPr>
            <w:r>
              <w:rPr>
                <w:rFonts w:hint="eastAsia" w:ascii="宋体" w:hAnsi="宋体" w:cs="宋体"/>
                <w:sz w:val="24"/>
              </w:rPr>
              <w:t>文件交换</w:t>
            </w:r>
          </w:p>
        </w:tc>
        <w:tc>
          <w:tcPr>
            <w:tcW w:w="7796" w:type="dxa"/>
            <w:shd w:val="clear" w:color="auto" w:fill="auto"/>
            <w:noWrap w:val="0"/>
            <w:vAlign w:val="top"/>
          </w:tcPr>
          <w:p>
            <w:pPr>
              <w:rPr>
                <w:rFonts w:ascii="宋体" w:hAnsi="宋体" w:cs="宋体"/>
                <w:sz w:val="24"/>
              </w:rPr>
            </w:pPr>
            <w:r>
              <w:rPr>
                <w:rFonts w:hint="eastAsia" w:ascii="宋体" w:hAnsi="宋体" w:cs="宋体"/>
                <w:sz w:val="24"/>
              </w:rPr>
              <w:t>文件同步支持FTP、SFTP、SMB、NFS等协议，同时可设置服务器加密方式，服务器编码方式等，文件交换可灵活设置文件传输方向，同时工作模式支持源端移动、源端删除、增量更新、完全复制、延迟删除等多种模式。</w:t>
            </w:r>
          </w:p>
          <w:p>
            <w:pPr>
              <w:rPr>
                <w:rFonts w:ascii="宋体" w:hAnsi="宋体" w:cs="宋体"/>
                <w:sz w:val="24"/>
              </w:rPr>
            </w:pPr>
            <w:r>
              <w:rPr>
                <w:rFonts w:hint="eastAsia" w:ascii="宋体" w:hAnsi="宋体" w:cs="宋体"/>
                <w:sz w:val="24"/>
              </w:rPr>
              <w:t>具备文件断点续传，同时支持文件并发数量设置，大幅度提升文件传输性能，充分利用硬件资源。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noWrap w:val="0"/>
            <w:vAlign w:val="center"/>
          </w:tcPr>
          <w:p>
            <w:pPr>
              <w:jc w:val="center"/>
              <w:rPr>
                <w:rFonts w:ascii="宋体" w:hAnsi="宋体" w:cs="宋体"/>
                <w:sz w:val="24"/>
              </w:rPr>
            </w:pPr>
            <w:r>
              <w:rPr>
                <w:rFonts w:hint="eastAsia" w:ascii="宋体" w:hAnsi="宋体" w:cs="宋体"/>
                <w:sz w:val="24"/>
              </w:rPr>
              <w:t>数据库访问与同步</w:t>
            </w:r>
          </w:p>
        </w:tc>
        <w:tc>
          <w:tcPr>
            <w:tcW w:w="7796" w:type="dxa"/>
            <w:shd w:val="clear" w:color="auto" w:fill="auto"/>
            <w:noWrap w:val="0"/>
            <w:vAlign w:val="top"/>
          </w:tcPr>
          <w:p>
            <w:pPr>
              <w:rPr>
                <w:rFonts w:ascii="宋体" w:hAnsi="宋体" w:cs="宋体"/>
                <w:sz w:val="24"/>
              </w:rPr>
            </w:pPr>
            <w:r>
              <w:rPr>
                <w:rFonts w:hint="eastAsia" w:ascii="宋体" w:hAnsi="宋体" w:cs="宋体"/>
                <w:sz w:val="24"/>
              </w:rPr>
              <w:t>数据库同步支持无客户端方式同步，数据库同步可指定资源使用情况，按照任务优先级进行资源分配，支持数据库同步线程数配置，提升数据库同步性能；支持数据库中表字段过滤，可在策略中心进行策略设置，然后在表字段直接进行引用；</w:t>
            </w:r>
          </w:p>
          <w:p>
            <w:pPr>
              <w:pStyle w:val="1051"/>
              <w:spacing w:after="156"/>
            </w:pPr>
            <w:r>
              <w:rPr>
                <w:rFonts w:hint="eastAsia" w:ascii="宋体" w:hAnsi="宋体" w:cs="宋体"/>
                <w:sz w:val="24"/>
              </w:rPr>
              <w:t>支持MySQL、ORACLE、ORACLE_RAC、SQLServer、DB2、SYBASE、POSTGRESQL等常见数据库，支持神通、达梦、人大金仓、南大通用等国产数据库同步。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noWrap w:val="0"/>
            <w:vAlign w:val="center"/>
          </w:tcPr>
          <w:p>
            <w:pPr>
              <w:jc w:val="center"/>
              <w:rPr>
                <w:rFonts w:ascii="宋体" w:hAnsi="宋体" w:cs="宋体"/>
                <w:sz w:val="24"/>
              </w:rPr>
            </w:pPr>
            <w:r>
              <w:rPr>
                <w:rFonts w:hint="eastAsia" w:ascii="宋体" w:hAnsi="宋体" w:cs="宋体"/>
                <w:sz w:val="24"/>
              </w:rPr>
              <w:t>病毒、安全防护</w:t>
            </w:r>
          </w:p>
        </w:tc>
        <w:tc>
          <w:tcPr>
            <w:tcW w:w="7796" w:type="dxa"/>
            <w:shd w:val="clear" w:color="auto" w:fill="auto"/>
            <w:noWrap w:val="0"/>
            <w:vAlign w:val="top"/>
          </w:tcPr>
          <w:p>
            <w:pPr>
              <w:rPr>
                <w:rFonts w:ascii="宋体" w:hAnsi="宋体" w:cs="宋体"/>
                <w:sz w:val="24"/>
              </w:rPr>
            </w:pPr>
            <w:r>
              <w:rPr>
                <w:rFonts w:hint="eastAsia" w:ascii="宋体" w:hAnsi="宋体" w:cs="宋体"/>
                <w:sz w:val="24"/>
              </w:rPr>
              <w:t>支持云查杀模式，可联动云端文件鉴定中心，预判文件安全风险，防止恶意文件通过网闸进入内网；支持tcp flood、udp flood等攻击防护。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noWrap w:val="0"/>
            <w:vAlign w:val="center"/>
          </w:tcPr>
          <w:p>
            <w:pPr>
              <w:widowControl/>
              <w:jc w:val="left"/>
              <w:textAlignment w:val="center"/>
              <w:rPr>
                <w:rFonts w:ascii="宋体" w:hAnsi="宋体" w:cs="宋体"/>
                <w:sz w:val="24"/>
              </w:rPr>
            </w:pPr>
            <w:r>
              <w:rPr>
                <w:rFonts w:hint="eastAsia"/>
                <w:sz w:val="24"/>
              </w:rPr>
              <w:t>服务要求</w:t>
            </w:r>
          </w:p>
        </w:tc>
        <w:tc>
          <w:tcPr>
            <w:tcW w:w="7796"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kern w:val="0"/>
                <w:sz w:val="24"/>
              </w:rPr>
              <w:t>▲</w:t>
            </w:r>
            <w:r>
              <w:rPr>
                <w:sz w:val="24"/>
              </w:rPr>
              <w:t>本次提供</w:t>
            </w:r>
            <w:r>
              <w:rPr>
                <w:rFonts w:hint="eastAsia"/>
                <w:sz w:val="24"/>
              </w:rPr>
              <w:t>不少于</w:t>
            </w:r>
            <w:r>
              <w:rPr>
                <w:sz w:val="24"/>
              </w:rPr>
              <w:t>5年</w:t>
            </w:r>
            <w:r>
              <w:rPr>
                <w:rFonts w:hint="eastAsia"/>
                <w:sz w:val="24"/>
              </w:rPr>
              <w:t>原厂质保。</w:t>
            </w:r>
          </w:p>
        </w:tc>
      </w:tr>
    </w:tbl>
    <w:p>
      <w:pPr>
        <w:pStyle w:val="2"/>
        <w:numPr>
          <w:ilvl w:val="1"/>
          <w:numId w:val="9"/>
        </w:numPr>
        <w:spacing w:before="240" w:after="60" w:line="413" w:lineRule="auto"/>
      </w:pPr>
      <w:r>
        <w:rPr>
          <w:rFonts w:hint="eastAsia"/>
        </w:rPr>
        <w:t>零信任网关</w:t>
      </w:r>
    </w:p>
    <w:tbl>
      <w:tblPr>
        <w:tblStyle w:val="57"/>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trPr>
        <w:tc>
          <w:tcPr>
            <w:tcW w:w="1642" w:type="dxa"/>
            <w:tcBorders>
              <w:top w:val="single" w:color="auto" w:sz="4" w:space="0"/>
              <w:left w:val="single" w:color="auto" w:sz="4" w:space="0"/>
              <w:right w:val="single" w:color="auto" w:sz="4" w:space="0"/>
            </w:tcBorders>
            <w:shd w:val="clear" w:color="auto" w:fill="FFFFFF"/>
            <w:noWrap w:val="0"/>
            <w:vAlign w:val="top"/>
          </w:tcPr>
          <w:p>
            <w:pPr>
              <w:widowControl/>
              <w:spacing w:line="300" w:lineRule="auto"/>
              <w:jc w:val="center"/>
              <w:rPr>
                <w:rFonts w:ascii="宋体" w:hAnsi="宋体" w:cs="宋体"/>
                <w:b/>
                <w:bCs/>
                <w:kern w:val="0"/>
                <w:sz w:val="24"/>
              </w:rPr>
            </w:pPr>
            <w:r>
              <w:rPr>
                <w:rFonts w:hint="eastAsia" w:ascii="宋体" w:hAnsi="宋体" w:cs="宋体"/>
                <w:b/>
                <w:bCs/>
                <w:kern w:val="0"/>
                <w:sz w:val="24"/>
              </w:rPr>
              <w:t>技术指标</w:t>
            </w:r>
          </w:p>
        </w:tc>
        <w:tc>
          <w:tcPr>
            <w:tcW w:w="753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spacing w:line="300" w:lineRule="auto"/>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trPr>
        <w:tc>
          <w:tcPr>
            <w:tcW w:w="1642" w:type="dxa"/>
            <w:tcBorders>
              <w:top w:val="single" w:color="auto" w:sz="4" w:space="0"/>
              <w:left w:val="single" w:color="auto" w:sz="4" w:space="0"/>
              <w:right w:val="single" w:color="auto" w:sz="4" w:space="0"/>
            </w:tcBorders>
            <w:noWrap w:val="0"/>
            <w:vAlign w:val="center"/>
          </w:tcPr>
          <w:p>
            <w:pPr>
              <w:widowControl/>
              <w:spacing w:line="300" w:lineRule="auto"/>
              <w:rPr>
                <w:rFonts w:ascii="宋体" w:hAnsi="宋体" w:cs="宋体"/>
                <w:kern w:val="0"/>
                <w:sz w:val="24"/>
              </w:rPr>
            </w:pPr>
            <w:r>
              <w:rPr>
                <w:rFonts w:hint="eastAsia" w:ascii="宋体" w:hAnsi="宋体" w:cs="宋体"/>
                <w:sz w:val="24"/>
              </w:rPr>
              <w:t>★</w:t>
            </w:r>
            <w:r>
              <w:rPr>
                <w:rFonts w:hint="eastAsia" w:ascii="宋体" w:hAnsi="宋体" w:cs="宋体"/>
                <w:kern w:val="0"/>
                <w:sz w:val="24"/>
              </w:rPr>
              <w:t>硬件要求</w:t>
            </w:r>
          </w:p>
        </w:tc>
        <w:tc>
          <w:tcPr>
            <w:tcW w:w="753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auto"/>
              <w:rPr>
                <w:rFonts w:ascii="宋体" w:hAnsi="宋体" w:cs="宋体"/>
                <w:kern w:val="0"/>
                <w:sz w:val="24"/>
              </w:rPr>
            </w:pPr>
            <w:r>
              <w:rPr>
                <w:rFonts w:hint="eastAsia" w:ascii="宋体" w:hAnsi="宋体" w:cs="宋体"/>
                <w:kern w:val="0"/>
                <w:sz w:val="24"/>
              </w:rPr>
              <w:t>规格1U，单电源，内存≥16G，硬盘容量≥128G SSD，接口≥6千兆电口+2千兆光口。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trPr>
        <w:tc>
          <w:tcPr>
            <w:tcW w:w="1642" w:type="dxa"/>
            <w:tcBorders>
              <w:top w:val="single" w:color="auto" w:sz="4" w:space="0"/>
              <w:left w:val="single" w:color="auto" w:sz="4" w:space="0"/>
              <w:right w:val="single" w:color="auto" w:sz="4" w:space="0"/>
            </w:tcBorders>
            <w:noWrap w:val="0"/>
            <w:vAlign w:val="center"/>
          </w:tcPr>
          <w:p>
            <w:pPr>
              <w:widowControl/>
              <w:spacing w:line="300" w:lineRule="auto"/>
              <w:rPr>
                <w:rFonts w:ascii="宋体" w:hAnsi="宋体" w:cs="宋体"/>
                <w:kern w:val="0"/>
                <w:sz w:val="24"/>
              </w:rPr>
            </w:pPr>
            <w:r>
              <w:rPr>
                <w:rFonts w:hint="eastAsia" w:ascii="宋体" w:hAnsi="宋体" w:cs="宋体"/>
                <w:sz w:val="24"/>
              </w:rPr>
              <w:t>★</w:t>
            </w:r>
            <w:r>
              <w:rPr>
                <w:rFonts w:hint="eastAsia" w:ascii="宋体" w:hAnsi="宋体" w:cs="宋体"/>
                <w:kern w:val="0"/>
                <w:sz w:val="24"/>
              </w:rPr>
              <w:t>性能要求</w:t>
            </w:r>
          </w:p>
        </w:tc>
        <w:tc>
          <w:tcPr>
            <w:tcW w:w="753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auto"/>
              <w:rPr>
                <w:rFonts w:ascii="宋体" w:hAnsi="宋体" w:cs="宋体"/>
                <w:kern w:val="0"/>
                <w:sz w:val="24"/>
              </w:rPr>
            </w:pPr>
            <w:r>
              <w:rPr>
                <w:rFonts w:hint="eastAsia" w:ascii="宋体" w:hAnsi="宋体" w:cs="宋体"/>
                <w:kern w:val="0"/>
                <w:sz w:val="24"/>
              </w:rPr>
              <w:t>最大理论加密流量≥300Mbps，最大理论并发用户数≥400，最大理论https并发连接数≥15000，https新建连接数≥60个/秒，</w:t>
            </w:r>
            <w:r>
              <w:rPr>
                <w:rFonts w:ascii="宋体" w:hAnsi="宋体" w:cs="宋体"/>
                <w:sz w:val="24"/>
              </w:rPr>
              <w:t>本次配置</w:t>
            </w:r>
            <w:r>
              <w:rPr>
                <w:rFonts w:hint="eastAsia" w:ascii="宋体" w:hAnsi="宋体" w:cs="宋体"/>
                <w:kern w:val="0"/>
                <w:sz w:val="24"/>
              </w:rPr>
              <w:t>100个SSL授权。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trPr>
        <w:tc>
          <w:tcPr>
            <w:tcW w:w="1642" w:type="dxa"/>
            <w:tcBorders>
              <w:top w:val="single" w:color="auto" w:sz="4" w:space="0"/>
              <w:left w:val="single" w:color="auto" w:sz="4" w:space="0"/>
              <w:right w:val="single" w:color="auto" w:sz="4" w:space="0"/>
            </w:tcBorders>
            <w:noWrap w:val="0"/>
            <w:vAlign w:val="center"/>
          </w:tcPr>
          <w:p>
            <w:pPr>
              <w:widowControl/>
              <w:spacing w:line="300" w:lineRule="auto"/>
              <w:rPr>
                <w:rFonts w:ascii="宋体" w:hAnsi="宋体" w:cs="宋体"/>
                <w:kern w:val="0"/>
                <w:sz w:val="24"/>
              </w:rPr>
            </w:pPr>
            <w:r>
              <w:rPr>
                <w:rFonts w:hint="eastAsia" w:ascii="宋体" w:hAnsi="宋体" w:cs="宋体"/>
                <w:kern w:val="0"/>
                <w:sz w:val="24"/>
              </w:rPr>
              <w:t>设备部署</w:t>
            </w:r>
          </w:p>
        </w:tc>
        <w:tc>
          <w:tcPr>
            <w:tcW w:w="753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auto"/>
              <w:rPr>
                <w:rFonts w:ascii="宋体" w:hAnsi="宋体" w:cs="宋体"/>
                <w:kern w:val="0"/>
                <w:sz w:val="24"/>
              </w:rPr>
            </w:pPr>
            <w:r>
              <w:rPr>
                <w:rFonts w:hint="eastAsia" w:ascii="宋体" w:hAnsi="宋体" w:cs="宋体"/>
                <w:kern w:val="0"/>
                <w:sz w:val="24"/>
              </w:rPr>
              <w:t>支持IPV4/IPV6双栈网络IP配置，可自主选择配置LAN口或WAN口；支持本地集群部署，集群中的节点可承载工作负载功能，不需要依赖其它外置设备。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trPr>
        <w:tc>
          <w:tcPr>
            <w:tcW w:w="1642" w:type="dxa"/>
            <w:tcBorders>
              <w:left w:val="single" w:color="auto" w:sz="4" w:space="0"/>
              <w:right w:val="single" w:color="auto" w:sz="4" w:space="0"/>
            </w:tcBorders>
            <w:noWrap w:val="0"/>
            <w:vAlign w:val="center"/>
          </w:tcPr>
          <w:p>
            <w:pPr>
              <w:widowControl/>
              <w:spacing w:line="300" w:lineRule="auto"/>
              <w:rPr>
                <w:rFonts w:ascii="宋体" w:hAnsi="宋体" w:cs="宋体"/>
                <w:kern w:val="0"/>
                <w:sz w:val="24"/>
              </w:rPr>
            </w:pPr>
            <w:r>
              <w:rPr>
                <w:rFonts w:hint="eastAsia" w:ascii="宋体" w:hAnsi="宋体" w:cs="宋体"/>
                <w:kern w:val="0"/>
                <w:sz w:val="24"/>
                <w:lang w:val="zh-TW" w:eastAsia="zh-TW"/>
              </w:rPr>
              <w:t>准入</w:t>
            </w:r>
            <w:r>
              <w:rPr>
                <w:rFonts w:hint="eastAsia" w:ascii="宋体" w:hAnsi="宋体" w:cs="宋体"/>
                <w:kern w:val="0"/>
                <w:sz w:val="24"/>
              </w:rPr>
              <w:t>认证</w:t>
            </w:r>
          </w:p>
        </w:tc>
        <w:tc>
          <w:tcPr>
            <w:tcW w:w="75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ascii="宋体" w:hAnsi="宋体" w:cs="宋体"/>
                <w:kern w:val="0"/>
                <w:sz w:val="24"/>
                <w:lang w:val="zh-TW"/>
              </w:rPr>
            </w:pPr>
            <w:r>
              <w:rPr>
                <w:rFonts w:hint="eastAsia" w:ascii="宋体" w:hAnsi="宋体" w:cs="宋体"/>
                <w:kern w:val="0"/>
                <w:sz w:val="24"/>
                <w:lang w:val="zh-TW" w:eastAsia="zh-TW"/>
              </w:rPr>
              <w:t>支持在登录上线后，持续、动态检测终端环境安全，不符合后注销用户或锁定用户，便于或时定位并响应终端威胁</w:t>
            </w:r>
            <w:r>
              <w:rPr>
                <w:rFonts w:hint="eastAsia" w:ascii="宋体" w:hAnsi="宋体" w:cs="宋体"/>
                <w:kern w:val="0"/>
                <w:sz w:val="24"/>
                <w:lang w:val="zh-TW"/>
              </w:rPr>
              <w:t>。</w:t>
            </w:r>
          </w:p>
          <w:p>
            <w:pPr>
              <w:pStyle w:val="1051"/>
              <w:spacing w:after="156"/>
              <w:rPr>
                <w:lang w:val="zh-TW"/>
              </w:rPr>
            </w:pPr>
            <w:r>
              <w:rPr>
                <w:rFonts w:hint="eastAsia" w:ascii="宋体" w:hAnsi="宋体" w:cs="宋体"/>
                <w:kern w:val="0"/>
                <w:sz w:val="24"/>
                <w:lang w:val="zh-TW" w:eastAsia="zh-TW"/>
              </w:rPr>
              <w:t>支持开启在授信终端环境下/域控环境下/特定网络区域下（即可信的终端或网络环境下），免二次认证</w:t>
            </w:r>
            <w:r>
              <w:rPr>
                <w:rFonts w:hint="eastAsia" w:ascii="宋体" w:hAnsi="宋体" w:cs="宋体"/>
                <w:kern w:val="0"/>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trPr>
        <w:tc>
          <w:tcPr>
            <w:tcW w:w="1642" w:type="dxa"/>
            <w:tcBorders>
              <w:left w:val="single" w:color="auto" w:sz="4" w:space="0"/>
              <w:right w:val="single" w:color="auto" w:sz="4" w:space="0"/>
            </w:tcBorders>
            <w:noWrap w:val="0"/>
            <w:vAlign w:val="center"/>
          </w:tcPr>
          <w:p>
            <w:pPr>
              <w:widowControl/>
              <w:spacing w:line="300" w:lineRule="auto"/>
              <w:rPr>
                <w:rFonts w:ascii="宋体" w:hAnsi="宋体" w:cs="宋体"/>
                <w:kern w:val="0"/>
                <w:sz w:val="24"/>
              </w:rPr>
            </w:pPr>
            <w:r>
              <w:rPr>
                <w:rFonts w:hint="eastAsia" w:ascii="宋体" w:hAnsi="宋体" w:cs="宋体"/>
                <w:kern w:val="0"/>
                <w:sz w:val="24"/>
                <w:lang w:val="zh-TW" w:eastAsia="zh-TW"/>
              </w:rPr>
              <w:t>运维</w:t>
            </w:r>
            <w:r>
              <w:rPr>
                <w:rFonts w:hint="eastAsia" w:ascii="宋体" w:hAnsi="宋体" w:cs="宋体"/>
                <w:kern w:val="0"/>
                <w:sz w:val="24"/>
              </w:rPr>
              <w:t>管理</w:t>
            </w:r>
          </w:p>
        </w:tc>
        <w:tc>
          <w:tcPr>
            <w:tcW w:w="75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ascii="宋体" w:hAnsi="宋体" w:cs="宋体"/>
                <w:kern w:val="0"/>
                <w:sz w:val="24"/>
                <w:lang w:val="zh-TW"/>
              </w:rPr>
            </w:pPr>
            <w:r>
              <w:rPr>
                <w:rFonts w:hint="eastAsia" w:ascii="宋体" w:hAnsi="宋体" w:cs="宋体"/>
                <w:kern w:val="0"/>
                <w:sz w:val="24"/>
              </w:rPr>
              <w:t>支持</w:t>
            </w:r>
            <w:r>
              <w:rPr>
                <w:rFonts w:hint="eastAsia" w:ascii="宋体" w:hAnsi="宋体" w:cs="宋体"/>
                <w:kern w:val="0"/>
                <w:sz w:val="24"/>
                <w:lang w:val="zh-TW" w:eastAsia="zh-TW"/>
              </w:rPr>
              <w:t>客户端自助进行日志收集，支持管理员在控制台远程获取在线终端的日志</w:t>
            </w:r>
            <w:r>
              <w:rPr>
                <w:rFonts w:hint="eastAsia" w:ascii="宋体" w:hAnsi="宋体" w:cs="宋体"/>
                <w:kern w:val="0"/>
                <w:sz w:val="24"/>
                <w:lang w:val="zh-TW"/>
              </w:rPr>
              <w:t>，</w:t>
            </w:r>
            <w:r>
              <w:rPr>
                <w:rFonts w:hint="eastAsia" w:ascii="宋体" w:hAnsi="宋体" w:cs="宋体"/>
                <w:kern w:val="0"/>
                <w:sz w:val="24"/>
                <w:lang w:val="zh-TW" w:eastAsia="zh-TW"/>
              </w:rPr>
              <w:t>方便运维排查</w:t>
            </w:r>
            <w:r>
              <w:rPr>
                <w:rFonts w:hint="eastAsia" w:ascii="宋体" w:hAnsi="宋体" w:cs="宋体"/>
                <w:kern w:val="0"/>
                <w:sz w:val="24"/>
                <w:lang w:val="zh-TW"/>
              </w:rPr>
              <w:t>。</w:t>
            </w:r>
          </w:p>
          <w:p>
            <w:pPr>
              <w:widowControl/>
              <w:spacing w:line="300" w:lineRule="auto"/>
              <w:rPr>
                <w:rFonts w:ascii="宋体" w:hAnsi="宋体" w:cs="宋体"/>
                <w:kern w:val="0"/>
                <w:sz w:val="24"/>
              </w:rPr>
            </w:pPr>
            <w:r>
              <w:rPr>
                <w:rFonts w:hint="eastAsia" w:ascii="宋体" w:hAnsi="宋体" w:cs="宋体"/>
                <w:kern w:val="0"/>
                <w:sz w:val="24"/>
                <w:lang w:val="zh-TW" w:eastAsia="zh-TW"/>
              </w:rPr>
              <w:t>支持终端环境诊断排查，提供终端诊断工具，支持对当前终端的基本环境进行一键扫描，便于用户自行排查修复终端问题，减少IT运维人员工作。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trPr>
        <w:tc>
          <w:tcPr>
            <w:tcW w:w="1642" w:type="dxa"/>
            <w:tcBorders>
              <w:left w:val="single" w:color="auto" w:sz="4" w:space="0"/>
              <w:right w:val="single" w:color="auto" w:sz="4" w:space="0"/>
            </w:tcBorders>
            <w:noWrap w:val="0"/>
            <w:vAlign w:val="center"/>
          </w:tcPr>
          <w:p>
            <w:pPr>
              <w:widowControl/>
              <w:spacing w:line="300" w:lineRule="auto"/>
              <w:rPr>
                <w:rFonts w:ascii="宋体" w:hAnsi="宋体" w:cs="宋体"/>
                <w:kern w:val="0"/>
                <w:sz w:val="24"/>
              </w:rPr>
            </w:pPr>
            <w:r>
              <w:rPr>
                <w:rFonts w:hint="eastAsia" w:ascii="宋体" w:hAnsi="宋体" w:cs="宋体"/>
                <w:kern w:val="0"/>
                <w:sz w:val="24"/>
                <w:lang w:val="zh-TW" w:eastAsia="zh-TW"/>
              </w:rPr>
              <w:t>钉钉认证对接</w:t>
            </w:r>
          </w:p>
        </w:tc>
        <w:tc>
          <w:tcPr>
            <w:tcW w:w="75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ascii="宋体" w:hAnsi="宋体" w:cs="宋体"/>
                <w:kern w:val="0"/>
                <w:sz w:val="24"/>
              </w:rPr>
            </w:pPr>
            <w:r>
              <w:rPr>
                <w:rFonts w:hint="eastAsia" w:ascii="宋体" w:hAnsi="宋体" w:cs="宋体"/>
                <w:kern w:val="0"/>
                <w:sz w:val="24"/>
                <w:lang w:val="zh-TW" w:eastAsia="zh-TW"/>
              </w:rPr>
              <w:t>支持对接钉钉APP扫码登录PC端aTrust</w:t>
            </w:r>
            <w:r>
              <w:rPr>
                <w:rFonts w:hint="eastAsia" w:ascii="宋体" w:hAnsi="宋体" w:cs="宋体"/>
                <w:kern w:val="0"/>
                <w:sz w:val="24"/>
                <w:lang w:val="zh-TW"/>
              </w:rPr>
              <w:t>；</w:t>
            </w:r>
            <w:r>
              <w:rPr>
                <w:rFonts w:hint="eastAsia" w:ascii="宋体" w:hAnsi="宋体" w:cs="宋体"/>
                <w:kern w:val="0"/>
                <w:sz w:val="24"/>
                <w:lang w:val="zh-TW" w:eastAsia="zh-TW"/>
              </w:rPr>
              <w:t>支持与外部用户管理服务器进行对接</w:t>
            </w:r>
            <w:r>
              <w:rPr>
                <w:rFonts w:hint="eastAsia" w:ascii="宋体" w:hAnsi="宋体" w:cs="宋体"/>
                <w:kern w:val="0"/>
                <w:sz w:val="24"/>
                <w:lang w:val="zh-TW"/>
              </w:rPr>
              <w:t>；</w:t>
            </w:r>
            <w:r>
              <w:rPr>
                <w:rFonts w:hint="eastAsia" w:ascii="宋体" w:hAnsi="宋体" w:cs="宋体"/>
                <w:kern w:val="0"/>
                <w:sz w:val="24"/>
                <w:lang w:val="zh-TW" w:eastAsia="zh-TW"/>
              </w:rPr>
              <w:t>支持钉钉APP或PC客户端，通过H5微应用单点登录。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9" w:hRule="atLeast"/>
        </w:trPr>
        <w:tc>
          <w:tcPr>
            <w:tcW w:w="1642" w:type="dxa"/>
            <w:tcBorders>
              <w:left w:val="single" w:color="auto" w:sz="4" w:space="0"/>
              <w:right w:val="single" w:color="auto" w:sz="4" w:space="0"/>
            </w:tcBorders>
            <w:noWrap w:val="0"/>
            <w:vAlign w:val="center"/>
          </w:tcPr>
          <w:p>
            <w:pPr>
              <w:widowControl/>
              <w:spacing w:line="300" w:lineRule="auto"/>
              <w:rPr>
                <w:rFonts w:ascii="宋体" w:hAnsi="宋体" w:cs="宋体"/>
                <w:kern w:val="0"/>
                <w:sz w:val="24"/>
              </w:rPr>
            </w:pPr>
            <w:r>
              <w:rPr>
                <w:rFonts w:hint="eastAsia" w:ascii="宋体" w:hAnsi="宋体" w:cs="宋体"/>
                <w:kern w:val="0"/>
                <w:sz w:val="24"/>
              </w:rPr>
              <w:t>可信应用</w:t>
            </w:r>
          </w:p>
        </w:tc>
        <w:tc>
          <w:tcPr>
            <w:tcW w:w="75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ascii="宋体" w:hAnsi="宋体" w:cs="宋体"/>
                <w:kern w:val="0"/>
                <w:sz w:val="24"/>
                <w:lang w:val="zh-TW" w:eastAsia="zh-TW"/>
              </w:rPr>
            </w:pPr>
            <w:r>
              <w:rPr>
                <w:rFonts w:hint="eastAsia" w:ascii="宋体" w:hAnsi="宋体" w:cs="宋体"/>
                <w:kern w:val="0"/>
                <w:sz w:val="24"/>
                <w:lang w:val="zh-TW" w:eastAsia="zh-TW"/>
              </w:rPr>
              <w:t>支持配置动态访问规则</w:t>
            </w:r>
            <w:r>
              <w:rPr>
                <w:rFonts w:hint="eastAsia" w:ascii="宋体" w:hAnsi="宋体" w:cs="宋体"/>
                <w:kern w:val="0"/>
                <w:sz w:val="24"/>
                <w:lang w:val="zh-TW"/>
              </w:rPr>
              <w:t>；</w:t>
            </w:r>
            <w:r>
              <w:rPr>
                <w:rFonts w:hint="eastAsia" w:ascii="宋体" w:hAnsi="宋体" w:cs="宋体"/>
                <w:kern w:val="0"/>
                <w:sz w:val="24"/>
                <w:lang w:val="zh-TW" w:eastAsia="zh-TW"/>
              </w:rPr>
              <w:t>零信任系统内置常见攻击工具进程黑名单，管理员可基于内置的名单进行增减，以方便快速定位排查问题终端</w:t>
            </w:r>
            <w:r>
              <w:rPr>
                <w:rFonts w:hint="eastAsia" w:ascii="宋体" w:hAnsi="宋体" w:cs="宋体"/>
                <w:kern w:val="0"/>
                <w:sz w:val="24"/>
                <w:lang w:val="zh-TW"/>
              </w:rPr>
              <w:t>，</w:t>
            </w:r>
            <w:r>
              <w:rPr>
                <w:rFonts w:hint="eastAsia" w:ascii="宋体" w:hAnsi="宋体" w:cs="宋体"/>
                <w:kern w:val="0"/>
                <w:sz w:val="24"/>
                <w:lang w:val="zh-TW" w:eastAsia="zh-TW"/>
              </w:rPr>
              <w:t>有效防止木马入侵系统后攻击服务器</w:t>
            </w:r>
            <w:r>
              <w:rPr>
                <w:rFonts w:hint="eastAsia" w:ascii="宋体" w:hAnsi="宋体" w:cs="宋体"/>
                <w:kern w:val="0"/>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9" w:hRule="atLeast"/>
        </w:trPr>
        <w:tc>
          <w:tcPr>
            <w:tcW w:w="1642" w:type="dxa"/>
            <w:vMerge w:val="restart"/>
            <w:tcBorders>
              <w:left w:val="single" w:color="auto" w:sz="4" w:space="0"/>
              <w:right w:val="single" w:color="auto" w:sz="4" w:space="0"/>
            </w:tcBorders>
            <w:noWrap w:val="0"/>
            <w:vAlign w:val="center"/>
          </w:tcPr>
          <w:p>
            <w:pPr>
              <w:widowControl/>
              <w:spacing w:line="300" w:lineRule="auto"/>
              <w:rPr>
                <w:rFonts w:ascii="宋体" w:hAnsi="宋体" w:cs="宋体"/>
                <w:kern w:val="0"/>
                <w:sz w:val="24"/>
              </w:rPr>
            </w:pPr>
            <w:r>
              <w:rPr>
                <w:rFonts w:hint="eastAsia" w:ascii="宋体" w:hAnsi="宋体" w:cs="宋体"/>
                <w:kern w:val="0"/>
                <w:sz w:val="24"/>
              </w:rPr>
              <w:t>其他要求</w:t>
            </w:r>
          </w:p>
        </w:tc>
        <w:tc>
          <w:tcPr>
            <w:tcW w:w="753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auto"/>
              <w:rPr>
                <w:rFonts w:ascii="宋体" w:hAnsi="宋体" w:cs="宋体"/>
                <w:kern w:val="0"/>
                <w:sz w:val="24"/>
              </w:rPr>
            </w:pPr>
            <w:r>
              <w:rPr>
                <w:rFonts w:hint="eastAsia" w:ascii="宋体" w:hAnsi="宋体" w:cs="宋体"/>
                <w:kern w:val="0"/>
                <w:sz w:val="24"/>
              </w:rPr>
              <w:t>为保证零信任产品的架构规范性，应提供中国信通院认证的零信任SDP设备Zero Trust Ready证书。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9" w:hRule="atLeast"/>
        </w:trPr>
        <w:tc>
          <w:tcPr>
            <w:tcW w:w="1642" w:type="dxa"/>
            <w:vMerge w:val="continue"/>
            <w:tcBorders>
              <w:left w:val="single" w:color="auto" w:sz="4" w:space="0"/>
              <w:right w:val="single" w:color="auto" w:sz="4" w:space="0"/>
            </w:tcBorders>
            <w:noWrap w:val="0"/>
            <w:vAlign w:val="center"/>
          </w:tcPr>
          <w:p>
            <w:pPr>
              <w:widowControl/>
              <w:spacing w:line="300" w:lineRule="auto"/>
              <w:rPr>
                <w:rFonts w:ascii="宋体" w:hAnsi="宋体" w:cs="宋体"/>
                <w:kern w:val="0"/>
                <w:sz w:val="24"/>
              </w:rPr>
            </w:pPr>
          </w:p>
        </w:tc>
        <w:tc>
          <w:tcPr>
            <w:tcW w:w="75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ascii="宋体" w:hAnsi="宋体" w:cs="宋体"/>
                <w:kern w:val="0"/>
                <w:sz w:val="24"/>
              </w:rPr>
            </w:pPr>
            <w:r>
              <w:rPr>
                <w:rFonts w:hint="eastAsia" w:ascii="宋体" w:hAnsi="宋体" w:cs="宋体"/>
                <w:kern w:val="0"/>
                <w:sz w:val="24"/>
              </w:rPr>
              <w:t>▲本次提供不于5年原厂质保</w:t>
            </w:r>
          </w:p>
        </w:tc>
      </w:tr>
    </w:tbl>
    <w:p>
      <w:pPr>
        <w:pStyle w:val="2"/>
        <w:numPr>
          <w:ilvl w:val="1"/>
          <w:numId w:val="9"/>
        </w:numPr>
        <w:spacing w:before="240" w:after="60" w:line="413" w:lineRule="auto"/>
      </w:pPr>
      <w:r>
        <w:rPr>
          <w:rFonts w:hint="eastAsia"/>
        </w:rPr>
        <w:t>态势感知平台</w:t>
      </w:r>
    </w:p>
    <w:tbl>
      <w:tblPr>
        <w:tblStyle w:val="5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top"/>
          </w:tcPr>
          <w:p>
            <w:pPr>
              <w:jc w:val="center"/>
              <w:rPr>
                <w:rFonts w:ascii="宋体" w:hAnsi="宋体" w:cs="宋体"/>
                <w:b/>
                <w:sz w:val="24"/>
              </w:rPr>
            </w:pPr>
            <w:r>
              <w:rPr>
                <w:rFonts w:hint="eastAsia" w:ascii="宋体" w:hAnsi="宋体" w:cs="宋体"/>
                <w:b/>
                <w:sz w:val="24"/>
              </w:rPr>
              <w:t>指标项</w:t>
            </w:r>
          </w:p>
        </w:tc>
        <w:tc>
          <w:tcPr>
            <w:tcW w:w="7607" w:type="dxa"/>
            <w:shd w:val="clear" w:color="auto" w:fill="auto"/>
            <w:noWrap w:val="0"/>
            <w:vAlign w:val="top"/>
          </w:tcPr>
          <w:p>
            <w:pPr>
              <w:jc w:val="center"/>
              <w:rPr>
                <w:rFonts w:ascii="宋体" w:hAnsi="宋体" w:cs="宋体"/>
                <w:b/>
                <w:sz w:val="24"/>
              </w:rPr>
            </w:pPr>
            <w:r>
              <w:rPr>
                <w:rFonts w:hint="eastAsia" w:ascii="宋体" w:hAnsi="宋体" w:cs="宋体"/>
                <w:b/>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性能要求</w:t>
            </w:r>
          </w:p>
        </w:tc>
        <w:tc>
          <w:tcPr>
            <w:tcW w:w="7607" w:type="dxa"/>
            <w:shd w:val="clear" w:color="auto" w:fill="auto"/>
            <w:noWrap w:val="0"/>
            <w:vAlign w:val="top"/>
          </w:tcPr>
          <w:p>
            <w:pPr>
              <w:rPr>
                <w:rFonts w:ascii="宋体" w:hAnsi="宋体" w:cs="宋体"/>
                <w:sz w:val="24"/>
              </w:rPr>
            </w:pPr>
            <w:r>
              <w:rPr>
                <w:rFonts w:hint="eastAsia" w:ascii="宋体" w:hAnsi="宋体" w:cs="宋体"/>
                <w:sz w:val="24"/>
              </w:rPr>
              <w:t>★2U标准上架设备；含滑轨一台。4*GE管理电口；3*USB3.0接口；冗余电源；内存</w:t>
            </w:r>
            <w:r>
              <w:rPr>
                <w:rFonts w:hint="eastAsia" w:ascii="宋体" w:hAnsi="宋体" w:cs="宋体"/>
                <w:bCs/>
                <w:sz w:val="24"/>
              </w:rPr>
              <w:t>≥</w:t>
            </w:r>
            <w:r>
              <w:rPr>
                <w:rFonts w:hint="eastAsia" w:ascii="宋体" w:hAnsi="宋体" w:cs="宋体"/>
                <w:sz w:val="24"/>
              </w:rPr>
              <w:t>128G；硬盘：960G SSD + 8*4TB SATA。含5年威胁情报更新授权与规则升级；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告警分析</w:t>
            </w:r>
          </w:p>
        </w:tc>
        <w:tc>
          <w:tcPr>
            <w:tcW w:w="7607" w:type="dxa"/>
            <w:shd w:val="clear" w:color="auto" w:fill="auto"/>
            <w:noWrap w:val="0"/>
            <w:vAlign w:val="top"/>
          </w:tcPr>
          <w:p>
            <w:pPr>
              <w:rPr>
                <w:rFonts w:ascii="宋体" w:hAnsi="宋体" w:cs="宋体"/>
                <w:sz w:val="24"/>
              </w:rPr>
            </w:pPr>
            <w:r>
              <w:rPr>
                <w:rFonts w:hint="eastAsia" w:ascii="宋体" w:hAnsi="宋体" w:cs="宋体"/>
                <w:sz w:val="24"/>
              </w:rPr>
              <w:t>支持告警行为分析、</w:t>
            </w:r>
            <w:r>
              <w:rPr>
                <w:rFonts w:hint="eastAsia" w:ascii="宋体" w:hAnsi="宋体" w:cs="宋体"/>
              </w:rPr>
              <w:t>受害资产分析、攻击者分析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威胁分析</w:t>
            </w:r>
          </w:p>
        </w:tc>
        <w:tc>
          <w:tcPr>
            <w:tcW w:w="7607" w:type="dxa"/>
            <w:shd w:val="clear" w:color="auto" w:fill="auto"/>
            <w:noWrap w:val="0"/>
            <w:vAlign w:val="top"/>
          </w:tcPr>
          <w:p>
            <w:pPr>
              <w:rPr>
                <w:rFonts w:ascii="宋体" w:hAnsi="宋体" w:cs="宋体"/>
                <w:sz w:val="24"/>
              </w:rPr>
            </w:pPr>
            <w:r>
              <w:rPr>
                <w:rFonts w:hint="eastAsia" w:ascii="宋体" w:hAnsi="宋体" w:cs="宋体"/>
                <w:sz w:val="24"/>
              </w:rPr>
              <w:t>支持从威胁情报、应用安全、系统安全和设备安全的业务场景维度对告警进行攻击带外分析</w:t>
            </w:r>
          </w:p>
          <w:p>
            <w:pPr>
              <w:pStyle w:val="1051"/>
              <w:spacing w:after="156"/>
              <w:rPr>
                <w:rFonts w:ascii="宋体" w:hAnsi="宋体" w:cs="宋体"/>
                <w:color w:val="auto"/>
                <w:sz w:val="24"/>
              </w:rPr>
            </w:pPr>
            <w:r>
              <w:rPr>
                <w:rFonts w:hint="eastAsia" w:ascii="宋体" w:hAnsi="宋体" w:cs="宋体"/>
                <w:color w:val="auto"/>
                <w:sz w:val="24"/>
              </w:rPr>
              <w:t>威胁情报维度分析包括：情报详情、影响资产列表、资产的行为（行为包含：DNS解析、TCP流量、UDP流量、WEB访问、文件传输）。</w:t>
            </w:r>
          </w:p>
          <w:p>
            <w:pPr>
              <w:rPr>
                <w:rFonts w:ascii="宋体" w:hAnsi="宋体" w:cs="宋体"/>
                <w:sz w:val="24"/>
              </w:rPr>
            </w:pPr>
            <w:r>
              <w:rPr>
                <w:rFonts w:hint="eastAsia" w:ascii="宋体" w:hAnsi="宋体" w:cs="宋体"/>
                <w:sz w:val="24"/>
              </w:rPr>
              <w:t>应用安全的细分维度包括：WEB安全、数据库安全、中间件安全</w:t>
            </w:r>
          </w:p>
          <w:p>
            <w:pPr>
              <w:pStyle w:val="1051"/>
              <w:spacing w:after="156"/>
            </w:pPr>
            <w:r>
              <w:rPr>
                <w:rFonts w:hint="eastAsia" w:ascii="宋体" w:hAnsi="宋体" w:cs="宋体"/>
                <w:color w:val="auto"/>
                <w:sz w:val="24"/>
              </w:rPr>
              <w:t>系统安全的细分维度包括：暴力破解、弱口令、未授权访问、挖矿行为设备安全。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数据库行为分析</w:t>
            </w:r>
          </w:p>
        </w:tc>
        <w:tc>
          <w:tcPr>
            <w:tcW w:w="7607" w:type="dxa"/>
            <w:shd w:val="clear" w:color="auto" w:fill="auto"/>
            <w:noWrap w:val="0"/>
            <w:vAlign w:val="top"/>
          </w:tcPr>
          <w:p>
            <w:pPr>
              <w:rPr>
                <w:rFonts w:ascii="宋体" w:hAnsi="宋体" w:cs="宋体"/>
                <w:sz w:val="24"/>
              </w:rPr>
            </w:pPr>
            <w:r>
              <w:rPr>
                <w:rFonts w:hint="eastAsia" w:ascii="宋体" w:hAnsi="宋体" w:cs="宋体"/>
                <w:sz w:val="24"/>
              </w:rPr>
              <w:t>支持对mysql、mssql、oracle、sybase等常见数据库高危操作行为分析，其能自定义规则。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威胁狩猎分析</w:t>
            </w:r>
          </w:p>
        </w:tc>
        <w:tc>
          <w:tcPr>
            <w:tcW w:w="7607" w:type="dxa"/>
            <w:shd w:val="clear" w:color="auto" w:fill="auto"/>
            <w:noWrap w:val="0"/>
            <w:vAlign w:val="top"/>
          </w:tcPr>
          <w:p>
            <w:pPr>
              <w:rPr>
                <w:rFonts w:ascii="宋体" w:hAnsi="宋体" w:cs="宋体"/>
                <w:sz w:val="24"/>
              </w:rPr>
            </w:pPr>
            <w:r>
              <w:rPr>
                <w:rFonts w:hint="eastAsia" w:ascii="宋体" w:hAnsi="宋体" w:cs="宋体"/>
                <w:sz w:val="24"/>
              </w:rPr>
              <w:t>包括但不限于攻击溯源、失陷主机分析、暴力破解分析、弱口令分析等。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日志检索</w:t>
            </w:r>
          </w:p>
        </w:tc>
        <w:tc>
          <w:tcPr>
            <w:tcW w:w="7607" w:type="dxa"/>
            <w:shd w:val="clear" w:color="auto" w:fill="auto"/>
            <w:noWrap w:val="0"/>
            <w:vAlign w:val="top"/>
          </w:tcPr>
          <w:p>
            <w:pPr>
              <w:rPr>
                <w:rFonts w:ascii="宋体" w:hAnsi="宋体" w:cs="宋体"/>
                <w:sz w:val="24"/>
              </w:rPr>
            </w:pPr>
            <w:r>
              <w:rPr>
                <w:rFonts w:hint="eastAsia" w:ascii="宋体" w:hAnsi="宋体" w:cs="宋体"/>
                <w:sz w:val="24"/>
              </w:rPr>
              <w:t>支持告警日志检索，支持检索异常报文、域名解析、文件传输、FTP控制通道、LDAP行为、登录动作、邮件行为、MQ流量、网络阻断、数据库操作、SSL加密协商、TCP流量、Telnet行为、UDP流量、WEB访问等网络流量日志，并可基于多重字段组合进行日志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终端联动</w:t>
            </w:r>
          </w:p>
        </w:tc>
        <w:tc>
          <w:tcPr>
            <w:tcW w:w="7607" w:type="dxa"/>
            <w:shd w:val="clear" w:color="auto" w:fill="auto"/>
            <w:noWrap w:val="0"/>
            <w:vAlign w:val="top"/>
          </w:tcPr>
          <w:p>
            <w:pPr>
              <w:rPr>
                <w:rFonts w:ascii="宋体" w:hAnsi="宋体" w:cs="宋体"/>
                <w:sz w:val="24"/>
              </w:rPr>
            </w:pPr>
            <w:r>
              <w:rPr>
                <w:rFonts w:hint="eastAsia" w:ascii="宋体" w:hAnsi="宋体" w:cs="宋体"/>
                <w:sz w:val="24"/>
              </w:rPr>
              <w:t>支持与安全管理系统进行联动，发现威胁事件后支持在终端上进行追踪溯源发现相应的恶意进程并对其进行查杀。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防火墙联动</w:t>
            </w:r>
          </w:p>
        </w:tc>
        <w:tc>
          <w:tcPr>
            <w:tcW w:w="7607" w:type="dxa"/>
            <w:shd w:val="clear" w:color="auto" w:fill="auto"/>
            <w:noWrap w:val="0"/>
            <w:vAlign w:val="top"/>
          </w:tcPr>
          <w:p>
            <w:pPr>
              <w:rPr>
                <w:rFonts w:ascii="宋体" w:hAnsi="宋体" w:cs="宋体"/>
                <w:sz w:val="24"/>
              </w:rPr>
            </w:pPr>
            <w:r>
              <w:rPr>
                <w:rFonts w:hint="eastAsia" w:ascii="宋体" w:hAnsi="宋体" w:cs="宋体"/>
                <w:sz w:val="24"/>
              </w:rPr>
              <w:t>支持与防火墙进行联动，发现威胁事件后支持对攻击IP、恶意域名和受害资产的流量进行阻断（将策略下发给防火墙，由防火墙执行阻断）。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资质要求</w:t>
            </w:r>
          </w:p>
        </w:tc>
        <w:tc>
          <w:tcPr>
            <w:tcW w:w="7607" w:type="dxa"/>
            <w:shd w:val="clear" w:color="auto" w:fill="auto"/>
            <w:noWrap w:val="0"/>
            <w:vAlign w:val="top"/>
          </w:tcPr>
          <w:p>
            <w:pPr>
              <w:rPr>
                <w:rFonts w:ascii="宋体" w:hAnsi="宋体" w:cs="宋体"/>
                <w:sz w:val="24"/>
              </w:rPr>
            </w:pPr>
            <w:r>
              <w:rPr>
                <w:rFonts w:hint="eastAsia" w:ascii="宋体" w:hAnsi="宋体" w:cs="宋体"/>
                <w:sz w:val="24"/>
              </w:rPr>
              <w:t>《计算机信息系统安全专用产品销售许可证》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服务要求</w:t>
            </w:r>
          </w:p>
        </w:tc>
        <w:tc>
          <w:tcPr>
            <w:tcW w:w="7607"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kern w:val="0"/>
                <w:sz w:val="24"/>
              </w:rPr>
              <w:t>▲</w:t>
            </w:r>
            <w:r>
              <w:rPr>
                <w:rFonts w:hint="eastAsia" w:ascii="宋体" w:hAnsi="宋体" w:cs="宋体"/>
                <w:sz w:val="24"/>
              </w:rPr>
              <w:t>本次提供不少于5年原厂质保。</w:t>
            </w:r>
          </w:p>
        </w:tc>
      </w:tr>
    </w:tbl>
    <w:p/>
    <w:p/>
    <w:p>
      <w:pPr>
        <w:pStyle w:val="2"/>
        <w:numPr>
          <w:ilvl w:val="1"/>
          <w:numId w:val="9"/>
        </w:numPr>
        <w:spacing w:before="240" w:after="60" w:line="413" w:lineRule="auto"/>
      </w:pPr>
      <w:r>
        <w:rPr>
          <w:rFonts w:hint="eastAsia"/>
        </w:rPr>
        <w:t>潜伏威胁探针（内网）</w:t>
      </w:r>
    </w:p>
    <w:tbl>
      <w:tblPr>
        <w:tblStyle w:val="5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top"/>
          </w:tcPr>
          <w:p>
            <w:pPr>
              <w:rPr>
                <w:rFonts w:ascii="宋体" w:hAnsi="宋体" w:cs="宋体"/>
                <w:b/>
                <w:bCs/>
                <w:sz w:val="24"/>
              </w:rPr>
            </w:pPr>
            <w:r>
              <w:rPr>
                <w:rFonts w:hint="eastAsia" w:ascii="宋体" w:hAnsi="宋体" w:cs="宋体"/>
                <w:b/>
                <w:bCs/>
                <w:sz w:val="24"/>
              </w:rPr>
              <w:t>指标项</w:t>
            </w:r>
          </w:p>
        </w:tc>
        <w:tc>
          <w:tcPr>
            <w:tcW w:w="7607" w:type="dxa"/>
            <w:shd w:val="clear" w:color="auto" w:fill="auto"/>
            <w:noWrap w:val="0"/>
            <w:vAlign w:val="top"/>
          </w:tcPr>
          <w:p>
            <w:pPr>
              <w:ind w:firstLine="2409" w:firstLineChars="1000"/>
              <w:rPr>
                <w:rFonts w:ascii="宋体" w:hAnsi="宋体" w:cs="宋体"/>
                <w:b/>
                <w:bCs/>
                <w:sz w:val="24"/>
              </w:rPr>
            </w:pPr>
            <w:r>
              <w:rPr>
                <w:rFonts w:hint="eastAsia" w:ascii="宋体" w:hAnsi="宋体" w:cs="宋体"/>
                <w:b/>
                <w:bCs/>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73" w:type="dxa"/>
            <w:vMerge w:val="restart"/>
            <w:shd w:val="clear" w:color="auto" w:fill="auto"/>
            <w:noWrap w:val="0"/>
            <w:vAlign w:val="center"/>
          </w:tcPr>
          <w:p>
            <w:pPr>
              <w:rPr>
                <w:rFonts w:ascii="宋体" w:hAnsi="宋体" w:cs="宋体"/>
                <w:sz w:val="24"/>
              </w:rPr>
            </w:pPr>
            <w:r>
              <w:rPr>
                <w:rFonts w:hint="eastAsia" w:ascii="宋体" w:hAnsi="宋体" w:cs="宋体"/>
                <w:sz w:val="24"/>
              </w:rPr>
              <w:t>性能要求</w:t>
            </w:r>
          </w:p>
        </w:tc>
        <w:tc>
          <w:tcPr>
            <w:tcW w:w="7607" w:type="dxa"/>
            <w:shd w:val="clear" w:color="auto" w:fill="auto"/>
            <w:noWrap w:val="0"/>
            <w:vAlign w:val="center"/>
          </w:tcPr>
          <w:p>
            <w:pPr>
              <w:rPr>
                <w:rFonts w:ascii="宋体" w:hAnsi="宋体" w:cs="宋体"/>
                <w:sz w:val="24"/>
              </w:rPr>
            </w:pPr>
            <w:r>
              <w:rPr>
                <w:rFonts w:hint="eastAsia" w:ascii="宋体" w:hAnsi="宋体" w:cs="宋体"/>
                <w:sz w:val="24"/>
              </w:rPr>
              <w:t>2U标准，4*GE管理电口；2*USB3.0接口；1个 Console接口；冗余电源；内存128G；6千兆网口，</w:t>
            </w:r>
            <w:r>
              <w:rPr>
                <w:rFonts w:hint="eastAsia" w:ascii="宋体" w:hAnsi="宋体" w:cs="宋体"/>
                <w:kern w:val="0"/>
                <w:sz w:val="24"/>
              </w:rPr>
              <w:t>≥</w:t>
            </w:r>
            <w:r>
              <w:rPr>
                <w:rFonts w:hint="eastAsia" w:ascii="宋体" w:hAnsi="宋体" w:cs="宋体"/>
                <w:sz w:val="24"/>
              </w:rPr>
              <w:t>960GB SSD 固态硬盘，单电源吞吐量1Gbps；支持旁路部署，可同时接入多个镜像口，每个镜像口相互独立不影响。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73" w:type="dxa"/>
            <w:vMerge w:val="continue"/>
            <w:shd w:val="clear" w:color="auto" w:fill="auto"/>
            <w:noWrap w:val="0"/>
            <w:vAlign w:val="center"/>
          </w:tcPr>
          <w:p>
            <w:pPr>
              <w:rPr>
                <w:rFonts w:ascii="宋体" w:hAnsi="宋体" w:cs="宋体"/>
                <w:sz w:val="24"/>
              </w:rPr>
            </w:pPr>
          </w:p>
        </w:tc>
        <w:tc>
          <w:tcPr>
            <w:tcW w:w="7607" w:type="dxa"/>
            <w:shd w:val="clear" w:color="auto" w:fill="auto"/>
            <w:noWrap w:val="0"/>
            <w:vAlign w:val="center"/>
          </w:tcPr>
          <w:p>
            <w:pPr>
              <w:rPr>
                <w:rFonts w:ascii="宋体" w:hAnsi="宋体" w:cs="宋体"/>
                <w:sz w:val="24"/>
              </w:rPr>
            </w:pPr>
            <w:r>
              <w:rPr>
                <w:rFonts w:hint="eastAsia" w:ascii="宋体" w:hAnsi="宋体" w:cs="宋体"/>
                <w:sz w:val="24"/>
              </w:rPr>
              <w:t>系统软件一套，功能包括网页漏洞利用检测、webshell上传检测、网络攻击检测、威胁情报检测功能，提供离线pcap包导入检测、IP地址旁路阻断、URL旁路阻断、弱口令检测、HTTPS威胁检测和SSL解密功能。提供针对恶意扫描、Flood攻击、IP碎片攻击、ARPSpoof、PingSweep等检测策略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rPr>
                <w:rFonts w:ascii="宋体" w:hAnsi="宋体" w:cs="宋体"/>
                <w:sz w:val="24"/>
              </w:rPr>
            </w:pPr>
            <w:r>
              <w:rPr>
                <w:rFonts w:hint="eastAsia" w:ascii="宋体" w:hAnsi="宋体" w:cs="宋体"/>
                <w:sz w:val="24"/>
              </w:rPr>
              <w:t>网络协议</w:t>
            </w:r>
          </w:p>
        </w:tc>
        <w:tc>
          <w:tcPr>
            <w:tcW w:w="7607" w:type="dxa"/>
            <w:shd w:val="clear" w:color="auto" w:fill="auto"/>
            <w:noWrap w:val="0"/>
            <w:vAlign w:val="center"/>
          </w:tcPr>
          <w:p>
            <w:pPr>
              <w:rPr>
                <w:rFonts w:ascii="宋体" w:hAnsi="宋体" w:cs="宋体"/>
                <w:sz w:val="24"/>
              </w:rPr>
            </w:pPr>
            <w:r>
              <w:rPr>
                <w:rFonts w:hint="eastAsia" w:ascii="宋体" w:hAnsi="宋体" w:cs="宋体"/>
                <w:sz w:val="24"/>
              </w:rPr>
              <w:t>支持常见协议识别并还原网络流量，用于取证分析、威胁发现，支持：http、dns、smtp、pop3、imap、webmail、DB2、Oracle、MySQL、sql server、Sybase、SMB、FTP、SNMP、telnet、nfs、ICMP、SSL、SSH等。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rPr>
                <w:rFonts w:ascii="宋体" w:hAnsi="宋体" w:cs="宋体"/>
                <w:sz w:val="24"/>
              </w:rPr>
            </w:pPr>
            <w:r>
              <w:rPr>
                <w:rFonts w:hint="eastAsia" w:ascii="宋体" w:hAnsi="宋体" w:cs="宋体"/>
                <w:sz w:val="24"/>
              </w:rPr>
              <w:t>会话流量</w:t>
            </w:r>
          </w:p>
        </w:tc>
        <w:tc>
          <w:tcPr>
            <w:tcW w:w="7607" w:type="dxa"/>
            <w:shd w:val="clear" w:color="auto" w:fill="auto"/>
            <w:noWrap w:val="0"/>
            <w:vAlign w:val="center"/>
          </w:tcPr>
          <w:p>
            <w:pPr>
              <w:rPr>
                <w:rFonts w:ascii="宋体" w:hAnsi="宋体" w:cs="宋体"/>
                <w:sz w:val="24"/>
              </w:rPr>
            </w:pPr>
            <w:r>
              <w:rPr>
                <w:rFonts w:hint="eastAsia" w:ascii="宋体" w:hAnsi="宋体" w:cs="宋体"/>
                <w:sz w:val="24"/>
              </w:rPr>
              <w:t>支持TCP/UDP会话记录、异常流量会话记录、web访问记录、域名解析、SQL访问记录、邮件行为、登录情况、文件传输、FTP控制通道、SSL加密协商、telnet行为、IM通信等行为描述。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rPr>
                <w:rFonts w:ascii="宋体" w:hAnsi="宋体" w:cs="宋体"/>
                <w:sz w:val="24"/>
              </w:rPr>
            </w:pPr>
            <w:r>
              <w:rPr>
                <w:rFonts w:hint="eastAsia" w:ascii="宋体" w:hAnsi="宋体" w:cs="宋体"/>
                <w:sz w:val="24"/>
              </w:rPr>
              <w:t>流量抓取和分析</w:t>
            </w:r>
          </w:p>
        </w:tc>
        <w:tc>
          <w:tcPr>
            <w:tcW w:w="7607" w:type="dxa"/>
            <w:shd w:val="clear" w:color="auto" w:fill="auto"/>
            <w:noWrap w:val="0"/>
            <w:vAlign w:val="top"/>
          </w:tcPr>
          <w:p>
            <w:pPr>
              <w:rPr>
                <w:rFonts w:ascii="宋体" w:hAnsi="宋体" w:cs="宋体"/>
                <w:sz w:val="24"/>
              </w:rPr>
            </w:pPr>
            <w:bookmarkStart w:id="8" w:name="_Hlk535070662"/>
            <w:r>
              <w:rPr>
                <w:rFonts w:hint="eastAsia" w:ascii="宋体" w:hAnsi="宋体" w:cs="宋体"/>
                <w:sz w:val="24"/>
              </w:rPr>
              <w:t>支持自定义协议和端口，满足特殊场景下的流量抓取</w:t>
            </w:r>
            <w:bookmarkEnd w:id="8"/>
          </w:p>
          <w:p>
            <w:pPr>
              <w:rPr>
                <w:rFonts w:ascii="宋体" w:hAnsi="宋体" w:cs="宋体"/>
                <w:sz w:val="24"/>
              </w:rPr>
            </w:pPr>
            <w:r>
              <w:rPr>
                <w:rFonts w:hint="eastAsia" w:ascii="宋体" w:hAnsi="宋体" w:cs="宋体"/>
                <w:sz w:val="24"/>
              </w:rPr>
              <w:t>支持对HTTP、FTP_DATA、SMB、SMTP、POP3、WEBMAIL、IMAP、TFTP、QQ、NFS等类型协议的流量进行文件还原；</w:t>
            </w:r>
          </w:p>
          <w:p>
            <w:pPr>
              <w:rPr>
                <w:rFonts w:ascii="宋体" w:hAnsi="宋体" w:cs="宋体"/>
                <w:sz w:val="24"/>
              </w:rPr>
            </w:pPr>
            <w:r>
              <w:rPr>
                <w:rFonts w:hint="eastAsia" w:ascii="宋体" w:hAnsi="宋体" w:cs="宋体"/>
                <w:sz w:val="24"/>
              </w:rPr>
              <w:t>支持通过设备对流量进行抓包分析，可定义抓包流量双向或单向、数量、IP地址、端口或协议类型；</w:t>
            </w:r>
            <w:bookmarkStart w:id="9" w:name="_Hlk535070935"/>
          </w:p>
          <w:p>
            <w:pPr>
              <w:rPr>
                <w:rFonts w:ascii="宋体" w:hAnsi="宋体" w:cs="宋体"/>
                <w:sz w:val="24"/>
              </w:rPr>
            </w:pPr>
            <w:r>
              <w:rPr>
                <w:rFonts w:hint="eastAsia" w:ascii="宋体" w:hAnsi="宋体" w:cs="宋体"/>
                <w:sz w:val="24"/>
              </w:rPr>
              <w:t>支持基于网络请求的语义分析检测，提升对未知威胁检测能力</w:t>
            </w:r>
            <w:bookmarkEnd w:id="9"/>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rPr>
                <w:rFonts w:ascii="宋体" w:hAnsi="宋体" w:cs="宋体"/>
                <w:sz w:val="24"/>
              </w:rPr>
            </w:pPr>
            <w:r>
              <w:rPr>
                <w:rFonts w:hint="eastAsia" w:ascii="宋体" w:hAnsi="宋体" w:cs="宋体"/>
                <w:sz w:val="24"/>
              </w:rPr>
              <w:t>系统配置</w:t>
            </w:r>
          </w:p>
        </w:tc>
        <w:tc>
          <w:tcPr>
            <w:tcW w:w="7607" w:type="dxa"/>
            <w:shd w:val="clear" w:color="auto" w:fill="auto"/>
            <w:noWrap w:val="0"/>
            <w:vAlign w:val="top"/>
          </w:tcPr>
          <w:p>
            <w:pPr>
              <w:rPr>
                <w:rFonts w:ascii="宋体" w:hAnsi="宋体" w:cs="宋体"/>
                <w:sz w:val="24"/>
              </w:rPr>
            </w:pPr>
            <w:r>
              <w:rPr>
                <w:rFonts w:hint="eastAsia" w:ascii="宋体" w:hAnsi="宋体" w:cs="宋体"/>
                <w:sz w:val="24"/>
              </w:rPr>
              <w:t>持威胁告警信息发送给syslog服务器，支持将威胁告警、威胁等级、网络日志、攻击结果、威胁类型等日志传输给KA**A、威胁分析平台；</w:t>
            </w:r>
          </w:p>
          <w:p>
            <w:pPr>
              <w:pStyle w:val="1051"/>
              <w:spacing w:after="156"/>
            </w:pPr>
            <w:r>
              <w:rPr>
                <w:rFonts w:hint="eastAsia" w:ascii="宋体" w:hAnsi="宋体" w:cs="宋体"/>
                <w:sz w:val="24"/>
              </w:rPr>
              <w:t>支持与集中管理平台进行联动，统一进行情报、规则的升级。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rPr>
                <w:rFonts w:ascii="宋体" w:hAnsi="宋体" w:cs="宋体"/>
                <w:sz w:val="24"/>
              </w:rPr>
            </w:pPr>
            <w:r>
              <w:rPr>
                <w:rFonts w:hint="eastAsia" w:ascii="宋体" w:hAnsi="宋体" w:cs="宋体"/>
                <w:sz w:val="24"/>
              </w:rPr>
              <w:t>终端联动</w:t>
            </w:r>
          </w:p>
        </w:tc>
        <w:tc>
          <w:tcPr>
            <w:tcW w:w="7607" w:type="dxa"/>
            <w:shd w:val="clear" w:color="auto" w:fill="auto"/>
            <w:noWrap w:val="0"/>
            <w:vAlign w:val="top"/>
          </w:tcPr>
          <w:p>
            <w:pPr>
              <w:rPr>
                <w:rFonts w:ascii="宋体" w:hAnsi="宋体" w:cs="宋体"/>
                <w:sz w:val="24"/>
              </w:rPr>
            </w:pPr>
            <w:r>
              <w:rPr>
                <w:rFonts w:hint="eastAsia" w:ascii="宋体" w:hAnsi="宋体" w:cs="宋体"/>
                <w:sz w:val="24"/>
              </w:rPr>
              <w:t>支持与本次投标的终端安全管理系统进行联动，实现发现威胁事件后支持在终端上进行追踪溯源发现相应的恶意进程并对其进行查杀。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rPr>
                <w:rFonts w:ascii="宋体" w:hAnsi="宋体" w:cs="宋体"/>
                <w:sz w:val="24"/>
              </w:rPr>
            </w:pPr>
            <w:r>
              <w:rPr>
                <w:rFonts w:hint="eastAsia" w:ascii="宋体" w:hAnsi="宋体" w:cs="宋体"/>
                <w:sz w:val="24"/>
              </w:rPr>
              <w:t>资质要求</w:t>
            </w:r>
          </w:p>
        </w:tc>
        <w:tc>
          <w:tcPr>
            <w:tcW w:w="7607" w:type="dxa"/>
            <w:shd w:val="clear" w:color="auto" w:fill="auto"/>
            <w:noWrap w:val="0"/>
            <w:vAlign w:val="top"/>
          </w:tcPr>
          <w:p>
            <w:pPr>
              <w:rPr>
                <w:rFonts w:ascii="宋体" w:hAnsi="宋体" w:cs="宋体"/>
                <w:sz w:val="24"/>
              </w:rPr>
            </w:pPr>
            <w:r>
              <w:rPr>
                <w:rFonts w:hint="eastAsia" w:ascii="宋体" w:hAnsi="宋体" w:cs="宋体"/>
                <w:sz w:val="24"/>
              </w:rPr>
              <w:t>《计算机信息系统安全专用产品销售许可证》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服务要求</w:t>
            </w:r>
          </w:p>
        </w:tc>
        <w:tc>
          <w:tcPr>
            <w:tcW w:w="7607"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kern w:val="0"/>
                <w:sz w:val="24"/>
              </w:rPr>
              <w:t>▲</w:t>
            </w:r>
            <w:r>
              <w:rPr>
                <w:rFonts w:hint="eastAsia" w:ascii="宋体" w:hAnsi="宋体" w:cs="宋体"/>
                <w:sz w:val="24"/>
              </w:rPr>
              <w:t>本次提供不少于5年原厂质保（含不少于5年威胁情报更新授权与规则升级）。</w:t>
            </w:r>
          </w:p>
        </w:tc>
      </w:tr>
    </w:tbl>
    <w:p>
      <w:pPr>
        <w:pStyle w:val="2"/>
        <w:numPr>
          <w:ilvl w:val="1"/>
          <w:numId w:val="9"/>
        </w:numPr>
        <w:spacing w:before="240" w:after="60" w:line="413" w:lineRule="auto"/>
      </w:pPr>
      <w:r>
        <w:rPr>
          <w:rFonts w:hint="eastAsia"/>
        </w:rPr>
        <w:t>潜伏威胁探针（外网）</w:t>
      </w:r>
    </w:p>
    <w:tbl>
      <w:tblPr>
        <w:tblStyle w:val="57"/>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noWrap w:val="0"/>
            <w:vAlign w:val="top"/>
          </w:tcPr>
          <w:p>
            <w:pPr>
              <w:jc w:val="center"/>
              <w:rPr>
                <w:rFonts w:ascii="宋体" w:hAnsi="宋体" w:cs="宋体"/>
                <w:b/>
                <w:sz w:val="24"/>
              </w:rPr>
            </w:pPr>
            <w:r>
              <w:rPr>
                <w:rFonts w:hint="eastAsia" w:ascii="宋体" w:hAnsi="宋体" w:cs="宋体"/>
                <w:b/>
                <w:sz w:val="24"/>
              </w:rPr>
              <w:t>指标项</w:t>
            </w:r>
          </w:p>
        </w:tc>
        <w:tc>
          <w:tcPr>
            <w:tcW w:w="7511" w:type="dxa"/>
            <w:shd w:val="clear" w:color="auto" w:fill="auto"/>
            <w:noWrap w:val="0"/>
            <w:vAlign w:val="top"/>
          </w:tcPr>
          <w:p>
            <w:pPr>
              <w:jc w:val="center"/>
              <w:rPr>
                <w:rFonts w:ascii="宋体" w:hAnsi="宋体" w:cs="宋体"/>
                <w:b/>
                <w:sz w:val="24"/>
              </w:rPr>
            </w:pPr>
            <w:r>
              <w:rPr>
                <w:rFonts w:hint="eastAsia" w:ascii="宋体" w:hAnsi="宋体" w:cs="宋体"/>
                <w:b/>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升级服务</w:t>
            </w:r>
            <w:r>
              <w:rPr>
                <w:rFonts w:hint="eastAsia" w:ascii="宋体" w:hAnsi="宋体"/>
              </w:rPr>
              <w:t>（或提供同2.35项的潜伏威胁探针）</w:t>
            </w:r>
          </w:p>
        </w:tc>
        <w:tc>
          <w:tcPr>
            <w:tcW w:w="7511" w:type="dxa"/>
            <w:shd w:val="clear" w:color="auto" w:fill="auto"/>
            <w:noWrap w:val="0"/>
            <w:vAlign w:val="top"/>
          </w:tcPr>
          <w:p>
            <w:pPr>
              <w:rPr>
                <w:rFonts w:ascii="宋体" w:hAnsi="宋体" w:cs="宋体"/>
                <w:sz w:val="24"/>
              </w:rPr>
            </w:pPr>
            <w:r>
              <w:rPr>
                <w:rFonts w:hint="eastAsia" w:ascii="宋体" w:hAnsi="宋体" w:cs="宋体"/>
                <w:sz w:val="24"/>
              </w:rPr>
              <w:t>医院现有设备潜伏威胁探针，升级态势感知系统的入侵检测、网站漏洞利用、webshell上传和威胁情报等模块升级，与新购的态势分析平台进行对接，内外网探针接分析平台统一管理，升级后硬件和软件保修与本项目服务期限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noWrap w:val="0"/>
            <w:vAlign w:val="center"/>
          </w:tcPr>
          <w:p>
            <w:pPr>
              <w:pStyle w:val="1055"/>
              <w:widowControl w:val="0"/>
              <w:spacing w:before="48" w:after="48"/>
              <w:ind w:firstLine="0" w:firstLineChars="0"/>
              <w:jc w:val="center"/>
              <w:rPr>
                <w:rFonts w:ascii="宋体" w:hAnsi="宋体" w:cs="宋体"/>
                <w:szCs w:val="24"/>
              </w:rPr>
            </w:pPr>
            <w:r>
              <w:rPr>
                <w:rFonts w:hint="eastAsia" w:ascii="宋体" w:hAnsi="宋体" w:cs="宋体"/>
                <w:szCs w:val="24"/>
              </w:rPr>
              <w:t>服务保修</w:t>
            </w:r>
          </w:p>
        </w:tc>
        <w:tc>
          <w:tcPr>
            <w:tcW w:w="7511" w:type="dxa"/>
            <w:shd w:val="clear" w:color="auto" w:fill="auto"/>
            <w:noWrap w:val="0"/>
            <w:vAlign w:val="top"/>
          </w:tcPr>
          <w:p>
            <w:pPr>
              <w:rPr>
                <w:rFonts w:ascii="宋体" w:hAnsi="宋体" w:cs="宋体"/>
                <w:sz w:val="24"/>
              </w:rPr>
            </w:pPr>
            <w:r>
              <w:rPr>
                <w:rFonts w:hint="eastAsia" w:ascii="宋体" w:hAnsi="宋体" w:cs="宋体"/>
                <w:kern w:val="0"/>
                <w:sz w:val="24"/>
              </w:rPr>
              <w:t>▲不少于</w:t>
            </w:r>
            <w:r>
              <w:rPr>
                <w:rFonts w:hint="eastAsia" w:ascii="宋体" w:hAnsi="宋体" w:cs="宋体"/>
                <w:sz w:val="24"/>
              </w:rPr>
              <w:t>5年原厂质保（含不少于5年威胁情报更新授权与规则升级）。</w:t>
            </w:r>
          </w:p>
        </w:tc>
      </w:tr>
    </w:tbl>
    <w:p/>
    <w:p>
      <w:pPr>
        <w:pStyle w:val="2"/>
        <w:numPr>
          <w:ilvl w:val="1"/>
          <w:numId w:val="9"/>
        </w:numPr>
        <w:spacing w:before="240" w:after="60" w:line="413" w:lineRule="auto"/>
      </w:pPr>
      <w:r>
        <w:rPr>
          <w:rFonts w:hint="eastAsia"/>
        </w:rPr>
        <w:t>日志审计</w:t>
      </w:r>
    </w:p>
    <w:tbl>
      <w:tblPr>
        <w:tblStyle w:val="5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91" w:type="dxa"/>
            <w:shd w:val="clear" w:color="auto" w:fill="auto"/>
            <w:noWrap w:val="0"/>
            <w:vAlign w:val="top"/>
          </w:tcPr>
          <w:p>
            <w:pPr>
              <w:jc w:val="center"/>
              <w:rPr>
                <w:rFonts w:ascii="宋体" w:hAnsi="宋体" w:cs="宋体"/>
                <w:b/>
                <w:sz w:val="24"/>
              </w:rPr>
            </w:pPr>
            <w:r>
              <w:rPr>
                <w:rFonts w:hint="eastAsia" w:ascii="宋体" w:hAnsi="宋体" w:cs="宋体"/>
                <w:b/>
                <w:sz w:val="24"/>
              </w:rPr>
              <w:t>指标项</w:t>
            </w:r>
          </w:p>
        </w:tc>
        <w:tc>
          <w:tcPr>
            <w:tcW w:w="7889" w:type="dxa"/>
            <w:shd w:val="clear" w:color="auto" w:fill="auto"/>
            <w:noWrap w:val="0"/>
            <w:vAlign w:val="top"/>
          </w:tcPr>
          <w:p>
            <w:pPr>
              <w:jc w:val="center"/>
              <w:rPr>
                <w:rFonts w:ascii="宋体" w:hAnsi="宋体" w:cs="宋体"/>
                <w:b/>
                <w:sz w:val="24"/>
              </w:rPr>
            </w:pPr>
            <w:r>
              <w:rPr>
                <w:rFonts w:hint="eastAsia" w:ascii="宋体" w:hAnsi="宋体" w:cs="宋体"/>
                <w:b/>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91" w:type="dxa"/>
            <w:vMerge w:val="restart"/>
            <w:shd w:val="clear" w:color="auto" w:fill="auto"/>
            <w:noWrap w:val="0"/>
            <w:vAlign w:val="top"/>
          </w:tcPr>
          <w:p>
            <w:pPr>
              <w:rPr>
                <w:rFonts w:ascii="宋体" w:hAnsi="宋体" w:cs="宋体"/>
                <w:sz w:val="24"/>
              </w:rPr>
            </w:pPr>
          </w:p>
          <w:p>
            <w:pPr>
              <w:rPr>
                <w:rFonts w:ascii="宋体" w:hAnsi="宋体" w:cs="宋体"/>
                <w:sz w:val="24"/>
              </w:rPr>
            </w:pPr>
            <w:r>
              <w:rPr>
                <w:rFonts w:hint="eastAsia" w:ascii="宋体" w:hAnsi="宋体" w:cs="宋体"/>
                <w:sz w:val="24"/>
              </w:rPr>
              <w:t>性能要求</w:t>
            </w:r>
          </w:p>
        </w:tc>
        <w:tc>
          <w:tcPr>
            <w:tcW w:w="7889" w:type="dxa"/>
            <w:shd w:val="clear" w:color="auto" w:fill="auto"/>
            <w:noWrap w:val="0"/>
            <w:vAlign w:val="top"/>
          </w:tcPr>
          <w:p>
            <w:pPr>
              <w:rPr>
                <w:rFonts w:ascii="宋体" w:hAnsi="宋体" w:cs="宋体"/>
                <w:sz w:val="24"/>
              </w:rPr>
            </w:pPr>
            <w:r>
              <w:rPr>
                <w:rFonts w:hint="eastAsia" w:ascii="宋体" w:hAnsi="宋体" w:cs="宋体"/>
                <w:sz w:val="24"/>
              </w:rPr>
              <w:t>★2U机箱，国产CPU内存</w:t>
            </w:r>
            <w:r>
              <w:rPr>
                <w:rFonts w:hint="eastAsia" w:ascii="宋体" w:hAnsi="宋体" w:cs="宋体"/>
                <w:bCs/>
                <w:sz w:val="24"/>
              </w:rPr>
              <w:t>≥</w:t>
            </w:r>
            <w:r>
              <w:rPr>
                <w:rFonts w:hint="eastAsia" w:ascii="宋体" w:hAnsi="宋体" w:cs="宋体"/>
                <w:sz w:val="24"/>
              </w:rPr>
              <w:t>16GB，硬盘</w:t>
            </w:r>
            <w:r>
              <w:rPr>
                <w:rFonts w:hint="eastAsia" w:ascii="宋体" w:hAnsi="宋体" w:cs="宋体"/>
                <w:bCs/>
                <w:sz w:val="24"/>
              </w:rPr>
              <w:t>≥</w:t>
            </w:r>
            <w:r>
              <w:rPr>
                <w:rFonts w:hint="eastAsia" w:ascii="宋体" w:hAnsi="宋体" w:cs="宋体"/>
                <w:sz w:val="24"/>
              </w:rPr>
              <w:t>8TB，网络接口：1个管理口、</w:t>
            </w:r>
            <w:r>
              <w:rPr>
                <w:rFonts w:hint="eastAsia" w:ascii="宋体" w:hAnsi="宋体" w:cs="宋体"/>
                <w:bCs/>
                <w:sz w:val="24"/>
              </w:rPr>
              <w:t>≥</w:t>
            </w:r>
            <w:r>
              <w:rPr>
                <w:rFonts w:hint="eastAsia" w:ascii="宋体" w:hAnsi="宋体" w:cs="宋体"/>
                <w:sz w:val="24"/>
              </w:rPr>
              <w:t>4个千兆电口，</w:t>
            </w:r>
            <w:r>
              <w:rPr>
                <w:rFonts w:hint="eastAsia" w:ascii="宋体" w:hAnsi="宋体" w:cs="宋体"/>
                <w:bCs/>
                <w:sz w:val="24"/>
              </w:rPr>
              <w:t>≥</w:t>
            </w:r>
            <w:r>
              <w:rPr>
                <w:rFonts w:hint="eastAsia" w:ascii="宋体" w:hAnsi="宋体" w:cs="宋体"/>
                <w:sz w:val="24"/>
              </w:rPr>
              <w:t>4个千兆光口，</w:t>
            </w:r>
            <w:r>
              <w:rPr>
                <w:rFonts w:hint="eastAsia" w:ascii="宋体" w:hAnsi="宋体" w:cs="宋体"/>
                <w:bCs/>
                <w:sz w:val="24"/>
              </w:rPr>
              <w:t>≥</w:t>
            </w:r>
            <w:r>
              <w:rPr>
                <w:rFonts w:hint="eastAsia" w:ascii="宋体" w:hAnsi="宋体" w:cs="宋体"/>
                <w:sz w:val="24"/>
              </w:rPr>
              <w:t>300个点授权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91" w:type="dxa"/>
            <w:vMerge w:val="continue"/>
            <w:shd w:val="clear" w:color="auto" w:fill="auto"/>
            <w:noWrap w:val="0"/>
            <w:vAlign w:val="top"/>
          </w:tcPr>
          <w:p>
            <w:pPr>
              <w:rPr>
                <w:rFonts w:ascii="宋体" w:hAnsi="宋体" w:cs="宋体"/>
                <w:sz w:val="24"/>
              </w:rPr>
            </w:pPr>
          </w:p>
        </w:tc>
        <w:tc>
          <w:tcPr>
            <w:tcW w:w="7889" w:type="dxa"/>
            <w:shd w:val="clear" w:color="auto" w:fill="auto"/>
            <w:noWrap w:val="0"/>
            <w:vAlign w:val="top"/>
          </w:tcPr>
          <w:p>
            <w:pPr>
              <w:rPr>
                <w:rFonts w:ascii="宋体" w:hAnsi="宋体" w:cs="宋体"/>
                <w:sz w:val="24"/>
              </w:rPr>
            </w:pPr>
            <w:r>
              <w:rPr>
                <w:rFonts w:hint="eastAsia" w:ascii="宋体" w:hAnsi="宋体" w:cs="宋体"/>
                <w:sz w:val="24"/>
              </w:rPr>
              <w:t>★</w:t>
            </w:r>
            <w:r>
              <w:rPr>
                <w:rFonts w:hint="eastAsia" w:ascii="宋体" w:hAnsi="宋体"/>
                <w:sz w:val="24"/>
              </w:rPr>
              <w:t>采用国产化芯片和国产化操作系统，</w:t>
            </w:r>
            <w:r>
              <w:rPr>
                <w:rFonts w:hint="eastAsia" w:ascii="宋体" w:hAnsi="宋体" w:cs="宋体"/>
                <w:sz w:val="24"/>
              </w:rPr>
              <w:t>技术自主可控，整机安全性能符合国家信息技术应用创新标准。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noWrap w:val="0"/>
            <w:vAlign w:val="top"/>
          </w:tcPr>
          <w:p>
            <w:pPr>
              <w:rPr>
                <w:rFonts w:ascii="宋体" w:hAnsi="宋体" w:cs="宋体"/>
                <w:sz w:val="24"/>
              </w:rPr>
            </w:pPr>
            <w:r>
              <w:rPr>
                <w:rFonts w:hint="eastAsia" w:ascii="宋体" w:hAnsi="宋体" w:cs="宋体"/>
                <w:sz w:val="24"/>
              </w:rPr>
              <w:t>使用模式</w:t>
            </w:r>
          </w:p>
        </w:tc>
        <w:tc>
          <w:tcPr>
            <w:tcW w:w="7889" w:type="dxa"/>
            <w:shd w:val="clear" w:color="auto" w:fill="auto"/>
            <w:noWrap w:val="0"/>
            <w:vAlign w:val="top"/>
          </w:tcPr>
          <w:p>
            <w:pPr>
              <w:rPr>
                <w:rFonts w:ascii="宋体" w:hAnsi="宋体" w:cs="宋体"/>
                <w:sz w:val="24"/>
              </w:rPr>
            </w:pPr>
            <w:r>
              <w:rPr>
                <w:rFonts w:hint="eastAsia" w:ascii="宋体" w:hAnsi="宋体" w:cs="宋体"/>
                <w:sz w:val="24"/>
              </w:rPr>
              <w:t>采用B/S模式，无需安装客户端，使用WEB浏览器访问管理中心，浏览器端无需安装Java运行环境。支持chrome浏览。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noWrap w:val="0"/>
            <w:vAlign w:val="center"/>
          </w:tcPr>
          <w:p>
            <w:pPr>
              <w:rPr>
                <w:rFonts w:ascii="宋体" w:hAnsi="宋体" w:cs="宋体"/>
                <w:sz w:val="24"/>
              </w:rPr>
            </w:pPr>
            <w:r>
              <w:rPr>
                <w:rFonts w:hint="eastAsia" w:ascii="宋体" w:hAnsi="宋体" w:cs="宋体"/>
                <w:sz w:val="24"/>
              </w:rPr>
              <w:t>管理范围</w:t>
            </w:r>
          </w:p>
        </w:tc>
        <w:tc>
          <w:tcPr>
            <w:tcW w:w="7889" w:type="dxa"/>
            <w:shd w:val="clear" w:color="auto" w:fill="auto"/>
            <w:noWrap w:val="0"/>
            <w:vAlign w:val="top"/>
          </w:tcPr>
          <w:p>
            <w:pPr>
              <w:rPr>
                <w:rFonts w:ascii="宋体" w:hAnsi="宋体" w:cs="宋体"/>
                <w:sz w:val="24"/>
              </w:rPr>
            </w:pPr>
            <w:r>
              <w:rPr>
                <w:rFonts w:hint="eastAsia" w:ascii="宋体" w:hAnsi="宋体" w:cs="宋体"/>
                <w:sz w:val="24"/>
              </w:rPr>
              <w:t>能够对医院的IT资源中构成业务信息系统的各种网络设备、安全设备、安全系统、主机操作系统、虚拟化、云计算、数据库、中间件以及各种应用系统的日志、事件、告警等安全信息进行全面的审计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noWrap w:val="0"/>
            <w:vAlign w:val="center"/>
          </w:tcPr>
          <w:p>
            <w:pPr>
              <w:rPr>
                <w:rFonts w:ascii="宋体" w:hAnsi="宋体" w:cs="宋体"/>
                <w:sz w:val="24"/>
              </w:rPr>
            </w:pPr>
            <w:r>
              <w:rPr>
                <w:rFonts w:hint="eastAsia" w:ascii="宋体" w:hAnsi="宋体" w:cs="宋体"/>
                <w:sz w:val="24"/>
              </w:rPr>
              <w:t>日志采集与转发</w:t>
            </w:r>
          </w:p>
        </w:tc>
        <w:tc>
          <w:tcPr>
            <w:tcW w:w="7889" w:type="dxa"/>
            <w:shd w:val="clear" w:color="auto" w:fill="auto"/>
            <w:noWrap w:val="0"/>
            <w:vAlign w:val="top"/>
          </w:tcPr>
          <w:p>
            <w:pPr>
              <w:rPr>
                <w:rFonts w:ascii="宋体" w:hAnsi="宋体" w:cs="宋体"/>
                <w:sz w:val="24"/>
              </w:rPr>
            </w:pPr>
            <w:r>
              <w:rPr>
                <w:rFonts w:hint="eastAsia" w:ascii="宋体" w:hAnsi="宋体" w:cs="宋体"/>
                <w:sz w:val="24"/>
              </w:rPr>
              <w:t>支持通过Syslog、Syslog-NG、SNMP Trap、Netflow V5、JDBC、Agent代理、WMI、(S)FTP、NetBIOS、文件\文件夹读取、Ka**a等多种方式完成各种日志的收集功能，支持将收集到的日志按照Syslog-NG标准及自有格式进行转发。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noWrap w:val="0"/>
            <w:vAlign w:val="center"/>
          </w:tcPr>
          <w:p>
            <w:pPr>
              <w:rPr>
                <w:rFonts w:ascii="宋体" w:hAnsi="宋体" w:cs="宋体"/>
                <w:sz w:val="24"/>
              </w:rPr>
            </w:pPr>
            <w:r>
              <w:rPr>
                <w:rFonts w:hint="eastAsia" w:ascii="宋体" w:hAnsi="宋体" w:cs="宋体"/>
                <w:sz w:val="24"/>
              </w:rPr>
              <w:t>资产管理</w:t>
            </w:r>
          </w:p>
        </w:tc>
        <w:tc>
          <w:tcPr>
            <w:tcW w:w="7889" w:type="dxa"/>
            <w:shd w:val="clear" w:color="auto" w:fill="auto"/>
            <w:noWrap w:val="0"/>
            <w:vAlign w:val="center"/>
          </w:tcPr>
          <w:p>
            <w:pPr>
              <w:rPr>
                <w:rFonts w:ascii="宋体" w:hAnsi="宋体" w:cs="宋体"/>
                <w:sz w:val="24"/>
              </w:rPr>
            </w:pPr>
            <w:r>
              <w:rPr>
                <w:rFonts w:hint="eastAsia" w:ascii="宋体" w:hAnsi="宋体" w:cs="宋体"/>
                <w:sz w:val="24"/>
              </w:rPr>
              <w:t>支持对资产日志进行过滤，并可以对资产设置一定时间范围内未收到事件后进行主动告警；支持对资产IP地址（含内网IP）的地理信息进行管理；支持自定义资产类型及资产属性；支持对资产自定义标签，支持对标签内容进行查询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noWrap w:val="0"/>
            <w:vAlign w:val="center"/>
          </w:tcPr>
          <w:p>
            <w:pPr>
              <w:rPr>
                <w:rFonts w:ascii="宋体" w:hAnsi="宋体" w:cs="宋体"/>
                <w:sz w:val="24"/>
              </w:rPr>
            </w:pPr>
            <w:r>
              <w:rPr>
                <w:rFonts w:hint="eastAsia" w:ascii="宋体" w:hAnsi="宋体" w:cs="宋体"/>
                <w:sz w:val="24"/>
              </w:rPr>
              <w:t>日志归一化</w:t>
            </w:r>
          </w:p>
        </w:tc>
        <w:tc>
          <w:tcPr>
            <w:tcW w:w="7889" w:type="dxa"/>
            <w:shd w:val="clear" w:color="auto" w:fill="auto"/>
            <w:noWrap w:val="0"/>
            <w:vAlign w:val="top"/>
          </w:tcPr>
          <w:p>
            <w:pPr>
              <w:rPr>
                <w:rFonts w:ascii="宋体" w:hAnsi="宋体" w:cs="宋体"/>
                <w:sz w:val="24"/>
              </w:rPr>
            </w:pPr>
            <w:r>
              <w:rPr>
                <w:rFonts w:hint="eastAsia" w:ascii="宋体" w:hAnsi="宋体" w:cs="宋体"/>
                <w:sz w:val="24"/>
              </w:rPr>
              <w:t>支持对日志进行归一化处理并保留原始日志，方便用户对关键日志快速定位和事后取证，系统提供页面可视化编辑归一化策略；</w:t>
            </w:r>
          </w:p>
          <w:p>
            <w:pPr>
              <w:pStyle w:val="1051"/>
              <w:spacing w:after="156"/>
            </w:pPr>
            <w:r>
              <w:rPr>
                <w:rFonts w:hint="eastAsia" w:ascii="宋体" w:hAnsi="宋体" w:cs="宋体"/>
                <w:sz w:val="24"/>
              </w:rPr>
              <w:t>系统可自动识别收集的日志并自动选择范化策略，系统支持用户手工设置策略匹配优先级，保证最佳范化策略匹配，支持对日志中的源和目的IP地址进行自动补全。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91" w:type="dxa"/>
            <w:vMerge w:val="restart"/>
            <w:shd w:val="clear" w:color="auto" w:fill="auto"/>
            <w:noWrap w:val="0"/>
            <w:vAlign w:val="center"/>
          </w:tcPr>
          <w:p>
            <w:pPr>
              <w:rPr>
                <w:rFonts w:ascii="宋体" w:hAnsi="宋体" w:cs="宋体"/>
                <w:sz w:val="24"/>
              </w:rPr>
            </w:pPr>
            <w:r>
              <w:rPr>
                <w:rFonts w:hint="eastAsia" w:ascii="宋体" w:hAnsi="宋体" w:cs="宋体"/>
                <w:sz w:val="24"/>
              </w:rPr>
              <w:t>日志交互式分析</w:t>
            </w:r>
          </w:p>
        </w:tc>
        <w:tc>
          <w:tcPr>
            <w:tcW w:w="7889" w:type="dxa"/>
            <w:shd w:val="clear" w:color="auto" w:fill="auto"/>
            <w:noWrap w:val="0"/>
            <w:vAlign w:val="center"/>
          </w:tcPr>
          <w:p>
            <w:pPr>
              <w:rPr>
                <w:rFonts w:ascii="宋体" w:hAnsi="宋体" w:cs="宋体"/>
                <w:sz w:val="24"/>
              </w:rPr>
            </w:pPr>
            <w:r>
              <w:rPr>
                <w:rFonts w:hint="eastAsia" w:ascii="宋体" w:hAnsi="宋体" w:cs="宋体"/>
                <w:sz w:val="24"/>
              </w:rPr>
              <w:t>系统具备全文检索的大数据处理能力，能够对事件进行非格式化的文本式处理，可将原始信息进行自动索引，快速搜索分析各类安全事件。系统提供即席查询功能，支持归一化字段及关键字搜索和基于正则表达式的检索功能，查询结果可支持加密导出。</w:t>
            </w:r>
          </w:p>
          <w:p>
            <w:pPr>
              <w:rPr>
                <w:rFonts w:ascii="宋体" w:hAnsi="宋体" w:cs="宋体"/>
                <w:sz w:val="24"/>
              </w:rPr>
            </w:pPr>
            <w:r>
              <w:rPr>
                <w:rFonts w:hint="eastAsia" w:ascii="宋体" w:hAnsi="宋体" w:cs="宋体"/>
                <w:sz w:val="24"/>
              </w:rPr>
              <w:t>用户可以对事件进行统计分析，可以以图形化的方式展示日志属性之间的聚合关系，展示一段时间内的日志中IP节点之间的访问行为和关系；采用机器学习对原始日志进行聚类分析，能够对原始日志结构模式进行自动识别(无须范化)，使审计人员清晰了解采集的日志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91" w:type="dxa"/>
            <w:vMerge w:val="continue"/>
            <w:shd w:val="clear" w:color="auto" w:fill="auto"/>
            <w:noWrap w:val="0"/>
            <w:vAlign w:val="top"/>
          </w:tcPr>
          <w:p>
            <w:pPr>
              <w:rPr>
                <w:rFonts w:ascii="宋体" w:hAnsi="宋体" w:cs="宋体"/>
                <w:sz w:val="24"/>
              </w:rPr>
            </w:pPr>
          </w:p>
        </w:tc>
        <w:tc>
          <w:tcPr>
            <w:tcW w:w="7889" w:type="dxa"/>
            <w:shd w:val="clear" w:color="auto" w:fill="auto"/>
            <w:noWrap w:val="0"/>
            <w:vAlign w:val="top"/>
          </w:tcPr>
          <w:p>
            <w:pPr>
              <w:rPr>
                <w:rFonts w:ascii="宋体" w:hAnsi="宋体" w:cs="宋体"/>
                <w:sz w:val="24"/>
              </w:rPr>
            </w:pPr>
            <w:r>
              <w:rPr>
                <w:rFonts w:hint="eastAsia" w:ascii="宋体" w:hAnsi="宋体" w:cs="宋体"/>
                <w:sz w:val="24"/>
              </w:rPr>
              <w:t>★满足网络安全法关于日志存储六个月的要求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91" w:type="dxa"/>
            <w:shd w:val="clear" w:color="auto" w:fill="auto"/>
            <w:noWrap w:val="0"/>
            <w:vAlign w:val="center"/>
          </w:tcPr>
          <w:p>
            <w:pPr>
              <w:rPr>
                <w:rFonts w:ascii="宋体" w:hAnsi="宋体" w:cs="宋体"/>
                <w:sz w:val="24"/>
              </w:rPr>
            </w:pPr>
            <w:r>
              <w:rPr>
                <w:rFonts w:hint="eastAsia" w:ascii="宋体" w:hAnsi="宋体" w:cs="宋体"/>
                <w:sz w:val="24"/>
              </w:rPr>
              <w:t>关联分析</w:t>
            </w:r>
          </w:p>
        </w:tc>
        <w:tc>
          <w:tcPr>
            <w:tcW w:w="7889" w:type="dxa"/>
            <w:shd w:val="clear" w:color="auto" w:fill="auto"/>
            <w:noWrap w:val="0"/>
            <w:vAlign w:val="center"/>
          </w:tcPr>
          <w:p>
            <w:pPr>
              <w:rPr>
                <w:rFonts w:ascii="宋体" w:hAnsi="宋体" w:cs="宋体"/>
                <w:sz w:val="24"/>
              </w:rPr>
            </w:pPr>
            <w:r>
              <w:rPr>
                <w:rFonts w:hint="eastAsia" w:ascii="宋体" w:hAnsi="宋体" w:cs="宋体"/>
                <w:sz w:val="24"/>
              </w:rPr>
              <w:t>支持对关联规则进行监控，了解该规则命中历史情况支持对保存在系统中的历史日志进行回溯关联分析，发现历史日志中的安全事件，支持分布式关联分析引擎，可以弹性扩展分析能力，最大可达10万EPS以上。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91" w:type="dxa"/>
            <w:shd w:val="clear" w:color="auto" w:fill="auto"/>
            <w:noWrap w:val="0"/>
            <w:vAlign w:val="center"/>
          </w:tcPr>
          <w:p>
            <w:pPr>
              <w:rPr>
                <w:rFonts w:ascii="宋体" w:hAnsi="宋体" w:cs="宋体"/>
                <w:sz w:val="24"/>
              </w:rPr>
            </w:pPr>
            <w:r>
              <w:rPr>
                <w:rFonts w:hint="eastAsia" w:ascii="宋体" w:hAnsi="宋体" w:cs="宋体"/>
                <w:sz w:val="24"/>
              </w:rPr>
              <w:t>报表管理</w:t>
            </w:r>
          </w:p>
        </w:tc>
        <w:tc>
          <w:tcPr>
            <w:tcW w:w="7889" w:type="dxa"/>
            <w:shd w:val="clear" w:color="auto" w:fill="auto"/>
            <w:noWrap w:val="0"/>
            <w:vAlign w:val="center"/>
          </w:tcPr>
          <w:p>
            <w:pPr>
              <w:rPr>
                <w:rFonts w:ascii="宋体" w:hAnsi="宋体" w:cs="宋体"/>
                <w:sz w:val="24"/>
              </w:rPr>
            </w:pPr>
            <w:r>
              <w:rPr>
                <w:rFonts w:hint="eastAsia" w:ascii="宋体" w:hAnsi="宋体" w:cs="宋体"/>
                <w:sz w:val="24"/>
              </w:rPr>
              <w:t>系统支持提供安全运维报告，帮助运维人员快速生成日常日志分析和运维报告。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91" w:type="dxa"/>
            <w:shd w:val="clear" w:color="auto" w:fill="auto"/>
            <w:noWrap w:val="0"/>
            <w:vAlign w:val="center"/>
          </w:tcPr>
          <w:p>
            <w:pPr>
              <w:rPr>
                <w:rFonts w:ascii="宋体" w:hAnsi="宋体" w:cs="宋体"/>
                <w:sz w:val="24"/>
              </w:rPr>
            </w:pPr>
            <w:r>
              <w:rPr>
                <w:rFonts w:hint="eastAsia" w:ascii="宋体" w:hAnsi="宋体" w:cs="宋体"/>
                <w:sz w:val="24"/>
              </w:rPr>
              <w:t>二次开发接口</w:t>
            </w:r>
          </w:p>
        </w:tc>
        <w:tc>
          <w:tcPr>
            <w:tcW w:w="7889" w:type="dxa"/>
            <w:shd w:val="clear" w:color="auto" w:fill="auto"/>
            <w:noWrap w:val="0"/>
            <w:vAlign w:val="top"/>
          </w:tcPr>
          <w:p>
            <w:pPr>
              <w:rPr>
                <w:rFonts w:ascii="宋体" w:hAnsi="宋体" w:cs="宋体"/>
                <w:sz w:val="24"/>
              </w:rPr>
            </w:pPr>
            <w:r>
              <w:rPr>
                <w:rFonts w:hint="eastAsia" w:ascii="宋体" w:hAnsi="宋体" w:cs="宋体"/>
                <w:sz w:val="24"/>
              </w:rPr>
              <w:t>系统提供二次开发接口，接口形式为Restful API，提供资产、事件、告警、报表等数据的统计、详情等接口；</w:t>
            </w:r>
          </w:p>
          <w:p>
            <w:pPr>
              <w:rPr>
                <w:rFonts w:ascii="宋体" w:hAnsi="宋体" w:cs="宋体"/>
                <w:sz w:val="24"/>
              </w:rPr>
            </w:pPr>
            <w:r>
              <w:rPr>
                <w:rFonts w:hint="eastAsia" w:ascii="宋体" w:hAnsi="宋体" w:cs="宋体"/>
                <w:sz w:val="24"/>
              </w:rPr>
              <w:t>支持用户认证接口，提供接口在线文档说明供开发人员使用。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91"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服务要求</w:t>
            </w:r>
          </w:p>
        </w:tc>
        <w:tc>
          <w:tcPr>
            <w:tcW w:w="7889"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堡垒机</w:t>
      </w:r>
    </w:p>
    <w:tbl>
      <w:tblPr>
        <w:tblStyle w:val="5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shd w:val="clear" w:color="auto" w:fill="auto"/>
            <w:noWrap w:val="0"/>
            <w:vAlign w:val="center"/>
          </w:tcPr>
          <w:p>
            <w:pPr>
              <w:widowControl/>
              <w:jc w:val="left"/>
              <w:textAlignment w:val="center"/>
              <w:rPr>
                <w:rFonts w:ascii="宋体" w:hAnsi="宋体" w:cs="宋体"/>
                <w:b/>
                <w:bCs/>
                <w:sz w:val="24"/>
              </w:rPr>
            </w:pPr>
            <w:r>
              <w:rPr>
                <w:rFonts w:hint="eastAsia" w:ascii="宋体" w:hAnsi="宋体" w:cs="宋体"/>
                <w:b/>
                <w:bCs/>
                <w:sz w:val="24"/>
              </w:rPr>
              <w:t>指标项</w:t>
            </w:r>
          </w:p>
        </w:tc>
        <w:tc>
          <w:tcPr>
            <w:tcW w:w="7862" w:type="dxa"/>
            <w:shd w:val="clear" w:color="auto" w:fill="auto"/>
            <w:noWrap w:val="0"/>
            <w:vAlign w:val="center"/>
          </w:tcPr>
          <w:p>
            <w:pPr>
              <w:widowControl/>
              <w:ind w:firstLine="2409" w:firstLineChars="1000"/>
              <w:jc w:val="left"/>
              <w:textAlignment w:val="center"/>
              <w:rPr>
                <w:rFonts w:ascii="宋体" w:hAnsi="宋体" w:cs="宋体"/>
                <w:b/>
                <w:bCs/>
                <w:sz w:val="24"/>
              </w:rPr>
            </w:pPr>
            <w:r>
              <w:rPr>
                <w:rFonts w:hint="eastAsia" w:ascii="宋体" w:hAnsi="宋体" w:cs="宋体"/>
                <w:b/>
                <w:bCs/>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vMerge w:val="restart"/>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性能要求</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★2U机架式：采用国产多核CPU（主频≥1.8GHZ, ≥4核），≥6个千兆电口，≥4个千兆光口，硬盘：500GB SSD+4TB企业级硬盘，冗余电源。最大可支持150路图形会话或400路字符会话并发，资产授权许可数≥300个。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vMerge w:val="continue"/>
            <w:shd w:val="clear" w:color="auto" w:fill="auto"/>
            <w:noWrap w:val="0"/>
            <w:vAlign w:val="center"/>
          </w:tcPr>
          <w:p>
            <w:pPr>
              <w:widowControl/>
              <w:jc w:val="left"/>
              <w:textAlignment w:val="center"/>
              <w:rPr>
                <w:rFonts w:ascii="宋体" w:hAnsi="宋体" w:cs="宋体"/>
                <w:sz w:val="24"/>
              </w:rPr>
            </w:pP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w:t>
            </w:r>
            <w:r>
              <w:rPr>
                <w:rFonts w:hint="eastAsia" w:ascii="宋体" w:hAnsi="宋体"/>
                <w:sz w:val="24"/>
              </w:rPr>
              <w:t>采用国产化芯片和国产化操作系统，</w:t>
            </w:r>
            <w:r>
              <w:rPr>
                <w:rFonts w:hint="eastAsia" w:ascii="宋体" w:hAnsi="宋体" w:cs="宋体"/>
                <w:sz w:val="24"/>
              </w:rPr>
              <w:t>技术自主可控，整机安全性能符合国家信息技术应用创新标准。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用户角色</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支持多角色划分功能，可对各类角色需要进行细粒度的权限管理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短信口令认证</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支持与Get、Post、Soap发送方式的HTTP短信网关平台进行联动，实现短信动态口令双因素认证机制，如与阿里云短信服务、SendCloud联动。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双因子认证</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堡垒机须内嵌动态令牌和USBkey认证引擎，可使用动态令牌或USBkey进行双因子认证。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密码存储</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支持采用国密加密算法进行核心敏感数据加密存储，且支持使用软件/硬件方式加密。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兼容客户端类型</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单点登录支持调用多种本地客户端工具：字符：xshell、secureCRT、putty，图形：mstsc、realvnc，文件传输：secureEX、flashFXP、filezilla、winscp，数据库：ssms、sqlwb、mysqlworkbench、mysql、dbvisualizer、plsql、sqlplus、toad、db2cmd、quest central、navicat，无需应用发布服务器。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URL访问管控</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支持对HTTP/HTTPS类资产进行URL黑白名单限制，禁止在未授权情况下，通过手动输入URL跳转至其它web网站。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数据库兼容性</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标准支持DB2、oracle、mysql、sqlserver、PG、人大金仓、达梦数据库的协议运维代理，可实现自动登录，自动登录可直接调用本地windows系统的数据库客户端工具（包括ssms、sqlwb、workbench、mysql、DbVisualizer、plsql、sqlplus、toad、dbcmd、Quest Central、pgadmin3、psql、ksql、Isql、DIsql、DMmanger、navicat等），无需应用发布前置机。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数据库命令管控</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数据库支持命令阻断功能，精确到数据库，表、字段级别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数据库双重审计</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支持同时对数据库会话记录图形审计及命令提取；支持对数据库运维会话的上行和下行命令进行审计。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专用客户端运维</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支持Windows/macOS操作系统下C/S架构的堡垒机专用客户端，可通过此专用客户端登录堡垒机，对堡垒机进行简单的管理及运维资产操作。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SSH网关代理直连</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支持使用本地的SecurCRT/Xshell/OpenSSH工具通过SSH网关代理方式直接登录字符设备。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SSH-agent-forwarding</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可以使用SSH-agent-forwarding登录到SSH服务器，用于登录堡垒机和登录SSH主机使用相同私钥的场景。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禁审功能</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支持提供禁止审计功能，可对部分设定策略的会话不审计录像，防止机密信息二次泄漏。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命令审批</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配置备份</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系统配置文件支持自动备份到FTP/SFTP服务器上，支持配置备份周期。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API接口</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需提供用户、资产、授权的增删改查等API接口，允许第三方平台调用堡垒机的API接口，实现用户、资产、权限自动同步到堡垒机，简化堡垒机配置工作量。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身份鉴别</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支持使用基于国密算法的动态令牌、国密USBkey对堡垒机的登录实行双因素认证。以满足对登录的用户进行身份标识和鉴别，实现身份鉴别信息的防截获、防假冒和防重用，保证应用系统用户身份的真实性。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sz w:val="24"/>
              </w:rPr>
              <w:t>服务要求</w:t>
            </w:r>
          </w:p>
        </w:tc>
        <w:tc>
          <w:tcPr>
            <w:tcW w:w="7862" w:type="dxa"/>
            <w:shd w:val="clear" w:color="auto" w:fill="auto"/>
            <w:noWrap w:val="0"/>
            <w:vAlign w:val="center"/>
          </w:tcPr>
          <w:p>
            <w:pPr>
              <w:widowControl/>
              <w:jc w:val="left"/>
              <w:textAlignment w:val="center"/>
              <w:rPr>
                <w:rFonts w:ascii="宋体" w:hAnsi="宋体" w:cs="宋体"/>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杀毒扩容扩容与续保</w:t>
      </w:r>
    </w:p>
    <w:tbl>
      <w:tblPr>
        <w:tblStyle w:val="5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shd w:val="clear" w:color="auto" w:fill="auto"/>
            <w:noWrap w:val="0"/>
            <w:vAlign w:val="top"/>
          </w:tcPr>
          <w:p>
            <w:pPr>
              <w:jc w:val="center"/>
              <w:rPr>
                <w:rFonts w:ascii="宋体" w:hAnsi="宋体" w:cs="宋体"/>
                <w:b/>
                <w:sz w:val="24"/>
              </w:rPr>
            </w:pPr>
            <w:r>
              <w:rPr>
                <w:rFonts w:hint="eastAsia" w:ascii="宋体" w:hAnsi="宋体" w:cs="宋体"/>
                <w:b/>
                <w:sz w:val="24"/>
              </w:rPr>
              <w:t>指标项</w:t>
            </w:r>
          </w:p>
        </w:tc>
        <w:tc>
          <w:tcPr>
            <w:tcW w:w="7781" w:type="dxa"/>
            <w:shd w:val="clear" w:color="auto" w:fill="auto"/>
            <w:noWrap w:val="0"/>
            <w:vAlign w:val="top"/>
          </w:tcPr>
          <w:p>
            <w:pPr>
              <w:jc w:val="center"/>
              <w:rPr>
                <w:rFonts w:ascii="宋体" w:hAnsi="宋体" w:cs="宋体"/>
                <w:b/>
                <w:sz w:val="24"/>
              </w:rPr>
            </w:pPr>
            <w:r>
              <w:rPr>
                <w:rFonts w:hint="eastAsia" w:ascii="宋体" w:hAnsi="宋体" w:cs="宋体"/>
                <w:b/>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99" w:type="dxa"/>
            <w:shd w:val="clear" w:color="auto" w:fill="auto"/>
            <w:noWrap w:val="0"/>
            <w:vAlign w:val="center"/>
          </w:tcPr>
          <w:p>
            <w:pPr>
              <w:jc w:val="center"/>
              <w:rPr>
                <w:rFonts w:ascii="宋体" w:hAnsi="宋体" w:cs="宋体"/>
                <w:sz w:val="24"/>
              </w:rPr>
            </w:pPr>
            <w:r>
              <w:rPr>
                <w:rFonts w:hint="eastAsia" w:ascii="宋体" w:hAnsi="宋体" w:cs="宋体"/>
                <w:sz w:val="24"/>
              </w:rPr>
              <w:t>升级服务（或具备同等功能和点数的新杀毒软件）</w:t>
            </w:r>
          </w:p>
        </w:tc>
        <w:tc>
          <w:tcPr>
            <w:tcW w:w="7781" w:type="dxa"/>
            <w:shd w:val="clear" w:color="auto" w:fill="auto"/>
            <w:noWrap w:val="0"/>
            <w:vAlign w:val="top"/>
          </w:tcPr>
          <w:p>
            <w:pPr>
              <w:rPr>
                <w:rFonts w:ascii="宋体" w:hAnsi="宋体" w:cs="宋体"/>
                <w:sz w:val="24"/>
              </w:rPr>
            </w:pPr>
            <w:r>
              <w:rPr>
                <w:rFonts w:hint="eastAsia" w:ascii="宋体" w:hAnsi="宋体" w:cs="宋体"/>
                <w:sz w:val="24"/>
              </w:rPr>
              <w:t>原有的杀毒软件扩容到600个授权点（含杀毒、补丁、运维管控、U盘管控等模块）。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99" w:type="dxa"/>
            <w:shd w:val="clear" w:color="auto" w:fill="auto"/>
            <w:noWrap w:val="0"/>
            <w:vAlign w:val="center"/>
          </w:tcPr>
          <w:p>
            <w:pPr>
              <w:jc w:val="center"/>
              <w:rPr>
                <w:rFonts w:ascii="宋体" w:hAnsi="宋体" w:cs="宋体"/>
                <w:sz w:val="24"/>
              </w:rPr>
            </w:pPr>
            <w:r>
              <w:rPr>
                <w:rFonts w:hint="eastAsia" w:ascii="宋体" w:hAnsi="宋体" w:cs="宋体"/>
                <w:sz w:val="24"/>
              </w:rPr>
              <w:t>功能模块</w:t>
            </w:r>
          </w:p>
        </w:tc>
        <w:tc>
          <w:tcPr>
            <w:tcW w:w="7781" w:type="dxa"/>
            <w:shd w:val="clear" w:color="auto" w:fill="auto"/>
            <w:noWrap w:val="0"/>
            <w:vAlign w:val="top"/>
          </w:tcPr>
          <w:p>
            <w:pPr>
              <w:rPr>
                <w:rFonts w:ascii="宋体" w:hAnsi="宋体" w:cs="宋体"/>
                <w:sz w:val="24"/>
              </w:rPr>
            </w:pPr>
            <w:r>
              <w:rPr>
                <w:rFonts w:hint="eastAsia" w:ascii="宋体" w:hAnsi="宋体" w:cs="宋体"/>
                <w:sz w:val="24"/>
              </w:rPr>
              <w:t>客户端主程序、病毒库版本支持按分组和多批次进行灰度更新，保持在低风险中完成终端能力更新。支持设置不同终端类型设置和每批次观察时长；</w:t>
            </w:r>
          </w:p>
          <w:p>
            <w:pPr>
              <w:rPr>
                <w:rFonts w:ascii="宋体" w:hAnsi="宋体" w:cs="宋体"/>
                <w:sz w:val="24"/>
              </w:rPr>
            </w:pPr>
            <w:r>
              <w:rPr>
                <w:rFonts w:hint="eastAsia" w:ascii="宋体" w:hAnsi="宋体" w:cs="宋体"/>
                <w:sz w:val="24"/>
              </w:rPr>
              <w:t>支持对进程防护、注册表防护、驱动防护、U盘安全防护、邮件防护、下载防护、IM防护、局域网文件防护、网页安全防护、勒索软件防护；</w:t>
            </w:r>
          </w:p>
          <w:p>
            <w:pPr>
              <w:rPr>
                <w:rFonts w:ascii="宋体" w:hAnsi="宋体" w:cs="宋体"/>
                <w:sz w:val="24"/>
              </w:rPr>
            </w:pPr>
            <w:r>
              <w:rPr>
                <w:rFonts w:hint="eastAsia" w:ascii="宋体" w:hAnsi="宋体" w:cs="宋体"/>
                <w:sz w:val="24"/>
              </w:rPr>
              <w:t>支持移动存储介质外出管理，并可以设置外出使用权限与有效时间，支持对外设进行多维度的放行，包括设备名称、PID/VID、实例路径，通过添加实现例外或加黑。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399" w:type="dxa"/>
            <w:shd w:val="clear" w:color="auto" w:fill="auto"/>
            <w:noWrap w:val="0"/>
            <w:vAlign w:val="center"/>
          </w:tcPr>
          <w:p>
            <w:pPr>
              <w:rPr>
                <w:rFonts w:ascii="宋体" w:hAnsi="宋体" w:cs="宋体"/>
                <w:sz w:val="24"/>
              </w:rPr>
            </w:pPr>
            <w:r>
              <w:rPr>
                <w:rFonts w:hint="eastAsia" w:ascii="宋体" w:hAnsi="宋体" w:cs="宋体"/>
                <w:sz w:val="24"/>
              </w:rPr>
              <w:t>售后服务</w:t>
            </w:r>
          </w:p>
        </w:tc>
        <w:tc>
          <w:tcPr>
            <w:tcW w:w="7781" w:type="dxa"/>
            <w:shd w:val="clear" w:color="auto" w:fill="auto"/>
            <w:noWrap w:val="0"/>
            <w:vAlign w:val="top"/>
          </w:tcPr>
          <w:p>
            <w:pPr>
              <w:rPr>
                <w:rFonts w:ascii="宋体" w:hAnsi="宋体" w:cs="宋体"/>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服务器虚拟化安全扩容与续保</w:t>
      </w:r>
    </w:p>
    <w:tbl>
      <w:tblPr>
        <w:tblStyle w:val="5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shd w:val="clear" w:color="auto" w:fill="auto"/>
            <w:noWrap w:val="0"/>
            <w:vAlign w:val="top"/>
          </w:tcPr>
          <w:p>
            <w:pPr>
              <w:jc w:val="center"/>
              <w:rPr>
                <w:rFonts w:ascii="宋体" w:hAnsi="宋体"/>
                <w:b/>
                <w:sz w:val="24"/>
              </w:rPr>
            </w:pPr>
            <w:r>
              <w:rPr>
                <w:rFonts w:hint="eastAsia" w:ascii="宋体" w:hAnsi="宋体"/>
                <w:b/>
                <w:sz w:val="24"/>
              </w:rPr>
              <w:t>指标项</w:t>
            </w:r>
          </w:p>
        </w:tc>
        <w:tc>
          <w:tcPr>
            <w:tcW w:w="7781" w:type="dxa"/>
            <w:shd w:val="clear" w:color="auto" w:fill="auto"/>
            <w:noWrap w:val="0"/>
            <w:vAlign w:val="top"/>
          </w:tcPr>
          <w:p>
            <w:pPr>
              <w:jc w:val="center"/>
              <w:rPr>
                <w:rFonts w:ascii="宋体" w:hAnsi="宋体"/>
                <w:b/>
                <w:sz w:val="24"/>
              </w:rPr>
            </w:pPr>
            <w:r>
              <w:rPr>
                <w:rFonts w:hint="eastAsia" w:ascii="宋体" w:hAnsi="宋体"/>
                <w:b/>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9" w:type="dxa"/>
            <w:shd w:val="clear" w:color="auto" w:fill="auto"/>
            <w:noWrap w:val="0"/>
            <w:vAlign w:val="center"/>
          </w:tcPr>
          <w:p>
            <w:pPr>
              <w:jc w:val="center"/>
              <w:rPr>
                <w:rFonts w:ascii="宋体" w:hAnsi="宋体"/>
                <w:sz w:val="24"/>
              </w:rPr>
            </w:pPr>
            <w:r>
              <w:rPr>
                <w:rFonts w:hint="eastAsia" w:ascii="宋体" w:hAnsi="宋体"/>
                <w:sz w:val="24"/>
              </w:rPr>
              <w:t>升级服务（或</w:t>
            </w:r>
            <w:r>
              <w:rPr>
                <w:rFonts w:hint="eastAsia" w:ascii="宋体" w:hAnsi="宋体" w:cs="宋体"/>
                <w:sz w:val="24"/>
              </w:rPr>
              <w:t>具备同等功能和点数的</w:t>
            </w:r>
            <w:r>
              <w:rPr>
                <w:rFonts w:hint="eastAsia" w:ascii="宋体" w:hAnsi="宋体"/>
                <w:sz w:val="24"/>
              </w:rPr>
              <w:t>新服务器虚拟化安全）</w:t>
            </w:r>
          </w:p>
        </w:tc>
        <w:tc>
          <w:tcPr>
            <w:tcW w:w="7781" w:type="dxa"/>
            <w:shd w:val="clear" w:color="auto" w:fill="auto"/>
            <w:noWrap w:val="0"/>
            <w:vAlign w:val="top"/>
          </w:tcPr>
          <w:p>
            <w:pPr>
              <w:rPr>
                <w:rFonts w:ascii="宋体" w:hAnsi="宋体"/>
                <w:sz w:val="24"/>
              </w:rPr>
            </w:pPr>
            <w:r>
              <w:rPr>
                <w:rFonts w:hint="eastAsia" w:ascii="宋体" w:hAnsi="宋体"/>
                <w:sz w:val="24"/>
              </w:rPr>
              <w:t>原有的服务器杀毒扩容升级到虚拟化安全150个</w:t>
            </w:r>
            <w:r>
              <w:rPr>
                <w:rFonts w:hint="eastAsia" w:ascii="宋体" w:hAnsi="宋体" w:cs="宋体"/>
                <w:sz w:val="24"/>
              </w:rPr>
              <w:t>授权</w:t>
            </w:r>
            <w:r>
              <w:rPr>
                <w:rFonts w:hint="eastAsia" w:ascii="宋体" w:hAnsi="宋体"/>
                <w:sz w:val="24"/>
              </w:rPr>
              <w:t>点（防火墙+防病毒+入侵防御+防暴力破解4个模块）防勒索组合包。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99" w:type="dxa"/>
            <w:shd w:val="clear" w:color="auto" w:fill="auto"/>
            <w:noWrap w:val="0"/>
            <w:vAlign w:val="center"/>
          </w:tcPr>
          <w:p>
            <w:pPr>
              <w:jc w:val="center"/>
              <w:rPr>
                <w:rFonts w:ascii="宋体" w:hAnsi="宋体"/>
                <w:sz w:val="24"/>
              </w:rPr>
            </w:pPr>
            <w:r>
              <w:rPr>
                <w:rFonts w:hint="eastAsia" w:ascii="宋体" w:hAnsi="宋体"/>
                <w:sz w:val="24"/>
              </w:rPr>
              <w:t>功能模块</w:t>
            </w:r>
          </w:p>
        </w:tc>
        <w:tc>
          <w:tcPr>
            <w:tcW w:w="7781" w:type="dxa"/>
            <w:shd w:val="clear" w:color="auto" w:fill="auto"/>
            <w:noWrap w:val="0"/>
            <w:vAlign w:val="top"/>
          </w:tcPr>
          <w:p>
            <w:pPr>
              <w:rPr>
                <w:rFonts w:ascii="宋体" w:hAnsi="宋体"/>
                <w:sz w:val="24"/>
              </w:rPr>
            </w:pPr>
            <w:r>
              <w:rPr>
                <w:rFonts w:hint="eastAsia" w:ascii="宋体" w:hAnsi="宋体"/>
                <w:sz w:val="24"/>
              </w:rPr>
              <w:t>支持基于“诱饵”行为监测的勒索病毒防御，Windows平台支持针对已知勒索病毒家族及其变种，通过内存抢占模式，实现该类病毒免疫，同时保护Windows系统还原点，禁止还原点被恶意删除，保障系统业务恢复。针对Windows和Linux操作系统提供安全基线检查功能;</w:t>
            </w:r>
          </w:p>
          <w:p>
            <w:pPr>
              <w:rPr>
                <w:rFonts w:ascii="宋体" w:hAnsi="宋体"/>
                <w:sz w:val="24"/>
              </w:rPr>
            </w:pPr>
            <w:r>
              <w:rPr>
                <w:rFonts w:hint="eastAsia" w:ascii="宋体" w:hAnsi="宋体"/>
                <w:sz w:val="24"/>
              </w:rPr>
              <w:t>支持等保三级基线检查、支持系统配置与服务核查、支持账户安全、应用配置检查，系统需支持对DDoS等异常流量进行拦截和清洗能力。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399" w:type="dxa"/>
            <w:shd w:val="clear" w:color="auto" w:fill="auto"/>
            <w:noWrap w:val="0"/>
            <w:vAlign w:val="center"/>
          </w:tcPr>
          <w:p>
            <w:pPr>
              <w:widowControl/>
              <w:jc w:val="left"/>
              <w:textAlignment w:val="center"/>
              <w:rPr>
                <w:rFonts w:ascii="宋体" w:hAnsi="宋体"/>
                <w:sz w:val="24"/>
              </w:rPr>
            </w:pPr>
            <w:r>
              <w:rPr>
                <w:rFonts w:hint="eastAsia" w:ascii="宋体" w:hAnsi="宋体" w:cs="宋体"/>
                <w:sz w:val="24"/>
              </w:rPr>
              <w:t>服务要求</w:t>
            </w:r>
          </w:p>
        </w:tc>
        <w:tc>
          <w:tcPr>
            <w:tcW w:w="7781" w:type="dxa"/>
            <w:shd w:val="clear" w:color="auto" w:fill="auto"/>
            <w:noWrap w:val="0"/>
            <w:vAlign w:val="center"/>
          </w:tcPr>
          <w:p>
            <w:pPr>
              <w:widowControl/>
              <w:jc w:val="left"/>
              <w:textAlignment w:val="center"/>
              <w:rPr>
                <w:rFonts w:ascii="宋体" w:hAnsi="宋体"/>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准入控制扩容续保</w:t>
      </w:r>
    </w:p>
    <w:tbl>
      <w:tblPr>
        <w:tblStyle w:val="5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8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84" w:type="dxa"/>
            <w:shd w:val="clear" w:color="auto" w:fill="auto"/>
            <w:noWrap w:val="0"/>
            <w:vAlign w:val="top"/>
          </w:tcPr>
          <w:p>
            <w:pPr>
              <w:jc w:val="center"/>
              <w:rPr>
                <w:rFonts w:ascii="宋体" w:hAnsi="宋体"/>
                <w:b/>
                <w:sz w:val="24"/>
              </w:rPr>
            </w:pPr>
            <w:r>
              <w:rPr>
                <w:rFonts w:hint="eastAsia" w:ascii="宋体" w:hAnsi="宋体"/>
                <w:b/>
                <w:sz w:val="24"/>
              </w:rPr>
              <w:t>指标项</w:t>
            </w:r>
          </w:p>
        </w:tc>
        <w:tc>
          <w:tcPr>
            <w:tcW w:w="7796" w:type="dxa"/>
            <w:shd w:val="clear" w:color="auto" w:fill="auto"/>
            <w:noWrap w:val="0"/>
            <w:vAlign w:val="top"/>
          </w:tcPr>
          <w:p>
            <w:pPr>
              <w:jc w:val="center"/>
              <w:rPr>
                <w:rFonts w:ascii="宋体" w:hAnsi="宋体"/>
                <w:b/>
                <w:sz w:val="24"/>
              </w:rPr>
            </w:pPr>
            <w:r>
              <w:rPr>
                <w:rFonts w:hint="eastAsia" w:ascii="宋体" w:hAnsi="宋体"/>
                <w:b/>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84" w:type="dxa"/>
            <w:shd w:val="clear" w:color="auto" w:fill="auto"/>
            <w:noWrap w:val="0"/>
            <w:vAlign w:val="center"/>
          </w:tcPr>
          <w:p>
            <w:pPr>
              <w:jc w:val="center"/>
              <w:rPr>
                <w:rFonts w:ascii="宋体" w:hAnsi="宋体"/>
                <w:sz w:val="24"/>
              </w:rPr>
            </w:pPr>
            <w:r>
              <w:rPr>
                <w:rFonts w:hint="eastAsia" w:ascii="宋体" w:hAnsi="宋体"/>
                <w:sz w:val="24"/>
              </w:rPr>
              <w:t>升级服务（或</w:t>
            </w:r>
            <w:r>
              <w:rPr>
                <w:rFonts w:hint="eastAsia" w:ascii="宋体" w:hAnsi="宋体" w:cs="宋体"/>
                <w:sz w:val="24"/>
              </w:rPr>
              <w:t>具备同等功能和点数的</w:t>
            </w:r>
            <w:r>
              <w:rPr>
                <w:rFonts w:hint="eastAsia" w:ascii="宋体" w:hAnsi="宋体"/>
                <w:sz w:val="24"/>
              </w:rPr>
              <w:t>新准入硬件设备）</w:t>
            </w:r>
          </w:p>
        </w:tc>
        <w:tc>
          <w:tcPr>
            <w:tcW w:w="7796" w:type="dxa"/>
            <w:shd w:val="clear" w:color="auto" w:fill="auto"/>
            <w:noWrap w:val="0"/>
            <w:vAlign w:val="top"/>
          </w:tcPr>
          <w:p>
            <w:pPr>
              <w:rPr>
                <w:rFonts w:ascii="宋体" w:hAnsi="宋体"/>
                <w:sz w:val="24"/>
              </w:rPr>
            </w:pPr>
            <w:r>
              <w:rPr>
                <w:rFonts w:hint="eastAsia" w:ascii="宋体" w:hAnsi="宋体"/>
                <w:sz w:val="24"/>
              </w:rPr>
              <w:t>原有的准入控制扩容到600个</w:t>
            </w:r>
            <w:r>
              <w:rPr>
                <w:rFonts w:hint="eastAsia" w:ascii="宋体" w:hAnsi="宋体" w:cs="宋体"/>
                <w:sz w:val="24"/>
              </w:rPr>
              <w:t>授权</w:t>
            </w:r>
            <w:r>
              <w:rPr>
                <w:rFonts w:hint="eastAsia" w:ascii="宋体" w:hAnsi="宋体"/>
                <w:sz w:val="24"/>
              </w:rPr>
              <w:t>点，原有的硬件软件需要升级到最新版本，假如硬件性能不够，需要提供一台新的硬件设备（需要中标方提供）5年保修。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84" w:type="dxa"/>
            <w:shd w:val="clear" w:color="auto" w:fill="auto"/>
            <w:noWrap w:val="0"/>
            <w:vAlign w:val="center"/>
          </w:tcPr>
          <w:p>
            <w:pPr>
              <w:jc w:val="center"/>
              <w:rPr>
                <w:rFonts w:ascii="宋体" w:hAnsi="宋体"/>
                <w:sz w:val="24"/>
              </w:rPr>
            </w:pPr>
            <w:r>
              <w:rPr>
                <w:rFonts w:hint="eastAsia" w:ascii="宋体" w:hAnsi="宋体"/>
                <w:sz w:val="24"/>
              </w:rPr>
              <w:t>服务保修</w:t>
            </w:r>
          </w:p>
        </w:tc>
        <w:tc>
          <w:tcPr>
            <w:tcW w:w="7796" w:type="dxa"/>
            <w:shd w:val="clear" w:color="auto" w:fill="auto"/>
            <w:noWrap w:val="0"/>
            <w:vAlign w:val="top"/>
          </w:tcPr>
          <w:p>
            <w:pPr>
              <w:rPr>
                <w:rFonts w:ascii="宋体" w:hAnsi="宋体"/>
                <w:sz w:val="24"/>
              </w:rPr>
            </w:pPr>
            <w:r>
              <w:rPr>
                <w:rFonts w:hint="eastAsia" w:ascii="宋体" w:hAnsi="宋体" w:cs="宋体"/>
                <w:kern w:val="0"/>
                <w:sz w:val="24"/>
              </w:rPr>
              <w:t>▲</w:t>
            </w:r>
            <w:r>
              <w:rPr>
                <w:rFonts w:hint="eastAsia" w:ascii="宋体" w:hAnsi="宋体" w:cs="宋体"/>
                <w:sz w:val="24"/>
              </w:rPr>
              <w:t>本次提供不少于5年原厂质保。</w:t>
            </w:r>
          </w:p>
        </w:tc>
      </w:tr>
    </w:tbl>
    <w:p/>
    <w:p>
      <w:pPr>
        <w:pStyle w:val="2"/>
        <w:numPr>
          <w:ilvl w:val="1"/>
          <w:numId w:val="9"/>
        </w:numPr>
        <w:spacing w:before="240" w:after="60" w:line="413" w:lineRule="auto"/>
      </w:pPr>
      <w:r>
        <w:rPr>
          <w:rFonts w:hint="eastAsia"/>
        </w:rPr>
        <w:t>数据库审计(防统方）</w:t>
      </w:r>
    </w:p>
    <w:tbl>
      <w:tblPr>
        <w:tblStyle w:val="5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500" w:type="dxa"/>
            <w:shd w:val="clear" w:color="auto" w:fill="auto"/>
            <w:noWrap w:val="0"/>
            <w:vAlign w:val="center"/>
          </w:tcPr>
          <w:p>
            <w:pPr>
              <w:spacing w:line="360" w:lineRule="auto"/>
              <w:jc w:val="center"/>
              <w:rPr>
                <w:rFonts w:ascii="宋体" w:hAnsi="宋体" w:cs="宋体"/>
                <w:b/>
                <w:bCs/>
                <w:sz w:val="24"/>
              </w:rPr>
            </w:pPr>
            <w:r>
              <w:rPr>
                <w:rFonts w:hint="eastAsia" w:ascii="宋体" w:hAnsi="宋体" w:cs="宋体"/>
                <w:b/>
                <w:bCs/>
                <w:sz w:val="24"/>
              </w:rPr>
              <w:t>指标项</w:t>
            </w:r>
          </w:p>
        </w:tc>
        <w:tc>
          <w:tcPr>
            <w:tcW w:w="7822" w:type="dxa"/>
            <w:shd w:val="clear" w:color="auto" w:fill="auto"/>
            <w:noWrap w:val="0"/>
            <w:vAlign w:val="center"/>
          </w:tcPr>
          <w:p>
            <w:pPr>
              <w:spacing w:line="360" w:lineRule="auto"/>
              <w:jc w:val="center"/>
              <w:rPr>
                <w:rFonts w:ascii="宋体" w:hAnsi="宋体" w:cs="宋体"/>
                <w:b/>
                <w:bCs/>
                <w:sz w:val="24"/>
              </w:rPr>
            </w:pPr>
            <w:r>
              <w:rPr>
                <w:rFonts w:hint="eastAsia" w:ascii="宋体" w:hAnsi="宋体" w:cs="宋体"/>
                <w:b/>
                <w:bCs/>
                <w:sz w:val="24"/>
              </w:rPr>
              <w:t>详细功能指标要求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rPr>
                <w:rFonts w:ascii="宋体" w:hAnsi="宋体" w:cs="宋体"/>
                <w:kern w:val="0"/>
                <w:sz w:val="24"/>
              </w:rPr>
            </w:pPr>
            <w:r>
              <w:rPr>
                <w:rFonts w:hint="eastAsia"/>
                <w:sz w:val="24"/>
              </w:rPr>
              <w:t>★</w:t>
            </w:r>
            <w:r>
              <w:rPr>
                <w:rFonts w:hint="eastAsia" w:ascii="宋体" w:hAnsi="宋体" w:cs="宋体"/>
                <w:kern w:val="0"/>
                <w:sz w:val="24"/>
              </w:rPr>
              <w:t>硬件配置</w:t>
            </w:r>
          </w:p>
        </w:tc>
        <w:tc>
          <w:tcPr>
            <w:tcW w:w="7822" w:type="dxa"/>
            <w:noWrap w:val="0"/>
            <w:vAlign w:val="top"/>
          </w:tcPr>
          <w:p>
            <w:pPr>
              <w:spacing w:line="360" w:lineRule="auto"/>
              <w:rPr>
                <w:rFonts w:ascii="宋体" w:hAnsi="宋体" w:cs="宋体"/>
                <w:sz w:val="24"/>
              </w:rPr>
            </w:pPr>
            <w:r>
              <w:rPr>
                <w:rFonts w:hint="eastAsia" w:ascii="宋体" w:hAnsi="宋体" w:cs="宋体"/>
                <w:sz w:val="24"/>
              </w:rPr>
              <w:t>2U机架式设备: 双电源、6个千</w:t>
            </w:r>
            <w:r>
              <w:rPr>
                <w:rFonts w:hint="eastAsia" w:hAnsi="宋体" w:cs="宋体"/>
              </w:rPr>
              <w:t>兆</w:t>
            </w:r>
            <w:r>
              <w:rPr>
                <w:rFonts w:hint="eastAsia" w:ascii="宋体" w:hAnsi="宋体" w:cs="宋体"/>
                <w:sz w:val="24"/>
              </w:rPr>
              <w:t>电口、1×扩展槽位、16GB内存、128GB SSD+8TB存储空间。数据库流量</w:t>
            </w:r>
            <w:r>
              <w:rPr>
                <w:rFonts w:ascii="宋体" w:hAnsi="宋体" w:cs="宋体"/>
                <w:sz w:val="24"/>
              </w:rPr>
              <w:t>≥</w:t>
            </w:r>
            <w:r>
              <w:rPr>
                <w:rFonts w:hint="eastAsia" w:ascii="宋体" w:hAnsi="宋体" w:cs="宋体"/>
                <w:sz w:val="24"/>
              </w:rPr>
              <w:t>150Mbps，峰值SQL吞吐14000条语句/秒。以数据资产安全访问合规为出发点，以精确审计、全面审计为基础，提供围绕数据库的日常化运营、可疑分析和安全报告，全面管理整个数据库安全事件的生命周期，提供统方告警配置，分析统方内容和统方实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rPr>
                <w:rFonts w:ascii="宋体" w:hAnsi="宋体" w:cs="宋体"/>
                <w:kern w:val="0"/>
                <w:sz w:val="24"/>
                <w:highlight w:val="yellow"/>
              </w:rPr>
            </w:pPr>
            <w:r>
              <w:rPr>
                <w:rFonts w:hint="eastAsia" w:ascii="宋体" w:hAnsi="宋体" w:cs="宋体"/>
                <w:kern w:val="0"/>
                <w:sz w:val="24"/>
              </w:rPr>
              <w:t>软件配置</w:t>
            </w:r>
          </w:p>
        </w:tc>
        <w:tc>
          <w:tcPr>
            <w:tcW w:w="7822" w:type="dxa"/>
            <w:noWrap w:val="0"/>
            <w:vAlign w:val="top"/>
          </w:tcPr>
          <w:p>
            <w:pPr>
              <w:spacing w:line="360" w:lineRule="auto"/>
              <w:jc w:val="left"/>
              <w:rPr>
                <w:rFonts w:ascii="宋体" w:hAnsi="宋体" w:cs="宋体"/>
                <w:sz w:val="24"/>
              </w:rPr>
            </w:pPr>
            <w:r>
              <w:rPr>
                <w:rFonts w:hint="eastAsia" w:ascii="宋体" w:hAnsi="宋体" w:cs="宋体"/>
                <w:sz w:val="24"/>
              </w:rPr>
              <w:t>支持</w:t>
            </w:r>
            <w:r>
              <w:rPr>
                <w:rFonts w:ascii="宋体" w:hAnsi="宋体" w:cs="宋体"/>
                <w:sz w:val="24"/>
              </w:rPr>
              <w:t>≥</w:t>
            </w:r>
            <w:r>
              <w:rPr>
                <w:rFonts w:hint="eastAsia" w:ascii="宋体" w:hAnsi="宋体" w:cs="宋体"/>
                <w:sz w:val="24"/>
              </w:rPr>
              <w:t>16个数据库实例授权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部署方式</w:t>
            </w:r>
          </w:p>
        </w:tc>
        <w:tc>
          <w:tcPr>
            <w:tcW w:w="7822" w:type="dxa"/>
            <w:noWrap w:val="0"/>
            <w:vAlign w:val="top"/>
          </w:tcPr>
          <w:p>
            <w:pPr>
              <w:spacing w:line="360" w:lineRule="auto"/>
              <w:jc w:val="left"/>
              <w:rPr>
                <w:rFonts w:ascii="宋体" w:hAnsi="宋体" w:cs="宋体"/>
                <w:kern w:val="0"/>
                <w:sz w:val="24"/>
              </w:rPr>
            </w:pPr>
            <w:r>
              <w:rPr>
                <w:rFonts w:hint="eastAsia" w:ascii="宋体" w:hAnsi="宋体" w:cs="宋体"/>
                <w:kern w:val="0"/>
                <w:sz w:val="24"/>
              </w:rPr>
              <w:t>支持旁路镜像部署、探针部署模式。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统一管理</w:t>
            </w:r>
          </w:p>
        </w:tc>
        <w:tc>
          <w:tcPr>
            <w:tcW w:w="7822" w:type="dxa"/>
            <w:noWrap w:val="0"/>
            <w:vAlign w:val="top"/>
          </w:tcPr>
          <w:p>
            <w:pPr>
              <w:spacing w:line="360" w:lineRule="auto"/>
              <w:jc w:val="left"/>
              <w:rPr>
                <w:rFonts w:ascii="宋体" w:hAnsi="宋体" w:cs="宋体"/>
                <w:kern w:val="0"/>
                <w:sz w:val="24"/>
              </w:rPr>
            </w:pPr>
            <w:r>
              <w:rPr>
                <w:rFonts w:hint="eastAsia" w:ascii="宋体" w:hAnsi="宋体" w:cs="宋体"/>
                <w:kern w:val="0"/>
                <w:sz w:val="24"/>
              </w:rPr>
              <w:t>支持单机、虚拟化部署，分布式模式的审计平台多台分级部署，实现对多台数据库审计设备的统一配置管理、审计事件统一查询等功能。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restart"/>
            <w:noWrap w:val="0"/>
            <w:vAlign w:val="center"/>
          </w:tcPr>
          <w:p>
            <w:pPr>
              <w:spacing w:line="360" w:lineRule="auto"/>
              <w:jc w:val="center"/>
              <w:rPr>
                <w:rFonts w:ascii="宋体" w:hAnsi="宋体" w:cs="宋体"/>
                <w:kern w:val="0"/>
                <w:sz w:val="24"/>
              </w:rPr>
            </w:pPr>
            <w:r>
              <w:rPr>
                <w:rFonts w:hint="eastAsia" w:ascii="宋体" w:hAnsi="宋体" w:cs="宋体"/>
                <w:kern w:val="0"/>
                <w:sz w:val="24"/>
              </w:rPr>
              <w:t>部署模式</w:t>
            </w:r>
          </w:p>
        </w:tc>
        <w:tc>
          <w:tcPr>
            <w:tcW w:w="7822" w:type="dxa"/>
            <w:noWrap w:val="0"/>
            <w:vAlign w:val="top"/>
          </w:tcPr>
          <w:p>
            <w:pPr>
              <w:spacing w:line="360" w:lineRule="auto"/>
              <w:jc w:val="left"/>
              <w:rPr>
                <w:rFonts w:ascii="宋体" w:hAnsi="宋体" w:cs="宋体"/>
                <w:kern w:val="0"/>
                <w:sz w:val="24"/>
              </w:rPr>
            </w:pPr>
            <w:r>
              <w:rPr>
                <w:rFonts w:hint="eastAsia" w:ascii="宋体" w:hAnsi="宋体" w:cs="宋体"/>
                <w:kern w:val="0"/>
                <w:sz w:val="24"/>
              </w:rPr>
              <w:t>部署环境至少支持：Redhat/CentOS/Ubuntu/OpenSUSE/SUSE/HP-UX/AIX/Windows等操作系统环境</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kern w:val="0"/>
                <w:sz w:val="24"/>
              </w:rPr>
            </w:pPr>
          </w:p>
        </w:tc>
        <w:tc>
          <w:tcPr>
            <w:tcW w:w="7822" w:type="dxa"/>
            <w:noWrap w:val="0"/>
            <w:vAlign w:val="top"/>
          </w:tcPr>
          <w:p>
            <w:pPr>
              <w:spacing w:line="360" w:lineRule="auto"/>
              <w:jc w:val="left"/>
              <w:rPr>
                <w:rFonts w:ascii="宋体" w:hAnsi="宋体" w:cs="宋体"/>
                <w:kern w:val="0"/>
                <w:sz w:val="24"/>
              </w:rPr>
            </w:pPr>
            <w:r>
              <w:rPr>
                <w:rFonts w:hint="eastAsia" w:ascii="宋体" w:hAnsi="宋体" w:cs="宋体"/>
                <w:kern w:val="0"/>
                <w:sz w:val="24"/>
              </w:rPr>
              <w:t>支持自动推送安装部署、卸载（即删除），支持与旁路模式共同使用。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kern w:val="0"/>
                <w:sz w:val="24"/>
              </w:rPr>
            </w:pPr>
          </w:p>
        </w:tc>
        <w:tc>
          <w:tcPr>
            <w:tcW w:w="7822" w:type="dxa"/>
            <w:noWrap w:val="0"/>
            <w:vAlign w:val="top"/>
          </w:tcPr>
          <w:p>
            <w:pPr>
              <w:spacing w:line="360" w:lineRule="auto"/>
              <w:jc w:val="left"/>
              <w:rPr>
                <w:rFonts w:ascii="宋体" w:hAnsi="宋体" w:cs="宋体"/>
                <w:kern w:val="0"/>
                <w:sz w:val="24"/>
              </w:rPr>
            </w:pPr>
            <w:r>
              <w:rPr>
                <w:rFonts w:hint="eastAsia" w:ascii="宋体" w:hAnsi="宋体" w:cs="宋体"/>
                <w:kern w:val="0"/>
                <w:sz w:val="24"/>
              </w:rPr>
              <w:t>支持运行状态实时监控，包括当前运行状态、运行时长、CPU占用率、内存占用量、业务流量等运行指标信息。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kern w:val="0"/>
                <w:sz w:val="24"/>
              </w:rPr>
            </w:pPr>
          </w:p>
        </w:tc>
        <w:tc>
          <w:tcPr>
            <w:tcW w:w="7822" w:type="dxa"/>
            <w:noWrap w:val="0"/>
            <w:vAlign w:val="top"/>
          </w:tcPr>
          <w:p>
            <w:pPr>
              <w:spacing w:line="360" w:lineRule="auto"/>
              <w:jc w:val="left"/>
              <w:rPr>
                <w:rFonts w:ascii="宋体" w:hAnsi="宋体" w:cs="宋体"/>
                <w:kern w:val="0"/>
                <w:sz w:val="24"/>
              </w:rPr>
            </w:pPr>
            <w:r>
              <w:rPr>
                <w:rFonts w:hint="eastAsia" w:ascii="宋体" w:hAnsi="宋体" w:cs="宋体"/>
                <w:kern w:val="0"/>
                <w:sz w:val="24"/>
              </w:rPr>
              <w:t>支持性能保护设置，设置数据库系统的CPU占有率超出阈值时自动挂起、低于设定的占比时，自动恢复运行状态，异常告警支持邮件、短信通知。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jc w:val="center"/>
              <w:rPr>
                <w:rFonts w:ascii="宋体" w:hAnsi="宋体" w:cs="宋体"/>
                <w:sz w:val="24"/>
              </w:rPr>
            </w:pPr>
            <w:r>
              <w:rPr>
                <w:rFonts w:hint="eastAsia" w:ascii="宋体" w:hAnsi="宋体" w:cs="宋体"/>
                <w:sz w:val="24"/>
              </w:rPr>
              <w:t>数据库类型支持</w:t>
            </w: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至少支持</w:t>
            </w:r>
            <w:r>
              <w:rPr>
                <w:rFonts w:hint="eastAsia" w:ascii="宋体" w:hAnsi="宋体" w:cs="宋体"/>
                <w:kern w:val="0"/>
                <w:sz w:val="24"/>
              </w:rPr>
              <w:t>Oracle、SQL Server、MySQL、DB2、达梦、Hive、Informix、Sybase、PostgreSQL、MariaDB、KingBase、GBase、Hbase、优炫（UXDB）、SAP_HANA、Cache、神通Oscar、greenplum、GaussDB（高斯）、Tibero、MongoDB、OceanBase、</w:t>
            </w:r>
            <w:r>
              <w:rPr>
                <w:rFonts w:hint="eastAsia" w:ascii="宋体" w:hAnsi="宋体" w:cs="宋体"/>
                <w:sz w:val="24"/>
              </w:rPr>
              <w:t>KDB、Teradata、TeleDB、TelePG</w:t>
            </w:r>
            <w:r>
              <w:rPr>
                <w:rFonts w:hint="eastAsia" w:ascii="宋体" w:hAnsi="宋体" w:cs="宋体"/>
                <w:kern w:val="0"/>
                <w:sz w:val="24"/>
              </w:rPr>
              <w:t>等数据库类型。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jc w:val="center"/>
              <w:rPr>
                <w:rFonts w:ascii="宋体" w:hAnsi="宋体" w:cs="宋体"/>
                <w:sz w:val="24"/>
              </w:rPr>
            </w:pPr>
            <w:r>
              <w:rPr>
                <w:rFonts w:hint="eastAsia" w:ascii="宋体" w:hAnsi="宋体" w:cs="宋体"/>
                <w:sz w:val="24"/>
              </w:rPr>
              <w:t>管理模式</w:t>
            </w: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以B/S架构管理模式，支持系统用户管理、角色功能管理、用户登录管理（包括U盾证书、AD域、LDAP等）管理联动。用户可自定义分组并分配指定数据库审计权限给组用户。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jc w:val="center"/>
              <w:rPr>
                <w:rFonts w:ascii="宋体" w:hAnsi="宋体" w:cs="宋体"/>
                <w:sz w:val="24"/>
              </w:rPr>
            </w:pPr>
            <w:r>
              <w:rPr>
                <w:rFonts w:hint="eastAsia" w:ascii="宋体" w:hAnsi="宋体" w:cs="宋体"/>
                <w:sz w:val="24"/>
              </w:rPr>
              <w:t>智能发现</w:t>
            </w:r>
          </w:p>
        </w:tc>
        <w:tc>
          <w:tcPr>
            <w:tcW w:w="7822" w:type="dxa"/>
            <w:noWrap w:val="0"/>
            <w:vAlign w:val="center"/>
          </w:tcPr>
          <w:p>
            <w:pPr>
              <w:spacing w:line="360" w:lineRule="auto"/>
              <w:rPr>
                <w:rFonts w:ascii="宋体" w:hAnsi="宋体" w:cs="宋体"/>
                <w:sz w:val="24"/>
              </w:rPr>
            </w:pPr>
            <w:r>
              <w:rPr>
                <w:rFonts w:hint="eastAsia" w:ascii="宋体" w:hAnsi="宋体" w:cs="宋体"/>
                <w:sz w:val="24"/>
              </w:rPr>
              <w:t>支持自动探测网段范围内的数据库、从网络流量中自动发现数据库等两种数据库发现模式，记录数据库的IP地址、端口号、数据库类型等信息，可自由选择将发现的数据库添加至保护对象或集群，进行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jc w:val="center"/>
              <w:rPr>
                <w:rFonts w:ascii="宋体" w:hAnsi="宋体" w:cs="宋体"/>
                <w:sz w:val="24"/>
              </w:rPr>
            </w:pPr>
            <w:r>
              <w:rPr>
                <w:rFonts w:hint="eastAsia" w:ascii="宋体" w:hAnsi="宋体" w:cs="宋体"/>
                <w:sz w:val="24"/>
              </w:rPr>
              <w:t>审计策略</w:t>
            </w: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支持双向审计。双向审计策略下，支持对操作的影响行数、执行时长、执行状态、返回内容的行数统计、黑白名单策略、是否开启风险引擎进行设置。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restart"/>
            <w:noWrap w:val="0"/>
            <w:vAlign w:val="center"/>
          </w:tcPr>
          <w:p>
            <w:pPr>
              <w:spacing w:line="360" w:lineRule="auto"/>
              <w:jc w:val="center"/>
              <w:rPr>
                <w:rFonts w:ascii="宋体" w:hAnsi="宋体" w:cs="宋体"/>
                <w:sz w:val="24"/>
              </w:rPr>
            </w:pPr>
            <w:r>
              <w:rPr>
                <w:rFonts w:hint="eastAsia" w:ascii="宋体" w:hAnsi="宋体" w:cs="宋体"/>
                <w:sz w:val="24"/>
              </w:rPr>
              <w:t>审计规则</w:t>
            </w: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内置2000+审计规则（SQL注入特征与漏洞特征规则共2000+），包括高危DDL操作事件、高危DML操作事件、授权管理事件、账号管理事件、登录失败事件、陌生IP或账号登录事件、SQL注入攻击事件、漏洞攻击事件等多种审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内置风险引擎策略，包括SQL注入特征库、漏洞特征库，审计系统对触发特征库的流量进行精准识别并告警。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支持自定义SQL注入特征库和漏洞特征库，从多维度通过“与或非”逻辑确定特征策略；系统可从自定义规则、系统规则两个维度区分规则来源。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jc w:val="center"/>
              <w:rPr>
                <w:rFonts w:ascii="宋体" w:hAnsi="宋体" w:cs="宋体"/>
                <w:sz w:val="24"/>
              </w:rPr>
            </w:pPr>
            <w:r>
              <w:rPr>
                <w:rFonts w:hint="eastAsia" w:ascii="宋体" w:hAnsi="宋体" w:cs="宋体"/>
                <w:sz w:val="24"/>
              </w:rPr>
              <w:t>审计内容</w:t>
            </w:r>
          </w:p>
        </w:tc>
        <w:tc>
          <w:tcPr>
            <w:tcW w:w="7822" w:type="dxa"/>
            <w:noWrap w:val="0"/>
            <w:vAlign w:val="center"/>
          </w:tcPr>
          <w:p>
            <w:pPr>
              <w:spacing w:line="360" w:lineRule="auto"/>
              <w:rPr>
                <w:rFonts w:ascii="宋体" w:hAnsi="宋体" w:cs="宋体"/>
                <w:sz w:val="24"/>
              </w:rPr>
            </w:pPr>
            <w:r>
              <w:rPr>
                <w:rFonts w:hint="eastAsia" w:ascii="宋体" w:hAnsi="宋体" w:cs="宋体"/>
                <w:sz w:val="24"/>
              </w:rPr>
              <w:t>支持对SQL语句的登录事件及访问事件进行细粒度审计</w:t>
            </w:r>
          </w:p>
          <w:p>
            <w:pPr>
              <w:spacing w:line="360" w:lineRule="auto"/>
              <w:rPr>
                <w:rFonts w:ascii="宋体" w:hAnsi="宋体" w:cs="宋体"/>
                <w:sz w:val="24"/>
              </w:rPr>
            </w:pPr>
            <w:r>
              <w:rPr>
                <w:rFonts w:hint="eastAsia" w:ascii="宋体" w:hAnsi="宋体" w:cs="宋体"/>
                <w:sz w:val="24"/>
              </w:rPr>
              <w:t>4M超长语句审计，支持对暴力破解、撞库等非法登录行为进行识别、审计。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restart"/>
            <w:noWrap w:val="0"/>
            <w:vAlign w:val="center"/>
          </w:tcPr>
          <w:p>
            <w:pPr>
              <w:spacing w:line="360" w:lineRule="auto"/>
              <w:jc w:val="center"/>
              <w:rPr>
                <w:rFonts w:ascii="宋体" w:hAnsi="宋体" w:cs="宋体"/>
                <w:sz w:val="24"/>
              </w:rPr>
            </w:pPr>
            <w:r>
              <w:rPr>
                <w:rFonts w:hint="eastAsia" w:ascii="宋体" w:hAnsi="宋体" w:cs="宋体"/>
                <w:sz w:val="24"/>
              </w:rPr>
              <w:t>高级审计</w:t>
            </w: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支持对Oralce、MySQL等数据库本地审计，包括客户端SSH隧道代理访问数据库的操作,本地命令行访问数据库的操作等本地审计场景。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为确保数据库访问中的安全，支持对tls1.1、tls1.2、tls1.3的mysql5.6及以上版本，SQL Server2005及以上版本的数据库加密流量进行解析审计。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tcBorders>
              <w:bottom w:val="single" w:color="auto" w:sz="4" w:space="0"/>
            </w:tcBorders>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内置丰富的风险引擎特征库，支持对SQL注入攻击、数据库漏洞攻击进行精准识别及审计并智能告警。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审计告警</w:t>
            </w:r>
          </w:p>
        </w:tc>
        <w:tc>
          <w:tcPr>
            <w:tcW w:w="7822" w:type="dxa"/>
            <w:tcBorders>
              <w:left w:val="single" w:color="auto" w:sz="4" w:space="0"/>
            </w:tcBorders>
            <w:noWrap w:val="0"/>
            <w:vAlign w:val="center"/>
          </w:tcPr>
          <w:p>
            <w:pPr>
              <w:spacing w:line="360" w:lineRule="auto"/>
              <w:jc w:val="left"/>
              <w:rPr>
                <w:rFonts w:ascii="宋体" w:hAnsi="宋体" w:cs="宋体"/>
                <w:sz w:val="24"/>
              </w:rPr>
            </w:pPr>
            <w:r>
              <w:rPr>
                <w:rFonts w:hint="eastAsia" w:ascii="宋体" w:hAnsi="宋体" w:cs="宋体"/>
                <w:sz w:val="24"/>
              </w:rPr>
              <w:t>支持根据IP地址、操作类型、时间、错误码、数据库类型、操作分类、数据库用户、返回/影响行数、审计级别、附加SQL语句等精细组合因子条件对敏感操作行为自定义设置告警规则策略。支持对首次出现的终端IP、用户名等信息进行告警。告警方式包括：邮件、短信、SYSLOG、钉钉。支持异常、丢包率、生成事件速率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restart"/>
            <w:tcBorders>
              <w:top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审计查询</w:t>
            </w: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支持以时间及关键SQL操作类型进行模糊搜索，搜索条件可保存。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支持多种条件因子作为关联查询，实现精细化的搜索，搜索条件可保存。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对于审计操作事件的回溯分析，支持登录事件或访问事件的会话追踪溯源回放，在同一界面展现与此次操作事件相关的登录、操作、退出等事件的全会话过程回溯回放。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支持登录事件及访问事件的同类事件审阅，实现在审阅当前事件时，将同类型的事件一起作审阅操作；支持登录事件及访问事件的自动审阅，实现审阅当前事件时，系统自动审阅日后产生的同类型事件。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根据不同审计数据库对象实现便捷的事件统计，包括对DDL、DML、DCL、DQL、OTHER等事件进行统计，记录统计时间、保护对象名称、数据库类型、服务器IP及端口、风险事件数量、登录事件数量、访问事件数量等，并统计事件的具体操作指令类型及次数。支持对敏感数据遮蔽，实现敏感数据经过审计后进行脱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tcBorders>
              <w:top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审计备份</w:t>
            </w: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支持定期将审计数据自动备份到FTP服务器，支持系统配置的导入导出。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jc w:val="center"/>
              <w:rPr>
                <w:rFonts w:ascii="宋体" w:hAnsi="宋体" w:cs="宋体"/>
                <w:sz w:val="24"/>
              </w:rPr>
            </w:pPr>
            <w:r>
              <w:rPr>
                <w:rFonts w:hint="eastAsia" w:ascii="宋体" w:hAnsi="宋体" w:cs="宋体"/>
                <w:sz w:val="24"/>
              </w:rPr>
              <w:t>审计存储</w:t>
            </w: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支持审计日志和告警日志加密存储，保证日志的安全性，不能不通过后台直接查看审计日志和告警日志。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restart"/>
            <w:noWrap w:val="0"/>
            <w:vAlign w:val="center"/>
          </w:tcPr>
          <w:p>
            <w:pPr>
              <w:spacing w:line="360" w:lineRule="auto"/>
              <w:jc w:val="center"/>
              <w:rPr>
                <w:rFonts w:ascii="宋体" w:hAnsi="宋体" w:cs="宋体"/>
                <w:sz w:val="24"/>
              </w:rPr>
            </w:pPr>
            <w:r>
              <w:rPr>
                <w:rFonts w:hint="eastAsia" w:ascii="宋体" w:hAnsi="宋体" w:cs="宋体"/>
                <w:sz w:val="24"/>
              </w:rPr>
              <w:t>报表分析</w:t>
            </w:r>
          </w:p>
        </w:tc>
        <w:tc>
          <w:tcPr>
            <w:tcW w:w="7822" w:type="dxa"/>
            <w:noWrap w:val="0"/>
            <w:vAlign w:val="center"/>
          </w:tcPr>
          <w:p>
            <w:pPr>
              <w:spacing w:line="360" w:lineRule="auto"/>
              <w:rPr>
                <w:rFonts w:ascii="宋体" w:hAnsi="宋体" w:cs="宋体"/>
                <w:sz w:val="24"/>
              </w:rPr>
            </w:pPr>
            <w:r>
              <w:rPr>
                <w:rFonts w:hint="eastAsia" w:ascii="宋体" w:hAnsi="宋体" w:cs="宋体"/>
                <w:sz w:val="24"/>
              </w:rPr>
              <w:t>定期自动生成以日、周、月、年度综合报表，报表格式支持PDF/WORD/HTML/EXCEL等格式进行邮件、钉钉定期推送，并记录推送结果。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rPr>
                <w:rFonts w:ascii="宋体" w:hAnsi="宋体" w:cs="宋体"/>
                <w:sz w:val="24"/>
              </w:rPr>
            </w:pPr>
            <w:r>
              <w:rPr>
                <w:rFonts w:hint="eastAsia" w:ascii="宋体" w:hAnsi="宋体" w:cs="宋体"/>
                <w:sz w:val="24"/>
              </w:rPr>
              <w:t>综合性报表包括但不限于：风险报表、行为报表、客体报表、响应报表、运维报表。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内置报表模版类型包括综合报表、SOX法案报表、PCI报表、等级保护报表、风险报表、身份报表、行为报表、课题报表、响应报表等。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支持按时间范围、报表模板类型、数据库等维度自定义生成报表；</w:t>
            </w:r>
          </w:p>
          <w:p>
            <w:pPr>
              <w:pStyle w:val="1051"/>
              <w:spacing w:after="156"/>
              <w:rPr>
                <w:rFonts w:ascii="宋体" w:hAnsi="宋体" w:cs="宋体"/>
                <w:sz w:val="24"/>
              </w:rPr>
            </w:pPr>
            <w:r>
              <w:rPr>
                <w:rFonts w:hint="eastAsia" w:ascii="宋体" w:hAnsi="宋体" w:cs="宋体"/>
                <w:sz w:val="24"/>
              </w:rPr>
              <w:t>支持根据时间范围、数据库、行为分析或风险分析当中超10余种字段进行自定义分析；</w:t>
            </w:r>
          </w:p>
          <w:p>
            <w:pPr>
              <w:pStyle w:val="1051"/>
              <w:spacing w:after="156"/>
            </w:pPr>
            <w:r>
              <w:rPr>
                <w:rFonts w:hint="eastAsia" w:ascii="宋体" w:hAnsi="宋体" w:cs="宋体"/>
                <w:sz w:val="24"/>
              </w:rPr>
              <w:t>支持从总览的角度进行报表的三级下钻分析，并提供指定的维度反向进行风险或行为分析。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restart"/>
            <w:noWrap w:val="0"/>
            <w:vAlign w:val="center"/>
          </w:tcPr>
          <w:p>
            <w:pPr>
              <w:spacing w:line="360" w:lineRule="auto"/>
              <w:jc w:val="center"/>
              <w:rPr>
                <w:rFonts w:ascii="宋体" w:hAnsi="宋体" w:cs="宋体"/>
                <w:sz w:val="24"/>
              </w:rPr>
            </w:pPr>
            <w:r>
              <w:rPr>
                <w:rFonts w:hint="eastAsia" w:ascii="宋体" w:hAnsi="宋体" w:cs="宋体"/>
                <w:sz w:val="24"/>
              </w:rPr>
              <w:t>系统监控</w:t>
            </w: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支持对CPU、内存、网络、磁盘I/O的使用量进行监控。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vMerge w:val="continue"/>
            <w:noWrap w:val="0"/>
            <w:vAlign w:val="center"/>
          </w:tcPr>
          <w:p>
            <w:pPr>
              <w:spacing w:line="360" w:lineRule="auto"/>
              <w:jc w:val="center"/>
              <w:rPr>
                <w:rFonts w:ascii="宋体" w:hAnsi="宋体" w:cs="宋体"/>
                <w:sz w:val="24"/>
              </w:rPr>
            </w:pP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支持对网络流量、网络数据包、登录事件、访问事件审计速率的监控，统计数据包括生成事件速率、处理事件速率、建立索引速率。支持设置峰值告警策略。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spacing w:line="360" w:lineRule="auto"/>
              <w:jc w:val="center"/>
              <w:rPr>
                <w:rFonts w:ascii="宋体" w:hAnsi="宋体" w:cs="宋体"/>
                <w:sz w:val="24"/>
              </w:rPr>
            </w:pPr>
            <w:r>
              <w:rPr>
                <w:rFonts w:hint="eastAsia" w:ascii="宋体" w:hAnsi="宋体" w:cs="宋体"/>
                <w:sz w:val="24"/>
              </w:rPr>
              <w:t>服务启停</w:t>
            </w:r>
          </w:p>
        </w:tc>
        <w:tc>
          <w:tcPr>
            <w:tcW w:w="7822" w:type="dxa"/>
            <w:noWrap w:val="0"/>
            <w:vAlign w:val="center"/>
          </w:tcPr>
          <w:p>
            <w:pPr>
              <w:spacing w:line="360" w:lineRule="auto"/>
              <w:jc w:val="left"/>
              <w:rPr>
                <w:rFonts w:ascii="宋体" w:hAnsi="宋体" w:cs="宋体"/>
                <w:sz w:val="24"/>
              </w:rPr>
            </w:pPr>
            <w:r>
              <w:rPr>
                <w:rFonts w:hint="eastAsia" w:ascii="宋体" w:hAnsi="宋体" w:cs="宋体"/>
                <w:sz w:val="24"/>
              </w:rPr>
              <w:t>支持一键重启、关闭审计系统主机。支持对审计系统的web服务、系统数据库、消息队列、搜索引擎、Redis服务、服务注册服务、nodejs、组件监控模块、探针服务、搜索服务、搜索业务服务、报表服务、字典服务、审计核心、流量发现等服务进行监控展示，记录运行时间，支持一键重启、停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 w:hRule="atLeast"/>
        </w:trPr>
        <w:tc>
          <w:tcPr>
            <w:tcW w:w="1500" w:type="dxa"/>
            <w:noWrap w:val="0"/>
            <w:vAlign w:val="center"/>
          </w:tcPr>
          <w:p>
            <w:pPr>
              <w:widowControl/>
              <w:jc w:val="left"/>
              <w:textAlignment w:val="center"/>
              <w:rPr>
                <w:rFonts w:ascii="宋体" w:hAnsi="宋体" w:cs="宋体"/>
                <w:sz w:val="24"/>
              </w:rPr>
            </w:pPr>
            <w:r>
              <w:rPr>
                <w:rFonts w:hint="eastAsia" w:ascii="宋体" w:hAnsi="宋体" w:cs="宋体"/>
                <w:sz w:val="24"/>
              </w:rPr>
              <w:t>服务要求</w:t>
            </w:r>
          </w:p>
        </w:tc>
        <w:tc>
          <w:tcPr>
            <w:tcW w:w="7822" w:type="dxa"/>
            <w:noWrap w:val="0"/>
            <w:vAlign w:val="center"/>
          </w:tcPr>
          <w:p>
            <w:pPr>
              <w:widowControl/>
              <w:jc w:val="left"/>
              <w:textAlignment w:val="center"/>
              <w:rPr>
                <w:rFonts w:ascii="宋体" w:hAnsi="宋体" w:cs="宋体"/>
                <w:sz w:val="24"/>
              </w:rPr>
            </w:pPr>
            <w:r>
              <w:rPr>
                <w:rFonts w:hint="eastAsia" w:ascii="宋体" w:hAnsi="宋体" w:cs="宋体"/>
                <w:kern w:val="0"/>
                <w:sz w:val="24"/>
              </w:rPr>
              <w:t>▲</w:t>
            </w:r>
            <w:r>
              <w:rPr>
                <w:rFonts w:hint="eastAsia" w:ascii="宋体" w:hAnsi="宋体" w:cs="宋体"/>
                <w:sz w:val="24"/>
              </w:rPr>
              <w:t>本次提供不少于5年原厂质保。</w:t>
            </w:r>
          </w:p>
        </w:tc>
      </w:tr>
    </w:tbl>
    <w:p>
      <w:pPr>
        <w:pStyle w:val="2"/>
        <w:numPr>
          <w:ilvl w:val="1"/>
          <w:numId w:val="9"/>
        </w:numPr>
        <w:spacing w:before="240" w:after="60" w:line="413" w:lineRule="auto"/>
      </w:pPr>
      <w:r>
        <w:rPr>
          <w:rFonts w:hint="eastAsia"/>
        </w:rPr>
        <w:t>商用密码解决方案评审</w:t>
      </w:r>
    </w:p>
    <w:tbl>
      <w:tblPr>
        <w:tblStyle w:val="57"/>
        <w:tblW w:w="9515"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536" w:type="dxa"/>
            <w:shd w:val="clear" w:color="auto" w:fill="auto"/>
            <w:noWrap w:val="0"/>
            <w:vAlign w:val="center"/>
          </w:tcPr>
          <w:p>
            <w:pPr>
              <w:ind w:firstLine="241" w:firstLineChars="100"/>
              <w:rPr>
                <w:rFonts w:ascii="宋体" w:hAnsi="宋体" w:cs="宋体"/>
                <w:b/>
                <w:bCs/>
                <w:sz w:val="24"/>
              </w:rPr>
            </w:pPr>
            <w:r>
              <w:rPr>
                <w:rFonts w:hint="eastAsia" w:ascii="宋体" w:hAnsi="宋体" w:cs="宋体"/>
                <w:b/>
                <w:bCs/>
                <w:sz w:val="24"/>
              </w:rPr>
              <w:t>指标项</w:t>
            </w:r>
          </w:p>
        </w:tc>
        <w:tc>
          <w:tcPr>
            <w:tcW w:w="7979" w:type="dxa"/>
            <w:shd w:val="clear" w:color="auto" w:fill="auto"/>
            <w:noWrap w:val="0"/>
            <w:vAlign w:val="center"/>
          </w:tcPr>
          <w:p>
            <w:pPr>
              <w:ind w:firstLine="3132" w:firstLineChars="1300"/>
              <w:rPr>
                <w:rFonts w:ascii="宋体" w:hAnsi="宋体" w:cs="宋体"/>
                <w:b/>
                <w:bCs/>
                <w:sz w:val="24"/>
              </w:rPr>
            </w:pPr>
            <w:r>
              <w:rPr>
                <w:rFonts w:hint="eastAsia" w:ascii="宋体" w:hAnsi="宋体" w:cs="宋体"/>
                <w:b/>
                <w:bCs/>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536" w:type="dxa"/>
            <w:shd w:val="clear" w:color="auto" w:fill="auto"/>
            <w:noWrap w:val="0"/>
            <w:vAlign w:val="center"/>
          </w:tcPr>
          <w:p>
            <w:pPr>
              <w:rPr>
                <w:rFonts w:ascii="宋体" w:hAnsi="宋体" w:cs="宋体"/>
                <w:sz w:val="24"/>
              </w:rPr>
            </w:pPr>
            <w:r>
              <w:rPr>
                <w:rFonts w:hint="eastAsia" w:ascii="宋体" w:hAnsi="宋体" w:cs="宋体"/>
                <w:sz w:val="24"/>
              </w:rPr>
              <w:t>评估方案编制</w:t>
            </w:r>
          </w:p>
        </w:tc>
        <w:tc>
          <w:tcPr>
            <w:tcW w:w="7979" w:type="dxa"/>
            <w:shd w:val="clear" w:color="auto" w:fill="auto"/>
            <w:noWrap w:val="0"/>
            <w:vAlign w:val="center"/>
          </w:tcPr>
          <w:p>
            <w:pPr>
              <w:pStyle w:val="609"/>
              <w:widowControl/>
              <w:numPr>
                <w:ilvl w:val="0"/>
                <w:numId w:val="11"/>
              </w:numPr>
              <w:overflowPunct w:val="0"/>
              <w:autoSpaceDE w:val="0"/>
              <w:autoSpaceDN w:val="0"/>
              <w:adjustRightInd w:val="0"/>
              <w:ind w:firstLineChars="0"/>
              <w:jc w:val="left"/>
              <w:textAlignment w:val="baseline"/>
              <w:rPr>
                <w:rFonts w:ascii="宋体" w:hAnsi="宋体" w:cs="宋体"/>
              </w:rPr>
            </w:pPr>
            <w:r>
              <w:rPr>
                <w:rFonts w:hint="eastAsia" w:ascii="宋体" w:hAnsi="宋体" w:cs="宋体"/>
              </w:rPr>
              <w:t>准备阶段</w:t>
            </w:r>
          </w:p>
          <w:p>
            <w:pPr>
              <w:rPr>
                <w:rFonts w:ascii="宋体" w:hAnsi="宋体" w:cs="宋体"/>
                <w:sz w:val="24"/>
              </w:rPr>
            </w:pPr>
            <w:r>
              <w:rPr>
                <w:rFonts w:hint="eastAsia" w:ascii="宋体" w:hAnsi="宋体" w:cs="宋体"/>
                <w:sz w:val="24"/>
              </w:rPr>
              <w:t>编制项目计划书、收集被测系统基本资料并完成调查表格，分析调查结果，准备工具和评估表单。</w:t>
            </w:r>
          </w:p>
          <w:p>
            <w:pPr>
              <w:rPr>
                <w:rFonts w:ascii="宋体" w:hAnsi="宋体" w:cs="宋体"/>
                <w:kern w:val="0"/>
                <w:sz w:val="24"/>
              </w:rPr>
            </w:pPr>
            <w:r>
              <w:rPr>
                <w:rFonts w:ascii="宋体" w:hAnsi="宋体" w:cs="宋体"/>
                <w:sz w:val="24"/>
              </w:rPr>
              <w:t>2</w:t>
            </w:r>
            <w:r>
              <w:rPr>
                <w:rFonts w:hint="eastAsia" w:ascii="宋体" w:hAnsi="宋体" w:cs="宋体"/>
                <w:sz w:val="24"/>
              </w:rPr>
              <w:t>、</w:t>
            </w:r>
            <w:r>
              <w:rPr>
                <w:rFonts w:hint="eastAsia" w:ascii="宋体" w:hAnsi="宋体" w:cs="宋体"/>
                <w:kern w:val="0"/>
                <w:sz w:val="24"/>
              </w:rPr>
              <w:t>评估方案编制</w:t>
            </w:r>
          </w:p>
          <w:p>
            <w:pPr>
              <w:rPr>
                <w:rFonts w:ascii="宋体" w:hAnsi="宋体" w:cs="宋体"/>
                <w:kern w:val="0"/>
                <w:sz w:val="24"/>
              </w:rPr>
            </w:pPr>
            <w:r>
              <w:rPr>
                <w:rFonts w:hint="eastAsia" w:ascii="宋体" w:hAnsi="宋体" w:cs="宋体"/>
                <w:kern w:val="0"/>
                <w:sz w:val="24"/>
              </w:rPr>
              <w:t>识别并描述被测系统基本情况、确定测评对象、资产和威胁评估、系统定级结果和测评指标、确定检查点和检查方法、确定单元测评内容。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3" w:hRule="atLeast"/>
        </w:trPr>
        <w:tc>
          <w:tcPr>
            <w:tcW w:w="1536" w:type="dxa"/>
            <w:shd w:val="clear" w:color="auto" w:fill="auto"/>
            <w:noWrap w:val="0"/>
            <w:vAlign w:val="center"/>
          </w:tcPr>
          <w:p>
            <w:pPr>
              <w:rPr>
                <w:rFonts w:ascii="宋体" w:hAnsi="宋体" w:cs="宋体"/>
                <w:sz w:val="24"/>
              </w:rPr>
            </w:pPr>
            <w:r>
              <w:rPr>
                <w:rFonts w:hint="eastAsia" w:ascii="宋体" w:hAnsi="宋体" w:cs="宋体"/>
                <w:sz w:val="24"/>
              </w:rPr>
              <w:t>总体测评</w:t>
            </w:r>
          </w:p>
        </w:tc>
        <w:tc>
          <w:tcPr>
            <w:tcW w:w="7979" w:type="dxa"/>
            <w:shd w:val="clear" w:color="auto" w:fill="auto"/>
            <w:noWrap w:val="0"/>
            <w:vAlign w:val="center"/>
          </w:tcPr>
          <w:p>
            <w:pPr>
              <w:rPr>
                <w:rFonts w:ascii="宋体" w:hAnsi="宋体" w:cs="宋体"/>
                <w:sz w:val="24"/>
              </w:rPr>
            </w:pPr>
            <w:r>
              <w:rPr>
                <w:rFonts w:hint="eastAsia" w:ascii="宋体" w:hAnsi="宋体" w:cs="宋体"/>
                <w:kern w:val="0"/>
                <w:sz w:val="24"/>
              </w:rPr>
              <w:t>通过访谈、配置检查和工具测试的方式评估信息系统的密码算法、密码技术、密码产品和密码服务的合规性。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3" w:hRule="atLeast"/>
        </w:trPr>
        <w:tc>
          <w:tcPr>
            <w:tcW w:w="1536" w:type="dxa"/>
            <w:shd w:val="clear" w:color="auto" w:fill="auto"/>
            <w:noWrap w:val="0"/>
            <w:vAlign w:val="center"/>
          </w:tcPr>
          <w:p>
            <w:pPr>
              <w:rPr>
                <w:rFonts w:ascii="宋体" w:hAnsi="宋体" w:cs="宋体"/>
                <w:sz w:val="24"/>
              </w:rPr>
            </w:pPr>
            <w:r>
              <w:rPr>
                <w:rFonts w:hint="eastAsia" w:ascii="宋体" w:hAnsi="宋体" w:cs="宋体"/>
                <w:sz w:val="24"/>
              </w:rPr>
              <w:t>测评依据与验收</w:t>
            </w:r>
          </w:p>
        </w:tc>
        <w:tc>
          <w:tcPr>
            <w:tcW w:w="7979" w:type="dxa"/>
            <w:shd w:val="clear" w:color="auto" w:fill="auto"/>
            <w:noWrap w:val="0"/>
            <w:vAlign w:val="center"/>
          </w:tcPr>
          <w:p>
            <w:pPr>
              <w:rPr>
                <w:rFonts w:ascii="宋体" w:hAnsi="宋体" w:cs="宋体"/>
                <w:sz w:val="24"/>
              </w:rPr>
            </w:pPr>
            <w:r>
              <w:rPr>
                <w:rFonts w:hint="eastAsia" w:ascii="宋体" w:hAnsi="宋体" w:cs="宋体"/>
                <w:sz w:val="24"/>
              </w:rPr>
              <w:t>1、收集信息系统的基本资料后编制评估计划书，参照 《GM/T 0115-2021 信息系统密码应用测评要求》对密码应用方案展开形式审核、实质审核、技术和管理评估、初步量化等评估活动，在《问题记录表》填写相关问题描述和整改建议，将《问题记录表》提交给方案编制方。</w:t>
            </w:r>
          </w:p>
          <w:p>
            <w:pPr>
              <w:rPr>
                <w:rFonts w:ascii="宋体" w:hAnsi="宋体" w:cs="宋体"/>
                <w:sz w:val="24"/>
              </w:rPr>
            </w:pPr>
            <w:r>
              <w:rPr>
                <w:rFonts w:ascii="宋体" w:hAnsi="宋体" w:cs="宋体"/>
                <w:sz w:val="24"/>
              </w:rPr>
              <w:t>2</w:t>
            </w:r>
            <w:r>
              <w:rPr>
                <w:rFonts w:hint="eastAsia" w:ascii="宋体" w:hAnsi="宋体" w:cs="宋体"/>
                <w:sz w:val="24"/>
              </w:rPr>
              <w:t>、方案编制方按照整改建议进行修正，对修正后的密码应用方案进行审查，若密码应用方案仍然存在问题，宜重复评估方案和修正方案这两个任务。</w:t>
            </w:r>
          </w:p>
          <w:p>
            <w:pPr>
              <w:rPr>
                <w:rFonts w:ascii="宋体" w:hAnsi="宋体" w:cs="宋体"/>
                <w:sz w:val="24"/>
              </w:rPr>
            </w:pPr>
            <w:r>
              <w:rPr>
                <w:rFonts w:hint="eastAsia" w:ascii="宋体" w:hAnsi="宋体" w:cs="宋体"/>
                <w:sz w:val="24"/>
              </w:rPr>
              <w:t>3、依据GB/T 39786-2021《信息安全技术信息系统密码应用基本要求》等标准，对《xx系统密码应用解决方案》进行评审，并按照实际情况给出指导意见。最终出具《xx系统密码应用解决方案商用密码应用安全性评估报告》。</w:t>
            </w:r>
          </w:p>
          <w:p>
            <w:pPr>
              <w:pStyle w:val="609"/>
              <w:ind w:left="360" w:firstLine="0" w:firstLineChars="0"/>
              <w:rPr>
                <w:rFonts w:ascii="宋体" w:hAnsi="宋体" w:cs="宋体"/>
              </w:rPr>
            </w:pPr>
          </w:p>
        </w:tc>
      </w:tr>
    </w:tbl>
    <w:p>
      <w:pPr>
        <w:pStyle w:val="2"/>
        <w:numPr>
          <w:ilvl w:val="1"/>
          <w:numId w:val="9"/>
        </w:numPr>
        <w:spacing w:before="240" w:after="60" w:line="413" w:lineRule="auto"/>
      </w:pPr>
      <w:r>
        <w:rPr>
          <w:rFonts w:hint="eastAsia"/>
        </w:rPr>
        <w:t>商用密码应用安全性评估</w:t>
      </w:r>
    </w:p>
    <w:tbl>
      <w:tblPr>
        <w:tblStyle w:val="57"/>
        <w:tblW w:w="9515"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536" w:type="dxa"/>
            <w:shd w:val="clear" w:color="auto" w:fill="auto"/>
            <w:noWrap w:val="0"/>
            <w:vAlign w:val="center"/>
          </w:tcPr>
          <w:p>
            <w:pPr>
              <w:ind w:firstLine="241" w:firstLineChars="100"/>
              <w:rPr>
                <w:rFonts w:ascii="宋体" w:hAnsi="宋体" w:cs="宋体"/>
                <w:b/>
                <w:bCs/>
                <w:sz w:val="24"/>
              </w:rPr>
            </w:pPr>
            <w:r>
              <w:rPr>
                <w:rFonts w:hint="eastAsia" w:ascii="宋体" w:hAnsi="宋体" w:cs="宋体"/>
                <w:b/>
                <w:bCs/>
                <w:sz w:val="24"/>
              </w:rPr>
              <w:t>指标项</w:t>
            </w:r>
          </w:p>
        </w:tc>
        <w:tc>
          <w:tcPr>
            <w:tcW w:w="7979" w:type="dxa"/>
            <w:shd w:val="clear" w:color="auto" w:fill="auto"/>
            <w:noWrap w:val="0"/>
            <w:vAlign w:val="center"/>
          </w:tcPr>
          <w:p>
            <w:pPr>
              <w:ind w:firstLine="3132" w:firstLineChars="1300"/>
              <w:rPr>
                <w:rFonts w:ascii="宋体" w:hAnsi="宋体" w:cs="宋体"/>
                <w:b/>
                <w:bCs/>
                <w:sz w:val="24"/>
              </w:rPr>
            </w:pPr>
            <w:r>
              <w:rPr>
                <w:rFonts w:hint="eastAsia" w:ascii="宋体" w:hAnsi="宋体" w:cs="宋体"/>
                <w:b/>
                <w:bCs/>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536" w:type="dxa"/>
            <w:shd w:val="clear" w:color="auto" w:fill="auto"/>
            <w:noWrap w:val="0"/>
            <w:vAlign w:val="center"/>
          </w:tcPr>
          <w:p>
            <w:pPr>
              <w:rPr>
                <w:rFonts w:ascii="宋体" w:hAnsi="宋体" w:cs="宋体"/>
                <w:sz w:val="24"/>
              </w:rPr>
            </w:pPr>
            <w:r>
              <w:rPr>
                <w:rFonts w:hint="eastAsia" w:ascii="宋体" w:hAnsi="宋体" w:cs="宋体"/>
                <w:sz w:val="24"/>
              </w:rPr>
              <w:t>评估方案编制</w:t>
            </w:r>
          </w:p>
        </w:tc>
        <w:tc>
          <w:tcPr>
            <w:tcW w:w="7979" w:type="dxa"/>
            <w:shd w:val="clear" w:color="auto" w:fill="auto"/>
            <w:noWrap w:val="0"/>
            <w:vAlign w:val="center"/>
          </w:tcPr>
          <w:p>
            <w:pPr>
              <w:pStyle w:val="609"/>
              <w:ind w:firstLine="0" w:firstLineChars="0"/>
              <w:rPr>
                <w:rFonts w:ascii="宋体" w:hAnsi="宋体" w:cs="宋体"/>
              </w:rPr>
            </w:pPr>
            <w:r>
              <w:rPr>
                <w:rFonts w:hint="eastAsia" w:ascii="宋体" w:hAnsi="宋体" w:cs="宋体"/>
              </w:rPr>
              <w:t>1、准备阶段</w:t>
            </w:r>
          </w:p>
          <w:p>
            <w:pPr>
              <w:rPr>
                <w:rFonts w:ascii="宋体" w:hAnsi="宋体" w:cs="宋体"/>
                <w:sz w:val="24"/>
              </w:rPr>
            </w:pPr>
            <w:r>
              <w:rPr>
                <w:rFonts w:hint="eastAsia" w:ascii="宋体" w:hAnsi="宋体" w:cs="宋体"/>
                <w:sz w:val="24"/>
              </w:rPr>
              <w:t>编制项目计划书、收集被测系统基本资料并完成调查表格，分析调查结果，准备工具和评估表单。</w:t>
            </w:r>
          </w:p>
          <w:p>
            <w:pPr>
              <w:rPr>
                <w:rFonts w:ascii="宋体" w:hAnsi="宋体" w:cs="宋体"/>
                <w:kern w:val="0"/>
                <w:sz w:val="24"/>
              </w:rPr>
            </w:pPr>
            <w:r>
              <w:rPr>
                <w:rFonts w:ascii="宋体" w:hAnsi="宋体" w:cs="宋体"/>
                <w:sz w:val="24"/>
              </w:rPr>
              <w:t>2</w:t>
            </w:r>
            <w:r>
              <w:rPr>
                <w:rFonts w:hint="eastAsia" w:ascii="宋体" w:hAnsi="宋体" w:cs="宋体"/>
                <w:sz w:val="24"/>
              </w:rPr>
              <w:t>、</w:t>
            </w:r>
            <w:r>
              <w:rPr>
                <w:rFonts w:hint="eastAsia" w:ascii="宋体" w:hAnsi="宋体" w:cs="宋体"/>
                <w:kern w:val="0"/>
                <w:sz w:val="24"/>
              </w:rPr>
              <w:t>评估方案编制</w:t>
            </w:r>
          </w:p>
          <w:p>
            <w:pPr>
              <w:rPr>
                <w:rFonts w:ascii="宋体" w:hAnsi="宋体" w:cs="宋体"/>
                <w:kern w:val="0"/>
                <w:sz w:val="24"/>
              </w:rPr>
            </w:pPr>
            <w:r>
              <w:rPr>
                <w:rFonts w:hint="eastAsia" w:ascii="宋体" w:hAnsi="宋体" w:cs="宋体"/>
                <w:kern w:val="0"/>
                <w:sz w:val="24"/>
              </w:rPr>
              <w:t>识别并描述被测系统基本情况、确定测评对象、资产和威胁评估、系统定级结果和测评指标、确定检查点和检查方法、确定单元测评内容。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1536" w:type="dxa"/>
            <w:shd w:val="clear" w:color="auto" w:fill="auto"/>
            <w:noWrap w:val="0"/>
            <w:vAlign w:val="center"/>
          </w:tcPr>
          <w:p>
            <w:pPr>
              <w:rPr>
                <w:rFonts w:ascii="宋体" w:hAnsi="宋体" w:cs="宋体"/>
                <w:sz w:val="24"/>
              </w:rPr>
            </w:pPr>
            <w:r>
              <w:rPr>
                <w:rFonts w:hint="eastAsia" w:ascii="宋体" w:hAnsi="宋体" w:cs="宋体"/>
                <w:sz w:val="24"/>
              </w:rPr>
              <w:t>总体测评</w:t>
            </w:r>
          </w:p>
        </w:tc>
        <w:tc>
          <w:tcPr>
            <w:tcW w:w="7979" w:type="dxa"/>
            <w:shd w:val="clear" w:color="auto" w:fill="auto"/>
            <w:noWrap w:val="0"/>
            <w:vAlign w:val="center"/>
          </w:tcPr>
          <w:p>
            <w:pPr>
              <w:rPr>
                <w:rFonts w:ascii="宋体" w:hAnsi="宋体" w:cs="宋体"/>
                <w:sz w:val="24"/>
              </w:rPr>
            </w:pPr>
            <w:r>
              <w:rPr>
                <w:rFonts w:hint="eastAsia" w:ascii="宋体" w:hAnsi="宋体" w:cs="宋体"/>
                <w:kern w:val="0"/>
                <w:sz w:val="24"/>
              </w:rPr>
              <w:t>通过访谈、配置检查和工具测试的方式评估信息系统的密码算法、密码技术、密码产品和密码服务的合规性。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8" w:hRule="atLeast"/>
        </w:trPr>
        <w:tc>
          <w:tcPr>
            <w:tcW w:w="1536" w:type="dxa"/>
            <w:shd w:val="clear" w:color="auto" w:fill="auto"/>
            <w:noWrap w:val="0"/>
            <w:vAlign w:val="center"/>
          </w:tcPr>
          <w:p>
            <w:pPr>
              <w:rPr>
                <w:rFonts w:ascii="宋体" w:hAnsi="宋体" w:cs="宋体"/>
                <w:sz w:val="24"/>
              </w:rPr>
            </w:pPr>
            <w:r>
              <w:rPr>
                <w:rFonts w:hint="eastAsia" w:ascii="宋体" w:hAnsi="宋体" w:cs="宋体"/>
                <w:sz w:val="24"/>
              </w:rPr>
              <w:t>测评依据与验收</w:t>
            </w:r>
          </w:p>
        </w:tc>
        <w:tc>
          <w:tcPr>
            <w:tcW w:w="7979" w:type="dxa"/>
            <w:shd w:val="clear" w:color="auto" w:fill="auto"/>
            <w:noWrap w:val="0"/>
            <w:vAlign w:val="center"/>
          </w:tcPr>
          <w:p>
            <w:pPr>
              <w:rPr>
                <w:rFonts w:ascii="宋体" w:hAnsi="宋体" w:cs="宋体"/>
                <w:sz w:val="24"/>
              </w:rPr>
            </w:pPr>
            <w:r>
              <w:rPr>
                <w:rFonts w:hint="eastAsia" w:ascii="宋体" w:hAnsi="宋体" w:cs="宋体"/>
                <w:sz w:val="24"/>
              </w:rPr>
              <w:t>1、收集信息系统的基本资料后编制评估计划书，参照 《GM/T 0115-2021 信息系统密码应用测评要求》对密码应用方案展开形式审核、实质审核、技术和管理评估、初步量化等评估活动，在《问题记录表》填写相关问题描述和整改建议，将《问题记录表》提交给方案编制方。</w:t>
            </w:r>
          </w:p>
          <w:p>
            <w:pPr>
              <w:rPr>
                <w:rFonts w:ascii="宋体" w:hAnsi="宋体" w:cs="宋体"/>
                <w:sz w:val="24"/>
              </w:rPr>
            </w:pPr>
            <w:r>
              <w:rPr>
                <w:rFonts w:ascii="宋体" w:hAnsi="宋体" w:cs="宋体"/>
                <w:sz w:val="24"/>
              </w:rPr>
              <w:t>2</w:t>
            </w:r>
            <w:r>
              <w:rPr>
                <w:rFonts w:hint="eastAsia" w:ascii="宋体" w:hAnsi="宋体" w:cs="宋体"/>
                <w:sz w:val="24"/>
              </w:rPr>
              <w:t>、方案编制方按照整改建议进行修正，对修正后的密码应用方案进行审查，若密码应用方案仍然存在问题，宜重复评估方案和修正方案这两个任务。</w:t>
            </w:r>
          </w:p>
          <w:p>
            <w:pPr>
              <w:rPr>
                <w:rFonts w:ascii="宋体" w:hAnsi="宋体" w:cs="宋体"/>
                <w:sz w:val="24"/>
              </w:rPr>
            </w:pPr>
            <w:r>
              <w:rPr>
                <w:rFonts w:hint="eastAsia" w:ascii="宋体" w:hAnsi="宋体" w:cs="宋体"/>
                <w:sz w:val="24"/>
              </w:rPr>
              <w:t>3、依据GB/T 39786-2021《信息安全技术信息系统密码应用基本要求》等标准，对《xx系统密码应用解决方案》进行评审，并按照实际情况给出指导意见。最终出具《xx系统密码应用解决方案商用密码应用安全性评估报告》。</w:t>
            </w:r>
          </w:p>
        </w:tc>
      </w:tr>
    </w:tbl>
    <w:p>
      <w:pPr>
        <w:pStyle w:val="2"/>
        <w:numPr>
          <w:ilvl w:val="1"/>
          <w:numId w:val="9"/>
        </w:numPr>
        <w:spacing w:before="240" w:after="60" w:line="413" w:lineRule="auto"/>
      </w:pPr>
      <w:r>
        <w:rPr>
          <w:rFonts w:hint="eastAsia"/>
        </w:rPr>
        <w:t>数据集成服务要求</w:t>
      </w:r>
    </w:p>
    <w:tbl>
      <w:tblPr>
        <w:tblStyle w:val="57"/>
        <w:tblW w:w="9567"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ascii="宋体" w:hAnsi="宋体" w:cs="宋体"/>
                <w:b/>
                <w:bCs/>
                <w:sz w:val="24"/>
              </w:rPr>
            </w:pPr>
            <w:r>
              <w:rPr>
                <w:rFonts w:hint="eastAsia" w:ascii="宋体" w:hAnsi="宋体" w:cs="宋体"/>
                <w:b/>
                <w:bCs/>
                <w:sz w:val="24"/>
              </w:rPr>
              <w:t>技术指标</w:t>
            </w:r>
          </w:p>
        </w:tc>
        <w:tc>
          <w:tcPr>
            <w:tcW w:w="7842"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ascii="宋体" w:hAnsi="宋体" w:cs="宋体"/>
                <w:b/>
                <w:bCs/>
                <w:sz w:val="24"/>
              </w:rPr>
            </w:pPr>
            <w:r>
              <w:rPr>
                <w:rFonts w:hint="eastAsia" w:ascii="宋体" w:hAnsi="宋体" w:cs="宋体"/>
                <w:b/>
                <w:bCs/>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集成服务要求</w:t>
            </w: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含本项目所有设备安装调试；数据库安装与配置；主要指定制数据库安装配置方案，检查软件安装环境，安装数据库软件，完成数据库配置，并测试之；根据医院现有数据库，进行一次整体的规划，提供不同版本、不同厂商、不同结构数据库间的数据整合方案，以最优方式进行从老院区到新院区数据迁移；数据容灾备份与恢复实施；虚拟化平台安装配置；含项目实施过程中产生的所有辅材，含5年机房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rPr>
                <w:rFonts w:ascii="宋体" w:hAnsi="宋体" w:cs="宋体"/>
                <w:b/>
                <w:bCs/>
                <w:sz w:val="24"/>
              </w:rPr>
            </w:pPr>
            <w:r>
              <w:rPr>
                <w:rFonts w:hint="eastAsia" w:ascii="宋体" w:hAnsi="宋体" w:cs="宋体"/>
                <w:b/>
                <w:bCs/>
                <w:sz w:val="24"/>
              </w:rPr>
              <w:t>软件接口要求</w:t>
            </w: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spacing w:line="360" w:lineRule="auto"/>
              <w:rPr>
                <w:rFonts w:ascii="宋体" w:hAnsi="宋体" w:cs="宋体"/>
                <w:b/>
                <w:bCs/>
                <w:sz w:val="24"/>
              </w:rPr>
            </w:pPr>
            <w:r>
              <w:rPr>
                <w:rFonts w:hint="eastAsia" w:ascii="宋体" w:hAnsi="宋体" w:cs="宋体"/>
                <w:sz w:val="24"/>
              </w:rPr>
              <w:t>含所有软件和系统的迁移、对接接口费用。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restart"/>
            <w:tcBorders>
              <w:top w:val="single" w:color="auto" w:sz="4" w:space="0"/>
              <w:left w:val="single" w:color="auto" w:sz="4" w:space="0"/>
              <w:right w:val="single" w:color="auto" w:sz="4" w:space="0"/>
            </w:tcBorders>
            <w:shd w:val="clear" w:color="auto" w:fill="auto"/>
            <w:noWrap w:val="0"/>
            <w:vAlign w:val="top"/>
          </w:tcPr>
          <w:p>
            <w:pPr>
              <w:spacing w:line="360" w:lineRule="auto"/>
              <w:rPr>
                <w:rFonts w:ascii="宋体" w:hAnsi="宋体" w:cs="宋体"/>
                <w:b/>
                <w:bCs/>
                <w:color w:val="000000"/>
                <w:kern w:val="0"/>
                <w:sz w:val="24"/>
              </w:rPr>
            </w:pPr>
          </w:p>
          <w:p>
            <w:pPr>
              <w:spacing w:line="360" w:lineRule="auto"/>
              <w:rPr>
                <w:rFonts w:ascii="宋体" w:hAnsi="宋体" w:cs="宋体"/>
                <w:b/>
                <w:bCs/>
                <w:color w:val="000000"/>
                <w:kern w:val="0"/>
                <w:sz w:val="24"/>
              </w:rPr>
            </w:pPr>
          </w:p>
          <w:p>
            <w:pPr>
              <w:spacing w:line="360" w:lineRule="auto"/>
              <w:rPr>
                <w:rFonts w:ascii="宋体" w:hAnsi="宋体" w:cs="宋体"/>
                <w:b/>
                <w:bCs/>
                <w:color w:val="000000"/>
                <w:kern w:val="0"/>
                <w:sz w:val="24"/>
              </w:rPr>
            </w:pPr>
          </w:p>
          <w:p>
            <w:pPr>
              <w:spacing w:line="360" w:lineRule="auto"/>
              <w:rPr>
                <w:rFonts w:ascii="宋体" w:hAnsi="宋体" w:cs="宋体"/>
                <w:b/>
                <w:bCs/>
                <w:sz w:val="24"/>
              </w:rPr>
            </w:pPr>
            <w:r>
              <w:rPr>
                <w:rFonts w:hint="eastAsia" w:ascii="宋体" w:hAnsi="宋体" w:cs="宋体"/>
                <w:b/>
                <w:bCs/>
                <w:color w:val="000000"/>
                <w:kern w:val="0"/>
                <w:sz w:val="24"/>
              </w:rPr>
              <w:t>超声系统升级、内镜系统升级</w:t>
            </w: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特检应用服务器软件升级</w:t>
            </w:r>
          </w:p>
          <w:p>
            <w:pPr>
              <w:rPr>
                <w:rFonts w:ascii="宋体" w:hAnsi="宋体" w:cs="宋体"/>
                <w:sz w:val="24"/>
                <w:lang w:val="nl-NL"/>
              </w:rPr>
            </w:pPr>
            <w:r>
              <w:rPr>
                <w:rFonts w:hint="eastAsia" w:ascii="宋体" w:hAnsi="宋体" w:cs="宋体"/>
                <w:sz w:val="24"/>
              </w:rPr>
              <w:t>基于多层架构，数据留存、数据服务、用户交互层分离整个系统抽象成业务服务、文件服务、通讯服务，实现稳定的服务支持，支持分布式部署，根据业务分部动态调整应用服务器资源分配，符合医院信息安全管理要求，文件交互不得采用网络共享模式；</w:t>
            </w:r>
          </w:p>
          <w:p>
            <w:pPr>
              <w:rPr>
                <w:rFonts w:ascii="宋体" w:hAnsi="宋体" w:cs="宋体"/>
                <w:sz w:val="24"/>
              </w:rPr>
            </w:pPr>
            <w:r>
              <w:rPr>
                <w:rFonts w:hint="eastAsia" w:ascii="宋体" w:hAnsi="宋体" w:cs="宋体"/>
                <w:sz w:val="24"/>
              </w:rPr>
              <w:t>支持多种方式的影像存储管理方式（DICOM 格式、采集的 JPG 和动态格式）。</w:t>
            </w:r>
          </w:p>
          <w:p>
            <w:pPr>
              <w:rPr>
                <w:rFonts w:ascii="宋体" w:hAnsi="宋体" w:cs="宋体"/>
                <w:sz w:val="24"/>
              </w:rPr>
            </w:pPr>
            <w:r>
              <w:rPr>
                <w:rFonts w:hint="eastAsia" w:ascii="宋体" w:hAnsi="宋体" w:cs="宋体"/>
                <w:sz w:val="24"/>
              </w:rPr>
              <w:t>★支持集中模式到应急模式的切换，客户端与服务端出现通讯故障时，可以切换到本地应急（离线）模式，系统恢复后数据自动上传同步（提供应急切换界面截图）。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特检登记工作站软件</w:t>
            </w:r>
          </w:p>
          <w:p>
            <w:pPr>
              <w:rPr>
                <w:rFonts w:ascii="宋体" w:hAnsi="宋体" w:cs="宋体"/>
                <w:sz w:val="24"/>
              </w:rPr>
            </w:pPr>
            <w:r>
              <w:rPr>
                <w:rFonts w:hint="eastAsia" w:ascii="宋体" w:hAnsi="宋体" w:cs="宋体"/>
                <w:sz w:val="24"/>
              </w:rPr>
              <w:t>支持检查登记、登记取消、预约、预约取消、打印</w:t>
            </w:r>
          </w:p>
          <w:p>
            <w:pPr>
              <w:rPr>
                <w:rFonts w:ascii="宋体" w:hAnsi="宋体" w:cs="宋体"/>
                <w:sz w:val="24"/>
              </w:rPr>
            </w:pPr>
            <w:r>
              <w:rPr>
                <w:rFonts w:hint="eastAsia" w:ascii="宋体" w:hAnsi="宋体" w:cs="宋体"/>
                <w:sz w:val="24"/>
              </w:rPr>
              <w:t>支持电子申请单，可显示包括申请单号、注意事项、检查部位、过敏史、临床诊断等申请单详细信息</w:t>
            </w:r>
          </w:p>
          <w:p>
            <w:pPr>
              <w:rPr>
                <w:rFonts w:ascii="宋体" w:hAnsi="宋体" w:cs="宋体"/>
                <w:sz w:val="24"/>
              </w:rPr>
            </w:pPr>
            <w:r>
              <w:rPr>
                <w:rFonts w:hint="eastAsia" w:ascii="宋体" w:hAnsi="宋体" w:cs="宋体"/>
                <w:sz w:val="24"/>
              </w:rPr>
              <w:t>支持与排队叫号系统无缝连接，相同机房可按就诊类别分开排队</w:t>
            </w:r>
          </w:p>
          <w:p>
            <w:pPr>
              <w:rPr>
                <w:rFonts w:ascii="宋体" w:hAnsi="宋体" w:cs="宋体"/>
                <w:sz w:val="24"/>
              </w:rPr>
            </w:pPr>
            <w:r>
              <w:rPr>
                <w:rFonts w:hint="eastAsia" w:ascii="宋体" w:hAnsi="宋体" w:cs="宋体"/>
                <w:sz w:val="24"/>
              </w:rPr>
              <w:t>支持自动分配检查机房，支持排队管理和检查调度</w:t>
            </w:r>
          </w:p>
          <w:p>
            <w:pPr>
              <w:rPr>
                <w:rFonts w:ascii="宋体" w:hAnsi="宋体" w:cs="宋体"/>
                <w:sz w:val="24"/>
              </w:rPr>
            </w:pPr>
            <w:r>
              <w:rPr>
                <w:rFonts w:hint="eastAsia" w:ascii="宋体" w:hAnsi="宋体" w:cs="宋体"/>
                <w:sz w:val="24"/>
              </w:rPr>
              <w:t>支持 ID 登录、CA 登录选择，支持用户离开一定时间锁定屏幕，输入CA的 pin 码登录验证</w:t>
            </w:r>
          </w:p>
          <w:p>
            <w:pPr>
              <w:rPr>
                <w:rFonts w:ascii="宋体" w:hAnsi="宋体" w:cs="宋体"/>
                <w:sz w:val="24"/>
              </w:rPr>
            </w:pPr>
            <w:r>
              <w:rPr>
                <w:rFonts w:hint="eastAsia" w:ascii="宋体" w:hAnsi="宋体" w:cs="宋体"/>
                <w:sz w:val="24"/>
              </w:rPr>
              <w:t>支持超声独立编号和统一编号方式</w:t>
            </w:r>
          </w:p>
          <w:p>
            <w:pPr>
              <w:rPr>
                <w:rFonts w:ascii="宋体" w:hAnsi="宋体" w:cs="宋体"/>
                <w:sz w:val="24"/>
              </w:rPr>
            </w:pPr>
            <w:r>
              <w:rPr>
                <w:rFonts w:hint="eastAsia" w:ascii="宋体" w:hAnsi="宋体" w:cs="宋体"/>
                <w:sz w:val="24"/>
              </w:rPr>
              <w:t>支持登记时复诊病人信息自动提示，保证相同病人的编号相同</w:t>
            </w:r>
          </w:p>
          <w:p>
            <w:pPr>
              <w:rPr>
                <w:rFonts w:ascii="宋体" w:hAnsi="宋体" w:cs="宋体"/>
                <w:sz w:val="24"/>
              </w:rPr>
            </w:pPr>
            <w:r>
              <w:rPr>
                <w:rFonts w:hint="eastAsia" w:ascii="宋体" w:hAnsi="宋体" w:cs="宋体"/>
                <w:sz w:val="24"/>
              </w:rPr>
              <w:t>支持自定义登记时录入的字段，对于必填项采用特殊字符标识；且支持对输入的默认值进行锁定</w:t>
            </w:r>
          </w:p>
          <w:p>
            <w:pPr>
              <w:rPr>
                <w:rFonts w:ascii="宋体" w:hAnsi="宋体" w:cs="宋体"/>
                <w:sz w:val="24"/>
              </w:rPr>
            </w:pPr>
            <w:r>
              <w:rPr>
                <w:rFonts w:hint="eastAsia" w:ascii="宋体" w:hAnsi="宋体" w:cs="宋体"/>
                <w:sz w:val="24"/>
              </w:rPr>
              <w:t>支持输入项信息绑定，提高检查登记速度</w:t>
            </w:r>
          </w:p>
          <w:p>
            <w:pPr>
              <w:rPr>
                <w:rFonts w:ascii="宋体" w:hAnsi="宋体" w:cs="宋体"/>
                <w:sz w:val="24"/>
              </w:rPr>
            </w:pPr>
            <w:r>
              <w:rPr>
                <w:rFonts w:hint="eastAsia" w:ascii="宋体" w:hAnsi="宋体" w:cs="宋体"/>
                <w:sz w:val="24"/>
              </w:rPr>
              <w:t>支持各检查机房房间策略制定，包括每个检查机房的就绪准备数、优先检查部位、检查医生等</w:t>
            </w:r>
          </w:p>
          <w:p>
            <w:pPr>
              <w:rPr>
                <w:rFonts w:ascii="宋体" w:hAnsi="宋体" w:cs="宋体"/>
                <w:sz w:val="24"/>
              </w:rPr>
            </w:pPr>
            <w:r>
              <w:rPr>
                <w:rFonts w:hint="eastAsia" w:ascii="宋体" w:hAnsi="宋体" w:cs="宋体"/>
                <w:sz w:val="24"/>
              </w:rPr>
              <w:t>支持登记添加标签，例如：大床标记、下午检查、加班标记、怀孕标志等</w:t>
            </w:r>
          </w:p>
          <w:p>
            <w:pPr>
              <w:rPr>
                <w:rFonts w:ascii="宋体" w:hAnsi="宋体" w:cs="宋体"/>
                <w:sz w:val="24"/>
              </w:rPr>
            </w:pPr>
            <w:r>
              <w:rPr>
                <w:rFonts w:hint="eastAsia" w:ascii="宋体" w:hAnsi="宋体" w:cs="宋体"/>
                <w:sz w:val="24"/>
              </w:rPr>
              <w:t>登记模块相关功能支持快捷键操作，提升工作效率</w:t>
            </w:r>
          </w:p>
          <w:p>
            <w:pPr>
              <w:rPr>
                <w:rFonts w:ascii="宋体" w:hAnsi="宋体" w:cs="宋体"/>
                <w:sz w:val="24"/>
              </w:rPr>
            </w:pPr>
            <w:r>
              <w:rPr>
                <w:rFonts w:hint="eastAsia" w:ascii="宋体" w:hAnsi="宋体" w:cs="宋体"/>
                <w:sz w:val="24"/>
              </w:rPr>
              <w:t>支持导入表格进行批量登记</w:t>
            </w:r>
          </w:p>
          <w:p>
            <w:pPr>
              <w:rPr>
                <w:rFonts w:ascii="宋体" w:hAnsi="宋体" w:cs="宋体"/>
                <w:sz w:val="24"/>
              </w:rPr>
            </w:pPr>
            <w:r>
              <w:rPr>
                <w:rFonts w:hint="eastAsia" w:ascii="宋体" w:hAnsi="宋体" w:cs="宋体"/>
                <w:sz w:val="24"/>
              </w:rPr>
              <w:t>支持患者不同状态的列表显示，诊前准备队列、等待队列、就绪队列等更好的维护科室内检查秩序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sz w:val="24"/>
              </w:rPr>
            </w:pPr>
            <w:r>
              <w:rPr>
                <w:rFonts w:hint="eastAsia" w:ascii="宋体" w:hAnsi="宋体" w:cs="宋体"/>
                <w:sz w:val="24"/>
              </w:rPr>
              <w:t>特检报告工作站软件</w:t>
            </w:r>
          </w:p>
          <w:p>
            <w:pPr>
              <w:rPr>
                <w:rFonts w:ascii="宋体" w:hAnsi="宋体" w:cs="宋体"/>
                <w:sz w:val="24"/>
              </w:rPr>
            </w:pPr>
            <w:r>
              <w:rPr>
                <w:rFonts w:hint="eastAsia" w:ascii="宋体" w:hAnsi="宋体" w:cs="宋体"/>
                <w:sz w:val="24"/>
              </w:rPr>
              <w:t>支持静态图（单帧）、动态图（JpegLossLess、多帧）格式</w:t>
            </w:r>
          </w:p>
          <w:p>
            <w:pPr>
              <w:rPr>
                <w:rFonts w:ascii="宋体" w:hAnsi="宋体" w:cs="宋体"/>
                <w:sz w:val="24"/>
              </w:rPr>
            </w:pPr>
            <w:r>
              <w:rPr>
                <w:rFonts w:hint="eastAsia" w:ascii="宋体" w:hAnsi="宋体" w:cs="宋体"/>
                <w:sz w:val="24"/>
              </w:rPr>
              <w:t>支持同步和异步模式书写报告，异步状态下可以书写当前检查并采集下一个检查图像</w:t>
            </w:r>
          </w:p>
          <w:p>
            <w:pPr>
              <w:rPr>
                <w:rFonts w:ascii="宋体" w:hAnsi="宋体" w:cs="宋体"/>
                <w:sz w:val="24"/>
              </w:rPr>
            </w:pPr>
            <w:r>
              <w:rPr>
                <w:rFonts w:hint="eastAsia" w:ascii="宋体" w:hAnsi="宋体" w:cs="宋体"/>
                <w:sz w:val="24"/>
              </w:rPr>
              <w:t>支持多个检查医生共享同一台设备时的快速切换</w:t>
            </w:r>
          </w:p>
          <w:p>
            <w:pPr>
              <w:rPr>
                <w:rFonts w:ascii="宋体" w:hAnsi="宋体" w:cs="宋体"/>
                <w:sz w:val="24"/>
              </w:rPr>
            </w:pPr>
            <w:r>
              <w:rPr>
                <w:rFonts w:hint="eastAsia" w:ascii="宋体" w:hAnsi="宋体" w:cs="宋体"/>
                <w:sz w:val="24"/>
              </w:rPr>
              <w:t>支持多卡采集（双通道模式）</w:t>
            </w:r>
          </w:p>
          <w:p>
            <w:pPr>
              <w:rPr>
                <w:rFonts w:ascii="宋体" w:hAnsi="宋体" w:cs="宋体"/>
                <w:sz w:val="24"/>
              </w:rPr>
            </w:pPr>
            <w:r>
              <w:rPr>
                <w:rFonts w:hint="eastAsia" w:ascii="宋体" w:hAnsi="宋体" w:cs="宋体"/>
                <w:sz w:val="24"/>
              </w:rPr>
              <w:t>支持危急报告，可通过短信通知临床医生，且消息留底备查</w:t>
            </w:r>
          </w:p>
          <w:p>
            <w:pPr>
              <w:rPr>
                <w:rFonts w:ascii="宋体" w:hAnsi="宋体" w:cs="宋体"/>
                <w:sz w:val="24"/>
              </w:rPr>
            </w:pPr>
            <w:r>
              <w:rPr>
                <w:rFonts w:hint="eastAsia" w:ascii="宋体" w:hAnsi="宋体" w:cs="宋体"/>
                <w:sz w:val="24"/>
              </w:rPr>
              <w:t>支持危急值手动和自动预警模式</w:t>
            </w:r>
          </w:p>
          <w:p>
            <w:pPr>
              <w:rPr>
                <w:rFonts w:ascii="宋体" w:hAnsi="宋体" w:cs="宋体"/>
                <w:sz w:val="24"/>
              </w:rPr>
            </w:pPr>
            <w:r>
              <w:rPr>
                <w:rFonts w:hint="eastAsia" w:ascii="宋体" w:hAnsi="宋体" w:cs="宋体"/>
                <w:sz w:val="24"/>
              </w:rPr>
              <w:t>支持常用符号与常用词汇的快捷录入，报告书写支持选择有@关键字的书写模板， 点击@关键字，词典区域会显示对应的可选</w:t>
            </w:r>
          </w:p>
          <w:p>
            <w:pPr>
              <w:rPr>
                <w:rFonts w:ascii="宋体" w:hAnsi="宋体" w:cs="宋体"/>
                <w:sz w:val="24"/>
              </w:rPr>
            </w:pPr>
            <w:r>
              <w:rPr>
                <w:rFonts w:hint="eastAsia" w:ascii="宋体" w:hAnsi="宋体" w:cs="宋体"/>
                <w:sz w:val="24"/>
              </w:rPr>
              <w:t>★支持常规报告界面和所见即所得结构化报告界面，报告书写中可以随时调整输入框字体大小（提供所见所得结构化报告界面截图）</w:t>
            </w:r>
          </w:p>
          <w:p>
            <w:pPr>
              <w:rPr>
                <w:rFonts w:ascii="宋体" w:hAnsi="宋体" w:cs="宋体"/>
                <w:sz w:val="24"/>
              </w:rPr>
            </w:pPr>
            <w:r>
              <w:rPr>
                <w:rFonts w:hint="eastAsia" w:ascii="宋体" w:hAnsi="宋体" w:cs="宋体"/>
                <w:sz w:val="24"/>
              </w:rPr>
              <w:t>报告书写中，支持智能化的关键词提醒，以防出现左右、男女性征特点冲突等词语</w:t>
            </w:r>
          </w:p>
          <w:p>
            <w:pPr>
              <w:rPr>
                <w:rFonts w:ascii="宋体" w:hAnsi="宋体" w:cs="宋体"/>
                <w:sz w:val="24"/>
              </w:rPr>
            </w:pPr>
            <w:r>
              <w:rPr>
                <w:rFonts w:hint="eastAsia" w:ascii="宋体" w:hAnsi="宋体" w:cs="宋体"/>
                <w:sz w:val="24"/>
              </w:rPr>
              <w:t>系统支持关键字选择后是自动定位到下一个关键字位置</w:t>
            </w:r>
          </w:p>
          <w:p>
            <w:pPr>
              <w:rPr>
                <w:rFonts w:ascii="宋体" w:hAnsi="宋体" w:cs="宋体"/>
                <w:sz w:val="24"/>
              </w:rPr>
            </w:pPr>
            <w:r>
              <w:rPr>
                <w:rFonts w:hint="eastAsia" w:ascii="宋体" w:hAnsi="宋体" w:cs="宋体"/>
                <w:sz w:val="24"/>
              </w:rPr>
              <w:t>支持打印图文报告时，勾选后的影像会按照勾选的先后顺序打印在报告单上</w:t>
            </w:r>
          </w:p>
          <w:p>
            <w:pPr>
              <w:rPr>
                <w:rFonts w:ascii="宋体" w:hAnsi="宋体" w:cs="宋体"/>
                <w:sz w:val="24"/>
              </w:rPr>
            </w:pPr>
            <w:r>
              <w:rPr>
                <w:rFonts w:hint="eastAsia" w:ascii="宋体" w:hAnsi="宋体" w:cs="宋体"/>
                <w:sz w:val="24"/>
              </w:rPr>
              <w:t>支持病例导出和自定义导出（可自定义导出字段并保存方案）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特检管理工作站软件</w:t>
            </w:r>
          </w:p>
          <w:p>
            <w:pPr>
              <w:rPr>
                <w:rFonts w:ascii="宋体" w:hAnsi="宋体" w:cs="宋体"/>
                <w:sz w:val="24"/>
              </w:rPr>
            </w:pPr>
            <w:r>
              <w:rPr>
                <w:rFonts w:hint="eastAsia" w:ascii="宋体" w:hAnsi="宋体" w:cs="宋体"/>
                <w:sz w:val="24"/>
              </w:rPr>
              <w:t>支持用户分组及权限管理</w:t>
            </w:r>
          </w:p>
          <w:p>
            <w:pPr>
              <w:rPr>
                <w:rFonts w:ascii="宋体" w:hAnsi="宋体" w:cs="宋体"/>
                <w:sz w:val="24"/>
              </w:rPr>
            </w:pPr>
            <w:r>
              <w:rPr>
                <w:rFonts w:hint="eastAsia" w:ascii="宋体" w:hAnsi="宋体" w:cs="宋体"/>
                <w:sz w:val="24"/>
              </w:rPr>
              <w:t>支持科室排班管理</w:t>
            </w:r>
          </w:p>
          <w:p>
            <w:pPr>
              <w:rPr>
                <w:rFonts w:ascii="宋体" w:hAnsi="宋体" w:cs="宋体"/>
                <w:sz w:val="24"/>
              </w:rPr>
            </w:pPr>
            <w:r>
              <w:rPr>
                <w:rFonts w:hint="eastAsia" w:ascii="宋体" w:hAnsi="宋体" w:cs="宋体"/>
                <w:sz w:val="24"/>
              </w:rPr>
              <w:t>工作量统计查询，支持自定义查询：工作量报表/设备利用率/申请科室分布统计，支持明细查询；支持以病历号、患者编号、患者姓名、检查类型、检查项目、工作状态、时间段等多种条件自由组合查询</w:t>
            </w:r>
          </w:p>
          <w:p>
            <w:pPr>
              <w:rPr>
                <w:rFonts w:ascii="宋体" w:hAnsi="宋体" w:cs="宋体"/>
                <w:sz w:val="24"/>
              </w:rPr>
            </w:pPr>
            <w:r>
              <w:rPr>
                <w:rFonts w:hint="eastAsia" w:ascii="宋体" w:hAnsi="宋体" w:cs="宋体"/>
                <w:sz w:val="24"/>
              </w:rPr>
              <w:t>支持多种工作量统计方式：医生工作量、申请科室送检量、申请医生送检量统计</w:t>
            </w:r>
          </w:p>
          <w:p>
            <w:pPr>
              <w:rPr>
                <w:rFonts w:ascii="宋体" w:hAnsi="宋体" w:cs="宋体"/>
                <w:sz w:val="24"/>
              </w:rPr>
            </w:pPr>
            <w:r>
              <w:rPr>
                <w:rFonts w:hint="eastAsia" w:ascii="宋体" w:hAnsi="宋体" w:cs="宋体"/>
                <w:sz w:val="24"/>
              </w:rPr>
              <w:t>支持多种设备及费用统计：设备工作量、就诊类别工作量</w:t>
            </w:r>
          </w:p>
          <w:p>
            <w:pPr>
              <w:rPr>
                <w:rFonts w:ascii="宋体" w:hAnsi="宋体" w:cs="宋体"/>
                <w:sz w:val="24"/>
              </w:rPr>
            </w:pPr>
            <w:r>
              <w:rPr>
                <w:rFonts w:hint="eastAsia" w:ascii="宋体" w:hAnsi="宋体" w:cs="宋体"/>
                <w:sz w:val="24"/>
              </w:rPr>
              <w:t>支持各类费用汇总统计：送检科室费用、送检医生费用、就诊类别费用统计</w:t>
            </w:r>
          </w:p>
          <w:p>
            <w:pPr>
              <w:rPr>
                <w:rFonts w:ascii="宋体" w:hAnsi="宋体" w:cs="宋体"/>
                <w:sz w:val="24"/>
              </w:rPr>
            </w:pPr>
            <w:r>
              <w:rPr>
                <w:rFonts w:hint="eastAsia" w:ascii="宋体" w:hAnsi="宋体" w:cs="宋体"/>
                <w:sz w:val="24"/>
              </w:rPr>
              <w:t>支持各类其它管理统计：检查部位分布、阴阳性、疾病分布、年龄段等</w:t>
            </w:r>
          </w:p>
          <w:p>
            <w:pPr>
              <w:rPr>
                <w:rFonts w:ascii="宋体" w:hAnsi="宋体" w:cs="宋体"/>
                <w:sz w:val="24"/>
              </w:rPr>
            </w:pPr>
            <w:r>
              <w:rPr>
                <w:rFonts w:hint="eastAsia" w:ascii="宋体" w:hAnsi="宋体" w:cs="宋体"/>
                <w:sz w:val="24"/>
              </w:rPr>
              <w:t>支持各种统计的报表打印</w:t>
            </w:r>
          </w:p>
          <w:p>
            <w:pPr>
              <w:rPr>
                <w:rFonts w:ascii="宋体" w:hAnsi="宋体" w:cs="宋体"/>
                <w:sz w:val="24"/>
              </w:rPr>
            </w:pPr>
            <w:r>
              <w:rPr>
                <w:rFonts w:hint="eastAsia" w:ascii="宋体" w:hAnsi="宋体" w:cs="宋体"/>
                <w:sz w:val="24"/>
              </w:rPr>
              <w:t>数据字典维护项包括：检查项目，检查类型，医保类型，病人职业，请检科室，请检医生等，以支持管理者对常用输入项的快速录入</w:t>
            </w:r>
          </w:p>
          <w:p>
            <w:pPr>
              <w:rPr>
                <w:rFonts w:ascii="宋体" w:hAnsi="宋体" w:cs="宋体"/>
                <w:sz w:val="24"/>
              </w:rPr>
            </w:pPr>
            <w:r>
              <w:rPr>
                <w:rFonts w:hint="eastAsia" w:ascii="宋体" w:hAnsi="宋体" w:cs="宋体"/>
                <w:sz w:val="24"/>
              </w:rPr>
              <w:t>支持书写词库的维护，即可预先定义报告时的常用短语或短句，则在书写报告时通过点击就可加入到报告内容中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符合医院四级电子病历、互联互通四甲测评建设标准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bottom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提供三年原厂服务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restart"/>
            <w:tcBorders>
              <w:top w:val="single" w:color="auto" w:sz="4" w:space="0"/>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r>
              <w:rPr>
                <w:rFonts w:hint="eastAsia" w:ascii="宋体" w:hAnsi="宋体" w:cs="宋体"/>
                <w:b/>
                <w:bCs/>
                <w:color w:val="000000"/>
                <w:kern w:val="0"/>
                <w:sz w:val="24"/>
              </w:rPr>
              <w:t>病理升级（包含病理全流程系统）</w:t>
            </w: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病理服务器软件</w:t>
            </w:r>
          </w:p>
          <w:p>
            <w:pPr>
              <w:rPr>
                <w:rFonts w:ascii="宋体" w:hAnsi="宋体" w:cs="宋体"/>
                <w:sz w:val="24"/>
              </w:rPr>
            </w:pPr>
            <w:r>
              <w:rPr>
                <w:rFonts w:hint="eastAsia" w:ascii="宋体" w:hAnsi="宋体" w:cs="宋体"/>
                <w:sz w:val="24"/>
              </w:rPr>
              <w:t>基于多层架构，数据留存、数据服务、用户交互层分离</w:t>
            </w:r>
          </w:p>
          <w:p>
            <w:pPr>
              <w:rPr>
                <w:rFonts w:ascii="宋体" w:hAnsi="宋体" w:cs="宋体"/>
                <w:sz w:val="24"/>
              </w:rPr>
            </w:pPr>
            <w:r>
              <w:rPr>
                <w:rFonts w:hint="eastAsia" w:ascii="宋体" w:hAnsi="宋体" w:cs="宋体"/>
                <w:sz w:val="24"/>
              </w:rPr>
              <w:t>符合 DICOM3.0 标准，完整支持符合 DICOM 标准的成像设备和数据类型，系统平台设计能支持 DICOM 要求的数据处理、流程管理、网络发布、显示设置等。需能支持病理科室图像全部以 DICOM 标准进行存储和显示</w:t>
            </w:r>
          </w:p>
          <w:p>
            <w:pPr>
              <w:rPr>
                <w:rFonts w:ascii="宋体" w:hAnsi="宋体" w:cs="宋体"/>
                <w:sz w:val="24"/>
              </w:rPr>
            </w:pPr>
            <w:r>
              <w:rPr>
                <w:rFonts w:hint="eastAsia" w:ascii="宋体" w:hAnsi="宋体" w:cs="宋体"/>
                <w:sz w:val="24"/>
              </w:rPr>
              <w:t>支持分布式部署，根据业务分部动态调整应用服务器资源分配</w:t>
            </w:r>
          </w:p>
          <w:p>
            <w:pPr>
              <w:rPr>
                <w:rFonts w:ascii="宋体" w:hAnsi="宋体" w:cs="宋体"/>
                <w:sz w:val="24"/>
              </w:rPr>
            </w:pPr>
            <w:r>
              <w:rPr>
                <w:rFonts w:hint="eastAsia" w:ascii="宋体" w:hAnsi="宋体" w:cs="宋体"/>
                <w:sz w:val="24"/>
              </w:rPr>
              <w:t>符合医院信息安全管理要求，文件交互不得采用网络共享模式</w:t>
            </w:r>
          </w:p>
          <w:p>
            <w:pPr>
              <w:rPr>
                <w:rFonts w:ascii="宋体" w:hAnsi="宋体" w:cs="宋体"/>
                <w:sz w:val="24"/>
              </w:rPr>
            </w:pPr>
            <w:r>
              <w:rPr>
                <w:rFonts w:hint="eastAsia" w:ascii="宋体" w:hAnsi="宋体" w:cs="宋体"/>
                <w:sz w:val="24"/>
              </w:rPr>
              <w:t>支持日志记录</w:t>
            </w:r>
          </w:p>
          <w:p>
            <w:pPr>
              <w:rPr>
                <w:rFonts w:ascii="宋体" w:hAnsi="宋体" w:cs="宋体"/>
                <w:sz w:val="24"/>
              </w:rPr>
            </w:pPr>
            <w:r>
              <w:rPr>
                <w:rFonts w:hint="eastAsia" w:ascii="宋体" w:hAnsi="宋体" w:cs="宋体"/>
                <w:sz w:val="24"/>
              </w:rPr>
              <w:t>支持在线用户列举</w:t>
            </w:r>
          </w:p>
          <w:p>
            <w:pPr>
              <w:rPr>
                <w:rFonts w:ascii="宋体" w:hAnsi="宋体" w:cs="宋体"/>
                <w:sz w:val="24"/>
              </w:rPr>
            </w:pPr>
            <w:r>
              <w:rPr>
                <w:rFonts w:hint="eastAsia" w:ascii="宋体" w:hAnsi="宋体" w:cs="宋体"/>
                <w:sz w:val="24"/>
              </w:rPr>
              <w:t>支持 Windows2008 及以上版本系统（64 位）</w:t>
            </w:r>
          </w:p>
          <w:p>
            <w:pPr>
              <w:rPr>
                <w:rFonts w:ascii="宋体" w:hAnsi="宋体" w:cs="宋体"/>
                <w:sz w:val="24"/>
              </w:rPr>
            </w:pPr>
            <w:r>
              <w:rPr>
                <w:rFonts w:hint="eastAsia" w:ascii="宋体" w:hAnsi="宋体" w:cs="宋体"/>
                <w:sz w:val="24"/>
              </w:rPr>
              <w:t>用户身份认证管理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lang w:val="nl-NL"/>
              </w:rPr>
            </w:pPr>
            <w:r>
              <w:rPr>
                <w:rFonts w:hint="eastAsia" w:ascii="宋体" w:hAnsi="宋体" w:cs="宋体"/>
                <w:sz w:val="24"/>
                <w:lang w:val="nl-NL"/>
              </w:rPr>
              <w:t>标本管理工作流软件</w:t>
            </w:r>
          </w:p>
          <w:p>
            <w:pPr>
              <w:rPr>
                <w:rFonts w:ascii="宋体" w:hAnsi="宋体" w:cs="宋体"/>
                <w:sz w:val="24"/>
              </w:rPr>
            </w:pPr>
            <w:r>
              <w:rPr>
                <w:rFonts w:hint="eastAsia" w:ascii="宋体" w:hAnsi="宋体" w:cs="宋体"/>
                <w:sz w:val="24"/>
              </w:rPr>
              <w:t>支持标本采集时录入手术所见、镜下所见等模板内容</w:t>
            </w:r>
          </w:p>
          <w:p>
            <w:pPr>
              <w:rPr>
                <w:rFonts w:ascii="宋体" w:hAnsi="宋体" w:cs="宋体"/>
                <w:sz w:val="24"/>
              </w:rPr>
            </w:pPr>
            <w:r>
              <w:rPr>
                <w:rFonts w:hint="eastAsia" w:ascii="宋体" w:hAnsi="宋体" w:cs="宋体"/>
                <w:sz w:val="24"/>
              </w:rPr>
              <w:t>支持自定义修改维护模板内容</w:t>
            </w:r>
          </w:p>
          <w:p>
            <w:pPr>
              <w:rPr>
                <w:rFonts w:ascii="宋体" w:hAnsi="宋体" w:cs="宋体"/>
                <w:sz w:val="24"/>
              </w:rPr>
            </w:pPr>
            <w:r>
              <w:rPr>
                <w:rFonts w:hint="eastAsia" w:ascii="宋体" w:hAnsi="宋体" w:cs="宋体"/>
                <w:sz w:val="24"/>
              </w:rPr>
              <w:t>支持自动生成标本编码，且标本编码为唯一编码</w:t>
            </w:r>
          </w:p>
          <w:p>
            <w:pPr>
              <w:rPr>
                <w:rFonts w:ascii="宋体" w:hAnsi="宋体" w:cs="宋体"/>
                <w:sz w:val="24"/>
              </w:rPr>
            </w:pPr>
            <w:r>
              <w:rPr>
                <w:rFonts w:hint="eastAsia" w:ascii="宋体" w:hAnsi="宋体" w:cs="宋体"/>
                <w:sz w:val="24"/>
              </w:rPr>
              <w:t>支持通过图形的方式展示标本固定情况，固定状态可由不同颜色区分</w:t>
            </w:r>
          </w:p>
          <w:p>
            <w:pPr>
              <w:rPr>
                <w:rFonts w:ascii="宋体" w:hAnsi="宋体" w:cs="宋体"/>
                <w:sz w:val="24"/>
              </w:rPr>
            </w:pPr>
            <w:r>
              <w:rPr>
                <w:rFonts w:hint="eastAsia" w:ascii="宋体" w:hAnsi="宋体" w:cs="宋体"/>
                <w:sz w:val="24"/>
              </w:rPr>
              <w:t>支持通过列表形式展示标本固定情况</w:t>
            </w:r>
          </w:p>
          <w:p>
            <w:pPr>
              <w:rPr>
                <w:rFonts w:ascii="宋体" w:hAnsi="宋体" w:cs="宋体"/>
                <w:sz w:val="24"/>
              </w:rPr>
            </w:pPr>
            <w:r>
              <w:rPr>
                <w:rFonts w:hint="eastAsia" w:ascii="宋体" w:hAnsi="宋体" w:cs="宋体"/>
                <w:sz w:val="24"/>
              </w:rPr>
              <w:t>支持显示标本离体时间以及固定时间</w:t>
            </w:r>
          </w:p>
          <w:p>
            <w:pPr>
              <w:rPr>
                <w:rFonts w:ascii="宋体" w:hAnsi="宋体" w:cs="宋体"/>
                <w:sz w:val="24"/>
              </w:rPr>
            </w:pPr>
            <w:r>
              <w:rPr>
                <w:rFonts w:hint="eastAsia" w:ascii="宋体" w:hAnsi="宋体" w:cs="宋体"/>
                <w:sz w:val="24"/>
              </w:rPr>
              <w:t>支持通过图形的方式展示标本核查情况，核查进度可由不同颜色区分</w:t>
            </w:r>
          </w:p>
          <w:p>
            <w:pPr>
              <w:rPr>
                <w:rFonts w:ascii="宋体" w:hAnsi="宋体" w:cs="宋体"/>
                <w:sz w:val="24"/>
              </w:rPr>
            </w:pPr>
            <w:r>
              <w:rPr>
                <w:rFonts w:hint="eastAsia" w:ascii="宋体" w:hAnsi="宋体" w:cs="宋体"/>
                <w:sz w:val="24"/>
              </w:rPr>
              <w:t>支持通过列表形式展示标本核查情况</w:t>
            </w:r>
          </w:p>
          <w:p>
            <w:pPr>
              <w:rPr>
                <w:rFonts w:ascii="宋体" w:hAnsi="宋体" w:cs="宋体"/>
                <w:sz w:val="24"/>
              </w:rPr>
            </w:pPr>
            <w:r>
              <w:rPr>
                <w:rFonts w:hint="eastAsia" w:ascii="宋体" w:hAnsi="宋体" w:cs="宋体"/>
                <w:sz w:val="24"/>
              </w:rPr>
              <w:t>支持通过图形的方式展示标本送检情况，送检进度可由不同颜色区分</w:t>
            </w:r>
          </w:p>
          <w:p>
            <w:pPr>
              <w:rPr>
                <w:rFonts w:ascii="宋体" w:hAnsi="宋体" w:cs="宋体"/>
                <w:sz w:val="24"/>
              </w:rPr>
            </w:pPr>
            <w:r>
              <w:rPr>
                <w:rFonts w:hint="eastAsia" w:ascii="宋体" w:hAnsi="宋体" w:cs="宋体"/>
                <w:sz w:val="24"/>
              </w:rPr>
              <w:t>支持通过列表形式展示标本送检情况</w:t>
            </w:r>
          </w:p>
          <w:p>
            <w:pPr>
              <w:rPr>
                <w:rFonts w:ascii="宋体" w:hAnsi="宋体" w:cs="宋体"/>
                <w:sz w:val="24"/>
              </w:rPr>
            </w:pPr>
            <w:r>
              <w:rPr>
                <w:rFonts w:hint="eastAsia" w:ascii="宋体" w:hAnsi="宋体" w:cs="宋体"/>
                <w:sz w:val="24"/>
              </w:rPr>
              <w:t>★支持不合格标本管理：支持病理科不合格标本拒收，可录入拒收原因；支持临床医生查看不合格标本原因，可录入不合格标本处理措施。（提供软件界面截图）</w:t>
            </w:r>
          </w:p>
          <w:p>
            <w:pPr>
              <w:rPr>
                <w:rFonts w:ascii="宋体" w:hAnsi="宋体" w:cs="宋体"/>
                <w:sz w:val="24"/>
              </w:rPr>
            </w:pPr>
            <w:r>
              <w:rPr>
                <w:rFonts w:hint="eastAsia" w:ascii="宋体" w:hAnsi="宋体" w:cs="宋体"/>
                <w:sz w:val="24"/>
              </w:rPr>
              <w:t>不合格标本列表数据支持导出Excel</w:t>
            </w:r>
          </w:p>
          <w:p>
            <w:pPr>
              <w:rPr>
                <w:rFonts w:ascii="宋体" w:hAnsi="宋体" w:cs="宋体"/>
                <w:sz w:val="24"/>
              </w:rPr>
            </w:pPr>
            <w:r>
              <w:rPr>
                <w:rFonts w:hint="eastAsia" w:ascii="宋体" w:hAnsi="宋体" w:cs="宋体"/>
                <w:sz w:val="24"/>
              </w:rPr>
              <w:t>支持标本流转的流程跟踪，可查询标本流转过程中的操作医生及各环节完成时间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lang w:val="nl-NL"/>
              </w:rPr>
            </w:pPr>
            <w:r>
              <w:rPr>
                <w:rFonts w:hint="eastAsia" w:ascii="宋体" w:hAnsi="宋体" w:cs="宋体"/>
                <w:sz w:val="24"/>
                <w:lang w:val="nl-NL"/>
              </w:rPr>
              <w:t>标本接收工作站软件</w:t>
            </w:r>
          </w:p>
          <w:p>
            <w:pPr>
              <w:rPr>
                <w:rFonts w:ascii="宋体" w:hAnsi="宋体" w:cs="宋体"/>
                <w:sz w:val="24"/>
              </w:rPr>
            </w:pPr>
            <w:r>
              <w:rPr>
                <w:rFonts w:hint="eastAsia" w:ascii="宋体" w:hAnsi="宋体" w:cs="宋体"/>
                <w:sz w:val="24"/>
              </w:rPr>
              <w:t>支持标本的接收</w:t>
            </w:r>
          </w:p>
          <w:p>
            <w:pPr>
              <w:rPr>
                <w:rFonts w:ascii="宋体" w:hAnsi="宋体" w:cs="宋体"/>
                <w:sz w:val="24"/>
              </w:rPr>
            </w:pPr>
            <w:r>
              <w:rPr>
                <w:rFonts w:hint="eastAsia" w:ascii="宋体" w:hAnsi="宋体" w:cs="宋体"/>
                <w:sz w:val="24"/>
              </w:rPr>
              <w:t>支持标本清单管理</w:t>
            </w:r>
          </w:p>
          <w:p>
            <w:pPr>
              <w:rPr>
                <w:rFonts w:ascii="宋体" w:hAnsi="宋体" w:cs="宋体"/>
                <w:sz w:val="24"/>
              </w:rPr>
            </w:pPr>
            <w:r>
              <w:rPr>
                <w:rFonts w:hint="eastAsia" w:ascii="宋体" w:hAnsi="宋体" w:cs="宋体"/>
                <w:sz w:val="24"/>
              </w:rPr>
              <w:t>支持对接收标本进行质控管理</w:t>
            </w:r>
          </w:p>
          <w:p>
            <w:pPr>
              <w:rPr>
                <w:rFonts w:ascii="宋体" w:hAnsi="宋体" w:cs="宋体"/>
                <w:sz w:val="24"/>
              </w:rPr>
            </w:pPr>
            <w:r>
              <w:rPr>
                <w:rFonts w:hint="eastAsia" w:ascii="宋体" w:hAnsi="宋体" w:cs="宋体"/>
                <w:sz w:val="24"/>
              </w:rPr>
              <w:t>支持打印标本接收清单</w:t>
            </w:r>
          </w:p>
          <w:p>
            <w:pPr>
              <w:rPr>
                <w:rFonts w:ascii="宋体" w:hAnsi="宋体" w:cs="宋体"/>
                <w:sz w:val="24"/>
              </w:rPr>
            </w:pPr>
            <w:r>
              <w:rPr>
                <w:rFonts w:hint="eastAsia" w:ascii="宋体" w:hAnsi="宋体" w:cs="宋体"/>
                <w:sz w:val="24"/>
              </w:rPr>
              <w:t>支持标本信息查询</w:t>
            </w:r>
          </w:p>
          <w:p>
            <w:pPr>
              <w:rPr>
                <w:rFonts w:ascii="宋体" w:hAnsi="宋体" w:cs="宋体"/>
                <w:sz w:val="24"/>
              </w:rPr>
            </w:pPr>
            <w:r>
              <w:rPr>
                <w:rFonts w:hint="eastAsia" w:ascii="宋体" w:hAnsi="宋体" w:cs="宋体"/>
                <w:sz w:val="24"/>
              </w:rPr>
              <w:t>支持查询送检标本的临床申请信息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lang w:val="nl-NL"/>
              </w:rPr>
            </w:pPr>
            <w:r>
              <w:rPr>
                <w:rFonts w:hint="eastAsia" w:ascii="宋体" w:hAnsi="宋体" w:cs="宋体"/>
                <w:sz w:val="24"/>
                <w:lang w:val="nl-NL"/>
              </w:rPr>
              <w:t>登记工作站软件</w:t>
            </w:r>
          </w:p>
          <w:p>
            <w:pPr>
              <w:rPr>
                <w:rFonts w:ascii="宋体" w:hAnsi="宋体" w:cs="宋体"/>
                <w:sz w:val="24"/>
              </w:rPr>
            </w:pPr>
            <w:r>
              <w:rPr>
                <w:rFonts w:hint="eastAsia" w:ascii="宋体" w:hAnsi="宋体" w:cs="宋体"/>
                <w:sz w:val="24"/>
              </w:rPr>
              <w:t>支持常规病理、细胞学、肾穿细胞、液基细胞、穿刺、快速冰冻、HC2 HPVDNA 检测、宫颈 mRNA 检测、液基细胞学-非妇科类别、及外院会诊等项目的检查登记， 且检查项目可根据医院实际业务需求自定义添加</w:t>
            </w:r>
          </w:p>
          <w:p>
            <w:pPr>
              <w:rPr>
                <w:rFonts w:ascii="宋体" w:hAnsi="宋体" w:cs="宋体"/>
                <w:sz w:val="24"/>
              </w:rPr>
            </w:pPr>
            <w:r>
              <w:rPr>
                <w:rFonts w:hint="eastAsia" w:ascii="宋体" w:hAnsi="宋体" w:cs="宋体"/>
                <w:sz w:val="24"/>
              </w:rPr>
              <w:t>支持读取一维和二维条形码</w:t>
            </w:r>
          </w:p>
          <w:p>
            <w:pPr>
              <w:rPr>
                <w:rFonts w:ascii="宋体" w:hAnsi="宋体" w:cs="宋体"/>
                <w:sz w:val="24"/>
              </w:rPr>
            </w:pPr>
            <w:r>
              <w:rPr>
                <w:rFonts w:hint="eastAsia" w:ascii="宋体" w:hAnsi="宋体" w:cs="宋体"/>
                <w:sz w:val="24"/>
              </w:rPr>
              <w:t>支持检查项目在登记中的快速转换</w:t>
            </w:r>
          </w:p>
          <w:p>
            <w:pPr>
              <w:rPr>
                <w:rFonts w:ascii="宋体" w:hAnsi="宋体" w:cs="宋体"/>
                <w:sz w:val="24"/>
              </w:rPr>
            </w:pPr>
            <w:r>
              <w:rPr>
                <w:rFonts w:hint="eastAsia" w:ascii="宋体" w:hAnsi="宋体" w:cs="宋体"/>
                <w:sz w:val="24"/>
              </w:rPr>
              <w:t>支持病理号自动分配、同名查询、及漏号查询，确保病理号的唯一性</w:t>
            </w:r>
          </w:p>
          <w:p>
            <w:pPr>
              <w:rPr>
                <w:rFonts w:ascii="宋体" w:hAnsi="宋体" w:cs="宋体"/>
                <w:sz w:val="24"/>
              </w:rPr>
            </w:pPr>
            <w:r>
              <w:rPr>
                <w:rFonts w:hint="eastAsia" w:ascii="宋体" w:hAnsi="宋体" w:cs="宋体"/>
                <w:sz w:val="24"/>
              </w:rPr>
              <w:t>支持电子单登记模式，并可以扫描申请单以备后用</w:t>
            </w:r>
          </w:p>
          <w:p>
            <w:pPr>
              <w:rPr>
                <w:rFonts w:ascii="宋体" w:hAnsi="宋体" w:cs="宋体"/>
                <w:sz w:val="24"/>
              </w:rPr>
            </w:pPr>
            <w:r>
              <w:rPr>
                <w:rFonts w:hint="eastAsia" w:ascii="宋体" w:hAnsi="宋体" w:cs="宋体"/>
                <w:sz w:val="24"/>
              </w:rPr>
              <w:t>支持连续登记时的登记项目智能记忆和锁定功能</w:t>
            </w:r>
          </w:p>
          <w:p>
            <w:pPr>
              <w:rPr>
                <w:rFonts w:ascii="宋体" w:hAnsi="宋体" w:cs="宋体"/>
                <w:sz w:val="24"/>
              </w:rPr>
            </w:pPr>
            <w:r>
              <w:rPr>
                <w:rFonts w:hint="eastAsia" w:ascii="宋体" w:hAnsi="宋体" w:cs="宋体"/>
                <w:sz w:val="24"/>
              </w:rPr>
              <w:t>支持查询患者的历史病理检查信息</w:t>
            </w:r>
          </w:p>
          <w:p>
            <w:pPr>
              <w:rPr>
                <w:rFonts w:ascii="宋体" w:hAnsi="宋体" w:cs="宋体"/>
                <w:sz w:val="24"/>
              </w:rPr>
            </w:pPr>
            <w:r>
              <w:rPr>
                <w:rFonts w:hint="eastAsia" w:ascii="宋体" w:hAnsi="宋体" w:cs="宋体"/>
                <w:sz w:val="24"/>
              </w:rPr>
              <w:t>支持申请单、回执单、登记本等的打印，且打印格式支持自定义</w:t>
            </w:r>
          </w:p>
          <w:p>
            <w:pPr>
              <w:rPr>
                <w:rFonts w:ascii="宋体" w:hAnsi="宋体" w:cs="宋体"/>
                <w:sz w:val="24"/>
              </w:rPr>
            </w:pPr>
            <w:r>
              <w:rPr>
                <w:rFonts w:hint="eastAsia" w:ascii="宋体" w:hAnsi="宋体" w:cs="宋体"/>
                <w:sz w:val="24"/>
              </w:rPr>
              <w:t>支持检查预约，可查看手术预约安排</w:t>
            </w:r>
          </w:p>
          <w:p>
            <w:pPr>
              <w:rPr>
                <w:rFonts w:ascii="宋体" w:hAnsi="宋体" w:cs="宋体"/>
                <w:sz w:val="24"/>
              </w:rPr>
            </w:pPr>
            <w:r>
              <w:rPr>
                <w:rFonts w:hint="eastAsia" w:ascii="宋体" w:hAnsi="宋体" w:cs="宋体"/>
                <w:sz w:val="24"/>
              </w:rPr>
              <w:t>登记错误时可以删除，删除后病理号、冰冻号回收，可以再次使用。</w:t>
            </w:r>
          </w:p>
          <w:p>
            <w:pPr>
              <w:rPr>
                <w:rFonts w:ascii="宋体" w:hAnsi="宋体" w:cs="宋体"/>
                <w:sz w:val="24"/>
              </w:rPr>
            </w:pPr>
            <w:r>
              <w:rPr>
                <w:rFonts w:hint="eastAsia" w:ascii="宋体" w:hAnsi="宋体" w:cs="宋体"/>
                <w:sz w:val="24"/>
              </w:rPr>
              <w:t>已删除的记录可在“工作列表”模块中查看</w:t>
            </w:r>
          </w:p>
          <w:p>
            <w:pPr>
              <w:rPr>
                <w:rFonts w:ascii="宋体" w:hAnsi="宋体" w:cs="宋体"/>
                <w:sz w:val="24"/>
              </w:rPr>
            </w:pPr>
            <w:r>
              <w:rPr>
                <w:rFonts w:hint="eastAsia" w:ascii="宋体" w:hAnsi="宋体" w:cs="宋体"/>
                <w:sz w:val="24"/>
              </w:rPr>
              <w:t>登记时出现病理号重号有自动提示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lang w:val="nl-NL"/>
              </w:rPr>
            </w:pPr>
            <w:r>
              <w:rPr>
                <w:rFonts w:hint="eastAsia" w:ascii="宋体" w:hAnsi="宋体" w:cs="宋体"/>
                <w:sz w:val="24"/>
                <w:lang w:val="nl-NL"/>
              </w:rPr>
              <w:t>取材工作站软件</w:t>
            </w:r>
          </w:p>
          <w:p>
            <w:pPr>
              <w:rPr>
                <w:rFonts w:ascii="宋体" w:hAnsi="宋体" w:cs="宋体"/>
                <w:sz w:val="24"/>
              </w:rPr>
            </w:pPr>
            <w:r>
              <w:rPr>
                <w:rFonts w:hint="eastAsia" w:ascii="宋体" w:hAnsi="宋体" w:cs="宋体"/>
                <w:sz w:val="24"/>
              </w:rPr>
              <w:t>支持逐一扫码取材确认，未确认无法保存取材信息，避免取材数据不匹配</w:t>
            </w:r>
          </w:p>
          <w:p>
            <w:pPr>
              <w:rPr>
                <w:rFonts w:ascii="宋体" w:hAnsi="宋体" w:cs="宋体"/>
                <w:sz w:val="24"/>
              </w:rPr>
            </w:pPr>
            <w:r>
              <w:rPr>
                <w:rFonts w:hint="eastAsia" w:ascii="宋体" w:hAnsi="宋体" w:cs="宋体"/>
                <w:sz w:val="24"/>
              </w:rPr>
              <w:t>支持不合格标本的录入与统计</w:t>
            </w:r>
          </w:p>
          <w:p>
            <w:pPr>
              <w:rPr>
                <w:rFonts w:ascii="宋体" w:hAnsi="宋体" w:cs="宋体"/>
                <w:sz w:val="24"/>
              </w:rPr>
            </w:pPr>
            <w:r>
              <w:rPr>
                <w:rFonts w:hint="eastAsia" w:ascii="宋体" w:hAnsi="宋体" w:cs="宋体"/>
                <w:sz w:val="24"/>
              </w:rPr>
              <w:t>支持取材医生与记录人员的信息同步，取材医生扫描标本袋上二维码，记录人员电脑可实时同步显示患者信息及标本信息，并自动添加蜡块，提高工作效率和准确性</w:t>
            </w:r>
          </w:p>
          <w:p>
            <w:pPr>
              <w:rPr>
                <w:rFonts w:ascii="宋体" w:hAnsi="宋体" w:cs="宋体"/>
                <w:sz w:val="24"/>
              </w:rPr>
            </w:pPr>
            <w:r>
              <w:rPr>
                <w:rFonts w:hint="eastAsia" w:ascii="宋体" w:hAnsi="宋体" w:cs="宋体"/>
                <w:sz w:val="24"/>
              </w:rPr>
              <w:t>支持病理历史检查的查看</w:t>
            </w:r>
          </w:p>
          <w:p>
            <w:pPr>
              <w:rPr>
                <w:rFonts w:ascii="宋体" w:hAnsi="宋体" w:cs="宋体"/>
                <w:sz w:val="24"/>
              </w:rPr>
            </w:pPr>
            <w:r>
              <w:rPr>
                <w:rFonts w:hint="eastAsia" w:ascii="宋体" w:hAnsi="宋体" w:cs="宋体"/>
                <w:sz w:val="24"/>
              </w:rPr>
              <w:t>取材后病例状态自动变为“已取材”</w:t>
            </w:r>
          </w:p>
          <w:p>
            <w:pPr>
              <w:rPr>
                <w:rFonts w:ascii="宋体" w:hAnsi="宋体" w:cs="宋体"/>
                <w:sz w:val="24"/>
              </w:rPr>
            </w:pPr>
            <w:r>
              <w:rPr>
                <w:rFonts w:hint="eastAsia" w:ascii="宋体" w:hAnsi="宋体" w:cs="宋体"/>
                <w:sz w:val="24"/>
              </w:rPr>
              <w:t>标本大体图片能够实时显示，当记录人员点击采图之后，大体图片能够实时在取材医师显示屏进行显示</w:t>
            </w:r>
          </w:p>
          <w:p>
            <w:pPr>
              <w:rPr>
                <w:rFonts w:ascii="宋体" w:hAnsi="宋体" w:cs="宋体"/>
                <w:sz w:val="24"/>
              </w:rPr>
            </w:pPr>
            <w:r>
              <w:rPr>
                <w:rFonts w:hint="eastAsia" w:ascii="宋体" w:hAnsi="宋体" w:cs="宋体"/>
                <w:sz w:val="24"/>
              </w:rPr>
              <w:t>支持显示当前患者所有的包埋盒信息，当记录人员打印包埋盒之后，包埋盒信息能实时显示在右侧，已确认的包埋盒右下角绿色标注，未确认的包埋盒右下角红色标注，能够以图片和列表两种方式进行展示，并且可以自由切换</w:t>
            </w:r>
          </w:p>
          <w:p>
            <w:pPr>
              <w:rPr>
                <w:rFonts w:ascii="宋体" w:hAnsi="宋体" w:cs="宋体"/>
                <w:sz w:val="24"/>
              </w:rPr>
            </w:pPr>
            <w:r>
              <w:rPr>
                <w:rFonts w:hint="eastAsia" w:ascii="宋体" w:hAnsi="宋体" w:cs="宋体"/>
                <w:sz w:val="24"/>
              </w:rPr>
              <w:t>支持显示患者基本信息，并且能够实时显示总包埋盒数量以及当前操作的包埋盒序号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lang w:val="nl-NL"/>
              </w:rPr>
            </w:pPr>
            <w:r>
              <w:rPr>
                <w:rFonts w:hint="eastAsia" w:ascii="宋体" w:hAnsi="宋体" w:cs="宋体"/>
                <w:sz w:val="24"/>
                <w:lang w:val="nl-NL"/>
              </w:rPr>
              <w:t>报告工作站软件</w:t>
            </w:r>
          </w:p>
          <w:p>
            <w:pPr>
              <w:rPr>
                <w:rFonts w:ascii="宋体" w:hAnsi="宋体" w:cs="宋体"/>
                <w:sz w:val="24"/>
              </w:rPr>
            </w:pPr>
            <w:r>
              <w:rPr>
                <w:rFonts w:hint="eastAsia" w:ascii="宋体" w:hAnsi="宋体" w:cs="宋体"/>
                <w:sz w:val="24"/>
              </w:rPr>
              <w:t>支持扫描切片二维码即自动打开报告书写界面进行书写</w:t>
            </w:r>
          </w:p>
          <w:p>
            <w:pPr>
              <w:rPr>
                <w:rFonts w:ascii="宋体" w:hAnsi="宋体" w:cs="宋体"/>
                <w:sz w:val="24"/>
              </w:rPr>
            </w:pPr>
            <w:r>
              <w:rPr>
                <w:rFonts w:hint="eastAsia" w:ascii="宋体" w:hAnsi="宋体" w:cs="宋体"/>
                <w:sz w:val="24"/>
              </w:rPr>
              <w:t>支持对常规病理、细胞学、肾穿细胞、液基细胞、快速冰冻、HC2 HPV DNA 检测、宫颈 mRNA 检测、液基细胞学-非妇科、及外院会诊等检查项目的报告书写</w:t>
            </w:r>
          </w:p>
          <w:p>
            <w:pPr>
              <w:rPr>
                <w:rFonts w:ascii="宋体" w:hAnsi="宋体" w:cs="宋体"/>
                <w:sz w:val="24"/>
              </w:rPr>
            </w:pPr>
            <w:r>
              <w:rPr>
                <w:rFonts w:hint="eastAsia" w:ascii="宋体" w:hAnsi="宋体" w:cs="宋体"/>
                <w:sz w:val="24"/>
              </w:rPr>
              <w:t>支持根据患者的基本信息（如：病理号、就诊类别、门诊号、住院号、姓名等）、登记时间及报告状态等条件查询报告任务列表</w:t>
            </w:r>
          </w:p>
          <w:p>
            <w:pPr>
              <w:rPr>
                <w:rFonts w:ascii="宋体" w:hAnsi="宋体" w:cs="宋体"/>
                <w:sz w:val="24"/>
              </w:rPr>
            </w:pPr>
            <w:r>
              <w:rPr>
                <w:rFonts w:hint="eastAsia" w:ascii="宋体" w:hAnsi="宋体" w:cs="宋体"/>
                <w:sz w:val="24"/>
              </w:rPr>
              <w:t>支持报告医生在诊断中查阅相关信息和资料，包括：登记信息、取材信息、送检单、和相关检查、历史病理、及收藏的特殊病例等，且支持查阅同名病例，以协助排查和诊断</w:t>
            </w:r>
          </w:p>
          <w:p>
            <w:pPr>
              <w:rPr>
                <w:rFonts w:ascii="宋体" w:hAnsi="宋体" w:cs="宋体"/>
                <w:sz w:val="24"/>
              </w:rPr>
            </w:pPr>
            <w:r>
              <w:rPr>
                <w:rFonts w:hint="eastAsia" w:ascii="宋体" w:hAnsi="宋体" w:cs="宋体"/>
                <w:sz w:val="24"/>
              </w:rPr>
              <w:t>支持报告任务按状态进行标记和查询，方便医生统计和筛查报告完成情况</w:t>
            </w:r>
          </w:p>
          <w:p>
            <w:pPr>
              <w:rPr>
                <w:rFonts w:ascii="宋体" w:hAnsi="宋体" w:cs="宋体"/>
                <w:sz w:val="24"/>
              </w:rPr>
            </w:pPr>
            <w:r>
              <w:rPr>
                <w:rFonts w:hint="eastAsia" w:ascii="宋体" w:hAnsi="宋体" w:cs="宋体"/>
                <w:sz w:val="24"/>
              </w:rPr>
              <w:t>使用光学摄像头或带标准 TWAIN32 接口的数码摄像头，可实时浏览、采集和保存镜下图像，对图像进行测量、标注功能</w:t>
            </w:r>
          </w:p>
          <w:p>
            <w:pPr>
              <w:rPr>
                <w:rFonts w:ascii="宋体" w:hAnsi="宋体" w:cs="宋体"/>
                <w:sz w:val="24"/>
              </w:rPr>
            </w:pPr>
            <w:r>
              <w:rPr>
                <w:rFonts w:hint="eastAsia" w:ascii="宋体" w:hAnsi="宋体" w:cs="宋体"/>
                <w:sz w:val="24"/>
              </w:rPr>
              <w:t>支持卫生部病理组织学检测八类固定格式诊断模式、分子病理荧光检测（FISH）模式等二十多种报告模板</w:t>
            </w:r>
          </w:p>
          <w:p>
            <w:pPr>
              <w:rPr>
                <w:rFonts w:ascii="宋体" w:hAnsi="宋体" w:cs="宋体"/>
                <w:sz w:val="24"/>
              </w:rPr>
            </w:pPr>
            <w:r>
              <w:rPr>
                <w:rFonts w:hint="eastAsia" w:ascii="宋体" w:hAnsi="宋体" w:cs="宋体"/>
                <w:sz w:val="24"/>
              </w:rPr>
              <w:t>病理诊断中遇到疑难病例，支持发起科内会诊，并可以把会诊结论保存至报告中</w:t>
            </w:r>
          </w:p>
          <w:p>
            <w:pPr>
              <w:rPr>
                <w:rFonts w:ascii="宋体" w:hAnsi="宋体" w:cs="宋体"/>
                <w:sz w:val="24"/>
              </w:rPr>
            </w:pPr>
            <w:r>
              <w:rPr>
                <w:rFonts w:hint="eastAsia" w:ascii="宋体" w:hAnsi="宋体" w:cs="宋体"/>
                <w:sz w:val="24"/>
              </w:rPr>
              <w:t>支持单个或批量采集图像，并可以设置自动跳到下一个患者进行采集，支持DICOM、JPG 等格式的图像，采集后以缩略图形式显示</w:t>
            </w:r>
          </w:p>
          <w:p>
            <w:pPr>
              <w:rPr>
                <w:rFonts w:ascii="宋体" w:hAnsi="宋体" w:cs="宋体"/>
                <w:sz w:val="24"/>
              </w:rPr>
            </w:pPr>
            <w:r>
              <w:rPr>
                <w:rFonts w:hint="eastAsia" w:ascii="宋体" w:hAnsi="宋体" w:cs="宋体"/>
                <w:sz w:val="24"/>
              </w:rPr>
              <w:t>★支持切片制作的质控评分，且评分指标可以自定义（提供软件界面截图）</w:t>
            </w:r>
          </w:p>
          <w:p>
            <w:pPr>
              <w:rPr>
                <w:rFonts w:ascii="宋体" w:hAnsi="宋体" w:cs="宋体"/>
                <w:sz w:val="24"/>
              </w:rPr>
            </w:pPr>
            <w:r>
              <w:rPr>
                <w:rFonts w:hint="eastAsia" w:ascii="宋体" w:hAnsi="宋体" w:cs="宋体"/>
                <w:sz w:val="24"/>
              </w:rPr>
              <w:t>支持特殊病例的标记和收藏，供科研和学习使用</w:t>
            </w:r>
          </w:p>
          <w:p>
            <w:pPr>
              <w:rPr>
                <w:rFonts w:ascii="宋体" w:hAnsi="宋体" w:cs="宋体"/>
                <w:sz w:val="24"/>
              </w:rPr>
            </w:pPr>
            <w:r>
              <w:rPr>
                <w:rFonts w:hint="eastAsia" w:ascii="宋体" w:hAnsi="宋体" w:cs="宋体"/>
                <w:sz w:val="24"/>
              </w:rPr>
              <w:t>支持对接玻片扫描仪，支持病理数字切片的显示，支持 PC 端和移动端</w:t>
            </w:r>
          </w:p>
          <w:p>
            <w:pPr>
              <w:rPr>
                <w:rFonts w:ascii="宋体" w:hAnsi="宋体" w:cs="宋体"/>
                <w:sz w:val="24"/>
              </w:rPr>
            </w:pPr>
            <w:r>
              <w:rPr>
                <w:rFonts w:hint="eastAsia" w:ascii="宋体" w:hAnsi="宋体" w:cs="宋体"/>
                <w:sz w:val="24"/>
              </w:rPr>
              <w:t>支持针对不同镜头快速设置采集参数（曝光度，亮度，三色增益等）</w:t>
            </w:r>
          </w:p>
          <w:p>
            <w:pPr>
              <w:rPr>
                <w:rFonts w:ascii="宋体" w:hAnsi="宋体" w:cs="宋体"/>
                <w:sz w:val="24"/>
              </w:rPr>
            </w:pPr>
            <w:r>
              <w:rPr>
                <w:rFonts w:hint="eastAsia" w:ascii="宋体" w:hAnsi="宋体" w:cs="宋体"/>
                <w:sz w:val="24"/>
              </w:rPr>
              <w:t>适应病理报告三级医生负责制</w:t>
            </w:r>
          </w:p>
          <w:p>
            <w:pPr>
              <w:rPr>
                <w:rFonts w:ascii="宋体" w:hAnsi="宋体" w:cs="宋体"/>
                <w:sz w:val="24"/>
              </w:rPr>
            </w:pPr>
            <w:r>
              <w:rPr>
                <w:rFonts w:hint="eastAsia" w:ascii="宋体" w:hAnsi="宋体" w:cs="宋体"/>
                <w:sz w:val="24"/>
              </w:rPr>
              <w:t>随访标记，系统会自动进行提示，可录入并保存随访结果，并可继续随访或结束随访</w:t>
            </w:r>
          </w:p>
          <w:p>
            <w:pPr>
              <w:rPr>
                <w:rFonts w:ascii="宋体" w:hAnsi="宋体" w:cs="宋体"/>
                <w:sz w:val="24"/>
              </w:rPr>
            </w:pPr>
            <w:r>
              <w:rPr>
                <w:rFonts w:hint="eastAsia" w:ascii="宋体" w:hAnsi="宋体" w:cs="宋体"/>
                <w:sz w:val="24"/>
              </w:rPr>
              <w:t>流程中自动生成“已采图”、“已写报告”、“已审核”、“已打印”、“报告延期”等检查状态，并以不同颜色表示</w:t>
            </w:r>
          </w:p>
          <w:p>
            <w:pPr>
              <w:rPr>
                <w:rFonts w:ascii="宋体" w:hAnsi="宋体" w:cs="宋体"/>
                <w:sz w:val="24"/>
              </w:rPr>
            </w:pPr>
            <w:r>
              <w:rPr>
                <w:rFonts w:hint="eastAsia" w:ascii="宋体" w:hAnsi="宋体" w:cs="宋体"/>
                <w:sz w:val="24"/>
              </w:rPr>
              <w:t>报告自动锁，一份检查只允许被一个报告工作站打开，防止覆盖报告。报告锁定时，其他工作站可查看、打印报告</w:t>
            </w:r>
          </w:p>
          <w:p>
            <w:pPr>
              <w:rPr>
                <w:rFonts w:ascii="宋体" w:hAnsi="宋体" w:cs="宋体"/>
                <w:sz w:val="24"/>
              </w:rPr>
            </w:pPr>
            <w:r>
              <w:rPr>
                <w:rFonts w:hint="eastAsia" w:ascii="宋体" w:hAnsi="宋体" w:cs="宋体"/>
                <w:sz w:val="24"/>
              </w:rPr>
              <w:t>重要报告痕迹后台记录和溯源查询功能，并支持历史报告版本对比功能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免疫组化工作站软件</w:t>
            </w:r>
          </w:p>
          <w:p>
            <w:pPr>
              <w:rPr>
                <w:rFonts w:ascii="宋体" w:hAnsi="宋体" w:cs="宋体"/>
                <w:sz w:val="24"/>
              </w:rPr>
            </w:pPr>
            <w:r>
              <w:rPr>
                <w:rFonts w:hint="eastAsia" w:ascii="宋体" w:hAnsi="宋体" w:cs="宋体"/>
                <w:sz w:val="24"/>
              </w:rPr>
              <w:t>支持完成免疫组化申请后无需审批可直接进入报告书写界面</w:t>
            </w:r>
          </w:p>
          <w:p>
            <w:pPr>
              <w:rPr>
                <w:rFonts w:ascii="宋体" w:hAnsi="宋体" w:cs="宋体"/>
                <w:sz w:val="24"/>
              </w:rPr>
            </w:pPr>
            <w:r>
              <w:rPr>
                <w:rFonts w:hint="eastAsia" w:ascii="宋体" w:hAnsi="宋体" w:cs="宋体"/>
                <w:sz w:val="24"/>
              </w:rPr>
              <w:t>可以通过申请/签收/登记/报告/审核日期、免疫号、申请医生、报告医生、病人姓名、住院号、门诊号、病历号、送检医生、病区、床号、请检医院、就诊类别等来查询特检申请记录</w:t>
            </w:r>
          </w:p>
          <w:p>
            <w:pPr>
              <w:rPr>
                <w:rFonts w:ascii="宋体" w:hAnsi="宋体" w:cs="宋体"/>
                <w:sz w:val="24"/>
              </w:rPr>
            </w:pPr>
            <w:r>
              <w:rPr>
                <w:rFonts w:hint="eastAsia" w:ascii="宋体" w:hAnsi="宋体" w:cs="宋体"/>
                <w:sz w:val="24"/>
              </w:rPr>
              <w:t>支持在申请列表中点击“试剂结果录入”录入特检结果，添加到诊断结果中</w:t>
            </w:r>
          </w:p>
          <w:p>
            <w:pPr>
              <w:rPr>
                <w:rFonts w:ascii="宋体" w:hAnsi="宋体" w:cs="宋体"/>
                <w:sz w:val="24"/>
              </w:rPr>
            </w:pPr>
            <w:r>
              <w:rPr>
                <w:rFonts w:hint="eastAsia" w:ascii="宋体" w:hAnsi="宋体" w:cs="宋体"/>
                <w:sz w:val="24"/>
              </w:rPr>
              <w:t>支持查看送检单，修改登记信息，查看操作日志</w:t>
            </w:r>
          </w:p>
          <w:p>
            <w:pPr>
              <w:rPr>
                <w:rFonts w:ascii="宋体" w:hAnsi="宋体" w:cs="宋体"/>
                <w:sz w:val="24"/>
              </w:rPr>
            </w:pPr>
            <w:r>
              <w:rPr>
                <w:rFonts w:hint="eastAsia" w:ascii="宋体" w:hAnsi="宋体" w:cs="宋体"/>
                <w:sz w:val="24"/>
              </w:rPr>
              <w:t>支持根据查询条件，查询出已书写状态下的患者，进行批量审核，并可自动打印已审核报告</w:t>
            </w:r>
          </w:p>
          <w:p>
            <w:pPr>
              <w:rPr>
                <w:rFonts w:ascii="宋体" w:hAnsi="宋体" w:cs="宋体"/>
                <w:sz w:val="24"/>
              </w:rPr>
            </w:pPr>
            <w:r>
              <w:rPr>
                <w:rFonts w:hint="eastAsia" w:ascii="宋体" w:hAnsi="宋体" w:cs="宋体"/>
                <w:sz w:val="24"/>
              </w:rPr>
              <w:t>支持标签打印功能</w:t>
            </w:r>
          </w:p>
          <w:p>
            <w:pPr>
              <w:rPr>
                <w:rFonts w:ascii="宋体" w:hAnsi="宋体" w:cs="宋体"/>
                <w:sz w:val="24"/>
              </w:rPr>
            </w:pPr>
            <w:r>
              <w:rPr>
                <w:rFonts w:hint="eastAsia" w:ascii="宋体" w:hAnsi="宋体" w:cs="宋体"/>
                <w:sz w:val="24"/>
              </w:rPr>
              <w:t>支持对特检套餐维护</w:t>
            </w:r>
          </w:p>
          <w:p>
            <w:pPr>
              <w:rPr>
                <w:rFonts w:ascii="宋体" w:hAnsi="宋体" w:cs="宋体"/>
                <w:sz w:val="24"/>
              </w:rPr>
            </w:pPr>
            <w:r>
              <w:rPr>
                <w:rFonts w:hint="eastAsia" w:ascii="宋体" w:hAnsi="宋体" w:cs="宋体"/>
                <w:sz w:val="24"/>
              </w:rPr>
              <w:t>支持自动生成特检号，同时可批量生成特检号</w:t>
            </w:r>
          </w:p>
          <w:p>
            <w:pPr>
              <w:rPr>
                <w:rFonts w:ascii="宋体" w:hAnsi="宋体" w:cs="宋体"/>
                <w:sz w:val="24"/>
              </w:rPr>
            </w:pPr>
            <w:r>
              <w:rPr>
                <w:rFonts w:hint="eastAsia" w:ascii="宋体" w:hAnsi="宋体" w:cs="宋体"/>
                <w:sz w:val="24"/>
              </w:rPr>
              <w:t>支持打印特检申请单，同时可批量打印特检申请单</w:t>
            </w:r>
          </w:p>
          <w:p>
            <w:pPr>
              <w:rPr>
                <w:rFonts w:ascii="宋体" w:hAnsi="宋体" w:cs="宋体"/>
                <w:sz w:val="24"/>
              </w:rPr>
            </w:pPr>
            <w:r>
              <w:rPr>
                <w:rFonts w:hint="eastAsia" w:ascii="宋体" w:hAnsi="宋体" w:cs="宋体"/>
                <w:sz w:val="24"/>
              </w:rPr>
              <w:t>未交费的特检申请能够自动标记为为收费状态，并可查看为收费申请列表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分子病理工作站软件</w:t>
            </w:r>
          </w:p>
          <w:p>
            <w:pPr>
              <w:rPr>
                <w:rFonts w:ascii="宋体" w:hAnsi="宋体" w:cs="宋体"/>
                <w:sz w:val="24"/>
              </w:rPr>
            </w:pPr>
            <w:r>
              <w:rPr>
                <w:rFonts w:hint="eastAsia" w:ascii="宋体" w:hAnsi="宋体" w:cs="宋体"/>
                <w:sz w:val="24"/>
              </w:rPr>
              <w:t>支持完成分子病理申请后无需审批可直接进入报告书写界面</w:t>
            </w:r>
          </w:p>
          <w:p>
            <w:pPr>
              <w:rPr>
                <w:rFonts w:ascii="宋体" w:hAnsi="宋体" w:cs="宋体"/>
                <w:sz w:val="24"/>
              </w:rPr>
            </w:pPr>
            <w:r>
              <w:rPr>
                <w:rFonts w:hint="eastAsia" w:ascii="宋体" w:hAnsi="宋体" w:cs="宋体"/>
                <w:sz w:val="24"/>
              </w:rPr>
              <w:t>可以通过申请/签收/登记/报告/审核日期、免疫号、申请医生、报告医生、病人姓名、住院号、门诊号、病历号、送检医生、病区、床号、请检医院、就诊类别等来查询特检申请记录</w:t>
            </w:r>
          </w:p>
          <w:p>
            <w:pPr>
              <w:rPr>
                <w:rFonts w:ascii="宋体" w:hAnsi="宋体" w:cs="宋体"/>
                <w:sz w:val="24"/>
              </w:rPr>
            </w:pPr>
            <w:r>
              <w:rPr>
                <w:rFonts w:hint="eastAsia" w:ascii="宋体" w:hAnsi="宋体" w:cs="宋体"/>
                <w:sz w:val="24"/>
              </w:rPr>
              <w:t>支持在申请列表中点击“试剂结果录入”录入特检结果，添加到诊断结果中</w:t>
            </w:r>
          </w:p>
          <w:p>
            <w:pPr>
              <w:rPr>
                <w:rFonts w:ascii="宋体" w:hAnsi="宋体" w:cs="宋体"/>
                <w:sz w:val="24"/>
              </w:rPr>
            </w:pPr>
            <w:r>
              <w:rPr>
                <w:rFonts w:hint="eastAsia" w:ascii="宋体" w:hAnsi="宋体" w:cs="宋体"/>
                <w:sz w:val="24"/>
              </w:rPr>
              <w:t>支持查看送检单，修改登记信息，查看操作日志</w:t>
            </w:r>
          </w:p>
          <w:p>
            <w:pPr>
              <w:rPr>
                <w:rFonts w:ascii="宋体" w:hAnsi="宋体" w:cs="宋体"/>
                <w:sz w:val="24"/>
              </w:rPr>
            </w:pPr>
            <w:r>
              <w:rPr>
                <w:rFonts w:hint="eastAsia" w:ascii="宋体" w:hAnsi="宋体" w:cs="宋体"/>
                <w:sz w:val="24"/>
              </w:rPr>
              <w:t>支持根据查询条件，查询出已书写状态下的患者，进行批量审核，并可自动打印已审核报告</w:t>
            </w:r>
          </w:p>
          <w:p>
            <w:pPr>
              <w:rPr>
                <w:rFonts w:ascii="宋体" w:hAnsi="宋体" w:cs="宋体"/>
                <w:sz w:val="24"/>
              </w:rPr>
            </w:pPr>
            <w:r>
              <w:rPr>
                <w:rFonts w:hint="eastAsia" w:ascii="宋体" w:hAnsi="宋体" w:cs="宋体"/>
                <w:sz w:val="24"/>
              </w:rPr>
              <w:t>支持标签打印功能</w:t>
            </w:r>
          </w:p>
          <w:p>
            <w:pPr>
              <w:rPr>
                <w:rFonts w:ascii="宋体" w:hAnsi="宋体" w:cs="宋体"/>
                <w:sz w:val="24"/>
              </w:rPr>
            </w:pPr>
            <w:r>
              <w:rPr>
                <w:rFonts w:hint="eastAsia" w:ascii="宋体" w:hAnsi="宋体" w:cs="宋体"/>
                <w:sz w:val="24"/>
              </w:rPr>
              <w:t>支持对特检套餐维护</w:t>
            </w:r>
          </w:p>
          <w:p>
            <w:pPr>
              <w:rPr>
                <w:rFonts w:ascii="宋体" w:hAnsi="宋体" w:cs="宋体"/>
                <w:sz w:val="24"/>
              </w:rPr>
            </w:pPr>
            <w:r>
              <w:rPr>
                <w:rFonts w:hint="eastAsia" w:ascii="宋体" w:hAnsi="宋体" w:cs="宋体"/>
                <w:sz w:val="24"/>
              </w:rPr>
              <w:t>支持自动生成特检号，同时可批量生成特检号</w:t>
            </w:r>
          </w:p>
          <w:p>
            <w:pPr>
              <w:rPr>
                <w:rFonts w:ascii="宋体" w:hAnsi="宋体" w:cs="宋体"/>
                <w:sz w:val="24"/>
              </w:rPr>
            </w:pPr>
            <w:r>
              <w:rPr>
                <w:rFonts w:hint="eastAsia" w:ascii="宋体" w:hAnsi="宋体" w:cs="宋体"/>
                <w:sz w:val="24"/>
              </w:rPr>
              <w:t>支持打印特检申请单，同时可批量打印特检申请单</w:t>
            </w:r>
          </w:p>
          <w:p>
            <w:pPr>
              <w:rPr>
                <w:rFonts w:ascii="宋体" w:hAnsi="宋体" w:cs="宋体"/>
                <w:sz w:val="24"/>
              </w:rPr>
            </w:pPr>
            <w:r>
              <w:rPr>
                <w:rFonts w:hint="eastAsia" w:ascii="宋体" w:hAnsi="宋体" w:cs="宋体"/>
                <w:sz w:val="24"/>
              </w:rPr>
              <w:t>未交费的特检申请能够自动标记为为收费状态，并可查看为收费申请列表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特殊染色工作站软件</w:t>
            </w:r>
          </w:p>
          <w:p>
            <w:pPr>
              <w:rPr>
                <w:rFonts w:ascii="宋体" w:hAnsi="宋体" w:cs="宋体"/>
                <w:sz w:val="24"/>
              </w:rPr>
            </w:pPr>
            <w:r>
              <w:rPr>
                <w:rFonts w:hint="eastAsia" w:ascii="宋体" w:hAnsi="宋体" w:cs="宋体"/>
                <w:sz w:val="24"/>
              </w:rPr>
              <w:t>支持完成特殊染色申请后无需审批可直接进入报告书写界面</w:t>
            </w:r>
          </w:p>
          <w:p>
            <w:pPr>
              <w:rPr>
                <w:rFonts w:ascii="宋体" w:hAnsi="宋体" w:cs="宋体"/>
                <w:sz w:val="24"/>
              </w:rPr>
            </w:pPr>
            <w:r>
              <w:rPr>
                <w:rFonts w:hint="eastAsia" w:ascii="宋体" w:hAnsi="宋体" w:cs="宋体"/>
                <w:sz w:val="24"/>
              </w:rPr>
              <w:t>可以通过申请/签收/登记/报告/审核日期、免疫号、申请医生、报告医生、病人姓名、住院号、门诊号、病历号、送检医生、病区、床号、请检医院、就诊类别等来查询特检申请记录</w:t>
            </w:r>
          </w:p>
          <w:p>
            <w:pPr>
              <w:rPr>
                <w:rFonts w:ascii="宋体" w:hAnsi="宋体" w:cs="宋体"/>
                <w:sz w:val="24"/>
              </w:rPr>
            </w:pPr>
            <w:r>
              <w:rPr>
                <w:rFonts w:hint="eastAsia" w:ascii="宋体" w:hAnsi="宋体" w:cs="宋体"/>
                <w:sz w:val="24"/>
              </w:rPr>
              <w:t>支持在申请列表中点击“试剂结果录入”录入特检结果，添加到诊断结果中</w:t>
            </w:r>
          </w:p>
          <w:p>
            <w:pPr>
              <w:rPr>
                <w:rFonts w:ascii="宋体" w:hAnsi="宋体" w:cs="宋体"/>
                <w:sz w:val="24"/>
              </w:rPr>
            </w:pPr>
            <w:r>
              <w:rPr>
                <w:rFonts w:hint="eastAsia" w:ascii="宋体" w:hAnsi="宋体" w:cs="宋体"/>
                <w:sz w:val="24"/>
              </w:rPr>
              <w:t>支持查看送检单，修改登记信息，查看操作日志</w:t>
            </w:r>
          </w:p>
          <w:p>
            <w:pPr>
              <w:rPr>
                <w:rFonts w:ascii="宋体" w:hAnsi="宋体" w:cs="宋体"/>
                <w:sz w:val="24"/>
              </w:rPr>
            </w:pPr>
            <w:r>
              <w:rPr>
                <w:rFonts w:hint="eastAsia" w:ascii="宋体" w:hAnsi="宋体" w:cs="宋体"/>
                <w:sz w:val="24"/>
              </w:rPr>
              <w:t>支持根据查询条件，查询出已书写状态下的患者，进行批量审核，并可自动打印已审核报告</w:t>
            </w:r>
          </w:p>
          <w:p>
            <w:pPr>
              <w:rPr>
                <w:rFonts w:ascii="宋体" w:hAnsi="宋体" w:cs="宋体"/>
                <w:sz w:val="24"/>
              </w:rPr>
            </w:pPr>
            <w:r>
              <w:rPr>
                <w:rFonts w:hint="eastAsia" w:ascii="宋体" w:hAnsi="宋体" w:cs="宋体"/>
                <w:sz w:val="24"/>
              </w:rPr>
              <w:t>支持标签打印功能</w:t>
            </w:r>
          </w:p>
          <w:p>
            <w:pPr>
              <w:rPr>
                <w:rFonts w:ascii="宋体" w:hAnsi="宋体" w:cs="宋体"/>
                <w:sz w:val="24"/>
              </w:rPr>
            </w:pPr>
            <w:r>
              <w:rPr>
                <w:rFonts w:hint="eastAsia" w:ascii="宋体" w:hAnsi="宋体" w:cs="宋体"/>
                <w:sz w:val="24"/>
              </w:rPr>
              <w:t>支持对特检套餐维护</w:t>
            </w:r>
          </w:p>
          <w:p>
            <w:pPr>
              <w:rPr>
                <w:rFonts w:ascii="宋体" w:hAnsi="宋体" w:cs="宋体"/>
                <w:sz w:val="24"/>
              </w:rPr>
            </w:pPr>
            <w:r>
              <w:rPr>
                <w:rFonts w:hint="eastAsia" w:ascii="宋体" w:hAnsi="宋体" w:cs="宋体"/>
                <w:sz w:val="24"/>
              </w:rPr>
              <w:t>支持自动生成特检号，同时可批量生成特检号</w:t>
            </w:r>
          </w:p>
          <w:p>
            <w:pPr>
              <w:rPr>
                <w:rFonts w:ascii="宋体" w:hAnsi="宋体" w:cs="宋体"/>
                <w:sz w:val="24"/>
              </w:rPr>
            </w:pPr>
            <w:r>
              <w:rPr>
                <w:rFonts w:hint="eastAsia" w:ascii="宋体" w:hAnsi="宋体" w:cs="宋体"/>
                <w:sz w:val="24"/>
              </w:rPr>
              <w:t>支持打印特检申请单，同时可批量打印特检申请单</w:t>
            </w:r>
          </w:p>
          <w:p>
            <w:pPr>
              <w:rPr>
                <w:rFonts w:ascii="宋体" w:hAnsi="宋体" w:cs="宋体"/>
                <w:sz w:val="24"/>
              </w:rPr>
            </w:pPr>
            <w:r>
              <w:rPr>
                <w:rFonts w:hint="eastAsia" w:ascii="宋体" w:hAnsi="宋体" w:cs="宋体"/>
                <w:sz w:val="24"/>
              </w:rPr>
              <w:t>未交费的特检申请能够自动标记为为收费状态，并可查看为收费申请列表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细胞学工作站软件</w:t>
            </w:r>
          </w:p>
          <w:p>
            <w:pPr>
              <w:rPr>
                <w:rFonts w:ascii="宋体" w:hAnsi="宋体" w:cs="宋体"/>
                <w:sz w:val="24"/>
              </w:rPr>
            </w:pPr>
            <w:r>
              <w:rPr>
                <w:rFonts w:hint="eastAsia" w:ascii="宋体" w:hAnsi="宋体" w:cs="宋体"/>
                <w:sz w:val="24"/>
              </w:rPr>
              <w:t>支持完成细胞学检查申请后无需审批可直接进入报告书写界面</w:t>
            </w:r>
          </w:p>
          <w:p>
            <w:pPr>
              <w:rPr>
                <w:rFonts w:ascii="宋体" w:hAnsi="宋体" w:cs="宋体"/>
                <w:sz w:val="24"/>
              </w:rPr>
            </w:pPr>
            <w:r>
              <w:rPr>
                <w:rFonts w:hint="eastAsia" w:ascii="宋体" w:hAnsi="宋体" w:cs="宋体"/>
                <w:sz w:val="24"/>
              </w:rPr>
              <w:t>可以通过申请/签收/登记/报告/审核日期、特检号、申请医生、报告医生、病人姓名、住院号、门诊号、病历号、送检医生、病区、床号、请检医院、就诊类别等来查询特检申请记录</w:t>
            </w:r>
          </w:p>
          <w:p>
            <w:pPr>
              <w:rPr>
                <w:rFonts w:ascii="宋体" w:hAnsi="宋体" w:cs="宋体"/>
                <w:sz w:val="24"/>
              </w:rPr>
            </w:pPr>
            <w:r>
              <w:rPr>
                <w:rFonts w:hint="eastAsia" w:ascii="宋体" w:hAnsi="宋体" w:cs="宋体"/>
                <w:sz w:val="24"/>
              </w:rPr>
              <w:t>支持在申请列表中点击“试剂结果录入”录入特检结果，添加到诊断结果中</w:t>
            </w:r>
          </w:p>
          <w:p>
            <w:pPr>
              <w:rPr>
                <w:rFonts w:ascii="宋体" w:hAnsi="宋体" w:cs="宋体"/>
                <w:sz w:val="24"/>
              </w:rPr>
            </w:pPr>
            <w:r>
              <w:rPr>
                <w:rFonts w:hint="eastAsia" w:ascii="宋体" w:hAnsi="宋体" w:cs="宋体"/>
                <w:sz w:val="24"/>
              </w:rPr>
              <w:t>支持查看送检单，修改登记信息，查看操作日志</w:t>
            </w:r>
          </w:p>
          <w:p>
            <w:pPr>
              <w:rPr>
                <w:rFonts w:ascii="宋体" w:hAnsi="宋体" w:cs="宋体"/>
                <w:sz w:val="24"/>
              </w:rPr>
            </w:pPr>
            <w:r>
              <w:rPr>
                <w:rFonts w:hint="eastAsia" w:ascii="宋体" w:hAnsi="宋体" w:cs="宋体"/>
                <w:sz w:val="24"/>
              </w:rPr>
              <w:t>支持根据查询条件，查询出已书写状态下的患者，进行批量审核，并可自动打印已审核报告</w:t>
            </w:r>
          </w:p>
          <w:p>
            <w:pPr>
              <w:rPr>
                <w:rFonts w:ascii="宋体" w:hAnsi="宋体" w:cs="宋体"/>
                <w:sz w:val="24"/>
              </w:rPr>
            </w:pPr>
            <w:r>
              <w:rPr>
                <w:rFonts w:hint="eastAsia" w:ascii="宋体" w:hAnsi="宋体" w:cs="宋体"/>
                <w:sz w:val="24"/>
              </w:rPr>
              <w:t>支持标签打印功能</w:t>
            </w:r>
          </w:p>
          <w:p>
            <w:pPr>
              <w:rPr>
                <w:rFonts w:ascii="宋体" w:hAnsi="宋体" w:cs="宋体"/>
                <w:sz w:val="24"/>
              </w:rPr>
            </w:pPr>
            <w:r>
              <w:rPr>
                <w:rFonts w:hint="eastAsia" w:ascii="宋体" w:hAnsi="宋体" w:cs="宋体"/>
                <w:sz w:val="24"/>
              </w:rPr>
              <w:t>支持对特检套餐维护</w:t>
            </w:r>
          </w:p>
          <w:p>
            <w:pPr>
              <w:rPr>
                <w:rFonts w:ascii="宋体" w:hAnsi="宋体" w:cs="宋体"/>
                <w:sz w:val="24"/>
              </w:rPr>
            </w:pPr>
            <w:r>
              <w:rPr>
                <w:rFonts w:hint="eastAsia" w:ascii="宋体" w:hAnsi="宋体" w:cs="宋体"/>
                <w:sz w:val="24"/>
              </w:rPr>
              <w:t>支持自动生成特检号，同时可批量生成特检号</w:t>
            </w:r>
          </w:p>
          <w:p>
            <w:pPr>
              <w:rPr>
                <w:rFonts w:ascii="宋体" w:hAnsi="宋体" w:cs="宋体"/>
                <w:sz w:val="24"/>
              </w:rPr>
            </w:pPr>
            <w:r>
              <w:rPr>
                <w:rFonts w:hint="eastAsia" w:ascii="宋体" w:hAnsi="宋体" w:cs="宋体"/>
                <w:sz w:val="24"/>
              </w:rPr>
              <w:t>支持打印特检申请单，同时可批量打印特检申请单</w:t>
            </w:r>
          </w:p>
          <w:p>
            <w:pPr>
              <w:rPr>
                <w:rFonts w:ascii="宋体" w:hAnsi="宋体" w:cs="宋体"/>
                <w:sz w:val="24"/>
              </w:rPr>
            </w:pPr>
            <w:r>
              <w:rPr>
                <w:rFonts w:hint="eastAsia" w:ascii="宋体" w:hAnsi="宋体" w:cs="宋体"/>
                <w:sz w:val="24"/>
              </w:rPr>
              <w:t>未交费的特检申请能够自动标记为为收费状态，并可查看为收费申请列表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冰冻工作站软件</w:t>
            </w:r>
          </w:p>
          <w:p>
            <w:pPr>
              <w:rPr>
                <w:rFonts w:ascii="宋体" w:hAnsi="宋体" w:cs="宋体"/>
                <w:sz w:val="24"/>
              </w:rPr>
            </w:pPr>
            <w:r>
              <w:rPr>
                <w:rFonts w:hint="eastAsia" w:ascii="宋体" w:hAnsi="宋体" w:cs="宋体"/>
                <w:sz w:val="24"/>
              </w:rPr>
              <w:t>支持完成快速冰冻申请后无需审批可直接进入报告书写界面</w:t>
            </w:r>
          </w:p>
          <w:p>
            <w:pPr>
              <w:rPr>
                <w:rFonts w:ascii="宋体" w:hAnsi="宋体" w:cs="宋体"/>
                <w:sz w:val="24"/>
              </w:rPr>
            </w:pPr>
            <w:r>
              <w:rPr>
                <w:rFonts w:hint="eastAsia" w:ascii="宋体" w:hAnsi="宋体" w:cs="宋体"/>
                <w:sz w:val="24"/>
              </w:rPr>
              <w:t>可以通过申请/签收/登记/报告/审核日期、冰冻号、申请医生、报告医生、病人姓名、住院号、门诊号、病历号、送检医生、病区、床号、请检医院、就诊类别等来查询特检申请记录</w:t>
            </w:r>
          </w:p>
          <w:p>
            <w:pPr>
              <w:rPr>
                <w:rFonts w:ascii="宋体" w:hAnsi="宋体" w:cs="宋体"/>
                <w:sz w:val="24"/>
              </w:rPr>
            </w:pPr>
            <w:r>
              <w:rPr>
                <w:rFonts w:hint="eastAsia" w:ascii="宋体" w:hAnsi="宋体" w:cs="宋体"/>
                <w:sz w:val="24"/>
              </w:rPr>
              <w:t>支持查看送检单，修改登记信息，查看操作日志</w:t>
            </w:r>
          </w:p>
          <w:p>
            <w:pPr>
              <w:rPr>
                <w:rFonts w:ascii="宋体" w:hAnsi="宋体" w:cs="宋体"/>
                <w:sz w:val="24"/>
              </w:rPr>
            </w:pPr>
            <w:r>
              <w:rPr>
                <w:rFonts w:hint="eastAsia" w:ascii="宋体" w:hAnsi="宋体" w:cs="宋体"/>
                <w:sz w:val="24"/>
              </w:rPr>
              <w:t>支持根据查询条件，查询出已书写状态下的患者，进行批量审核，并可自动打印已审核报告</w:t>
            </w:r>
          </w:p>
          <w:p>
            <w:pPr>
              <w:rPr>
                <w:rFonts w:ascii="宋体" w:hAnsi="宋体" w:cs="宋体"/>
                <w:sz w:val="24"/>
              </w:rPr>
            </w:pPr>
            <w:r>
              <w:rPr>
                <w:rFonts w:hint="eastAsia" w:ascii="宋体" w:hAnsi="宋体" w:cs="宋体"/>
                <w:sz w:val="24"/>
              </w:rPr>
              <w:t>支持标签打印功能</w:t>
            </w:r>
          </w:p>
          <w:p>
            <w:pPr>
              <w:rPr>
                <w:rFonts w:ascii="宋体" w:hAnsi="宋体" w:cs="宋体"/>
                <w:sz w:val="24"/>
              </w:rPr>
            </w:pPr>
            <w:r>
              <w:rPr>
                <w:rFonts w:hint="eastAsia" w:ascii="宋体" w:hAnsi="宋体" w:cs="宋体"/>
                <w:sz w:val="24"/>
              </w:rPr>
              <w:t>未交费的冰冻申请能够自动标记为为收费状态，并可查看为收费申请列表</w:t>
            </w:r>
          </w:p>
          <w:p>
            <w:pPr>
              <w:rPr>
                <w:rFonts w:ascii="宋体" w:hAnsi="宋体" w:cs="宋体"/>
                <w:sz w:val="24"/>
              </w:rPr>
            </w:pPr>
            <w:r>
              <w:rPr>
                <w:rFonts w:hint="eastAsia" w:ascii="宋体" w:hAnsi="宋体" w:cs="宋体"/>
                <w:sz w:val="24"/>
              </w:rPr>
              <w:t>支持自动生成冰冻号，同时可批量生成冰冻号</w:t>
            </w:r>
          </w:p>
          <w:p>
            <w:pPr>
              <w:rPr>
                <w:rFonts w:ascii="宋体" w:hAnsi="宋体" w:cs="宋体"/>
                <w:sz w:val="24"/>
              </w:rPr>
            </w:pPr>
            <w:r>
              <w:rPr>
                <w:rFonts w:hint="eastAsia" w:ascii="宋体" w:hAnsi="宋体" w:cs="宋体"/>
                <w:sz w:val="24"/>
              </w:rPr>
              <w:t>支持打印冰冻申请单，同时可批量打印冰冻申请单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lang w:val="nl-NL"/>
              </w:rPr>
            </w:pPr>
            <w:r>
              <w:rPr>
                <w:rFonts w:hint="eastAsia" w:ascii="宋体" w:hAnsi="宋体" w:cs="宋体"/>
                <w:sz w:val="24"/>
                <w:lang w:val="nl-NL"/>
              </w:rPr>
              <w:t>档案管理工作站软件</w:t>
            </w:r>
          </w:p>
          <w:p>
            <w:pPr>
              <w:rPr>
                <w:rFonts w:ascii="宋体" w:hAnsi="宋体" w:cs="宋体"/>
                <w:sz w:val="24"/>
              </w:rPr>
            </w:pPr>
            <w:r>
              <w:rPr>
                <w:rFonts w:hint="eastAsia" w:ascii="宋体" w:hAnsi="宋体" w:cs="宋体"/>
                <w:sz w:val="24"/>
              </w:rPr>
              <w:t>提供完整的标本归档管理，对于历史资料能够手动归档入库；且可以通过归档状态进行分类查询，包括：未归档、已归档、手动归档等</w:t>
            </w:r>
          </w:p>
          <w:p>
            <w:pPr>
              <w:rPr>
                <w:rFonts w:ascii="宋体" w:hAnsi="宋体" w:cs="宋体"/>
                <w:sz w:val="24"/>
              </w:rPr>
            </w:pPr>
            <w:r>
              <w:rPr>
                <w:rFonts w:hint="eastAsia" w:ascii="宋体" w:hAnsi="宋体" w:cs="宋体"/>
                <w:sz w:val="24"/>
              </w:rPr>
              <w:t>支持送检单、蜡块、切片、免疫组化资料的分类归档管理</w:t>
            </w:r>
          </w:p>
          <w:p>
            <w:pPr>
              <w:rPr>
                <w:rFonts w:ascii="宋体" w:hAnsi="宋体" w:cs="宋体"/>
                <w:sz w:val="24"/>
              </w:rPr>
            </w:pPr>
            <w:r>
              <w:rPr>
                <w:rFonts w:hint="eastAsia" w:ascii="宋体" w:hAnsi="宋体" w:cs="宋体"/>
                <w:sz w:val="24"/>
              </w:rPr>
              <w:t>支持批量资料的归档</w:t>
            </w:r>
          </w:p>
          <w:p>
            <w:pPr>
              <w:rPr>
                <w:rFonts w:ascii="宋体" w:hAnsi="宋体" w:cs="宋体"/>
                <w:sz w:val="24"/>
              </w:rPr>
            </w:pPr>
            <w:r>
              <w:rPr>
                <w:rFonts w:hint="eastAsia" w:ascii="宋体" w:hAnsi="宋体" w:cs="宋体"/>
                <w:sz w:val="24"/>
              </w:rPr>
              <w:t>支持部门借阅和家属借阅，并可以通过借阅时间、借阅单号、借阅人、归还时间等条件查询借阅信息</w:t>
            </w:r>
          </w:p>
          <w:p>
            <w:pPr>
              <w:rPr>
                <w:rFonts w:ascii="宋体" w:hAnsi="宋体" w:cs="宋体"/>
                <w:sz w:val="24"/>
              </w:rPr>
            </w:pPr>
            <w:r>
              <w:rPr>
                <w:rFonts w:hint="eastAsia" w:ascii="宋体" w:hAnsi="宋体" w:cs="宋体"/>
                <w:sz w:val="24"/>
              </w:rPr>
              <w:t>支持家属借阅资料的归还，并记录归还信息，包括：借阅资料、是否破损、会诊医院、诊断符合率、外院诊断等</w:t>
            </w:r>
          </w:p>
          <w:p>
            <w:pPr>
              <w:rPr>
                <w:rFonts w:ascii="宋体" w:hAnsi="宋体" w:cs="宋体"/>
                <w:sz w:val="24"/>
              </w:rPr>
            </w:pPr>
            <w:r>
              <w:rPr>
                <w:rFonts w:hint="eastAsia" w:ascii="宋体" w:hAnsi="宋体" w:cs="宋体"/>
                <w:sz w:val="24"/>
              </w:rPr>
              <w:t>支持未入库档案资料的借阅</w:t>
            </w:r>
          </w:p>
          <w:p>
            <w:pPr>
              <w:rPr>
                <w:rFonts w:ascii="宋体" w:hAnsi="宋体" w:cs="宋体"/>
                <w:sz w:val="24"/>
              </w:rPr>
            </w:pPr>
            <w:r>
              <w:rPr>
                <w:rFonts w:hint="eastAsia" w:ascii="宋体" w:hAnsi="宋体" w:cs="宋体"/>
                <w:sz w:val="24"/>
              </w:rPr>
              <w:t>支持根据标本借阅不同状态做分类统计，且能够打印查询结果</w:t>
            </w:r>
          </w:p>
          <w:p>
            <w:pPr>
              <w:rPr>
                <w:rFonts w:ascii="宋体" w:hAnsi="宋体" w:cs="宋体"/>
                <w:sz w:val="24"/>
              </w:rPr>
            </w:pPr>
            <w:r>
              <w:rPr>
                <w:rFonts w:hint="eastAsia" w:ascii="宋体" w:hAnsi="宋体" w:cs="宋体"/>
                <w:sz w:val="24"/>
              </w:rPr>
              <w:t>外借资料超期时，软件启动时每次提醒</w:t>
            </w:r>
          </w:p>
          <w:p>
            <w:pPr>
              <w:rPr>
                <w:rFonts w:ascii="宋体" w:hAnsi="宋体" w:cs="宋体"/>
                <w:sz w:val="24"/>
              </w:rPr>
            </w:pPr>
            <w:r>
              <w:rPr>
                <w:rFonts w:hint="eastAsia" w:ascii="宋体" w:hAnsi="宋体" w:cs="宋体"/>
                <w:sz w:val="24"/>
              </w:rPr>
              <w:t>打印借片凭证，凭证可自定义格式，有取材及玻片信息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lang w:val="nl-NL"/>
              </w:rPr>
            </w:pPr>
            <w:r>
              <w:rPr>
                <w:rFonts w:hint="eastAsia" w:ascii="宋体" w:hAnsi="宋体" w:cs="宋体"/>
                <w:sz w:val="24"/>
                <w:lang w:val="nl-NL"/>
              </w:rPr>
              <w:t>管理工作站软件</w:t>
            </w:r>
          </w:p>
          <w:p>
            <w:pPr>
              <w:rPr>
                <w:rFonts w:ascii="宋体" w:hAnsi="宋体" w:cs="宋体"/>
                <w:sz w:val="24"/>
              </w:rPr>
            </w:pPr>
            <w:r>
              <w:rPr>
                <w:rFonts w:hint="eastAsia" w:ascii="宋体" w:hAnsi="宋体" w:cs="宋体"/>
                <w:sz w:val="24"/>
              </w:rPr>
              <w:t>支持用户组的新增、修改、删除，并可以管理用户组所属的用户</w:t>
            </w:r>
          </w:p>
          <w:p>
            <w:pPr>
              <w:rPr>
                <w:rFonts w:ascii="宋体" w:hAnsi="宋体" w:cs="宋体"/>
                <w:sz w:val="24"/>
              </w:rPr>
            </w:pPr>
            <w:r>
              <w:rPr>
                <w:rFonts w:hint="eastAsia" w:ascii="宋体" w:hAnsi="宋体" w:cs="宋体"/>
                <w:sz w:val="24"/>
              </w:rPr>
              <w:t>支持用户的管理，包括：给用户分配不同的权限、禁用和激活用户账号、设置用户审核签名等</w:t>
            </w:r>
          </w:p>
          <w:p>
            <w:pPr>
              <w:rPr>
                <w:rFonts w:ascii="宋体" w:hAnsi="宋体" w:cs="宋体"/>
                <w:sz w:val="24"/>
              </w:rPr>
            </w:pPr>
            <w:r>
              <w:rPr>
                <w:rFonts w:hint="eastAsia" w:ascii="宋体" w:hAnsi="宋体" w:cs="宋体"/>
                <w:sz w:val="24"/>
              </w:rPr>
              <w:t>支持自动生成输入码及用户英文名，支持密码重置</w:t>
            </w:r>
          </w:p>
          <w:p>
            <w:pPr>
              <w:rPr>
                <w:rFonts w:ascii="宋体" w:hAnsi="宋体" w:cs="宋体"/>
                <w:sz w:val="24"/>
              </w:rPr>
            </w:pPr>
            <w:r>
              <w:rPr>
                <w:rFonts w:hint="eastAsia" w:ascii="宋体" w:hAnsi="宋体" w:cs="宋体"/>
                <w:sz w:val="24"/>
              </w:rPr>
              <w:t>支持对全局及各工作站字典库的管理，能够查询、增加、修改、删除、移动、排序字典库，支持批量操作</w:t>
            </w:r>
          </w:p>
          <w:p>
            <w:pPr>
              <w:rPr>
                <w:rFonts w:ascii="宋体" w:hAnsi="宋体" w:cs="宋体"/>
                <w:sz w:val="24"/>
              </w:rPr>
            </w:pPr>
            <w:r>
              <w:rPr>
                <w:rFonts w:hint="eastAsia" w:ascii="宋体" w:hAnsi="宋体" w:cs="宋体"/>
                <w:sz w:val="24"/>
              </w:rPr>
              <w:t>支持检查项目的新增、修改、删除、排序</w:t>
            </w:r>
          </w:p>
          <w:p>
            <w:pPr>
              <w:rPr>
                <w:rFonts w:ascii="宋体" w:hAnsi="宋体" w:cs="宋体"/>
                <w:sz w:val="24"/>
              </w:rPr>
            </w:pPr>
            <w:r>
              <w:rPr>
                <w:rFonts w:hint="eastAsia" w:ascii="宋体" w:hAnsi="宋体" w:cs="宋体"/>
                <w:sz w:val="24"/>
              </w:rPr>
              <w:t>支持打印模板的新增、修改、删除、排序，支持批量操作；并支持上传、下载、休眠、激活打印模板</w:t>
            </w:r>
          </w:p>
          <w:p>
            <w:pPr>
              <w:rPr>
                <w:rFonts w:ascii="宋体" w:hAnsi="宋体" w:cs="宋体"/>
                <w:sz w:val="24"/>
              </w:rPr>
            </w:pPr>
            <w:r>
              <w:rPr>
                <w:rFonts w:hint="eastAsia" w:ascii="宋体" w:hAnsi="宋体" w:cs="宋体"/>
                <w:sz w:val="24"/>
              </w:rPr>
              <w:t>支持报告模板设置、送检部位管理、窗体控件配置</w:t>
            </w:r>
          </w:p>
          <w:p>
            <w:pPr>
              <w:rPr>
                <w:rFonts w:ascii="宋体" w:hAnsi="宋体" w:cs="宋体"/>
                <w:sz w:val="24"/>
              </w:rPr>
            </w:pPr>
            <w:r>
              <w:rPr>
                <w:rFonts w:hint="eastAsia" w:ascii="宋体" w:hAnsi="宋体" w:cs="宋体"/>
                <w:sz w:val="24"/>
              </w:rPr>
              <w:t>支持病理号码格式设置，对病理号的生存规则进行设置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lang w:val="nl-NL"/>
              </w:rPr>
            </w:pPr>
            <w:r>
              <w:rPr>
                <w:rFonts w:hint="eastAsia" w:ascii="宋体" w:hAnsi="宋体" w:cs="宋体"/>
                <w:sz w:val="24"/>
                <w:lang w:val="nl-NL"/>
              </w:rPr>
              <w:t>统计工作站软件</w:t>
            </w:r>
          </w:p>
          <w:p>
            <w:pPr>
              <w:rPr>
                <w:rFonts w:ascii="宋体" w:hAnsi="宋体" w:cs="宋体"/>
                <w:sz w:val="24"/>
              </w:rPr>
            </w:pPr>
            <w:r>
              <w:rPr>
                <w:rFonts w:hint="eastAsia" w:ascii="宋体" w:hAnsi="宋体" w:cs="宋体"/>
                <w:sz w:val="24"/>
              </w:rPr>
              <w:t>工作量统计查询，支持自定义查询</w:t>
            </w:r>
          </w:p>
          <w:p>
            <w:pPr>
              <w:rPr>
                <w:rFonts w:ascii="宋体" w:hAnsi="宋体" w:cs="宋体"/>
                <w:sz w:val="24"/>
              </w:rPr>
            </w:pPr>
            <w:r>
              <w:rPr>
                <w:rFonts w:hint="eastAsia" w:ascii="宋体" w:hAnsi="宋体" w:cs="宋体"/>
                <w:sz w:val="24"/>
              </w:rPr>
              <w:t>多种设备及费用统计：设备工作量、就诊类别工作量</w:t>
            </w:r>
          </w:p>
          <w:p>
            <w:pPr>
              <w:rPr>
                <w:rFonts w:ascii="宋体" w:hAnsi="宋体" w:cs="宋体"/>
                <w:sz w:val="24"/>
              </w:rPr>
            </w:pPr>
            <w:r>
              <w:rPr>
                <w:rFonts w:hint="eastAsia" w:ascii="宋体" w:hAnsi="宋体" w:cs="宋体"/>
                <w:sz w:val="24"/>
              </w:rPr>
              <w:t>各类费用汇总统计：送检科室费用、送检医生费用、就诊类别费用统计</w:t>
            </w:r>
          </w:p>
          <w:p>
            <w:pPr>
              <w:rPr>
                <w:rFonts w:ascii="宋体" w:hAnsi="宋体" w:cs="宋体"/>
                <w:sz w:val="24"/>
              </w:rPr>
            </w:pPr>
            <w:r>
              <w:rPr>
                <w:rFonts w:hint="eastAsia" w:ascii="宋体" w:hAnsi="宋体" w:cs="宋体"/>
                <w:sz w:val="24"/>
              </w:rPr>
              <w:t>支持以病历号、患者编号、患者姓名、检查类型、检查项目、工作状态、时间段等多种条件自由组合查询，查询或统计出的结果可以导出到 EXCEL 表格文件</w:t>
            </w:r>
          </w:p>
          <w:p>
            <w:pPr>
              <w:rPr>
                <w:rFonts w:ascii="宋体" w:hAnsi="宋体" w:cs="宋体"/>
                <w:sz w:val="24"/>
              </w:rPr>
            </w:pPr>
            <w:r>
              <w:rPr>
                <w:rFonts w:hint="eastAsia" w:ascii="宋体" w:hAnsi="宋体" w:cs="宋体"/>
                <w:sz w:val="24"/>
              </w:rPr>
              <w:t>★支持统计标本规范化固定率（提供软件界面截图）</w:t>
            </w:r>
          </w:p>
          <w:p>
            <w:pPr>
              <w:rPr>
                <w:rFonts w:ascii="宋体" w:hAnsi="宋体" w:cs="宋体"/>
                <w:sz w:val="24"/>
              </w:rPr>
            </w:pPr>
            <w:r>
              <w:rPr>
                <w:rFonts w:hint="eastAsia" w:ascii="宋体" w:hAnsi="宋体" w:cs="宋体"/>
                <w:sz w:val="24"/>
              </w:rPr>
              <w:t>支持统计HE染色切片优良率</w:t>
            </w:r>
          </w:p>
          <w:p>
            <w:pPr>
              <w:rPr>
                <w:rFonts w:ascii="宋体" w:hAnsi="宋体" w:cs="宋体"/>
                <w:sz w:val="24"/>
              </w:rPr>
            </w:pPr>
            <w:r>
              <w:rPr>
                <w:rFonts w:hint="eastAsia" w:ascii="宋体" w:hAnsi="宋体" w:cs="宋体"/>
                <w:sz w:val="24"/>
              </w:rPr>
              <w:t>★支持特检切片优良率统计（提供软件界面截图）</w:t>
            </w:r>
          </w:p>
          <w:p>
            <w:pPr>
              <w:rPr>
                <w:rFonts w:ascii="宋体" w:hAnsi="宋体" w:cs="宋体"/>
                <w:sz w:val="24"/>
              </w:rPr>
            </w:pPr>
            <w:r>
              <w:rPr>
                <w:rFonts w:hint="eastAsia" w:ascii="宋体" w:hAnsi="宋体" w:cs="宋体"/>
                <w:sz w:val="24"/>
              </w:rPr>
              <w:t>支持术中快速病理诊断及时率统计</w:t>
            </w:r>
          </w:p>
          <w:p>
            <w:pPr>
              <w:rPr>
                <w:rFonts w:ascii="宋体" w:hAnsi="宋体" w:cs="宋体"/>
                <w:sz w:val="24"/>
              </w:rPr>
            </w:pPr>
            <w:r>
              <w:rPr>
                <w:rFonts w:hint="eastAsia" w:ascii="宋体" w:hAnsi="宋体" w:cs="宋体"/>
                <w:sz w:val="24"/>
              </w:rPr>
              <w:t>支持组织病理诊断及时率统计</w:t>
            </w:r>
          </w:p>
          <w:p>
            <w:pPr>
              <w:rPr>
                <w:rFonts w:ascii="宋体" w:hAnsi="宋体" w:cs="宋体"/>
                <w:sz w:val="24"/>
              </w:rPr>
            </w:pPr>
            <w:r>
              <w:rPr>
                <w:rFonts w:hint="eastAsia" w:ascii="宋体" w:hAnsi="宋体" w:cs="宋体"/>
                <w:sz w:val="24"/>
              </w:rPr>
              <w:t>支持细胞病理诊断及时率统计</w:t>
            </w:r>
          </w:p>
          <w:p>
            <w:pPr>
              <w:rPr>
                <w:rFonts w:ascii="宋体" w:hAnsi="宋体" w:cs="宋体"/>
                <w:sz w:val="24"/>
              </w:rPr>
            </w:pPr>
            <w:r>
              <w:rPr>
                <w:rFonts w:hint="eastAsia" w:ascii="宋体" w:hAnsi="宋体" w:cs="宋体"/>
                <w:sz w:val="24"/>
              </w:rPr>
              <w:t>支持术中快速诊断与石蜡诊断符合率统计</w:t>
            </w:r>
          </w:p>
          <w:p>
            <w:pPr>
              <w:rPr>
                <w:rFonts w:ascii="宋体" w:hAnsi="宋体" w:cs="宋体"/>
                <w:sz w:val="24"/>
              </w:rPr>
            </w:pPr>
            <w:r>
              <w:rPr>
                <w:rFonts w:hint="eastAsia" w:ascii="宋体" w:hAnsi="宋体" w:cs="宋体"/>
                <w:sz w:val="24"/>
              </w:rPr>
              <w:t>支持各项检查及时率统计，支持分步骤统计，如取材时间及时率统计</w:t>
            </w:r>
          </w:p>
          <w:p>
            <w:pPr>
              <w:rPr>
                <w:rFonts w:ascii="宋体" w:hAnsi="宋体" w:cs="宋体"/>
                <w:sz w:val="24"/>
              </w:rPr>
            </w:pPr>
            <w:r>
              <w:rPr>
                <w:rFonts w:hint="eastAsia" w:ascii="宋体" w:hAnsi="宋体" w:cs="宋体"/>
                <w:sz w:val="24"/>
              </w:rPr>
              <w:t>★支持冰冻/临床符合率统计（提供软件界面截图）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bottom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符合医院四级电子病历、互联互通四甲测评建设标准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bottom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提供三年原厂服务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restart"/>
            <w:tcBorders>
              <w:top w:val="single" w:color="auto" w:sz="4" w:space="0"/>
              <w:left w:val="single" w:color="auto" w:sz="4" w:space="0"/>
              <w:right w:val="single" w:color="auto" w:sz="4" w:space="0"/>
            </w:tcBorders>
            <w:shd w:val="clear" w:color="auto" w:fill="auto"/>
            <w:noWrap w:val="0"/>
            <w:vAlign w:val="top"/>
          </w:tcPr>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cs="宋体"/>
                <w:kern w:val="3"/>
                <w:sz w:val="24"/>
              </w:rPr>
            </w:pPr>
            <w:r>
              <w:rPr>
                <w:rFonts w:hint="eastAsia" w:ascii="宋体" w:hAnsi="宋体"/>
                <w:bCs/>
                <w:sz w:val="24"/>
              </w:rPr>
              <w:t>手术麻醉临床信息系统扩容（中心手术间5床</w:t>
            </w:r>
          </w:p>
          <w:p>
            <w:pPr>
              <w:rPr>
                <w:rFonts w:ascii="宋体" w:hAnsi="宋体" w:cs="宋体"/>
                <w:kern w:val="3"/>
                <w:sz w:val="24"/>
              </w:rPr>
            </w:pPr>
            <w:r>
              <w:rPr>
                <w:rFonts w:hint="eastAsia" w:ascii="宋体" w:hAnsi="宋体"/>
                <w:bCs/>
                <w:sz w:val="24"/>
              </w:rPr>
              <w:t>）</w:t>
            </w:r>
          </w:p>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共5套</w:t>
            </w:r>
          </w:p>
          <w:p>
            <w:pPr>
              <w:rPr>
                <w:rFonts w:ascii="宋体" w:hAnsi="宋体" w:cs="宋体"/>
                <w:sz w:val="24"/>
              </w:rPr>
            </w:pPr>
            <w:r>
              <w:rPr>
                <w:rFonts w:hint="eastAsia" w:ascii="宋体" w:hAnsi="宋体" w:cs="宋体"/>
                <w:sz w:val="24"/>
              </w:rPr>
              <w:t>软件功能：</w:t>
            </w:r>
          </w:p>
          <w:p>
            <w:pPr>
              <w:rPr>
                <w:rFonts w:ascii="宋体" w:hAnsi="宋体" w:cs="宋体"/>
                <w:sz w:val="24"/>
              </w:rPr>
            </w:pPr>
            <w:r>
              <w:rPr>
                <w:rFonts w:hint="eastAsia" w:ascii="宋体" w:hAnsi="宋体" w:cs="宋体"/>
                <w:sz w:val="24"/>
              </w:rPr>
              <w:t>手术过程：</w:t>
            </w:r>
          </w:p>
          <w:p>
            <w:pPr>
              <w:rPr>
                <w:rFonts w:ascii="宋体" w:hAnsi="宋体" w:cs="宋体"/>
                <w:sz w:val="24"/>
              </w:rPr>
            </w:pPr>
            <w:r>
              <w:rPr>
                <w:rFonts w:hint="eastAsia" w:ascii="宋体" w:hAnsi="宋体" w:cs="宋体"/>
                <w:sz w:val="24"/>
              </w:rPr>
              <w:t>1、术前</w:t>
            </w:r>
          </w:p>
          <w:p>
            <w:pPr>
              <w:rPr>
                <w:rFonts w:ascii="宋体" w:hAnsi="宋体" w:cs="宋体"/>
                <w:sz w:val="24"/>
              </w:rPr>
            </w:pPr>
            <w:r>
              <w:rPr>
                <w:rFonts w:hint="eastAsia" w:ascii="宋体" w:hAnsi="宋体" w:cs="宋体"/>
                <w:sz w:val="24"/>
              </w:rPr>
              <w:t>支持录入手术申请单</w:t>
            </w:r>
          </w:p>
          <w:p>
            <w:pPr>
              <w:rPr>
                <w:rFonts w:ascii="宋体" w:hAnsi="宋体" w:cs="宋体"/>
                <w:sz w:val="24"/>
              </w:rPr>
            </w:pPr>
            <w:r>
              <w:rPr>
                <w:rFonts w:hint="eastAsia" w:ascii="宋体" w:hAnsi="宋体" w:cs="宋体"/>
                <w:sz w:val="24"/>
              </w:rPr>
              <w:t>支持批量接收HIS中指定日期的手术申请单</w:t>
            </w:r>
          </w:p>
          <w:p>
            <w:pPr>
              <w:rPr>
                <w:rFonts w:ascii="宋体" w:hAnsi="宋体" w:cs="宋体"/>
                <w:sz w:val="24"/>
              </w:rPr>
            </w:pPr>
            <w:r>
              <w:rPr>
                <w:rFonts w:hint="eastAsia" w:ascii="宋体" w:hAnsi="宋体" w:cs="宋体"/>
                <w:sz w:val="24"/>
              </w:rPr>
              <w:t>支持接收HIS下达的指定患者ID的手术申请单</w:t>
            </w:r>
          </w:p>
          <w:p>
            <w:pPr>
              <w:rPr>
                <w:rFonts w:ascii="宋体" w:hAnsi="宋体" w:cs="宋体"/>
                <w:sz w:val="24"/>
              </w:rPr>
            </w:pPr>
            <w:r>
              <w:rPr>
                <w:rFonts w:hint="eastAsia" w:ascii="宋体" w:hAnsi="宋体" w:cs="宋体"/>
                <w:sz w:val="24"/>
              </w:rPr>
              <w:t>支持查看手术申请单的详细信息</w:t>
            </w:r>
          </w:p>
          <w:p>
            <w:pPr>
              <w:rPr>
                <w:rFonts w:ascii="宋体" w:hAnsi="宋体" w:cs="宋体"/>
                <w:sz w:val="24"/>
              </w:rPr>
            </w:pPr>
            <w:r>
              <w:rPr>
                <w:rFonts w:hint="eastAsia" w:ascii="宋体" w:hAnsi="宋体" w:cs="宋体"/>
                <w:sz w:val="24"/>
              </w:rPr>
              <w:t>支持图形化批量排班，对手术申请进行统筹处理，分配手术资源，完成手术间的排班过程。</w:t>
            </w:r>
          </w:p>
          <w:p>
            <w:pPr>
              <w:rPr>
                <w:rFonts w:ascii="宋体" w:hAnsi="宋体" w:cs="宋体"/>
                <w:sz w:val="24"/>
              </w:rPr>
            </w:pPr>
            <w:r>
              <w:rPr>
                <w:rFonts w:hint="eastAsia" w:ascii="宋体" w:hAnsi="宋体" w:cs="宋体"/>
                <w:sz w:val="24"/>
              </w:rPr>
              <w:t>支持排班时，分配麻醉医生、巡回/洗手护士</w:t>
            </w:r>
          </w:p>
          <w:p>
            <w:pPr>
              <w:rPr>
                <w:rFonts w:ascii="宋体" w:hAnsi="宋体" w:cs="宋体"/>
                <w:sz w:val="24"/>
              </w:rPr>
            </w:pPr>
            <w:r>
              <w:rPr>
                <w:rFonts w:hint="eastAsia" w:ascii="宋体" w:hAnsi="宋体" w:cs="宋体"/>
                <w:sz w:val="24"/>
              </w:rPr>
              <w:t>支持排班时可查阅手术患者的术前检验信息</w:t>
            </w:r>
          </w:p>
          <w:p>
            <w:pPr>
              <w:rPr>
                <w:rFonts w:ascii="宋体" w:hAnsi="宋体" w:cs="宋体"/>
                <w:sz w:val="24"/>
              </w:rPr>
            </w:pPr>
            <w:r>
              <w:rPr>
                <w:rFonts w:hint="eastAsia" w:ascii="宋体" w:hAnsi="宋体" w:cs="宋体"/>
                <w:sz w:val="24"/>
              </w:rPr>
              <w:t>支持撤销未排班的手术申请，支持删除已排版的手术申请</w:t>
            </w:r>
          </w:p>
          <w:p>
            <w:pPr>
              <w:rPr>
                <w:rFonts w:ascii="宋体" w:hAnsi="宋体" w:cs="宋体"/>
                <w:sz w:val="24"/>
              </w:rPr>
            </w:pPr>
            <w:r>
              <w:rPr>
                <w:rFonts w:hint="eastAsia" w:ascii="宋体" w:hAnsi="宋体" w:cs="宋体"/>
                <w:sz w:val="24"/>
              </w:rPr>
              <w:t>支持查询当天手术的状态</w:t>
            </w:r>
          </w:p>
          <w:p>
            <w:pPr>
              <w:rPr>
                <w:rFonts w:ascii="宋体" w:hAnsi="宋体" w:cs="宋体"/>
                <w:sz w:val="24"/>
              </w:rPr>
            </w:pPr>
            <w:r>
              <w:rPr>
                <w:rFonts w:hint="eastAsia" w:ascii="宋体" w:hAnsi="宋体" w:cs="宋体"/>
                <w:sz w:val="24"/>
              </w:rPr>
              <w:t>支持生成手术通知单</w:t>
            </w:r>
          </w:p>
          <w:p>
            <w:pPr>
              <w:rPr>
                <w:rFonts w:ascii="宋体" w:hAnsi="宋体" w:cs="宋体"/>
                <w:sz w:val="24"/>
              </w:rPr>
            </w:pPr>
            <w:r>
              <w:rPr>
                <w:rFonts w:hint="eastAsia" w:ascii="宋体" w:hAnsi="宋体" w:cs="宋体"/>
                <w:sz w:val="24"/>
              </w:rPr>
              <w:t>支持麻醉同意书/日间麻醉同意书</w:t>
            </w:r>
          </w:p>
          <w:p>
            <w:pPr>
              <w:rPr>
                <w:rFonts w:ascii="宋体" w:hAnsi="宋体" w:cs="宋体"/>
                <w:sz w:val="24"/>
              </w:rPr>
            </w:pPr>
            <w:r>
              <w:rPr>
                <w:rFonts w:hint="eastAsia" w:ascii="宋体" w:hAnsi="宋体" w:cs="宋体"/>
                <w:sz w:val="24"/>
              </w:rPr>
              <w:t>支持术前访视单</w:t>
            </w:r>
          </w:p>
          <w:p>
            <w:pPr>
              <w:rPr>
                <w:rFonts w:ascii="宋体" w:hAnsi="宋体" w:cs="宋体"/>
                <w:sz w:val="24"/>
              </w:rPr>
            </w:pPr>
            <w:r>
              <w:rPr>
                <w:rFonts w:hint="eastAsia" w:ascii="宋体" w:hAnsi="宋体" w:cs="宋体"/>
                <w:sz w:val="24"/>
              </w:rPr>
              <w:t>支持置管操作</w:t>
            </w:r>
          </w:p>
          <w:p>
            <w:pPr>
              <w:rPr>
                <w:rFonts w:ascii="宋体" w:hAnsi="宋体" w:cs="宋体"/>
                <w:sz w:val="24"/>
              </w:rPr>
            </w:pPr>
            <w:r>
              <w:rPr>
                <w:rFonts w:hint="eastAsia" w:ascii="宋体" w:hAnsi="宋体" w:cs="宋体"/>
                <w:sz w:val="24"/>
              </w:rPr>
              <w:t>支持急诊手术</w:t>
            </w:r>
          </w:p>
          <w:p>
            <w:pPr>
              <w:rPr>
                <w:rFonts w:ascii="宋体" w:hAnsi="宋体" w:cs="宋体"/>
                <w:sz w:val="24"/>
              </w:rPr>
            </w:pPr>
            <w:r>
              <w:rPr>
                <w:rFonts w:hint="eastAsia" w:ascii="宋体" w:hAnsi="宋体" w:cs="宋体"/>
                <w:sz w:val="24"/>
              </w:rPr>
              <w:t>2、术中</w:t>
            </w:r>
          </w:p>
          <w:p>
            <w:pPr>
              <w:rPr>
                <w:rFonts w:ascii="宋体" w:hAnsi="宋体" w:cs="宋体"/>
                <w:sz w:val="24"/>
              </w:rPr>
            </w:pPr>
            <w:r>
              <w:rPr>
                <w:rFonts w:hint="eastAsia" w:ascii="宋体" w:hAnsi="宋体" w:cs="宋体"/>
                <w:sz w:val="24"/>
              </w:rPr>
              <w:t>支持采集麻醉机、监护仪等医疗设备采集生命体征数据，如血压、脉搏、心率、SPO2、呼吸频率等患者生命体征信息。</w:t>
            </w:r>
          </w:p>
          <w:p>
            <w:pPr>
              <w:rPr>
                <w:rFonts w:ascii="宋体" w:hAnsi="宋体" w:cs="宋体"/>
                <w:sz w:val="24"/>
              </w:rPr>
            </w:pPr>
            <w:r>
              <w:rPr>
                <w:rFonts w:hint="eastAsia" w:ascii="宋体" w:hAnsi="宋体" w:cs="宋体"/>
                <w:sz w:val="24"/>
              </w:rPr>
              <w:t>支持麻醉单的所见即所得，支持麻醉单全屏显示</w:t>
            </w:r>
          </w:p>
          <w:p>
            <w:pPr>
              <w:rPr>
                <w:rFonts w:ascii="宋体" w:hAnsi="宋体" w:cs="宋体"/>
                <w:sz w:val="24"/>
              </w:rPr>
            </w:pPr>
            <w:r>
              <w:rPr>
                <w:rFonts w:hint="eastAsia" w:ascii="宋体" w:hAnsi="宋体" w:cs="宋体"/>
                <w:sz w:val="24"/>
              </w:rPr>
              <w:t>支持自动提取患者基本信息</w:t>
            </w:r>
          </w:p>
          <w:p>
            <w:pPr>
              <w:rPr>
                <w:rFonts w:ascii="宋体" w:hAnsi="宋体" w:cs="宋体"/>
                <w:sz w:val="24"/>
              </w:rPr>
            </w:pPr>
            <w:r>
              <w:rPr>
                <w:rFonts w:hint="eastAsia" w:ascii="宋体" w:hAnsi="宋体" w:cs="宋体"/>
                <w:sz w:val="24"/>
              </w:rPr>
              <w:t>支持麻醉单中通过拼音首拼快速检索药品、事件等，同时支持快速选取模式</w:t>
            </w:r>
          </w:p>
          <w:p>
            <w:pPr>
              <w:rPr>
                <w:rFonts w:ascii="宋体" w:hAnsi="宋体" w:cs="宋体"/>
                <w:sz w:val="24"/>
              </w:rPr>
            </w:pPr>
            <w:r>
              <w:rPr>
                <w:rFonts w:hint="eastAsia" w:ascii="宋体" w:hAnsi="宋体" w:cs="宋体"/>
                <w:sz w:val="24"/>
              </w:rPr>
              <w:t>支持多通道录入输液输血</w:t>
            </w:r>
          </w:p>
          <w:p>
            <w:pPr>
              <w:rPr>
                <w:rFonts w:ascii="宋体" w:hAnsi="宋体" w:cs="宋体"/>
                <w:sz w:val="24"/>
              </w:rPr>
            </w:pPr>
            <w:r>
              <w:rPr>
                <w:rFonts w:hint="eastAsia" w:ascii="宋体" w:hAnsi="宋体" w:cs="宋体"/>
                <w:sz w:val="24"/>
              </w:rPr>
              <w:t>支持自动计算入量信息，支持记录出量信息</w:t>
            </w:r>
          </w:p>
          <w:p>
            <w:pPr>
              <w:rPr>
                <w:rFonts w:ascii="宋体" w:hAnsi="宋体" w:cs="宋体"/>
                <w:sz w:val="24"/>
              </w:rPr>
            </w:pPr>
            <w:r>
              <w:rPr>
                <w:rFonts w:hint="eastAsia" w:ascii="宋体" w:hAnsi="宋体" w:cs="宋体"/>
                <w:sz w:val="24"/>
              </w:rPr>
              <w:t>支持麻醉医生交班信息，支持护士交班信息</w:t>
            </w:r>
          </w:p>
          <w:p>
            <w:pPr>
              <w:rPr>
                <w:rFonts w:ascii="宋体" w:hAnsi="宋体" w:cs="宋体"/>
                <w:sz w:val="24"/>
              </w:rPr>
            </w:pPr>
            <w:r>
              <w:rPr>
                <w:rFonts w:hint="eastAsia" w:ascii="宋体" w:hAnsi="宋体" w:cs="宋体"/>
                <w:sz w:val="24"/>
              </w:rPr>
              <w:t>支持时间轴显示患者的手术流程</w:t>
            </w:r>
          </w:p>
          <w:p>
            <w:pPr>
              <w:rPr>
                <w:rFonts w:ascii="宋体" w:hAnsi="宋体" w:cs="宋体"/>
                <w:sz w:val="24"/>
              </w:rPr>
            </w:pPr>
            <w:r>
              <w:rPr>
                <w:rFonts w:hint="eastAsia" w:ascii="宋体" w:hAnsi="宋体" w:cs="宋体"/>
                <w:sz w:val="24"/>
              </w:rPr>
              <w:t>支持记录患者出室后去向</w:t>
            </w:r>
          </w:p>
          <w:p>
            <w:pPr>
              <w:rPr>
                <w:rFonts w:ascii="宋体" w:hAnsi="宋体" w:cs="宋体"/>
                <w:sz w:val="24"/>
              </w:rPr>
            </w:pPr>
            <w:r>
              <w:rPr>
                <w:rFonts w:hint="eastAsia" w:ascii="宋体" w:hAnsi="宋体" w:cs="宋体"/>
                <w:sz w:val="24"/>
              </w:rPr>
              <w:t>支持日间手术单</w:t>
            </w:r>
          </w:p>
          <w:p>
            <w:pPr>
              <w:rPr>
                <w:rFonts w:ascii="宋体" w:hAnsi="宋体" w:cs="宋体"/>
                <w:sz w:val="24"/>
              </w:rPr>
            </w:pPr>
            <w:r>
              <w:rPr>
                <w:rFonts w:hint="eastAsia" w:ascii="宋体" w:hAnsi="宋体" w:cs="宋体"/>
                <w:sz w:val="24"/>
              </w:rPr>
              <w:t>支持自动生成处方笺（精一、精二）</w:t>
            </w:r>
          </w:p>
          <w:p>
            <w:pPr>
              <w:rPr>
                <w:rFonts w:ascii="宋体" w:hAnsi="宋体" w:cs="宋体"/>
                <w:sz w:val="24"/>
              </w:rPr>
            </w:pPr>
            <w:r>
              <w:rPr>
                <w:rFonts w:hint="eastAsia" w:ascii="宋体" w:hAnsi="宋体" w:cs="宋体"/>
                <w:sz w:val="24"/>
              </w:rPr>
              <w:t>支持生成血气报告</w:t>
            </w:r>
          </w:p>
          <w:p>
            <w:pPr>
              <w:rPr>
                <w:rFonts w:ascii="宋体" w:hAnsi="宋体" w:cs="宋体"/>
                <w:sz w:val="24"/>
              </w:rPr>
            </w:pPr>
            <w:r>
              <w:rPr>
                <w:rFonts w:hint="eastAsia" w:ascii="宋体" w:hAnsi="宋体" w:cs="宋体"/>
                <w:sz w:val="24"/>
              </w:rPr>
              <w:t>支持器械登记</w:t>
            </w:r>
          </w:p>
          <w:p>
            <w:pPr>
              <w:rPr>
                <w:rFonts w:ascii="宋体" w:hAnsi="宋体" w:cs="宋体"/>
                <w:sz w:val="24"/>
              </w:rPr>
            </w:pPr>
            <w:r>
              <w:rPr>
                <w:rFonts w:hint="eastAsia" w:ascii="宋体" w:hAnsi="宋体" w:cs="宋体"/>
                <w:sz w:val="24"/>
              </w:rPr>
              <w:t>支持电子病历360视图</w:t>
            </w:r>
          </w:p>
          <w:p>
            <w:pPr>
              <w:rPr>
                <w:rFonts w:ascii="宋体" w:hAnsi="宋体" w:cs="宋体"/>
                <w:sz w:val="24"/>
              </w:rPr>
            </w:pPr>
            <w:r>
              <w:rPr>
                <w:rFonts w:hint="eastAsia" w:ascii="宋体" w:hAnsi="宋体" w:cs="宋体"/>
                <w:sz w:val="24"/>
              </w:rPr>
              <w:t>支持临床路径</w:t>
            </w:r>
          </w:p>
          <w:p>
            <w:pPr>
              <w:rPr>
                <w:rFonts w:ascii="宋体" w:hAnsi="宋体" w:cs="宋体"/>
                <w:sz w:val="24"/>
              </w:rPr>
            </w:pPr>
            <w:r>
              <w:rPr>
                <w:rFonts w:hint="eastAsia" w:ascii="宋体" w:hAnsi="宋体" w:cs="宋体"/>
                <w:sz w:val="24"/>
              </w:rPr>
              <w:t>支持三方核查</w:t>
            </w:r>
          </w:p>
          <w:p>
            <w:pPr>
              <w:rPr>
                <w:rFonts w:ascii="宋体" w:hAnsi="宋体" w:cs="宋体"/>
                <w:sz w:val="24"/>
              </w:rPr>
            </w:pPr>
            <w:r>
              <w:rPr>
                <w:rFonts w:hint="eastAsia" w:ascii="宋体" w:hAnsi="宋体" w:cs="宋体"/>
                <w:sz w:val="24"/>
              </w:rPr>
              <w:t>3、术后</w:t>
            </w:r>
          </w:p>
          <w:p>
            <w:pPr>
              <w:rPr>
                <w:rFonts w:ascii="宋体" w:hAnsi="宋体" w:cs="宋体"/>
                <w:sz w:val="24"/>
              </w:rPr>
            </w:pPr>
            <w:r>
              <w:rPr>
                <w:rFonts w:hint="eastAsia" w:ascii="宋体" w:hAnsi="宋体" w:cs="宋体"/>
                <w:sz w:val="24"/>
              </w:rPr>
              <w:t>支持术后随访单</w:t>
            </w:r>
          </w:p>
          <w:p>
            <w:pPr>
              <w:rPr>
                <w:rFonts w:ascii="宋体" w:hAnsi="宋体" w:cs="宋体"/>
                <w:sz w:val="24"/>
              </w:rPr>
            </w:pPr>
            <w:r>
              <w:rPr>
                <w:rFonts w:hint="eastAsia" w:ascii="宋体" w:hAnsi="宋体" w:cs="宋体"/>
                <w:sz w:val="24"/>
              </w:rPr>
              <w:t>支持术后镇痛</w:t>
            </w:r>
          </w:p>
          <w:p>
            <w:pPr>
              <w:rPr>
                <w:rFonts w:ascii="宋体" w:hAnsi="宋体" w:cs="宋体"/>
                <w:sz w:val="24"/>
              </w:rPr>
            </w:pPr>
            <w:r>
              <w:rPr>
                <w:rFonts w:hint="eastAsia" w:ascii="宋体" w:hAnsi="宋体" w:cs="宋体"/>
                <w:sz w:val="24"/>
              </w:rPr>
              <w:t>支持历史病案查询</w:t>
            </w:r>
          </w:p>
          <w:p>
            <w:pPr>
              <w:rPr>
                <w:rFonts w:ascii="宋体" w:hAnsi="宋体" w:cs="宋体"/>
                <w:sz w:val="24"/>
              </w:rPr>
            </w:pPr>
            <w:r>
              <w:rPr>
                <w:rFonts w:hint="eastAsia" w:ascii="宋体" w:hAnsi="宋体" w:cs="宋体"/>
                <w:sz w:val="24"/>
              </w:rPr>
              <w:t>支持多种复苏单模板，支持复苏单自动采集生命体征</w:t>
            </w:r>
          </w:p>
          <w:p>
            <w:pPr>
              <w:rPr>
                <w:rFonts w:ascii="宋体" w:hAnsi="宋体" w:cs="宋体"/>
                <w:sz w:val="24"/>
              </w:rPr>
            </w:pPr>
            <w:r>
              <w:rPr>
                <w:rFonts w:hint="eastAsia" w:ascii="宋体" w:hAnsi="宋体" w:cs="宋体"/>
                <w:sz w:val="24"/>
              </w:rPr>
              <w:t>支持室外小结</w:t>
            </w:r>
          </w:p>
          <w:p>
            <w:pPr>
              <w:rPr>
                <w:rFonts w:ascii="宋体" w:hAnsi="宋体" w:cs="宋体"/>
                <w:sz w:val="24"/>
              </w:rPr>
            </w:pPr>
            <w:r>
              <w:rPr>
                <w:rFonts w:hint="eastAsia" w:ascii="宋体" w:hAnsi="宋体" w:cs="宋体"/>
                <w:sz w:val="24"/>
              </w:rPr>
              <w:t>支持风险评估</w:t>
            </w:r>
          </w:p>
          <w:p>
            <w:pPr>
              <w:rPr>
                <w:rFonts w:ascii="宋体" w:hAnsi="宋体" w:cs="宋体"/>
                <w:sz w:val="24"/>
              </w:rPr>
            </w:pPr>
            <w:r>
              <w:rPr>
                <w:rFonts w:hint="eastAsia" w:ascii="宋体" w:hAnsi="宋体" w:cs="宋体"/>
                <w:sz w:val="24"/>
              </w:rPr>
              <w:t>支持不良记录</w:t>
            </w:r>
          </w:p>
          <w:p>
            <w:pPr>
              <w:rPr>
                <w:rFonts w:ascii="宋体" w:hAnsi="宋体" w:cs="宋体"/>
                <w:sz w:val="24"/>
              </w:rPr>
            </w:pPr>
            <w:r>
              <w:rPr>
                <w:rFonts w:hint="eastAsia" w:ascii="宋体" w:hAnsi="宋体" w:cs="宋体"/>
                <w:sz w:val="24"/>
              </w:rPr>
              <w:t>支持多种颜色区分近期手术，如24小时，48小时，72小时</w:t>
            </w:r>
          </w:p>
          <w:p>
            <w:pPr>
              <w:rPr>
                <w:rFonts w:ascii="宋体" w:hAnsi="宋体" w:cs="宋体"/>
                <w:sz w:val="24"/>
              </w:rPr>
            </w:pPr>
            <w:r>
              <w:rPr>
                <w:rFonts w:hint="eastAsia" w:ascii="宋体" w:hAnsi="宋体" w:cs="宋体"/>
                <w:sz w:val="24"/>
              </w:rPr>
              <w:t>日常记录：</w:t>
            </w:r>
          </w:p>
          <w:p>
            <w:pPr>
              <w:rPr>
                <w:rFonts w:ascii="宋体" w:hAnsi="宋体" w:cs="宋体"/>
                <w:sz w:val="24"/>
              </w:rPr>
            </w:pPr>
            <w:r>
              <w:rPr>
                <w:rFonts w:hint="eastAsia" w:ascii="宋体" w:hAnsi="宋体" w:cs="宋体"/>
                <w:sz w:val="24"/>
              </w:rPr>
              <w:t>1、日常排班</w:t>
            </w:r>
          </w:p>
          <w:p>
            <w:pPr>
              <w:rPr>
                <w:rFonts w:ascii="宋体" w:hAnsi="宋体" w:cs="宋体"/>
                <w:sz w:val="24"/>
              </w:rPr>
            </w:pPr>
            <w:r>
              <w:rPr>
                <w:rFonts w:hint="eastAsia" w:ascii="宋体" w:hAnsi="宋体" w:cs="宋体"/>
                <w:sz w:val="24"/>
              </w:rPr>
              <w:t>支持护士排班，可调取指定时间的排班情况</w:t>
            </w:r>
          </w:p>
          <w:p>
            <w:pPr>
              <w:rPr>
                <w:rFonts w:ascii="宋体" w:hAnsi="宋体" w:cs="宋体"/>
                <w:sz w:val="24"/>
              </w:rPr>
            </w:pPr>
            <w:r>
              <w:rPr>
                <w:rFonts w:hint="eastAsia" w:ascii="宋体" w:hAnsi="宋体" w:cs="宋体"/>
                <w:sz w:val="24"/>
              </w:rPr>
              <w:t>支持医生排班，可调取指定时间的排班情况</w:t>
            </w:r>
          </w:p>
          <w:p>
            <w:pPr>
              <w:rPr>
                <w:rFonts w:ascii="宋体" w:hAnsi="宋体" w:cs="宋体"/>
                <w:sz w:val="24"/>
              </w:rPr>
            </w:pPr>
            <w:r>
              <w:rPr>
                <w:rFonts w:hint="eastAsia" w:ascii="宋体" w:hAnsi="宋体" w:cs="宋体"/>
                <w:sz w:val="24"/>
              </w:rPr>
              <w:t>2、设备巡检</w:t>
            </w:r>
          </w:p>
          <w:p>
            <w:pPr>
              <w:rPr>
                <w:rFonts w:ascii="宋体" w:hAnsi="宋体" w:cs="宋体"/>
                <w:sz w:val="24"/>
              </w:rPr>
            </w:pPr>
            <w:r>
              <w:rPr>
                <w:rFonts w:hint="eastAsia" w:ascii="宋体" w:hAnsi="宋体" w:cs="宋体"/>
                <w:sz w:val="24"/>
              </w:rPr>
              <w:t>支持手术间每日器械巡检</w:t>
            </w:r>
          </w:p>
          <w:p>
            <w:pPr>
              <w:rPr>
                <w:rFonts w:ascii="宋体" w:hAnsi="宋体" w:cs="宋体"/>
                <w:sz w:val="24"/>
              </w:rPr>
            </w:pPr>
            <w:r>
              <w:rPr>
                <w:rFonts w:hint="eastAsia" w:ascii="宋体" w:hAnsi="宋体" w:cs="宋体"/>
                <w:sz w:val="24"/>
              </w:rPr>
              <w:t>质控统计：</w:t>
            </w:r>
          </w:p>
          <w:p>
            <w:pPr>
              <w:rPr>
                <w:rFonts w:ascii="宋体" w:hAnsi="宋体" w:cs="宋体"/>
                <w:sz w:val="24"/>
              </w:rPr>
            </w:pPr>
            <w:r>
              <w:rPr>
                <w:rFonts w:hint="eastAsia" w:ascii="宋体" w:hAnsi="宋体" w:cs="宋体"/>
                <w:sz w:val="24"/>
              </w:rPr>
              <w:t>1、麻醉质控</w:t>
            </w:r>
          </w:p>
          <w:p>
            <w:pPr>
              <w:rPr>
                <w:rFonts w:ascii="宋体" w:hAnsi="宋体" w:cs="宋体"/>
                <w:sz w:val="24"/>
              </w:rPr>
            </w:pPr>
            <w:r>
              <w:rPr>
                <w:rFonts w:hint="eastAsia" w:ascii="宋体" w:hAnsi="宋体" w:cs="宋体"/>
                <w:sz w:val="24"/>
              </w:rPr>
              <w:t>支持国家2020年质控标准信息记录</w:t>
            </w:r>
          </w:p>
          <w:p>
            <w:pPr>
              <w:rPr>
                <w:rFonts w:ascii="宋体" w:hAnsi="宋体" w:cs="宋体"/>
                <w:sz w:val="24"/>
              </w:rPr>
            </w:pPr>
            <w:r>
              <w:rPr>
                <w:rFonts w:hint="eastAsia" w:ascii="宋体" w:hAnsi="宋体" w:cs="宋体"/>
                <w:sz w:val="24"/>
              </w:rPr>
              <w:t>2、评分</w:t>
            </w:r>
          </w:p>
          <w:p>
            <w:pPr>
              <w:rPr>
                <w:rFonts w:ascii="宋体" w:hAnsi="宋体" w:cs="宋体"/>
                <w:sz w:val="24"/>
              </w:rPr>
            </w:pPr>
            <w:r>
              <w:rPr>
                <w:rFonts w:hint="eastAsia" w:ascii="宋体" w:hAnsi="宋体" w:cs="宋体"/>
                <w:sz w:val="24"/>
              </w:rPr>
              <w:t>支持针对患者的多种评分，如苏醒评分，Aldrete评分、TISS评分、Balthazar评分</w:t>
            </w:r>
          </w:p>
          <w:p>
            <w:pPr>
              <w:rPr>
                <w:rFonts w:ascii="宋体" w:hAnsi="宋体" w:cs="宋体"/>
                <w:sz w:val="24"/>
              </w:rPr>
            </w:pPr>
            <w:r>
              <w:rPr>
                <w:rFonts w:hint="eastAsia" w:ascii="宋体" w:hAnsi="宋体" w:cs="宋体"/>
                <w:sz w:val="24"/>
              </w:rPr>
              <w:t>统计分析：</w:t>
            </w:r>
          </w:p>
          <w:p>
            <w:pPr>
              <w:rPr>
                <w:rFonts w:ascii="宋体" w:hAnsi="宋体" w:cs="宋体"/>
                <w:sz w:val="24"/>
              </w:rPr>
            </w:pPr>
            <w:r>
              <w:rPr>
                <w:rFonts w:hint="eastAsia" w:ascii="宋体" w:hAnsi="宋体" w:cs="宋体"/>
                <w:sz w:val="24"/>
              </w:rPr>
              <w:t>1、手术统计</w:t>
            </w:r>
          </w:p>
          <w:p>
            <w:pPr>
              <w:rPr>
                <w:rFonts w:ascii="宋体" w:hAnsi="宋体" w:cs="宋体"/>
                <w:sz w:val="24"/>
              </w:rPr>
            </w:pPr>
            <w:r>
              <w:rPr>
                <w:rFonts w:hint="eastAsia" w:ascii="宋体" w:hAnsi="宋体" w:cs="宋体"/>
                <w:sz w:val="24"/>
              </w:rPr>
              <w:t>支持接台间隔统计</w:t>
            </w:r>
          </w:p>
          <w:p>
            <w:pPr>
              <w:rPr>
                <w:rFonts w:ascii="宋体" w:hAnsi="宋体" w:cs="宋体"/>
                <w:sz w:val="24"/>
              </w:rPr>
            </w:pPr>
            <w:r>
              <w:rPr>
                <w:rFonts w:hint="eastAsia" w:ascii="宋体" w:hAnsi="宋体" w:cs="宋体"/>
                <w:sz w:val="24"/>
              </w:rPr>
              <w:t>支持输血统计</w:t>
            </w:r>
          </w:p>
          <w:p>
            <w:pPr>
              <w:rPr>
                <w:rFonts w:ascii="宋体" w:hAnsi="宋体" w:cs="宋体"/>
                <w:sz w:val="24"/>
              </w:rPr>
            </w:pPr>
            <w:r>
              <w:rPr>
                <w:rFonts w:hint="eastAsia" w:ascii="宋体" w:hAnsi="宋体" w:cs="宋体"/>
                <w:sz w:val="24"/>
              </w:rPr>
              <w:t>支持麻醉方式统计</w:t>
            </w:r>
          </w:p>
          <w:p>
            <w:pPr>
              <w:rPr>
                <w:rFonts w:ascii="宋体" w:hAnsi="宋体" w:cs="宋体"/>
                <w:sz w:val="24"/>
              </w:rPr>
            </w:pPr>
            <w:r>
              <w:rPr>
                <w:rFonts w:hint="eastAsia" w:ascii="宋体" w:hAnsi="宋体" w:cs="宋体"/>
                <w:sz w:val="24"/>
              </w:rPr>
              <w:t>支持患者年龄统计</w:t>
            </w:r>
          </w:p>
          <w:p>
            <w:pPr>
              <w:rPr>
                <w:rFonts w:ascii="宋体" w:hAnsi="宋体" w:cs="宋体"/>
                <w:sz w:val="24"/>
              </w:rPr>
            </w:pPr>
            <w:r>
              <w:rPr>
                <w:rFonts w:hint="eastAsia" w:ascii="宋体" w:hAnsi="宋体" w:cs="宋体"/>
                <w:sz w:val="24"/>
              </w:rPr>
              <w:t>支持术后去向统计</w:t>
            </w:r>
          </w:p>
          <w:p>
            <w:pPr>
              <w:rPr>
                <w:rFonts w:ascii="宋体" w:hAnsi="宋体" w:cs="宋体"/>
                <w:sz w:val="24"/>
              </w:rPr>
            </w:pPr>
            <w:r>
              <w:rPr>
                <w:rFonts w:hint="eastAsia" w:ascii="宋体" w:hAnsi="宋体" w:cs="宋体"/>
                <w:sz w:val="24"/>
              </w:rPr>
              <w:t>支持手术时长统计</w:t>
            </w:r>
          </w:p>
          <w:p>
            <w:pPr>
              <w:rPr>
                <w:rFonts w:ascii="宋体" w:hAnsi="宋体" w:cs="宋体"/>
                <w:sz w:val="24"/>
              </w:rPr>
            </w:pPr>
            <w:r>
              <w:rPr>
                <w:rFonts w:hint="eastAsia" w:ascii="宋体" w:hAnsi="宋体" w:cs="宋体"/>
                <w:sz w:val="24"/>
              </w:rPr>
              <w:t>支持质管统计</w:t>
            </w:r>
          </w:p>
          <w:p>
            <w:pPr>
              <w:rPr>
                <w:rFonts w:ascii="宋体" w:hAnsi="宋体" w:cs="宋体"/>
                <w:sz w:val="24"/>
              </w:rPr>
            </w:pPr>
            <w:r>
              <w:rPr>
                <w:rFonts w:hint="eastAsia" w:ascii="宋体" w:hAnsi="宋体" w:cs="宋体"/>
                <w:sz w:val="24"/>
              </w:rPr>
              <w:t>支持首台划刀统计</w:t>
            </w:r>
          </w:p>
          <w:p>
            <w:pPr>
              <w:rPr>
                <w:rFonts w:ascii="宋体" w:hAnsi="宋体" w:cs="宋体"/>
                <w:sz w:val="24"/>
              </w:rPr>
            </w:pPr>
            <w:r>
              <w:rPr>
                <w:rFonts w:hint="eastAsia" w:ascii="宋体" w:hAnsi="宋体" w:cs="宋体"/>
                <w:sz w:val="24"/>
              </w:rPr>
              <w:t>支持手术取消查询统计</w:t>
            </w:r>
          </w:p>
          <w:p>
            <w:pPr>
              <w:rPr>
                <w:rFonts w:ascii="宋体" w:hAnsi="宋体" w:cs="宋体"/>
                <w:sz w:val="24"/>
              </w:rPr>
            </w:pPr>
            <w:r>
              <w:rPr>
                <w:rFonts w:hint="eastAsia" w:ascii="宋体" w:hAnsi="宋体" w:cs="宋体"/>
                <w:sz w:val="24"/>
              </w:rPr>
              <w:t>2、科室统计</w:t>
            </w:r>
          </w:p>
          <w:p>
            <w:pPr>
              <w:rPr>
                <w:rFonts w:ascii="宋体" w:hAnsi="宋体" w:cs="宋体"/>
                <w:sz w:val="24"/>
              </w:rPr>
            </w:pPr>
            <w:r>
              <w:rPr>
                <w:rFonts w:hint="eastAsia" w:ascii="宋体" w:hAnsi="宋体" w:cs="宋体"/>
                <w:sz w:val="24"/>
              </w:rPr>
              <w:t>支持科室手术量统计</w:t>
            </w:r>
          </w:p>
          <w:p>
            <w:pPr>
              <w:rPr>
                <w:rFonts w:ascii="宋体" w:hAnsi="宋体" w:cs="宋体"/>
                <w:sz w:val="24"/>
              </w:rPr>
            </w:pPr>
            <w:r>
              <w:rPr>
                <w:rFonts w:hint="eastAsia" w:ascii="宋体" w:hAnsi="宋体" w:cs="宋体"/>
                <w:sz w:val="24"/>
              </w:rPr>
              <w:t>支持麻醉医生工作量统计</w:t>
            </w:r>
          </w:p>
          <w:p>
            <w:pPr>
              <w:rPr>
                <w:rFonts w:ascii="宋体" w:hAnsi="宋体" w:cs="宋体"/>
                <w:sz w:val="24"/>
              </w:rPr>
            </w:pPr>
            <w:r>
              <w:rPr>
                <w:rFonts w:hint="eastAsia" w:ascii="宋体" w:hAnsi="宋体" w:cs="宋体"/>
                <w:sz w:val="24"/>
              </w:rPr>
              <w:t>支持手术医生工作量统计</w:t>
            </w:r>
          </w:p>
          <w:p>
            <w:pPr>
              <w:rPr>
                <w:rFonts w:ascii="宋体" w:hAnsi="宋体" w:cs="宋体"/>
                <w:sz w:val="24"/>
              </w:rPr>
            </w:pPr>
            <w:r>
              <w:rPr>
                <w:rFonts w:hint="eastAsia" w:ascii="宋体" w:hAnsi="宋体" w:cs="宋体"/>
                <w:sz w:val="24"/>
              </w:rPr>
              <w:t>支持护士工作量统计</w:t>
            </w:r>
          </w:p>
          <w:p>
            <w:pPr>
              <w:rPr>
                <w:rFonts w:ascii="宋体" w:hAnsi="宋体" w:cs="宋体"/>
                <w:sz w:val="24"/>
              </w:rPr>
            </w:pPr>
            <w:r>
              <w:rPr>
                <w:rFonts w:hint="eastAsia" w:ascii="宋体" w:hAnsi="宋体" w:cs="宋体"/>
                <w:sz w:val="24"/>
              </w:rPr>
              <w:t>支持药量统计</w:t>
            </w:r>
          </w:p>
          <w:p>
            <w:pPr>
              <w:rPr>
                <w:rFonts w:ascii="宋体" w:hAnsi="宋体" w:cs="宋体"/>
                <w:sz w:val="24"/>
              </w:rPr>
            </w:pPr>
            <w:r>
              <w:rPr>
                <w:rFonts w:hint="eastAsia" w:ascii="宋体" w:hAnsi="宋体" w:cs="宋体"/>
                <w:sz w:val="24"/>
              </w:rPr>
              <w:t>支持设备使用时长统计</w:t>
            </w:r>
          </w:p>
          <w:p>
            <w:pPr>
              <w:rPr>
                <w:rFonts w:ascii="宋体" w:hAnsi="宋体" w:cs="宋体"/>
                <w:sz w:val="24"/>
              </w:rPr>
            </w:pPr>
            <w:r>
              <w:rPr>
                <w:rFonts w:hint="eastAsia" w:ascii="宋体" w:hAnsi="宋体" w:cs="宋体"/>
                <w:sz w:val="24"/>
              </w:rPr>
              <w:t>系统设置：</w:t>
            </w:r>
          </w:p>
          <w:p>
            <w:pPr>
              <w:rPr>
                <w:rFonts w:ascii="宋体" w:hAnsi="宋体" w:cs="宋体"/>
                <w:sz w:val="24"/>
              </w:rPr>
            </w:pPr>
            <w:r>
              <w:rPr>
                <w:rFonts w:hint="eastAsia" w:ascii="宋体" w:hAnsi="宋体" w:cs="宋体"/>
                <w:sz w:val="24"/>
              </w:rPr>
              <w:t>支持科室、账号管理</w:t>
            </w:r>
          </w:p>
          <w:p>
            <w:pPr>
              <w:rPr>
                <w:rFonts w:ascii="宋体" w:hAnsi="宋体" w:cs="宋体"/>
                <w:sz w:val="24"/>
              </w:rPr>
            </w:pPr>
            <w:r>
              <w:rPr>
                <w:rFonts w:hint="eastAsia" w:ascii="宋体" w:hAnsi="宋体" w:cs="宋体"/>
                <w:sz w:val="24"/>
              </w:rPr>
              <w:t>支持药品管理，如用药配置、给药理由、用药方法、药品分类、处方类型等管理</w:t>
            </w:r>
          </w:p>
          <w:p>
            <w:pPr>
              <w:rPr>
                <w:rFonts w:ascii="宋体" w:hAnsi="宋体" w:cs="宋体"/>
                <w:sz w:val="24"/>
              </w:rPr>
            </w:pPr>
            <w:r>
              <w:rPr>
                <w:rFonts w:hint="eastAsia" w:ascii="宋体" w:hAnsi="宋体" w:cs="宋体"/>
                <w:sz w:val="24"/>
              </w:rPr>
              <w:t>支持容器单位、剂量单位等管理</w:t>
            </w:r>
          </w:p>
          <w:p>
            <w:pPr>
              <w:rPr>
                <w:rFonts w:ascii="宋体" w:hAnsi="宋体" w:cs="宋体"/>
                <w:sz w:val="24"/>
              </w:rPr>
            </w:pPr>
            <w:r>
              <w:rPr>
                <w:rFonts w:hint="eastAsia" w:ascii="宋体" w:hAnsi="宋体" w:cs="宋体"/>
                <w:sz w:val="24"/>
              </w:rPr>
              <w:t>支持麻醉事件、麻醉方式、手术名称管理</w:t>
            </w:r>
          </w:p>
          <w:p>
            <w:pPr>
              <w:rPr>
                <w:rFonts w:ascii="宋体" w:hAnsi="宋体" w:cs="宋体"/>
                <w:sz w:val="24"/>
              </w:rPr>
            </w:pPr>
            <w:r>
              <w:rPr>
                <w:rFonts w:hint="eastAsia" w:ascii="宋体" w:hAnsi="宋体" w:cs="宋体"/>
                <w:sz w:val="24"/>
              </w:rPr>
              <w:t>支持麻醉模板管理</w:t>
            </w:r>
          </w:p>
          <w:p>
            <w:pPr>
              <w:rPr>
                <w:rFonts w:ascii="宋体" w:hAnsi="宋体" w:cs="宋体"/>
                <w:sz w:val="24"/>
              </w:rPr>
            </w:pPr>
            <w:r>
              <w:rPr>
                <w:rFonts w:hint="eastAsia" w:ascii="宋体" w:hAnsi="宋体" w:cs="宋体"/>
                <w:sz w:val="24"/>
              </w:rPr>
              <w:t>支持自定义菜单权限管理</w:t>
            </w:r>
          </w:p>
          <w:p>
            <w:pPr>
              <w:rPr>
                <w:rFonts w:ascii="宋体" w:hAnsi="宋体" w:cs="宋体"/>
                <w:sz w:val="24"/>
              </w:rPr>
            </w:pPr>
            <w:r>
              <w:rPr>
                <w:rFonts w:hint="eastAsia" w:ascii="宋体" w:hAnsi="宋体" w:cs="宋体"/>
                <w:sz w:val="24"/>
              </w:rPr>
              <w:t>支持生命体征以及告警值管理</w:t>
            </w:r>
          </w:p>
          <w:p>
            <w:pPr>
              <w:rPr>
                <w:rFonts w:ascii="宋体" w:hAnsi="宋体" w:cs="宋体"/>
                <w:sz w:val="24"/>
              </w:rPr>
            </w:pPr>
            <w:r>
              <w:rPr>
                <w:rFonts w:hint="eastAsia" w:ascii="宋体" w:hAnsi="宋体" w:cs="宋体"/>
                <w:sz w:val="24"/>
              </w:rPr>
              <w:t>医患沟通平台：</w:t>
            </w:r>
          </w:p>
          <w:p>
            <w:pPr>
              <w:rPr>
                <w:rFonts w:ascii="宋体" w:hAnsi="宋体" w:cs="宋体"/>
                <w:sz w:val="24"/>
              </w:rPr>
            </w:pPr>
            <w:r>
              <w:rPr>
                <w:rFonts w:hint="eastAsia" w:ascii="宋体" w:hAnsi="宋体" w:cs="宋体"/>
                <w:sz w:val="24"/>
              </w:rPr>
              <w:t>支持实时滚动显示当天的手术安排</w:t>
            </w:r>
          </w:p>
          <w:p>
            <w:pPr>
              <w:rPr>
                <w:rFonts w:ascii="宋体" w:hAnsi="宋体" w:cs="宋体"/>
                <w:sz w:val="24"/>
              </w:rPr>
            </w:pPr>
            <w:r>
              <w:rPr>
                <w:rFonts w:hint="eastAsia" w:ascii="宋体" w:hAnsi="宋体" w:cs="宋体"/>
                <w:sz w:val="24"/>
              </w:rPr>
              <w:t>支持实时显示手术的进程，如显示患者信息、手术名称、麻醉方法、医护人员以及当前手术的状态</w:t>
            </w:r>
          </w:p>
          <w:p>
            <w:pPr>
              <w:rPr>
                <w:rFonts w:ascii="宋体" w:hAnsi="宋体" w:cs="宋体"/>
                <w:sz w:val="24"/>
              </w:rPr>
            </w:pPr>
            <w:r>
              <w:rPr>
                <w:rFonts w:hint="eastAsia" w:ascii="宋体" w:hAnsi="宋体" w:cs="宋体"/>
                <w:sz w:val="24"/>
              </w:rPr>
              <w:t>支持实时滚动显示家属通知信息的发布</w:t>
            </w:r>
          </w:p>
          <w:p>
            <w:pPr>
              <w:rPr>
                <w:rFonts w:ascii="宋体" w:hAnsi="宋体" w:cs="宋体"/>
                <w:sz w:val="24"/>
              </w:rPr>
            </w:pPr>
            <w:r>
              <w:rPr>
                <w:rFonts w:hint="eastAsia" w:ascii="宋体" w:hAnsi="宋体" w:cs="宋体"/>
                <w:sz w:val="24"/>
              </w:rPr>
              <w:t>支持宣教视频的播放</w:t>
            </w:r>
          </w:p>
          <w:p>
            <w:pPr>
              <w:rPr>
                <w:rFonts w:ascii="宋体" w:hAnsi="宋体" w:cs="宋体"/>
                <w:sz w:val="24"/>
              </w:rPr>
            </w:pPr>
            <w:r>
              <w:rPr>
                <w:rFonts w:hint="eastAsia" w:ascii="宋体" w:hAnsi="宋体" w:cs="宋体"/>
                <w:sz w:val="24"/>
              </w:rPr>
              <w:t xml:space="preserve">主任工作站： </w:t>
            </w:r>
          </w:p>
          <w:p>
            <w:pPr>
              <w:rPr>
                <w:rFonts w:ascii="宋体" w:hAnsi="宋体" w:cs="宋体"/>
                <w:sz w:val="24"/>
              </w:rPr>
            </w:pPr>
            <w:r>
              <w:rPr>
                <w:rFonts w:hint="eastAsia" w:ascii="宋体" w:hAnsi="宋体" w:cs="宋体"/>
                <w:sz w:val="24"/>
              </w:rPr>
              <w:t>支持单屏显示指定手术间的手术信息</w:t>
            </w:r>
          </w:p>
          <w:p>
            <w:pPr>
              <w:rPr>
                <w:rFonts w:ascii="宋体" w:hAnsi="宋体" w:cs="宋体"/>
                <w:sz w:val="24"/>
              </w:rPr>
            </w:pPr>
            <w:r>
              <w:rPr>
                <w:rFonts w:hint="eastAsia" w:ascii="宋体" w:hAnsi="宋体" w:cs="宋体"/>
                <w:sz w:val="24"/>
              </w:rPr>
              <w:t>支持多屏显示手术间的手术信息</w:t>
            </w:r>
          </w:p>
          <w:p>
            <w:pPr>
              <w:rPr>
                <w:rFonts w:ascii="宋体" w:hAnsi="宋体" w:cs="宋体"/>
                <w:sz w:val="24"/>
              </w:rPr>
            </w:pPr>
            <w:r>
              <w:rPr>
                <w:rFonts w:hint="eastAsia" w:ascii="宋体" w:hAnsi="宋体" w:cs="宋体"/>
                <w:sz w:val="24"/>
              </w:rPr>
              <w:t>支持直接点击患者浏览麻醉记录单</w:t>
            </w:r>
          </w:p>
          <w:p>
            <w:pPr>
              <w:rPr>
                <w:rFonts w:ascii="宋体" w:hAnsi="宋体" w:cs="宋体"/>
                <w:sz w:val="24"/>
              </w:rPr>
            </w:pPr>
            <w:r>
              <w:rPr>
                <w:rFonts w:hint="eastAsia" w:ascii="宋体" w:hAnsi="宋体" w:cs="宋体"/>
                <w:sz w:val="24"/>
              </w:rPr>
              <w:t>支持图形化显示各手术间的手术情况</w:t>
            </w:r>
          </w:p>
          <w:p>
            <w:pPr>
              <w:rPr>
                <w:rFonts w:ascii="宋体" w:hAnsi="宋体" w:cs="宋体"/>
                <w:sz w:val="24"/>
              </w:rPr>
            </w:pPr>
            <w:r>
              <w:rPr>
                <w:rFonts w:hint="eastAsia" w:ascii="宋体" w:hAnsi="宋体" w:cs="宋体"/>
                <w:sz w:val="24"/>
              </w:rPr>
              <w:t>支持显示所有或指定手术间患者的信息以及生命体征情况</w:t>
            </w:r>
          </w:p>
          <w:p>
            <w:pPr>
              <w:rPr>
                <w:rFonts w:ascii="宋体" w:hAnsi="宋体" w:cs="宋体"/>
                <w:sz w:val="24"/>
              </w:rPr>
            </w:pPr>
            <w:r>
              <w:rPr>
                <w:rFonts w:hint="eastAsia" w:ascii="宋体" w:hAnsi="宋体" w:cs="宋体"/>
                <w:sz w:val="24"/>
              </w:rPr>
              <w:t>移动端功能：</w:t>
            </w:r>
          </w:p>
          <w:p>
            <w:pPr>
              <w:rPr>
                <w:rFonts w:ascii="宋体" w:hAnsi="宋体" w:cs="宋体"/>
                <w:sz w:val="24"/>
              </w:rPr>
            </w:pPr>
            <w:r>
              <w:rPr>
                <w:rFonts w:hint="eastAsia" w:ascii="宋体" w:hAnsi="宋体" w:cs="宋体"/>
                <w:sz w:val="24"/>
              </w:rPr>
              <w:t>术前浏览：</w:t>
            </w:r>
          </w:p>
          <w:p>
            <w:pPr>
              <w:rPr>
                <w:rFonts w:ascii="宋体" w:hAnsi="宋体" w:cs="宋体"/>
                <w:sz w:val="24"/>
              </w:rPr>
            </w:pPr>
            <w:r>
              <w:rPr>
                <w:rFonts w:hint="eastAsia" w:ascii="宋体" w:hAnsi="宋体" w:cs="宋体"/>
                <w:sz w:val="24"/>
              </w:rPr>
              <w:t>能够观看当天手术排台情况(包括从his获取的预约手术、急症手术、手麻系统里面麻醉医生添加的手术信息)</w:t>
            </w:r>
          </w:p>
          <w:p>
            <w:pPr>
              <w:rPr>
                <w:rFonts w:ascii="宋体" w:hAnsi="宋体" w:cs="宋体"/>
                <w:sz w:val="24"/>
              </w:rPr>
            </w:pPr>
            <w:r>
              <w:rPr>
                <w:rFonts w:hint="eastAsia" w:ascii="宋体" w:hAnsi="宋体" w:cs="宋体"/>
                <w:sz w:val="24"/>
              </w:rPr>
              <w:t>能够查看当天未排台的病人基本信息</w:t>
            </w:r>
          </w:p>
          <w:p>
            <w:pPr>
              <w:rPr>
                <w:rFonts w:ascii="宋体" w:hAnsi="宋体" w:cs="宋体"/>
                <w:sz w:val="24"/>
              </w:rPr>
            </w:pPr>
            <w:r>
              <w:rPr>
                <w:rFonts w:hint="eastAsia" w:ascii="宋体" w:hAnsi="宋体" w:cs="宋体"/>
                <w:sz w:val="24"/>
              </w:rPr>
              <w:t>可点击某个病人进入该病人的手术详情界面</w:t>
            </w:r>
          </w:p>
          <w:p>
            <w:pPr>
              <w:rPr>
                <w:rFonts w:ascii="宋体" w:hAnsi="宋体" w:cs="宋体"/>
                <w:sz w:val="24"/>
              </w:rPr>
            </w:pPr>
            <w:r>
              <w:rPr>
                <w:rFonts w:hint="eastAsia" w:ascii="宋体" w:hAnsi="宋体" w:cs="宋体"/>
                <w:sz w:val="24"/>
              </w:rPr>
              <w:t>术中总览：</w:t>
            </w:r>
          </w:p>
          <w:p>
            <w:pPr>
              <w:rPr>
                <w:rFonts w:ascii="宋体" w:hAnsi="宋体" w:cs="宋体"/>
                <w:sz w:val="24"/>
              </w:rPr>
            </w:pPr>
            <w:r>
              <w:rPr>
                <w:rFonts w:hint="eastAsia" w:ascii="宋体" w:hAnsi="宋体" w:cs="宋体"/>
                <w:sz w:val="24"/>
              </w:rPr>
              <w:t>可以观看当天已入手术室且尚未出手术室的病人，并且可以观看病人的主麻、主刀、手术名称、手术诊断、ASA分级、手术状态等等数据；</w:t>
            </w:r>
          </w:p>
          <w:p>
            <w:pPr>
              <w:rPr>
                <w:rFonts w:ascii="宋体" w:hAnsi="宋体" w:cs="宋体"/>
                <w:sz w:val="24"/>
              </w:rPr>
            </w:pPr>
            <w:r>
              <w:rPr>
                <w:rFonts w:hint="eastAsia" w:ascii="宋体" w:hAnsi="宋体" w:cs="宋体"/>
                <w:sz w:val="24"/>
              </w:rPr>
              <w:t>可点击某个病人进入该病人的手术详情界面。</w:t>
            </w:r>
          </w:p>
          <w:p>
            <w:pPr>
              <w:rPr>
                <w:rFonts w:ascii="宋体" w:hAnsi="宋体" w:cs="宋体"/>
                <w:sz w:val="24"/>
              </w:rPr>
            </w:pPr>
            <w:r>
              <w:rPr>
                <w:rFonts w:hint="eastAsia" w:ascii="宋体" w:hAnsi="宋体" w:cs="宋体"/>
                <w:sz w:val="24"/>
              </w:rPr>
              <w:t>可实时浏览术中病人的手术麻醉单情况，实时调阅术中的麻醉单</w:t>
            </w:r>
          </w:p>
          <w:p>
            <w:pPr>
              <w:rPr>
                <w:rFonts w:ascii="宋体" w:hAnsi="宋体" w:cs="宋体"/>
                <w:sz w:val="24"/>
              </w:rPr>
            </w:pPr>
            <w:r>
              <w:rPr>
                <w:rFonts w:hint="eastAsia" w:ascii="宋体" w:hAnsi="宋体" w:cs="宋体"/>
                <w:sz w:val="24"/>
              </w:rPr>
              <w:t>术后复苏：</w:t>
            </w:r>
          </w:p>
          <w:p>
            <w:pPr>
              <w:rPr>
                <w:rFonts w:ascii="宋体" w:hAnsi="宋体" w:cs="宋体"/>
                <w:sz w:val="24"/>
              </w:rPr>
            </w:pPr>
            <w:r>
              <w:rPr>
                <w:rFonts w:hint="eastAsia" w:ascii="宋体" w:hAnsi="宋体" w:cs="宋体"/>
                <w:sz w:val="24"/>
              </w:rPr>
              <w:t>可以观看当天所有已经出手术室、出恢复室的病人,并且可以看到病人住院号、主麻、手术名称、手术开始结束时间、复苏开始结束时间、手术时长、复苏时长等病人信息。</w:t>
            </w:r>
          </w:p>
          <w:p>
            <w:pPr>
              <w:rPr>
                <w:rFonts w:ascii="宋体" w:hAnsi="宋体" w:cs="宋体"/>
                <w:sz w:val="24"/>
              </w:rPr>
            </w:pPr>
            <w:r>
              <w:rPr>
                <w:rFonts w:hint="eastAsia" w:ascii="宋体" w:hAnsi="宋体" w:cs="宋体"/>
                <w:sz w:val="24"/>
              </w:rPr>
              <w:t>可实时调阅复苏单信息</w:t>
            </w:r>
          </w:p>
          <w:p>
            <w:pPr>
              <w:rPr>
                <w:rFonts w:ascii="宋体" w:hAnsi="宋体" w:cs="宋体"/>
                <w:sz w:val="24"/>
              </w:rPr>
            </w:pPr>
            <w:r>
              <w:rPr>
                <w:rFonts w:hint="eastAsia" w:ascii="宋体" w:hAnsi="宋体" w:cs="宋体"/>
                <w:sz w:val="24"/>
              </w:rPr>
              <w:t>科室统计：</w:t>
            </w:r>
          </w:p>
          <w:p>
            <w:pPr>
              <w:rPr>
                <w:rFonts w:ascii="宋体" w:hAnsi="宋体" w:cs="宋体"/>
                <w:sz w:val="24"/>
              </w:rPr>
            </w:pPr>
            <w:r>
              <w:rPr>
                <w:rFonts w:hint="eastAsia" w:ascii="宋体" w:hAnsi="宋体" w:cs="宋体"/>
                <w:sz w:val="24"/>
              </w:rPr>
              <w:t>按当天手术情况，统计各个手术室病人排台柱状图、并且可以观看各个手术室手术完成情况</w:t>
            </w:r>
          </w:p>
          <w:p>
            <w:pPr>
              <w:rPr>
                <w:rFonts w:ascii="宋体" w:hAnsi="宋体" w:cs="宋体"/>
                <w:sz w:val="24"/>
              </w:rPr>
            </w:pPr>
            <w:r>
              <w:rPr>
                <w:rFonts w:hint="eastAsia" w:ascii="宋体" w:hAnsi="宋体" w:cs="宋体"/>
                <w:sz w:val="24"/>
              </w:rPr>
              <w:t>能够观看当天手术病人的ASA分布情况（饼图）</w:t>
            </w:r>
          </w:p>
          <w:p>
            <w:pPr>
              <w:rPr>
                <w:rFonts w:ascii="宋体" w:hAnsi="宋体" w:cs="宋体"/>
                <w:sz w:val="24"/>
              </w:rPr>
            </w:pPr>
            <w:r>
              <w:rPr>
                <w:rFonts w:hint="eastAsia" w:ascii="宋体" w:hAnsi="宋体" w:cs="宋体"/>
                <w:sz w:val="24"/>
              </w:rPr>
              <w:t>能够查询当天麻醉医生手术工作量统计（饼图）（注：每个手术只统计主麻医生）</w:t>
            </w:r>
          </w:p>
          <w:p>
            <w:pPr>
              <w:rPr>
                <w:rFonts w:ascii="宋体" w:hAnsi="宋体" w:cs="宋体"/>
                <w:sz w:val="24"/>
              </w:rPr>
            </w:pPr>
            <w:r>
              <w:rPr>
                <w:rFonts w:hint="eastAsia" w:ascii="宋体" w:hAnsi="宋体" w:cs="宋体"/>
                <w:sz w:val="24"/>
              </w:rPr>
              <w:t>能够观看当天手术病人的年龄分布情况</w:t>
            </w:r>
          </w:p>
          <w:p>
            <w:pPr>
              <w:rPr>
                <w:rFonts w:ascii="宋体" w:hAnsi="宋体" w:cs="宋体"/>
                <w:sz w:val="24"/>
              </w:rPr>
            </w:pPr>
            <w:r>
              <w:rPr>
                <w:rFonts w:hint="eastAsia" w:ascii="宋体" w:hAnsi="宋体" w:cs="宋体"/>
                <w:sz w:val="24"/>
              </w:rPr>
              <w:t>生命体征数据采集套件：5套</w:t>
            </w:r>
          </w:p>
          <w:p>
            <w:pPr>
              <w:rPr>
                <w:rFonts w:ascii="宋体" w:hAnsi="宋体" w:cs="宋体"/>
                <w:sz w:val="24"/>
              </w:rPr>
            </w:pPr>
            <w:r>
              <w:rPr>
                <w:rFonts w:hint="eastAsia" w:ascii="宋体" w:hAnsi="宋体" w:cs="宋体"/>
                <w:sz w:val="24"/>
              </w:rPr>
              <w:t>串口、网口采集套件，定制相应设备型号专用线缆。</w:t>
            </w:r>
          </w:p>
          <w:p>
            <w:pPr>
              <w:rPr>
                <w:rFonts w:ascii="宋体" w:hAnsi="宋体" w:cs="宋体"/>
                <w:sz w:val="24"/>
              </w:rPr>
            </w:pPr>
            <w:r>
              <w:rPr>
                <w:rFonts w:hint="eastAsia" w:ascii="宋体" w:hAnsi="宋体" w:cs="宋体"/>
                <w:sz w:val="24"/>
              </w:rPr>
              <w:t>能够采集不同型号的麻机、迈瑞系列监护仪、GE系列监护仪数据，并存储于数据库中，且能提供“数据库视图”、“HL7”等多种标准接口方式输出。支持主流品牌麻醉机、监护仪及其它临床设备的连接及后端软件解析。可自动、持续的采集所需生命体征。含各种接口的线缆定制，含数据解析软件配套。</w:t>
            </w:r>
          </w:p>
          <w:p>
            <w:pPr>
              <w:rPr>
                <w:rFonts w:ascii="宋体" w:hAnsi="宋体" w:cs="宋体"/>
                <w:sz w:val="24"/>
              </w:rPr>
            </w:pPr>
            <w:r>
              <w:rPr>
                <w:rFonts w:hint="eastAsia" w:ascii="宋体" w:hAnsi="宋体" w:cs="宋体"/>
                <w:sz w:val="24"/>
              </w:rPr>
              <w:t>麻醉机支臂：5套</w:t>
            </w:r>
          </w:p>
          <w:p>
            <w:pPr>
              <w:rPr>
                <w:rFonts w:ascii="宋体" w:hAnsi="宋体" w:cs="宋体"/>
                <w:sz w:val="24"/>
              </w:rPr>
            </w:pPr>
            <w:r>
              <w:rPr>
                <w:rFonts w:hint="eastAsia" w:ascii="宋体" w:hAnsi="宋体" w:cs="宋体"/>
                <w:sz w:val="24"/>
              </w:rPr>
              <w:t>结构：结构稳固、便于清洁</w:t>
            </w:r>
          </w:p>
          <w:p>
            <w:pPr>
              <w:rPr>
                <w:rFonts w:ascii="宋体" w:hAnsi="宋体" w:cs="宋体"/>
                <w:sz w:val="24"/>
              </w:rPr>
            </w:pPr>
            <w:r>
              <w:rPr>
                <w:rFonts w:hint="eastAsia" w:ascii="宋体" w:hAnsi="宋体" w:cs="宋体"/>
                <w:sz w:val="24"/>
              </w:rPr>
              <w:t>工艺：纯铝合金模具一体成型，外表阳极氧化处理。</w:t>
            </w:r>
          </w:p>
          <w:p>
            <w:pPr>
              <w:rPr>
                <w:rFonts w:ascii="宋体" w:hAnsi="宋体" w:cs="宋体"/>
                <w:sz w:val="24"/>
              </w:rPr>
            </w:pPr>
            <w:r>
              <w:rPr>
                <w:rFonts w:hint="eastAsia" w:ascii="宋体" w:hAnsi="宋体" w:cs="宋体"/>
                <w:sz w:val="24"/>
              </w:rPr>
              <w:t>重量：≤3.5Kg</w:t>
            </w:r>
          </w:p>
          <w:p>
            <w:pPr>
              <w:rPr>
                <w:rFonts w:ascii="宋体" w:hAnsi="宋体" w:cs="宋体"/>
                <w:sz w:val="24"/>
              </w:rPr>
            </w:pPr>
            <w:r>
              <w:rPr>
                <w:rFonts w:hint="eastAsia" w:ascii="宋体" w:hAnsi="宋体" w:cs="宋体"/>
                <w:sz w:val="24"/>
              </w:rPr>
              <w:t>承重：≤30Kg</w:t>
            </w:r>
          </w:p>
          <w:p>
            <w:pPr>
              <w:rPr>
                <w:rFonts w:ascii="宋体" w:hAnsi="宋体" w:cs="宋体"/>
                <w:sz w:val="24"/>
              </w:rPr>
            </w:pPr>
            <w:r>
              <w:rPr>
                <w:rFonts w:hint="eastAsia" w:ascii="宋体" w:hAnsi="宋体" w:cs="宋体"/>
                <w:sz w:val="24"/>
              </w:rPr>
              <w:t>调节：LCD倾斜-5°~25°，摆动±90°旋转360°，显示器高度可调，显示器可360°旋转，左右上下角度可调；</w:t>
            </w:r>
          </w:p>
          <w:p>
            <w:pPr>
              <w:rPr>
                <w:rFonts w:ascii="宋体" w:hAnsi="宋体" w:cs="宋体"/>
                <w:sz w:val="24"/>
              </w:rPr>
            </w:pPr>
            <w:r>
              <w:rPr>
                <w:rFonts w:hint="eastAsia" w:ascii="宋体" w:hAnsi="宋体" w:cs="宋体"/>
                <w:sz w:val="24"/>
              </w:rPr>
              <w:t>适用电脑：VESA标准接口适应19~24寸一体机电脑</w:t>
            </w:r>
          </w:p>
          <w:p>
            <w:pPr>
              <w:rPr>
                <w:rFonts w:ascii="宋体" w:hAnsi="宋体" w:cs="宋体"/>
                <w:sz w:val="24"/>
              </w:rPr>
            </w:pPr>
            <w:r>
              <w:rPr>
                <w:rFonts w:hint="eastAsia" w:ascii="宋体" w:hAnsi="宋体" w:cs="宋体"/>
                <w:sz w:val="24"/>
              </w:rPr>
              <w:t>键盘、鼠标：键盘架可向上90°折叠，麻醉机支撑臂可折叠，不使用时支架可紧贴于麻醉机侧面，最大限度节省空间；满足人体工学设计的要求，可向左向右倾斜鼠标与键盘托盘。</w:t>
            </w:r>
          </w:p>
          <w:p>
            <w:pPr>
              <w:rPr>
                <w:rFonts w:ascii="宋体" w:hAnsi="宋体" w:cs="宋体"/>
                <w:sz w:val="24"/>
              </w:rPr>
            </w:pPr>
            <w:r>
              <w:rPr>
                <w:rFonts w:hint="eastAsia" w:ascii="宋体" w:hAnsi="宋体" w:cs="宋体"/>
                <w:sz w:val="24"/>
              </w:rPr>
              <w:t>连接：可以直接与市面上98%的麻醉机连接，麻醉机无滑槽的可以通过安装滑槽连接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Borders>
              <w:left w:val="single" w:color="auto" w:sz="4" w:space="0"/>
              <w:bottom w:val="single" w:color="auto" w:sz="4" w:space="0"/>
              <w:right w:val="single" w:color="auto" w:sz="4" w:space="0"/>
            </w:tcBorders>
            <w:shd w:val="clear" w:color="auto" w:fill="auto"/>
            <w:noWrap w:val="0"/>
            <w:vAlign w:val="top"/>
          </w:tcPr>
          <w:p>
            <w:pPr>
              <w:spacing w:line="360" w:lineRule="auto"/>
              <w:jc w:val="center"/>
              <w:rPr>
                <w:rFonts w:ascii="宋体" w:hAnsi="宋体" w:cs="宋体"/>
                <w:b/>
                <w:bCs/>
                <w:sz w:val="24"/>
              </w:rPr>
            </w:pP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提供三年原厂服务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712"/>
              <w:spacing w:after="156"/>
              <w:ind w:left="5250"/>
              <w:rPr>
                <w:szCs w:val="24"/>
              </w:rPr>
            </w:pPr>
            <w:r>
              <w:rPr>
                <w:rFonts w:hint="eastAsia"/>
                <w:szCs w:val="24"/>
              </w:rPr>
              <w:t>手麻系统升级服务</w:t>
            </w:r>
          </w:p>
        </w:tc>
        <w:tc>
          <w:tcPr>
            <w:tcW w:w="7842" w:type="dxa"/>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24"/>
              </w:rPr>
            </w:pPr>
            <w:r>
              <w:rPr>
                <w:rFonts w:hint="eastAsia" w:ascii="宋体" w:hAnsi="宋体" w:cs="宋体"/>
                <w:sz w:val="24"/>
              </w:rPr>
              <w:t>原系统升级到手麻3.0以上的最新版本，支持B/S架构，符合医院四级电子病历、互联互通四甲测评建设标准，支持国产化操作系统。</w:t>
            </w:r>
          </w:p>
        </w:tc>
      </w:tr>
    </w:tbl>
    <w:p>
      <w:pPr>
        <w:rPr>
          <w:b/>
          <w:sz w:val="24"/>
        </w:rPr>
      </w:pPr>
    </w:p>
    <w:p>
      <w:pPr>
        <w:pStyle w:val="3"/>
        <w:adjustRightInd w:val="0"/>
        <w:snapToGrid w:val="0"/>
        <w:spacing w:before="0" w:after="0" w:line="240" w:lineRule="auto"/>
        <w:rPr>
          <w:sz w:val="32"/>
        </w:rPr>
      </w:pPr>
      <w:r>
        <w:rPr>
          <w:rFonts w:hint="eastAsia"/>
        </w:rPr>
        <w:br w:type="page"/>
      </w:r>
      <w:r>
        <w:rPr>
          <w:rFonts w:hint="eastAsia"/>
          <w:sz w:val="32"/>
        </w:rPr>
        <w:t>三、实施服务要求</w:t>
      </w:r>
    </w:p>
    <w:p>
      <w:pPr>
        <w:spacing w:line="360" w:lineRule="auto"/>
        <w:ind w:firstLine="480"/>
        <w:jc w:val="left"/>
        <w:rPr>
          <w:rFonts w:ascii="宋体" w:hAnsi="宋体" w:cs="宋体"/>
          <w:sz w:val="24"/>
        </w:rPr>
      </w:pPr>
      <w:r>
        <w:rPr>
          <w:rFonts w:hint="eastAsia" w:ascii="宋体" w:hAnsi="宋体" w:cs="宋体"/>
          <w:sz w:val="24"/>
        </w:rPr>
        <w:t>1、项目所涉及的设备、软件的最终用户为使用单位，为确保系统硬件、软件的成功部署，投标单位须安排原厂工程师一起负责设备安装调试和维修维保，实施前提供具体实施方案，待采购人确认后进行实施。</w:t>
      </w:r>
    </w:p>
    <w:p>
      <w:pPr>
        <w:spacing w:line="360" w:lineRule="auto"/>
        <w:ind w:firstLine="480"/>
        <w:jc w:val="left"/>
        <w:rPr>
          <w:rFonts w:ascii="宋体" w:hAnsi="宋体" w:cs="宋体"/>
          <w:sz w:val="24"/>
        </w:rPr>
      </w:pPr>
      <w:r>
        <w:rPr>
          <w:rFonts w:hint="eastAsia" w:ascii="宋体" w:hAnsi="宋体" w:cs="宋体"/>
          <w:sz w:val="24"/>
        </w:rPr>
        <w:t>2、投标单位在标书中确认的项目经理、主要技术人员，必须参与项目施工，没有用户同意不许临时变更。</w:t>
      </w:r>
    </w:p>
    <w:p>
      <w:pPr>
        <w:spacing w:line="360" w:lineRule="auto"/>
        <w:ind w:firstLine="480"/>
        <w:jc w:val="left"/>
        <w:rPr>
          <w:rFonts w:ascii="宋体" w:hAnsi="宋体" w:cs="宋体"/>
          <w:sz w:val="24"/>
        </w:rPr>
      </w:pPr>
      <w:r>
        <w:rPr>
          <w:rFonts w:hint="eastAsia" w:ascii="宋体" w:hAnsi="宋体" w:cs="宋体"/>
          <w:sz w:val="24"/>
        </w:rPr>
        <w:t>3、所有软、硬件(包括未列出而系统实施又必需的软硬件)需与现有运行产品和系统兼容，且所有产品涉及操作系统必须符合正版化。</w:t>
      </w:r>
    </w:p>
    <w:p>
      <w:pPr>
        <w:spacing w:line="360" w:lineRule="auto"/>
        <w:ind w:firstLine="480"/>
        <w:jc w:val="left"/>
        <w:rPr>
          <w:rFonts w:ascii="宋体" w:hAnsi="宋体" w:cs="宋体"/>
          <w:sz w:val="24"/>
        </w:rPr>
      </w:pPr>
      <w:r>
        <w:rPr>
          <w:rFonts w:hint="eastAsia" w:ascii="宋体" w:hAnsi="宋体" w:cs="宋体"/>
          <w:sz w:val="24"/>
        </w:rPr>
        <w:t>4、对本招标文件的需求中未能明确的部分，中标人应根据自己的经验结合本项目的需求给出合理的建议或意见。</w:t>
      </w:r>
    </w:p>
    <w:p>
      <w:pPr>
        <w:spacing w:line="360" w:lineRule="auto"/>
        <w:ind w:firstLine="480"/>
        <w:jc w:val="left"/>
        <w:rPr>
          <w:rFonts w:ascii="宋体" w:hAnsi="宋体" w:cs="宋体"/>
          <w:sz w:val="24"/>
        </w:rPr>
      </w:pPr>
      <w:r>
        <w:rPr>
          <w:rFonts w:hint="eastAsia" w:ascii="宋体" w:hAnsi="宋体" w:cs="宋体"/>
          <w:sz w:val="24"/>
        </w:rPr>
        <w:t>5、中标人须提供设备互连用的原装配套工程材料，如6类非屏蔽网线、光纤跳线等。项目实施需要的线材等工程材料必须质量可靠，要求达到国家标准。</w:t>
      </w:r>
    </w:p>
    <w:p>
      <w:pPr>
        <w:spacing w:line="360" w:lineRule="auto"/>
        <w:ind w:firstLine="480"/>
        <w:jc w:val="left"/>
        <w:rPr>
          <w:rFonts w:ascii="宋体" w:hAnsi="宋体" w:cs="宋体"/>
          <w:sz w:val="24"/>
        </w:rPr>
      </w:pPr>
      <w:r>
        <w:rPr>
          <w:rFonts w:hint="eastAsia" w:ascii="宋体" w:hAnsi="宋体" w:cs="宋体"/>
          <w:sz w:val="24"/>
        </w:rPr>
        <w:t>6、在安装调试过程中，由于投标人原因造成的软硬件缺损由投标人负责补充、更换。</w:t>
      </w:r>
    </w:p>
    <w:p>
      <w:pPr>
        <w:spacing w:line="360" w:lineRule="auto"/>
        <w:ind w:firstLine="480"/>
        <w:jc w:val="left"/>
        <w:rPr>
          <w:rFonts w:ascii="宋体" w:hAnsi="宋体" w:cs="宋体"/>
          <w:sz w:val="24"/>
        </w:rPr>
      </w:pPr>
      <w:r>
        <w:rPr>
          <w:rFonts w:hint="eastAsia" w:ascii="宋体" w:hAnsi="宋体" w:cs="宋体"/>
          <w:sz w:val="24"/>
        </w:rPr>
        <w:t>7、安装调试完成后，投标人应向采购方提供安装、调试报告，应包括下列内容：系统配置信息细节、安装调试结果、安装调试过程中出现的问题及解决办法。</w:t>
      </w:r>
    </w:p>
    <w:p>
      <w:pPr>
        <w:spacing w:line="360" w:lineRule="auto"/>
        <w:ind w:firstLine="480"/>
        <w:jc w:val="left"/>
        <w:rPr>
          <w:rFonts w:ascii="宋体" w:hAnsi="宋体" w:cs="宋体"/>
          <w:sz w:val="24"/>
        </w:rPr>
      </w:pPr>
      <w:r>
        <w:rPr>
          <w:rFonts w:hint="eastAsia" w:ascii="宋体" w:hAnsi="宋体" w:cs="宋体"/>
          <w:sz w:val="24"/>
        </w:rPr>
        <w:t>8、投标人应按照系统集成提出的要求，完成整个系统的安装调试，保证新购和已有软、硬件设备间的互连互通。在安装、调试过程中所需的工具以及安装材料均由投标人负责解决，所有费用全部由投标人承担。</w:t>
      </w:r>
    </w:p>
    <w:p>
      <w:pPr>
        <w:spacing w:line="360" w:lineRule="auto"/>
        <w:ind w:firstLine="480"/>
        <w:jc w:val="left"/>
        <w:rPr>
          <w:rFonts w:ascii="宋体" w:hAnsi="宋体" w:cs="宋体"/>
          <w:sz w:val="24"/>
        </w:rPr>
      </w:pPr>
      <w:r>
        <w:rPr>
          <w:rFonts w:hint="eastAsia" w:ascii="宋体" w:hAnsi="宋体" w:cs="宋体"/>
          <w:sz w:val="24"/>
        </w:rPr>
        <w:t>9、在安装、调试过程中,投标人应对采购方技术人员所提出的技术问题给予满意的答复。并向采购方提供安装调试过程中的各种文档资料,以便采购方今后能掌握操作方法和维护方法。</w:t>
      </w:r>
    </w:p>
    <w:p>
      <w:pPr>
        <w:widowControl/>
        <w:spacing w:line="360" w:lineRule="auto"/>
        <w:ind w:firstLine="480"/>
        <w:jc w:val="left"/>
        <w:rPr>
          <w:rFonts w:ascii="宋体" w:hAnsi="宋体" w:cs="宋体"/>
          <w:sz w:val="24"/>
        </w:rPr>
      </w:pPr>
      <w:r>
        <w:rPr>
          <w:rFonts w:hint="eastAsia" w:ascii="宋体" w:hAnsi="宋体" w:cs="宋体"/>
          <w:sz w:val="24"/>
        </w:rPr>
        <w:t>10、数据库迁移时间控制在1小时内，不能超过2小时，全院的医院信息系统业务停机时间累计不得超过10分钟，系统实施方案应明确实施步骤及具体时间和可能存在的风险分析。数据库迁移时能继续支持医院业务的正常运行，包括门诊业务(如门急诊收费、门诊药房、门诊诊间、皮试系统等),及重要的住院业务(如住院收费、医嘱等)。数据库迁移时必须支持医保业务，不能只支持自费病人的收费，减少对病人的影响，更好的为病人服务。</w:t>
      </w:r>
    </w:p>
    <w:p>
      <w:pPr>
        <w:spacing w:line="360" w:lineRule="auto"/>
        <w:ind w:firstLine="480"/>
        <w:jc w:val="left"/>
        <w:rPr>
          <w:rFonts w:ascii="宋体" w:hAnsi="宋体" w:cs="宋体"/>
          <w:sz w:val="24"/>
        </w:rPr>
      </w:pPr>
      <w:r>
        <w:rPr>
          <w:rFonts w:hint="eastAsia" w:ascii="宋体" w:hAnsi="宋体" w:cs="宋体"/>
          <w:sz w:val="24"/>
        </w:rPr>
        <w:t>11、实施过程中，尽量不对现有运行系统进行影响，实施方案应明确实施步骤及具体时间和可能存在的风险分析。</w:t>
      </w:r>
    </w:p>
    <w:p>
      <w:pPr>
        <w:pStyle w:val="604"/>
        <w:spacing w:before="156" w:line="360" w:lineRule="auto"/>
        <w:ind w:firstLineChars="200"/>
        <w:jc w:val="left"/>
        <w:rPr>
          <w:rFonts w:ascii="宋体" w:hAnsi="宋体" w:cs="宋体"/>
        </w:rPr>
      </w:pPr>
      <w:r>
        <w:rPr>
          <w:rFonts w:hint="eastAsia" w:ascii="宋体" w:hAnsi="宋体" w:cs="宋体"/>
        </w:rPr>
        <w:t>12、服务商须与采购方签订《信息安全保密协议》，要求服务商在服务过程中从采购方获知的医疗数据、患者隐私、科研数据、办公资料、设备数据等一切医院所属信息数据均负有保密责任。未经采购方事先书面授权，服务商不得以任何方式向其它任何组织或个人泄露、转让、交换、赠与该信息或与任何其他组织或个人共同使用该信息。因为服务商违反规定造成信息泄漏给采购方造成损失的，采购方有权中止合同，不再支付后续款项。且采购方有权追究投标方的法律责任。</w:t>
      </w:r>
    </w:p>
    <w:p>
      <w:pPr>
        <w:pStyle w:val="3"/>
        <w:adjustRightInd w:val="0"/>
        <w:snapToGrid w:val="0"/>
        <w:spacing w:before="0" w:after="0" w:line="240" w:lineRule="auto"/>
      </w:pPr>
      <w:r>
        <w:rPr>
          <w:rFonts w:hint="eastAsia"/>
        </w:rPr>
        <w:br w:type="page"/>
      </w:r>
      <w:r>
        <w:rPr>
          <w:rFonts w:hint="eastAsia"/>
          <w:sz w:val="32"/>
        </w:rPr>
        <w:t>四、商务要求</w:t>
      </w:r>
    </w:p>
    <w:tbl>
      <w:tblPr>
        <w:tblStyle w:val="5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29"/>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41"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600" w:lineRule="exact"/>
              <w:jc w:val="left"/>
              <w:rPr>
                <w:rFonts w:ascii="宋体" w:hAnsi="宋体" w:cs="宋体"/>
                <w:b/>
                <w:bCs/>
                <w:sz w:val="24"/>
              </w:rPr>
            </w:pPr>
            <w:r>
              <w:rPr>
                <w:rFonts w:hint="eastAsia" w:ascii="宋体" w:hAnsi="宋体" w:cs="宋体"/>
                <w:b/>
                <w:bCs/>
                <w:sz w:val="24"/>
              </w:rPr>
              <w:t>项目工期（交货期）及地点</w:t>
            </w:r>
          </w:p>
        </w:tc>
        <w:tc>
          <w:tcPr>
            <w:tcW w:w="7281" w:type="dxa"/>
            <w:tcBorders>
              <w:top w:val="single" w:color="auto" w:sz="4" w:space="0"/>
              <w:left w:val="nil"/>
              <w:bottom w:val="single" w:color="auto" w:sz="4" w:space="0"/>
              <w:right w:val="single" w:color="auto" w:sz="4" w:space="0"/>
            </w:tcBorders>
            <w:noWrap/>
            <w:vAlign w:val="center"/>
          </w:tcPr>
          <w:p>
            <w:pPr>
              <w:rPr>
                <w:rFonts w:ascii="宋体" w:hAnsi="宋体" w:cs="宋体"/>
                <w:sz w:val="24"/>
              </w:rPr>
            </w:pPr>
            <w:r>
              <w:rPr>
                <w:rFonts w:hint="eastAsia" w:ascii="宋体" w:hAnsi="宋体" w:cs="宋体"/>
                <w:sz w:val="24"/>
              </w:rPr>
              <w:t>1、供货时间：采购人通知供货后15个工作日内全部供货。</w:t>
            </w:r>
          </w:p>
          <w:p>
            <w:pPr>
              <w:rPr>
                <w:rFonts w:ascii="宋体" w:hAnsi="宋体" w:cs="宋体"/>
                <w:sz w:val="24"/>
              </w:rPr>
            </w:pPr>
            <w:r>
              <w:rPr>
                <w:rFonts w:hint="eastAsia" w:ascii="宋体" w:hAnsi="宋体" w:cs="宋体"/>
                <w:sz w:val="24"/>
              </w:rPr>
              <w:t>2、项目完成时间：签订合同后90天内。</w:t>
            </w:r>
          </w:p>
          <w:p>
            <w:pPr>
              <w:rPr>
                <w:rFonts w:ascii="宋体" w:hAnsi="宋体" w:cs="宋体"/>
                <w:sz w:val="24"/>
              </w:rPr>
            </w:pPr>
            <w:r>
              <w:rPr>
                <w:rFonts w:hint="eastAsia" w:ascii="宋体" w:hAnsi="宋体" w:cs="宋体"/>
                <w:sz w:val="24"/>
              </w:rPr>
              <w:t>3、供货地点：采购人指定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41"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600" w:lineRule="exact"/>
              <w:jc w:val="left"/>
              <w:rPr>
                <w:rFonts w:ascii="宋体" w:hAnsi="宋体" w:cs="宋体"/>
                <w:b/>
                <w:bCs/>
                <w:sz w:val="24"/>
              </w:rPr>
            </w:pPr>
            <w:r>
              <w:rPr>
                <w:rFonts w:hint="eastAsia" w:ascii="宋体" w:hAnsi="宋体" w:cs="宋体"/>
                <w:b/>
                <w:bCs/>
                <w:sz w:val="24"/>
              </w:rPr>
              <w:t>付款条件</w:t>
            </w:r>
          </w:p>
        </w:tc>
        <w:tc>
          <w:tcPr>
            <w:tcW w:w="7281" w:type="dxa"/>
            <w:tcBorders>
              <w:top w:val="single" w:color="auto" w:sz="4" w:space="0"/>
              <w:left w:val="nil"/>
              <w:bottom w:val="single" w:color="auto" w:sz="4" w:space="0"/>
              <w:right w:val="single" w:color="auto" w:sz="4" w:space="0"/>
            </w:tcBorders>
            <w:noWrap/>
            <w:vAlign w:val="center"/>
          </w:tcPr>
          <w:p>
            <w:pPr>
              <w:rPr>
                <w:rFonts w:ascii="宋体" w:hAnsi="宋体" w:cs="宋体"/>
                <w:sz w:val="24"/>
              </w:rPr>
            </w:pPr>
            <w:r>
              <w:rPr>
                <w:rFonts w:hint="eastAsia" w:ascii="宋体" w:hAnsi="宋体" w:cs="宋体"/>
                <w:sz w:val="24"/>
              </w:rPr>
              <w:t>付款方式：</w:t>
            </w:r>
          </w:p>
          <w:p>
            <w:pPr>
              <w:rPr>
                <w:rFonts w:ascii="宋体" w:hAnsi="宋体" w:cs="宋体"/>
                <w:sz w:val="24"/>
              </w:rPr>
            </w:pPr>
            <w:r>
              <w:rPr>
                <w:rFonts w:hint="eastAsia" w:ascii="宋体" w:hAnsi="宋体" w:cs="宋体"/>
                <w:sz w:val="24"/>
              </w:rPr>
              <w:t>（1）合同生效以及具备实施条件后，采购人7个工作日内向中标人支付合同金额的40%作为项目的预付款（同时中标人应当向采购人提交合同总额的40%的预付款保函），项目验收合格后3个月内支付合同金额的57%，免费运维期满后30个工作日内支付合同金额的3%。付款前中标供应商需提供符合采购人要求的正规发票。</w:t>
            </w:r>
            <w:r>
              <w:rPr>
                <w:rFonts w:hint="eastAsia" w:ascii="宋体" w:hAnsi="宋体" w:cs="宋体"/>
                <w:sz w:val="24"/>
              </w:rPr>
              <w:br w:type="textWrapping"/>
            </w:r>
            <w:r>
              <w:rPr>
                <w:rFonts w:hint="eastAsia" w:ascii="宋体" w:hAnsi="宋体" w:cs="宋体"/>
                <w:sz w:val="24"/>
              </w:rPr>
              <w:t>（2）若中标供应商明确表示无需预付款或者不提供预付款保函的采购人则不予支付预付款，若中标供应商主动要求降低预付款比例的，采购人可根据其要求降低项目预付款。</w:t>
            </w:r>
            <w:r>
              <w:rPr>
                <w:rFonts w:hint="eastAsia" w:ascii="宋体" w:hAnsi="宋体" w:cs="宋体"/>
                <w:sz w:val="24"/>
              </w:rPr>
              <w:br w:type="textWrapping"/>
            </w:r>
            <w:r>
              <w:rPr>
                <w:rFonts w:hint="eastAsia" w:ascii="宋体" w:hAnsi="宋体" w:cs="宋体"/>
                <w:sz w:val="24"/>
              </w:rPr>
              <w:t>（3）实际支付金额以实际供货数量、金额结算。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12" w:type="dxa"/>
            <w:vMerge w:val="restart"/>
            <w:tcBorders>
              <w:top w:val="nil"/>
              <w:left w:val="single" w:color="auto" w:sz="4" w:space="0"/>
              <w:bottom w:val="single" w:color="auto" w:sz="4" w:space="0"/>
              <w:right w:val="single" w:color="auto" w:sz="4" w:space="0"/>
            </w:tcBorders>
            <w:noWrap/>
            <w:vAlign w:val="center"/>
          </w:tcPr>
          <w:p>
            <w:pPr>
              <w:snapToGrid w:val="0"/>
              <w:spacing w:line="600" w:lineRule="exact"/>
              <w:jc w:val="left"/>
              <w:rPr>
                <w:rFonts w:ascii="宋体" w:hAnsi="宋体" w:cs="宋体"/>
                <w:b/>
                <w:bCs/>
                <w:sz w:val="24"/>
              </w:rPr>
            </w:pPr>
            <w:r>
              <w:rPr>
                <w:rFonts w:hint="eastAsia" w:ascii="宋体" w:hAnsi="宋体" w:cs="宋体"/>
                <w:b/>
                <w:bCs/>
                <w:sz w:val="24"/>
              </w:rPr>
              <w:t>售</w:t>
            </w:r>
          </w:p>
          <w:p>
            <w:pPr>
              <w:snapToGrid w:val="0"/>
              <w:spacing w:line="600" w:lineRule="exact"/>
              <w:jc w:val="left"/>
              <w:rPr>
                <w:rFonts w:ascii="宋体" w:hAnsi="宋体" w:cs="宋体"/>
                <w:b/>
                <w:bCs/>
                <w:sz w:val="24"/>
              </w:rPr>
            </w:pPr>
            <w:r>
              <w:rPr>
                <w:rFonts w:hint="eastAsia" w:ascii="宋体" w:hAnsi="宋体" w:cs="宋体"/>
                <w:b/>
                <w:bCs/>
                <w:sz w:val="24"/>
              </w:rPr>
              <w:t>后</w:t>
            </w:r>
          </w:p>
          <w:p>
            <w:pPr>
              <w:snapToGrid w:val="0"/>
              <w:spacing w:line="600" w:lineRule="exact"/>
              <w:jc w:val="left"/>
              <w:rPr>
                <w:rFonts w:ascii="宋体" w:hAnsi="宋体" w:cs="宋体"/>
                <w:b/>
                <w:bCs/>
                <w:sz w:val="24"/>
              </w:rPr>
            </w:pPr>
            <w:r>
              <w:rPr>
                <w:rFonts w:hint="eastAsia" w:ascii="宋体" w:hAnsi="宋体" w:cs="宋体"/>
                <w:b/>
                <w:bCs/>
                <w:sz w:val="24"/>
              </w:rPr>
              <w:t>服</w:t>
            </w:r>
          </w:p>
          <w:p>
            <w:pPr>
              <w:snapToGrid w:val="0"/>
              <w:spacing w:line="600" w:lineRule="exact"/>
              <w:jc w:val="left"/>
              <w:rPr>
                <w:rFonts w:ascii="宋体" w:hAnsi="宋体" w:cs="宋体"/>
                <w:b/>
                <w:bCs/>
                <w:sz w:val="24"/>
              </w:rPr>
            </w:pPr>
            <w:r>
              <w:rPr>
                <w:rFonts w:hint="eastAsia" w:ascii="宋体" w:hAnsi="宋体" w:cs="宋体"/>
                <w:b/>
                <w:bCs/>
                <w:sz w:val="24"/>
              </w:rPr>
              <w:t>务</w:t>
            </w:r>
          </w:p>
        </w:tc>
        <w:tc>
          <w:tcPr>
            <w:tcW w:w="729" w:type="dxa"/>
            <w:tcBorders>
              <w:top w:val="single" w:color="auto" w:sz="4" w:space="0"/>
              <w:left w:val="nil"/>
              <w:bottom w:val="single" w:color="auto" w:sz="4" w:space="0"/>
              <w:right w:val="single" w:color="auto" w:sz="4" w:space="0"/>
            </w:tcBorders>
            <w:noWrap/>
            <w:vAlign w:val="center"/>
          </w:tcPr>
          <w:p>
            <w:pPr>
              <w:snapToGrid w:val="0"/>
              <w:spacing w:line="600" w:lineRule="exact"/>
              <w:jc w:val="left"/>
              <w:rPr>
                <w:rFonts w:ascii="宋体" w:hAnsi="宋体" w:cs="宋体"/>
                <w:b/>
                <w:bCs/>
                <w:sz w:val="24"/>
              </w:rPr>
            </w:pPr>
            <w:r>
              <w:rPr>
                <w:rFonts w:hint="eastAsia" w:ascii="宋体" w:hAnsi="宋体" w:cs="宋体"/>
                <w:b/>
                <w:bCs/>
                <w:sz w:val="24"/>
              </w:rPr>
              <w:t>项目维护计划</w:t>
            </w:r>
          </w:p>
        </w:tc>
        <w:tc>
          <w:tcPr>
            <w:tcW w:w="7281" w:type="dxa"/>
            <w:tcBorders>
              <w:top w:val="single" w:color="auto" w:sz="4" w:space="0"/>
              <w:left w:val="nil"/>
              <w:bottom w:val="single" w:color="auto" w:sz="4" w:space="0"/>
              <w:right w:val="single" w:color="auto" w:sz="4" w:space="0"/>
            </w:tcBorders>
            <w:noWrap/>
            <w:vAlign w:val="center"/>
          </w:tcPr>
          <w:p>
            <w:pPr>
              <w:rPr>
                <w:rFonts w:ascii="宋体" w:hAnsi="宋体" w:cs="宋体"/>
                <w:sz w:val="24"/>
              </w:rPr>
            </w:pPr>
            <w:r>
              <w:rPr>
                <w:rFonts w:hint="eastAsia" w:ascii="宋体" w:hAnsi="宋体" w:cs="宋体"/>
                <w:sz w:val="24"/>
              </w:rPr>
              <w:t>1、货物发运前，应对其进行满足运输距离、防潮、 防震、防锈和防破损装卸等要求包装，以保证货物安全运达采购人指定地点。提供产品使用说明手册、光盘、软件加密文件、出厂配置清单、设备出厂检验报告和质量合格证书等。</w:t>
            </w:r>
          </w:p>
          <w:p>
            <w:pPr>
              <w:rPr>
                <w:rFonts w:ascii="宋体" w:hAnsi="宋体" w:cs="宋体"/>
                <w:sz w:val="24"/>
              </w:rPr>
            </w:pPr>
            <w:r>
              <w:rPr>
                <w:rFonts w:hint="eastAsia" w:ascii="宋体" w:hAnsi="宋体" w:cs="宋体"/>
                <w:sz w:val="24"/>
              </w:rPr>
              <w:t>2、货物必须是全新的、未使用过的、符合相关质量标准的原厂合格产品，必须是非OEM产品。如所交的货物品种、品牌、型号、规格、技术参数、质量不符合合同规定及招标文件规定标准的，采购人有权拒收该货物，且中标供应商应限期免费更换、补齐。中标供应商拒绝更换货物的，采购人可单方面解除合同。由此产生的一切责任和后果由中标供应商承担。</w:t>
            </w:r>
          </w:p>
          <w:p>
            <w:pPr>
              <w:rPr>
                <w:rFonts w:ascii="宋体" w:hAnsi="宋体" w:cs="宋体"/>
                <w:sz w:val="24"/>
              </w:rPr>
            </w:pPr>
            <w:r>
              <w:rPr>
                <w:rFonts w:hint="eastAsia" w:ascii="宋体" w:hAnsi="宋体" w:cs="宋体"/>
                <w:sz w:val="24"/>
              </w:rPr>
              <w:t>3、初步验收：招投标文件中所有设备安装联调投入连续正常使用30个日历日，采购人组织验收小组按照实施方案、实际功能进行初步验收。中标供应商应对运行期限内的问题及时解决，保障初步验收的时间节点。</w:t>
            </w:r>
            <w:r>
              <w:rPr>
                <w:rFonts w:hint="eastAsia" w:ascii="宋体" w:hAnsi="宋体" w:cs="宋体"/>
                <w:sz w:val="24"/>
              </w:rPr>
              <w:cr/>
            </w:r>
            <w:r>
              <w:rPr>
                <w:rFonts w:hint="eastAsia" w:ascii="宋体" w:hAnsi="宋体" w:cs="宋体"/>
                <w:sz w:val="24"/>
              </w:rPr>
              <w:t>4、最终验收：初步验收合格后，所有设备投入连续正常无故障连续运行90个日历日且中标供应商提出书面申请后，采购人组织验收小组进行最终验收；</w:t>
            </w:r>
          </w:p>
          <w:p>
            <w:pPr>
              <w:pStyle w:val="1051"/>
              <w:spacing w:after="156"/>
              <w:rPr>
                <w:rFonts w:ascii="宋体" w:hAnsi="宋体" w:cs="宋体"/>
                <w:color w:val="auto"/>
                <w:sz w:val="24"/>
              </w:rPr>
            </w:pPr>
            <w:r>
              <w:rPr>
                <w:rFonts w:hint="eastAsia" w:ascii="宋体" w:hAnsi="宋体" w:cs="宋体"/>
                <w:color w:val="auto"/>
                <w:sz w:val="24"/>
              </w:rPr>
              <w:t>5、设备经采购人最终验收合格之前，毁损、灭失的风险由中标供应商承担，经采购人最终验收合格后毁损、灭失的风险由采购人承担。</w:t>
            </w:r>
          </w:p>
          <w:p>
            <w:pPr>
              <w:pStyle w:val="1051"/>
              <w:spacing w:after="156"/>
              <w:rPr>
                <w:rFonts w:ascii="宋体" w:hAnsi="宋体" w:cs="宋体"/>
                <w:color w:val="FF0000"/>
                <w:sz w:val="24"/>
              </w:rPr>
            </w:pPr>
            <w:r>
              <w:rPr>
                <w:rFonts w:hint="eastAsia" w:ascii="宋体" w:hAnsi="宋体" w:cs="宋体"/>
                <w:color w:val="auto"/>
                <w:sz w:val="24"/>
              </w:rPr>
              <w:t>6、对于性能不满足其投标承诺的产品，中标供应商必须在采购人要求的时间范围内提供满足性能要求的产品。在项目进行最终验收时，如果第一次验收不合格，则该次验收不通过，中标供应商应根据采购人的要求在规定时间内采取纠正缺陷的措施，直到满足本合同定义的验收标准中的全部内容。补救工作应在采购人指定的期限内完成，整改完成后无故障连续运行达到90个日历日，验收小组重新组织验收工作。如果出现第二次验收不合格的情况，则中标供应商除了需按违约条款规定向采购人支付违约金之外，采购人还有权立即解除中标供应商的中标资格和合同，且采购人不承担任何赔偿责任。</w:t>
            </w:r>
          </w:p>
          <w:p>
            <w:pPr>
              <w:rPr>
                <w:rFonts w:ascii="宋体" w:hAnsi="宋体" w:cs="宋体"/>
                <w:sz w:val="24"/>
              </w:rPr>
            </w:pPr>
            <w:r>
              <w:rPr>
                <w:rFonts w:hint="eastAsia" w:ascii="宋体" w:hAnsi="宋体" w:cs="宋体"/>
                <w:sz w:val="24"/>
              </w:rPr>
              <w:t>7、所有软件、硬件验收合格按照技术参数要求提供相应质保年限，合同签订后提供相应保修时间的原厂书面保修承诺。保证零配件供应8年以上。保修期后维修不收任何非技术服务费用，如差旅费、上门费等。</w:t>
            </w:r>
          </w:p>
          <w:p>
            <w:pPr>
              <w:rPr>
                <w:rFonts w:ascii="宋体" w:hAnsi="宋体" w:cs="宋体"/>
                <w:sz w:val="24"/>
              </w:rPr>
            </w:pPr>
            <w:r>
              <w:rPr>
                <w:rFonts w:hint="eastAsia" w:ascii="宋体" w:hAnsi="宋体" w:cs="宋体"/>
                <w:sz w:val="24"/>
              </w:rPr>
              <w:t>8、所有投标产品在质保期内，提供免费维修、维护，软件提供免费升级服务，免费提供软件技术文档、资料等。</w:t>
            </w:r>
          </w:p>
          <w:p>
            <w:pPr>
              <w:rPr>
                <w:rFonts w:ascii="宋体" w:hAnsi="宋体" w:cs="宋体"/>
                <w:sz w:val="24"/>
              </w:rPr>
            </w:pPr>
            <w:r>
              <w:rPr>
                <w:rFonts w:hint="eastAsia" w:ascii="宋体" w:hAnsi="宋体" w:cs="宋体"/>
                <w:sz w:val="24"/>
              </w:rPr>
              <w:t>9、中标供应商提供的货物在保修期内因货物本身的质量问题发生故障或达不到技术要求的，中标供应商应负责免费更换。在保修期内，中标供应商应对货物出现的质量及安全问题负责处理解决并承担一切费用。</w:t>
            </w:r>
          </w:p>
          <w:p>
            <w:pPr>
              <w:rPr>
                <w:rFonts w:ascii="宋体" w:hAnsi="宋体" w:cs="宋体"/>
                <w:sz w:val="24"/>
              </w:rPr>
            </w:pPr>
            <w:r>
              <w:rPr>
                <w:rFonts w:hint="eastAsia" w:ascii="宋体" w:hAnsi="宋体" w:cs="宋体"/>
                <w:sz w:val="24"/>
              </w:rPr>
              <w:t>10、投标方应免费提供相应的项目维护计划，至少一年四次巡检服务。投标单位详细说明维护的方式、内容、频次、范围等实质性内容，提供维护巡检记录报告。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dxa"/>
            <w:vMerge w:val="continue"/>
            <w:tcBorders>
              <w:top w:val="nil"/>
              <w:left w:val="single" w:color="auto" w:sz="4" w:space="0"/>
              <w:bottom w:val="single" w:color="auto" w:sz="4" w:space="0"/>
              <w:right w:val="single" w:color="auto" w:sz="4" w:space="0"/>
            </w:tcBorders>
            <w:noWrap/>
            <w:vAlign w:val="center"/>
          </w:tcPr>
          <w:p>
            <w:pPr>
              <w:widowControl/>
              <w:spacing w:line="600" w:lineRule="exact"/>
              <w:jc w:val="left"/>
              <w:rPr>
                <w:rFonts w:ascii="宋体" w:hAnsi="宋体" w:cs="宋体"/>
                <w:b/>
                <w:bCs/>
                <w:sz w:val="24"/>
              </w:rPr>
            </w:pPr>
          </w:p>
        </w:tc>
        <w:tc>
          <w:tcPr>
            <w:tcW w:w="729" w:type="dxa"/>
            <w:tcBorders>
              <w:top w:val="single" w:color="auto" w:sz="4" w:space="0"/>
              <w:left w:val="nil"/>
              <w:bottom w:val="single" w:color="auto" w:sz="4" w:space="0"/>
              <w:right w:val="single" w:color="auto" w:sz="4" w:space="0"/>
            </w:tcBorders>
            <w:noWrap/>
            <w:vAlign w:val="center"/>
          </w:tcPr>
          <w:p>
            <w:pPr>
              <w:snapToGrid w:val="0"/>
              <w:spacing w:line="600" w:lineRule="exact"/>
              <w:jc w:val="left"/>
              <w:rPr>
                <w:rFonts w:ascii="宋体" w:hAnsi="宋体" w:cs="宋体"/>
                <w:b/>
                <w:bCs/>
                <w:sz w:val="24"/>
              </w:rPr>
            </w:pPr>
            <w:r>
              <w:rPr>
                <w:rFonts w:hint="eastAsia" w:ascii="宋体" w:hAnsi="宋体" w:cs="宋体"/>
                <w:b/>
                <w:bCs/>
                <w:sz w:val="24"/>
              </w:rPr>
              <w:t>响应情况</w:t>
            </w:r>
          </w:p>
        </w:tc>
        <w:tc>
          <w:tcPr>
            <w:tcW w:w="7281" w:type="dxa"/>
            <w:tcBorders>
              <w:top w:val="single" w:color="auto" w:sz="4" w:space="0"/>
              <w:left w:val="nil"/>
              <w:bottom w:val="single" w:color="auto" w:sz="4" w:space="0"/>
              <w:right w:val="single" w:color="auto" w:sz="4" w:space="0"/>
            </w:tcBorders>
            <w:noWrap/>
            <w:vAlign w:val="center"/>
          </w:tcPr>
          <w:p>
            <w:pPr>
              <w:rPr>
                <w:rFonts w:ascii="宋体" w:hAnsi="宋体" w:cs="宋体"/>
                <w:sz w:val="24"/>
              </w:rPr>
            </w:pPr>
            <w:r>
              <w:rPr>
                <w:rFonts w:hint="eastAsia" w:ascii="宋体" w:hAnsi="宋体" w:cs="宋体"/>
                <w:sz w:val="24"/>
              </w:rPr>
              <w:t>1、中标供应商须提供售后服务期内的免费7*24小时在线技术服务。</w:t>
            </w:r>
          </w:p>
          <w:p>
            <w:pPr>
              <w:rPr>
                <w:rFonts w:ascii="宋体" w:hAnsi="宋体" w:cs="宋体"/>
                <w:sz w:val="24"/>
              </w:rPr>
            </w:pPr>
            <w:r>
              <w:rPr>
                <w:rFonts w:hint="eastAsia" w:ascii="宋体" w:hAnsi="宋体" w:cs="宋体"/>
                <w:sz w:val="24"/>
              </w:rPr>
              <w:t>2、项目内的软件运行故障，在接到售后服务要求后，应该在30分钟之内作出响应，如果采购方需要，应在2小时之内派出技术人员到达用户现场提供系统服务，并在4小时内维修完毕。</w:t>
            </w:r>
          </w:p>
          <w:p>
            <w:pPr>
              <w:rPr>
                <w:rFonts w:ascii="宋体" w:hAnsi="宋体" w:cs="宋体"/>
                <w:sz w:val="24"/>
              </w:rPr>
            </w:pPr>
            <w:r>
              <w:rPr>
                <w:rFonts w:hint="eastAsia" w:ascii="宋体" w:hAnsi="宋体" w:cs="宋体"/>
                <w:sz w:val="24"/>
              </w:rPr>
              <w:t>3、提供离采购人最近的售后服务机构情况，应具备48小时内提供备品的能力。</w:t>
            </w:r>
          </w:p>
          <w:p>
            <w:pPr>
              <w:pStyle w:val="1051"/>
              <w:spacing w:after="156"/>
              <w:rPr>
                <w:color w:val="auto"/>
              </w:rPr>
            </w:pPr>
            <w:r>
              <w:rPr>
                <w:rFonts w:hint="eastAsia"/>
                <w:color w:val="auto"/>
              </w:rPr>
              <w:t>4、中标供应商须提供1名技术工程师（1年以上相关工作经验）至少一年的免费驻场服务。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2" w:type="dxa"/>
            <w:vMerge w:val="continue"/>
            <w:tcBorders>
              <w:top w:val="nil"/>
              <w:left w:val="single" w:color="auto" w:sz="4" w:space="0"/>
              <w:bottom w:val="single" w:color="auto" w:sz="4" w:space="0"/>
              <w:right w:val="single" w:color="auto" w:sz="4" w:space="0"/>
            </w:tcBorders>
            <w:noWrap/>
            <w:vAlign w:val="center"/>
          </w:tcPr>
          <w:p>
            <w:pPr>
              <w:widowControl/>
              <w:spacing w:line="600" w:lineRule="exact"/>
              <w:jc w:val="left"/>
              <w:rPr>
                <w:rFonts w:ascii="宋体" w:hAnsi="宋体" w:cs="宋体"/>
                <w:b/>
                <w:bCs/>
                <w:sz w:val="24"/>
              </w:rPr>
            </w:pPr>
          </w:p>
        </w:tc>
        <w:tc>
          <w:tcPr>
            <w:tcW w:w="729" w:type="dxa"/>
            <w:tcBorders>
              <w:top w:val="single" w:color="auto" w:sz="4" w:space="0"/>
              <w:left w:val="nil"/>
              <w:bottom w:val="single" w:color="auto" w:sz="4" w:space="0"/>
              <w:right w:val="single" w:color="auto" w:sz="4" w:space="0"/>
            </w:tcBorders>
            <w:noWrap/>
            <w:vAlign w:val="center"/>
          </w:tcPr>
          <w:p>
            <w:pPr>
              <w:snapToGrid w:val="0"/>
              <w:spacing w:line="600" w:lineRule="exact"/>
              <w:jc w:val="left"/>
              <w:rPr>
                <w:rFonts w:ascii="宋体" w:hAnsi="宋体" w:cs="宋体"/>
                <w:b/>
                <w:bCs/>
                <w:sz w:val="24"/>
              </w:rPr>
            </w:pPr>
            <w:r>
              <w:rPr>
                <w:rFonts w:hint="eastAsia" w:ascii="宋体" w:hAnsi="宋体" w:cs="宋体"/>
                <w:b/>
                <w:bCs/>
                <w:sz w:val="24"/>
              </w:rPr>
              <w:t>技术培训</w:t>
            </w:r>
          </w:p>
        </w:tc>
        <w:tc>
          <w:tcPr>
            <w:tcW w:w="7281" w:type="dxa"/>
            <w:tcBorders>
              <w:top w:val="single" w:color="auto" w:sz="4" w:space="0"/>
              <w:left w:val="nil"/>
              <w:bottom w:val="single" w:color="auto" w:sz="4" w:space="0"/>
              <w:right w:val="single" w:color="auto" w:sz="4" w:space="0"/>
            </w:tcBorders>
            <w:noWrap/>
            <w:vAlign w:val="center"/>
          </w:tcPr>
          <w:p>
            <w:pPr>
              <w:rPr>
                <w:rFonts w:ascii="宋体" w:hAnsi="宋体" w:cs="宋体"/>
                <w:sz w:val="24"/>
              </w:rPr>
            </w:pPr>
            <w:r>
              <w:rPr>
                <w:rFonts w:hint="eastAsia" w:ascii="宋体" w:hAnsi="宋体" w:cs="宋体"/>
                <w:sz w:val="24"/>
              </w:rPr>
              <w:t>投标方应制定相应的培训计划，提供对采购方技术人员进行配置、操作及应用操作等层面全方位的免费技术培训，次数按采购单位的需求进行，培训地点在采购单位内，投标单位详细说明培训的方式、地点、时间等实质性内容</w:t>
            </w:r>
            <w:r>
              <w:rPr>
                <w:rFonts w:hint="eastAsia" w:ascii="宋体" w:hAnsi="宋体" w:cs="宋体"/>
                <w:sz w:val="28"/>
                <w:szCs w:val="28"/>
              </w:rPr>
              <w:t>。</w:t>
            </w:r>
            <w:r>
              <w:rPr>
                <w:rFonts w:hint="eastAsia" w:ascii="宋体" w:hAnsi="宋体" w:cs="宋体"/>
                <w:sz w:val="24"/>
              </w:rPr>
              <w:t>需提供培训计划、培训资料、用户使用手册、管理员使用手册。</w:t>
            </w:r>
          </w:p>
        </w:tc>
      </w:tr>
    </w:tbl>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spacing w:before="0" w:after="0"/>
        <w:rPr>
          <w:rFonts w:hint="eastAsia"/>
        </w:rPr>
      </w:pPr>
    </w:p>
    <w:p>
      <w:pPr>
        <w:rPr>
          <w:rFonts w:hint="eastAsia"/>
        </w:rPr>
      </w:pPr>
    </w:p>
    <w:p>
      <w:pPr>
        <w:spacing w:line="360" w:lineRule="auto"/>
        <w:jc w:val="left"/>
        <w:outlineLvl w:val="0"/>
        <w:rPr>
          <w:rFonts w:hint="eastAsia" w:ascii="Arial" w:hAnsi="Arial" w:eastAsia="黑体"/>
          <w:b/>
          <w:bCs/>
          <w:sz w:val="32"/>
          <w:szCs w:val="32"/>
        </w:rPr>
      </w:pPr>
      <w:r>
        <w:rPr>
          <w:rFonts w:hint="eastAsia" w:ascii="Arial" w:hAnsi="Arial" w:eastAsia="黑体"/>
          <w:b/>
          <w:bCs/>
          <w:sz w:val="32"/>
          <w:szCs w:val="32"/>
        </w:rPr>
        <w:t>标项二：浦江县中医院新院区LED屏2023年建设项目</w:t>
      </w:r>
    </w:p>
    <w:p>
      <w:pPr>
        <w:adjustRightInd w:val="0"/>
        <w:snapToGrid w:val="0"/>
        <w:spacing w:line="500" w:lineRule="exact"/>
        <w:ind w:left="238"/>
        <w:jc w:val="left"/>
        <w:outlineLvl w:val="1"/>
        <w:rPr>
          <w:rFonts w:ascii="宋体" w:hAnsi="宋体"/>
          <w:b/>
          <w:sz w:val="24"/>
        </w:rPr>
      </w:pPr>
      <w:r>
        <w:rPr>
          <w:rFonts w:hint="eastAsia" w:ascii="宋体" w:hAnsi="宋体"/>
          <w:b/>
          <w:sz w:val="24"/>
        </w:rPr>
        <w:t>一、项目基本情况</w:t>
      </w:r>
    </w:p>
    <w:p>
      <w:pPr>
        <w:widowControl/>
        <w:adjustRightInd w:val="0"/>
        <w:snapToGrid w:val="0"/>
        <w:spacing w:line="500" w:lineRule="exact"/>
        <w:ind w:firstLine="424" w:firstLineChars="177"/>
        <w:jc w:val="left"/>
        <w:rPr>
          <w:rFonts w:ascii="宋体" w:hAnsi="宋体" w:cs="宋体"/>
          <w:kern w:val="0"/>
          <w:sz w:val="24"/>
        </w:rPr>
      </w:pPr>
      <w:r>
        <w:rPr>
          <w:rFonts w:hint="eastAsia" w:ascii="宋体" w:hAnsi="宋体" w:cs="宋体"/>
          <w:kern w:val="0"/>
          <w:sz w:val="24"/>
        </w:rPr>
        <w:t>项目名称:浦江县中医院新院区LED屏2023年建设项目</w:t>
      </w:r>
    </w:p>
    <w:p>
      <w:pPr>
        <w:widowControl/>
        <w:adjustRightInd w:val="0"/>
        <w:snapToGrid w:val="0"/>
        <w:spacing w:line="500" w:lineRule="exact"/>
        <w:ind w:firstLine="424" w:firstLineChars="177"/>
        <w:jc w:val="left"/>
        <w:rPr>
          <w:rFonts w:ascii="宋体" w:hAnsi="宋体" w:cs="宋体"/>
          <w:kern w:val="0"/>
          <w:sz w:val="24"/>
        </w:rPr>
      </w:pPr>
      <w:r>
        <w:rPr>
          <w:rFonts w:hint="eastAsia" w:ascii="宋体" w:hAnsi="宋体" w:cs="宋体"/>
          <w:kern w:val="0"/>
          <w:sz w:val="24"/>
        </w:rPr>
        <w:t>预算金额:  76.03万元</w:t>
      </w:r>
    </w:p>
    <w:p>
      <w:pPr>
        <w:widowControl/>
        <w:adjustRightInd w:val="0"/>
        <w:snapToGrid w:val="0"/>
        <w:spacing w:line="500" w:lineRule="exact"/>
        <w:ind w:firstLine="424" w:firstLineChars="177"/>
        <w:jc w:val="left"/>
        <w:rPr>
          <w:rFonts w:ascii="宋体" w:hAnsi="宋体" w:cs="宋体"/>
          <w:kern w:val="0"/>
          <w:sz w:val="24"/>
        </w:rPr>
      </w:pPr>
      <w:r>
        <w:rPr>
          <w:rFonts w:hint="eastAsia" w:ascii="宋体" w:hAnsi="宋体" w:cs="宋体"/>
          <w:kern w:val="0"/>
          <w:sz w:val="24"/>
        </w:rPr>
        <w:t>采购方式：公开招标</w:t>
      </w:r>
    </w:p>
    <w:p>
      <w:pPr>
        <w:widowControl/>
        <w:adjustRightInd w:val="0"/>
        <w:snapToGrid w:val="0"/>
        <w:spacing w:line="500" w:lineRule="exact"/>
        <w:ind w:firstLine="424" w:firstLineChars="177"/>
        <w:jc w:val="left"/>
        <w:rPr>
          <w:rFonts w:ascii="宋体" w:hAnsi="宋体" w:cs="宋体"/>
          <w:kern w:val="0"/>
          <w:sz w:val="24"/>
        </w:rPr>
      </w:pPr>
      <w:r>
        <w:rPr>
          <w:rFonts w:hint="eastAsia" w:ascii="宋体" w:hAnsi="宋体" w:cs="宋体"/>
          <w:kern w:val="0"/>
          <w:sz w:val="24"/>
        </w:rPr>
        <w:t>项目概况：浦江县中医院新院区LED屏2023年建设项目，具体详见下文。</w:t>
      </w:r>
    </w:p>
    <w:p>
      <w:pPr>
        <w:widowControl/>
        <w:adjustRightInd w:val="0"/>
        <w:snapToGrid w:val="0"/>
        <w:spacing w:line="500" w:lineRule="exact"/>
        <w:ind w:firstLine="424" w:firstLineChars="177"/>
        <w:jc w:val="left"/>
        <w:rPr>
          <w:rFonts w:ascii="宋体" w:hAnsi="宋体" w:cs="宋体"/>
          <w:kern w:val="0"/>
          <w:sz w:val="24"/>
        </w:rPr>
      </w:pPr>
      <w:r>
        <w:rPr>
          <w:rFonts w:hint="eastAsia" w:ascii="宋体" w:hAnsi="宋体" w:cs="宋体"/>
          <w:kern w:val="0"/>
          <w:sz w:val="24"/>
        </w:rPr>
        <w:t>安装地址：甲方指定</w:t>
      </w:r>
    </w:p>
    <w:p>
      <w:pPr>
        <w:widowControl/>
        <w:adjustRightInd w:val="0"/>
        <w:snapToGrid w:val="0"/>
        <w:spacing w:line="500" w:lineRule="exact"/>
        <w:ind w:firstLine="424" w:firstLineChars="177"/>
        <w:jc w:val="left"/>
        <w:rPr>
          <w:rFonts w:ascii="宋体" w:hAnsi="宋体" w:cs="宋体"/>
          <w:kern w:val="0"/>
          <w:sz w:val="24"/>
        </w:rPr>
      </w:pPr>
      <w:r>
        <w:rPr>
          <w:rFonts w:hint="eastAsia" w:ascii="宋体" w:hAnsi="宋体" w:cs="宋体"/>
          <w:kern w:val="0"/>
          <w:sz w:val="24"/>
        </w:rPr>
        <w:t>服务质量要求：符合国家现行的有关技术规范要求和技术标准，并满足本项目及招标人要求。在项目服务过程中与甲方密切配合，保证各项工作的顺利进行。项目实施过程中，严格按照招标文件、投标文件及合同中的承诺履行。所有的软件和硬件必须保证同时安装到位。</w:t>
      </w:r>
    </w:p>
    <w:p>
      <w:pPr>
        <w:widowControl/>
        <w:adjustRightInd w:val="0"/>
        <w:snapToGrid w:val="0"/>
        <w:spacing w:line="500" w:lineRule="exact"/>
        <w:ind w:firstLine="566" w:firstLineChars="236"/>
        <w:jc w:val="left"/>
        <w:rPr>
          <w:rFonts w:ascii="宋体" w:hAnsi="宋体" w:cs="宋体"/>
          <w:kern w:val="0"/>
          <w:sz w:val="24"/>
        </w:rPr>
      </w:pPr>
      <w:r>
        <w:rPr>
          <w:rFonts w:hint="eastAsia" w:ascii="宋体" w:hAnsi="宋体" w:cs="宋体"/>
          <w:kern w:val="0"/>
          <w:sz w:val="24"/>
        </w:rPr>
        <w:t>合同履行期限及付款方式：</w:t>
      </w:r>
    </w:p>
    <w:p>
      <w:pPr>
        <w:widowControl/>
        <w:adjustRightInd w:val="0"/>
        <w:snapToGrid w:val="0"/>
        <w:spacing w:line="500" w:lineRule="exact"/>
        <w:ind w:firstLine="566" w:firstLineChars="236"/>
        <w:jc w:val="left"/>
        <w:rPr>
          <w:rFonts w:ascii="宋体" w:hAnsi="宋体" w:cs="宋体"/>
          <w:kern w:val="0"/>
          <w:sz w:val="24"/>
        </w:rPr>
      </w:pPr>
      <w:r>
        <w:rPr>
          <w:rFonts w:hint="eastAsia" w:ascii="宋体" w:hAnsi="宋体" w:cs="宋体"/>
          <w:kern w:val="0"/>
          <w:sz w:val="24"/>
        </w:rPr>
        <w:t>1. 合同履行期限：本项目要求中标人自合同签订之日起 30天内完成本项目的供货安装、调试（具体起止日期从合同签订之日起算，若采购人原因影响工期，工期顺延）。</w:t>
      </w:r>
    </w:p>
    <w:p>
      <w:pPr>
        <w:widowControl/>
        <w:adjustRightInd w:val="0"/>
        <w:snapToGrid w:val="0"/>
        <w:spacing w:line="500" w:lineRule="exact"/>
        <w:ind w:firstLine="566" w:firstLineChars="236"/>
        <w:jc w:val="left"/>
        <w:rPr>
          <w:rFonts w:ascii="宋体" w:hAnsi="宋体" w:cs="宋体"/>
          <w:kern w:val="0"/>
          <w:sz w:val="24"/>
        </w:rPr>
      </w:pPr>
      <w:r>
        <w:rPr>
          <w:rFonts w:hint="eastAsia" w:ascii="宋体" w:hAnsi="宋体" w:cs="宋体"/>
          <w:kern w:val="0"/>
          <w:sz w:val="24"/>
        </w:rPr>
        <w:t>2.付款方式：</w:t>
      </w:r>
    </w:p>
    <w:p>
      <w:pPr>
        <w:widowControl/>
        <w:adjustRightInd w:val="0"/>
        <w:snapToGrid w:val="0"/>
        <w:spacing w:line="500" w:lineRule="exact"/>
        <w:ind w:firstLine="566" w:firstLineChars="236"/>
        <w:jc w:val="left"/>
        <w:rPr>
          <w:rFonts w:ascii="宋体" w:hAnsi="宋体" w:cs="宋体"/>
          <w:kern w:val="0"/>
          <w:sz w:val="24"/>
        </w:rPr>
      </w:pPr>
      <w:r>
        <w:rPr>
          <w:rFonts w:hint="eastAsia" w:ascii="宋体" w:hAnsi="宋体" w:cs="宋体"/>
          <w:kern w:val="0"/>
          <w:sz w:val="24"/>
        </w:rPr>
        <w:t>（1）若中标人为中小企业，合同生效并在具备实施条件后，采购人在7个工作日内向中标人支付合同总额的  40 %作为项目的预付款（同时中标人应当向采购人提交合同总额的40 %的预付款保函）。余款于所有产品交付并经采购人验收合格后，30个工作日内一次性支付合同款，付款前中标方需提供符合采购人要求的正规发票。</w:t>
      </w:r>
    </w:p>
    <w:p>
      <w:pPr>
        <w:widowControl/>
        <w:adjustRightInd w:val="0"/>
        <w:snapToGrid w:val="0"/>
        <w:spacing w:line="500" w:lineRule="exact"/>
        <w:ind w:firstLine="566" w:firstLineChars="236"/>
        <w:jc w:val="left"/>
        <w:rPr>
          <w:rFonts w:ascii="宋体" w:hAnsi="宋体" w:cs="宋体"/>
          <w:kern w:val="0"/>
          <w:sz w:val="24"/>
        </w:rPr>
      </w:pPr>
      <w:r>
        <w:rPr>
          <w:rFonts w:hint="eastAsia" w:ascii="宋体" w:hAnsi="宋体" w:cs="宋体"/>
          <w:kern w:val="0"/>
          <w:sz w:val="24"/>
        </w:rPr>
        <w:t>（2）若中标人为大型企业，所有产品交付并经采购人验收合格后，30个工作日内一次性支付合同款，付款前中标方需提供符合采购人要求的正规发票。</w:t>
      </w:r>
    </w:p>
    <w:p>
      <w:pPr>
        <w:widowControl/>
        <w:adjustRightInd w:val="0"/>
        <w:snapToGrid w:val="0"/>
        <w:spacing w:line="500" w:lineRule="exact"/>
        <w:ind w:firstLine="566" w:firstLineChars="236"/>
        <w:jc w:val="left"/>
        <w:rPr>
          <w:rFonts w:ascii="宋体" w:hAnsi="宋体" w:cs="宋体"/>
          <w:kern w:val="0"/>
          <w:sz w:val="24"/>
        </w:rPr>
      </w:pPr>
      <w:r>
        <w:rPr>
          <w:rFonts w:hint="eastAsia" w:ascii="宋体" w:hAnsi="宋体" w:cs="宋体"/>
          <w:kern w:val="0"/>
          <w:sz w:val="24"/>
        </w:rPr>
        <w:t>（3）若中标供应商明确表示无需预付款或者不提供预付款保函的，采购人则不予支付预付款，若中标供应商主动要求降低预付款比例的，采购人可根据其要求降低项目预付款。</w:t>
      </w:r>
    </w:p>
    <w:p>
      <w:pPr>
        <w:adjustRightInd w:val="0"/>
        <w:snapToGrid w:val="0"/>
        <w:spacing w:line="500" w:lineRule="exact"/>
        <w:ind w:left="238"/>
        <w:jc w:val="left"/>
        <w:outlineLvl w:val="1"/>
        <w:rPr>
          <w:rFonts w:ascii="宋体" w:hAnsi="宋体"/>
          <w:b/>
          <w:sz w:val="24"/>
        </w:rPr>
      </w:pPr>
      <w:r>
        <w:rPr>
          <w:rFonts w:hint="eastAsia" w:ascii="宋体" w:hAnsi="宋体"/>
          <w:b/>
          <w:sz w:val="24"/>
        </w:rPr>
        <w:t>二、采购清单及参数</w:t>
      </w:r>
    </w:p>
    <w:p/>
    <w:tbl>
      <w:tblPr>
        <w:tblStyle w:val="57"/>
        <w:tblW w:w="926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97"/>
        <w:gridCol w:w="1133"/>
        <w:gridCol w:w="5209"/>
        <w:gridCol w:w="762"/>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2" w:hRule="atLeast"/>
        </w:trPr>
        <w:tc>
          <w:tcPr>
            <w:tcW w:w="634"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897"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配置说明</w:t>
            </w:r>
          </w:p>
        </w:tc>
        <w:tc>
          <w:tcPr>
            <w:tcW w:w="1133"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设备名称</w:t>
            </w:r>
          </w:p>
        </w:tc>
        <w:tc>
          <w:tcPr>
            <w:tcW w:w="5209"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技术参数</w:t>
            </w:r>
          </w:p>
        </w:tc>
        <w:tc>
          <w:tcPr>
            <w:tcW w:w="762"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633" w:type="dxa"/>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97" w:type="dxa"/>
            <w:vMerge w:val="restart"/>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门诊楼主入口门庭LED单色横幅屏系统</w:t>
            </w: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LED单色显示屏</w:t>
            </w:r>
          </w:p>
        </w:tc>
        <w:tc>
          <w:tcPr>
            <w:tcW w:w="5209" w:type="dxa"/>
            <w:shd w:val="clear" w:color="auto" w:fill="auto"/>
            <w:noWrap w:val="0"/>
            <w:vAlign w:val="center"/>
          </w:tcPr>
          <w:p>
            <w:pPr>
              <w:widowControl/>
              <w:jc w:val="left"/>
              <w:rPr>
                <w:rFonts w:ascii="宋体" w:hAnsi="宋体"/>
                <w:b/>
                <w:bCs/>
                <w:sz w:val="20"/>
                <w:szCs w:val="20"/>
              </w:rPr>
            </w:pPr>
            <w:r>
              <w:rPr>
                <w:rFonts w:hint="eastAsia" w:ascii="宋体" w:hAnsi="宋体"/>
                <w:b/>
                <w:sz w:val="28"/>
              </w:rPr>
              <w:t>▲</w:t>
            </w:r>
            <w:r>
              <w:rPr>
                <w:rFonts w:hint="eastAsia" w:ascii="宋体" w:hAnsi="宋体"/>
                <w:b/>
                <w:bCs/>
                <w:sz w:val="20"/>
                <w:szCs w:val="20"/>
              </w:rPr>
              <w:t>1.屏体尺寸：≥20.48 m* 0.8m=16.38㎡</w:t>
            </w:r>
          </w:p>
          <w:p>
            <w:pPr>
              <w:widowControl/>
              <w:jc w:val="left"/>
              <w:rPr>
                <w:rFonts w:ascii="宋体" w:hAnsi="宋体"/>
                <w:sz w:val="20"/>
                <w:szCs w:val="20"/>
              </w:rPr>
            </w:pPr>
            <w:r>
              <w:rPr>
                <w:rFonts w:hint="eastAsia" w:ascii="宋体" w:hAnsi="宋体"/>
                <w:sz w:val="20"/>
                <w:szCs w:val="20"/>
              </w:rPr>
              <w:t>2.像数点间距≤10mm；</w:t>
            </w:r>
          </w:p>
          <w:p>
            <w:pPr>
              <w:widowControl/>
              <w:jc w:val="left"/>
              <w:rPr>
                <w:rFonts w:ascii="宋体" w:hAnsi="宋体"/>
                <w:sz w:val="20"/>
                <w:szCs w:val="20"/>
              </w:rPr>
            </w:pPr>
            <w:r>
              <w:rPr>
                <w:rFonts w:hint="eastAsia" w:ascii="宋体" w:hAnsi="宋体"/>
                <w:sz w:val="20"/>
                <w:szCs w:val="20"/>
              </w:rPr>
              <w:t>3.像素密度≤10000Dots/㎡；</w:t>
            </w:r>
          </w:p>
          <w:p>
            <w:pPr>
              <w:widowControl/>
              <w:jc w:val="left"/>
              <w:rPr>
                <w:rFonts w:ascii="宋体" w:hAnsi="宋体"/>
                <w:sz w:val="20"/>
                <w:szCs w:val="20"/>
              </w:rPr>
            </w:pPr>
            <w:r>
              <w:rPr>
                <w:rFonts w:hint="eastAsia" w:ascii="宋体" w:hAnsi="宋体"/>
                <w:sz w:val="20"/>
                <w:szCs w:val="20"/>
              </w:rPr>
              <w:t>4.像素构成1R；</w:t>
            </w:r>
          </w:p>
          <w:p>
            <w:pPr>
              <w:widowControl/>
              <w:jc w:val="left"/>
              <w:rPr>
                <w:rFonts w:ascii="宋体" w:hAnsi="宋体"/>
                <w:sz w:val="20"/>
                <w:szCs w:val="20"/>
              </w:rPr>
            </w:pPr>
            <w:r>
              <w:rPr>
                <w:rFonts w:hint="eastAsia" w:ascii="宋体" w:hAnsi="宋体"/>
                <w:sz w:val="20"/>
                <w:szCs w:val="20"/>
              </w:rPr>
              <w:t>5.单元板分辨率≤32*16；</w:t>
            </w:r>
          </w:p>
          <w:p>
            <w:pPr>
              <w:widowControl/>
              <w:jc w:val="left"/>
              <w:rPr>
                <w:rFonts w:ascii="宋体" w:hAnsi="宋体"/>
                <w:sz w:val="20"/>
                <w:szCs w:val="20"/>
              </w:rPr>
            </w:pPr>
            <w:r>
              <w:rPr>
                <w:rFonts w:hint="eastAsia" w:ascii="宋体" w:hAnsi="宋体"/>
                <w:sz w:val="20"/>
                <w:szCs w:val="20"/>
              </w:rPr>
              <w:t>6.模组尺寸(长*宽)：不限制（投标时需注明应标尺寸）；</w:t>
            </w:r>
          </w:p>
          <w:p>
            <w:pPr>
              <w:widowControl/>
              <w:jc w:val="left"/>
              <w:rPr>
                <w:rFonts w:ascii="宋体" w:hAnsi="宋体"/>
                <w:sz w:val="20"/>
                <w:szCs w:val="20"/>
              </w:rPr>
            </w:pPr>
            <w:r>
              <w:rPr>
                <w:rFonts w:hint="eastAsia" w:ascii="宋体" w:hAnsi="宋体"/>
                <w:sz w:val="20"/>
                <w:szCs w:val="20"/>
              </w:rPr>
              <w:t>7.水平视角：80±15°，垂直视角：45±10°</w:t>
            </w:r>
          </w:p>
          <w:p>
            <w:pPr>
              <w:widowControl/>
              <w:jc w:val="left"/>
              <w:rPr>
                <w:rFonts w:ascii="宋体" w:hAnsi="宋体"/>
                <w:sz w:val="20"/>
                <w:szCs w:val="20"/>
              </w:rPr>
            </w:pPr>
            <w:r>
              <w:rPr>
                <w:rFonts w:hint="eastAsia" w:ascii="宋体" w:hAnsi="宋体"/>
                <w:sz w:val="20"/>
                <w:szCs w:val="20"/>
              </w:rPr>
              <w:t>8.最佳视距≥10m；</w:t>
            </w:r>
          </w:p>
          <w:p>
            <w:pPr>
              <w:widowControl/>
              <w:jc w:val="left"/>
              <w:rPr>
                <w:rFonts w:ascii="宋体" w:hAnsi="宋体"/>
                <w:sz w:val="20"/>
                <w:szCs w:val="20"/>
              </w:rPr>
            </w:pPr>
            <w:r>
              <w:rPr>
                <w:rFonts w:hint="eastAsia" w:ascii="宋体" w:hAnsi="宋体"/>
                <w:sz w:val="20"/>
                <w:szCs w:val="20"/>
              </w:rPr>
              <w:t>9.盲点率小于万分之一；</w:t>
            </w:r>
          </w:p>
          <w:p>
            <w:pPr>
              <w:widowControl/>
              <w:jc w:val="left"/>
              <w:rPr>
                <w:rFonts w:ascii="宋体" w:hAnsi="宋体" w:cs="宋体"/>
                <w:kern w:val="0"/>
                <w:sz w:val="20"/>
                <w:szCs w:val="20"/>
              </w:rPr>
            </w:pPr>
            <w:r>
              <w:rPr>
                <w:rFonts w:hint="eastAsia" w:ascii="宋体" w:hAnsi="宋体"/>
                <w:sz w:val="20"/>
                <w:szCs w:val="20"/>
              </w:rPr>
              <w:t xml:space="preserve">10.含控制卡、电源。    </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16.38</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屏体钢结构</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LED显示屏室外专用固装防雨钢结构(方管，型材，包边等）</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16.38</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线材辅材</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网线、电源线、套管等一系列所用到的辅材。</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安装调试</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专业施工及安装调试，配电、网络等安装，脚手架租赁，提供培训及三年保修服务</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77"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97" w:type="dxa"/>
            <w:vMerge w:val="restart"/>
            <w:shd w:val="clear" w:color="auto" w:fill="auto"/>
            <w:noWrap w:val="0"/>
            <w:vAlign w:val="center"/>
          </w:tcPr>
          <w:p>
            <w:pPr>
              <w:widowControl/>
              <w:jc w:val="center"/>
              <w:rPr>
                <w:rFonts w:ascii="宋体" w:hAnsi="宋体"/>
                <w:sz w:val="20"/>
                <w:szCs w:val="20"/>
              </w:rPr>
            </w:pPr>
          </w:p>
          <w:p>
            <w:pPr>
              <w:widowControl/>
              <w:jc w:val="center"/>
              <w:rPr>
                <w:rFonts w:ascii="宋体" w:hAnsi="宋体"/>
                <w:sz w:val="20"/>
                <w:szCs w:val="20"/>
              </w:rPr>
            </w:pPr>
          </w:p>
          <w:p>
            <w:pPr>
              <w:widowControl/>
              <w:jc w:val="center"/>
              <w:rPr>
                <w:rFonts w:ascii="宋体" w:hAnsi="宋体"/>
                <w:sz w:val="20"/>
                <w:szCs w:val="20"/>
              </w:rPr>
            </w:pPr>
            <w:r>
              <w:rPr>
                <w:rFonts w:hint="eastAsia" w:ascii="宋体" w:hAnsi="宋体"/>
                <w:sz w:val="20"/>
                <w:szCs w:val="20"/>
              </w:rPr>
              <w:t>门诊楼大厅LED双色横幅屏系统</w:t>
            </w:r>
          </w:p>
          <w:p>
            <w:pPr>
              <w:widowControl/>
              <w:jc w:val="center"/>
              <w:rPr>
                <w:rFonts w:ascii="宋体" w:hAnsi="宋体"/>
                <w:sz w:val="20"/>
                <w:szCs w:val="20"/>
              </w:rPr>
            </w:pPr>
          </w:p>
          <w:p>
            <w:pPr>
              <w:widowControl/>
              <w:jc w:val="center"/>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LED双色显示屏</w:t>
            </w:r>
          </w:p>
        </w:tc>
        <w:tc>
          <w:tcPr>
            <w:tcW w:w="5209" w:type="dxa"/>
            <w:shd w:val="clear" w:color="auto" w:fill="auto"/>
            <w:noWrap w:val="0"/>
            <w:vAlign w:val="center"/>
          </w:tcPr>
          <w:p>
            <w:pPr>
              <w:widowControl/>
              <w:jc w:val="left"/>
              <w:rPr>
                <w:rFonts w:ascii="宋体" w:hAnsi="宋体"/>
                <w:b/>
                <w:bCs/>
                <w:sz w:val="20"/>
                <w:szCs w:val="20"/>
              </w:rPr>
            </w:pPr>
            <w:r>
              <w:rPr>
                <w:rFonts w:hint="eastAsia" w:ascii="宋体" w:hAnsi="宋体"/>
                <w:b/>
                <w:sz w:val="28"/>
              </w:rPr>
              <w:t>▲</w:t>
            </w:r>
            <w:r>
              <w:rPr>
                <w:rFonts w:hint="eastAsia" w:ascii="宋体" w:hAnsi="宋体"/>
                <w:b/>
                <w:bCs/>
                <w:sz w:val="20"/>
                <w:szCs w:val="20"/>
              </w:rPr>
              <w:t xml:space="preserve">1.屏体尺寸：≥7.296m*1.064m=7.76㎡ </w:t>
            </w:r>
          </w:p>
          <w:p>
            <w:pPr>
              <w:widowControl/>
              <w:jc w:val="left"/>
              <w:rPr>
                <w:rFonts w:ascii="宋体" w:hAnsi="宋体"/>
                <w:sz w:val="20"/>
                <w:szCs w:val="20"/>
              </w:rPr>
            </w:pPr>
            <w:r>
              <w:rPr>
                <w:rFonts w:hint="eastAsia" w:ascii="宋体" w:hAnsi="宋体"/>
                <w:sz w:val="20"/>
                <w:szCs w:val="20"/>
              </w:rPr>
              <w:t>2.像数点间距≤4.75mm；</w:t>
            </w:r>
          </w:p>
          <w:p>
            <w:pPr>
              <w:widowControl/>
              <w:jc w:val="left"/>
              <w:rPr>
                <w:rFonts w:ascii="宋体" w:hAnsi="宋体"/>
                <w:sz w:val="20"/>
                <w:szCs w:val="20"/>
              </w:rPr>
            </w:pPr>
            <w:r>
              <w:rPr>
                <w:rFonts w:hint="eastAsia" w:ascii="宋体" w:hAnsi="宋体"/>
                <w:sz w:val="20"/>
                <w:szCs w:val="20"/>
              </w:rPr>
              <w:t>3.像素密度≤44321Dots/㎡；</w:t>
            </w:r>
          </w:p>
          <w:p>
            <w:pPr>
              <w:widowControl/>
              <w:jc w:val="left"/>
              <w:rPr>
                <w:rFonts w:ascii="宋体" w:hAnsi="宋体"/>
                <w:sz w:val="20"/>
                <w:szCs w:val="20"/>
              </w:rPr>
            </w:pPr>
            <w:r>
              <w:rPr>
                <w:rFonts w:hint="eastAsia" w:ascii="宋体" w:hAnsi="宋体"/>
                <w:sz w:val="20"/>
                <w:szCs w:val="20"/>
              </w:rPr>
              <w:t>4.像素构成1R</w:t>
            </w:r>
            <w:r>
              <w:rPr>
                <w:rFonts w:ascii="宋体" w:hAnsi="宋体"/>
                <w:sz w:val="20"/>
                <w:szCs w:val="20"/>
              </w:rPr>
              <w:t>1G</w:t>
            </w:r>
            <w:r>
              <w:rPr>
                <w:rFonts w:hint="eastAsia" w:ascii="宋体" w:hAnsi="宋体"/>
                <w:sz w:val="20"/>
                <w:szCs w:val="20"/>
              </w:rPr>
              <w:t>；</w:t>
            </w:r>
          </w:p>
          <w:p>
            <w:pPr>
              <w:widowControl/>
              <w:jc w:val="left"/>
              <w:rPr>
                <w:rFonts w:ascii="宋体" w:hAnsi="宋体"/>
                <w:sz w:val="20"/>
                <w:szCs w:val="20"/>
              </w:rPr>
            </w:pPr>
            <w:r>
              <w:rPr>
                <w:rFonts w:hint="eastAsia" w:ascii="宋体" w:hAnsi="宋体"/>
                <w:sz w:val="20"/>
                <w:szCs w:val="20"/>
              </w:rPr>
              <w:t>5.模组尺寸(长*宽)：不限制（投标时需注明应标尺寸）；</w:t>
            </w:r>
          </w:p>
          <w:p>
            <w:pPr>
              <w:widowControl/>
              <w:jc w:val="left"/>
              <w:rPr>
                <w:rFonts w:ascii="宋体" w:hAnsi="宋体"/>
                <w:sz w:val="20"/>
                <w:szCs w:val="20"/>
              </w:rPr>
            </w:pPr>
            <w:r>
              <w:rPr>
                <w:rFonts w:hint="eastAsia" w:ascii="宋体" w:hAnsi="宋体"/>
                <w:sz w:val="20"/>
                <w:szCs w:val="20"/>
              </w:rPr>
              <w:t xml:space="preserve">6.水平视角：120±20°，垂直视角：120±20° </w:t>
            </w:r>
          </w:p>
          <w:p>
            <w:pPr>
              <w:widowControl/>
              <w:jc w:val="left"/>
              <w:rPr>
                <w:rFonts w:ascii="宋体" w:hAnsi="宋体"/>
                <w:sz w:val="20"/>
                <w:szCs w:val="20"/>
              </w:rPr>
            </w:pPr>
            <w:r>
              <w:rPr>
                <w:rFonts w:hint="eastAsia" w:ascii="宋体" w:hAnsi="宋体"/>
                <w:sz w:val="20"/>
                <w:szCs w:val="20"/>
              </w:rPr>
              <w:t>7.最佳视距≥5m；</w:t>
            </w:r>
          </w:p>
          <w:p>
            <w:pPr>
              <w:widowControl/>
              <w:jc w:val="left"/>
              <w:rPr>
                <w:rFonts w:ascii="宋体" w:hAnsi="宋体"/>
                <w:sz w:val="20"/>
                <w:szCs w:val="20"/>
              </w:rPr>
            </w:pPr>
            <w:r>
              <w:rPr>
                <w:rFonts w:hint="eastAsia" w:ascii="宋体" w:hAnsi="宋体"/>
                <w:sz w:val="20"/>
                <w:szCs w:val="20"/>
              </w:rPr>
              <w:t>8.盲点率小于万分之三；</w:t>
            </w:r>
          </w:p>
          <w:p>
            <w:pPr>
              <w:widowControl/>
              <w:jc w:val="left"/>
              <w:rPr>
                <w:rFonts w:ascii="宋体" w:hAnsi="宋体" w:cs="宋体"/>
                <w:kern w:val="0"/>
                <w:sz w:val="20"/>
                <w:szCs w:val="20"/>
              </w:rPr>
            </w:pPr>
            <w:r>
              <w:rPr>
                <w:rFonts w:hint="eastAsia" w:ascii="宋体" w:hAnsi="宋体"/>
                <w:sz w:val="20"/>
                <w:szCs w:val="20"/>
              </w:rPr>
              <w:t>9.含控制卡、电源。</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7.76</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屏体钢结构</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LED显示屏室内专用固装钢结构(方管，型材，包边等）</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7.76</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2"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线材辅材</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网线、电源线、套管等一系列所用到的辅材。</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安装调试</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专业施工及安装调试，配电、网络等安装，脚手架租赁，提供培训及三年保修服务</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77"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897" w:type="dxa"/>
            <w:vMerge w:val="restart"/>
            <w:shd w:val="clear" w:color="auto" w:fill="auto"/>
            <w:noWrap w:val="0"/>
            <w:vAlign w:val="center"/>
          </w:tcPr>
          <w:p>
            <w:pPr>
              <w:widowControl/>
              <w:jc w:val="center"/>
              <w:rPr>
                <w:rFonts w:ascii="宋体" w:hAnsi="宋体" w:cs="宋体"/>
                <w:kern w:val="0"/>
                <w:sz w:val="20"/>
                <w:szCs w:val="20"/>
              </w:rPr>
            </w:pPr>
            <w:r>
              <w:rPr>
                <w:rFonts w:hint="eastAsia" w:ascii="宋体" w:hAnsi="宋体"/>
                <w:sz w:val="20"/>
                <w:szCs w:val="20"/>
              </w:rPr>
              <w:t>门诊楼二楼检验科LED双色横幅屏系统</w:t>
            </w: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LED双色显示屏</w:t>
            </w:r>
          </w:p>
        </w:tc>
        <w:tc>
          <w:tcPr>
            <w:tcW w:w="5209" w:type="dxa"/>
            <w:shd w:val="clear" w:color="auto" w:fill="auto"/>
            <w:noWrap w:val="0"/>
            <w:vAlign w:val="center"/>
          </w:tcPr>
          <w:p>
            <w:pPr>
              <w:widowControl/>
              <w:jc w:val="left"/>
              <w:rPr>
                <w:rFonts w:ascii="宋体" w:hAnsi="宋体"/>
                <w:b/>
                <w:bCs/>
                <w:sz w:val="20"/>
                <w:szCs w:val="20"/>
              </w:rPr>
            </w:pPr>
            <w:r>
              <w:rPr>
                <w:rFonts w:hint="eastAsia" w:ascii="宋体" w:hAnsi="宋体"/>
                <w:b/>
                <w:sz w:val="28"/>
              </w:rPr>
              <w:t>▲</w:t>
            </w:r>
            <w:r>
              <w:rPr>
                <w:rFonts w:hint="eastAsia" w:ascii="宋体" w:hAnsi="宋体"/>
                <w:b/>
                <w:bCs/>
                <w:sz w:val="20"/>
                <w:szCs w:val="20"/>
              </w:rPr>
              <w:t>1.屏体尺寸：≥16.72m*0.456m=7.62㎡</w:t>
            </w:r>
          </w:p>
          <w:p>
            <w:pPr>
              <w:widowControl/>
              <w:jc w:val="left"/>
              <w:rPr>
                <w:rFonts w:ascii="宋体" w:hAnsi="宋体"/>
                <w:sz w:val="20"/>
                <w:szCs w:val="20"/>
              </w:rPr>
            </w:pPr>
            <w:r>
              <w:rPr>
                <w:rFonts w:hint="eastAsia" w:ascii="宋体" w:hAnsi="宋体"/>
                <w:sz w:val="20"/>
                <w:szCs w:val="20"/>
              </w:rPr>
              <w:t>2.像数点间距≤4.75mm；</w:t>
            </w:r>
          </w:p>
          <w:p>
            <w:pPr>
              <w:widowControl/>
              <w:jc w:val="left"/>
              <w:rPr>
                <w:rFonts w:ascii="宋体" w:hAnsi="宋体"/>
                <w:sz w:val="20"/>
                <w:szCs w:val="20"/>
              </w:rPr>
            </w:pPr>
            <w:r>
              <w:rPr>
                <w:rFonts w:hint="eastAsia" w:ascii="宋体" w:hAnsi="宋体"/>
                <w:sz w:val="20"/>
                <w:szCs w:val="20"/>
              </w:rPr>
              <w:t>3.像素密度≤44321Dots/㎡；</w:t>
            </w:r>
          </w:p>
          <w:p>
            <w:pPr>
              <w:widowControl/>
              <w:jc w:val="left"/>
              <w:rPr>
                <w:rFonts w:ascii="宋体" w:hAnsi="宋体"/>
                <w:sz w:val="20"/>
                <w:szCs w:val="20"/>
              </w:rPr>
            </w:pPr>
            <w:r>
              <w:rPr>
                <w:rFonts w:hint="eastAsia" w:ascii="宋体" w:hAnsi="宋体"/>
                <w:sz w:val="20"/>
                <w:szCs w:val="20"/>
              </w:rPr>
              <w:t>4.像素构成1R</w:t>
            </w:r>
            <w:r>
              <w:rPr>
                <w:rFonts w:ascii="宋体" w:hAnsi="宋体"/>
                <w:sz w:val="20"/>
                <w:szCs w:val="20"/>
              </w:rPr>
              <w:t>1G</w:t>
            </w:r>
            <w:r>
              <w:rPr>
                <w:rFonts w:hint="eastAsia" w:ascii="宋体" w:hAnsi="宋体"/>
                <w:sz w:val="20"/>
                <w:szCs w:val="20"/>
              </w:rPr>
              <w:t>；</w:t>
            </w:r>
          </w:p>
          <w:p>
            <w:pPr>
              <w:widowControl/>
              <w:jc w:val="left"/>
              <w:rPr>
                <w:rFonts w:ascii="宋体" w:hAnsi="宋体"/>
                <w:sz w:val="20"/>
                <w:szCs w:val="20"/>
              </w:rPr>
            </w:pPr>
            <w:r>
              <w:rPr>
                <w:rFonts w:hint="eastAsia" w:ascii="宋体" w:hAnsi="宋体"/>
                <w:sz w:val="20"/>
                <w:szCs w:val="20"/>
              </w:rPr>
              <w:t>5.模组尺寸(长*宽)：不限制（投标时需注明应标尺寸）；</w:t>
            </w:r>
          </w:p>
          <w:p>
            <w:pPr>
              <w:widowControl/>
              <w:jc w:val="left"/>
              <w:rPr>
                <w:rFonts w:ascii="宋体" w:hAnsi="宋体"/>
                <w:sz w:val="20"/>
                <w:szCs w:val="20"/>
              </w:rPr>
            </w:pPr>
            <w:r>
              <w:rPr>
                <w:rFonts w:hint="eastAsia" w:ascii="宋体" w:hAnsi="宋体"/>
                <w:sz w:val="20"/>
                <w:szCs w:val="20"/>
              </w:rPr>
              <w:t>6.水平视角：120±20°，垂直视角：120±20°</w:t>
            </w:r>
          </w:p>
          <w:p>
            <w:pPr>
              <w:widowControl/>
              <w:jc w:val="left"/>
              <w:rPr>
                <w:rFonts w:ascii="宋体" w:hAnsi="宋体"/>
                <w:sz w:val="20"/>
                <w:szCs w:val="20"/>
              </w:rPr>
            </w:pPr>
            <w:r>
              <w:rPr>
                <w:rFonts w:hint="eastAsia" w:ascii="宋体" w:hAnsi="宋体"/>
                <w:sz w:val="20"/>
                <w:szCs w:val="20"/>
              </w:rPr>
              <w:t>7.最佳视距≥5m；</w:t>
            </w:r>
          </w:p>
          <w:p>
            <w:pPr>
              <w:widowControl/>
              <w:jc w:val="left"/>
              <w:rPr>
                <w:rFonts w:ascii="宋体" w:hAnsi="宋体"/>
                <w:sz w:val="20"/>
                <w:szCs w:val="20"/>
              </w:rPr>
            </w:pPr>
            <w:r>
              <w:rPr>
                <w:rFonts w:hint="eastAsia" w:ascii="宋体" w:hAnsi="宋体"/>
                <w:sz w:val="20"/>
                <w:szCs w:val="20"/>
              </w:rPr>
              <w:t>8.盲点率小于万分之三；</w:t>
            </w:r>
          </w:p>
          <w:p>
            <w:pPr>
              <w:widowControl/>
              <w:jc w:val="left"/>
              <w:rPr>
                <w:rFonts w:ascii="宋体" w:hAnsi="宋体" w:cs="宋体"/>
                <w:kern w:val="0"/>
                <w:sz w:val="20"/>
                <w:szCs w:val="20"/>
              </w:rPr>
            </w:pPr>
            <w:r>
              <w:rPr>
                <w:rFonts w:hint="eastAsia" w:ascii="宋体" w:hAnsi="宋体"/>
                <w:sz w:val="20"/>
                <w:szCs w:val="20"/>
              </w:rPr>
              <w:t>9.含控制卡、电源。</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7.62</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屏体钢结构</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LED显示屏室内专用固装钢结构(方管，型材，包边等）</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7.62</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2"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线材辅材</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网线、电源线、套管等一系列所用到的辅材。</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安装调试</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专业施工及安装调试，配电、网络等安装，脚手架租赁，提供培训及三年保修服务</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897" w:type="dxa"/>
            <w:vMerge w:val="restart"/>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住院楼北面入口门庭LED单色横幅屏系统</w:t>
            </w: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LED单色显示屏</w:t>
            </w:r>
          </w:p>
        </w:tc>
        <w:tc>
          <w:tcPr>
            <w:tcW w:w="5209" w:type="dxa"/>
            <w:shd w:val="clear" w:color="auto" w:fill="auto"/>
            <w:noWrap w:val="0"/>
            <w:vAlign w:val="center"/>
          </w:tcPr>
          <w:p>
            <w:pPr>
              <w:widowControl/>
              <w:jc w:val="left"/>
              <w:rPr>
                <w:rFonts w:ascii="宋体" w:hAnsi="宋体"/>
                <w:b/>
                <w:bCs/>
                <w:sz w:val="20"/>
                <w:szCs w:val="20"/>
              </w:rPr>
            </w:pPr>
            <w:r>
              <w:rPr>
                <w:rFonts w:hint="eastAsia" w:ascii="宋体" w:hAnsi="宋体"/>
                <w:b/>
                <w:sz w:val="28"/>
              </w:rPr>
              <w:t>▲</w:t>
            </w:r>
            <w:r>
              <w:rPr>
                <w:rFonts w:hint="eastAsia" w:ascii="宋体" w:hAnsi="宋体"/>
                <w:b/>
                <w:bCs/>
                <w:sz w:val="20"/>
                <w:szCs w:val="20"/>
              </w:rPr>
              <w:t>1.屏体尺寸：≥11.2m* 0.8m=8.96㎡</w:t>
            </w:r>
          </w:p>
          <w:p>
            <w:pPr>
              <w:widowControl/>
              <w:jc w:val="left"/>
              <w:rPr>
                <w:rFonts w:ascii="宋体" w:hAnsi="宋体"/>
                <w:sz w:val="20"/>
                <w:szCs w:val="20"/>
              </w:rPr>
            </w:pPr>
            <w:r>
              <w:rPr>
                <w:rFonts w:hint="eastAsia" w:ascii="宋体" w:hAnsi="宋体"/>
                <w:sz w:val="20"/>
                <w:szCs w:val="20"/>
              </w:rPr>
              <w:t>2.像数点间距≤10mm；</w:t>
            </w:r>
          </w:p>
          <w:p>
            <w:pPr>
              <w:widowControl/>
              <w:jc w:val="left"/>
              <w:rPr>
                <w:rFonts w:ascii="宋体" w:hAnsi="宋体"/>
                <w:sz w:val="20"/>
                <w:szCs w:val="20"/>
              </w:rPr>
            </w:pPr>
            <w:r>
              <w:rPr>
                <w:rFonts w:hint="eastAsia" w:ascii="宋体" w:hAnsi="宋体"/>
                <w:sz w:val="20"/>
                <w:szCs w:val="20"/>
              </w:rPr>
              <w:t>3.像素密度≤10000Dots/㎡；</w:t>
            </w:r>
          </w:p>
          <w:p>
            <w:pPr>
              <w:widowControl/>
              <w:jc w:val="left"/>
              <w:rPr>
                <w:rFonts w:ascii="宋体" w:hAnsi="宋体"/>
                <w:sz w:val="20"/>
                <w:szCs w:val="20"/>
              </w:rPr>
            </w:pPr>
            <w:r>
              <w:rPr>
                <w:rFonts w:hint="eastAsia" w:ascii="宋体" w:hAnsi="宋体"/>
                <w:sz w:val="20"/>
                <w:szCs w:val="20"/>
              </w:rPr>
              <w:t>4.像素构成1R；</w:t>
            </w:r>
          </w:p>
          <w:p>
            <w:pPr>
              <w:widowControl/>
              <w:jc w:val="left"/>
              <w:rPr>
                <w:rFonts w:ascii="宋体" w:hAnsi="宋体"/>
                <w:sz w:val="20"/>
                <w:szCs w:val="20"/>
              </w:rPr>
            </w:pPr>
            <w:r>
              <w:rPr>
                <w:rFonts w:hint="eastAsia" w:ascii="宋体" w:hAnsi="宋体"/>
                <w:sz w:val="20"/>
                <w:szCs w:val="20"/>
              </w:rPr>
              <w:t>5.单元板分辨率≤32*16；</w:t>
            </w:r>
          </w:p>
          <w:p>
            <w:pPr>
              <w:widowControl/>
              <w:jc w:val="left"/>
              <w:rPr>
                <w:rFonts w:ascii="宋体" w:hAnsi="宋体"/>
                <w:sz w:val="20"/>
                <w:szCs w:val="20"/>
              </w:rPr>
            </w:pPr>
            <w:r>
              <w:rPr>
                <w:rFonts w:hint="eastAsia" w:ascii="宋体" w:hAnsi="宋体"/>
                <w:sz w:val="20"/>
                <w:szCs w:val="20"/>
              </w:rPr>
              <w:t>6.模组尺寸(长*宽)：不限制（投标时需注明应标尺寸）；</w:t>
            </w:r>
          </w:p>
          <w:p>
            <w:pPr>
              <w:widowControl/>
              <w:jc w:val="left"/>
              <w:rPr>
                <w:rFonts w:ascii="宋体" w:hAnsi="宋体"/>
                <w:sz w:val="20"/>
                <w:szCs w:val="20"/>
              </w:rPr>
            </w:pPr>
            <w:r>
              <w:rPr>
                <w:rFonts w:hint="eastAsia" w:ascii="宋体" w:hAnsi="宋体"/>
                <w:sz w:val="20"/>
                <w:szCs w:val="20"/>
              </w:rPr>
              <w:t>7.水平视角：80±15°，垂直视角：45±10°</w:t>
            </w:r>
          </w:p>
          <w:p>
            <w:pPr>
              <w:widowControl/>
              <w:jc w:val="left"/>
              <w:rPr>
                <w:rFonts w:ascii="宋体" w:hAnsi="宋体"/>
                <w:sz w:val="20"/>
                <w:szCs w:val="20"/>
              </w:rPr>
            </w:pPr>
            <w:r>
              <w:rPr>
                <w:rFonts w:hint="eastAsia" w:ascii="宋体" w:hAnsi="宋体"/>
                <w:sz w:val="20"/>
                <w:szCs w:val="20"/>
              </w:rPr>
              <w:t>8.最佳视距≥10m；</w:t>
            </w:r>
          </w:p>
          <w:p>
            <w:pPr>
              <w:widowControl/>
              <w:jc w:val="left"/>
              <w:rPr>
                <w:rFonts w:ascii="宋体" w:hAnsi="宋体"/>
                <w:sz w:val="20"/>
                <w:szCs w:val="20"/>
              </w:rPr>
            </w:pPr>
            <w:r>
              <w:rPr>
                <w:rFonts w:hint="eastAsia" w:ascii="宋体" w:hAnsi="宋体"/>
                <w:sz w:val="20"/>
                <w:szCs w:val="20"/>
              </w:rPr>
              <w:t>9.盲点率小于万分之一；</w:t>
            </w:r>
          </w:p>
          <w:p>
            <w:pPr>
              <w:widowControl/>
              <w:jc w:val="left"/>
              <w:rPr>
                <w:rFonts w:ascii="宋体" w:hAnsi="宋体" w:cs="宋体"/>
                <w:kern w:val="0"/>
                <w:sz w:val="20"/>
                <w:szCs w:val="20"/>
              </w:rPr>
            </w:pPr>
            <w:r>
              <w:rPr>
                <w:rFonts w:hint="eastAsia" w:ascii="宋体" w:hAnsi="宋体"/>
                <w:sz w:val="20"/>
                <w:szCs w:val="20"/>
              </w:rPr>
              <w:t>10.含控制卡、电源。</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8.96</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屏体钢结构</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LED显示屏室外专用固装防雨钢结构(方管，型材，包边等）</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8.96</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线材辅材</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网线、电源线、套管等一系列所用到的辅材。</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安装调试</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专业施工及安装调试，配电、网络等安装，脚手架租赁，提供培训及三年保修服务</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897" w:type="dxa"/>
            <w:vMerge w:val="restart"/>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住院楼南面入口门庭LED单色横幅屏系统</w:t>
            </w: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LED单色显示屏</w:t>
            </w:r>
          </w:p>
        </w:tc>
        <w:tc>
          <w:tcPr>
            <w:tcW w:w="5209" w:type="dxa"/>
            <w:shd w:val="clear" w:color="auto" w:fill="auto"/>
            <w:noWrap w:val="0"/>
            <w:vAlign w:val="center"/>
          </w:tcPr>
          <w:p>
            <w:pPr>
              <w:widowControl/>
              <w:jc w:val="left"/>
              <w:rPr>
                <w:rFonts w:ascii="宋体" w:hAnsi="宋体"/>
                <w:b/>
                <w:bCs/>
                <w:sz w:val="20"/>
                <w:szCs w:val="20"/>
              </w:rPr>
            </w:pPr>
            <w:r>
              <w:rPr>
                <w:rFonts w:hint="eastAsia" w:ascii="宋体" w:hAnsi="宋体"/>
                <w:b/>
                <w:sz w:val="28"/>
              </w:rPr>
              <w:t>▲</w:t>
            </w:r>
            <w:r>
              <w:rPr>
                <w:rFonts w:hint="eastAsia" w:ascii="宋体" w:hAnsi="宋体"/>
                <w:b/>
                <w:bCs/>
                <w:sz w:val="20"/>
                <w:szCs w:val="20"/>
              </w:rPr>
              <w:t>1.屏体尺寸：≥11.2m* 0.8m=8.96㎡</w:t>
            </w:r>
          </w:p>
          <w:p>
            <w:pPr>
              <w:widowControl/>
              <w:jc w:val="left"/>
              <w:rPr>
                <w:rFonts w:ascii="宋体" w:hAnsi="宋体"/>
                <w:sz w:val="20"/>
                <w:szCs w:val="20"/>
              </w:rPr>
            </w:pPr>
            <w:r>
              <w:rPr>
                <w:rFonts w:hint="eastAsia" w:ascii="宋体" w:hAnsi="宋体"/>
                <w:sz w:val="20"/>
                <w:szCs w:val="20"/>
              </w:rPr>
              <w:t>2.像数点间距≤10mm；</w:t>
            </w:r>
          </w:p>
          <w:p>
            <w:pPr>
              <w:widowControl/>
              <w:jc w:val="left"/>
              <w:rPr>
                <w:rFonts w:ascii="宋体" w:hAnsi="宋体"/>
                <w:sz w:val="20"/>
                <w:szCs w:val="20"/>
              </w:rPr>
            </w:pPr>
            <w:r>
              <w:rPr>
                <w:rFonts w:hint="eastAsia" w:ascii="宋体" w:hAnsi="宋体"/>
                <w:sz w:val="20"/>
                <w:szCs w:val="20"/>
              </w:rPr>
              <w:t>3.像素密度≤10000Dots/㎡；</w:t>
            </w:r>
          </w:p>
          <w:p>
            <w:pPr>
              <w:widowControl/>
              <w:jc w:val="left"/>
              <w:rPr>
                <w:rFonts w:ascii="宋体" w:hAnsi="宋体"/>
                <w:sz w:val="20"/>
                <w:szCs w:val="20"/>
              </w:rPr>
            </w:pPr>
            <w:r>
              <w:rPr>
                <w:rFonts w:hint="eastAsia" w:ascii="宋体" w:hAnsi="宋体"/>
                <w:sz w:val="20"/>
                <w:szCs w:val="20"/>
              </w:rPr>
              <w:t>4.像素构成1R；</w:t>
            </w:r>
          </w:p>
          <w:p>
            <w:pPr>
              <w:widowControl/>
              <w:jc w:val="left"/>
              <w:rPr>
                <w:rFonts w:ascii="宋体" w:hAnsi="宋体"/>
                <w:sz w:val="20"/>
                <w:szCs w:val="20"/>
              </w:rPr>
            </w:pPr>
            <w:r>
              <w:rPr>
                <w:rFonts w:hint="eastAsia" w:ascii="宋体" w:hAnsi="宋体"/>
                <w:sz w:val="20"/>
                <w:szCs w:val="20"/>
              </w:rPr>
              <w:t>5.单元板分辨率≤32*16；</w:t>
            </w:r>
          </w:p>
          <w:p>
            <w:pPr>
              <w:widowControl/>
              <w:jc w:val="left"/>
              <w:rPr>
                <w:rFonts w:ascii="宋体" w:hAnsi="宋体"/>
                <w:sz w:val="20"/>
                <w:szCs w:val="20"/>
              </w:rPr>
            </w:pPr>
            <w:r>
              <w:rPr>
                <w:rFonts w:hint="eastAsia" w:ascii="宋体" w:hAnsi="宋体"/>
                <w:sz w:val="20"/>
                <w:szCs w:val="20"/>
              </w:rPr>
              <w:t>6.模组尺寸(长*宽)：不限制（投标时需注明应标尺寸）；</w:t>
            </w:r>
          </w:p>
          <w:p>
            <w:pPr>
              <w:widowControl/>
              <w:jc w:val="left"/>
              <w:rPr>
                <w:rFonts w:ascii="宋体" w:hAnsi="宋体"/>
                <w:sz w:val="20"/>
                <w:szCs w:val="20"/>
              </w:rPr>
            </w:pPr>
            <w:r>
              <w:rPr>
                <w:rFonts w:hint="eastAsia" w:ascii="宋体" w:hAnsi="宋体"/>
                <w:sz w:val="20"/>
                <w:szCs w:val="20"/>
              </w:rPr>
              <w:t>7.水平视角：80±15°，垂直视角：45±10°</w:t>
            </w:r>
          </w:p>
          <w:p>
            <w:pPr>
              <w:widowControl/>
              <w:jc w:val="left"/>
              <w:rPr>
                <w:rFonts w:ascii="宋体" w:hAnsi="宋体"/>
                <w:sz w:val="20"/>
                <w:szCs w:val="20"/>
              </w:rPr>
            </w:pPr>
            <w:r>
              <w:rPr>
                <w:rFonts w:hint="eastAsia" w:ascii="宋体" w:hAnsi="宋体"/>
                <w:sz w:val="20"/>
                <w:szCs w:val="20"/>
              </w:rPr>
              <w:t>8.最佳视距≥10m；</w:t>
            </w:r>
          </w:p>
          <w:p>
            <w:pPr>
              <w:widowControl/>
              <w:jc w:val="left"/>
              <w:rPr>
                <w:rFonts w:ascii="宋体" w:hAnsi="宋体"/>
                <w:sz w:val="20"/>
                <w:szCs w:val="20"/>
              </w:rPr>
            </w:pPr>
            <w:r>
              <w:rPr>
                <w:rFonts w:hint="eastAsia" w:ascii="宋体" w:hAnsi="宋体"/>
                <w:sz w:val="20"/>
                <w:szCs w:val="20"/>
              </w:rPr>
              <w:t>9.盲点率小于万分之一；</w:t>
            </w:r>
          </w:p>
          <w:p>
            <w:pPr>
              <w:widowControl/>
              <w:jc w:val="left"/>
              <w:rPr>
                <w:rFonts w:ascii="宋体" w:hAnsi="宋体" w:cs="宋体"/>
                <w:kern w:val="0"/>
                <w:sz w:val="20"/>
                <w:szCs w:val="20"/>
              </w:rPr>
            </w:pPr>
            <w:r>
              <w:rPr>
                <w:rFonts w:hint="eastAsia" w:ascii="宋体" w:hAnsi="宋体"/>
                <w:sz w:val="20"/>
                <w:szCs w:val="20"/>
              </w:rPr>
              <w:t>10.含控制卡、电源。</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8.96</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屏体钢结构</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LED显示屏室外专用固装防雨钢结构(方管，型材，包边等）</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8.96</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线材辅材</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网线、电源线、套管等一系列所用到的辅材。</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安装调试</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专业施工及安装调试，配电、网络等安装，脚手架租赁，提供培训及三年保修服务</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7"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897" w:type="dxa"/>
            <w:vMerge w:val="restart"/>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门诊楼一楼大厅LED全彩屏系统</w:t>
            </w: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LED全彩显示屏</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LED灯管：LED主动发光，每个像素点采用1纯红1纯绿1纯蓝三像数，表贴三合一封装,模组具有灯驱和一技术.</w:t>
            </w:r>
            <w:r>
              <w:rPr>
                <w:rFonts w:hint="eastAsia" w:ascii="宋体" w:hAnsi="宋体" w:cs="宋体"/>
                <w:kern w:val="0"/>
                <w:sz w:val="20"/>
                <w:szCs w:val="20"/>
              </w:rPr>
              <w:br w:type="textWrapping"/>
            </w:r>
            <w:r>
              <w:rPr>
                <w:rFonts w:hint="eastAsia" w:ascii="宋体" w:hAnsi="宋体" w:cs="宋体"/>
                <w:b/>
                <w:bCs/>
                <w:kern w:val="0"/>
                <w:sz w:val="20"/>
                <w:szCs w:val="20"/>
              </w:rPr>
              <w:t>▲2、像数间距：≤1.86mm；单元板尺寸：不限制；显示屏尺寸：≥长7.36 m*高4.16 m。</w:t>
            </w:r>
            <w:r>
              <w:rPr>
                <w:rFonts w:hint="eastAsia" w:ascii="宋体" w:hAnsi="宋体" w:cs="宋体"/>
                <w:kern w:val="0"/>
                <w:sz w:val="20"/>
                <w:szCs w:val="20"/>
              </w:rPr>
              <w:br w:type="textWrapping"/>
            </w:r>
            <w:r>
              <w:rPr>
                <w:rFonts w:hint="eastAsia" w:ascii="宋体" w:hAnsi="宋体" w:cs="宋体"/>
                <w:kern w:val="0"/>
                <w:sz w:val="20"/>
                <w:szCs w:val="20"/>
              </w:rPr>
              <w:t>3、PCB设计:PCB设计焊盘采用沉金工艺处理，充分保证单模板块安装的稳定性和抗氧化性</w:t>
            </w:r>
            <w:r>
              <w:rPr>
                <w:rFonts w:hint="eastAsia" w:ascii="宋体" w:hAnsi="宋体" w:cs="宋体"/>
                <w:kern w:val="0"/>
                <w:sz w:val="20"/>
                <w:szCs w:val="20"/>
              </w:rPr>
              <w:br w:type="textWrapping"/>
            </w:r>
            <w:r>
              <w:rPr>
                <w:rFonts w:hint="eastAsia" w:ascii="宋体" w:hAnsi="宋体" w:cs="宋体"/>
                <w:kern w:val="0"/>
                <w:sz w:val="20"/>
                <w:szCs w:val="20"/>
              </w:rPr>
              <w:t>4、表面处理:可支持灯板表面进行AOB处理，有致密性纳米涂层，有效隔绝水汽，对灯珠形成有效防护，可支持喷墨工艺，且低反射率的LED灯板</w:t>
            </w:r>
            <w:r>
              <w:rPr>
                <w:rFonts w:hint="eastAsia" w:ascii="宋体" w:hAnsi="宋体" w:cs="宋体"/>
                <w:kern w:val="0"/>
                <w:sz w:val="20"/>
                <w:szCs w:val="20"/>
              </w:rPr>
              <w:br w:type="textWrapping"/>
            </w:r>
            <w:r>
              <w:rPr>
                <w:rFonts w:hint="eastAsia" w:ascii="宋体" w:hAnsi="宋体" w:cs="宋体"/>
                <w:kern w:val="0"/>
                <w:sz w:val="20"/>
                <w:szCs w:val="20"/>
              </w:rPr>
              <w:t>★5、色彩:16Bit,281万亿色，色域覆盖率100%,NTSC色域覆盖率≥120%上，YLV（PAL)色域覆盖率≥170%，支持BT.2020,DCI.P3,BT.709,sRGB等多种色域转换。（提供第三方机构出具的检测报告）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6、峰值功耗310w/㎡，平均功耗92w/㎡，供电要求110~220VAC±15%。</w:t>
            </w:r>
            <w:r>
              <w:rPr>
                <w:rFonts w:hint="eastAsia" w:ascii="宋体" w:hAnsi="宋体" w:cs="宋体"/>
                <w:kern w:val="0"/>
                <w:sz w:val="20"/>
                <w:szCs w:val="20"/>
              </w:rPr>
              <w:br w:type="textWrapping"/>
            </w:r>
            <w:r>
              <w:rPr>
                <w:rFonts w:hint="eastAsia" w:ascii="宋体" w:hAnsi="宋体" w:cs="宋体"/>
                <w:kern w:val="0"/>
                <w:sz w:val="20"/>
                <w:szCs w:val="20"/>
              </w:rPr>
              <w:t>7、符合光生物安全：依据标准进行光生物安全及蓝光危害评估检测无危害类：在8h3000s曝辐中不造成光化学紫外危害（ES),并在1000s（约2.8h）内不造成对视网膜蓝光危害（LB)，并且在1000s内不造成对眼睛的红外辐射危害（EIR)。（提供第三方机构出具的检测报告）</w:t>
            </w:r>
            <w:r>
              <w:rPr>
                <w:rFonts w:hint="eastAsia" w:ascii="宋体" w:hAnsi="宋体" w:cs="宋体"/>
                <w:kern w:val="0"/>
                <w:sz w:val="20"/>
                <w:szCs w:val="20"/>
              </w:rPr>
              <w:br w:type="textWrapping"/>
            </w:r>
            <w:r>
              <w:rPr>
                <w:rFonts w:ascii="宋体" w:hAnsi="宋体" w:cs="宋体"/>
                <w:kern w:val="0"/>
                <w:sz w:val="20"/>
                <w:szCs w:val="20"/>
              </w:rPr>
              <w:t>8</w:t>
            </w:r>
            <w:r>
              <w:rPr>
                <w:rFonts w:hint="eastAsia" w:ascii="宋体" w:hAnsi="宋体" w:cs="宋体"/>
                <w:kern w:val="0"/>
                <w:sz w:val="20"/>
                <w:szCs w:val="20"/>
              </w:rPr>
              <w:t>、支持输入信号：DVI ,HDMT和DP；可将输入信号进行缩放，以匹配LED的分辨率进行输出。（提供第三方机构出具的检测报告）</w:t>
            </w:r>
          </w:p>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9</w:t>
            </w:r>
            <w:r>
              <w:rPr>
                <w:rFonts w:hint="eastAsia" w:ascii="宋体" w:hAnsi="宋体" w:cs="宋体"/>
                <w:kern w:val="0"/>
                <w:sz w:val="20"/>
                <w:szCs w:val="20"/>
              </w:rPr>
              <w:t>、具有通过构造非线性校正曲线和色坐标变换系数矩阵实现了显示效果的不断完善，各项重要指标如色彩还原性，色温调节范围，亮度均匀性，色度均匀性，刷新率，换帧频率等，均符合广电级标准。（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、具有抗谐波能力：1ed显示屏产品抗谐波能力达到A类。产品符合GB/T9254-2008测试标准，1GHz以下的限值，准峰值限值≤50dB；谐波电流，电压变化符合GB17625.1-2012标准。（提供第三方机构出具的检测报告）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1</w:t>
            </w:r>
            <w:r>
              <w:rPr>
                <w:rFonts w:hint="eastAsia" w:ascii="宋体" w:hAnsi="宋体" w:cs="宋体"/>
                <w:kern w:val="0"/>
                <w:sz w:val="20"/>
                <w:szCs w:val="20"/>
              </w:rPr>
              <w:t>、产品满足温升要求：按照GB 4943.1-2011《信息技术设备安全第一部分：通用要求》进行升温测试，最大亮度白色连续工作2小时，模组表面温升小于20℃。（提供第三方机构出具的检测报告）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2</w:t>
            </w:r>
            <w:r>
              <w:rPr>
                <w:rFonts w:hint="eastAsia" w:ascii="宋体" w:hAnsi="宋体" w:cs="宋体"/>
                <w:kern w:val="0"/>
                <w:sz w:val="20"/>
                <w:szCs w:val="20"/>
              </w:rPr>
              <w:t>、产品具有多点测温系统，均衡散热，房子局部温度过高造成色彩漂移，并提高显示屏寿命；具有防几何失真、非线性失真的功能。</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3</w:t>
            </w:r>
            <w:r>
              <w:rPr>
                <w:rFonts w:hint="eastAsia" w:ascii="宋体" w:hAnsi="宋体" w:cs="宋体"/>
                <w:kern w:val="0"/>
                <w:sz w:val="20"/>
                <w:szCs w:val="20"/>
              </w:rPr>
              <w:t>、产品满足辐照强度：0.76w/㎡@340nm 温度：60℃，冷疑温度：50℃、24循环、288h试验后，样品外观无异常。（提供第三方机构出具的检测报告）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4</w:t>
            </w:r>
            <w:r>
              <w:rPr>
                <w:rFonts w:hint="eastAsia" w:ascii="宋体" w:hAnsi="宋体" w:cs="宋体"/>
                <w:kern w:val="0"/>
                <w:sz w:val="20"/>
                <w:szCs w:val="20"/>
              </w:rPr>
              <w:t>、模组机械强度：机械强度≥25mp；拉伸强度≥100mp，弯曲强度≥100mp，符合GBT1040标准。缺口冲击强度≥7KJ/㎡，符合GBT1843标准。（提供第三方机构出具的检测报告）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5</w:t>
            </w:r>
            <w:r>
              <w:rPr>
                <w:rFonts w:hint="eastAsia" w:ascii="宋体" w:hAnsi="宋体" w:cs="宋体"/>
                <w:kern w:val="0"/>
                <w:sz w:val="20"/>
                <w:szCs w:val="20"/>
              </w:rPr>
              <w:t>、振动测试:振动频率10~55Hz，振幅0.35mm，3个轴向，每一轴向循环50次，每次时间5min，试验后产品无异常。</w:t>
            </w:r>
            <w:r>
              <w:rPr>
                <w:rFonts w:hint="eastAsia" w:ascii="宋体" w:hAnsi="宋体" w:cs="宋体"/>
                <w:kern w:val="0"/>
                <w:sz w:val="20"/>
                <w:szCs w:val="20"/>
              </w:rPr>
              <w:br w:type="textWrapping"/>
            </w:r>
            <w:r>
              <w:rPr>
                <w:rFonts w:ascii="宋体" w:hAnsi="宋体" w:cs="宋体"/>
                <w:kern w:val="0"/>
                <w:sz w:val="20"/>
                <w:szCs w:val="20"/>
              </w:rPr>
              <w:t>16</w:t>
            </w:r>
            <w:r>
              <w:rPr>
                <w:rFonts w:hint="eastAsia" w:ascii="宋体" w:hAnsi="宋体" w:cs="宋体"/>
                <w:kern w:val="0"/>
                <w:sz w:val="20"/>
                <w:szCs w:val="20"/>
              </w:rPr>
              <w:t>、电信端子骚扰、电信端口传导共模（非对称）骚扰电流、电压限值（EMC）和辐射骚扰均符合GB/T 9254-2008 Class-B限值要求。</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r>
              <w:rPr>
                <w:rFonts w:hint="eastAsia" w:ascii="宋体" w:hAnsi="宋体" w:cs="宋体"/>
                <w:kern w:val="0"/>
                <w:sz w:val="20"/>
                <w:szCs w:val="20"/>
              </w:rPr>
              <w:t>、具有视频图像数据的网络发送速率的平滑方法功能。（提供资料予以说明）</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30.62</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3"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电源</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5V40A，按需满配</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3"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接收卡</w:t>
            </w:r>
          </w:p>
        </w:tc>
        <w:tc>
          <w:tcPr>
            <w:tcW w:w="5209" w:type="dxa"/>
            <w:shd w:val="clear" w:color="000000" w:fill="FFFFFF"/>
            <w:noWrap w:val="0"/>
            <w:vAlign w:val="center"/>
          </w:tcPr>
          <w:p>
            <w:pPr>
              <w:widowControl/>
              <w:numPr>
                <w:ilvl w:val="0"/>
                <w:numId w:val="12"/>
              </w:numPr>
              <w:jc w:val="left"/>
              <w:rPr>
                <w:rFonts w:ascii="宋体" w:hAnsi="宋体" w:cs="宋体"/>
                <w:kern w:val="0"/>
                <w:sz w:val="20"/>
                <w:szCs w:val="20"/>
              </w:rPr>
            </w:pPr>
            <w:r>
              <w:rPr>
                <w:rFonts w:hint="eastAsia" w:ascii="宋体" w:hAnsi="宋体" w:cs="宋体"/>
                <w:kern w:val="0"/>
                <w:sz w:val="20"/>
                <w:szCs w:val="20"/>
              </w:rPr>
              <w:t>支持逐点亮色度校正，可以对每个灯点的亮度和色度进项校正，有效消除色差，使整屏的亮度和速度达到高度均匀一致，提高显示屏的画质。</w:t>
            </w:r>
            <w:r>
              <w:rPr>
                <w:rFonts w:hint="eastAsia"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.快速亮暗线调节在调试软件上进行快速亮暗线调节，快速解决因箱体及模组拼接造成的显示屏亮暗线，调节过程中即时生效，简单易用。</w:t>
            </w:r>
            <w:r>
              <w:rPr>
                <w:rFonts w:hint="eastAsia" w:ascii="宋体" w:hAnsi="宋体" w:cs="宋体"/>
                <w:kern w:val="0"/>
                <w:sz w:val="20"/>
                <w:szCs w:val="20"/>
              </w:rPr>
              <w:br w:type="textWrapping"/>
            </w:r>
            <w:r>
              <w:rPr>
                <w:rFonts w:ascii="宋体" w:hAnsi="宋体" w:cs="宋体"/>
                <w:kern w:val="0"/>
                <w:sz w:val="20"/>
                <w:szCs w:val="20"/>
              </w:rPr>
              <w:t>3</w:t>
            </w:r>
            <w:r>
              <w:rPr>
                <w:rFonts w:hint="eastAsia" w:ascii="宋体" w:hAnsi="宋体" w:cs="宋体"/>
                <w:kern w:val="0"/>
                <w:sz w:val="20"/>
                <w:szCs w:val="20"/>
              </w:rPr>
              <w:t>.可以将指定图片设置为显示屏的开机、网线断开或无视频源信号时的画面或者最后一帧画面。</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.可以监测自身的温度和电压，无需其他外设，在软件上可以查看接收卡的温度和电压。</w:t>
            </w:r>
            <w:r>
              <w:rPr>
                <w:rFonts w:hint="eastAsia" w:ascii="宋体" w:hAnsi="宋体" w:cs="宋体"/>
                <w:kern w:val="0"/>
                <w:sz w:val="20"/>
                <w:szCs w:val="20"/>
              </w:rPr>
              <w:br w:type="textWrapping"/>
            </w:r>
            <w:r>
              <w:rPr>
                <w:rFonts w:ascii="宋体" w:hAnsi="宋体" w:cs="宋体"/>
                <w:kern w:val="0"/>
                <w:sz w:val="20"/>
                <w:szCs w:val="20"/>
              </w:rPr>
              <w:t>5</w:t>
            </w:r>
            <w:r>
              <w:rPr>
                <w:rFonts w:hint="eastAsia" w:ascii="宋体" w:hAnsi="宋体" w:cs="宋体"/>
                <w:kern w:val="0"/>
                <w:sz w:val="20"/>
                <w:szCs w:val="20"/>
              </w:rPr>
              <w:t>.检测发送设备与接收卡间或接收卡与接收卡间的网络通讯质量，记录错误包数，协助排除网络通讯隐患。</w:t>
            </w:r>
            <w:r>
              <w:rPr>
                <w:rFonts w:hint="eastAsia" w:ascii="宋体" w:hAnsi="宋体" w:cs="宋体"/>
                <w:kern w:val="0"/>
                <w:sz w:val="20"/>
                <w:szCs w:val="20"/>
              </w:rPr>
              <w:br w:type="textWrapping"/>
            </w:r>
            <w:r>
              <w:rPr>
                <w:rFonts w:ascii="宋体" w:hAnsi="宋体" w:cs="宋体"/>
                <w:kern w:val="0"/>
                <w:sz w:val="20"/>
                <w:szCs w:val="20"/>
              </w:rPr>
              <w:t>6</w:t>
            </w:r>
            <w:r>
              <w:rPr>
                <w:rFonts w:hint="eastAsia" w:ascii="宋体" w:hAnsi="宋体" w:cs="宋体"/>
                <w:kern w:val="0"/>
                <w:sz w:val="20"/>
                <w:szCs w:val="20"/>
              </w:rPr>
              <w:t>.支持5pin液晶模块，用于显示接收卡的温度、电压、单次运行时间和总运行时间。</w:t>
            </w:r>
            <w:r>
              <w:rPr>
                <w:rFonts w:hint="eastAsia"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.支持千兆网，可通过网线直接连接到PC端进行调试和显示，无需发送卡。</w:t>
            </w:r>
          </w:p>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8</w:t>
            </w:r>
            <w:r>
              <w:rPr>
                <w:rFonts w:hint="eastAsia" w:ascii="宋体" w:hAnsi="宋体" w:cs="宋体"/>
                <w:kern w:val="0"/>
                <w:sz w:val="20"/>
                <w:szCs w:val="20"/>
              </w:rPr>
              <w:t>.支持各种PWM芯片、逐点检测芯片及通用芯片；支持任意抽点，实现各种异形屏拼接。支持色彩变换技术，使人脸肤色更真实；支持任意倍增技术，手机拍摄无扫描线。（提供第三方机构出具的检测报告）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9.为保证产品的稳定性及可靠性，需在检验环境温度21℃-26摄氏度，湿度（%RH）:62-71,大气压力（kPa）：100.2-101.8。</w:t>
            </w:r>
            <w:r>
              <w:rPr>
                <w:rFonts w:hint="eastAsia" w:ascii="宋体" w:hAnsi="宋体" w:cs="宋体"/>
                <w:kern w:val="0"/>
                <w:sz w:val="20"/>
                <w:szCs w:val="20"/>
              </w:rPr>
              <w:br w:type="textWrapping"/>
            </w:r>
            <w:r>
              <w:rPr>
                <w:rFonts w:hint="eastAsia" w:ascii="宋体" w:hAnsi="宋体" w:cs="宋体"/>
                <w:kern w:val="0"/>
                <w:sz w:val="20"/>
                <w:szCs w:val="20"/>
              </w:rPr>
              <w:t>★10.设备在正常工作条件下，连续工作168h，不应出现电、机械或操作系统的故障。（提供第三方机构出具的检测报告）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11.产品放入60℃±2℃，90%RH±3%RH环境中，通电连续工作48小时，试验过程中能正常工作，外观无明显变形，损伤。</w:t>
            </w:r>
            <w:r>
              <w:rPr>
                <w:rFonts w:hint="eastAsia" w:ascii="宋体" w:hAnsi="宋体" w:cs="宋体"/>
                <w:kern w:val="0"/>
                <w:sz w:val="20"/>
                <w:szCs w:val="20"/>
              </w:rPr>
              <w:br w:type="textWrapping"/>
            </w:r>
            <w:r>
              <w:rPr>
                <w:rFonts w:hint="eastAsia" w:ascii="宋体" w:hAnsi="宋体" w:cs="宋体"/>
                <w:b/>
                <w:bCs/>
                <w:kern w:val="0"/>
                <w:sz w:val="20"/>
                <w:szCs w:val="20"/>
              </w:rPr>
              <w:t>▲</w:t>
            </w:r>
            <w:r>
              <w:rPr>
                <w:rFonts w:hint="eastAsia" w:ascii="宋体" w:hAnsi="宋体" w:cs="宋体"/>
                <w:kern w:val="0"/>
                <w:sz w:val="20"/>
                <w:szCs w:val="20"/>
              </w:rPr>
              <w:t>12.为保证系统的兼容性及稳定性接收卡需与LED显示屏为同一品牌，投标时提供资料予以说明。</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3"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视频处理器</w:t>
            </w:r>
          </w:p>
        </w:tc>
        <w:tc>
          <w:tcPr>
            <w:tcW w:w="5209" w:type="dxa"/>
            <w:shd w:val="clear" w:color="000000" w:fill="FFFFFF"/>
            <w:noWrap w:val="0"/>
            <w:vAlign w:val="center"/>
          </w:tcPr>
          <w:p>
            <w:pPr>
              <w:widowControl/>
              <w:numPr>
                <w:ilvl w:val="0"/>
                <w:numId w:val="13"/>
              </w:numPr>
              <w:jc w:val="left"/>
              <w:rPr>
                <w:rFonts w:ascii="宋体" w:hAnsi="宋体" w:cs="宋体"/>
                <w:kern w:val="0"/>
                <w:sz w:val="20"/>
                <w:szCs w:val="20"/>
              </w:rPr>
            </w:pPr>
            <w:r>
              <w:rPr>
                <w:rFonts w:hint="eastAsia" w:ascii="宋体" w:hAnsi="宋体" w:cs="宋体"/>
                <w:kern w:val="0"/>
                <w:sz w:val="20"/>
                <w:szCs w:val="20"/>
              </w:rPr>
              <w:t>无需电脑，支持通过设备旋转按钮快捷配屏和高级配屏功能点亮屏体，简单操作即可完成屏体配置。</w:t>
            </w:r>
            <w:r>
              <w:rPr>
                <w:rFonts w:hint="eastAsia" w:ascii="宋体" w:hAnsi="宋体" w:cs="宋体"/>
                <w:kern w:val="0"/>
                <w:sz w:val="20"/>
                <w:szCs w:val="20"/>
              </w:rPr>
              <w:br w:type="textWrapping"/>
            </w:r>
            <w:r>
              <w:rPr>
                <w:rFonts w:hint="eastAsia" w:ascii="宋体" w:hAnsi="宋体" w:cs="宋体"/>
                <w:kern w:val="0"/>
                <w:sz w:val="20"/>
                <w:szCs w:val="20"/>
              </w:rPr>
              <w:t>2.支持设备默认开启自动信源搜索功能。</w:t>
            </w:r>
            <w:r>
              <w:rPr>
                <w:rFonts w:hint="eastAsia" w:ascii="宋体" w:hAnsi="宋体" w:cs="宋体"/>
                <w:kern w:val="0"/>
                <w:sz w:val="20"/>
                <w:szCs w:val="20"/>
              </w:rPr>
              <w:br w:type="textWrapping"/>
            </w:r>
            <w:r>
              <w:rPr>
                <w:rFonts w:hint="eastAsia" w:ascii="宋体" w:hAnsi="宋体" w:cs="宋体"/>
                <w:kern w:val="0"/>
                <w:sz w:val="20"/>
                <w:szCs w:val="20"/>
              </w:rPr>
              <w:t>3.为增强产品实用性，设备需通过面板数字按键，可快速准确定义窗口大小位置等坐标信息。</w:t>
            </w:r>
          </w:p>
          <w:p>
            <w:pPr>
              <w:widowControl/>
              <w:numPr>
                <w:ilvl w:val="0"/>
                <w:numId w:val="14"/>
              </w:numPr>
              <w:jc w:val="left"/>
              <w:rPr>
                <w:rFonts w:ascii="宋体" w:hAnsi="宋体" w:cs="宋体"/>
                <w:kern w:val="0"/>
                <w:sz w:val="20"/>
                <w:szCs w:val="20"/>
              </w:rPr>
            </w:pPr>
            <w:r>
              <w:rPr>
                <w:rFonts w:hint="eastAsia" w:ascii="宋体" w:hAnsi="宋体" w:cs="宋体"/>
                <w:kern w:val="0"/>
                <w:sz w:val="20"/>
                <w:szCs w:val="20"/>
              </w:rPr>
              <w:t>支持屏体参数调整，例如亮度、Gamma等。</w:t>
            </w:r>
          </w:p>
          <w:p>
            <w:pPr>
              <w:widowControl/>
              <w:jc w:val="left"/>
              <w:rPr>
                <w:rFonts w:ascii="宋体" w:hAnsi="宋体" w:cs="宋体"/>
                <w:kern w:val="0"/>
                <w:sz w:val="20"/>
                <w:szCs w:val="20"/>
              </w:rPr>
            </w:pPr>
            <w:r>
              <w:rPr>
                <w:rFonts w:hint="eastAsia" w:ascii="宋体" w:hAnsi="宋体" w:cs="宋体"/>
                <w:kern w:val="0"/>
                <w:sz w:val="20"/>
                <w:szCs w:val="20"/>
              </w:rPr>
              <w:t>5.为保证系统的兼容性和稳定性，发送卡和视频处理器为二合一产品。</w:t>
            </w:r>
            <w:r>
              <w:rPr>
                <w:rFonts w:hint="eastAsia" w:ascii="宋体" w:hAnsi="宋体" w:cs="宋体"/>
                <w:kern w:val="0"/>
                <w:sz w:val="20"/>
                <w:szCs w:val="20"/>
              </w:rPr>
              <w:br w:type="textWrapping"/>
            </w:r>
            <w:r>
              <w:rPr>
                <w:rFonts w:hint="eastAsia" w:ascii="宋体" w:hAnsi="宋体" w:cs="宋体"/>
                <w:kern w:val="0"/>
                <w:sz w:val="20"/>
                <w:szCs w:val="20"/>
              </w:rPr>
              <w:t>6.设备前面板配备液晶面板，可实时显示设备型号，ip地址，窗口和信号源的分辨率及状态信息，输出网口的状态，屏幕大小，帧屏信息，设备同步模式展示，USB连接或网线连接状态，屏体亮度。</w:t>
            </w:r>
            <w:r>
              <w:rPr>
                <w:rFonts w:hint="eastAsia" w:ascii="宋体" w:hAnsi="宋体" w:cs="宋体"/>
                <w:kern w:val="0"/>
                <w:sz w:val="20"/>
                <w:szCs w:val="20"/>
              </w:rPr>
              <w:br w:type="textWrapping"/>
            </w:r>
            <w:r>
              <w:rPr>
                <w:rFonts w:hint="eastAsia" w:ascii="宋体" w:hAnsi="宋体" w:cs="宋体"/>
                <w:kern w:val="0"/>
                <w:sz w:val="20"/>
                <w:szCs w:val="20"/>
              </w:rPr>
              <w:t>7.主界面下，按下旋钮进入菜单操作界面。菜单操作界面下，旋转旋钮旋转菜单，按下旋钮选定当前菜单或者进入子菜单。选定带有参数的菜单后可以通过旋转旋钮调节参数，调节完成后需要再次按下旋钮进行确认。</w:t>
            </w:r>
            <w:r>
              <w:rPr>
                <w:rFonts w:hint="eastAsia" w:ascii="宋体" w:hAnsi="宋体" w:cs="宋体"/>
                <w:kern w:val="0"/>
                <w:sz w:val="20"/>
                <w:szCs w:val="20"/>
              </w:rPr>
              <w:br w:type="textWrapping"/>
            </w:r>
            <w:r>
              <w:rPr>
                <w:rFonts w:hint="eastAsia" w:ascii="宋体" w:hAnsi="宋体" w:cs="宋体"/>
                <w:kern w:val="0"/>
                <w:sz w:val="20"/>
                <w:szCs w:val="20"/>
              </w:rPr>
              <w:t>8.无需电脑，FREEZE画面冻结按键可以快捷冻结画面。</w:t>
            </w:r>
            <w:r>
              <w:rPr>
                <w:rFonts w:hint="eastAsia" w:ascii="宋体" w:hAnsi="宋体" w:cs="宋体"/>
                <w:kern w:val="0"/>
                <w:sz w:val="20"/>
                <w:szCs w:val="20"/>
              </w:rPr>
              <w:br w:type="textWrapping"/>
            </w:r>
            <w:r>
              <w:rPr>
                <w:rFonts w:hint="eastAsia" w:ascii="宋体" w:hAnsi="宋体" w:cs="宋体"/>
                <w:kern w:val="0"/>
                <w:sz w:val="20"/>
                <w:szCs w:val="20"/>
              </w:rPr>
              <w:t>9.支持逐点亮度校正，可以对每个灯点的亮度和色度进行校正，有效消除色彩，使整屏的亮度色度达到高度均匀一致，提高显示屏的画质。</w:t>
            </w:r>
            <w:r>
              <w:rPr>
                <w:rFonts w:hint="eastAsia" w:ascii="宋体" w:hAnsi="宋体" w:cs="宋体"/>
                <w:kern w:val="0"/>
                <w:sz w:val="20"/>
                <w:szCs w:val="20"/>
              </w:rPr>
              <w:br w:type="textWrapping"/>
            </w:r>
            <w:r>
              <w:rPr>
                <w:rFonts w:hint="eastAsia" w:ascii="宋体" w:hAnsi="宋体" w:cs="宋体"/>
                <w:kern w:val="0"/>
                <w:sz w:val="20"/>
                <w:szCs w:val="20"/>
              </w:rPr>
              <w:t>★10.支持配置显示屏的传输方式和方向；支持配置控制器的映射位置和大小；支持保存和加载控制系统参数；支持周期刷新显示屏控制系统的工作状态。（提供第三方机构出具的检测报告）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11.支持LED校正、亮度智能调节、色温调节、Gamma调节、授权管理。</w:t>
            </w:r>
            <w:r>
              <w:rPr>
                <w:rFonts w:hint="eastAsia" w:ascii="宋体" w:hAnsi="宋体" w:cs="宋体"/>
                <w:kern w:val="0"/>
                <w:sz w:val="20"/>
                <w:szCs w:val="20"/>
              </w:rPr>
              <w:br w:type="textWrapping"/>
            </w:r>
            <w:r>
              <w:rPr>
                <w:rFonts w:hint="eastAsia" w:ascii="宋体" w:hAnsi="宋体" w:cs="宋体"/>
                <w:kern w:val="0"/>
                <w:sz w:val="20"/>
                <w:szCs w:val="20"/>
              </w:rPr>
              <w:t>★12.产品机内交流配电系统单元符合TN配电系统在90V 50Hz至264V 60Hz之间仍可正常工作，保证设备在异常断电情况下正常运行。（提供第三方机构出具的检测报告）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14.产品输入输出端子在接触温度检测的限值至少为70℃。</w:t>
            </w:r>
            <w:r>
              <w:rPr>
                <w:rFonts w:hint="eastAsia" w:ascii="宋体" w:hAnsi="宋体" w:cs="宋体"/>
                <w:kern w:val="0"/>
                <w:sz w:val="20"/>
                <w:szCs w:val="20"/>
              </w:rPr>
              <w:br w:type="textWrapping"/>
            </w:r>
            <w:r>
              <w:rPr>
                <w:rFonts w:hint="eastAsia" w:ascii="宋体" w:hAnsi="宋体" w:cs="宋体"/>
                <w:kern w:val="0"/>
                <w:sz w:val="20"/>
                <w:szCs w:val="20"/>
              </w:rPr>
              <w:t>15.设备在正常工作条件下，连续工作168h，不应出现电、机械或操作系统的故障。</w:t>
            </w:r>
          </w:p>
          <w:p>
            <w:pPr>
              <w:widowControl/>
              <w:jc w:val="left"/>
              <w:rPr>
                <w:rFonts w:ascii="宋体" w:hAnsi="宋体" w:cs="宋体"/>
                <w:kern w:val="0"/>
                <w:sz w:val="20"/>
                <w:szCs w:val="20"/>
              </w:rPr>
            </w:pPr>
            <w:r>
              <w:rPr>
                <w:rFonts w:hint="eastAsia" w:ascii="宋体" w:hAnsi="宋体" w:cs="宋体"/>
                <w:kern w:val="0"/>
                <w:sz w:val="20"/>
                <w:szCs w:val="20"/>
              </w:rPr>
              <w:t>16.产品放入60℃±2℃，90%±3%HR环境中，通电连续工作48小时或放置48小时，试验过程中能正常工作，外观无明显变形，损伤。</w:t>
            </w:r>
          </w:p>
          <w:p>
            <w:pPr>
              <w:widowControl/>
              <w:jc w:val="left"/>
              <w:rPr>
                <w:rFonts w:ascii="宋体" w:hAnsi="宋体" w:cs="宋体"/>
                <w:kern w:val="0"/>
                <w:sz w:val="20"/>
                <w:szCs w:val="20"/>
              </w:rPr>
            </w:pPr>
            <w:r>
              <w:rPr>
                <w:rFonts w:hint="eastAsia" w:ascii="宋体" w:hAnsi="宋体" w:cs="宋体"/>
                <w:kern w:val="0"/>
                <w:sz w:val="20"/>
                <w:szCs w:val="20"/>
              </w:rPr>
              <w:t>★17.为保证系统的兼容性及稳定性视频处理器需与LED显示屏为同一品牌，投标时提供资料予以说明。</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播放盒</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支持远程信息发布，带HDMI等相关音视频接口，高端品质满足相关应用。</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智能配电系统</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智能配电系统，支持远程控制及智能管理，信号同步上电及断电功能等</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7"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音柱</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应用领域</w:t>
            </w:r>
            <w:r>
              <w:rPr>
                <w:rFonts w:hint="eastAsia" w:ascii="宋体" w:hAnsi="宋体" w:cs="宋体"/>
                <w:kern w:val="0"/>
                <w:sz w:val="20"/>
                <w:szCs w:val="20"/>
              </w:rPr>
              <w:br w:type="textWrapping"/>
            </w:r>
            <w:r>
              <w:rPr>
                <w:rFonts w:hint="eastAsia" w:ascii="宋体" w:hAnsi="宋体" w:cs="宋体"/>
                <w:kern w:val="0"/>
                <w:sz w:val="20"/>
                <w:szCs w:val="20"/>
              </w:rPr>
              <w:t>适用于室内会议室及敏室多功能厅等场所</w:t>
            </w:r>
            <w:r>
              <w:rPr>
                <w:rFonts w:hint="eastAsia" w:ascii="宋体" w:hAnsi="宋体" w:cs="宋体"/>
                <w:kern w:val="0"/>
                <w:sz w:val="20"/>
                <w:szCs w:val="20"/>
              </w:rPr>
              <w:br w:type="textWrapping"/>
            </w:r>
            <w:r>
              <w:rPr>
                <w:rFonts w:hint="eastAsia" w:ascii="宋体" w:hAnsi="宋体" w:cs="宋体"/>
                <w:kern w:val="0"/>
                <w:sz w:val="20"/>
                <w:szCs w:val="20"/>
              </w:rPr>
              <w:t>产品特性这款音柱主要适用于室内扩声，语言的清晰可懂度是此系列音箱的</w:t>
            </w:r>
            <w:r>
              <w:rPr>
                <w:rFonts w:hint="eastAsia" w:ascii="宋体" w:hAnsi="宋体" w:cs="宋体"/>
                <w:kern w:val="0"/>
                <w:sz w:val="20"/>
                <w:szCs w:val="20"/>
              </w:rPr>
              <w:br w:type="textWrapping"/>
            </w:r>
            <w:r>
              <w:rPr>
                <w:rFonts w:hint="eastAsia" w:ascii="宋体" w:hAnsi="宋体" w:cs="宋体"/>
                <w:kern w:val="0"/>
                <w:sz w:val="20"/>
                <w:szCs w:val="20"/>
              </w:rPr>
              <w:t>主要设计要点，四个全频喇叭竖直排放，经过计算及反复测试的放置位</w:t>
            </w:r>
            <w:r>
              <w:rPr>
                <w:rFonts w:hint="eastAsia" w:ascii="宋体" w:hAnsi="宋体" w:cs="宋体"/>
                <w:kern w:val="0"/>
                <w:sz w:val="20"/>
                <w:szCs w:val="20"/>
              </w:rPr>
              <w:br w:type="textWrapping"/>
            </w:r>
            <w:r>
              <w:rPr>
                <w:rFonts w:hint="eastAsia" w:ascii="宋体" w:hAnsi="宋体" w:cs="宋体"/>
                <w:kern w:val="0"/>
                <w:sz w:val="20"/>
                <w:szCs w:val="20"/>
              </w:rPr>
              <w:t>置较好的消除了单元之间的相互干涉，能效拓展整个系统频率范围，能</w:t>
            </w:r>
            <w:r>
              <w:rPr>
                <w:rFonts w:hint="eastAsia" w:ascii="宋体" w:hAnsi="宋体" w:cs="宋体"/>
                <w:kern w:val="0"/>
                <w:sz w:val="20"/>
                <w:szCs w:val="20"/>
              </w:rPr>
              <w:br w:type="textWrapping"/>
            </w:r>
            <w:r>
              <w:rPr>
                <w:rFonts w:hint="eastAsia" w:ascii="宋体" w:hAnsi="宋体" w:cs="宋体"/>
                <w:kern w:val="0"/>
                <w:sz w:val="20"/>
                <w:szCs w:val="20"/>
              </w:rPr>
              <w:t>提供保真度极高的声音重放。</w:t>
            </w:r>
            <w:r>
              <w:rPr>
                <w:rFonts w:hint="eastAsia" w:ascii="宋体" w:hAnsi="宋体" w:cs="宋体"/>
                <w:kern w:val="0"/>
                <w:sz w:val="20"/>
                <w:szCs w:val="20"/>
              </w:rPr>
              <w:br w:type="textWrapping"/>
            </w:r>
            <w:r>
              <w:rPr>
                <w:rFonts w:hint="eastAsia" w:ascii="宋体" w:hAnsi="宋体" w:cs="宋体"/>
                <w:kern w:val="0"/>
                <w:sz w:val="20"/>
                <w:szCs w:val="20"/>
              </w:rPr>
              <w:t>1、体积小巧，质量轻，功率大</w:t>
            </w:r>
            <w:r>
              <w:rPr>
                <w:rFonts w:hint="eastAsia" w:ascii="宋体" w:hAnsi="宋体" w:cs="宋体"/>
                <w:kern w:val="0"/>
                <w:sz w:val="20"/>
                <w:szCs w:val="20"/>
              </w:rPr>
              <w:br w:type="textWrapping"/>
            </w:r>
            <w:r>
              <w:rPr>
                <w:rFonts w:hint="eastAsia" w:ascii="宋体" w:hAnsi="宋体" w:cs="宋体"/>
                <w:kern w:val="0"/>
                <w:sz w:val="20"/>
                <w:szCs w:val="20"/>
              </w:rPr>
              <w:t>2、极好的人声及音乐解析度。</w:t>
            </w:r>
            <w:r>
              <w:rPr>
                <w:rFonts w:hint="eastAsia" w:ascii="宋体" w:hAnsi="宋体" w:cs="宋体"/>
                <w:kern w:val="0"/>
                <w:sz w:val="20"/>
                <w:szCs w:val="20"/>
              </w:rPr>
              <w:br w:type="textWrapping"/>
            </w:r>
            <w:r>
              <w:rPr>
                <w:rFonts w:hint="eastAsia" w:ascii="宋体" w:hAnsi="宋体" w:cs="宋体"/>
                <w:kern w:val="0"/>
                <w:sz w:val="20"/>
                <w:szCs w:val="20"/>
              </w:rPr>
              <w:t>3、声场分布均匀。</w:t>
            </w:r>
            <w:r>
              <w:rPr>
                <w:rFonts w:hint="eastAsia" w:ascii="宋体" w:hAnsi="宋体" w:cs="宋体"/>
                <w:kern w:val="0"/>
                <w:sz w:val="20"/>
                <w:szCs w:val="20"/>
              </w:rPr>
              <w:br w:type="textWrapping"/>
            </w:r>
            <w:r>
              <w:rPr>
                <w:rFonts w:hint="eastAsia" w:ascii="宋体" w:hAnsi="宋体" w:cs="宋体"/>
                <w:kern w:val="0"/>
                <w:sz w:val="20"/>
                <w:szCs w:val="20"/>
              </w:rPr>
              <w:t>4、安装简单适用，水平及垂直角度可调。</w:t>
            </w:r>
            <w:r>
              <w:rPr>
                <w:rFonts w:hint="eastAsia" w:ascii="宋体" w:hAnsi="宋体" w:cs="宋体"/>
                <w:kern w:val="0"/>
                <w:sz w:val="20"/>
                <w:szCs w:val="20"/>
              </w:rPr>
              <w:br w:type="textWrapping"/>
            </w:r>
            <w:r>
              <w:rPr>
                <w:rFonts w:hint="eastAsia" w:ascii="宋体" w:hAnsi="宋体" w:cs="宋体"/>
                <w:kern w:val="0"/>
                <w:sz w:val="20"/>
                <w:szCs w:val="20"/>
              </w:rPr>
              <w:t>5、表面喷黑色磨砂油漆，坚固耐磨，外观简洁美观。</w:t>
            </w:r>
            <w:r>
              <w:rPr>
                <w:rFonts w:hint="eastAsia" w:ascii="宋体" w:hAnsi="宋体" w:cs="宋体"/>
                <w:kern w:val="0"/>
                <w:sz w:val="20"/>
                <w:szCs w:val="20"/>
              </w:rPr>
              <w:br w:type="textWrapping"/>
            </w:r>
            <w:r>
              <w:rPr>
                <w:rFonts w:hint="eastAsia" w:ascii="宋体" w:hAnsi="宋体" w:cs="宋体"/>
                <w:kern w:val="0"/>
                <w:sz w:val="20"/>
                <w:szCs w:val="20"/>
              </w:rPr>
              <w:t>单元：≥4x4’’Woofer</w:t>
            </w:r>
            <w:r>
              <w:rPr>
                <w:rFonts w:hint="eastAsia" w:ascii="宋体" w:hAnsi="宋体" w:cs="宋体"/>
                <w:kern w:val="0"/>
                <w:sz w:val="20"/>
                <w:szCs w:val="20"/>
              </w:rPr>
              <w:br w:type="textWrapping"/>
            </w:r>
            <w:r>
              <w:rPr>
                <w:rFonts w:hint="eastAsia" w:ascii="宋体" w:hAnsi="宋体" w:cs="宋体"/>
                <w:kern w:val="0"/>
                <w:sz w:val="20"/>
                <w:szCs w:val="20"/>
              </w:rPr>
              <w:t>频响范围（Hz）：95-13k</w:t>
            </w:r>
            <w:r>
              <w:rPr>
                <w:rFonts w:hint="eastAsia" w:ascii="宋体" w:hAnsi="宋体" w:cs="宋体"/>
                <w:kern w:val="0"/>
                <w:sz w:val="20"/>
                <w:szCs w:val="20"/>
              </w:rPr>
              <w:br w:type="textWrapping"/>
            </w:r>
            <w:r>
              <w:rPr>
                <w:rFonts w:hint="eastAsia" w:ascii="宋体" w:hAnsi="宋体" w:cs="宋体"/>
                <w:kern w:val="0"/>
                <w:sz w:val="20"/>
                <w:szCs w:val="20"/>
              </w:rPr>
              <w:t>额定阻抗（Ohms）：8</w:t>
            </w:r>
            <w:r>
              <w:rPr>
                <w:rFonts w:hint="eastAsia" w:ascii="宋体" w:hAnsi="宋体" w:cs="宋体"/>
                <w:kern w:val="0"/>
                <w:sz w:val="20"/>
                <w:szCs w:val="20"/>
              </w:rPr>
              <w:br w:type="textWrapping"/>
            </w:r>
            <w:r>
              <w:rPr>
                <w:rFonts w:hint="eastAsia" w:ascii="宋体" w:hAnsi="宋体" w:cs="宋体"/>
                <w:kern w:val="0"/>
                <w:sz w:val="20"/>
                <w:szCs w:val="20"/>
              </w:rPr>
              <w:t>额定功率（W）：≥100</w:t>
            </w:r>
            <w:r>
              <w:rPr>
                <w:rFonts w:hint="eastAsia" w:ascii="宋体" w:hAnsi="宋体" w:cs="宋体"/>
                <w:kern w:val="0"/>
                <w:sz w:val="20"/>
                <w:szCs w:val="20"/>
              </w:rPr>
              <w:br w:type="textWrapping"/>
            </w:r>
            <w:r>
              <w:rPr>
                <w:rFonts w:hint="eastAsia" w:ascii="宋体" w:hAnsi="宋体" w:cs="宋体"/>
                <w:kern w:val="0"/>
                <w:sz w:val="20"/>
                <w:szCs w:val="20"/>
              </w:rPr>
              <w:t>节目功率（W）：≥200</w:t>
            </w:r>
            <w:r>
              <w:rPr>
                <w:rFonts w:hint="eastAsia" w:ascii="宋体" w:hAnsi="宋体" w:cs="宋体"/>
                <w:kern w:val="0"/>
                <w:sz w:val="20"/>
                <w:szCs w:val="20"/>
              </w:rPr>
              <w:br w:type="textWrapping"/>
            </w:r>
            <w:r>
              <w:rPr>
                <w:rFonts w:hint="eastAsia" w:ascii="宋体" w:hAnsi="宋体" w:cs="宋体"/>
                <w:kern w:val="0"/>
                <w:sz w:val="20"/>
                <w:szCs w:val="20"/>
              </w:rPr>
              <w:t>灵敏度（dB）（1w/1m）：≥91</w:t>
            </w:r>
            <w:r>
              <w:rPr>
                <w:rFonts w:hint="eastAsia" w:ascii="宋体" w:hAnsi="宋体" w:cs="宋体"/>
                <w:kern w:val="0"/>
                <w:sz w:val="20"/>
                <w:szCs w:val="20"/>
              </w:rPr>
              <w:br w:type="textWrapping"/>
            </w:r>
            <w:r>
              <w:rPr>
                <w:rFonts w:hint="eastAsia" w:ascii="宋体" w:hAnsi="宋体" w:cs="宋体"/>
                <w:kern w:val="0"/>
                <w:sz w:val="20"/>
                <w:szCs w:val="20"/>
              </w:rPr>
              <w:t>声压级（dB）（1m）: ≥114</w:t>
            </w:r>
            <w:r>
              <w:rPr>
                <w:rFonts w:hint="eastAsia" w:ascii="宋体" w:hAnsi="宋体" w:cs="宋体"/>
                <w:kern w:val="0"/>
                <w:sz w:val="20"/>
                <w:szCs w:val="20"/>
              </w:rPr>
              <w:br w:type="textWrapping"/>
            </w:r>
            <w:r>
              <w:rPr>
                <w:rFonts w:hint="eastAsia" w:ascii="宋体" w:hAnsi="宋体" w:cs="宋体"/>
                <w:kern w:val="0"/>
                <w:sz w:val="20"/>
                <w:szCs w:val="20"/>
              </w:rPr>
              <w:t>有源/无源：无源</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75"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合并式功放</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输出功率：1 kHz, 0.1 % 削波</w:t>
            </w:r>
            <w:r>
              <w:rPr>
                <w:rFonts w:hint="eastAsia" w:ascii="宋体" w:hAnsi="宋体" w:cs="宋体"/>
                <w:kern w:val="0"/>
                <w:sz w:val="20"/>
                <w:szCs w:val="20"/>
              </w:rPr>
              <w:br w:type="textWrapping"/>
            </w:r>
            <w:r>
              <w:rPr>
                <w:rFonts w:hint="eastAsia" w:ascii="宋体" w:hAnsi="宋体" w:cs="宋体"/>
                <w:kern w:val="0"/>
                <w:sz w:val="20"/>
                <w:szCs w:val="20"/>
              </w:rPr>
              <w:t>8Ω 双通道驱动≥350W</w:t>
            </w:r>
            <w:r>
              <w:rPr>
                <w:rFonts w:hint="eastAsia" w:ascii="宋体" w:hAnsi="宋体" w:cs="宋体"/>
                <w:kern w:val="0"/>
                <w:sz w:val="20"/>
                <w:szCs w:val="20"/>
              </w:rPr>
              <w:br w:type="textWrapping"/>
            </w:r>
            <w:r>
              <w:rPr>
                <w:rFonts w:hint="eastAsia" w:ascii="宋体" w:hAnsi="宋体" w:cs="宋体"/>
                <w:kern w:val="0"/>
                <w:sz w:val="20"/>
                <w:szCs w:val="20"/>
              </w:rPr>
              <w:t>4Ω 双通道驱动≥500W</w:t>
            </w:r>
            <w:r>
              <w:rPr>
                <w:rFonts w:hint="eastAsia" w:ascii="宋体" w:hAnsi="宋体" w:cs="宋体"/>
                <w:kern w:val="0"/>
                <w:sz w:val="20"/>
                <w:szCs w:val="20"/>
              </w:rPr>
              <w:br w:type="textWrapping"/>
            </w:r>
            <w:r>
              <w:rPr>
                <w:rFonts w:hint="eastAsia" w:ascii="宋体" w:hAnsi="宋体" w:cs="宋体"/>
                <w:kern w:val="0"/>
                <w:sz w:val="20"/>
                <w:szCs w:val="20"/>
              </w:rPr>
              <w:t>信号到噪音 (20 Hz -20 kHz) ： 100Db</w:t>
            </w:r>
            <w:r>
              <w:rPr>
                <w:rFonts w:hint="eastAsia" w:ascii="宋体" w:hAnsi="宋体" w:cs="宋体"/>
                <w:kern w:val="0"/>
                <w:sz w:val="20"/>
                <w:szCs w:val="20"/>
              </w:rPr>
              <w:br w:type="textWrapping"/>
            </w:r>
            <w:r>
              <w:rPr>
                <w:rFonts w:hint="eastAsia" w:ascii="宋体" w:hAnsi="宋体" w:cs="宋体"/>
                <w:kern w:val="0"/>
                <w:sz w:val="20"/>
                <w:szCs w:val="20"/>
              </w:rPr>
              <w:t>输入灵敏度：≥1.2Vrms</w:t>
            </w:r>
            <w:r>
              <w:rPr>
                <w:rFonts w:hint="eastAsia" w:ascii="宋体" w:hAnsi="宋体" w:cs="宋体"/>
                <w:kern w:val="0"/>
                <w:sz w:val="20"/>
                <w:szCs w:val="20"/>
              </w:rPr>
              <w:br w:type="textWrapping"/>
            </w:r>
            <w:r>
              <w:rPr>
                <w:rFonts w:hint="eastAsia" w:ascii="宋体" w:hAnsi="宋体" w:cs="宋体"/>
                <w:kern w:val="0"/>
                <w:sz w:val="20"/>
                <w:szCs w:val="20"/>
              </w:rPr>
              <w:t xml:space="preserve">电压增益 (8Ω) ：≥32.2dB </w:t>
            </w:r>
            <w:r>
              <w:rPr>
                <w:rFonts w:hint="eastAsia" w:ascii="宋体" w:hAnsi="宋体" w:cs="宋体"/>
                <w:kern w:val="0"/>
                <w:sz w:val="20"/>
                <w:szCs w:val="20"/>
              </w:rPr>
              <w:br w:type="textWrapping"/>
            </w:r>
            <w:r>
              <w:rPr>
                <w:rFonts w:hint="eastAsia" w:ascii="宋体" w:hAnsi="宋体" w:cs="宋体"/>
                <w:kern w:val="0"/>
                <w:sz w:val="20"/>
                <w:szCs w:val="20"/>
              </w:rPr>
              <w:t xml:space="preserve">输出电路：≥B 级     </w:t>
            </w:r>
            <w:r>
              <w:rPr>
                <w:rFonts w:hint="eastAsia" w:ascii="宋体" w:hAnsi="宋体" w:cs="宋体"/>
                <w:kern w:val="0"/>
                <w:sz w:val="20"/>
                <w:szCs w:val="20"/>
              </w:rPr>
              <w:br w:type="textWrapping"/>
            </w:r>
            <w:r>
              <w:rPr>
                <w:rFonts w:hint="eastAsia" w:ascii="宋体" w:hAnsi="宋体" w:cs="宋体"/>
                <w:kern w:val="0"/>
                <w:sz w:val="20"/>
                <w:szCs w:val="20"/>
              </w:rPr>
              <w:t xml:space="preserve">失真（低于额定功率 1 dB，1 kHz） </w:t>
            </w:r>
          </w:p>
          <w:p>
            <w:pPr>
              <w:widowControl/>
              <w:jc w:val="left"/>
              <w:rPr>
                <w:rFonts w:ascii="宋体" w:hAnsi="宋体" w:cs="宋体"/>
                <w:kern w:val="0"/>
                <w:sz w:val="20"/>
                <w:szCs w:val="20"/>
              </w:rPr>
            </w:pPr>
            <w:r>
              <w:rPr>
                <w:rFonts w:hint="eastAsia" w:ascii="宋体" w:hAnsi="宋体" w:cs="宋体"/>
                <w:kern w:val="0"/>
                <w:sz w:val="20"/>
                <w:szCs w:val="20"/>
              </w:rPr>
              <w:t xml:space="preserve">8Ω≤0.02% </w:t>
            </w:r>
            <w:r>
              <w:rPr>
                <w:rFonts w:ascii="宋体" w:hAnsi="宋体" w:cs="宋体"/>
                <w:kern w:val="0"/>
                <w:sz w:val="20"/>
                <w:szCs w:val="20"/>
              </w:rPr>
              <w:t xml:space="preserve">       </w:t>
            </w:r>
            <w:r>
              <w:rPr>
                <w:rFonts w:hint="eastAsia" w:ascii="宋体" w:hAnsi="宋体" w:cs="宋体"/>
                <w:kern w:val="0"/>
                <w:sz w:val="20"/>
                <w:szCs w:val="20"/>
              </w:rPr>
              <w:t>4Ω,≤0.05%</w:t>
            </w:r>
            <w:r>
              <w:rPr>
                <w:rFonts w:hint="eastAsia" w:ascii="宋体" w:hAnsi="宋体" w:cs="宋体"/>
                <w:kern w:val="0"/>
                <w:sz w:val="20"/>
                <w:szCs w:val="20"/>
              </w:rPr>
              <w:br w:type="textWrapping"/>
            </w:r>
            <w:r>
              <w:rPr>
                <w:rFonts w:hint="eastAsia" w:ascii="宋体" w:hAnsi="宋体" w:cs="宋体"/>
                <w:kern w:val="0"/>
                <w:sz w:val="20"/>
                <w:szCs w:val="20"/>
              </w:rPr>
              <w:t>频率响应： 20-20kHz,+0,-1dB</w:t>
            </w:r>
            <w:r>
              <w:rPr>
                <w:rFonts w:hint="eastAsia" w:ascii="宋体" w:hAnsi="宋体" w:cs="宋体"/>
                <w:kern w:val="0"/>
                <w:sz w:val="20"/>
                <w:szCs w:val="20"/>
              </w:rPr>
              <w:br w:type="textWrapping"/>
            </w:r>
            <w:r>
              <w:rPr>
                <w:rFonts w:hint="eastAsia" w:ascii="宋体" w:hAnsi="宋体" w:cs="宋体"/>
                <w:kern w:val="0"/>
                <w:sz w:val="20"/>
                <w:szCs w:val="20"/>
              </w:rPr>
              <w:t>动态净空4Ω：≥2dB</w:t>
            </w:r>
            <w:r>
              <w:rPr>
                <w:rFonts w:hint="eastAsia" w:ascii="宋体" w:hAnsi="宋体" w:cs="宋体"/>
                <w:kern w:val="0"/>
                <w:sz w:val="20"/>
                <w:szCs w:val="20"/>
              </w:rPr>
              <w:br w:type="textWrapping"/>
            </w:r>
            <w:r>
              <w:rPr>
                <w:rFonts w:hint="eastAsia" w:ascii="宋体" w:hAnsi="宋体" w:cs="宋体"/>
                <w:kern w:val="0"/>
                <w:sz w:val="20"/>
                <w:szCs w:val="20"/>
              </w:rPr>
              <w:t>输入阻抗： ≥20K欧姆（平衡或非平衡）</w:t>
            </w:r>
            <w:r>
              <w:rPr>
                <w:rFonts w:hint="eastAsia" w:ascii="宋体" w:hAnsi="宋体" w:cs="宋体"/>
                <w:kern w:val="0"/>
                <w:sz w:val="20"/>
                <w:szCs w:val="20"/>
              </w:rPr>
              <w:br w:type="textWrapping"/>
            </w:r>
            <w:r>
              <w:rPr>
                <w:rFonts w:hint="eastAsia" w:ascii="宋体" w:hAnsi="宋体" w:cs="宋体"/>
                <w:kern w:val="0"/>
                <w:sz w:val="20"/>
                <w:szCs w:val="20"/>
              </w:rPr>
              <w:t xml:space="preserve">输入电平：≥+6 dB  </w:t>
            </w:r>
            <w:r>
              <w:rPr>
                <w:rFonts w:hint="eastAsia" w:ascii="宋体" w:hAnsi="宋体" w:cs="宋体"/>
                <w:kern w:val="0"/>
                <w:sz w:val="20"/>
                <w:szCs w:val="20"/>
              </w:rPr>
              <w:br w:type="textWrapping"/>
            </w:r>
            <w:r>
              <w:rPr>
                <w:rFonts w:hint="eastAsia" w:ascii="宋体" w:hAnsi="宋体" w:cs="宋体"/>
                <w:kern w:val="0"/>
                <w:sz w:val="20"/>
                <w:szCs w:val="20"/>
              </w:rPr>
              <w:t>输入接头，各通道 3 引脚 XLR ，平衡，并行</w:t>
            </w:r>
            <w:r>
              <w:rPr>
                <w:rFonts w:hint="eastAsia" w:ascii="宋体" w:hAnsi="宋体" w:cs="宋体"/>
                <w:kern w:val="0"/>
                <w:sz w:val="20"/>
                <w:szCs w:val="20"/>
              </w:rPr>
              <w:br w:type="textWrapping"/>
            </w:r>
            <w:r>
              <w:rPr>
                <w:rFonts w:hint="eastAsia" w:ascii="宋体" w:hAnsi="宋体" w:cs="宋体"/>
                <w:kern w:val="0"/>
                <w:sz w:val="20"/>
                <w:szCs w:val="20"/>
              </w:rPr>
              <w:t>输出接头，各通道 Speakon, 接线柱</w:t>
            </w:r>
            <w:r>
              <w:rPr>
                <w:rFonts w:hint="eastAsia" w:ascii="宋体" w:hAnsi="宋体" w:cs="宋体"/>
                <w:kern w:val="0"/>
                <w:sz w:val="20"/>
                <w:szCs w:val="20"/>
              </w:rPr>
              <w:br w:type="textWrapping"/>
            </w:r>
            <w:r>
              <w:rPr>
                <w:rFonts w:hint="eastAsia" w:ascii="宋体" w:hAnsi="宋体" w:cs="宋体"/>
                <w:kern w:val="0"/>
                <w:sz w:val="20"/>
                <w:szCs w:val="20"/>
              </w:rPr>
              <w:t>放大器和负载保护：短路、断路、热和 RF 保护，对直流故障的负载保护</w:t>
            </w:r>
            <w:r>
              <w:rPr>
                <w:rFonts w:hint="eastAsia" w:ascii="宋体" w:hAnsi="宋体" w:cs="宋体"/>
                <w:kern w:val="0"/>
                <w:sz w:val="20"/>
                <w:szCs w:val="20"/>
              </w:rPr>
              <w:br w:type="textWrapping"/>
            </w:r>
            <w:r>
              <w:rPr>
                <w:rFonts w:hint="eastAsia" w:ascii="宋体" w:hAnsi="宋体" w:cs="宋体"/>
                <w:kern w:val="0"/>
                <w:sz w:val="20"/>
                <w:szCs w:val="20"/>
              </w:rPr>
              <w:t>本系列功率等级和娱乐行业最常使用的扬声器匹配。</w:t>
            </w:r>
            <w:r>
              <w:rPr>
                <w:rFonts w:hint="eastAsia" w:ascii="宋体" w:hAnsi="宋体" w:cs="宋体"/>
                <w:kern w:val="0"/>
                <w:sz w:val="20"/>
                <w:szCs w:val="20"/>
              </w:rPr>
              <w:br w:type="textWrapping"/>
            </w:r>
            <w:r>
              <w:rPr>
                <w:rFonts w:hint="eastAsia" w:ascii="宋体" w:hAnsi="宋体" w:cs="宋体"/>
                <w:kern w:val="0"/>
                <w:sz w:val="20"/>
                <w:szCs w:val="20"/>
              </w:rPr>
              <w:t>负载为 4Ω 和 8Ω 扬声器系统的最大真实净空优化。</w:t>
            </w:r>
            <w:r>
              <w:rPr>
                <w:rFonts w:hint="eastAsia" w:ascii="宋体" w:hAnsi="宋体" w:cs="宋体"/>
                <w:kern w:val="0"/>
                <w:sz w:val="20"/>
                <w:szCs w:val="20"/>
              </w:rPr>
              <w:br w:type="textWrapping"/>
            </w:r>
            <w:r>
              <w:rPr>
                <w:rFonts w:hint="eastAsia" w:ascii="宋体" w:hAnsi="宋体" w:cs="宋体"/>
                <w:kern w:val="0"/>
                <w:sz w:val="20"/>
                <w:szCs w:val="20"/>
              </w:rPr>
              <w:t xml:space="preserve">输入：XLR, 1/4， TRS 插座，和任何音源均兼容。 </w:t>
            </w:r>
            <w:r>
              <w:rPr>
                <w:rFonts w:hint="eastAsia" w:ascii="宋体" w:hAnsi="宋体" w:cs="宋体"/>
                <w:kern w:val="0"/>
                <w:sz w:val="20"/>
                <w:szCs w:val="20"/>
              </w:rPr>
              <w:br w:type="textWrapping"/>
            </w:r>
            <w:r>
              <w:rPr>
                <w:rFonts w:hint="eastAsia" w:ascii="宋体" w:hAnsi="宋体" w:cs="宋体"/>
                <w:kern w:val="0"/>
                <w:sz w:val="20"/>
                <w:szCs w:val="20"/>
              </w:rPr>
              <w:t xml:space="preserve">输出：Speakon  combo  Speakon 2 柱和 4 柱 插头（仅连接 2 柱）。 接线柱支持所有其他扬声器布线系统。 </w:t>
            </w:r>
            <w:r>
              <w:rPr>
                <w:rFonts w:hint="eastAsia" w:ascii="宋体" w:hAnsi="宋体" w:cs="宋体"/>
                <w:kern w:val="0"/>
                <w:sz w:val="20"/>
                <w:szCs w:val="20"/>
              </w:rPr>
              <w:br w:type="textWrapping"/>
            </w:r>
            <w:r>
              <w:rPr>
                <w:rFonts w:hint="eastAsia" w:ascii="宋体" w:hAnsi="宋体" w:cs="宋体"/>
                <w:kern w:val="0"/>
                <w:sz w:val="20"/>
                <w:szCs w:val="20"/>
              </w:rPr>
              <w:t xml:space="preserve">智能化保护器自动保护放大器和扬声器，使其免受温度升高或过压而造成的损坏，而无需关闭播放。 </w:t>
            </w:r>
            <w:r>
              <w:rPr>
                <w:rFonts w:hint="eastAsia" w:ascii="宋体" w:hAnsi="宋体" w:cs="宋体"/>
                <w:kern w:val="0"/>
                <w:sz w:val="20"/>
                <w:szCs w:val="20"/>
              </w:rPr>
              <w:br w:type="textWrapping"/>
            </w:r>
            <w:r>
              <w:rPr>
                <w:rFonts w:hint="eastAsia" w:ascii="宋体" w:hAnsi="宋体" w:cs="宋体"/>
                <w:kern w:val="0"/>
                <w:sz w:val="20"/>
                <w:szCs w:val="20"/>
              </w:rPr>
              <w:t>前面板 LED 监控功率、信号和削波。</w:t>
            </w:r>
            <w:r>
              <w:rPr>
                <w:rFonts w:hint="eastAsia" w:ascii="宋体" w:hAnsi="宋体" w:cs="宋体"/>
                <w:kern w:val="0"/>
                <w:sz w:val="20"/>
                <w:szCs w:val="20"/>
              </w:rPr>
              <w:br w:type="textWrapping"/>
            </w:r>
            <w:r>
              <w:rPr>
                <w:rFonts w:hint="eastAsia" w:ascii="宋体" w:hAnsi="宋体" w:cs="宋体"/>
                <w:kern w:val="0"/>
                <w:sz w:val="20"/>
                <w:szCs w:val="20"/>
              </w:rPr>
              <w:t>亚低音扬声器/卫星分频内置。</w:t>
            </w:r>
            <w:r>
              <w:rPr>
                <w:rFonts w:hint="eastAsia" w:ascii="宋体" w:hAnsi="宋体" w:cs="宋体"/>
                <w:kern w:val="0"/>
                <w:sz w:val="20"/>
                <w:szCs w:val="20"/>
              </w:rPr>
              <w:br w:type="textWrapping"/>
            </w:r>
            <w:r>
              <w:rPr>
                <w:rFonts w:hint="eastAsia" w:ascii="宋体" w:hAnsi="宋体" w:cs="宋体"/>
                <w:kern w:val="0"/>
                <w:sz w:val="20"/>
                <w:szCs w:val="20"/>
              </w:rPr>
              <w:t>内置三核微处理器，有锁屏、八种编组情景存储、移频等功能。OLED点阵屏、人机界面友好。</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控制终端</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I5及以上CPU/ 16G内存/256GSSD+1T机械盘/独立显卡/带HDMI+VGA输出/21.5寸及以上液晶显示器/操作系统符合软件正版化要求</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配电柜</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按实际所用功率进行定制                                                                                                                                                                               </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显示屏框架安装</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设计、定制结构、框架，满足屏体安装使用需求，用材符合国家标准</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30.62</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屏体内部线材连接</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屏体内部电缆线，长排线，超五类网线等                                                                                                                                                                 </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机柜</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≥20U；600*600*1000机柜</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安装调试</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安装调试 脚手架租赁，设备运输，吊机及安装调试；培训及售后服务</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59"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897" w:type="dxa"/>
            <w:vMerge w:val="restart"/>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行政楼五楼大会议室LED全彩屏及音响多媒体系统</w:t>
            </w: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LED显示屏（主屏）</w:t>
            </w:r>
          </w:p>
        </w:tc>
        <w:tc>
          <w:tcPr>
            <w:tcW w:w="5209" w:type="dxa"/>
            <w:shd w:val="clear" w:color="000000" w:fill="FFFFFF"/>
            <w:noWrap w:val="0"/>
            <w:vAlign w:val="center"/>
          </w:tcPr>
          <w:p>
            <w:pPr>
              <w:widowControl/>
              <w:jc w:val="left"/>
              <w:rPr>
                <w:rFonts w:ascii="宋体" w:hAnsi="宋体" w:cs="宋体"/>
                <w:sz w:val="20"/>
                <w:szCs w:val="20"/>
              </w:rPr>
            </w:pPr>
            <w:r>
              <w:rPr>
                <w:rFonts w:hint="eastAsia" w:ascii="宋体" w:hAnsi="宋体" w:cs="宋体"/>
                <w:sz w:val="20"/>
                <w:szCs w:val="20"/>
              </w:rPr>
              <w:t>1、LED灯管：LED主动发光，每个像素点采用1纯红1纯绿1纯蓝三像数，表贴三合一封装,模组具有灯驱和一技术.</w:t>
            </w:r>
            <w:r>
              <w:rPr>
                <w:rFonts w:hint="eastAsia" w:ascii="宋体" w:hAnsi="宋体" w:cs="宋体"/>
                <w:sz w:val="20"/>
                <w:szCs w:val="20"/>
              </w:rPr>
              <w:br w:type="textWrapping"/>
            </w:r>
            <w:r>
              <w:rPr>
                <w:rFonts w:hint="eastAsia" w:ascii="宋体" w:hAnsi="宋体" w:cs="宋体"/>
                <w:sz w:val="20"/>
                <w:szCs w:val="20"/>
              </w:rPr>
              <w:t>▲2、像数间距：≤1.25mm；单元板尺寸：不限制；显示屏尺寸：≥长4.16m*高1.76m。</w:t>
            </w:r>
            <w:r>
              <w:rPr>
                <w:rFonts w:hint="eastAsia" w:ascii="宋体" w:hAnsi="宋体" w:cs="宋体"/>
                <w:sz w:val="20"/>
                <w:szCs w:val="20"/>
              </w:rPr>
              <w:br w:type="textWrapping"/>
            </w:r>
            <w:r>
              <w:rPr>
                <w:rFonts w:hint="eastAsia" w:ascii="宋体" w:hAnsi="宋体" w:cs="宋体"/>
                <w:sz w:val="20"/>
                <w:szCs w:val="20"/>
              </w:rPr>
              <w:t>3、PCB设计:PCB设计焊盘采用沉金工艺处理，充分保证单模板块安装的稳定性和抗氧化性</w:t>
            </w:r>
            <w:r>
              <w:rPr>
                <w:rFonts w:hint="eastAsia" w:ascii="宋体" w:hAnsi="宋体" w:cs="宋体"/>
                <w:sz w:val="20"/>
                <w:szCs w:val="20"/>
              </w:rPr>
              <w:br w:type="textWrapping"/>
            </w:r>
            <w:r>
              <w:rPr>
                <w:rFonts w:hint="eastAsia" w:ascii="宋体" w:hAnsi="宋体" w:cs="宋体"/>
                <w:sz w:val="20"/>
                <w:szCs w:val="20"/>
              </w:rPr>
              <w:t>4、表面处理:可支持灯板表面进行AOB处理，有致密性纳米涂层，有效隔绝水汽，对灯珠形成有效防护，可支持喷墨工艺，且低反射率的LED灯板</w:t>
            </w:r>
            <w:r>
              <w:rPr>
                <w:rFonts w:hint="eastAsia" w:ascii="宋体" w:hAnsi="宋体" w:cs="宋体"/>
                <w:sz w:val="20"/>
                <w:szCs w:val="20"/>
              </w:rPr>
              <w:br w:type="textWrapping"/>
            </w:r>
            <w:r>
              <w:rPr>
                <w:rFonts w:hint="eastAsia" w:ascii="宋体" w:hAnsi="宋体" w:cs="宋体"/>
                <w:sz w:val="20"/>
                <w:szCs w:val="20"/>
              </w:rPr>
              <w:t>★5、色彩:16Bit,281万亿色，色域覆盖率100%,NTSC色域覆盖率≥120%上，YLV（PAL)色域覆盖率≥170%，支持BT.2020,DCI.P3,BT.709,sRGB等多种色域转换。</w:t>
            </w:r>
            <w:r>
              <w:rPr>
                <w:rFonts w:hint="eastAsia" w:ascii="宋体" w:hAnsi="宋体" w:cs="宋体"/>
                <w:kern w:val="0"/>
                <w:sz w:val="20"/>
                <w:szCs w:val="20"/>
              </w:rPr>
              <w:t>（提供第三方机构出具的检测报告）</w:t>
            </w:r>
            <w:r>
              <w:rPr>
                <w:rFonts w:hint="eastAsia" w:ascii="宋体" w:hAnsi="宋体" w:cs="宋体"/>
                <w:sz w:val="20"/>
                <w:szCs w:val="20"/>
              </w:rPr>
              <w:br w:type="textWrapping"/>
            </w:r>
            <w:r>
              <w:rPr>
                <w:rFonts w:hint="eastAsia" w:ascii="宋体" w:hAnsi="宋体" w:cs="宋体"/>
                <w:sz w:val="20"/>
                <w:szCs w:val="20"/>
              </w:rPr>
              <w:t xml:space="preserve">6、峰值功耗310w/㎡，平均功耗92w/㎡，供电要求110~220VAC±15%。 </w:t>
            </w:r>
            <w:r>
              <w:rPr>
                <w:rFonts w:hint="eastAsia" w:ascii="宋体" w:hAnsi="宋体" w:cs="宋体"/>
                <w:sz w:val="20"/>
                <w:szCs w:val="20"/>
              </w:rPr>
              <w:br w:type="textWrapping"/>
            </w:r>
            <w:r>
              <w:rPr>
                <w:rFonts w:hint="eastAsia" w:ascii="宋体" w:hAnsi="宋体" w:cs="宋体"/>
                <w:sz w:val="20"/>
                <w:szCs w:val="20"/>
              </w:rPr>
              <w:t>7、产品符合光生物安全：依据标准进行光生物安全及蓝光危害评估检测无危害类：在8h3000s曝辐中不造成光化学紫外危害（ES),并在1000s（约2.8h）内不造成对视网膜蓝光危害（LB)，并且在1000s内不造成对眼睛的红外辐射危害（EIR)。</w:t>
            </w:r>
            <w:r>
              <w:rPr>
                <w:rFonts w:hint="eastAsia" w:ascii="宋体" w:hAnsi="宋体" w:cs="宋体"/>
                <w:sz w:val="20"/>
                <w:szCs w:val="20"/>
              </w:rPr>
              <w:br w:type="textWrapping"/>
            </w:r>
            <w:r>
              <w:rPr>
                <w:rFonts w:hint="eastAsia" w:ascii="宋体" w:hAnsi="宋体" w:cs="宋体"/>
                <w:sz w:val="20"/>
                <w:szCs w:val="20"/>
              </w:rPr>
              <w:t>8、投标时提供多点温度测量系统软件著作权证书。</w:t>
            </w:r>
          </w:p>
          <w:p>
            <w:pPr>
              <w:widowControl/>
              <w:jc w:val="left"/>
              <w:rPr>
                <w:rFonts w:ascii="宋体" w:hAnsi="宋体" w:cs="宋体"/>
                <w:sz w:val="20"/>
                <w:szCs w:val="20"/>
              </w:rPr>
            </w:pPr>
            <w:r>
              <w:rPr>
                <w:rFonts w:hint="eastAsia" w:ascii="宋体" w:hAnsi="宋体" w:cs="宋体"/>
                <w:sz w:val="20"/>
                <w:szCs w:val="20"/>
              </w:rPr>
              <w:t>★</w:t>
            </w:r>
            <w:r>
              <w:rPr>
                <w:rFonts w:ascii="宋体" w:hAnsi="宋体" w:cs="宋体"/>
                <w:sz w:val="20"/>
                <w:szCs w:val="20"/>
              </w:rPr>
              <w:t>9</w:t>
            </w:r>
            <w:r>
              <w:rPr>
                <w:rFonts w:hint="eastAsia" w:ascii="宋体" w:hAnsi="宋体" w:cs="宋体"/>
                <w:sz w:val="20"/>
                <w:szCs w:val="20"/>
              </w:rPr>
              <w:t>、产品具有通过构造非线性校正曲线和色坐标变换系数矩阵实现了显示效果的不断完善，各项重要指标如色彩还原性，色温调节范围，亮度均匀性，色度均匀性，刷新率，换帧频率等，均符合广电级标准。</w:t>
            </w:r>
            <w:r>
              <w:rPr>
                <w:rFonts w:hint="eastAsia" w:ascii="宋体" w:hAnsi="宋体" w:cs="宋体"/>
                <w:kern w:val="0"/>
                <w:sz w:val="20"/>
                <w:szCs w:val="20"/>
              </w:rPr>
              <w:t>（提供第三方机构出具的检测报告）</w:t>
            </w:r>
            <w:r>
              <w:rPr>
                <w:rFonts w:hint="eastAsia" w:ascii="宋体" w:hAnsi="宋体" w:cs="宋体"/>
                <w:sz w:val="20"/>
                <w:szCs w:val="20"/>
              </w:rPr>
              <w:br w:type="textWrapping"/>
            </w:r>
            <w:r>
              <w:rPr>
                <w:rFonts w:ascii="宋体" w:hAnsi="宋体" w:cs="宋体"/>
                <w:sz w:val="20"/>
                <w:szCs w:val="20"/>
              </w:rPr>
              <w:t>10</w:t>
            </w:r>
            <w:r>
              <w:rPr>
                <w:rFonts w:hint="eastAsia" w:ascii="宋体" w:hAnsi="宋体" w:cs="宋体"/>
                <w:sz w:val="20"/>
                <w:szCs w:val="20"/>
              </w:rPr>
              <w:t>、产品支持输入信号：DVI ,HDMT和DP；可将输入信号进行缩放，以匹配LED的分辨率进行输出。</w:t>
            </w:r>
            <w:r>
              <w:rPr>
                <w:rFonts w:hint="eastAsia" w:ascii="宋体" w:hAnsi="宋体" w:cs="宋体"/>
                <w:sz w:val="20"/>
                <w:szCs w:val="20"/>
              </w:rPr>
              <w:br w:type="textWrapping"/>
            </w:r>
            <w:r>
              <w:rPr>
                <w:rFonts w:ascii="宋体" w:hAnsi="宋体" w:cs="宋体"/>
                <w:sz w:val="20"/>
                <w:szCs w:val="20"/>
              </w:rPr>
              <w:t>11</w:t>
            </w:r>
            <w:r>
              <w:rPr>
                <w:rFonts w:hint="eastAsia" w:ascii="宋体" w:hAnsi="宋体" w:cs="宋体"/>
                <w:sz w:val="20"/>
                <w:szCs w:val="20"/>
              </w:rPr>
              <w:t>、产品具有抗谐波能力：1ed显示屏产品抗谐波能力达到A类。产品符合GB/T9254-2008测试标准，1GHz以下的限值，准峰值限值≤50dB；谐波电流，电压变化符合GB17625.1-2012标准。</w:t>
            </w:r>
            <w:r>
              <w:rPr>
                <w:rFonts w:hint="eastAsia" w:ascii="宋体" w:hAnsi="宋体" w:cs="宋体"/>
                <w:kern w:val="0"/>
                <w:sz w:val="20"/>
                <w:szCs w:val="20"/>
              </w:rPr>
              <w:t>（提供第三方机构出具的检测报告）</w:t>
            </w:r>
            <w:r>
              <w:rPr>
                <w:rFonts w:hint="eastAsia" w:ascii="宋体" w:hAnsi="宋体" w:cs="宋体"/>
                <w:sz w:val="20"/>
                <w:szCs w:val="20"/>
              </w:rPr>
              <w:br w:type="textWrapping"/>
            </w:r>
            <w:r>
              <w:rPr>
                <w:rFonts w:hint="eastAsia" w:ascii="宋体" w:hAnsi="宋体" w:cs="宋体"/>
                <w:sz w:val="20"/>
                <w:szCs w:val="20"/>
              </w:rPr>
              <w:t>1</w:t>
            </w:r>
            <w:r>
              <w:rPr>
                <w:rFonts w:ascii="宋体" w:hAnsi="宋体" w:cs="宋体"/>
                <w:sz w:val="20"/>
                <w:szCs w:val="20"/>
              </w:rPr>
              <w:t>2</w:t>
            </w:r>
            <w:r>
              <w:rPr>
                <w:rFonts w:hint="eastAsia" w:ascii="宋体" w:hAnsi="宋体" w:cs="宋体"/>
                <w:sz w:val="20"/>
                <w:szCs w:val="20"/>
              </w:rPr>
              <w:t>、产品满足温升要求：按照GB 4943.1-2011《信息技术设备安全第一部分：通用要求》进行升温测试，最大亮度白色连续工作2小时，模组表面温升小于20℃。</w:t>
            </w:r>
            <w:r>
              <w:rPr>
                <w:rFonts w:hint="eastAsia" w:ascii="宋体" w:hAnsi="宋体" w:cs="宋体"/>
                <w:kern w:val="0"/>
                <w:sz w:val="20"/>
                <w:szCs w:val="20"/>
              </w:rPr>
              <w:t>（提供第三方机构出具的检测报告）</w:t>
            </w:r>
          </w:p>
          <w:p>
            <w:pPr>
              <w:widowControl/>
              <w:jc w:val="left"/>
              <w:rPr>
                <w:rFonts w:ascii="宋体" w:hAnsi="宋体" w:cs="宋体"/>
                <w:sz w:val="20"/>
                <w:szCs w:val="20"/>
              </w:rPr>
            </w:pPr>
            <w:r>
              <w:rPr>
                <w:rFonts w:hint="eastAsia" w:ascii="宋体" w:hAnsi="宋体" w:cs="宋体"/>
                <w:sz w:val="20"/>
                <w:szCs w:val="20"/>
              </w:rPr>
              <w:t>1</w:t>
            </w:r>
            <w:r>
              <w:rPr>
                <w:rFonts w:ascii="宋体" w:hAnsi="宋体" w:cs="宋体"/>
                <w:sz w:val="20"/>
                <w:szCs w:val="20"/>
              </w:rPr>
              <w:t>3</w:t>
            </w:r>
            <w:r>
              <w:rPr>
                <w:rFonts w:hint="eastAsia" w:ascii="宋体" w:hAnsi="宋体" w:cs="宋体"/>
                <w:sz w:val="20"/>
                <w:szCs w:val="20"/>
              </w:rPr>
              <w:t>、产品具有多点测温系统，均衡散热，房子局部温度过高造成色彩漂移，并提高显示屏寿命；具有防几何失真、非线性失真的功能。</w:t>
            </w:r>
            <w:r>
              <w:rPr>
                <w:rFonts w:hint="eastAsia" w:ascii="宋体" w:hAnsi="宋体" w:cs="宋体"/>
                <w:sz w:val="20"/>
                <w:szCs w:val="20"/>
              </w:rPr>
              <w:br w:type="textWrapping"/>
            </w:r>
            <w:r>
              <w:rPr>
                <w:rFonts w:hint="eastAsia" w:ascii="宋体" w:hAnsi="宋体" w:cs="宋体"/>
                <w:sz w:val="20"/>
                <w:szCs w:val="20"/>
              </w:rPr>
              <w:t>1</w:t>
            </w:r>
            <w:r>
              <w:rPr>
                <w:rFonts w:ascii="宋体" w:hAnsi="宋体" w:cs="宋体"/>
                <w:sz w:val="20"/>
                <w:szCs w:val="20"/>
              </w:rPr>
              <w:t>4</w:t>
            </w:r>
            <w:r>
              <w:rPr>
                <w:rFonts w:hint="eastAsia" w:ascii="宋体" w:hAnsi="宋体" w:cs="宋体"/>
                <w:sz w:val="20"/>
                <w:szCs w:val="20"/>
              </w:rPr>
              <w:t>、产品满足辐照强度：0.76w/㎡@340nm 温度：60℃，冷疑温度：50℃、24循环、288h试验后，样品外观无异常。</w:t>
            </w:r>
            <w:r>
              <w:rPr>
                <w:rFonts w:hint="eastAsia" w:ascii="宋体" w:hAnsi="宋体" w:cs="宋体"/>
                <w:kern w:val="0"/>
                <w:sz w:val="20"/>
                <w:szCs w:val="20"/>
              </w:rPr>
              <w:t>（提供第三方机构出具的检测报告）</w:t>
            </w:r>
            <w:r>
              <w:rPr>
                <w:rFonts w:hint="eastAsia" w:ascii="宋体" w:hAnsi="宋体" w:cs="宋体"/>
                <w:sz w:val="20"/>
                <w:szCs w:val="20"/>
              </w:rPr>
              <w:br w:type="textWrapping"/>
            </w:r>
            <w:r>
              <w:rPr>
                <w:rFonts w:hint="eastAsia" w:ascii="宋体" w:hAnsi="宋体" w:cs="宋体"/>
                <w:sz w:val="20"/>
                <w:szCs w:val="20"/>
              </w:rPr>
              <w:t>★1</w:t>
            </w:r>
            <w:r>
              <w:rPr>
                <w:rFonts w:ascii="宋体" w:hAnsi="宋体" w:cs="宋体"/>
                <w:sz w:val="20"/>
                <w:szCs w:val="20"/>
              </w:rPr>
              <w:t>5</w:t>
            </w:r>
            <w:r>
              <w:rPr>
                <w:rFonts w:hint="eastAsia" w:ascii="宋体" w:hAnsi="宋体" w:cs="宋体"/>
                <w:sz w:val="20"/>
                <w:szCs w:val="20"/>
              </w:rPr>
              <w:t>.具有一种视频分析设备的算法配置方法和系统</w:t>
            </w:r>
            <w:r>
              <w:rPr>
                <w:rFonts w:hint="eastAsia" w:ascii="宋体" w:hAnsi="宋体" w:cs="宋体"/>
                <w:kern w:val="0"/>
                <w:sz w:val="20"/>
                <w:szCs w:val="20"/>
              </w:rPr>
              <w:t>功能。（提供资料予以说明）</w:t>
            </w:r>
          </w:p>
          <w:p>
            <w:pPr>
              <w:widowControl/>
              <w:jc w:val="left"/>
              <w:rPr>
                <w:rFonts w:ascii="宋体" w:hAnsi="宋体" w:cs="宋体"/>
                <w:sz w:val="20"/>
                <w:szCs w:val="20"/>
              </w:rPr>
            </w:pPr>
            <w:r>
              <w:rPr>
                <w:rFonts w:hint="eastAsia" w:ascii="宋体" w:hAnsi="宋体" w:cs="宋体"/>
                <w:sz w:val="20"/>
                <w:szCs w:val="20"/>
              </w:rPr>
              <w:t>1</w:t>
            </w:r>
            <w:r>
              <w:rPr>
                <w:rFonts w:ascii="宋体" w:hAnsi="宋体" w:cs="宋体"/>
                <w:sz w:val="20"/>
                <w:szCs w:val="20"/>
              </w:rPr>
              <w:t>6</w:t>
            </w:r>
            <w:r>
              <w:rPr>
                <w:rFonts w:hint="eastAsia" w:ascii="宋体" w:hAnsi="宋体" w:cs="宋体"/>
                <w:sz w:val="20"/>
                <w:szCs w:val="20"/>
              </w:rPr>
              <w:t>、模组机械强度：机械强度≥25mp；拉伸强度≥100mp，弯曲强度≥100mp，符合GBT1040标准。缺口冲击强度≥7KJ/㎡，符合GBT1843标准。</w:t>
            </w:r>
            <w:r>
              <w:rPr>
                <w:rFonts w:hint="eastAsia" w:ascii="宋体" w:hAnsi="宋体" w:cs="宋体"/>
                <w:kern w:val="0"/>
                <w:sz w:val="20"/>
                <w:szCs w:val="20"/>
              </w:rPr>
              <w:t>（提供第三方机构出具的检测报告）</w:t>
            </w:r>
            <w:r>
              <w:rPr>
                <w:rFonts w:hint="eastAsia" w:ascii="宋体" w:hAnsi="宋体" w:cs="宋体"/>
                <w:sz w:val="20"/>
                <w:szCs w:val="20"/>
              </w:rPr>
              <w:br w:type="textWrapping"/>
            </w:r>
            <w:r>
              <w:rPr>
                <w:rFonts w:hint="eastAsia" w:ascii="宋体" w:hAnsi="宋体" w:cs="宋体"/>
                <w:sz w:val="20"/>
                <w:szCs w:val="20"/>
              </w:rPr>
              <w:t>1</w:t>
            </w:r>
            <w:r>
              <w:rPr>
                <w:rFonts w:ascii="宋体" w:hAnsi="宋体" w:cs="宋体"/>
                <w:sz w:val="20"/>
                <w:szCs w:val="20"/>
              </w:rPr>
              <w:t>7</w:t>
            </w:r>
            <w:r>
              <w:rPr>
                <w:rFonts w:hint="eastAsia" w:ascii="宋体" w:hAnsi="宋体" w:cs="宋体"/>
                <w:sz w:val="20"/>
                <w:szCs w:val="20"/>
              </w:rPr>
              <w:t>、振动测试:振动频率10~55Hz，振幅0.35mm，3个轴向，每一轴向循环50次，每次时间5min，试验后产品无异常。</w:t>
            </w:r>
            <w:r>
              <w:rPr>
                <w:rFonts w:hint="eastAsia" w:ascii="宋体" w:hAnsi="宋体" w:cs="宋体"/>
                <w:sz w:val="20"/>
                <w:szCs w:val="20"/>
              </w:rPr>
              <w:br w:type="textWrapping"/>
            </w:r>
            <w:r>
              <w:rPr>
                <w:rFonts w:hint="eastAsia" w:ascii="宋体" w:hAnsi="宋体" w:cs="宋体"/>
                <w:sz w:val="20"/>
                <w:szCs w:val="20"/>
              </w:rPr>
              <w:t>1</w:t>
            </w:r>
            <w:r>
              <w:rPr>
                <w:rFonts w:ascii="宋体" w:hAnsi="宋体" w:cs="宋体"/>
                <w:sz w:val="20"/>
                <w:szCs w:val="20"/>
              </w:rPr>
              <w:t>8</w:t>
            </w:r>
            <w:r>
              <w:rPr>
                <w:rFonts w:hint="eastAsia" w:ascii="宋体" w:hAnsi="宋体" w:cs="宋体"/>
                <w:sz w:val="20"/>
                <w:szCs w:val="20"/>
              </w:rPr>
              <w:t>、电信端子骚扰、电信端口传导共模（非对称）骚扰电流、电压限值（EMC）和辐射骚扰均符合GB/T 9254-2008 Class-B限值要求。</w:t>
            </w:r>
          </w:p>
          <w:p>
            <w:pPr>
              <w:widowControl/>
              <w:jc w:val="left"/>
            </w:pPr>
            <w:r>
              <w:rPr>
                <w:rFonts w:hint="eastAsia" w:ascii="宋体" w:hAnsi="宋体" w:cs="宋体"/>
                <w:kern w:val="0"/>
                <w:sz w:val="20"/>
                <w:szCs w:val="20"/>
              </w:rPr>
              <w:t>★1</w:t>
            </w:r>
            <w:r>
              <w:rPr>
                <w:rFonts w:ascii="宋体" w:hAnsi="宋体" w:cs="宋体"/>
                <w:kern w:val="0"/>
                <w:sz w:val="20"/>
                <w:szCs w:val="20"/>
              </w:rPr>
              <w:t>9</w:t>
            </w:r>
            <w:r>
              <w:rPr>
                <w:rFonts w:hint="eastAsia" w:ascii="宋体" w:hAnsi="宋体" w:cs="宋体"/>
                <w:kern w:val="0"/>
                <w:sz w:val="20"/>
                <w:szCs w:val="20"/>
              </w:rPr>
              <w:t>、具有视频图像数据的网络发送速率的平滑方法功能。（提供资料予以说明）</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7.32</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2"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液晶显示屏（副屏）</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★1.为保证显示色彩效果及可视角度，整机屏幕需采用≥75英寸液晶屏，显示比例16:9，屏幕分辨率≥3840*2160，色彩度≥10bit ,可视角度≥178°.无开机广告。</w:t>
            </w:r>
            <w:r>
              <w:rPr>
                <w:rFonts w:hint="eastAsia" w:ascii="宋体" w:hAnsi="宋体" w:cs="宋体"/>
                <w:kern w:val="0"/>
                <w:sz w:val="20"/>
                <w:szCs w:val="20"/>
              </w:rPr>
              <w:br w:type="textWrapping"/>
            </w:r>
            <w:r>
              <w:rPr>
                <w:rFonts w:hint="eastAsia" w:ascii="宋体" w:hAnsi="宋体" w:cs="宋体"/>
                <w:kern w:val="0"/>
                <w:sz w:val="20"/>
                <w:szCs w:val="20"/>
              </w:rPr>
              <w:t>★2.为保证系统运行效果，整机需采用不低于Android 9.0系统，内置CPU性能≥四核A55，内置GPU性能≥双核Mali G51，RAM≥4G，ROM≥16G。</w:t>
            </w:r>
            <w:r>
              <w:rPr>
                <w:rFonts w:hint="eastAsia" w:ascii="宋体" w:hAnsi="宋体" w:cs="宋体"/>
                <w:kern w:val="0"/>
                <w:sz w:val="20"/>
                <w:szCs w:val="20"/>
              </w:rPr>
              <w:br w:type="textWrapping"/>
            </w:r>
            <w:r>
              <w:rPr>
                <w:rFonts w:hint="eastAsia" w:ascii="宋体" w:hAnsi="宋体" w:cs="宋体"/>
                <w:kern w:val="0"/>
                <w:sz w:val="20"/>
                <w:szCs w:val="20"/>
              </w:rPr>
              <w:t>3.采用双声道，内置2*10W扬声器。</w:t>
            </w:r>
            <w:r>
              <w:rPr>
                <w:rFonts w:hint="eastAsia" w:ascii="宋体" w:hAnsi="宋体" w:cs="宋体"/>
                <w:kern w:val="0"/>
                <w:sz w:val="20"/>
                <w:szCs w:val="20"/>
              </w:rPr>
              <w:br w:type="textWrapping"/>
            </w:r>
            <w:r>
              <w:rPr>
                <w:rFonts w:hint="eastAsia" w:ascii="宋体" w:hAnsi="宋体" w:cs="宋体"/>
                <w:kern w:val="0"/>
                <w:sz w:val="20"/>
                <w:szCs w:val="20"/>
              </w:rPr>
              <w:t>4.内置无线模块需支持802.11 a/b/g/n/ac，工作频率。2.4GHz/5GHz；支持无线投屏功能。</w:t>
            </w:r>
            <w:r>
              <w:rPr>
                <w:rFonts w:hint="eastAsia" w:ascii="宋体" w:hAnsi="宋体" w:cs="宋体"/>
                <w:kern w:val="0"/>
                <w:sz w:val="20"/>
                <w:szCs w:val="20"/>
              </w:rPr>
              <w:br w:type="textWrapping"/>
            </w:r>
            <w:r>
              <w:rPr>
                <w:rFonts w:hint="eastAsia" w:ascii="宋体" w:hAnsi="宋体" w:cs="宋体"/>
                <w:kern w:val="0"/>
                <w:sz w:val="20"/>
                <w:szCs w:val="20"/>
              </w:rPr>
              <w:t>5.I/O接口:≥2路HDMI IN；≥2路 USB 2.0；≥1路VGA IN；≥1路AUDIO IN；≥1路AUDIO OUT；≥1路RS232；≥1路RJ45 。</w:t>
            </w:r>
            <w:r>
              <w:rPr>
                <w:rFonts w:hint="eastAsia" w:ascii="宋体" w:hAnsi="宋体" w:cs="宋体"/>
                <w:kern w:val="0"/>
                <w:sz w:val="20"/>
                <w:szCs w:val="20"/>
              </w:rPr>
              <w:br w:type="textWrapping"/>
            </w:r>
            <w:r>
              <w:rPr>
                <w:rFonts w:ascii="宋体" w:hAnsi="宋体" w:cs="宋体"/>
                <w:kern w:val="0"/>
                <w:sz w:val="20"/>
                <w:szCs w:val="20"/>
              </w:rPr>
              <w:t>6</w:t>
            </w:r>
            <w:r>
              <w:rPr>
                <w:rFonts w:hint="eastAsia" w:ascii="宋体" w:hAnsi="宋体" w:cs="宋体"/>
                <w:kern w:val="0"/>
                <w:sz w:val="20"/>
                <w:szCs w:val="20"/>
              </w:rPr>
              <w:t>.屏亮度≥350nit，对比度≥5000：1，色域达到72%NTSC，可显示更鲜艳的色彩。</w:t>
            </w:r>
            <w:r>
              <w:rPr>
                <w:rFonts w:hint="eastAsia"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.无线传屏软硬件均支持Win7/Win8/Win8.1/Win10/Mac OS10.10及以上。</w:t>
            </w:r>
            <w:r>
              <w:rPr>
                <w:rFonts w:hint="eastAsia" w:ascii="宋体" w:hAnsi="宋体" w:cs="宋体"/>
                <w:kern w:val="0"/>
                <w:sz w:val="20"/>
                <w:szCs w:val="20"/>
              </w:rPr>
              <w:br w:type="textWrapping"/>
            </w:r>
            <w:r>
              <w:rPr>
                <w:rFonts w:ascii="宋体" w:hAnsi="宋体" w:cs="宋体"/>
                <w:kern w:val="0"/>
                <w:sz w:val="20"/>
                <w:szCs w:val="20"/>
              </w:rPr>
              <w:t>8</w:t>
            </w:r>
            <w:r>
              <w:rPr>
                <w:rFonts w:hint="eastAsia" w:ascii="宋体" w:hAnsi="宋体" w:cs="宋体"/>
                <w:kern w:val="0"/>
                <w:sz w:val="20"/>
                <w:szCs w:val="20"/>
              </w:rPr>
              <w:t>.电脑投屏，最大支持4k@30的分辨率投屏。</w:t>
            </w:r>
            <w:r>
              <w:rPr>
                <w:rFonts w:hint="eastAsia" w:ascii="宋体" w:hAnsi="宋体" w:cs="宋体"/>
                <w:kern w:val="0"/>
                <w:sz w:val="20"/>
                <w:szCs w:val="20"/>
              </w:rPr>
              <w:br w:type="textWrapping"/>
            </w:r>
            <w:r>
              <w:rPr>
                <w:rFonts w:hint="eastAsia" w:ascii="宋体" w:hAnsi="宋体" w:cs="宋体"/>
                <w:kern w:val="0"/>
                <w:sz w:val="20"/>
                <w:szCs w:val="20"/>
              </w:rPr>
              <w:t>★</w:t>
            </w:r>
            <w:r>
              <w:rPr>
                <w:rFonts w:ascii="宋体" w:hAnsi="宋体" w:cs="宋体"/>
                <w:kern w:val="0"/>
                <w:sz w:val="20"/>
                <w:szCs w:val="20"/>
              </w:rPr>
              <w:t>9</w:t>
            </w:r>
            <w:r>
              <w:rPr>
                <w:rFonts w:hint="eastAsia" w:ascii="宋体" w:hAnsi="宋体" w:cs="宋体"/>
                <w:kern w:val="0"/>
                <w:sz w:val="20"/>
                <w:szCs w:val="20"/>
              </w:rPr>
              <w:t>.支持应用窗口投屏满足：1.沉浸式+个人端隐私保护，能避免如微信弹窗的尴尬2.应用窗口投屏时，电脑屏幕仍能打开别的应用处理其他事情。（提供第三方机构出具的检测报告）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.传屏之后，在屏幕上部中间部分显示工具栏，可以进行基本的操作（具体包括勿扰模式，暂停投屏，传屏内容等）。</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1</w:t>
            </w:r>
            <w:r>
              <w:rPr>
                <w:rFonts w:hint="eastAsia" w:ascii="宋体" w:hAnsi="宋体" w:cs="宋体"/>
                <w:kern w:val="0"/>
                <w:sz w:val="20"/>
                <w:szCs w:val="20"/>
              </w:rPr>
              <w:t>.可通过传屏工具栏暂停投屏功能进行画面冻结暂停，投屏电脑可自主进行其他操作，不影响整机的冻结画面内容显示。</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2</w:t>
            </w:r>
            <w:r>
              <w:rPr>
                <w:rFonts w:hint="eastAsia" w:ascii="宋体" w:hAnsi="宋体" w:cs="宋体"/>
                <w:kern w:val="0"/>
                <w:sz w:val="20"/>
                <w:szCs w:val="20"/>
              </w:rPr>
              <w:t>.手机扫描整机传屏二维码即可完成连接整机热点，无需单独在手机上输入WIFI账号密码。</w:t>
            </w:r>
          </w:p>
          <w:p>
            <w:pPr>
              <w:widowControl/>
              <w:jc w:val="left"/>
              <w:rPr>
                <w:rFonts w:ascii="宋体" w:hAnsi="宋体" w:cs="宋体"/>
                <w:kern w:val="0"/>
                <w:sz w:val="20"/>
                <w:szCs w:val="20"/>
              </w:rPr>
            </w:pPr>
            <w:r>
              <w:rPr>
                <w:rFonts w:hint="eastAsia" w:ascii="宋体" w:hAnsi="宋体" w:cs="宋体"/>
                <w:kern w:val="0"/>
                <w:sz w:val="20"/>
                <w:szCs w:val="20"/>
              </w:rPr>
              <w:t>14.可以仅对一个窗口进行无线投屏，其他窗口内容不做展示，保证数据的隐私。（提供第三方机构出具的检测报告）</w:t>
            </w:r>
          </w:p>
          <w:p>
            <w:pPr>
              <w:widowControl/>
              <w:jc w:val="left"/>
              <w:rPr>
                <w:rFonts w:ascii="宋体" w:hAnsi="宋体" w:cs="宋体"/>
                <w:kern w:val="0"/>
                <w:sz w:val="20"/>
                <w:szCs w:val="20"/>
              </w:rPr>
            </w:pPr>
            <w:r>
              <w:rPr>
                <w:rFonts w:hint="eastAsia" w:ascii="宋体" w:hAnsi="宋体" w:cs="宋体"/>
                <w:kern w:val="0"/>
                <w:sz w:val="20"/>
                <w:szCs w:val="20"/>
              </w:rPr>
              <w:t>15.支持Type-C口手机直接连接Type-C传屏器进行整机投屏。（提供第三方机构出具的检测报告或相关证明材料予以佐证）</w:t>
            </w:r>
            <w:r>
              <w:rPr>
                <w:rFonts w:hint="eastAsia" w:ascii="宋体" w:hAnsi="宋体" w:cs="宋体"/>
                <w:kern w:val="0"/>
                <w:sz w:val="20"/>
                <w:szCs w:val="20"/>
              </w:rPr>
              <w:br w:type="textWrapping"/>
            </w:r>
            <w:r>
              <w:rPr>
                <w:rFonts w:hint="eastAsia" w:ascii="宋体" w:hAnsi="宋体" w:cs="宋体"/>
                <w:kern w:val="0"/>
                <w:sz w:val="20"/>
                <w:szCs w:val="20"/>
              </w:rPr>
              <w:t>16.手机扫描整机传屏二维码即可完成连接整机热点，无需单独在手机上输入WIFI账号密码。（提供第三方机构出具的检测报告或相关证明材料予以佐证）</w:t>
            </w:r>
            <w:r>
              <w:rPr>
                <w:rFonts w:hint="eastAsia" w:ascii="宋体" w:hAnsi="宋体" w:cs="宋体"/>
                <w:kern w:val="0"/>
                <w:sz w:val="20"/>
                <w:szCs w:val="20"/>
              </w:rPr>
              <w:br w:type="textWrapping"/>
            </w:r>
            <w:r>
              <w:rPr>
                <w:rFonts w:hint="eastAsia" w:ascii="宋体" w:hAnsi="宋体" w:cs="宋体"/>
                <w:kern w:val="0"/>
                <w:sz w:val="20"/>
                <w:szCs w:val="20"/>
              </w:rPr>
              <w:t>★17.内置同品牌信发系统，支持图片、视频、文字等内容任意方式组合播放。</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2"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电源</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5V40A，按需满配</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接收卡</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1.支持逐点亮色度校正，可以对每个灯点的亮度和色度进项校正，有效消除色差，使整屏的亮度和速度达到高度均匀一致，提高显示屏的画质。</w:t>
            </w:r>
            <w:r>
              <w:rPr>
                <w:rFonts w:hint="eastAsia"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.快速亮暗线调节在调试软件上进行快速亮暗线调节，快速解决因箱体及模组拼接造成的显示屏亮暗线，调节过程中即时生效，简单易用。</w:t>
            </w:r>
            <w:r>
              <w:rPr>
                <w:rFonts w:hint="eastAsia" w:ascii="宋体" w:hAnsi="宋体" w:cs="宋体"/>
                <w:kern w:val="0"/>
                <w:sz w:val="20"/>
                <w:szCs w:val="20"/>
              </w:rPr>
              <w:br w:type="textWrapping"/>
            </w:r>
            <w:r>
              <w:rPr>
                <w:rFonts w:ascii="宋体" w:hAnsi="宋体" w:cs="宋体"/>
                <w:kern w:val="0"/>
                <w:sz w:val="20"/>
                <w:szCs w:val="20"/>
              </w:rPr>
              <w:t>3</w:t>
            </w:r>
            <w:r>
              <w:rPr>
                <w:rFonts w:hint="eastAsia" w:ascii="宋体" w:hAnsi="宋体" w:cs="宋体"/>
                <w:kern w:val="0"/>
                <w:sz w:val="20"/>
                <w:szCs w:val="20"/>
              </w:rPr>
              <w:t>.可以将指定图片设置为显示屏的开机、网线断开或无视频源信号时的画面或者最后一帧画面。</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.可以监测自身的温度和电压，无需其他外设，在软件上可以查看接收卡的温度和电压。</w:t>
            </w:r>
            <w:r>
              <w:rPr>
                <w:rFonts w:hint="eastAsia" w:ascii="宋体" w:hAnsi="宋体" w:cs="宋体"/>
                <w:kern w:val="0"/>
                <w:sz w:val="20"/>
                <w:szCs w:val="20"/>
              </w:rPr>
              <w:br w:type="textWrapping"/>
            </w:r>
            <w:r>
              <w:rPr>
                <w:rFonts w:ascii="宋体" w:hAnsi="宋体" w:cs="宋体"/>
                <w:kern w:val="0"/>
                <w:sz w:val="20"/>
                <w:szCs w:val="20"/>
              </w:rPr>
              <w:t>5</w:t>
            </w:r>
            <w:r>
              <w:rPr>
                <w:rFonts w:hint="eastAsia" w:ascii="宋体" w:hAnsi="宋体" w:cs="宋体"/>
                <w:kern w:val="0"/>
                <w:sz w:val="20"/>
                <w:szCs w:val="20"/>
              </w:rPr>
              <w:t>.检测发送设备与接收卡间或接收卡与接收卡间的网络通讯质量，记录错误包数，协助排除网络通讯隐患。</w:t>
            </w:r>
            <w:r>
              <w:rPr>
                <w:rFonts w:hint="eastAsia" w:ascii="宋体" w:hAnsi="宋体" w:cs="宋体"/>
                <w:kern w:val="0"/>
                <w:sz w:val="20"/>
                <w:szCs w:val="20"/>
              </w:rPr>
              <w:br w:type="textWrapping"/>
            </w:r>
            <w:r>
              <w:rPr>
                <w:rFonts w:ascii="宋体" w:hAnsi="宋体" w:cs="宋体"/>
                <w:kern w:val="0"/>
                <w:sz w:val="20"/>
                <w:szCs w:val="20"/>
              </w:rPr>
              <w:t>6</w:t>
            </w:r>
            <w:r>
              <w:rPr>
                <w:rFonts w:hint="eastAsia" w:ascii="宋体" w:hAnsi="宋体" w:cs="宋体"/>
                <w:kern w:val="0"/>
                <w:sz w:val="20"/>
                <w:szCs w:val="20"/>
              </w:rPr>
              <w:t>.支持5pin液晶模块，用于显示接收卡的温度、电压、单次运行时间和总运行时间。</w:t>
            </w:r>
            <w:r>
              <w:rPr>
                <w:rFonts w:hint="eastAsia"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.支持千兆网，可通过网线直接连接到PC端进行调试和显示，无需发送卡。</w:t>
            </w:r>
          </w:p>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8</w:t>
            </w:r>
            <w:r>
              <w:rPr>
                <w:rFonts w:hint="eastAsia" w:ascii="宋体" w:hAnsi="宋体" w:cs="宋体"/>
                <w:kern w:val="0"/>
                <w:sz w:val="20"/>
                <w:szCs w:val="20"/>
              </w:rPr>
              <w:t>.支持各种PWM芯片、逐点检测芯片及通用芯片；支持任意抽点，实现各种异形屏拼接。支持色彩变换技术，使人脸肤色更真实；支持任意倍增技术，手机拍摄无扫描线。（提供第三方机构出具的检测报告）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9.为保证产品的稳定性及可靠性，需在检验环境温度21℃-26摄氏度，湿度（%RH）:62-71,大气压力（kPa）：100.2-101.8。</w:t>
            </w:r>
            <w:r>
              <w:rPr>
                <w:rFonts w:hint="eastAsia" w:ascii="宋体" w:hAnsi="宋体" w:cs="宋体"/>
                <w:kern w:val="0"/>
                <w:sz w:val="20"/>
                <w:szCs w:val="20"/>
              </w:rPr>
              <w:br w:type="textWrapping"/>
            </w:r>
            <w:r>
              <w:rPr>
                <w:rFonts w:hint="eastAsia" w:ascii="宋体" w:hAnsi="宋体" w:cs="宋体"/>
                <w:kern w:val="0"/>
                <w:sz w:val="20"/>
                <w:szCs w:val="20"/>
              </w:rPr>
              <w:t>★10.设备在正常工作条件下，连续工作168h，不应出现电、机械或操作系统的故障。（提供第三方机构出具的检测报告）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11.产品放入60℃±2℃，90%RH±3%RH环境中，通电连续工作48小时，试验过程中能正常工作，外观无明显变形，损伤。</w:t>
            </w:r>
            <w:r>
              <w:rPr>
                <w:rFonts w:hint="eastAsia" w:ascii="宋体" w:hAnsi="宋体" w:cs="宋体"/>
                <w:kern w:val="0"/>
                <w:sz w:val="20"/>
                <w:szCs w:val="20"/>
              </w:rPr>
              <w:br w:type="textWrapping"/>
            </w:r>
            <w:r>
              <w:rPr>
                <w:rFonts w:hint="eastAsia" w:ascii="宋体" w:hAnsi="宋体" w:cs="宋体"/>
                <w:kern w:val="0"/>
                <w:sz w:val="20"/>
                <w:szCs w:val="20"/>
              </w:rPr>
              <w:t>★12.为保证系统的兼容性及稳定性接收卡需与LED显示屏为同一品牌，投标时提供资料予以说明。</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28"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视频处理器</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1.无需电脑，支持通过设备旋转按钮快捷配屏和高级配屏功能点亮屏体，简单操作即可完成屏体配置。</w:t>
            </w:r>
            <w:r>
              <w:rPr>
                <w:rFonts w:hint="eastAsia" w:ascii="宋体" w:hAnsi="宋体" w:cs="宋体"/>
                <w:kern w:val="0"/>
                <w:sz w:val="20"/>
                <w:szCs w:val="20"/>
              </w:rPr>
              <w:br w:type="textWrapping"/>
            </w:r>
            <w:r>
              <w:rPr>
                <w:rFonts w:hint="eastAsia" w:ascii="宋体" w:hAnsi="宋体" w:cs="宋体"/>
                <w:kern w:val="0"/>
                <w:sz w:val="20"/>
                <w:szCs w:val="20"/>
              </w:rPr>
              <w:t>2.支持设备默认开启自动信源搜索功能。</w:t>
            </w:r>
            <w:r>
              <w:rPr>
                <w:rFonts w:hint="eastAsia" w:ascii="宋体" w:hAnsi="宋体" w:cs="宋体"/>
                <w:kern w:val="0"/>
                <w:sz w:val="20"/>
                <w:szCs w:val="20"/>
              </w:rPr>
              <w:br w:type="textWrapping"/>
            </w:r>
            <w:r>
              <w:rPr>
                <w:rFonts w:hint="eastAsia" w:ascii="宋体" w:hAnsi="宋体" w:cs="宋体"/>
                <w:kern w:val="0"/>
                <w:sz w:val="20"/>
                <w:szCs w:val="20"/>
              </w:rPr>
              <w:t>3.为增强产品实用性，设备需通过面板数字按键，可快速准确定义窗口大小位置等坐标信息。</w:t>
            </w:r>
          </w:p>
          <w:p>
            <w:pPr>
              <w:widowControl/>
              <w:numPr>
                <w:ilvl w:val="0"/>
                <w:numId w:val="14"/>
              </w:numPr>
              <w:jc w:val="left"/>
              <w:rPr>
                <w:rFonts w:ascii="宋体" w:hAnsi="宋体" w:cs="宋体"/>
                <w:kern w:val="0"/>
                <w:sz w:val="20"/>
                <w:szCs w:val="20"/>
              </w:rPr>
            </w:pPr>
            <w:r>
              <w:rPr>
                <w:rFonts w:hint="eastAsia" w:ascii="宋体" w:hAnsi="宋体" w:cs="宋体"/>
                <w:kern w:val="0"/>
                <w:sz w:val="20"/>
                <w:szCs w:val="20"/>
              </w:rPr>
              <w:t>支持屏体参数调整，例如亮度、Gamma等。</w:t>
            </w:r>
          </w:p>
          <w:p>
            <w:pPr>
              <w:widowControl/>
              <w:jc w:val="left"/>
              <w:rPr>
                <w:rFonts w:ascii="宋体" w:hAnsi="宋体" w:cs="宋体"/>
                <w:kern w:val="0"/>
                <w:sz w:val="20"/>
                <w:szCs w:val="20"/>
              </w:rPr>
            </w:pPr>
            <w:r>
              <w:rPr>
                <w:rFonts w:hint="eastAsia" w:ascii="宋体" w:hAnsi="宋体" w:cs="宋体"/>
                <w:kern w:val="0"/>
                <w:sz w:val="20"/>
                <w:szCs w:val="20"/>
              </w:rPr>
              <w:t>5.为保证系统的兼容性和稳定性，发送卡和视频处理器为二合一产品。</w:t>
            </w:r>
            <w:r>
              <w:rPr>
                <w:rFonts w:hint="eastAsia" w:ascii="宋体" w:hAnsi="宋体" w:cs="宋体"/>
                <w:kern w:val="0"/>
                <w:sz w:val="20"/>
                <w:szCs w:val="20"/>
              </w:rPr>
              <w:br w:type="textWrapping"/>
            </w:r>
            <w:r>
              <w:rPr>
                <w:rFonts w:hint="eastAsia" w:ascii="宋体" w:hAnsi="宋体" w:cs="宋体"/>
                <w:kern w:val="0"/>
                <w:sz w:val="20"/>
                <w:szCs w:val="20"/>
              </w:rPr>
              <w:t>6.设备前面板配备液晶面板，可实时显示设备型号，ip地址，窗口和信号源的分辨率及状态信息，输出网口的状态，屏幕大小，帧屏信息，设备同步模式展示，USB连接或网线连接状态，屏体亮度。</w:t>
            </w:r>
            <w:r>
              <w:rPr>
                <w:rFonts w:hint="eastAsia" w:ascii="宋体" w:hAnsi="宋体" w:cs="宋体"/>
                <w:kern w:val="0"/>
                <w:sz w:val="20"/>
                <w:szCs w:val="20"/>
              </w:rPr>
              <w:br w:type="textWrapping"/>
            </w:r>
            <w:r>
              <w:rPr>
                <w:rFonts w:hint="eastAsia" w:ascii="宋体" w:hAnsi="宋体" w:cs="宋体"/>
                <w:kern w:val="0"/>
                <w:sz w:val="20"/>
                <w:szCs w:val="20"/>
              </w:rPr>
              <w:t>7.主界面下，按下旋钮进入菜单操作界面。菜单操作界面下，旋转旋钮旋转菜单，按下旋钮选定当前菜单或者进入子菜单。选定带有参数的菜单后可以通过旋转旋钮调节参数，调节完成后需要再次按下旋钮进行确认。</w:t>
            </w:r>
            <w:r>
              <w:rPr>
                <w:rFonts w:hint="eastAsia" w:ascii="宋体" w:hAnsi="宋体" w:cs="宋体"/>
                <w:kern w:val="0"/>
                <w:sz w:val="20"/>
                <w:szCs w:val="20"/>
              </w:rPr>
              <w:br w:type="textWrapping"/>
            </w:r>
            <w:r>
              <w:rPr>
                <w:rFonts w:hint="eastAsia" w:ascii="宋体" w:hAnsi="宋体" w:cs="宋体"/>
                <w:kern w:val="0"/>
                <w:sz w:val="20"/>
                <w:szCs w:val="20"/>
              </w:rPr>
              <w:t>8.无需电脑，FREEZE画面冻结按键可以快捷冻结画面。</w:t>
            </w:r>
            <w:r>
              <w:rPr>
                <w:rFonts w:hint="eastAsia" w:ascii="宋体" w:hAnsi="宋体" w:cs="宋体"/>
                <w:kern w:val="0"/>
                <w:sz w:val="20"/>
                <w:szCs w:val="20"/>
              </w:rPr>
              <w:br w:type="textWrapping"/>
            </w:r>
            <w:r>
              <w:rPr>
                <w:rFonts w:hint="eastAsia" w:ascii="宋体" w:hAnsi="宋体" w:cs="宋体"/>
                <w:kern w:val="0"/>
                <w:sz w:val="20"/>
                <w:szCs w:val="20"/>
              </w:rPr>
              <w:t>9.支持逐点亮度校正，可以对每个灯点的亮度和色度进行校正，有效消除色彩，使整屏的亮度色度达到高度均匀一致，提高显示屏的画质。</w:t>
            </w:r>
            <w:r>
              <w:rPr>
                <w:rFonts w:hint="eastAsia" w:ascii="宋体" w:hAnsi="宋体" w:cs="宋体"/>
                <w:kern w:val="0"/>
                <w:sz w:val="20"/>
                <w:szCs w:val="20"/>
              </w:rPr>
              <w:br w:type="textWrapping"/>
            </w:r>
            <w:r>
              <w:rPr>
                <w:rFonts w:hint="eastAsia" w:ascii="宋体" w:hAnsi="宋体" w:cs="宋体"/>
                <w:kern w:val="0"/>
                <w:sz w:val="20"/>
                <w:szCs w:val="20"/>
              </w:rPr>
              <w:t>★10.支持配置显示屏的传输方式和方向；支持配置控制器的映射位置和大小；支持保存和加载控制系统参数；支持周期刷新显示屏控制系统的工作状态。（提供第三方机构出具的检测报告）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11.支持LED校正、亮度智能调节、色温调节、Gamma调节、授权管理。</w:t>
            </w:r>
            <w:r>
              <w:rPr>
                <w:rFonts w:hint="eastAsia" w:ascii="宋体" w:hAnsi="宋体" w:cs="宋体"/>
                <w:kern w:val="0"/>
                <w:sz w:val="20"/>
                <w:szCs w:val="20"/>
              </w:rPr>
              <w:br w:type="textWrapping"/>
            </w:r>
            <w:r>
              <w:rPr>
                <w:rFonts w:hint="eastAsia" w:ascii="宋体" w:hAnsi="宋体" w:cs="宋体"/>
                <w:kern w:val="0"/>
                <w:sz w:val="20"/>
                <w:szCs w:val="20"/>
              </w:rPr>
              <w:t>★12.产品机内交流配电系统单元符合TN配电系统在90V 50Hz至264V 60Hz之间仍可正常工作，保证设备在异常断电情况下正常运行。（提供第三方机构出具的检测报告）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14.产品输入输出端子在接触温度检测的限值至少为70℃。</w:t>
            </w:r>
            <w:r>
              <w:rPr>
                <w:rFonts w:hint="eastAsia" w:ascii="宋体" w:hAnsi="宋体" w:cs="宋体"/>
                <w:kern w:val="0"/>
                <w:sz w:val="20"/>
                <w:szCs w:val="20"/>
              </w:rPr>
              <w:br w:type="textWrapping"/>
            </w:r>
            <w:r>
              <w:rPr>
                <w:rFonts w:hint="eastAsia" w:ascii="宋体" w:hAnsi="宋体" w:cs="宋体"/>
                <w:kern w:val="0"/>
                <w:sz w:val="20"/>
                <w:szCs w:val="20"/>
              </w:rPr>
              <w:t>15.设备在正常工作条件下，连续工作168h，不应出现电、机械或操作系统的故障。</w:t>
            </w:r>
          </w:p>
          <w:p>
            <w:pPr>
              <w:widowControl/>
              <w:jc w:val="left"/>
              <w:rPr>
                <w:rFonts w:ascii="宋体" w:hAnsi="宋体" w:cs="宋体"/>
                <w:kern w:val="0"/>
                <w:sz w:val="20"/>
                <w:szCs w:val="20"/>
              </w:rPr>
            </w:pPr>
            <w:r>
              <w:rPr>
                <w:rFonts w:hint="eastAsia" w:ascii="宋体" w:hAnsi="宋体" w:cs="宋体"/>
                <w:kern w:val="0"/>
                <w:sz w:val="20"/>
                <w:szCs w:val="20"/>
              </w:rPr>
              <w:t>16.产品放入60℃±2℃，90%±3%HR环境中，通电连续工作48小时或放置48小时，试验过程中能正常工作，外观无明显变形，损伤。</w:t>
            </w:r>
          </w:p>
          <w:p>
            <w:pPr>
              <w:widowControl/>
              <w:jc w:val="left"/>
              <w:rPr>
                <w:rFonts w:ascii="宋体" w:hAnsi="宋体" w:cs="宋体"/>
                <w:kern w:val="0"/>
                <w:sz w:val="20"/>
                <w:szCs w:val="20"/>
              </w:rPr>
            </w:pPr>
            <w:r>
              <w:rPr>
                <w:rFonts w:hint="eastAsia" w:ascii="宋体" w:hAnsi="宋体" w:cs="宋体"/>
                <w:kern w:val="0"/>
                <w:sz w:val="20"/>
                <w:szCs w:val="20"/>
              </w:rPr>
              <w:t>★17.为保证系统的兼容性及稳定性视频处理器需与LED显示屏为同一品牌，投标时提供资料予以说明。</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固定式控制终端</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≥I5-10500T/16G/256G/集显/无线蓝牙AN11-H21.5寸及以上液晶显示器/操作系统符合软件正版化要求/3年质保</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移动式控制终端</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≥i7-1260P/16G/512G/2G独立显卡/1920*1080/14寸屏/包鼠/操作系统符合软件正版化要求</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配电系统</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按实际所用功率进行定制         </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显示屏框架安装</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设计、定制结构、框架，满足屏体安装使用需求，用材符合国家标准</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7.32</w:t>
            </w:r>
          </w:p>
        </w:tc>
        <w:tc>
          <w:tcPr>
            <w:tcW w:w="6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屏体内部线材连接</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屏体内部电缆线，长排线，超五类网线等                                                                                                                                                                 </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77"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九单元两分频</w:t>
            </w:r>
            <w:r>
              <w:rPr>
                <w:rFonts w:hint="eastAsia" w:ascii="宋体" w:hAnsi="宋体" w:cs="宋体"/>
                <w:kern w:val="0"/>
                <w:sz w:val="20"/>
                <w:szCs w:val="20"/>
              </w:rPr>
              <w:br w:type="textWrapping"/>
            </w:r>
            <w:r>
              <w:rPr>
                <w:rFonts w:hint="eastAsia" w:ascii="宋体" w:hAnsi="宋体" w:cs="宋体"/>
                <w:kern w:val="0"/>
                <w:sz w:val="20"/>
                <w:szCs w:val="20"/>
              </w:rPr>
              <w:t>全频铝合金音柱</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★1、≥8*4.5寸低音+1寸号角高音</w:t>
            </w:r>
            <w:r>
              <w:rPr>
                <w:rFonts w:hint="eastAsia" w:ascii="宋体" w:hAnsi="宋体" w:cs="宋体"/>
                <w:kern w:val="0"/>
                <w:sz w:val="20"/>
                <w:szCs w:val="20"/>
              </w:rPr>
              <w:br w:type="textWrapping"/>
            </w:r>
            <w:r>
              <w:rPr>
                <w:rFonts w:hint="eastAsia" w:ascii="宋体" w:hAnsi="宋体" w:cs="宋体"/>
                <w:kern w:val="0"/>
                <w:sz w:val="20"/>
                <w:szCs w:val="20"/>
              </w:rPr>
              <w:t>2、两分频设计，号角压缩高音，整体分频模组</w:t>
            </w:r>
            <w:r>
              <w:rPr>
                <w:rFonts w:hint="eastAsia" w:ascii="宋体" w:hAnsi="宋体" w:cs="宋体"/>
                <w:kern w:val="0"/>
                <w:sz w:val="20"/>
                <w:szCs w:val="20"/>
              </w:rPr>
              <w:br w:type="textWrapping"/>
            </w:r>
            <w:r>
              <w:rPr>
                <w:rFonts w:hint="eastAsia" w:ascii="宋体" w:hAnsi="宋体" w:cs="宋体"/>
                <w:kern w:val="0"/>
                <w:sz w:val="20"/>
                <w:szCs w:val="20"/>
              </w:rPr>
              <w:t>3、号角可旋转≥90度</w:t>
            </w:r>
            <w:r>
              <w:rPr>
                <w:rFonts w:hint="eastAsia" w:ascii="宋体" w:hAnsi="宋体" w:cs="宋体"/>
                <w:kern w:val="0"/>
                <w:sz w:val="20"/>
                <w:szCs w:val="20"/>
              </w:rPr>
              <w:br w:type="textWrapping"/>
            </w:r>
            <w:r>
              <w:rPr>
                <w:rFonts w:hint="eastAsia" w:ascii="宋体" w:hAnsi="宋体" w:cs="宋体"/>
                <w:kern w:val="0"/>
                <w:sz w:val="20"/>
                <w:szCs w:val="20"/>
              </w:rPr>
              <w:t>4、低音单元：铁氧体，20mm音圈</w:t>
            </w:r>
            <w:r>
              <w:rPr>
                <w:rFonts w:hint="eastAsia" w:ascii="宋体" w:hAnsi="宋体" w:cs="宋体"/>
                <w:kern w:val="0"/>
                <w:sz w:val="20"/>
                <w:szCs w:val="20"/>
              </w:rPr>
              <w:br w:type="textWrapping"/>
            </w:r>
            <w:r>
              <w:rPr>
                <w:rFonts w:hint="eastAsia" w:ascii="宋体" w:hAnsi="宋体" w:cs="宋体"/>
                <w:kern w:val="0"/>
                <w:sz w:val="20"/>
                <w:szCs w:val="20"/>
              </w:rPr>
              <w:t xml:space="preserve">5、高音单元：钕铁硼，25mm音圈，压缩加载                                 </w:t>
            </w:r>
            <w:r>
              <w:rPr>
                <w:rFonts w:hint="eastAsia" w:ascii="宋体" w:hAnsi="宋体" w:cs="宋体"/>
                <w:kern w:val="0"/>
                <w:sz w:val="20"/>
                <w:szCs w:val="20"/>
              </w:rPr>
              <w:br w:type="textWrapping"/>
            </w:r>
            <w:r>
              <w:rPr>
                <w:rFonts w:hint="eastAsia" w:ascii="宋体" w:hAnsi="宋体" w:cs="宋体"/>
                <w:kern w:val="0"/>
                <w:sz w:val="20"/>
                <w:szCs w:val="20"/>
              </w:rPr>
              <w:t>6、轴向频率响应：100Hz~18kHz</w:t>
            </w:r>
            <w:r>
              <w:rPr>
                <w:rFonts w:hint="eastAsia" w:ascii="宋体" w:hAnsi="宋体" w:cs="宋体"/>
                <w:kern w:val="0"/>
                <w:sz w:val="20"/>
                <w:szCs w:val="20"/>
              </w:rPr>
              <w:br w:type="textWrapping"/>
            </w:r>
            <w:r>
              <w:rPr>
                <w:rFonts w:hint="eastAsia" w:ascii="宋体" w:hAnsi="宋体" w:cs="宋体"/>
                <w:kern w:val="0"/>
                <w:sz w:val="20"/>
                <w:szCs w:val="20"/>
              </w:rPr>
              <w:t>7、灵敏度（1米/1瓦,f&gt;100Hz）：≥93dB</w:t>
            </w:r>
            <w:r>
              <w:rPr>
                <w:rFonts w:hint="eastAsia" w:ascii="宋体" w:hAnsi="宋体" w:cs="宋体"/>
                <w:kern w:val="0"/>
                <w:sz w:val="20"/>
                <w:szCs w:val="20"/>
              </w:rPr>
              <w:br w:type="textWrapping"/>
            </w:r>
            <w:r>
              <w:rPr>
                <w:rFonts w:hint="eastAsia" w:ascii="宋体" w:hAnsi="宋体" w:cs="宋体"/>
                <w:kern w:val="0"/>
                <w:sz w:val="20"/>
                <w:szCs w:val="20"/>
              </w:rPr>
              <w:t>8、长期声压级：≥117dB，峰值声压级：≥123dB</w:t>
            </w:r>
            <w:r>
              <w:rPr>
                <w:rFonts w:hint="eastAsia" w:ascii="宋体" w:hAnsi="宋体" w:cs="宋体"/>
                <w:kern w:val="0"/>
                <w:sz w:val="20"/>
                <w:szCs w:val="20"/>
              </w:rPr>
              <w:br w:type="textWrapping"/>
            </w:r>
            <w:r>
              <w:rPr>
                <w:rFonts w:hint="eastAsia" w:ascii="宋体" w:hAnsi="宋体" w:cs="宋体"/>
                <w:kern w:val="0"/>
                <w:sz w:val="20"/>
                <w:szCs w:val="20"/>
              </w:rPr>
              <w:t>9、标称阻抗：4欧，指向性：90x90度</w:t>
            </w:r>
            <w:r>
              <w:rPr>
                <w:rFonts w:hint="eastAsia" w:ascii="宋体" w:hAnsi="宋体" w:cs="宋体"/>
                <w:kern w:val="0"/>
                <w:sz w:val="20"/>
                <w:szCs w:val="20"/>
              </w:rPr>
              <w:br w:type="textWrapping"/>
            </w:r>
            <w:r>
              <w:rPr>
                <w:rFonts w:hint="eastAsia" w:ascii="宋体" w:hAnsi="宋体" w:cs="宋体"/>
                <w:kern w:val="0"/>
                <w:sz w:val="20"/>
                <w:szCs w:val="20"/>
              </w:rPr>
              <w:t>10、长期功率：≥260W，峰值功率：≥520W</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3"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主扩专业功放</w:t>
            </w:r>
          </w:p>
        </w:tc>
        <w:tc>
          <w:tcPr>
            <w:tcW w:w="5209" w:type="dxa"/>
            <w:shd w:val="clear" w:color="auto" w:fill="auto"/>
            <w:noWrap w:val="0"/>
            <w:vAlign w:val="center"/>
          </w:tcPr>
          <w:p>
            <w:pPr>
              <w:adjustRightInd w:val="0"/>
              <w:snapToGrid w:val="0"/>
              <w:jc w:val="left"/>
            </w:pPr>
            <w:r>
              <w:rPr>
                <w:rFonts w:hint="eastAsia" w:ascii="宋体" w:hAnsi="宋体" w:cs="宋体"/>
                <w:kern w:val="0"/>
                <w:sz w:val="20"/>
                <w:szCs w:val="20"/>
              </w:rPr>
              <w:t>1、功率：2×850W/8</w:t>
            </w:r>
            <w:r>
              <w:rPr>
                <w:rFonts w:hint="eastAsia" w:ascii="微软雅黑" w:hAnsi="微软雅黑" w:eastAsia="微软雅黑" w:cs="微软雅黑"/>
                <w:kern w:val="0"/>
                <w:sz w:val="20"/>
                <w:szCs w:val="20"/>
              </w:rPr>
              <w:t>Ω</w:t>
            </w:r>
            <w:r>
              <w:rPr>
                <w:rFonts w:hint="eastAsia" w:ascii="宋体" w:hAnsi="宋体" w:cs="宋体"/>
                <w:kern w:val="0"/>
                <w:sz w:val="20"/>
                <w:szCs w:val="20"/>
              </w:rPr>
              <w:t xml:space="preserve">  2×1250W/4</w:t>
            </w:r>
            <w:r>
              <w:rPr>
                <w:rFonts w:hint="eastAsia" w:ascii="微软雅黑" w:hAnsi="微软雅黑" w:eastAsia="微软雅黑" w:cs="微软雅黑"/>
                <w:kern w:val="0"/>
                <w:sz w:val="20"/>
                <w:szCs w:val="20"/>
              </w:rPr>
              <w:t>Ω</w:t>
            </w:r>
            <w:r>
              <w:rPr>
                <w:rFonts w:hint="eastAsia" w:ascii="宋体" w:hAnsi="宋体" w:cs="宋体"/>
                <w:kern w:val="0"/>
                <w:sz w:val="20"/>
                <w:szCs w:val="20"/>
              </w:rPr>
              <w:t xml:space="preserve">  2500W/8</w:t>
            </w:r>
            <w:r>
              <w:rPr>
                <w:rFonts w:hint="eastAsia" w:ascii="微软雅黑" w:hAnsi="微软雅黑" w:eastAsia="微软雅黑" w:cs="微软雅黑"/>
                <w:kern w:val="0"/>
                <w:sz w:val="20"/>
                <w:szCs w:val="20"/>
              </w:rPr>
              <w:t>Ω</w:t>
            </w:r>
            <w:r>
              <w:rPr>
                <w:rFonts w:hint="eastAsia" w:ascii="宋体" w:hAnsi="宋体" w:cs="宋体"/>
                <w:kern w:val="0"/>
                <w:sz w:val="20"/>
                <w:szCs w:val="20"/>
              </w:rPr>
              <w:t xml:space="preserve">桥接 </w:t>
            </w:r>
            <w:r>
              <w:rPr>
                <w:rFonts w:hint="eastAsia" w:ascii="宋体" w:hAnsi="宋体" w:cs="宋体"/>
                <w:kern w:val="0"/>
                <w:sz w:val="20"/>
                <w:szCs w:val="20"/>
              </w:rPr>
              <w:br w:type="textWrapping"/>
            </w:r>
            <w:r>
              <w:rPr>
                <w:rFonts w:hint="eastAsia" w:ascii="宋体" w:hAnsi="宋体" w:cs="宋体"/>
                <w:kern w:val="0"/>
                <w:sz w:val="20"/>
                <w:szCs w:val="20"/>
              </w:rPr>
              <w:t>2、频率响应：20Hz-20KHz,+/-0.5dB</w:t>
            </w:r>
            <w:r>
              <w:rPr>
                <w:rFonts w:hint="eastAsia" w:ascii="宋体" w:hAnsi="宋体" w:cs="宋体"/>
                <w:kern w:val="0"/>
                <w:sz w:val="20"/>
                <w:szCs w:val="20"/>
              </w:rPr>
              <w:br w:type="textWrapping"/>
            </w:r>
            <w:r>
              <w:rPr>
                <w:rFonts w:hint="eastAsia" w:ascii="宋体" w:hAnsi="宋体" w:cs="宋体"/>
                <w:kern w:val="0"/>
                <w:sz w:val="20"/>
                <w:szCs w:val="20"/>
              </w:rPr>
              <w:t>3、总谐波失真：≤0.08%</w:t>
            </w:r>
            <w:r>
              <w:rPr>
                <w:rFonts w:hint="eastAsia" w:ascii="宋体" w:hAnsi="宋体" w:cs="宋体"/>
                <w:kern w:val="0"/>
                <w:sz w:val="20"/>
                <w:szCs w:val="20"/>
              </w:rPr>
              <w:br w:type="textWrapping"/>
            </w:r>
            <w:r>
              <w:rPr>
                <w:rFonts w:hint="eastAsia" w:ascii="宋体" w:hAnsi="宋体" w:cs="宋体"/>
                <w:kern w:val="0"/>
                <w:sz w:val="20"/>
                <w:szCs w:val="20"/>
              </w:rPr>
              <w:t>4、信噪比：≥96dB</w:t>
            </w:r>
            <w:r>
              <w:rPr>
                <w:rFonts w:hint="eastAsia" w:ascii="宋体" w:hAnsi="宋体" w:cs="宋体"/>
                <w:kern w:val="0"/>
                <w:sz w:val="20"/>
                <w:szCs w:val="20"/>
              </w:rPr>
              <w:br w:type="textWrapping"/>
            </w:r>
            <w:r>
              <w:rPr>
                <w:rFonts w:hint="eastAsia" w:ascii="宋体" w:hAnsi="宋体" w:cs="宋体"/>
                <w:kern w:val="0"/>
                <w:sz w:val="20"/>
                <w:szCs w:val="20"/>
              </w:rPr>
              <w:t>5、阻尼系数：≥200</w:t>
            </w:r>
            <w:r>
              <w:rPr>
                <w:rFonts w:hint="eastAsia" w:ascii="宋体" w:hAnsi="宋体" w:cs="宋体"/>
                <w:kern w:val="0"/>
                <w:sz w:val="20"/>
                <w:szCs w:val="20"/>
              </w:rPr>
              <w:br w:type="textWrapping"/>
            </w:r>
            <w:r>
              <w:rPr>
                <w:rFonts w:hint="eastAsia" w:ascii="宋体" w:hAnsi="宋体" w:cs="宋体"/>
                <w:kern w:val="0"/>
                <w:sz w:val="20"/>
                <w:szCs w:val="20"/>
              </w:rPr>
              <w:t>6、输入灵敏度：0.775v/1v/32dB</w:t>
            </w:r>
            <w:r>
              <w:rPr>
                <w:rFonts w:hint="eastAsia" w:ascii="宋体" w:hAnsi="宋体" w:cs="宋体"/>
                <w:kern w:val="0"/>
                <w:sz w:val="20"/>
                <w:szCs w:val="20"/>
              </w:rPr>
              <w:br w:type="textWrapping"/>
            </w:r>
            <w:r>
              <w:rPr>
                <w:rFonts w:hint="eastAsia" w:ascii="宋体" w:hAnsi="宋体" w:cs="宋体"/>
                <w:kern w:val="0"/>
                <w:sz w:val="20"/>
                <w:szCs w:val="20"/>
              </w:rPr>
              <w:t>7、输入阻抗（平衡/不平衡）：20K</w:t>
            </w:r>
            <w:r>
              <w:rPr>
                <w:rFonts w:hint="eastAsia" w:ascii="微软雅黑" w:hAnsi="微软雅黑" w:eastAsia="微软雅黑" w:cs="微软雅黑"/>
                <w:kern w:val="0"/>
                <w:sz w:val="20"/>
                <w:szCs w:val="20"/>
              </w:rPr>
              <w:t>Ω</w:t>
            </w:r>
            <w:r>
              <w:rPr>
                <w:rFonts w:hint="eastAsia" w:ascii="宋体" w:hAnsi="宋体" w:cs="宋体"/>
                <w:kern w:val="0"/>
                <w:sz w:val="20"/>
                <w:szCs w:val="20"/>
              </w:rPr>
              <w:t>/10K</w:t>
            </w:r>
            <w:r>
              <w:rPr>
                <w:rFonts w:hint="eastAsia" w:ascii="微软雅黑" w:hAnsi="微软雅黑" w:eastAsia="微软雅黑" w:cs="微软雅黑"/>
                <w:kern w:val="0"/>
                <w:sz w:val="20"/>
                <w:szCs w:val="20"/>
              </w:rPr>
              <w:t>Ω</w:t>
            </w:r>
            <w:r>
              <w:rPr>
                <w:rFonts w:hint="eastAsia" w:ascii="宋体" w:hAnsi="宋体" w:cs="宋体"/>
                <w:kern w:val="0"/>
                <w:sz w:val="20"/>
                <w:szCs w:val="20"/>
              </w:rPr>
              <w:br w:type="textWrapping"/>
            </w:r>
            <w:r>
              <w:rPr>
                <w:rFonts w:hint="eastAsia" w:ascii="宋体" w:hAnsi="宋体" w:cs="宋体"/>
                <w:kern w:val="0"/>
                <w:sz w:val="20"/>
                <w:szCs w:val="20"/>
              </w:rPr>
              <w:t>8、电压增益（8欧时）：≥40.5dB</w:t>
            </w:r>
            <w:r>
              <w:rPr>
                <w:rFonts w:hint="eastAsia" w:ascii="宋体" w:hAnsi="宋体" w:cs="宋体"/>
                <w:kern w:val="0"/>
                <w:sz w:val="20"/>
                <w:szCs w:val="20"/>
              </w:rPr>
              <w:br w:type="textWrapping"/>
            </w:r>
            <w:r>
              <w:rPr>
                <w:rFonts w:hint="eastAsia" w:ascii="宋体" w:hAnsi="宋体" w:cs="宋体"/>
                <w:kern w:val="0"/>
                <w:sz w:val="20"/>
                <w:szCs w:val="20"/>
              </w:rPr>
              <w:t>9、冷却：从前到后抽风</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五单元两分频</w:t>
            </w:r>
            <w:r>
              <w:rPr>
                <w:rFonts w:hint="eastAsia" w:ascii="宋体" w:hAnsi="宋体" w:cs="宋体"/>
                <w:kern w:val="0"/>
                <w:sz w:val="20"/>
                <w:szCs w:val="20"/>
              </w:rPr>
              <w:br w:type="textWrapping"/>
            </w:r>
            <w:r>
              <w:rPr>
                <w:rFonts w:hint="eastAsia" w:ascii="宋体" w:hAnsi="宋体" w:cs="宋体"/>
                <w:kern w:val="0"/>
                <w:sz w:val="20"/>
                <w:szCs w:val="20"/>
              </w:rPr>
              <w:t>全频铝合金音柱</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★1、≥4*4.5寸低音+1寸号角高音</w:t>
            </w:r>
            <w:r>
              <w:rPr>
                <w:rFonts w:hint="eastAsia" w:ascii="宋体" w:hAnsi="宋体" w:cs="宋体"/>
                <w:kern w:val="0"/>
                <w:sz w:val="20"/>
                <w:szCs w:val="20"/>
              </w:rPr>
              <w:br w:type="textWrapping"/>
            </w:r>
            <w:r>
              <w:rPr>
                <w:rFonts w:hint="eastAsia" w:ascii="宋体" w:hAnsi="宋体" w:cs="宋体"/>
                <w:kern w:val="0"/>
                <w:sz w:val="20"/>
                <w:szCs w:val="20"/>
              </w:rPr>
              <w:t>2、两分频设计，号角压缩高音，整体分频模组</w:t>
            </w:r>
            <w:r>
              <w:rPr>
                <w:rFonts w:hint="eastAsia" w:ascii="宋体" w:hAnsi="宋体" w:cs="宋体"/>
                <w:kern w:val="0"/>
                <w:sz w:val="20"/>
                <w:szCs w:val="20"/>
              </w:rPr>
              <w:br w:type="textWrapping"/>
            </w:r>
            <w:r>
              <w:rPr>
                <w:rFonts w:hint="eastAsia" w:ascii="宋体" w:hAnsi="宋体" w:cs="宋体"/>
                <w:kern w:val="0"/>
                <w:sz w:val="20"/>
                <w:szCs w:val="20"/>
              </w:rPr>
              <w:t>3、号角可旋转≥90度</w:t>
            </w:r>
            <w:r>
              <w:rPr>
                <w:rFonts w:hint="eastAsia" w:ascii="宋体" w:hAnsi="宋体" w:cs="宋体"/>
                <w:kern w:val="0"/>
                <w:sz w:val="20"/>
                <w:szCs w:val="20"/>
              </w:rPr>
              <w:br w:type="textWrapping"/>
            </w:r>
            <w:r>
              <w:rPr>
                <w:rFonts w:hint="eastAsia" w:ascii="宋体" w:hAnsi="宋体" w:cs="宋体"/>
                <w:kern w:val="0"/>
                <w:sz w:val="20"/>
                <w:szCs w:val="20"/>
              </w:rPr>
              <w:t>4、低音单元：铁氧体，20mm音圈</w:t>
            </w:r>
            <w:r>
              <w:rPr>
                <w:rFonts w:hint="eastAsia" w:ascii="宋体" w:hAnsi="宋体" w:cs="宋体"/>
                <w:kern w:val="0"/>
                <w:sz w:val="20"/>
                <w:szCs w:val="20"/>
              </w:rPr>
              <w:br w:type="textWrapping"/>
            </w:r>
            <w:r>
              <w:rPr>
                <w:rFonts w:hint="eastAsia" w:ascii="宋体" w:hAnsi="宋体" w:cs="宋体"/>
                <w:kern w:val="0"/>
                <w:sz w:val="20"/>
                <w:szCs w:val="20"/>
              </w:rPr>
              <w:t>5、高音单元：钕铁硼，25mm音圈，压缩加载                                     6、轴向频率响应：120Hz~18kHz</w:t>
            </w:r>
            <w:r>
              <w:rPr>
                <w:rFonts w:hint="eastAsia" w:ascii="宋体" w:hAnsi="宋体" w:cs="宋体"/>
                <w:kern w:val="0"/>
                <w:sz w:val="20"/>
                <w:szCs w:val="20"/>
              </w:rPr>
              <w:br w:type="textWrapping"/>
            </w:r>
            <w:r>
              <w:rPr>
                <w:rFonts w:hint="eastAsia" w:ascii="宋体" w:hAnsi="宋体" w:cs="宋体"/>
                <w:kern w:val="0"/>
                <w:sz w:val="20"/>
                <w:szCs w:val="20"/>
              </w:rPr>
              <w:t>7、灵敏度（1米/1瓦,f&gt;100Hz）：≥90dB</w:t>
            </w:r>
            <w:r>
              <w:rPr>
                <w:rFonts w:hint="eastAsia" w:ascii="宋体" w:hAnsi="宋体" w:cs="宋体"/>
                <w:kern w:val="0"/>
                <w:sz w:val="20"/>
                <w:szCs w:val="20"/>
              </w:rPr>
              <w:br w:type="textWrapping"/>
            </w:r>
            <w:r>
              <w:rPr>
                <w:rFonts w:hint="eastAsia" w:ascii="宋体" w:hAnsi="宋体" w:cs="宋体"/>
                <w:kern w:val="0"/>
                <w:sz w:val="20"/>
                <w:szCs w:val="20"/>
              </w:rPr>
              <w:t>8、长期声压级：≥112dB，峰值声压级：≥118dB</w:t>
            </w:r>
            <w:r>
              <w:rPr>
                <w:rFonts w:hint="eastAsia" w:ascii="宋体" w:hAnsi="宋体" w:cs="宋体"/>
                <w:kern w:val="0"/>
                <w:sz w:val="20"/>
                <w:szCs w:val="20"/>
              </w:rPr>
              <w:br w:type="textWrapping"/>
            </w:r>
            <w:r>
              <w:rPr>
                <w:rFonts w:hint="eastAsia" w:ascii="宋体" w:hAnsi="宋体" w:cs="宋体"/>
                <w:kern w:val="0"/>
                <w:sz w:val="20"/>
                <w:szCs w:val="20"/>
              </w:rPr>
              <w:t>9、标称阻抗：8欧，指向性：90</w:t>
            </w:r>
            <w:r>
              <w:rPr>
                <w:rFonts w:ascii="宋体" w:hAnsi="宋体" w:cs="宋体"/>
                <w:kern w:val="0"/>
                <w:sz w:val="20"/>
                <w:szCs w:val="20"/>
              </w:rPr>
              <w:t>*</w:t>
            </w:r>
            <w:r>
              <w:rPr>
                <w:rFonts w:hint="eastAsia" w:ascii="宋体" w:hAnsi="宋体" w:cs="宋体"/>
                <w:kern w:val="0"/>
                <w:sz w:val="20"/>
                <w:szCs w:val="20"/>
              </w:rPr>
              <w:t>90度</w:t>
            </w:r>
            <w:r>
              <w:rPr>
                <w:rFonts w:hint="eastAsia" w:ascii="宋体" w:hAnsi="宋体" w:cs="宋体"/>
                <w:kern w:val="0"/>
                <w:sz w:val="20"/>
                <w:szCs w:val="20"/>
              </w:rPr>
              <w:br w:type="textWrapping"/>
            </w:r>
            <w:r>
              <w:rPr>
                <w:rFonts w:hint="eastAsia" w:ascii="宋体" w:hAnsi="宋体" w:cs="宋体"/>
                <w:kern w:val="0"/>
                <w:sz w:val="20"/>
                <w:szCs w:val="20"/>
              </w:rPr>
              <w:t>10、长期功率：≥140W，峰值功率：≥280W</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4</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42"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辅助专业功放</w:t>
            </w:r>
          </w:p>
        </w:tc>
        <w:tc>
          <w:tcPr>
            <w:tcW w:w="5209" w:type="dxa"/>
            <w:shd w:val="clear" w:color="auto" w:fill="auto"/>
            <w:noWrap w:val="0"/>
            <w:vAlign w:val="center"/>
          </w:tcPr>
          <w:p>
            <w:pPr>
              <w:pStyle w:val="30"/>
              <w:numPr>
                <w:ilvl w:val="0"/>
                <w:numId w:val="0"/>
              </w:numPr>
              <w:tabs>
                <w:tab w:val="clear" w:pos="1211"/>
              </w:tabs>
              <w:adjustRightInd w:val="0"/>
              <w:snapToGrid w:val="0"/>
              <w:spacing w:before="0" w:beforeLines="0" w:after="0" w:afterLines="0" w:line="240" w:lineRule="auto"/>
              <w:ind w:left="34"/>
              <w:jc w:val="left"/>
              <w:rPr>
                <w:sz w:val="21"/>
                <w:szCs w:val="21"/>
              </w:rPr>
            </w:pPr>
            <w:r>
              <w:rPr>
                <w:rFonts w:hint="eastAsia" w:hAnsi="宋体" w:cs="宋体"/>
                <w:kern w:val="0"/>
                <w:sz w:val="20"/>
                <w:szCs w:val="20"/>
              </w:rPr>
              <w:t>1、功率：2×350W/8</w:t>
            </w:r>
            <w:r>
              <w:rPr>
                <w:rFonts w:hint="eastAsia" w:ascii="微软雅黑" w:hAnsi="微软雅黑" w:eastAsia="微软雅黑" w:cs="微软雅黑"/>
                <w:kern w:val="0"/>
                <w:sz w:val="20"/>
                <w:szCs w:val="20"/>
              </w:rPr>
              <w:t>Ω</w:t>
            </w:r>
            <w:r>
              <w:rPr>
                <w:rFonts w:hint="eastAsia" w:hAnsi="宋体" w:cs="宋体"/>
                <w:kern w:val="0"/>
                <w:sz w:val="20"/>
                <w:szCs w:val="20"/>
              </w:rPr>
              <w:t xml:space="preserve">  2×550W/4</w:t>
            </w:r>
            <w:r>
              <w:rPr>
                <w:rFonts w:hint="eastAsia" w:ascii="微软雅黑" w:hAnsi="微软雅黑" w:eastAsia="微软雅黑" w:cs="微软雅黑"/>
                <w:kern w:val="0"/>
                <w:sz w:val="20"/>
                <w:szCs w:val="20"/>
              </w:rPr>
              <w:t>Ω</w:t>
            </w:r>
            <w:r>
              <w:rPr>
                <w:rFonts w:hint="eastAsia" w:hAnsi="宋体" w:cs="宋体"/>
                <w:kern w:val="0"/>
                <w:sz w:val="20"/>
                <w:szCs w:val="20"/>
              </w:rPr>
              <w:t xml:space="preserve">  1100W/8</w:t>
            </w:r>
            <w:r>
              <w:rPr>
                <w:rFonts w:hint="eastAsia" w:ascii="微软雅黑" w:hAnsi="微软雅黑" w:eastAsia="微软雅黑" w:cs="微软雅黑"/>
                <w:kern w:val="0"/>
                <w:sz w:val="20"/>
                <w:szCs w:val="20"/>
              </w:rPr>
              <w:t>Ω</w:t>
            </w:r>
            <w:r>
              <w:rPr>
                <w:rFonts w:hint="eastAsia" w:hAnsi="宋体" w:cs="宋体"/>
                <w:kern w:val="0"/>
                <w:sz w:val="20"/>
                <w:szCs w:val="20"/>
              </w:rPr>
              <w:t xml:space="preserve">桥接 </w:t>
            </w:r>
            <w:r>
              <w:rPr>
                <w:rFonts w:hint="eastAsia" w:hAnsi="宋体" w:cs="宋体"/>
                <w:kern w:val="0"/>
                <w:sz w:val="20"/>
                <w:szCs w:val="20"/>
              </w:rPr>
              <w:br w:type="textWrapping"/>
            </w:r>
            <w:r>
              <w:rPr>
                <w:rFonts w:hint="eastAsia" w:hAnsi="宋体" w:cs="宋体"/>
                <w:kern w:val="0"/>
                <w:sz w:val="20"/>
                <w:szCs w:val="20"/>
              </w:rPr>
              <w:t>2、频率响应：20Hz-20KHz,+/-0.5dB</w:t>
            </w:r>
            <w:r>
              <w:rPr>
                <w:rFonts w:hint="eastAsia" w:hAnsi="宋体" w:cs="宋体"/>
                <w:kern w:val="0"/>
                <w:sz w:val="20"/>
                <w:szCs w:val="20"/>
              </w:rPr>
              <w:br w:type="textWrapping"/>
            </w:r>
            <w:r>
              <w:rPr>
                <w:rFonts w:hint="eastAsia" w:hAnsi="宋体" w:cs="宋体"/>
                <w:kern w:val="0"/>
                <w:sz w:val="20"/>
                <w:szCs w:val="20"/>
              </w:rPr>
              <w:t>3、总谐波失真：≤0.05%</w:t>
            </w:r>
            <w:r>
              <w:rPr>
                <w:rFonts w:hint="eastAsia" w:hAnsi="宋体" w:cs="宋体"/>
                <w:kern w:val="0"/>
                <w:sz w:val="20"/>
                <w:szCs w:val="20"/>
              </w:rPr>
              <w:br w:type="textWrapping"/>
            </w:r>
            <w:r>
              <w:rPr>
                <w:rFonts w:hint="eastAsia" w:hAnsi="宋体" w:cs="宋体"/>
                <w:kern w:val="0"/>
                <w:sz w:val="20"/>
                <w:szCs w:val="20"/>
              </w:rPr>
              <w:t>4、信噪比：≥96dB</w:t>
            </w:r>
            <w:r>
              <w:rPr>
                <w:rFonts w:hint="eastAsia" w:hAnsi="宋体" w:cs="宋体"/>
                <w:kern w:val="0"/>
                <w:sz w:val="20"/>
                <w:szCs w:val="20"/>
              </w:rPr>
              <w:br w:type="textWrapping"/>
            </w:r>
            <w:r>
              <w:rPr>
                <w:rFonts w:hint="eastAsia" w:hAnsi="宋体" w:cs="宋体"/>
                <w:kern w:val="0"/>
                <w:sz w:val="20"/>
                <w:szCs w:val="20"/>
              </w:rPr>
              <w:t>5、阻尼系数：≥300</w:t>
            </w:r>
            <w:r>
              <w:rPr>
                <w:rFonts w:hint="eastAsia" w:hAnsi="宋体" w:cs="宋体"/>
                <w:kern w:val="0"/>
                <w:sz w:val="20"/>
                <w:szCs w:val="20"/>
              </w:rPr>
              <w:br w:type="textWrapping"/>
            </w:r>
            <w:r>
              <w:rPr>
                <w:rFonts w:hint="eastAsia" w:hAnsi="宋体" w:cs="宋体"/>
                <w:kern w:val="0"/>
                <w:sz w:val="20"/>
                <w:szCs w:val="20"/>
              </w:rPr>
              <w:t>6、输入灵敏度：0.775v/1v/32dB</w:t>
            </w:r>
            <w:r>
              <w:rPr>
                <w:rFonts w:hint="eastAsia" w:hAnsi="宋体" w:cs="宋体"/>
                <w:kern w:val="0"/>
                <w:sz w:val="20"/>
                <w:szCs w:val="20"/>
              </w:rPr>
              <w:br w:type="textWrapping"/>
            </w:r>
            <w:r>
              <w:rPr>
                <w:rFonts w:hint="eastAsia" w:hAnsi="宋体" w:cs="宋体"/>
                <w:kern w:val="0"/>
                <w:sz w:val="20"/>
                <w:szCs w:val="20"/>
              </w:rPr>
              <w:t>7、输入阻抗（平衡/不平衡）：20K</w:t>
            </w:r>
            <w:r>
              <w:rPr>
                <w:rFonts w:hint="eastAsia" w:ascii="微软雅黑" w:hAnsi="微软雅黑" w:eastAsia="微软雅黑" w:cs="微软雅黑"/>
                <w:kern w:val="0"/>
                <w:sz w:val="20"/>
                <w:szCs w:val="20"/>
              </w:rPr>
              <w:t>Ω</w:t>
            </w:r>
            <w:r>
              <w:rPr>
                <w:rFonts w:hint="eastAsia" w:hAnsi="宋体" w:cs="宋体"/>
                <w:kern w:val="0"/>
                <w:sz w:val="20"/>
                <w:szCs w:val="20"/>
              </w:rPr>
              <w:t>/10K</w:t>
            </w:r>
            <w:r>
              <w:rPr>
                <w:rFonts w:hint="eastAsia" w:ascii="微软雅黑" w:hAnsi="微软雅黑" w:eastAsia="微软雅黑" w:cs="微软雅黑"/>
                <w:kern w:val="0"/>
                <w:sz w:val="20"/>
                <w:szCs w:val="20"/>
              </w:rPr>
              <w:t>Ω</w:t>
            </w:r>
            <w:r>
              <w:rPr>
                <w:rFonts w:hint="eastAsia" w:hAnsi="宋体" w:cs="宋体"/>
                <w:kern w:val="0"/>
                <w:sz w:val="20"/>
                <w:szCs w:val="20"/>
              </w:rPr>
              <w:br w:type="textWrapping"/>
            </w:r>
            <w:r>
              <w:rPr>
                <w:rFonts w:hint="eastAsia" w:hAnsi="宋体" w:cs="宋体"/>
                <w:kern w:val="0"/>
                <w:sz w:val="20"/>
                <w:szCs w:val="20"/>
              </w:rPr>
              <w:t>8、电压增益（8</w:t>
            </w:r>
            <w:r>
              <w:rPr>
                <w:rFonts w:hint="eastAsia" w:ascii="微软雅黑" w:hAnsi="微软雅黑" w:eastAsia="微软雅黑" w:cs="微软雅黑"/>
                <w:kern w:val="0"/>
                <w:sz w:val="20"/>
                <w:szCs w:val="20"/>
              </w:rPr>
              <w:t>Ω</w:t>
            </w:r>
            <w:r>
              <w:rPr>
                <w:rFonts w:hint="eastAsia" w:hAnsi="宋体" w:cs="宋体"/>
                <w:kern w:val="0"/>
                <w:sz w:val="20"/>
                <w:szCs w:val="20"/>
              </w:rPr>
              <w:t>时）：≥37dB</w:t>
            </w:r>
            <w:r>
              <w:rPr>
                <w:rFonts w:hint="eastAsia" w:hAnsi="宋体" w:cs="宋体"/>
                <w:kern w:val="0"/>
                <w:sz w:val="20"/>
                <w:szCs w:val="20"/>
              </w:rPr>
              <w:br w:type="textWrapping"/>
            </w:r>
            <w:r>
              <w:rPr>
                <w:rFonts w:hint="eastAsia" w:hAnsi="宋体" w:cs="宋体"/>
                <w:kern w:val="0"/>
                <w:sz w:val="20"/>
                <w:szCs w:val="20"/>
              </w:rPr>
              <w:t>9、冷却：从前到后抽风</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3"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音柱支架</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材料：铁；颜色：黑色；表面烤漆：烤漆无光黑色</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调音台</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≥10个话筒</w:t>
            </w:r>
            <w:r>
              <w:rPr>
                <w:rFonts w:ascii="宋体" w:hAnsi="宋体" w:cs="宋体"/>
                <w:kern w:val="0"/>
                <w:sz w:val="20"/>
                <w:szCs w:val="20"/>
              </w:rPr>
              <w:t>/</w:t>
            </w:r>
            <w:r>
              <w:rPr>
                <w:rFonts w:hint="eastAsia" w:ascii="宋体" w:hAnsi="宋体" w:cs="宋体"/>
                <w:kern w:val="0"/>
                <w:sz w:val="20"/>
                <w:szCs w:val="20"/>
              </w:rPr>
              <w:t>16个线路输入 (8个单声道 + 4个立体声)，4编组母线 + 1立体声母线，4 AUX (包括FX)</w:t>
            </w:r>
            <w:r>
              <w:rPr>
                <w:rFonts w:hint="eastAsia" w:ascii="宋体" w:hAnsi="宋体" w:cs="宋体"/>
                <w:kern w:val="0"/>
                <w:sz w:val="20"/>
                <w:szCs w:val="20"/>
              </w:rPr>
              <w:br w:type="textWrapping"/>
            </w:r>
            <w:r>
              <w:rPr>
                <w:rFonts w:hint="eastAsia" w:ascii="宋体" w:hAnsi="宋体" w:cs="宋体"/>
                <w:kern w:val="0"/>
                <w:sz w:val="20"/>
                <w:szCs w:val="20"/>
              </w:rPr>
              <w:t>“D-PRE”话放，带有倒向晶体管电路。</w:t>
            </w:r>
            <w:r>
              <w:rPr>
                <w:rFonts w:hint="eastAsia" w:ascii="宋体" w:hAnsi="宋体" w:cs="宋体"/>
                <w:kern w:val="0"/>
                <w:sz w:val="20"/>
                <w:szCs w:val="20"/>
              </w:rPr>
              <w:br w:type="textWrapping"/>
            </w:r>
            <w:r>
              <w:rPr>
                <w:rFonts w:hint="eastAsia" w:ascii="宋体" w:hAnsi="宋体" w:cs="宋体"/>
                <w:kern w:val="0"/>
                <w:sz w:val="20"/>
                <w:szCs w:val="20"/>
              </w:rPr>
              <w:t>单旋钮压缩器</w:t>
            </w:r>
            <w:r>
              <w:rPr>
                <w:rFonts w:hint="eastAsia" w:ascii="宋体" w:hAnsi="宋体" w:cs="宋体"/>
                <w:kern w:val="0"/>
                <w:sz w:val="20"/>
                <w:szCs w:val="20"/>
              </w:rPr>
              <w:br w:type="textWrapping"/>
            </w:r>
            <w:r>
              <w:rPr>
                <w:rFonts w:hint="eastAsia" w:ascii="宋体" w:hAnsi="宋体" w:cs="宋体"/>
                <w:kern w:val="0"/>
                <w:sz w:val="20"/>
                <w:szCs w:val="20"/>
              </w:rPr>
              <w:t>单声道输入通道上的PAD开关</w:t>
            </w:r>
            <w:r>
              <w:rPr>
                <w:rFonts w:hint="eastAsia" w:ascii="宋体" w:hAnsi="宋体" w:cs="宋体"/>
                <w:kern w:val="0"/>
                <w:sz w:val="20"/>
                <w:szCs w:val="20"/>
              </w:rPr>
              <w:br w:type="textWrapping"/>
            </w:r>
            <w:r>
              <w:rPr>
                <w:rFonts w:hint="eastAsia" w:ascii="宋体" w:hAnsi="宋体" w:cs="宋体"/>
                <w:kern w:val="0"/>
                <w:sz w:val="20"/>
                <w:szCs w:val="20"/>
              </w:rPr>
              <w:t>+48V幻象供电</w:t>
            </w:r>
            <w:r>
              <w:rPr>
                <w:rFonts w:hint="eastAsia" w:ascii="宋体" w:hAnsi="宋体" w:cs="宋体"/>
                <w:kern w:val="0"/>
                <w:sz w:val="20"/>
                <w:szCs w:val="20"/>
              </w:rPr>
              <w:br w:type="textWrapping"/>
            </w:r>
            <w:r>
              <w:rPr>
                <w:rFonts w:hint="eastAsia" w:ascii="宋体" w:hAnsi="宋体" w:cs="宋体"/>
                <w:kern w:val="0"/>
                <w:sz w:val="20"/>
                <w:szCs w:val="20"/>
              </w:rPr>
              <w:t>XLR平衡输出</w:t>
            </w:r>
            <w:r>
              <w:rPr>
                <w:rFonts w:hint="eastAsia" w:ascii="宋体" w:hAnsi="宋体" w:cs="宋体"/>
                <w:kern w:val="0"/>
                <w:sz w:val="20"/>
                <w:szCs w:val="20"/>
              </w:rPr>
              <w:br w:type="textWrapping"/>
            </w:r>
            <w:r>
              <w:rPr>
                <w:rFonts w:hint="eastAsia" w:ascii="宋体" w:hAnsi="宋体" w:cs="宋体"/>
                <w:kern w:val="0"/>
                <w:sz w:val="20"/>
                <w:szCs w:val="20"/>
              </w:rPr>
              <w:t>世界通用的内部全局供电</w:t>
            </w:r>
            <w:r>
              <w:rPr>
                <w:rFonts w:hint="eastAsia" w:ascii="宋体" w:hAnsi="宋体" w:cs="宋体"/>
                <w:kern w:val="0"/>
                <w:sz w:val="20"/>
                <w:szCs w:val="20"/>
              </w:rPr>
              <w:br w:type="textWrapping"/>
            </w:r>
            <w:r>
              <w:rPr>
                <w:rFonts w:hint="eastAsia" w:ascii="宋体" w:hAnsi="宋体" w:cs="宋体"/>
                <w:kern w:val="0"/>
                <w:sz w:val="20"/>
                <w:szCs w:val="20"/>
              </w:rPr>
              <w:t>包含机柜安装套件</w:t>
            </w:r>
            <w:r>
              <w:rPr>
                <w:rFonts w:hint="eastAsia" w:ascii="宋体" w:hAnsi="宋体" w:cs="宋体"/>
                <w:kern w:val="0"/>
                <w:sz w:val="20"/>
                <w:szCs w:val="20"/>
              </w:rPr>
              <w:br w:type="textWrapping"/>
            </w:r>
            <w:r>
              <w:rPr>
                <w:rFonts w:hint="eastAsia" w:ascii="宋体" w:hAnsi="宋体" w:cs="宋体"/>
                <w:kern w:val="0"/>
                <w:sz w:val="20"/>
                <w:szCs w:val="20"/>
              </w:rPr>
              <w:t>金属机身</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音频处理器</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需提供自定义的用户操作界面；</w:t>
            </w:r>
            <w:r>
              <w:rPr>
                <w:rFonts w:hint="eastAsia" w:ascii="宋体" w:hAnsi="宋体" w:cs="宋体"/>
                <w:kern w:val="0"/>
                <w:sz w:val="20"/>
                <w:szCs w:val="20"/>
              </w:rPr>
              <w:br w:type="textWrapping"/>
            </w:r>
            <w:r>
              <w:rPr>
                <w:rFonts w:hint="eastAsia" w:ascii="宋体" w:hAnsi="宋体" w:cs="宋体"/>
                <w:kern w:val="0"/>
                <w:sz w:val="20"/>
                <w:szCs w:val="20"/>
              </w:rPr>
              <w:t>需内置≥2x2USB声卡，支持录播和远程会议；</w:t>
            </w:r>
            <w:r>
              <w:rPr>
                <w:rFonts w:hint="eastAsia" w:ascii="宋体" w:hAnsi="宋体" w:cs="宋体"/>
                <w:kern w:val="0"/>
                <w:sz w:val="20"/>
                <w:szCs w:val="20"/>
              </w:rPr>
              <w:br w:type="textWrapping"/>
            </w:r>
            <w:r>
              <w:rPr>
                <w:rFonts w:hint="eastAsia" w:ascii="宋体" w:hAnsi="宋体" w:cs="宋体"/>
                <w:kern w:val="0"/>
                <w:sz w:val="20"/>
                <w:szCs w:val="20"/>
              </w:rPr>
              <w:t>处理器芯片采用ADI 架构，不低于40bit DSP浮点运算引擎；</w:t>
            </w:r>
            <w:r>
              <w:rPr>
                <w:rFonts w:hint="eastAsia" w:ascii="宋体" w:hAnsi="宋体" w:cs="宋体"/>
                <w:kern w:val="0"/>
                <w:sz w:val="20"/>
                <w:szCs w:val="20"/>
              </w:rPr>
              <w:br w:type="textWrapping"/>
            </w:r>
            <w:r>
              <w:rPr>
                <w:rFonts w:hint="eastAsia" w:ascii="宋体" w:hAnsi="宋体" w:cs="宋体"/>
                <w:kern w:val="0"/>
                <w:sz w:val="20"/>
                <w:szCs w:val="20"/>
              </w:rPr>
              <w:t>模拟输入输出通道数量不少于8*8；</w:t>
            </w:r>
            <w:r>
              <w:rPr>
                <w:rFonts w:hint="eastAsia" w:ascii="宋体" w:hAnsi="宋体" w:cs="宋体"/>
                <w:kern w:val="0"/>
                <w:sz w:val="20"/>
                <w:szCs w:val="20"/>
              </w:rPr>
              <w:br w:type="textWrapping"/>
            </w:r>
            <w:r>
              <w:rPr>
                <w:rFonts w:hint="eastAsia" w:ascii="宋体" w:hAnsi="宋体" w:cs="宋体"/>
                <w:kern w:val="0"/>
                <w:sz w:val="20"/>
                <w:szCs w:val="20"/>
              </w:rPr>
              <w:t>输入输出量化不低于48KHz/24bit；</w:t>
            </w:r>
            <w:r>
              <w:rPr>
                <w:rFonts w:hint="eastAsia" w:ascii="宋体" w:hAnsi="宋体" w:cs="宋体"/>
                <w:kern w:val="0"/>
                <w:sz w:val="20"/>
                <w:szCs w:val="20"/>
              </w:rPr>
              <w:br w:type="textWrapping"/>
            </w:r>
            <w:r>
              <w:rPr>
                <w:rFonts w:hint="eastAsia" w:ascii="宋体" w:hAnsi="宋体" w:cs="宋体"/>
                <w:kern w:val="0"/>
                <w:sz w:val="20"/>
                <w:szCs w:val="20"/>
              </w:rPr>
              <w:t>输入通道应该具备：</w:t>
            </w:r>
            <w:r>
              <w:rPr>
                <w:rFonts w:hint="eastAsia" w:ascii="宋体" w:hAnsi="宋体" w:cs="宋体"/>
                <w:kern w:val="0"/>
                <w:sz w:val="20"/>
                <w:szCs w:val="20"/>
              </w:rPr>
              <w:br w:type="textWrapping"/>
            </w:r>
            <w:r>
              <w:rPr>
                <w:rFonts w:hint="eastAsia" w:ascii="宋体" w:hAnsi="宋体" w:cs="宋体"/>
                <w:kern w:val="0"/>
                <w:sz w:val="20"/>
                <w:szCs w:val="20"/>
              </w:rPr>
              <w:t>不低于8段PEQ ，且提供不低于五种滤波器类型选择；</w:t>
            </w:r>
            <w:r>
              <w:rPr>
                <w:rFonts w:hint="eastAsia" w:ascii="宋体" w:hAnsi="宋体" w:cs="宋体"/>
                <w:kern w:val="0"/>
                <w:sz w:val="20"/>
                <w:szCs w:val="20"/>
              </w:rPr>
              <w:br w:type="textWrapping"/>
            </w:r>
            <w:r>
              <w:rPr>
                <w:rFonts w:hint="eastAsia" w:ascii="宋体" w:hAnsi="宋体" w:cs="宋体"/>
                <w:kern w:val="0"/>
                <w:sz w:val="20"/>
                <w:szCs w:val="20"/>
              </w:rPr>
              <w:t>增益共享自动混音(AMC)、</w:t>
            </w:r>
            <w:r>
              <w:rPr>
                <w:rFonts w:hint="eastAsia" w:ascii="宋体" w:hAnsi="宋体" w:cs="宋体"/>
                <w:kern w:val="0"/>
                <w:sz w:val="20"/>
                <w:szCs w:val="20"/>
              </w:rPr>
              <w:br w:type="textWrapping"/>
            </w:r>
            <w:r>
              <w:rPr>
                <w:rFonts w:hint="eastAsia" w:ascii="宋体" w:hAnsi="宋体" w:cs="宋体"/>
                <w:kern w:val="0"/>
                <w:sz w:val="20"/>
                <w:szCs w:val="20"/>
              </w:rPr>
              <w:t>自动增益(AGC);</w:t>
            </w:r>
            <w:r>
              <w:rPr>
                <w:rFonts w:hint="eastAsia" w:ascii="宋体" w:hAnsi="宋体" w:cs="宋体"/>
                <w:kern w:val="0"/>
                <w:sz w:val="20"/>
                <w:szCs w:val="20"/>
              </w:rPr>
              <w:br w:type="textWrapping"/>
            </w:r>
            <w:r>
              <w:rPr>
                <w:rFonts w:hint="eastAsia" w:ascii="宋体" w:hAnsi="宋体" w:cs="宋体"/>
                <w:kern w:val="0"/>
                <w:sz w:val="20"/>
                <w:szCs w:val="20"/>
              </w:rPr>
              <w:t>每个通道应不低于8个点的自适应反馈抑制（AFC）；</w:t>
            </w:r>
            <w:r>
              <w:rPr>
                <w:rFonts w:hint="eastAsia" w:ascii="宋体" w:hAnsi="宋体" w:cs="宋体"/>
                <w:kern w:val="0"/>
                <w:sz w:val="20"/>
                <w:szCs w:val="20"/>
              </w:rPr>
              <w:br w:type="textWrapping"/>
            </w:r>
            <w:r>
              <w:rPr>
                <w:rFonts w:hint="eastAsia" w:ascii="宋体" w:hAnsi="宋体" w:cs="宋体"/>
                <w:kern w:val="0"/>
                <w:sz w:val="20"/>
                <w:szCs w:val="20"/>
              </w:rPr>
              <w:t>输出通道应该具备：</w:t>
            </w:r>
            <w:r>
              <w:rPr>
                <w:rFonts w:hint="eastAsia" w:ascii="宋体" w:hAnsi="宋体" w:cs="宋体"/>
                <w:kern w:val="0"/>
                <w:sz w:val="20"/>
                <w:szCs w:val="20"/>
              </w:rPr>
              <w:br w:type="textWrapping"/>
            </w:r>
            <w:r>
              <w:rPr>
                <w:rFonts w:hint="eastAsia" w:ascii="宋体" w:hAnsi="宋体" w:cs="宋体"/>
                <w:kern w:val="0"/>
                <w:sz w:val="20"/>
                <w:szCs w:val="20"/>
              </w:rPr>
              <w:t>不低于8段PEQ,分频器、延时器、限幅器。</w:t>
            </w:r>
            <w:r>
              <w:rPr>
                <w:rFonts w:hint="eastAsia" w:ascii="宋体" w:hAnsi="宋体" w:cs="宋体"/>
                <w:kern w:val="0"/>
                <w:sz w:val="20"/>
                <w:szCs w:val="20"/>
              </w:rPr>
              <w:br w:type="textWrapping"/>
            </w:r>
            <w:r>
              <w:rPr>
                <w:rFonts w:hint="eastAsia" w:ascii="宋体" w:hAnsi="宋体" w:cs="宋体"/>
                <w:kern w:val="0"/>
                <w:sz w:val="20"/>
                <w:szCs w:val="20"/>
              </w:rPr>
              <w:t>不低于14 x10 矩阵；</w:t>
            </w:r>
            <w:r>
              <w:rPr>
                <w:rFonts w:hint="eastAsia" w:ascii="宋体" w:hAnsi="宋体" w:cs="宋体"/>
                <w:kern w:val="0"/>
                <w:sz w:val="20"/>
                <w:szCs w:val="20"/>
              </w:rPr>
              <w:br w:type="textWrapping"/>
            </w:r>
            <w:r>
              <w:rPr>
                <w:rFonts w:hint="eastAsia" w:ascii="宋体" w:hAnsi="宋体" w:cs="宋体"/>
                <w:kern w:val="0"/>
                <w:sz w:val="20"/>
                <w:szCs w:val="20"/>
              </w:rPr>
              <w:t>不低于16组预设；</w:t>
            </w:r>
            <w:r>
              <w:rPr>
                <w:rFonts w:hint="eastAsia" w:ascii="宋体" w:hAnsi="宋体" w:cs="宋体"/>
                <w:kern w:val="0"/>
                <w:sz w:val="20"/>
                <w:szCs w:val="20"/>
              </w:rPr>
              <w:br w:type="textWrapping"/>
            </w:r>
            <w:r>
              <w:rPr>
                <w:rFonts w:hint="eastAsia" w:ascii="宋体" w:hAnsi="宋体" w:cs="宋体"/>
                <w:kern w:val="0"/>
                <w:sz w:val="20"/>
                <w:szCs w:val="20"/>
              </w:rPr>
              <w:t>不低于4组GPIO</w:t>
            </w:r>
            <w:r>
              <w:rPr>
                <w:rFonts w:hint="eastAsia" w:ascii="宋体" w:hAnsi="宋体" w:cs="宋体"/>
                <w:kern w:val="0"/>
                <w:sz w:val="20"/>
                <w:szCs w:val="20"/>
              </w:rPr>
              <w:br w:type="textWrapping"/>
            </w:r>
            <w:r>
              <w:rPr>
                <w:rFonts w:hint="eastAsia" w:ascii="宋体" w:hAnsi="宋体" w:cs="宋体"/>
                <w:kern w:val="0"/>
                <w:sz w:val="20"/>
                <w:szCs w:val="20"/>
              </w:rPr>
              <w:t>支持输入输出通道LINK和分组功能；</w:t>
            </w:r>
            <w:r>
              <w:rPr>
                <w:rFonts w:hint="eastAsia" w:ascii="宋体" w:hAnsi="宋体" w:cs="宋体"/>
                <w:kern w:val="0"/>
                <w:sz w:val="20"/>
                <w:szCs w:val="20"/>
              </w:rPr>
              <w:br w:type="textWrapping"/>
            </w:r>
            <w:r>
              <w:rPr>
                <w:rFonts w:hint="eastAsia" w:ascii="宋体" w:hAnsi="宋体" w:cs="宋体"/>
                <w:kern w:val="0"/>
                <w:sz w:val="20"/>
                <w:szCs w:val="20"/>
              </w:rPr>
              <w:t>频率响应范围不低于20～20kHz (±0.5dB) ;</w:t>
            </w:r>
            <w:r>
              <w:rPr>
                <w:rFonts w:hint="eastAsia" w:ascii="宋体" w:hAnsi="宋体" w:cs="宋体"/>
                <w:kern w:val="0"/>
                <w:sz w:val="20"/>
                <w:szCs w:val="20"/>
              </w:rPr>
              <w:br w:type="textWrapping"/>
            </w:r>
            <w:r>
              <w:rPr>
                <w:rFonts w:hint="eastAsia" w:ascii="宋体" w:hAnsi="宋体" w:cs="宋体"/>
                <w:kern w:val="0"/>
                <w:sz w:val="20"/>
                <w:szCs w:val="20"/>
              </w:rPr>
              <w:t>THD+N:&lt;-100dB @17dBu</w:t>
            </w:r>
            <w:r>
              <w:rPr>
                <w:rFonts w:hint="eastAsia" w:ascii="宋体" w:hAnsi="宋体" w:cs="宋体"/>
                <w:kern w:val="0"/>
                <w:sz w:val="20"/>
                <w:szCs w:val="20"/>
              </w:rPr>
              <w:br w:type="textWrapping"/>
            </w:r>
            <w:r>
              <w:rPr>
                <w:rFonts w:hint="eastAsia" w:ascii="宋体" w:hAnsi="宋体" w:cs="宋体"/>
                <w:kern w:val="0"/>
                <w:sz w:val="20"/>
                <w:szCs w:val="20"/>
              </w:rPr>
              <w:t>输入动态范围：≥110dB</w:t>
            </w:r>
            <w:r>
              <w:rPr>
                <w:rFonts w:hint="eastAsia" w:ascii="宋体" w:hAnsi="宋体" w:cs="宋体"/>
                <w:kern w:val="0"/>
                <w:sz w:val="20"/>
                <w:szCs w:val="20"/>
              </w:rPr>
              <w:br w:type="textWrapping"/>
            </w:r>
            <w:r>
              <w:rPr>
                <w:rFonts w:hint="eastAsia" w:ascii="宋体" w:hAnsi="宋体" w:cs="宋体"/>
                <w:kern w:val="0"/>
                <w:sz w:val="20"/>
                <w:szCs w:val="20"/>
              </w:rPr>
              <w:t>输出动态范围：≥112dB</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5"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反馈抑制器</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1．输出阻抗：平衡&gt;120Ω,不平衡&gt;60Ω</w:t>
            </w:r>
            <w:r>
              <w:rPr>
                <w:rFonts w:hint="eastAsia" w:ascii="宋体" w:hAnsi="宋体" w:cs="宋体"/>
                <w:kern w:val="0"/>
                <w:sz w:val="20"/>
                <w:szCs w:val="20"/>
              </w:rPr>
              <w:br w:type="textWrapping"/>
            </w:r>
            <w:r>
              <w:rPr>
                <w:rFonts w:hint="eastAsia" w:ascii="宋体" w:hAnsi="宋体" w:cs="宋体"/>
                <w:kern w:val="0"/>
                <w:sz w:val="20"/>
                <w:szCs w:val="20"/>
              </w:rPr>
              <w:t>2．最大输出电平：+20dBu</w:t>
            </w:r>
            <w:r>
              <w:rPr>
                <w:rFonts w:hint="eastAsia" w:ascii="宋体" w:hAnsi="宋体" w:cs="宋体"/>
                <w:kern w:val="0"/>
                <w:sz w:val="20"/>
                <w:szCs w:val="20"/>
              </w:rPr>
              <w:br w:type="textWrapping"/>
            </w:r>
            <w:r>
              <w:rPr>
                <w:rFonts w:hint="eastAsia" w:ascii="宋体" w:hAnsi="宋体" w:cs="宋体"/>
                <w:kern w:val="0"/>
                <w:sz w:val="20"/>
                <w:szCs w:val="20"/>
              </w:rPr>
              <w:t>3．频率响应：20Hz-20KHz,±0.3db</w:t>
            </w:r>
            <w:r>
              <w:rPr>
                <w:rFonts w:hint="eastAsia" w:ascii="宋体" w:hAnsi="宋体" w:cs="宋体"/>
                <w:kern w:val="0"/>
                <w:sz w:val="20"/>
                <w:szCs w:val="20"/>
              </w:rPr>
              <w:br w:type="textWrapping"/>
            </w:r>
            <w:r>
              <w:rPr>
                <w:rFonts w:hint="eastAsia" w:ascii="宋体" w:hAnsi="宋体" w:cs="宋体"/>
                <w:kern w:val="0"/>
                <w:sz w:val="20"/>
                <w:szCs w:val="20"/>
              </w:rPr>
              <w:t xml:space="preserve">4．信噪比：&gt;105db(A </w:t>
            </w:r>
            <w:r>
              <w:rPr>
                <w:rFonts w:hint="eastAsia" w:ascii="宋体" w:hAnsi="宋体" w:cs="宋体"/>
                <w:kern w:val="0"/>
                <w:sz w:val="20"/>
                <w:szCs w:val="20"/>
              </w:rPr>
              <w:br w:type="textWrapping"/>
            </w:r>
            <w:r>
              <w:rPr>
                <w:rFonts w:hint="eastAsia" w:ascii="宋体" w:hAnsi="宋体" w:cs="宋体"/>
                <w:kern w:val="0"/>
                <w:sz w:val="20"/>
                <w:szCs w:val="20"/>
              </w:rPr>
              <w:t>5．动态范围：103db</w:t>
            </w:r>
            <w:r>
              <w:rPr>
                <w:rFonts w:hint="eastAsia" w:ascii="宋体" w:hAnsi="宋体" w:cs="宋体"/>
                <w:kern w:val="0"/>
                <w:sz w:val="20"/>
                <w:szCs w:val="20"/>
              </w:rPr>
              <w:br w:type="textWrapping"/>
            </w:r>
            <w:r>
              <w:rPr>
                <w:rFonts w:hint="eastAsia" w:ascii="宋体" w:hAnsi="宋体" w:cs="宋体"/>
                <w:kern w:val="0"/>
                <w:sz w:val="20"/>
                <w:szCs w:val="20"/>
              </w:rPr>
              <w:t>6．模拟输入：2CH-XLR和1/4“TRS(母)输入,电子平衡/不平衡</w:t>
            </w:r>
            <w:r>
              <w:rPr>
                <w:rFonts w:hint="eastAsia" w:ascii="宋体" w:hAnsi="宋体" w:cs="宋体"/>
                <w:kern w:val="0"/>
                <w:sz w:val="20"/>
                <w:szCs w:val="20"/>
              </w:rPr>
              <w:br w:type="textWrapping"/>
            </w:r>
            <w:r>
              <w:rPr>
                <w:rFonts w:hint="eastAsia" w:ascii="宋体" w:hAnsi="宋体" w:cs="宋体"/>
                <w:kern w:val="0"/>
                <w:sz w:val="20"/>
                <w:szCs w:val="20"/>
              </w:rPr>
              <w:t>7．输入阻抗：平衡47Ω,不平衡20KΩ</w:t>
            </w:r>
            <w:r>
              <w:rPr>
                <w:rFonts w:hint="eastAsia" w:ascii="宋体" w:hAnsi="宋体" w:cs="宋体"/>
                <w:kern w:val="0"/>
                <w:sz w:val="20"/>
                <w:szCs w:val="20"/>
              </w:rPr>
              <w:br w:type="textWrapping"/>
            </w:r>
            <w:r>
              <w:rPr>
                <w:rFonts w:hint="eastAsia" w:ascii="宋体" w:hAnsi="宋体" w:cs="宋体"/>
                <w:kern w:val="0"/>
                <w:sz w:val="20"/>
                <w:szCs w:val="20"/>
              </w:rPr>
              <w:t>8．最大线路电平输入：+18dBu</w:t>
            </w:r>
            <w:r>
              <w:rPr>
                <w:rFonts w:hint="eastAsia" w:ascii="宋体" w:hAnsi="宋体" w:cs="宋体"/>
                <w:kern w:val="0"/>
                <w:sz w:val="20"/>
                <w:szCs w:val="20"/>
              </w:rPr>
              <w:br w:type="textWrapping"/>
            </w:r>
            <w:r>
              <w:rPr>
                <w:rFonts w:hint="eastAsia" w:ascii="宋体" w:hAnsi="宋体" w:cs="宋体"/>
                <w:kern w:val="0"/>
                <w:sz w:val="20"/>
                <w:szCs w:val="20"/>
              </w:rPr>
              <w:t>9．模拟输出2CH-XLR和1/4“TRS(母)输入,电子平衡/不平衡</w:t>
            </w:r>
            <w:r>
              <w:rPr>
                <w:rFonts w:hint="eastAsia" w:ascii="宋体" w:hAnsi="宋体" w:cs="宋体"/>
                <w:kern w:val="0"/>
                <w:sz w:val="20"/>
                <w:szCs w:val="20"/>
              </w:rPr>
              <w:br w:type="textWrapping"/>
            </w:r>
            <w:r>
              <w:rPr>
                <w:rFonts w:hint="eastAsia" w:ascii="宋体" w:hAnsi="宋体" w:cs="宋体"/>
                <w:kern w:val="0"/>
                <w:sz w:val="20"/>
                <w:szCs w:val="20"/>
              </w:rPr>
              <w:t>10．总谐波失真+噪声：0.005％,1KHz;20Hz-10KH,&lt;0.01％;10KHz-20KHz,&lt;0.025％（提供第三方机构出具的检测报告）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11．工作电压：110V/220V/AC 50Hz/60Hz</w:t>
            </w:r>
            <w:r>
              <w:rPr>
                <w:rFonts w:hint="eastAsia" w:ascii="宋体" w:hAnsi="宋体" w:cs="宋体"/>
                <w:kern w:val="0"/>
                <w:sz w:val="20"/>
                <w:szCs w:val="20"/>
              </w:rPr>
              <w:br w:type="textWrapping"/>
            </w:r>
            <w:r>
              <w:rPr>
                <w:rFonts w:hint="eastAsia" w:ascii="宋体" w:hAnsi="宋体" w:cs="宋体"/>
                <w:kern w:val="0"/>
                <w:sz w:val="20"/>
                <w:szCs w:val="20"/>
              </w:rPr>
              <w:t>12．接口输入：3芯XLR母插座/6.3插咀 输出：3芯XLR公插座/6.3插咀USB接口电源插口3芯IEC插座电源90至240V 50/60Hz，耗电量&lt;30瓦；</w:t>
            </w:r>
            <w:r>
              <w:rPr>
                <w:rFonts w:hint="eastAsia" w:ascii="宋体" w:hAnsi="宋体" w:cs="宋体"/>
                <w:kern w:val="0"/>
                <w:sz w:val="20"/>
                <w:szCs w:val="20"/>
              </w:rPr>
              <w:br w:type="textWrapping"/>
            </w:r>
            <w:r>
              <w:rPr>
                <w:rFonts w:hint="eastAsia" w:ascii="宋体" w:hAnsi="宋体" w:cs="宋体"/>
                <w:kern w:val="0"/>
                <w:sz w:val="20"/>
                <w:szCs w:val="20"/>
              </w:rPr>
              <w:t>13．≥2.1寸TFT彩屏，中英文可选；</w:t>
            </w:r>
            <w:r>
              <w:rPr>
                <w:rFonts w:hint="eastAsia" w:ascii="宋体" w:hAnsi="宋体" w:cs="宋体"/>
                <w:kern w:val="0"/>
                <w:sz w:val="20"/>
                <w:szCs w:val="20"/>
              </w:rPr>
              <w:br w:type="textWrapping"/>
            </w:r>
            <w:r>
              <w:rPr>
                <w:rFonts w:hint="eastAsia" w:ascii="宋体" w:hAnsi="宋体" w:cs="宋体"/>
                <w:kern w:val="0"/>
                <w:sz w:val="20"/>
                <w:szCs w:val="20"/>
              </w:rPr>
              <w:t>14．配有专业的PC调试软件，USB免驱动即插即用，方便快捷；支持面板及PC端误操作保护功能。</w:t>
            </w:r>
            <w:r>
              <w:rPr>
                <w:rFonts w:hint="eastAsia" w:ascii="宋体" w:hAnsi="宋体" w:cs="宋体"/>
                <w:kern w:val="0"/>
                <w:sz w:val="20"/>
                <w:szCs w:val="20"/>
              </w:rPr>
              <w:br w:type="textWrapping"/>
            </w:r>
            <w:r>
              <w:rPr>
                <w:rFonts w:hint="eastAsia" w:ascii="宋体" w:hAnsi="宋体" w:cs="宋体"/>
                <w:kern w:val="0"/>
                <w:sz w:val="20"/>
                <w:szCs w:val="20"/>
              </w:rPr>
              <w:t>15．反馈加移频设计方案，移频5档可选；（提供第三方机构出具的检测报告）</w:t>
            </w:r>
          </w:p>
          <w:p>
            <w:pPr>
              <w:widowControl/>
              <w:jc w:val="left"/>
              <w:rPr>
                <w:rFonts w:ascii="宋体" w:hAnsi="宋体" w:cs="宋体"/>
                <w:kern w:val="0"/>
                <w:sz w:val="20"/>
                <w:szCs w:val="20"/>
              </w:rPr>
            </w:pPr>
            <w:r>
              <w:rPr>
                <w:rFonts w:hint="eastAsia" w:ascii="宋体" w:hAnsi="宋体" w:cs="宋体"/>
                <w:kern w:val="0"/>
                <w:sz w:val="20"/>
                <w:szCs w:val="20"/>
              </w:rPr>
              <w:t>16．每通道设24个陷波器及8个静态滤波器可快速抑制啸叫,保证安静的会议坏境；</w:t>
            </w:r>
            <w:r>
              <w:rPr>
                <w:rFonts w:hint="eastAsia" w:ascii="宋体" w:hAnsi="宋体" w:cs="宋体"/>
                <w:kern w:val="0"/>
                <w:sz w:val="20"/>
                <w:szCs w:val="20"/>
              </w:rPr>
              <w:br w:type="textWrapping"/>
            </w:r>
            <w:r>
              <w:rPr>
                <w:rFonts w:hint="eastAsia" w:ascii="宋体" w:hAnsi="宋体" w:cs="宋体"/>
                <w:kern w:val="0"/>
                <w:sz w:val="20"/>
                <w:szCs w:val="20"/>
              </w:rPr>
              <w:t>★17．系统设置-99到-30dB范围内的噪声消除；（提供第三方机构出具的检测报告）</w:t>
            </w:r>
          </w:p>
          <w:p>
            <w:pPr>
              <w:widowControl/>
              <w:jc w:val="left"/>
              <w:rPr>
                <w:rFonts w:ascii="宋体" w:hAnsi="宋体" w:cs="宋体"/>
                <w:kern w:val="0"/>
                <w:sz w:val="20"/>
                <w:szCs w:val="20"/>
              </w:rPr>
            </w:pPr>
            <w:r>
              <w:rPr>
                <w:rFonts w:hint="eastAsia" w:ascii="宋体" w:hAnsi="宋体" w:cs="宋体"/>
                <w:kern w:val="0"/>
                <w:sz w:val="20"/>
                <w:szCs w:val="20"/>
              </w:rPr>
              <w:t>18．可定义中文命名20组场景模式保存及调用；（提供第三方机构出具的检测报告）</w:t>
            </w:r>
            <w:r>
              <w:rPr>
                <w:rFonts w:hint="eastAsia" w:ascii="宋体" w:hAnsi="宋体" w:cs="宋体"/>
                <w:kern w:val="0"/>
                <w:sz w:val="20"/>
                <w:szCs w:val="20"/>
              </w:rPr>
              <w:br w:type="textWrapping"/>
            </w:r>
            <w:r>
              <w:rPr>
                <w:rFonts w:hint="eastAsia" w:ascii="宋体" w:hAnsi="宋体" w:cs="宋体"/>
                <w:kern w:val="0"/>
                <w:sz w:val="20"/>
                <w:szCs w:val="20"/>
              </w:rPr>
              <w:t>19．响应时间快中慢3速可调，更具人性化；</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42"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一拖二无线手持话筒</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射频载波范围: 634.2-691.95MHz</w:t>
            </w:r>
            <w:r>
              <w:rPr>
                <w:rFonts w:hint="eastAsia" w:ascii="宋体" w:hAnsi="宋体" w:cs="宋体"/>
                <w:kern w:val="0"/>
                <w:sz w:val="20"/>
                <w:szCs w:val="20"/>
              </w:rPr>
              <w:br w:type="textWrapping"/>
            </w:r>
            <w:r>
              <w:rPr>
                <w:rFonts w:hint="eastAsia" w:ascii="宋体" w:hAnsi="宋体" w:cs="宋体"/>
                <w:kern w:val="0"/>
                <w:sz w:val="20"/>
                <w:szCs w:val="20"/>
              </w:rPr>
              <w:t>振荡方式: PLL锁相环合成</w:t>
            </w:r>
            <w:r>
              <w:rPr>
                <w:rFonts w:hint="eastAsia" w:ascii="宋体" w:hAnsi="宋体" w:cs="宋体"/>
                <w:kern w:val="0"/>
                <w:sz w:val="20"/>
                <w:szCs w:val="20"/>
              </w:rPr>
              <w:br w:type="textWrapping"/>
            </w:r>
            <w:r>
              <w:rPr>
                <w:rFonts w:hint="eastAsia" w:ascii="宋体" w:hAnsi="宋体" w:cs="宋体"/>
                <w:kern w:val="0"/>
                <w:sz w:val="20"/>
                <w:szCs w:val="20"/>
              </w:rPr>
              <w:t>工作距离: 超远距离接收，理想条件下150米，无阻隔直线距离（视环境变化）</w:t>
            </w:r>
            <w:r>
              <w:rPr>
                <w:rFonts w:hint="eastAsia" w:ascii="宋体" w:hAnsi="宋体" w:cs="宋体"/>
                <w:kern w:val="0"/>
                <w:sz w:val="20"/>
                <w:szCs w:val="20"/>
              </w:rPr>
              <w:br w:type="textWrapping"/>
            </w:r>
            <w:r>
              <w:rPr>
                <w:rFonts w:hint="eastAsia" w:ascii="宋体" w:hAnsi="宋体" w:cs="宋体"/>
                <w:kern w:val="0"/>
                <w:sz w:val="20"/>
                <w:szCs w:val="20"/>
              </w:rPr>
              <w:t>★可通过APP监控无线麦克风的频点、当前频点的受干扰程度、控制音量、更改当前频点、远程控制对频。（提供APP界面截图佐证）</w:t>
            </w:r>
            <w:r>
              <w:rPr>
                <w:rFonts w:hint="eastAsia" w:ascii="宋体" w:hAnsi="宋体" w:cs="宋体"/>
                <w:kern w:val="0"/>
                <w:sz w:val="20"/>
                <w:szCs w:val="20"/>
              </w:rPr>
              <w:br w:type="textWrapping"/>
            </w:r>
            <w:r>
              <w:rPr>
                <w:rFonts w:hint="eastAsia" w:ascii="宋体" w:hAnsi="宋体" w:cs="宋体"/>
                <w:kern w:val="0"/>
                <w:sz w:val="20"/>
                <w:szCs w:val="20"/>
              </w:rPr>
              <w:t>调制方式: FM</w:t>
            </w:r>
            <w:r>
              <w:rPr>
                <w:rFonts w:hint="eastAsia" w:ascii="宋体" w:hAnsi="宋体" w:cs="宋体"/>
                <w:kern w:val="0"/>
                <w:sz w:val="20"/>
                <w:szCs w:val="20"/>
              </w:rPr>
              <w:br w:type="textWrapping"/>
            </w:r>
            <w:r>
              <w:rPr>
                <w:rFonts w:hint="eastAsia" w:ascii="宋体" w:hAnsi="宋体" w:cs="宋体"/>
                <w:kern w:val="0"/>
                <w:sz w:val="20"/>
                <w:szCs w:val="20"/>
              </w:rPr>
              <w:t>频道数: ≥160</w:t>
            </w:r>
            <w:r>
              <w:rPr>
                <w:rFonts w:hint="eastAsia" w:ascii="宋体" w:hAnsi="宋体" w:cs="宋体"/>
                <w:kern w:val="0"/>
                <w:sz w:val="20"/>
                <w:szCs w:val="20"/>
              </w:rPr>
              <w:br w:type="textWrapping"/>
            </w:r>
            <w:r>
              <w:rPr>
                <w:rFonts w:hint="eastAsia" w:ascii="宋体" w:hAnsi="宋体" w:cs="宋体"/>
                <w:kern w:val="0"/>
                <w:sz w:val="20"/>
                <w:szCs w:val="20"/>
              </w:rPr>
              <w:t>频带宽度：≥40MHz</w:t>
            </w:r>
            <w:r>
              <w:rPr>
                <w:rFonts w:hint="eastAsia" w:ascii="宋体" w:hAnsi="宋体" w:cs="宋体"/>
                <w:kern w:val="0"/>
                <w:sz w:val="20"/>
                <w:szCs w:val="20"/>
              </w:rPr>
              <w:br w:type="textWrapping"/>
            </w:r>
            <w:r>
              <w:rPr>
                <w:rFonts w:hint="eastAsia" w:ascii="宋体" w:hAnsi="宋体" w:cs="宋体"/>
                <w:kern w:val="0"/>
                <w:sz w:val="20"/>
                <w:szCs w:val="20"/>
              </w:rPr>
              <w:t>频响范围: 50HZ ~ 18KHZ(±3db)</w:t>
            </w:r>
            <w:r>
              <w:rPr>
                <w:rFonts w:hint="eastAsia" w:ascii="宋体" w:hAnsi="宋体" w:cs="宋体"/>
                <w:kern w:val="0"/>
                <w:sz w:val="20"/>
                <w:szCs w:val="20"/>
              </w:rPr>
              <w:br w:type="textWrapping"/>
            </w:r>
            <w:r>
              <w:rPr>
                <w:rFonts w:hint="eastAsia" w:ascii="宋体" w:hAnsi="宋体" w:cs="宋体"/>
                <w:kern w:val="0"/>
                <w:sz w:val="20"/>
                <w:szCs w:val="20"/>
              </w:rPr>
              <w:t>最大频偏：±45KHz</w:t>
            </w:r>
            <w:r>
              <w:rPr>
                <w:rFonts w:hint="eastAsia" w:ascii="宋体" w:hAnsi="宋体" w:cs="宋体"/>
                <w:kern w:val="0"/>
                <w:sz w:val="20"/>
                <w:szCs w:val="20"/>
              </w:rPr>
              <w:br w:type="textWrapping"/>
            </w:r>
            <w:r>
              <w:rPr>
                <w:rFonts w:hint="eastAsia" w:ascii="宋体" w:hAnsi="宋体" w:cs="宋体"/>
                <w:kern w:val="0"/>
                <w:sz w:val="20"/>
                <w:szCs w:val="20"/>
              </w:rPr>
              <w:t>系统失真/THD总谐波失真: &lt; 0.5% @1KHz</w:t>
            </w:r>
            <w:r>
              <w:rPr>
                <w:rFonts w:hint="eastAsia" w:ascii="宋体" w:hAnsi="宋体" w:cs="宋体"/>
                <w:kern w:val="0"/>
                <w:sz w:val="20"/>
                <w:szCs w:val="20"/>
              </w:rPr>
              <w:br w:type="textWrapping"/>
            </w:r>
            <w:r>
              <w:rPr>
                <w:rFonts w:hint="eastAsia" w:ascii="宋体" w:hAnsi="宋体" w:cs="宋体"/>
                <w:kern w:val="0"/>
                <w:sz w:val="20"/>
                <w:szCs w:val="20"/>
              </w:rPr>
              <w:t>信噪比: &gt; 100dB(A)</w:t>
            </w:r>
            <w:r>
              <w:rPr>
                <w:rFonts w:hint="eastAsia" w:ascii="宋体" w:hAnsi="宋体" w:cs="宋体"/>
                <w:kern w:val="0"/>
                <w:sz w:val="20"/>
                <w:szCs w:val="20"/>
              </w:rPr>
              <w:br w:type="textWrapping"/>
            </w:r>
            <w:r>
              <w:rPr>
                <w:rFonts w:hint="eastAsia" w:ascii="宋体" w:hAnsi="宋体" w:cs="宋体"/>
                <w:kern w:val="0"/>
                <w:sz w:val="20"/>
                <w:szCs w:val="20"/>
              </w:rPr>
              <w:t>灵敏度: 在偏移度等于25KHz，输入60DBUV时，S/N＞60dB</w:t>
            </w:r>
            <w:r>
              <w:rPr>
                <w:rFonts w:hint="eastAsia" w:ascii="宋体" w:hAnsi="宋体" w:cs="宋体"/>
                <w:kern w:val="0"/>
                <w:sz w:val="20"/>
                <w:szCs w:val="20"/>
              </w:rPr>
              <w:br w:type="textWrapping"/>
            </w:r>
            <w:r>
              <w:rPr>
                <w:rFonts w:hint="eastAsia" w:ascii="宋体" w:hAnsi="宋体" w:cs="宋体"/>
                <w:kern w:val="0"/>
                <w:sz w:val="20"/>
                <w:szCs w:val="20"/>
              </w:rPr>
              <w:t>输出接口: (XLR×2)/( 1/4-inch connector×1)</w:t>
            </w:r>
            <w:r>
              <w:rPr>
                <w:rFonts w:hint="eastAsia" w:ascii="宋体" w:hAnsi="宋体" w:cs="宋体"/>
                <w:kern w:val="0"/>
                <w:sz w:val="20"/>
                <w:szCs w:val="20"/>
              </w:rPr>
              <w:br w:type="textWrapping"/>
            </w:r>
            <w:r>
              <w:rPr>
                <w:rFonts w:hint="eastAsia" w:ascii="宋体" w:hAnsi="宋体" w:cs="宋体"/>
                <w:kern w:val="0"/>
                <w:sz w:val="20"/>
                <w:szCs w:val="20"/>
              </w:rPr>
              <w:t>音频输出水平: (XLR: +5dbV) / (1/4-inch connector: +5dbV)</w:t>
            </w:r>
            <w:r>
              <w:rPr>
                <w:rFonts w:hint="eastAsia" w:ascii="宋体" w:hAnsi="宋体" w:cs="宋体"/>
                <w:kern w:val="0"/>
                <w:sz w:val="20"/>
                <w:szCs w:val="20"/>
              </w:rPr>
              <w:br w:type="textWrapping"/>
            </w:r>
            <w:r>
              <w:rPr>
                <w:rFonts w:hint="eastAsia" w:ascii="宋体" w:hAnsi="宋体" w:cs="宋体"/>
                <w:kern w:val="0"/>
                <w:sz w:val="20"/>
                <w:szCs w:val="20"/>
              </w:rPr>
              <w:t>输出阻抗: (XLR: 3KΩ)/(1/4-inch connector: 3KΩ)</w:t>
            </w:r>
            <w:r>
              <w:rPr>
                <w:rFonts w:hint="eastAsia" w:ascii="宋体" w:hAnsi="宋体" w:cs="宋体"/>
                <w:kern w:val="0"/>
                <w:sz w:val="20"/>
                <w:szCs w:val="20"/>
              </w:rPr>
              <w:br w:type="textWrapping"/>
            </w:r>
            <w:r>
              <w:rPr>
                <w:rFonts w:hint="eastAsia" w:ascii="宋体" w:hAnsi="宋体" w:cs="宋体"/>
                <w:kern w:val="0"/>
                <w:sz w:val="20"/>
                <w:szCs w:val="20"/>
              </w:rPr>
              <w:t>显示方式: 液晶屏×2</w:t>
            </w:r>
            <w:r>
              <w:rPr>
                <w:rFonts w:hint="eastAsia" w:ascii="宋体" w:hAnsi="宋体" w:cs="宋体"/>
                <w:kern w:val="0"/>
                <w:sz w:val="20"/>
                <w:szCs w:val="20"/>
              </w:rPr>
              <w:br w:type="textWrapping"/>
            </w:r>
            <w:r>
              <w:rPr>
                <w:rFonts w:hint="eastAsia" w:ascii="宋体" w:hAnsi="宋体" w:cs="宋体"/>
                <w:kern w:val="0"/>
                <w:sz w:val="20"/>
                <w:szCs w:val="20"/>
              </w:rPr>
              <w:t>电源要求:  12~15V/0.5A直流电源适配器</w:t>
            </w:r>
            <w:r>
              <w:rPr>
                <w:rFonts w:hint="eastAsia" w:ascii="宋体" w:hAnsi="宋体" w:cs="宋体"/>
                <w:kern w:val="0"/>
                <w:sz w:val="20"/>
                <w:szCs w:val="20"/>
              </w:rPr>
              <w:br w:type="textWrapping"/>
            </w:r>
            <w:r>
              <w:rPr>
                <w:rFonts w:hint="eastAsia" w:ascii="宋体" w:hAnsi="宋体" w:cs="宋体"/>
                <w:kern w:val="0"/>
                <w:sz w:val="20"/>
                <w:szCs w:val="20"/>
              </w:rPr>
              <w:t>工作温度范围: 0-50 ℃</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9"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一拖四无线鹅颈话筒</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 内置3编组叠机频率,一键调取. 同一频段可同时轻松叠机三套使用.</w:t>
            </w:r>
            <w:r>
              <w:rPr>
                <w:rFonts w:hint="eastAsia" w:ascii="宋体" w:hAnsi="宋体" w:cs="宋体"/>
                <w:kern w:val="0"/>
                <w:sz w:val="20"/>
                <w:szCs w:val="20"/>
              </w:rPr>
              <w:br w:type="textWrapping"/>
            </w:r>
            <w:r>
              <w:rPr>
                <w:rFonts w:hint="eastAsia" w:ascii="宋体" w:hAnsi="宋体" w:cs="宋体"/>
                <w:kern w:val="0"/>
                <w:sz w:val="20"/>
                <w:szCs w:val="20"/>
              </w:rPr>
              <w:t>2 具有IR红外线自动对频功能,一键自动对频锁定.</w:t>
            </w:r>
            <w:r>
              <w:rPr>
                <w:rFonts w:hint="eastAsia" w:ascii="宋体" w:hAnsi="宋体" w:cs="宋体"/>
                <w:kern w:val="0"/>
                <w:sz w:val="20"/>
                <w:szCs w:val="20"/>
              </w:rPr>
              <w:br w:type="textWrapping"/>
            </w:r>
            <w:r>
              <w:rPr>
                <w:rFonts w:hint="eastAsia" w:ascii="宋体" w:hAnsi="宋体" w:cs="宋体"/>
                <w:kern w:val="0"/>
                <w:sz w:val="20"/>
                <w:szCs w:val="20"/>
              </w:rPr>
              <w:t>3. 四通道音量独立可调. 提供4+1音频输出.四通道各音频音量输出独立可控.</w:t>
            </w:r>
            <w:r>
              <w:rPr>
                <w:rFonts w:hint="eastAsia" w:ascii="宋体" w:hAnsi="宋体" w:cs="宋体"/>
                <w:kern w:val="0"/>
                <w:sz w:val="20"/>
                <w:szCs w:val="20"/>
              </w:rPr>
              <w:br w:type="textWrapping"/>
            </w:r>
            <w:r>
              <w:rPr>
                <w:rFonts w:hint="eastAsia" w:ascii="宋体" w:hAnsi="宋体" w:cs="宋体"/>
                <w:kern w:val="0"/>
                <w:sz w:val="20"/>
                <w:szCs w:val="20"/>
              </w:rPr>
              <w:t>4.提供多种发射器可选. 发射器中会议/手持/领夹 可以混搭使用. 互不干忧.</w:t>
            </w:r>
            <w:r>
              <w:rPr>
                <w:rFonts w:hint="eastAsia" w:ascii="宋体" w:hAnsi="宋体" w:cs="宋体"/>
                <w:kern w:val="0"/>
                <w:sz w:val="20"/>
                <w:szCs w:val="20"/>
              </w:rPr>
              <w:br w:type="textWrapping"/>
            </w:r>
            <w:r>
              <w:rPr>
                <w:rFonts w:hint="eastAsia" w:ascii="宋体" w:hAnsi="宋体" w:cs="宋体"/>
                <w:kern w:val="0"/>
                <w:sz w:val="20"/>
                <w:szCs w:val="20"/>
              </w:rPr>
              <w:t>频率范围: 610~670 MHz</w:t>
            </w:r>
            <w:r>
              <w:rPr>
                <w:rFonts w:hint="eastAsia" w:ascii="宋体" w:hAnsi="宋体" w:cs="宋体"/>
                <w:kern w:val="0"/>
                <w:sz w:val="20"/>
                <w:szCs w:val="20"/>
              </w:rPr>
              <w:br w:type="textWrapping"/>
            </w:r>
            <w:r>
              <w:rPr>
                <w:rFonts w:hint="eastAsia" w:ascii="宋体" w:hAnsi="宋体" w:cs="宋体"/>
                <w:kern w:val="0"/>
                <w:sz w:val="20"/>
                <w:szCs w:val="20"/>
              </w:rPr>
              <w:t>调制方式: FM</w:t>
            </w:r>
            <w:r>
              <w:rPr>
                <w:rFonts w:hint="eastAsia" w:ascii="宋体" w:hAnsi="宋体" w:cs="宋体"/>
                <w:kern w:val="0"/>
                <w:sz w:val="20"/>
                <w:szCs w:val="20"/>
              </w:rPr>
              <w:br w:type="textWrapping"/>
            </w:r>
            <w:r>
              <w:rPr>
                <w:rFonts w:hint="eastAsia" w:ascii="宋体" w:hAnsi="宋体" w:cs="宋体"/>
                <w:kern w:val="0"/>
                <w:sz w:val="20"/>
                <w:szCs w:val="20"/>
              </w:rPr>
              <w:t>可调范围 : ≥50MHz</w:t>
            </w:r>
            <w:r>
              <w:rPr>
                <w:rFonts w:hint="eastAsia" w:ascii="宋体" w:hAnsi="宋体" w:cs="宋体"/>
                <w:kern w:val="0"/>
                <w:sz w:val="20"/>
                <w:szCs w:val="20"/>
              </w:rPr>
              <w:br w:type="textWrapping"/>
            </w:r>
            <w:r>
              <w:rPr>
                <w:rFonts w:hint="eastAsia" w:ascii="宋体" w:hAnsi="宋体" w:cs="宋体"/>
                <w:kern w:val="0"/>
                <w:sz w:val="20"/>
                <w:szCs w:val="20"/>
              </w:rPr>
              <w:t>信道数目: ≥200</w:t>
            </w:r>
            <w:r>
              <w:rPr>
                <w:rFonts w:hint="eastAsia" w:ascii="宋体" w:hAnsi="宋体" w:cs="宋体"/>
                <w:kern w:val="0"/>
                <w:sz w:val="20"/>
                <w:szCs w:val="20"/>
              </w:rPr>
              <w:br w:type="textWrapping"/>
            </w:r>
            <w:r>
              <w:rPr>
                <w:rFonts w:hint="eastAsia" w:ascii="宋体" w:hAnsi="宋体" w:cs="宋体"/>
                <w:kern w:val="0"/>
                <w:sz w:val="20"/>
                <w:szCs w:val="20"/>
              </w:rPr>
              <w:t>信道间隔 : ≥300KHz</w:t>
            </w:r>
            <w:r>
              <w:rPr>
                <w:rFonts w:hint="eastAsia" w:ascii="宋体" w:hAnsi="宋体" w:cs="宋体"/>
                <w:kern w:val="0"/>
                <w:sz w:val="20"/>
                <w:szCs w:val="20"/>
              </w:rPr>
              <w:br w:type="textWrapping"/>
            </w:r>
            <w:r>
              <w:rPr>
                <w:rFonts w:hint="eastAsia" w:ascii="宋体" w:hAnsi="宋体" w:cs="宋体"/>
                <w:kern w:val="0"/>
                <w:sz w:val="20"/>
                <w:szCs w:val="20"/>
              </w:rPr>
              <w:t>频率稳定度 :±0.005%</w:t>
            </w:r>
            <w:r>
              <w:rPr>
                <w:rFonts w:hint="eastAsia" w:ascii="宋体" w:hAnsi="宋体" w:cs="宋体"/>
                <w:kern w:val="0"/>
                <w:sz w:val="20"/>
                <w:szCs w:val="20"/>
              </w:rPr>
              <w:br w:type="textWrapping"/>
            </w:r>
            <w:r>
              <w:rPr>
                <w:rFonts w:hint="eastAsia" w:ascii="宋体" w:hAnsi="宋体" w:cs="宋体"/>
                <w:kern w:val="0"/>
                <w:sz w:val="20"/>
                <w:szCs w:val="20"/>
              </w:rPr>
              <w:t>输出功率 ：高功率High power15mW; 低功率 8mW</w:t>
            </w:r>
            <w:r>
              <w:rPr>
                <w:rFonts w:hint="eastAsia" w:ascii="宋体" w:hAnsi="宋体" w:cs="宋体"/>
                <w:kern w:val="0"/>
                <w:sz w:val="20"/>
                <w:szCs w:val="20"/>
              </w:rPr>
              <w:br w:type="textWrapping"/>
            </w:r>
            <w:r>
              <w:rPr>
                <w:rFonts w:hint="eastAsia" w:ascii="宋体" w:hAnsi="宋体" w:cs="宋体"/>
                <w:kern w:val="0"/>
                <w:sz w:val="20"/>
                <w:szCs w:val="20"/>
              </w:rPr>
              <w:t>杂散抑制：-60dB</w:t>
            </w:r>
            <w:r>
              <w:rPr>
                <w:rFonts w:hint="eastAsia" w:ascii="宋体" w:hAnsi="宋体" w:cs="宋体"/>
                <w:kern w:val="0"/>
                <w:sz w:val="20"/>
                <w:szCs w:val="20"/>
              </w:rPr>
              <w:br w:type="textWrapping"/>
            </w:r>
            <w:r>
              <w:rPr>
                <w:rFonts w:hint="eastAsia" w:ascii="宋体" w:hAnsi="宋体" w:cs="宋体"/>
                <w:kern w:val="0"/>
                <w:sz w:val="20"/>
                <w:szCs w:val="20"/>
              </w:rPr>
              <w:t xml:space="preserve">供电 ：两节AA电池 </w:t>
            </w:r>
            <w:r>
              <w:rPr>
                <w:rFonts w:hint="eastAsia" w:ascii="宋体" w:hAnsi="宋体" w:cs="宋体"/>
                <w:kern w:val="0"/>
                <w:sz w:val="20"/>
                <w:szCs w:val="20"/>
              </w:rPr>
              <w:br w:type="textWrapping"/>
            </w:r>
            <w:r>
              <w:rPr>
                <w:rFonts w:hint="eastAsia" w:ascii="宋体" w:hAnsi="宋体" w:cs="宋体"/>
                <w:kern w:val="0"/>
                <w:sz w:val="20"/>
                <w:szCs w:val="20"/>
              </w:rPr>
              <w:t>使用时间 ：连续使用13个小时 .</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电源时序器</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1.采用双面板+SMT表面贴片工艺，大电流继电器，高精度磷铜输出万能插座，具有环保认证和CE认证，确保产品超高品质</w:t>
            </w:r>
            <w:r>
              <w:rPr>
                <w:rFonts w:hint="eastAsia" w:ascii="宋体" w:hAnsi="宋体" w:cs="宋体"/>
                <w:kern w:val="0"/>
                <w:sz w:val="20"/>
                <w:szCs w:val="20"/>
              </w:rPr>
              <w:br w:type="textWrapping"/>
            </w:r>
            <w:r>
              <w:rPr>
                <w:rFonts w:hint="eastAsia" w:ascii="宋体" w:hAnsi="宋体" w:cs="宋体"/>
                <w:kern w:val="0"/>
                <w:sz w:val="20"/>
                <w:szCs w:val="20"/>
              </w:rPr>
              <w:t>2.8路电源时序控制，每路延时1秒，前面板配置2路辅助输出</w:t>
            </w:r>
            <w:r>
              <w:rPr>
                <w:rFonts w:hint="eastAsia" w:ascii="宋体" w:hAnsi="宋体" w:cs="宋体"/>
                <w:kern w:val="0"/>
                <w:sz w:val="20"/>
                <w:szCs w:val="20"/>
              </w:rPr>
              <w:br w:type="textWrapping"/>
            </w:r>
            <w:r>
              <w:rPr>
                <w:rFonts w:hint="eastAsia" w:ascii="宋体" w:hAnsi="宋体" w:cs="宋体"/>
                <w:kern w:val="0"/>
                <w:sz w:val="20"/>
                <w:szCs w:val="20"/>
              </w:rPr>
              <w:t xml:space="preserve">3.整机容量≥30A </w:t>
            </w:r>
            <w:r>
              <w:rPr>
                <w:rFonts w:hint="eastAsia" w:ascii="宋体" w:hAnsi="宋体" w:cs="宋体"/>
                <w:kern w:val="0"/>
                <w:sz w:val="20"/>
                <w:szCs w:val="20"/>
              </w:rPr>
              <w:br w:type="textWrapping"/>
            </w:r>
            <w:r>
              <w:rPr>
                <w:rFonts w:hint="eastAsia" w:ascii="宋体" w:hAnsi="宋体" w:cs="宋体"/>
                <w:kern w:val="0"/>
                <w:sz w:val="20"/>
                <w:szCs w:val="20"/>
              </w:rPr>
              <w:t>4.进线采用符合CCC要求的国标6平方RVV软电缆，内部设计保留10%电流余量</w:t>
            </w:r>
            <w:r>
              <w:rPr>
                <w:rFonts w:hint="eastAsia" w:ascii="宋体" w:hAnsi="宋体" w:cs="宋体"/>
                <w:kern w:val="0"/>
                <w:sz w:val="20"/>
                <w:szCs w:val="20"/>
              </w:rPr>
              <w:br w:type="textWrapping"/>
            </w:r>
            <w:r>
              <w:rPr>
                <w:rFonts w:hint="eastAsia" w:ascii="宋体" w:hAnsi="宋体" w:cs="宋体"/>
                <w:kern w:val="0"/>
                <w:sz w:val="20"/>
                <w:szCs w:val="20"/>
              </w:rPr>
              <w:t>5.共提供8个插座输出，高精度磷铜铜片，万能插座适合各种插头</w:t>
            </w:r>
            <w:r>
              <w:rPr>
                <w:rFonts w:hint="eastAsia" w:ascii="宋体" w:hAnsi="宋体" w:cs="宋体"/>
                <w:kern w:val="0"/>
                <w:sz w:val="20"/>
                <w:szCs w:val="20"/>
              </w:rPr>
              <w:br w:type="textWrapping"/>
            </w:r>
            <w:r>
              <w:rPr>
                <w:rFonts w:hint="eastAsia" w:ascii="宋体" w:hAnsi="宋体" w:cs="宋体"/>
                <w:kern w:val="0"/>
                <w:sz w:val="20"/>
                <w:szCs w:val="20"/>
              </w:rPr>
              <w:t>6.MCU控制的智能化设计，具有标准RS232串口控制功能，可设置255个ID地址，最大可支持255台同时使用，适合于大规模集中控制</w:t>
            </w:r>
            <w:r>
              <w:rPr>
                <w:rFonts w:hint="eastAsia" w:ascii="宋体" w:hAnsi="宋体" w:cs="宋体"/>
                <w:kern w:val="0"/>
                <w:sz w:val="20"/>
                <w:szCs w:val="20"/>
              </w:rPr>
              <w:br w:type="textWrapping"/>
            </w:r>
            <w:r>
              <w:rPr>
                <w:rFonts w:hint="eastAsia" w:ascii="宋体" w:hAnsi="宋体" w:cs="宋体"/>
                <w:kern w:val="0"/>
                <w:sz w:val="20"/>
                <w:szCs w:val="20"/>
              </w:rPr>
              <w:t>7.配置数字LED电压指示表头</w:t>
            </w:r>
            <w:r>
              <w:rPr>
                <w:rFonts w:hint="eastAsia" w:ascii="宋体" w:hAnsi="宋体" w:cs="宋体"/>
                <w:kern w:val="0"/>
                <w:sz w:val="20"/>
                <w:szCs w:val="20"/>
              </w:rPr>
              <w:br w:type="textWrapping"/>
            </w:r>
            <w:r>
              <w:rPr>
                <w:rFonts w:hint="eastAsia" w:ascii="宋体" w:hAnsi="宋体" w:cs="宋体"/>
                <w:kern w:val="0"/>
                <w:sz w:val="20"/>
                <w:szCs w:val="20"/>
              </w:rPr>
              <w:t>8.每路输出配置单独控制开关</w:t>
            </w:r>
            <w:r>
              <w:rPr>
                <w:rFonts w:hint="eastAsia" w:ascii="宋体" w:hAnsi="宋体" w:cs="宋体"/>
                <w:kern w:val="0"/>
                <w:sz w:val="20"/>
                <w:szCs w:val="20"/>
              </w:rPr>
              <w:br w:type="textWrapping"/>
            </w:r>
            <w:r>
              <w:rPr>
                <w:rFonts w:hint="eastAsia" w:ascii="宋体" w:hAnsi="宋体" w:cs="宋体"/>
                <w:kern w:val="0"/>
                <w:sz w:val="20"/>
                <w:szCs w:val="20"/>
              </w:rPr>
              <w:t>9.配置外部开关控制和级联控口，IO/24V直流控制接口</w:t>
            </w:r>
            <w:r>
              <w:rPr>
                <w:rFonts w:hint="eastAsia" w:ascii="宋体" w:hAnsi="宋体" w:cs="宋体"/>
                <w:kern w:val="0"/>
                <w:sz w:val="20"/>
                <w:szCs w:val="20"/>
              </w:rPr>
              <w:br w:type="textWrapping"/>
            </w:r>
            <w:r>
              <w:rPr>
                <w:rFonts w:hint="eastAsia" w:ascii="宋体" w:hAnsi="宋体" w:cs="宋体"/>
                <w:kern w:val="0"/>
                <w:sz w:val="20"/>
                <w:szCs w:val="20"/>
              </w:rPr>
              <w:t>10.面板材质：黑色拉丝铝面板</w:t>
            </w:r>
            <w:r>
              <w:rPr>
                <w:rFonts w:hint="eastAsia" w:ascii="宋体" w:hAnsi="宋体" w:cs="宋体"/>
                <w:kern w:val="0"/>
                <w:sz w:val="20"/>
                <w:szCs w:val="20"/>
              </w:rPr>
              <w:br w:type="textWrapping"/>
            </w:r>
            <w:r>
              <w:rPr>
                <w:rFonts w:hint="eastAsia" w:ascii="宋体" w:hAnsi="宋体" w:cs="宋体"/>
                <w:kern w:val="0"/>
                <w:sz w:val="20"/>
                <w:szCs w:val="20"/>
              </w:rPr>
              <w:t>11.外部控制:标准RS232串口控制</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线材配件</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RVV2*2.5平方音频线，设备连接线、扎带，电胶布等配件</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4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sz w:val="20"/>
                <w:szCs w:val="20"/>
              </w:rPr>
              <w:t>57</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无线传屏终端</w:t>
            </w:r>
          </w:p>
        </w:tc>
        <w:tc>
          <w:tcPr>
            <w:tcW w:w="5209" w:type="dxa"/>
            <w:shd w:val="clear" w:color="000000" w:fill="FFFFFF"/>
            <w:noWrap w:val="0"/>
            <w:vAlign w:val="center"/>
          </w:tcPr>
          <w:p>
            <w:pPr>
              <w:widowControl/>
              <w:numPr>
                <w:ilvl w:val="0"/>
                <w:numId w:val="15"/>
              </w:numPr>
              <w:jc w:val="left"/>
              <w:rPr>
                <w:rFonts w:ascii="宋体" w:hAnsi="宋体" w:cs="宋体"/>
                <w:kern w:val="0"/>
                <w:sz w:val="20"/>
                <w:szCs w:val="20"/>
              </w:rPr>
            </w:pPr>
            <w:r>
              <w:rPr>
                <w:rFonts w:hint="eastAsia" w:ascii="宋体" w:hAnsi="宋体" w:cs="宋体"/>
                <w:kern w:val="0"/>
                <w:sz w:val="20"/>
                <w:szCs w:val="20"/>
              </w:rPr>
              <w:t>具有国家工业和信息化部颁发的无线电发射设备型号核准证书。</w:t>
            </w:r>
            <w:r>
              <w:rPr>
                <w:rFonts w:hint="eastAsia" w:ascii="宋体" w:hAnsi="宋体" w:cs="宋体"/>
                <w:kern w:val="0"/>
                <w:sz w:val="20"/>
                <w:szCs w:val="20"/>
              </w:rPr>
              <w:br w:type="textWrapping"/>
            </w:r>
            <w:r>
              <w:rPr>
                <w:rFonts w:hint="eastAsia" w:ascii="宋体" w:hAnsi="宋体" w:cs="宋体"/>
                <w:kern w:val="0"/>
                <w:sz w:val="20"/>
                <w:szCs w:val="20"/>
              </w:rPr>
              <w:t>★2、采用内置芯片，CPU≥6核，内置≥Android 9.0操作系统，存储容量≥16G ROM，系统内存≥4G RAM 。</w:t>
            </w:r>
            <w:r>
              <w:rPr>
                <w:rFonts w:hint="eastAsia" w:ascii="宋体" w:hAnsi="宋体" w:cs="宋体"/>
                <w:kern w:val="0"/>
                <w:sz w:val="20"/>
                <w:szCs w:val="20"/>
              </w:rPr>
              <w:br w:type="textWrapping"/>
            </w:r>
            <w:r>
              <w:rPr>
                <w:rFonts w:hint="eastAsia" w:ascii="宋体" w:hAnsi="宋体" w:cs="宋体"/>
                <w:kern w:val="0"/>
                <w:sz w:val="20"/>
                <w:szCs w:val="20"/>
              </w:rPr>
              <w:t>3、输入端子：≥1路DC；≥1路 USB 2.0；≥1路 USB 3.0。</w:t>
            </w:r>
            <w:r>
              <w:rPr>
                <w:rFonts w:hint="eastAsia" w:ascii="宋体" w:hAnsi="宋体" w:cs="宋体"/>
                <w:kern w:val="0"/>
                <w:sz w:val="20"/>
                <w:szCs w:val="20"/>
              </w:rPr>
              <w:br w:type="textWrapping"/>
            </w:r>
            <w:r>
              <w:rPr>
                <w:rFonts w:hint="eastAsia" w:ascii="宋体" w:hAnsi="宋体" w:cs="宋体"/>
                <w:kern w:val="0"/>
                <w:sz w:val="20"/>
                <w:szCs w:val="20"/>
              </w:rPr>
              <w:t>4、输出端子：≥2路HDMI OUT; ≥1路LINE OUT。</w:t>
            </w:r>
            <w:r>
              <w:rPr>
                <w:rFonts w:hint="eastAsia" w:ascii="宋体" w:hAnsi="宋体" w:cs="宋体"/>
                <w:kern w:val="0"/>
                <w:sz w:val="20"/>
                <w:szCs w:val="20"/>
              </w:rPr>
              <w:br w:type="textWrapping"/>
            </w:r>
            <w:r>
              <w:rPr>
                <w:rFonts w:hint="eastAsia" w:ascii="宋体" w:hAnsi="宋体" w:cs="宋体"/>
                <w:kern w:val="0"/>
                <w:sz w:val="20"/>
                <w:szCs w:val="20"/>
              </w:rPr>
              <w:t>5、电源支持DC12V供电，连续工作时间≥168小时。</w:t>
            </w:r>
            <w:r>
              <w:rPr>
                <w:rFonts w:hint="eastAsia" w:ascii="宋体" w:hAnsi="宋体" w:cs="宋体"/>
                <w:kern w:val="0"/>
                <w:sz w:val="20"/>
                <w:szCs w:val="20"/>
              </w:rPr>
              <w:br w:type="textWrapping"/>
            </w:r>
            <w:r>
              <w:rPr>
                <w:rFonts w:hint="eastAsia" w:ascii="宋体" w:hAnsi="宋体" w:cs="宋体"/>
                <w:kern w:val="0"/>
                <w:sz w:val="20"/>
                <w:szCs w:val="20"/>
              </w:rPr>
              <w:t>6、环境适应：整机在-5℃—40℃环境下可正常工作，在-20℃—60℃的环境下可正常贮存且贮存后功能无损。</w:t>
            </w:r>
            <w:r>
              <w:rPr>
                <w:rFonts w:hint="eastAsia" w:ascii="宋体" w:hAnsi="宋体" w:cs="宋体"/>
                <w:kern w:val="0"/>
                <w:sz w:val="20"/>
                <w:szCs w:val="20"/>
              </w:rPr>
              <w:br w:type="textWrapping"/>
            </w:r>
            <w:r>
              <w:rPr>
                <w:rFonts w:hint="eastAsia" w:ascii="宋体" w:hAnsi="宋体" w:cs="宋体"/>
                <w:kern w:val="0"/>
                <w:sz w:val="20"/>
                <w:szCs w:val="20"/>
              </w:rPr>
              <w:t>★7、为方便管理设备，整机可支持集控的部署，支持集控的远程操控，包括：关机、重启、应用安装、应用卸载、设备使用情况统计和更换壁纸等功能，也支持实时状态监控，可拉取系统日志进行问题排查功能。（提供第三方机构出具的检测报告或相关证明材料予以佐证）</w:t>
            </w:r>
          </w:p>
          <w:p>
            <w:pPr>
              <w:widowControl/>
              <w:jc w:val="left"/>
              <w:rPr>
                <w:rFonts w:ascii="宋体" w:hAnsi="宋体" w:cs="宋体"/>
                <w:kern w:val="0"/>
                <w:sz w:val="20"/>
                <w:szCs w:val="20"/>
              </w:rPr>
            </w:pPr>
            <w:r>
              <w:rPr>
                <w:rFonts w:hint="eastAsia" w:ascii="宋体" w:hAnsi="宋体" w:cs="宋体"/>
                <w:kern w:val="0"/>
                <w:sz w:val="20"/>
                <w:szCs w:val="20"/>
              </w:rPr>
              <w:t>8、为保证整机一体性，内置天线设计，无外部天线设备。</w:t>
            </w:r>
            <w:r>
              <w:rPr>
                <w:rFonts w:hint="eastAsia" w:ascii="宋体" w:hAnsi="宋体" w:cs="宋体"/>
                <w:kern w:val="0"/>
                <w:sz w:val="20"/>
                <w:szCs w:val="20"/>
              </w:rPr>
              <w:br w:type="textWrapping"/>
            </w:r>
            <w:r>
              <w:rPr>
                <w:rFonts w:hint="eastAsia" w:ascii="宋体" w:hAnsi="宋体" w:cs="宋体"/>
                <w:kern w:val="0"/>
                <w:sz w:val="20"/>
                <w:szCs w:val="20"/>
              </w:rPr>
              <w:t>9、产品支持OTA技术升级，可通过无线网络下载并自动升级系统，实现系统的无损升级。</w:t>
            </w:r>
            <w:r>
              <w:rPr>
                <w:rFonts w:hint="eastAsia" w:ascii="宋体" w:hAnsi="宋体" w:cs="宋体"/>
                <w:kern w:val="0"/>
                <w:sz w:val="20"/>
                <w:szCs w:val="20"/>
              </w:rPr>
              <w:br w:type="textWrapping"/>
            </w:r>
            <w:r>
              <w:rPr>
                <w:rFonts w:hint="eastAsia" w:ascii="宋体" w:hAnsi="宋体" w:cs="宋体"/>
                <w:kern w:val="0"/>
                <w:sz w:val="20"/>
                <w:szCs w:val="20"/>
              </w:rPr>
              <w:t>10、整机支持桌面壁纸的更换，更换设计好的壁纸可彰显单位元素，体现单位文化。</w:t>
            </w:r>
            <w:r>
              <w:rPr>
                <w:rFonts w:hint="eastAsia" w:ascii="宋体" w:hAnsi="宋体" w:cs="宋体"/>
                <w:kern w:val="0"/>
                <w:sz w:val="20"/>
                <w:szCs w:val="20"/>
              </w:rPr>
              <w:br w:type="textWrapping"/>
            </w:r>
            <w:r>
              <w:rPr>
                <w:rFonts w:hint="eastAsia" w:ascii="宋体" w:hAnsi="宋体" w:cs="宋体"/>
                <w:kern w:val="0"/>
                <w:sz w:val="20"/>
                <w:szCs w:val="20"/>
              </w:rPr>
              <w:t>11、支持Type-C和USB无线传屏器，可兼容市面上具备通用型USB及Type-C接口的电脑。</w:t>
            </w:r>
            <w:r>
              <w:rPr>
                <w:rFonts w:hint="eastAsia" w:ascii="宋体" w:hAnsi="宋体" w:cs="宋体"/>
                <w:kern w:val="0"/>
                <w:sz w:val="20"/>
                <w:szCs w:val="20"/>
              </w:rPr>
              <w:br w:type="textWrapping"/>
            </w:r>
            <w:r>
              <w:rPr>
                <w:rFonts w:hint="eastAsia" w:ascii="宋体" w:hAnsi="宋体" w:cs="宋体"/>
                <w:kern w:val="0"/>
                <w:sz w:val="20"/>
                <w:szCs w:val="20"/>
              </w:rPr>
              <w:t>12、HDMI支持双屏异显、双屏同显，方便客户端展示。</w:t>
            </w:r>
            <w:r>
              <w:rPr>
                <w:rFonts w:hint="eastAsia" w:ascii="宋体" w:hAnsi="宋体" w:cs="宋体"/>
                <w:kern w:val="0"/>
                <w:sz w:val="20"/>
                <w:szCs w:val="20"/>
              </w:rPr>
              <w:br w:type="textWrapping"/>
            </w:r>
            <w:r>
              <w:rPr>
                <w:rFonts w:hint="eastAsia" w:ascii="宋体" w:hAnsi="宋体" w:cs="宋体"/>
                <w:kern w:val="0"/>
                <w:sz w:val="20"/>
                <w:szCs w:val="20"/>
              </w:rPr>
              <w:t>13、支持POE供电，方便客户部署。</w:t>
            </w:r>
            <w:r>
              <w:rPr>
                <w:rFonts w:hint="eastAsia" w:ascii="宋体" w:hAnsi="宋体" w:cs="宋体"/>
                <w:kern w:val="0"/>
                <w:sz w:val="20"/>
                <w:szCs w:val="20"/>
              </w:rPr>
              <w:br w:type="textWrapping"/>
            </w:r>
            <w:r>
              <w:rPr>
                <w:rFonts w:hint="eastAsia" w:ascii="宋体" w:hAnsi="宋体" w:cs="宋体"/>
                <w:kern w:val="0"/>
                <w:sz w:val="20"/>
                <w:szCs w:val="20"/>
              </w:rPr>
              <w:t>14、产品内置接收模块，除无线传屏器和经HDMI线连接的外接显示设备外不需要连接任何附加设备，可实现外部电脑音视频信号实时传输到外接设备上。（提供第三方机构出具的检测报告或相关证明材料予以佐证）</w:t>
            </w:r>
            <w:r>
              <w:rPr>
                <w:rFonts w:hint="eastAsia" w:ascii="宋体" w:hAnsi="宋体" w:cs="宋体"/>
                <w:kern w:val="0"/>
                <w:sz w:val="20"/>
                <w:szCs w:val="20"/>
              </w:rPr>
              <w:br w:type="textWrapping"/>
            </w:r>
            <w:r>
              <w:rPr>
                <w:rFonts w:hint="eastAsia" w:ascii="宋体" w:hAnsi="宋体" w:cs="宋体"/>
                <w:kern w:val="0"/>
                <w:sz w:val="20"/>
                <w:szCs w:val="20"/>
              </w:rPr>
              <w:t>15、无线频段：IEEE 802.11 a/b/g/n/ac，工作频率：2.4G/5GHZ。</w:t>
            </w:r>
            <w:r>
              <w:rPr>
                <w:rFonts w:hint="eastAsia" w:ascii="宋体" w:hAnsi="宋体" w:cs="宋体"/>
                <w:kern w:val="0"/>
                <w:sz w:val="20"/>
                <w:szCs w:val="20"/>
              </w:rPr>
              <w:br w:type="textWrapping"/>
            </w:r>
            <w:r>
              <w:rPr>
                <w:rFonts w:hint="eastAsia" w:ascii="宋体" w:hAnsi="宋体" w:cs="宋体"/>
                <w:kern w:val="0"/>
                <w:sz w:val="20"/>
                <w:szCs w:val="20"/>
              </w:rPr>
              <w:t>16、整机支持移动设备无线投屏功能，不需要外接设备。安卓设备、iPhone/iPad等设备通过无线WIFI热点进行传输。</w:t>
            </w:r>
            <w:r>
              <w:rPr>
                <w:rFonts w:hint="eastAsia" w:ascii="宋体" w:hAnsi="宋体" w:cs="宋体"/>
                <w:kern w:val="0"/>
                <w:sz w:val="20"/>
                <w:szCs w:val="20"/>
              </w:rPr>
              <w:br w:type="textWrapping"/>
            </w:r>
            <w:r>
              <w:rPr>
                <w:rFonts w:hint="eastAsia" w:ascii="宋体" w:hAnsi="宋体" w:cs="宋体"/>
                <w:kern w:val="0"/>
                <w:sz w:val="20"/>
                <w:szCs w:val="20"/>
              </w:rPr>
              <w:t>17、整机支持局域网传屏，手机、电脑可通过软件进行局域网投屏。</w:t>
            </w:r>
            <w:r>
              <w:rPr>
                <w:rFonts w:hint="eastAsia" w:ascii="宋体" w:hAnsi="宋体" w:cs="宋体"/>
                <w:kern w:val="0"/>
                <w:sz w:val="20"/>
                <w:szCs w:val="20"/>
              </w:rPr>
              <w:br w:type="textWrapping"/>
            </w:r>
            <w:r>
              <w:rPr>
                <w:rFonts w:hint="eastAsia" w:ascii="宋体" w:hAnsi="宋体" w:cs="宋体"/>
                <w:kern w:val="0"/>
                <w:sz w:val="20"/>
                <w:szCs w:val="20"/>
              </w:rPr>
              <w:t>18、传输延迟≤70ms。</w:t>
            </w:r>
            <w:r>
              <w:rPr>
                <w:rFonts w:hint="eastAsia" w:ascii="宋体" w:hAnsi="宋体" w:cs="宋体"/>
                <w:kern w:val="0"/>
                <w:sz w:val="20"/>
                <w:szCs w:val="20"/>
              </w:rPr>
              <w:br w:type="textWrapping"/>
            </w:r>
            <w:r>
              <w:rPr>
                <w:rFonts w:hint="eastAsia" w:ascii="宋体" w:hAnsi="宋体" w:cs="宋体"/>
                <w:kern w:val="0"/>
                <w:sz w:val="20"/>
                <w:szCs w:val="20"/>
              </w:rPr>
              <w:t>19、手机和电脑支持混合投屏展示，最多支持九画面同屏展示。</w:t>
            </w:r>
            <w:r>
              <w:rPr>
                <w:rFonts w:hint="eastAsia" w:ascii="宋体" w:hAnsi="宋体" w:cs="宋体"/>
                <w:kern w:val="0"/>
                <w:sz w:val="20"/>
                <w:szCs w:val="20"/>
              </w:rPr>
              <w:br w:type="textWrapping"/>
            </w:r>
            <w:r>
              <w:rPr>
                <w:rFonts w:hint="eastAsia" w:ascii="宋体" w:hAnsi="宋体" w:cs="宋体"/>
                <w:kern w:val="0"/>
                <w:sz w:val="20"/>
                <w:szCs w:val="20"/>
              </w:rPr>
              <w:t>20、整机具有非常高的兼容性，支持MAC OS、Windows、Android、IOS和Linux五种系统的投屏。（提供第三方机构出具的检测报告或相关证明材料予以佐证）</w:t>
            </w:r>
            <w:r>
              <w:rPr>
                <w:rFonts w:hint="eastAsia" w:ascii="宋体" w:hAnsi="宋体" w:cs="宋体"/>
                <w:kern w:val="0"/>
                <w:sz w:val="20"/>
                <w:szCs w:val="20"/>
              </w:rPr>
              <w:br w:type="textWrapping"/>
            </w:r>
            <w:r>
              <w:rPr>
                <w:rFonts w:hint="eastAsia" w:ascii="宋体" w:hAnsi="宋体" w:cs="宋体"/>
                <w:kern w:val="0"/>
                <w:sz w:val="20"/>
                <w:szCs w:val="20"/>
              </w:rPr>
              <w:t>21、整机发射2.4G/5GHZ的AP热点，传输更加稳定，干扰更小，无需其他多余外接设备和连接线。</w:t>
            </w:r>
            <w:r>
              <w:rPr>
                <w:rFonts w:hint="eastAsia" w:ascii="宋体" w:hAnsi="宋体" w:cs="宋体"/>
                <w:kern w:val="0"/>
                <w:sz w:val="20"/>
                <w:szCs w:val="20"/>
              </w:rPr>
              <w:br w:type="textWrapping"/>
            </w:r>
            <w:r>
              <w:rPr>
                <w:rFonts w:hint="eastAsia" w:ascii="宋体" w:hAnsi="宋体" w:cs="宋体"/>
                <w:kern w:val="0"/>
                <w:sz w:val="20"/>
                <w:szCs w:val="20"/>
              </w:rPr>
              <w:t>★22、输出分辨率：支持单画面分辨率为4K并且帧率最高达60的视频输出；同时也支持双屏异显，一路画面分辨率为4K，一路画面为1080p的视频输出。（提供第三方机构出具的检测报告或相关证明材料予以佐证）</w:t>
            </w:r>
          </w:p>
          <w:p>
            <w:pPr>
              <w:widowControl/>
              <w:numPr>
                <w:ilvl w:val="0"/>
                <w:numId w:val="16"/>
              </w:numPr>
              <w:jc w:val="left"/>
              <w:rPr>
                <w:rFonts w:ascii="宋体" w:hAnsi="宋体" w:cs="宋体"/>
                <w:kern w:val="0"/>
                <w:sz w:val="20"/>
                <w:szCs w:val="20"/>
              </w:rPr>
            </w:pPr>
            <w:r>
              <w:rPr>
                <w:rFonts w:hint="eastAsia" w:ascii="宋体" w:hAnsi="宋体" w:cs="宋体"/>
                <w:kern w:val="0"/>
                <w:sz w:val="20"/>
                <w:szCs w:val="20"/>
              </w:rPr>
              <w:t>HDMI输出信号提供两种方式输出，可选择总是输出和传屏时输出，有效避免信号冲突，使整机和用户已有的会议系统配合度更高。</w:t>
            </w:r>
            <w:r>
              <w:rPr>
                <w:rFonts w:hint="eastAsia" w:ascii="宋体" w:hAnsi="宋体" w:cs="宋体"/>
                <w:kern w:val="0"/>
                <w:sz w:val="20"/>
                <w:szCs w:val="20"/>
              </w:rPr>
              <w:br w:type="textWrapping"/>
            </w:r>
            <w:r>
              <w:rPr>
                <w:rFonts w:hint="eastAsia" w:ascii="宋体" w:hAnsi="宋体" w:cs="宋体"/>
                <w:kern w:val="0"/>
                <w:sz w:val="20"/>
                <w:szCs w:val="20"/>
              </w:rPr>
              <w:t>24、无线热点可隐藏整机无线热点SSID,避免整机热点对网络的视觉干扰。</w:t>
            </w:r>
            <w:r>
              <w:rPr>
                <w:rFonts w:hint="eastAsia" w:ascii="宋体" w:hAnsi="宋体" w:cs="宋体"/>
                <w:kern w:val="0"/>
                <w:sz w:val="20"/>
                <w:szCs w:val="20"/>
              </w:rPr>
              <w:br w:type="textWrapping"/>
            </w:r>
            <w:r>
              <w:rPr>
                <w:rFonts w:hint="eastAsia" w:ascii="宋体" w:hAnsi="宋体" w:cs="宋体"/>
                <w:kern w:val="0"/>
                <w:sz w:val="20"/>
                <w:szCs w:val="20"/>
              </w:rPr>
              <w:t>25、无线热点支持网络隔离，开启以后用户连接盒子热点后，无法访问单位内网，安全性更好。</w:t>
            </w:r>
            <w:r>
              <w:rPr>
                <w:rFonts w:hint="eastAsia" w:ascii="宋体" w:hAnsi="宋体" w:cs="宋体"/>
                <w:kern w:val="0"/>
                <w:sz w:val="20"/>
                <w:szCs w:val="20"/>
              </w:rPr>
              <w:br w:type="textWrapping"/>
            </w:r>
            <w:r>
              <w:rPr>
                <w:rFonts w:hint="eastAsia" w:ascii="宋体" w:hAnsi="宋体" w:cs="宋体"/>
                <w:kern w:val="0"/>
                <w:sz w:val="20"/>
                <w:szCs w:val="20"/>
              </w:rPr>
              <w:t>26、支持同时32个无线传屏器，画面分别投屏到同一个传屏盒子，可通过按键切换传输不同外部电脑的画面及声音。</w:t>
            </w:r>
          </w:p>
          <w:p>
            <w:pPr>
              <w:widowControl/>
              <w:jc w:val="left"/>
              <w:rPr>
                <w:rFonts w:ascii="宋体" w:hAnsi="宋体" w:cs="宋体"/>
                <w:kern w:val="0"/>
                <w:sz w:val="20"/>
                <w:szCs w:val="20"/>
              </w:rPr>
            </w:pPr>
            <w:r>
              <w:rPr>
                <w:rFonts w:hint="eastAsia" w:ascii="宋体" w:hAnsi="宋体" w:cs="宋体"/>
                <w:kern w:val="0"/>
                <w:sz w:val="20"/>
                <w:szCs w:val="20"/>
              </w:rPr>
              <w:t>27、产品支持Windows电脑使用无线传屏器传屏的扩展屏展示。</w:t>
            </w:r>
            <w:r>
              <w:rPr>
                <w:rFonts w:hint="eastAsia" w:ascii="宋体" w:hAnsi="宋体" w:cs="宋体"/>
                <w:kern w:val="0"/>
                <w:sz w:val="20"/>
                <w:szCs w:val="20"/>
              </w:rPr>
              <w:br w:type="textWrapping"/>
            </w:r>
            <w:r>
              <w:rPr>
                <w:rFonts w:hint="eastAsia" w:ascii="宋体" w:hAnsi="宋体" w:cs="宋体"/>
                <w:kern w:val="0"/>
                <w:sz w:val="20"/>
                <w:szCs w:val="20"/>
              </w:rPr>
              <w:t>28、可以仅对一个窗口进行无线投屏，其他窗口内容不做展示，保证数据的隐私。</w:t>
            </w:r>
            <w:r>
              <w:rPr>
                <w:rFonts w:hint="eastAsia" w:ascii="宋体" w:hAnsi="宋体" w:cs="宋体"/>
                <w:kern w:val="0"/>
                <w:sz w:val="20"/>
                <w:szCs w:val="20"/>
              </w:rPr>
              <w:br w:type="textWrapping"/>
            </w:r>
            <w:r>
              <w:rPr>
                <w:rFonts w:hint="eastAsia" w:ascii="宋体" w:hAnsi="宋体" w:cs="宋体"/>
                <w:kern w:val="0"/>
                <w:sz w:val="20"/>
                <w:szCs w:val="20"/>
              </w:rPr>
              <w:t>29、无线传屏视频数据加密，加密方式：国密SM4，保障数据传输安全。</w:t>
            </w:r>
            <w:r>
              <w:rPr>
                <w:rFonts w:hint="eastAsia" w:ascii="宋体" w:hAnsi="宋体" w:cs="宋体"/>
                <w:kern w:val="0"/>
                <w:sz w:val="20"/>
                <w:szCs w:val="20"/>
              </w:rPr>
              <w:br w:type="textWrapping"/>
            </w:r>
            <w:r>
              <w:rPr>
                <w:rFonts w:hint="eastAsia" w:ascii="宋体" w:hAnsi="宋体" w:cs="宋体"/>
                <w:kern w:val="0"/>
                <w:sz w:val="20"/>
                <w:szCs w:val="20"/>
              </w:rPr>
              <w:t>30、软件传屏码可以在整机任何页面进行常显，也可设置取消，方便软件传屏连接。</w:t>
            </w:r>
            <w:r>
              <w:rPr>
                <w:rFonts w:hint="eastAsia" w:ascii="宋体" w:hAnsi="宋体" w:cs="宋体"/>
                <w:kern w:val="0"/>
                <w:sz w:val="20"/>
                <w:szCs w:val="20"/>
              </w:rPr>
              <w:br w:type="textWrapping"/>
            </w:r>
            <w:r>
              <w:rPr>
                <w:rFonts w:hint="eastAsia" w:ascii="宋体" w:hAnsi="宋体" w:cs="宋体"/>
                <w:kern w:val="0"/>
                <w:sz w:val="20"/>
                <w:szCs w:val="20"/>
              </w:rPr>
              <w:t>31、传屏之后，在屏幕上部中间部分显示工具栏，可以进行基本的操作（具体包括勿扰模式、暂停投屏等）。</w:t>
            </w:r>
            <w:r>
              <w:rPr>
                <w:rFonts w:hint="eastAsia" w:ascii="宋体" w:hAnsi="宋体" w:cs="宋体"/>
                <w:kern w:val="0"/>
                <w:sz w:val="20"/>
                <w:szCs w:val="20"/>
              </w:rPr>
              <w:br w:type="textWrapping"/>
            </w:r>
            <w:r>
              <w:rPr>
                <w:rFonts w:hint="eastAsia" w:ascii="宋体" w:hAnsi="宋体" w:cs="宋体"/>
                <w:kern w:val="0"/>
                <w:sz w:val="20"/>
                <w:szCs w:val="20"/>
              </w:rPr>
              <w:t>32、传屏开启勿扰模式之后，不允许其他人再进行传屏，沉浸模式，避免在使用过程中，用户经常被其他人传屏顶替掉，造成使用中断。</w:t>
            </w:r>
            <w:r>
              <w:rPr>
                <w:rFonts w:hint="eastAsia" w:ascii="宋体" w:hAnsi="宋体" w:cs="宋体"/>
                <w:kern w:val="0"/>
                <w:sz w:val="20"/>
                <w:szCs w:val="20"/>
              </w:rPr>
              <w:br w:type="textWrapping"/>
            </w:r>
            <w:r>
              <w:rPr>
                <w:rFonts w:hint="eastAsia" w:ascii="宋体" w:hAnsi="宋体" w:cs="宋体"/>
                <w:kern w:val="0"/>
                <w:sz w:val="20"/>
                <w:szCs w:val="20"/>
              </w:rPr>
              <w:t>33、可通过传屏工具栏暂停投屏功能进行画面冻结暂停，投屏电脑可自主进行其他操作，不影响整机的冻结画面内容显示。</w:t>
            </w:r>
            <w:r>
              <w:rPr>
                <w:rFonts w:hint="eastAsia" w:ascii="宋体" w:hAnsi="宋体" w:cs="宋体"/>
                <w:kern w:val="0"/>
                <w:sz w:val="20"/>
                <w:szCs w:val="20"/>
              </w:rPr>
              <w:br w:type="textWrapping"/>
            </w:r>
            <w:r>
              <w:rPr>
                <w:rFonts w:hint="eastAsia" w:ascii="宋体" w:hAnsi="宋体" w:cs="宋体"/>
                <w:kern w:val="0"/>
                <w:sz w:val="20"/>
                <w:szCs w:val="20"/>
              </w:rPr>
              <w:t>34、可通过传屏工具栏传屏模式，快速切换传屏方式。</w:t>
            </w:r>
            <w:r>
              <w:rPr>
                <w:rFonts w:hint="eastAsia" w:ascii="宋体" w:hAnsi="宋体" w:cs="宋体"/>
                <w:kern w:val="0"/>
                <w:sz w:val="20"/>
                <w:szCs w:val="20"/>
              </w:rPr>
              <w:br w:type="textWrapping"/>
            </w:r>
            <w:r>
              <w:rPr>
                <w:rFonts w:hint="eastAsia" w:ascii="宋体" w:hAnsi="宋体" w:cs="宋体"/>
                <w:kern w:val="0"/>
                <w:sz w:val="20"/>
                <w:szCs w:val="20"/>
              </w:rPr>
              <w:t>35、手机投屏软件支持通过快速扫码方式连接大屏WIFI热点，无需人工手动输入整机热点密码，投屏更方便快捷。</w:t>
            </w:r>
            <w:r>
              <w:rPr>
                <w:rFonts w:hint="eastAsia" w:ascii="宋体" w:hAnsi="宋体" w:cs="宋体"/>
                <w:kern w:val="0"/>
                <w:sz w:val="20"/>
                <w:szCs w:val="20"/>
              </w:rPr>
              <w:br w:type="textWrapping"/>
            </w:r>
            <w:r>
              <w:rPr>
                <w:rFonts w:hint="eastAsia" w:ascii="宋体" w:hAnsi="宋体" w:cs="宋体"/>
                <w:kern w:val="0"/>
                <w:sz w:val="20"/>
                <w:szCs w:val="20"/>
              </w:rPr>
              <w:t>36、可通过软件自动发现近场可投屏的传屏盒子，选择即可投屏，无需手动配对。</w:t>
            </w:r>
            <w:r>
              <w:rPr>
                <w:rFonts w:hint="eastAsia" w:ascii="宋体" w:hAnsi="宋体" w:cs="宋体"/>
                <w:kern w:val="0"/>
                <w:sz w:val="20"/>
                <w:szCs w:val="20"/>
              </w:rPr>
              <w:br w:type="textWrapping"/>
            </w:r>
            <w:r>
              <w:rPr>
                <w:rFonts w:hint="eastAsia" w:ascii="宋体" w:hAnsi="宋体" w:cs="宋体"/>
                <w:kern w:val="0"/>
                <w:sz w:val="20"/>
                <w:szCs w:val="20"/>
              </w:rPr>
              <w:t>37、提供配套传屏终端主机的1条传屏尾巴。</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0"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sz w:val="20"/>
                <w:szCs w:val="20"/>
              </w:rPr>
              <w:t>58</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会议平板</w:t>
            </w:r>
          </w:p>
        </w:tc>
        <w:tc>
          <w:tcPr>
            <w:tcW w:w="5209" w:type="dxa"/>
            <w:shd w:val="clear" w:color="000000" w:fill="FFFFFF"/>
            <w:noWrap w:val="0"/>
            <w:vAlign w:val="center"/>
          </w:tcPr>
          <w:p>
            <w:pPr>
              <w:widowControl/>
              <w:numPr>
                <w:ilvl w:val="0"/>
                <w:numId w:val="17"/>
              </w:numPr>
              <w:jc w:val="left"/>
              <w:rPr>
                <w:rFonts w:ascii="宋体" w:hAnsi="宋体" w:cs="宋体"/>
                <w:kern w:val="0"/>
                <w:sz w:val="20"/>
                <w:szCs w:val="20"/>
              </w:rPr>
            </w:pPr>
            <w:r>
              <w:rPr>
                <w:rFonts w:hint="eastAsia" w:ascii="宋体" w:hAnsi="宋体" w:cs="宋体"/>
                <w:kern w:val="0"/>
                <w:sz w:val="20"/>
                <w:szCs w:val="20"/>
              </w:rPr>
              <w:t>整体设计</w:t>
            </w:r>
            <w:r>
              <w:rPr>
                <w:rFonts w:hint="eastAsia" w:ascii="宋体" w:hAnsi="宋体" w:cs="宋体"/>
                <w:kern w:val="0"/>
                <w:sz w:val="20"/>
                <w:szCs w:val="20"/>
              </w:rPr>
              <w:br w:type="textWrapping"/>
            </w:r>
            <w:r>
              <w:rPr>
                <w:rFonts w:hint="eastAsia" w:ascii="宋体" w:hAnsi="宋体" w:cs="宋体"/>
                <w:kern w:val="0"/>
                <w:sz w:val="20"/>
                <w:szCs w:val="20"/>
              </w:rPr>
              <w:t>1.整机采用一体化设计，外部无任何可见内部功能模块连接线。整机采用全金属外壳设计，边角采用弧形设计，表面无尖锐边缘或凸起。</w:t>
            </w:r>
            <w:r>
              <w:rPr>
                <w:rFonts w:hint="eastAsia" w:ascii="宋体" w:hAnsi="宋体" w:cs="宋体"/>
                <w:kern w:val="0"/>
                <w:sz w:val="20"/>
                <w:szCs w:val="20"/>
              </w:rPr>
              <w:br w:type="textWrapping"/>
            </w:r>
            <w:r>
              <w:rPr>
                <w:rFonts w:hint="eastAsia" w:ascii="宋体" w:hAnsi="宋体" w:cs="宋体"/>
                <w:kern w:val="0"/>
                <w:sz w:val="20"/>
                <w:szCs w:val="20"/>
              </w:rPr>
              <w:t>2.整机屏幕边缘采用金属圆角包边防护，整机背板采用金属材质，有效屏蔽内部电路器件辐射；防潮耐盐雾蚀锈，适应多种应用环境。</w:t>
            </w:r>
            <w:r>
              <w:rPr>
                <w:rFonts w:hint="eastAsia" w:ascii="宋体" w:hAnsi="宋体" w:cs="宋体"/>
                <w:kern w:val="0"/>
                <w:sz w:val="20"/>
                <w:szCs w:val="20"/>
              </w:rPr>
              <w:br w:type="textWrapping"/>
            </w:r>
            <w:r>
              <w:rPr>
                <w:rFonts w:hint="eastAsia" w:ascii="宋体" w:hAnsi="宋体"/>
                <w:b/>
                <w:sz w:val="28"/>
              </w:rPr>
              <w:t>▲</w:t>
            </w:r>
            <w:r>
              <w:rPr>
                <w:rFonts w:hint="eastAsia" w:ascii="宋体" w:hAnsi="宋体" w:cs="宋体"/>
                <w:kern w:val="0"/>
                <w:sz w:val="20"/>
                <w:szCs w:val="20"/>
              </w:rPr>
              <w:t>3.整机屏幕采用≥86英寸液晶显示器，采用UHD超高清LED液晶屏，显示比例16:9，分辨率3840*2160。</w:t>
            </w:r>
            <w:r>
              <w:rPr>
                <w:rFonts w:hint="eastAsia" w:ascii="宋体" w:hAnsi="宋体" w:cs="宋体"/>
                <w:kern w:val="0"/>
                <w:sz w:val="20"/>
                <w:szCs w:val="20"/>
              </w:rPr>
              <w:br w:type="textWrapping"/>
            </w:r>
            <w:r>
              <w:rPr>
                <w:rFonts w:hint="eastAsia" w:ascii="宋体" w:hAnsi="宋体" w:cs="宋体"/>
                <w:kern w:val="0"/>
                <w:sz w:val="20"/>
                <w:szCs w:val="20"/>
              </w:rPr>
              <w:t>4.触控一体机表面使用钢化玻璃，表面硬度达到9H，接近钻石硬度，有效保护用户使用安全。</w:t>
            </w:r>
          </w:p>
          <w:p>
            <w:pPr>
              <w:widowControl/>
              <w:numPr>
                <w:ilvl w:val="0"/>
                <w:numId w:val="18"/>
              </w:numPr>
              <w:jc w:val="left"/>
              <w:rPr>
                <w:rFonts w:ascii="宋体" w:hAnsi="宋体" w:cs="宋体"/>
                <w:kern w:val="0"/>
                <w:sz w:val="20"/>
                <w:szCs w:val="20"/>
              </w:rPr>
            </w:pPr>
            <w:r>
              <w:rPr>
                <w:rFonts w:hint="eastAsia" w:ascii="宋体" w:hAnsi="宋体" w:cs="宋体"/>
                <w:kern w:val="0"/>
                <w:sz w:val="20"/>
                <w:szCs w:val="20"/>
              </w:rPr>
              <w:t>整机采用硬件低蓝光背光技术，在源头减少有害蓝光波段能量，蓝光占比（有害蓝光415～455nm能量综合）/（整体蓝光400～500能量综合）＜50%，低蓝光保护显示不偏色、不泛黄。</w:t>
            </w:r>
            <w:r>
              <w:rPr>
                <w:rFonts w:hint="eastAsia" w:ascii="宋体" w:hAnsi="宋体" w:cs="宋体"/>
                <w:kern w:val="0"/>
                <w:sz w:val="20"/>
                <w:szCs w:val="20"/>
              </w:rPr>
              <w:br w:type="textWrapping"/>
            </w:r>
            <w:r>
              <w:rPr>
                <w:rFonts w:hint="eastAsia" w:ascii="宋体" w:hAnsi="宋体" w:cs="宋体"/>
                <w:kern w:val="0"/>
                <w:sz w:val="20"/>
                <w:szCs w:val="20"/>
              </w:rPr>
              <w:t>6.整机色域覆盖率（NTSC）≥79%，支持色彩空间可选，包含标准模式和sRGB模式，在sRGB模式下可做到高色准△E≤1.5</w:t>
            </w:r>
          </w:p>
          <w:p>
            <w:pPr>
              <w:widowControl/>
              <w:numPr>
                <w:ilvl w:val="0"/>
                <w:numId w:val="18"/>
              </w:numPr>
              <w:jc w:val="left"/>
              <w:rPr>
                <w:rFonts w:ascii="宋体" w:hAnsi="宋体" w:cs="宋体"/>
                <w:kern w:val="0"/>
                <w:sz w:val="20"/>
                <w:szCs w:val="20"/>
              </w:rPr>
            </w:pPr>
            <w:r>
              <w:rPr>
                <w:rFonts w:hint="eastAsia" w:ascii="宋体" w:hAnsi="宋体" w:cs="宋体"/>
                <w:kern w:val="0"/>
                <w:sz w:val="20"/>
                <w:szCs w:val="20"/>
              </w:rPr>
              <w:t>从内部Android通道切换到内部PC通道后，触摸框在1s内达到可触控状态；从内部PC通道切换到外部通道后，触摸框在3s内达到可触控状态。</w:t>
            </w:r>
            <w:r>
              <w:rPr>
                <w:rFonts w:hint="eastAsia" w:ascii="宋体" w:hAnsi="宋体" w:cs="宋体"/>
                <w:kern w:val="0"/>
                <w:sz w:val="20"/>
                <w:szCs w:val="20"/>
              </w:rPr>
              <w:br w:type="textWrapping"/>
            </w:r>
            <w:r>
              <w:rPr>
                <w:rFonts w:hint="eastAsia" w:ascii="宋体" w:hAnsi="宋体" w:cs="宋体"/>
                <w:kern w:val="0"/>
                <w:sz w:val="20"/>
                <w:szCs w:val="20"/>
              </w:rPr>
              <w:t>8.整机视网膜蓝光危害（蓝光加权辐射亮度LB）满足IEC TR 62778:2014蓝光危害RG0级别。</w:t>
            </w:r>
            <w:r>
              <w:rPr>
                <w:rFonts w:hint="eastAsia" w:ascii="宋体" w:hAnsi="宋体" w:cs="宋体"/>
                <w:kern w:val="0"/>
                <w:sz w:val="20"/>
                <w:szCs w:val="20"/>
              </w:rPr>
              <w:br w:type="textWrapping"/>
            </w:r>
            <w:r>
              <w:rPr>
                <w:rFonts w:hint="eastAsia" w:ascii="宋体" w:hAnsi="宋体" w:cs="宋体"/>
                <w:kern w:val="0"/>
                <w:sz w:val="20"/>
                <w:szCs w:val="20"/>
              </w:rPr>
              <w:t>9.整机支持纸质护眼模式，可以在任意通道任意画面任意软件所有显示内容下实现画面纹理的实时调整；支持纸质纹理：牛皮纸、素描纸、宣纸、水彩纸、水纹纸；支持透明度调节；支持色温调节。</w:t>
            </w:r>
            <w:r>
              <w:rPr>
                <w:rFonts w:hint="eastAsia" w:ascii="宋体" w:hAnsi="宋体" w:cs="宋体"/>
                <w:kern w:val="0"/>
                <w:sz w:val="20"/>
                <w:szCs w:val="20"/>
              </w:rPr>
              <w:br w:type="textWrapping"/>
            </w:r>
            <w:r>
              <w:rPr>
                <w:rFonts w:hint="eastAsia" w:ascii="宋体" w:hAnsi="宋体" w:cs="宋体"/>
                <w:kern w:val="0"/>
                <w:sz w:val="20"/>
                <w:szCs w:val="20"/>
              </w:rPr>
              <w:t>10.通过由中国标准化研究院制定的视觉舒适度（VICO）评价体系测试，并达到视觉舒适度A+级或以上标准。</w:t>
            </w:r>
          </w:p>
          <w:p>
            <w:pPr>
              <w:widowControl/>
              <w:jc w:val="left"/>
              <w:rPr>
                <w:rFonts w:ascii="宋体" w:hAnsi="宋体" w:cs="宋体"/>
                <w:kern w:val="0"/>
                <w:sz w:val="20"/>
                <w:szCs w:val="20"/>
              </w:rPr>
            </w:pPr>
            <w:r>
              <w:rPr>
                <w:rFonts w:hint="eastAsia" w:ascii="宋体" w:hAnsi="宋体" w:cs="宋体"/>
                <w:kern w:val="0"/>
                <w:sz w:val="20"/>
                <w:szCs w:val="20"/>
              </w:rPr>
              <w:t>11.产品无可让人体感知的屏幕闪烁，通过德国权威TUV无频闪认证，降低用户用眼疲劳，提供相关证书复印件。</w:t>
            </w:r>
            <w:r>
              <w:rPr>
                <w:rFonts w:hint="eastAsia" w:ascii="宋体" w:hAnsi="宋体" w:cs="宋体"/>
                <w:kern w:val="0"/>
                <w:sz w:val="20"/>
                <w:szCs w:val="20"/>
              </w:rPr>
              <w:br w:type="textWrapping"/>
            </w:r>
            <w:r>
              <w:rPr>
                <w:rFonts w:hint="eastAsia" w:ascii="宋体" w:hAnsi="宋体" w:cs="宋体"/>
                <w:kern w:val="0"/>
                <w:sz w:val="20"/>
                <w:szCs w:val="20"/>
              </w:rPr>
              <w:t>12.屏幕在色温5500K-7000K时，产品有害蓝光能量占比不超过50%，通过TUV低蓝光认证，有效过滤导致眼疲劳的有害蓝光，提供相关证书复印件。</w:t>
            </w:r>
            <w:r>
              <w:rPr>
                <w:rFonts w:hint="eastAsia" w:ascii="宋体" w:hAnsi="宋体" w:cs="宋体"/>
                <w:kern w:val="0"/>
                <w:sz w:val="20"/>
                <w:szCs w:val="20"/>
              </w:rPr>
              <w:br w:type="textWrapping"/>
            </w:r>
            <w:r>
              <w:rPr>
                <w:rFonts w:hint="eastAsia" w:ascii="宋体" w:hAnsi="宋体" w:cs="宋体"/>
                <w:kern w:val="0"/>
                <w:sz w:val="20"/>
                <w:szCs w:val="20"/>
              </w:rPr>
              <w:t>13.同时在不同位置观看屏幕时图像质量无明显下降、并且无令人不适的反光，通过TUV人眼舒适度认证，从图像显示质量、环境光管理、护眼技术应用、健康舒适指引多个维度全方位关爱用户的用眼健康，提供相关证书复印件。</w:t>
            </w:r>
            <w:r>
              <w:rPr>
                <w:rFonts w:hint="eastAsia" w:ascii="宋体" w:hAnsi="宋体" w:cs="宋体"/>
                <w:kern w:val="0"/>
                <w:sz w:val="20"/>
                <w:szCs w:val="20"/>
              </w:rPr>
              <w:br w:type="textWrapping"/>
            </w:r>
            <w:r>
              <w:rPr>
                <w:rFonts w:hint="eastAsia" w:ascii="宋体" w:hAnsi="宋体" w:cs="宋体"/>
                <w:kern w:val="0"/>
                <w:sz w:val="20"/>
                <w:szCs w:val="20"/>
              </w:rPr>
              <w:t>二、整机设计</w:t>
            </w:r>
            <w:r>
              <w:rPr>
                <w:rFonts w:hint="eastAsia" w:ascii="宋体" w:hAnsi="宋体" w:cs="宋体"/>
                <w:kern w:val="0"/>
                <w:sz w:val="20"/>
                <w:szCs w:val="20"/>
              </w:rPr>
              <w:br w:type="textWrapping"/>
            </w:r>
            <w:r>
              <w:rPr>
                <w:rFonts w:hint="eastAsia" w:ascii="宋体" w:hAnsi="宋体" w:cs="宋体"/>
                <w:kern w:val="0"/>
                <w:sz w:val="20"/>
                <w:szCs w:val="20"/>
              </w:rPr>
              <w:t>1.整机内置音箱顶置朝前发声，2.2声道扬声器，额定总功率60W。扬声器采用缝隙发声技术，喇叭采用槽式开口设计，不大于5.8mm；</w:t>
            </w:r>
            <w:r>
              <w:rPr>
                <w:rFonts w:hint="eastAsia" w:ascii="宋体" w:hAnsi="宋体" w:cs="宋体"/>
                <w:kern w:val="0"/>
                <w:sz w:val="20"/>
                <w:szCs w:val="20"/>
              </w:rPr>
              <w:br w:type="textWrapping"/>
            </w:r>
            <w:r>
              <w:rPr>
                <w:rFonts w:hint="eastAsia" w:ascii="宋体" w:hAnsi="宋体" w:cs="宋体"/>
                <w:kern w:val="0"/>
                <w:sz w:val="20"/>
                <w:szCs w:val="20"/>
              </w:rPr>
              <w:t>2.整机支持高级音效设置，可以调节左右声道平衡；在中低频段125Hz～1KHz，高频段2KHz～16KHz分别有-12dB～12dB范围的调节功能。</w:t>
            </w:r>
            <w:r>
              <w:rPr>
                <w:rFonts w:hint="eastAsia" w:ascii="宋体" w:hAnsi="宋体" w:cs="宋体"/>
                <w:kern w:val="0"/>
                <w:sz w:val="20"/>
                <w:szCs w:val="20"/>
              </w:rPr>
              <w:br w:type="textWrapping"/>
            </w:r>
            <w:r>
              <w:rPr>
                <w:rFonts w:hint="eastAsia" w:ascii="宋体" w:hAnsi="宋体" w:cs="宋体"/>
                <w:kern w:val="0"/>
                <w:sz w:val="20"/>
                <w:szCs w:val="20"/>
              </w:rPr>
              <w:t>3.整机内置非独立外扩展的4阵列麦克风，可用于对会议室环境音频进行采集，拾音距离≥12m。内置摄像头、麦克风无需外接线材连接，无任何可见外接线材及模块化拼接痕迹，未占用整机设备端口。</w:t>
            </w:r>
            <w:r>
              <w:rPr>
                <w:rFonts w:hint="eastAsia" w:ascii="宋体" w:hAnsi="宋体" w:cs="宋体"/>
                <w:kern w:val="0"/>
                <w:sz w:val="20"/>
                <w:szCs w:val="20"/>
              </w:rPr>
              <w:br w:type="textWrapping"/>
            </w:r>
            <w:r>
              <w:rPr>
                <w:rFonts w:hint="eastAsia" w:ascii="宋体" w:hAnsi="宋体" w:cs="宋体"/>
                <w:kern w:val="0"/>
                <w:sz w:val="20"/>
                <w:szCs w:val="20"/>
              </w:rPr>
              <w:t>4.★整机内置非独立摄像头，拍摄像素数≥1500万，摄像头视场角≥130度，水平视角120度，可用于远程教研，并且可通过摄像头进行人数统计、随机抽选、环境色温判断等功能。（提供第三方机构出具的检测报告或相关证明材料予以佐证）</w:t>
            </w:r>
            <w:r>
              <w:rPr>
                <w:rFonts w:hint="eastAsia" w:ascii="宋体" w:hAnsi="宋体" w:cs="宋体"/>
                <w:kern w:val="0"/>
                <w:sz w:val="20"/>
                <w:szCs w:val="20"/>
              </w:rPr>
              <w:br w:type="textWrapping"/>
            </w:r>
            <w:r>
              <w:rPr>
                <w:rFonts w:hint="eastAsia" w:ascii="宋体" w:hAnsi="宋体" w:cs="宋体"/>
                <w:kern w:val="0"/>
                <w:sz w:val="20"/>
                <w:szCs w:val="20"/>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提供第三方机构出具的检测报告或相关证明材料予以佐证）</w:t>
            </w:r>
            <w:r>
              <w:rPr>
                <w:rFonts w:hint="eastAsia" w:ascii="宋体" w:hAnsi="宋体" w:cs="宋体"/>
                <w:kern w:val="0"/>
                <w:sz w:val="20"/>
                <w:szCs w:val="20"/>
              </w:rPr>
              <w:br w:type="textWrapping"/>
            </w:r>
            <w:r>
              <w:rPr>
                <w:rFonts w:hint="eastAsia" w:ascii="宋体" w:hAnsi="宋体" w:cs="宋体"/>
                <w:kern w:val="0"/>
                <w:sz w:val="20"/>
                <w:szCs w:val="20"/>
              </w:rPr>
              <w:t>6.★触控一体机支持NFC投屏功能：可搭配具有NFC功能的手机、平板，无需通过软件手机或平板可投屏至一体机，支持至少4台同步显示和连接。（提供第三方机构出具的检测报告或相关证明材料予以佐证）</w:t>
            </w:r>
            <w:r>
              <w:rPr>
                <w:rFonts w:hint="eastAsia" w:ascii="宋体" w:hAnsi="宋体" w:cs="宋体"/>
                <w:kern w:val="0"/>
                <w:sz w:val="20"/>
                <w:szCs w:val="20"/>
              </w:rPr>
              <w:br w:type="textWrapping"/>
            </w:r>
            <w:r>
              <w:rPr>
                <w:rFonts w:hint="eastAsia" w:ascii="宋体" w:hAnsi="宋体" w:cs="宋体"/>
                <w:kern w:val="0"/>
                <w:sz w:val="20"/>
                <w:szCs w:val="20"/>
              </w:rPr>
              <w:t>7.整机支持蓝牙Bluetooth 5.2标准，整机支持Wi-Fi6；Wi-Fi及AP热点支持频段2.4GHz/5GHz。内置无线传屏接收端，无需外接接收部件，无线传屏发射器与整机匹配后即可实现传屏功能，将外部电脑的屏幕画面通过无线方式传输到整机上显示。</w:t>
            </w:r>
            <w:r>
              <w:rPr>
                <w:rFonts w:hint="eastAsia" w:ascii="宋体" w:hAnsi="宋体" w:cs="宋体"/>
                <w:kern w:val="0"/>
                <w:sz w:val="20"/>
                <w:szCs w:val="20"/>
              </w:rPr>
              <w:br w:type="textWrapping"/>
            </w:r>
            <w:r>
              <w:rPr>
                <w:rFonts w:hint="eastAsia" w:ascii="宋体" w:hAnsi="宋体" w:cs="宋体"/>
                <w:kern w:val="0"/>
                <w:sz w:val="20"/>
                <w:szCs w:val="20"/>
              </w:rPr>
              <w:t>8.侧置输入接口具备2路HDMI、1路RS232；侧置输出接口具备1路音频、1路触控USB；前置输入接口3路USB接口（包含1路Type-C、2路USB）。</w:t>
            </w:r>
            <w:r>
              <w:rPr>
                <w:rFonts w:hint="eastAsia" w:ascii="宋体" w:hAnsi="宋体" w:cs="宋体"/>
                <w:kern w:val="0"/>
                <w:sz w:val="20"/>
                <w:szCs w:val="20"/>
              </w:rPr>
              <w:br w:type="textWrapping"/>
            </w:r>
            <w:r>
              <w:rPr>
                <w:rFonts w:hint="eastAsia" w:ascii="宋体" w:hAnsi="宋体" w:cs="宋体"/>
                <w:kern w:val="0"/>
                <w:sz w:val="20"/>
                <w:szCs w:val="20"/>
              </w:rPr>
              <w:t>三、主要功能</w:t>
            </w:r>
            <w:r>
              <w:rPr>
                <w:rFonts w:hint="eastAsia" w:ascii="宋体" w:hAnsi="宋体" w:cs="宋体"/>
                <w:kern w:val="0"/>
                <w:sz w:val="20"/>
                <w:szCs w:val="20"/>
              </w:rPr>
              <w:br w:type="textWrapping"/>
            </w:r>
            <w:r>
              <w:rPr>
                <w:rFonts w:hint="eastAsia" w:ascii="宋体" w:hAnsi="宋体" w:cs="宋体"/>
                <w:kern w:val="0"/>
                <w:sz w:val="20"/>
                <w:szCs w:val="20"/>
              </w:rPr>
              <w:t>1.整机支持在设备上获取并自动识别所有人员，通过随机算法抽选1人。</w:t>
            </w:r>
            <w:r>
              <w:rPr>
                <w:rFonts w:hint="eastAsia" w:ascii="宋体" w:hAnsi="宋体" w:cs="宋体"/>
                <w:kern w:val="0"/>
                <w:sz w:val="20"/>
                <w:szCs w:val="20"/>
              </w:rPr>
              <w:br w:type="textWrapping"/>
            </w:r>
            <w:r>
              <w:rPr>
                <w:rFonts w:hint="eastAsia" w:ascii="宋体" w:hAnsi="宋体" w:cs="宋体"/>
                <w:kern w:val="0"/>
                <w:sz w:val="20"/>
                <w:szCs w:val="20"/>
              </w:rPr>
              <w:t>2.整机设备支持统一互通的用户身份认证服务，账号登录后，打开白板软件等应用工具时无需再次输入账号密码重复登录。</w:t>
            </w:r>
            <w:r>
              <w:rPr>
                <w:rFonts w:hint="eastAsia" w:ascii="宋体" w:hAnsi="宋体" w:cs="宋体"/>
                <w:kern w:val="0"/>
                <w:sz w:val="20"/>
                <w:szCs w:val="20"/>
              </w:rPr>
              <w:br w:type="textWrapping"/>
            </w:r>
            <w:r>
              <w:rPr>
                <w:rFonts w:hint="eastAsia" w:ascii="宋体" w:hAnsi="宋体" w:cs="宋体"/>
                <w:kern w:val="0"/>
                <w:sz w:val="20"/>
                <w:szCs w:val="20"/>
              </w:rPr>
              <w:t>★3.支持在任意通道下通过前置物理按键调用互通功能；</w:t>
            </w:r>
            <w:r>
              <w:rPr>
                <w:rFonts w:ascii="宋体" w:hAnsi="宋体" w:cs="宋体"/>
                <w:kern w:val="0"/>
                <w:sz w:val="20"/>
                <w:szCs w:val="20"/>
              </w:rPr>
              <w:t>支持</w:t>
            </w:r>
            <w:r>
              <w:rPr>
                <w:rFonts w:hint="eastAsia" w:ascii="宋体" w:hAnsi="宋体" w:cs="宋体"/>
                <w:kern w:val="0"/>
                <w:sz w:val="20"/>
                <w:szCs w:val="20"/>
              </w:rPr>
              <w:t>自带</w:t>
            </w:r>
            <w:r>
              <w:rPr>
                <w:rFonts w:ascii="宋体" w:hAnsi="宋体" w:cs="宋体"/>
                <w:kern w:val="0"/>
                <w:sz w:val="20"/>
                <w:szCs w:val="20"/>
              </w:rPr>
              <w:t>软件（不接受第三方软件）录制</w:t>
            </w:r>
            <w:r>
              <w:rPr>
                <w:rFonts w:hint="eastAsia" w:ascii="宋体" w:hAnsi="宋体" w:cs="宋体"/>
                <w:kern w:val="0"/>
                <w:sz w:val="20"/>
                <w:szCs w:val="20"/>
              </w:rPr>
              <w:t>讲座</w:t>
            </w:r>
            <w:r>
              <w:rPr>
                <w:rFonts w:ascii="宋体" w:hAnsi="宋体" w:cs="宋体"/>
                <w:kern w:val="0"/>
                <w:sz w:val="20"/>
                <w:szCs w:val="20"/>
              </w:rPr>
              <w:t>，录制时可批注、书写，插入工具辅助进行讲解，录制完成即可快速剪辑，支持二维码分享</w:t>
            </w:r>
            <w:r>
              <w:rPr>
                <w:rFonts w:hint="eastAsia" w:ascii="宋体" w:hAnsi="宋体" w:cs="宋体"/>
                <w:kern w:val="0"/>
                <w:sz w:val="20"/>
                <w:szCs w:val="20"/>
              </w:rPr>
              <w:t>。（提供功能状态呈现效果截图或相关说明资料）</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.整机设备桌面支持推荐应用，根据用户使用习惯，推荐常用应用，方便用户快速找到自己要用的应用，推荐应用支持进行移除。</w:t>
            </w:r>
            <w:r>
              <w:rPr>
                <w:rFonts w:hint="eastAsia" w:ascii="宋体" w:hAnsi="宋体" w:cs="宋体"/>
                <w:kern w:val="0"/>
                <w:sz w:val="20"/>
                <w:szCs w:val="20"/>
              </w:rPr>
              <w:br w:type="textWrapping"/>
            </w:r>
            <w:r>
              <w:rPr>
                <w:rFonts w:ascii="宋体" w:hAnsi="宋体" w:cs="宋体"/>
                <w:kern w:val="0"/>
                <w:sz w:val="20"/>
                <w:szCs w:val="20"/>
              </w:rPr>
              <w:t>5</w:t>
            </w:r>
            <w:r>
              <w:rPr>
                <w:rFonts w:hint="eastAsia" w:ascii="宋体" w:hAnsi="宋体" w:cs="宋体"/>
                <w:kern w:val="0"/>
                <w:sz w:val="20"/>
                <w:szCs w:val="20"/>
              </w:rPr>
              <w:t>.整机设备桌面支持U盘、移动硬盘等外接存储设备直接在桌面显示，无需打开文件浏览器即可快速查看文件列表，并且支持文件打开。支持查看全部文件列表以及按照文档、图片、音视频分类方式查看文件列表。</w:t>
            </w:r>
            <w:r>
              <w:rPr>
                <w:rFonts w:hint="eastAsia" w:ascii="宋体" w:hAnsi="宋体" w:cs="宋体"/>
                <w:kern w:val="0"/>
                <w:sz w:val="20"/>
                <w:szCs w:val="20"/>
              </w:rPr>
              <w:br w:type="textWrapping"/>
            </w:r>
            <w:r>
              <w:rPr>
                <w:rFonts w:ascii="宋体" w:hAnsi="宋体" w:cs="宋体"/>
                <w:kern w:val="0"/>
                <w:sz w:val="20"/>
                <w:szCs w:val="20"/>
              </w:rPr>
              <w:t>6</w:t>
            </w:r>
            <w:r>
              <w:rPr>
                <w:rFonts w:hint="eastAsia" w:ascii="宋体" w:hAnsi="宋体" w:cs="宋体"/>
                <w:kern w:val="0"/>
                <w:sz w:val="20"/>
                <w:szCs w:val="20"/>
              </w:rPr>
              <w:t>.整机设备桌面U盘文件查看窗口支持使用文件浏览器打开U盘，以便进行更多高级操作。</w:t>
            </w:r>
            <w:r>
              <w:rPr>
                <w:rFonts w:hint="eastAsia"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.整机内置触摸中控菜单，可查看当前正在运行的进行，支持应用切换，在全屏应用下无需退出全屏应用即可进行切换；支持应用关闭，以及关闭所有应用。</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.整机全通道侧边栏快捷菜单包含如下小工具：批注、截屏、计时、降半屏、放大镜、日历、键盘,（在Android及其他非PC通道时，还具备答题、倒数日、节拍器、冻结小工具）。</w:t>
            </w:r>
            <w:r>
              <w:rPr>
                <w:rFonts w:hint="eastAsia" w:ascii="宋体" w:hAnsi="宋体" w:cs="宋体"/>
                <w:kern w:val="0"/>
                <w:sz w:val="20"/>
                <w:szCs w:val="20"/>
              </w:rPr>
              <w:br w:type="textWrapping"/>
            </w:r>
            <w:r>
              <w:rPr>
                <w:rFonts w:ascii="宋体" w:hAnsi="宋体" w:cs="宋体"/>
                <w:kern w:val="0"/>
                <w:sz w:val="20"/>
                <w:szCs w:val="20"/>
              </w:rPr>
              <w:t>9</w:t>
            </w:r>
            <w:r>
              <w:rPr>
                <w:rFonts w:hint="eastAsia" w:ascii="宋体" w:hAnsi="宋体" w:cs="宋体"/>
                <w:kern w:val="0"/>
                <w:sz w:val="20"/>
                <w:szCs w:val="20"/>
              </w:rPr>
              <w:t>.整机全通道侧边栏支持展示单位名称、设备信息、场地信息。</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.整机关机状态下，通过长按电源键进入设置界面后，可点击屏幕选择故障检测、系统还原功能，系统还原可单独还原PC系统，单独还原整机系统。</w:t>
            </w:r>
            <w:r>
              <w:rPr>
                <w:rFonts w:hint="eastAsia" w:ascii="宋体" w:hAnsi="宋体" w:cs="宋体"/>
                <w:kern w:val="0"/>
                <w:sz w:val="20"/>
                <w:szCs w:val="20"/>
              </w:rPr>
              <w:br w:type="textWrapping"/>
            </w:r>
            <w:r>
              <w:rPr>
                <w:rFonts w:hint="eastAsia" w:ascii="宋体" w:hAnsi="宋体" w:cs="宋体"/>
                <w:kern w:val="0"/>
                <w:sz w:val="20"/>
                <w:szCs w:val="20"/>
              </w:rPr>
              <w:t>四、触摸系统</w:t>
            </w:r>
            <w:r>
              <w:rPr>
                <w:rFonts w:hint="eastAsia" w:ascii="宋体" w:hAnsi="宋体" w:cs="宋体"/>
                <w:kern w:val="0"/>
                <w:sz w:val="20"/>
                <w:szCs w:val="20"/>
              </w:rPr>
              <w:br w:type="textWrapping"/>
            </w:r>
            <w:r>
              <w:rPr>
                <w:rFonts w:hint="eastAsia" w:ascii="宋体" w:hAnsi="宋体" w:cs="宋体"/>
                <w:kern w:val="0"/>
                <w:sz w:val="20"/>
                <w:szCs w:val="20"/>
              </w:rPr>
              <w:t>1.★采用红外触控技术，支持Windows系统中进行32点或以上触控，支持在Android系统中进行32点或以上触控，支持书写触控延迟≤25ms。触摸分辨率32768×32768；触摸响应时间≤4ms；触摸最小识别物≤3mm。触摸屏具有防遮挡功能，触摸接收器在单点或多点遮挡后仍能正常书写。</w:t>
            </w:r>
            <w:r>
              <w:rPr>
                <w:rFonts w:hint="eastAsia" w:ascii="宋体" w:hAnsi="宋体" w:cs="宋体"/>
                <w:kern w:val="0"/>
                <w:sz w:val="20"/>
                <w:szCs w:val="20"/>
              </w:rPr>
              <w:br w:type="textWrapping"/>
            </w:r>
            <w:r>
              <w:rPr>
                <w:rFonts w:hint="eastAsia" w:ascii="宋体" w:hAnsi="宋体" w:cs="宋体"/>
                <w:kern w:val="0"/>
                <w:sz w:val="20"/>
                <w:szCs w:val="20"/>
              </w:rPr>
              <w:t>五、安卓系统</w:t>
            </w:r>
            <w:r>
              <w:rPr>
                <w:rFonts w:hint="eastAsia" w:ascii="宋体" w:hAnsi="宋体" w:cs="宋体"/>
                <w:kern w:val="0"/>
                <w:sz w:val="20"/>
                <w:szCs w:val="20"/>
              </w:rPr>
              <w:br w:type="textWrapping"/>
            </w:r>
            <w:r>
              <w:rPr>
                <w:rFonts w:hint="eastAsia" w:ascii="宋体" w:hAnsi="宋体" w:cs="宋体"/>
                <w:kern w:val="0"/>
                <w:sz w:val="20"/>
                <w:szCs w:val="20"/>
              </w:rPr>
              <w:t>1.嵌入式系统版本≥Android 11，内存≥2GB，存储空间≥8GB。</w:t>
            </w:r>
            <w:r>
              <w:rPr>
                <w:rFonts w:hint="eastAsia" w:ascii="宋体" w:hAnsi="宋体" w:cs="宋体"/>
                <w:kern w:val="0"/>
                <w:sz w:val="20"/>
                <w:szCs w:val="20"/>
              </w:rPr>
              <w:br w:type="textWrapping"/>
            </w:r>
            <w:r>
              <w:rPr>
                <w:rFonts w:hint="eastAsia" w:ascii="宋体" w:hAnsi="宋体" w:cs="宋体"/>
                <w:kern w:val="0"/>
                <w:sz w:val="20"/>
                <w:szCs w:val="20"/>
              </w:rPr>
              <w:t>2.无PC状态下，嵌入式Android操作系统下可实现windows系统中常用的教学应用功能，如白板书写、WPS软件使用和网页浏览。</w:t>
            </w:r>
            <w:r>
              <w:rPr>
                <w:rFonts w:hint="eastAsia" w:ascii="宋体" w:hAnsi="宋体" w:cs="宋体"/>
                <w:kern w:val="0"/>
                <w:sz w:val="20"/>
                <w:szCs w:val="20"/>
              </w:rPr>
              <w:br w:type="textWrapping"/>
            </w:r>
            <w:r>
              <w:rPr>
                <w:rFonts w:hint="eastAsia" w:ascii="宋体" w:hAnsi="宋体" w:cs="宋体"/>
                <w:kern w:val="0"/>
                <w:sz w:val="20"/>
                <w:szCs w:val="20"/>
              </w:rPr>
              <w:t>六、电脑模块</w:t>
            </w:r>
            <w:r>
              <w:rPr>
                <w:rFonts w:hint="eastAsia" w:ascii="宋体" w:hAnsi="宋体" w:cs="宋体"/>
                <w:kern w:val="0"/>
                <w:sz w:val="20"/>
                <w:szCs w:val="20"/>
              </w:rPr>
              <w:br w:type="textWrapping"/>
            </w:r>
            <w:r>
              <w:rPr>
                <w:rFonts w:hint="eastAsia" w:ascii="宋体" w:hAnsi="宋体" w:cs="宋体"/>
                <w:kern w:val="0"/>
                <w:sz w:val="20"/>
                <w:szCs w:val="20"/>
              </w:rPr>
              <w:t>1.★搭载Intel酷睿系列i5第十二代或以上CPU，配置8GB DDR4或以上内存，配置256 GB或以上SSD固态硬盘。</w:t>
            </w:r>
            <w:r>
              <w:rPr>
                <w:rFonts w:hint="eastAsia" w:ascii="宋体" w:hAnsi="宋体" w:cs="宋体"/>
                <w:kern w:val="0"/>
                <w:sz w:val="20"/>
                <w:szCs w:val="20"/>
              </w:rPr>
              <w:br w:type="textWrapping"/>
            </w:r>
            <w:r>
              <w:rPr>
                <w:rFonts w:hint="eastAsia" w:ascii="宋体" w:hAnsi="宋体" w:cs="宋体"/>
                <w:kern w:val="0"/>
                <w:sz w:val="20"/>
                <w:szCs w:val="20"/>
              </w:rPr>
              <w:t>2.采用按压式卡扣，无需工具就可快速拆卸电脑模块，和整机的连接接口针脚数≤80pin，尺寸≤28.1mm*5.3mm。</w:t>
            </w:r>
            <w:r>
              <w:rPr>
                <w:rFonts w:hint="eastAsia" w:ascii="宋体" w:hAnsi="宋体" w:cs="宋体"/>
                <w:kern w:val="0"/>
                <w:sz w:val="20"/>
                <w:szCs w:val="20"/>
              </w:rPr>
              <w:br w:type="textWrapping"/>
            </w:r>
            <w:r>
              <w:rPr>
                <w:rFonts w:hint="eastAsia" w:ascii="宋体" w:hAnsi="宋体" w:cs="宋体"/>
                <w:kern w:val="0"/>
                <w:sz w:val="20"/>
                <w:szCs w:val="20"/>
              </w:rPr>
              <w:t>3.OPS电脑模块支持国产化操作系统，提供相关国产化系统软件公司兼容的认证证书；</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sz w:val="20"/>
                <w:szCs w:val="20"/>
              </w:rPr>
              <w:t>59</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电动升降移动支架</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电动款升降支架，支持 75-86 寸大屏承载，带滑轮及锁定结构，便于移动应用！质量可靠。</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sz w:val="20"/>
                <w:szCs w:val="20"/>
              </w:rPr>
              <w:t>60</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视频会议终端</w:t>
            </w:r>
          </w:p>
        </w:tc>
        <w:tc>
          <w:tcPr>
            <w:tcW w:w="5209" w:type="dxa"/>
            <w:shd w:val="clear" w:color="000000" w:fill="FFFFFF"/>
            <w:noWrap w:val="0"/>
            <w:vAlign w:val="center"/>
          </w:tcPr>
          <w:p>
            <w:pPr>
              <w:pStyle w:val="48"/>
              <w:widowControl w:val="0"/>
              <w:snapToGrid/>
              <w:spacing w:before="0" w:afterLines="0" w:line="240" w:lineRule="auto"/>
              <w:rPr>
                <w:rFonts w:cs="宋体"/>
                <w:color w:val="auto"/>
                <w:kern w:val="0"/>
                <w:sz w:val="20"/>
                <w:szCs w:val="20"/>
              </w:rPr>
            </w:pPr>
            <w:r>
              <w:rPr>
                <w:rFonts w:hint="eastAsia" w:cs="宋体"/>
                <w:color w:val="auto"/>
                <w:kern w:val="0"/>
                <w:sz w:val="20"/>
                <w:szCs w:val="20"/>
              </w:rPr>
              <w:t>★1.一体化移动桌面式智能视频终端，集摄像机、触控显示屏≥11寸、麦克风和扬声器、编解码、无线模块于一体。</w:t>
            </w:r>
          </w:p>
          <w:p>
            <w:pPr>
              <w:widowControl/>
              <w:jc w:val="left"/>
              <w:rPr>
                <w:rFonts w:ascii="宋体" w:hAnsi="宋体" w:cs="宋体"/>
                <w:kern w:val="0"/>
                <w:sz w:val="20"/>
                <w:szCs w:val="20"/>
              </w:rPr>
            </w:pPr>
            <w:r>
              <w:rPr>
                <w:rFonts w:hint="eastAsia" w:ascii="宋体" w:hAnsi="宋体" w:cs="宋体"/>
                <w:kern w:val="0"/>
                <w:sz w:val="20"/>
                <w:szCs w:val="20"/>
              </w:rPr>
              <w:t>2.设备支持通过HDMI高清线直接将视频画面扩展到外部显示设备，实现更大画面观看效果。（提供功能状态呈现效果截图或相关说明资料）</w:t>
            </w:r>
          </w:p>
          <w:p>
            <w:pPr>
              <w:widowControl/>
              <w:jc w:val="left"/>
              <w:rPr>
                <w:rFonts w:ascii="宋体" w:hAnsi="宋体" w:cs="宋体"/>
                <w:kern w:val="0"/>
                <w:sz w:val="20"/>
                <w:szCs w:val="20"/>
              </w:rPr>
            </w:pPr>
            <w:r>
              <w:rPr>
                <w:rFonts w:hint="eastAsia" w:ascii="宋体" w:hAnsi="宋体" w:cs="宋体"/>
                <w:kern w:val="0"/>
                <w:sz w:val="20"/>
                <w:szCs w:val="20"/>
              </w:rPr>
              <w:t>3.镜头具备物理开关，可根据需要自行关闭摄像头;镜头支持手动控制旋转、垂直方向调整；采用4K分辨率感光元件，自动对焦。</w:t>
            </w:r>
          </w:p>
          <w:p>
            <w:pPr>
              <w:widowControl/>
              <w:jc w:val="left"/>
              <w:rPr>
                <w:rFonts w:ascii="宋体" w:hAnsi="宋体" w:cs="宋体"/>
                <w:kern w:val="0"/>
                <w:sz w:val="20"/>
                <w:szCs w:val="20"/>
              </w:rPr>
            </w:pPr>
            <w:r>
              <w:rPr>
                <w:rFonts w:hint="eastAsia" w:ascii="宋体" w:hAnsi="宋体" w:cs="宋体"/>
                <w:kern w:val="0"/>
                <w:sz w:val="20"/>
                <w:szCs w:val="20"/>
              </w:rPr>
              <w:t>4.设备可以通过物理开关或会控平台关闭视频，视频关闭后其他与会者不能看到本地视频，本地终端正常接受远端主流和辅流视频。（提供功能状态呈现效果截图或相关说明资料）</w:t>
            </w:r>
            <w:r>
              <w:rPr>
                <w:rFonts w:hint="eastAsia" w:cs="宋体"/>
                <w:kern w:val="0"/>
                <w:sz w:val="20"/>
                <w:szCs w:val="20"/>
              </w:rPr>
              <w:br w:type="textWrapping"/>
            </w:r>
            <w:r>
              <w:rPr>
                <w:rFonts w:hint="eastAsia" w:ascii="宋体" w:hAnsi="宋体" w:cs="宋体"/>
                <w:kern w:val="0"/>
                <w:sz w:val="20"/>
                <w:szCs w:val="20"/>
              </w:rPr>
              <w:t>★5.支持H.264 SVC、H.265视频编解码协议；支持OPUS、AAC等音频编解码协议；</w:t>
            </w:r>
            <w:r>
              <w:rPr>
                <w:rFonts w:hint="eastAsia" w:cs="宋体"/>
                <w:kern w:val="0"/>
                <w:sz w:val="20"/>
                <w:szCs w:val="20"/>
              </w:rPr>
              <w:t>（提供第三方机构出具的检测报告</w:t>
            </w:r>
            <w:r>
              <w:rPr>
                <w:rFonts w:hint="eastAsia" w:ascii="宋体" w:hAnsi="宋体" w:cs="宋体"/>
                <w:kern w:val="0"/>
                <w:sz w:val="20"/>
                <w:szCs w:val="20"/>
              </w:rPr>
              <w:t>或相关证明材料予以佐证</w:t>
            </w:r>
            <w:r>
              <w:rPr>
                <w:rFonts w:hint="eastAsia" w:cs="宋体"/>
                <w:kern w:val="0"/>
                <w:sz w:val="20"/>
                <w:szCs w:val="20"/>
              </w:rPr>
              <w:t>）</w:t>
            </w:r>
          </w:p>
          <w:p>
            <w:pPr>
              <w:widowControl/>
              <w:jc w:val="left"/>
              <w:rPr>
                <w:rFonts w:ascii="宋体" w:hAnsi="宋体" w:cs="宋体"/>
                <w:kern w:val="0"/>
                <w:sz w:val="20"/>
                <w:szCs w:val="20"/>
              </w:rPr>
            </w:pPr>
            <w:r>
              <w:rPr>
                <w:rFonts w:hint="eastAsia" w:ascii="宋体" w:hAnsi="宋体" w:cs="宋体"/>
                <w:kern w:val="0"/>
                <w:sz w:val="20"/>
                <w:szCs w:val="20"/>
              </w:rPr>
              <w:t xml:space="preserve">6.视频输入：≥2个POE，视频输出：≥1个HDMI。 </w:t>
            </w:r>
            <w:r>
              <w:rPr>
                <w:rFonts w:hint="eastAsia" w:ascii="宋体" w:hAnsi="宋体" w:cs="宋体"/>
                <w:kern w:val="0"/>
                <w:sz w:val="20"/>
                <w:szCs w:val="20"/>
              </w:rPr>
              <w:br w:type="textWrapping"/>
            </w:r>
            <w:r>
              <w:rPr>
                <w:rFonts w:hint="eastAsia" w:ascii="宋体" w:hAnsi="宋体" w:cs="宋体"/>
                <w:kern w:val="0"/>
                <w:sz w:val="20"/>
                <w:szCs w:val="20"/>
              </w:rPr>
              <w:t xml:space="preserve">7.音频输入：≥1个3.5mm，音频输出：1个3.5mm，网口： 1个RJ45。 </w:t>
            </w:r>
            <w:r>
              <w:rPr>
                <w:rFonts w:hint="eastAsia" w:ascii="宋体" w:hAnsi="宋体" w:cs="宋体"/>
                <w:kern w:val="0"/>
                <w:sz w:val="20"/>
                <w:szCs w:val="20"/>
              </w:rPr>
              <w:br w:type="textWrapping"/>
            </w:r>
            <w:r>
              <w:rPr>
                <w:rFonts w:hint="eastAsia" w:ascii="宋体" w:hAnsi="宋体" w:cs="宋体"/>
                <w:kern w:val="0"/>
                <w:sz w:val="20"/>
                <w:szCs w:val="20"/>
              </w:rPr>
              <w:t>8.支持语音优化：回声消除、自动降噪、自动增益控制、自动增强、突出人声，支持唇音同步技术；</w:t>
            </w:r>
            <w:r>
              <w:rPr>
                <w:rFonts w:hint="eastAsia" w:ascii="宋体" w:hAnsi="宋体" w:cs="宋体"/>
                <w:kern w:val="0"/>
                <w:sz w:val="20"/>
                <w:szCs w:val="20"/>
              </w:rPr>
              <w:br w:type="textWrapping"/>
            </w:r>
            <w:r>
              <w:rPr>
                <w:rFonts w:hint="eastAsia" w:ascii="宋体" w:hAnsi="宋体" w:cs="宋体"/>
                <w:kern w:val="0"/>
                <w:sz w:val="20"/>
                <w:szCs w:val="20"/>
              </w:rPr>
              <w:t>9.自动同步云视讯平台或教学云平台多级组织通讯录；</w:t>
            </w:r>
            <w:r>
              <w:rPr>
                <w:rFonts w:hint="eastAsia" w:ascii="宋体" w:hAnsi="宋体" w:cs="宋体"/>
                <w:kern w:val="0"/>
                <w:sz w:val="20"/>
                <w:szCs w:val="20"/>
              </w:rPr>
              <w:br w:type="textWrapping"/>
            </w:r>
            <w:r>
              <w:rPr>
                <w:rFonts w:hint="eastAsia" w:ascii="宋体" w:hAnsi="宋体" w:cs="宋体"/>
                <w:kern w:val="0"/>
                <w:sz w:val="20"/>
                <w:szCs w:val="20"/>
              </w:rPr>
              <w:t>★10.在网络出现50%丢包情况下，视频无花屏卡顿，视频发送接收分辨率为1080P，发送接收帧率平均不低于25帧。（提供第三方机构出具的检测报告或相关证明材料予以佐证）</w:t>
            </w:r>
            <w:r>
              <w:rPr>
                <w:rFonts w:hint="eastAsia" w:ascii="宋体" w:hAnsi="宋体" w:cs="宋体"/>
                <w:kern w:val="0"/>
                <w:sz w:val="20"/>
                <w:szCs w:val="20"/>
              </w:rPr>
              <w:br w:type="textWrapping"/>
            </w:r>
            <w:r>
              <w:rPr>
                <w:rFonts w:hint="eastAsia" w:ascii="宋体" w:hAnsi="宋体" w:cs="宋体"/>
                <w:kern w:val="0"/>
                <w:sz w:val="20"/>
                <w:szCs w:val="20"/>
              </w:rPr>
              <w:t>★11.平台用户密码等敏感信息和录播文件均加密存储；信令通道支持SSL加密；媒体支持AES 256位加密和国密SM4加密；支持H.235信令加密协议，内置安全加密证书，支持OpenVPN， 可在互动主机和平台之间建立虚拟专用通道，保障数据安全；（提供第三方机构出具的检测报告或相关证明材料予以佐证）</w:t>
            </w:r>
          </w:p>
          <w:p>
            <w:pPr>
              <w:widowControl/>
              <w:jc w:val="left"/>
              <w:rPr>
                <w:rFonts w:ascii="宋体" w:hAnsi="宋体" w:cs="宋体"/>
                <w:kern w:val="0"/>
                <w:sz w:val="20"/>
                <w:szCs w:val="20"/>
              </w:rPr>
            </w:pPr>
            <w:r>
              <w:rPr>
                <w:rFonts w:hint="eastAsia" w:ascii="宋体" w:hAnsi="宋体" w:cs="宋体"/>
                <w:kern w:val="0"/>
                <w:sz w:val="20"/>
                <w:szCs w:val="20"/>
              </w:rPr>
              <w:t>12.可以通过微信小程序邀请卡片邀请加入互动， 用户点开微信小程序邀请卡片可自动参会。</w:t>
            </w:r>
          </w:p>
          <w:p>
            <w:pPr>
              <w:widowControl/>
              <w:jc w:val="left"/>
              <w:rPr>
                <w:rFonts w:ascii="宋体" w:hAnsi="宋体" w:cs="宋体"/>
                <w:kern w:val="0"/>
                <w:sz w:val="20"/>
                <w:szCs w:val="20"/>
              </w:rPr>
            </w:pPr>
            <w:r>
              <w:rPr>
                <w:rFonts w:hint="eastAsia" w:ascii="宋体" w:hAnsi="宋体" w:cs="宋体"/>
                <w:kern w:val="0"/>
                <w:sz w:val="20"/>
                <w:szCs w:val="20"/>
              </w:rPr>
              <w:t>13.支持课程、教研等活动日程提醒功能，能够自动同步约课、排课、教研安排等信息，并显示在课程表上，实现自动上课或手动一键上课。</w:t>
            </w:r>
          </w:p>
          <w:p>
            <w:pPr>
              <w:pStyle w:val="48"/>
              <w:widowControl w:val="0"/>
              <w:snapToGrid/>
              <w:spacing w:before="0" w:afterLines="0" w:line="240" w:lineRule="auto"/>
              <w:rPr>
                <w:rFonts w:cs="宋体"/>
                <w:color w:val="auto"/>
                <w:kern w:val="0"/>
                <w:sz w:val="20"/>
                <w:szCs w:val="20"/>
              </w:rPr>
            </w:pPr>
            <w:r>
              <w:rPr>
                <w:rFonts w:hint="eastAsia" w:cs="宋体"/>
                <w:color w:val="auto"/>
                <w:kern w:val="0"/>
                <w:sz w:val="20"/>
                <w:szCs w:val="20"/>
              </w:rPr>
              <w:t>14.具备会议录制功能，在会中可对正在召开的视频会议进行自主的录制，并可将会议内容进行保存、点播。</w:t>
            </w:r>
            <w:r>
              <w:rPr>
                <w:rFonts w:hint="eastAsia" w:cs="宋体"/>
                <w:color w:val="auto"/>
                <w:sz w:val="20"/>
                <w:szCs w:val="20"/>
              </w:rPr>
              <w:t>（提供功能截图或其他资料予以说明）</w:t>
            </w:r>
            <w:r>
              <w:rPr>
                <w:rFonts w:hint="eastAsia" w:cs="宋体"/>
                <w:color w:val="auto"/>
                <w:kern w:val="0"/>
                <w:sz w:val="20"/>
                <w:szCs w:val="20"/>
              </w:rPr>
              <w:br w:type="textWrapping"/>
            </w:r>
            <w:r>
              <w:rPr>
                <w:rFonts w:hint="eastAsia" w:cs="宋体"/>
                <w:color w:val="auto"/>
                <w:kern w:val="0"/>
                <w:sz w:val="20"/>
                <w:szCs w:val="20"/>
              </w:rPr>
              <w:t>15.教研终端可根据课程管理设置到时自动进入到云课堂或会议中，按照预约时间自动开启和停止录制。</w:t>
            </w:r>
            <w:r>
              <w:rPr>
                <w:rFonts w:hint="eastAsia" w:cs="宋体"/>
                <w:color w:val="auto"/>
                <w:kern w:val="0"/>
                <w:sz w:val="20"/>
                <w:szCs w:val="20"/>
              </w:rPr>
              <w:br w:type="textWrapping"/>
            </w:r>
            <w:r>
              <w:rPr>
                <w:rFonts w:hint="eastAsia" w:cs="宋体"/>
                <w:color w:val="auto"/>
                <w:kern w:val="0"/>
                <w:sz w:val="20"/>
                <w:szCs w:val="20"/>
              </w:rPr>
              <w:t>16.支持360°全向拾音，高保真智能降噪，8米有效拾音距离。</w:t>
            </w:r>
            <w:r>
              <w:rPr>
                <w:rFonts w:hint="eastAsia" w:cs="宋体"/>
                <w:color w:val="auto"/>
                <w:kern w:val="0"/>
                <w:sz w:val="20"/>
                <w:szCs w:val="20"/>
              </w:rPr>
              <w:br w:type="textWrapping"/>
            </w:r>
            <w:r>
              <w:rPr>
                <w:rFonts w:hint="eastAsia" w:cs="宋体"/>
                <w:color w:val="auto"/>
                <w:kern w:val="0"/>
                <w:sz w:val="20"/>
                <w:szCs w:val="20"/>
              </w:rPr>
              <w:t>17.支持通过自有触屏进行控制，可以实现发言管理，邀请进入课堂和退出课堂操作。</w:t>
            </w:r>
            <w:r>
              <w:rPr>
                <w:rFonts w:hint="eastAsia" w:cs="宋体"/>
                <w:color w:val="auto"/>
                <w:kern w:val="0"/>
                <w:sz w:val="20"/>
                <w:szCs w:val="20"/>
              </w:rPr>
              <w:br w:type="textWrapping"/>
            </w:r>
            <w:r>
              <w:rPr>
                <w:rFonts w:hint="eastAsia" w:cs="宋体"/>
                <w:color w:val="auto"/>
                <w:kern w:val="0"/>
                <w:sz w:val="20"/>
                <w:szCs w:val="20"/>
              </w:rPr>
              <w:t>18.教研终端开机后可以自动对本机的网络状态、摄像机采集状态、 扬声器输出状态、麦克风输入状态进行自检， 并输出检测结果。</w:t>
            </w:r>
          </w:p>
          <w:p>
            <w:pPr>
              <w:widowControl/>
              <w:ind w:left="200" w:hanging="200" w:hangingChars="100"/>
              <w:jc w:val="left"/>
              <w:rPr>
                <w:rFonts w:ascii="宋体" w:hAnsi="宋体" w:cs="宋体"/>
                <w:kern w:val="0"/>
                <w:sz w:val="20"/>
                <w:szCs w:val="20"/>
              </w:rPr>
            </w:pPr>
            <w:r>
              <w:rPr>
                <w:rFonts w:hint="eastAsia" w:ascii="宋体" w:hAnsi="宋体" w:cs="宋体"/>
                <w:kern w:val="0"/>
                <w:sz w:val="20"/>
                <w:szCs w:val="20"/>
              </w:rPr>
              <w:t>19.提供设备无故障MTBF≥20万小时、3C证书复印件。</w:t>
            </w:r>
          </w:p>
          <w:p>
            <w:pPr>
              <w:widowControl/>
              <w:ind w:left="200" w:hanging="200" w:hangingChars="100"/>
              <w:jc w:val="left"/>
              <w:rPr>
                <w:rFonts w:ascii="宋体" w:hAnsi="宋体" w:cs="宋体"/>
                <w:kern w:val="0"/>
                <w:sz w:val="20"/>
                <w:szCs w:val="20"/>
              </w:rPr>
            </w:pPr>
            <w:r>
              <w:rPr>
                <w:rFonts w:hint="eastAsia" w:ascii="宋体" w:hAnsi="宋体" w:cs="宋体"/>
                <w:kern w:val="0"/>
                <w:sz w:val="20"/>
                <w:szCs w:val="20"/>
              </w:rPr>
              <w:t>20.终端提供3年硬件质保服务。</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sz w:val="20"/>
                <w:szCs w:val="20"/>
              </w:rPr>
              <w:t>61</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视频会议摄像头</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图像传感器： 1/2.5英寸 CMOS。</w:t>
            </w:r>
            <w:r>
              <w:rPr>
                <w:rFonts w:hint="eastAsia" w:ascii="宋体" w:hAnsi="宋体" w:cs="宋体"/>
                <w:kern w:val="0"/>
                <w:sz w:val="20"/>
                <w:szCs w:val="20"/>
              </w:rPr>
              <w:br w:type="textWrapping"/>
            </w:r>
            <w:r>
              <w:rPr>
                <w:rFonts w:hint="eastAsia" w:ascii="宋体" w:hAnsi="宋体" w:cs="宋体"/>
                <w:kern w:val="0"/>
                <w:sz w:val="20"/>
                <w:szCs w:val="20"/>
              </w:rPr>
              <w:t>有效像素：≥800万。</w:t>
            </w:r>
            <w:r>
              <w:rPr>
                <w:rFonts w:hint="eastAsia" w:ascii="宋体" w:hAnsi="宋体" w:cs="宋体"/>
                <w:kern w:val="0"/>
                <w:sz w:val="20"/>
                <w:szCs w:val="20"/>
              </w:rPr>
              <w:br w:type="textWrapping"/>
            </w:r>
            <w:r>
              <w:rPr>
                <w:rFonts w:hint="eastAsia" w:ascii="宋体" w:hAnsi="宋体" w:cs="宋体"/>
                <w:kern w:val="0"/>
                <w:sz w:val="20"/>
                <w:szCs w:val="20"/>
              </w:rPr>
              <w:t>镜头 光学变焦≥12x, f = 4.4mm ~ 52.8mm, F1.8 ~ F2.6。</w:t>
            </w:r>
            <w:r>
              <w:rPr>
                <w:rFonts w:hint="eastAsia" w:ascii="宋体" w:hAnsi="宋体" w:cs="宋体"/>
                <w:kern w:val="0"/>
                <w:sz w:val="20"/>
                <w:szCs w:val="20"/>
              </w:rPr>
              <w:br w:type="textWrapping"/>
            </w:r>
            <w:r>
              <w:rPr>
                <w:rFonts w:hint="eastAsia" w:ascii="宋体" w:hAnsi="宋体" w:cs="宋体"/>
                <w:kern w:val="0"/>
                <w:sz w:val="20"/>
                <w:szCs w:val="20"/>
              </w:rPr>
              <w:t>信号系统：4K@30fps, 4K@25fps, 1080P@60fps, 1080P@50fps, 1080P@30fps, 1080P@25fps, 720P@60fps, 720P@50fps。</w:t>
            </w:r>
            <w:r>
              <w:rPr>
                <w:rFonts w:hint="eastAsia" w:ascii="宋体" w:hAnsi="宋体" w:cs="宋体"/>
                <w:kern w:val="0"/>
                <w:sz w:val="20"/>
                <w:szCs w:val="20"/>
              </w:rPr>
              <w:br w:type="textWrapping"/>
            </w:r>
            <w:r>
              <w:rPr>
                <w:rFonts w:hint="eastAsia" w:ascii="宋体" w:hAnsi="宋体" w:cs="宋体"/>
                <w:kern w:val="0"/>
                <w:sz w:val="20"/>
                <w:szCs w:val="20"/>
              </w:rPr>
              <w:t>水平视场角： 70.1° ~ 7.4°。</w:t>
            </w:r>
            <w:r>
              <w:rPr>
                <w:rFonts w:hint="eastAsia" w:ascii="宋体" w:hAnsi="宋体" w:cs="宋体"/>
                <w:kern w:val="0"/>
                <w:sz w:val="20"/>
                <w:szCs w:val="20"/>
              </w:rPr>
              <w:br w:type="textWrapping"/>
            </w:r>
            <w:r>
              <w:rPr>
                <w:rFonts w:hint="eastAsia" w:ascii="宋体" w:hAnsi="宋体" w:cs="宋体"/>
                <w:kern w:val="0"/>
                <w:sz w:val="20"/>
                <w:szCs w:val="20"/>
              </w:rPr>
              <w:t>垂直视场角 ：40.7° ~ 4.2。</w:t>
            </w:r>
            <w:r>
              <w:rPr>
                <w:rFonts w:hint="eastAsia" w:ascii="宋体" w:hAnsi="宋体" w:cs="宋体"/>
                <w:kern w:val="0"/>
                <w:sz w:val="20"/>
                <w:szCs w:val="20"/>
              </w:rPr>
              <w:br w:type="textWrapping"/>
            </w:r>
            <w:r>
              <w:rPr>
                <w:rFonts w:hint="eastAsia" w:ascii="宋体" w:hAnsi="宋体" w:cs="宋体"/>
                <w:kern w:val="0"/>
                <w:sz w:val="20"/>
                <w:szCs w:val="20"/>
              </w:rPr>
              <w:t>水平转动范围： ±170°。</w:t>
            </w:r>
            <w:r>
              <w:rPr>
                <w:rFonts w:hint="eastAsia" w:ascii="宋体" w:hAnsi="宋体" w:cs="宋体"/>
                <w:kern w:val="0"/>
                <w:sz w:val="20"/>
                <w:szCs w:val="20"/>
              </w:rPr>
              <w:br w:type="textWrapping"/>
            </w:r>
            <w:r>
              <w:rPr>
                <w:rFonts w:hint="eastAsia" w:ascii="宋体" w:hAnsi="宋体" w:cs="宋体"/>
                <w:kern w:val="0"/>
                <w:sz w:val="20"/>
                <w:szCs w:val="20"/>
              </w:rPr>
              <w:t>垂直转动范围 ±30°。</w:t>
            </w:r>
            <w:r>
              <w:rPr>
                <w:rFonts w:hint="eastAsia" w:ascii="宋体" w:hAnsi="宋体" w:cs="宋体"/>
                <w:kern w:val="0"/>
                <w:sz w:val="20"/>
                <w:szCs w:val="20"/>
              </w:rPr>
              <w:br w:type="textWrapping"/>
            </w:r>
            <w:r>
              <w:rPr>
                <w:rFonts w:hint="eastAsia" w:ascii="宋体" w:hAnsi="宋体" w:cs="宋体"/>
                <w:kern w:val="0"/>
                <w:sz w:val="20"/>
                <w:szCs w:val="20"/>
              </w:rPr>
              <w:t>水平转动速度范围 1.7° ~ 100°/s。</w:t>
            </w:r>
            <w:r>
              <w:rPr>
                <w:rFonts w:hint="eastAsia" w:ascii="宋体" w:hAnsi="宋体" w:cs="宋体"/>
                <w:kern w:val="0"/>
                <w:sz w:val="20"/>
                <w:szCs w:val="20"/>
              </w:rPr>
              <w:br w:type="textWrapping"/>
            </w:r>
            <w:r>
              <w:rPr>
                <w:rFonts w:hint="eastAsia" w:ascii="宋体" w:hAnsi="宋体" w:cs="宋体"/>
                <w:kern w:val="0"/>
                <w:sz w:val="20"/>
                <w:szCs w:val="20"/>
              </w:rPr>
              <w:t>垂直转动速度范围 1.7° ~ 69.9°/s。</w:t>
            </w:r>
            <w:r>
              <w:rPr>
                <w:rFonts w:hint="eastAsia" w:ascii="宋体" w:hAnsi="宋体" w:cs="宋体"/>
                <w:kern w:val="0"/>
                <w:sz w:val="20"/>
                <w:szCs w:val="20"/>
              </w:rPr>
              <w:br w:type="textWrapping"/>
            </w:r>
            <w:r>
              <w:rPr>
                <w:rFonts w:hint="eastAsia" w:ascii="宋体" w:hAnsi="宋体" w:cs="宋体"/>
                <w:kern w:val="0"/>
                <w:sz w:val="20"/>
                <w:szCs w:val="20"/>
              </w:rPr>
              <w:t>水平、垂直翻转 支持。</w:t>
            </w:r>
            <w:r>
              <w:rPr>
                <w:rFonts w:hint="eastAsia" w:ascii="宋体" w:hAnsi="宋体" w:cs="宋体"/>
                <w:kern w:val="0"/>
                <w:sz w:val="20"/>
                <w:szCs w:val="20"/>
              </w:rPr>
              <w:br w:type="textWrapping"/>
            </w:r>
            <w:r>
              <w:rPr>
                <w:rFonts w:hint="eastAsia" w:ascii="宋体" w:hAnsi="宋体" w:cs="宋体"/>
                <w:kern w:val="0"/>
                <w:sz w:val="20"/>
                <w:szCs w:val="20"/>
              </w:rPr>
              <w:t>支持设置摄像机预置位。</w:t>
            </w:r>
            <w:r>
              <w:rPr>
                <w:rFonts w:hint="eastAsia" w:ascii="宋体" w:hAnsi="宋体" w:cs="宋体"/>
                <w:kern w:val="0"/>
                <w:sz w:val="20"/>
                <w:szCs w:val="20"/>
              </w:rPr>
              <w:br w:type="textWrapping"/>
            </w:r>
            <w:r>
              <w:rPr>
                <w:rFonts w:hint="eastAsia" w:ascii="宋体" w:hAnsi="宋体" w:cs="宋体"/>
                <w:kern w:val="0"/>
                <w:sz w:val="20"/>
                <w:szCs w:val="20"/>
              </w:rPr>
              <w:t>视频接口 1路RJ45网络接口，支持PoE供电。</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sz w:val="20"/>
                <w:szCs w:val="20"/>
              </w:rPr>
              <w:t>62</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模块</w:t>
            </w:r>
          </w:p>
        </w:tc>
        <w:tc>
          <w:tcPr>
            <w:tcW w:w="5209" w:type="dxa"/>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机柜及墙面做多媒体扩展模块，地面做地插模块，符合现场各路控制终端信号接入需求。</w:t>
            </w:r>
          </w:p>
        </w:tc>
        <w:tc>
          <w:tcPr>
            <w:tcW w:w="762" w:type="dxa"/>
            <w:shd w:val="clear" w:color="000000" w:fill="FFFFFF"/>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7"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sz w:val="20"/>
                <w:szCs w:val="20"/>
              </w:rPr>
              <w:t>63</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机柜</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定制机柜，根据现场环境</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trPr>
        <w:tc>
          <w:tcPr>
            <w:tcW w:w="634" w:type="dxa"/>
            <w:shd w:val="clear" w:color="000000" w:fill="FFFFFF"/>
            <w:noWrap w:val="0"/>
            <w:vAlign w:val="center"/>
          </w:tcPr>
          <w:p>
            <w:pPr>
              <w:widowControl/>
              <w:jc w:val="center"/>
              <w:rPr>
                <w:rFonts w:ascii="宋体" w:hAnsi="宋体" w:cs="宋体"/>
                <w:kern w:val="0"/>
                <w:sz w:val="20"/>
                <w:szCs w:val="20"/>
              </w:rPr>
            </w:pPr>
            <w:r>
              <w:rPr>
                <w:rFonts w:hint="eastAsia" w:ascii="宋体" w:hAnsi="宋体"/>
                <w:sz w:val="20"/>
                <w:szCs w:val="20"/>
              </w:rPr>
              <w:t>64</w:t>
            </w:r>
          </w:p>
        </w:tc>
        <w:tc>
          <w:tcPr>
            <w:tcW w:w="897" w:type="dxa"/>
            <w:vMerge w:val="continue"/>
            <w:shd w:val="clear" w:color="auto" w:fill="auto"/>
            <w:noWrap w:val="0"/>
            <w:vAlign w:val="center"/>
          </w:tcPr>
          <w:p>
            <w:pPr>
              <w:widowControl/>
              <w:jc w:val="left"/>
              <w:rPr>
                <w:rFonts w:ascii="宋体" w:hAnsi="宋体" w:cs="宋体"/>
                <w:kern w:val="0"/>
                <w:sz w:val="20"/>
                <w:szCs w:val="20"/>
              </w:rPr>
            </w:pPr>
          </w:p>
        </w:tc>
        <w:tc>
          <w:tcPr>
            <w:tcW w:w="11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安装调试</w:t>
            </w:r>
          </w:p>
        </w:tc>
        <w:tc>
          <w:tcPr>
            <w:tcW w:w="5209"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所有材料及设备运输、搬运，安装调试及培训；交钥匙工程。</w:t>
            </w:r>
          </w:p>
        </w:tc>
        <w:tc>
          <w:tcPr>
            <w:tcW w:w="762"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33" w:type="dxa"/>
            <w:shd w:val="clear" w:color="auto" w:fill="auto"/>
            <w:noWrap w:val="0"/>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批</w:t>
            </w:r>
          </w:p>
        </w:tc>
      </w:tr>
    </w:tbl>
    <w:p>
      <w:pPr>
        <w:spacing w:line="360" w:lineRule="auto"/>
        <w:rPr>
          <w:rFonts w:hint="eastAsia" w:ascii="宋体" w:hAnsi="宋体" w:cs="宋体"/>
          <w:b/>
          <w:sz w:val="24"/>
        </w:rPr>
      </w:pPr>
    </w:p>
    <w:p>
      <w:pPr>
        <w:spacing w:line="360" w:lineRule="auto"/>
        <w:rPr>
          <w:rFonts w:ascii="宋体" w:hAnsi="宋体" w:cs="宋体"/>
          <w:b/>
          <w:sz w:val="24"/>
        </w:rPr>
      </w:pPr>
      <w:r>
        <w:rPr>
          <w:rFonts w:hint="eastAsia" w:ascii="宋体" w:hAnsi="宋体" w:cs="宋体"/>
          <w:b/>
          <w:sz w:val="24"/>
        </w:rPr>
        <w:t>注：1、其中“</w:t>
      </w:r>
      <w:r>
        <w:rPr>
          <w:rFonts w:hint="eastAsia" w:ascii="宋体" w:hAnsi="宋体" w:cs="宋体"/>
          <w:b/>
          <w:kern w:val="0"/>
          <w:sz w:val="24"/>
        </w:rPr>
        <w:t>L</w:t>
      </w:r>
      <w:r>
        <w:rPr>
          <w:rFonts w:ascii="宋体" w:hAnsi="宋体" w:cs="宋体"/>
          <w:b/>
          <w:kern w:val="0"/>
          <w:sz w:val="24"/>
        </w:rPr>
        <w:t>ED</w:t>
      </w:r>
      <w:r>
        <w:rPr>
          <w:rFonts w:hint="eastAsia" w:ascii="宋体" w:hAnsi="宋体" w:cs="宋体"/>
          <w:b/>
          <w:kern w:val="0"/>
          <w:sz w:val="24"/>
        </w:rPr>
        <w:t>全彩屏”</w:t>
      </w:r>
      <w:r>
        <w:rPr>
          <w:rFonts w:hint="eastAsia" w:ascii="宋体" w:hAnsi="宋体" w:cs="宋体"/>
          <w:b/>
          <w:sz w:val="24"/>
        </w:rPr>
        <w:t>为本次采购核心产品。</w:t>
      </w:r>
    </w:p>
    <w:p>
      <w:pPr>
        <w:autoSpaceDE w:val="0"/>
        <w:autoSpaceDN w:val="0"/>
        <w:adjustRightInd w:val="0"/>
        <w:spacing w:after="120" w:line="360" w:lineRule="auto"/>
        <w:ind w:firstLine="480" w:firstLineChars="200"/>
        <w:textAlignment w:val="baseline"/>
        <w:rPr>
          <w:rFonts w:ascii="宋体" w:hAnsi="宋体" w:cs="宋体"/>
          <w:sz w:val="24"/>
        </w:rPr>
      </w:pPr>
      <w:r>
        <w:rPr>
          <w:rFonts w:hint="eastAsia" w:ascii="宋体" w:hAnsi="宋体" w:cs="宋体"/>
          <w:sz w:val="24"/>
        </w:rPr>
        <w:t>2、为确保系统稳定性，接收卡、视频处理器、与LED全彩室内屏、LED显示屏（主屏）需为同一品牌。</w:t>
      </w:r>
    </w:p>
    <w:p>
      <w:pPr>
        <w:autoSpaceDE w:val="0"/>
        <w:autoSpaceDN w:val="0"/>
        <w:adjustRightInd w:val="0"/>
        <w:spacing w:after="120" w:line="360" w:lineRule="auto"/>
        <w:ind w:firstLine="480" w:firstLineChars="200"/>
        <w:textAlignment w:val="baseline"/>
        <w:rPr>
          <w:rFonts w:ascii="宋体" w:hAnsi="宋体" w:cs="宋体"/>
          <w:sz w:val="24"/>
        </w:rPr>
      </w:pPr>
      <w:r>
        <w:rPr>
          <w:rFonts w:hint="eastAsia" w:ascii="宋体" w:hAnsi="宋体" w:cs="宋体"/>
          <w:sz w:val="24"/>
        </w:rPr>
        <w:t>3、本项目为交钥匙工程，包括货物的供应、运输、装卸、就位、安装、调试和维修工作。清单中未列明，但属设备正常运行必须的配件或辅件由各投标人计入相应的设备报价中。</w:t>
      </w:r>
    </w:p>
    <w:p>
      <w:pPr>
        <w:autoSpaceDE w:val="0"/>
        <w:autoSpaceDN w:val="0"/>
        <w:adjustRightInd w:val="0"/>
        <w:spacing w:after="120" w:line="360" w:lineRule="auto"/>
        <w:ind w:firstLine="420" w:firstLineChars="175"/>
        <w:textAlignment w:val="baseline"/>
        <w:rPr>
          <w:rFonts w:ascii="宋体" w:hAnsi="宋体" w:cs="宋体"/>
          <w:sz w:val="24"/>
        </w:rPr>
      </w:pPr>
      <w:r>
        <w:rPr>
          <w:rFonts w:hint="eastAsia" w:ascii="宋体" w:hAnsi="宋体" w:cs="宋体"/>
          <w:sz w:val="24"/>
        </w:rPr>
        <w:t>4、响应性要求：</w:t>
      </w:r>
    </w:p>
    <w:p>
      <w:pPr>
        <w:spacing w:line="360" w:lineRule="auto"/>
        <w:ind w:firstLine="480" w:firstLineChars="200"/>
        <w:rPr>
          <w:rFonts w:ascii="宋体" w:hAnsi="宋体" w:cs="宋体"/>
          <w:sz w:val="24"/>
        </w:rPr>
      </w:pPr>
      <w:r>
        <w:rPr>
          <w:rFonts w:hint="eastAsia" w:ascii="宋体" w:hAnsi="宋体" w:cs="宋体"/>
          <w:sz w:val="24"/>
        </w:rPr>
        <w:t>各产品技术参数描述要求提供的第三方检测机构出具的检测（验）报告或官网截图或彩页或证书或产品说明书等各项资料，未提供或缺少提供都将作为负偏离影响技术得分。</w:t>
      </w:r>
    </w:p>
    <w:p>
      <w:pPr>
        <w:spacing w:line="360" w:lineRule="auto"/>
        <w:ind w:firstLine="480" w:firstLineChars="200"/>
        <w:rPr>
          <w:rFonts w:ascii="宋体" w:hAnsi="宋体" w:cs="宋体"/>
          <w:sz w:val="24"/>
        </w:rPr>
      </w:pPr>
      <w:r>
        <w:rPr>
          <w:rFonts w:hint="eastAsia" w:ascii="宋体" w:hAnsi="宋体" w:cs="宋体"/>
          <w:sz w:val="24"/>
        </w:rPr>
        <w:t>清单对应所有产品软硬件功能，投标供应商在投标文件中需真实描述投标产品实际响应情况（技术偏离表需准确注明满足情况或负偏离情况），业主有权要求预中标单位在预中标后公示期满3个工作日内提供设备进行测试，软硬件功能逐条检验，若有虚假响应，做无效标处理并上报监管部门进行相应追责及处罚。</w:t>
      </w:r>
    </w:p>
    <w:p>
      <w:pPr>
        <w:spacing w:line="360" w:lineRule="auto"/>
        <w:ind w:firstLine="480" w:firstLineChars="200"/>
        <w:rPr>
          <w:rFonts w:ascii="宋体" w:hAnsi="宋体" w:cs="宋体"/>
          <w:sz w:val="24"/>
        </w:rPr>
      </w:pPr>
      <w:r>
        <w:rPr>
          <w:rFonts w:hint="eastAsia" w:ascii="宋体" w:hAnsi="宋体" w:cs="宋体"/>
          <w:sz w:val="24"/>
        </w:rPr>
        <w:t>二、其他要求：</w:t>
      </w:r>
    </w:p>
    <w:p>
      <w:pPr>
        <w:spacing w:line="360" w:lineRule="auto"/>
        <w:ind w:firstLine="480" w:firstLineChars="200"/>
        <w:rPr>
          <w:rFonts w:ascii="宋体" w:hAnsi="宋体" w:cs="宋体"/>
          <w:sz w:val="24"/>
        </w:rPr>
      </w:pPr>
      <w:r>
        <w:rPr>
          <w:rFonts w:hint="eastAsia" w:ascii="宋体" w:hAnsi="宋体" w:cs="宋体"/>
          <w:sz w:val="24"/>
        </w:rPr>
        <w:t>1、招标人在招标文件所列采购清单中，只列主要产品、设备的名称、数量、技术参数等要求，其他辅材、配套、配件、软件等未详细列入，均应包括在相应产品、设备器材中，投标人在报价时自行考虑。</w:t>
      </w:r>
    </w:p>
    <w:p>
      <w:pPr>
        <w:spacing w:line="360" w:lineRule="auto"/>
        <w:ind w:firstLine="480" w:firstLineChars="200"/>
        <w:rPr>
          <w:rFonts w:ascii="宋体" w:hAnsi="宋体" w:cs="宋体"/>
          <w:sz w:val="24"/>
        </w:rPr>
      </w:pPr>
      <w:r>
        <w:rPr>
          <w:rFonts w:hint="eastAsia" w:ascii="宋体" w:hAnsi="宋体" w:cs="宋体"/>
          <w:sz w:val="24"/>
        </w:rPr>
        <w:t>2、列入国家生产许可和3C目录的产品，在项目实施前必须取得并提供相应说明资料备查。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sz w:val="24"/>
        </w:rPr>
      </w:pPr>
      <w:r>
        <w:rPr>
          <w:rFonts w:hint="eastAsia" w:ascii="宋体" w:hAnsi="宋体" w:cs="宋体"/>
          <w:sz w:val="24"/>
        </w:rPr>
        <w:t xml:space="preserve"> 3、项目方案及安装调试方案具体在实施前须报经采购人同意后方可执行，否则后果自负。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sz w:val="24"/>
        </w:rPr>
      </w:pPr>
      <w:r>
        <w:rPr>
          <w:rFonts w:hint="eastAsia" w:ascii="宋体" w:hAnsi="宋体" w:cs="宋体"/>
          <w:sz w:val="24"/>
        </w:rPr>
        <w:t xml:space="preserve">▲4、所设计的系统集成方案应具有兼容性、可扩充性。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firstLineChars="300"/>
        <w:rPr>
          <w:rFonts w:ascii="宋体" w:hAnsi="宋体" w:cs="宋体"/>
          <w:sz w:val="24"/>
        </w:rPr>
      </w:pPr>
      <w:r>
        <w:rPr>
          <w:rFonts w:hint="eastAsia" w:ascii="宋体" w:hAnsi="宋体" w:cs="宋体"/>
          <w:sz w:val="24"/>
        </w:rPr>
        <w:t>5、卖方应保护买方在使用该产品、服务或其任何一部分时不受第三方提出侵犯专利权、商标权或工业设计权等知识产权的指控。如果任何第三方提出侵权指控，卖方须与第三方交涉并承担可能发生的一切法律责任和费用。</w:t>
      </w:r>
    </w:p>
    <w:p>
      <w:pPr>
        <w:spacing w:line="360" w:lineRule="auto"/>
        <w:ind w:firstLine="480" w:firstLineChars="200"/>
        <w:jc w:val="left"/>
        <w:rPr>
          <w:rFonts w:ascii="宋体" w:hAnsi="宋体" w:cs="宋体"/>
          <w:sz w:val="24"/>
        </w:rPr>
      </w:pPr>
      <w:r>
        <w:rPr>
          <w:rFonts w:hint="eastAsia" w:ascii="宋体" w:hAnsi="宋体" w:cs="宋体"/>
          <w:sz w:val="24"/>
        </w:rPr>
        <w:t>6、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招标人，未经招标人允许不得私自预先安装。</w:t>
      </w:r>
    </w:p>
    <w:p>
      <w:pPr>
        <w:pStyle w:val="23"/>
        <w:spacing w:line="360" w:lineRule="auto"/>
        <w:ind w:firstLine="480" w:firstLineChars="200"/>
        <w:rPr>
          <w:rFonts w:ascii="宋体" w:hAnsi="宋体" w:cs="宋体"/>
          <w:sz w:val="24"/>
          <w:lang w:val="zh-CN"/>
        </w:rPr>
      </w:pPr>
      <w:r>
        <w:rPr>
          <w:rFonts w:hint="eastAsia" w:ascii="宋体" w:hAnsi="宋体" w:cs="宋体"/>
          <w:sz w:val="24"/>
          <w:lang w:val="zh-CN"/>
        </w:rPr>
        <w:t>如招标文件中遗漏了必须具备的设备、配件、</w:t>
      </w:r>
      <w:r>
        <w:rPr>
          <w:rFonts w:hint="eastAsia" w:ascii="宋体" w:hAnsi="宋体" w:cs="宋体"/>
          <w:sz w:val="24"/>
        </w:rPr>
        <w:t>辅材、软件</w:t>
      </w:r>
      <w:r>
        <w:rPr>
          <w:rFonts w:hint="eastAsia" w:ascii="宋体" w:hAnsi="宋体" w:cs="宋体"/>
          <w:sz w:val="24"/>
          <w:lang w:val="zh-CN"/>
        </w:rPr>
        <w:t>或服务，请投标人在投标文件中指出，并提出解决方案供采购人参考；</w:t>
      </w:r>
      <w:r>
        <w:rPr>
          <w:rFonts w:hint="eastAsia" w:ascii="宋体" w:hAnsi="宋体" w:cs="宋体"/>
          <w:sz w:val="24"/>
        </w:rPr>
        <w:t>投标人</w:t>
      </w:r>
      <w:r>
        <w:rPr>
          <w:rFonts w:hint="eastAsia" w:ascii="宋体" w:hAnsi="宋体" w:cs="宋体"/>
          <w:sz w:val="24"/>
          <w:lang w:val="zh-CN"/>
        </w:rPr>
        <w:t>有义务保证采购人</w:t>
      </w:r>
      <w:r>
        <w:rPr>
          <w:rFonts w:hint="eastAsia" w:ascii="宋体" w:hAnsi="宋体" w:cs="宋体"/>
          <w:sz w:val="24"/>
        </w:rPr>
        <w:t>采购项目</w:t>
      </w:r>
      <w:r>
        <w:rPr>
          <w:rFonts w:hint="eastAsia" w:ascii="宋体" w:hAnsi="宋体" w:cs="宋体"/>
          <w:sz w:val="24"/>
          <w:lang w:val="zh-CN"/>
        </w:rPr>
        <w:t>的完整性，如项目实施过程中因缺少设备、配件、</w:t>
      </w:r>
      <w:r>
        <w:rPr>
          <w:rFonts w:hint="eastAsia" w:ascii="宋体" w:hAnsi="宋体" w:cs="宋体"/>
          <w:sz w:val="24"/>
        </w:rPr>
        <w:t>辅材、软件</w:t>
      </w:r>
      <w:r>
        <w:rPr>
          <w:rFonts w:hint="eastAsia" w:ascii="宋体" w:hAnsi="宋体" w:cs="宋体"/>
          <w:sz w:val="24"/>
          <w:lang w:val="zh-CN"/>
        </w:rPr>
        <w:t>或服务导致采购人</w:t>
      </w:r>
      <w:r>
        <w:rPr>
          <w:rFonts w:hint="eastAsia" w:ascii="宋体" w:hAnsi="宋体" w:cs="宋体"/>
          <w:sz w:val="24"/>
        </w:rPr>
        <w:t>采购项目</w:t>
      </w:r>
      <w:r>
        <w:rPr>
          <w:rFonts w:hint="eastAsia" w:ascii="宋体" w:hAnsi="宋体" w:cs="宋体"/>
          <w:sz w:val="24"/>
          <w:lang w:val="zh-CN"/>
        </w:rPr>
        <w:t>无法正常运行</w:t>
      </w:r>
      <w:r>
        <w:rPr>
          <w:rFonts w:hint="eastAsia" w:ascii="宋体" w:hAnsi="宋体" w:cs="宋体"/>
          <w:sz w:val="24"/>
        </w:rPr>
        <w:t>或使用</w:t>
      </w:r>
      <w:r>
        <w:rPr>
          <w:rFonts w:hint="eastAsia" w:ascii="宋体" w:hAnsi="宋体" w:cs="宋体"/>
          <w:sz w:val="24"/>
          <w:lang w:val="zh-CN"/>
        </w:rPr>
        <w:t>，</w:t>
      </w:r>
      <w:r>
        <w:rPr>
          <w:rFonts w:hint="eastAsia" w:ascii="宋体" w:hAnsi="宋体" w:cs="宋体"/>
          <w:sz w:val="24"/>
        </w:rPr>
        <w:t>中标人</w:t>
      </w:r>
      <w:r>
        <w:rPr>
          <w:rFonts w:hint="eastAsia" w:ascii="宋体" w:hAnsi="宋体" w:cs="宋体"/>
          <w:sz w:val="24"/>
          <w:lang w:val="zh-CN"/>
        </w:rPr>
        <w:t>须免费提供，报价时自行考虑。</w:t>
      </w:r>
    </w:p>
    <w:p>
      <w:pPr>
        <w:pStyle w:val="23"/>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bCs/>
          <w:sz w:val="24"/>
        </w:rPr>
        <w:t>7、备品备件：每一种同型号LED背板</w:t>
      </w:r>
      <w:r>
        <w:rPr>
          <w:rFonts w:hint="eastAsia" w:ascii="宋体" w:hAnsi="宋体" w:cs="宋体"/>
          <w:kern w:val="0"/>
          <w:sz w:val="20"/>
          <w:szCs w:val="20"/>
        </w:rPr>
        <w:t>≥</w:t>
      </w:r>
      <w:r>
        <w:rPr>
          <w:rFonts w:hint="eastAsia" w:ascii="宋体" w:hAnsi="宋体" w:cs="宋体"/>
          <w:bCs/>
          <w:sz w:val="24"/>
        </w:rPr>
        <w:t>3块、每一种同型号LED面板不少于</w:t>
      </w:r>
      <w:r>
        <w:rPr>
          <w:rFonts w:hint="eastAsia" w:ascii="宋体" w:hAnsi="宋体" w:cs="宋体"/>
          <w:kern w:val="0"/>
          <w:sz w:val="20"/>
          <w:szCs w:val="20"/>
        </w:rPr>
        <w:t>≥</w:t>
      </w:r>
      <w:r>
        <w:rPr>
          <w:rFonts w:hint="eastAsia" w:ascii="宋体" w:hAnsi="宋体" w:cs="宋体"/>
          <w:bCs/>
          <w:sz w:val="24"/>
        </w:rPr>
        <w:t>3块，每一种LED显示屏电源</w:t>
      </w:r>
      <w:r>
        <w:rPr>
          <w:rFonts w:hint="eastAsia" w:ascii="宋体" w:hAnsi="宋体" w:cs="宋体"/>
          <w:kern w:val="0"/>
          <w:sz w:val="20"/>
          <w:szCs w:val="20"/>
        </w:rPr>
        <w:t>≥</w:t>
      </w:r>
      <w:r>
        <w:rPr>
          <w:rFonts w:hint="eastAsia" w:ascii="宋体" w:hAnsi="宋体" w:cs="宋体"/>
          <w:bCs/>
          <w:sz w:val="24"/>
        </w:rPr>
        <w:t>2支。</w:t>
      </w:r>
    </w:p>
    <w:p>
      <w:pPr>
        <w:spacing w:line="360" w:lineRule="auto"/>
        <w:ind w:firstLine="480" w:firstLineChars="200"/>
        <w:jc w:val="left"/>
        <w:rPr>
          <w:rFonts w:ascii="宋体" w:hAnsi="宋体" w:cs="宋体"/>
          <w:sz w:val="24"/>
        </w:rPr>
      </w:pPr>
      <w:r>
        <w:rPr>
          <w:rFonts w:hint="eastAsia" w:ascii="宋体" w:hAnsi="宋体" w:cs="宋体"/>
          <w:sz w:val="24"/>
        </w:rPr>
        <w:t>8、技术培训：为采购人培训操作技术人员，使其能够熟练掌握系统的安装、操作、维护、维修，并能独立上岗。</w:t>
      </w:r>
    </w:p>
    <w:p>
      <w:pPr>
        <w:spacing w:line="360" w:lineRule="auto"/>
        <w:ind w:firstLine="480" w:firstLineChars="200"/>
        <w:jc w:val="left"/>
        <w:rPr>
          <w:rFonts w:ascii="宋体" w:hAnsi="宋体" w:cs="宋体"/>
          <w:sz w:val="24"/>
        </w:rPr>
      </w:pPr>
      <w:r>
        <w:rPr>
          <w:rFonts w:hint="eastAsia" w:ascii="宋体" w:hAnsi="宋体" w:cs="宋体"/>
          <w:sz w:val="24"/>
        </w:rPr>
        <w:t>9、保修期（免费维修期）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sz w:val="24"/>
        </w:rPr>
      </w:pPr>
      <w:r>
        <w:rPr>
          <w:rFonts w:hint="eastAsia" w:ascii="宋体" w:hAnsi="宋体" w:cs="宋体"/>
          <w:sz w:val="24"/>
        </w:rPr>
        <w:t>①保修期从整个项目产品安装调试完毕，并经验收合格之日开始计算。除非采购人另有要求，保修期内的服务均为免费上门服务。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sz w:val="24"/>
        </w:rPr>
      </w:pPr>
      <w:r>
        <w:rPr>
          <w:rFonts w:hint="eastAsia" w:ascii="宋体" w:hAnsi="宋体" w:cs="宋体"/>
          <w:sz w:val="24"/>
        </w:rPr>
        <w:t>②质量保证：质量保证整体项目免费维护维修至少3年，具体以投标人投标承诺质保期为准。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sz w:val="24"/>
        </w:rPr>
      </w:pPr>
      <w:r>
        <w:rPr>
          <w:rFonts w:hint="eastAsia" w:ascii="宋体" w:hAnsi="宋体" w:cs="宋体"/>
          <w:sz w:val="24"/>
        </w:rPr>
        <w:t>③在保修期内，采购人有故障申报，投标人（或原厂商，在投标文件中注明由谁提供该服务）须在至少0.5小时内响应提供解决方案，若不能以电话方式解决故障，须在1小时内到达现场，一般故障到达现场后3小时内解决，现场解决不了的重大故障，应在24小时内解决。若不能现场解决，须提供同等性能、同等配置的设备替换，以确保采购人不中断使用运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sz w:val="24"/>
        </w:rPr>
      </w:pPr>
      <w:r>
        <w:rPr>
          <w:rFonts w:hint="eastAsia" w:ascii="宋体" w:hAnsi="宋体" w:cs="宋体"/>
          <w:sz w:val="24"/>
        </w:rPr>
        <w:t>④保修期内，与维修相关的所有费用、安全等由投标人自负。</w:t>
      </w:r>
    </w:p>
    <w:p>
      <w:pPr>
        <w:tabs>
          <w:tab w:val="left" w:pos="0"/>
        </w:tabs>
        <w:spacing w:line="360" w:lineRule="auto"/>
        <w:ind w:firstLine="480" w:firstLineChars="200"/>
        <w:jc w:val="left"/>
        <w:rPr>
          <w:rFonts w:ascii="宋体" w:hAnsi="宋体" w:cs="宋体"/>
          <w:sz w:val="24"/>
        </w:rPr>
      </w:pPr>
      <w:r>
        <w:rPr>
          <w:rFonts w:hint="eastAsia" w:ascii="宋体" w:hAnsi="宋体" w:cs="宋体"/>
          <w:sz w:val="24"/>
        </w:rPr>
        <w:t>10、安装施工要求</w:t>
      </w:r>
    </w:p>
    <w:p>
      <w:pPr>
        <w:spacing w:line="360" w:lineRule="auto"/>
        <w:ind w:firstLine="480" w:firstLineChars="200"/>
        <w:jc w:val="left"/>
        <w:rPr>
          <w:rFonts w:ascii="宋体" w:hAnsi="宋体" w:cs="宋体"/>
          <w:sz w:val="24"/>
        </w:rPr>
      </w:pPr>
      <w:r>
        <w:rPr>
          <w:rFonts w:hint="eastAsia" w:ascii="宋体" w:hAnsi="宋体" w:cs="宋体"/>
          <w:sz w:val="24"/>
        </w:rPr>
        <w:t>投标人须保证招标人本次采购所有产品、设备安装调试，并承担全部工作责任。要求所有设备原包装到采购人指定地点，由采购人认可并清点后才可拆封。中标单位供货时须提供原厂商相关说明资料。在项目实施时业主有权要求中标单位提供设备进行测试，软硬件功能逐条检验，若有虚假响应，后果自负。</w:t>
      </w:r>
    </w:p>
    <w:p>
      <w:pPr>
        <w:spacing w:line="360" w:lineRule="auto"/>
        <w:ind w:firstLine="480" w:firstLineChars="200"/>
        <w:rPr>
          <w:rFonts w:ascii="宋体" w:hAnsi="宋体" w:cs="宋体"/>
          <w:sz w:val="24"/>
        </w:rPr>
      </w:pPr>
      <w:r>
        <w:rPr>
          <w:rFonts w:hint="eastAsia" w:ascii="宋体" w:hAnsi="宋体" w:cs="宋体"/>
          <w:sz w:val="24"/>
        </w:rPr>
        <w:t>要求所有设备原包装到采购人指定地点，由采购人认可并清点后才可拆封。中标单位供货时须提供原厂商相关说明资料。</w:t>
      </w:r>
    </w:p>
    <w:p>
      <w:pPr>
        <w:tabs>
          <w:tab w:val="left" w:pos="0"/>
        </w:tabs>
        <w:spacing w:line="360" w:lineRule="auto"/>
        <w:ind w:firstLine="480" w:firstLineChars="200"/>
        <w:jc w:val="left"/>
        <w:rPr>
          <w:rFonts w:ascii="宋体" w:hAnsi="宋体" w:cs="宋体"/>
          <w:sz w:val="24"/>
        </w:rPr>
      </w:pPr>
      <w:r>
        <w:rPr>
          <w:rFonts w:hint="eastAsia" w:ascii="宋体" w:hAnsi="宋体" w:cs="宋体"/>
          <w:sz w:val="24"/>
        </w:rPr>
        <w:t>项目实施时不得损坏招标人财物，如有损坏需无条件修复原状，否则招标人有权在应付货款中扣除相应损失。</w:t>
      </w:r>
    </w:p>
    <w:p>
      <w:pPr>
        <w:tabs>
          <w:tab w:val="left" w:pos="0"/>
        </w:tabs>
        <w:spacing w:line="360" w:lineRule="auto"/>
        <w:ind w:firstLine="470" w:firstLineChars="196"/>
        <w:jc w:val="left"/>
        <w:rPr>
          <w:rFonts w:ascii="宋体" w:hAnsi="宋体" w:cs="宋体"/>
          <w:sz w:val="24"/>
        </w:rPr>
      </w:pPr>
      <w:r>
        <w:rPr>
          <w:rFonts w:hint="eastAsia" w:ascii="宋体" w:hAnsi="宋体" w:cs="宋体"/>
          <w:sz w:val="24"/>
        </w:rPr>
        <w:t>项目方案及施工方案具体在实施前须报经采购人同意后方可执行；</w:t>
      </w:r>
    </w:p>
    <w:p>
      <w:pPr>
        <w:spacing w:line="360" w:lineRule="auto"/>
        <w:ind w:firstLine="480" w:firstLineChars="200"/>
        <w:rPr>
          <w:rFonts w:ascii="宋体" w:hAnsi="宋体" w:cs="宋体"/>
          <w:sz w:val="24"/>
        </w:rPr>
      </w:pPr>
      <w:r>
        <w:rPr>
          <w:rFonts w:hint="eastAsia" w:ascii="宋体" w:hAnsi="宋体" w:cs="宋体"/>
          <w:sz w:val="24"/>
        </w:rPr>
        <w:t>强化安全意识、抓好安全生产，明确安全责任，杜绝事故发生，项目实施中发生安全及人身事故均由投标人负责处理，并承担全部责任和费用。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sz w:val="24"/>
        </w:rPr>
      </w:pPr>
      <w:r>
        <w:rPr>
          <w:rFonts w:hint="eastAsia" w:ascii="宋体" w:hAnsi="宋体" w:cs="宋体"/>
          <w:sz w:val="24"/>
        </w:rPr>
        <w:t>以非投标人制造的产品参加投标的，招标人有权要求在项目实施时提供该产品制造商针对本项目出具的授权书或质保函。</w:t>
      </w:r>
    </w:p>
    <w:p>
      <w:pPr>
        <w:tabs>
          <w:tab w:val="left" w:pos="0"/>
        </w:tabs>
        <w:spacing w:line="360" w:lineRule="auto"/>
        <w:ind w:firstLine="470" w:firstLineChars="196"/>
        <w:jc w:val="left"/>
        <w:rPr>
          <w:rFonts w:ascii="宋体" w:hAnsi="宋体" w:cs="宋体"/>
          <w:sz w:val="24"/>
        </w:rPr>
      </w:pPr>
      <w:r>
        <w:rPr>
          <w:rFonts w:hint="eastAsia" w:ascii="宋体" w:hAnsi="宋体" w:cs="宋体"/>
          <w:sz w:val="24"/>
        </w:rPr>
        <w:t>11、验收标准及要求</w:t>
      </w:r>
    </w:p>
    <w:p>
      <w:pPr>
        <w:tabs>
          <w:tab w:val="left" w:pos="0"/>
        </w:tabs>
        <w:spacing w:line="360" w:lineRule="auto"/>
        <w:ind w:firstLine="470" w:firstLineChars="196"/>
        <w:jc w:val="left"/>
        <w:rPr>
          <w:rFonts w:ascii="宋体" w:hAnsi="宋体" w:cs="宋体"/>
          <w:sz w:val="24"/>
        </w:rPr>
      </w:pPr>
      <w:r>
        <w:rPr>
          <w:rFonts w:hint="eastAsia" w:ascii="宋体" w:hAnsi="宋体" w:cs="宋体"/>
          <w:sz w:val="24"/>
        </w:rPr>
        <w:t>根据中华人民共和国现行技术标准，按招标文件以及合同规定的验收评定标准等规范，由招标人组织验收。</w:t>
      </w:r>
    </w:p>
    <w:p>
      <w:pPr>
        <w:tabs>
          <w:tab w:val="left" w:pos="0"/>
        </w:tabs>
        <w:spacing w:line="360" w:lineRule="auto"/>
        <w:ind w:firstLine="470" w:firstLineChars="196"/>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验收在材料、设备到齐时，由招标人组织人员对材料、设备等投标响应要求进行初次验收，经验收合格投标人方可实施；投标人必须按照招标要求及招标人的要求准备完整的验收材料。</w:t>
      </w:r>
    </w:p>
    <w:p>
      <w:pPr>
        <w:tabs>
          <w:tab w:val="left" w:pos="0"/>
        </w:tabs>
        <w:spacing w:line="360" w:lineRule="auto"/>
        <w:ind w:firstLine="470" w:firstLineChars="196"/>
        <w:jc w:val="left"/>
        <w:rPr>
          <w:rFonts w:ascii="宋体" w:hAnsi="宋体" w:cs="宋体"/>
          <w:sz w:val="24"/>
        </w:rPr>
      </w:pPr>
      <w:r>
        <w:rPr>
          <w:rFonts w:hint="eastAsia" w:ascii="宋体" w:hAnsi="宋体" w:cs="宋体"/>
          <w:sz w:val="24"/>
        </w:rPr>
        <w:t>②最终验收由招标人组织专家组进行验收，同时根据具体情况可以邀请主要设备厂家代表或投标人代表协助采购方进行验收。由于中标人原因超过时间达不到要求的或验收不能过的，中标人须退还已付货款，赔偿业主损失，并报有关部门处理。</w:t>
      </w:r>
    </w:p>
    <w:p>
      <w:pPr>
        <w:pStyle w:val="23"/>
        <w:autoSpaceDE w:val="0"/>
        <w:autoSpaceDN w:val="0"/>
        <w:adjustRightInd w:val="0"/>
        <w:spacing w:line="360" w:lineRule="auto"/>
        <w:ind w:firstLine="480" w:firstLineChars="200"/>
        <w:textAlignment w:val="baseline"/>
        <w:sectPr>
          <w:pgSz w:w="11906" w:h="16838"/>
          <w:pgMar w:top="1440" w:right="1800" w:bottom="1440" w:left="1800" w:header="851" w:footer="992" w:gutter="0"/>
          <w:cols w:space="720" w:num="1"/>
          <w:docGrid w:type="lines" w:linePitch="312" w:charSpace="0"/>
        </w:sectPr>
      </w:pPr>
      <w:r>
        <w:rPr>
          <w:rFonts w:hint="eastAsia" w:ascii="宋体" w:hAnsi="宋体" w:cs="宋体"/>
          <w:sz w:val="24"/>
        </w:rPr>
        <w:t>③投标人向招标人提供施工过程中形成的图纸、记录、档案资料、产品说明书、原厂家安装手册、技术文件资料、安装、验收报告等原件文档汇集成册（含电子版一套），并按招标人的档案管理要求完成资料归档工作，报送招标单位留存。</w:t>
      </w:r>
    </w:p>
    <w:p>
      <w:pPr>
        <w:spacing w:line="360" w:lineRule="auto"/>
        <w:jc w:val="center"/>
        <w:outlineLvl w:val="0"/>
        <w:rPr>
          <w:rFonts w:hint="eastAsia" w:hAnsi="宋体"/>
          <w:color w:val="000000"/>
          <w:sz w:val="30"/>
          <w:szCs w:val="30"/>
        </w:rPr>
      </w:pPr>
      <w:r>
        <w:rPr>
          <w:rFonts w:hint="eastAsia" w:hAnsi="宋体"/>
          <w:color w:val="000000"/>
          <w:sz w:val="30"/>
          <w:szCs w:val="30"/>
        </w:rPr>
        <w:t>第三章  投标供应商须知</w:t>
      </w:r>
    </w:p>
    <w:p>
      <w:pPr>
        <w:adjustRightInd w:val="0"/>
        <w:snapToGrid w:val="0"/>
        <w:spacing w:before="120" w:beforeLines="50" w:after="120" w:afterLines="50"/>
        <w:ind w:left="238"/>
        <w:jc w:val="center"/>
        <w:outlineLvl w:val="1"/>
        <w:rPr>
          <w:rFonts w:ascii="宋体" w:hAnsi="宋体"/>
          <w:b/>
          <w:color w:val="000000"/>
          <w:szCs w:val="28"/>
        </w:rPr>
      </w:pPr>
      <w:r>
        <w:rPr>
          <w:rFonts w:hint="eastAsia" w:ascii="宋体" w:hAnsi="宋体"/>
          <w:b/>
          <w:color w:val="000000"/>
          <w:szCs w:val="28"/>
        </w:rPr>
        <w:t>前 附 表</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5"/>
        <w:gridCol w:w="8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4"/>
              </w:rPr>
            </w:pPr>
            <w:r>
              <w:rPr>
                <w:rFonts w:hint="eastAsia" w:ascii="宋体" w:hAnsi="宋体"/>
                <w:color w:val="000000"/>
                <w:sz w:val="24"/>
              </w:rPr>
              <w:t>序号</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4"/>
              </w:rPr>
            </w:pPr>
            <w:r>
              <w:rPr>
                <w:rFonts w:hint="eastAsia" w:ascii="宋体" w:hAnsi="宋体"/>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4"/>
              </w:rPr>
            </w:pPr>
            <w:r>
              <w:rPr>
                <w:rFonts w:ascii="宋体" w:hAnsi="宋体"/>
                <w:color w:val="000000"/>
                <w:sz w:val="24"/>
              </w:rPr>
              <w:t>1</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4"/>
              </w:rPr>
            </w:pPr>
            <w:r>
              <w:rPr>
                <w:rFonts w:hint="eastAsia" w:ascii="宋体" w:hAnsi="宋体"/>
                <w:color w:val="000000"/>
                <w:sz w:val="24"/>
              </w:rPr>
              <w:t>项目名称：</w:t>
            </w:r>
            <w:r>
              <w:rPr>
                <w:rFonts w:hint="eastAsia" w:hAnsi="宋体"/>
                <w:b/>
                <w:bCs/>
                <w:color w:val="000000"/>
                <w:sz w:val="24"/>
              </w:rPr>
              <w:t>浦江县中医院新院区搬迁信息化与LED屏采购项目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sz w:val="24"/>
              </w:rPr>
            </w:pPr>
            <w:r>
              <w:rPr>
                <w:rFonts w:ascii="宋体" w:hAnsi="宋体"/>
                <w:color w:val="000000"/>
                <w:sz w:val="24"/>
              </w:rPr>
              <w:t>2</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 w:val="24"/>
              </w:rPr>
            </w:pPr>
            <w:r>
              <w:rPr>
                <w:rFonts w:hint="eastAsia" w:ascii="宋体" w:hAnsi="宋体"/>
                <w:color w:val="000000"/>
                <w:sz w:val="24"/>
              </w:rPr>
              <w:t>采购数量及单位：</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2787"/>
              <w:gridCol w:w="1295"/>
              <w:gridCol w:w="156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7" w:hRule="atLeast"/>
                <w:jc w:val="center"/>
              </w:trPr>
              <w:tc>
                <w:tcPr>
                  <w:tcW w:w="1198" w:type="dxa"/>
                  <w:noWrap w:val="0"/>
                  <w:vAlign w:val="center"/>
                </w:tcPr>
                <w:p>
                  <w:pPr>
                    <w:jc w:val="center"/>
                    <w:rPr>
                      <w:rFonts w:ascii="宋体" w:hAnsi="宋体" w:cs="宋体"/>
                      <w:b/>
                      <w:color w:val="000000"/>
                      <w:kern w:val="1"/>
                      <w:sz w:val="24"/>
                    </w:rPr>
                  </w:pPr>
                  <w:r>
                    <w:rPr>
                      <w:rFonts w:hint="eastAsia" w:ascii="宋体" w:hAnsi="宋体" w:cs="宋体"/>
                      <w:b/>
                      <w:color w:val="000000"/>
                      <w:kern w:val="1"/>
                      <w:sz w:val="24"/>
                    </w:rPr>
                    <w:t>标项</w:t>
                  </w:r>
                </w:p>
              </w:tc>
              <w:tc>
                <w:tcPr>
                  <w:tcW w:w="2937" w:type="dxa"/>
                  <w:noWrap w:val="0"/>
                  <w:vAlign w:val="center"/>
                </w:tcPr>
                <w:p>
                  <w:pPr>
                    <w:jc w:val="center"/>
                    <w:rPr>
                      <w:rFonts w:ascii="宋体" w:hAnsi="宋体" w:cs="宋体"/>
                      <w:b/>
                      <w:color w:val="000000"/>
                      <w:kern w:val="1"/>
                      <w:sz w:val="24"/>
                    </w:rPr>
                  </w:pPr>
                  <w:r>
                    <w:rPr>
                      <w:rFonts w:hint="eastAsia" w:ascii="宋体" w:hAnsi="宋体" w:cs="宋体"/>
                      <w:b/>
                      <w:color w:val="000000"/>
                      <w:kern w:val="1"/>
                      <w:sz w:val="24"/>
                    </w:rPr>
                    <w:t>采购内容</w:t>
                  </w:r>
                </w:p>
              </w:tc>
              <w:tc>
                <w:tcPr>
                  <w:tcW w:w="1358" w:type="dxa"/>
                  <w:noWrap w:val="0"/>
                  <w:vAlign w:val="center"/>
                </w:tcPr>
                <w:p>
                  <w:pPr>
                    <w:ind w:right="-61" w:rightChars="-29"/>
                    <w:jc w:val="center"/>
                    <w:rPr>
                      <w:rFonts w:ascii="宋体" w:hAnsi="宋体" w:cs="宋体"/>
                      <w:b/>
                      <w:color w:val="000000"/>
                      <w:kern w:val="1"/>
                      <w:sz w:val="24"/>
                    </w:rPr>
                  </w:pPr>
                  <w:r>
                    <w:rPr>
                      <w:rFonts w:hint="eastAsia" w:ascii="宋体" w:hAnsi="宋体" w:cs="宋体"/>
                      <w:b/>
                      <w:color w:val="000000"/>
                      <w:kern w:val="1"/>
                      <w:sz w:val="24"/>
                    </w:rPr>
                    <w:t>数量</w:t>
                  </w:r>
                </w:p>
              </w:tc>
              <w:tc>
                <w:tcPr>
                  <w:tcW w:w="1595" w:type="dxa"/>
                  <w:noWrap w:val="0"/>
                  <w:vAlign w:val="center"/>
                </w:tcPr>
                <w:p>
                  <w:pPr>
                    <w:jc w:val="center"/>
                    <w:rPr>
                      <w:rFonts w:ascii="宋体" w:hAnsi="宋体" w:cs="宋体"/>
                      <w:b/>
                      <w:color w:val="000000"/>
                      <w:kern w:val="1"/>
                      <w:sz w:val="24"/>
                    </w:rPr>
                  </w:pPr>
                  <w:r>
                    <w:rPr>
                      <w:rFonts w:hint="eastAsia" w:ascii="宋体" w:hAnsi="宋体" w:cs="宋体"/>
                      <w:b/>
                      <w:color w:val="000000"/>
                      <w:kern w:val="1"/>
                      <w:sz w:val="24"/>
                    </w:rPr>
                    <w:t>预算</w:t>
                  </w:r>
                </w:p>
              </w:tc>
              <w:tc>
                <w:tcPr>
                  <w:tcW w:w="2038" w:type="dxa"/>
                  <w:noWrap w:val="0"/>
                  <w:vAlign w:val="center"/>
                </w:tcPr>
                <w:p>
                  <w:pPr>
                    <w:jc w:val="center"/>
                    <w:rPr>
                      <w:rFonts w:hint="eastAsia" w:ascii="宋体" w:hAnsi="宋体"/>
                      <w:color w:val="000000"/>
                      <w:sz w:val="24"/>
                    </w:rPr>
                  </w:pPr>
                  <w:r>
                    <w:rPr>
                      <w:rFonts w:hint="eastAsia" w:ascii="宋体" w:hAnsi="宋体" w:cs="宋体"/>
                      <w:b/>
                      <w:color w:val="000000"/>
                      <w:kern w:val="1"/>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198" w:type="dxa"/>
                  <w:noWrap w:val="0"/>
                  <w:vAlign w:val="center"/>
                </w:tcPr>
                <w:p>
                  <w:pPr>
                    <w:jc w:val="center"/>
                    <w:rPr>
                      <w:rFonts w:hint="eastAsia" w:ascii="宋体" w:hAnsi="宋体"/>
                      <w:b/>
                      <w:color w:val="000000"/>
                      <w:sz w:val="24"/>
                    </w:rPr>
                  </w:pPr>
                  <w:r>
                    <w:rPr>
                      <w:rFonts w:hint="eastAsia" w:ascii="宋体" w:hAnsi="宋体"/>
                      <w:b/>
                      <w:color w:val="000000"/>
                      <w:sz w:val="24"/>
                    </w:rPr>
                    <w:t>标项一</w:t>
                  </w:r>
                </w:p>
              </w:tc>
              <w:tc>
                <w:tcPr>
                  <w:tcW w:w="2937" w:type="dxa"/>
                  <w:noWrap w:val="0"/>
                  <w:vAlign w:val="center"/>
                </w:tcPr>
                <w:p>
                  <w:pPr>
                    <w:ind w:right="-61" w:rightChars="-29"/>
                    <w:jc w:val="center"/>
                    <w:rPr>
                      <w:rFonts w:hint="eastAsia" w:ascii="宋体" w:hAnsi="宋体"/>
                      <w:color w:val="000000"/>
                      <w:sz w:val="24"/>
                    </w:rPr>
                  </w:pPr>
                  <w:r>
                    <w:rPr>
                      <w:rFonts w:hint="eastAsia" w:ascii="宋体" w:hAnsi="宋体"/>
                      <w:color w:val="000000"/>
                      <w:sz w:val="24"/>
                    </w:rPr>
                    <w:t>浦江县中医院新院区搬迁信息化2023年建设</w:t>
                  </w:r>
                </w:p>
              </w:tc>
              <w:tc>
                <w:tcPr>
                  <w:tcW w:w="1358" w:type="dxa"/>
                  <w:noWrap w:val="0"/>
                  <w:vAlign w:val="center"/>
                </w:tcPr>
                <w:p>
                  <w:pPr>
                    <w:ind w:right="-61" w:rightChars="-29"/>
                    <w:jc w:val="center"/>
                    <w:rPr>
                      <w:rFonts w:hint="eastAsia" w:ascii="宋体" w:hAnsi="宋体"/>
                      <w:color w:val="000000"/>
                      <w:sz w:val="24"/>
                    </w:rPr>
                  </w:pPr>
                  <w:r>
                    <w:rPr>
                      <w:rFonts w:hint="eastAsia" w:ascii="宋体" w:hAnsi="宋体"/>
                      <w:color w:val="000000"/>
                      <w:sz w:val="24"/>
                    </w:rPr>
                    <w:t>1批</w:t>
                  </w:r>
                </w:p>
              </w:tc>
              <w:tc>
                <w:tcPr>
                  <w:tcW w:w="1595" w:type="dxa"/>
                  <w:noWrap w:val="0"/>
                  <w:vAlign w:val="center"/>
                </w:tcPr>
                <w:p>
                  <w:pPr>
                    <w:jc w:val="center"/>
                    <w:rPr>
                      <w:rFonts w:hint="eastAsia" w:ascii="宋体" w:hAnsi="宋体"/>
                      <w:color w:val="000000"/>
                      <w:sz w:val="24"/>
                    </w:rPr>
                  </w:pPr>
                  <w:r>
                    <w:rPr>
                      <w:rFonts w:hint="eastAsia" w:ascii="宋体" w:hAnsi="宋体"/>
                      <w:color w:val="000000"/>
                      <w:sz w:val="24"/>
                    </w:rPr>
                    <w:t>1117.43万元</w:t>
                  </w:r>
                </w:p>
              </w:tc>
              <w:tc>
                <w:tcPr>
                  <w:tcW w:w="2038" w:type="dxa"/>
                  <w:vMerge w:val="restart"/>
                  <w:noWrap w:val="0"/>
                  <w:vAlign w:val="center"/>
                </w:tcPr>
                <w:p>
                  <w:pPr>
                    <w:jc w:val="center"/>
                    <w:rPr>
                      <w:rFonts w:hint="eastAsia" w:ascii="宋体" w:hAnsi="宋体" w:cs="宋体"/>
                      <w:b/>
                      <w:color w:val="000000"/>
                      <w:kern w:val="1"/>
                      <w:sz w:val="24"/>
                    </w:rPr>
                  </w:pPr>
                  <w:r>
                    <w:rPr>
                      <w:rFonts w:hint="eastAsia" w:hAnsi="宋体"/>
                      <w:b/>
                      <w:bCs/>
                      <w:color w:val="000000"/>
                      <w:sz w:val="24"/>
                    </w:rPr>
                    <w:t>浦江县中医院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198" w:type="dxa"/>
                  <w:noWrap w:val="0"/>
                  <w:vAlign w:val="center"/>
                </w:tcPr>
                <w:p>
                  <w:pPr>
                    <w:jc w:val="center"/>
                    <w:rPr>
                      <w:rFonts w:hint="eastAsia" w:ascii="宋体" w:hAnsi="宋体"/>
                      <w:b/>
                      <w:color w:val="000000"/>
                      <w:sz w:val="24"/>
                    </w:rPr>
                  </w:pPr>
                  <w:r>
                    <w:rPr>
                      <w:rFonts w:hint="eastAsia" w:ascii="宋体" w:hAnsi="宋体"/>
                      <w:b/>
                      <w:color w:val="000000"/>
                      <w:sz w:val="24"/>
                    </w:rPr>
                    <w:t>标项二</w:t>
                  </w:r>
                </w:p>
              </w:tc>
              <w:tc>
                <w:tcPr>
                  <w:tcW w:w="2937" w:type="dxa"/>
                  <w:noWrap w:val="0"/>
                  <w:vAlign w:val="center"/>
                </w:tcPr>
                <w:p>
                  <w:pPr>
                    <w:ind w:right="-61" w:rightChars="-29"/>
                    <w:jc w:val="center"/>
                    <w:rPr>
                      <w:rFonts w:hint="eastAsia" w:ascii="宋体" w:hAnsi="宋体"/>
                      <w:color w:val="000000"/>
                      <w:sz w:val="24"/>
                    </w:rPr>
                  </w:pPr>
                  <w:r>
                    <w:rPr>
                      <w:rFonts w:hint="eastAsia" w:ascii="宋体" w:hAnsi="宋体"/>
                      <w:color w:val="000000"/>
                      <w:sz w:val="24"/>
                    </w:rPr>
                    <w:t>浦江县中医院新院区LED屏2023年建设项目</w:t>
                  </w:r>
                </w:p>
              </w:tc>
              <w:tc>
                <w:tcPr>
                  <w:tcW w:w="1358" w:type="dxa"/>
                  <w:noWrap w:val="0"/>
                  <w:vAlign w:val="center"/>
                </w:tcPr>
                <w:p>
                  <w:pPr>
                    <w:ind w:right="-61" w:rightChars="-29"/>
                    <w:jc w:val="center"/>
                    <w:rPr>
                      <w:rFonts w:hint="eastAsia" w:ascii="宋体" w:hAnsi="宋体"/>
                      <w:color w:val="000000"/>
                      <w:sz w:val="24"/>
                    </w:rPr>
                  </w:pPr>
                  <w:r>
                    <w:rPr>
                      <w:rFonts w:hint="eastAsia" w:ascii="宋体" w:hAnsi="宋体"/>
                      <w:color w:val="000000"/>
                      <w:sz w:val="24"/>
                    </w:rPr>
                    <w:t>1批</w:t>
                  </w:r>
                </w:p>
              </w:tc>
              <w:tc>
                <w:tcPr>
                  <w:tcW w:w="1595" w:type="dxa"/>
                  <w:noWrap w:val="0"/>
                  <w:vAlign w:val="center"/>
                </w:tcPr>
                <w:p>
                  <w:pPr>
                    <w:jc w:val="center"/>
                    <w:rPr>
                      <w:rFonts w:hint="eastAsia" w:ascii="宋体" w:hAnsi="宋体"/>
                      <w:color w:val="000000"/>
                      <w:sz w:val="24"/>
                    </w:rPr>
                  </w:pPr>
                  <w:r>
                    <w:rPr>
                      <w:rFonts w:hint="eastAsia" w:ascii="宋体" w:hAnsi="宋体"/>
                      <w:color w:val="000000"/>
                      <w:sz w:val="24"/>
                    </w:rPr>
                    <w:t>76.03万元</w:t>
                  </w:r>
                </w:p>
              </w:tc>
              <w:tc>
                <w:tcPr>
                  <w:tcW w:w="2038" w:type="dxa"/>
                  <w:vMerge w:val="continue"/>
                  <w:noWrap w:val="0"/>
                  <w:vAlign w:val="center"/>
                </w:tcPr>
                <w:p>
                  <w:pPr>
                    <w:jc w:val="center"/>
                    <w:rPr>
                      <w:rFonts w:hint="eastAsia" w:hAnsi="宋体"/>
                      <w:b/>
                      <w:bCs/>
                      <w:color w:val="000000"/>
                      <w:sz w:val="24"/>
                    </w:rPr>
                  </w:pPr>
                </w:p>
              </w:tc>
            </w:tr>
          </w:tbl>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w:t>
            </w:r>
            <w:r>
              <w:rPr>
                <w:rFonts w:ascii="宋体" w:hAnsi="宋体"/>
                <w:color w:val="000000"/>
                <w:sz w:val="24"/>
              </w:rPr>
              <w:t>3</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4"/>
              </w:rPr>
            </w:pPr>
            <w:r>
              <w:rPr>
                <w:rFonts w:hint="eastAsia" w:ascii="宋体" w:hAnsi="宋体"/>
                <w:color w:val="000000"/>
                <w:sz w:val="24"/>
              </w:rPr>
              <w:t>投标报价及费用：</w:t>
            </w:r>
            <w:r>
              <w:rPr>
                <w:rFonts w:ascii="宋体" w:hAnsi="宋体"/>
                <w:color w:val="000000"/>
                <w:sz w:val="24"/>
              </w:rPr>
              <w:t>1</w:t>
            </w:r>
            <w:r>
              <w:rPr>
                <w:rFonts w:hint="eastAsia" w:ascii="宋体" w:hAnsi="宋体"/>
                <w:color w:val="000000"/>
                <w:sz w:val="24"/>
              </w:rPr>
              <w:t>、本项目投标应以人民币报价；</w:t>
            </w:r>
            <w:r>
              <w:rPr>
                <w:rFonts w:ascii="宋体" w:hAnsi="宋体"/>
                <w:color w:val="000000"/>
                <w:sz w:val="24"/>
              </w:rPr>
              <w:t>2</w:t>
            </w:r>
            <w:r>
              <w:rPr>
                <w:rFonts w:hint="eastAsia" w:ascii="宋体" w:hAnsi="宋体"/>
                <w:color w:val="000000"/>
                <w:sz w:val="24"/>
              </w:rPr>
              <w:t>、不论投标结果如何，投标供应商均应自行承担所有与投标有关的全部费用；</w:t>
            </w:r>
            <w:r>
              <w:rPr>
                <w:rFonts w:ascii="宋体" w:hAnsi="宋体"/>
                <w:color w:val="000000"/>
                <w:sz w:val="24"/>
              </w:rPr>
              <w:t>3</w:t>
            </w:r>
            <w:r>
              <w:rPr>
                <w:rFonts w:hint="eastAsia" w:ascii="宋体" w:hAnsi="宋体"/>
                <w:color w:val="000000"/>
                <w:sz w:val="24"/>
              </w:rPr>
              <w:t>、本项目免收代理服务费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4</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24"/>
              </w:rPr>
            </w:pPr>
            <w:r>
              <w:rPr>
                <w:rFonts w:hint="eastAsia" w:ascii="宋体" w:hAnsi="宋体"/>
                <w:b/>
                <w:color w:val="000000"/>
                <w:sz w:val="24"/>
              </w:rPr>
              <w:t>投标保证金</w:t>
            </w:r>
            <w:r>
              <w:rPr>
                <w:rFonts w:hint="eastAsia" w:ascii="宋体" w:hAnsi="宋体"/>
                <w:color w:val="000000"/>
                <w:sz w:val="24"/>
              </w:rPr>
              <w:t>：</w:t>
            </w:r>
            <w:r>
              <w:rPr>
                <w:rFonts w:hint="eastAsia" w:ascii="宋体" w:hAnsi="宋体" w:cs="Arial"/>
                <w:color w:val="000000"/>
                <w:sz w:val="24"/>
              </w:rPr>
              <w:t>本项目不收取投标保证金</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5</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eastAsia" w:ascii="宋体" w:hAnsi="宋体"/>
                <w:color w:val="000000"/>
                <w:sz w:val="24"/>
              </w:rPr>
            </w:pPr>
            <w:r>
              <w:rPr>
                <w:rFonts w:hint="eastAsia" w:ascii="宋体" w:hAnsi="宋体"/>
                <w:b/>
                <w:color w:val="000000"/>
                <w:sz w:val="24"/>
              </w:rPr>
              <w:t>实施时间：详见第二章采购需求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6</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sz w:val="24"/>
              </w:rPr>
            </w:pPr>
            <w:r>
              <w:rPr>
                <w:rFonts w:hint="eastAsia" w:ascii="宋体" w:hAnsi="宋体"/>
                <w:b/>
                <w:color w:val="000000"/>
                <w:sz w:val="24"/>
              </w:rPr>
              <w:t>样品：</w:t>
            </w: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7</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color w:val="000000"/>
                <w:sz w:val="24"/>
              </w:rPr>
            </w:pPr>
            <w:r>
              <w:rPr>
                <w:rFonts w:hint="eastAsia" w:ascii="宋体" w:hAnsi="宋体"/>
                <w:b/>
                <w:color w:val="000000"/>
                <w:sz w:val="24"/>
              </w:rPr>
              <w:t>答疑与澄清：</w:t>
            </w:r>
            <w:r>
              <w:rPr>
                <w:rFonts w:hint="eastAsia" w:ascii="宋体" w:hAnsi="宋体"/>
                <w:color w:val="000000"/>
                <w:sz w:val="24"/>
              </w:rPr>
              <w:t>投标供应商</w:t>
            </w:r>
            <w:r>
              <w:rPr>
                <w:rFonts w:ascii="宋体" w:hAnsi="宋体"/>
                <w:color w:val="000000"/>
                <w:sz w:val="24"/>
              </w:rPr>
              <w:t>如认为</w:t>
            </w:r>
            <w:r>
              <w:rPr>
                <w:rFonts w:hint="eastAsia" w:ascii="宋体" w:hAnsi="宋体"/>
                <w:color w:val="000000"/>
                <w:sz w:val="24"/>
              </w:rPr>
              <w:t>采购文件</w:t>
            </w:r>
            <w:r>
              <w:rPr>
                <w:rFonts w:ascii="宋体" w:hAnsi="宋体"/>
                <w:color w:val="000000"/>
                <w:sz w:val="24"/>
              </w:rPr>
              <w:t>表述不清晰、存在歧视性、排他性或者其他违法内容的，应当于</w:t>
            </w:r>
            <w:r>
              <w:rPr>
                <w:rFonts w:hint="eastAsia" w:ascii="宋体" w:hAnsi="宋体"/>
                <w:b/>
                <w:color w:val="000000"/>
                <w:sz w:val="24"/>
                <w:u w:val="single"/>
              </w:rPr>
              <w:t>采购文件</w:t>
            </w:r>
            <w:r>
              <w:rPr>
                <w:rFonts w:ascii="宋体" w:hAnsi="宋体"/>
                <w:b/>
                <w:color w:val="000000"/>
                <w:sz w:val="24"/>
                <w:u w:val="single"/>
              </w:rPr>
              <w:t>提供期限截止期前（自本公告发布之日起至第6个工作日24时）</w:t>
            </w:r>
            <w:r>
              <w:rPr>
                <w:rFonts w:ascii="宋体" w:hAnsi="宋体"/>
                <w:color w:val="000000"/>
                <w:sz w:val="24"/>
              </w:rPr>
              <w:t>，以书面形式要求</w:t>
            </w:r>
            <w:r>
              <w:rPr>
                <w:rFonts w:hint="eastAsia" w:ascii="宋体" w:hAnsi="宋体"/>
                <w:color w:val="000000"/>
                <w:sz w:val="24"/>
              </w:rPr>
              <w:t>采购人或者集采机构</w:t>
            </w:r>
            <w:r>
              <w:rPr>
                <w:rFonts w:ascii="宋体" w:hAnsi="宋体"/>
                <w:color w:val="000000"/>
                <w:sz w:val="24"/>
              </w:rPr>
              <w:t>作出书面解释、澄清或者向</w:t>
            </w:r>
            <w:r>
              <w:rPr>
                <w:rFonts w:hint="eastAsia" w:ascii="宋体" w:hAnsi="宋体"/>
                <w:color w:val="000000"/>
                <w:sz w:val="24"/>
              </w:rPr>
              <w:t>采购人或者集采机构</w:t>
            </w:r>
            <w:r>
              <w:rPr>
                <w:rFonts w:ascii="宋体" w:hAnsi="宋体"/>
                <w:color w:val="000000"/>
                <w:sz w:val="24"/>
              </w:rPr>
              <w:t>提出书面意见；</w:t>
            </w:r>
            <w:r>
              <w:rPr>
                <w:rFonts w:hint="eastAsia" w:ascii="宋体" w:hAnsi="宋体"/>
                <w:color w:val="000000"/>
                <w:sz w:val="24"/>
              </w:rPr>
              <w:t>采购人或者集采机构</w:t>
            </w:r>
            <w:r>
              <w:rPr>
                <w:rFonts w:ascii="宋体" w:hAnsi="宋体"/>
                <w:color w:val="000000"/>
                <w:sz w:val="24"/>
              </w:rPr>
              <w:t>将于</w:t>
            </w:r>
            <w:r>
              <w:rPr>
                <w:rFonts w:hint="eastAsia" w:ascii="宋体" w:hAnsi="宋体"/>
                <w:b/>
                <w:color w:val="000000"/>
                <w:sz w:val="24"/>
                <w:u w:val="single"/>
              </w:rPr>
              <w:t>采购文件</w:t>
            </w:r>
            <w:r>
              <w:rPr>
                <w:rFonts w:ascii="宋体" w:hAnsi="宋体"/>
                <w:b/>
                <w:color w:val="000000"/>
                <w:sz w:val="24"/>
                <w:u w:val="single"/>
              </w:rPr>
              <w:t>提供期限截止期后一工作日前</w:t>
            </w:r>
            <w:r>
              <w:rPr>
                <w:rFonts w:ascii="宋体" w:hAnsi="宋体"/>
                <w:color w:val="000000"/>
                <w:sz w:val="24"/>
              </w:rPr>
              <w:t>组织答疑</w:t>
            </w:r>
            <w:r>
              <w:rPr>
                <w:rFonts w:hint="eastAsia" w:ascii="宋体" w:hAnsi="宋体"/>
                <w:color w:val="000000"/>
                <w:sz w:val="24"/>
              </w:rPr>
              <w:t>，</w:t>
            </w:r>
            <w:r>
              <w:rPr>
                <w:rFonts w:ascii="宋体" w:hAnsi="宋体"/>
                <w:color w:val="000000"/>
                <w:sz w:val="24"/>
              </w:rPr>
              <w:t>答疑内容是</w:t>
            </w:r>
            <w:r>
              <w:rPr>
                <w:rFonts w:hint="eastAsia" w:ascii="宋体" w:hAnsi="宋体"/>
                <w:color w:val="000000"/>
                <w:sz w:val="24"/>
              </w:rPr>
              <w:t>采购文件</w:t>
            </w:r>
            <w:r>
              <w:rPr>
                <w:rFonts w:ascii="宋体" w:hAnsi="宋体"/>
                <w:color w:val="000000"/>
                <w:sz w:val="24"/>
              </w:rPr>
              <w:t>的组成部份，并将书面澄清</w:t>
            </w:r>
            <w:r>
              <w:rPr>
                <w:rFonts w:hint="eastAsia" w:ascii="宋体" w:hAnsi="宋体"/>
                <w:color w:val="000000"/>
                <w:sz w:val="24"/>
              </w:rPr>
              <w:t>（更正）</w:t>
            </w:r>
            <w:r>
              <w:rPr>
                <w:rFonts w:ascii="宋体" w:hAnsi="宋体"/>
                <w:color w:val="000000"/>
                <w:sz w:val="24"/>
              </w:rPr>
              <w:t>文件</w:t>
            </w:r>
            <w:r>
              <w:rPr>
                <w:rFonts w:hint="eastAsia" w:ascii="宋体" w:hAnsi="宋体"/>
                <w:color w:val="000000"/>
                <w:sz w:val="24"/>
              </w:rPr>
              <w:t>会在浙江政府采购网上发布公告，</w:t>
            </w:r>
            <w:r>
              <w:rPr>
                <w:rFonts w:ascii="宋体" w:hAnsi="宋体"/>
                <w:color w:val="000000"/>
                <w:sz w:val="24"/>
              </w:rPr>
              <w:t>同时</w:t>
            </w:r>
            <w:r>
              <w:rPr>
                <w:rFonts w:hint="eastAsia" w:ascii="宋体" w:hAnsi="宋体"/>
                <w:color w:val="000000"/>
                <w:sz w:val="24"/>
              </w:rPr>
              <w:t>政采云系统会</w:t>
            </w:r>
            <w:r>
              <w:rPr>
                <w:rFonts w:ascii="宋体" w:hAnsi="宋体"/>
                <w:color w:val="000000"/>
                <w:sz w:val="24"/>
              </w:rPr>
              <w:t>向所有</w:t>
            </w:r>
            <w:r>
              <w:rPr>
                <w:rFonts w:hint="eastAsia" w:ascii="宋体" w:hAnsi="宋体"/>
                <w:color w:val="000000"/>
                <w:sz w:val="24"/>
              </w:rPr>
              <w:t>已按采购文件规定方式获取采购文件的潜在</w:t>
            </w:r>
            <w:r>
              <w:rPr>
                <w:rFonts w:hint="eastAsia" w:ascii="宋体" w:hAnsi="宋体" w:cs="宋体"/>
                <w:color w:val="000000"/>
                <w:sz w:val="24"/>
              </w:rPr>
              <w:t>投标供应商</w:t>
            </w:r>
            <w:r>
              <w:rPr>
                <w:rFonts w:ascii="宋体" w:hAnsi="宋体"/>
                <w:color w:val="000000"/>
                <w:sz w:val="24"/>
              </w:rPr>
              <w:t>发送</w:t>
            </w:r>
            <w:r>
              <w:rPr>
                <w:rFonts w:hint="eastAsia" w:ascii="宋体" w:hAnsi="宋体"/>
                <w:color w:val="000000"/>
                <w:sz w:val="24"/>
              </w:rPr>
              <w:t>澄清（更正）提醒信息，潜在</w:t>
            </w:r>
            <w:r>
              <w:rPr>
                <w:rFonts w:hint="eastAsia" w:ascii="宋体" w:hAnsi="宋体" w:cs="宋体"/>
                <w:color w:val="000000"/>
                <w:sz w:val="24"/>
              </w:rPr>
              <w:t>投标供应商</w:t>
            </w:r>
            <w:r>
              <w:rPr>
                <w:rFonts w:hint="eastAsia" w:ascii="宋体" w:hAnsi="宋体"/>
                <w:color w:val="000000"/>
                <w:sz w:val="24"/>
              </w:rPr>
              <w:t>请自行到浙江政府采购网上下载</w:t>
            </w:r>
            <w:r>
              <w:rPr>
                <w:rFonts w:ascii="宋体" w:hAnsi="宋体"/>
                <w:color w:val="000000"/>
                <w:sz w:val="24"/>
              </w:rPr>
              <w:t>澄清</w:t>
            </w:r>
            <w:r>
              <w:rPr>
                <w:rFonts w:hint="eastAsia" w:ascii="宋体" w:hAnsi="宋体"/>
                <w:color w:val="000000"/>
                <w:sz w:val="24"/>
              </w:rPr>
              <w:t>（更正）</w:t>
            </w:r>
            <w:r>
              <w:rPr>
                <w:rFonts w:ascii="宋体" w:hAnsi="宋体"/>
                <w:color w:val="000000"/>
                <w:sz w:val="24"/>
              </w:rPr>
              <w:t>文件</w:t>
            </w:r>
            <w:r>
              <w:rPr>
                <w:rFonts w:hint="eastAsia" w:ascii="宋体" w:hAnsi="宋体"/>
                <w:color w:val="000000"/>
                <w:sz w:val="24"/>
              </w:rPr>
              <w:t>，潜在</w:t>
            </w:r>
            <w:r>
              <w:rPr>
                <w:rFonts w:hint="eastAsia" w:ascii="宋体" w:hAnsi="宋体" w:cs="宋体"/>
                <w:color w:val="000000"/>
                <w:sz w:val="24"/>
              </w:rPr>
              <w:t>投标供应商</w:t>
            </w:r>
            <w:r>
              <w:rPr>
                <w:rFonts w:ascii="宋体" w:hAnsi="宋体"/>
                <w:color w:val="000000"/>
                <w:sz w:val="24"/>
              </w:rPr>
              <w:t>在收到该澄清</w:t>
            </w:r>
            <w:r>
              <w:rPr>
                <w:rFonts w:hint="eastAsia" w:ascii="宋体" w:hAnsi="宋体"/>
                <w:color w:val="000000"/>
                <w:sz w:val="24"/>
              </w:rPr>
              <w:t>（更正）</w:t>
            </w:r>
            <w:r>
              <w:rPr>
                <w:rFonts w:ascii="宋体" w:hAnsi="宋体"/>
                <w:color w:val="000000"/>
                <w:sz w:val="24"/>
              </w:rPr>
              <w:t>文件后应于1日内，以书面或传真形式（签署意见并加盖公章）向</w:t>
            </w:r>
            <w:r>
              <w:rPr>
                <w:rFonts w:hint="eastAsia" w:ascii="宋体" w:hAnsi="宋体"/>
                <w:color w:val="000000"/>
                <w:sz w:val="24"/>
              </w:rPr>
              <w:t>集采</w:t>
            </w:r>
            <w:r>
              <w:rPr>
                <w:rFonts w:ascii="宋体" w:hAnsi="宋体"/>
                <w:color w:val="000000"/>
                <w:sz w:val="24"/>
              </w:rPr>
              <w:t>机构回函给予确认。过期未回复的，视为默认接受。</w:t>
            </w:r>
            <w:r>
              <w:rPr>
                <w:rFonts w:hint="eastAsia" w:ascii="宋体" w:hAnsi="宋体"/>
                <w:color w:val="000000"/>
                <w:sz w:val="24"/>
              </w:rPr>
              <w:t>澄清或者修改的内容可能影响投标文件编制的，采购人或者集采机构应当在投标截止时间至少15日前，以更正公告形式通知所有获取采购文件的潜在投标供应商；不足15日的，采购人或者集采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color w:val="000000"/>
                <w:sz w:val="24"/>
              </w:rPr>
            </w:pPr>
            <w:r>
              <w:rPr>
                <w:rFonts w:ascii="宋体" w:hAnsi="宋体" w:cs="Arial"/>
                <w:color w:val="000000"/>
                <w:sz w:val="24"/>
              </w:rPr>
              <w:t>8</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sz w:val="24"/>
              </w:rPr>
            </w:pPr>
            <w:r>
              <w:rPr>
                <w:rFonts w:hint="eastAsia" w:ascii="宋体" w:hAnsi="宋体" w:cs="Arial"/>
                <w:b/>
                <w:color w:val="000000"/>
                <w:sz w:val="24"/>
              </w:rPr>
              <w:t>投标文件组成：</w:t>
            </w:r>
            <w:r>
              <w:rPr>
                <w:rFonts w:ascii="宋体" w:hAnsi="宋体"/>
                <w:b/>
                <w:color w:val="000000"/>
                <w:sz w:val="24"/>
              </w:rPr>
              <w:t>由资格响应文件、技术商务文件和报价文件等三部份组成。</w:t>
            </w:r>
          </w:p>
          <w:p>
            <w:pPr>
              <w:rPr>
                <w:rFonts w:ascii="宋体" w:hAnsi="宋体"/>
                <w:b/>
                <w:color w:val="000000"/>
                <w:sz w:val="24"/>
              </w:rPr>
            </w:pPr>
            <w:r>
              <w:rPr>
                <w:rFonts w:ascii="宋体" w:hAnsi="宋体"/>
                <w:b/>
                <w:color w:val="000000"/>
                <w:sz w:val="24"/>
              </w:rPr>
              <w:t>本项目实行</w:t>
            </w:r>
            <w:r>
              <w:rPr>
                <w:rFonts w:hint="eastAsia" w:ascii="宋体" w:hAnsi="宋体"/>
                <w:b/>
                <w:color w:val="000000"/>
                <w:sz w:val="24"/>
              </w:rPr>
              <w:t>“</w:t>
            </w:r>
            <w:r>
              <w:rPr>
                <w:rFonts w:ascii="宋体" w:hAnsi="宋体"/>
                <w:b/>
                <w:color w:val="000000"/>
                <w:sz w:val="24"/>
              </w:rPr>
              <w:t>网上投标</w:t>
            </w:r>
            <w:r>
              <w:rPr>
                <w:rFonts w:hint="eastAsia" w:ascii="宋体" w:hAnsi="宋体"/>
                <w:b/>
                <w:color w:val="000000"/>
                <w:sz w:val="24"/>
              </w:rPr>
              <w:t>、电子评标”</w:t>
            </w:r>
            <w:r>
              <w:rPr>
                <w:rFonts w:ascii="宋体" w:hAnsi="宋体"/>
                <w:b/>
                <w:color w:val="000000"/>
                <w:sz w:val="24"/>
              </w:rPr>
              <w:t>，</w:t>
            </w:r>
            <w:r>
              <w:rPr>
                <w:rFonts w:hint="eastAsia" w:ascii="宋体" w:hAnsi="宋体"/>
                <w:b/>
                <w:color w:val="000000"/>
                <w:sz w:val="24"/>
              </w:rPr>
              <w:t>投标供应商</w:t>
            </w:r>
            <w:r>
              <w:rPr>
                <w:rFonts w:ascii="宋体" w:hAnsi="宋体"/>
                <w:b/>
                <w:color w:val="000000"/>
                <w:sz w:val="24"/>
              </w:rPr>
              <w:t>应准备以下投标文件：</w:t>
            </w:r>
          </w:p>
          <w:p>
            <w:pPr>
              <w:rPr>
                <w:rFonts w:ascii="宋体" w:hAnsi="宋体"/>
                <w:b/>
                <w:color w:val="000000"/>
                <w:sz w:val="24"/>
              </w:rPr>
            </w:pPr>
            <w:r>
              <w:rPr>
                <w:rFonts w:hint="eastAsia" w:ascii="宋体" w:hAnsi="宋体"/>
                <w:b/>
                <w:color w:val="000000"/>
                <w:sz w:val="24"/>
              </w:rPr>
              <w:t>投标供应商</w:t>
            </w:r>
            <w:r>
              <w:rPr>
                <w:rFonts w:ascii="宋体" w:hAnsi="宋体"/>
                <w:b/>
                <w:color w:val="000000"/>
                <w:sz w:val="24"/>
              </w:rPr>
              <w:t>在“政采云”</w:t>
            </w:r>
            <w:r>
              <w:rPr>
                <w:rFonts w:hint="eastAsia" w:ascii="宋体" w:hAnsi="宋体"/>
                <w:b/>
                <w:color w:val="000000"/>
                <w:sz w:val="24"/>
              </w:rPr>
              <w:t>（电子交易平台）</w:t>
            </w:r>
            <w:r>
              <w:rPr>
                <w:rFonts w:ascii="宋体" w:hAnsi="宋体"/>
                <w:b/>
                <w:color w:val="000000"/>
                <w:sz w:val="24"/>
              </w:rPr>
              <w:t>上</w:t>
            </w:r>
            <w:r>
              <w:rPr>
                <w:rFonts w:hint="eastAsia" w:ascii="宋体" w:hAnsi="宋体"/>
                <w:b/>
                <w:color w:val="000000"/>
                <w:sz w:val="24"/>
              </w:rPr>
              <w:t>传输、递交</w:t>
            </w:r>
            <w:r>
              <w:rPr>
                <w:rFonts w:ascii="宋体" w:hAnsi="宋体"/>
                <w:b/>
                <w:color w:val="000000"/>
                <w:sz w:val="24"/>
              </w:rPr>
              <w:t>电子投标文件。</w:t>
            </w:r>
            <w:r>
              <w:rPr>
                <w:rFonts w:hint="eastAsia" w:ascii="宋体" w:hAnsi="宋体"/>
                <w:b/>
                <w:color w:val="000000"/>
                <w:sz w:val="24"/>
              </w:rPr>
              <w:t>（</w:t>
            </w:r>
            <w:r>
              <w:rPr>
                <w:rFonts w:hint="eastAsia" w:ascii="宋体" w:hAnsi="宋体"/>
                <w:color w:val="000000"/>
                <w:sz w:val="24"/>
              </w:rPr>
              <w:t>投标供应商</w:t>
            </w:r>
            <w:r>
              <w:rPr>
                <w:rFonts w:ascii="宋体" w:hAnsi="宋体"/>
                <w:color w:val="000000"/>
                <w:sz w:val="24"/>
              </w:rPr>
              <w:t>在上传投标文件时</w:t>
            </w:r>
            <w:r>
              <w:rPr>
                <w:rFonts w:hint="eastAsia" w:ascii="宋体" w:hAnsi="宋体"/>
                <w:color w:val="000000"/>
                <w:sz w:val="24"/>
              </w:rPr>
              <w:t>应当</w:t>
            </w:r>
            <w:r>
              <w:rPr>
                <w:rFonts w:ascii="宋体" w:hAnsi="宋体"/>
                <w:color w:val="000000"/>
                <w:sz w:val="24"/>
              </w:rPr>
              <w:t>按照相应的意向包项分别上传。</w:t>
            </w:r>
            <w:r>
              <w:rPr>
                <w:rFonts w:hint="eastAsia" w:ascii="宋体" w:hAnsi="宋体"/>
                <w:b/>
                <w:color w:val="000000"/>
                <w:sz w:val="24"/>
              </w:rPr>
              <w:t>）</w:t>
            </w:r>
          </w:p>
          <w:p>
            <w:pPr>
              <w:rPr>
                <w:rFonts w:hint="eastAsia" w:ascii="宋体" w:hAnsi="宋体" w:cs="Arial"/>
                <w:b/>
                <w:color w:val="000000"/>
                <w:sz w:val="24"/>
              </w:rPr>
            </w:pPr>
          </w:p>
          <w:p>
            <w:pPr>
              <w:spacing w:line="360" w:lineRule="auto"/>
              <w:rPr>
                <w:rFonts w:hint="eastAsia" w:ascii="宋体" w:hAnsi="宋体" w:cs="Arial"/>
                <w:b/>
                <w:color w:val="000000"/>
                <w:sz w:val="24"/>
                <w:u w:val="single"/>
              </w:rPr>
            </w:pPr>
            <w:r>
              <w:rPr>
                <w:rFonts w:hint="eastAsia" w:ascii="宋体" w:hAnsi="宋体" w:cs="Arial"/>
                <w:b/>
                <w:color w:val="000000"/>
                <w:sz w:val="24"/>
                <w:u w:val="single"/>
              </w:rPr>
              <w:t>特别提醒：</w:t>
            </w:r>
          </w:p>
          <w:p>
            <w:pPr>
              <w:pStyle w:val="51"/>
              <w:spacing w:line="360" w:lineRule="auto"/>
              <w:rPr>
                <w:rFonts w:hint="eastAsia" w:ascii="宋体" w:hAnsi="宋体"/>
                <w:b/>
                <w:color w:val="000000"/>
                <w:kern w:val="2"/>
                <w:szCs w:val="24"/>
              </w:rPr>
            </w:pPr>
            <w:r>
              <w:rPr>
                <w:rFonts w:hint="eastAsia" w:ascii="宋体" w:hAnsi="宋体"/>
                <w:b/>
                <w:color w:val="000000"/>
                <w:kern w:val="2"/>
                <w:szCs w:val="24"/>
              </w:rPr>
              <w:t>1.</w:t>
            </w:r>
            <w:r>
              <w:rPr>
                <w:rFonts w:ascii="宋体" w:hAnsi="宋体"/>
                <w:b/>
                <w:color w:val="000000"/>
                <w:kern w:val="2"/>
                <w:szCs w:val="24"/>
              </w:rPr>
              <w:t xml:space="preserve">电子投标文件包括“电子加密投标文件” </w:t>
            </w:r>
            <w:r>
              <w:rPr>
                <w:rFonts w:hint="eastAsia" w:ascii="宋体" w:hAnsi="宋体"/>
                <w:b/>
                <w:color w:val="000000"/>
                <w:kern w:val="2"/>
                <w:szCs w:val="24"/>
              </w:rPr>
              <w:t>（后缀格式为.jmbs）</w:t>
            </w:r>
            <w:r>
              <w:rPr>
                <w:rFonts w:ascii="宋体" w:hAnsi="宋体"/>
                <w:b/>
                <w:color w:val="000000"/>
                <w:kern w:val="2"/>
                <w:szCs w:val="24"/>
              </w:rPr>
              <w:t>和“备份投标文件”</w:t>
            </w:r>
            <w:r>
              <w:rPr>
                <w:rFonts w:hint="eastAsia" w:ascii="宋体" w:hAnsi="宋体"/>
                <w:b/>
                <w:color w:val="000000"/>
                <w:kern w:val="2"/>
                <w:szCs w:val="24"/>
              </w:rPr>
              <w:t>（后缀格式为.bfbs）</w:t>
            </w:r>
            <w:r>
              <w:rPr>
                <w:rFonts w:ascii="宋体" w:hAnsi="宋体"/>
                <w:b/>
                <w:color w:val="000000"/>
                <w:kern w:val="2"/>
                <w:szCs w:val="24"/>
              </w:rPr>
              <w:t>，在投标文件编制完成后同时生成。</w:t>
            </w:r>
          </w:p>
          <w:p>
            <w:pPr>
              <w:pStyle w:val="51"/>
              <w:spacing w:line="360" w:lineRule="auto"/>
              <w:rPr>
                <w:rFonts w:hint="eastAsia" w:ascii="宋体" w:hAnsi="宋体"/>
                <w:b/>
                <w:color w:val="000000"/>
                <w:kern w:val="2"/>
                <w:szCs w:val="24"/>
              </w:rPr>
            </w:pPr>
            <w:r>
              <w:rPr>
                <w:rFonts w:hint="eastAsia" w:ascii="宋体" w:hAnsi="宋体"/>
                <w:b/>
                <w:color w:val="000000"/>
                <w:kern w:val="2"/>
                <w:szCs w:val="24"/>
              </w:rPr>
              <w:t>（1）</w:t>
            </w:r>
            <w:r>
              <w:rPr>
                <w:rFonts w:ascii="宋体" w:hAnsi="宋体"/>
                <w:b/>
                <w:color w:val="000000"/>
                <w:kern w:val="2"/>
                <w:szCs w:val="24"/>
              </w:rPr>
              <w:t>“电子加密投标文件” 是指通过“政采云电子交易客户端”完成投标文件编制后生成并加密的数据电文形式的投标文件。</w:t>
            </w:r>
          </w:p>
          <w:p>
            <w:pPr>
              <w:pStyle w:val="51"/>
              <w:spacing w:line="360" w:lineRule="auto"/>
              <w:rPr>
                <w:rFonts w:hint="eastAsia" w:ascii="宋体" w:hAnsi="宋体"/>
                <w:b/>
                <w:color w:val="000000"/>
                <w:szCs w:val="24"/>
              </w:rPr>
            </w:pPr>
            <w:r>
              <w:rPr>
                <w:rFonts w:hint="eastAsia" w:ascii="宋体" w:hAnsi="宋体"/>
                <w:b/>
                <w:color w:val="000000"/>
                <w:kern w:val="2"/>
                <w:szCs w:val="24"/>
              </w:rPr>
              <w:t>（</w:t>
            </w:r>
            <w:r>
              <w:rPr>
                <w:rFonts w:ascii="宋体" w:hAnsi="宋体"/>
                <w:b/>
                <w:color w:val="000000"/>
                <w:kern w:val="2"/>
                <w:szCs w:val="24"/>
              </w:rPr>
              <w:t>2</w:t>
            </w:r>
            <w:r>
              <w:rPr>
                <w:rFonts w:hint="eastAsia" w:ascii="宋体" w:hAnsi="宋体"/>
                <w:b/>
                <w:color w:val="000000"/>
                <w:kern w:val="2"/>
                <w:szCs w:val="24"/>
              </w:rPr>
              <w:t>）</w:t>
            </w:r>
            <w:r>
              <w:rPr>
                <w:rFonts w:ascii="宋体" w:hAnsi="宋体"/>
                <w:b/>
                <w:color w:val="000000"/>
                <w:kern w:val="2"/>
                <w:szCs w:val="24"/>
              </w:rPr>
              <w:t>“备份投标文件” 是指与“电子加密投标文件” 同时生成的数据电文形式的电子文件（备份标书， 用于</w:t>
            </w:r>
            <w:r>
              <w:rPr>
                <w:rFonts w:hint="eastAsia" w:ascii="宋体" w:hAnsi="宋体"/>
                <w:b/>
                <w:color w:val="000000"/>
                <w:kern w:val="2"/>
                <w:szCs w:val="24"/>
              </w:rPr>
              <w:t>投标供应商</w:t>
            </w:r>
            <w:r>
              <w:rPr>
                <w:rFonts w:ascii="宋体" w:hAnsi="宋体"/>
                <w:b/>
                <w:color w:val="000000"/>
                <w:kern w:val="2"/>
                <w:szCs w:val="24"/>
              </w:rPr>
              <w:t xml:space="preserve">标书解密异常时应急使用）， 其他方式编制的备份投标文件视为无效备份投标文件。 </w:t>
            </w:r>
          </w:p>
          <w:p>
            <w:pPr>
              <w:spacing w:line="360" w:lineRule="auto"/>
              <w:rPr>
                <w:rFonts w:hint="eastAsia" w:ascii="宋体" w:hAnsi="宋体"/>
                <w:b/>
                <w:color w:val="000000"/>
                <w:sz w:val="24"/>
              </w:rPr>
            </w:pPr>
            <w:r>
              <w:rPr>
                <w:rFonts w:hint="eastAsia" w:ascii="宋体" w:hAnsi="宋体"/>
                <w:b/>
                <w:color w:val="000000"/>
                <w:sz w:val="24"/>
              </w:rPr>
              <w:t>2.</w:t>
            </w:r>
            <w:r>
              <w:rPr>
                <w:rFonts w:ascii="宋体" w:hAnsi="宋体"/>
                <w:b/>
                <w:color w:val="000000"/>
                <w:sz w:val="24"/>
              </w:rPr>
              <w:t>请</w:t>
            </w:r>
            <w:r>
              <w:rPr>
                <w:rFonts w:hint="eastAsia" w:ascii="宋体" w:hAnsi="宋体"/>
                <w:b/>
                <w:color w:val="000000"/>
                <w:sz w:val="24"/>
              </w:rPr>
              <w:t>投标供应商</w:t>
            </w:r>
            <w:r>
              <w:rPr>
                <w:rFonts w:ascii="宋体" w:hAnsi="宋体"/>
                <w:b/>
                <w:color w:val="000000"/>
                <w:sz w:val="24"/>
              </w:rPr>
              <w:t>另准备以U盘或DVD光盘形式提供的备份电子投标文件数量1份 。若</w:t>
            </w:r>
            <w:r>
              <w:rPr>
                <w:rFonts w:hint="eastAsia" w:ascii="宋体" w:hAnsi="宋体"/>
                <w:b/>
                <w:color w:val="000000"/>
                <w:sz w:val="24"/>
              </w:rPr>
              <w:t>投标供应商</w:t>
            </w:r>
            <w:r>
              <w:rPr>
                <w:rFonts w:ascii="宋体" w:hAnsi="宋体"/>
                <w:b/>
                <w:color w:val="000000"/>
                <w:sz w:val="24"/>
              </w:rPr>
              <w:t>在规定时间内无法解密或解密失败的，</w:t>
            </w:r>
            <w:r>
              <w:rPr>
                <w:rFonts w:hint="eastAsia" w:ascii="宋体" w:hAnsi="宋体"/>
                <w:b/>
                <w:color w:val="000000"/>
                <w:sz w:val="24"/>
              </w:rPr>
              <w:t>投标供应商</w:t>
            </w:r>
            <w:r>
              <w:rPr>
                <w:rFonts w:ascii="宋体" w:hAnsi="宋体"/>
                <w:b/>
                <w:color w:val="000000"/>
                <w:sz w:val="24"/>
              </w:rPr>
              <w:t>提供了备份投标文件的，以备份投标文件为依据，否则视为投标文件撤回。投标文件已按时解密的，该备份投标文件自动失效。如</w:t>
            </w:r>
            <w:r>
              <w:rPr>
                <w:rFonts w:hint="eastAsia" w:ascii="宋体" w:hAnsi="宋体"/>
                <w:b/>
                <w:color w:val="000000"/>
                <w:sz w:val="24"/>
              </w:rPr>
              <w:t>投标供应商</w:t>
            </w:r>
            <w:r>
              <w:rPr>
                <w:rFonts w:ascii="宋体" w:hAnsi="宋体"/>
                <w:b/>
                <w:color w:val="000000"/>
                <w:sz w:val="24"/>
              </w:rPr>
              <w:t>仅提交了电子备份投标文件的，投标无效。</w:t>
            </w:r>
          </w:p>
          <w:p>
            <w:pPr>
              <w:snapToGrid w:val="0"/>
              <w:spacing w:line="360" w:lineRule="auto"/>
              <w:jc w:val="left"/>
              <w:rPr>
                <w:rFonts w:ascii="宋体" w:hAnsi="宋体"/>
                <w:b/>
                <w:color w:val="000000"/>
                <w:sz w:val="24"/>
              </w:rPr>
            </w:pPr>
            <w:r>
              <w:rPr>
                <w:rFonts w:hint="eastAsia" w:ascii="宋体" w:hAnsi="宋体"/>
                <w:b/>
                <w:color w:val="000000"/>
                <w:sz w:val="24"/>
              </w:rPr>
              <w:t>3.</w:t>
            </w:r>
            <w:r>
              <w:rPr>
                <w:rFonts w:ascii="宋体" w:hAnsi="宋体"/>
                <w:b/>
                <w:color w:val="000000"/>
                <w:sz w:val="24"/>
              </w:rPr>
              <w:t>以U盘或DVD光盘形式存储的电子投标文件应按以下方法密封标记：外包装封面上</w:t>
            </w:r>
            <w:r>
              <w:rPr>
                <w:rFonts w:hint="eastAsia" w:ascii="宋体" w:hAnsi="宋体"/>
                <w:b/>
                <w:color w:val="000000"/>
                <w:sz w:val="24"/>
              </w:rPr>
              <w:t>请</w:t>
            </w:r>
            <w:r>
              <w:rPr>
                <w:rFonts w:ascii="宋体" w:hAnsi="宋体"/>
                <w:b/>
                <w:color w:val="000000"/>
                <w:sz w:val="24"/>
              </w:rPr>
              <w:t>标明“招标编号、投标项目名称（含标项）、</w:t>
            </w:r>
            <w:r>
              <w:rPr>
                <w:rFonts w:hint="eastAsia" w:ascii="宋体" w:hAnsi="宋体"/>
                <w:b/>
                <w:color w:val="000000"/>
                <w:sz w:val="24"/>
              </w:rPr>
              <w:t>投标供应商</w:t>
            </w:r>
            <w:r>
              <w:rPr>
                <w:rFonts w:ascii="宋体" w:hAnsi="宋体"/>
                <w:b/>
                <w:color w:val="000000"/>
                <w:sz w:val="24"/>
              </w:rPr>
              <w:t>名称、备份电子投标文件”等，并注明“于</w:t>
            </w:r>
            <w:r>
              <w:rPr>
                <w:rFonts w:hint="eastAsia" w:ascii="宋体" w:hAnsi="宋体"/>
                <w:color w:val="000000"/>
                <w:sz w:val="24"/>
                <w:u w:val="single"/>
              </w:rPr>
              <w:t xml:space="preserve">2023年12月20日10:00 </w:t>
            </w:r>
            <w:r>
              <w:rPr>
                <w:rFonts w:ascii="宋体" w:hAnsi="宋体"/>
                <w:b/>
                <w:color w:val="000000"/>
                <w:sz w:val="24"/>
              </w:rPr>
              <w:t>前不准启封”的字样。</w:t>
            </w:r>
          </w:p>
          <w:p>
            <w:pPr>
              <w:snapToGrid w:val="0"/>
              <w:spacing w:line="360" w:lineRule="auto"/>
              <w:jc w:val="left"/>
              <w:rPr>
                <w:rFonts w:ascii="宋体" w:hAnsi="宋体"/>
                <w:b/>
                <w:color w:val="000000"/>
                <w:sz w:val="24"/>
              </w:rPr>
            </w:pPr>
            <w:r>
              <w:rPr>
                <w:rFonts w:hint="eastAsia" w:ascii="宋体" w:hAnsi="宋体"/>
                <w:b/>
                <w:color w:val="000000"/>
                <w:sz w:val="24"/>
              </w:rPr>
              <w:t>4.</w:t>
            </w:r>
            <w:r>
              <w:rPr>
                <w:rFonts w:ascii="宋体" w:hAnsi="宋体"/>
                <w:b/>
                <w:color w:val="000000"/>
                <w:sz w:val="24"/>
              </w:rPr>
              <w:t>未按规定密封的备份投标文件将被拒绝，未按规定标记的备份投标文件有被误投或提前拆封等风险，因未按规定密封或标记所造成的一切后果由</w:t>
            </w:r>
            <w:r>
              <w:rPr>
                <w:rFonts w:hint="eastAsia" w:ascii="宋体" w:hAnsi="宋体"/>
                <w:b/>
                <w:color w:val="000000"/>
                <w:sz w:val="24"/>
              </w:rPr>
              <w:t>投标供应商</w:t>
            </w:r>
            <w:r>
              <w:rPr>
                <w:rFonts w:ascii="宋体" w:hAnsi="宋体"/>
                <w:b/>
                <w:color w:val="000000"/>
                <w:sz w:val="24"/>
              </w:rPr>
              <w:t>承担。</w:t>
            </w:r>
          </w:p>
          <w:p>
            <w:pPr>
              <w:spacing w:line="360" w:lineRule="auto"/>
              <w:rPr>
                <w:rFonts w:hint="eastAsia" w:ascii="宋体" w:hAnsi="宋体" w:cs="Arial"/>
                <w:b/>
                <w:color w:val="000000"/>
                <w:sz w:val="24"/>
                <w:u w:val="single"/>
              </w:rPr>
            </w:pPr>
            <w:r>
              <w:rPr>
                <w:rFonts w:hint="eastAsia" w:ascii="宋体" w:hAnsi="宋体"/>
                <w:b/>
                <w:color w:val="000000"/>
                <w:sz w:val="24"/>
              </w:rPr>
              <w:t>5.</w:t>
            </w:r>
            <w:r>
              <w:rPr>
                <w:rFonts w:ascii="宋体" w:hAnsi="宋体"/>
                <w:b/>
                <w:color w:val="000000"/>
                <w:sz w:val="24"/>
              </w:rPr>
              <w:t>开标地点即为备份电子投标文件的递交地点，开标开始时间即为投标截止时间。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9</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00000"/>
                <w:sz w:val="24"/>
              </w:rPr>
            </w:pPr>
            <w:r>
              <w:rPr>
                <w:rFonts w:hint="eastAsia" w:ascii="宋体" w:hAnsi="宋体"/>
                <w:b/>
                <w:color w:val="000000"/>
                <w:sz w:val="24"/>
              </w:rPr>
              <w:t xml:space="preserve">投标截止时间及投标地点： </w:t>
            </w:r>
          </w:p>
          <w:p>
            <w:pPr>
              <w:snapToGrid w:val="0"/>
              <w:rPr>
                <w:rFonts w:hint="eastAsia" w:ascii="宋体" w:hAnsi="宋体"/>
                <w:b/>
                <w:color w:val="000000"/>
                <w:sz w:val="24"/>
              </w:rPr>
            </w:pPr>
            <w:r>
              <w:rPr>
                <w:rFonts w:hint="eastAsia" w:ascii="宋体" w:hAnsi="宋体"/>
                <w:b/>
                <w:color w:val="000000"/>
                <w:sz w:val="24"/>
              </w:rPr>
              <w:t>投标供应商应于</w:t>
            </w:r>
            <w:r>
              <w:rPr>
                <w:rFonts w:hint="eastAsia" w:ascii="宋体" w:hAnsi="宋体"/>
                <w:color w:val="000000"/>
                <w:sz w:val="24"/>
                <w:u w:val="single"/>
              </w:rPr>
              <w:t>2023年12月20日09：30</w:t>
            </w:r>
            <w:r>
              <w:rPr>
                <w:rFonts w:hint="eastAsia" w:ascii="宋体" w:hAnsi="宋体"/>
                <w:b/>
                <w:color w:val="000000"/>
                <w:sz w:val="24"/>
              </w:rPr>
              <w:t>前在“政采云”上自行加密上传电子投标文件，</w:t>
            </w:r>
            <w:r>
              <w:rPr>
                <w:rFonts w:ascii="宋体" w:hAnsi="宋体"/>
                <w:b/>
                <w:color w:val="000000"/>
                <w:sz w:val="24"/>
              </w:rPr>
              <w:t>逾期</w:t>
            </w:r>
            <w:r>
              <w:rPr>
                <w:rFonts w:hint="eastAsia" w:ascii="宋体" w:hAnsi="宋体"/>
                <w:b/>
                <w:color w:val="000000"/>
                <w:sz w:val="24"/>
              </w:rPr>
              <w:t>上传</w:t>
            </w:r>
            <w:r>
              <w:rPr>
                <w:rFonts w:ascii="宋体" w:hAnsi="宋体"/>
                <w:b/>
                <w:color w:val="000000"/>
                <w:sz w:val="24"/>
              </w:rPr>
              <w:t>或未按要求</w:t>
            </w:r>
            <w:r>
              <w:rPr>
                <w:rFonts w:hint="eastAsia" w:ascii="宋体" w:hAnsi="宋体"/>
                <w:b/>
                <w:color w:val="000000"/>
                <w:sz w:val="24"/>
              </w:rPr>
              <w:t>上传</w:t>
            </w:r>
            <w:r>
              <w:rPr>
                <w:rFonts w:ascii="宋体" w:hAnsi="宋体"/>
                <w:b/>
                <w:color w:val="000000"/>
                <w:sz w:val="24"/>
              </w:rPr>
              <w:t>的投标文件将予以拒收。</w:t>
            </w:r>
            <w:r>
              <w:rPr>
                <w:rFonts w:hint="eastAsia" w:ascii="宋体" w:hAnsi="宋体"/>
                <w:b/>
                <w:color w:val="000000"/>
                <w:sz w:val="24"/>
              </w:rPr>
              <w:t>电子投标文件成功上传递交后，投标供应商可自行打印投标文件接收回执。</w:t>
            </w:r>
          </w:p>
          <w:p>
            <w:pPr>
              <w:snapToGrid w:val="0"/>
              <w:rPr>
                <w:rFonts w:hint="eastAsia" w:ascii="宋体" w:hAnsi="宋体"/>
                <w:b/>
                <w:color w:val="000000"/>
                <w:sz w:val="24"/>
              </w:rPr>
            </w:pPr>
          </w:p>
          <w:p>
            <w:pPr>
              <w:snapToGrid w:val="0"/>
              <w:rPr>
                <w:rFonts w:ascii="宋体" w:hAnsi="宋体"/>
                <w:color w:val="000000"/>
                <w:sz w:val="24"/>
              </w:rPr>
            </w:pPr>
            <w:r>
              <w:rPr>
                <w:rFonts w:hint="eastAsia" w:ascii="宋体" w:hAnsi="宋体"/>
                <w:color w:val="000000"/>
                <w:sz w:val="24"/>
              </w:rPr>
              <w:t>电子投标文件的传输递交：投标供应商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10</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sz w:val="24"/>
              </w:rPr>
            </w:pPr>
            <w:r>
              <w:rPr>
                <w:rFonts w:hint="eastAsia" w:ascii="宋体" w:hAnsi="宋体"/>
                <w:b/>
                <w:color w:val="000000"/>
                <w:sz w:val="24"/>
              </w:rPr>
              <w:t>开标时间：</w:t>
            </w:r>
            <w:r>
              <w:rPr>
                <w:rFonts w:hint="eastAsia" w:ascii="宋体" w:hAnsi="宋体"/>
                <w:color w:val="000000"/>
                <w:sz w:val="24"/>
                <w:u w:val="single"/>
              </w:rPr>
              <w:t xml:space="preserve">2023年12月20日09：30 </w:t>
            </w:r>
          </w:p>
          <w:p>
            <w:pPr>
              <w:snapToGrid w:val="0"/>
              <w:spacing w:line="400" w:lineRule="exact"/>
              <w:rPr>
                <w:rFonts w:hint="eastAsia" w:ascii="宋体" w:hAnsi="宋体" w:cs="Arial"/>
                <w:color w:val="000000"/>
                <w:sz w:val="24"/>
              </w:rPr>
            </w:pPr>
            <w:r>
              <w:rPr>
                <w:rFonts w:hint="eastAsia" w:ascii="宋体" w:hAnsi="宋体" w:cs="Arial"/>
                <w:color w:val="000000"/>
                <w:sz w:val="24"/>
              </w:rPr>
              <w:t>特别提示：开标时间后30分钟内（</w:t>
            </w:r>
            <w:r>
              <w:rPr>
                <w:rFonts w:hint="eastAsia" w:ascii="宋体" w:hAnsi="宋体"/>
                <w:color w:val="000000"/>
                <w:sz w:val="24"/>
                <w:u w:val="single"/>
              </w:rPr>
              <w:t xml:space="preserve">2023年12月20日10:00 </w:t>
            </w:r>
            <w:r>
              <w:rPr>
                <w:rFonts w:ascii="宋体" w:hAnsi="宋体"/>
                <w:b/>
                <w:color w:val="000000"/>
                <w:sz w:val="24"/>
              </w:rPr>
              <w:t>前</w:t>
            </w:r>
            <w:r>
              <w:rPr>
                <w:rFonts w:hint="eastAsia" w:ascii="宋体" w:hAnsi="宋体" w:cs="Arial"/>
                <w:color w:val="000000"/>
                <w:sz w:val="24"/>
              </w:rPr>
              <w:t>）</w:t>
            </w:r>
            <w:r>
              <w:rPr>
                <w:rFonts w:hint="eastAsia" w:ascii="宋体" w:hAnsi="宋体" w:cs="宋体"/>
                <w:color w:val="000000"/>
                <w:sz w:val="24"/>
              </w:rPr>
              <w:t>投标供应商</w:t>
            </w:r>
            <w:r>
              <w:rPr>
                <w:rFonts w:ascii="宋体" w:hAnsi="宋体" w:cs="Arial"/>
                <w:color w:val="000000"/>
                <w:sz w:val="24"/>
              </w:rPr>
              <w:t>可以登录“</w:t>
            </w:r>
            <w:r>
              <w:rPr>
                <w:rFonts w:hint="eastAsia" w:ascii="宋体" w:hAnsi="宋体" w:cs="Arial"/>
                <w:color w:val="000000"/>
                <w:sz w:val="24"/>
              </w:rPr>
              <w:t>政采云</w:t>
            </w:r>
            <w:r>
              <w:rPr>
                <w:rFonts w:ascii="宋体" w:hAnsi="宋体" w:cs="Arial"/>
                <w:color w:val="000000"/>
                <w:sz w:val="24"/>
              </w:rPr>
              <w:t>”</w:t>
            </w:r>
            <w:r>
              <w:rPr>
                <w:rFonts w:hint="eastAsia" w:ascii="宋体" w:hAnsi="宋体" w:cs="Arial"/>
                <w:color w:val="000000"/>
                <w:sz w:val="24"/>
              </w:rPr>
              <w:t>平台</w:t>
            </w:r>
            <w:r>
              <w:rPr>
                <w:rFonts w:ascii="宋体" w:hAnsi="宋体" w:cs="Arial"/>
                <w:color w:val="000000"/>
                <w:sz w:val="24"/>
              </w:rPr>
              <w:t>，用“</w:t>
            </w:r>
            <w:r>
              <w:rPr>
                <w:rFonts w:hint="eastAsia" w:ascii="宋体" w:hAnsi="宋体" w:cs="Arial"/>
                <w:color w:val="000000"/>
                <w:sz w:val="24"/>
              </w:rPr>
              <w:t>项目采购-开标评标</w:t>
            </w:r>
            <w:r>
              <w:rPr>
                <w:rFonts w:ascii="宋体" w:hAnsi="宋体" w:cs="Arial"/>
                <w:color w:val="000000"/>
                <w:sz w:val="24"/>
              </w:rPr>
              <w:t>”功能</w:t>
            </w:r>
            <w:r>
              <w:rPr>
                <w:rFonts w:hint="eastAsia" w:ascii="宋体" w:hAnsi="宋体" w:cs="Arial"/>
                <w:color w:val="000000"/>
                <w:sz w:val="24"/>
              </w:rPr>
              <w:t>进行解密投标文件</w:t>
            </w:r>
            <w:r>
              <w:rPr>
                <w:rFonts w:ascii="宋体" w:hAnsi="宋体" w:cs="Arial"/>
                <w:color w:val="000000"/>
                <w:sz w:val="24"/>
              </w:rPr>
              <w:t>。</w:t>
            </w:r>
            <w:r>
              <w:rPr>
                <w:rFonts w:hint="eastAsia" w:ascii="宋体" w:hAnsi="宋体" w:cs="Arial"/>
                <w:color w:val="000000"/>
                <w:sz w:val="24"/>
              </w:rPr>
              <w:t>若</w:t>
            </w:r>
            <w:r>
              <w:rPr>
                <w:rFonts w:hint="eastAsia" w:ascii="宋体" w:hAnsi="宋体" w:cs="宋体"/>
                <w:color w:val="000000"/>
                <w:sz w:val="24"/>
              </w:rPr>
              <w:t>投标供应商</w:t>
            </w:r>
            <w:r>
              <w:rPr>
                <w:rFonts w:hint="eastAsia" w:ascii="宋体" w:hAnsi="宋体" w:cs="Arial"/>
                <w:color w:val="000000"/>
                <w:sz w:val="24"/>
              </w:rPr>
              <w:t>在规定时间内（</w:t>
            </w:r>
            <w:r>
              <w:rPr>
                <w:rFonts w:hint="eastAsia" w:ascii="宋体" w:hAnsi="宋体"/>
                <w:color w:val="000000"/>
                <w:sz w:val="24"/>
                <w:u w:val="single"/>
              </w:rPr>
              <w:t xml:space="preserve">2023年12月20日10:00 </w:t>
            </w:r>
            <w:r>
              <w:rPr>
                <w:rFonts w:ascii="宋体" w:hAnsi="宋体" w:cs="Arial"/>
                <w:color w:val="000000"/>
                <w:sz w:val="24"/>
              </w:rPr>
              <w:t>前</w:t>
            </w:r>
            <w:r>
              <w:rPr>
                <w:rFonts w:hint="eastAsia" w:ascii="宋体" w:hAnsi="宋体" w:cs="Arial"/>
                <w:color w:val="000000"/>
                <w:sz w:val="24"/>
              </w:rPr>
              <w:t>）无法解密或解密失败的，</w:t>
            </w:r>
            <w:r>
              <w:rPr>
                <w:rFonts w:hint="eastAsia" w:ascii="宋体" w:hAnsi="宋体" w:cs="宋体"/>
                <w:color w:val="000000"/>
                <w:sz w:val="24"/>
              </w:rPr>
              <w:t>投标供应商</w:t>
            </w:r>
            <w:r>
              <w:rPr>
                <w:rFonts w:hint="eastAsia" w:ascii="宋体" w:hAnsi="宋体" w:cs="Arial"/>
                <w:color w:val="000000"/>
                <w:sz w:val="24"/>
              </w:rPr>
              <w:t>提供了备份投标文件的，以备份投标文件作为依据，否则视为投标文件撤回。投标文件已按时解密的，备份投标文件自动失效。</w:t>
            </w:r>
          </w:p>
          <w:p>
            <w:pPr>
              <w:snapToGrid w:val="0"/>
              <w:spacing w:line="400" w:lineRule="exact"/>
              <w:ind w:firstLine="480" w:firstLineChars="200"/>
              <w:rPr>
                <w:rFonts w:ascii="宋体" w:hAnsi="宋体"/>
                <w:color w:val="000000"/>
                <w:sz w:val="24"/>
              </w:rPr>
            </w:pPr>
            <w:r>
              <w:rPr>
                <w:rFonts w:hint="eastAsia" w:ascii="宋体" w:hAnsi="宋体" w:cs="Arial"/>
                <w:color w:val="000000"/>
                <w:sz w:val="24"/>
              </w:rPr>
              <w:t>因备份投标文件无法正常打开或正常显示等所引起的一切后果，由投标供应商自行承担。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11</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sz w:val="24"/>
              </w:rPr>
            </w:pPr>
            <w:r>
              <w:rPr>
                <w:rFonts w:hint="eastAsia" w:ascii="宋体" w:hAnsi="宋体"/>
                <w:b/>
                <w:color w:val="000000"/>
                <w:sz w:val="24"/>
              </w:rPr>
              <w:t>评标办法及评分标准：</w:t>
            </w:r>
            <w:r>
              <w:rPr>
                <w:rFonts w:hint="eastAsia" w:ascii="宋体" w:hAnsi="宋体"/>
                <w:color w:val="000000"/>
                <w:sz w:val="24"/>
              </w:rPr>
              <w:t>综合评分法，具体标准见第四章内容。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12</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ascii="宋体" w:hAnsi="宋体"/>
                <w:b/>
                <w:color w:val="000000"/>
                <w:sz w:val="24"/>
              </w:rPr>
            </w:pPr>
            <w:r>
              <w:rPr>
                <w:rFonts w:hint="eastAsia" w:ascii="宋体" w:hAnsi="宋体"/>
                <w:b/>
                <w:color w:val="000000"/>
                <w:sz w:val="24"/>
              </w:rPr>
              <w:t>政府采购项目落实的相关政策：</w:t>
            </w:r>
          </w:p>
          <w:p>
            <w:pPr>
              <w:adjustRightInd w:val="0"/>
              <w:snapToGrid w:val="0"/>
              <w:spacing w:line="500" w:lineRule="exact"/>
              <w:ind w:firstLine="482" w:firstLineChars="200"/>
              <w:jc w:val="left"/>
              <w:rPr>
                <w:rFonts w:ascii="宋体" w:hAnsi="宋体"/>
                <w:color w:val="000000"/>
                <w:sz w:val="24"/>
              </w:rPr>
            </w:pPr>
            <w:r>
              <w:rPr>
                <w:rFonts w:hint="eastAsia" w:ascii="宋体" w:hAnsi="宋体"/>
                <w:b/>
                <w:color w:val="000000"/>
                <w:sz w:val="24"/>
              </w:rPr>
              <w:t>1、政府采购节能环保产品相关政策</w:t>
            </w:r>
            <w:r>
              <w:rPr>
                <w:rFonts w:hint="eastAsia" w:ascii="宋体" w:hAnsi="宋体"/>
                <w:color w:val="000000"/>
                <w:sz w:val="24"/>
              </w:rPr>
              <w:t>：</w:t>
            </w:r>
          </w:p>
          <w:p>
            <w:pPr>
              <w:widowControl/>
              <w:snapToGrid w:val="0"/>
              <w:spacing w:line="500" w:lineRule="exact"/>
              <w:ind w:firstLine="480" w:firstLineChars="200"/>
              <w:jc w:val="left"/>
              <w:rPr>
                <w:rFonts w:ascii="宋体" w:hAnsi="宋体"/>
                <w:color w:val="000000"/>
                <w:sz w:val="24"/>
              </w:rPr>
            </w:pPr>
            <w:r>
              <w:rPr>
                <w:rFonts w:hint="eastAsia" w:ascii="宋体" w:hAnsi="宋体"/>
                <w:color w:val="000000"/>
                <w:sz w:val="24"/>
              </w:rPr>
              <w:t>节能产品、环境标志产品的强制（优先）采购政策</w:t>
            </w:r>
          </w:p>
          <w:p>
            <w:pPr>
              <w:widowControl/>
              <w:snapToGrid w:val="0"/>
              <w:spacing w:line="500" w:lineRule="exact"/>
              <w:ind w:firstLine="480" w:firstLineChars="200"/>
              <w:jc w:val="left"/>
              <w:rPr>
                <w:rFonts w:ascii="宋体" w:hAnsi="宋体"/>
                <w:color w:val="000000"/>
                <w:sz w:val="24"/>
              </w:rPr>
            </w:pPr>
            <w:r>
              <w:rPr>
                <w:rFonts w:hint="eastAsia" w:ascii="宋体" w:hAnsi="宋体"/>
                <w:color w:val="00000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pStyle w:val="51"/>
              <w:widowControl/>
              <w:adjustRightInd w:val="0"/>
              <w:snapToGrid w:val="0"/>
              <w:spacing w:line="500" w:lineRule="exact"/>
              <w:ind w:firstLine="482" w:firstLineChars="200"/>
              <w:rPr>
                <w:rFonts w:ascii="宋体" w:hAnsi="宋体"/>
                <w:b/>
                <w:color w:val="000000"/>
                <w:szCs w:val="24"/>
              </w:rPr>
            </w:pPr>
            <w:r>
              <w:rPr>
                <w:rFonts w:hint="eastAsia" w:ascii="宋体" w:hAnsi="宋体"/>
                <w:b/>
                <w:color w:val="000000"/>
                <w:szCs w:val="24"/>
              </w:rPr>
              <w:t>2、本项目原则上采购本国生产的货物、工程和服务，不允许采购进口产品。</w:t>
            </w:r>
          </w:p>
          <w:p>
            <w:pPr>
              <w:pStyle w:val="51"/>
              <w:widowControl/>
              <w:adjustRightInd w:val="0"/>
              <w:snapToGrid w:val="0"/>
              <w:spacing w:line="500" w:lineRule="exact"/>
              <w:ind w:firstLine="480" w:firstLineChars="200"/>
              <w:rPr>
                <w:rFonts w:ascii="宋体" w:hAnsi="宋体"/>
                <w:color w:val="000000"/>
                <w:szCs w:val="24"/>
              </w:rPr>
            </w:pPr>
            <w:r>
              <w:rPr>
                <w:rFonts w:hint="eastAsia" w:ascii="宋体" w:hAnsi="宋体"/>
                <w:color w:val="000000"/>
                <w:szCs w:val="24"/>
              </w:rPr>
              <w:t>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51"/>
              <w:widowControl/>
              <w:adjustRightInd w:val="0"/>
              <w:snapToGrid w:val="0"/>
              <w:spacing w:line="500" w:lineRule="exact"/>
              <w:ind w:firstLine="482" w:firstLineChars="200"/>
              <w:rPr>
                <w:rFonts w:ascii="宋体" w:hAnsi="宋体"/>
                <w:b/>
                <w:color w:val="000000"/>
                <w:szCs w:val="24"/>
              </w:rPr>
            </w:pPr>
            <w:r>
              <w:rPr>
                <w:rFonts w:hint="eastAsia" w:ascii="宋体" w:hAnsi="宋体"/>
                <w:b/>
                <w:color w:val="000000"/>
                <w:szCs w:val="24"/>
              </w:rPr>
              <w:t>3、 支持绿色发展</w:t>
            </w:r>
          </w:p>
          <w:p>
            <w:pPr>
              <w:pStyle w:val="51"/>
              <w:widowControl/>
              <w:adjustRightInd w:val="0"/>
              <w:snapToGrid w:val="0"/>
              <w:spacing w:line="500" w:lineRule="exact"/>
              <w:ind w:firstLine="480" w:firstLineChars="200"/>
              <w:rPr>
                <w:rFonts w:ascii="宋体" w:hAnsi="宋体"/>
                <w:color w:val="000000"/>
                <w:szCs w:val="24"/>
              </w:rPr>
            </w:pPr>
            <w:r>
              <w:rPr>
                <w:rFonts w:hint="eastAsia" w:ascii="宋体" w:hAnsi="宋体"/>
                <w:color w:val="000000"/>
                <w:szCs w:val="24"/>
              </w:rPr>
              <w:t>采购人拟采购的产品属于品目清单范围的，采购人及其委托的集采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b/>
                <w:color w:val="000000"/>
                <w:szCs w:val="24"/>
                <w:u w:val="single"/>
              </w:rPr>
              <w:t>▲采购人拟采购的产品属于政府强制采购的节能产品品目清单范围的，供应商未按采购文件要求提供国家确定的认证机构出具的、处于有效期之内的节能产品认证证书的，投标无效。</w:t>
            </w:r>
          </w:p>
          <w:p>
            <w:pPr>
              <w:pStyle w:val="51"/>
              <w:widowControl/>
              <w:adjustRightInd w:val="0"/>
              <w:snapToGrid w:val="0"/>
              <w:spacing w:line="500" w:lineRule="exact"/>
              <w:ind w:firstLine="720" w:firstLineChars="300"/>
              <w:rPr>
                <w:rFonts w:ascii="宋体" w:hAnsi="宋体"/>
                <w:color w:val="000000"/>
                <w:szCs w:val="24"/>
              </w:rPr>
            </w:pPr>
            <w:r>
              <w:rPr>
                <w:rFonts w:hint="eastAsia" w:ascii="宋体" w:hAnsi="宋体"/>
                <w:color w:val="000000"/>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51"/>
              <w:widowControl/>
              <w:adjustRightInd w:val="0"/>
              <w:snapToGrid w:val="0"/>
              <w:spacing w:line="500" w:lineRule="exact"/>
              <w:ind w:firstLine="482" w:firstLineChars="200"/>
              <w:rPr>
                <w:rFonts w:ascii="宋体" w:hAnsi="宋体"/>
                <w:b/>
                <w:color w:val="000000"/>
                <w:szCs w:val="24"/>
              </w:rPr>
            </w:pPr>
            <w:r>
              <w:rPr>
                <w:rFonts w:hint="eastAsia" w:ascii="宋体" w:hAnsi="宋体"/>
                <w:b/>
                <w:color w:val="000000"/>
                <w:szCs w:val="24"/>
              </w:rPr>
              <w:t>4.支持创新发展</w:t>
            </w:r>
          </w:p>
          <w:p>
            <w:pPr>
              <w:pStyle w:val="51"/>
              <w:widowControl/>
              <w:adjustRightInd w:val="0"/>
              <w:snapToGrid w:val="0"/>
              <w:spacing w:line="500" w:lineRule="exact"/>
              <w:ind w:firstLine="480" w:firstLineChars="200"/>
              <w:rPr>
                <w:rFonts w:ascii="宋体" w:hAnsi="宋体"/>
                <w:color w:val="000000"/>
                <w:szCs w:val="24"/>
              </w:rPr>
            </w:pPr>
            <w:r>
              <w:rPr>
                <w:rFonts w:hint="eastAsia" w:ascii="宋体" w:hAnsi="宋体"/>
                <w:color w:val="000000"/>
                <w:szCs w:val="24"/>
              </w:rPr>
              <w:t>采购人优先采购被认定为首台套产品和“制造精品”的自主创新产品。</w:t>
            </w:r>
          </w:p>
          <w:p>
            <w:pPr>
              <w:pStyle w:val="51"/>
              <w:widowControl/>
              <w:adjustRightInd w:val="0"/>
              <w:snapToGrid w:val="0"/>
              <w:spacing w:line="500" w:lineRule="exact"/>
              <w:ind w:firstLine="480" w:firstLineChars="200"/>
              <w:rPr>
                <w:rFonts w:hint="eastAsia" w:ascii="宋体" w:hAnsi="宋体"/>
                <w:color w:val="000000"/>
                <w:szCs w:val="24"/>
              </w:rPr>
            </w:pPr>
            <w:r>
              <w:rPr>
                <w:rFonts w:hint="eastAsia" w:ascii="宋体" w:hAnsi="宋体"/>
                <w:color w:val="000000"/>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rPr>
            </w:pPr>
            <w:r>
              <w:rPr>
                <w:rFonts w:hint="eastAsia" w:ascii="宋体" w:hAnsi="宋体"/>
                <w:color w:val="000000"/>
                <w:sz w:val="24"/>
              </w:rPr>
              <w:t>13</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支持中小企业：</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1）按照《关于印发中小企业划型标准规定的通知》（工信部联企业〔2011〕300号）相关规定，根据具体品目确定相应标准。符合上述条件的中小微型企业应按法定格式要求提供《中小企业声明函》，具体格式请自行在中国政府采购网（http://www.ccgp.gov.cn/zcfg/mof/202101/t20210106_15759296.htm）查找《政府采购促进中小企业发展管理办法》。</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2）根据财政部发布的《关于进一步加大政府采购支持中小企业力度的通知》（财库〔2022〕19号）规定，对于非专门面向此类企业的项目，货物服务采购项目给予小微企业的价格扣除优惠，由财库〔2020〕46号文件规定的6%—10%提高至10%—20%。大中型企业与小微企业组成联合体或者大中型企业向小微企业分包的，评审优惠幅度由2%—3%提高至4%—6%，用扣除后的价格参加评审。</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本项目标项一、标项二对符合规定小微企业报价的扣除比例为   10   %。</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3）对于联合协议或者分包意向协议约定小微企业的合同份额占到合同总金额30%以上的，采购单位、集采机构应结合项目实际，对联合体或者大中型企业的报价原则上按最高优惠幅度6%给予扣除，用扣除后的价格参加评审。组成联合体或者接受分包的小微企业与联合体内其他企业、分包企业之间存在直接控股、管理关系的，不享受价格扣除优惠政策。本项目谢绝联合体参加。</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支持残疾人福利性单位：</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具体声明函格式请自行在中国政府采购网（http://www.ccgp.gov.cn/zcfg/mof/201709/t20170904_8787205.htm）查找《关于促进残疾人就业政府采购政策的通知》）。</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支持监狱企业：</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注：</w:t>
            </w:r>
          </w:p>
          <w:p>
            <w:pPr>
              <w:widowControl/>
              <w:snapToGrid w:val="0"/>
              <w:spacing w:line="276" w:lineRule="auto"/>
              <w:ind w:firstLine="480" w:firstLineChars="200"/>
              <w:jc w:val="left"/>
              <w:rPr>
                <w:rFonts w:hint="eastAsia" w:ascii="宋体" w:hAnsi="宋体"/>
                <w:color w:val="000000"/>
                <w:sz w:val="24"/>
              </w:rPr>
            </w:pPr>
            <w:r>
              <w:rPr>
                <w:rFonts w:hint="eastAsia" w:ascii="宋体" w:hAnsi="宋体"/>
                <w:color w:val="000000"/>
                <w:sz w:val="24"/>
              </w:rPr>
              <w:t>1. 此项目标项一为非专门面向中小企业采购项目，项目属性为</w:t>
            </w:r>
            <w:r>
              <w:rPr>
                <w:rFonts w:hint="eastAsia" w:ascii="宋体" w:hAnsi="宋体"/>
                <w:color w:val="000000"/>
                <w:sz w:val="24"/>
                <w:u w:val="single"/>
              </w:rPr>
              <w:t>服务类</w:t>
            </w:r>
            <w:r>
              <w:rPr>
                <w:rFonts w:hint="eastAsia" w:ascii="宋体" w:hAnsi="宋体"/>
                <w:color w:val="000000"/>
                <w:sz w:val="24"/>
              </w:rPr>
              <w:t xml:space="preserve">，根据《关于印发中小企业划型标准规定的通知》（工信部联企业〔2011〕300号）划分属于 </w:t>
            </w:r>
            <w:r>
              <w:rPr>
                <w:rFonts w:hint="eastAsia" w:ascii="宋体" w:hAnsi="宋体"/>
                <w:color w:val="FF0000"/>
                <w:sz w:val="24"/>
                <w:u w:val="single"/>
              </w:rPr>
              <w:t xml:space="preserve">软件和信息技术服务业 </w:t>
            </w:r>
            <w:r>
              <w:rPr>
                <w:rFonts w:hint="eastAsia" w:ascii="宋体" w:hAnsi="宋体"/>
                <w:color w:val="000000"/>
                <w:sz w:val="24"/>
              </w:rPr>
              <w:t>行业。中小企业参加本次政府采购活动，应当出具《关于印发&lt;政府采购促进中小企业发展管理办法&gt;的通知》(财库〔2020〕46号)规定的《中小企业声明函》，否则不得享受相关中小企业扶持政策。</w:t>
            </w:r>
          </w:p>
          <w:p>
            <w:pPr>
              <w:widowControl/>
              <w:snapToGrid w:val="0"/>
              <w:spacing w:line="276" w:lineRule="auto"/>
              <w:ind w:firstLine="480" w:firstLineChars="200"/>
              <w:jc w:val="left"/>
              <w:rPr>
                <w:rFonts w:hint="eastAsia" w:ascii="宋体" w:hAnsi="宋体"/>
                <w:color w:val="000000"/>
                <w:sz w:val="24"/>
              </w:rPr>
            </w:pPr>
            <w:r>
              <w:rPr>
                <w:rFonts w:hint="eastAsia" w:ascii="宋体" w:hAnsi="宋体"/>
                <w:color w:val="000000"/>
                <w:sz w:val="24"/>
              </w:rPr>
              <w:t>（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100万元以下的为微型企业。）</w:t>
            </w:r>
          </w:p>
          <w:p>
            <w:pPr>
              <w:widowControl/>
              <w:snapToGrid w:val="0"/>
              <w:spacing w:line="276" w:lineRule="auto"/>
              <w:ind w:firstLine="480" w:firstLineChars="200"/>
              <w:jc w:val="left"/>
              <w:rPr>
                <w:rFonts w:hint="eastAsia" w:ascii="宋体" w:hAnsi="宋体"/>
                <w:color w:val="000000"/>
                <w:sz w:val="24"/>
              </w:rPr>
            </w:pPr>
          </w:p>
          <w:p>
            <w:pPr>
              <w:widowControl/>
              <w:snapToGrid w:val="0"/>
              <w:spacing w:line="276" w:lineRule="auto"/>
              <w:ind w:firstLine="480" w:firstLineChars="200"/>
              <w:jc w:val="left"/>
              <w:rPr>
                <w:rFonts w:hint="eastAsia" w:ascii="宋体" w:hAnsi="宋体"/>
                <w:color w:val="000000"/>
                <w:sz w:val="24"/>
              </w:rPr>
            </w:pPr>
            <w:r>
              <w:rPr>
                <w:rFonts w:hint="eastAsia" w:ascii="宋体" w:hAnsi="宋体"/>
                <w:color w:val="000000"/>
                <w:sz w:val="24"/>
              </w:rPr>
              <w:t>此项目标项二为非专门面向中小企业采购项目，项目属性为</w:t>
            </w:r>
            <w:r>
              <w:rPr>
                <w:rFonts w:hint="eastAsia" w:ascii="宋体" w:hAnsi="宋体"/>
                <w:color w:val="000000"/>
                <w:sz w:val="24"/>
                <w:u w:val="single"/>
              </w:rPr>
              <w:t>货物类</w:t>
            </w:r>
            <w:r>
              <w:rPr>
                <w:rFonts w:hint="eastAsia" w:ascii="宋体" w:hAnsi="宋体"/>
                <w:color w:val="000000"/>
                <w:sz w:val="24"/>
              </w:rPr>
              <w:t xml:space="preserve">，根据《关于印发中小企业划型标准规定的通知》（工信部联企业〔2011〕300号）划分属于 </w:t>
            </w:r>
            <w:r>
              <w:rPr>
                <w:rFonts w:hint="eastAsia" w:ascii="宋体" w:hAnsi="宋体"/>
                <w:color w:val="FF0000"/>
                <w:sz w:val="24"/>
                <w:u w:val="single"/>
              </w:rPr>
              <w:t xml:space="preserve">工业 </w:t>
            </w:r>
            <w:r>
              <w:rPr>
                <w:rFonts w:hint="eastAsia" w:ascii="宋体" w:hAnsi="宋体"/>
                <w:color w:val="000000"/>
                <w:sz w:val="24"/>
              </w:rPr>
              <w:t>行业。中小企业参加本次政府采购活动，应当出具《关于印发&lt;政府采购促进中小企业发展管理办法&gt;的通知》(财库〔2020〕46号)规定的《中小企业声明函》，否则不得享受相关中小企业扶持政策。</w:t>
            </w:r>
          </w:p>
          <w:p>
            <w:pPr>
              <w:widowControl/>
              <w:snapToGrid w:val="0"/>
              <w:spacing w:line="276" w:lineRule="auto"/>
              <w:ind w:firstLine="480" w:firstLineChars="200"/>
              <w:jc w:val="left"/>
              <w:rPr>
                <w:rFonts w:hint="eastAsia" w:ascii="宋体" w:hAnsi="宋体"/>
                <w:color w:val="000000"/>
                <w:sz w:val="24"/>
              </w:rPr>
            </w:pPr>
            <w:r>
              <w:rPr>
                <w:rFonts w:hint="eastAsia" w:ascii="宋体" w:hAnsi="宋体"/>
                <w:color w:val="000000"/>
                <w:sz w:val="24"/>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napToGrid w:val="0"/>
              <w:spacing w:line="276" w:lineRule="auto"/>
              <w:ind w:firstLine="480" w:firstLineChars="200"/>
              <w:jc w:val="left"/>
              <w:rPr>
                <w:rFonts w:hint="eastAsia" w:ascii="宋体" w:hAnsi="宋体"/>
                <w:color w:val="000000"/>
                <w:sz w:val="24"/>
              </w:rPr>
            </w:pPr>
            <w:r>
              <w:rPr>
                <w:rFonts w:hint="eastAsia" w:ascii="宋体" w:hAnsi="宋体"/>
                <w:color w:val="000000"/>
                <w:sz w:val="24"/>
              </w:rPr>
              <w:t>2.监狱企业、残疾人福利性单位视同小型、微型企业，享受同样的价格扣除。</w:t>
            </w:r>
          </w:p>
          <w:p>
            <w:pPr>
              <w:widowControl/>
              <w:snapToGrid w:val="0"/>
              <w:spacing w:line="276" w:lineRule="auto"/>
              <w:ind w:firstLine="480" w:firstLineChars="200"/>
              <w:jc w:val="left"/>
              <w:rPr>
                <w:rFonts w:hint="eastAsia" w:ascii="宋体" w:hAnsi="宋体"/>
                <w:color w:val="000000"/>
                <w:sz w:val="24"/>
              </w:rPr>
            </w:pPr>
            <w:r>
              <w:rPr>
                <w:rFonts w:hint="eastAsia" w:ascii="宋体" w:hAnsi="宋体"/>
                <w:color w:val="000000"/>
                <w:sz w:val="24"/>
              </w:rPr>
              <w:t>3.监狱企业、残疾人福利性单位属于小型、微型企业的，不重复享受政策。</w:t>
            </w:r>
          </w:p>
          <w:p>
            <w:pPr>
              <w:widowControl/>
              <w:snapToGrid w:val="0"/>
              <w:spacing w:line="276" w:lineRule="auto"/>
              <w:ind w:firstLine="480" w:firstLineChars="200"/>
              <w:jc w:val="left"/>
              <w:rPr>
                <w:rFonts w:hint="eastAsia" w:ascii="宋体" w:hAnsi="宋体"/>
                <w:color w:val="000000"/>
                <w:sz w:val="24"/>
              </w:rPr>
            </w:pPr>
            <w:r>
              <w:rPr>
                <w:rFonts w:hint="eastAsia" w:ascii="宋体" w:hAnsi="宋体"/>
                <w:color w:val="000000"/>
                <w:sz w:val="24"/>
              </w:rPr>
              <w:t>4. 如中标供应商声明为小微企业或残疾人福利性单位或监狱企业，中标供应商的《中小企业声明函》或《残疾人福利性单位声明函》或属于监狱企业的相关材料，将随中标结果同时公告，接受社会监督。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14</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政采贷：</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为支持和促进中小企业发展，进一步发挥政府采购政策功能，根据《浙江省财政厅关于坚决打赢疫情防控阻击战进一步做好政府采购资金支持企业发展工作的通知》，投标供应商若有贷款意向，登陆政采云平台金融服务页面（https://jinrong.zcygov.cn/）、“政采贷”专栏进行查询，浦江县人民政府官网公共资源交易专栏（http://www.pj.gov.cn/pjzx/ggzy/index.html）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1</w:t>
            </w:r>
            <w:r>
              <w:rPr>
                <w:rFonts w:hint="eastAsia" w:ascii="宋体" w:hAnsi="宋体"/>
                <w:color w:val="000000"/>
                <w:sz w:val="24"/>
              </w:rPr>
              <w:t>5</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中标公告：评标结束后，采购结果经采购人确认后，中标公告公示于浙江省政府采购网(http://zfcg.czt.zj.gov.cn/)、并同步于浦江县人民政府网</w:t>
            </w:r>
            <w:r>
              <w:rPr>
                <w:rFonts w:hint="eastAsia" w:ascii="宋体" w:hAnsi="宋体"/>
                <w:color w:val="000000"/>
                <w:sz w:val="24"/>
              </w:rPr>
              <w:fldChar w:fldCharType="begin"/>
            </w:r>
            <w:r>
              <w:rPr>
                <w:rFonts w:hint="eastAsia" w:ascii="宋体" w:hAnsi="宋体"/>
                <w:color w:val="000000"/>
                <w:sz w:val="24"/>
              </w:rPr>
              <w:instrText xml:space="preserve"> HYPERLINK "http://www.sxztb.gov.cn/" </w:instrText>
            </w:r>
            <w:r>
              <w:rPr>
                <w:rFonts w:hint="eastAsia" w:ascii="宋体" w:hAnsi="宋体"/>
                <w:color w:val="000000"/>
                <w:sz w:val="24"/>
              </w:rPr>
              <w:fldChar w:fldCharType="separate"/>
            </w:r>
            <w:r>
              <w:rPr>
                <w:rFonts w:hint="eastAsia" w:ascii="宋体" w:hAnsi="宋体"/>
                <w:color w:val="000000"/>
                <w:sz w:val="24"/>
              </w:rPr>
              <w:fldChar w:fldCharType="end"/>
            </w:r>
            <w:r>
              <w:rPr>
                <w:rFonts w:hint="eastAsia" w:ascii="宋体" w:hAnsi="宋体"/>
                <w:color w:val="000000"/>
                <w:sz w:val="24"/>
              </w:rPr>
              <w:t>（http://www.pj.gov.cn)中浦江县公共资源交易专栏进行展示。</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中标通知书：发中标公告同时签发中标通知书。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1</w:t>
            </w:r>
            <w:r>
              <w:rPr>
                <w:rFonts w:hint="eastAsia" w:ascii="宋体" w:hAnsi="宋体"/>
                <w:color w:val="000000"/>
                <w:sz w:val="24"/>
              </w:rPr>
              <w:t>6</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签订合同时间：中标通知书发出后 30 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1</w:t>
            </w:r>
            <w:r>
              <w:rPr>
                <w:rFonts w:hint="eastAsia" w:ascii="宋体" w:hAnsi="宋体"/>
                <w:color w:val="000000"/>
                <w:sz w:val="24"/>
              </w:rPr>
              <w:t>7</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履约保证金的收取及退还: 本项目标项一、标项二均不收取履约保证金。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rPr>
            </w:pPr>
            <w:r>
              <w:rPr>
                <w:rFonts w:hint="eastAsia" w:ascii="宋体" w:hAnsi="宋体"/>
                <w:color w:val="000000"/>
                <w:sz w:val="24"/>
              </w:rPr>
              <w:t>18</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付款方式：</w:t>
            </w:r>
          </w:p>
          <w:p>
            <w:pPr>
              <w:widowControl/>
              <w:adjustRightInd w:val="0"/>
              <w:snapToGrid w:val="0"/>
              <w:spacing w:line="500" w:lineRule="exact"/>
              <w:ind w:firstLine="569" w:firstLineChars="236"/>
              <w:jc w:val="left"/>
              <w:rPr>
                <w:rFonts w:hint="eastAsia" w:ascii="宋体" w:hAnsi="宋体" w:cs="宋体"/>
                <w:sz w:val="24"/>
              </w:rPr>
            </w:pPr>
            <w:r>
              <w:rPr>
                <w:rFonts w:hint="eastAsia" w:ascii="宋体" w:hAnsi="宋体" w:cs="宋体"/>
                <w:b/>
                <w:kern w:val="0"/>
                <w:sz w:val="24"/>
              </w:rPr>
              <w:t>标项一：</w:t>
            </w:r>
            <w:r>
              <w:rPr>
                <w:rFonts w:hint="eastAsia" w:ascii="宋体" w:hAnsi="宋体" w:cs="宋体"/>
                <w:sz w:val="24"/>
              </w:rPr>
              <w:t>（1）合同生效以及具备实施条件后，采购人7个工作日内向中标人支付合同金额的40%作为项目的预付款（同时中标人应当向采购人提交合同总额的40%的预付款保函），项目验收合格后3个月内支付合同金额的57%，免费运维期满后30个工作日内支付合同金额的3%。付款前中标供应商需提供符合采购人要求的正规发票。</w:t>
            </w:r>
            <w:r>
              <w:rPr>
                <w:rFonts w:hint="eastAsia" w:ascii="宋体" w:hAnsi="宋体" w:cs="宋体"/>
                <w:sz w:val="24"/>
              </w:rPr>
              <w:br w:type="textWrapping"/>
            </w:r>
            <w:r>
              <w:rPr>
                <w:rFonts w:hint="eastAsia" w:ascii="宋体" w:hAnsi="宋体" w:cs="宋体"/>
                <w:sz w:val="24"/>
              </w:rPr>
              <w:t>（2）若中标供应商明确表示无需预付款或者不提供预付款保函的采购人则不予支付预付款，若中标供应商主动要求降低预付款比例的，采购人可根据其要求降低项目预付款。</w:t>
            </w:r>
            <w:r>
              <w:rPr>
                <w:rFonts w:hint="eastAsia" w:ascii="宋体" w:hAnsi="宋体" w:cs="宋体"/>
                <w:sz w:val="24"/>
              </w:rPr>
              <w:br w:type="textWrapping"/>
            </w:r>
            <w:r>
              <w:rPr>
                <w:rFonts w:hint="eastAsia" w:ascii="宋体" w:hAnsi="宋体" w:cs="宋体"/>
                <w:sz w:val="24"/>
              </w:rPr>
              <w:t>（3）实际支付金额以实际供货数量、金额结算。</w:t>
            </w:r>
          </w:p>
          <w:p>
            <w:pPr>
              <w:widowControl/>
              <w:adjustRightInd w:val="0"/>
              <w:snapToGrid w:val="0"/>
              <w:spacing w:line="500" w:lineRule="exact"/>
              <w:ind w:firstLine="569" w:firstLineChars="236"/>
              <w:jc w:val="left"/>
              <w:rPr>
                <w:rFonts w:hint="eastAsia" w:ascii="宋体" w:hAnsi="宋体" w:cs="宋体"/>
                <w:kern w:val="0"/>
                <w:sz w:val="24"/>
              </w:rPr>
            </w:pPr>
            <w:r>
              <w:rPr>
                <w:rFonts w:hint="eastAsia" w:ascii="宋体" w:hAnsi="宋体" w:cs="宋体"/>
                <w:b/>
                <w:kern w:val="0"/>
                <w:sz w:val="24"/>
              </w:rPr>
              <w:t>标项二：</w:t>
            </w:r>
            <w:r>
              <w:rPr>
                <w:rFonts w:hint="eastAsia" w:ascii="宋体" w:hAnsi="宋体" w:cs="宋体"/>
                <w:kern w:val="0"/>
                <w:sz w:val="24"/>
              </w:rPr>
              <w:t>（1）若中标人为中小企业，合同生效并在具备实施条件后，采购人在7个工作日内向中标人支付合同总额的  40 %作为项目的预付款（同时中标人应当向采购人提交合同总额的40 %的预付款保函）。余款于所有产品交付并经采购人验收合格后，30个工作日内一次性支付合同款，付款前中标方需提供符合采购人要求的正规发票。</w:t>
            </w:r>
          </w:p>
          <w:p>
            <w:pPr>
              <w:widowControl/>
              <w:adjustRightInd w:val="0"/>
              <w:snapToGrid w:val="0"/>
              <w:spacing w:line="500" w:lineRule="exact"/>
              <w:ind w:firstLine="566" w:firstLineChars="236"/>
              <w:jc w:val="left"/>
              <w:rPr>
                <w:rFonts w:hint="eastAsia" w:ascii="宋体" w:hAnsi="宋体" w:cs="宋体"/>
                <w:kern w:val="0"/>
                <w:sz w:val="24"/>
              </w:rPr>
            </w:pPr>
            <w:r>
              <w:rPr>
                <w:rFonts w:hint="eastAsia" w:ascii="宋体" w:hAnsi="宋体" w:cs="宋体"/>
                <w:kern w:val="0"/>
                <w:sz w:val="24"/>
              </w:rPr>
              <w:t>（2）若中标人为大型企业，所有产品交付并经采购人验收合格后，30个工作日内一次性支付合同款，付款前中标方需提供符合采购人要求的正规发票。</w:t>
            </w:r>
          </w:p>
          <w:p>
            <w:pPr>
              <w:widowControl/>
              <w:adjustRightInd w:val="0"/>
              <w:snapToGrid w:val="0"/>
              <w:spacing w:line="500" w:lineRule="exact"/>
              <w:ind w:firstLine="566" w:firstLineChars="236"/>
              <w:jc w:val="left"/>
              <w:rPr>
                <w:rFonts w:hint="eastAsia"/>
              </w:rPr>
            </w:pPr>
            <w:r>
              <w:rPr>
                <w:rFonts w:hint="eastAsia" w:ascii="宋体" w:hAnsi="宋体" w:cs="宋体"/>
                <w:kern w:val="0"/>
                <w:sz w:val="24"/>
              </w:rPr>
              <w:t>（3）若中标供应商明确表示无需预付款或者不提供预付款保函的，采购人则不予支付预付款，若中标供应商主动要求降低预付款比例的，采购人可根据其要求降低项目预付款。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ascii="宋体" w:hAnsi="宋体"/>
                <w:color w:val="000000"/>
                <w:sz w:val="24"/>
              </w:rPr>
              <w:t>1</w:t>
            </w:r>
            <w:r>
              <w:rPr>
                <w:rFonts w:hint="eastAsia" w:ascii="宋体" w:hAnsi="宋体"/>
                <w:color w:val="000000"/>
                <w:sz w:val="24"/>
              </w:rPr>
              <w:t>9</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采购资金来源： 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rPr>
            </w:pPr>
            <w:r>
              <w:rPr>
                <w:rFonts w:hint="eastAsia" w:ascii="宋体" w:hAnsi="宋体"/>
                <w:color w:val="000000"/>
                <w:sz w:val="24"/>
              </w:rPr>
              <w:t>20</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预算金额：标项一1117.43万元；标项二76.03万元。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21</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付款形式：国库集中支付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22</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根据《关于在政府采购活动中查询及使用信用记录有关问题的通知》财库[2016]125号的规定：</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1）采购人或集采机构将对本项目投标供应商的信用记录进行查询。查询渠道为信用中国网站（www.creditchina.gov.cn）、中国政府采购网（</w:t>
            </w:r>
            <w:r>
              <w:rPr>
                <w:rFonts w:ascii="宋体" w:hAnsi="宋体"/>
                <w:color w:val="000000"/>
                <w:sz w:val="24"/>
              </w:rPr>
              <w:fldChar w:fldCharType="begin"/>
            </w:r>
            <w:r>
              <w:rPr>
                <w:rFonts w:ascii="宋体" w:hAnsi="宋体"/>
                <w:color w:val="000000"/>
                <w:sz w:val="24"/>
              </w:rPr>
              <w:instrText xml:space="preserve"> HYPERLINK "http://</w:instrText>
            </w:r>
            <w:r>
              <w:rPr>
                <w:rFonts w:hint="eastAsia" w:ascii="宋体" w:hAnsi="宋体"/>
                <w:color w:val="000000"/>
                <w:sz w:val="24"/>
              </w:rPr>
              <w:instrText xml:space="preserve">www.ccgp.gov.cn</w:instrText>
            </w:r>
            <w:r>
              <w:rPr>
                <w:rFonts w:ascii="宋体" w:hAnsi="宋体"/>
                <w:color w:val="000000"/>
                <w:sz w:val="24"/>
              </w:rPr>
              <w:instrText xml:space="preserve">" </w:instrText>
            </w:r>
            <w:r>
              <w:rPr>
                <w:rFonts w:ascii="宋体" w:hAnsi="宋体"/>
                <w:color w:val="000000"/>
                <w:sz w:val="24"/>
              </w:rPr>
              <w:fldChar w:fldCharType="separate"/>
            </w:r>
            <w:r>
              <w:rPr>
                <w:rStyle w:val="69"/>
                <w:rFonts w:hint="eastAsia" w:ascii="宋体" w:hAnsi="宋体"/>
                <w:sz w:val="24"/>
              </w:rPr>
              <w:t>www.ccgp.gov.cn</w:t>
            </w:r>
            <w:r>
              <w:rPr>
                <w:rFonts w:ascii="宋体" w:hAnsi="宋体"/>
                <w:color w:val="000000"/>
                <w:sz w:val="24"/>
              </w:rPr>
              <w:fldChar w:fldCharType="end"/>
            </w:r>
            <w:r>
              <w:rPr>
                <w:rFonts w:hint="eastAsia" w:ascii="宋体" w:hAnsi="宋体"/>
                <w:color w:val="000000"/>
                <w:sz w:val="24"/>
              </w:rPr>
              <w:t>）；</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2）截止时点：提交投标文件（响应文件）截止时间前3年内；</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3）查询记录和证据的留存：信用信息查询记录和证据以网页截图等方式留存。</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23</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pStyle w:val="51"/>
              <w:widowControl/>
              <w:tabs>
                <w:tab w:val="left" w:pos="312"/>
              </w:tabs>
              <w:spacing w:before="150" w:after="150" w:line="276" w:lineRule="auto"/>
              <w:ind w:firstLine="480" w:firstLineChars="200"/>
              <w:rPr>
                <w:rFonts w:hint="eastAsia" w:ascii="宋体" w:hAnsi="宋体"/>
                <w:color w:val="000000"/>
                <w:kern w:val="2"/>
                <w:szCs w:val="24"/>
              </w:rPr>
            </w:pPr>
            <w:r>
              <w:rPr>
                <w:rFonts w:hint="eastAsia" w:ascii="宋体" w:hAnsi="宋体"/>
                <w:color w:val="000000"/>
                <w:kern w:val="2"/>
                <w:szCs w:val="24"/>
              </w:rPr>
              <w:t>1.若以联合体名义参加投标的，投标文件则以联合体牵头人的名义上传电子投标文件。</w:t>
            </w:r>
          </w:p>
          <w:p>
            <w:pPr>
              <w:pStyle w:val="51"/>
              <w:widowControl/>
              <w:tabs>
                <w:tab w:val="left" w:pos="312"/>
              </w:tabs>
              <w:spacing w:before="150" w:after="150" w:line="276" w:lineRule="auto"/>
              <w:ind w:firstLine="480" w:firstLineChars="200"/>
              <w:rPr>
                <w:rFonts w:hint="eastAsia" w:ascii="宋体" w:hAnsi="宋体"/>
                <w:color w:val="000000"/>
                <w:kern w:val="2"/>
                <w:szCs w:val="24"/>
              </w:rPr>
            </w:pPr>
            <w:r>
              <w:rPr>
                <w:rFonts w:hint="eastAsia" w:ascii="宋体" w:hAnsi="宋体"/>
                <w:color w:val="000000"/>
                <w:kern w:val="2"/>
                <w:szCs w:val="24"/>
              </w:rPr>
              <w:t>2.组成联合体参与投标的，由联合体牵头人代表联合体办理投标事宜（除采购文件特别注明外，其余投标文件中的盖章、签字要求，均指由联合体牵头人单位进行盖章、签字），联合体牵头人在投标文件中的所有承诺均代表了联合体各成员。</w:t>
            </w:r>
          </w:p>
          <w:p>
            <w:pPr>
              <w:pStyle w:val="51"/>
              <w:widowControl/>
              <w:tabs>
                <w:tab w:val="left" w:pos="312"/>
              </w:tabs>
              <w:spacing w:before="150" w:after="150" w:line="276" w:lineRule="auto"/>
              <w:ind w:firstLine="480" w:firstLineChars="200"/>
              <w:rPr>
                <w:rFonts w:hint="eastAsia" w:ascii="宋体" w:hAnsi="宋体"/>
                <w:color w:val="000000"/>
                <w:kern w:val="2"/>
                <w:szCs w:val="24"/>
              </w:rPr>
            </w:pPr>
            <w:r>
              <w:rPr>
                <w:rFonts w:hint="eastAsia" w:ascii="宋体" w:hAnsi="宋体"/>
                <w:color w:val="000000"/>
                <w:kern w:val="2"/>
                <w:szCs w:val="24"/>
              </w:rPr>
              <w:t>3.如投标供应商组成联合体中标的，在项目实施中，采购单位将直接向联合体牵头人支付相应的合同金额，联合体内部的经济往来由联合体各方在联合体协议书中明确。联合体双方请自行协议双方的权利、义务。</w:t>
            </w:r>
          </w:p>
          <w:p>
            <w:pPr>
              <w:snapToGrid w:val="0"/>
              <w:spacing w:line="276" w:lineRule="auto"/>
              <w:ind w:firstLine="480" w:firstLineChars="200"/>
              <w:jc w:val="left"/>
              <w:rPr>
                <w:rFonts w:hint="eastAsia" w:ascii="宋体" w:hAnsi="宋体"/>
                <w:color w:val="000000"/>
                <w:sz w:val="24"/>
              </w:rPr>
            </w:pPr>
            <w:r>
              <w:rPr>
                <w:rFonts w:hint="eastAsia" w:ascii="宋体" w:hAnsi="宋体"/>
                <w:color w:val="000000"/>
                <w:sz w:val="24"/>
              </w:rPr>
              <w:t>4.以联合体形式参加政府采购活动的，联合体各方不得再单独参加或者与其他投标供应商另外组成联合体参加同一合同项下的政府采购活动。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rPr>
            </w:pPr>
            <w:r>
              <w:rPr>
                <w:rFonts w:hint="eastAsia" w:ascii="宋体" w:hAnsi="宋体"/>
                <w:color w:val="000000"/>
                <w:sz w:val="24"/>
              </w:rPr>
              <w:t>24</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投标文件有效期：120天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 w:val="24"/>
              </w:rPr>
            </w:pPr>
            <w:r>
              <w:rPr>
                <w:rFonts w:hint="eastAsia" w:ascii="宋体" w:hAnsi="宋体"/>
                <w:color w:val="000000"/>
                <w:sz w:val="24"/>
              </w:rPr>
              <w:t>25</w:t>
            </w:r>
          </w:p>
        </w:tc>
        <w:tc>
          <w:tcPr>
            <w:tcW w:w="89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ind w:firstLine="480" w:firstLineChars="200"/>
              <w:jc w:val="left"/>
              <w:rPr>
                <w:rFonts w:hint="eastAsia" w:ascii="宋体" w:hAnsi="宋体"/>
                <w:color w:val="000000"/>
                <w:sz w:val="24"/>
              </w:rPr>
            </w:pPr>
            <w:r>
              <w:rPr>
                <w:rFonts w:hint="eastAsia" w:ascii="宋体" w:hAnsi="宋体"/>
                <w:color w:val="000000"/>
                <w:sz w:val="24"/>
              </w:rPr>
              <w:t>解释：本采购文件的解释权属于采购人。</w:t>
            </w:r>
          </w:p>
        </w:tc>
      </w:tr>
    </w:tbl>
    <w:p>
      <w:pPr>
        <w:adjustRightInd w:val="0"/>
        <w:snapToGrid w:val="0"/>
        <w:spacing w:before="120" w:beforeLines="50" w:after="120" w:afterLines="50"/>
        <w:ind w:left="238"/>
        <w:jc w:val="left"/>
        <w:outlineLvl w:val="1"/>
        <w:rPr>
          <w:rFonts w:hint="eastAsia" w:ascii="宋体" w:hAnsi="宋体"/>
          <w:color w:val="000000"/>
        </w:rPr>
      </w:pPr>
      <w:r>
        <w:rPr>
          <w:rFonts w:ascii="宋体" w:hAnsi="宋体"/>
          <w:color w:val="000000"/>
        </w:rPr>
        <w:br w:type="page"/>
      </w:r>
      <w:r>
        <w:rPr>
          <w:rFonts w:hint="eastAsia" w:ascii="宋体" w:hAnsi="宋体"/>
          <w:b/>
          <w:color w:val="000000"/>
          <w:sz w:val="32"/>
          <w:szCs w:val="28"/>
        </w:rPr>
        <w:t>一  总  则</w:t>
      </w:r>
    </w:p>
    <w:p>
      <w:pPr>
        <w:pStyle w:val="4"/>
        <w:rPr>
          <w:rFonts w:ascii="宋体" w:hAnsi="宋体"/>
          <w:color w:val="000000"/>
          <w:szCs w:val="24"/>
        </w:rPr>
      </w:pPr>
      <w:r>
        <w:rPr>
          <w:rFonts w:hint="eastAsia" w:ascii="宋体" w:hAnsi="宋体"/>
          <w:color w:val="000000"/>
        </w:rPr>
        <w:t>（一）</w:t>
      </w:r>
      <w:r>
        <w:rPr>
          <w:rFonts w:ascii="宋体" w:hAnsi="宋体"/>
          <w:color w:val="000000"/>
        </w:rPr>
        <w:t xml:space="preserve"> 适用范围</w:t>
      </w:r>
    </w:p>
    <w:p>
      <w:pPr>
        <w:snapToGrid w:val="0"/>
        <w:ind w:firstLine="480" w:firstLineChars="200"/>
        <w:jc w:val="left"/>
        <w:rPr>
          <w:rFonts w:ascii="宋体" w:hAnsi="宋体"/>
          <w:color w:val="000000"/>
          <w:sz w:val="24"/>
          <w:szCs w:val="20"/>
        </w:rPr>
      </w:pPr>
      <w:r>
        <w:rPr>
          <w:rFonts w:hint="eastAsia" w:ascii="宋体" w:hAnsi="宋体"/>
          <w:color w:val="000000"/>
          <w:sz w:val="24"/>
        </w:rPr>
        <w:t>本采购文件适用于</w:t>
      </w:r>
      <w:r>
        <w:rPr>
          <w:rFonts w:hint="eastAsia" w:hAnsi="宋体"/>
          <w:b/>
          <w:bCs/>
          <w:color w:val="000000"/>
          <w:sz w:val="24"/>
        </w:rPr>
        <w:t>浦江县中医院新院区搬迁信息化与LED屏采购项目</w:t>
      </w:r>
      <w:r>
        <w:rPr>
          <w:rFonts w:hint="eastAsia" w:ascii="宋体" w:hAnsi="宋体"/>
          <w:color w:val="000000"/>
          <w:sz w:val="24"/>
        </w:rPr>
        <w:t>的招标、投标、评标、定标、验收、合同履约、付款等行为（法律、法规另有规定的，从其规定）。</w:t>
      </w:r>
    </w:p>
    <w:p>
      <w:pPr>
        <w:pStyle w:val="4"/>
        <w:rPr>
          <w:rFonts w:ascii="宋体" w:hAnsi="宋体"/>
          <w:color w:val="000000"/>
        </w:rPr>
      </w:pPr>
      <w:r>
        <w:rPr>
          <w:rFonts w:hint="eastAsia" w:ascii="宋体" w:hAnsi="宋体"/>
          <w:color w:val="000000"/>
        </w:rPr>
        <w:t>（二）定义</w:t>
      </w:r>
    </w:p>
    <w:p>
      <w:pPr>
        <w:snapToGrid w:val="0"/>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w:t>
      </w:r>
      <w:r>
        <w:rPr>
          <w:rFonts w:ascii="宋体" w:hAnsi="宋体"/>
          <w:color w:val="000000"/>
          <w:spacing w:val="-4"/>
          <w:sz w:val="24"/>
        </w:rPr>
        <w:t xml:space="preserve"> 采购人系指</w:t>
      </w:r>
      <w:r>
        <w:rPr>
          <w:rFonts w:hint="eastAsia" w:ascii="宋体" w:hAnsi="宋体"/>
          <w:color w:val="000000"/>
          <w:spacing w:val="-4"/>
          <w:sz w:val="24"/>
        </w:rPr>
        <w:t>采购单位、采购</w:t>
      </w:r>
      <w:r>
        <w:rPr>
          <w:rFonts w:ascii="宋体" w:hAnsi="宋体"/>
          <w:color w:val="000000"/>
          <w:spacing w:val="-4"/>
          <w:sz w:val="24"/>
        </w:rPr>
        <w:t>代理机构</w:t>
      </w:r>
      <w:r>
        <w:rPr>
          <w:rFonts w:hint="eastAsia" w:ascii="宋体" w:hAnsi="宋体"/>
          <w:color w:val="000000"/>
          <w:spacing w:val="-4"/>
          <w:sz w:val="24"/>
        </w:rPr>
        <w:t>系指</w:t>
      </w:r>
      <w:r>
        <w:rPr>
          <w:rFonts w:ascii="宋体" w:hAnsi="宋体"/>
          <w:color w:val="000000"/>
          <w:spacing w:val="-4"/>
          <w:sz w:val="24"/>
        </w:rPr>
        <w:t>组织本次招标的</w:t>
      </w:r>
      <w:r>
        <w:rPr>
          <w:rFonts w:hint="eastAsia" w:ascii="宋体" w:hAnsi="宋体"/>
          <w:color w:val="000000"/>
          <w:spacing w:val="-4"/>
          <w:sz w:val="24"/>
        </w:rPr>
        <w:t>集采</w:t>
      </w:r>
      <w:r>
        <w:rPr>
          <w:rFonts w:ascii="宋体" w:hAnsi="宋体"/>
          <w:color w:val="000000"/>
          <w:spacing w:val="-4"/>
          <w:sz w:val="24"/>
        </w:rPr>
        <w:t>机构。</w:t>
      </w:r>
    </w:p>
    <w:p>
      <w:pPr>
        <w:snapToGrid w:val="0"/>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.“投标供应商</w:t>
      </w:r>
      <w:r>
        <w:rPr>
          <w:rFonts w:ascii="宋体" w:hAnsi="宋体"/>
          <w:color w:val="000000"/>
          <w:spacing w:val="-4"/>
          <w:sz w:val="24"/>
        </w:rPr>
        <w:t>”系指</w:t>
      </w:r>
      <w:r>
        <w:rPr>
          <w:rFonts w:hint="eastAsia" w:ascii="宋体" w:hAnsi="宋体"/>
          <w:color w:val="000000"/>
          <w:spacing w:val="-4"/>
          <w:sz w:val="24"/>
        </w:rPr>
        <w:t>响应招标、参加投标竞争的法人、其他组织或者自然人</w:t>
      </w:r>
      <w:r>
        <w:rPr>
          <w:rFonts w:ascii="宋体" w:hAnsi="宋体"/>
          <w:color w:val="000000"/>
          <w:spacing w:val="-4"/>
          <w:sz w:val="24"/>
        </w:rPr>
        <w:t>。</w:t>
      </w:r>
    </w:p>
    <w:p>
      <w:pPr>
        <w:snapToGrid w:val="0"/>
        <w:ind w:firstLine="464" w:firstLineChars="200"/>
        <w:jc w:val="left"/>
        <w:rPr>
          <w:rFonts w:ascii="宋体" w:hAnsi="宋体"/>
          <w:color w:val="000000"/>
          <w:spacing w:val="-4"/>
          <w:sz w:val="24"/>
        </w:rPr>
      </w:pPr>
      <w:r>
        <w:rPr>
          <w:rFonts w:ascii="宋体" w:hAnsi="宋体"/>
          <w:color w:val="000000"/>
          <w:spacing w:val="-4"/>
          <w:sz w:val="24"/>
        </w:rPr>
        <w:t>3</w:t>
      </w:r>
      <w:r>
        <w:rPr>
          <w:rFonts w:hint="eastAsia" w:ascii="宋体" w:hAnsi="宋体"/>
          <w:color w:val="000000"/>
          <w:spacing w:val="-4"/>
          <w:sz w:val="24"/>
        </w:rPr>
        <w:t>.</w:t>
      </w:r>
      <w:r>
        <w:rPr>
          <w:rFonts w:ascii="宋体" w:hAnsi="宋体"/>
          <w:color w:val="000000"/>
          <w:spacing w:val="-4"/>
          <w:sz w:val="24"/>
        </w:rPr>
        <w:t>“产品”系指供方按</w:t>
      </w:r>
      <w:r>
        <w:rPr>
          <w:rFonts w:hint="eastAsia" w:ascii="宋体" w:hAnsi="宋体"/>
          <w:color w:val="000000"/>
          <w:spacing w:val="-4"/>
          <w:sz w:val="24"/>
        </w:rPr>
        <w:t>采购文件</w:t>
      </w:r>
      <w:r>
        <w:rPr>
          <w:rFonts w:ascii="宋体" w:hAnsi="宋体"/>
          <w:color w:val="000000"/>
          <w:spacing w:val="-4"/>
          <w:sz w:val="24"/>
        </w:rPr>
        <w:t>规定，须向采购人提供的一切设备、保险、税金、备品备件、工具、手册及其它有关技术资料和材料。</w:t>
      </w:r>
    </w:p>
    <w:p>
      <w:pPr>
        <w:snapToGrid w:val="0"/>
        <w:ind w:firstLine="464" w:firstLineChars="200"/>
        <w:jc w:val="left"/>
        <w:rPr>
          <w:rFonts w:ascii="宋体" w:hAnsi="宋体"/>
          <w:color w:val="000000"/>
          <w:spacing w:val="-4"/>
          <w:sz w:val="24"/>
        </w:rPr>
      </w:pPr>
      <w:r>
        <w:rPr>
          <w:rFonts w:ascii="宋体" w:hAnsi="宋体"/>
          <w:color w:val="000000"/>
          <w:spacing w:val="-4"/>
          <w:sz w:val="24"/>
        </w:rPr>
        <w:t>4</w:t>
      </w:r>
      <w:r>
        <w:rPr>
          <w:rFonts w:hint="eastAsia" w:ascii="宋体" w:hAnsi="宋体"/>
          <w:color w:val="000000"/>
          <w:spacing w:val="-4"/>
          <w:sz w:val="24"/>
        </w:rPr>
        <w:t>.</w:t>
      </w:r>
      <w:r>
        <w:rPr>
          <w:rFonts w:ascii="宋体" w:hAnsi="宋体"/>
          <w:color w:val="000000"/>
          <w:spacing w:val="-4"/>
          <w:sz w:val="24"/>
        </w:rPr>
        <w:t>“服务”系指</w:t>
      </w:r>
      <w:r>
        <w:rPr>
          <w:rFonts w:hint="eastAsia" w:ascii="宋体" w:hAnsi="宋体"/>
          <w:color w:val="000000"/>
          <w:spacing w:val="-4"/>
          <w:sz w:val="24"/>
        </w:rPr>
        <w:t>采购文件</w:t>
      </w:r>
      <w:r>
        <w:rPr>
          <w:rFonts w:ascii="宋体" w:hAnsi="宋体"/>
          <w:color w:val="000000"/>
          <w:spacing w:val="-4"/>
          <w:sz w:val="24"/>
        </w:rPr>
        <w:t>规定</w:t>
      </w:r>
      <w:r>
        <w:rPr>
          <w:rFonts w:hint="eastAsia" w:ascii="宋体" w:hAnsi="宋体"/>
          <w:color w:val="000000"/>
          <w:spacing w:val="-4"/>
          <w:sz w:val="24"/>
        </w:rPr>
        <w:t>投标供应商</w:t>
      </w:r>
      <w:r>
        <w:rPr>
          <w:rFonts w:ascii="宋体" w:hAnsi="宋体"/>
          <w:color w:val="000000"/>
          <w:spacing w:val="-4"/>
          <w:sz w:val="24"/>
        </w:rPr>
        <w:t>须承担的安装、调试、技术协助、校准、培训、技术指导以及其他类似的义务。</w:t>
      </w:r>
    </w:p>
    <w:p>
      <w:pPr>
        <w:snapToGrid w:val="0"/>
        <w:ind w:firstLine="464" w:firstLineChars="200"/>
        <w:jc w:val="left"/>
        <w:rPr>
          <w:rFonts w:ascii="宋体" w:hAnsi="宋体"/>
          <w:color w:val="000000"/>
          <w:spacing w:val="-4"/>
          <w:sz w:val="24"/>
        </w:rPr>
      </w:pPr>
      <w:r>
        <w:rPr>
          <w:rFonts w:ascii="宋体" w:hAnsi="宋体"/>
          <w:color w:val="000000"/>
          <w:spacing w:val="-4"/>
          <w:sz w:val="24"/>
        </w:rPr>
        <w:t>5</w:t>
      </w:r>
      <w:r>
        <w:rPr>
          <w:rFonts w:hint="eastAsia" w:ascii="宋体" w:hAnsi="宋体"/>
          <w:color w:val="000000"/>
          <w:spacing w:val="-4"/>
          <w:sz w:val="24"/>
        </w:rPr>
        <w:t>.</w:t>
      </w:r>
      <w:r>
        <w:rPr>
          <w:rFonts w:ascii="宋体" w:hAnsi="宋体"/>
          <w:color w:val="000000"/>
          <w:spacing w:val="-4"/>
          <w:sz w:val="24"/>
        </w:rPr>
        <w:t>“项目”系指</w:t>
      </w:r>
      <w:r>
        <w:rPr>
          <w:rFonts w:hint="eastAsia" w:ascii="宋体" w:hAnsi="宋体"/>
          <w:color w:val="000000"/>
          <w:spacing w:val="-4"/>
          <w:sz w:val="24"/>
        </w:rPr>
        <w:t>投标供应商</w:t>
      </w:r>
      <w:r>
        <w:rPr>
          <w:rFonts w:ascii="宋体" w:hAnsi="宋体"/>
          <w:color w:val="000000"/>
          <w:spacing w:val="-4"/>
          <w:sz w:val="24"/>
        </w:rPr>
        <w:t>按</w:t>
      </w:r>
      <w:r>
        <w:rPr>
          <w:rFonts w:hint="eastAsia" w:ascii="宋体" w:hAnsi="宋体"/>
          <w:color w:val="000000"/>
          <w:spacing w:val="-4"/>
          <w:sz w:val="24"/>
        </w:rPr>
        <w:t>采购文件</w:t>
      </w:r>
      <w:r>
        <w:rPr>
          <w:rFonts w:ascii="宋体" w:hAnsi="宋体"/>
          <w:color w:val="000000"/>
          <w:spacing w:val="-4"/>
          <w:sz w:val="24"/>
        </w:rPr>
        <w:t>规定向采购人提供的产品和服务。</w:t>
      </w:r>
    </w:p>
    <w:p>
      <w:pPr>
        <w:snapToGrid w:val="0"/>
        <w:ind w:firstLine="464" w:firstLineChars="200"/>
        <w:jc w:val="left"/>
        <w:rPr>
          <w:rFonts w:ascii="宋体" w:hAnsi="宋体"/>
          <w:color w:val="000000"/>
          <w:spacing w:val="-4"/>
          <w:sz w:val="24"/>
        </w:rPr>
      </w:pPr>
      <w:r>
        <w:rPr>
          <w:rFonts w:ascii="宋体" w:hAnsi="宋体"/>
          <w:color w:val="000000"/>
          <w:spacing w:val="-4"/>
          <w:sz w:val="24"/>
        </w:rPr>
        <w:t>6</w:t>
      </w:r>
      <w:r>
        <w:rPr>
          <w:rFonts w:hint="eastAsia" w:ascii="宋体" w:hAnsi="宋体"/>
          <w:color w:val="000000"/>
          <w:spacing w:val="-4"/>
          <w:sz w:val="24"/>
        </w:rPr>
        <w:t>.</w:t>
      </w:r>
      <w:r>
        <w:rPr>
          <w:rFonts w:ascii="宋体" w:hAnsi="宋体"/>
          <w:color w:val="000000"/>
          <w:spacing w:val="-4"/>
          <w:sz w:val="24"/>
        </w:rPr>
        <w:t>“书面形式”包括信函、传真、电报等。</w:t>
      </w:r>
    </w:p>
    <w:p>
      <w:pPr>
        <w:snapToGrid w:val="0"/>
        <w:ind w:firstLine="464" w:firstLineChars="200"/>
        <w:jc w:val="left"/>
        <w:rPr>
          <w:rFonts w:ascii="宋体" w:hAnsi="宋体"/>
          <w:color w:val="000000"/>
          <w:spacing w:val="-4"/>
          <w:sz w:val="24"/>
        </w:rPr>
      </w:pPr>
      <w:r>
        <w:rPr>
          <w:rFonts w:ascii="宋体" w:hAnsi="宋体"/>
          <w:color w:val="000000"/>
          <w:spacing w:val="-4"/>
          <w:sz w:val="24"/>
        </w:rPr>
        <w:t>7</w:t>
      </w:r>
      <w:r>
        <w:rPr>
          <w:rFonts w:hint="eastAsia" w:ascii="宋体" w:hAnsi="宋体"/>
          <w:color w:val="000000"/>
          <w:spacing w:val="-4"/>
          <w:sz w:val="24"/>
        </w:rPr>
        <w:t>. 凡是标有“▲”符号或标有“必须”字眼描述的条款以及项目的数量、工期（交货期）、付款方式、质保期、投标有效期、投标保证金均属于实质性条款，不允许负偏离，否则作无效标处理。</w:t>
      </w:r>
    </w:p>
    <w:p>
      <w:pPr>
        <w:pStyle w:val="4"/>
        <w:rPr>
          <w:rFonts w:ascii="宋体" w:hAnsi="宋体"/>
          <w:b w:val="0"/>
          <w:color w:val="000000"/>
          <w:sz w:val="24"/>
          <w:szCs w:val="20"/>
        </w:rPr>
      </w:pPr>
      <w:r>
        <w:rPr>
          <w:rFonts w:hint="eastAsia" w:ascii="宋体" w:hAnsi="宋体"/>
          <w:color w:val="000000"/>
        </w:rPr>
        <w:t>（三）招标方式</w:t>
      </w:r>
    </w:p>
    <w:p>
      <w:pPr>
        <w:snapToGrid w:val="0"/>
        <w:ind w:firstLine="480" w:firstLineChars="200"/>
        <w:jc w:val="left"/>
        <w:rPr>
          <w:rFonts w:ascii="宋体" w:hAnsi="宋体"/>
          <w:color w:val="000000"/>
          <w:sz w:val="24"/>
          <w:szCs w:val="20"/>
        </w:rPr>
      </w:pPr>
      <w:r>
        <w:rPr>
          <w:rFonts w:ascii="宋体" w:hAnsi="宋体"/>
          <w:color w:val="000000"/>
          <w:sz w:val="24"/>
        </w:rPr>
        <w:t>本次招标采用公开招标方式进行。</w:t>
      </w:r>
    </w:p>
    <w:p>
      <w:pPr>
        <w:pStyle w:val="4"/>
        <w:rPr>
          <w:rFonts w:ascii="宋体" w:hAnsi="宋体"/>
          <w:color w:val="000000"/>
        </w:rPr>
      </w:pPr>
      <w:r>
        <w:rPr>
          <w:rFonts w:hint="eastAsia" w:ascii="宋体" w:hAnsi="宋体"/>
          <w:color w:val="000000"/>
        </w:rPr>
        <w:t>（四）投标委托</w:t>
      </w:r>
    </w:p>
    <w:p>
      <w:pPr>
        <w:pStyle w:val="6"/>
        <w:snapToGrid w:val="0"/>
        <w:spacing w:line="240" w:lineRule="auto"/>
        <w:ind w:firstLine="464" w:firstLineChars="200"/>
        <w:jc w:val="left"/>
        <w:rPr>
          <w:rFonts w:hint="eastAsia" w:hAnsi="宋体" w:cs="Arial"/>
          <w:color w:val="000000"/>
          <w:sz w:val="24"/>
        </w:rPr>
      </w:pPr>
      <w:r>
        <w:rPr>
          <w:rFonts w:hint="eastAsia" w:hAnsi="宋体" w:cs="Arial"/>
          <w:color w:val="000000"/>
          <w:sz w:val="24"/>
        </w:rPr>
        <w:t>本项目不要求投标供应商到开标现场开标，但投标供应商应派法定代表人或委托代理人准时在线出席电子开标会议，随时关注开标进度。如在开标过程中有电子询标，应在规定的时间内对电子询标进行澄清、答复。如在开标过程中有电子询标，应在规定的时间内对电子询标函进行澄清、答复。超过规定时间的询标函将不予接受，评标委员会可以作出不利于被询标人的决定。</w:t>
      </w:r>
    </w:p>
    <w:p>
      <w:pPr>
        <w:pStyle w:val="6"/>
        <w:snapToGrid w:val="0"/>
        <w:spacing w:line="240" w:lineRule="auto"/>
        <w:ind w:firstLine="464" w:firstLineChars="200"/>
        <w:jc w:val="left"/>
        <w:rPr>
          <w:rFonts w:hAnsi="宋体"/>
          <w:color w:val="000000"/>
          <w:sz w:val="24"/>
          <w:szCs w:val="24"/>
        </w:rPr>
      </w:pPr>
      <w:r>
        <w:rPr>
          <w:rFonts w:hint="eastAsia" w:hAnsi="宋体" w:cs="Arial"/>
          <w:color w:val="000000"/>
          <w:sz w:val="24"/>
        </w:rPr>
        <w:t>投标供应商未按采购文件要求派代表参加电子开标会议的，视同认可开标结果，不得对开标过程及开标结果提出质疑。</w:t>
      </w:r>
    </w:p>
    <w:p>
      <w:pPr>
        <w:pStyle w:val="4"/>
        <w:rPr>
          <w:rFonts w:ascii="宋体" w:hAnsi="宋体"/>
          <w:color w:val="000000"/>
        </w:rPr>
      </w:pPr>
      <w:r>
        <w:rPr>
          <w:rFonts w:hint="eastAsia" w:ascii="宋体" w:hAnsi="宋体"/>
          <w:color w:val="000000"/>
        </w:rPr>
        <w:t>（五）投标费用</w:t>
      </w:r>
    </w:p>
    <w:p>
      <w:pPr>
        <w:snapToGrid w:val="0"/>
        <w:ind w:firstLine="480" w:firstLineChars="200"/>
        <w:jc w:val="left"/>
        <w:rPr>
          <w:rFonts w:ascii="宋体" w:hAnsi="宋体"/>
          <w:color w:val="000000"/>
          <w:sz w:val="24"/>
          <w:szCs w:val="20"/>
        </w:rPr>
      </w:pPr>
      <w:r>
        <w:rPr>
          <w:rFonts w:hint="eastAsia" w:ascii="宋体" w:hAnsi="宋体"/>
          <w:color w:val="000000"/>
          <w:sz w:val="24"/>
        </w:rPr>
        <w:t>不论投标结果如何，投标供应商均应自行承担所有与投标有关的全部费用（采购文件有相反规定除外）。</w:t>
      </w:r>
    </w:p>
    <w:p>
      <w:pPr>
        <w:pStyle w:val="4"/>
        <w:rPr>
          <w:rFonts w:ascii="宋体" w:hAnsi="宋体"/>
          <w:color w:val="000000"/>
        </w:rPr>
      </w:pPr>
      <w:r>
        <w:rPr>
          <w:rFonts w:hint="eastAsia" w:ascii="宋体" w:hAnsi="宋体"/>
          <w:color w:val="000000"/>
        </w:rPr>
        <w:t>（六）联合体投标</w:t>
      </w:r>
    </w:p>
    <w:p>
      <w:pPr>
        <w:snapToGrid w:val="0"/>
        <w:ind w:firstLine="720" w:firstLineChars="300"/>
        <w:jc w:val="left"/>
        <w:rPr>
          <w:rFonts w:hint="eastAsia" w:ascii="宋体" w:hAnsi="宋体" w:cs="Arial"/>
          <w:color w:val="000000"/>
          <w:sz w:val="24"/>
        </w:rPr>
      </w:pPr>
      <w:r>
        <w:rPr>
          <w:rFonts w:hint="eastAsia" w:ascii="宋体" w:hAnsi="宋体" w:cs="Arial"/>
          <w:color w:val="000000"/>
          <w:sz w:val="24"/>
        </w:rPr>
        <w:t>本项目不接受联合体投标。</w:t>
      </w:r>
    </w:p>
    <w:p>
      <w:pPr>
        <w:pStyle w:val="4"/>
        <w:rPr>
          <w:rFonts w:ascii="宋体" w:hAnsi="宋体" w:cs="宋体"/>
          <w:b w:val="0"/>
          <w:color w:val="000000"/>
          <w:kern w:val="0"/>
          <w:sz w:val="24"/>
          <w:szCs w:val="20"/>
        </w:rPr>
      </w:pPr>
      <w:r>
        <w:rPr>
          <w:rFonts w:hint="eastAsia" w:ascii="宋体" w:hAnsi="宋体"/>
          <w:color w:val="000000"/>
        </w:rPr>
        <w:t>（七）转包与分包</w:t>
      </w:r>
    </w:p>
    <w:p>
      <w:pPr>
        <w:snapToGrid w:val="0"/>
        <w:ind w:firstLine="480" w:firstLineChars="200"/>
        <w:rPr>
          <w:rFonts w:ascii="宋体" w:hAnsi="宋体" w:cs="宋体"/>
          <w:color w:val="000000"/>
          <w:kern w:val="0"/>
          <w:sz w:val="24"/>
          <w:szCs w:val="20"/>
        </w:rPr>
      </w:pP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本项目不允许转包。</w:t>
      </w:r>
    </w:p>
    <w:p>
      <w:pPr>
        <w:snapToGrid w:val="0"/>
        <w:ind w:firstLine="480" w:firstLineChars="200"/>
        <w:rPr>
          <w:rFonts w:hint="eastAsia" w:ascii="宋体" w:hAnsi="宋体"/>
          <w:color w:val="000000"/>
          <w:sz w:val="24"/>
          <w:szCs w:val="20"/>
        </w:rPr>
      </w:pP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本项目不可以分包</w:t>
      </w:r>
      <w:r>
        <w:rPr>
          <w:rFonts w:hint="eastAsia" w:ascii="宋体" w:hAnsi="宋体" w:cs="宋体"/>
          <w:color w:val="000000"/>
          <w:kern w:val="0"/>
          <w:sz w:val="24"/>
        </w:rPr>
        <w:t>。</w:t>
      </w:r>
    </w:p>
    <w:p>
      <w:pPr>
        <w:pStyle w:val="4"/>
        <w:rPr>
          <w:rFonts w:hint="eastAsia" w:ascii="宋体" w:hAnsi="宋体"/>
          <w:color w:val="000000"/>
        </w:rPr>
      </w:pPr>
      <w:r>
        <w:rPr>
          <w:rFonts w:hint="eastAsia" w:ascii="宋体" w:hAnsi="宋体"/>
          <w:color w:val="000000"/>
        </w:rPr>
        <w:t>（八）特别说明：</w:t>
      </w:r>
    </w:p>
    <w:p>
      <w:pPr>
        <w:pStyle w:val="6"/>
        <w:snapToGrid w:val="0"/>
        <w:spacing w:line="240" w:lineRule="auto"/>
        <w:ind w:firstLine="464" w:firstLineChars="200"/>
        <w:jc w:val="left"/>
        <w:rPr>
          <w:rFonts w:hAnsi="宋体"/>
          <w:color w:val="000000"/>
          <w:sz w:val="24"/>
          <w:szCs w:val="24"/>
        </w:rPr>
      </w:pPr>
      <w:r>
        <w:rPr>
          <w:rFonts w:hint="eastAsia" w:hAnsi="宋体"/>
          <w:color w:val="000000"/>
          <w:sz w:val="24"/>
          <w:szCs w:val="24"/>
        </w:rPr>
        <w:t>1. 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采购文件规定的方式确定一个投标供应商获得中标供应商推荐资格，采购文件未规定的采取随机抽取方式确定，其他同品牌投标供应商不作为中标候选人。</w:t>
      </w:r>
    </w:p>
    <w:p>
      <w:pPr>
        <w:pStyle w:val="30"/>
        <w:numPr>
          <w:ilvl w:val="0"/>
          <w:numId w:val="0"/>
        </w:numPr>
        <w:tabs>
          <w:tab w:val="left" w:pos="1200"/>
        </w:tabs>
        <w:snapToGrid w:val="0"/>
        <w:spacing w:beforeLines="0" w:afterLines="0" w:line="240" w:lineRule="auto"/>
        <w:ind w:left="2" w:leftChars="1" w:firstLine="480" w:firstLineChars="200"/>
        <w:rPr>
          <w:rFonts w:hint="eastAsia" w:hAnsi="宋体"/>
          <w:color w:val="000000"/>
        </w:rPr>
      </w:pPr>
      <w:r>
        <w:rPr>
          <w:rFonts w:hint="eastAsia" w:hAnsi="宋体"/>
          <w:color w:val="000000"/>
        </w:rPr>
        <w:t>非单一产品采购项目，采购人应当根据采购项目技术构成、产品价格比重等合理确定核心产品，并在采购文件中载明。多家投标供应商提供的核心产品品牌相同的，按前款规定处理。</w:t>
      </w:r>
    </w:p>
    <w:p>
      <w:pPr>
        <w:pStyle w:val="30"/>
        <w:numPr>
          <w:ilvl w:val="0"/>
          <w:numId w:val="0"/>
        </w:numPr>
        <w:tabs>
          <w:tab w:val="left" w:pos="1200"/>
        </w:tabs>
        <w:snapToGrid w:val="0"/>
        <w:spacing w:beforeLines="0" w:afterLines="0" w:line="240" w:lineRule="auto"/>
        <w:ind w:left="2" w:leftChars="1" w:firstLine="480" w:firstLineChars="200"/>
        <w:rPr>
          <w:rFonts w:hint="eastAsia" w:hAnsi="宋体"/>
          <w:color w:val="000000"/>
        </w:rPr>
      </w:pPr>
      <w:r>
        <w:rPr>
          <w:rFonts w:hint="eastAsia" w:hAnsi="宋体"/>
          <w:color w:val="000000"/>
        </w:rPr>
        <w:t>2.投标供应商投标所使用的资格、信誉、荣誉、业绩与企业认证必须为本法人所拥有。投标供应商投标所使用的采购项目实施人员必须为投标供应商员工（或投标供应商控股公司正式员工）。</w:t>
      </w:r>
    </w:p>
    <w:p>
      <w:pPr>
        <w:pStyle w:val="30"/>
        <w:numPr>
          <w:ilvl w:val="0"/>
          <w:numId w:val="0"/>
        </w:numPr>
        <w:tabs>
          <w:tab w:val="left" w:pos="1200"/>
        </w:tabs>
        <w:snapToGrid w:val="0"/>
        <w:spacing w:beforeLines="0" w:afterLines="0" w:line="240" w:lineRule="auto"/>
        <w:ind w:left="2" w:leftChars="1" w:firstLine="480" w:firstLineChars="200"/>
        <w:rPr>
          <w:rFonts w:hint="eastAsia" w:hAnsi="宋体"/>
          <w:color w:val="000000"/>
        </w:rPr>
      </w:pPr>
      <w:r>
        <w:rPr>
          <w:rFonts w:hint="eastAsia" w:hAnsi="宋体"/>
          <w:color w:val="000000"/>
        </w:rPr>
        <w:t>3. 单位负责人为同一人或者存在直接控股、管理关系的不同</w:t>
      </w:r>
      <w:r>
        <w:rPr>
          <w:rFonts w:hint="eastAsia" w:hAnsi="宋体" w:cs="宋体"/>
          <w:color w:val="000000"/>
        </w:rPr>
        <w:t>投标供应商</w:t>
      </w:r>
      <w:r>
        <w:rPr>
          <w:rFonts w:hint="eastAsia" w:hAnsi="宋体"/>
          <w:color w:val="000000"/>
        </w:rPr>
        <w:t>，不得参加同一合同项下的政府采购活动。如在评标过程（或标后质疑投诉期内）中发现</w:t>
      </w:r>
      <w:r>
        <w:rPr>
          <w:rFonts w:hint="eastAsia" w:hAnsi="宋体" w:cs="宋体"/>
          <w:color w:val="000000"/>
        </w:rPr>
        <w:t>投标供应商</w:t>
      </w:r>
      <w:r>
        <w:rPr>
          <w:rFonts w:hint="eastAsia" w:hAnsi="宋体"/>
          <w:color w:val="000000"/>
        </w:rPr>
        <w:t>间存在上述关系，存在上述关系的全部</w:t>
      </w:r>
      <w:r>
        <w:rPr>
          <w:rFonts w:hint="eastAsia" w:hAnsi="宋体" w:cs="宋体"/>
          <w:color w:val="000000"/>
        </w:rPr>
        <w:t>投标供应商</w:t>
      </w:r>
      <w:r>
        <w:rPr>
          <w:rFonts w:hint="eastAsia" w:hAnsi="宋体"/>
          <w:color w:val="000000"/>
        </w:rPr>
        <w:t>均做无效投标（或无效中标）处理。</w:t>
      </w:r>
    </w:p>
    <w:p>
      <w:pPr>
        <w:pStyle w:val="30"/>
        <w:numPr>
          <w:ilvl w:val="0"/>
          <w:numId w:val="0"/>
        </w:numPr>
        <w:tabs>
          <w:tab w:val="left" w:pos="1200"/>
        </w:tabs>
        <w:snapToGrid w:val="0"/>
        <w:spacing w:beforeLines="0" w:afterLines="0" w:line="240" w:lineRule="auto"/>
        <w:ind w:left="2" w:leftChars="1" w:firstLine="480" w:firstLineChars="200"/>
        <w:rPr>
          <w:rFonts w:hint="eastAsia" w:hAnsi="宋体"/>
          <w:color w:val="000000"/>
        </w:rPr>
      </w:pPr>
      <w:r>
        <w:rPr>
          <w:rFonts w:hint="eastAsia" w:hAnsi="宋体"/>
          <w:color w:val="000000"/>
        </w:rPr>
        <w:t>4.投标供应商</w:t>
      </w:r>
      <w:r>
        <w:rPr>
          <w:rFonts w:hAnsi="宋体"/>
          <w:color w:val="000000"/>
        </w:rPr>
        <w:t>应仔细阅读</w:t>
      </w:r>
      <w:r>
        <w:rPr>
          <w:rFonts w:hint="eastAsia" w:hAnsi="宋体"/>
          <w:color w:val="000000"/>
        </w:rPr>
        <w:t>采购文件</w:t>
      </w:r>
      <w:r>
        <w:rPr>
          <w:rFonts w:hAnsi="宋体"/>
          <w:color w:val="000000"/>
        </w:rPr>
        <w:t>的所有内容，按照</w:t>
      </w:r>
      <w:r>
        <w:rPr>
          <w:rFonts w:hint="eastAsia" w:hAnsi="宋体"/>
          <w:color w:val="000000"/>
        </w:rPr>
        <w:t>采购文件</w:t>
      </w:r>
      <w:r>
        <w:rPr>
          <w:rFonts w:hAnsi="宋体"/>
          <w:color w:val="000000"/>
        </w:rPr>
        <w:t>的要求提交投标文件，并对所提供的全部资料的真实性承担法律责任。</w:t>
      </w:r>
    </w:p>
    <w:p>
      <w:pPr>
        <w:pStyle w:val="30"/>
        <w:numPr>
          <w:ilvl w:val="0"/>
          <w:numId w:val="0"/>
        </w:numPr>
        <w:tabs>
          <w:tab w:val="left" w:pos="1200"/>
        </w:tabs>
        <w:snapToGrid w:val="0"/>
        <w:spacing w:beforeLines="0" w:afterLines="0" w:line="240" w:lineRule="auto"/>
        <w:ind w:left="2" w:leftChars="1" w:firstLine="480" w:firstLineChars="200"/>
        <w:rPr>
          <w:rFonts w:hint="eastAsia" w:hAnsi="宋体"/>
          <w:color w:val="000000"/>
        </w:rPr>
      </w:pPr>
      <w:r>
        <w:rPr>
          <w:rFonts w:hint="eastAsia" w:hAnsi="宋体"/>
          <w:color w:val="000000"/>
        </w:rPr>
        <w:t>5.本项目在线开评标进行时，</w:t>
      </w:r>
      <w:r>
        <w:rPr>
          <w:rFonts w:hint="eastAsia" w:hAnsi="宋体" w:cs="宋体"/>
          <w:color w:val="000000"/>
        </w:rPr>
        <w:t>投标供应商</w:t>
      </w:r>
      <w:r>
        <w:rPr>
          <w:rFonts w:hint="eastAsia" w:hAnsi="宋体" w:cs="宋体"/>
          <w:color w:val="000000"/>
          <w:kern w:val="0"/>
        </w:rPr>
        <w:t>法定代表人或其授权代表需自行关注平台提示信息</w:t>
      </w:r>
      <w:r>
        <w:rPr>
          <w:rFonts w:hint="eastAsia" w:hAnsi="宋体"/>
          <w:color w:val="000000"/>
        </w:rPr>
        <w:t>，期间如有发出“询标/澄清函</w:t>
      </w:r>
      <w:r>
        <w:rPr>
          <w:rFonts w:hAnsi="宋体"/>
          <w:color w:val="000000"/>
        </w:rPr>
        <w:t>”</w:t>
      </w:r>
      <w:r>
        <w:rPr>
          <w:rFonts w:hint="eastAsia" w:hAnsi="宋体"/>
          <w:color w:val="000000"/>
        </w:rPr>
        <w:t>等相关线上函件时，因</w:t>
      </w:r>
      <w:r>
        <w:rPr>
          <w:rFonts w:hint="eastAsia" w:hAnsi="宋体" w:cs="宋体"/>
          <w:color w:val="000000"/>
        </w:rPr>
        <w:t>投标供应商</w:t>
      </w:r>
      <w:r>
        <w:rPr>
          <w:rFonts w:hint="eastAsia" w:hAnsi="宋体"/>
          <w:color w:val="000000"/>
        </w:rPr>
        <w:t>自身原因逾期/错过回复时间，由此造成的后果由</w:t>
      </w:r>
      <w:r>
        <w:rPr>
          <w:rFonts w:hint="eastAsia" w:hAnsi="宋体" w:cs="宋体"/>
          <w:color w:val="000000"/>
        </w:rPr>
        <w:t>投标供应商</w:t>
      </w:r>
      <w:r>
        <w:rPr>
          <w:rFonts w:hint="eastAsia" w:hAnsi="宋体"/>
          <w:color w:val="000000"/>
        </w:rPr>
        <w:t>自行承担。</w:t>
      </w:r>
    </w:p>
    <w:p>
      <w:pPr>
        <w:pStyle w:val="30"/>
        <w:numPr>
          <w:ilvl w:val="0"/>
          <w:numId w:val="0"/>
        </w:numPr>
        <w:tabs>
          <w:tab w:val="left" w:pos="1200"/>
        </w:tabs>
        <w:snapToGrid w:val="0"/>
        <w:spacing w:beforeLines="0" w:afterLines="0" w:line="240" w:lineRule="auto"/>
        <w:ind w:left="2" w:leftChars="1" w:firstLine="480" w:firstLineChars="200"/>
        <w:rPr>
          <w:rFonts w:hint="eastAsia" w:hAnsi="宋体"/>
          <w:color w:val="000000"/>
        </w:rPr>
      </w:pPr>
      <w:r>
        <w:rPr>
          <w:rFonts w:hint="eastAsia" w:hAnsi="宋体"/>
          <w:color w:val="000000"/>
        </w:rPr>
        <w:t>6.投标供应商</w:t>
      </w:r>
      <w:r>
        <w:rPr>
          <w:rFonts w:hAnsi="宋体"/>
          <w:color w:val="000000"/>
        </w:rPr>
        <w:t>在投标活动中提供任何虚假材料,其投标无效，并报监管部门查处；中标后发现的,</w:t>
      </w:r>
      <w:r>
        <w:rPr>
          <w:rFonts w:hint="eastAsia" w:hAnsi="宋体"/>
          <w:color w:val="000000"/>
        </w:rPr>
        <w:t>中标供应商</w:t>
      </w:r>
      <w:r>
        <w:rPr>
          <w:rFonts w:hAnsi="宋体"/>
          <w:color w:val="000000"/>
        </w:rPr>
        <w:t>须依照《中华人民共和国消费者权益保护法》第49条之规定双倍赔偿采购人</w:t>
      </w:r>
      <w:r>
        <w:rPr>
          <w:rFonts w:hint="eastAsia" w:hAnsi="宋体"/>
          <w:color w:val="000000"/>
        </w:rPr>
        <w:t>，</w:t>
      </w:r>
      <w:r>
        <w:rPr>
          <w:rFonts w:hAnsi="宋体"/>
          <w:color w:val="000000"/>
        </w:rPr>
        <w:t>且民事赔偿并不免除违法</w:t>
      </w:r>
      <w:r>
        <w:rPr>
          <w:rFonts w:hint="eastAsia" w:hAnsi="宋体"/>
          <w:color w:val="000000"/>
        </w:rPr>
        <w:t>投标供应商</w:t>
      </w:r>
      <w:r>
        <w:rPr>
          <w:rFonts w:hAnsi="宋体"/>
          <w:color w:val="000000"/>
        </w:rPr>
        <w:t>的行政与刑事责任。</w:t>
      </w:r>
    </w:p>
    <w:p>
      <w:pPr>
        <w:pStyle w:val="30"/>
        <w:numPr>
          <w:ilvl w:val="0"/>
          <w:numId w:val="0"/>
        </w:numPr>
        <w:tabs>
          <w:tab w:val="left" w:pos="1200"/>
        </w:tabs>
        <w:snapToGrid w:val="0"/>
        <w:spacing w:beforeLines="0" w:afterLines="0" w:line="240" w:lineRule="auto"/>
        <w:ind w:left="1209" w:leftChars="405" w:hanging="359" w:hangingChars="149"/>
        <w:rPr>
          <w:rFonts w:hint="eastAsia" w:hAnsi="宋体"/>
          <w:b/>
          <w:color w:val="000000"/>
        </w:rPr>
      </w:pPr>
    </w:p>
    <w:p>
      <w:pPr>
        <w:pStyle w:val="4"/>
        <w:rPr>
          <w:rFonts w:ascii="宋体" w:hAnsi="宋体"/>
          <w:color w:val="000000"/>
        </w:rPr>
      </w:pPr>
      <w:r>
        <w:rPr>
          <w:rFonts w:ascii="宋体" w:hAnsi="宋体"/>
          <w:color w:val="000000"/>
        </w:rPr>
        <w:t>（九）质疑和投诉</w:t>
      </w:r>
    </w:p>
    <w:p>
      <w:pPr>
        <w:pStyle w:val="30"/>
        <w:numPr>
          <w:ilvl w:val="0"/>
          <w:numId w:val="0"/>
        </w:numPr>
        <w:tabs>
          <w:tab w:val="left" w:pos="1200"/>
        </w:tabs>
        <w:snapToGrid w:val="0"/>
        <w:spacing w:before="0" w:beforeLines="0" w:after="0" w:afterLines="0" w:line="240" w:lineRule="auto"/>
        <w:ind w:firstLine="480" w:firstLineChars="200"/>
        <w:rPr>
          <w:rFonts w:hAnsi="宋体"/>
          <w:bCs/>
          <w:color w:val="000000"/>
        </w:rPr>
      </w:pPr>
      <w:r>
        <w:rPr>
          <w:rFonts w:hAnsi="宋体"/>
          <w:bCs/>
          <w:color w:val="000000"/>
        </w:rPr>
        <w:t>1</w:t>
      </w:r>
      <w:r>
        <w:rPr>
          <w:rFonts w:hint="eastAsia" w:hAnsi="宋体"/>
          <w:bCs/>
          <w:color w:val="000000"/>
        </w:rPr>
        <w:t>.投标供应商</w:t>
      </w:r>
      <w:r>
        <w:rPr>
          <w:rFonts w:hAnsi="宋体"/>
          <w:bCs/>
          <w:color w:val="000000"/>
        </w:rPr>
        <w:t>认为</w:t>
      </w:r>
      <w:r>
        <w:rPr>
          <w:rFonts w:hint="eastAsia" w:hAnsi="宋体"/>
          <w:bCs/>
          <w:color w:val="000000"/>
        </w:rPr>
        <w:t>采购文件</w:t>
      </w:r>
      <w:r>
        <w:rPr>
          <w:rFonts w:hAnsi="宋体"/>
          <w:bCs/>
          <w:color w:val="000000"/>
        </w:rPr>
        <w:t>、招标过程</w:t>
      </w:r>
      <w:r>
        <w:rPr>
          <w:rFonts w:hint="eastAsia" w:hAnsi="宋体"/>
          <w:bCs/>
          <w:color w:val="000000"/>
        </w:rPr>
        <w:t>或</w:t>
      </w:r>
      <w:r>
        <w:rPr>
          <w:rFonts w:hAnsi="宋体"/>
          <w:bCs/>
          <w:color w:val="000000"/>
        </w:rPr>
        <w:t>中标结果使自己的合法权益受到损害的，应当在知道或者应知其权益受到损害之日起七个工作日内，以书面形式</w:t>
      </w:r>
      <w:r>
        <w:rPr>
          <w:rFonts w:hint="eastAsia" w:hAnsi="宋体"/>
          <w:bCs/>
          <w:color w:val="000000"/>
        </w:rPr>
        <w:t>（纸质）</w:t>
      </w:r>
      <w:r>
        <w:rPr>
          <w:rFonts w:hAnsi="宋体"/>
          <w:bCs/>
          <w:color w:val="000000"/>
        </w:rPr>
        <w:t>向采购人、</w:t>
      </w:r>
      <w:r>
        <w:rPr>
          <w:rFonts w:hint="eastAsia" w:hAnsi="宋体"/>
          <w:bCs/>
          <w:color w:val="000000"/>
        </w:rPr>
        <w:t>集采</w:t>
      </w:r>
      <w:r>
        <w:rPr>
          <w:rFonts w:hAnsi="宋体"/>
          <w:bCs/>
          <w:color w:val="000000"/>
        </w:rPr>
        <w:t>机构提出质疑</w:t>
      </w:r>
      <w:r>
        <w:rPr>
          <w:rFonts w:hint="eastAsia" w:hAnsi="宋体"/>
          <w:bCs/>
          <w:color w:val="000000"/>
        </w:rPr>
        <w:t>，</w:t>
      </w:r>
      <w:r>
        <w:rPr>
          <w:rFonts w:hint="eastAsia" w:hAnsi="宋体" w:cs="宋体"/>
          <w:b/>
          <w:color w:val="000000"/>
        </w:rPr>
        <w:t>针对同一采购程序环节的质疑应一次性提出</w:t>
      </w:r>
      <w:r>
        <w:rPr>
          <w:rFonts w:hint="eastAsia" w:hAnsi="宋体" w:cs="宋体"/>
          <w:color w:val="000000"/>
        </w:rPr>
        <w:t>。</w:t>
      </w:r>
      <w:r>
        <w:rPr>
          <w:rFonts w:hint="eastAsia" w:hAnsi="宋体"/>
          <w:color w:val="000000"/>
        </w:rPr>
        <w:t>投标供应商</w:t>
      </w:r>
      <w:r>
        <w:rPr>
          <w:rFonts w:hAnsi="宋体"/>
          <w:color w:val="000000"/>
        </w:rPr>
        <w:t>对招标采购单位的质疑答复不满意或者招标采购单位未在规定时间内作出答复的，可以在答复期满后十五个工作日内向同级采购监管部门投诉。</w:t>
      </w:r>
    </w:p>
    <w:p>
      <w:pPr>
        <w:pStyle w:val="30"/>
        <w:numPr>
          <w:ilvl w:val="0"/>
          <w:numId w:val="0"/>
        </w:numPr>
        <w:tabs>
          <w:tab w:val="left" w:pos="1200"/>
        </w:tabs>
        <w:snapToGrid w:val="0"/>
        <w:spacing w:beforeLines="0" w:afterLines="0" w:line="240" w:lineRule="auto"/>
        <w:ind w:firstLine="480" w:firstLineChars="200"/>
        <w:rPr>
          <w:rFonts w:hint="eastAsia" w:hAnsi="宋体"/>
          <w:bCs/>
          <w:color w:val="000000"/>
        </w:rPr>
      </w:pPr>
      <w:r>
        <w:rPr>
          <w:rFonts w:hAnsi="宋体"/>
          <w:bCs/>
          <w:color w:val="000000"/>
        </w:rPr>
        <w:t>2</w:t>
      </w:r>
      <w:r>
        <w:rPr>
          <w:rFonts w:hint="eastAsia" w:hAnsi="宋体"/>
          <w:bCs/>
          <w:color w:val="000000"/>
        </w:rPr>
        <w:t>.</w:t>
      </w:r>
      <w:r>
        <w:rPr>
          <w:rFonts w:hAnsi="宋体"/>
          <w:bCs/>
          <w:color w:val="000000"/>
        </w:rPr>
        <w:t>质疑、投诉应当采用书面形式，质疑书、投诉书均应明确阐述</w:t>
      </w:r>
      <w:r>
        <w:rPr>
          <w:rFonts w:hint="eastAsia" w:hAnsi="宋体"/>
          <w:bCs/>
          <w:color w:val="000000"/>
        </w:rPr>
        <w:t>采购文件</w:t>
      </w:r>
      <w:r>
        <w:rPr>
          <w:rFonts w:hAnsi="宋体"/>
          <w:bCs/>
          <w:color w:val="000000"/>
        </w:rPr>
        <w:t>、招标过程</w:t>
      </w:r>
      <w:r>
        <w:rPr>
          <w:rFonts w:hint="eastAsia" w:hAnsi="宋体"/>
          <w:bCs/>
          <w:color w:val="000000"/>
        </w:rPr>
        <w:t>或</w:t>
      </w:r>
      <w:r>
        <w:rPr>
          <w:rFonts w:hAnsi="宋体"/>
          <w:bCs/>
          <w:color w:val="000000"/>
        </w:rPr>
        <w:t>中标结果中使自己合法权益受到损害的实质性内容，提供相关事实、依据和证据及其来源或线索，便于有关单位调查、答复和处理</w:t>
      </w:r>
      <w:r>
        <w:rPr>
          <w:rFonts w:hint="eastAsia" w:hAnsi="宋体"/>
          <w:bCs/>
          <w:color w:val="000000"/>
        </w:rPr>
        <w:t>。</w:t>
      </w:r>
    </w:p>
    <w:p>
      <w:pPr>
        <w:adjustRightInd w:val="0"/>
        <w:snapToGrid w:val="0"/>
        <w:spacing w:before="120" w:beforeLines="50" w:after="120" w:afterLines="50"/>
        <w:ind w:left="238"/>
        <w:jc w:val="left"/>
        <w:outlineLvl w:val="1"/>
        <w:rPr>
          <w:rFonts w:hint="eastAsia" w:ascii="宋体" w:hAnsi="宋体"/>
          <w:b/>
          <w:color w:val="000000"/>
          <w:sz w:val="32"/>
          <w:szCs w:val="28"/>
        </w:rPr>
      </w:pPr>
      <w:r>
        <w:rPr>
          <w:rFonts w:ascii="宋体" w:hAnsi="宋体"/>
          <w:b/>
          <w:color w:val="000000"/>
          <w:sz w:val="32"/>
          <w:szCs w:val="28"/>
        </w:rPr>
        <w:t xml:space="preserve">二  </w:t>
      </w:r>
      <w:r>
        <w:rPr>
          <w:rFonts w:hint="eastAsia" w:ascii="宋体" w:hAnsi="宋体"/>
          <w:b/>
          <w:color w:val="000000"/>
          <w:sz w:val="32"/>
          <w:szCs w:val="28"/>
        </w:rPr>
        <w:t>采购文件</w:t>
      </w:r>
    </w:p>
    <w:p>
      <w:pPr>
        <w:pStyle w:val="4"/>
        <w:rPr>
          <w:rFonts w:ascii="宋体" w:hAnsi="宋体"/>
          <w:color w:val="000000"/>
        </w:rPr>
      </w:pPr>
      <w:r>
        <w:rPr>
          <w:rFonts w:hint="eastAsia" w:ascii="宋体" w:hAnsi="宋体"/>
          <w:color w:val="000000"/>
        </w:rPr>
        <w:t>（一）采购文件的构成。本采购文件由以下部份组成：</w:t>
      </w:r>
    </w:p>
    <w:p>
      <w:pPr>
        <w:snapToGrid w:val="0"/>
        <w:ind w:firstLine="480" w:firstLineChars="200"/>
        <w:jc w:val="left"/>
        <w:rPr>
          <w:rFonts w:ascii="宋体" w:hAnsi="宋体"/>
          <w:color w:val="000000"/>
          <w:sz w:val="24"/>
          <w:szCs w:val="20"/>
        </w:rPr>
      </w:pPr>
      <w:r>
        <w:rPr>
          <w:rFonts w:ascii="宋体" w:hAnsi="宋体"/>
          <w:color w:val="000000"/>
          <w:sz w:val="24"/>
        </w:rPr>
        <w:t>1</w:t>
      </w:r>
      <w:r>
        <w:rPr>
          <w:rFonts w:hint="eastAsia" w:ascii="宋体" w:hAnsi="宋体"/>
          <w:color w:val="000000"/>
          <w:sz w:val="24"/>
        </w:rPr>
        <w:t>.</w:t>
      </w:r>
      <w:r>
        <w:rPr>
          <w:rFonts w:ascii="宋体" w:hAnsi="宋体"/>
          <w:color w:val="000000"/>
          <w:sz w:val="24"/>
        </w:rPr>
        <w:t>招标公告</w:t>
      </w:r>
    </w:p>
    <w:p>
      <w:pPr>
        <w:snapToGrid w:val="0"/>
        <w:ind w:firstLine="480" w:firstLineChars="200"/>
        <w:jc w:val="left"/>
        <w:rPr>
          <w:rFonts w:hint="eastAsia" w:ascii="宋体" w:hAnsi="宋体"/>
          <w:color w:val="000000"/>
          <w:sz w:val="24"/>
          <w:szCs w:val="20"/>
        </w:rPr>
      </w:pPr>
      <w:r>
        <w:rPr>
          <w:rFonts w:ascii="宋体" w:hAnsi="宋体"/>
          <w:color w:val="000000"/>
          <w:sz w:val="24"/>
        </w:rPr>
        <w:t>2</w:t>
      </w:r>
      <w:r>
        <w:rPr>
          <w:rFonts w:hint="eastAsia" w:ascii="宋体" w:hAnsi="宋体"/>
          <w:color w:val="000000"/>
          <w:sz w:val="24"/>
        </w:rPr>
        <w:t>.采购需求</w:t>
      </w:r>
    </w:p>
    <w:p>
      <w:pPr>
        <w:snapToGrid w:val="0"/>
        <w:ind w:firstLine="480" w:firstLineChars="200"/>
        <w:jc w:val="left"/>
        <w:rPr>
          <w:rFonts w:ascii="宋体" w:hAnsi="宋体"/>
          <w:color w:val="000000"/>
          <w:sz w:val="24"/>
          <w:szCs w:val="20"/>
        </w:rPr>
      </w:pPr>
      <w:r>
        <w:rPr>
          <w:rFonts w:ascii="宋体" w:hAnsi="宋体"/>
          <w:color w:val="000000"/>
          <w:sz w:val="24"/>
        </w:rPr>
        <w:t>3</w:t>
      </w:r>
      <w:r>
        <w:rPr>
          <w:rFonts w:hint="eastAsia" w:ascii="宋体" w:hAnsi="宋体"/>
          <w:color w:val="000000"/>
          <w:sz w:val="24"/>
        </w:rPr>
        <w:t>.投标供应商</w:t>
      </w:r>
      <w:r>
        <w:rPr>
          <w:rFonts w:ascii="宋体" w:hAnsi="宋体"/>
          <w:color w:val="000000"/>
          <w:sz w:val="24"/>
        </w:rPr>
        <w:t>须知</w:t>
      </w:r>
    </w:p>
    <w:p>
      <w:pPr>
        <w:snapToGrid w:val="0"/>
        <w:ind w:firstLine="480" w:firstLineChars="200"/>
        <w:jc w:val="left"/>
        <w:rPr>
          <w:rFonts w:ascii="宋体" w:hAnsi="宋体"/>
          <w:color w:val="000000"/>
          <w:sz w:val="24"/>
          <w:szCs w:val="20"/>
        </w:rPr>
      </w:pPr>
      <w:r>
        <w:rPr>
          <w:rFonts w:ascii="宋体" w:hAnsi="宋体"/>
          <w:color w:val="000000"/>
          <w:sz w:val="24"/>
        </w:rPr>
        <w:t>4</w:t>
      </w:r>
      <w:r>
        <w:rPr>
          <w:rFonts w:hint="eastAsia" w:ascii="宋体" w:hAnsi="宋体"/>
          <w:color w:val="000000"/>
          <w:sz w:val="24"/>
        </w:rPr>
        <w:t>.</w:t>
      </w:r>
      <w:r>
        <w:rPr>
          <w:rFonts w:ascii="宋体" w:hAnsi="宋体"/>
          <w:color w:val="000000"/>
          <w:sz w:val="24"/>
        </w:rPr>
        <w:t>评标办法及标准</w:t>
      </w:r>
    </w:p>
    <w:p>
      <w:pPr>
        <w:snapToGrid w:val="0"/>
        <w:ind w:firstLine="480" w:firstLineChars="200"/>
        <w:jc w:val="left"/>
        <w:rPr>
          <w:rFonts w:ascii="宋体" w:hAnsi="宋体"/>
          <w:color w:val="000000"/>
          <w:sz w:val="24"/>
          <w:szCs w:val="20"/>
        </w:rPr>
      </w:pPr>
      <w:r>
        <w:rPr>
          <w:rFonts w:ascii="宋体" w:hAnsi="宋体"/>
          <w:color w:val="000000"/>
          <w:sz w:val="24"/>
        </w:rPr>
        <w:t>5</w:t>
      </w:r>
      <w:r>
        <w:rPr>
          <w:rFonts w:hint="eastAsia" w:ascii="宋体" w:hAnsi="宋体"/>
          <w:color w:val="000000"/>
          <w:sz w:val="24"/>
        </w:rPr>
        <w:t>.</w:t>
      </w:r>
      <w:r>
        <w:rPr>
          <w:rFonts w:ascii="宋体" w:hAnsi="宋体"/>
          <w:color w:val="000000"/>
          <w:sz w:val="24"/>
        </w:rPr>
        <w:t>合同主要条款</w:t>
      </w:r>
    </w:p>
    <w:p>
      <w:pPr>
        <w:snapToGrid w:val="0"/>
        <w:ind w:firstLine="480" w:firstLineChars="200"/>
        <w:jc w:val="left"/>
        <w:rPr>
          <w:rFonts w:hint="eastAsia"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投标文件格式</w:t>
      </w:r>
    </w:p>
    <w:p>
      <w:pPr>
        <w:snapToGrid w:val="0"/>
        <w:ind w:firstLine="480" w:firstLineChars="200"/>
        <w:jc w:val="left"/>
        <w:rPr>
          <w:rFonts w:hint="eastAsia" w:ascii="宋体" w:hAnsi="宋体"/>
          <w:color w:val="000000"/>
          <w:sz w:val="24"/>
          <w:szCs w:val="20"/>
        </w:rPr>
      </w:pPr>
      <w:r>
        <w:rPr>
          <w:rFonts w:hint="eastAsia" w:ascii="宋体" w:hAnsi="宋体"/>
          <w:color w:val="000000"/>
          <w:sz w:val="24"/>
        </w:rPr>
        <w:t>7.本项目采购文件的</w:t>
      </w:r>
      <w:r>
        <w:rPr>
          <w:rFonts w:ascii="宋体" w:hAnsi="宋体"/>
          <w:color w:val="000000"/>
          <w:sz w:val="24"/>
        </w:rPr>
        <w:t>澄清、答复、修改、补充的内容</w:t>
      </w:r>
    </w:p>
    <w:p>
      <w:pPr>
        <w:pStyle w:val="4"/>
        <w:rPr>
          <w:rFonts w:ascii="宋体" w:hAnsi="宋体"/>
          <w:color w:val="000000"/>
        </w:rPr>
      </w:pPr>
      <w:r>
        <w:rPr>
          <w:rFonts w:hint="eastAsia" w:ascii="宋体" w:hAnsi="宋体"/>
          <w:color w:val="000000"/>
        </w:rPr>
        <w:t>（二）投标供应商的风险</w:t>
      </w:r>
    </w:p>
    <w:p>
      <w:pPr>
        <w:pStyle w:val="44"/>
        <w:rPr>
          <w:rFonts w:ascii="宋体" w:eastAsia="宋体"/>
          <w:szCs w:val="20"/>
        </w:rPr>
      </w:pPr>
      <w:r>
        <w:rPr>
          <w:rFonts w:hint="eastAsia" w:ascii="宋体" w:eastAsia="宋体"/>
        </w:rPr>
        <w:t>投标供应商没有按照采购文件要求提供全部资料，或者投标供应商没有对采购文件在各方面作出实质性响应是投标供应商的风险，并可能导致其投标被拒绝。</w:t>
      </w:r>
    </w:p>
    <w:p>
      <w:pPr>
        <w:pStyle w:val="4"/>
        <w:rPr>
          <w:rFonts w:ascii="宋体" w:hAnsi="宋体"/>
          <w:color w:val="000000"/>
        </w:rPr>
      </w:pPr>
      <w:r>
        <w:rPr>
          <w:rFonts w:hint="eastAsia" w:ascii="宋体" w:hAnsi="宋体"/>
          <w:color w:val="000000"/>
        </w:rPr>
        <w:t>（三）采购文件的澄清与修改</w:t>
      </w:r>
      <w:r>
        <w:rPr>
          <w:rFonts w:ascii="宋体" w:hAnsi="宋体"/>
          <w:color w:val="000000"/>
        </w:rPr>
        <w:t xml:space="preserve"> </w:t>
      </w:r>
    </w:p>
    <w:p>
      <w:pPr>
        <w:pStyle w:val="30"/>
        <w:numPr>
          <w:ilvl w:val="0"/>
          <w:numId w:val="0"/>
        </w:numPr>
        <w:tabs>
          <w:tab w:val="left" w:pos="1200"/>
        </w:tabs>
        <w:snapToGrid w:val="0"/>
        <w:spacing w:before="0" w:beforeLines="0" w:after="0" w:afterLines="0" w:line="240" w:lineRule="auto"/>
        <w:ind w:firstLine="480" w:firstLineChars="200"/>
        <w:rPr>
          <w:rFonts w:hAnsi="宋体"/>
          <w:color w:val="000000"/>
        </w:rPr>
      </w:pPr>
      <w:r>
        <w:rPr>
          <w:rFonts w:hAnsi="宋体"/>
          <w:color w:val="000000"/>
        </w:rPr>
        <w:t>1</w:t>
      </w:r>
      <w:r>
        <w:rPr>
          <w:rFonts w:hint="eastAsia" w:hAnsi="宋体"/>
          <w:color w:val="000000"/>
        </w:rPr>
        <w:t>.</w:t>
      </w:r>
      <w:r>
        <w:rPr>
          <w:rFonts w:hAnsi="宋体"/>
          <w:bCs/>
          <w:color w:val="000000"/>
        </w:rPr>
        <w:t xml:space="preserve"> </w:t>
      </w:r>
      <w:r>
        <w:rPr>
          <w:rFonts w:hint="eastAsia" w:hAnsi="宋体"/>
          <w:bCs/>
          <w:color w:val="000000"/>
        </w:rPr>
        <w:t>投标供应商</w:t>
      </w:r>
      <w:r>
        <w:rPr>
          <w:rFonts w:hAnsi="宋体"/>
          <w:bCs/>
          <w:color w:val="000000"/>
        </w:rPr>
        <w:t>应认真仔细阅读本</w:t>
      </w:r>
      <w:r>
        <w:rPr>
          <w:rFonts w:hint="eastAsia" w:hAnsi="宋体"/>
          <w:bCs/>
          <w:color w:val="000000"/>
        </w:rPr>
        <w:t>采购文件</w:t>
      </w:r>
      <w:r>
        <w:rPr>
          <w:rFonts w:hAnsi="宋体"/>
          <w:bCs/>
          <w:color w:val="000000"/>
        </w:rPr>
        <w:t>，发现其中有误或有不合理要求的，</w:t>
      </w:r>
      <w:r>
        <w:rPr>
          <w:rFonts w:hint="eastAsia" w:hAnsi="宋体"/>
          <w:bCs/>
          <w:color w:val="000000"/>
        </w:rPr>
        <w:t>投标供应商</w:t>
      </w:r>
      <w:r>
        <w:rPr>
          <w:rFonts w:hAnsi="宋体"/>
          <w:bCs/>
          <w:color w:val="000000"/>
        </w:rPr>
        <w:t>必须在</w:t>
      </w:r>
      <w:r>
        <w:rPr>
          <w:rFonts w:hint="eastAsia" w:hAnsi="宋体"/>
          <w:color w:val="000000"/>
          <w:u w:val="single"/>
        </w:rPr>
        <w:t>采购文件</w:t>
      </w:r>
      <w:r>
        <w:rPr>
          <w:rFonts w:hAnsi="宋体"/>
          <w:color w:val="000000"/>
          <w:u w:val="single"/>
        </w:rPr>
        <w:t>提供期限截止期前（自本公告发布之日起至第6个工作日24时）</w:t>
      </w:r>
      <w:r>
        <w:rPr>
          <w:rFonts w:hAnsi="宋体"/>
          <w:bCs/>
          <w:color w:val="000000"/>
        </w:rPr>
        <w:t>以书面形式要求采购人、</w:t>
      </w:r>
      <w:r>
        <w:rPr>
          <w:rFonts w:hint="eastAsia" w:hAnsi="宋体"/>
          <w:bCs/>
          <w:color w:val="000000"/>
        </w:rPr>
        <w:t>集采</w:t>
      </w:r>
      <w:r>
        <w:rPr>
          <w:rFonts w:hAnsi="宋体"/>
          <w:bCs/>
          <w:color w:val="000000"/>
        </w:rPr>
        <w:t>机构澄清</w:t>
      </w:r>
      <w:r>
        <w:rPr>
          <w:rFonts w:hAnsi="宋体"/>
          <w:color w:val="000000"/>
        </w:rPr>
        <w:t>。</w:t>
      </w:r>
      <w:r>
        <w:rPr>
          <w:rFonts w:hint="eastAsia" w:hAnsi="宋体"/>
          <w:color w:val="000000"/>
        </w:rPr>
        <w:t>集采</w:t>
      </w:r>
      <w:r>
        <w:rPr>
          <w:rFonts w:hAnsi="宋体"/>
          <w:color w:val="000000"/>
        </w:rPr>
        <w:t>机构对已发出的</w:t>
      </w:r>
      <w:r>
        <w:rPr>
          <w:rFonts w:hint="eastAsia" w:hAnsi="宋体"/>
          <w:color w:val="000000"/>
        </w:rPr>
        <w:t>采购文件</w:t>
      </w:r>
      <w:r>
        <w:rPr>
          <w:rFonts w:hAnsi="宋体"/>
          <w:color w:val="000000"/>
        </w:rPr>
        <w:t>进行必要澄清、答复、修改或补充的，应当在</w:t>
      </w:r>
      <w:r>
        <w:rPr>
          <w:rFonts w:hint="eastAsia" w:hAnsi="宋体"/>
          <w:color w:val="000000"/>
        </w:rPr>
        <w:t>采购文件</w:t>
      </w:r>
      <w:r>
        <w:rPr>
          <w:rFonts w:hAnsi="宋体"/>
          <w:color w:val="000000"/>
        </w:rPr>
        <w:t>要求提交投标文件截止时间五日前，在财政部门指定的政府采购信息发布媒体上发布更正公告，并以书面形式通知所有</w:t>
      </w:r>
      <w:r>
        <w:rPr>
          <w:rFonts w:hint="eastAsia" w:hAnsi="宋体"/>
          <w:color w:val="000000"/>
        </w:rPr>
        <w:t>采购文件</w:t>
      </w:r>
      <w:r>
        <w:rPr>
          <w:rFonts w:hAnsi="宋体"/>
          <w:color w:val="000000"/>
        </w:rPr>
        <w:t>收受人</w:t>
      </w:r>
      <w:r>
        <w:rPr>
          <w:rFonts w:hint="eastAsia" w:hAnsi="宋体"/>
          <w:color w:val="000000"/>
        </w:rPr>
        <w:t>（政采云系统会</w:t>
      </w:r>
      <w:r>
        <w:rPr>
          <w:rFonts w:hAnsi="宋体"/>
          <w:color w:val="000000"/>
        </w:rPr>
        <w:t>向所有</w:t>
      </w:r>
      <w:r>
        <w:rPr>
          <w:rFonts w:hint="eastAsia" w:hAnsi="宋体"/>
          <w:color w:val="000000"/>
        </w:rPr>
        <w:t>已按采购文件规定方式获取采购文件的潜在</w:t>
      </w:r>
      <w:r>
        <w:rPr>
          <w:rFonts w:hint="eastAsia" w:hAnsi="宋体" w:cs="宋体"/>
          <w:color w:val="000000"/>
        </w:rPr>
        <w:t>投标供应商</w:t>
      </w:r>
      <w:r>
        <w:rPr>
          <w:rFonts w:hAnsi="宋体"/>
          <w:color w:val="000000"/>
        </w:rPr>
        <w:t>发送</w:t>
      </w:r>
      <w:r>
        <w:rPr>
          <w:rFonts w:hint="eastAsia" w:hAnsi="宋体"/>
          <w:color w:val="000000"/>
        </w:rPr>
        <w:t>澄清（更正）提醒信息，潜在</w:t>
      </w:r>
      <w:r>
        <w:rPr>
          <w:rFonts w:hint="eastAsia" w:hAnsi="宋体" w:cs="宋体"/>
          <w:color w:val="000000"/>
        </w:rPr>
        <w:t>投标供应商</w:t>
      </w:r>
      <w:r>
        <w:rPr>
          <w:rFonts w:hint="eastAsia" w:hAnsi="宋体"/>
          <w:color w:val="000000"/>
        </w:rPr>
        <w:t>请自行到浙江政府采购网上下载</w:t>
      </w:r>
      <w:r>
        <w:rPr>
          <w:rFonts w:hAnsi="宋体"/>
          <w:color w:val="000000"/>
        </w:rPr>
        <w:t>澄清</w:t>
      </w:r>
      <w:r>
        <w:rPr>
          <w:rFonts w:hint="eastAsia" w:hAnsi="宋体"/>
          <w:color w:val="000000"/>
        </w:rPr>
        <w:t>（更正）</w:t>
      </w:r>
      <w:r>
        <w:rPr>
          <w:rFonts w:hAnsi="宋体"/>
          <w:color w:val="000000"/>
        </w:rPr>
        <w:t>文件</w:t>
      </w:r>
      <w:r>
        <w:rPr>
          <w:rFonts w:hint="eastAsia" w:hAnsi="宋体"/>
          <w:color w:val="000000"/>
        </w:rPr>
        <w:t>，潜在</w:t>
      </w:r>
      <w:r>
        <w:rPr>
          <w:rFonts w:hint="eastAsia" w:hAnsi="宋体" w:cs="宋体"/>
          <w:color w:val="000000"/>
        </w:rPr>
        <w:t>投标供应商</w:t>
      </w:r>
      <w:r>
        <w:rPr>
          <w:rFonts w:hAnsi="宋体"/>
          <w:color w:val="000000"/>
        </w:rPr>
        <w:t>在收到该澄清</w:t>
      </w:r>
      <w:r>
        <w:rPr>
          <w:rFonts w:hint="eastAsia" w:hAnsi="宋体"/>
          <w:color w:val="000000"/>
        </w:rPr>
        <w:t>（更正）</w:t>
      </w:r>
      <w:r>
        <w:rPr>
          <w:rFonts w:hAnsi="宋体"/>
          <w:color w:val="000000"/>
        </w:rPr>
        <w:t>文件后应于1日内，以书面或传真形式（签署意见并加盖公章）向</w:t>
      </w:r>
      <w:r>
        <w:rPr>
          <w:rFonts w:hint="eastAsia" w:hAnsi="宋体"/>
          <w:color w:val="000000"/>
        </w:rPr>
        <w:t>集采</w:t>
      </w:r>
      <w:r>
        <w:rPr>
          <w:rFonts w:hAnsi="宋体"/>
          <w:color w:val="000000"/>
        </w:rPr>
        <w:t>机构回函给予确认。过期未回复的，视为默认接受</w:t>
      </w:r>
      <w:r>
        <w:rPr>
          <w:rFonts w:hint="eastAsia" w:hAnsi="宋体"/>
          <w:color w:val="000000"/>
        </w:rPr>
        <w:t>）</w:t>
      </w:r>
      <w:r>
        <w:rPr>
          <w:rFonts w:hAnsi="宋体"/>
          <w:color w:val="000000"/>
        </w:rPr>
        <w:t>。</w:t>
      </w:r>
    </w:p>
    <w:p>
      <w:pPr>
        <w:pStyle w:val="30"/>
        <w:numPr>
          <w:ilvl w:val="0"/>
          <w:numId w:val="0"/>
        </w:numPr>
        <w:tabs>
          <w:tab w:val="left" w:pos="1200"/>
        </w:tabs>
        <w:snapToGrid w:val="0"/>
        <w:spacing w:before="0" w:beforeLines="0" w:after="0" w:afterLines="0" w:line="240" w:lineRule="auto"/>
        <w:ind w:firstLine="480" w:firstLineChars="200"/>
        <w:rPr>
          <w:rFonts w:hAnsi="宋体"/>
          <w:color w:val="000000"/>
        </w:rPr>
      </w:pPr>
      <w:r>
        <w:rPr>
          <w:rFonts w:hAnsi="宋体"/>
          <w:color w:val="000000"/>
        </w:rPr>
        <w:t>2</w:t>
      </w:r>
      <w:r>
        <w:rPr>
          <w:rFonts w:hint="eastAsia" w:hAnsi="宋体"/>
          <w:color w:val="000000"/>
        </w:rPr>
        <w:t>.集采</w:t>
      </w:r>
      <w:r>
        <w:rPr>
          <w:rFonts w:hAnsi="宋体"/>
          <w:color w:val="000000"/>
        </w:rPr>
        <w:t>机构必须以书面形式答复</w:t>
      </w:r>
      <w:r>
        <w:rPr>
          <w:rFonts w:hint="eastAsia" w:hAnsi="宋体"/>
          <w:color w:val="000000"/>
        </w:rPr>
        <w:t>投标供应商</w:t>
      </w:r>
      <w:r>
        <w:rPr>
          <w:rFonts w:hAnsi="宋体"/>
          <w:color w:val="000000"/>
        </w:rPr>
        <w:t>要求澄清的问题，并将不包含问题来源的答复书面通知所有购买</w:t>
      </w:r>
      <w:r>
        <w:rPr>
          <w:rFonts w:hint="eastAsia" w:hAnsi="宋体"/>
          <w:color w:val="000000"/>
        </w:rPr>
        <w:t>采购文件</w:t>
      </w:r>
      <w:r>
        <w:rPr>
          <w:rFonts w:hAnsi="宋体"/>
          <w:color w:val="000000"/>
        </w:rPr>
        <w:t>的</w:t>
      </w:r>
      <w:r>
        <w:rPr>
          <w:rFonts w:hint="eastAsia" w:hAnsi="宋体"/>
          <w:color w:val="000000"/>
        </w:rPr>
        <w:t>投标供应商</w:t>
      </w:r>
      <w:r>
        <w:rPr>
          <w:rFonts w:hAnsi="宋体"/>
          <w:color w:val="000000"/>
        </w:rPr>
        <w:t>；除书面答复以外的其他澄清方式及澄清内容均无效。</w:t>
      </w:r>
    </w:p>
    <w:p>
      <w:pPr>
        <w:pStyle w:val="30"/>
        <w:numPr>
          <w:ilvl w:val="0"/>
          <w:numId w:val="0"/>
        </w:numPr>
        <w:tabs>
          <w:tab w:val="left" w:pos="1200"/>
        </w:tabs>
        <w:snapToGrid w:val="0"/>
        <w:spacing w:before="0" w:beforeLines="0" w:after="0" w:afterLines="0" w:line="240" w:lineRule="auto"/>
        <w:ind w:firstLine="480" w:firstLineChars="200"/>
        <w:rPr>
          <w:rFonts w:hAnsi="宋体"/>
          <w:color w:val="000000"/>
        </w:rPr>
      </w:pPr>
      <w:r>
        <w:rPr>
          <w:rFonts w:hint="eastAsia" w:hAnsi="宋体"/>
          <w:color w:val="000000"/>
        </w:rPr>
        <w:t>3.采购文件</w:t>
      </w:r>
      <w:r>
        <w:rPr>
          <w:rFonts w:hAnsi="宋体"/>
          <w:color w:val="000000"/>
        </w:rPr>
        <w:t>澄清、答复、修改、补充的内容为</w:t>
      </w:r>
      <w:r>
        <w:rPr>
          <w:rFonts w:hint="eastAsia" w:hAnsi="宋体"/>
          <w:color w:val="000000"/>
        </w:rPr>
        <w:t>采购文件</w:t>
      </w:r>
      <w:r>
        <w:rPr>
          <w:rFonts w:hAnsi="宋体"/>
          <w:color w:val="000000"/>
        </w:rPr>
        <w:t>的组成部分。当</w:t>
      </w:r>
      <w:r>
        <w:rPr>
          <w:rFonts w:hint="eastAsia" w:hAnsi="宋体"/>
          <w:color w:val="000000"/>
        </w:rPr>
        <w:t>采购文件</w:t>
      </w:r>
      <w:r>
        <w:rPr>
          <w:rFonts w:hAnsi="宋体"/>
          <w:color w:val="000000"/>
        </w:rPr>
        <w:t>与</w:t>
      </w:r>
      <w:r>
        <w:rPr>
          <w:rFonts w:hint="eastAsia" w:hAnsi="宋体"/>
          <w:color w:val="000000"/>
        </w:rPr>
        <w:t>采购文件</w:t>
      </w:r>
      <w:r>
        <w:rPr>
          <w:rFonts w:hAnsi="宋体"/>
          <w:color w:val="000000"/>
        </w:rPr>
        <w:t>的答复、澄清、修改、补充通知就同一内容的表述不一致时，以最后发出的书面文件为准。</w:t>
      </w:r>
    </w:p>
    <w:p>
      <w:pPr>
        <w:pStyle w:val="30"/>
        <w:numPr>
          <w:ilvl w:val="0"/>
          <w:numId w:val="0"/>
        </w:numPr>
        <w:tabs>
          <w:tab w:val="left" w:pos="1200"/>
        </w:tabs>
        <w:snapToGrid w:val="0"/>
        <w:spacing w:before="0" w:beforeLines="0" w:after="0" w:afterLines="0" w:line="240" w:lineRule="auto"/>
        <w:ind w:firstLine="480" w:firstLineChars="200"/>
        <w:rPr>
          <w:rFonts w:hAnsi="宋体"/>
          <w:color w:val="000000"/>
        </w:rPr>
      </w:pPr>
      <w:r>
        <w:rPr>
          <w:rFonts w:hint="eastAsia" w:hAnsi="宋体"/>
          <w:color w:val="000000"/>
        </w:rPr>
        <w:t>4.采购文件</w:t>
      </w:r>
      <w:r>
        <w:rPr>
          <w:rFonts w:hAnsi="宋体"/>
          <w:color w:val="000000"/>
        </w:rPr>
        <w:t>的澄清、答复、修改或补充都应该通过本</w:t>
      </w:r>
      <w:r>
        <w:rPr>
          <w:rFonts w:hint="eastAsia" w:hAnsi="宋体"/>
          <w:color w:val="000000"/>
        </w:rPr>
        <w:t>集采</w:t>
      </w:r>
      <w:r>
        <w:rPr>
          <w:rFonts w:hAnsi="宋体"/>
          <w:color w:val="000000"/>
        </w:rPr>
        <w:t>机构以法定形式发布，采购人非通过本机构，不得擅自澄清、答复、修改或补充</w:t>
      </w:r>
      <w:r>
        <w:rPr>
          <w:rFonts w:hint="eastAsia" w:hAnsi="宋体"/>
          <w:color w:val="000000"/>
        </w:rPr>
        <w:t>采购文件</w:t>
      </w:r>
      <w:r>
        <w:rPr>
          <w:rFonts w:hAnsi="宋体"/>
          <w:color w:val="000000"/>
        </w:rPr>
        <w:t>。</w:t>
      </w:r>
    </w:p>
    <w:p>
      <w:pPr>
        <w:adjustRightInd w:val="0"/>
        <w:snapToGrid w:val="0"/>
        <w:spacing w:before="120" w:beforeLines="50" w:after="120" w:afterLines="50"/>
        <w:ind w:left="238"/>
        <w:jc w:val="left"/>
        <w:outlineLvl w:val="1"/>
        <w:rPr>
          <w:rFonts w:hint="eastAsia" w:ascii="宋体" w:hAnsi="宋体"/>
          <w:b/>
          <w:color w:val="000000"/>
          <w:sz w:val="32"/>
          <w:szCs w:val="28"/>
        </w:rPr>
      </w:pPr>
      <w:r>
        <w:rPr>
          <w:rFonts w:ascii="宋体" w:hAnsi="宋体"/>
          <w:b/>
          <w:color w:val="000000"/>
          <w:sz w:val="32"/>
          <w:szCs w:val="28"/>
        </w:rPr>
        <w:t>三、投标文件的编制</w:t>
      </w:r>
    </w:p>
    <w:p>
      <w:pPr>
        <w:ind w:firstLine="482" w:firstLineChars="200"/>
        <w:rPr>
          <w:rFonts w:hint="eastAsia" w:ascii="宋体" w:hAnsi="宋体"/>
          <w:b/>
          <w:color w:val="000000"/>
          <w:sz w:val="36"/>
          <w:szCs w:val="28"/>
        </w:rPr>
      </w:pPr>
      <w:r>
        <w:rPr>
          <w:rFonts w:hint="eastAsia" w:ascii="宋体" w:hAnsi="宋体"/>
          <w:b/>
          <w:color w:val="000000"/>
          <w:sz w:val="24"/>
        </w:rPr>
        <w:t>技术商务文件当中不得出现本次投标的报价信息，否则作为无效投标处理。</w:t>
      </w:r>
    </w:p>
    <w:p>
      <w:pPr>
        <w:pStyle w:val="4"/>
        <w:rPr>
          <w:rFonts w:ascii="宋体" w:hAnsi="宋体"/>
          <w:color w:val="000000"/>
        </w:rPr>
      </w:pPr>
      <w:r>
        <w:rPr>
          <w:rFonts w:hint="eastAsia" w:ascii="宋体" w:hAnsi="宋体"/>
          <w:color w:val="000000"/>
        </w:rPr>
        <w:t>（一）投标文件的组成</w:t>
      </w:r>
    </w:p>
    <w:p>
      <w:pPr>
        <w:snapToGrid w:val="0"/>
        <w:ind w:firstLine="480" w:firstLineChars="200"/>
        <w:jc w:val="left"/>
        <w:rPr>
          <w:rFonts w:ascii="宋体" w:hAnsi="宋体"/>
          <w:color w:val="000000"/>
          <w:sz w:val="24"/>
          <w:szCs w:val="20"/>
        </w:rPr>
      </w:pPr>
      <w:r>
        <w:rPr>
          <w:rFonts w:hint="eastAsia" w:ascii="宋体" w:hAnsi="宋体"/>
          <w:color w:val="000000"/>
          <w:sz w:val="24"/>
        </w:rPr>
        <w:t>投标文件由资格响应文件、技术商务文件和报价文件等三部份组成。</w:t>
      </w:r>
    </w:p>
    <w:p>
      <w:pPr>
        <w:snapToGrid w:val="0"/>
        <w:spacing w:before="120" w:beforeLines="50"/>
        <w:ind w:firstLine="472" w:firstLineChars="196"/>
        <w:jc w:val="left"/>
        <w:rPr>
          <w:rFonts w:hint="eastAsia" w:ascii="宋体" w:hAnsi="宋体"/>
          <w:b/>
          <w:color w:val="000000"/>
          <w:sz w:val="24"/>
        </w:rPr>
      </w:pPr>
      <w:r>
        <w:rPr>
          <w:rFonts w:hint="eastAsia" w:ascii="宋体" w:hAnsi="宋体"/>
          <w:b/>
          <w:color w:val="000000"/>
          <w:sz w:val="24"/>
        </w:rPr>
        <w:t>1.资格响应文件：（扫描件须加盖投标单位公章，对存在有效期的文件应在有效期内，过期的文件无效）</w:t>
      </w:r>
    </w:p>
    <w:p>
      <w:pPr>
        <w:snapToGrid w:val="0"/>
        <w:spacing w:before="120" w:beforeLines="50"/>
        <w:ind w:firstLine="470" w:firstLineChars="196"/>
        <w:jc w:val="left"/>
        <w:rPr>
          <w:rFonts w:hint="eastAsia" w:ascii="宋体" w:hAnsi="宋体"/>
          <w:color w:val="000000"/>
          <w:sz w:val="24"/>
        </w:rPr>
      </w:pPr>
      <w:r>
        <w:rPr>
          <w:rFonts w:hint="eastAsia" w:ascii="宋体" w:hAnsi="宋体"/>
          <w:color w:val="000000"/>
          <w:sz w:val="24"/>
        </w:rPr>
        <w:t>（1）</w:t>
      </w:r>
      <w:r>
        <w:rPr>
          <w:rFonts w:ascii="宋体" w:hAnsi="宋体"/>
          <w:color w:val="000000"/>
          <w:sz w:val="24"/>
        </w:rPr>
        <w:t>营业执照</w:t>
      </w:r>
      <w:r>
        <w:rPr>
          <w:rFonts w:hint="eastAsia" w:ascii="宋体" w:hAnsi="宋体"/>
          <w:color w:val="000000"/>
          <w:sz w:val="24"/>
        </w:rPr>
        <w:t>副本扫描件并加盖投标单位公章；事业单位的，则提供有效的《事业单位法人证书》副本扫描件并加盖投标单位公章；自然人的，则提供有效的身份证扫描件并签字；</w:t>
      </w:r>
    </w:p>
    <w:p>
      <w:pPr>
        <w:snapToGrid w:val="0"/>
        <w:spacing w:before="120" w:beforeLines="50"/>
        <w:ind w:firstLine="470" w:firstLineChars="196"/>
        <w:jc w:val="left"/>
        <w:rPr>
          <w:rFonts w:hint="eastAsia" w:ascii="宋体" w:hAnsi="宋体"/>
          <w:color w:val="000000"/>
          <w:sz w:val="24"/>
        </w:rPr>
      </w:pPr>
      <w:r>
        <w:rPr>
          <w:rFonts w:hint="eastAsia" w:ascii="宋体" w:hAnsi="宋体"/>
          <w:color w:val="000000"/>
          <w:sz w:val="24"/>
        </w:rPr>
        <w:t>（2）投标声明书</w:t>
      </w:r>
      <w:r>
        <w:rPr>
          <w:rFonts w:ascii="宋体" w:hAnsi="宋体"/>
          <w:color w:val="000000"/>
          <w:sz w:val="24"/>
        </w:rPr>
        <w:t xml:space="preserve"> (格式见附件)</w:t>
      </w:r>
      <w:r>
        <w:rPr>
          <w:rFonts w:hint="eastAsia" w:ascii="宋体" w:hAnsi="宋体"/>
          <w:color w:val="000000"/>
          <w:sz w:val="24"/>
        </w:rPr>
        <w:t>；</w:t>
      </w:r>
    </w:p>
    <w:p>
      <w:pPr>
        <w:snapToGrid w:val="0"/>
        <w:spacing w:before="120" w:beforeLines="50"/>
        <w:ind w:firstLine="470" w:firstLineChars="196"/>
        <w:jc w:val="left"/>
        <w:rPr>
          <w:rFonts w:hint="eastAsia" w:ascii="宋体" w:hAnsi="宋体"/>
          <w:color w:val="000000"/>
          <w:sz w:val="24"/>
        </w:rPr>
      </w:pPr>
      <w:r>
        <w:rPr>
          <w:rFonts w:hint="eastAsia" w:ascii="宋体" w:hAnsi="宋体"/>
          <w:color w:val="000000"/>
          <w:sz w:val="24"/>
        </w:rPr>
        <w:t>（3）具有履行合同所必需的设备和专业技术能力的承诺函（格式见附件）；</w:t>
      </w:r>
    </w:p>
    <w:p>
      <w:pPr>
        <w:snapToGrid w:val="0"/>
        <w:spacing w:before="120" w:beforeLines="50"/>
        <w:ind w:firstLine="470" w:firstLineChars="196"/>
        <w:jc w:val="left"/>
        <w:rPr>
          <w:rFonts w:hint="eastAsia" w:ascii="宋体" w:hAnsi="宋体"/>
          <w:color w:val="000000"/>
          <w:sz w:val="24"/>
        </w:rPr>
      </w:pPr>
      <w:r>
        <w:rPr>
          <w:rFonts w:hint="eastAsia" w:ascii="宋体" w:hAnsi="宋体"/>
          <w:color w:val="000000"/>
          <w:sz w:val="24"/>
        </w:rPr>
        <w:t>（4）</w:t>
      </w:r>
      <w:r>
        <w:rPr>
          <w:rFonts w:ascii="宋体" w:hAnsi="宋体"/>
          <w:color w:val="000000"/>
          <w:sz w:val="24"/>
        </w:rPr>
        <w:t>法定代表人授权委托书(</w:t>
      </w:r>
      <w:r>
        <w:rPr>
          <w:rFonts w:hint="eastAsia" w:ascii="宋体" w:hAnsi="宋体"/>
          <w:b/>
          <w:color w:val="000000"/>
          <w:sz w:val="28"/>
        </w:rPr>
        <w:t>法定代表人与被授权人的身份证扫描件须附后</w:t>
      </w:r>
      <w:r>
        <w:rPr>
          <w:rFonts w:hint="eastAsia" w:ascii="宋体" w:hAnsi="宋体"/>
          <w:color w:val="000000"/>
          <w:sz w:val="24"/>
        </w:rPr>
        <w:t>，</w:t>
      </w:r>
      <w:r>
        <w:rPr>
          <w:rFonts w:ascii="宋体" w:hAnsi="宋体"/>
          <w:color w:val="000000"/>
          <w:sz w:val="24"/>
        </w:rPr>
        <w:t>格式见附件</w:t>
      </w:r>
      <w:r>
        <w:rPr>
          <w:rFonts w:hint="eastAsia" w:ascii="宋体" w:hAnsi="宋体"/>
          <w:color w:val="000000"/>
          <w:sz w:val="24"/>
        </w:rPr>
        <w:t>，如由法定代表人直接参与采购活动的，则由</w:t>
      </w:r>
      <w:r>
        <w:rPr>
          <w:rFonts w:hint="eastAsia" w:ascii="宋体" w:hAnsi="宋体" w:cs="宋体"/>
          <w:color w:val="000000"/>
          <w:sz w:val="24"/>
        </w:rPr>
        <w:t>投标供应商</w:t>
      </w:r>
      <w:r>
        <w:rPr>
          <w:rFonts w:hint="eastAsia" w:ascii="宋体" w:hAnsi="宋体"/>
          <w:color w:val="000000"/>
          <w:sz w:val="24"/>
        </w:rPr>
        <w:t>根据情况对授权书进行适当修改并附法定代表人身份证扫描件</w:t>
      </w:r>
      <w:r>
        <w:rPr>
          <w:rFonts w:ascii="宋体" w:hAnsi="宋体"/>
          <w:color w:val="000000"/>
          <w:sz w:val="24"/>
        </w:rPr>
        <w:t>)；</w:t>
      </w:r>
    </w:p>
    <w:p>
      <w:pPr>
        <w:snapToGrid w:val="0"/>
        <w:spacing w:before="120" w:beforeLines="50"/>
        <w:ind w:firstLine="470" w:firstLineChars="196"/>
        <w:jc w:val="left"/>
        <w:rPr>
          <w:rFonts w:hint="eastAsia" w:ascii="宋体" w:hAnsi="宋体"/>
          <w:color w:val="000000"/>
          <w:sz w:val="24"/>
        </w:rPr>
      </w:pPr>
      <w:r>
        <w:rPr>
          <w:rFonts w:hint="eastAsia" w:ascii="宋体" w:hAnsi="宋体"/>
          <w:color w:val="000000"/>
          <w:sz w:val="24"/>
        </w:rPr>
        <w:t>（5）</w:t>
      </w:r>
      <w:r>
        <w:rPr>
          <w:rFonts w:hint="eastAsia" w:ascii="宋体" w:hAnsi="宋体" w:cs="宋体"/>
          <w:color w:val="000000"/>
          <w:sz w:val="24"/>
        </w:rPr>
        <w:t>投标供应商</w:t>
      </w:r>
      <w:r>
        <w:rPr>
          <w:rFonts w:hint="eastAsia" w:ascii="宋体" w:hAnsi="宋体"/>
          <w:color w:val="000000"/>
          <w:sz w:val="24"/>
        </w:rPr>
        <w:t>特定资格条件材料（如需要）</w:t>
      </w:r>
    </w:p>
    <w:p>
      <w:pPr>
        <w:snapToGrid w:val="0"/>
        <w:spacing w:before="120" w:beforeLines="50"/>
        <w:ind w:firstLine="470" w:firstLineChars="196"/>
        <w:jc w:val="left"/>
        <w:rPr>
          <w:rFonts w:hint="eastAsia" w:ascii="宋体" w:hAnsi="宋体"/>
          <w:color w:val="000000"/>
          <w:sz w:val="24"/>
        </w:rPr>
      </w:pPr>
      <w:r>
        <w:rPr>
          <w:rFonts w:hint="eastAsia" w:ascii="宋体" w:hAnsi="宋体"/>
          <w:color w:val="000000"/>
          <w:sz w:val="24"/>
        </w:rPr>
        <w:t>（6）未被“信用中国”（www.creditchina.gov.cn）、中国政府采购网（www.ccgp.gov.cn）列入失信被执行人、重大税收违法案件当事人名单、政府采购严重违法失信行为记录名单，提供参加政府采购活动前3年内在经营活动中没有重大违法记录的声明函，及网站查询截图并加盖公章，</w:t>
      </w:r>
      <w:r>
        <w:rPr>
          <w:rFonts w:hint="eastAsia" w:ascii="宋体" w:hAnsi="宋体"/>
          <w:b/>
          <w:color w:val="000000"/>
          <w:sz w:val="24"/>
        </w:rPr>
        <w:t>具体以开标当天查询结果为准；</w:t>
      </w:r>
    </w:p>
    <w:p>
      <w:pPr>
        <w:tabs>
          <w:tab w:val="left" w:pos="720"/>
        </w:tabs>
        <w:autoSpaceDE w:val="0"/>
        <w:autoSpaceDN w:val="0"/>
        <w:adjustRightInd w:val="0"/>
        <w:spacing w:line="400" w:lineRule="exact"/>
        <w:ind w:right="17"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投标供应商认为有必要提供的其它文件。</w:t>
      </w:r>
    </w:p>
    <w:p>
      <w:pPr>
        <w:snapToGrid w:val="0"/>
        <w:spacing w:before="120" w:beforeLines="50"/>
        <w:ind w:firstLine="472" w:firstLineChars="196"/>
        <w:jc w:val="left"/>
        <w:rPr>
          <w:rFonts w:hint="eastAsia" w:ascii="宋体" w:hAnsi="宋体"/>
          <w:b/>
          <w:color w:val="000000"/>
          <w:sz w:val="24"/>
        </w:rPr>
      </w:pPr>
      <w:r>
        <w:rPr>
          <w:rFonts w:hint="eastAsia" w:ascii="宋体" w:hAnsi="宋体"/>
          <w:b/>
          <w:color w:val="000000"/>
          <w:sz w:val="24"/>
        </w:rPr>
        <w:t>2.技术商务</w:t>
      </w:r>
      <w:r>
        <w:rPr>
          <w:rFonts w:ascii="宋体" w:hAnsi="宋体"/>
          <w:b/>
          <w:color w:val="000000"/>
          <w:sz w:val="24"/>
        </w:rPr>
        <w:t>文件：</w:t>
      </w:r>
    </w:p>
    <w:p>
      <w:pPr>
        <w:snapToGrid w:val="0"/>
        <w:spacing w:before="120" w:beforeLines="50"/>
        <w:ind w:firstLine="472" w:firstLineChars="196"/>
        <w:jc w:val="left"/>
        <w:rPr>
          <w:rFonts w:hint="eastAsia" w:ascii="宋体" w:hAnsi="宋体"/>
          <w:b/>
          <w:color w:val="000000"/>
          <w:sz w:val="24"/>
        </w:rPr>
      </w:pPr>
      <w:r>
        <w:rPr>
          <w:rFonts w:hint="eastAsia" w:ascii="宋体" w:hAnsi="宋体"/>
          <w:b/>
          <w:color w:val="000000"/>
          <w:sz w:val="24"/>
        </w:rPr>
        <w:t>2.1评分对应表（格式见附件，主要用于评委对应评分内容）</w:t>
      </w:r>
    </w:p>
    <w:p>
      <w:pPr>
        <w:snapToGrid w:val="0"/>
        <w:spacing w:before="120" w:beforeLines="50"/>
        <w:ind w:firstLine="472" w:firstLineChars="196"/>
        <w:jc w:val="left"/>
        <w:rPr>
          <w:rFonts w:hint="eastAsia" w:ascii="宋体" w:hAnsi="宋体"/>
          <w:b/>
          <w:color w:val="000000"/>
          <w:sz w:val="24"/>
          <w:szCs w:val="20"/>
        </w:rPr>
      </w:pPr>
      <w:r>
        <w:rPr>
          <w:rFonts w:hint="eastAsia" w:ascii="宋体" w:hAnsi="宋体"/>
          <w:b/>
          <w:color w:val="000000"/>
          <w:sz w:val="24"/>
        </w:rPr>
        <w:t>2.2商务部份包括以下内容：</w:t>
      </w:r>
    </w:p>
    <w:p>
      <w:pPr>
        <w:snapToGrid w:val="0"/>
        <w:ind w:firstLine="470" w:firstLineChars="196"/>
        <w:jc w:val="left"/>
        <w:rPr>
          <w:rFonts w:hint="eastAsia" w:ascii="宋体" w:hAnsi="宋体"/>
          <w:color w:val="000000"/>
          <w:sz w:val="24"/>
        </w:rPr>
      </w:pPr>
      <w:r>
        <w:rPr>
          <w:rFonts w:hint="eastAsia" w:ascii="宋体" w:hAnsi="宋体"/>
          <w:color w:val="000000"/>
          <w:sz w:val="24"/>
        </w:rPr>
        <w:t>（1）同类项目业绩（投标供应商同类项目实施情况一览表、合同扫描件、用户验收报告、用户评价，以评标办法为准）；</w:t>
      </w:r>
    </w:p>
    <w:p>
      <w:pPr>
        <w:snapToGrid w:val="0"/>
        <w:ind w:firstLine="480" w:firstLineChars="200"/>
        <w:jc w:val="left"/>
        <w:rPr>
          <w:rFonts w:ascii="宋体" w:hAnsi="宋体"/>
          <w:color w:val="000000"/>
          <w:sz w:val="24"/>
          <w:szCs w:val="20"/>
        </w:rPr>
      </w:pPr>
      <w:r>
        <w:rPr>
          <w:rFonts w:hint="eastAsia" w:ascii="宋体" w:hAnsi="宋体"/>
          <w:color w:val="000000"/>
          <w:sz w:val="24"/>
        </w:rPr>
        <w:t>（2）其他特殊资质证书；</w:t>
      </w:r>
    </w:p>
    <w:p>
      <w:pPr>
        <w:snapToGrid w:val="0"/>
        <w:ind w:firstLine="470" w:firstLineChars="196"/>
        <w:jc w:val="left"/>
        <w:rPr>
          <w:rFonts w:ascii="宋体" w:hAnsi="宋体"/>
          <w:color w:val="000000"/>
          <w:sz w:val="24"/>
          <w:szCs w:val="20"/>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自主创新、节能环保等方面的资质证书（如有）；</w:t>
      </w:r>
    </w:p>
    <w:p>
      <w:pPr>
        <w:snapToGrid w:val="0"/>
        <w:ind w:firstLine="470" w:firstLineChars="196"/>
        <w:jc w:val="left"/>
        <w:rPr>
          <w:rFonts w:ascii="宋体" w:hAnsi="宋体"/>
          <w:color w:val="000000"/>
          <w:sz w:val="24"/>
          <w:szCs w:val="20"/>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自主品牌投标供应商的信誉、荣誉证书（如有）；</w:t>
      </w:r>
    </w:p>
    <w:p>
      <w:pPr>
        <w:snapToGrid w:val="0"/>
        <w:ind w:firstLine="470" w:firstLineChars="196"/>
        <w:jc w:val="left"/>
        <w:rPr>
          <w:rFonts w:ascii="宋体" w:hAnsi="宋体"/>
          <w:color w:val="000000"/>
          <w:sz w:val="24"/>
          <w:szCs w:val="20"/>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投标供应商质量管理和质量保证体系等方面的认证证书（如有）；</w:t>
      </w:r>
    </w:p>
    <w:p>
      <w:pPr>
        <w:snapToGrid w:val="0"/>
        <w:ind w:firstLine="470" w:firstLineChars="196"/>
        <w:jc w:val="left"/>
        <w:rPr>
          <w:rFonts w:ascii="宋体" w:hAnsi="宋体"/>
          <w:color w:val="000000"/>
          <w:sz w:val="24"/>
          <w:szCs w:val="20"/>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投标供应商认为可以证实其能力或业绩的其他材料（如有）；</w:t>
      </w:r>
    </w:p>
    <w:p>
      <w:pPr>
        <w:snapToGrid w:val="0"/>
        <w:ind w:firstLine="470" w:firstLineChars="196"/>
        <w:jc w:val="left"/>
        <w:rPr>
          <w:rFonts w:ascii="宋体" w:hAnsi="宋体"/>
          <w:color w:val="000000"/>
          <w:sz w:val="24"/>
          <w:szCs w:val="20"/>
        </w:rPr>
      </w:pPr>
      <w:r>
        <w:rPr>
          <w:rFonts w:hint="eastAsia" w:ascii="宋体" w:hAnsi="宋体"/>
          <w:color w:val="000000"/>
          <w:sz w:val="24"/>
        </w:rPr>
        <w:t>（7</w:t>
      </w:r>
      <w:r>
        <w:rPr>
          <w:rFonts w:ascii="宋体" w:hAnsi="宋体"/>
          <w:color w:val="000000"/>
          <w:sz w:val="24"/>
        </w:rPr>
        <w:t>）</w:t>
      </w:r>
      <w:r>
        <w:rPr>
          <w:rFonts w:hint="eastAsia" w:ascii="宋体" w:hAnsi="宋体"/>
          <w:color w:val="000000"/>
          <w:sz w:val="24"/>
        </w:rPr>
        <w:t>投标供应商关于</w:t>
      </w:r>
      <w:r>
        <w:rPr>
          <w:sz w:val="24"/>
        </w:rPr>
        <w:t>投标人关于产品生产时间、升级或者更新淘汰计划、配件供应</w:t>
      </w:r>
      <w:r>
        <w:rPr>
          <w:rFonts w:hint="eastAsia" w:ascii="宋体" w:hAnsi="宋体" w:cs="宋体"/>
          <w:color w:val="000000"/>
          <w:sz w:val="24"/>
        </w:rPr>
        <w:t>、售后服务</w:t>
      </w:r>
      <w:r>
        <w:rPr>
          <w:rFonts w:hint="eastAsia" w:ascii="宋体" w:hAnsi="宋体"/>
          <w:color w:val="000000"/>
          <w:sz w:val="24"/>
        </w:rPr>
        <w:t>以及本单位债务纠纷、违法违规记录等方面的情况（内容见投标声明书）</w:t>
      </w:r>
    </w:p>
    <w:p>
      <w:pPr>
        <w:snapToGrid w:val="0"/>
        <w:ind w:firstLine="470" w:firstLineChars="196"/>
        <w:jc w:val="left"/>
        <w:rPr>
          <w:rFonts w:ascii="宋体" w:hAnsi="宋体"/>
          <w:color w:val="000000"/>
          <w:sz w:val="24"/>
          <w:szCs w:val="20"/>
        </w:rPr>
      </w:pPr>
      <w:r>
        <w:rPr>
          <w:rFonts w:hint="eastAsia" w:ascii="宋体" w:hAnsi="宋体"/>
          <w:color w:val="000000"/>
          <w:sz w:val="24"/>
        </w:rPr>
        <w:t>（8</w:t>
      </w:r>
      <w:r>
        <w:rPr>
          <w:rFonts w:ascii="宋体" w:hAnsi="宋体"/>
          <w:color w:val="000000"/>
          <w:sz w:val="24"/>
        </w:rPr>
        <w:t>）</w:t>
      </w:r>
      <w:r>
        <w:rPr>
          <w:rFonts w:hint="eastAsia" w:ascii="宋体" w:hAnsi="宋体"/>
          <w:color w:val="000000"/>
          <w:sz w:val="24"/>
        </w:rPr>
        <w:t>投标供应商情况介绍；</w:t>
      </w:r>
    </w:p>
    <w:p>
      <w:pPr>
        <w:snapToGrid w:val="0"/>
        <w:ind w:firstLine="470" w:firstLineChars="196"/>
        <w:jc w:val="left"/>
        <w:rPr>
          <w:rFonts w:hint="eastAsia" w:ascii="宋体" w:hAnsi="宋体"/>
          <w:color w:val="000000"/>
          <w:sz w:val="24"/>
        </w:rPr>
      </w:pPr>
      <w:r>
        <w:rPr>
          <w:rFonts w:hint="eastAsia" w:ascii="宋体" w:hAnsi="宋体"/>
          <w:color w:val="000000"/>
          <w:sz w:val="24"/>
        </w:rPr>
        <w:t>（9</w:t>
      </w:r>
      <w:r>
        <w:rPr>
          <w:rFonts w:ascii="宋体" w:hAnsi="宋体"/>
          <w:color w:val="000000"/>
          <w:sz w:val="24"/>
        </w:rPr>
        <w:t>）</w:t>
      </w:r>
      <w:r>
        <w:rPr>
          <w:rFonts w:hint="eastAsia" w:ascii="宋体" w:hAnsi="宋体"/>
          <w:color w:val="000000"/>
          <w:sz w:val="24"/>
        </w:rPr>
        <w:t>商务响应表（格式见附件）；</w:t>
      </w:r>
    </w:p>
    <w:p>
      <w:pPr>
        <w:tabs>
          <w:tab w:val="left" w:pos="720"/>
        </w:tabs>
        <w:autoSpaceDE w:val="0"/>
        <w:autoSpaceDN w:val="0"/>
        <w:adjustRightInd w:val="0"/>
        <w:spacing w:line="400" w:lineRule="exact"/>
        <w:ind w:right="17" w:firstLine="482" w:firstLineChars="200"/>
        <w:jc w:val="left"/>
        <w:rPr>
          <w:rFonts w:hint="eastAsia" w:ascii="宋体" w:hAnsi="宋体"/>
          <w:color w:val="000000"/>
          <w:sz w:val="24"/>
          <w:szCs w:val="20"/>
        </w:rPr>
      </w:pPr>
      <w:r>
        <w:rPr>
          <w:rFonts w:hint="eastAsia" w:ascii="宋体" w:hAnsi="宋体"/>
          <w:b/>
          <w:bCs/>
          <w:color w:val="000000"/>
          <w:sz w:val="24"/>
        </w:rPr>
        <w:t>（10）投标供应商认为需要的其他文件资料（</w:t>
      </w:r>
      <w:r>
        <w:rPr>
          <w:rFonts w:hint="eastAsia" w:ascii="宋体" w:hAnsi="宋体" w:cs="宋体"/>
          <w:b/>
          <w:color w:val="000000"/>
          <w:sz w:val="24"/>
        </w:rPr>
        <w:t>对照相应项目评分标准，由投标供应商自行考虑，如有则提供）。</w:t>
      </w:r>
    </w:p>
    <w:p>
      <w:pPr>
        <w:snapToGrid w:val="0"/>
        <w:ind w:firstLine="472" w:firstLineChars="196"/>
        <w:jc w:val="left"/>
        <w:rPr>
          <w:rFonts w:ascii="宋体" w:hAnsi="宋体"/>
          <w:b/>
          <w:bCs/>
          <w:color w:val="000000"/>
          <w:sz w:val="24"/>
          <w:szCs w:val="20"/>
        </w:rPr>
      </w:pPr>
      <w:r>
        <w:rPr>
          <w:rFonts w:hint="eastAsia" w:ascii="宋体" w:hAnsi="宋体"/>
          <w:b/>
          <w:bCs/>
          <w:color w:val="000000"/>
          <w:sz w:val="24"/>
        </w:rPr>
        <w:t>2.3</w:t>
      </w:r>
      <w:r>
        <w:rPr>
          <w:rFonts w:ascii="宋体" w:hAnsi="宋体"/>
          <w:b/>
          <w:bCs/>
          <w:color w:val="000000"/>
          <w:sz w:val="24"/>
        </w:rPr>
        <w:t>技术</w:t>
      </w:r>
      <w:r>
        <w:rPr>
          <w:rFonts w:hint="eastAsia" w:ascii="宋体" w:hAnsi="宋体"/>
          <w:b/>
          <w:bCs/>
          <w:color w:val="000000"/>
          <w:sz w:val="24"/>
        </w:rPr>
        <w:t>部份包括以下内容：</w:t>
      </w:r>
    </w:p>
    <w:p>
      <w:pPr>
        <w:snapToGrid w:val="0"/>
        <w:ind w:firstLine="480" w:firstLineChars="200"/>
        <w:jc w:val="left"/>
        <w:rPr>
          <w:sz w:val="24"/>
          <w:szCs w:val="20"/>
        </w:rPr>
      </w:pPr>
      <w:r>
        <w:rPr>
          <w:sz w:val="24"/>
        </w:rPr>
        <w:t>（1）对本项目系统总体要求的理解。包括：功能说明、性能指标及设备选型说明（质量、性能、价格、外观、体积等方面进行比较和选择的理由及过程）；</w:t>
      </w:r>
    </w:p>
    <w:p>
      <w:pPr>
        <w:snapToGrid w:val="0"/>
        <w:ind w:firstLine="480" w:firstLineChars="200"/>
        <w:jc w:val="left"/>
        <w:rPr>
          <w:sz w:val="24"/>
          <w:szCs w:val="20"/>
        </w:rPr>
      </w:pPr>
      <w:r>
        <w:rPr>
          <w:sz w:val="24"/>
        </w:rPr>
        <w:t>（2）投标人拥有主要装备和检测设施的情况及现状；</w:t>
      </w:r>
    </w:p>
    <w:p>
      <w:pPr>
        <w:snapToGrid w:val="0"/>
        <w:ind w:firstLine="480" w:firstLineChars="200"/>
        <w:jc w:val="left"/>
        <w:rPr>
          <w:sz w:val="24"/>
          <w:szCs w:val="20"/>
        </w:rPr>
      </w:pPr>
      <w:r>
        <w:rPr>
          <w:sz w:val="24"/>
        </w:rPr>
        <w:t>（3）产品出厂标准、质量检测报告（其中有精度要求的仪器设备类政府采购项目，应当要求投标人提供由第三方精度检测报告或由采购人在投标前组织的精度实测数据）</w:t>
      </w:r>
    </w:p>
    <w:p>
      <w:pPr>
        <w:snapToGrid w:val="0"/>
        <w:ind w:firstLine="480" w:firstLineChars="200"/>
        <w:jc w:val="left"/>
        <w:rPr>
          <w:sz w:val="24"/>
        </w:rPr>
      </w:pPr>
      <w:r>
        <w:rPr>
          <w:sz w:val="24"/>
        </w:rPr>
        <w:t>（4）原厂出厂配置表及原厂中文使用说明书；</w:t>
      </w:r>
    </w:p>
    <w:p>
      <w:pPr>
        <w:snapToGrid w:val="0"/>
        <w:ind w:firstLine="480" w:firstLineChars="200"/>
        <w:jc w:val="left"/>
        <w:rPr>
          <w:sz w:val="24"/>
          <w:szCs w:val="20"/>
        </w:rPr>
      </w:pPr>
      <w:r>
        <w:rPr>
          <w:sz w:val="24"/>
        </w:rPr>
        <w:t>（</w:t>
      </w:r>
      <w:r>
        <w:rPr>
          <w:b/>
          <w:bCs/>
          <w:sz w:val="32"/>
          <w:szCs w:val="32"/>
          <w:u w:val="single"/>
        </w:rPr>
        <w:t>供应商需把产品技术参数进行详细叙述，叙述的依据是产品彩页、生产厂家提供的技术资料等信息，不能简单将本招标文件的技术参数进行复制粘贴来进行响应，否则将以无效响应或虚假应标处理，格式自拟</w:t>
      </w:r>
      <w:r>
        <w:rPr>
          <w:sz w:val="24"/>
        </w:rPr>
        <w:t>）；</w:t>
      </w:r>
    </w:p>
    <w:p>
      <w:pPr>
        <w:snapToGrid w:val="0"/>
        <w:ind w:firstLine="480" w:firstLineChars="200"/>
        <w:jc w:val="left"/>
        <w:rPr>
          <w:sz w:val="24"/>
          <w:szCs w:val="20"/>
        </w:rPr>
      </w:pPr>
      <w:r>
        <w:rPr>
          <w:sz w:val="24"/>
        </w:rPr>
        <w:t>（5）设备配置清单（均不含报价）；</w:t>
      </w:r>
    </w:p>
    <w:p>
      <w:pPr>
        <w:snapToGrid w:val="0"/>
        <w:ind w:firstLine="480" w:firstLineChars="200"/>
        <w:jc w:val="left"/>
        <w:rPr>
          <w:sz w:val="24"/>
          <w:szCs w:val="20"/>
        </w:rPr>
      </w:pPr>
      <w:r>
        <w:rPr>
          <w:sz w:val="24"/>
        </w:rPr>
        <w:t>（6）技术响应表；</w:t>
      </w:r>
    </w:p>
    <w:p>
      <w:pPr>
        <w:snapToGrid w:val="0"/>
        <w:ind w:firstLine="480" w:firstLineChars="200"/>
        <w:jc w:val="left"/>
        <w:rPr>
          <w:sz w:val="24"/>
          <w:szCs w:val="20"/>
        </w:rPr>
      </w:pPr>
      <w:r>
        <w:rPr>
          <w:sz w:val="24"/>
        </w:rPr>
        <w:t>（7）投标人建议的安装、调试、验收方法或方案；</w:t>
      </w:r>
    </w:p>
    <w:p>
      <w:pPr>
        <w:snapToGrid w:val="0"/>
        <w:ind w:firstLine="480" w:firstLineChars="200"/>
        <w:jc w:val="left"/>
        <w:rPr>
          <w:sz w:val="24"/>
          <w:szCs w:val="20"/>
        </w:rPr>
      </w:pPr>
      <w:r>
        <w:rPr>
          <w:sz w:val="24"/>
        </w:rPr>
        <w:t>（8）技术服务、技术培训、售后服务的内容和措施；</w:t>
      </w:r>
    </w:p>
    <w:p>
      <w:pPr>
        <w:snapToGrid w:val="0"/>
        <w:ind w:firstLine="480" w:firstLineChars="200"/>
        <w:jc w:val="left"/>
        <w:rPr>
          <w:sz w:val="24"/>
          <w:szCs w:val="20"/>
        </w:rPr>
      </w:pPr>
      <w:r>
        <w:rPr>
          <w:sz w:val="24"/>
        </w:rPr>
        <w:t>（9）项目实施人员一览表</w:t>
      </w:r>
    </w:p>
    <w:p>
      <w:pPr>
        <w:snapToGrid w:val="0"/>
        <w:ind w:firstLine="480" w:firstLineChars="200"/>
        <w:jc w:val="left"/>
        <w:rPr>
          <w:rFonts w:hint="eastAsia"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0）投标供应商对本项目的合理化建议和改进措施</w:t>
      </w:r>
    </w:p>
    <w:p>
      <w:pPr>
        <w:snapToGrid w:val="0"/>
        <w:ind w:firstLine="480" w:firstLineChars="200"/>
        <w:jc w:val="left"/>
        <w:rPr>
          <w:rFonts w:ascii="宋体" w:hAnsi="宋体"/>
          <w:color w:val="000000"/>
          <w:sz w:val="24"/>
          <w:szCs w:val="20"/>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1）投标供应商需要说明的其他文件和说明</w:t>
      </w:r>
      <w:r>
        <w:rPr>
          <w:rFonts w:hint="eastAsia" w:ascii="宋体" w:hAnsi="宋体"/>
          <w:b/>
          <w:color w:val="000000"/>
          <w:sz w:val="24"/>
        </w:rPr>
        <w:t>（对照相应项目评分标准及采购文件其他内容，由投标供应商自行考虑）</w:t>
      </w:r>
    </w:p>
    <w:p>
      <w:pPr>
        <w:snapToGrid w:val="0"/>
        <w:jc w:val="left"/>
        <w:rPr>
          <w:rFonts w:ascii="宋体" w:hAnsi="宋体"/>
          <w:b/>
          <w:color w:val="000000"/>
          <w:sz w:val="24"/>
          <w:szCs w:val="20"/>
        </w:rPr>
      </w:pPr>
    </w:p>
    <w:p>
      <w:pPr>
        <w:snapToGrid w:val="0"/>
        <w:ind w:firstLine="472" w:firstLineChars="196"/>
        <w:jc w:val="left"/>
        <w:rPr>
          <w:rFonts w:hint="eastAsia" w:ascii="宋体" w:hAnsi="宋体"/>
          <w:b/>
          <w:color w:val="000000"/>
          <w:sz w:val="24"/>
        </w:rPr>
      </w:pPr>
      <w:r>
        <w:rPr>
          <w:rFonts w:hint="eastAsia" w:ascii="宋体" w:hAnsi="宋体"/>
          <w:b/>
          <w:color w:val="000000"/>
          <w:sz w:val="24"/>
        </w:rPr>
        <w:t>3.</w:t>
      </w:r>
      <w:r>
        <w:rPr>
          <w:rFonts w:ascii="宋体" w:hAnsi="宋体"/>
          <w:b/>
          <w:color w:val="000000"/>
          <w:sz w:val="24"/>
        </w:rPr>
        <w:t>报价文件：</w:t>
      </w:r>
    </w:p>
    <w:p>
      <w:pPr>
        <w:tabs>
          <w:tab w:val="left" w:pos="3870"/>
          <w:tab w:val="left" w:pos="4085"/>
        </w:tabs>
        <w:snapToGrid w:val="0"/>
        <w:ind w:firstLine="480" w:firstLineChars="200"/>
        <w:jc w:val="left"/>
        <w:rPr>
          <w:rFonts w:hint="eastAsia" w:ascii="宋体" w:hAnsi="宋体"/>
          <w:color w:val="000000"/>
          <w:sz w:val="24"/>
        </w:rPr>
      </w:pPr>
      <w:r>
        <w:rPr>
          <w:rFonts w:hint="eastAsia" w:ascii="宋体" w:hAnsi="宋体"/>
          <w:color w:val="000000"/>
          <w:sz w:val="24"/>
        </w:rPr>
        <w:t>（1）投标函（格式见附件）；</w:t>
      </w:r>
    </w:p>
    <w:p>
      <w:pPr>
        <w:pStyle w:val="32"/>
        <w:snapToGrid w:val="0"/>
        <w:ind w:leftChars="0" w:firstLine="480" w:firstLineChars="200"/>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）投标报价明细表（格式见附件）；</w:t>
      </w:r>
    </w:p>
    <w:p>
      <w:pPr>
        <w:pStyle w:val="32"/>
        <w:snapToGrid w:val="0"/>
        <w:ind w:leftChars="0" w:firstLine="480" w:firstLineChars="200"/>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w:t>
      </w:r>
      <w:r>
        <w:rPr>
          <w:rFonts w:hint="eastAsia" w:ascii="宋体" w:hAnsi="宋体" w:eastAsia="宋体"/>
          <w:color w:val="000000"/>
          <w:sz w:val="24"/>
          <w:szCs w:val="24"/>
        </w:rPr>
        <w:t>投标供应商针对报价</w:t>
      </w:r>
      <w:r>
        <w:rPr>
          <w:rFonts w:ascii="宋体" w:hAnsi="宋体" w:eastAsia="宋体"/>
          <w:color w:val="000000"/>
          <w:sz w:val="24"/>
          <w:szCs w:val="24"/>
        </w:rPr>
        <w:t>需要说明的其他文件和说明（格式</w:t>
      </w:r>
      <w:r>
        <w:rPr>
          <w:rFonts w:hint="eastAsia" w:ascii="宋体" w:hAnsi="宋体" w:eastAsia="宋体"/>
          <w:color w:val="000000"/>
          <w:sz w:val="24"/>
          <w:szCs w:val="24"/>
        </w:rPr>
        <w:t>自拟</w:t>
      </w:r>
      <w:r>
        <w:rPr>
          <w:rFonts w:ascii="宋体" w:hAnsi="宋体" w:eastAsia="宋体"/>
          <w:color w:val="000000"/>
          <w:sz w:val="24"/>
          <w:szCs w:val="24"/>
        </w:rPr>
        <w:t>）</w:t>
      </w:r>
      <w:r>
        <w:rPr>
          <w:rFonts w:hint="eastAsia" w:ascii="宋体" w:hAnsi="宋体" w:eastAsia="宋体"/>
          <w:color w:val="000000"/>
          <w:sz w:val="24"/>
          <w:szCs w:val="24"/>
        </w:rPr>
        <w:t>；</w:t>
      </w:r>
    </w:p>
    <w:p>
      <w:pPr>
        <w:snapToGrid w:val="0"/>
        <w:ind w:firstLine="480" w:firstLineChars="200"/>
        <w:jc w:val="left"/>
        <w:rPr>
          <w:rFonts w:hint="eastAsia" w:ascii="宋体" w:hAnsi="宋体"/>
          <w:color w:val="000000"/>
          <w:sz w:val="24"/>
        </w:rPr>
      </w:pPr>
      <w:r>
        <w:rPr>
          <w:rFonts w:hint="eastAsia" w:ascii="宋体" w:hAnsi="宋体"/>
          <w:color w:val="000000"/>
          <w:sz w:val="24"/>
        </w:rPr>
        <w:t>（4</w:t>
      </w:r>
      <w:r>
        <w:rPr>
          <w:rFonts w:ascii="宋体" w:hAnsi="宋体"/>
          <w:color w:val="000000"/>
          <w:sz w:val="24"/>
        </w:rPr>
        <w:t>）开标一览表（</w:t>
      </w:r>
      <w:r>
        <w:rPr>
          <w:rFonts w:hint="eastAsia" w:ascii="宋体" w:hAnsi="宋体"/>
          <w:b/>
          <w:color w:val="000000"/>
          <w:sz w:val="24"/>
        </w:rPr>
        <w:t>按系统要求格式上传</w:t>
      </w:r>
      <w:r>
        <w:rPr>
          <w:rFonts w:ascii="宋体" w:hAnsi="宋体"/>
          <w:color w:val="000000"/>
          <w:sz w:val="24"/>
        </w:rPr>
        <w:t>）</w:t>
      </w:r>
    </w:p>
    <w:p>
      <w:pPr>
        <w:snapToGrid w:val="0"/>
        <w:spacing w:before="120" w:beforeLines="50"/>
        <w:ind w:firstLine="470" w:firstLineChars="196"/>
        <w:jc w:val="left"/>
        <w:rPr>
          <w:rFonts w:hint="eastAsia" w:ascii="宋体" w:hAnsi="宋体"/>
          <w:color w:val="000000"/>
          <w:sz w:val="24"/>
        </w:rPr>
      </w:pPr>
      <w:r>
        <w:rPr>
          <w:rFonts w:hint="eastAsia" w:ascii="宋体" w:hAnsi="宋体"/>
          <w:color w:val="000000"/>
          <w:sz w:val="24"/>
        </w:rPr>
        <w:t>（5）</w:t>
      </w:r>
      <w:r>
        <w:rPr>
          <w:rFonts w:ascii="宋体" w:hAnsi="宋体"/>
          <w:color w:val="000000"/>
          <w:sz w:val="24"/>
        </w:rPr>
        <w:t>中小企业声明函（</w:t>
      </w:r>
      <w:r>
        <w:rPr>
          <w:rFonts w:hint="eastAsia" w:ascii="宋体" w:hAnsi="宋体"/>
          <w:color w:val="000000"/>
          <w:sz w:val="24"/>
        </w:rPr>
        <w:t>请按照法定格式提交，具体详见前附表</w:t>
      </w:r>
      <w:r>
        <w:rPr>
          <w:rFonts w:ascii="宋体" w:hAnsi="宋体"/>
          <w:color w:val="000000"/>
          <w:sz w:val="24"/>
        </w:rPr>
        <w:t>）；</w:t>
      </w:r>
    </w:p>
    <w:p>
      <w:pPr>
        <w:snapToGrid w:val="0"/>
        <w:spacing w:before="120" w:beforeLines="50"/>
        <w:ind w:firstLine="470" w:firstLineChars="196"/>
        <w:jc w:val="left"/>
        <w:rPr>
          <w:rFonts w:hint="eastAsia" w:ascii="宋体" w:hAnsi="宋体"/>
          <w:color w:val="000000"/>
          <w:sz w:val="24"/>
        </w:rPr>
      </w:pPr>
      <w:r>
        <w:rPr>
          <w:rFonts w:hint="eastAsia" w:ascii="宋体" w:hAnsi="宋体"/>
          <w:color w:val="000000"/>
          <w:sz w:val="24"/>
        </w:rPr>
        <w:t>（6）</w:t>
      </w:r>
      <w:r>
        <w:rPr>
          <w:rFonts w:ascii="宋体" w:hAnsi="宋体"/>
          <w:color w:val="000000"/>
          <w:sz w:val="24"/>
        </w:rPr>
        <w:t>残疾人福利性单位声明函（</w:t>
      </w:r>
      <w:r>
        <w:rPr>
          <w:rFonts w:hint="eastAsia" w:ascii="宋体" w:hAnsi="宋体"/>
          <w:color w:val="000000"/>
          <w:sz w:val="24"/>
        </w:rPr>
        <w:t>如提供视同小型、微型企业</w:t>
      </w:r>
      <w:r>
        <w:rPr>
          <w:rFonts w:ascii="宋体" w:hAnsi="宋体"/>
          <w:color w:val="000000"/>
          <w:sz w:val="24"/>
        </w:rPr>
        <w:t>，</w:t>
      </w:r>
      <w:r>
        <w:rPr>
          <w:rFonts w:hint="eastAsia" w:ascii="宋体" w:hAnsi="宋体"/>
          <w:color w:val="000000"/>
          <w:sz w:val="24"/>
        </w:rPr>
        <w:t>请按照法定格式提交，具体详见前附表</w:t>
      </w:r>
      <w:r>
        <w:rPr>
          <w:rFonts w:ascii="宋体" w:hAnsi="宋体"/>
          <w:color w:val="000000"/>
          <w:sz w:val="24"/>
        </w:rPr>
        <w:t>）；</w:t>
      </w:r>
    </w:p>
    <w:p>
      <w:pPr>
        <w:snapToGrid w:val="0"/>
        <w:ind w:firstLine="470" w:firstLineChars="196"/>
        <w:jc w:val="left"/>
        <w:rPr>
          <w:rFonts w:hint="eastAsia"/>
        </w:rPr>
      </w:pPr>
      <w:r>
        <w:rPr>
          <w:rFonts w:ascii="宋体" w:hAnsi="宋体"/>
          <w:color w:val="000000"/>
          <w:sz w:val="24"/>
        </w:rPr>
        <w:t>（</w:t>
      </w:r>
      <w:r>
        <w:rPr>
          <w:rFonts w:hint="eastAsia" w:ascii="宋体" w:hAnsi="宋体"/>
          <w:color w:val="000000"/>
          <w:sz w:val="24"/>
        </w:rPr>
        <w:t>7</w:t>
      </w:r>
      <w:r>
        <w:rPr>
          <w:rFonts w:ascii="宋体" w:hAnsi="宋体"/>
          <w:color w:val="000000"/>
          <w:sz w:val="24"/>
        </w:rPr>
        <w:t>）监狱企业的资料（</w:t>
      </w:r>
      <w:r>
        <w:rPr>
          <w:rFonts w:hint="eastAsia" w:ascii="宋体" w:hAnsi="宋体"/>
          <w:color w:val="000000"/>
          <w:sz w:val="24"/>
        </w:rPr>
        <w:t>如提供视同小型、微型企业</w:t>
      </w:r>
      <w:r>
        <w:rPr>
          <w:rFonts w:ascii="宋体" w:hAnsi="宋体"/>
          <w:color w:val="000000"/>
          <w:sz w:val="24"/>
        </w:rPr>
        <w:t>）</w:t>
      </w:r>
      <w:r>
        <w:rPr>
          <w:rFonts w:hint="eastAsia" w:ascii="宋体" w:hAnsi="宋体"/>
          <w:color w:val="000000"/>
          <w:sz w:val="24"/>
        </w:rPr>
        <w:t>。</w:t>
      </w:r>
    </w:p>
    <w:p>
      <w:pPr>
        <w:pStyle w:val="4"/>
        <w:rPr>
          <w:rFonts w:ascii="宋体" w:hAnsi="宋体"/>
          <w:color w:val="000000"/>
          <w:sz w:val="24"/>
          <w:szCs w:val="24"/>
        </w:rPr>
      </w:pPr>
      <w:r>
        <w:rPr>
          <w:rFonts w:hint="eastAsia" w:ascii="宋体" w:hAnsi="宋体"/>
          <w:color w:val="000000"/>
          <w:sz w:val="24"/>
          <w:szCs w:val="24"/>
        </w:rPr>
        <w:t>（二）投标文件的语言及计量</w:t>
      </w:r>
    </w:p>
    <w:p>
      <w:pPr>
        <w:snapToGrid w:val="0"/>
        <w:ind w:firstLine="480" w:firstLineChars="200"/>
        <w:jc w:val="left"/>
        <w:rPr>
          <w:rFonts w:ascii="宋体" w:hAnsi="宋体"/>
          <w:color w:val="000000"/>
          <w:sz w:val="24"/>
        </w:rPr>
      </w:pPr>
      <w:r>
        <w:rPr>
          <w:rFonts w:hint="eastAsia" w:ascii="宋体" w:hAnsi="宋体" w:cs="宋体"/>
          <w:color w:val="000000"/>
          <w:kern w:val="0"/>
          <w:sz w:val="24"/>
        </w:rPr>
        <w:t>▲</w:t>
      </w:r>
      <w:r>
        <w:rPr>
          <w:rFonts w:ascii="宋体" w:hAnsi="宋体"/>
          <w:color w:val="000000"/>
          <w:sz w:val="24"/>
        </w:rPr>
        <w:t>1投标文件以及投标方与招标方就有关投标事宜的所有来往函电，均应以中文汉语书写。除签名、盖章、专用名称等特殊情形外，以中文汉语以外的文字表述的投标文件视同未提供。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hAnsi="宋体"/>
          <w:color w:val="000000"/>
          <w:sz w:val="24"/>
        </w:rPr>
      </w:pPr>
      <w:r>
        <w:rPr>
          <w:rFonts w:hint="eastAsia" w:ascii="宋体" w:hAnsi="宋体" w:cs="宋体"/>
          <w:color w:val="000000"/>
          <w:kern w:val="0"/>
          <w:sz w:val="24"/>
        </w:rPr>
        <w:t>▲</w:t>
      </w:r>
      <w:r>
        <w:rPr>
          <w:rFonts w:ascii="宋体" w:hAnsi="宋体"/>
          <w:color w:val="000000"/>
          <w:sz w:val="24"/>
        </w:rPr>
        <w:t>2投标计量单位，</w:t>
      </w:r>
      <w:r>
        <w:rPr>
          <w:rFonts w:hint="eastAsia" w:ascii="宋体" w:hAnsi="宋体"/>
          <w:color w:val="000000"/>
          <w:sz w:val="24"/>
        </w:rPr>
        <w:t>采购文件</w:t>
      </w:r>
      <w:r>
        <w:rPr>
          <w:rFonts w:ascii="宋体" w:hAnsi="宋体"/>
          <w:color w:val="000000"/>
          <w:sz w:val="24"/>
        </w:rPr>
        <w:t>已有明确规定的，使用</w:t>
      </w:r>
      <w:r>
        <w:rPr>
          <w:rFonts w:hint="eastAsia" w:ascii="宋体" w:hAnsi="宋体"/>
          <w:color w:val="000000"/>
          <w:sz w:val="24"/>
        </w:rPr>
        <w:t>采购文件</w:t>
      </w:r>
      <w:r>
        <w:rPr>
          <w:rFonts w:ascii="宋体" w:hAnsi="宋体"/>
          <w:color w:val="000000"/>
          <w:sz w:val="24"/>
        </w:rPr>
        <w:t>规定的计量单位；</w:t>
      </w:r>
      <w:r>
        <w:rPr>
          <w:rFonts w:hint="eastAsia" w:ascii="宋体" w:hAnsi="宋体"/>
          <w:color w:val="000000"/>
          <w:sz w:val="24"/>
        </w:rPr>
        <w:t>采购文件</w:t>
      </w:r>
      <w:r>
        <w:rPr>
          <w:rFonts w:ascii="宋体" w:hAnsi="宋体"/>
          <w:color w:val="000000"/>
          <w:sz w:val="24"/>
        </w:rPr>
        <w:t>没有规定的，应采用中华人民共和国法定计量单位（货币单位：人民币元），否则视同未响应。</w:t>
      </w:r>
    </w:p>
    <w:p>
      <w:pPr>
        <w:pStyle w:val="4"/>
        <w:rPr>
          <w:rFonts w:ascii="宋体" w:hAnsi="宋体"/>
          <w:color w:val="000000"/>
          <w:sz w:val="24"/>
          <w:szCs w:val="24"/>
        </w:rPr>
      </w:pPr>
      <w:r>
        <w:rPr>
          <w:rFonts w:hint="eastAsia" w:ascii="宋体" w:hAnsi="宋体"/>
          <w:color w:val="000000"/>
          <w:sz w:val="24"/>
          <w:szCs w:val="24"/>
        </w:rPr>
        <w:t>（三）投标报价</w:t>
      </w:r>
    </w:p>
    <w:p>
      <w:pPr>
        <w:pStyle w:val="30"/>
        <w:numPr>
          <w:ilvl w:val="0"/>
          <w:numId w:val="0"/>
        </w:numPr>
        <w:tabs>
          <w:tab w:val="left" w:pos="1200"/>
        </w:tabs>
        <w:snapToGrid w:val="0"/>
        <w:spacing w:before="0" w:beforeLines="0" w:after="0" w:afterLines="0" w:line="240" w:lineRule="auto"/>
        <w:ind w:firstLine="480" w:firstLineChars="200"/>
        <w:jc w:val="left"/>
        <w:rPr>
          <w:rFonts w:hAnsi="宋体"/>
          <w:color w:val="000000"/>
        </w:rPr>
      </w:pPr>
      <w:r>
        <w:rPr>
          <w:rFonts w:hAnsi="宋体"/>
          <w:color w:val="000000"/>
        </w:rPr>
        <w:t>1</w:t>
      </w:r>
      <w:r>
        <w:rPr>
          <w:rFonts w:hint="eastAsia" w:hAnsi="宋体"/>
          <w:color w:val="000000"/>
        </w:rPr>
        <w:t>.</w:t>
      </w:r>
      <w:r>
        <w:rPr>
          <w:rFonts w:hAnsi="宋体"/>
          <w:color w:val="000000"/>
        </w:rPr>
        <w:t>投标报价应按</w:t>
      </w:r>
      <w:r>
        <w:rPr>
          <w:rFonts w:hint="eastAsia" w:hAnsi="宋体"/>
          <w:color w:val="000000"/>
        </w:rPr>
        <w:t>采购文件</w:t>
      </w:r>
      <w:r>
        <w:rPr>
          <w:rFonts w:hAnsi="宋体"/>
          <w:color w:val="000000"/>
        </w:rPr>
        <w:t>中相关附表格式填写。</w:t>
      </w:r>
    </w:p>
    <w:p>
      <w:pPr>
        <w:pStyle w:val="30"/>
        <w:numPr>
          <w:ilvl w:val="0"/>
          <w:numId w:val="0"/>
        </w:numPr>
        <w:tabs>
          <w:tab w:val="left" w:pos="1200"/>
        </w:tabs>
        <w:snapToGrid w:val="0"/>
        <w:spacing w:beforeLines="0" w:afterLines="0" w:line="240" w:lineRule="auto"/>
        <w:ind w:firstLine="480" w:firstLineChars="200"/>
        <w:jc w:val="left"/>
        <w:rPr>
          <w:rFonts w:hAnsi="宋体"/>
          <w:color w:val="000000"/>
        </w:rPr>
      </w:pPr>
      <w:r>
        <w:rPr>
          <w:rFonts w:hint="eastAsia" w:hAnsi="宋体" w:cs="宋体"/>
          <w:color w:val="000000"/>
          <w:kern w:val="0"/>
        </w:rPr>
        <w:t>▲</w:t>
      </w:r>
      <w:r>
        <w:rPr>
          <w:rFonts w:hAnsi="宋体"/>
          <w:color w:val="000000"/>
        </w:rPr>
        <w:t>2</w:t>
      </w:r>
      <w:r>
        <w:rPr>
          <w:rFonts w:hint="eastAsia" w:hAnsi="宋体"/>
          <w:color w:val="000000"/>
        </w:rPr>
        <w:t>.</w:t>
      </w:r>
      <w:r>
        <w:rPr>
          <w:rFonts w:hAnsi="宋体"/>
          <w:color w:val="000000"/>
        </w:rPr>
        <w:t>投标报价是履行合同的最终价格，应</w:t>
      </w:r>
      <w:r>
        <w:rPr>
          <w:rFonts w:hint="eastAsia" w:hAnsi="宋体"/>
          <w:color w:val="000000"/>
        </w:rPr>
        <w:t>包括项目实施所需的人工费、安装费、服务费、运输费、培训费、调试费、税费及其他一切费用</w:t>
      </w:r>
      <w:r>
        <w:rPr>
          <w:rFonts w:hAnsi="宋体"/>
          <w:color w:val="000000"/>
        </w:rPr>
        <w:t>。如有漏项，视同已包含在其总项目中，合同单价及总价不予调整。</w:t>
      </w:r>
    </w:p>
    <w:p>
      <w:pPr>
        <w:tabs>
          <w:tab w:val="left" w:pos="525"/>
        </w:tabs>
        <w:snapToGrid w:val="0"/>
        <w:ind w:firstLine="480" w:firstLineChars="200"/>
        <w:jc w:val="left"/>
        <w:rPr>
          <w:rFonts w:ascii="宋体" w:hAnsi="宋体"/>
          <w:color w:val="000000"/>
          <w:sz w:val="24"/>
        </w:rPr>
      </w:pPr>
      <w:r>
        <w:rPr>
          <w:rFonts w:hint="eastAsia" w:ascii="宋体" w:hAnsi="宋体" w:cs="宋体"/>
          <w:color w:val="000000"/>
          <w:kern w:val="0"/>
          <w:sz w:val="24"/>
        </w:rPr>
        <w:t>▲</w:t>
      </w:r>
      <w:r>
        <w:rPr>
          <w:rFonts w:ascii="宋体" w:hAnsi="宋体"/>
          <w:color w:val="000000"/>
          <w:sz w:val="24"/>
        </w:rPr>
        <w:t>3</w:t>
      </w:r>
      <w:r>
        <w:rPr>
          <w:rFonts w:hint="eastAsia" w:ascii="宋体" w:hAnsi="宋体"/>
          <w:color w:val="000000"/>
          <w:sz w:val="24"/>
        </w:rPr>
        <w:t>.</w:t>
      </w:r>
      <w:r>
        <w:rPr>
          <w:rFonts w:ascii="宋体" w:hAnsi="宋体"/>
          <w:color w:val="000000"/>
          <w:sz w:val="24"/>
        </w:rPr>
        <w:t>投标文件只允许有一个报价，有选择的</w:t>
      </w:r>
      <w:r>
        <w:rPr>
          <w:rFonts w:hint="eastAsia" w:ascii="宋体" w:hAnsi="宋体"/>
          <w:color w:val="000000"/>
          <w:sz w:val="24"/>
        </w:rPr>
        <w:t>或有条件的</w:t>
      </w:r>
      <w:r>
        <w:rPr>
          <w:rFonts w:ascii="宋体" w:hAnsi="宋体"/>
          <w:color w:val="000000"/>
          <w:sz w:val="24"/>
        </w:rPr>
        <w:t>报价将不予接受。</w:t>
      </w:r>
    </w:p>
    <w:p>
      <w:pPr>
        <w:pStyle w:val="4"/>
        <w:rPr>
          <w:rFonts w:ascii="宋体" w:hAnsi="宋体"/>
          <w:color w:val="000000"/>
          <w:sz w:val="24"/>
          <w:szCs w:val="24"/>
        </w:rPr>
      </w:pPr>
      <w:r>
        <w:rPr>
          <w:rFonts w:hint="eastAsia" w:ascii="宋体" w:hAnsi="宋体"/>
          <w:color w:val="000000"/>
          <w:sz w:val="24"/>
          <w:szCs w:val="24"/>
        </w:rPr>
        <w:t>（四）投标文件的有效期</w:t>
      </w:r>
    </w:p>
    <w:p>
      <w:pPr>
        <w:pStyle w:val="15"/>
        <w:widowControl w:val="0"/>
        <w:numPr>
          <w:ilvl w:val="0"/>
          <w:numId w:val="0"/>
        </w:numPr>
        <w:snapToGrid w:val="0"/>
        <w:spacing w:afterLines="0"/>
        <w:ind w:firstLine="480" w:firstLineChars="200"/>
        <w:rPr>
          <w:rFonts w:ascii="宋体" w:hAnsi="宋体"/>
          <w:color w:val="000000"/>
          <w:szCs w:val="24"/>
        </w:rPr>
      </w:pPr>
      <w:r>
        <w:rPr>
          <w:rFonts w:hint="eastAsia" w:ascii="宋体" w:hAnsi="宋体" w:cs="宋体"/>
          <w:color w:val="000000"/>
          <w:szCs w:val="24"/>
        </w:rPr>
        <w:t>▲</w:t>
      </w:r>
      <w:r>
        <w:rPr>
          <w:rFonts w:ascii="宋体" w:hAnsi="宋体"/>
          <w:color w:val="000000"/>
          <w:szCs w:val="24"/>
        </w:rPr>
        <w:t>1</w:t>
      </w:r>
      <w:r>
        <w:rPr>
          <w:rFonts w:hint="eastAsia" w:ascii="宋体" w:hAnsi="宋体"/>
          <w:color w:val="000000"/>
          <w:szCs w:val="24"/>
        </w:rPr>
        <w:t>.</w:t>
      </w:r>
      <w:r>
        <w:rPr>
          <w:rFonts w:ascii="宋体" w:hAnsi="宋体"/>
          <w:color w:val="000000"/>
          <w:szCs w:val="24"/>
        </w:rPr>
        <w:t>自投标截止日起</w:t>
      </w:r>
      <w:r>
        <w:rPr>
          <w:rFonts w:hint="eastAsia" w:ascii="宋体" w:hAnsi="宋体"/>
          <w:color w:val="000000"/>
          <w:szCs w:val="24"/>
          <w:u w:val="single"/>
        </w:rPr>
        <w:t>120</w:t>
      </w:r>
      <w:r>
        <w:rPr>
          <w:rFonts w:ascii="宋体" w:hAnsi="宋体"/>
          <w:color w:val="000000"/>
          <w:szCs w:val="24"/>
          <w:u w:val="single"/>
        </w:rPr>
        <w:t xml:space="preserve"> </w:t>
      </w:r>
      <w:r>
        <w:rPr>
          <w:rFonts w:ascii="宋体" w:hAnsi="宋体"/>
          <w:color w:val="000000"/>
          <w:szCs w:val="24"/>
        </w:rPr>
        <w:t>天投标</w:t>
      </w:r>
      <w:r>
        <w:rPr>
          <w:rFonts w:hint="eastAsia" w:ascii="宋体" w:hAnsi="宋体"/>
          <w:color w:val="000000"/>
          <w:szCs w:val="24"/>
        </w:rPr>
        <w:t>文件</w:t>
      </w:r>
      <w:r>
        <w:rPr>
          <w:rFonts w:ascii="宋体" w:hAnsi="宋体"/>
          <w:color w:val="000000"/>
          <w:szCs w:val="24"/>
        </w:rPr>
        <w:t>应保持有效。有效期</w:t>
      </w:r>
      <w:r>
        <w:rPr>
          <w:rFonts w:hint="eastAsia" w:ascii="宋体" w:hAnsi="宋体"/>
          <w:color w:val="000000"/>
          <w:szCs w:val="24"/>
        </w:rPr>
        <w:t>不足</w:t>
      </w:r>
      <w:r>
        <w:rPr>
          <w:rFonts w:ascii="宋体" w:hAnsi="宋体"/>
          <w:color w:val="000000"/>
          <w:szCs w:val="24"/>
        </w:rPr>
        <w:t>的投标</w:t>
      </w:r>
      <w:r>
        <w:rPr>
          <w:rFonts w:hint="eastAsia" w:ascii="宋体" w:hAnsi="宋体"/>
          <w:color w:val="000000"/>
          <w:szCs w:val="24"/>
        </w:rPr>
        <w:t>文件</w:t>
      </w:r>
      <w:r>
        <w:rPr>
          <w:rFonts w:ascii="宋体" w:hAnsi="宋体"/>
          <w:color w:val="000000"/>
          <w:szCs w:val="24"/>
        </w:rPr>
        <w:t>将被拒绝。</w:t>
      </w:r>
    </w:p>
    <w:p>
      <w:pPr>
        <w:pStyle w:val="15"/>
        <w:widowControl w:val="0"/>
        <w:numPr>
          <w:ilvl w:val="0"/>
          <w:numId w:val="0"/>
        </w:numPr>
        <w:snapToGrid w:val="0"/>
        <w:spacing w:afterLines="0"/>
        <w:ind w:firstLine="480" w:firstLineChars="200"/>
        <w:rPr>
          <w:rFonts w:ascii="宋体" w:hAnsi="宋体"/>
          <w:color w:val="000000"/>
          <w:szCs w:val="24"/>
        </w:rPr>
      </w:pPr>
      <w:r>
        <w:rPr>
          <w:rFonts w:ascii="宋体" w:hAnsi="宋体"/>
          <w:color w:val="000000"/>
          <w:szCs w:val="24"/>
        </w:rPr>
        <w:t>2</w:t>
      </w:r>
      <w:r>
        <w:rPr>
          <w:rFonts w:hint="eastAsia" w:ascii="宋体" w:hAnsi="宋体"/>
          <w:color w:val="000000"/>
          <w:szCs w:val="24"/>
        </w:rPr>
        <w:t>.</w:t>
      </w:r>
      <w:r>
        <w:rPr>
          <w:rFonts w:ascii="宋体" w:hAnsi="宋体"/>
          <w:color w:val="000000"/>
          <w:szCs w:val="24"/>
        </w:rPr>
        <w:t>在特殊情况下，</w:t>
      </w:r>
      <w:r>
        <w:rPr>
          <w:rFonts w:hint="eastAsia" w:ascii="宋体" w:hAnsi="宋体"/>
          <w:color w:val="000000"/>
          <w:szCs w:val="24"/>
        </w:rPr>
        <w:t>采购人</w:t>
      </w:r>
      <w:r>
        <w:rPr>
          <w:rFonts w:ascii="宋体" w:hAnsi="宋体"/>
          <w:color w:val="000000"/>
          <w:szCs w:val="24"/>
        </w:rPr>
        <w:t>可与</w:t>
      </w:r>
      <w:r>
        <w:rPr>
          <w:rFonts w:hint="eastAsia" w:ascii="宋体" w:hAnsi="宋体"/>
          <w:color w:val="000000"/>
          <w:szCs w:val="24"/>
        </w:rPr>
        <w:t>投标供应商</w:t>
      </w:r>
      <w:r>
        <w:rPr>
          <w:rFonts w:ascii="宋体" w:hAnsi="宋体"/>
          <w:color w:val="000000"/>
          <w:szCs w:val="24"/>
        </w:rPr>
        <w:t>协商延长投标书的有效期，这种要求和答复均以书面形式进行。</w:t>
      </w:r>
    </w:p>
    <w:p>
      <w:pPr>
        <w:pStyle w:val="15"/>
        <w:widowControl w:val="0"/>
        <w:numPr>
          <w:ilvl w:val="0"/>
          <w:numId w:val="0"/>
        </w:numPr>
        <w:snapToGrid w:val="0"/>
        <w:spacing w:afterLines="0"/>
        <w:ind w:firstLine="480" w:firstLineChars="200"/>
        <w:rPr>
          <w:rFonts w:ascii="宋体" w:hAnsi="宋体"/>
          <w:color w:val="000000"/>
          <w:szCs w:val="24"/>
        </w:rPr>
      </w:pPr>
      <w:r>
        <w:rPr>
          <w:rFonts w:ascii="宋体" w:hAnsi="宋体"/>
          <w:color w:val="000000"/>
          <w:szCs w:val="24"/>
        </w:rPr>
        <w:t>3</w:t>
      </w:r>
      <w:r>
        <w:rPr>
          <w:rFonts w:hint="eastAsia" w:ascii="宋体" w:hAnsi="宋体"/>
          <w:color w:val="000000"/>
          <w:szCs w:val="24"/>
        </w:rPr>
        <w:t>.投标供应商</w:t>
      </w:r>
      <w:r>
        <w:rPr>
          <w:rFonts w:ascii="宋体" w:hAnsi="宋体"/>
          <w:color w:val="000000"/>
          <w:szCs w:val="24"/>
        </w:rPr>
        <w:t>可拒绝接受延期要求而不会导致投标保证金被没收。同意延长有效期的</w:t>
      </w:r>
      <w:r>
        <w:rPr>
          <w:rFonts w:hint="eastAsia" w:ascii="宋体" w:hAnsi="宋体"/>
          <w:color w:val="000000"/>
          <w:szCs w:val="24"/>
        </w:rPr>
        <w:t>投标供应商</w:t>
      </w:r>
      <w:r>
        <w:rPr>
          <w:rFonts w:ascii="宋体" w:hAnsi="宋体"/>
          <w:color w:val="000000"/>
          <w:szCs w:val="24"/>
        </w:rPr>
        <w:t xml:space="preserve">需要相应延长投标保证金的有效期，但不能修改投标文件。 </w:t>
      </w:r>
    </w:p>
    <w:p>
      <w:pPr>
        <w:pStyle w:val="15"/>
        <w:widowControl w:val="0"/>
        <w:numPr>
          <w:ilvl w:val="0"/>
          <w:numId w:val="0"/>
        </w:numPr>
        <w:snapToGrid w:val="0"/>
        <w:spacing w:afterLines="0"/>
        <w:ind w:firstLine="480" w:firstLineChars="200"/>
        <w:rPr>
          <w:rFonts w:hint="eastAsia" w:ascii="宋体" w:hAnsi="宋体"/>
          <w:color w:val="000000"/>
          <w:szCs w:val="24"/>
        </w:rPr>
      </w:pPr>
      <w:r>
        <w:rPr>
          <w:rFonts w:ascii="宋体" w:hAnsi="宋体"/>
          <w:color w:val="000000"/>
          <w:szCs w:val="24"/>
        </w:rPr>
        <w:t>4</w:t>
      </w:r>
      <w:r>
        <w:rPr>
          <w:rFonts w:hint="eastAsia" w:ascii="宋体" w:hAnsi="宋体"/>
          <w:color w:val="000000"/>
          <w:szCs w:val="24"/>
        </w:rPr>
        <w:t>.中标供应商</w:t>
      </w:r>
      <w:r>
        <w:rPr>
          <w:rFonts w:ascii="宋体" w:hAnsi="宋体"/>
          <w:color w:val="000000"/>
          <w:szCs w:val="24"/>
        </w:rPr>
        <w:t>的投标文件自开标之日起至合同履行完毕止均应保持有效。</w:t>
      </w:r>
    </w:p>
    <w:p>
      <w:pPr>
        <w:pStyle w:val="4"/>
        <w:rPr>
          <w:rFonts w:ascii="宋体" w:hAnsi="宋体"/>
          <w:color w:val="000000"/>
          <w:sz w:val="24"/>
          <w:szCs w:val="24"/>
        </w:rPr>
      </w:pPr>
      <w:r>
        <w:rPr>
          <w:rFonts w:hint="eastAsia" w:ascii="宋体" w:hAnsi="宋体"/>
          <w:color w:val="000000"/>
          <w:sz w:val="24"/>
          <w:szCs w:val="24"/>
        </w:rPr>
        <w:t>（五）投标文件的签署和份数</w:t>
      </w:r>
    </w:p>
    <w:p>
      <w:pPr>
        <w:snapToGrid w:val="0"/>
        <w:spacing w:line="312" w:lineRule="auto"/>
        <w:ind w:firstLine="480" w:firstLineChars="200"/>
        <w:jc w:val="left"/>
        <w:rPr>
          <w:rFonts w:hint="eastAsia" w:ascii="宋体" w:hAnsi="宋体"/>
          <w:b/>
          <w:bCs/>
          <w:color w:val="000000"/>
          <w:sz w:val="24"/>
        </w:rPr>
      </w:pPr>
      <w:r>
        <w:rPr>
          <w:rFonts w:ascii="宋体" w:hAnsi="宋体"/>
          <w:color w:val="000000"/>
          <w:sz w:val="24"/>
        </w:rPr>
        <w:t>1</w:t>
      </w:r>
      <w:r>
        <w:rPr>
          <w:rFonts w:hint="eastAsia" w:ascii="宋体" w:hAnsi="宋体"/>
          <w:color w:val="000000"/>
          <w:sz w:val="24"/>
        </w:rPr>
        <w:t>. 投标供应商应根据电子投标操作指南按本采购文件规定的格式和顺序编制电子投标文件并进行关联定位</w:t>
      </w:r>
      <w:r>
        <w:rPr>
          <w:rFonts w:ascii="宋体" w:hAnsi="宋体"/>
          <w:color w:val="000000"/>
          <w:sz w:val="24"/>
        </w:rPr>
        <w:t>，投标文件内容不完整、编排混乱</w:t>
      </w:r>
      <w:r>
        <w:rPr>
          <w:rFonts w:hint="eastAsia" w:ascii="宋体" w:hAnsi="宋体"/>
          <w:color w:val="000000"/>
          <w:sz w:val="24"/>
        </w:rPr>
        <w:t>,关联定位模糊</w:t>
      </w:r>
      <w:r>
        <w:rPr>
          <w:rFonts w:ascii="宋体" w:hAnsi="宋体"/>
          <w:color w:val="000000"/>
          <w:sz w:val="24"/>
        </w:rPr>
        <w:t>导致投标文件被误读、漏读或者查找不到相关内容的，是</w:t>
      </w:r>
      <w:r>
        <w:rPr>
          <w:rFonts w:hint="eastAsia" w:ascii="宋体" w:hAnsi="宋体"/>
          <w:color w:val="000000"/>
          <w:sz w:val="24"/>
        </w:rPr>
        <w:t>投标供应商</w:t>
      </w:r>
      <w:r>
        <w:rPr>
          <w:rFonts w:ascii="宋体" w:hAnsi="宋体"/>
          <w:color w:val="000000"/>
          <w:sz w:val="24"/>
        </w:rPr>
        <w:t>的责任。</w:t>
      </w:r>
      <w:r>
        <w:rPr>
          <w:rFonts w:hint="eastAsia" w:ascii="宋体" w:hAnsi="宋体"/>
          <w:b/>
          <w:color w:val="000000"/>
          <w:sz w:val="24"/>
        </w:rPr>
        <w:t>电子投标文件须</w:t>
      </w:r>
      <w:r>
        <w:rPr>
          <w:rFonts w:hint="eastAsia" w:ascii="宋体" w:hAnsi="宋体"/>
          <w:b/>
          <w:bCs/>
          <w:color w:val="000000"/>
          <w:sz w:val="24"/>
        </w:rPr>
        <w:t>按政采云平台供应商项目采购-电子招投标操作指南</w:t>
      </w:r>
      <w:r>
        <w:rPr>
          <w:rFonts w:hint="eastAsia" w:ascii="宋体" w:hAnsi="宋体"/>
          <w:b/>
          <w:color w:val="000000"/>
          <w:sz w:val="24"/>
        </w:rPr>
        <w:t>及本采购文件要求制作和加密。</w:t>
      </w:r>
      <w:r>
        <w:rPr>
          <w:rFonts w:hint="eastAsia" w:ascii="宋体" w:hAnsi="宋体"/>
          <w:b/>
          <w:bCs/>
          <w:color w:val="000000"/>
          <w:sz w:val="24"/>
        </w:rPr>
        <w:t>（操作指南下载网址：</w:t>
      </w:r>
    </w:p>
    <w:p>
      <w:pPr>
        <w:snapToGrid w:val="0"/>
        <w:ind w:firstLine="482" w:firstLineChars="200"/>
        <w:jc w:val="left"/>
        <w:rPr>
          <w:rFonts w:ascii="宋体" w:hAnsi="宋体"/>
          <w:color w:val="000000"/>
          <w:sz w:val="24"/>
        </w:rPr>
      </w:pPr>
      <w:r>
        <w:rPr>
          <w:rFonts w:hint="eastAsia" w:ascii="宋体" w:hAnsi="宋体"/>
          <w:b/>
          <w:bCs/>
          <w:color w:val="000000"/>
          <w:sz w:val="24"/>
        </w:rPr>
        <w:t>https://help.zcygov.cn/web/site_2/2018/12-28/2573.html）</w:t>
      </w:r>
    </w:p>
    <w:p>
      <w:pPr>
        <w:snapToGrid w:val="0"/>
        <w:ind w:firstLine="480" w:firstLineChars="200"/>
        <w:jc w:val="left"/>
        <w:rPr>
          <w:rFonts w:hint="eastAsia" w:ascii="宋体" w:hAnsi="宋体"/>
          <w:color w:val="000000"/>
          <w:sz w:val="24"/>
        </w:rPr>
      </w:pPr>
      <w:r>
        <w:rPr>
          <w:rFonts w:ascii="宋体" w:hAnsi="宋体"/>
          <w:color w:val="000000"/>
          <w:sz w:val="24"/>
        </w:rPr>
        <w:t>2</w:t>
      </w:r>
      <w:r>
        <w:rPr>
          <w:rFonts w:hint="eastAsia" w:ascii="宋体" w:hAnsi="宋体"/>
          <w:color w:val="000000"/>
          <w:sz w:val="24"/>
        </w:rPr>
        <w:t xml:space="preserve">. </w:t>
      </w:r>
      <w:r>
        <w:rPr>
          <w:rFonts w:hint="eastAsia" w:ascii="宋体" w:hAnsi="宋体"/>
          <w:b/>
          <w:color w:val="000000"/>
          <w:sz w:val="24"/>
        </w:rPr>
        <w:t>投标供应商可以按政采云平台项目采购-电子招投标操作指南中上传的电子投标文件格式，提供以U盘或光盘形式的电子投标文件1份，但应单独密封。</w:t>
      </w:r>
    </w:p>
    <w:p>
      <w:pPr>
        <w:snapToGrid w:val="0"/>
        <w:ind w:firstLine="480" w:firstLineChars="200"/>
        <w:jc w:val="left"/>
        <w:rPr>
          <w:rFonts w:ascii="宋体" w:hAnsi="宋体"/>
          <w:color w:val="000000"/>
          <w:sz w:val="24"/>
        </w:rPr>
      </w:pPr>
      <w:r>
        <w:rPr>
          <w:rFonts w:hint="eastAsia" w:ascii="宋体" w:hAnsi="宋体"/>
          <w:color w:val="000000"/>
          <w:sz w:val="24"/>
        </w:rPr>
        <w:t>3.</w:t>
      </w:r>
      <w:r>
        <w:rPr>
          <w:rFonts w:ascii="宋体" w:hAnsi="宋体"/>
          <w:color w:val="000000"/>
          <w:sz w:val="24"/>
        </w:rPr>
        <w:t xml:space="preserve"> 由于未按</w:t>
      </w:r>
      <w:r>
        <w:rPr>
          <w:rFonts w:hint="eastAsia" w:ascii="宋体" w:hAnsi="宋体"/>
          <w:color w:val="000000"/>
          <w:sz w:val="24"/>
        </w:rPr>
        <w:t>采购文件</w:t>
      </w:r>
      <w:r>
        <w:rPr>
          <w:rFonts w:ascii="宋体" w:hAnsi="宋体"/>
          <w:color w:val="000000"/>
          <w:sz w:val="24"/>
        </w:rPr>
        <w:t>的规定要求编制投标文件，导致评审小组作出的对投标方的误判，责任由投标方自己承担。</w:t>
      </w:r>
    </w:p>
    <w:p>
      <w:pPr>
        <w:snapToGrid w:val="0"/>
        <w:ind w:firstLine="480" w:firstLineChars="200"/>
        <w:jc w:val="left"/>
        <w:rPr>
          <w:rFonts w:ascii="宋体" w:hAnsi="宋体"/>
          <w:color w:val="000000"/>
          <w:sz w:val="24"/>
        </w:rPr>
      </w:pPr>
    </w:p>
    <w:p>
      <w:pPr>
        <w:pStyle w:val="4"/>
        <w:rPr>
          <w:rFonts w:ascii="宋体" w:hAnsi="宋体"/>
          <w:color w:val="000000"/>
          <w:sz w:val="24"/>
          <w:szCs w:val="24"/>
        </w:rPr>
      </w:pPr>
      <w:r>
        <w:rPr>
          <w:rFonts w:hint="eastAsia" w:ascii="宋体" w:hAnsi="宋体"/>
          <w:color w:val="000000"/>
          <w:sz w:val="24"/>
          <w:szCs w:val="24"/>
        </w:rPr>
        <w:t>（六）电子投标文件的包装、递交、修改和撤回</w:t>
      </w:r>
    </w:p>
    <w:p>
      <w:pPr>
        <w:snapToGrid w:val="0"/>
        <w:ind w:firstLine="420"/>
        <w:jc w:val="left"/>
        <w:rPr>
          <w:rFonts w:hint="eastAsia" w:ascii="宋体" w:hAnsi="宋体"/>
          <w:color w:val="000000"/>
          <w:sz w:val="24"/>
        </w:rPr>
      </w:pPr>
      <w:r>
        <w:rPr>
          <w:rFonts w:hint="eastAsia" w:ascii="宋体" w:hAnsi="宋体"/>
          <w:color w:val="000000"/>
          <w:sz w:val="24"/>
        </w:rPr>
        <w:t>1.</w:t>
      </w:r>
      <w:r>
        <w:rPr>
          <w:rFonts w:hint="eastAsia" w:ascii="宋体" w:hAnsi="宋体"/>
          <w:b/>
          <w:color w:val="000000"/>
          <w:sz w:val="24"/>
          <w:u w:val="single"/>
        </w:rPr>
        <w:t xml:space="preserve"> 以U盘或光盘形式存储的电子投标文件应按以下方法密封标记</w:t>
      </w:r>
      <w:r>
        <w:rPr>
          <w:rFonts w:hint="eastAsia" w:ascii="宋体" w:hAnsi="宋体"/>
          <w:color w:val="000000"/>
          <w:sz w:val="24"/>
        </w:rPr>
        <w:t>：</w:t>
      </w:r>
      <w:r>
        <w:rPr>
          <w:rFonts w:ascii="宋体" w:hAnsi="宋体"/>
          <w:color w:val="000000"/>
          <w:sz w:val="24"/>
        </w:rPr>
        <w:t>外包装封面上</w:t>
      </w:r>
      <w:r>
        <w:rPr>
          <w:rFonts w:hint="eastAsia" w:ascii="宋体" w:hAnsi="宋体"/>
          <w:color w:val="000000"/>
          <w:sz w:val="24"/>
        </w:rPr>
        <w:t>请</w:t>
      </w:r>
      <w:r>
        <w:rPr>
          <w:rFonts w:ascii="宋体" w:hAnsi="宋体"/>
          <w:color w:val="000000"/>
          <w:sz w:val="24"/>
        </w:rPr>
        <w:t>标明“招标编号、投标项目名称</w:t>
      </w:r>
      <w:r>
        <w:rPr>
          <w:rFonts w:hint="eastAsia" w:ascii="宋体" w:hAnsi="宋体"/>
          <w:color w:val="000000"/>
          <w:sz w:val="24"/>
        </w:rPr>
        <w:t>（含标项）</w:t>
      </w:r>
      <w:r>
        <w:rPr>
          <w:rFonts w:ascii="宋体" w:hAnsi="宋体"/>
          <w:color w:val="000000"/>
          <w:sz w:val="24"/>
        </w:rPr>
        <w:t>、</w:t>
      </w:r>
      <w:r>
        <w:rPr>
          <w:rFonts w:hint="eastAsia" w:ascii="宋体" w:hAnsi="宋体"/>
          <w:color w:val="000000"/>
          <w:sz w:val="24"/>
        </w:rPr>
        <w:t>投标供应商名称、备份电子投标文件</w:t>
      </w:r>
      <w:r>
        <w:rPr>
          <w:rFonts w:ascii="宋体" w:hAnsi="宋体"/>
          <w:color w:val="000000"/>
          <w:sz w:val="24"/>
        </w:rPr>
        <w:t>”等，并注明“于</w:t>
      </w:r>
      <w:r>
        <w:rPr>
          <w:rFonts w:hint="eastAsia" w:ascii="宋体" w:hAnsi="宋体"/>
          <w:color w:val="000000"/>
          <w:sz w:val="24"/>
          <w:u w:val="single"/>
        </w:rPr>
        <w:t>2023年12月20日10时 00 分</w:t>
      </w:r>
      <w:r>
        <w:rPr>
          <w:rFonts w:ascii="宋体" w:hAnsi="宋体"/>
          <w:color w:val="000000"/>
          <w:sz w:val="24"/>
        </w:rPr>
        <w:t>前不准启封”的字样。</w:t>
      </w:r>
    </w:p>
    <w:p>
      <w:pPr>
        <w:snapToGrid w:val="0"/>
        <w:ind w:firstLine="420"/>
        <w:jc w:val="left"/>
        <w:rPr>
          <w:rFonts w:hint="eastAsia" w:ascii="宋体" w:hAnsi="宋体"/>
          <w:color w:val="000000"/>
          <w:sz w:val="24"/>
        </w:rPr>
      </w:pPr>
      <w:r>
        <w:rPr>
          <w:rFonts w:hint="eastAsia" w:ascii="宋体" w:hAnsi="宋体"/>
          <w:color w:val="000000"/>
          <w:sz w:val="24"/>
        </w:rPr>
        <w:t>2.未按规定密封的备份投标文件将被拒绝，未按规定标记的备份投标文件有被误投或提前拆封等风险，因未按规定密封或标记所造成的一切后果由投标供应商承担。</w:t>
      </w:r>
    </w:p>
    <w:p>
      <w:pPr>
        <w:tabs>
          <w:tab w:val="left" w:pos="1620"/>
        </w:tabs>
        <w:snapToGrid w:val="0"/>
        <w:ind w:firstLine="420"/>
        <w:jc w:val="left"/>
        <w:rPr>
          <w:rFonts w:hint="eastAsia" w:ascii="宋体" w:hAnsi="宋体"/>
          <w:color w:val="000000"/>
          <w:sz w:val="24"/>
        </w:rPr>
      </w:pPr>
      <w:r>
        <w:rPr>
          <w:rFonts w:hint="eastAsia" w:ascii="宋体" w:hAnsi="宋体"/>
          <w:color w:val="000000"/>
          <w:sz w:val="24"/>
        </w:rPr>
        <w:t>3.</w:t>
      </w:r>
      <w:r>
        <w:rPr>
          <w:rFonts w:ascii="宋体" w:hAnsi="宋体"/>
          <w:color w:val="000000"/>
          <w:sz w:val="24"/>
        </w:rPr>
        <w:t>开标地点即为</w:t>
      </w:r>
      <w:r>
        <w:rPr>
          <w:rFonts w:hint="eastAsia" w:ascii="宋体" w:hAnsi="宋体"/>
          <w:color w:val="000000"/>
          <w:sz w:val="24"/>
        </w:rPr>
        <w:t>备份电子投标文件</w:t>
      </w:r>
      <w:r>
        <w:rPr>
          <w:rFonts w:ascii="宋体" w:hAnsi="宋体"/>
          <w:color w:val="000000"/>
          <w:sz w:val="24"/>
        </w:rPr>
        <w:t>的递交地点</w:t>
      </w:r>
      <w:r>
        <w:rPr>
          <w:rFonts w:hint="eastAsia" w:ascii="宋体" w:hAnsi="宋体"/>
          <w:color w:val="000000"/>
          <w:sz w:val="24"/>
        </w:rPr>
        <w:t>，</w:t>
      </w:r>
      <w:r>
        <w:rPr>
          <w:rFonts w:ascii="宋体" w:hAnsi="宋体"/>
          <w:color w:val="000000"/>
          <w:sz w:val="24"/>
        </w:rPr>
        <w:t>开标开始时间即为投标截止时间</w:t>
      </w:r>
      <w:r>
        <w:rPr>
          <w:rFonts w:hint="eastAsia" w:ascii="宋体" w:hAnsi="宋体"/>
          <w:color w:val="000000"/>
          <w:sz w:val="24"/>
        </w:rPr>
        <w:t>。</w:t>
      </w:r>
    </w:p>
    <w:p>
      <w:pPr>
        <w:snapToGrid w:val="0"/>
        <w:ind w:firstLine="420"/>
        <w:jc w:val="left"/>
        <w:rPr>
          <w:rFonts w:hint="eastAsia" w:ascii="宋体" w:hAnsi="宋体"/>
          <w:color w:val="000000"/>
          <w:sz w:val="24"/>
        </w:rPr>
      </w:pPr>
      <w:r>
        <w:rPr>
          <w:rFonts w:hint="eastAsia" w:ascii="宋体" w:hAnsi="宋体"/>
          <w:color w:val="000000"/>
          <w:sz w:val="24"/>
        </w:rPr>
        <w:t>4.投标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p>
    <w:p>
      <w:pPr>
        <w:snapToGrid w:val="0"/>
        <w:ind w:firstLine="420"/>
        <w:jc w:val="left"/>
        <w:rPr>
          <w:rFonts w:hint="eastAsia" w:ascii="宋体" w:hAnsi="宋体"/>
          <w:color w:val="000000"/>
          <w:sz w:val="24"/>
        </w:rPr>
      </w:pPr>
    </w:p>
    <w:p>
      <w:pPr>
        <w:pStyle w:val="4"/>
        <w:rPr>
          <w:rFonts w:ascii="宋体" w:hAnsi="宋体"/>
          <w:color w:val="000000"/>
          <w:sz w:val="24"/>
          <w:szCs w:val="24"/>
        </w:rPr>
      </w:pPr>
      <w:r>
        <w:rPr>
          <w:rFonts w:hint="eastAsia" w:ascii="宋体" w:hAnsi="宋体"/>
          <w:color w:val="000000"/>
          <w:sz w:val="24"/>
          <w:szCs w:val="24"/>
        </w:rPr>
        <w:t>（七）投标无效的情形</w:t>
      </w:r>
    </w:p>
    <w:p>
      <w:pPr>
        <w:snapToGrid w:val="0"/>
        <w:ind w:firstLine="480" w:firstLineChars="200"/>
        <w:rPr>
          <w:rFonts w:ascii="宋体" w:hAnsi="宋体"/>
          <w:bCs/>
          <w:color w:val="000000"/>
          <w:sz w:val="24"/>
        </w:rPr>
      </w:pPr>
      <w:r>
        <w:rPr>
          <w:rFonts w:hint="eastAsia" w:ascii="宋体" w:hAnsi="宋体"/>
          <w:bCs/>
          <w:color w:val="000000"/>
          <w:sz w:val="24"/>
        </w:rPr>
        <w:t>实质上没有响应采购文件要求的投标将被视为无效投标。投标供应商不得通过修正或撤消不合要求的偏离或保留从而使其投标成为实质上响应的投标，但经评标委员会认定属于投标供应商疏忽、笔误所造成的差错，应当允许其在评标结束之前进行修改或者补正（可以是扫描件、传真件等，原件必须加盖单位公章）。修改或者补正投标文件必须以书面形式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ind w:firstLine="472" w:firstLineChars="196"/>
        <w:rPr>
          <w:rFonts w:ascii="宋体" w:hAnsi="宋体"/>
          <w:b/>
          <w:bCs/>
          <w:color w:val="000000"/>
          <w:sz w:val="24"/>
        </w:rPr>
      </w:pPr>
      <w:r>
        <w:rPr>
          <w:rFonts w:ascii="宋体" w:hAnsi="宋体"/>
          <w:b/>
          <w:bCs/>
          <w:color w:val="000000"/>
          <w:sz w:val="24"/>
        </w:rPr>
        <w:t>1</w:t>
      </w:r>
      <w:r>
        <w:rPr>
          <w:rFonts w:hint="eastAsia" w:ascii="宋体" w:hAnsi="宋体"/>
          <w:b/>
          <w:bCs/>
          <w:color w:val="000000"/>
          <w:sz w:val="24"/>
        </w:rPr>
        <w:t>.</w:t>
      </w:r>
      <w:r>
        <w:rPr>
          <w:rFonts w:ascii="宋体" w:hAnsi="宋体"/>
          <w:b/>
          <w:bCs/>
          <w:color w:val="000000"/>
          <w:sz w:val="24"/>
        </w:rPr>
        <w:t>在符合性审查和商务评审时，如发现下列情形之一的，投标文件将被视为无效：</w:t>
      </w:r>
    </w:p>
    <w:p>
      <w:pPr>
        <w:snapToGrid w:val="0"/>
        <w:ind w:firstLine="470" w:firstLineChars="196"/>
        <w:rPr>
          <w:rFonts w:hint="eastAsia" w:ascii="宋体" w:hAnsi="宋体"/>
          <w:color w:val="000000"/>
          <w:sz w:val="24"/>
        </w:rPr>
      </w:pPr>
      <w:r>
        <w:rPr>
          <w:rFonts w:hint="eastAsia" w:ascii="宋体" w:hAnsi="宋体"/>
          <w:color w:val="000000"/>
          <w:sz w:val="24"/>
        </w:rPr>
        <w:t>（1）资格文件不全的，或者不符合采购文件标明的资格要求的</w:t>
      </w:r>
    </w:p>
    <w:p>
      <w:pPr>
        <w:snapToGrid w:val="0"/>
        <w:ind w:firstLine="470" w:firstLineChars="196"/>
        <w:rPr>
          <w:rFonts w:hint="eastAsia" w:ascii="宋体" w:hAnsi="宋体"/>
          <w:color w:val="000000"/>
          <w:sz w:val="24"/>
        </w:rPr>
      </w:pPr>
      <w:r>
        <w:rPr>
          <w:rFonts w:hint="eastAsia" w:ascii="宋体" w:hAnsi="宋体"/>
          <w:color w:val="000000"/>
          <w:sz w:val="24"/>
        </w:rPr>
        <w:t>（2）投标文件无法定代表人签字,或未提供法定代表人授权委托书、投标声明书或者填写项目不齐全的；</w:t>
      </w:r>
    </w:p>
    <w:p>
      <w:pPr>
        <w:snapToGrid w:val="0"/>
        <w:ind w:firstLine="470" w:firstLineChars="196"/>
        <w:rPr>
          <w:rFonts w:hint="eastAsia" w:ascii="宋体" w:hAnsi="宋体"/>
          <w:color w:val="000000"/>
          <w:sz w:val="24"/>
        </w:rPr>
      </w:pPr>
      <w:r>
        <w:rPr>
          <w:rFonts w:hint="eastAsia" w:ascii="宋体" w:hAnsi="宋体"/>
          <w:color w:val="000000"/>
          <w:sz w:val="24"/>
        </w:rPr>
        <w:t xml:space="preserve">（3）投标代表人未能出具身份有效证件或与法定代表人授权委托人身份不符的； </w:t>
      </w:r>
    </w:p>
    <w:p>
      <w:pPr>
        <w:snapToGrid w:val="0"/>
        <w:ind w:firstLine="470" w:firstLineChars="196"/>
        <w:rPr>
          <w:rFonts w:hint="eastAsia" w:ascii="宋体" w:hAnsi="宋体"/>
          <w:color w:val="000000"/>
          <w:sz w:val="24"/>
        </w:rPr>
      </w:pPr>
      <w:r>
        <w:rPr>
          <w:rFonts w:hint="eastAsia" w:ascii="宋体" w:hAnsi="宋体"/>
          <w:color w:val="000000"/>
          <w:sz w:val="24"/>
        </w:rPr>
        <w:t>（4）投标文件格式不规范、项目不齐全或者内容虚假的；</w:t>
      </w:r>
    </w:p>
    <w:p>
      <w:pPr>
        <w:snapToGrid w:val="0"/>
        <w:ind w:firstLine="470" w:firstLineChars="196"/>
        <w:rPr>
          <w:rFonts w:hint="eastAsia" w:ascii="宋体" w:hAnsi="宋体"/>
          <w:color w:val="000000"/>
          <w:sz w:val="24"/>
        </w:rPr>
      </w:pPr>
      <w:r>
        <w:rPr>
          <w:rFonts w:hint="eastAsia" w:ascii="宋体" w:hAnsi="宋体"/>
          <w:color w:val="000000"/>
          <w:sz w:val="24"/>
        </w:rPr>
        <w:t>（5）投标文件的实质性内容未使用中文表述、意思表述不明确、前后矛盾或者使用计量单位不符合采购文件要求的（经评标委员会认定并允许其当场更正的笔误除外）</w:t>
      </w:r>
    </w:p>
    <w:p>
      <w:pPr>
        <w:snapToGrid w:val="0"/>
        <w:ind w:firstLine="470" w:firstLineChars="196"/>
        <w:rPr>
          <w:rFonts w:hint="eastAsia" w:ascii="宋体" w:hAnsi="宋体"/>
          <w:color w:val="000000"/>
          <w:sz w:val="24"/>
        </w:rPr>
      </w:pPr>
      <w:r>
        <w:rPr>
          <w:rFonts w:hint="eastAsia" w:ascii="宋体" w:hAnsi="宋体"/>
          <w:color w:val="000000"/>
          <w:sz w:val="24"/>
        </w:rPr>
        <w:t>（6）投标有效期、交货时间、质保期等商务条款不能满足采购文件要求的；</w:t>
      </w:r>
    </w:p>
    <w:p>
      <w:pPr>
        <w:snapToGrid w:val="0"/>
        <w:ind w:firstLine="470" w:firstLineChars="196"/>
        <w:rPr>
          <w:rFonts w:hint="eastAsia" w:hAnsi="宋体"/>
          <w:color w:val="000000"/>
          <w:sz w:val="24"/>
        </w:rPr>
      </w:pPr>
      <w:r>
        <w:rPr>
          <w:rFonts w:hint="eastAsia" w:ascii="宋体" w:hAnsi="宋体"/>
          <w:color w:val="000000"/>
          <w:sz w:val="24"/>
        </w:rPr>
        <w:t>（7</w:t>
      </w:r>
      <w:r>
        <w:rPr>
          <w:rFonts w:hAnsi="宋体"/>
          <w:color w:val="000000"/>
          <w:sz w:val="24"/>
        </w:rPr>
        <w:t>）</w:t>
      </w:r>
      <w:r>
        <w:rPr>
          <w:rFonts w:hint="eastAsia" w:hAnsi="宋体"/>
          <w:color w:val="000000"/>
          <w:sz w:val="24"/>
        </w:rPr>
        <w:t>未实质性</w:t>
      </w:r>
      <w:r>
        <w:rPr>
          <w:rFonts w:hAnsi="宋体"/>
          <w:color w:val="000000"/>
          <w:sz w:val="24"/>
        </w:rPr>
        <w:t>响应</w:t>
      </w:r>
      <w:r>
        <w:rPr>
          <w:rFonts w:hint="eastAsia" w:hAnsi="宋体"/>
          <w:color w:val="000000"/>
          <w:sz w:val="24"/>
        </w:rPr>
        <w:t>采购文件</w:t>
      </w:r>
      <w:r>
        <w:rPr>
          <w:rFonts w:hAnsi="宋体"/>
          <w:color w:val="000000"/>
          <w:sz w:val="24"/>
        </w:rPr>
        <w:t>要求或者投标文件有招标方不能接受的附加条件的</w:t>
      </w:r>
      <w:r>
        <w:rPr>
          <w:rFonts w:hint="eastAsia" w:hAnsi="宋体"/>
          <w:color w:val="000000"/>
          <w:sz w:val="24"/>
        </w:rPr>
        <w:t>。</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（8）有下列情形之一的，视为投标供应商串通投标，其投标无效:</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A.不同投标供应商的投标文件由同一单位或者个人编制；</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B.不同投标供应商委托同一单位或者个人办理投标事宜；</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C.不同投标供应商的投标文件载明的项目管理成员或者联系人员为同一人；</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D.不同投标供应商的投标文件异常一致或者投标报价呈规律性差异；</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E.不同投标供应商的投标文件相互混装；</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F.不同投标供应商的投标保证金从同一单位或者个人的账户转出。</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（9）本项目投标截止之日前三年内，相关主体在“信用中国”网站(</w:t>
      </w:r>
      <w:r>
        <w:rPr>
          <w:rFonts w:hint="eastAsia" w:hAnsi="宋体"/>
          <w:color w:val="000000"/>
          <w:sz w:val="24"/>
          <w:szCs w:val="24"/>
        </w:rPr>
        <w:fldChar w:fldCharType="begin"/>
      </w:r>
      <w:r>
        <w:rPr>
          <w:rFonts w:hint="eastAsia" w:hAnsi="宋体"/>
          <w:color w:val="000000"/>
          <w:sz w:val="24"/>
          <w:szCs w:val="24"/>
        </w:rPr>
        <w:instrText xml:space="preserve"> HYPERLINK "http://www.creditchina.gov.cn" </w:instrText>
      </w:r>
      <w:r>
        <w:rPr>
          <w:rFonts w:hint="eastAsia" w:hAnsi="宋体"/>
          <w:color w:val="000000"/>
          <w:sz w:val="24"/>
          <w:szCs w:val="24"/>
        </w:rPr>
        <w:fldChar w:fldCharType="separate"/>
      </w:r>
      <w:r>
        <w:rPr>
          <w:rFonts w:hint="eastAsia" w:hAnsi="宋体"/>
          <w:color w:val="000000"/>
          <w:sz w:val="24"/>
          <w:szCs w:val="24"/>
        </w:rPr>
        <w:t>www.creditchina.gov.cn</w:t>
      </w:r>
      <w:r>
        <w:rPr>
          <w:rFonts w:hint="eastAsia" w:hAnsi="宋体"/>
          <w:color w:val="000000"/>
          <w:sz w:val="24"/>
          <w:szCs w:val="24"/>
        </w:rPr>
        <w:fldChar w:fldCharType="end"/>
      </w:r>
      <w:r>
        <w:rPr>
          <w:rFonts w:hint="eastAsia" w:hAnsi="宋体"/>
          <w:color w:val="000000"/>
          <w:sz w:val="24"/>
          <w:szCs w:val="24"/>
        </w:rPr>
        <w:t>)、中国政府采购网(</w:t>
      </w:r>
      <w:r>
        <w:rPr>
          <w:rFonts w:hint="eastAsia" w:hAnsi="宋体"/>
          <w:color w:val="000000"/>
          <w:sz w:val="24"/>
          <w:szCs w:val="24"/>
        </w:rPr>
        <w:fldChar w:fldCharType="begin"/>
      </w:r>
      <w:r>
        <w:rPr>
          <w:rFonts w:hint="eastAsia" w:hAnsi="宋体"/>
          <w:color w:val="000000"/>
          <w:sz w:val="24"/>
          <w:szCs w:val="24"/>
        </w:rPr>
        <w:instrText xml:space="preserve"> HYPERLINK "http://www.ccgp.gov.cn" </w:instrText>
      </w:r>
      <w:r>
        <w:rPr>
          <w:rFonts w:hint="eastAsia" w:hAnsi="宋体"/>
          <w:color w:val="000000"/>
          <w:sz w:val="24"/>
          <w:szCs w:val="24"/>
        </w:rPr>
        <w:fldChar w:fldCharType="separate"/>
      </w:r>
      <w:r>
        <w:rPr>
          <w:rFonts w:hint="eastAsia" w:hAnsi="宋体"/>
          <w:color w:val="000000"/>
          <w:sz w:val="24"/>
          <w:szCs w:val="24"/>
        </w:rPr>
        <w:t>www.ccgp.gov.cn</w:t>
      </w:r>
      <w:r>
        <w:rPr>
          <w:rFonts w:hint="eastAsia" w:hAnsi="宋体"/>
          <w:color w:val="000000"/>
          <w:sz w:val="24"/>
          <w:szCs w:val="24"/>
        </w:rPr>
        <w:fldChar w:fldCharType="end"/>
      </w:r>
      <w:r>
        <w:rPr>
          <w:rFonts w:hint="eastAsia" w:hAnsi="宋体"/>
          <w:color w:val="000000"/>
          <w:sz w:val="24"/>
          <w:szCs w:val="24"/>
        </w:rPr>
        <w:t>)有失信行为或被列入受惩黑名单。</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（10）电子投标文件解密失败的，且未在规定时间内提交电子备份投标文件的；</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（11）电子投标文件未按规定要求进行签字、电子签章的。</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（12）法律、法规和采购文件规定的其他无效情形。</w:t>
      </w:r>
    </w:p>
    <w:p>
      <w:pPr>
        <w:pStyle w:val="6"/>
        <w:snapToGrid w:val="0"/>
        <w:spacing w:line="240" w:lineRule="auto"/>
        <w:ind w:firstLine="454" w:firstLineChars="196"/>
        <w:rPr>
          <w:rFonts w:hint="eastAsia" w:hAnsi="宋体"/>
          <w:color w:val="000000"/>
          <w:sz w:val="24"/>
          <w:szCs w:val="24"/>
        </w:rPr>
      </w:pPr>
    </w:p>
    <w:p>
      <w:pPr>
        <w:pStyle w:val="6"/>
        <w:snapToGrid w:val="0"/>
        <w:spacing w:line="240" w:lineRule="auto"/>
        <w:ind w:firstLine="457" w:firstLineChars="196"/>
        <w:rPr>
          <w:rFonts w:hAnsi="宋体"/>
          <w:b/>
          <w:bCs/>
          <w:color w:val="000000"/>
          <w:sz w:val="24"/>
          <w:szCs w:val="24"/>
        </w:rPr>
      </w:pPr>
      <w:r>
        <w:rPr>
          <w:rFonts w:hAnsi="宋体"/>
          <w:b/>
          <w:bCs/>
          <w:color w:val="000000"/>
          <w:sz w:val="24"/>
          <w:szCs w:val="24"/>
        </w:rPr>
        <w:t>2</w:t>
      </w:r>
      <w:r>
        <w:rPr>
          <w:rFonts w:hint="eastAsia" w:hAnsi="宋体"/>
          <w:b/>
          <w:bCs/>
          <w:color w:val="000000"/>
          <w:sz w:val="24"/>
          <w:szCs w:val="24"/>
        </w:rPr>
        <w:t>.</w:t>
      </w:r>
      <w:r>
        <w:rPr>
          <w:rFonts w:hAnsi="宋体"/>
          <w:b/>
          <w:bCs/>
          <w:color w:val="000000"/>
          <w:sz w:val="24"/>
          <w:szCs w:val="24"/>
        </w:rPr>
        <w:t>在技术评审时，如发现下列情形之一的，投标文件将被视为无效：</w:t>
      </w:r>
    </w:p>
    <w:p>
      <w:pPr>
        <w:tabs>
          <w:tab w:val="left" w:pos="1440"/>
        </w:tabs>
        <w:ind w:firstLine="470" w:firstLineChars="196"/>
        <w:rPr>
          <w:rFonts w:hint="eastAsia" w:ascii="宋体" w:hAnsi="宋体"/>
          <w:b/>
          <w:snapToGrid w:val="0"/>
          <w:color w:val="000000"/>
          <w:sz w:val="24"/>
        </w:rPr>
      </w:pPr>
      <w:r>
        <w:rPr>
          <w:rFonts w:ascii="宋体" w:hAnsi="宋体"/>
          <w:color w:val="000000"/>
          <w:sz w:val="24"/>
        </w:rPr>
        <w:t>（1）</w:t>
      </w:r>
      <w:r>
        <w:rPr>
          <w:rFonts w:hint="eastAsia" w:ascii="宋体" w:hAnsi="宋体"/>
          <w:b/>
          <w:color w:val="000000"/>
          <w:sz w:val="24"/>
        </w:rPr>
        <w:t>投标货物的</w:t>
      </w:r>
      <w:r>
        <w:rPr>
          <w:rFonts w:hint="eastAsia" w:ascii="宋体" w:hAnsi="宋体"/>
          <w:b/>
          <w:snapToGrid w:val="0"/>
          <w:color w:val="000000"/>
          <w:sz w:val="24"/>
        </w:rPr>
        <w:t>技术规范、技术标准明显不符合国家强制性要求的；</w:t>
      </w:r>
    </w:p>
    <w:p>
      <w:pPr>
        <w:pStyle w:val="6"/>
        <w:snapToGrid w:val="0"/>
        <w:spacing w:line="240" w:lineRule="auto"/>
        <w:ind w:firstLine="470" w:firstLineChars="196"/>
        <w:rPr>
          <w:rFonts w:hAnsi="宋体"/>
          <w:color w:val="000000"/>
          <w:sz w:val="24"/>
          <w:szCs w:val="24"/>
        </w:rPr>
      </w:pPr>
      <w:r>
        <w:rPr>
          <w:rFonts w:hAnsi="宋体"/>
          <w:color w:val="000000"/>
          <w:spacing w:val="0"/>
          <w:sz w:val="24"/>
          <w:szCs w:val="24"/>
        </w:rPr>
        <w:t>（2）</w:t>
      </w:r>
      <w:r>
        <w:rPr>
          <w:rFonts w:hAnsi="宋体"/>
          <w:color w:val="000000"/>
          <w:sz w:val="24"/>
          <w:szCs w:val="24"/>
        </w:rPr>
        <w:t>未提供或未如实提供投标货物的技术参数，或者投标文件标明的响应或偏离与事实不符或虚假投标的；</w:t>
      </w:r>
    </w:p>
    <w:p>
      <w:pPr>
        <w:snapToGrid w:val="0"/>
        <w:ind w:firstLine="470" w:firstLineChars="196"/>
        <w:rPr>
          <w:rFonts w:hint="eastAsia" w:ascii="宋体" w:hAnsi="宋体"/>
          <w:color w:val="000000"/>
          <w:sz w:val="24"/>
        </w:rPr>
      </w:pPr>
      <w:r>
        <w:rPr>
          <w:rFonts w:hint="eastAsia" w:ascii="宋体" w:hAnsi="宋体"/>
          <w:color w:val="000000"/>
          <w:sz w:val="24"/>
        </w:rPr>
        <w:t>（3）明显不符合采购文件要求的规格型号、质量标准，或者与采购文件中标“▲”的技术指标、主要功能项目发生实质性偏离的；</w:t>
      </w:r>
    </w:p>
    <w:p>
      <w:pPr>
        <w:snapToGrid w:val="0"/>
        <w:ind w:firstLine="470" w:firstLineChars="196"/>
        <w:rPr>
          <w:rFonts w:hint="eastAsia" w:hAnsi="宋体"/>
          <w:color w:val="000000"/>
          <w:sz w:val="24"/>
        </w:rPr>
      </w:pPr>
      <w:r>
        <w:rPr>
          <w:rFonts w:hint="eastAsia" w:ascii="宋体" w:hAnsi="宋体"/>
          <w:color w:val="000000"/>
          <w:sz w:val="24"/>
        </w:rPr>
        <w:t>（</w:t>
      </w:r>
      <w:r>
        <w:rPr>
          <w:rFonts w:hAnsi="宋体"/>
          <w:color w:val="000000"/>
          <w:sz w:val="24"/>
        </w:rPr>
        <w:t>4）</w:t>
      </w:r>
      <w:r>
        <w:rPr>
          <w:rFonts w:hint="eastAsia" w:hAnsi="宋体"/>
          <w:color w:val="000000"/>
          <w:sz w:val="24"/>
        </w:rPr>
        <w:t>设备</w:t>
      </w:r>
      <w:r>
        <w:rPr>
          <w:rFonts w:hAnsi="宋体"/>
          <w:color w:val="000000"/>
          <w:sz w:val="24"/>
        </w:rPr>
        <w:t>允许偏离的技术、性能指标或者辅助功能项目发生负偏离</w:t>
      </w:r>
      <w:r>
        <w:rPr>
          <w:rFonts w:hint="eastAsia" w:hAnsi="宋体"/>
          <w:color w:val="000000"/>
          <w:sz w:val="24"/>
        </w:rPr>
        <w:t>，评委认为偏离整个项目所要达到的主要功能需求</w:t>
      </w:r>
      <w:r>
        <w:rPr>
          <w:rFonts w:hAnsi="宋体"/>
          <w:color w:val="000000"/>
          <w:sz w:val="24"/>
        </w:rPr>
        <w:t>的；</w:t>
      </w:r>
    </w:p>
    <w:p>
      <w:pPr>
        <w:snapToGrid w:val="0"/>
        <w:ind w:firstLine="470" w:firstLineChars="196"/>
        <w:rPr>
          <w:rFonts w:hint="eastAsia" w:ascii="宋体" w:hAnsi="宋体"/>
          <w:color w:val="000000"/>
          <w:sz w:val="24"/>
        </w:rPr>
      </w:pPr>
      <w:r>
        <w:rPr>
          <w:rFonts w:hint="eastAsia" w:ascii="宋体" w:hAnsi="宋体"/>
          <w:color w:val="000000"/>
          <w:sz w:val="24"/>
        </w:rPr>
        <w:t>（5）技术标投标品牌型号、数量等与价格标报价明细表中品牌型号、数量等不一致的；</w:t>
      </w:r>
    </w:p>
    <w:p>
      <w:pPr>
        <w:snapToGrid w:val="0"/>
        <w:ind w:firstLine="470" w:firstLineChars="196"/>
        <w:rPr>
          <w:rFonts w:hint="eastAsia" w:ascii="宋体" w:hAnsi="宋体"/>
          <w:color w:val="000000"/>
          <w:sz w:val="24"/>
        </w:rPr>
      </w:pPr>
      <w:r>
        <w:rPr>
          <w:rFonts w:hint="eastAsia" w:ascii="宋体" w:hAnsi="宋体"/>
          <w:color w:val="000000"/>
          <w:sz w:val="24"/>
        </w:rPr>
        <w:t>（6）投标技术方案不明确，存在一个或一个以上备选（替代）投标方案的；</w:t>
      </w:r>
    </w:p>
    <w:p>
      <w:pPr>
        <w:snapToGrid w:val="0"/>
        <w:ind w:firstLine="470" w:firstLineChars="196"/>
        <w:rPr>
          <w:rFonts w:hint="eastAsia" w:ascii="宋体" w:hAnsi="宋体"/>
          <w:color w:val="000000"/>
          <w:sz w:val="24"/>
        </w:rPr>
      </w:pPr>
      <w:r>
        <w:rPr>
          <w:rFonts w:hint="eastAsia" w:ascii="宋体" w:hAnsi="宋体"/>
          <w:color w:val="000000"/>
          <w:sz w:val="24"/>
        </w:rPr>
        <w:t>（7）与其他参加本次投标投标供应商的投标文件（技术文件）的文字表述内容相同连续20行以上或者差错相同2处以上的（采购文件中复制粘贴而来的除外）；</w:t>
      </w:r>
    </w:p>
    <w:p>
      <w:pPr>
        <w:snapToGrid w:val="0"/>
        <w:ind w:firstLine="470" w:firstLineChars="196"/>
        <w:rPr>
          <w:rFonts w:hint="eastAsia" w:ascii="宋体" w:hAnsi="宋体"/>
          <w:color w:val="000000"/>
          <w:sz w:val="24"/>
        </w:rPr>
      </w:pPr>
      <w:r>
        <w:rPr>
          <w:rFonts w:hint="eastAsia" w:ascii="宋体" w:hAnsi="宋体"/>
          <w:color w:val="000000"/>
          <w:sz w:val="24"/>
        </w:rPr>
        <w:t>（8）在技术商务标中出现投标报价的。</w:t>
      </w:r>
    </w:p>
    <w:p>
      <w:pPr>
        <w:snapToGrid w:val="0"/>
        <w:ind w:firstLine="470" w:firstLineChars="196"/>
        <w:rPr>
          <w:rFonts w:hint="eastAsia" w:hAnsi="宋体"/>
          <w:color w:val="000000"/>
          <w:sz w:val="24"/>
        </w:rPr>
      </w:pPr>
      <w:r>
        <w:rPr>
          <w:rFonts w:hint="eastAsia" w:ascii="宋体" w:hAnsi="宋体"/>
          <w:color w:val="000000"/>
          <w:sz w:val="24"/>
        </w:rPr>
        <w:t>（9）电子投标文件解密失败的，且未在规定时间</w:t>
      </w:r>
      <w:r>
        <w:rPr>
          <w:rFonts w:hint="eastAsia" w:hAnsi="宋体"/>
          <w:color w:val="000000"/>
          <w:sz w:val="24"/>
        </w:rPr>
        <w:t>内提交电子备份投标文件的；</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（10）电子投标文件未按规定要求进行签字、电子签章的。</w:t>
      </w:r>
    </w:p>
    <w:p>
      <w:pPr>
        <w:pStyle w:val="6"/>
        <w:snapToGrid w:val="0"/>
        <w:spacing w:line="240" w:lineRule="auto"/>
        <w:ind w:firstLine="466" w:firstLineChars="200"/>
        <w:rPr>
          <w:rFonts w:hint="eastAsia" w:hAnsi="宋体"/>
          <w:b/>
          <w:color w:val="000000"/>
          <w:sz w:val="24"/>
          <w:szCs w:val="24"/>
        </w:rPr>
      </w:pPr>
    </w:p>
    <w:p>
      <w:pPr>
        <w:pStyle w:val="6"/>
        <w:snapToGrid w:val="0"/>
        <w:spacing w:line="240" w:lineRule="auto"/>
        <w:ind w:firstLine="457" w:firstLineChars="196"/>
        <w:rPr>
          <w:rFonts w:hAnsi="宋体"/>
          <w:b/>
          <w:bCs/>
          <w:color w:val="000000"/>
          <w:sz w:val="24"/>
          <w:szCs w:val="24"/>
        </w:rPr>
      </w:pPr>
      <w:r>
        <w:rPr>
          <w:rFonts w:hAnsi="宋体"/>
          <w:b/>
          <w:bCs/>
          <w:color w:val="000000"/>
          <w:sz w:val="24"/>
          <w:szCs w:val="24"/>
        </w:rPr>
        <w:t>3</w:t>
      </w:r>
      <w:r>
        <w:rPr>
          <w:rFonts w:hint="eastAsia" w:hAnsi="宋体"/>
          <w:b/>
          <w:bCs/>
          <w:color w:val="000000"/>
          <w:sz w:val="24"/>
          <w:szCs w:val="24"/>
        </w:rPr>
        <w:t>.</w:t>
      </w:r>
      <w:r>
        <w:rPr>
          <w:rFonts w:hAnsi="宋体"/>
          <w:b/>
          <w:bCs/>
          <w:color w:val="000000"/>
          <w:sz w:val="24"/>
          <w:szCs w:val="24"/>
        </w:rPr>
        <w:t>在报价评审时，如发现下列情形之一的，投标文件将被视为无效：</w:t>
      </w:r>
    </w:p>
    <w:p>
      <w:pPr>
        <w:pStyle w:val="6"/>
        <w:snapToGrid w:val="0"/>
        <w:spacing w:line="240" w:lineRule="auto"/>
        <w:ind w:firstLine="470" w:firstLineChars="196"/>
        <w:rPr>
          <w:rFonts w:hint="eastAsia" w:hAnsi="宋体"/>
          <w:color w:val="000000"/>
          <w:spacing w:val="0"/>
          <w:sz w:val="24"/>
          <w:szCs w:val="24"/>
        </w:rPr>
      </w:pPr>
      <w:r>
        <w:rPr>
          <w:rFonts w:hint="eastAsia" w:hAnsi="宋体"/>
          <w:color w:val="000000"/>
          <w:spacing w:val="0"/>
          <w:sz w:val="24"/>
          <w:szCs w:val="24"/>
        </w:rPr>
        <w:t>（1）未采用人民币报价或者未按照采购文件标明的币种报价的；</w:t>
      </w:r>
    </w:p>
    <w:p>
      <w:pPr>
        <w:pStyle w:val="6"/>
        <w:snapToGrid w:val="0"/>
        <w:spacing w:line="240" w:lineRule="auto"/>
        <w:ind w:firstLine="470" w:firstLineChars="196"/>
        <w:rPr>
          <w:rFonts w:hint="eastAsia" w:hAnsi="宋体"/>
          <w:color w:val="000000"/>
          <w:spacing w:val="0"/>
          <w:sz w:val="24"/>
          <w:szCs w:val="24"/>
        </w:rPr>
      </w:pPr>
      <w:r>
        <w:rPr>
          <w:rFonts w:hint="eastAsia" w:hAnsi="宋体"/>
          <w:color w:val="000000"/>
          <w:spacing w:val="0"/>
          <w:sz w:val="24"/>
          <w:szCs w:val="24"/>
        </w:rPr>
        <w:t>（2）报价超出最高限价，或者超出采购预算金额，采购人不能支付的；</w:t>
      </w:r>
    </w:p>
    <w:p>
      <w:pPr>
        <w:pStyle w:val="6"/>
        <w:snapToGrid w:val="0"/>
        <w:spacing w:line="240" w:lineRule="auto"/>
        <w:ind w:firstLine="480" w:firstLineChars="200"/>
        <w:rPr>
          <w:rFonts w:hint="eastAsia" w:hAnsi="宋体"/>
          <w:color w:val="000000"/>
          <w:sz w:val="24"/>
          <w:szCs w:val="24"/>
        </w:rPr>
      </w:pPr>
      <w:r>
        <w:rPr>
          <w:rFonts w:hint="eastAsia" w:hAnsi="宋体"/>
          <w:color w:val="000000"/>
          <w:spacing w:val="0"/>
          <w:sz w:val="24"/>
          <w:szCs w:val="24"/>
        </w:rPr>
        <w:t>（3</w:t>
      </w:r>
      <w:r>
        <w:rPr>
          <w:rFonts w:hint="eastAsia" w:hAnsi="宋体"/>
          <w:color w:val="000000"/>
          <w:sz w:val="24"/>
          <w:szCs w:val="24"/>
        </w:rPr>
        <w:t>）</w:t>
      </w:r>
      <w:r>
        <w:rPr>
          <w:rFonts w:hint="eastAsia" w:hAnsi="宋体"/>
          <w:color w:val="000000"/>
          <w:spacing w:val="-12"/>
          <w:sz w:val="24"/>
          <w:szCs w:val="24"/>
        </w:rPr>
        <w:t>投标报价具有选择性，或者开标价格与投标文件承诺的优惠（折扣）价格不一致的；</w:t>
      </w:r>
    </w:p>
    <w:p>
      <w:pPr>
        <w:pStyle w:val="6"/>
        <w:snapToGrid w:val="0"/>
        <w:spacing w:line="240" w:lineRule="auto"/>
        <w:ind w:firstLine="464" w:firstLineChars="200"/>
        <w:rPr>
          <w:rFonts w:hint="eastAsia" w:hAnsi="宋体"/>
          <w:color w:val="000000"/>
          <w:sz w:val="24"/>
          <w:szCs w:val="24"/>
        </w:rPr>
      </w:pPr>
      <w:r>
        <w:rPr>
          <w:rFonts w:hint="eastAsia" w:hAnsi="宋体"/>
          <w:color w:val="000000"/>
          <w:sz w:val="24"/>
          <w:szCs w:val="24"/>
        </w:rPr>
        <w:t xml:space="preserve">（4）评标委员会认为投标供应商的报价明显低于其他通过符合性审查投标供应商的报价，有可能影响产品质量或者不能诚信履约的，应当要求其在评标现场合理的时间内提供书面说明，必要时提交相关材料；投标供应商不能说明其报价合理性的，评标委员会应当将其作为无效投标处理。 </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（5）电子投标文件解密失败的，且未在规定时间内提交电子备份投标文件的；</w:t>
      </w:r>
    </w:p>
    <w:p>
      <w:pPr>
        <w:pStyle w:val="6"/>
        <w:snapToGrid w:val="0"/>
        <w:spacing w:line="240" w:lineRule="auto"/>
        <w:ind w:firstLine="454" w:firstLineChars="196"/>
        <w:rPr>
          <w:rFonts w:hint="eastAsia" w:hAnsi="宋体"/>
          <w:color w:val="000000"/>
          <w:sz w:val="24"/>
          <w:szCs w:val="24"/>
        </w:rPr>
      </w:pPr>
      <w:r>
        <w:rPr>
          <w:rFonts w:hint="eastAsia" w:hAnsi="宋体"/>
          <w:color w:val="000000"/>
          <w:sz w:val="24"/>
          <w:szCs w:val="24"/>
        </w:rPr>
        <w:t>（6）电子投标文件未按规定要求进行签字、电子签章的。</w:t>
      </w:r>
    </w:p>
    <w:p>
      <w:pPr>
        <w:pStyle w:val="6"/>
        <w:snapToGrid w:val="0"/>
        <w:spacing w:line="240" w:lineRule="auto"/>
        <w:ind w:firstLine="464" w:firstLineChars="200"/>
        <w:rPr>
          <w:rFonts w:hint="eastAsia" w:hAnsi="宋体"/>
          <w:color w:val="000000"/>
          <w:sz w:val="24"/>
          <w:szCs w:val="24"/>
        </w:rPr>
      </w:pPr>
    </w:p>
    <w:p>
      <w:pPr>
        <w:pStyle w:val="6"/>
        <w:snapToGrid w:val="0"/>
        <w:spacing w:line="240" w:lineRule="auto"/>
        <w:ind w:firstLine="464" w:firstLineChars="200"/>
        <w:rPr>
          <w:rFonts w:hint="eastAsia" w:hAnsi="宋体"/>
          <w:color w:val="000000"/>
          <w:sz w:val="24"/>
          <w:szCs w:val="24"/>
        </w:rPr>
      </w:pPr>
      <w:r>
        <w:rPr>
          <w:rFonts w:hint="eastAsia" w:hAnsi="宋体"/>
          <w:color w:val="000000"/>
          <w:sz w:val="24"/>
          <w:szCs w:val="24"/>
        </w:rPr>
        <w:t xml:space="preserve">                                                                                                    </w:t>
      </w:r>
    </w:p>
    <w:p>
      <w:pPr>
        <w:pStyle w:val="6"/>
        <w:snapToGrid w:val="0"/>
        <w:spacing w:line="240" w:lineRule="auto"/>
        <w:ind w:firstLine="466" w:firstLineChars="200"/>
        <w:rPr>
          <w:rFonts w:hint="eastAsia" w:hAnsi="宋体"/>
          <w:b/>
          <w:color w:val="000000"/>
          <w:sz w:val="24"/>
          <w:szCs w:val="24"/>
        </w:rPr>
      </w:pPr>
      <w:r>
        <w:rPr>
          <w:rFonts w:hAnsi="宋体"/>
          <w:b/>
          <w:color w:val="000000"/>
          <w:sz w:val="24"/>
          <w:szCs w:val="24"/>
        </w:rPr>
        <w:t>4</w:t>
      </w:r>
      <w:r>
        <w:rPr>
          <w:rFonts w:hint="eastAsia" w:hAnsi="宋体"/>
          <w:b/>
          <w:color w:val="000000"/>
          <w:sz w:val="24"/>
          <w:szCs w:val="24"/>
        </w:rPr>
        <w:t>.</w:t>
      </w:r>
      <w:r>
        <w:rPr>
          <w:rFonts w:hAnsi="宋体"/>
          <w:b/>
          <w:color w:val="000000"/>
          <w:sz w:val="24"/>
          <w:szCs w:val="24"/>
        </w:rPr>
        <w:t>被拒绝的投标文件为无效。</w:t>
      </w:r>
    </w:p>
    <w:p>
      <w:pPr>
        <w:pStyle w:val="6"/>
        <w:snapToGrid w:val="0"/>
        <w:spacing w:line="240" w:lineRule="auto"/>
        <w:ind w:firstLine="466" w:firstLineChars="200"/>
        <w:rPr>
          <w:rFonts w:hAnsi="宋体"/>
          <w:b/>
          <w:color w:val="000000"/>
          <w:sz w:val="24"/>
          <w:szCs w:val="24"/>
        </w:rPr>
      </w:pPr>
      <w:r>
        <w:rPr>
          <w:rFonts w:hint="eastAsia" w:hAnsi="宋体"/>
          <w:b/>
          <w:color w:val="000000"/>
          <w:sz w:val="24"/>
          <w:szCs w:val="24"/>
        </w:rPr>
        <w:t>5.投标供应商仅提交备份投标文件的，投标无效。</w:t>
      </w:r>
    </w:p>
    <w:p>
      <w:pPr>
        <w:pStyle w:val="6"/>
        <w:snapToGrid w:val="0"/>
        <w:spacing w:line="240" w:lineRule="auto"/>
        <w:ind w:firstLine="457" w:firstLineChars="196"/>
        <w:rPr>
          <w:rFonts w:hAnsi="宋体"/>
          <w:b/>
          <w:color w:val="000000"/>
          <w:sz w:val="24"/>
          <w:szCs w:val="24"/>
        </w:rPr>
      </w:pPr>
    </w:p>
    <w:p>
      <w:pPr>
        <w:adjustRightInd w:val="0"/>
        <w:snapToGrid w:val="0"/>
        <w:spacing w:before="120" w:beforeLines="50" w:after="120" w:afterLines="50"/>
        <w:ind w:left="238"/>
        <w:jc w:val="left"/>
        <w:outlineLvl w:val="1"/>
        <w:rPr>
          <w:rFonts w:hint="eastAsia" w:ascii="宋体" w:hAnsi="宋体"/>
          <w:b/>
          <w:color w:val="000000"/>
          <w:sz w:val="24"/>
        </w:rPr>
      </w:pPr>
      <w:r>
        <w:rPr>
          <w:rFonts w:hint="eastAsia" w:ascii="宋体" w:hAnsi="宋体"/>
          <w:b/>
          <w:color w:val="000000"/>
          <w:sz w:val="24"/>
        </w:rPr>
        <w:t>四、开标</w:t>
      </w:r>
    </w:p>
    <w:p>
      <w:pPr>
        <w:pStyle w:val="4"/>
        <w:rPr>
          <w:rFonts w:ascii="宋体" w:hAnsi="宋体"/>
          <w:color w:val="000000"/>
          <w:sz w:val="24"/>
          <w:szCs w:val="24"/>
        </w:rPr>
      </w:pPr>
      <w:r>
        <w:rPr>
          <w:rFonts w:ascii="宋体" w:hAnsi="宋体"/>
          <w:color w:val="000000"/>
          <w:sz w:val="24"/>
          <w:szCs w:val="24"/>
        </w:rPr>
        <w:t>（一）开标准备</w:t>
      </w:r>
    </w:p>
    <w:p>
      <w:pPr>
        <w:pStyle w:val="6"/>
        <w:snapToGrid w:val="0"/>
        <w:spacing w:line="240" w:lineRule="auto"/>
        <w:ind w:firstLine="464" w:firstLineChars="200"/>
        <w:jc w:val="left"/>
        <w:rPr>
          <w:rFonts w:hint="eastAsia" w:hAnsi="宋体" w:cs="Arial"/>
          <w:color w:val="000000"/>
          <w:sz w:val="24"/>
          <w:szCs w:val="24"/>
        </w:rPr>
      </w:pPr>
      <w:r>
        <w:rPr>
          <w:rFonts w:hint="eastAsia" w:hAnsi="宋体" w:cs="Arial"/>
          <w:color w:val="000000"/>
          <w:sz w:val="24"/>
          <w:szCs w:val="24"/>
        </w:rPr>
        <w:t>本项目不要求投标供应商到开标现场开标，但投标供应商应派法定代表人或委托代理人准时在线出席电子开标会议，随时关注开标进度。如在开标过程中有电子询标，应在规定的时间内对电子询标进行澄清、答复。如在开标过程中有电子询标，应在规定的时间内对电子询标函进行澄清、答复。超过规定时间的询标函将不予接受，评标为委员会可以作出不利于被询标人的决定。</w:t>
      </w:r>
    </w:p>
    <w:p>
      <w:pPr>
        <w:pStyle w:val="30"/>
        <w:numPr>
          <w:ilvl w:val="0"/>
          <w:numId w:val="0"/>
        </w:numPr>
        <w:tabs>
          <w:tab w:val="left" w:pos="1200"/>
        </w:tabs>
        <w:snapToGrid w:val="0"/>
        <w:spacing w:before="0" w:beforeLines="0" w:after="0" w:afterLines="0" w:line="240" w:lineRule="auto"/>
        <w:ind w:firstLine="480" w:firstLineChars="200"/>
        <w:rPr>
          <w:rFonts w:hAnsi="宋体"/>
          <w:bCs/>
          <w:color w:val="000000"/>
        </w:rPr>
      </w:pPr>
      <w:r>
        <w:rPr>
          <w:rFonts w:hint="eastAsia" w:hAnsi="宋体" w:cs="Arial"/>
          <w:color w:val="000000"/>
        </w:rPr>
        <w:t>投标供应商未按采购文件要求派代表参加电子开标会议的，视同认可开标结果，不得对开标过程及开标结果提出质疑。</w:t>
      </w:r>
    </w:p>
    <w:p>
      <w:pPr>
        <w:pStyle w:val="4"/>
        <w:rPr>
          <w:rFonts w:ascii="宋体" w:hAnsi="宋体"/>
          <w:color w:val="000000"/>
          <w:sz w:val="24"/>
          <w:szCs w:val="24"/>
        </w:rPr>
      </w:pPr>
      <w:r>
        <w:rPr>
          <w:rFonts w:ascii="宋体" w:hAnsi="宋体"/>
          <w:color w:val="000000"/>
          <w:sz w:val="24"/>
          <w:szCs w:val="24"/>
        </w:rPr>
        <w:t>（二） 开标程序：</w:t>
      </w:r>
    </w:p>
    <w:p>
      <w:pPr>
        <w:pStyle w:val="30"/>
        <w:numPr>
          <w:ilvl w:val="0"/>
          <w:numId w:val="0"/>
        </w:numPr>
        <w:tabs>
          <w:tab w:val="left" w:pos="1200"/>
        </w:tabs>
        <w:snapToGrid w:val="0"/>
        <w:spacing w:before="0" w:beforeLines="0" w:after="0" w:afterLines="0" w:line="240" w:lineRule="auto"/>
        <w:ind w:firstLine="480" w:firstLineChars="200"/>
        <w:rPr>
          <w:rFonts w:hAnsi="宋体"/>
          <w:color w:val="000000"/>
        </w:rPr>
      </w:pPr>
      <w:r>
        <w:rPr>
          <w:rFonts w:hAnsi="宋体"/>
          <w:color w:val="000000"/>
        </w:rPr>
        <w:t>1</w:t>
      </w:r>
      <w:r>
        <w:rPr>
          <w:rFonts w:hint="eastAsia" w:hAnsi="宋体"/>
          <w:color w:val="000000"/>
        </w:rPr>
        <w:t>.</w:t>
      </w:r>
      <w:r>
        <w:rPr>
          <w:rFonts w:hAnsi="宋体"/>
          <w:color w:val="000000"/>
        </w:rPr>
        <w:t>开标会由</w:t>
      </w:r>
      <w:r>
        <w:rPr>
          <w:rFonts w:hint="eastAsia" w:hAnsi="宋体"/>
          <w:color w:val="000000"/>
        </w:rPr>
        <w:t>集采</w:t>
      </w:r>
      <w:r>
        <w:rPr>
          <w:rFonts w:hAnsi="宋体"/>
          <w:color w:val="000000"/>
        </w:rPr>
        <w:t>机构主持，主持人宣布开标会议开始；</w:t>
      </w:r>
    </w:p>
    <w:p>
      <w:pPr>
        <w:pStyle w:val="30"/>
        <w:numPr>
          <w:ilvl w:val="0"/>
          <w:numId w:val="0"/>
        </w:numPr>
        <w:tabs>
          <w:tab w:val="left" w:pos="1200"/>
        </w:tabs>
        <w:snapToGrid w:val="0"/>
        <w:spacing w:before="0" w:beforeLines="0" w:after="0" w:afterLines="0" w:line="240" w:lineRule="auto"/>
        <w:ind w:firstLine="480" w:firstLineChars="200"/>
        <w:rPr>
          <w:rFonts w:hAnsi="宋体"/>
          <w:color w:val="000000"/>
        </w:rPr>
      </w:pPr>
      <w:r>
        <w:rPr>
          <w:rFonts w:hAnsi="宋体"/>
          <w:color w:val="000000"/>
        </w:rPr>
        <w:t>2</w:t>
      </w:r>
      <w:r>
        <w:rPr>
          <w:rFonts w:hint="eastAsia" w:hAnsi="宋体"/>
          <w:color w:val="000000"/>
        </w:rPr>
        <w:t>.主持人</w:t>
      </w:r>
      <w:r>
        <w:rPr>
          <w:rFonts w:hAnsi="宋体"/>
          <w:color w:val="000000"/>
        </w:rPr>
        <w:t xml:space="preserve">介绍参加开标会的人员名单； </w:t>
      </w:r>
    </w:p>
    <w:p>
      <w:pPr>
        <w:pStyle w:val="30"/>
        <w:numPr>
          <w:ilvl w:val="0"/>
          <w:numId w:val="0"/>
        </w:numPr>
        <w:tabs>
          <w:tab w:val="left" w:pos="1200"/>
        </w:tabs>
        <w:snapToGrid w:val="0"/>
        <w:spacing w:before="0" w:beforeLines="0" w:after="0" w:afterLines="0" w:line="240" w:lineRule="auto"/>
        <w:ind w:firstLine="480" w:firstLineChars="200"/>
        <w:rPr>
          <w:rFonts w:hAnsi="宋体"/>
          <w:color w:val="000000"/>
        </w:rPr>
      </w:pPr>
      <w:r>
        <w:rPr>
          <w:rFonts w:hAnsi="宋体"/>
          <w:color w:val="000000"/>
        </w:rPr>
        <w:t>3</w:t>
      </w:r>
      <w:r>
        <w:rPr>
          <w:rFonts w:hint="eastAsia" w:hAnsi="宋体"/>
          <w:color w:val="000000"/>
        </w:rPr>
        <w:t>.主持人</w:t>
      </w:r>
      <w:r>
        <w:rPr>
          <w:rFonts w:hAnsi="宋体"/>
          <w:color w:val="000000"/>
        </w:rPr>
        <w:t>宣布评标期间的有关事项；</w:t>
      </w:r>
    </w:p>
    <w:p>
      <w:pPr>
        <w:pStyle w:val="30"/>
        <w:numPr>
          <w:ilvl w:val="0"/>
          <w:numId w:val="0"/>
        </w:numPr>
        <w:tabs>
          <w:tab w:val="left" w:pos="1200"/>
        </w:tabs>
        <w:snapToGrid w:val="0"/>
        <w:spacing w:before="0" w:beforeLines="0" w:after="0" w:afterLines="0" w:line="240" w:lineRule="auto"/>
        <w:ind w:firstLine="480" w:firstLineChars="200"/>
        <w:rPr>
          <w:rFonts w:hAnsi="宋体"/>
          <w:bCs/>
          <w:color w:val="000000"/>
        </w:rPr>
      </w:pPr>
      <w:r>
        <w:rPr>
          <w:rFonts w:hAnsi="宋体"/>
          <w:bCs/>
          <w:color w:val="000000"/>
        </w:rPr>
        <w:t>4</w:t>
      </w:r>
      <w:r>
        <w:rPr>
          <w:rFonts w:hint="eastAsia" w:hAnsi="宋体"/>
          <w:bCs/>
          <w:color w:val="000000"/>
        </w:rPr>
        <w:t>.政府采购项目电子交易开标及评审程序：</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（1）</w:t>
      </w:r>
      <w:r>
        <w:rPr>
          <w:rFonts w:ascii="宋体" w:hAnsi="宋体"/>
          <w:bCs/>
          <w:color w:val="000000"/>
          <w:sz w:val="24"/>
        </w:rPr>
        <w:t>投标截止时间后</w:t>
      </w:r>
      <w:r>
        <w:rPr>
          <w:rFonts w:hint="eastAsia" w:ascii="宋体" w:hAnsi="宋体"/>
          <w:bCs/>
          <w:color w:val="000000"/>
          <w:sz w:val="24"/>
        </w:rPr>
        <w:t>的30分钟内</w:t>
      </w:r>
      <w:r>
        <w:rPr>
          <w:rFonts w:ascii="宋体" w:hAnsi="宋体"/>
          <w:bCs/>
          <w:color w:val="000000"/>
          <w:sz w:val="24"/>
        </w:rPr>
        <w:t>，</w:t>
      </w:r>
      <w:r>
        <w:rPr>
          <w:rFonts w:hint="eastAsia" w:ascii="宋体" w:hAnsi="宋体"/>
          <w:bCs/>
          <w:color w:val="000000"/>
          <w:sz w:val="24"/>
        </w:rPr>
        <w:t>由各投标供应商自行</w:t>
      </w:r>
      <w:r>
        <w:rPr>
          <w:rFonts w:ascii="宋体" w:hAnsi="宋体"/>
          <w:bCs/>
          <w:color w:val="000000"/>
          <w:sz w:val="24"/>
        </w:rPr>
        <w:t>对投标文件进行解密</w:t>
      </w:r>
      <w:r>
        <w:rPr>
          <w:rFonts w:hint="eastAsia" w:ascii="宋体" w:hAnsi="宋体"/>
          <w:bCs/>
          <w:color w:val="000000"/>
          <w:sz w:val="24"/>
        </w:rPr>
        <w:t xml:space="preserve">； </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（2）由采购人代表对资格审查文件进行评审，评标委员会对商务技术响应文件进行评审；</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（3）在系统上公开资格和商务技术评审结果；</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（4）在系统上公开报价开标情况；</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（5）评标委员会对报价情况进行评审；</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（6）在系统上公布评审结果。</w:t>
      </w:r>
    </w:p>
    <w:p>
      <w:pPr>
        <w:spacing w:line="440" w:lineRule="exact"/>
        <w:ind w:firstLine="482" w:firstLineChars="200"/>
        <w:rPr>
          <w:rFonts w:hint="eastAsia" w:ascii="宋体" w:hAnsi="宋体"/>
          <w:b/>
          <w:bCs/>
          <w:color w:val="000000"/>
          <w:sz w:val="24"/>
          <w:u w:val="single"/>
        </w:rPr>
      </w:pPr>
      <w:r>
        <w:rPr>
          <w:rFonts w:hint="eastAsia" w:ascii="宋体" w:hAnsi="宋体"/>
          <w:b/>
          <w:bCs/>
          <w:color w:val="000000"/>
          <w:sz w:val="24"/>
          <w:u w:val="single"/>
        </w:rPr>
        <w:t>特别说明：政采云公司如对电子化开标及评审程序有调整的，按调整后的程序操作。</w:t>
      </w:r>
    </w:p>
    <w:p>
      <w:pPr>
        <w:spacing w:line="440" w:lineRule="exact"/>
        <w:ind w:firstLine="480" w:firstLineChars="200"/>
        <w:rPr>
          <w:rFonts w:ascii="宋体" w:hAnsi="宋体"/>
          <w:color w:val="000000"/>
          <w:sz w:val="24"/>
        </w:rPr>
      </w:pPr>
      <w:r>
        <w:rPr>
          <w:rFonts w:hint="eastAsia" w:ascii="宋体" w:hAnsi="宋体"/>
          <w:color w:val="000000"/>
          <w:sz w:val="24"/>
        </w:rPr>
        <w:t>5.本项目采用政采云政府采购项目电子交易开标及评审程序，如有</w:t>
      </w:r>
      <w:r>
        <w:rPr>
          <w:rFonts w:hint="eastAsia" w:ascii="宋体" w:hAnsi="宋体" w:cs="宋体"/>
          <w:color w:val="000000"/>
          <w:sz w:val="24"/>
        </w:rPr>
        <w:t>投标供应商</w:t>
      </w:r>
      <w:r>
        <w:rPr>
          <w:rFonts w:hint="eastAsia" w:ascii="宋体" w:hAnsi="宋体"/>
          <w:color w:val="000000"/>
          <w:sz w:val="24"/>
        </w:rPr>
        <w:t>的电子投标文件不能成功解密的，则拆封其备份电子投标文件上传至政采云平台，以完成开标。如</w:t>
      </w:r>
      <w:r>
        <w:rPr>
          <w:rFonts w:hint="eastAsia" w:ascii="宋体" w:hAnsi="宋体" w:cs="宋体"/>
          <w:color w:val="000000"/>
          <w:sz w:val="24"/>
        </w:rPr>
        <w:t>投标供应商</w:t>
      </w:r>
      <w:r>
        <w:rPr>
          <w:rFonts w:hint="eastAsia" w:ascii="宋体" w:hAnsi="宋体"/>
          <w:color w:val="000000"/>
          <w:sz w:val="24"/>
        </w:rPr>
        <w:t>未提交备份电子投标文件的或备份电子投标文件无法正常显示的，视为投标文件撤回。</w:t>
      </w:r>
    </w:p>
    <w:p>
      <w:pPr>
        <w:adjustRightInd w:val="0"/>
        <w:snapToGrid w:val="0"/>
        <w:spacing w:before="120" w:beforeLines="50" w:after="120" w:afterLines="50"/>
        <w:ind w:left="238"/>
        <w:jc w:val="left"/>
        <w:outlineLvl w:val="1"/>
        <w:rPr>
          <w:rFonts w:hint="eastAsia" w:ascii="宋体" w:hAnsi="宋体"/>
          <w:b/>
          <w:color w:val="000000"/>
          <w:sz w:val="24"/>
        </w:rPr>
      </w:pPr>
      <w:r>
        <w:rPr>
          <w:rFonts w:hint="eastAsia" w:ascii="宋体" w:hAnsi="宋体"/>
          <w:b/>
          <w:color w:val="000000"/>
          <w:sz w:val="24"/>
        </w:rPr>
        <w:t>五、评标</w:t>
      </w:r>
    </w:p>
    <w:p>
      <w:pPr>
        <w:pStyle w:val="4"/>
        <w:rPr>
          <w:rFonts w:ascii="宋体" w:hAnsi="宋体"/>
          <w:color w:val="000000"/>
          <w:sz w:val="24"/>
          <w:szCs w:val="24"/>
        </w:rPr>
      </w:pPr>
      <w:r>
        <w:rPr>
          <w:rFonts w:ascii="宋体" w:hAnsi="宋体"/>
          <w:color w:val="000000"/>
          <w:sz w:val="24"/>
          <w:szCs w:val="24"/>
        </w:rPr>
        <w:t>（一）组建评标委员会</w:t>
      </w:r>
    </w:p>
    <w:p>
      <w:pPr>
        <w:pStyle w:val="30"/>
        <w:numPr>
          <w:ilvl w:val="0"/>
          <w:numId w:val="0"/>
        </w:numPr>
        <w:tabs>
          <w:tab w:val="left" w:pos="1200"/>
        </w:tabs>
        <w:snapToGrid w:val="0"/>
        <w:spacing w:beforeLines="0" w:afterLines="0" w:line="240" w:lineRule="auto"/>
        <w:ind w:firstLine="480" w:firstLineChars="200"/>
        <w:rPr>
          <w:rFonts w:hAnsi="宋体"/>
          <w:color w:val="000000"/>
        </w:rPr>
      </w:pPr>
      <w:r>
        <w:rPr>
          <w:rFonts w:hint="eastAsia" w:hAnsi="宋体"/>
          <w:color w:val="000000"/>
        </w:rPr>
        <w:t>本项目评标委员会由政府采购评审专家≧5人单数组成，其中采购人代表不超过评委</w:t>
      </w:r>
      <w:r>
        <w:rPr>
          <w:rFonts w:hAnsi="宋体"/>
          <w:color w:val="000000"/>
        </w:rPr>
        <w:t>总数的1/3。</w:t>
      </w:r>
    </w:p>
    <w:p>
      <w:pPr>
        <w:pStyle w:val="4"/>
        <w:rPr>
          <w:rFonts w:ascii="宋体" w:hAnsi="宋体"/>
          <w:color w:val="000000"/>
          <w:sz w:val="24"/>
          <w:szCs w:val="24"/>
        </w:rPr>
      </w:pPr>
      <w:r>
        <w:rPr>
          <w:rFonts w:ascii="宋体" w:hAnsi="宋体"/>
          <w:color w:val="000000"/>
          <w:sz w:val="24"/>
          <w:szCs w:val="24"/>
        </w:rPr>
        <w:t>（二）评标的方式</w:t>
      </w:r>
    </w:p>
    <w:p>
      <w:pPr>
        <w:pStyle w:val="30"/>
        <w:numPr>
          <w:ilvl w:val="0"/>
          <w:numId w:val="0"/>
        </w:numPr>
        <w:tabs>
          <w:tab w:val="left" w:pos="1200"/>
        </w:tabs>
        <w:snapToGrid w:val="0"/>
        <w:spacing w:beforeLines="0" w:afterLines="0" w:line="240" w:lineRule="auto"/>
        <w:ind w:left="479"/>
        <w:rPr>
          <w:rFonts w:hAnsi="宋体"/>
          <w:color w:val="000000"/>
        </w:rPr>
      </w:pPr>
      <w:r>
        <w:rPr>
          <w:rFonts w:hAnsi="宋体"/>
          <w:color w:val="000000"/>
        </w:rPr>
        <w:t>本项目采用不公开方式评标，评标的依据为</w:t>
      </w:r>
      <w:r>
        <w:rPr>
          <w:rFonts w:hint="eastAsia" w:hAnsi="宋体"/>
          <w:color w:val="000000"/>
        </w:rPr>
        <w:t>采购文件</w:t>
      </w:r>
      <w:r>
        <w:rPr>
          <w:rFonts w:hAnsi="宋体"/>
          <w:color w:val="000000"/>
        </w:rPr>
        <w:t>和投标文件。</w:t>
      </w:r>
    </w:p>
    <w:p>
      <w:pPr>
        <w:pStyle w:val="4"/>
        <w:rPr>
          <w:rFonts w:ascii="宋体" w:hAnsi="宋体"/>
          <w:color w:val="000000"/>
          <w:sz w:val="24"/>
          <w:szCs w:val="24"/>
        </w:rPr>
      </w:pPr>
      <w:r>
        <w:rPr>
          <w:rFonts w:ascii="宋体" w:hAnsi="宋体"/>
          <w:color w:val="000000"/>
          <w:sz w:val="24"/>
          <w:szCs w:val="24"/>
        </w:rPr>
        <w:t>（三）评标程序</w:t>
      </w:r>
    </w:p>
    <w:p>
      <w:pPr>
        <w:snapToGrid w:val="0"/>
        <w:ind w:firstLine="472" w:firstLineChars="196"/>
        <w:rPr>
          <w:rFonts w:hint="eastAsia" w:ascii="宋体" w:hAnsi="宋体"/>
          <w:b/>
          <w:bCs/>
          <w:color w:val="000000"/>
          <w:sz w:val="24"/>
        </w:rPr>
      </w:pPr>
      <w:r>
        <w:rPr>
          <w:rFonts w:hint="eastAsia" w:ascii="宋体" w:hAnsi="宋体"/>
          <w:b/>
          <w:bCs/>
          <w:color w:val="000000"/>
          <w:sz w:val="24"/>
        </w:rPr>
        <w:t>1.资格审查：</w:t>
      </w:r>
    </w:p>
    <w:p>
      <w:pPr>
        <w:snapToGrid w:val="0"/>
        <w:ind w:firstLine="470" w:firstLineChars="196"/>
        <w:rPr>
          <w:rFonts w:hint="eastAsia" w:ascii="宋体" w:hAnsi="宋体"/>
          <w:color w:val="000000"/>
          <w:sz w:val="24"/>
        </w:rPr>
      </w:pPr>
      <w:r>
        <w:rPr>
          <w:rFonts w:hint="eastAsia" w:ascii="宋体" w:hAnsi="宋体"/>
          <w:color w:val="000000"/>
          <w:sz w:val="24"/>
        </w:rPr>
        <w:t>采购人依法对投标供应商的资格进行审查。</w:t>
      </w:r>
    </w:p>
    <w:p>
      <w:pPr>
        <w:snapToGrid w:val="0"/>
        <w:ind w:firstLine="472" w:firstLineChars="196"/>
        <w:rPr>
          <w:rFonts w:ascii="宋体" w:hAnsi="宋体"/>
          <w:b/>
          <w:bCs/>
          <w:color w:val="000000"/>
          <w:sz w:val="24"/>
        </w:rPr>
      </w:pPr>
      <w:r>
        <w:rPr>
          <w:rFonts w:hint="eastAsia" w:ascii="宋体" w:hAnsi="宋体"/>
          <w:b/>
          <w:bCs/>
          <w:color w:val="000000"/>
          <w:sz w:val="24"/>
        </w:rPr>
        <w:t>2.</w:t>
      </w:r>
      <w:r>
        <w:rPr>
          <w:rFonts w:ascii="宋体" w:hAnsi="宋体"/>
          <w:b/>
          <w:bCs/>
          <w:color w:val="000000"/>
          <w:sz w:val="24"/>
        </w:rPr>
        <w:t>形式审查</w:t>
      </w:r>
    </w:p>
    <w:p>
      <w:pPr>
        <w:snapToGrid w:val="0"/>
        <w:ind w:firstLine="480" w:firstLineChars="200"/>
        <w:rPr>
          <w:rFonts w:hint="eastAsia" w:ascii="宋体" w:hAnsi="宋体"/>
          <w:b/>
          <w:color w:val="000000"/>
          <w:sz w:val="24"/>
        </w:rPr>
      </w:pPr>
      <w:r>
        <w:rPr>
          <w:rFonts w:hint="eastAsia" w:ascii="宋体" w:hAnsi="宋体"/>
          <w:color w:val="000000"/>
          <w:sz w:val="24"/>
        </w:rPr>
        <w:t>采购人代表和集采机构工作人员协助评标委员会对投标供应商的资格</w:t>
      </w:r>
      <w:r>
        <w:rPr>
          <w:rFonts w:ascii="宋体" w:hAnsi="宋体"/>
          <w:color w:val="000000"/>
          <w:sz w:val="24"/>
        </w:rPr>
        <w:t>和投标文件的完整性、合法性等进行审查。</w:t>
      </w:r>
    </w:p>
    <w:p>
      <w:pPr>
        <w:snapToGrid w:val="0"/>
        <w:ind w:firstLine="472" w:firstLineChars="196"/>
        <w:rPr>
          <w:rFonts w:ascii="宋体" w:hAnsi="宋体"/>
          <w:b/>
          <w:bCs/>
          <w:color w:val="000000"/>
          <w:sz w:val="24"/>
        </w:rPr>
      </w:pPr>
      <w:r>
        <w:rPr>
          <w:rFonts w:hint="eastAsia" w:ascii="宋体" w:hAnsi="宋体"/>
          <w:b/>
          <w:bCs/>
          <w:color w:val="000000"/>
          <w:sz w:val="24"/>
        </w:rPr>
        <w:t>3.</w:t>
      </w:r>
      <w:r>
        <w:rPr>
          <w:rFonts w:ascii="宋体" w:hAnsi="宋体"/>
          <w:b/>
          <w:bCs/>
          <w:color w:val="000000"/>
          <w:sz w:val="24"/>
        </w:rPr>
        <w:t>实质审查与比较</w:t>
      </w:r>
    </w:p>
    <w:p>
      <w:pPr>
        <w:snapToGrid w:val="0"/>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1）评标委员会审查投标文件的实质性内容是否符合</w:t>
      </w:r>
      <w:r>
        <w:rPr>
          <w:rFonts w:hint="eastAsia" w:ascii="宋体" w:hAnsi="宋体"/>
          <w:color w:val="000000"/>
          <w:sz w:val="24"/>
        </w:rPr>
        <w:t>采购文件</w:t>
      </w:r>
      <w:r>
        <w:rPr>
          <w:rFonts w:ascii="宋体" w:hAnsi="宋体"/>
          <w:color w:val="000000"/>
          <w:sz w:val="24"/>
        </w:rPr>
        <w:t>的实质性要求。</w:t>
      </w:r>
    </w:p>
    <w:p>
      <w:pPr>
        <w:snapToGrid w:val="0"/>
        <w:ind w:firstLine="480" w:firstLineChars="200"/>
        <w:rPr>
          <w:rFonts w:hint="eastAsia" w:ascii="宋体" w:hAnsi="宋体"/>
          <w:color w:val="000000"/>
          <w:sz w:val="24"/>
        </w:rPr>
      </w:pPr>
      <w:r>
        <w:rPr>
          <w:rFonts w:hint="eastAsia" w:ascii="宋体" w:hAnsi="宋体"/>
          <w:color w:val="000000"/>
          <w:sz w:val="24"/>
        </w:rPr>
        <w:t>（</w:t>
      </w:r>
      <w:r>
        <w:rPr>
          <w:rFonts w:ascii="宋体" w:hAnsi="宋体"/>
          <w:color w:val="000000"/>
          <w:sz w:val="24"/>
        </w:rPr>
        <w:t>2）评标委员会将根据</w:t>
      </w:r>
      <w:r>
        <w:rPr>
          <w:rFonts w:hint="eastAsia" w:ascii="宋体" w:hAnsi="宋体"/>
          <w:color w:val="000000"/>
          <w:sz w:val="24"/>
        </w:rPr>
        <w:t>投标供应商</w:t>
      </w:r>
      <w:r>
        <w:rPr>
          <w:rFonts w:ascii="宋体" w:hAnsi="宋体"/>
          <w:color w:val="000000"/>
          <w:sz w:val="24"/>
        </w:rPr>
        <w:t>的投标文件进行审查、核对,如有疑问,将对</w:t>
      </w:r>
      <w:r>
        <w:rPr>
          <w:rFonts w:hint="eastAsia" w:ascii="宋体" w:hAnsi="宋体"/>
          <w:color w:val="000000"/>
          <w:sz w:val="24"/>
        </w:rPr>
        <w:t>投标供应商</w:t>
      </w:r>
      <w:r>
        <w:rPr>
          <w:rFonts w:ascii="宋体" w:hAnsi="宋体"/>
          <w:color w:val="000000"/>
          <w:sz w:val="24"/>
        </w:rPr>
        <w:t>进行</w:t>
      </w:r>
      <w:r>
        <w:rPr>
          <w:rFonts w:hint="eastAsia" w:ascii="宋体" w:hAnsi="宋体"/>
          <w:color w:val="000000"/>
          <w:sz w:val="24"/>
        </w:rPr>
        <w:t>电子</w:t>
      </w:r>
      <w:r>
        <w:rPr>
          <w:rFonts w:ascii="宋体" w:hAnsi="宋体"/>
          <w:color w:val="000000"/>
          <w:sz w:val="24"/>
        </w:rPr>
        <w:t>询标,</w:t>
      </w:r>
      <w:r>
        <w:rPr>
          <w:rFonts w:hint="eastAsia" w:ascii="宋体" w:hAnsi="宋体"/>
          <w:color w:val="000000"/>
          <w:sz w:val="24"/>
        </w:rPr>
        <w:t>投标供应商</w:t>
      </w:r>
      <w:r>
        <w:rPr>
          <w:rFonts w:ascii="宋体" w:hAnsi="宋体"/>
          <w:color w:val="000000"/>
          <w:sz w:val="24"/>
        </w:rPr>
        <w:t>要向评标委员会澄清有关问题,并</w:t>
      </w:r>
      <w:r>
        <w:rPr>
          <w:rFonts w:hint="eastAsia" w:ascii="宋体" w:hAnsi="宋体"/>
          <w:color w:val="000000"/>
          <w:sz w:val="24"/>
        </w:rPr>
        <w:t>在政采云上进行询标</w:t>
      </w:r>
      <w:r>
        <w:rPr>
          <w:rFonts w:ascii="宋体" w:hAnsi="宋体"/>
          <w:color w:val="000000"/>
          <w:sz w:val="24"/>
        </w:rPr>
        <w:t>答复。</w:t>
      </w:r>
    </w:p>
    <w:p>
      <w:pPr>
        <w:snapToGrid w:val="0"/>
        <w:ind w:firstLine="480" w:firstLineChars="200"/>
        <w:rPr>
          <w:rFonts w:ascii="宋体" w:hAnsi="宋体"/>
          <w:color w:val="000000"/>
          <w:sz w:val="24"/>
        </w:rPr>
      </w:pPr>
      <w:r>
        <w:rPr>
          <w:rFonts w:hint="eastAsia" w:ascii="宋体" w:hAnsi="宋体"/>
          <w:color w:val="000000"/>
          <w:sz w:val="24"/>
        </w:rPr>
        <w:t>投标供应商代表未在规定的时间内进行澄清、拒绝澄清或者澄清的内容改变了投标文件的实质性内容的，评标委员会有权对该投标文件作出不利于投标供应商的评判。</w:t>
      </w:r>
    </w:p>
    <w:p>
      <w:pPr>
        <w:snapToGrid w:val="0"/>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3）各</w:t>
      </w:r>
      <w:r>
        <w:rPr>
          <w:rFonts w:hint="eastAsia" w:ascii="宋体" w:hAnsi="宋体"/>
          <w:color w:val="000000"/>
          <w:sz w:val="24"/>
        </w:rPr>
        <w:t>投标供应商</w:t>
      </w:r>
      <w:r>
        <w:rPr>
          <w:rFonts w:ascii="宋体" w:hAnsi="宋体"/>
          <w:color w:val="000000"/>
          <w:sz w:val="24"/>
        </w:rPr>
        <w:t>的技术</w:t>
      </w:r>
      <w:r>
        <w:rPr>
          <w:rFonts w:hint="eastAsia" w:ascii="宋体" w:hAnsi="宋体"/>
          <w:color w:val="000000"/>
          <w:sz w:val="24"/>
        </w:rPr>
        <w:t>商务</w:t>
      </w:r>
      <w:r>
        <w:rPr>
          <w:rFonts w:ascii="宋体" w:hAnsi="宋体"/>
          <w:color w:val="000000"/>
          <w:sz w:val="24"/>
        </w:rPr>
        <w:t>得分为所有评委的</w:t>
      </w:r>
      <w:r>
        <w:rPr>
          <w:rFonts w:hint="eastAsia" w:ascii="宋体" w:hAnsi="宋体"/>
          <w:color w:val="000000"/>
          <w:sz w:val="24"/>
        </w:rPr>
        <w:t>独立评分结果</w:t>
      </w:r>
      <w:r>
        <w:rPr>
          <w:rFonts w:ascii="宋体" w:hAnsi="宋体"/>
          <w:color w:val="000000"/>
          <w:sz w:val="24"/>
        </w:rPr>
        <w:t>的算术平均数</w:t>
      </w:r>
      <w:r>
        <w:rPr>
          <w:rFonts w:hint="eastAsia" w:ascii="宋体" w:hAnsi="宋体"/>
          <w:color w:val="000000"/>
          <w:sz w:val="24"/>
        </w:rPr>
        <w:t>，</w:t>
      </w:r>
      <w:r>
        <w:rPr>
          <w:rFonts w:ascii="宋体" w:hAnsi="宋体"/>
          <w:color w:val="000000"/>
          <w:sz w:val="24"/>
        </w:rPr>
        <w:t>由指定专人进行计算复核。</w:t>
      </w:r>
    </w:p>
    <w:p>
      <w:pPr>
        <w:snapToGrid w:val="0"/>
        <w:ind w:firstLine="480" w:firstLineChars="200"/>
        <w:rPr>
          <w:rFonts w:hint="eastAsia" w:ascii="宋体" w:hAnsi="宋体"/>
          <w:color w:val="000000"/>
          <w:sz w:val="24"/>
        </w:rPr>
      </w:pPr>
      <w:r>
        <w:rPr>
          <w:rFonts w:hint="eastAsia" w:ascii="宋体" w:hAnsi="宋体"/>
          <w:color w:val="000000"/>
          <w:sz w:val="24"/>
        </w:rPr>
        <w:t>（</w:t>
      </w:r>
      <w:r>
        <w:rPr>
          <w:rFonts w:ascii="宋体" w:hAnsi="宋体"/>
          <w:color w:val="000000"/>
          <w:sz w:val="24"/>
        </w:rPr>
        <w:t>4）评标委员会</w:t>
      </w:r>
      <w:r>
        <w:rPr>
          <w:rFonts w:hint="eastAsia" w:ascii="宋体" w:hAnsi="宋体"/>
          <w:color w:val="000000"/>
          <w:sz w:val="24"/>
        </w:rPr>
        <w:t>审核投标报价有无计算错误，政采云系统</w:t>
      </w:r>
      <w:r>
        <w:rPr>
          <w:rFonts w:ascii="宋体" w:hAnsi="宋体"/>
          <w:color w:val="000000"/>
          <w:sz w:val="24"/>
        </w:rPr>
        <w:t>根据</w:t>
      </w:r>
      <w:r>
        <w:rPr>
          <w:rFonts w:hint="eastAsia" w:ascii="宋体" w:hAnsi="宋体"/>
          <w:color w:val="000000"/>
          <w:sz w:val="24"/>
        </w:rPr>
        <w:t>本项目的评分标准</w:t>
      </w:r>
      <w:r>
        <w:rPr>
          <w:rFonts w:ascii="宋体" w:hAnsi="宋体"/>
          <w:color w:val="000000"/>
          <w:sz w:val="24"/>
        </w:rPr>
        <w:t>计算各</w:t>
      </w:r>
      <w:r>
        <w:rPr>
          <w:rFonts w:hint="eastAsia" w:ascii="宋体" w:hAnsi="宋体"/>
          <w:color w:val="000000"/>
          <w:sz w:val="24"/>
        </w:rPr>
        <w:t>投标供应商</w:t>
      </w:r>
      <w:r>
        <w:rPr>
          <w:rFonts w:ascii="宋体" w:hAnsi="宋体"/>
          <w:color w:val="000000"/>
          <w:sz w:val="24"/>
        </w:rPr>
        <w:t>的报价得分</w:t>
      </w:r>
      <w:r>
        <w:rPr>
          <w:rFonts w:hint="eastAsia" w:ascii="宋体" w:hAnsi="宋体"/>
          <w:color w:val="000000"/>
          <w:sz w:val="24"/>
        </w:rPr>
        <w:t>。</w:t>
      </w:r>
    </w:p>
    <w:p>
      <w:pPr>
        <w:snapToGrid w:val="0"/>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5）评标委员会完成评标后,</w:t>
      </w:r>
      <w:r>
        <w:rPr>
          <w:rFonts w:hint="eastAsia" w:ascii="宋体" w:hAnsi="宋体"/>
          <w:color w:val="000000"/>
          <w:sz w:val="24"/>
        </w:rPr>
        <w:t xml:space="preserve"> 集采机构工作人员通过政采云系统</w:t>
      </w:r>
      <w:r>
        <w:rPr>
          <w:rFonts w:ascii="宋体" w:hAnsi="宋体"/>
          <w:color w:val="000000"/>
          <w:sz w:val="24"/>
        </w:rPr>
        <w:t>对各部分得分</w:t>
      </w:r>
      <w:r>
        <w:rPr>
          <w:rFonts w:hint="eastAsia" w:ascii="宋体" w:hAnsi="宋体"/>
          <w:color w:val="000000"/>
          <w:sz w:val="24"/>
        </w:rPr>
        <w:t>进行</w:t>
      </w:r>
      <w:r>
        <w:rPr>
          <w:rFonts w:ascii="宋体" w:hAnsi="宋体"/>
          <w:color w:val="000000"/>
          <w:sz w:val="24"/>
        </w:rPr>
        <w:t>汇总,</w:t>
      </w:r>
      <w:r>
        <w:rPr>
          <w:rFonts w:hint="eastAsia" w:ascii="宋体" w:hAnsi="宋体"/>
          <w:color w:val="000000"/>
          <w:sz w:val="24"/>
        </w:rPr>
        <w:t>计算</w:t>
      </w:r>
      <w:r>
        <w:rPr>
          <w:rFonts w:ascii="宋体" w:hAnsi="宋体"/>
          <w:color w:val="000000"/>
          <w:sz w:val="24"/>
        </w:rPr>
        <w:t>出本项目</w:t>
      </w:r>
      <w:r>
        <w:rPr>
          <w:rFonts w:hint="eastAsia" w:ascii="宋体" w:hAnsi="宋体"/>
          <w:color w:val="000000"/>
          <w:sz w:val="24"/>
        </w:rPr>
        <w:t>最终得分</w:t>
      </w:r>
      <w:r>
        <w:rPr>
          <w:rFonts w:ascii="宋体" w:hAnsi="宋体"/>
          <w:color w:val="000000"/>
          <w:sz w:val="24"/>
        </w:rPr>
        <w:t>。评标委员会按评标原则推荐中标候选人同时起草评标报告。</w:t>
      </w:r>
    </w:p>
    <w:p>
      <w:pPr>
        <w:pStyle w:val="4"/>
        <w:rPr>
          <w:rFonts w:ascii="宋体" w:hAnsi="宋体"/>
          <w:color w:val="000000"/>
          <w:sz w:val="24"/>
          <w:szCs w:val="24"/>
        </w:rPr>
      </w:pPr>
      <w:r>
        <w:rPr>
          <w:rFonts w:hint="eastAsia" w:ascii="宋体" w:hAnsi="宋体"/>
          <w:color w:val="000000"/>
          <w:sz w:val="24"/>
          <w:szCs w:val="24"/>
        </w:rPr>
        <w:t>（四）澄清问题的形式</w:t>
      </w:r>
    </w:p>
    <w:p>
      <w:pPr>
        <w:snapToGrid w:val="0"/>
        <w:ind w:firstLine="480" w:firstLineChars="200"/>
        <w:rPr>
          <w:rFonts w:ascii="宋体" w:hAnsi="宋体"/>
          <w:color w:val="000000"/>
          <w:sz w:val="24"/>
        </w:rPr>
      </w:pPr>
      <w:r>
        <w:rPr>
          <w:rFonts w:hint="eastAsia" w:ascii="宋体" w:hAnsi="宋体"/>
          <w:color w:val="000000"/>
          <w:sz w:val="24"/>
        </w:rPr>
        <w:t>对投标文件中含义不明确、同类问题表述不一致或者有明显文字和计算错误的内容，评标委员会可要求投标供应商作出必要的澄清、说明或者纠正。投标供应商的澄清、说明或者补正应当采用书面形式，由其授权代表签字或盖章确认，并不得超出投标文件的范围或者改变投标文件的实质性内容。本项目采用电子化开标评标程序，如有澄清、说明或纠正，将以系统发送的方式发送至相应的</w:t>
      </w:r>
      <w:r>
        <w:rPr>
          <w:rFonts w:hint="eastAsia" w:ascii="宋体" w:hAnsi="宋体" w:cs="宋体"/>
          <w:color w:val="000000"/>
          <w:sz w:val="24"/>
        </w:rPr>
        <w:t>投标供应商</w:t>
      </w:r>
      <w:r>
        <w:rPr>
          <w:rFonts w:hint="eastAsia" w:ascii="宋体" w:hAnsi="宋体"/>
          <w:color w:val="000000"/>
          <w:sz w:val="24"/>
        </w:rPr>
        <w:t>处，</w:t>
      </w:r>
      <w:r>
        <w:rPr>
          <w:rFonts w:hint="eastAsia" w:ascii="宋体" w:hAnsi="宋体" w:cs="宋体"/>
          <w:color w:val="000000"/>
          <w:sz w:val="24"/>
        </w:rPr>
        <w:t>投标供应商</w:t>
      </w:r>
      <w:r>
        <w:rPr>
          <w:rFonts w:hint="eastAsia" w:ascii="宋体" w:hAnsi="宋体"/>
          <w:color w:val="000000"/>
          <w:sz w:val="24"/>
        </w:rPr>
        <w:t>应根据评审小组要求做出澄清、说明或纠正，并加盖CA签章。</w:t>
      </w:r>
    </w:p>
    <w:p>
      <w:pPr>
        <w:pStyle w:val="4"/>
        <w:rPr>
          <w:rFonts w:ascii="宋体" w:hAnsi="宋体"/>
          <w:color w:val="000000"/>
          <w:sz w:val="24"/>
          <w:szCs w:val="24"/>
        </w:rPr>
      </w:pPr>
      <w:r>
        <w:rPr>
          <w:rFonts w:ascii="宋体" w:hAnsi="宋体"/>
          <w:color w:val="000000"/>
          <w:sz w:val="24"/>
          <w:szCs w:val="24"/>
        </w:rPr>
        <w:t>（五）错误修正</w:t>
      </w:r>
    </w:p>
    <w:p>
      <w:pPr>
        <w:pStyle w:val="30"/>
        <w:numPr>
          <w:ilvl w:val="0"/>
          <w:numId w:val="0"/>
        </w:numPr>
        <w:tabs>
          <w:tab w:val="left" w:pos="1200"/>
        </w:tabs>
        <w:snapToGrid w:val="0"/>
        <w:spacing w:beforeLines="0" w:afterLines="0" w:line="260" w:lineRule="exact"/>
        <w:ind w:left="479" w:leftChars="228" w:firstLine="120" w:firstLineChars="50"/>
        <w:rPr>
          <w:rFonts w:hAnsi="宋体"/>
          <w:color w:val="000000"/>
        </w:rPr>
      </w:pPr>
      <w:r>
        <w:rPr>
          <w:rFonts w:hAnsi="宋体"/>
          <w:color w:val="000000"/>
        </w:rPr>
        <w:t>投标文件如果出现计算或表达上的错误，修正错误的原则如下：</w:t>
      </w:r>
    </w:p>
    <w:p>
      <w:pPr>
        <w:snapToGrid w:val="0"/>
        <w:spacing w:line="26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.开标一览表总价与投标报价明细表汇总数不一致的，</w:t>
      </w:r>
      <w:r>
        <w:rPr>
          <w:rFonts w:hint="eastAsia" w:ascii="宋体" w:hAnsi="宋体" w:cs="Arial"/>
          <w:color w:val="000000"/>
          <w:kern w:val="0"/>
          <w:sz w:val="24"/>
        </w:rPr>
        <w:t>以开标一览表为准；</w:t>
      </w:r>
    </w:p>
    <w:p>
      <w:pPr>
        <w:pStyle w:val="30"/>
        <w:numPr>
          <w:ilvl w:val="0"/>
          <w:numId w:val="0"/>
        </w:numPr>
        <w:tabs>
          <w:tab w:val="left" w:pos="1200"/>
        </w:tabs>
        <w:snapToGrid w:val="0"/>
        <w:spacing w:beforeLines="0" w:afterLines="0" w:line="260" w:lineRule="exact"/>
        <w:ind w:firstLine="480" w:firstLineChars="200"/>
        <w:rPr>
          <w:rFonts w:hint="eastAsia" w:hAnsi="宋体"/>
          <w:color w:val="000000"/>
        </w:rPr>
      </w:pPr>
      <w:r>
        <w:rPr>
          <w:rFonts w:hAnsi="宋体"/>
          <w:color w:val="000000"/>
        </w:rPr>
        <w:t>2</w:t>
      </w:r>
      <w:r>
        <w:rPr>
          <w:rFonts w:hint="eastAsia" w:hAnsi="宋体"/>
          <w:color w:val="000000"/>
        </w:rPr>
        <w:t>.</w:t>
      </w:r>
      <w:r>
        <w:rPr>
          <w:rFonts w:hAnsi="宋体"/>
          <w:color w:val="000000"/>
        </w:rPr>
        <w:t>投标文件的大写金额和小写金额不一致的，以大写金额为准；</w:t>
      </w:r>
    </w:p>
    <w:p>
      <w:pPr>
        <w:pStyle w:val="30"/>
        <w:numPr>
          <w:ilvl w:val="0"/>
          <w:numId w:val="0"/>
        </w:numPr>
        <w:tabs>
          <w:tab w:val="left" w:pos="1200"/>
        </w:tabs>
        <w:snapToGrid w:val="0"/>
        <w:spacing w:beforeLines="0" w:afterLines="0" w:line="260" w:lineRule="exact"/>
        <w:ind w:firstLine="480" w:firstLineChars="200"/>
        <w:rPr>
          <w:rFonts w:hint="eastAsia" w:hAnsi="宋体"/>
          <w:color w:val="000000"/>
        </w:rPr>
      </w:pPr>
      <w:r>
        <w:rPr>
          <w:rFonts w:hint="eastAsia" w:hAnsi="宋体"/>
          <w:color w:val="000000"/>
        </w:rPr>
        <w:t>3.单价金额小数点或者百分比有明显错位的，以开标一览表的总价为准，并修改单价；</w:t>
      </w:r>
    </w:p>
    <w:p>
      <w:pPr>
        <w:pStyle w:val="30"/>
        <w:numPr>
          <w:ilvl w:val="0"/>
          <w:numId w:val="0"/>
        </w:numPr>
        <w:tabs>
          <w:tab w:val="left" w:pos="1200"/>
        </w:tabs>
        <w:snapToGrid w:val="0"/>
        <w:spacing w:beforeLines="0" w:afterLines="0" w:line="260" w:lineRule="exact"/>
        <w:ind w:firstLine="480" w:firstLineChars="200"/>
        <w:rPr>
          <w:rFonts w:hAnsi="宋体"/>
          <w:color w:val="000000"/>
        </w:rPr>
      </w:pPr>
      <w:r>
        <w:rPr>
          <w:rFonts w:hint="eastAsia" w:hAnsi="宋体"/>
          <w:color w:val="000000"/>
        </w:rPr>
        <w:t>4.</w:t>
      </w:r>
      <w:r>
        <w:rPr>
          <w:rFonts w:hAnsi="宋体"/>
          <w:color w:val="000000"/>
        </w:rPr>
        <w:t>总价金额与按单价汇总金额不一致的，以单价金额计算结果为准；</w:t>
      </w:r>
    </w:p>
    <w:p>
      <w:pPr>
        <w:pStyle w:val="30"/>
        <w:numPr>
          <w:ilvl w:val="0"/>
          <w:numId w:val="0"/>
        </w:numPr>
        <w:tabs>
          <w:tab w:val="left" w:pos="1200"/>
        </w:tabs>
        <w:snapToGrid w:val="0"/>
        <w:spacing w:beforeLines="0" w:afterLines="0" w:line="260" w:lineRule="exact"/>
        <w:ind w:firstLine="480" w:firstLineChars="200"/>
        <w:rPr>
          <w:rFonts w:hAnsi="宋体"/>
          <w:color w:val="000000"/>
        </w:rPr>
      </w:pPr>
      <w:r>
        <w:rPr>
          <w:rFonts w:hint="eastAsia" w:hAnsi="宋体"/>
          <w:color w:val="000000"/>
        </w:rPr>
        <w:t>5.</w:t>
      </w:r>
      <w:r>
        <w:rPr>
          <w:rFonts w:hAnsi="宋体"/>
          <w:color w:val="000000"/>
        </w:rPr>
        <w:t>对不同文字文本投标文件的解释发生异议的，以中文文本为准。</w:t>
      </w:r>
    </w:p>
    <w:p>
      <w:pPr>
        <w:pStyle w:val="30"/>
        <w:numPr>
          <w:ilvl w:val="0"/>
          <w:numId w:val="0"/>
        </w:numPr>
        <w:tabs>
          <w:tab w:val="left" w:pos="1200"/>
        </w:tabs>
        <w:snapToGrid w:val="0"/>
        <w:spacing w:beforeLines="0" w:afterLines="0" w:line="240" w:lineRule="auto"/>
        <w:ind w:firstLine="472" w:firstLineChars="196"/>
        <w:rPr>
          <w:rFonts w:hAnsi="宋体"/>
          <w:b/>
          <w:bCs/>
          <w:color w:val="000000"/>
        </w:rPr>
      </w:pPr>
      <w:r>
        <w:rPr>
          <w:rFonts w:hAnsi="宋体"/>
          <w:b/>
          <w:bCs/>
          <w:color w:val="000000"/>
        </w:rPr>
        <w:t>按上述修正错误的原则及方法调整或修正投标文件的投标报价，</w:t>
      </w:r>
      <w:r>
        <w:rPr>
          <w:rFonts w:hint="eastAsia" w:hAnsi="宋体"/>
          <w:b/>
          <w:bCs/>
          <w:color w:val="000000"/>
        </w:rPr>
        <w:t>投标供应商</w:t>
      </w:r>
      <w:r>
        <w:rPr>
          <w:rFonts w:hAnsi="宋体"/>
          <w:b/>
          <w:bCs/>
          <w:color w:val="000000"/>
        </w:rPr>
        <w:t>同意并签字确认后，调整后的投标报价对</w:t>
      </w:r>
      <w:r>
        <w:rPr>
          <w:rFonts w:hint="eastAsia" w:hAnsi="宋体"/>
          <w:b/>
          <w:bCs/>
          <w:color w:val="000000"/>
        </w:rPr>
        <w:t>投标供应商</w:t>
      </w:r>
      <w:r>
        <w:rPr>
          <w:rFonts w:hAnsi="宋体"/>
          <w:b/>
          <w:bCs/>
          <w:color w:val="000000"/>
        </w:rPr>
        <w:t>具有约束作用。如果</w:t>
      </w:r>
      <w:r>
        <w:rPr>
          <w:rFonts w:hint="eastAsia" w:hAnsi="宋体"/>
          <w:b/>
          <w:bCs/>
          <w:color w:val="000000"/>
        </w:rPr>
        <w:t>投标供应商</w:t>
      </w:r>
      <w:r>
        <w:rPr>
          <w:rFonts w:hAnsi="宋体"/>
          <w:b/>
          <w:bCs/>
          <w:color w:val="000000"/>
        </w:rPr>
        <w:t>不接受修正后的报价，则其投标将作为无效投标处理。</w:t>
      </w:r>
    </w:p>
    <w:p>
      <w:pPr>
        <w:pStyle w:val="4"/>
        <w:spacing w:line="500" w:lineRule="exact"/>
        <w:rPr>
          <w:rFonts w:ascii="宋体" w:hAnsi="宋体"/>
          <w:color w:val="000000"/>
          <w:sz w:val="24"/>
          <w:szCs w:val="24"/>
        </w:rPr>
      </w:pPr>
      <w:r>
        <w:rPr>
          <w:rFonts w:hint="eastAsia" w:ascii="宋体" w:hAnsi="宋体"/>
          <w:color w:val="000000"/>
          <w:sz w:val="24"/>
          <w:szCs w:val="24"/>
        </w:rPr>
        <w:t>（六）评审纪律和要求</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1.</w:t>
      </w:r>
      <w:r>
        <w:rPr>
          <w:rFonts w:hint="eastAsia" w:ascii="宋体"/>
          <w:color w:val="000000"/>
          <w:sz w:val="24"/>
        </w:rPr>
        <w:t>评审专家必须公平、公正评审，遵纪守法，客观、廉洁地履行职责。</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2.</w:t>
      </w:r>
      <w:r>
        <w:rPr>
          <w:rFonts w:hint="eastAsia" w:ascii="宋体"/>
          <w:color w:val="000000"/>
          <w:sz w:val="24"/>
        </w:rPr>
        <w:t>评审专家在评审开始前，应关闭并上交随身携带的各种通信工具。</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3.</w:t>
      </w:r>
      <w:r>
        <w:rPr>
          <w:rFonts w:hint="eastAsia" w:ascii="宋体"/>
          <w:color w:val="000000"/>
          <w:sz w:val="24"/>
        </w:rPr>
        <w:t>评审专家在评审过程中，未经许可不得中途离开评审现场，不得迟到早退。</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4.</w:t>
      </w:r>
      <w:r>
        <w:rPr>
          <w:rFonts w:hint="eastAsia" w:ascii="宋体"/>
          <w:color w:val="000000"/>
          <w:sz w:val="24"/>
        </w:rPr>
        <w:t>评审专家和工作人员不得透露评审过程中的讨论情况和评审结果。</w:t>
      </w:r>
    </w:p>
    <w:p>
      <w:pPr>
        <w:pStyle w:val="680"/>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5.</w:t>
      </w:r>
      <w:r>
        <w:rPr>
          <w:rFonts w:hint="eastAsia" w:ascii="宋体"/>
          <w:color w:val="000000"/>
          <w:sz w:val="24"/>
        </w:rPr>
        <w:t>评审时，评审专家须按采购文件规定的程序、条件和标准，对投标供应商投标文件的合规性、完整性和有效性进行审查、比较和评估，其中对投标供应商的资格条件、主要技术参数、商务报价和其他评审要素等，评审专家应逐项进行审查、比较，不得漏评少评。如发现与采购文件要求相偏离的，应对其偏离情形进行必要的核实，并在工作底稿中予以说明；如属于实质性偏离或符合无效投标文件的，可询问投标供应商，并允许投标供应商进行陈述申辩，但不允许其对偏离条款进行补充、修正或撤回。</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6.</w:t>
      </w:r>
      <w:r>
        <w:rPr>
          <w:rFonts w:hint="eastAsia" w:ascii="宋体"/>
          <w:color w:val="000000"/>
          <w:sz w:val="24"/>
        </w:rPr>
        <w:t>采购人、集采机构不得向评标委员会的评审专家作倾向性、误导性的解释或者说明。</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7.</w:t>
      </w:r>
      <w:r>
        <w:rPr>
          <w:rFonts w:hint="eastAsia" w:ascii="宋体"/>
          <w:color w:val="000000"/>
          <w:sz w:val="24"/>
        </w:rPr>
        <w:t>集采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color w:val="000000"/>
          <w:sz w:val="24"/>
        </w:rPr>
        <w:t>30%</w:t>
      </w:r>
      <w:r>
        <w:rPr>
          <w:rFonts w:hint="eastAsia" w:ascii="宋体"/>
          <w:color w:val="000000"/>
          <w:sz w:val="24"/>
        </w:rPr>
        <w:t>以上），提醒相关评审专家进行复核或书面说明理由。</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8.</w:t>
      </w:r>
      <w:r>
        <w:rPr>
          <w:rFonts w:hint="eastAsia" w:ascii="宋体"/>
          <w:color w:val="000000"/>
          <w:sz w:val="24"/>
        </w:rPr>
        <w:t>评审专家在评审过程中不得将自己的观点强加给其他评审专家，评审专家应自主发表见解，对评审意见承担个人责任。</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9.</w:t>
      </w:r>
      <w:r>
        <w:rPr>
          <w:rFonts w:hint="eastAsia" w:ascii="宋体"/>
          <w:color w:val="000000"/>
          <w:sz w:val="24"/>
        </w:rPr>
        <w:t>评审结束后，评标委员会应向集采机构提交项目评审报告。评审报告是采购人确定中标供应商的合法依据，评标委员会应当如实、客观地反映评审情况，按采购文件的评审办法和细则的规定推荐中标候选人，说明推荐理由，并重点对中标候选人的技术、服务和价格等情况进行评价和比较。如排名第一的投标供应商报价为最高报价的，评审报告中须对其报价的合理性等进行分析和特别说明。</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10.</w:t>
      </w:r>
      <w:r>
        <w:rPr>
          <w:rFonts w:hint="eastAsia" w:ascii="宋体"/>
          <w:color w:val="000000"/>
          <w:sz w:val="24"/>
        </w:rPr>
        <w:t>评审专家应当独立、客观、公正地提出评审意见，不得带有倾向性，不得影响其他评审专家评审，并在评审报告上签字；如对评审报告有异议的，可在报告上签署不同意见，并说明理由，否则将视为同意。</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11.</w:t>
      </w:r>
      <w:r>
        <w:rPr>
          <w:rFonts w:hint="eastAsia" w:ascii="宋体"/>
          <w:color w:val="000000"/>
          <w:sz w:val="24"/>
        </w:rPr>
        <w:t>评审专家应当遵守评审工作纪律，不得泄露评审文件、评审情况和评审中获悉的商业秘密。</w:t>
      </w:r>
    </w:p>
    <w:p>
      <w:pPr>
        <w:pStyle w:val="1042"/>
        <w:spacing w:before="0" w:beforeAutospacing="0" w:after="0" w:afterAutospacing="0" w:line="500" w:lineRule="exact"/>
        <w:ind w:left="200" w:firstLine="480" w:firstLineChars="200"/>
        <w:jc w:val="both"/>
        <w:rPr>
          <w:rFonts w:ascii="宋体"/>
          <w:color w:val="000000"/>
          <w:sz w:val="24"/>
        </w:rPr>
      </w:pPr>
      <w:r>
        <w:rPr>
          <w:rFonts w:hint="eastAsia" w:ascii="宋体"/>
          <w:color w:val="000000"/>
          <w:sz w:val="24"/>
        </w:rPr>
        <w:t>评标委员会在评审过程中发现投标供应商有行贿、提供虚假材料或者串通等违法行为的，应当及时向财政部门报告。</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12.</w:t>
      </w:r>
      <w:r>
        <w:rPr>
          <w:rFonts w:hint="eastAsia" w:ascii="宋体"/>
          <w:color w:val="000000"/>
          <w:sz w:val="24"/>
        </w:rPr>
        <w:t>采购文件内容违反国家有关强制性规定的，评标委员会应当停止评审并向集采机构说明情况。</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13.</w:t>
      </w:r>
      <w:r>
        <w:rPr>
          <w:rFonts w:hint="eastAsia" w:ascii="宋体"/>
          <w:color w:val="000000"/>
          <w:sz w:val="24"/>
        </w:rPr>
        <w:t>评审专家应当配合集采机构答复投标供应商提出的质疑。</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14.</w:t>
      </w:r>
      <w:r>
        <w:rPr>
          <w:rFonts w:hint="eastAsia" w:ascii="宋体"/>
          <w:color w:val="000000"/>
          <w:sz w:val="24"/>
        </w:rPr>
        <w:t>评审专家应当配合财政部门的投诉处理工作。</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15.</w:t>
      </w:r>
      <w:r>
        <w:rPr>
          <w:rFonts w:hint="eastAsia" w:ascii="宋体"/>
          <w:color w:val="000000"/>
          <w:sz w:val="24"/>
        </w:rPr>
        <w:t>评审专家有如下行为之一的，责令改正，给予警告，可以并处一千元以下的罚款：</w:t>
      </w:r>
    </w:p>
    <w:p>
      <w:pPr>
        <w:pStyle w:val="1042"/>
        <w:spacing w:before="0" w:beforeAutospacing="0" w:after="0" w:afterAutospacing="0" w:line="500" w:lineRule="exact"/>
        <w:ind w:left="200" w:firstLine="480" w:firstLineChars="200"/>
        <w:jc w:val="both"/>
        <w:rPr>
          <w:rFonts w:ascii="宋体"/>
          <w:color w:val="000000"/>
          <w:sz w:val="24"/>
        </w:rPr>
      </w:pPr>
      <w:r>
        <w:rPr>
          <w:rFonts w:hint="eastAsia" w:ascii="宋体"/>
          <w:color w:val="000000"/>
          <w:sz w:val="24"/>
        </w:rPr>
        <w:t>①明知应当回避而未主动回避的；</w:t>
      </w:r>
    </w:p>
    <w:p>
      <w:pPr>
        <w:pStyle w:val="1042"/>
        <w:spacing w:before="0" w:beforeAutospacing="0" w:after="0" w:afterAutospacing="0" w:line="500" w:lineRule="exact"/>
        <w:ind w:left="200" w:firstLine="436" w:firstLineChars="200"/>
        <w:jc w:val="both"/>
        <w:rPr>
          <w:rFonts w:ascii="宋体"/>
          <w:color w:val="000000"/>
          <w:sz w:val="24"/>
        </w:rPr>
      </w:pPr>
      <w:r>
        <w:rPr>
          <w:rFonts w:hint="eastAsia" w:ascii="宋体"/>
          <w:color w:val="000000"/>
          <w:spacing w:val="-11"/>
          <w:sz w:val="24"/>
        </w:rPr>
        <w:t>②在得知自己为评审专家身份后至评审结束前时段内私下接触投标供应商的</w:t>
      </w:r>
      <w:r>
        <w:rPr>
          <w:rFonts w:hint="eastAsia" w:ascii="宋体"/>
          <w:color w:val="000000"/>
          <w:sz w:val="24"/>
        </w:rPr>
        <w:t>；</w:t>
      </w:r>
    </w:p>
    <w:p>
      <w:pPr>
        <w:pStyle w:val="1042"/>
        <w:spacing w:before="0" w:beforeAutospacing="0" w:after="0" w:afterAutospacing="0" w:line="500" w:lineRule="exact"/>
        <w:ind w:left="200" w:firstLine="480" w:firstLineChars="200"/>
        <w:jc w:val="both"/>
        <w:rPr>
          <w:rFonts w:ascii="宋体"/>
          <w:color w:val="000000"/>
          <w:sz w:val="24"/>
        </w:rPr>
      </w:pPr>
      <w:r>
        <w:rPr>
          <w:rFonts w:hint="eastAsia" w:ascii="宋体"/>
          <w:color w:val="000000"/>
          <w:sz w:val="24"/>
        </w:rPr>
        <w:t>③在评审过程中擅离职守，影响评审程序正常进行的；</w:t>
      </w:r>
    </w:p>
    <w:p>
      <w:pPr>
        <w:pStyle w:val="1042"/>
        <w:spacing w:before="0" w:beforeAutospacing="0" w:after="0" w:afterAutospacing="0" w:line="500" w:lineRule="exact"/>
        <w:ind w:left="200" w:firstLine="480" w:firstLineChars="200"/>
        <w:jc w:val="both"/>
        <w:rPr>
          <w:rFonts w:ascii="宋体"/>
          <w:color w:val="000000"/>
          <w:sz w:val="24"/>
        </w:rPr>
      </w:pPr>
      <w:r>
        <w:rPr>
          <w:rFonts w:hint="eastAsia" w:ascii="宋体"/>
          <w:color w:val="000000"/>
          <w:sz w:val="24"/>
        </w:rPr>
        <w:t>④在评审过程有明显不合理或者不正当倾向性的；</w:t>
      </w:r>
    </w:p>
    <w:p>
      <w:pPr>
        <w:pStyle w:val="1042"/>
        <w:spacing w:before="0" w:beforeAutospacing="0" w:after="0" w:afterAutospacing="0" w:line="500" w:lineRule="exact"/>
        <w:ind w:left="200" w:firstLine="480" w:firstLineChars="200"/>
        <w:jc w:val="both"/>
        <w:rPr>
          <w:rFonts w:ascii="宋体"/>
          <w:color w:val="000000"/>
          <w:sz w:val="24"/>
        </w:rPr>
      </w:pPr>
      <w:r>
        <w:rPr>
          <w:rFonts w:hint="eastAsia" w:ascii="宋体"/>
          <w:color w:val="000000"/>
          <w:sz w:val="24"/>
        </w:rPr>
        <w:t>⑤未按采购文件规定的评审方法和标准进行评审的。</w:t>
      </w:r>
    </w:p>
    <w:p>
      <w:pPr>
        <w:pStyle w:val="1042"/>
        <w:spacing w:before="0" w:beforeAutospacing="0" w:after="0" w:afterAutospacing="0" w:line="500" w:lineRule="exact"/>
        <w:ind w:left="200" w:firstLine="480" w:firstLineChars="200"/>
        <w:jc w:val="both"/>
        <w:rPr>
          <w:rFonts w:ascii="宋体"/>
          <w:color w:val="000000"/>
          <w:sz w:val="24"/>
        </w:rPr>
      </w:pPr>
      <w:r>
        <w:rPr>
          <w:rFonts w:hint="eastAsia" w:ascii="宋体"/>
          <w:color w:val="000000"/>
          <w:sz w:val="24"/>
        </w:rPr>
        <w:t>⑥上述①至⑤行为影响中标结果的，中标结果无效。</w:t>
      </w:r>
    </w:p>
    <w:p>
      <w:pPr>
        <w:pStyle w:val="1042"/>
        <w:spacing w:before="0" w:beforeAutospacing="0" w:after="0" w:afterAutospacing="0" w:line="500" w:lineRule="exact"/>
        <w:ind w:left="200" w:firstLine="480" w:firstLineChars="200"/>
        <w:jc w:val="both"/>
        <w:rPr>
          <w:rFonts w:ascii="宋体"/>
          <w:color w:val="000000"/>
          <w:sz w:val="24"/>
        </w:rPr>
      </w:pPr>
      <w:r>
        <w:rPr>
          <w:rFonts w:ascii="宋体"/>
          <w:color w:val="000000"/>
          <w:sz w:val="24"/>
        </w:rPr>
        <w:t>16.</w:t>
      </w:r>
      <w:r>
        <w:rPr>
          <w:rFonts w:hint="eastAsia" w:ascii="宋体"/>
          <w:color w:val="000000"/>
          <w:sz w:val="24"/>
        </w:rPr>
        <w:t>政府采购评审专家未按照采购文件规定的评审程序、评审方法和评审标准进行独立评审或者泄露评审文件、评审情况的，由财政部门给予警告，并处</w:t>
      </w:r>
      <w:r>
        <w:rPr>
          <w:rFonts w:ascii="宋体"/>
          <w:color w:val="000000"/>
          <w:sz w:val="24"/>
        </w:rPr>
        <w:t>2000</w:t>
      </w:r>
      <w:r>
        <w:rPr>
          <w:rFonts w:hint="eastAsia" w:ascii="宋体"/>
          <w:color w:val="000000"/>
          <w:sz w:val="24"/>
        </w:rPr>
        <w:t>元以上</w:t>
      </w:r>
      <w:r>
        <w:rPr>
          <w:rFonts w:ascii="宋体"/>
          <w:color w:val="000000"/>
          <w:sz w:val="24"/>
        </w:rPr>
        <w:t>2</w:t>
      </w:r>
      <w:r>
        <w:rPr>
          <w:rFonts w:hint="eastAsia" w:ascii="宋体"/>
          <w:color w:val="000000"/>
          <w:sz w:val="24"/>
        </w:rPr>
        <w:t>万元以下的罚款；影响中标、成交结果的，处</w:t>
      </w:r>
      <w:r>
        <w:rPr>
          <w:rFonts w:ascii="宋体"/>
          <w:color w:val="000000"/>
          <w:sz w:val="24"/>
        </w:rPr>
        <w:t>2</w:t>
      </w:r>
      <w:r>
        <w:rPr>
          <w:rFonts w:hint="eastAsia" w:ascii="宋体"/>
          <w:color w:val="000000"/>
          <w:sz w:val="24"/>
        </w:rPr>
        <w:t>万元以上</w:t>
      </w:r>
      <w:r>
        <w:rPr>
          <w:rFonts w:ascii="宋体"/>
          <w:color w:val="000000"/>
          <w:sz w:val="24"/>
        </w:rPr>
        <w:t>5</w:t>
      </w:r>
      <w:r>
        <w:rPr>
          <w:rFonts w:hint="eastAsia" w:ascii="宋体"/>
          <w:color w:val="000000"/>
          <w:sz w:val="24"/>
        </w:rPr>
        <w:t>万元以下的罚款，禁止其参加政府采购评审活动。</w:t>
      </w:r>
    </w:p>
    <w:p>
      <w:pPr>
        <w:pStyle w:val="1042"/>
        <w:spacing w:before="0" w:beforeAutospacing="0" w:after="0" w:afterAutospacing="0" w:line="500" w:lineRule="exact"/>
        <w:ind w:left="200" w:firstLine="480" w:firstLineChars="200"/>
        <w:jc w:val="both"/>
        <w:rPr>
          <w:rFonts w:ascii="宋体"/>
          <w:color w:val="000000"/>
          <w:sz w:val="24"/>
        </w:rPr>
      </w:pPr>
      <w:r>
        <w:rPr>
          <w:rFonts w:hint="eastAsia" w:ascii="宋体"/>
          <w:color w:val="000000"/>
          <w:sz w:val="24"/>
        </w:rPr>
        <w:t>政府采购评审专家与投标供应商存在利害关系未回避的，处</w:t>
      </w:r>
      <w:r>
        <w:rPr>
          <w:rFonts w:ascii="宋体"/>
          <w:color w:val="000000"/>
          <w:sz w:val="24"/>
        </w:rPr>
        <w:t>2</w:t>
      </w:r>
      <w:r>
        <w:rPr>
          <w:rFonts w:hint="eastAsia" w:ascii="宋体"/>
          <w:color w:val="000000"/>
          <w:sz w:val="24"/>
        </w:rPr>
        <w:t>万元以上</w:t>
      </w:r>
      <w:r>
        <w:rPr>
          <w:rFonts w:ascii="宋体"/>
          <w:color w:val="000000"/>
          <w:sz w:val="24"/>
        </w:rPr>
        <w:t>5</w:t>
      </w:r>
      <w:r>
        <w:rPr>
          <w:rFonts w:hint="eastAsia" w:ascii="宋体"/>
          <w:color w:val="000000"/>
          <w:sz w:val="24"/>
        </w:rPr>
        <w:t>万元以下的罚款，禁止其参加政府采购评审活动。</w:t>
      </w:r>
    </w:p>
    <w:p>
      <w:pPr>
        <w:pStyle w:val="1042"/>
        <w:spacing w:before="0" w:beforeAutospacing="0" w:after="0" w:afterAutospacing="0" w:line="500" w:lineRule="exact"/>
        <w:ind w:left="200" w:firstLine="480" w:firstLineChars="200"/>
        <w:jc w:val="both"/>
        <w:rPr>
          <w:rFonts w:ascii="宋体"/>
          <w:color w:val="000000"/>
          <w:sz w:val="24"/>
        </w:rPr>
      </w:pPr>
      <w:r>
        <w:rPr>
          <w:rFonts w:hint="eastAsia" w:ascii="宋体"/>
          <w:color w:val="000000"/>
          <w:sz w:val="24"/>
        </w:rPr>
        <w:t>政府采购评审专家收受采购人、集采机构、投标供应商贿赂或者获取其他不正当利益，构成犯罪的，依法追究刑事责任；尚不构成犯罪的，处</w:t>
      </w:r>
      <w:r>
        <w:rPr>
          <w:rFonts w:ascii="宋体"/>
          <w:color w:val="000000"/>
          <w:sz w:val="24"/>
        </w:rPr>
        <w:t>2</w:t>
      </w:r>
      <w:r>
        <w:rPr>
          <w:rFonts w:hint="eastAsia" w:ascii="宋体"/>
          <w:color w:val="000000"/>
          <w:sz w:val="24"/>
        </w:rPr>
        <w:t>万元以上</w:t>
      </w:r>
      <w:r>
        <w:rPr>
          <w:rFonts w:ascii="宋体"/>
          <w:color w:val="000000"/>
          <w:sz w:val="24"/>
        </w:rPr>
        <w:t>5</w:t>
      </w:r>
      <w:r>
        <w:rPr>
          <w:rFonts w:hint="eastAsia" w:ascii="宋体"/>
          <w:color w:val="000000"/>
          <w:sz w:val="24"/>
        </w:rPr>
        <w:t>万元以下的罚款，禁止其参加政府采购评审活动。</w:t>
      </w:r>
    </w:p>
    <w:p>
      <w:pPr>
        <w:pStyle w:val="1042"/>
        <w:spacing w:before="0" w:beforeAutospacing="0" w:after="0" w:afterAutospacing="0" w:line="500" w:lineRule="exact"/>
        <w:ind w:left="200" w:firstLine="480" w:firstLineChars="200"/>
        <w:jc w:val="both"/>
        <w:rPr>
          <w:rFonts w:ascii="宋体"/>
          <w:color w:val="000000"/>
          <w:sz w:val="24"/>
        </w:rPr>
      </w:pPr>
      <w:r>
        <w:rPr>
          <w:rFonts w:hint="eastAsia" w:ascii="宋体"/>
          <w:color w:val="000000"/>
          <w:sz w:val="24"/>
        </w:rPr>
        <w:t>政府采购评审专家有上述违法行为的，其评审意见无效，不得获取评审费；有违法所得的，没收违法所得；给他人造成损失的，依法承担民事责任。</w:t>
      </w:r>
    </w:p>
    <w:p>
      <w:pPr>
        <w:pStyle w:val="4"/>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七</w:t>
      </w:r>
      <w:r>
        <w:rPr>
          <w:rFonts w:ascii="宋体" w:hAnsi="宋体"/>
          <w:color w:val="000000"/>
          <w:sz w:val="24"/>
          <w:szCs w:val="24"/>
        </w:rPr>
        <w:t>）评标原则和评标办法</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2.评标办法。本项目评标办法是 综合评分法 ，具体评标内容及评分标准等详见《第四章：评标办法及评分标准》。</w:t>
      </w:r>
    </w:p>
    <w:p>
      <w:pPr>
        <w:pStyle w:val="4"/>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八</w:t>
      </w:r>
      <w:r>
        <w:rPr>
          <w:rFonts w:ascii="宋体" w:hAnsi="宋体"/>
          <w:color w:val="000000"/>
          <w:sz w:val="24"/>
          <w:szCs w:val="24"/>
        </w:rPr>
        <w:t>）评标过程的监控</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本项目评标过程实行全程录音、录像监控，投标供应商在评标过程中所进行的试图影响评标结果的不公正活动，可能导致其投标被拒绝。</w:t>
      </w:r>
    </w:p>
    <w:p>
      <w:pPr>
        <w:adjustRightInd w:val="0"/>
        <w:snapToGrid w:val="0"/>
        <w:spacing w:before="120" w:beforeLines="50" w:after="120" w:afterLines="50"/>
        <w:ind w:left="238"/>
        <w:jc w:val="left"/>
        <w:outlineLvl w:val="1"/>
        <w:rPr>
          <w:rFonts w:hint="eastAsia" w:ascii="宋体" w:hAnsi="宋体"/>
          <w:b/>
          <w:color w:val="000000"/>
          <w:sz w:val="24"/>
        </w:rPr>
      </w:pPr>
      <w:r>
        <w:rPr>
          <w:rFonts w:hint="eastAsia" w:ascii="宋体" w:hAnsi="宋体"/>
          <w:b/>
          <w:color w:val="000000"/>
          <w:sz w:val="24"/>
        </w:rPr>
        <w:t>六、定标</w:t>
      </w:r>
    </w:p>
    <w:p>
      <w:pPr>
        <w:pStyle w:val="4"/>
        <w:rPr>
          <w:rFonts w:ascii="宋体" w:hAnsi="宋体"/>
          <w:b w:val="0"/>
          <w:color w:val="000000"/>
          <w:sz w:val="24"/>
          <w:szCs w:val="24"/>
        </w:rPr>
      </w:pPr>
      <w:r>
        <w:rPr>
          <w:rFonts w:hint="eastAsia" w:ascii="宋体" w:hAnsi="宋体"/>
          <w:color w:val="000000"/>
          <w:sz w:val="24"/>
          <w:szCs w:val="24"/>
        </w:rPr>
        <w:t>（一）确定中标供应商。本项目由采购人（或采购人事先授权评标委员会）确定中标供应商。</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1.集采机构在评标结束后2个工作日内将评标报告交采购人确认。 出现下列情形之一的，采购人或者采购人授权的评标委员会可以按照评审报告推荐的中标或者成交候选人名单排序，确定下一候选人为中标或者成交供应商，也可以重新开展政府采购活动。</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（1）排名第一的候选供应商，因自身原因放弃中标成交或因不可抗力不能履行合同的；</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（2）经质疑，采购人、集采机构审查确认因排名第一的候选供应商在本次采购活动中存在违法违规行为或其他原因使质疑成立的。</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2. 采购人应当自收到评审报告之日起5个工作日内在评审报告推荐的中标或者成交候选人中按顺序确定中标或者成交供应商。如有投标供应商对评标结果提出质疑的，采购人可在质疑处理完毕后确定中标供应商。</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3.采购人依法确定中标供应商后，采购人和集采机构以书面形式发出《中标通知书》,并同时在相关网站上发布中标公告。</w:t>
      </w:r>
    </w:p>
    <w:p>
      <w:pPr>
        <w:adjustRightInd w:val="0"/>
        <w:snapToGrid w:val="0"/>
        <w:spacing w:before="120" w:beforeLines="50" w:after="120" w:afterLines="50"/>
        <w:ind w:left="238"/>
        <w:jc w:val="left"/>
        <w:outlineLvl w:val="1"/>
        <w:rPr>
          <w:rFonts w:ascii="宋体" w:hAnsi="宋体"/>
          <w:b/>
          <w:color w:val="000000"/>
          <w:sz w:val="24"/>
        </w:rPr>
      </w:pPr>
      <w:r>
        <w:rPr>
          <w:rFonts w:hint="eastAsia" w:ascii="宋体" w:hAnsi="宋体"/>
          <w:b/>
          <w:color w:val="000000"/>
          <w:sz w:val="24"/>
        </w:rPr>
        <w:t>七、合同授予</w:t>
      </w:r>
    </w:p>
    <w:p>
      <w:pPr>
        <w:pStyle w:val="4"/>
        <w:rPr>
          <w:rFonts w:ascii="宋体" w:hAnsi="宋体"/>
          <w:color w:val="000000"/>
          <w:sz w:val="24"/>
          <w:szCs w:val="24"/>
        </w:rPr>
      </w:pPr>
      <w:r>
        <w:rPr>
          <w:rFonts w:hint="eastAsia" w:ascii="宋体" w:hAnsi="宋体"/>
          <w:color w:val="000000"/>
          <w:sz w:val="24"/>
          <w:szCs w:val="24"/>
        </w:rPr>
        <w:t>（一）签订合同</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1.采购人与中标供应商应当在《中标通知书》发出之日起  30  日内签订政府采购合同。同时，集采机构对合同内容进行审查，如发现与采购结果和投标承诺内容不一致的，应予以纠正。</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2.中标供应商拖延、拒签合同的,将取消中标资格。</w:t>
      </w:r>
    </w:p>
    <w:p>
      <w:pPr>
        <w:pStyle w:val="4"/>
        <w:rPr>
          <w:rFonts w:hint="eastAsia" w:ascii="宋体" w:hAnsi="宋体"/>
          <w:color w:val="000000"/>
          <w:sz w:val="24"/>
          <w:szCs w:val="24"/>
        </w:rPr>
      </w:pPr>
      <w:r>
        <w:rPr>
          <w:rFonts w:ascii="宋体" w:hAnsi="宋体"/>
          <w:color w:val="000000"/>
          <w:sz w:val="24"/>
          <w:szCs w:val="24"/>
        </w:rPr>
        <w:t>（二）履约保证金及</w:t>
      </w:r>
      <w:r>
        <w:rPr>
          <w:rFonts w:hint="eastAsia" w:ascii="宋体" w:hAnsi="宋体"/>
          <w:color w:val="000000"/>
          <w:sz w:val="24"/>
          <w:szCs w:val="24"/>
        </w:rPr>
        <w:t>付款方式</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 xml:space="preserve">1.履约保证金：本项目标项一、标项二不收取履约保证金。 </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2.付款方式：</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标项一：</w:t>
      </w:r>
    </w:p>
    <w:p>
      <w:pPr>
        <w:pStyle w:val="1042"/>
        <w:spacing w:before="0" w:beforeAutospacing="0" w:after="0" w:afterAutospacing="0" w:line="500" w:lineRule="exact"/>
        <w:ind w:left="200" w:firstLine="480" w:firstLineChars="200"/>
        <w:jc w:val="both"/>
        <w:rPr>
          <w:rFonts w:hint="eastAsia" w:ascii="宋体"/>
          <w:sz w:val="24"/>
        </w:rPr>
      </w:pPr>
      <w:r>
        <w:rPr>
          <w:rFonts w:hint="eastAsia" w:ascii="宋体"/>
          <w:sz w:val="24"/>
        </w:rPr>
        <w:t>（1）合同生效以及具备实施条件后，采购人7个工作日内向中标人支付合同金额的40%作为项目的预付款（同时中标人应当向采购人提交合同总额的40%的预付款保函），项目验收合格后3个月内支付合同金额的57%，免费运维期满后30个工作日内支付合同金额的3%。付款前中标供应商需提供符合采购人要求的正规发票。</w:t>
      </w:r>
    </w:p>
    <w:p>
      <w:pPr>
        <w:pStyle w:val="1042"/>
        <w:spacing w:before="0" w:beforeAutospacing="0" w:after="0" w:afterAutospacing="0" w:line="500" w:lineRule="exact"/>
        <w:ind w:left="200" w:firstLine="480" w:firstLineChars="200"/>
        <w:jc w:val="both"/>
        <w:rPr>
          <w:rFonts w:hint="eastAsia" w:ascii="宋体"/>
          <w:sz w:val="24"/>
        </w:rPr>
      </w:pPr>
      <w:r>
        <w:rPr>
          <w:rFonts w:hint="eastAsia" w:ascii="宋体"/>
          <w:sz w:val="24"/>
        </w:rPr>
        <w:t>（2）若中标供应商明确表示无需预付款或者不提供预付款保函的采购人则不予支付预付款，若中标供应商主动要求降低预付款比例的，采购人可根据其要求降低项目预付款。</w:t>
      </w:r>
    </w:p>
    <w:p>
      <w:pPr>
        <w:pStyle w:val="1042"/>
        <w:spacing w:before="0" w:beforeAutospacing="0" w:after="0" w:afterAutospacing="0" w:line="500" w:lineRule="exact"/>
        <w:ind w:left="200" w:firstLine="480" w:firstLineChars="200"/>
        <w:jc w:val="both"/>
        <w:rPr>
          <w:rFonts w:hint="eastAsia" w:ascii="宋体"/>
          <w:sz w:val="24"/>
        </w:rPr>
      </w:pPr>
      <w:r>
        <w:rPr>
          <w:rFonts w:hint="eastAsia" w:ascii="宋体"/>
          <w:sz w:val="24"/>
        </w:rPr>
        <w:t>（3）实际支付金额以实际供货数量、金额结算。</w:t>
      </w:r>
    </w:p>
    <w:p>
      <w:pPr>
        <w:widowControl/>
        <w:adjustRightInd w:val="0"/>
        <w:snapToGrid w:val="0"/>
        <w:spacing w:line="500" w:lineRule="exact"/>
        <w:ind w:firstLine="566" w:firstLineChars="236"/>
        <w:jc w:val="left"/>
        <w:rPr>
          <w:rFonts w:hint="eastAsia" w:ascii="宋体" w:hAnsi="宋体" w:cs="宋体"/>
          <w:kern w:val="0"/>
          <w:sz w:val="24"/>
        </w:rPr>
      </w:pPr>
      <w:r>
        <w:rPr>
          <w:rFonts w:hint="eastAsia" w:ascii="宋体"/>
          <w:color w:val="000000"/>
          <w:sz w:val="24"/>
        </w:rPr>
        <w:t>标项二：</w:t>
      </w:r>
      <w:r>
        <w:rPr>
          <w:rFonts w:hint="eastAsia" w:ascii="宋体" w:hAnsi="宋体" w:cs="宋体"/>
          <w:kern w:val="0"/>
          <w:sz w:val="24"/>
        </w:rPr>
        <w:t>（1）若中标人为中小企业，合同生效并在具备实施条件后，采购人在7个工作日内向中标人支付合同总额的  40 %作为项目的预付款（同时中标人应当向采购人提交合同总额的40 %的预付款保函）。余款于所有产品交付并经采购人验收合格后，30个工作日内一次性支付合同款，付款前中标方需提供符合采购人要求的正规发票。</w:t>
      </w:r>
    </w:p>
    <w:p>
      <w:pPr>
        <w:widowControl/>
        <w:adjustRightInd w:val="0"/>
        <w:snapToGrid w:val="0"/>
        <w:spacing w:line="500" w:lineRule="exact"/>
        <w:ind w:firstLine="566" w:firstLineChars="236"/>
        <w:jc w:val="left"/>
        <w:rPr>
          <w:rFonts w:hint="eastAsia" w:ascii="宋体" w:hAnsi="宋体" w:cs="宋体"/>
          <w:kern w:val="0"/>
          <w:sz w:val="24"/>
        </w:rPr>
      </w:pPr>
      <w:r>
        <w:rPr>
          <w:rFonts w:hint="eastAsia" w:ascii="宋体" w:hAnsi="宋体" w:cs="宋体"/>
          <w:kern w:val="0"/>
          <w:sz w:val="24"/>
        </w:rPr>
        <w:t>（2）若中标人为大型企业，所有产品交付并经采购人验收合格后，30个工作日内一次性支付合同款，付款前中标方需提供符合采购人要求的正规发票。</w:t>
      </w:r>
    </w:p>
    <w:p>
      <w:pPr>
        <w:widowControl/>
        <w:adjustRightInd w:val="0"/>
        <w:snapToGrid w:val="0"/>
        <w:spacing w:line="500" w:lineRule="exact"/>
        <w:ind w:firstLine="566" w:firstLineChars="236"/>
        <w:jc w:val="left"/>
        <w:rPr>
          <w:rFonts w:hint="eastAsia" w:ascii="宋体"/>
          <w:color w:val="000000"/>
          <w:sz w:val="24"/>
        </w:rPr>
      </w:pPr>
      <w:r>
        <w:rPr>
          <w:rFonts w:hint="eastAsia" w:ascii="宋体" w:hAnsi="宋体" w:cs="宋体"/>
          <w:kern w:val="0"/>
          <w:sz w:val="24"/>
        </w:rPr>
        <w:t>（3）若中标供应商明确表示无需预付款或者不提供预付款保函的，采购人则不予支付预付款，若中标供应商主动要求降低预付款比例的，采购人可根据其要求降低项目预付款。</w:t>
      </w:r>
    </w:p>
    <w:p>
      <w:pPr>
        <w:adjustRightInd w:val="0"/>
        <w:snapToGrid w:val="0"/>
        <w:spacing w:before="120" w:beforeLines="50" w:after="120" w:afterLines="50"/>
        <w:ind w:left="238"/>
        <w:jc w:val="left"/>
        <w:outlineLvl w:val="1"/>
        <w:rPr>
          <w:rFonts w:hint="eastAsia" w:ascii="宋体" w:hAnsi="宋体"/>
          <w:b/>
          <w:color w:val="000000"/>
          <w:sz w:val="24"/>
        </w:rPr>
      </w:pPr>
      <w:r>
        <w:rPr>
          <w:rFonts w:hint="eastAsia" w:ascii="宋体" w:hAnsi="宋体"/>
          <w:b/>
          <w:color w:val="000000"/>
          <w:sz w:val="24"/>
        </w:rPr>
        <w:t>八、</w:t>
      </w:r>
      <w:r>
        <w:rPr>
          <w:rFonts w:ascii="宋体" w:hAnsi="宋体"/>
          <w:b/>
          <w:color w:val="000000"/>
          <w:sz w:val="24"/>
        </w:rPr>
        <w:t>电子</w:t>
      </w:r>
      <w:r>
        <w:rPr>
          <w:rFonts w:hint="eastAsia" w:ascii="宋体" w:hAnsi="宋体"/>
          <w:b/>
          <w:color w:val="000000"/>
          <w:sz w:val="24"/>
        </w:rPr>
        <w:t>交易活动的中止</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采购过程中出现以下情形，导致电子交易平台无法正常运行，或者无法保证电子交易的公平、公正和安全时，采购机构可中止电子交易活动：</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 xml:space="preserve">1电子交易平台发生故障而无法登录访问的； </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2电子交易平台应用或数据库出现错误，不能进行正常操作的；</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3电子交易平台发现严重安全漏洞，有潜在泄密危险的；</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 xml:space="preserve">4病毒发作导致不能进行正常操作的； </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5其他无法保证电子交易的公平、公正和安全的情况。</w:t>
      </w:r>
    </w:p>
    <w:p>
      <w:pPr>
        <w:pStyle w:val="1042"/>
        <w:spacing w:before="0" w:beforeAutospacing="0" w:after="0" w:afterAutospacing="0" w:line="500" w:lineRule="exact"/>
        <w:ind w:left="200" w:firstLine="480" w:firstLineChars="200"/>
        <w:jc w:val="both"/>
        <w:rPr>
          <w:rFonts w:hint="eastAsia" w:ascii="宋体"/>
          <w:color w:val="000000"/>
          <w:sz w:val="24"/>
        </w:rPr>
      </w:pPr>
      <w:r>
        <w:rPr>
          <w:rFonts w:hint="eastAsia" w:ascii="宋体"/>
          <w:color w:val="000000"/>
          <w:sz w:val="24"/>
        </w:rPr>
        <w:t>出现以上情形，不影响采购公平、公正性的，采购组织机构可以待上述情形消除后继续组织电子交易活动；影响或可能影响采购公平、公正性的，应当重新采购。</w:t>
      </w:r>
    </w:p>
    <w:p>
      <w:pPr>
        <w:pStyle w:val="309"/>
        <w:snapToGrid w:val="0"/>
        <w:spacing w:before="0" w:line="276" w:lineRule="auto"/>
        <w:ind w:firstLine="480"/>
        <w:rPr>
          <w:rFonts w:hint="eastAsia" w:ascii="宋体" w:hAnsi="宋体"/>
          <w:color w:val="000000"/>
          <w:szCs w:val="24"/>
        </w:rPr>
      </w:pPr>
    </w:p>
    <w:p>
      <w:pPr>
        <w:pStyle w:val="30"/>
        <w:numPr>
          <w:ilvl w:val="0"/>
          <w:numId w:val="0"/>
        </w:numPr>
        <w:tabs>
          <w:tab w:val="left" w:pos="1200"/>
        </w:tabs>
        <w:adjustRightInd w:val="0"/>
        <w:snapToGrid w:val="0"/>
        <w:spacing w:before="0" w:beforeLines="0" w:after="0" w:afterLines="0" w:line="240" w:lineRule="atLeast"/>
        <w:ind w:firstLine="480" w:firstLineChars="200"/>
        <w:rPr>
          <w:rFonts w:hint="eastAsia" w:hAnsi="宋体"/>
          <w:color w:val="000000"/>
          <w:kern w:val="0"/>
        </w:rPr>
      </w:pPr>
    </w:p>
    <w:p>
      <w:pPr>
        <w:pStyle w:val="30"/>
        <w:numPr>
          <w:ilvl w:val="0"/>
          <w:numId w:val="0"/>
        </w:numPr>
        <w:tabs>
          <w:tab w:val="left" w:pos="1200"/>
        </w:tabs>
        <w:snapToGrid w:val="0"/>
        <w:spacing w:before="120" w:after="120" w:line="240" w:lineRule="auto"/>
        <w:ind w:left="288" w:hanging="288" w:hangingChars="120"/>
        <w:jc w:val="center"/>
        <w:outlineLvl w:val="0"/>
        <w:rPr>
          <w:rFonts w:hAnsi="宋体"/>
          <w:b/>
          <w:bCs/>
          <w:color w:val="000000"/>
        </w:rPr>
      </w:pPr>
      <w:r>
        <w:rPr>
          <w:rFonts w:hint="eastAsia" w:hAnsi="宋体"/>
          <w:color w:val="000000"/>
        </w:rPr>
        <w:br w:type="page"/>
      </w:r>
      <w:r>
        <w:rPr>
          <w:rFonts w:hint="eastAsia" w:hAnsi="宋体"/>
          <w:b/>
          <w:bCs/>
          <w:color w:val="000000"/>
        </w:rPr>
        <w:t>第四章  评标办法及评分标准</w:t>
      </w:r>
    </w:p>
    <w:p>
      <w:pPr>
        <w:pStyle w:val="1042"/>
        <w:spacing w:before="0" w:beforeAutospacing="0" w:after="0" w:afterAutospacing="0" w:line="276" w:lineRule="auto"/>
        <w:ind w:left="200" w:firstLine="480" w:firstLineChars="200"/>
        <w:jc w:val="both"/>
        <w:rPr>
          <w:rFonts w:hint="eastAsia" w:ascii="宋体"/>
          <w:color w:val="000000"/>
          <w:sz w:val="24"/>
        </w:rPr>
      </w:pPr>
      <w:r>
        <w:rPr>
          <w:rFonts w:hint="eastAsia" w:ascii="宋体"/>
          <w:color w:val="000000"/>
          <w:sz w:val="24"/>
        </w:rPr>
        <w:t>为公正、公平、科学地选择中标供应商，根据《中华人民共和国政府采购法》等有关法律法规的规定，并结合本项目的实际，制定本办法。</w:t>
      </w:r>
    </w:p>
    <w:p>
      <w:pPr>
        <w:pStyle w:val="1042"/>
        <w:spacing w:before="0" w:beforeAutospacing="0" w:after="0" w:afterAutospacing="0" w:line="276" w:lineRule="auto"/>
        <w:ind w:left="200" w:firstLine="480" w:firstLineChars="200"/>
        <w:jc w:val="both"/>
        <w:rPr>
          <w:rFonts w:hint="eastAsia" w:ascii="宋体"/>
          <w:color w:val="000000"/>
          <w:sz w:val="24"/>
        </w:rPr>
      </w:pPr>
      <w:r>
        <w:rPr>
          <w:rFonts w:hint="eastAsia" w:ascii="宋体"/>
          <w:color w:val="000000"/>
          <w:sz w:val="24"/>
        </w:rPr>
        <w:t>本办法适用于</w:t>
      </w:r>
      <w:r>
        <w:rPr>
          <w:rFonts w:hint="eastAsia"/>
          <w:b/>
          <w:bCs/>
          <w:color w:val="000000"/>
          <w:sz w:val="28"/>
          <w:szCs w:val="28"/>
        </w:rPr>
        <w:t>浦江县中医院新院区搬迁信息化与LED屏采购项目</w:t>
      </w:r>
      <w:r>
        <w:rPr>
          <w:rFonts w:hint="eastAsia" w:ascii="宋体"/>
          <w:color w:val="000000"/>
          <w:sz w:val="24"/>
        </w:rPr>
        <w:t>的评标。</w:t>
      </w:r>
    </w:p>
    <w:p>
      <w:pPr>
        <w:pStyle w:val="4"/>
        <w:rPr>
          <w:rFonts w:hint="eastAsia" w:ascii="宋体" w:hAnsi="宋体"/>
          <w:color w:val="000000"/>
          <w:sz w:val="24"/>
        </w:rPr>
      </w:pPr>
      <w:r>
        <w:rPr>
          <w:rFonts w:hint="eastAsia" w:ascii="宋体" w:hAnsi="宋体"/>
          <w:color w:val="000000"/>
          <w:sz w:val="24"/>
        </w:rPr>
        <w:t>标项一：浦江县中医院新院区搬迁信息化2023年建设</w:t>
      </w:r>
    </w:p>
    <w:p>
      <w:pPr>
        <w:pStyle w:val="1042"/>
        <w:spacing w:before="0" w:beforeAutospacing="0" w:after="0" w:afterAutospacing="0" w:line="276" w:lineRule="auto"/>
        <w:ind w:left="200" w:firstLine="480" w:firstLineChars="200"/>
        <w:jc w:val="both"/>
        <w:rPr>
          <w:rFonts w:hint="eastAsia" w:ascii="宋体"/>
          <w:color w:val="000000"/>
          <w:sz w:val="24"/>
        </w:rPr>
      </w:pPr>
      <w:r>
        <w:rPr>
          <w:rFonts w:hint="eastAsia" w:ascii="宋体"/>
          <w:color w:val="000000"/>
          <w:sz w:val="24"/>
        </w:rPr>
        <w:t>本标段评标采用综合评分法，总分为100分，其中技术商务分 70 分、价格分 30 分等两部分。合格投标供应商的评标得分为各项目汇总得分，中标候选资格按评标得分由高到低顺序排列，得分相同的，按投标报价由低到高顺序排列；得分且投标报价相同的并列。投标文件满足采购文件全部实质性要求，且按照评审因素的量化指标评审得分最高的投标供应商为排名第一的中标候选人，排名第二的投标供应商为第二中标候选人。评分过程中采用四舍五入法，并保留小数点后2位。</w:t>
      </w:r>
    </w:p>
    <w:p>
      <w:pPr>
        <w:pStyle w:val="4"/>
        <w:numPr>
          <w:ilvl w:val="0"/>
          <w:numId w:val="19"/>
        </w:numPr>
        <w:rPr>
          <w:rFonts w:hint="eastAsia" w:ascii="宋体" w:hAnsi="宋体"/>
          <w:color w:val="000000"/>
          <w:sz w:val="24"/>
          <w:szCs w:val="24"/>
        </w:rPr>
      </w:pPr>
      <w:r>
        <w:rPr>
          <w:rFonts w:hint="eastAsia" w:ascii="宋体" w:hAnsi="宋体"/>
          <w:color w:val="000000"/>
          <w:sz w:val="24"/>
          <w:szCs w:val="24"/>
        </w:rPr>
        <w:t>技术商务分70分</w:t>
      </w:r>
    </w:p>
    <w:tbl>
      <w:tblPr>
        <w:tblStyle w:val="57"/>
        <w:tblW w:w="9222"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18"/>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outlineLvl w:val="0"/>
              <w:rPr>
                <w:rFonts w:ascii="宋体" w:hAnsi="宋体" w:cs="宋体"/>
                <w:bCs/>
                <w:sz w:val="24"/>
              </w:rPr>
            </w:pPr>
            <w:r>
              <w:rPr>
                <w:rFonts w:hint="eastAsia" w:ascii="宋体" w:hAnsi="宋体" w:cs="宋体"/>
                <w:bCs/>
                <w:sz w:val="24"/>
              </w:rPr>
              <w:t>序号</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outlineLvl w:val="0"/>
              <w:rPr>
                <w:rFonts w:ascii="宋体" w:hAnsi="宋体" w:cs="宋体"/>
                <w:bCs/>
                <w:sz w:val="24"/>
              </w:rPr>
            </w:pPr>
            <w:r>
              <w:rPr>
                <w:rFonts w:hint="eastAsia" w:ascii="宋体" w:hAnsi="宋体" w:cs="宋体"/>
                <w:bCs/>
                <w:sz w:val="24"/>
              </w:rPr>
              <w:t>类别</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outlineLvl w:val="0"/>
              <w:rPr>
                <w:rFonts w:ascii="宋体" w:hAnsi="宋体" w:cs="宋体"/>
                <w:bCs/>
                <w:sz w:val="24"/>
              </w:rPr>
            </w:pPr>
            <w:r>
              <w:rPr>
                <w:rFonts w:hint="eastAsia" w:ascii="宋体" w:hAnsi="宋体" w:cs="宋体"/>
                <w:szCs w:val="21"/>
              </w:rPr>
              <w:t>评分细则</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outlineLvl w:val="0"/>
              <w:rPr>
                <w:rFonts w:ascii="宋体" w:hAnsi="宋体" w:cs="宋体"/>
                <w:bCs/>
                <w:sz w:val="24"/>
              </w:rPr>
            </w:pPr>
            <w:r>
              <w:rPr>
                <w:rFonts w:hint="eastAsia" w:ascii="宋体" w:hAnsi="宋体" w:cs="宋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5"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outlineLvl w:val="0"/>
              <w:rPr>
                <w:rFonts w:ascii="宋体" w:hAnsi="宋体" w:cs="宋体"/>
                <w:sz w:val="24"/>
              </w:rPr>
            </w:pPr>
            <w:r>
              <w:rPr>
                <w:rFonts w:hint="eastAsia" w:ascii="宋体" w:hAnsi="宋体" w:cs="宋体"/>
                <w:sz w:val="24"/>
              </w:rPr>
              <w:t>1</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outlineLvl w:val="0"/>
              <w:rPr>
                <w:rFonts w:ascii="宋体" w:hAnsi="宋体" w:cs="宋体"/>
                <w:sz w:val="24"/>
              </w:rPr>
            </w:pPr>
            <w:r>
              <w:rPr>
                <w:rFonts w:hint="eastAsia" w:ascii="宋体" w:hAnsi="宋体" w:cs="宋体"/>
                <w:bCs/>
                <w:sz w:val="24"/>
              </w:rPr>
              <w:t>公司业绩</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outlineLvl w:val="0"/>
              <w:rPr>
                <w:rFonts w:ascii="宋体" w:hAnsi="宋体" w:cs="宋体"/>
                <w:sz w:val="24"/>
              </w:rPr>
            </w:pPr>
            <w:r>
              <w:rPr>
                <w:rFonts w:hint="eastAsia" w:ascii="宋体" w:hAnsi="宋体" w:cs="宋体"/>
                <w:bCs/>
                <w:sz w:val="24"/>
              </w:rPr>
              <w:t>提供自2020年1月1日至投标截止时间止（以合同签订时间为准），投标人的类似项目业绩，有一个得1分，最高得3分（所有项目业绩投标时需同时提供合同及验收报告复印件）。</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outlineLvl w:val="0"/>
              <w:rPr>
                <w:rFonts w:ascii="宋体" w:hAnsi="宋体" w:cs="宋体"/>
                <w:sz w:val="24"/>
              </w:rPr>
            </w:pPr>
            <w:r>
              <w:rPr>
                <w:rFonts w:hint="eastAsia" w:ascii="宋体" w:hAnsi="宋体" w:cs="宋体"/>
                <w:sz w:val="24"/>
              </w:rPr>
              <w:t>3</w:t>
            </w:r>
          </w:p>
          <w:p>
            <w:pPr>
              <w:spacing w:line="276" w:lineRule="auto"/>
              <w:jc w:val="center"/>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outlineLvl w:val="0"/>
              <w:rPr>
                <w:rFonts w:ascii="宋体" w:hAnsi="宋体" w:cs="宋体"/>
                <w:sz w:val="24"/>
              </w:rPr>
            </w:pPr>
            <w:r>
              <w:rPr>
                <w:rFonts w:hint="eastAsia" w:ascii="宋体" w:hAnsi="宋体" w:cs="宋体"/>
                <w:sz w:val="24"/>
              </w:rPr>
              <w:t>2</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宋体" w:hAnsi="宋体" w:cs="宋体"/>
                <w:bCs/>
                <w:sz w:val="24"/>
              </w:rPr>
            </w:pPr>
            <w:r>
              <w:rPr>
                <w:rFonts w:hint="eastAsia" w:ascii="宋体" w:hAnsi="宋体" w:cs="宋体"/>
                <w:bCs/>
                <w:sz w:val="24"/>
              </w:rPr>
              <w:t>投标人资信</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76" w:lineRule="auto"/>
              <w:jc w:val="left"/>
              <w:rPr>
                <w:rFonts w:ascii="宋体" w:hAnsi="宋体" w:cs="宋体"/>
                <w:bCs/>
                <w:sz w:val="24"/>
              </w:rPr>
            </w:pPr>
            <w:r>
              <w:rPr>
                <w:rFonts w:hint="eastAsia" w:ascii="宋体" w:hAnsi="宋体" w:cs="宋体"/>
                <w:bCs/>
                <w:sz w:val="24"/>
              </w:rPr>
              <w:t>1、投标人具有 IS09001 质量管理体系证书（含系统集成）得1分。</w:t>
            </w:r>
          </w:p>
          <w:p>
            <w:pPr>
              <w:tabs>
                <w:tab w:val="left" w:pos="0"/>
              </w:tabs>
              <w:spacing w:line="276" w:lineRule="auto"/>
              <w:jc w:val="left"/>
              <w:rPr>
                <w:rFonts w:hint="eastAsia" w:ascii="宋体" w:hAnsi="宋体" w:cs="宋体"/>
                <w:bCs/>
                <w:sz w:val="24"/>
              </w:rPr>
            </w:pPr>
            <w:r>
              <w:rPr>
                <w:rFonts w:hint="eastAsia" w:ascii="宋体" w:hAnsi="宋体" w:cs="宋体"/>
                <w:bCs/>
                <w:sz w:val="24"/>
              </w:rPr>
              <w:t>2、ITSS信息技术服务运行维护二级证书及以上得1分。</w:t>
            </w:r>
          </w:p>
          <w:p>
            <w:pPr>
              <w:tabs>
                <w:tab w:val="left" w:pos="0"/>
              </w:tabs>
              <w:spacing w:line="276" w:lineRule="auto"/>
              <w:jc w:val="left"/>
              <w:rPr>
                <w:rFonts w:hint="eastAsia" w:ascii="宋体" w:hAnsi="宋体" w:cs="宋体"/>
                <w:bCs/>
                <w:sz w:val="24"/>
              </w:rPr>
            </w:pPr>
            <w:r>
              <w:rPr>
                <w:rFonts w:hint="eastAsia" w:ascii="宋体" w:hAnsi="宋体" w:cs="宋体"/>
                <w:bCs/>
                <w:sz w:val="24"/>
              </w:rPr>
              <w:t>3、投标人具有ISO27001信息安全管理体系证书得1分。</w:t>
            </w:r>
          </w:p>
          <w:p>
            <w:pPr>
              <w:spacing w:line="276" w:lineRule="auto"/>
              <w:jc w:val="left"/>
              <w:outlineLvl w:val="0"/>
              <w:rPr>
                <w:rFonts w:ascii="宋体" w:hAnsi="宋体" w:cs="宋体"/>
                <w:bCs/>
                <w:sz w:val="24"/>
              </w:rPr>
            </w:pPr>
            <w:r>
              <w:rPr>
                <w:rFonts w:hint="eastAsia" w:ascii="宋体" w:hAnsi="宋体" w:cs="宋体"/>
                <w:bCs/>
                <w:sz w:val="24"/>
              </w:rPr>
              <w:t>注：投标文件中须提供证书扫描件，否则不得分。</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outlineLvl w:val="0"/>
              <w:rPr>
                <w:rFonts w:ascii="宋体" w:hAnsi="宋体" w:cs="宋体"/>
                <w:sz w:val="24"/>
              </w:rPr>
            </w:pPr>
            <w:r>
              <w:rPr>
                <w:rFonts w:hint="eastAsia" w:ascii="宋体" w:hAnsi="宋体" w:cs="宋体"/>
                <w:sz w:val="24"/>
              </w:rPr>
              <w:t>3</w:t>
            </w:r>
          </w:p>
          <w:p>
            <w:pPr>
              <w:spacing w:line="276" w:lineRule="auto"/>
              <w:jc w:val="center"/>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3"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3</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outlineLvl w:val="0"/>
              <w:rPr>
                <w:rFonts w:ascii="宋体" w:hAnsi="宋体" w:cs="宋体"/>
                <w:bCs/>
                <w:sz w:val="24"/>
              </w:rPr>
            </w:pPr>
            <w:r>
              <w:rPr>
                <w:rFonts w:hint="eastAsia" w:ascii="宋体" w:hAnsi="宋体" w:cs="宋体"/>
                <w:bCs/>
                <w:sz w:val="24"/>
              </w:rPr>
              <w:t>对采购人现状的理解和方案合理性</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outlineLvl w:val="0"/>
              <w:rPr>
                <w:rFonts w:ascii="宋体" w:hAnsi="宋体" w:cs="宋体"/>
                <w:bCs/>
                <w:sz w:val="24"/>
              </w:rPr>
            </w:pPr>
            <w:r>
              <w:rPr>
                <w:rFonts w:hint="eastAsia" w:ascii="宋体" w:hAnsi="宋体" w:cs="宋体"/>
                <w:bCs/>
                <w:sz w:val="24"/>
              </w:rPr>
              <w:t>1、对本项目需求的理解与分析，分析准确、认识深刻透彻、理解到位且有利于本项目实施，综合评分（0-2分）。</w:t>
            </w:r>
          </w:p>
          <w:p>
            <w:pPr>
              <w:spacing w:line="276" w:lineRule="auto"/>
              <w:jc w:val="left"/>
              <w:outlineLvl w:val="0"/>
              <w:rPr>
                <w:rFonts w:ascii="宋体" w:hAnsi="宋体" w:cs="宋体"/>
                <w:bCs/>
                <w:sz w:val="24"/>
              </w:rPr>
            </w:pPr>
            <w:r>
              <w:rPr>
                <w:rFonts w:hint="eastAsia" w:ascii="宋体" w:hAnsi="宋体" w:cs="宋体"/>
                <w:bCs/>
                <w:sz w:val="24"/>
              </w:rPr>
              <w:t>2、根据供应商对本项目重点、难点的理解与分析，有合理化建议，分析到位有明确解决思路和措施且设计规划建议、合理化建议合理完善有利于本项目实施的，综合评分（0-2分）。</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outlineLvl w:val="0"/>
              <w:rPr>
                <w:rFonts w:ascii="宋体" w:hAnsi="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3"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4</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outlineLvl w:val="0"/>
              <w:rPr>
                <w:rFonts w:ascii="宋体" w:hAnsi="宋体" w:cs="宋体"/>
                <w:bCs/>
                <w:sz w:val="24"/>
              </w:rPr>
            </w:pPr>
            <w:r>
              <w:rPr>
                <w:rFonts w:hint="eastAsia" w:ascii="宋体" w:hAnsi="宋体" w:cs="宋体"/>
                <w:bCs/>
                <w:sz w:val="24"/>
              </w:rPr>
              <w:t>投标人集成能力</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outlineLvl w:val="0"/>
              <w:rPr>
                <w:rFonts w:ascii="宋体" w:hAnsi="宋体" w:cs="宋体"/>
                <w:bCs/>
                <w:sz w:val="24"/>
              </w:rPr>
            </w:pPr>
            <w:r>
              <w:rPr>
                <w:rFonts w:hint="eastAsia" w:ascii="宋体" w:hAnsi="宋体" w:cs="宋体"/>
                <w:bCs/>
                <w:sz w:val="24"/>
              </w:rPr>
              <w:t>结合招标人设备清单及目前实际情况，投标人需提供以下实施方案:医院数据异地迁移方案（0-2）、数据灾备方案（0-2）、虚拟化镜像迁移方案（0-2）；从方案的安全性、稳定性、完整性出发，提供整个数据迁移、数据灾备、虚拟化镜像迁移的具体方案（包括且不限于回退机制）。</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outlineLvl w:val="0"/>
              <w:rPr>
                <w:rFonts w:ascii="宋体" w:hAnsi="宋体" w:cs="宋体"/>
                <w:sz w:val="24"/>
              </w:rPr>
            </w:pPr>
            <w:r>
              <w:rPr>
                <w:rFonts w:hint="eastAsia" w:ascii="宋体" w:hAnsi="宋体" w:cs="宋体"/>
                <w:sz w:val="24"/>
              </w:rPr>
              <w:t>6</w:t>
            </w:r>
          </w:p>
          <w:p>
            <w:pPr>
              <w:spacing w:line="276" w:lineRule="auto"/>
              <w:jc w:val="center"/>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3"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outlineLvl w:val="0"/>
              <w:rPr>
                <w:rFonts w:ascii="宋体" w:hAnsi="宋体" w:cs="宋体"/>
                <w:bCs/>
                <w:sz w:val="24"/>
              </w:rPr>
            </w:pPr>
            <w:r>
              <w:rPr>
                <w:rFonts w:hint="eastAsia" w:ascii="宋体" w:hAnsi="宋体" w:cs="宋体"/>
                <w:bCs/>
                <w:sz w:val="24"/>
              </w:rPr>
              <w:t>技术参数</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outlineLvl w:val="0"/>
              <w:rPr>
                <w:rFonts w:ascii="宋体" w:hAnsi="宋体" w:cs="宋体"/>
                <w:bCs/>
                <w:sz w:val="24"/>
              </w:rPr>
            </w:pPr>
            <w:r>
              <w:rPr>
                <w:rFonts w:hint="eastAsia" w:ascii="宋体" w:hAnsi="宋体" w:cs="宋体"/>
                <w:bCs/>
                <w:sz w:val="24"/>
              </w:rPr>
              <w:t>满足招标货物的所有性能及技术指标要求得32分。带★为重要参数，每项负偏离扣1分，其他每项负偏离扣0.3分，分数扣完为止。</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outlineLvl w:val="0"/>
              <w:rPr>
                <w:rFonts w:ascii="宋体" w:hAnsi="宋体" w:cs="宋体"/>
                <w:sz w:val="24"/>
              </w:rPr>
            </w:pPr>
            <w:r>
              <w:rPr>
                <w:rFonts w:hint="eastAsia" w:ascii="宋体" w:hAnsi="宋体" w:cs="宋体"/>
                <w:sz w:val="24"/>
              </w:rPr>
              <w:t>32</w:t>
            </w:r>
          </w:p>
          <w:p>
            <w:pPr>
              <w:spacing w:line="276" w:lineRule="auto"/>
              <w:jc w:val="center"/>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3"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6</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宋体" w:hAnsi="宋体" w:cs="宋体"/>
                <w:bCs/>
                <w:sz w:val="24"/>
              </w:rPr>
            </w:pPr>
            <w:r>
              <w:rPr>
                <w:rFonts w:hint="eastAsia" w:ascii="宋体" w:hAnsi="宋体" w:cs="宋体"/>
                <w:bCs/>
                <w:sz w:val="24"/>
              </w:rPr>
              <w:t>项目组实施人员能力</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宋体" w:hAnsi="宋体" w:cs="宋体"/>
                <w:bCs/>
                <w:sz w:val="24"/>
              </w:rPr>
            </w:pPr>
            <w:r>
              <w:rPr>
                <w:rFonts w:hint="eastAsia" w:ascii="宋体" w:hAnsi="宋体" w:cs="宋体"/>
                <w:bCs/>
                <w:sz w:val="24"/>
              </w:rPr>
              <w:t>供应商为本项目配备的技术服务团队中（需配备相关专业有资质工程师）：</w:t>
            </w:r>
          </w:p>
          <w:p>
            <w:pPr>
              <w:numPr>
                <w:ilvl w:val="0"/>
                <w:numId w:val="20"/>
              </w:numPr>
              <w:spacing w:line="276" w:lineRule="auto"/>
              <w:jc w:val="left"/>
              <w:rPr>
                <w:rFonts w:hint="eastAsia" w:ascii="宋体" w:hAnsi="宋体" w:cs="宋体"/>
                <w:bCs/>
                <w:sz w:val="24"/>
              </w:rPr>
            </w:pPr>
            <w:r>
              <w:rPr>
                <w:rFonts w:hint="eastAsia" w:ascii="宋体" w:hAnsi="宋体" w:cs="宋体"/>
                <w:bCs/>
                <w:sz w:val="24"/>
              </w:rPr>
              <w:t>具备并提供CISP或CISE（注册信息安全工程师）认证证书的，得1分；</w:t>
            </w:r>
          </w:p>
          <w:p>
            <w:pPr>
              <w:spacing w:line="276" w:lineRule="auto"/>
              <w:jc w:val="left"/>
              <w:rPr>
                <w:rFonts w:hint="eastAsia" w:ascii="宋体" w:hAnsi="宋体" w:cs="宋体"/>
                <w:bCs/>
                <w:sz w:val="24"/>
              </w:rPr>
            </w:pPr>
            <w:r>
              <w:rPr>
                <w:rFonts w:hint="eastAsia" w:ascii="宋体" w:hAnsi="宋体" w:cs="宋体"/>
                <w:bCs/>
                <w:sz w:val="24"/>
              </w:rPr>
              <w:t>2、具备并提供Oracle OCM认证工程师证书，每个得1分，最高2分；</w:t>
            </w:r>
          </w:p>
          <w:p>
            <w:pPr>
              <w:spacing w:line="276" w:lineRule="auto"/>
              <w:jc w:val="left"/>
              <w:rPr>
                <w:rFonts w:hint="eastAsia" w:ascii="宋体" w:hAnsi="宋体" w:cs="宋体"/>
                <w:bCs/>
                <w:sz w:val="24"/>
              </w:rPr>
            </w:pPr>
            <w:r>
              <w:rPr>
                <w:rFonts w:hint="eastAsia" w:ascii="宋体" w:hAnsi="宋体" w:cs="宋体"/>
                <w:bCs/>
                <w:sz w:val="24"/>
              </w:rPr>
              <w:t>3、具备并提供VCP工程师得1分。</w:t>
            </w:r>
          </w:p>
          <w:p>
            <w:pPr>
              <w:spacing w:line="276" w:lineRule="auto"/>
              <w:jc w:val="left"/>
              <w:rPr>
                <w:rFonts w:hint="eastAsia" w:ascii="宋体" w:hAnsi="宋体" w:cs="宋体"/>
                <w:bCs/>
                <w:sz w:val="24"/>
              </w:rPr>
            </w:pPr>
            <w:r>
              <w:rPr>
                <w:rFonts w:hint="eastAsia" w:ascii="宋体" w:hAnsi="宋体" w:cs="宋体"/>
                <w:bCs/>
                <w:sz w:val="24"/>
              </w:rPr>
              <w:t>（同一人员具备多本证书的不重复得分，提供证书扫描件并加盖公章）</w:t>
            </w:r>
          </w:p>
          <w:p>
            <w:pPr>
              <w:pStyle w:val="1051"/>
              <w:spacing w:after="120" w:line="276" w:lineRule="auto"/>
              <w:rPr>
                <w:rFonts w:ascii="宋体" w:hAnsi="宋体" w:cs="宋体"/>
                <w:bCs/>
                <w:color w:val="auto"/>
                <w:sz w:val="24"/>
                <w:szCs w:val="24"/>
              </w:rPr>
            </w:pPr>
            <w:r>
              <w:rPr>
                <w:rFonts w:hint="eastAsia" w:ascii="宋体" w:hAnsi="宋体" w:cs="宋体"/>
                <w:bCs/>
                <w:color w:val="auto"/>
                <w:sz w:val="24"/>
                <w:szCs w:val="24"/>
              </w:rPr>
              <w:t>注：项目维护团队成员须提供本单位劳动合同及近3个月的工资流水单、相关资质职称证书扫描件并加盖供应商单位公章，材料未提供或提供与供应商名称不符的不得分。</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4</w:t>
            </w:r>
          </w:p>
          <w:p>
            <w:pPr>
              <w:spacing w:line="276"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7"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7</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宋体" w:hAnsi="宋体" w:cs="宋体"/>
                <w:bCs/>
                <w:sz w:val="24"/>
              </w:rPr>
            </w:pPr>
            <w:r>
              <w:rPr>
                <w:rFonts w:hint="eastAsia" w:ascii="宋体" w:hAnsi="宋体" w:cs="宋体"/>
                <w:bCs/>
                <w:sz w:val="24"/>
              </w:rPr>
              <w:t>服务能力</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1051"/>
              <w:spacing w:after="120" w:line="276" w:lineRule="auto"/>
              <w:rPr>
                <w:rFonts w:ascii="宋体" w:hAnsi="宋体" w:cs="宋体"/>
                <w:bCs/>
                <w:color w:val="auto"/>
                <w:sz w:val="24"/>
                <w:szCs w:val="24"/>
              </w:rPr>
            </w:pPr>
            <w:r>
              <w:rPr>
                <w:rFonts w:hint="eastAsia" w:ascii="宋体" w:hAnsi="宋体" w:cs="宋体"/>
                <w:bCs/>
                <w:color w:val="auto"/>
                <w:sz w:val="24"/>
                <w:szCs w:val="24"/>
              </w:rPr>
              <w:t>1、售后服务方案的完整性、合理性、针对性，专业服务力量和服务保障方案的详细程度：根据运维质量管理（管理制度）、运维流程规范程度（流程图、记录、表单等）（0-3）</w:t>
            </w:r>
          </w:p>
          <w:p>
            <w:pPr>
              <w:pStyle w:val="1051"/>
              <w:spacing w:after="120" w:line="276" w:lineRule="auto"/>
              <w:rPr>
                <w:rFonts w:hint="eastAsia" w:ascii="宋体" w:hAnsi="宋体" w:cs="宋体"/>
                <w:bCs/>
                <w:color w:val="auto"/>
                <w:sz w:val="24"/>
                <w:szCs w:val="24"/>
              </w:rPr>
            </w:pPr>
            <w:r>
              <w:rPr>
                <w:rFonts w:hint="eastAsia" w:ascii="宋体" w:hAnsi="宋体" w:cs="宋体"/>
                <w:bCs/>
                <w:color w:val="auto"/>
                <w:sz w:val="24"/>
                <w:szCs w:val="24"/>
              </w:rPr>
              <w:t>2、按项目管理计划、项目实施进度表、测试方案、项目实施的详细程度及合理性，以及是否能够满足用户需求的特点。（0-3）</w:t>
            </w:r>
          </w:p>
          <w:p>
            <w:pPr>
              <w:pStyle w:val="1051"/>
              <w:spacing w:after="120" w:line="276" w:lineRule="auto"/>
              <w:rPr>
                <w:rFonts w:ascii="宋体" w:hAnsi="宋体" w:cs="宋体"/>
                <w:bCs/>
                <w:color w:val="auto"/>
                <w:sz w:val="24"/>
                <w:szCs w:val="24"/>
              </w:rPr>
            </w:pPr>
            <w:r>
              <w:rPr>
                <w:rFonts w:hint="eastAsia" w:ascii="宋体" w:hAnsi="宋体" w:cs="宋体"/>
                <w:bCs/>
                <w:color w:val="auto"/>
                <w:sz w:val="24"/>
                <w:szCs w:val="24"/>
              </w:rPr>
              <w:t>3、提供备品备件清单及备件库地址，根据备品备件种类、备品备件数量、备品备件的管理制度综合评分（0-2）</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8</w:t>
            </w:r>
          </w:p>
          <w:p>
            <w:pPr>
              <w:spacing w:line="276"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7"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8</w:t>
            </w:r>
          </w:p>
        </w:tc>
        <w:tc>
          <w:tcPr>
            <w:tcW w:w="1418" w:type="dxa"/>
            <w:tcBorders>
              <w:top w:val="single" w:color="auto" w:sz="4" w:space="0"/>
              <w:left w:val="single" w:color="auto" w:sz="4" w:space="0"/>
              <w:bottom w:val="single" w:color="auto" w:sz="4" w:space="0"/>
              <w:right w:val="single" w:color="auto" w:sz="4" w:space="0"/>
            </w:tcBorders>
            <w:noWrap/>
            <w:vAlign w:val="center"/>
          </w:tcPr>
          <w:p>
            <w:pPr>
              <w:tabs>
                <w:tab w:val="left" w:pos="1200"/>
              </w:tabs>
              <w:spacing w:line="276" w:lineRule="auto"/>
              <w:ind w:right="181"/>
              <w:jc w:val="left"/>
              <w:rPr>
                <w:rFonts w:ascii="宋体" w:hAnsi="宋体" w:cs="宋体"/>
                <w:bCs/>
                <w:sz w:val="24"/>
              </w:rPr>
            </w:pPr>
            <w:r>
              <w:rPr>
                <w:rFonts w:hint="eastAsia" w:ascii="宋体" w:hAnsi="宋体" w:cs="宋体"/>
                <w:bCs/>
                <w:sz w:val="24"/>
              </w:rPr>
              <w:t>应急预案</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spacing w:line="276" w:lineRule="auto"/>
              <w:ind w:right="181"/>
              <w:jc w:val="left"/>
              <w:rPr>
                <w:rFonts w:ascii="宋体" w:hAnsi="宋体" w:cs="宋体"/>
                <w:bCs/>
                <w:sz w:val="24"/>
              </w:rPr>
            </w:pPr>
            <w:r>
              <w:rPr>
                <w:rFonts w:hint="eastAsia" w:ascii="宋体" w:hAnsi="宋体" w:cs="宋体"/>
                <w:bCs/>
                <w:sz w:val="24"/>
              </w:rPr>
              <w:t>提供针对本项目的网络应急处理方案、信息安全应急处理方案、数据应急处理方案；（0-2）</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2</w:t>
            </w:r>
          </w:p>
          <w:p>
            <w:pPr>
              <w:spacing w:line="276"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7"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9</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宋体" w:hAnsi="宋体" w:cs="宋体"/>
                <w:bCs/>
                <w:sz w:val="24"/>
              </w:rPr>
            </w:pPr>
            <w:r>
              <w:rPr>
                <w:rFonts w:hint="eastAsia" w:ascii="宋体" w:hAnsi="宋体" w:cs="宋体"/>
                <w:bCs/>
                <w:sz w:val="24"/>
              </w:rPr>
              <w:t>培训方案</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宋体" w:hAnsi="宋体" w:cs="宋体"/>
                <w:bCs/>
                <w:sz w:val="24"/>
              </w:rPr>
            </w:pPr>
            <w:r>
              <w:rPr>
                <w:rFonts w:hint="eastAsia" w:ascii="宋体" w:hAnsi="宋体" w:cs="宋体"/>
                <w:bCs/>
                <w:sz w:val="24"/>
              </w:rPr>
              <w:t>提供完整详尽的技术培训方案，且技术培训的内容覆盖：①本次投标产品及系统的日常使用操作，评标委员会综合评分0-1分；②管理维护，评标委员会综合评分0-1分。</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szCs w:val="22"/>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7"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10</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宋体" w:hAnsi="宋体" w:cs="宋体"/>
                <w:sz w:val="24"/>
              </w:rPr>
            </w:pPr>
            <w:r>
              <w:rPr>
                <w:rFonts w:hint="eastAsia" w:ascii="宋体" w:hAnsi="宋体" w:cs="宋体"/>
                <w:sz w:val="24"/>
              </w:rPr>
              <w:t>人员驻场服务</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宋体" w:hAnsi="宋体" w:cs="宋体"/>
                <w:sz w:val="24"/>
              </w:rPr>
            </w:pPr>
            <w:r>
              <w:rPr>
                <w:rFonts w:hint="eastAsia" w:ascii="宋体" w:hAnsi="宋体" w:cs="宋体"/>
                <w:sz w:val="24"/>
              </w:rPr>
              <w:t>免费驻场服务期至少1年，每增加1年得1 分，最高2分。</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604"/>
              <w:spacing w:before="120" w:line="276" w:lineRule="auto"/>
              <w:ind w:firstLine="0"/>
              <w:jc w:val="center"/>
              <w:rPr>
                <w:rFonts w:ascii="宋体" w:hAnsi="宋体" w:cs="宋体"/>
              </w:rPr>
            </w:pPr>
            <w:r>
              <w:rPr>
                <w:rFonts w:hint="eastAsia" w:ascii="宋体" w:hAnsi="宋体" w:cs="宋体"/>
              </w:rPr>
              <w:t>2</w:t>
            </w:r>
          </w:p>
          <w:p>
            <w:pPr>
              <w:pStyle w:val="604"/>
              <w:spacing w:before="120" w:line="276" w:lineRule="auto"/>
              <w:ind w:firstLine="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4"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11</w:t>
            </w:r>
          </w:p>
        </w:tc>
        <w:tc>
          <w:tcPr>
            <w:tcW w:w="1418" w:type="dxa"/>
            <w:tcBorders>
              <w:top w:val="single" w:color="auto" w:sz="4" w:space="0"/>
              <w:left w:val="single" w:color="auto" w:sz="4" w:space="0"/>
              <w:bottom w:val="single" w:color="auto" w:sz="4" w:space="0"/>
              <w:right w:val="single" w:color="auto" w:sz="4" w:space="0"/>
            </w:tcBorders>
            <w:noWrap/>
            <w:vAlign w:val="top"/>
          </w:tcPr>
          <w:p>
            <w:pPr>
              <w:spacing w:line="276" w:lineRule="auto"/>
              <w:jc w:val="left"/>
              <w:rPr>
                <w:rFonts w:ascii="宋体" w:hAnsi="宋体" w:cs="宋体"/>
                <w:sz w:val="24"/>
              </w:rPr>
            </w:pPr>
            <w:r>
              <w:rPr>
                <w:rFonts w:hint="eastAsia" w:ascii="宋体" w:hAnsi="宋体" w:cs="宋体"/>
                <w:sz w:val="24"/>
              </w:rPr>
              <w:t>质保期</w:t>
            </w:r>
          </w:p>
        </w:tc>
        <w:tc>
          <w:tcPr>
            <w:tcW w:w="623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left"/>
              <w:rPr>
                <w:rFonts w:ascii="宋体" w:hAnsi="宋体" w:cs="宋体"/>
                <w:sz w:val="24"/>
              </w:rPr>
            </w:pPr>
            <w:r>
              <w:rPr>
                <w:rFonts w:hint="eastAsia" w:ascii="宋体" w:hAnsi="宋体" w:cs="宋体"/>
                <w:sz w:val="24"/>
              </w:rPr>
              <w:t>质保期至少 5 年，每增加半年得0.5 分，最高得2分</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ind w:firstLine="120" w:firstLineChars="50"/>
              <w:jc w:val="center"/>
              <w:outlineLvl w:val="0"/>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 w:val="24"/>
              </w:rPr>
            </w:pPr>
            <w:r>
              <w:rPr>
                <w:rFonts w:hint="eastAsia" w:ascii="宋体" w:hAnsi="宋体" w:cs="宋体"/>
                <w:sz w:val="24"/>
              </w:rPr>
              <w:t>12</w:t>
            </w:r>
          </w:p>
        </w:tc>
        <w:tc>
          <w:tcPr>
            <w:tcW w:w="1418" w:type="dxa"/>
            <w:tcBorders>
              <w:top w:val="single" w:color="auto" w:sz="4" w:space="0"/>
              <w:left w:val="single" w:color="auto" w:sz="4" w:space="0"/>
              <w:bottom w:val="single" w:color="auto" w:sz="4" w:space="0"/>
              <w:right w:val="single" w:color="auto" w:sz="4" w:space="0"/>
            </w:tcBorders>
            <w:noWrap/>
            <w:vAlign w:val="top"/>
          </w:tcPr>
          <w:p>
            <w:pPr>
              <w:spacing w:line="276" w:lineRule="auto"/>
              <w:jc w:val="left"/>
              <w:rPr>
                <w:rFonts w:ascii="宋体" w:hAnsi="宋体" w:cs="宋体"/>
                <w:sz w:val="24"/>
              </w:rPr>
            </w:pPr>
            <w:r>
              <w:rPr>
                <w:rFonts w:hint="eastAsia" w:ascii="宋体" w:hAnsi="宋体" w:cs="宋体"/>
                <w:sz w:val="24"/>
              </w:rPr>
              <w:t>政府采购</w:t>
            </w:r>
            <w:r>
              <w:rPr>
                <w:rFonts w:hint="eastAsia" w:ascii="宋体" w:hAnsi="宋体" w:cs="宋体"/>
                <w:bCs/>
                <w:sz w:val="24"/>
              </w:rPr>
              <w:t>政策</w:t>
            </w:r>
          </w:p>
          <w:p>
            <w:pPr>
              <w:spacing w:line="276" w:lineRule="auto"/>
              <w:jc w:val="left"/>
              <w:rPr>
                <w:rFonts w:ascii="宋体" w:hAnsi="宋体" w:cs="宋体"/>
                <w:sz w:val="24"/>
              </w:rPr>
            </w:pPr>
          </w:p>
        </w:tc>
        <w:tc>
          <w:tcPr>
            <w:tcW w:w="623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left"/>
              <w:rPr>
                <w:rFonts w:ascii="宋体" w:hAnsi="宋体" w:cs="宋体"/>
                <w:sz w:val="24"/>
              </w:rPr>
            </w:pPr>
            <w:r>
              <w:rPr>
                <w:rFonts w:hint="eastAsia" w:ascii="宋体" w:hAnsi="宋体" w:cs="宋体"/>
                <w:sz w:val="24"/>
              </w:rPr>
              <w:t>1、投标产品列入财政部、发展改革委、生态环境部等部门发布的节能产品品目清单且提供国家确定的认证机构出具的、处于有效期之内的节能产品认证证书的，得1分。</w:t>
            </w:r>
          </w:p>
          <w:p>
            <w:pPr>
              <w:spacing w:line="276" w:lineRule="auto"/>
              <w:jc w:val="left"/>
              <w:rPr>
                <w:rFonts w:ascii="宋体" w:hAnsi="宋体" w:cs="宋体"/>
                <w:sz w:val="24"/>
              </w:rPr>
            </w:pPr>
            <w:r>
              <w:rPr>
                <w:rFonts w:hint="eastAsia" w:ascii="宋体" w:hAnsi="宋体" w:cs="宋体"/>
                <w:sz w:val="24"/>
              </w:rPr>
              <w:t>2、投标产品列入财政部、发展改革委、生态环境部等部门发布的环境标志产品品目清单且提供国家确定的认证机构出具的、处于有效期之内的环境标志产品认证证书的，得1分。</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76" w:lineRule="auto"/>
              <w:ind w:firstLine="120" w:firstLineChars="50"/>
              <w:jc w:val="center"/>
              <w:outlineLvl w:val="0"/>
              <w:rPr>
                <w:rFonts w:ascii="宋体" w:hAnsi="宋体" w:cs="宋体"/>
                <w:sz w:val="24"/>
              </w:rPr>
            </w:pPr>
            <w:r>
              <w:rPr>
                <w:rFonts w:hint="eastAsia" w:ascii="宋体" w:hAnsi="宋体" w:cs="宋体"/>
                <w:sz w:val="24"/>
              </w:rPr>
              <w:t>2</w:t>
            </w:r>
          </w:p>
          <w:p>
            <w:pPr>
              <w:spacing w:line="276" w:lineRule="auto"/>
              <w:outlineLvl w:val="0"/>
              <w:rPr>
                <w:rFonts w:ascii="宋体" w:hAnsi="宋体" w:cs="宋体"/>
                <w:sz w:val="24"/>
              </w:rPr>
            </w:pPr>
          </w:p>
        </w:tc>
      </w:tr>
    </w:tbl>
    <w:p>
      <w:pPr>
        <w:spacing w:line="360" w:lineRule="auto"/>
        <w:ind w:firstLine="643" w:firstLineChars="200"/>
        <w:rPr>
          <w:rFonts w:hint="eastAsia" w:ascii="宋体" w:hAnsi="宋体"/>
          <w:b/>
          <w:bCs/>
          <w:color w:val="000000"/>
          <w:sz w:val="24"/>
        </w:rPr>
      </w:pPr>
      <w:r>
        <w:rPr>
          <w:rFonts w:hint="eastAsia" w:ascii="宋体" w:hAnsi="宋体"/>
          <w:b/>
          <w:bCs/>
          <w:color w:val="000000"/>
          <w:sz w:val="32"/>
        </w:rPr>
        <w:t>郑重提示</w:t>
      </w:r>
      <w:r>
        <w:rPr>
          <w:rFonts w:ascii="宋体" w:hAnsi="宋体"/>
          <w:b/>
          <w:bCs/>
          <w:color w:val="000000"/>
          <w:sz w:val="32"/>
        </w:rPr>
        <w:t>：投标供应商</w:t>
      </w:r>
      <w:r>
        <w:rPr>
          <w:rFonts w:hint="eastAsia" w:ascii="宋体" w:hAnsi="宋体"/>
          <w:b/>
          <w:bCs/>
          <w:color w:val="000000"/>
          <w:sz w:val="32"/>
        </w:rPr>
        <w:t>提供的投标资料必须真实完整，如有造假等非法行为，</w:t>
      </w:r>
      <w:r>
        <w:rPr>
          <w:rFonts w:ascii="宋体" w:hAnsi="宋体"/>
          <w:b/>
          <w:bCs/>
          <w:color w:val="000000"/>
          <w:sz w:val="32"/>
        </w:rPr>
        <w:t>一经查实，将</w:t>
      </w:r>
      <w:r>
        <w:rPr>
          <w:rFonts w:hint="eastAsia" w:ascii="宋体" w:hAnsi="宋体"/>
          <w:b/>
          <w:bCs/>
          <w:color w:val="000000"/>
          <w:sz w:val="32"/>
        </w:rPr>
        <w:t>从严从重处理！</w:t>
      </w:r>
    </w:p>
    <w:p>
      <w:pPr>
        <w:spacing w:before="120" w:beforeLines="50" w:after="120" w:afterLines="50"/>
        <w:rPr>
          <w:rFonts w:hint="eastAsia" w:ascii="宋体" w:hAnsi="宋体"/>
          <w:b/>
          <w:bCs/>
          <w:color w:val="000000"/>
          <w:sz w:val="24"/>
        </w:rPr>
      </w:pPr>
      <w:r>
        <w:rPr>
          <w:rFonts w:hint="eastAsia" w:ascii="宋体" w:hAnsi="宋体"/>
          <w:b/>
          <w:bCs/>
          <w:color w:val="000000"/>
          <w:sz w:val="24"/>
        </w:rPr>
        <w:t>说明：技术、商务分的计算</w:t>
      </w:r>
    </w:p>
    <w:p>
      <w:pPr>
        <w:adjustRightInd w:val="0"/>
        <w:snapToGrid w:val="0"/>
        <w:ind w:firstLine="480" w:firstLineChars="200"/>
        <w:rPr>
          <w:rFonts w:hint="eastAsia" w:ascii="宋体" w:hAnsi="宋体"/>
          <w:color w:val="000000"/>
          <w:sz w:val="24"/>
        </w:rPr>
      </w:pPr>
      <w:r>
        <w:rPr>
          <w:rFonts w:hint="eastAsia" w:ascii="宋体" w:hAnsi="宋体"/>
          <w:color w:val="000000"/>
          <w:sz w:val="24"/>
        </w:rPr>
        <w:t>技术、商务分按照评标委员会成员的独立评分结果汇总数的算术平均分计算，计算公式为：</w:t>
      </w:r>
    </w:p>
    <w:p>
      <w:pPr>
        <w:adjustRightInd w:val="0"/>
        <w:snapToGrid w:val="0"/>
        <w:ind w:firstLine="495"/>
        <w:rPr>
          <w:rFonts w:hint="eastAsia" w:ascii="宋体" w:hAnsi="宋体"/>
          <w:color w:val="000000"/>
          <w:sz w:val="24"/>
        </w:rPr>
      </w:pPr>
      <w:r>
        <w:rPr>
          <w:rFonts w:hint="eastAsia" w:ascii="宋体" w:hAnsi="宋体"/>
          <w:color w:val="000000"/>
          <w:sz w:val="24"/>
        </w:rPr>
        <w:t>技术商务资信及其他分=（评标委员会所有成员评分合计数）/（评标委员会组成人员数）</w:t>
      </w:r>
    </w:p>
    <w:p>
      <w:pPr>
        <w:pStyle w:val="4"/>
        <w:numPr>
          <w:ilvl w:val="0"/>
          <w:numId w:val="19"/>
        </w:numPr>
        <w:rPr>
          <w:rFonts w:ascii="宋体" w:hAnsi="宋体"/>
          <w:color w:val="000000"/>
          <w:sz w:val="24"/>
          <w:szCs w:val="24"/>
        </w:rPr>
      </w:pPr>
      <w:r>
        <w:rPr>
          <w:rFonts w:hint="eastAsia" w:ascii="宋体" w:hAnsi="宋体"/>
          <w:color w:val="000000"/>
          <w:sz w:val="24"/>
          <w:szCs w:val="24"/>
        </w:rPr>
        <w:t>投标报价（30分）</w:t>
      </w:r>
    </w:p>
    <w:p>
      <w:pPr>
        <w:adjustRightInd w:val="0"/>
        <w:snapToGrid w:val="0"/>
        <w:ind w:firstLine="480" w:firstLineChars="200"/>
        <w:rPr>
          <w:rFonts w:hint="eastAsia" w:ascii="宋体" w:hAnsi="宋体"/>
          <w:color w:val="000000"/>
          <w:sz w:val="24"/>
        </w:rPr>
      </w:pPr>
      <w:r>
        <w:rPr>
          <w:rFonts w:hint="eastAsia" w:ascii="宋体" w:hAnsi="宋体"/>
          <w:color w:val="000000"/>
          <w:sz w:val="24"/>
        </w:rPr>
        <w:t>即满足采购文件要求且投标价格最低的投标报价为评标基准价，其价格分为满分。其他投标供应商的价格分统一按照下列公式计算：</w:t>
      </w:r>
    </w:p>
    <w:p>
      <w:pPr>
        <w:adjustRightInd w:val="0"/>
        <w:snapToGrid w:val="0"/>
        <w:spacing w:line="400" w:lineRule="exact"/>
        <w:rPr>
          <w:rFonts w:hint="eastAsia" w:ascii="宋体" w:hAnsi="宋体"/>
          <w:color w:val="000000"/>
          <w:sz w:val="24"/>
        </w:rPr>
      </w:pPr>
      <w:r>
        <w:rPr>
          <w:rFonts w:hint="eastAsia" w:ascii="宋体" w:hAnsi="宋体"/>
          <w:color w:val="000000"/>
          <w:sz w:val="24"/>
        </w:rPr>
        <w:t>投标报价得分=(评标基准价／投标报价)×30</w:t>
      </w:r>
    </w:p>
    <w:p>
      <w:pPr>
        <w:adjustRightInd w:val="0"/>
        <w:snapToGrid w:val="0"/>
        <w:ind w:firstLine="495"/>
        <w:rPr>
          <w:rFonts w:hint="eastAsia" w:ascii="宋体" w:hAnsi="宋体"/>
          <w:b/>
          <w:bCs/>
          <w:color w:val="000000"/>
          <w:sz w:val="24"/>
        </w:rPr>
      </w:pPr>
      <w:r>
        <w:rPr>
          <w:rFonts w:hint="eastAsia" w:ascii="宋体" w:hAnsi="宋体"/>
          <w:b/>
          <w:bCs/>
          <w:color w:val="000000"/>
          <w:sz w:val="24"/>
        </w:rPr>
        <w:t>三、投标供应商评标综合得分=技术商务分+价格分</w:t>
      </w: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1037"/>
        <w:rPr>
          <w:rFonts w:hint="eastAsia"/>
        </w:rPr>
      </w:pPr>
    </w:p>
    <w:p>
      <w:pPr>
        <w:pStyle w:val="4"/>
        <w:rPr>
          <w:rFonts w:hint="eastAsia" w:ascii="宋体" w:hAnsi="宋体"/>
          <w:color w:val="000000"/>
          <w:sz w:val="24"/>
        </w:rPr>
      </w:pPr>
      <w:r>
        <w:rPr>
          <w:rFonts w:hint="eastAsia" w:ascii="宋体" w:hAnsi="宋体"/>
          <w:color w:val="000000"/>
          <w:sz w:val="24"/>
        </w:rPr>
        <w:t>标项二：浦江县中医院新院区LED屏2023年建设项目</w:t>
      </w:r>
    </w:p>
    <w:p>
      <w:pPr>
        <w:pStyle w:val="1042"/>
        <w:spacing w:before="0" w:beforeAutospacing="0" w:after="0" w:afterAutospacing="0" w:line="276" w:lineRule="auto"/>
        <w:ind w:left="200" w:firstLine="480" w:firstLineChars="200"/>
        <w:jc w:val="both"/>
        <w:rPr>
          <w:rFonts w:hint="eastAsia" w:ascii="宋体"/>
          <w:color w:val="000000"/>
          <w:sz w:val="24"/>
        </w:rPr>
      </w:pPr>
      <w:r>
        <w:rPr>
          <w:rFonts w:hint="eastAsia" w:ascii="宋体"/>
          <w:color w:val="000000"/>
          <w:sz w:val="24"/>
        </w:rPr>
        <w:t>本标段评标采用综合评分法，总分为100分，其中技术商务分 70 分、价格分 30 分等两部分。合格投标供应商的评标得分为各项目汇总得分，中标候选资格按评标得分由高到低顺序排列，得分相同的，按投标报价由低到高顺序排列；得分且投标报价相同的并列。投标文件满足采购文件全部实质性要求，且按照评审因素的量化指标评审得分最高的投标供应商为排名第一的中标候选人，排名第二的投标供应商为第二中标候选人。评分过程中采用四舍五入法，并保留小数点后2位。</w:t>
      </w:r>
    </w:p>
    <w:p>
      <w:pPr>
        <w:pStyle w:val="1042"/>
        <w:spacing w:before="0" w:beforeAutospacing="0" w:after="0" w:afterAutospacing="0" w:line="276" w:lineRule="auto"/>
        <w:ind w:left="200" w:firstLine="480" w:firstLineChars="200"/>
        <w:jc w:val="both"/>
        <w:rPr>
          <w:rFonts w:hint="eastAsia" w:ascii="宋体"/>
          <w:color w:val="000000"/>
          <w:sz w:val="24"/>
        </w:rPr>
      </w:pPr>
    </w:p>
    <w:p>
      <w:pPr>
        <w:pStyle w:val="4"/>
        <w:rPr>
          <w:rFonts w:hint="eastAsia" w:ascii="宋体" w:hAnsi="宋体"/>
          <w:color w:val="000000"/>
          <w:sz w:val="24"/>
          <w:szCs w:val="24"/>
        </w:rPr>
      </w:pPr>
      <w:r>
        <w:rPr>
          <w:rFonts w:hint="eastAsia" w:ascii="宋体" w:hAnsi="宋体"/>
          <w:color w:val="000000"/>
          <w:sz w:val="24"/>
          <w:szCs w:val="24"/>
        </w:rPr>
        <w:t>一、技术商务分70分</w:t>
      </w:r>
    </w:p>
    <w:tbl>
      <w:tblPr>
        <w:tblStyle w:val="57"/>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7"/>
        <w:gridCol w:w="680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70" w:hRule="atLeast"/>
        </w:trPr>
        <w:tc>
          <w:tcPr>
            <w:tcW w:w="851" w:type="dxa"/>
            <w:noWrap/>
            <w:vAlign w:val="top"/>
          </w:tcPr>
          <w:p>
            <w:pPr>
              <w:spacing w:before="120" w:beforeLines="50" w:after="120" w:afterLines="50"/>
              <w:jc w:val="center"/>
              <w:rPr>
                <w:rFonts w:ascii="宋体" w:hAnsi="宋体" w:cs="宋体"/>
                <w:sz w:val="24"/>
              </w:rPr>
            </w:pPr>
            <w:r>
              <w:rPr>
                <w:rFonts w:hint="eastAsia" w:ascii="宋体" w:hAnsi="宋体" w:cs="宋体"/>
                <w:sz w:val="24"/>
              </w:rPr>
              <w:t>序号</w:t>
            </w:r>
          </w:p>
        </w:tc>
        <w:tc>
          <w:tcPr>
            <w:tcW w:w="1417" w:type="dxa"/>
            <w:noWrap/>
            <w:vAlign w:val="top"/>
          </w:tcPr>
          <w:p>
            <w:pPr>
              <w:spacing w:before="120" w:beforeLines="50" w:after="120" w:afterLines="50"/>
              <w:rPr>
                <w:rFonts w:ascii="宋体" w:hAnsi="宋体" w:cs="宋体"/>
                <w:sz w:val="24"/>
              </w:rPr>
            </w:pPr>
            <w:r>
              <w:rPr>
                <w:rFonts w:hint="eastAsia" w:ascii="宋体" w:hAnsi="宋体" w:cs="宋体"/>
                <w:sz w:val="24"/>
              </w:rPr>
              <w:t>评分内容</w:t>
            </w:r>
          </w:p>
        </w:tc>
        <w:tc>
          <w:tcPr>
            <w:tcW w:w="6804" w:type="dxa"/>
            <w:noWrap/>
            <w:vAlign w:val="top"/>
          </w:tcPr>
          <w:p>
            <w:pPr>
              <w:spacing w:before="120" w:beforeLines="50" w:after="120" w:afterLines="50"/>
              <w:jc w:val="center"/>
              <w:rPr>
                <w:rFonts w:ascii="宋体" w:hAnsi="宋体" w:cs="宋体"/>
                <w:sz w:val="24"/>
              </w:rPr>
            </w:pPr>
            <w:r>
              <w:rPr>
                <w:rFonts w:hint="eastAsia" w:ascii="宋体" w:hAnsi="宋体" w:cs="宋体"/>
                <w:sz w:val="24"/>
              </w:rPr>
              <w:t>评分方法</w:t>
            </w:r>
          </w:p>
        </w:tc>
        <w:tc>
          <w:tcPr>
            <w:tcW w:w="993" w:type="dxa"/>
            <w:noWrap/>
            <w:vAlign w:val="top"/>
          </w:tcPr>
          <w:p>
            <w:pPr>
              <w:spacing w:before="120" w:beforeLines="50" w:after="120" w:afterLines="50"/>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8" w:hRule="atLeast"/>
        </w:trPr>
        <w:tc>
          <w:tcPr>
            <w:tcW w:w="851" w:type="dxa"/>
            <w:noWrap/>
            <w:vAlign w:val="center"/>
          </w:tcPr>
          <w:p>
            <w:pPr>
              <w:spacing w:before="120" w:beforeLines="50" w:after="120" w:afterLines="50"/>
              <w:jc w:val="center"/>
              <w:rPr>
                <w:rFonts w:ascii="宋体" w:hAnsi="宋体" w:cs="宋体"/>
                <w:sz w:val="24"/>
              </w:rPr>
            </w:pPr>
            <w:r>
              <w:rPr>
                <w:rFonts w:hint="eastAsia" w:ascii="宋体" w:hAnsi="宋体" w:cs="宋体"/>
                <w:sz w:val="24"/>
              </w:rPr>
              <w:t>1</w:t>
            </w:r>
          </w:p>
        </w:tc>
        <w:tc>
          <w:tcPr>
            <w:tcW w:w="1417" w:type="dxa"/>
            <w:noWrap/>
            <w:vAlign w:val="center"/>
          </w:tcPr>
          <w:p>
            <w:pPr>
              <w:spacing w:before="120" w:beforeLines="50" w:after="120" w:afterLines="50"/>
              <w:jc w:val="center"/>
              <w:rPr>
                <w:rFonts w:ascii="宋体" w:hAnsi="宋体" w:cs="宋体"/>
                <w:sz w:val="24"/>
              </w:rPr>
            </w:pPr>
            <w:r>
              <w:rPr>
                <w:rFonts w:hint="eastAsia" w:ascii="宋体" w:hAnsi="宋体" w:cs="宋体"/>
                <w:sz w:val="24"/>
              </w:rPr>
              <w:t>业绩案例</w:t>
            </w:r>
          </w:p>
        </w:tc>
        <w:tc>
          <w:tcPr>
            <w:tcW w:w="6804" w:type="dxa"/>
            <w:noWrap/>
            <w:vAlign w:val="center"/>
          </w:tcPr>
          <w:p>
            <w:pPr>
              <w:spacing w:before="120" w:beforeLines="50" w:after="120" w:afterLines="50"/>
              <w:jc w:val="left"/>
              <w:rPr>
                <w:rFonts w:ascii="宋体" w:hAnsi="宋体" w:cs="宋体"/>
                <w:sz w:val="24"/>
              </w:rPr>
            </w:pPr>
            <w:r>
              <w:rPr>
                <w:rFonts w:hint="eastAsia" w:ascii="宋体" w:hAnsi="宋体" w:cs="宋体"/>
                <w:bCs/>
                <w:sz w:val="24"/>
              </w:rPr>
              <w:t>自2020年1月1日以来（以合同签订时间为准），投标人每提供一个同类项目业绩案例得 1 分，最高得3分（需同时提供清晰可辨的合同扫描件及验收报告）。</w:t>
            </w:r>
          </w:p>
        </w:tc>
        <w:tc>
          <w:tcPr>
            <w:tcW w:w="993" w:type="dxa"/>
            <w:noWrap/>
            <w:vAlign w:val="center"/>
          </w:tcPr>
          <w:p>
            <w:pPr>
              <w:spacing w:before="120" w:beforeLines="50" w:after="120" w:afterLines="50"/>
              <w:jc w:val="center"/>
              <w:rPr>
                <w:rFonts w:ascii="宋体" w:hAnsi="宋体" w:cs="宋体"/>
                <w:sz w:val="24"/>
              </w:rPr>
            </w:pPr>
            <w:r>
              <w:rPr>
                <w:rFonts w:hint="eastAsia" w:ascii="宋体" w:hAnsi="宋体" w:cs="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atLeast"/>
        </w:trPr>
        <w:tc>
          <w:tcPr>
            <w:tcW w:w="851" w:type="dxa"/>
            <w:noWrap/>
            <w:vAlign w:val="center"/>
          </w:tcPr>
          <w:p>
            <w:pPr>
              <w:spacing w:before="120" w:beforeLines="50" w:after="120" w:afterLines="50"/>
              <w:jc w:val="center"/>
              <w:rPr>
                <w:rFonts w:ascii="宋体" w:hAnsi="宋体" w:cs="宋体"/>
                <w:sz w:val="24"/>
              </w:rPr>
            </w:pPr>
            <w:r>
              <w:rPr>
                <w:rFonts w:hint="eastAsia" w:ascii="宋体" w:hAnsi="宋体" w:cs="宋体"/>
                <w:sz w:val="24"/>
              </w:rPr>
              <w:t>2</w:t>
            </w:r>
          </w:p>
        </w:tc>
        <w:tc>
          <w:tcPr>
            <w:tcW w:w="1417" w:type="dxa"/>
            <w:noWrap/>
            <w:vAlign w:val="center"/>
          </w:tcPr>
          <w:p>
            <w:pPr>
              <w:spacing w:before="120" w:beforeLines="50" w:after="120" w:afterLines="50"/>
              <w:jc w:val="center"/>
              <w:rPr>
                <w:rFonts w:ascii="宋体" w:hAnsi="宋体" w:cs="宋体"/>
                <w:sz w:val="24"/>
              </w:rPr>
            </w:pPr>
            <w:r>
              <w:rPr>
                <w:rFonts w:hint="eastAsia" w:ascii="宋体" w:hAnsi="宋体" w:cs="宋体"/>
                <w:sz w:val="24"/>
              </w:rPr>
              <w:t>专业能力</w:t>
            </w:r>
          </w:p>
        </w:tc>
        <w:tc>
          <w:tcPr>
            <w:tcW w:w="6804" w:type="dxa"/>
            <w:noWrap/>
            <w:vAlign w:val="center"/>
          </w:tcPr>
          <w:p>
            <w:pPr>
              <w:spacing w:before="120" w:beforeLines="50" w:after="120" w:afterLines="50"/>
              <w:jc w:val="left"/>
              <w:rPr>
                <w:rFonts w:ascii="宋体" w:hAnsi="宋体" w:cs="宋体"/>
                <w:bCs/>
                <w:sz w:val="24"/>
              </w:rPr>
            </w:pPr>
            <w:r>
              <w:rPr>
                <w:rFonts w:hint="eastAsia" w:ascii="宋体" w:hAnsi="宋体" w:cs="宋体"/>
                <w:bCs/>
                <w:sz w:val="24"/>
              </w:rPr>
              <w:t>（1）所投LED制造商具有LED显示屏图像处理亮色度校正系统的得1分。</w:t>
            </w:r>
          </w:p>
          <w:p>
            <w:pPr>
              <w:spacing w:before="120" w:beforeLines="50" w:after="120" w:afterLines="50"/>
              <w:jc w:val="left"/>
              <w:rPr>
                <w:rFonts w:ascii="宋体" w:hAnsi="宋体" w:cs="宋体"/>
                <w:bCs/>
                <w:sz w:val="24"/>
              </w:rPr>
            </w:pPr>
            <w:r>
              <w:rPr>
                <w:rFonts w:hint="eastAsia" w:ascii="宋体" w:hAnsi="宋体" w:cs="宋体"/>
                <w:bCs/>
                <w:sz w:val="24"/>
              </w:rPr>
              <w:t>（2）所投LED制造商符合节能低碳技术产品及示范案例，并提供相关说明资料的得1分。</w:t>
            </w:r>
          </w:p>
          <w:p>
            <w:pPr>
              <w:spacing w:before="120" w:beforeLines="50" w:after="120" w:afterLines="50"/>
              <w:jc w:val="left"/>
              <w:rPr>
                <w:rFonts w:ascii="宋体" w:hAnsi="宋体" w:cs="宋体"/>
                <w:bCs/>
                <w:sz w:val="24"/>
              </w:rPr>
            </w:pPr>
            <w:r>
              <w:rPr>
                <w:rFonts w:hint="eastAsia" w:ascii="宋体" w:hAnsi="宋体" w:cs="宋体"/>
                <w:bCs/>
                <w:sz w:val="24"/>
              </w:rPr>
              <w:t xml:space="preserve">（3）所投LED制造商具备《智能制造能力成熟度》贰级及以上证书的得1分； </w:t>
            </w:r>
          </w:p>
          <w:p>
            <w:pPr>
              <w:spacing w:before="120" w:beforeLines="50" w:after="120" w:afterLines="50"/>
              <w:jc w:val="left"/>
              <w:rPr>
                <w:rFonts w:ascii="宋体" w:hAnsi="宋体" w:cs="宋体"/>
                <w:bCs/>
                <w:sz w:val="24"/>
              </w:rPr>
            </w:pPr>
            <w:r>
              <w:rPr>
                <w:rFonts w:hint="eastAsia" w:ascii="宋体" w:hAnsi="宋体" w:cs="宋体"/>
                <w:bCs/>
                <w:sz w:val="24"/>
              </w:rPr>
              <w:t>（4）所投LED制造商</w:t>
            </w:r>
            <w:r>
              <w:rPr>
                <w:rFonts w:ascii="宋体" w:hAnsi="宋体" w:cs="宋体"/>
                <w:sz w:val="24"/>
              </w:rPr>
              <w:t>具有信息系统建设和服务能力CS4级及以上资质证书的得1分</w:t>
            </w:r>
          </w:p>
          <w:p>
            <w:pPr>
              <w:spacing w:before="120" w:beforeLines="50" w:after="120" w:afterLines="50"/>
              <w:jc w:val="left"/>
              <w:rPr>
                <w:rFonts w:ascii="宋体" w:hAnsi="宋体" w:cs="宋体"/>
                <w:bCs/>
                <w:sz w:val="24"/>
              </w:rPr>
            </w:pPr>
            <w:r>
              <w:rPr>
                <w:rFonts w:hint="eastAsia" w:ascii="宋体" w:hAnsi="宋体" w:cs="宋体"/>
                <w:bCs/>
                <w:sz w:val="24"/>
              </w:rPr>
              <w:t>注:需提供证书的扫描件（证书未提供或不在有效期内的不得分）。</w:t>
            </w:r>
          </w:p>
        </w:tc>
        <w:tc>
          <w:tcPr>
            <w:tcW w:w="993" w:type="dxa"/>
            <w:noWrap/>
            <w:vAlign w:val="center"/>
          </w:tcPr>
          <w:p>
            <w:pPr>
              <w:spacing w:before="120" w:beforeLines="50" w:after="120" w:afterLines="50"/>
              <w:jc w:val="center"/>
              <w:rPr>
                <w:rFonts w:ascii="宋体" w:hAnsi="宋体" w:cs="宋体"/>
                <w:sz w:val="24"/>
              </w:rPr>
            </w:pPr>
            <w:r>
              <w:rPr>
                <w:rFonts w:hint="eastAsia" w:ascii="宋体" w:hAnsi="宋体" w:cs="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851" w:type="dxa"/>
            <w:vMerge w:val="restart"/>
            <w:noWrap/>
            <w:vAlign w:val="center"/>
          </w:tcPr>
          <w:p>
            <w:pPr>
              <w:spacing w:before="120" w:beforeLines="50" w:after="120" w:afterLines="50"/>
              <w:jc w:val="center"/>
              <w:rPr>
                <w:rFonts w:ascii="宋体" w:hAnsi="宋体" w:cs="宋体"/>
                <w:sz w:val="24"/>
              </w:rPr>
            </w:pPr>
            <w:r>
              <w:rPr>
                <w:rFonts w:hint="eastAsia" w:ascii="宋体" w:hAnsi="宋体" w:cs="宋体"/>
                <w:sz w:val="24"/>
              </w:rPr>
              <w:t>3</w:t>
            </w:r>
          </w:p>
        </w:tc>
        <w:tc>
          <w:tcPr>
            <w:tcW w:w="1417" w:type="dxa"/>
            <w:vMerge w:val="restart"/>
            <w:noWrap/>
            <w:vAlign w:val="center"/>
          </w:tcPr>
          <w:p>
            <w:pPr>
              <w:spacing w:before="120" w:beforeLines="50" w:after="120" w:afterLines="50"/>
              <w:jc w:val="center"/>
              <w:rPr>
                <w:rFonts w:ascii="宋体" w:hAnsi="宋体" w:cs="宋体"/>
                <w:sz w:val="24"/>
              </w:rPr>
            </w:pPr>
            <w:r>
              <w:rPr>
                <w:rFonts w:hint="eastAsia" w:ascii="宋体" w:hAnsi="宋体" w:cs="宋体"/>
                <w:sz w:val="24"/>
              </w:rPr>
              <w:t>投标货物的性能及技术指标</w:t>
            </w:r>
          </w:p>
        </w:tc>
        <w:tc>
          <w:tcPr>
            <w:tcW w:w="6804" w:type="dxa"/>
            <w:noWrap/>
            <w:vAlign w:val="center"/>
          </w:tcPr>
          <w:p>
            <w:pPr>
              <w:widowControl/>
              <w:jc w:val="left"/>
              <w:rPr>
                <w:rFonts w:ascii="宋体" w:hAnsi="宋体" w:cs="宋体"/>
                <w:b/>
                <w:bCs/>
                <w:sz w:val="24"/>
              </w:rPr>
            </w:pPr>
            <w:r>
              <w:rPr>
                <w:rFonts w:hint="eastAsia" w:ascii="宋体" w:hAnsi="宋体" w:cs="宋体"/>
                <w:b/>
                <w:bCs/>
                <w:sz w:val="24"/>
              </w:rPr>
              <w:t>基础分（</w:t>
            </w:r>
            <w:r>
              <w:rPr>
                <w:rFonts w:ascii="宋体" w:hAnsi="宋体" w:cs="宋体"/>
                <w:b/>
                <w:bCs/>
                <w:sz w:val="24"/>
              </w:rPr>
              <w:t>3</w:t>
            </w:r>
            <w:r>
              <w:rPr>
                <w:rFonts w:hint="eastAsia" w:ascii="宋体" w:hAnsi="宋体" w:cs="宋体"/>
                <w:b/>
                <w:bCs/>
                <w:sz w:val="24"/>
              </w:rPr>
              <w:t>6分）：</w:t>
            </w:r>
          </w:p>
          <w:p>
            <w:pPr>
              <w:widowControl/>
              <w:jc w:val="left"/>
              <w:rPr>
                <w:rFonts w:ascii="宋体" w:hAnsi="宋体" w:cs="宋体"/>
                <w:snapToGrid w:val="0"/>
                <w:kern w:val="0"/>
                <w:sz w:val="24"/>
              </w:rPr>
            </w:pPr>
            <w:r>
              <w:rPr>
                <w:rFonts w:hint="eastAsia" w:ascii="宋体" w:hAnsi="宋体" w:cs="宋体"/>
                <w:snapToGrid w:val="0"/>
                <w:kern w:val="0"/>
                <w:sz w:val="24"/>
              </w:rPr>
              <w:t>由评委根据投标人对设备的产品性能、配置等进行评比打分，完全满足招标文件设备清单各项产品技术指标参数要求的得</w:t>
            </w:r>
            <w:r>
              <w:rPr>
                <w:rFonts w:ascii="宋体" w:hAnsi="宋体" w:cs="宋体"/>
                <w:snapToGrid w:val="0"/>
                <w:kern w:val="0"/>
                <w:sz w:val="24"/>
              </w:rPr>
              <w:t>3</w:t>
            </w:r>
            <w:r>
              <w:rPr>
                <w:rFonts w:hint="eastAsia" w:ascii="宋体" w:hAnsi="宋体" w:cs="宋体"/>
                <w:snapToGrid w:val="0"/>
                <w:kern w:val="0"/>
                <w:sz w:val="24"/>
              </w:rPr>
              <w:t>6分；每有一项负偏离进行相应扣分：非★的参数扣1分、打★的参数扣2分，扣完为止。</w:t>
            </w:r>
          </w:p>
          <w:p>
            <w:pPr>
              <w:spacing w:before="120" w:beforeLines="50" w:after="120" w:afterLines="50"/>
              <w:jc w:val="left"/>
              <w:rPr>
                <w:rFonts w:ascii="宋体" w:hAnsi="宋体" w:cs="宋体"/>
                <w:bCs/>
                <w:sz w:val="24"/>
              </w:rPr>
            </w:pPr>
            <w:r>
              <w:rPr>
                <w:rFonts w:hint="eastAsia" w:ascii="宋体" w:hAnsi="宋体" w:cs="宋体"/>
                <w:sz w:val="24"/>
              </w:rPr>
              <w:t>注：技术参数要求提供检测报告的以提供的检测报告数据为准；未要求提供检测报告的以投标文件的响应为准,具体以采购需求为准。资料装订成册逐条响应。</w:t>
            </w:r>
          </w:p>
        </w:tc>
        <w:tc>
          <w:tcPr>
            <w:tcW w:w="993" w:type="dxa"/>
            <w:noWrap/>
            <w:vAlign w:val="center"/>
          </w:tcPr>
          <w:p>
            <w:pPr>
              <w:spacing w:before="120" w:beforeLines="50" w:after="120" w:afterLines="50"/>
              <w:jc w:val="center"/>
              <w:rPr>
                <w:rFonts w:ascii="宋体" w:hAnsi="宋体" w:cs="宋体"/>
                <w:sz w:val="24"/>
              </w:rPr>
            </w:pPr>
            <w:r>
              <w:rPr>
                <w:rFonts w:hint="eastAsia" w:ascii="宋体" w:hAnsi="宋体" w:cs="宋体"/>
                <w:sz w:val="24"/>
              </w:rPr>
              <w:t>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atLeast"/>
        </w:trPr>
        <w:tc>
          <w:tcPr>
            <w:tcW w:w="851" w:type="dxa"/>
            <w:vMerge w:val="continue"/>
            <w:noWrap/>
            <w:vAlign w:val="center"/>
          </w:tcPr>
          <w:p>
            <w:pPr>
              <w:spacing w:before="120" w:beforeLines="50" w:after="120" w:afterLines="50"/>
              <w:jc w:val="center"/>
              <w:rPr>
                <w:rFonts w:ascii="宋体" w:hAnsi="宋体" w:cs="宋体"/>
                <w:sz w:val="24"/>
              </w:rPr>
            </w:pPr>
          </w:p>
        </w:tc>
        <w:tc>
          <w:tcPr>
            <w:tcW w:w="1417" w:type="dxa"/>
            <w:vMerge w:val="continue"/>
            <w:noWrap/>
            <w:vAlign w:val="center"/>
          </w:tcPr>
          <w:p>
            <w:pPr>
              <w:spacing w:before="120" w:beforeLines="50" w:after="120" w:afterLines="50"/>
              <w:jc w:val="center"/>
              <w:rPr>
                <w:rFonts w:ascii="宋体" w:hAnsi="宋体" w:cs="宋体"/>
                <w:sz w:val="24"/>
              </w:rPr>
            </w:pPr>
          </w:p>
        </w:tc>
        <w:tc>
          <w:tcPr>
            <w:tcW w:w="6804" w:type="dxa"/>
            <w:noWrap/>
            <w:vAlign w:val="center"/>
          </w:tcPr>
          <w:p>
            <w:pPr>
              <w:adjustRightInd w:val="0"/>
              <w:snapToGrid w:val="0"/>
              <w:rPr>
                <w:rFonts w:ascii="宋体" w:hAnsi="宋体" w:cs="宋体"/>
                <w:b/>
                <w:bCs/>
                <w:sz w:val="24"/>
              </w:rPr>
            </w:pPr>
            <w:r>
              <w:rPr>
                <w:rFonts w:hint="eastAsia" w:ascii="宋体" w:hAnsi="宋体" w:cs="宋体"/>
                <w:b/>
                <w:bCs/>
                <w:sz w:val="24"/>
              </w:rPr>
              <w:t>正偏离（3分）：</w:t>
            </w:r>
          </w:p>
          <w:p>
            <w:pPr>
              <w:spacing w:before="120" w:beforeLines="50" w:after="120" w:afterLines="50"/>
              <w:jc w:val="left"/>
              <w:rPr>
                <w:rFonts w:ascii="宋体" w:hAnsi="宋体" w:cs="宋体"/>
                <w:bCs/>
                <w:sz w:val="24"/>
              </w:rPr>
            </w:pPr>
            <w:r>
              <w:rPr>
                <w:rFonts w:hint="eastAsia" w:ascii="宋体" w:hAnsi="宋体" w:cs="宋体"/>
                <w:sz w:val="24"/>
              </w:rPr>
              <w:t>所投产品技术参数与功能有实质意义的正偏离，每有一项得1分，最高得3分。无实质性意义的正偏离不加分。</w:t>
            </w:r>
          </w:p>
        </w:tc>
        <w:tc>
          <w:tcPr>
            <w:tcW w:w="993" w:type="dxa"/>
            <w:noWrap/>
            <w:vAlign w:val="center"/>
          </w:tcPr>
          <w:p>
            <w:pPr>
              <w:spacing w:before="120" w:beforeLines="50" w:after="120" w:afterLines="50"/>
              <w:jc w:val="center"/>
              <w:rPr>
                <w:rFonts w:ascii="宋体" w:hAnsi="宋体" w:cs="宋体"/>
                <w:sz w:val="24"/>
              </w:rPr>
            </w:pPr>
            <w:r>
              <w:rPr>
                <w:rFonts w:hint="eastAsia" w:ascii="宋体" w:hAnsi="宋体" w:cs="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atLeast"/>
        </w:trPr>
        <w:tc>
          <w:tcPr>
            <w:tcW w:w="851" w:type="dxa"/>
            <w:noWrap/>
            <w:vAlign w:val="center"/>
          </w:tcPr>
          <w:p>
            <w:pPr>
              <w:spacing w:before="120" w:beforeLines="50" w:after="120" w:afterLines="50"/>
              <w:jc w:val="center"/>
              <w:rPr>
                <w:rFonts w:ascii="宋体" w:hAnsi="宋体" w:cs="宋体"/>
                <w:sz w:val="24"/>
              </w:rPr>
            </w:pPr>
            <w:r>
              <w:rPr>
                <w:rFonts w:ascii="宋体" w:hAnsi="宋体" w:cs="宋体"/>
                <w:sz w:val="24"/>
              </w:rPr>
              <w:t>4</w:t>
            </w:r>
          </w:p>
        </w:tc>
        <w:tc>
          <w:tcPr>
            <w:tcW w:w="1417" w:type="dxa"/>
            <w:noWrap/>
            <w:vAlign w:val="center"/>
          </w:tcPr>
          <w:p>
            <w:pPr>
              <w:spacing w:before="120" w:beforeLines="50" w:after="120" w:afterLines="50"/>
              <w:jc w:val="center"/>
              <w:rPr>
                <w:rFonts w:ascii="宋体" w:hAnsi="宋体" w:cs="宋体"/>
                <w:sz w:val="24"/>
              </w:rPr>
            </w:pPr>
            <w:r>
              <w:rPr>
                <w:rFonts w:hint="eastAsia" w:ascii="宋体" w:hAnsi="宋体" w:cs="宋体"/>
                <w:sz w:val="24"/>
              </w:rPr>
              <w:t>技术方案</w:t>
            </w:r>
          </w:p>
        </w:tc>
        <w:tc>
          <w:tcPr>
            <w:tcW w:w="6804" w:type="dxa"/>
            <w:noWrap/>
            <w:vAlign w:val="center"/>
          </w:tcPr>
          <w:p>
            <w:pPr>
              <w:spacing w:before="120" w:beforeLines="50" w:after="120" w:afterLines="50"/>
              <w:jc w:val="left"/>
              <w:rPr>
                <w:rFonts w:ascii="宋体" w:hAnsi="宋体" w:cs="宋体"/>
                <w:bCs/>
                <w:sz w:val="24"/>
              </w:rPr>
            </w:pPr>
            <w:r>
              <w:rPr>
                <w:rFonts w:hint="eastAsia" w:ascii="宋体" w:hAnsi="宋体" w:cs="宋体"/>
                <w:bCs/>
                <w:sz w:val="24"/>
              </w:rPr>
              <w:t>根据投标人针对本项目的建设背景、现状分析、功能需求的理解、勘点图纸(设计效果图及施工图)等情况打分，最高得5分。</w:t>
            </w:r>
          </w:p>
        </w:tc>
        <w:tc>
          <w:tcPr>
            <w:tcW w:w="993" w:type="dxa"/>
            <w:noWrap/>
            <w:vAlign w:val="center"/>
          </w:tcPr>
          <w:p>
            <w:pPr>
              <w:spacing w:before="120" w:beforeLines="50" w:after="120" w:afterLines="50"/>
              <w:jc w:val="center"/>
              <w:rPr>
                <w:rFonts w:ascii="宋体" w:hAnsi="宋体" w:cs="宋体"/>
                <w:sz w:val="24"/>
              </w:rPr>
            </w:pPr>
            <w:r>
              <w:rPr>
                <w:rFonts w:hint="eastAsia" w:ascii="宋体" w:hAnsi="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18" w:hRule="atLeast"/>
        </w:trPr>
        <w:tc>
          <w:tcPr>
            <w:tcW w:w="851" w:type="dxa"/>
            <w:vMerge w:val="restart"/>
            <w:noWrap/>
            <w:vAlign w:val="center"/>
          </w:tcPr>
          <w:p>
            <w:pPr>
              <w:spacing w:before="120" w:beforeLines="50" w:after="120" w:afterLines="50"/>
              <w:jc w:val="center"/>
              <w:rPr>
                <w:rFonts w:ascii="宋体" w:hAnsi="宋体" w:cs="宋体"/>
                <w:sz w:val="24"/>
              </w:rPr>
            </w:pPr>
            <w:r>
              <w:rPr>
                <w:rFonts w:ascii="宋体" w:hAnsi="宋体" w:cs="宋体"/>
                <w:sz w:val="24"/>
              </w:rPr>
              <w:t>5</w:t>
            </w:r>
          </w:p>
        </w:tc>
        <w:tc>
          <w:tcPr>
            <w:tcW w:w="1417" w:type="dxa"/>
            <w:vMerge w:val="restart"/>
            <w:noWrap/>
            <w:vAlign w:val="center"/>
          </w:tcPr>
          <w:p>
            <w:pPr>
              <w:spacing w:before="120" w:beforeLines="50" w:after="120" w:afterLines="50"/>
              <w:jc w:val="center"/>
              <w:rPr>
                <w:rFonts w:ascii="宋体" w:hAnsi="宋体" w:cs="宋体"/>
                <w:sz w:val="24"/>
              </w:rPr>
            </w:pPr>
            <w:r>
              <w:rPr>
                <w:rFonts w:hint="eastAsia" w:ascii="宋体" w:hAnsi="宋体" w:cs="宋体"/>
                <w:sz w:val="24"/>
              </w:rPr>
              <w:t>实施方案</w:t>
            </w:r>
          </w:p>
        </w:tc>
        <w:tc>
          <w:tcPr>
            <w:tcW w:w="6804" w:type="dxa"/>
            <w:noWrap/>
            <w:vAlign w:val="center"/>
          </w:tcPr>
          <w:p>
            <w:pPr>
              <w:spacing w:before="120" w:beforeLines="50" w:after="120" w:afterLines="50"/>
              <w:jc w:val="left"/>
              <w:rPr>
                <w:rFonts w:ascii="宋体" w:hAnsi="宋体" w:cs="宋体"/>
                <w:bCs/>
                <w:sz w:val="24"/>
              </w:rPr>
            </w:pPr>
            <w:r>
              <w:rPr>
                <w:rFonts w:hint="eastAsia" w:ascii="宋体" w:hAnsi="宋体" w:cs="宋体"/>
                <w:sz w:val="24"/>
              </w:rPr>
              <w:t>根据投标人针对本项目整体施工方案有合理设计，严谨部署，提前规划，符合采购人要求，根据项目进程配合采购人完成施工方案、进度计划及保障措施、质量保障措施、安全文明施工保障措施、系统测试、系统试运行、项目验收</w:t>
            </w:r>
            <w:r>
              <w:rPr>
                <w:rFonts w:hint="eastAsia" w:ascii="宋体" w:hAnsi="宋体" w:cs="宋体"/>
                <w:kern w:val="0"/>
                <w:sz w:val="24"/>
              </w:rPr>
              <w:t>等情况综合打分</w:t>
            </w:r>
            <w:r>
              <w:rPr>
                <w:rFonts w:hint="eastAsia" w:ascii="宋体" w:hAnsi="宋体" w:cs="宋体"/>
                <w:sz w:val="24"/>
              </w:rPr>
              <w:t>（0-5分）。</w:t>
            </w:r>
          </w:p>
        </w:tc>
        <w:tc>
          <w:tcPr>
            <w:tcW w:w="993" w:type="dxa"/>
            <w:noWrap/>
            <w:vAlign w:val="center"/>
          </w:tcPr>
          <w:p>
            <w:pPr>
              <w:spacing w:before="120" w:beforeLines="50" w:after="120" w:afterLines="50"/>
              <w:jc w:val="center"/>
              <w:rPr>
                <w:rFonts w:ascii="宋体" w:hAnsi="宋体" w:cs="宋体"/>
                <w:sz w:val="24"/>
              </w:rPr>
            </w:pPr>
            <w:r>
              <w:rPr>
                <w:rFonts w:hint="eastAsia" w:ascii="宋体" w:hAnsi="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8" w:hRule="atLeast"/>
        </w:trPr>
        <w:tc>
          <w:tcPr>
            <w:tcW w:w="851" w:type="dxa"/>
            <w:vMerge w:val="continue"/>
            <w:noWrap/>
            <w:vAlign w:val="center"/>
          </w:tcPr>
          <w:p>
            <w:pPr>
              <w:spacing w:before="120" w:beforeLines="50" w:after="120" w:afterLines="50"/>
              <w:jc w:val="center"/>
              <w:rPr>
                <w:rFonts w:ascii="宋体" w:hAnsi="宋体" w:cs="宋体"/>
                <w:sz w:val="24"/>
              </w:rPr>
            </w:pPr>
          </w:p>
        </w:tc>
        <w:tc>
          <w:tcPr>
            <w:tcW w:w="1417" w:type="dxa"/>
            <w:vMerge w:val="continue"/>
            <w:noWrap/>
            <w:vAlign w:val="center"/>
          </w:tcPr>
          <w:p>
            <w:pPr>
              <w:spacing w:before="120" w:beforeLines="50" w:after="120" w:afterLines="50"/>
              <w:jc w:val="center"/>
              <w:rPr>
                <w:rFonts w:ascii="宋体" w:hAnsi="宋体" w:cs="宋体"/>
                <w:sz w:val="24"/>
              </w:rPr>
            </w:pPr>
          </w:p>
        </w:tc>
        <w:tc>
          <w:tcPr>
            <w:tcW w:w="6804" w:type="dxa"/>
            <w:noWrap/>
            <w:vAlign w:val="center"/>
          </w:tcPr>
          <w:p>
            <w:pPr>
              <w:spacing w:before="120" w:beforeLines="50" w:after="120" w:afterLines="50"/>
              <w:jc w:val="left"/>
              <w:rPr>
                <w:rFonts w:ascii="宋体" w:hAnsi="宋体" w:cs="宋体"/>
                <w:bCs/>
                <w:sz w:val="24"/>
              </w:rPr>
            </w:pPr>
            <w:r>
              <w:rPr>
                <w:rFonts w:hint="eastAsia" w:ascii="宋体" w:hAnsi="宋体" w:cs="宋体"/>
                <w:sz w:val="24"/>
              </w:rPr>
              <w:t>根据本项目需求状况，项目实施方案科学合理，技术力量和人力资源安排充足的情况进行打分</w:t>
            </w:r>
            <w:r>
              <w:rPr>
                <w:rFonts w:hint="eastAsia" w:ascii="宋体" w:hAnsi="宋体" w:cs="宋体"/>
                <w:kern w:val="0"/>
                <w:sz w:val="24"/>
              </w:rPr>
              <w:t>（0-3分）。</w:t>
            </w:r>
          </w:p>
        </w:tc>
        <w:tc>
          <w:tcPr>
            <w:tcW w:w="993" w:type="dxa"/>
            <w:noWrap/>
            <w:vAlign w:val="center"/>
          </w:tcPr>
          <w:p>
            <w:pPr>
              <w:spacing w:before="120" w:beforeLines="50" w:after="120" w:afterLines="50"/>
              <w:jc w:val="center"/>
              <w:rPr>
                <w:rFonts w:ascii="宋体" w:hAnsi="宋体" w:cs="宋体"/>
                <w:sz w:val="24"/>
              </w:rPr>
            </w:pPr>
            <w:r>
              <w:rPr>
                <w:rFonts w:hint="eastAsia" w:ascii="宋体" w:hAnsi="宋体" w:cs="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6" w:hRule="atLeast"/>
        </w:trPr>
        <w:tc>
          <w:tcPr>
            <w:tcW w:w="851" w:type="dxa"/>
            <w:noWrap/>
            <w:vAlign w:val="center"/>
          </w:tcPr>
          <w:p>
            <w:pPr>
              <w:spacing w:before="120" w:beforeLines="50" w:after="120" w:afterLines="50"/>
              <w:jc w:val="center"/>
              <w:rPr>
                <w:rFonts w:ascii="宋体" w:hAnsi="宋体" w:cs="宋体"/>
                <w:sz w:val="24"/>
              </w:rPr>
            </w:pPr>
            <w:r>
              <w:rPr>
                <w:rFonts w:ascii="宋体" w:hAnsi="宋体" w:cs="宋体"/>
                <w:sz w:val="24"/>
              </w:rPr>
              <w:t>6</w:t>
            </w:r>
          </w:p>
        </w:tc>
        <w:tc>
          <w:tcPr>
            <w:tcW w:w="1417" w:type="dxa"/>
            <w:noWrap/>
            <w:vAlign w:val="center"/>
          </w:tcPr>
          <w:p>
            <w:pPr>
              <w:spacing w:before="120" w:beforeLines="50" w:after="120" w:afterLines="50"/>
              <w:jc w:val="center"/>
              <w:rPr>
                <w:rFonts w:ascii="宋体" w:hAnsi="宋体" w:cs="宋体"/>
                <w:bCs/>
                <w:sz w:val="24"/>
              </w:rPr>
            </w:pPr>
            <w:r>
              <w:rPr>
                <w:rFonts w:hint="eastAsia" w:ascii="宋体" w:hAnsi="宋体" w:cs="宋体"/>
                <w:bCs/>
                <w:sz w:val="24"/>
              </w:rPr>
              <w:t>材料及备品备件</w:t>
            </w:r>
          </w:p>
        </w:tc>
        <w:tc>
          <w:tcPr>
            <w:tcW w:w="6804" w:type="dxa"/>
            <w:noWrap/>
            <w:vAlign w:val="center"/>
          </w:tcPr>
          <w:p>
            <w:pPr>
              <w:spacing w:before="120" w:beforeLines="50" w:after="120" w:afterLines="50"/>
              <w:jc w:val="left"/>
              <w:rPr>
                <w:rFonts w:ascii="宋体" w:hAnsi="宋体" w:cs="宋体"/>
                <w:bCs/>
                <w:sz w:val="24"/>
              </w:rPr>
            </w:pPr>
            <w:r>
              <w:rPr>
                <w:rFonts w:hint="eastAsia" w:ascii="宋体" w:hAnsi="宋体" w:cs="宋体"/>
                <w:bCs/>
                <w:sz w:val="24"/>
              </w:rPr>
              <w:t>根据投标产品安装辅助材料、配件、附件、专用工具的完整性、合理性和可操作性，随机特殊工具和备品备件的完整性、合理性等情况进行打分，最高得2分。</w:t>
            </w:r>
          </w:p>
        </w:tc>
        <w:tc>
          <w:tcPr>
            <w:tcW w:w="993" w:type="dxa"/>
            <w:noWrap/>
            <w:vAlign w:val="center"/>
          </w:tcPr>
          <w:p>
            <w:pPr>
              <w:spacing w:before="120" w:beforeLines="50" w:after="120" w:afterLines="50"/>
              <w:jc w:val="center"/>
              <w:rPr>
                <w:rFonts w:ascii="宋体" w:hAnsi="宋体" w:cs="宋体"/>
                <w:sz w:val="24"/>
              </w:rPr>
            </w:pPr>
            <w:r>
              <w:rPr>
                <w:rFonts w:hint="eastAsia" w:ascii="宋体" w:hAnsi="宋体" w:cs="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2" w:hRule="atLeast"/>
        </w:trPr>
        <w:tc>
          <w:tcPr>
            <w:tcW w:w="851" w:type="dxa"/>
            <w:noWrap/>
            <w:vAlign w:val="center"/>
          </w:tcPr>
          <w:p>
            <w:pPr>
              <w:spacing w:before="120" w:beforeLines="50" w:after="120" w:afterLines="50"/>
              <w:jc w:val="center"/>
              <w:rPr>
                <w:rFonts w:ascii="宋体" w:hAnsi="宋体" w:cs="宋体"/>
                <w:sz w:val="24"/>
              </w:rPr>
            </w:pPr>
            <w:r>
              <w:rPr>
                <w:rFonts w:ascii="宋体" w:hAnsi="宋体" w:cs="宋体"/>
                <w:sz w:val="24"/>
              </w:rPr>
              <w:t>7</w:t>
            </w:r>
          </w:p>
        </w:tc>
        <w:tc>
          <w:tcPr>
            <w:tcW w:w="1417" w:type="dxa"/>
            <w:noWrap/>
            <w:vAlign w:val="center"/>
          </w:tcPr>
          <w:p>
            <w:pPr>
              <w:spacing w:before="120" w:beforeLines="50" w:after="120" w:afterLines="50"/>
              <w:jc w:val="center"/>
              <w:rPr>
                <w:rFonts w:ascii="宋体" w:hAnsi="宋体" w:cs="宋体"/>
                <w:sz w:val="24"/>
              </w:rPr>
            </w:pPr>
            <w:r>
              <w:rPr>
                <w:rFonts w:hint="eastAsia" w:ascii="宋体" w:hAnsi="宋体" w:cs="宋体"/>
                <w:bCs/>
                <w:sz w:val="24"/>
              </w:rPr>
              <w:t>售后服务方案</w:t>
            </w:r>
          </w:p>
        </w:tc>
        <w:tc>
          <w:tcPr>
            <w:tcW w:w="6804" w:type="dxa"/>
            <w:noWrap/>
            <w:vAlign w:val="center"/>
          </w:tcPr>
          <w:p>
            <w:pPr>
              <w:spacing w:before="120" w:beforeLines="50" w:after="120" w:afterLines="50"/>
              <w:jc w:val="left"/>
              <w:rPr>
                <w:rFonts w:ascii="宋体" w:hAnsi="宋体" w:cs="宋体"/>
                <w:bCs/>
                <w:sz w:val="24"/>
              </w:rPr>
            </w:pPr>
            <w:r>
              <w:rPr>
                <w:rFonts w:hint="eastAsia" w:ascii="宋体" w:hAnsi="宋体" w:cs="宋体"/>
                <w:bCs/>
                <w:sz w:val="24"/>
              </w:rPr>
              <w:t>根据投标人提供的售后服务计划（含售后服务机构、售后服务人员、售后服务承诺、服务体系及措施、响应时间、本地化服务能力、定期巡检、回访制度）等情况打分（0</w:t>
            </w:r>
            <w:r>
              <w:rPr>
                <w:rFonts w:ascii="宋体" w:hAnsi="宋体" w:cs="宋体"/>
                <w:bCs/>
                <w:sz w:val="24"/>
              </w:rPr>
              <w:t>-5</w:t>
            </w:r>
            <w:r>
              <w:rPr>
                <w:rFonts w:hint="eastAsia" w:ascii="宋体" w:hAnsi="宋体" w:cs="宋体"/>
                <w:bCs/>
                <w:sz w:val="24"/>
              </w:rPr>
              <w:t>分）。</w:t>
            </w:r>
          </w:p>
        </w:tc>
        <w:tc>
          <w:tcPr>
            <w:tcW w:w="993" w:type="dxa"/>
            <w:noWrap/>
            <w:vAlign w:val="center"/>
          </w:tcPr>
          <w:p>
            <w:pPr>
              <w:spacing w:before="120" w:beforeLines="50" w:after="120" w:afterLines="50"/>
              <w:jc w:val="center"/>
              <w:rPr>
                <w:rFonts w:ascii="宋体" w:hAnsi="宋体" w:cs="宋体"/>
                <w:sz w:val="24"/>
              </w:rPr>
            </w:pPr>
            <w:r>
              <w:rPr>
                <w:rFonts w:ascii="宋体" w:hAnsi="宋体" w:cs="宋体"/>
                <w:sz w:val="24"/>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9" w:hRule="atLeast"/>
        </w:trPr>
        <w:tc>
          <w:tcPr>
            <w:tcW w:w="851" w:type="dxa"/>
            <w:noWrap/>
            <w:vAlign w:val="center"/>
          </w:tcPr>
          <w:p>
            <w:pPr>
              <w:spacing w:before="120" w:beforeLines="50" w:after="120" w:afterLines="50"/>
              <w:jc w:val="center"/>
              <w:rPr>
                <w:rFonts w:ascii="宋体" w:hAnsi="宋体" w:cs="宋体"/>
                <w:sz w:val="24"/>
              </w:rPr>
            </w:pPr>
            <w:r>
              <w:rPr>
                <w:rFonts w:ascii="宋体" w:hAnsi="宋体" w:cs="宋体"/>
                <w:sz w:val="24"/>
              </w:rPr>
              <w:t>8</w:t>
            </w:r>
          </w:p>
        </w:tc>
        <w:tc>
          <w:tcPr>
            <w:tcW w:w="1417" w:type="dxa"/>
            <w:noWrap/>
            <w:vAlign w:val="center"/>
          </w:tcPr>
          <w:p>
            <w:pPr>
              <w:spacing w:before="120" w:beforeLines="50" w:after="120" w:afterLines="50"/>
              <w:jc w:val="center"/>
              <w:rPr>
                <w:rFonts w:ascii="宋体" w:hAnsi="宋体" w:cs="宋体"/>
                <w:sz w:val="24"/>
              </w:rPr>
            </w:pPr>
            <w:r>
              <w:rPr>
                <w:rFonts w:hint="eastAsia" w:ascii="宋体" w:hAnsi="宋体" w:cs="宋体"/>
                <w:sz w:val="24"/>
              </w:rPr>
              <w:t>培训计划</w:t>
            </w:r>
          </w:p>
        </w:tc>
        <w:tc>
          <w:tcPr>
            <w:tcW w:w="6804" w:type="dxa"/>
            <w:noWrap/>
            <w:vAlign w:val="center"/>
          </w:tcPr>
          <w:p>
            <w:pPr>
              <w:spacing w:before="120" w:beforeLines="50" w:after="120" w:afterLines="50"/>
              <w:jc w:val="left"/>
              <w:rPr>
                <w:rFonts w:ascii="宋体" w:hAnsi="宋体" w:cs="宋体"/>
                <w:bCs/>
                <w:sz w:val="24"/>
              </w:rPr>
            </w:pPr>
            <w:r>
              <w:rPr>
                <w:rFonts w:hint="eastAsia" w:ascii="宋体" w:hAnsi="宋体" w:cs="宋体"/>
                <w:bCs/>
                <w:sz w:val="24"/>
              </w:rPr>
              <w:t>根据投标供应商针对本项目制定的培训计划与承诺（含培训的方式、地点、人数、时间、目标等实质性内容）的全面性、详尽性、科学性进行打分，最高得</w:t>
            </w:r>
            <w:r>
              <w:rPr>
                <w:rFonts w:ascii="宋体" w:hAnsi="宋体" w:cs="宋体"/>
                <w:bCs/>
                <w:sz w:val="24"/>
              </w:rPr>
              <w:t>2</w:t>
            </w:r>
            <w:r>
              <w:rPr>
                <w:rFonts w:hint="eastAsia" w:ascii="宋体" w:hAnsi="宋体" w:cs="宋体"/>
                <w:bCs/>
                <w:sz w:val="24"/>
              </w:rPr>
              <w:t>分。</w:t>
            </w:r>
          </w:p>
        </w:tc>
        <w:tc>
          <w:tcPr>
            <w:tcW w:w="993" w:type="dxa"/>
            <w:noWrap/>
            <w:vAlign w:val="center"/>
          </w:tcPr>
          <w:p>
            <w:pPr>
              <w:spacing w:before="120" w:beforeLines="50" w:after="120" w:afterLines="50"/>
              <w:jc w:val="center"/>
              <w:rPr>
                <w:rFonts w:ascii="宋体" w:hAnsi="宋体" w:cs="宋体"/>
                <w:sz w:val="24"/>
              </w:rPr>
            </w:pPr>
            <w:r>
              <w:rPr>
                <w:rFonts w:ascii="宋体" w:hAnsi="宋体" w:cs="宋体"/>
                <w:sz w:val="24"/>
              </w:rPr>
              <w:t>2</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atLeast"/>
        </w:trPr>
        <w:tc>
          <w:tcPr>
            <w:tcW w:w="851" w:type="dxa"/>
            <w:noWrap/>
            <w:vAlign w:val="center"/>
          </w:tcPr>
          <w:p>
            <w:pPr>
              <w:spacing w:before="120" w:beforeLines="50" w:after="120" w:afterLines="50"/>
              <w:jc w:val="center"/>
              <w:rPr>
                <w:rFonts w:ascii="宋体" w:hAnsi="宋体" w:cs="宋体"/>
                <w:sz w:val="24"/>
              </w:rPr>
            </w:pPr>
            <w:r>
              <w:rPr>
                <w:rFonts w:ascii="宋体" w:hAnsi="宋体" w:cs="宋体"/>
                <w:sz w:val="24"/>
              </w:rPr>
              <w:t>9</w:t>
            </w:r>
          </w:p>
        </w:tc>
        <w:tc>
          <w:tcPr>
            <w:tcW w:w="1417" w:type="dxa"/>
            <w:noWrap/>
            <w:vAlign w:val="center"/>
          </w:tcPr>
          <w:p>
            <w:pPr>
              <w:spacing w:before="120" w:beforeLines="50" w:after="120" w:afterLines="50"/>
              <w:jc w:val="center"/>
              <w:rPr>
                <w:rFonts w:ascii="宋体" w:hAnsi="宋体" w:cs="宋体"/>
                <w:sz w:val="24"/>
              </w:rPr>
            </w:pPr>
            <w:r>
              <w:rPr>
                <w:rFonts w:hint="eastAsia" w:ascii="宋体" w:hAnsi="宋体" w:cs="宋体"/>
                <w:sz w:val="24"/>
              </w:rPr>
              <w:t>政策分</w:t>
            </w:r>
          </w:p>
        </w:tc>
        <w:tc>
          <w:tcPr>
            <w:tcW w:w="6804" w:type="dxa"/>
            <w:noWrap/>
            <w:vAlign w:val="center"/>
          </w:tcPr>
          <w:p>
            <w:pPr>
              <w:spacing w:before="120" w:beforeLines="50" w:after="120" w:afterLines="50"/>
              <w:jc w:val="left"/>
              <w:rPr>
                <w:rFonts w:ascii="宋体" w:hAnsi="宋体" w:cs="宋体"/>
                <w:bCs/>
                <w:sz w:val="24"/>
              </w:rPr>
            </w:pPr>
            <w:r>
              <w:rPr>
                <w:rFonts w:hint="eastAsia" w:ascii="宋体" w:hAnsi="宋体" w:cs="宋体"/>
                <w:bCs/>
                <w:sz w:val="24"/>
              </w:rPr>
              <w:t>投标供应商符合 “节约能源、保护环境、扶持不发达地区和少数民族地区等”政府采购政策扶持对象的，提供相关材料和政策依据，每符合一项得0</w:t>
            </w:r>
            <w:r>
              <w:rPr>
                <w:rFonts w:ascii="宋体" w:hAnsi="宋体" w:cs="宋体"/>
                <w:bCs/>
                <w:sz w:val="24"/>
              </w:rPr>
              <w:t>.5</w:t>
            </w:r>
            <w:r>
              <w:rPr>
                <w:rFonts w:hint="eastAsia" w:ascii="宋体" w:hAnsi="宋体" w:cs="宋体"/>
                <w:bCs/>
                <w:sz w:val="24"/>
              </w:rPr>
              <w:t>分，最高得</w:t>
            </w:r>
            <w:r>
              <w:rPr>
                <w:rFonts w:ascii="宋体" w:hAnsi="宋体" w:cs="宋体"/>
                <w:bCs/>
                <w:sz w:val="24"/>
              </w:rPr>
              <w:t>2</w:t>
            </w:r>
            <w:r>
              <w:rPr>
                <w:rFonts w:hint="eastAsia" w:ascii="宋体" w:hAnsi="宋体" w:cs="宋体"/>
                <w:bCs/>
                <w:sz w:val="24"/>
              </w:rPr>
              <w:t>分。未提供相关证明材料的不得分。</w:t>
            </w:r>
          </w:p>
        </w:tc>
        <w:tc>
          <w:tcPr>
            <w:tcW w:w="993" w:type="dxa"/>
            <w:noWrap/>
            <w:vAlign w:val="center"/>
          </w:tcPr>
          <w:p>
            <w:pPr>
              <w:spacing w:before="120" w:beforeLines="50" w:after="120" w:afterLines="50"/>
              <w:jc w:val="center"/>
              <w:rPr>
                <w:rFonts w:ascii="宋体" w:hAnsi="宋体" w:cs="宋体"/>
                <w:sz w:val="24"/>
              </w:rPr>
            </w:pPr>
            <w:r>
              <w:rPr>
                <w:rFonts w:ascii="宋体" w:hAnsi="宋体" w:cs="宋体"/>
                <w:sz w:val="24"/>
              </w:rPr>
              <w:t>2</w:t>
            </w:r>
            <w:r>
              <w:rPr>
                <w:rFonts w:hint="eastAsia" w:ascii="宋体" w:hAnsi="宋体" w:cs="宋体"/>
                <w:sz w:val="24"/>
              </w:rPr>
              <w:t>分</w:t>
            </w:r>
          </w:p>
        </w:tc>
      </w:tr>
    </w:tbl>
    <w:p>
      <w:pPr>
        <w:spacing w:line="360" w:lineRule="auto"/>
        <w:ind w:firstLine="643" w:firstLineChars="200"/>
        <w:rPr>
          <w:rFonts w:hint="eastAsia" w:ascii="宋体" w:hAnsi="宋体"/>
          <w:b/>
          <w:bCs/>
          <w:color w:val="000000"/>
          <w:sz w:val="24"/>
        </w:rPr>
      </w:pPr>
      <w:r>
        <w:rPr>
          <w:rFonts w:hint="eastAsia" w:ascii="宋体" w:hAnsi="宋体"/>
          <w:b/>
          <w:bCs/>
          <w:color w:val="000000"/>
          <w:sz w:val="32"/>
        </w:rPr>
        <w:t>郑重提示</w:t>
      </w:r>
      <w:r>
        <w:rPr>
          <w:rFonts w:ascii="宋体" w:hAnsi="宋体"/>
          <w:b/>
          <w:bCs/>
          <w:color w:val="000000"/>
          <w:sz w:val="32"/>
        </w:rPr>
        <w:t>：投标供应商</w:t>
      </w:r>
      <w:r>
        <w:rPr>
          <w:rFonts w:hint="eastAsia" w:ascii="宋体" w:hAnsi="宋体"/>
          <w:b/>
          <w:bCs/>
          <w:color w:val="000000"/>
          <w:sz w:val="32"/>
        </w:rPr>
        <w:t>提供的投标资料必须真实完整，如有造假等非法行为，</w:t>
      </w:r>
      <w:r>
        <w:rPr>
          <w:rFonts w:ascii="宋体" w:hAnsi="宋体"/>
          <w:b/>
          <w:bCs/>
          <w:color w:val="000000"/>
          <w:sz w:val="32"/>
        </w:rPr>
        <w:t>一经查实，将</w:t>
      </w:r>
      <w:r>
        <w:rPr>
          <w:rFonts w:hint="eastAsia" w:ascii="宋体" w:hAnsi="宋体"/>
          <w:b/>
          <w:bCs/>
          <w:color w:val="000000"/>
          <w:sz w:val="32"/>
        </w:rPr>
        <w:t>从严从重处理！</w:t>
      </w:r>
    </w:p>
    <w:p>
      <w:pPr>
        <w:spacing w:before="120" w:beforeLines="50" w:after="120" w:afterLines="50"/>
        <w:rPr>
          <w:rFonts w:hint="eastAsia" w:ascii="宋体" w:hAnsi="宋体"/>
          <w:b/>
          <w:bCs/>
          <w:color w:val="000000"/>
          <w:sz w:val="24"/>
        </w:rPr>
      </w:pPr>
      <w:r>
        <w:rPr>
          <w:rFonts w:hint="eastAsia" w:ascii="宋体" w:hAnsi="宋体"/>
          <w:b/>
          <w:bCs/>
          <w:color w:val="000000"/>
          <w:sz w:val="24"/>
        </w:rPr>
        <w:t>说明：技术、商务分的计算</w:t>
      </w:r>
    </w:p>
    <w:p>
      <w:pPr>
        <w:adjustRightInd w:val="0"/>
        <w:snapToGrid w:val="0"/>
        <w:ind w:firstLine="480" w:firstLineChars="200"/>
        <w:rPr>
          <w:rFonts w:hint="eastAsia" w:ascii="宋体" w:hAnsi="宋体"/>
          <w:color w:val="000000"/>
          <w:sz w:val="24"/>
        </w:rPr>
      </w:pPr>
      <w:r>
        <w:rPr>
          <w:rFonts w:hint="eastAsia" w:ascii="宋体" w:hAnsi="宋体"/>
          <w:color w:val="000000"/>
          <w:sz w:val="24"/>
        </w:rPr>
        <w:t>技术、商务分按照评标委员会成员的独立评分结果汇总数的算术平均分计算，计算公式为：</w:t>
      </w:r>
    </w:p>
    <w:p>
      <w:pPr>
        <w:adjustRightInd w:val="0"/>
        <w:snapToGrid w:val="0"/>
        <w:ind w:firstLine="495"/>
        <w:rPr>
          <w:rFonts w:hint="eastAsia" w:ascii="宋体" w:hAnsi="宋体"/>
          <w:color w:val="000000"/>
          <w:sz w:val="24"/>
        </w:rPr>
      </w:pPr>
      <w:r>
        <w:rPr>
          <w:rFonts w:hint="eastAsia" w:ascii="宋体" w:hAnsi="宋体"/>
          <w:color w:val="000000"/>
          <w:sz w:val="24"/>
        </w:rPr>
        <w:t>技术商务资信及其他分=（评标委员会所有成员评分合计数）/（评标委员会组成人员数）</w:t>
      </w:r>
    </w:p>
    <w:p>
      <w:pPr>
        <w:adjustRightInd w:val="0"/>
        <w:snapToGrid w:val="0"/>
        <w:ind w:firstLine="495"/>
        <w:rPr>
          <w:rFonts w:ascii="宋体" w:hAnsi="宋体"/>
          <w:b/>
          <w:bCs/>
          <w:color w:val="000000"/>
          <w:sz w:val="24"/>
        </w:rPr>
      </w:pPr>
      <w:r>
        <w:rPr>
          <w:rFonts w:hint="eastAsia" w:ascii="宋体" w:hAnsi="宋体"/>
          <w:b/>
          <w:bCs/>
          <w:color w:val="000000"/>
          <w:sz w:val="24"/>
        </w:rPr>
        <w:t>二、投标报价（30分）</w:t>
      </w:r>
    </w:p>
    <w:p>
      <w:pPr>
        <w:adjustRightInd w:val="0"/>
        <w:snapToGrid w:val="0"/>
        <w:ind w:firstLine="480" w:firstLineChars="200"/>
        <w:rPr>
          <w:rFonts w:hint="eastAsia" w:ascii="宋体" w:hAnsi="宋体"/>
          <w:color w:val="000000"/>
          <w:sz w:val="24"/>
        </w:rPr>
      </w:pPr>
      <w:r>
        <w:rPr>
          <w:rFonts w:hint="eastAsia" w:ascii="宋体" w:hAnsi="宋体"/>
          <w:color w:val="000000"/>
          <w:sz w:val="24"/>
        </w:rPr>
        <w:t>即满足采购文件要求且投标价格最低的投标报价为评标基准价，其价格分为满分。其他投标供应商的价格分统一按照下列公式计算：</w:t>
      </w:r>
    </w:p>
    <w:p>
      <w:pPr>
        <w:adjustRightInd w:val="0"/>
        <w:snapToGrid w:val="0"/>
        <w:spacing w:line="400" w:lineRule="exact"/>
        <w:rPr>
          <w:rFonts w:hint="eastAsia" w:ascii="宋体" w:hAnsi="宋体"/>
          <w:color w:val="000000"/>
          <w:sz w:val="24"/>
        </w:rPr>
      </w:pPr>
      <w:r>
        <w:rPr>
          <w:rFonts w:hint="eastAsia" w:ascii="宋体" w:hAnsi="宋体"/>
          <w:color w:val="000000"/>
          <w:sz w:val="24"/>
        </w:rPr>
        <w:t>投标报价得分=(评标基准价／投标报价)×30</w:t>
      </w:r>
    </w:p>
    <w:p>
      <w:pPr>
        <w:adjustRightInd w:val="0"/>
        <w:snapToGrid w:val="0"/>
        <w:ind w:firstLine="495"/>
        <w:rPr>
          <w:rFonts w:hint="eastAsia" w:ascii="宋体" w:hAnsi="宋体"/>
          <w:b/>
          <w:bCs/>
          <w:color w:val="000000"/>
          <w:sz w:val="24"/>
        </w:rPr>
      </w:pPr>
      <w:r>
        <w:rPr>
          <w:rFonts w:hint="eastAsia" w:ascii="宋体" w:hAnsi="宋体"/>
          <w:b/>
          <w:bCs/>
          <w:color w:val="000000"/>
          <w:sz w:val="24"/>
        </w:rPr>
        <w:t>三、投标供应商评标综合得分=技术商务分+价格分</w:t>
      </w:r>
    </w:p>
    <w:p>
      <w:pPr>
        <w:pStyle w:val="4"/>
        <w:jc w:val="center"/>
        <w:rPr>
          <w:rFonts w:hint="eastAsia" w:ascii="宋体" w:hAnsi="宋体"/>
          <w:color w:val="000000"/>
          <w:sz w:val="24"/>
        </w:rPr>
      </w:pPr>
      <w:r>
        <w:rPr>
          <w:rFonts w:hint="eastAsia" w:hAnsi="宋体"/>
          <w:color w:val="000000"/>
          <w:sz w:val="30"/>
          <w:szCs w:val="30"/>
        </w:rPr>
        <w:br w:type="page"/>
      </w:r>
      <w:r>
        <w:rPr>
          <w:rFonts w:hint="eastAsia" w:hAnsi="宋体"/>
          <w:color w:val="000000"/>
          <w:sz w:val="30"/>
          <w:szCs w:val="30"/>
        </w:rPr>
        <w:t>第五章  合同主要条款</w:t>
      </w:r>
    </w:p>
    <w:p>
      <w:pPr>
        <w:pStyle w:val="30"/>
        <w:numPr>
          <w:ilvl w:val="0"/>
          <w:numId w:val="0"/>
        </w:numPr>
        <w:tabs>
          <w:tab w:val="left" w:pos="1200"/>
        </w:tabs>
        <w:snapToGrid w:val="0"/>
        <w:spacing w:before="120" w:after="120" w:line="240" w:lineRule="auto"/>
        <w:jc w:val="center"/>
        <w:rPr>
          <w:rFonts w:hint="eastAsia" w:hAnsi="宋体"/>
          <w:color w:val="000000"/>
          <w:sz w:val="21"/>
        </w:rPr>
      </w:pPr>
      <w:r>
        <w:rPr>
          <w:rFonts w:hint="eastAsia" w:hAnsi="宋体"/>
          <w:color w:val="000000"/>
          <w:sz w:val="21"/>
        </w:rPr>
        <w:t>（服务）</w:t>
      </w:r>
    </w:p>
    <w:p>
      <w:pPr>
        <w:pStyle w:val="30"/>
        <w:numPr>
          <w:ilvl w:val="0"/>
          <w:numId w:val="0"/>
        </w:numPr>
        <w:tabs>
          <w:tab w:val="left" w:pos="1200"/>
        </w:tabs>
        <w:snapToGrid w:val="0"/>
        <w:spacing w:before="120" w:after="120" w:line="240" w:lineRule="auto"/>
        <w:rPr>
          <w:rFonts w:hAnsi="宋体"/>
          <w:color w:val="000000"/>
        </w:rPr>
      </w:pPr>
      <w:r>
        <w:rPr>
          <w:rFonts w:hAnsi="宋体"/>
          <w:color w:val="000000"/>
        </w:rPr>
        <w:t>项目名称：                                       项目编号：</w:t>
      </w:r>
    </w:p>
    <w:p>
      <w:pPr>
        <w:pStyle w:val="30"/>
        <w:numPr>
          <w:ilvl w:val="0"/>
          <w:numId w:val="0"/>
        </w:numPr>
        <w:tabs>
          <w:tab w:val="left" w:pos="1200"/>
        </w:tabs>
        <w:snapToGrid w:val="0"/>
        <w:spacing w:before="120" w:after="120" w:line="240" w:lineRule="auto"/>
        <w:rPr>
          <w:rFonts w:hint="eastAsia" w:hAnsi="宋体"/>
          <w:color w:val="000000"/>
        </w:rPr>
      </w:pPr>
      <w:r>
        <w:rPr>
          <w:rFonts w:hint="eastAsia" w:hAnsi="宋体"/>
          <w:color w:val="000000"/>
        </w:rPr>
        <w:t>标项：</w:t>
      </w:r>
    </w:p>
    <w:p>
      <w:pPr>
        <w:pStyle w:val="30"/>
        <w:numPr>
          <w:ilvl w:val="0"/>
          <w:numId w:val="0"/>
        </w:numPr>
        <w:tabs>
          <w:tab w:val="left" w:pos="1200"/>
        </w:tabs>
        <w:snapToGrid w:val="0"/>
        <w:spacing w:before="120" w:after="120" w:line="240" w:lineRule="auto"/>
        <w:rPr>
          <w:rFonts w:hAnsi="宋体"/>
          <w:color w:val="000000"/>
        </w:rPr>
      </w:pPr>
      <w:r>
        <w:rPr>
          <w:rFonts w:hAnsi="宋体"/>
          <w:color w:val="000000"/>
        </w:rPr>
        <w:t>甲方：（买方）</w:t>
      </w:r>
    </w:p>
    <w:p>
      <w:pPr>
        <w:pStyle w:val="30"/>
        <w:numPr>
          <w:ilvl w:val="0"/>
          <w:numId w:val="0"/>
        </w:numPr>
        <w:tabs>
          <w:tab w:val="left" w:pos="1200"/>
        </w:tabs>
        <w:snapToGrid w:val="0"/>
        <w:spacing w:before="120" w:after="120" w:line="240" w:lineRule="auto"/>
        <w:rPr>
          <w:rFonts w:hAnsi="宋体"/>
          <w:color w:val="000000"/>
        </w:rPr>
      </w:pPr>
      <w:r>
        <w:rPr>
          <w:rFonts w:hAnsi="宋体"/>
          <w:color w:val="000000"/>
        </w:rPr>
        <w:t>乙方：（卖方）</w:t>
      </w:r>
    </w:p>
    <w:p>
      <w:pPr>
        <w:pStyle w:val="30"/>
        <w:numPr>
          <w:ilvl w:val="0"/>
          <w:numId w:val="0"/>
        </w:numPr>
        <w:tabs>
          <w:tab w:val="left" w:pos="1200"/>
        </w:tabs>
        <w:snapToGrid w:val="0"/>
        <w:spacing w:before="120" w:after="120" w:line="240" w:lineRule="auto"/>
        <w:ind w:left="120" w:leftChars="57" w:firstLine="468" w:firstLineChars="195"/>
        <w:jc w:val="left"/>
        <w:rPr>
          <w:rFonts w:hAnsi="宋体"/>
          <w:b/>
          <w:color w:val="000000"/>
        </w:rPr>
      </w:pPr>
      <w:r>
        <w:rPr>
          <w:rFonts w:hAnsi="宋体"/>
          <w:color w:val="000000"/>
        </w:rPr>
        <w:t>甲、乙双方根据</w:t>
      </w:r>
      <w:r>
        <w:rPr>
          <w:rFonts w:hint="eastAsia" w:hAnsi="宋体"/>
          <w:color w:val="000000"/>
          <w:u w:val="single"/>
        </w:rPr>
        <w:t>金华市公共资源交易中心浦江县分中心</w:t>
      </w:r>
      <w:r>
        <w:rPr>
          <w:rFonts w:hAnsi="宋体"/>
          <w:color w:val="000000"/>
          <w:u w:val="single"/>
        </w:rPr>
        <w:t>关于</w:t>
      </w:r>
      <w:r>
        <w:rPr>
          <w:rFonts w:hint="eastAsia" w:hAnsi="宋体"/>
          <w:color w:val="000000"/>
          <w:u w:val="single"/>
        </w:rPr>
        <w:t>浦江县                    （</w:t>
      </w:r>
      <w:r>
        <w:rPr>
          <w:rFonts w:hAnsi="宋体"/>
          <w:color w:val="000000"/>
        </w:rPr>
        <w:t>单位</w:t>
      </w:r>
      <w:r>
        <w:rPr>
          <w:rFonts w:hint="eastAsia" w:hAnsi="宋体"/>
          <w:color w:val="000000"/>
        </w:rPr>
        <w:t>名称）</w:t>
      </w:r>
      <w:r>
        <w:rPr>
          <w:rFonts w:hint="eastAsia" w:hAnsi="宋体"/>
          <w:color w:val="000000"/>
          <w:u w:val="single"/>
        </w:rPr>
        <w:t xml:space="preserve">                                   </w:t>
      </w:r>
      <w:r>
        <w:rPr>
          <w:rFonts w:hAnsi="宋体"/>
          <w:color w:val="000000"/>
        </w:rPr>
        <w:t>项目公开招标的结果，签署本合同。</w:t>
      </w: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Ansi="宋体"/>
          <w:b/>
          <w:color w:val="000000"/>
        </w:rPr>
        <w:t>一、</w:t>
      </w:r>
      <w:r>
        <w:rPr>
          <w:rFonts w:hint="eastAsia" w:hAnsi="宋体"/>
          <w:b/>
          <w:color w:val="000000"/>
        </w:rPr>
        <w:t>服务</w:t>
      </w:r>
      <w:r>
        <w:rPr>
          <w:rFonts w:hAnsi="宋体"/>
          <w:b/>
          <w:color w:val="000000"/>
        </w:rPr>
        <w:t>内容</w:t>
      </w:r>
    </w:p>
    <w:p>
      <w:pPr>
        <w:pStyle w:val="30"/>
        <w:numPr>
          <w:ilvl w:val="0"/>
          <w:numId w:val="0"/>
        </w:numPr>
        <w:tabs>
          <w:tab w:val="left" w:pos="1200"/>
        </w:tabs>
        <w:snapToGrid w:val="0"/>
        <w:spacing w:before="120" w:after="120" w:line="240" w:lineRule="auto"/>
        <w:ind w:firstLine="472" w:firstLineChars="196"/>
        <w:rPr>
          <w:rFonts w:hint="eastAsia" w:hAnsi="宋体"/>
          <w:b/>
          <w:color w:val="000000"/>
        </w:rPr>
      </w:pP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Ansi="宋体"/>
          <w:b/>
          <w:color w:val="000000"/>
        </w:rPr>
        <w:t>二、合同金额</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本合同金额为（大写）：____________________________________元（￥_______________元）人民币。</w:t>
      </w: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Ansi="宋体"/>
          <w:b/>
          <w:color w:val="000000"/>
        </w:rPr>
        <w:t>三、技术资料</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1</w:t>
      </w:r>
      <w:r>
        <w:rPr>
          <w:rFonts w:hint="eastAsia" w:hAnsi="宋体"/>
          <w:color w:val="000000"/>
        </w:rPr>
        <w:t>.</w:t>
      </w:r>
      <w:r>
        <w:rPr>
          <w:rFonts w:hAnsi="宋体"/>
          <w:color w:val="000000"/>
        </w:rPr>
        <w:t>乙方应按</w:t>
      </w:r>
      <w:r>
        <w:rPr>
          <w:rFonts w:hint="eastAsia" w:hAnsi="宋体"/>
          <w:color w:val="000000"/>
        </w:rPr>
        <w:t>采购文件</w:t>
      </w:r>
      <w:r>
        <w:rPr>
          <w:rFonts w:hAnsi="宋体"/>
          <w:color w:val="000000"/>
        </w:rPr>
        <w:t>规定的时间向甲方提供使用货物的有关技术资料。</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2</w:t>
      </w:r>
      <w:r>
        <w:rPr>
          <w:rFonts w:hint="eastAsia" w:hAnsi="宋体"/>
          <w:color w:val="000000"/>
        </w:rPr>
        <w:t>.</w:t>
      </w:r>
      <w:r>
        <w:rPr>
          <w:rFonts w:hAnsi="宋体"/>
          <w:color w:val="000000"/>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Ansi="宋体"/>
          <w:b/>
          <w:color w:val="000000"/>
        </w:rPr>
        <w:t>四、知识产权</w:t>
      </w:r>
    </w:p>
    <w:p>
      <w:pPr>
        <w:pStyle w:val="30"/>
        <w:numPr>
          <w:ilvl w:val="0"/>
          <w:numId w:val="0"/>
        </w:numPr>
        <w:tabs>
          <w:tab w:val="left" w:pos="1200"/>
        </w:tabs>
        <w:snapToGrid w:val="0"/>
        <w:spacing w:before="120" w:after="120" w:line="240" w:lineRule="auto"/>
        <w:ind w:firstLine="480" w:firstLineChars="200"/>
        <w:rPr>
          <w:rFonts w:hAnsi="宋体"/>
          <w:bCs/>
          <w:color w:val="000000"/>
        </w:rPr>
      </w:pPr>
      <w:r>
        <w:rPr>
          <w:rFonts w:hAnsi="宋体"/>
          <w:color w:val="000000"/>
        </w:rPr>
        <w:t>乙方应保证所提供的货物或其任何一部分均不会侵犯任何第三方的知识产权</w:t>
      </w:r>
      <w:r>
        <w:rPr>
          <w:rFonts w:hAnsi="宋体"/>
          <w:bCs/>
          <w:color w:val="000000"/>
        </w:rPr>
        <w:t>。</w:t>
      </w: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int="eastAsia" w:hAnsi="宋体"/>
          <w:b/>
          <w:color w:val="000000"/>
        </w:rPr>
        <w:t>五</w:t>
      </w:r>
      <w:r>
        <w:rPr>
          <w:rFonts w:hAnsi="宋体"/>
          <w:b/>
          <w:color w:val="000000"/>
        </w:rPr>
        <w:t>、履约保证金</w:t>
      </w:r>
    </w:p>
    <w:p>
      <w:pPr>
        <w:pStyle w:val="30"/>
        <w:numPr>
          <w:ilvl w:val="0"/>
          <w:numId w:val="0"/>
        </w:numPr>
        <w:tabs>
          <w:tab w:val="left" w:pos="1200"/>
        </w:tabs>
        <w:snapToGrid w:val="0"/>
        <w:spacing w:before="120" w:after="120" w:line="240" w:lineRule="auto"/>
        <w:ind w:firstLine="480" w:firstLineChars="200"/>
        <w:rPr>
          <w:rFonts w:hint="eastAsia" w:hAnsi="宋体"/>
          <w:color w:val="000000"/>
        </w:rPr>
      </w:pPr>
      <w:r>
        <w:rPr>
          <w:rFonts w:hint="eastAsia" w:hAnsi="宋体"/>
          <w:color w:val="000000"/>
        </w:rPr>
        <w:t>乙方以 □支票 □汇票□ 本票 □银行保函 □保险公司出具的保单 □其他非现金形式 提交的方式交纳金额</w:t>
      </w:r>
      <w:r>
        <w:rPr>
          <w:rFonts w:hint="eastAsia" w:hAnsi="宋体"/>
          <w:color w:val="000000"/>
          <w:u w:val="single"/>
        </w:rPr>
        <w:t xml:space="preserve">            </w:t>
      </w:r>
      <w:r>
        <w:rPr>
          <w:rFonts w:hint="eastAsia" w:hAnsi="宋体"/>
          <w:color w:val="000000"/>
        </w:rPr>
        <w:t>元作为本合同的履约保证金（如采购人未要求收取履约保证金的，则本项无须填写）。</w:t>
      </w: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int="eastAsia" w:hAnsi="宋体"/>
          <w:b/>
          <w:color w:val="000000"/>
        </w:rPr>
        <w:t>六、转包或分包</w:t>
      </w:r>
    </w:p>
    <w:p>
      <w:pPr>
        <w:pStyle w:val="6"/>
        <w:snapToGrid w:val="0"/>
        <w:spacing w:line="360" w:lineRule="auto"/>
        <w:rPr>
          <w:rFonts w:hAnsi="宋体"/>
          <w:color w:val="000000"/>
          <w:spacing w:val="0"/>
          <w:sz w:val="24"/>
          <w:szCs w:val="24"/>
        </w:rPr>
      </w:pPr>
      <w:r>
        <w:rPr>
          <w:rFonts w:hint="eastAsia" w:hAnsi="宋体"/>
          <w:color w:val="000000"/>
          <w:spacing w:val="0"/>
          <w:sz w:val="24"/>
          <w:szCs w:val="24"/>
        </w:rPr>
        <w:t>1.本合同范围的服务，应由乙方直接供应，不得转让他人供应；</w:t>
      </w:r>
    </w:p>
    <w:p>
      <w:pPr>
        <w:pStyle w:val="6"/>
        <w:snapToGrid w:val="0"/>
        <w:spacing w:line="360" w:lineRule="auto"/>
        <w:rPr>
          <w:rFonts w:hint="eastAsia" w:hAnsi="宋体"/>
          <w:color w:val="000000"/>
          <w:spacing w:val="0"/>
          <w:sz w:val="24"/>
          <w:szCs w:val="24"/>
        </w:rPr>
      </w:pPr>
      <w:r>
        <w:rPr>
          <w:rFonts w:hint="eastAsia" w:hAnsi="宋体"/>
          <w:color w:val="000000"/>
          <w:spacing w:val="0"/>
          <w:sz w:val="24"/>
          <w:szCs w:val="24"/>
        </w:rPr>
        <w:t>2.除非得到甲方的书面同意，乙方不得将本合同范围的服务全部或部分分包给他人供应；</w:t>
      </w:r>
    </w:p>
    <w:p>
      <w:pPr>
        <w:pStyle w:val="6"/>
        <w:snapToGrid w:val="0"/>
        <w:spacing w:line="360" w:lineRule="auto"/>
        <w:rPr>
          <w:rFonts w:hAnsi="宋体"/>
          <w:color w:val="000000"/>
          <w:sz w:val="24"/>
        </w:rPr>
      </w:pPr>
      <w:r>
        <w:rPr>
          <w:rFonts w:hint="eastAsia" w:hAnsi="宋体"/>
          <w:color w:val="000000"/>
          <w:spacing w:val="0"/>
          <w:sz w:val="24"/>
          <w:szCs w:val="24"/>
        </w:rPr>
        <w:t>3.如有转让和未经甲方同意的分包行为，甲方有权解除合同，没收履约保证金并追究乙方的违约责任。</w:t>
      </w:r>
    </w:p>
    <w:p>
      <w:pPr>
        <w:pStyle w:val="30"/>
        <w:numPr>
          <w:ilvl w:val="0"/>
          <w:numId w:val="0"/>
        </w:numPr>
        <w:tabs>
          <w:tab w:val="left" w:pos="1200"/>
        </w:tabs>
        <w:snapToGrid w:val="0"/>
        <w:spacing w:before="120" w:after="120" w:line="240" w:lineRule="auto"/>
        <w:ind w:left="328" w:leftChars="100" w:hanging="118" w:hangingChars="49"/>
        <w:rPr>
          <w:rFonts w:hint="eastAsia" w:hAnsi="宋体"/>
          <w:color w:val="000000"/>
        </w:rPr>
      </w:pPr>
      <w:r>
        <w:rPr>
          <w:rFonts w:hint="eastAsia" w:hAnsi="宋体"/>
          <w:b/>
          <w:color w:val="000000"/>
        </w:rPr>
        <w:t>七</w:t>
      </w:r>
      <w:r>
        <w:rPr>
          <w:rFonts w:hAnsi="宋体"/>
          <w:b/>
          <w:color w:val="000000"/>
        </w:rPr>
        <w:t>、</w:t>
      </w:r>
      <w:r>
        <w:rPr>
          <w:rFonts w:hint="eastAsia" w:hAnsi="宋体"/>
          <w:b/>
          <w:color w:val="000000"/>
        </w:rPr>
        <w:t>服务期</w:t>
      </w:r>
    </w:p>
    <w:p>
      <w:pPr>
        <w:pStyle w:val="6"/>
        <w:snapToGrid w:val="0"/>
        <w:spacing w:line="360" w:lineRule="auto"/>
        <w:rPr>
          <w:rFonts w:hint="eastAsia" w:hAnsi="宋体"/>
          <w:bCs/>
          <w:color w:val="000000"/>
          <w:spacing w:val="0"/>
          <w:sz w:val="24"/>
          <w:szCs w:val="24"/>
        </w:rPr>
      </w:pPr>
      <w:r>
        <w:rPr>
          <w:rFonts w:hint="eastAsia" w:hAnsi="宋体"/>
          <w:bCs/>
          <w:color w:val="000000"/>
          <w:spacing w:val="0"/>
          <w:sz w:val="24"/>
          <w:szCs w:val="24"/>
        </w:rPr>
        <w:t>1. 项目服务期      年。（自合同签订之日起计）</w:t>
      </w:r>
    </w:p>
    <w:p>
      <w:pPr>
        <w:pStyle w:val="6"/>
        <w:snapToGrid w:val="0"/>
        <w:spacing w:line="360" w:lineRule="auto"/>
        <w:rPr>
          <w:rFonts w:hAnsi="宋体"/>
          <w:b/>
          <w:color w:val="000000"/>
          <w:spacing w:val="0"/>
          <w:sz w:val="24"/>
          <w:szCs w:val="24"/>
        </w:rPr>
      </w:pPr>
      <w:r>
        <w:rPr>
          <w:rFonts w:hint="eastAsia" w:hAnsi="宋体"/>
          <w:b/>
          <w:color w:val="000000"/>
          <w:spacing w:val="0"/>
          <w:sz w:val="24"/>
          <w:szCs w:val="24"/>
        </w:rPr>
        <w:t>八、合同履行时间、履行方式及履行地点</w:t>
      </w:r>
    </w:p>
    <w:p>
      <w:pPr>
        <w:pStyle w:val="6"/>
        <w:snapToGrid w:val="0"/>
        <w:spacing w:line="360" w:lineRule="auto"/>
        <w:rPr>
          <w:rFonts w:hint="eastAsia" w:hAnsi="宋体"/>
          <w:bCs/>
          <w:color w:val="000000"/>
          <w:spacing w:val="0"/>
          <w:sz w:val="24"/>
          <w:szCs w:val="24"/>
        </w:rPr>
      </w:pPr>
      <w:r>
        <w:rPr>
          <w:rFonts w:hint="eastAsia" w:hAnsi="宋体"/>
          <w:bCs/>
          <w:color w:val="000000"/>
          <w:spacing w:val="0"/>
          <w:sz w:val="24"/>
          <w:szCs w:val="24"/>
        </w:rPr>
        <w:t>1. 履行时间：</w:t>
      </w:r>
    </w:p>
    <w:p>
      <w:pPr>
        <w:pStyle w:val="6"/>
        <w:snapToGrid w:val="0"/>
        <w:spacing w:line="360" w:lineRule="auto"/>
        <w:rPr>
          <w:rFonts w:hint="eastAsia" w:hAnsi="宋体"/>
          <w:bCs/>
          <w:color w:val="000000"/>
          <w:spacing w:val="0"/>
          <w:sz w:val="24"/>
          <w:szCs w:val="24"/>
        </w:rPr>
      </w:pPr>
      <w:r>
        <w:rPr>
          <w:rFonts w:hint="eastAsia" w:hAnsi="宋体"/>
          <w:bCs/>
          <w:color w:val="000000"/>
          <w:spacing w:val="0"/>
          <w:sz w:val="24"/>
          <w:szCs w:val="24"/>
        </w:rPr>
        <w:t>2. 履行方式：</w:t>
      </w:r>
    </w:p>
    <w:p>
      <w:pPr>
        <w:pStyle w:val="6"/>
        <w:snapToGrid w:val="0"/>
        <w:spacing w:line="360" w:lineRule="auto"/>
        <w:rPr>
          <w:rFonts w:hint="eastAsia" w:hAnsi="宋体"/>
          <w:b/>
          <w:color w:val="000000"/>
        </w:rPr>
      </w:pPr>
      <w:r>
        <w:rPr>
          <w:rFonts w:hint="eastAsia" w:hAnsi="宋体"/>
          <w:bCs/>
          <w:color w:val="000000"/>
          <w:spacing w:val="0"/>
          <w:sz w:val="24"/>
          <w:szCs w:val="24"/>
        </w:rPr>
        <w:t>3. 履行地点：</w:t>
      </w: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int="eastAsia" w:hAnsi="宋体"/>
          <w:b/>
          <w:color w:val="000000"/>
        </w:rPr>
        <w:t>九</w:t>
      </w:r>
      <w:r>
        <w:rPr>
          <w:rFonts w:hAnsi="宋体"/>
          <w:b/>
          <w:color w:val="000000"/>
        </w:rPr>
        <w:t>、</w:t>
      </w:r>
      <w:r>
        <w:rPr>
          <w:rFonts w:hint="eastAsia" w:hAnsi="宋体"/>
          <w:b/>
          <w:color w:val="000000"/>
        </w:rPr>
        <w:t>款项</w:t>
      </w:r>
      <w:r>
        <w:rPr>
          <w:rFonts w:hAnsi="宋体"/>
          <w:b/>
          <w:color w:val="000000"/>
        </w:rPr>
        <w:t>支付</w:t>
      </w:r>
    </w:p>
    <w:p>
      <w:pPr>
        <w:spacing w:line="400" w:lineRule="exact"/>
        <w:ind w:firstLine="480" w:firstLineChars="200"/>
        <w:rPr>
          <w:rFonts w:hint="eastAsia" w:hAnsi="宋体"/>
          <w:color w:val="000000"/>
          <w:sz w:val="24"/>
        </w:rPr>
      </w:pPr>
      <w:r>
        <w:rPr>
          <w:rFonts w:hint="eastAsia" w:hAnsi="宋体"/>
          <w:color w:val="000000"/>
          <w:sz w:val="24"/>
        </w:rPr>
        <w:t>1.付款方式：</w:t>
      </w:r>
    </w:p>
    <w:p>
      <w:pPr>
        <w:spacing w:line="400" w:lineRule="exact"/>
        <w:ind w:firstLine="480" w:firstLineChars="200"/>
        <w:rPr>
          <w:rFonts w:hint="eastAsia" w:ascii="宋体" w:hAnsi="宋体"/>
          <w:b/>
          <w:color w:val="000000"/>
          <w:sz w:val="24"/>
        </w:rPr>
      </w:pPr>
      <w:r>
        <w:rPr>
          <w:rFonts w:hint="eastAsia" w:ascii="宋体" w:hAnsi="宋体"/>
          <w:bCs/>
          <w:color w:val="000000"/>
          <w:sz w:val="24"/>
        </w:rPr>
        <w:t>2.合同履行完毕，需方根据合同进行验收，验收合格后供应商按财政结算要求办理货款结算手续。</w:t>
      </w:r>
    </w:p>
    <w:p>
      <w:pPr>
        <w:snapToGrid w:val="0"/>
        <w:spacing w:before="120" w:beforeLines="50" w:after="120" w:afterLines="50"/>
        <w:ind w:firstLine="472" w:firstLineChars="196"/>
        <w:rPr>
          <w:rFonts w:ascii="宋体" w:hAnsi="宋体"/>
          <w:b/>
          <w:color w:val="000000"/>
          <w:sz w:val="24"/>
          <w:szCs w:val="20"/>
        </w:rPr>
      </w:pPr>
      <w:r>
        <w:rPr>
          <w:rFonts w:hint="eastAsia" w:ascii="宋体" w:hAnsi="宋体"/>
          <w:b/>
          <w:color w:val="000000"/>
          <w:sz w:val="24"/>
        </w:rPr>
        <w:t>十、税费</w:t>
      </w:r>
    </w:p>
    <w:p>
      <w:pPr>
        <w:snapToGrid w:val="0"/>
        <w:spacing w:before="120" w:beforeLines="50" w:after="120" w:afterLines="50"/>
        <w:ind w:firstLine="480" w:firstLineChars="200"/>
        <w:rPr>
          <w:rFonts w:ascii="宋体" w:hAnsi="宋体"/>
          <w:color w:val="000000"/>
          <w:sz w:val="24"/>
          <w:szCs w:val="20"/>
        </w:rPr>
      </w:pPr>
      <w:r>
        <w:rPr>
          <w:rFonts w:hint="eastAsia" w:ascii="宋体" w:hAnsi="宋体"/>
          <w:color w:val="000000"/>
          <w:sz w:val="24"/>
        </w:rPr>
        <w:t>本合同执行中相关的一切税费均由</w:t>
      </w:r>
      <w:r>
        <w:rPr>
          <w:rFonts w:ascii="宋体" w:hAnsi="宋体"/>
          <w:color w:val="000000"/>
          <w:sz w:val="24"/>
        </w:rPr>
        <w:t>乙</w:t>
      </w:r>
      <w:r>
        <w:rPr>
          <w:rFonts w:hint="eastAsia" w:ascii="宋体" w:hAnsi="宋体"/>
          <w:color w:val="000000"/>
          <w:sz w:val="24"/>
        </w:rPr>
        <w:t>方负担。</w:t>
      </w:r>
    </w:p>
    <w:p>
      <w:pPr>
        <w:pStyle w:val="30"/>
        <w:numPr>
          <w:ilvl w:val="0"/>
          <w:numId w:val="0"/>
        </w:numPr>
        <w:tabs>
          <w:tab w:val="left" w:pos="1200"/>
        </w:tabs>
        <w:snapToGrid w:val="0"/>
        <w:spacing w:before="120" w:after="120" w:line="240" w:lineRule="auto"/>
        <w:ind w:firstLine="472" w:firstLineChars="196"/>
        <w:rPr>
          <w:rFonts w:hAnsi="宋体"/>
          <w:color w:val="000000"/>
        </w:rPr>
      </w:pPr>
      <w:r>
        <w:rPr>
          <w:rFonts w:hAnsi="宋体"/>
          <w:b/>
          <w:color w:val="000000"/>
        </w:rPr>
        <w:t>十</w:t>
      </w:r>
      <w:r>
        <w:rPr>
          <w:rFonts w:hint="eastAsia" w:hAnsi="宋体"/>
          <w:b/>
          <w:color w:val="000000"/>
        </w:rPr>
        <w:t>一</w:t>
      </w:r>
      <w:r>
        <w:rPr>
          <w:rFonts w:hAnsi="宋体"/>
          <w:b/>
          <w:color w:val="000000"/>
        </w:rPr>
        <w:t>、质量保证及售后服务</w:t>
      </w:r>
    </w:p>
    <w:p>
      <w:pPr>
        <w:pStyle w:val="6"/>
        <w:snapToGrid w:val="0"/>
        <w:spacing w:line="360" w:lineRule="auto"/>
        <w:rPr>
          <w:rFonts w:hAnsi="宋体"/>
          <w:color w:val="000000"/>
          <w:spacing w:val="0"/>
          <w:sz w:val="24"/>
          <w:szCs w:val="24"/>
        </w:rPr>
      </w:pPr>
      <w:r>
        <w:rPr>
          <w:rFonts w:hint="eastAsia" w:hAnsi="宋体"/>
          <w:color w:val="000000"/>
          <w:spacing w:val="0"/>
          <w:sz w:val="24"/>
          <w:szCs w:val="24"/>
        </w:rPr>
        <w:t>1. 乙方应按采购文件、投标文件规定向甲方提供服务。</w:t>
      </w:r>
    </w:p>
    <w:p>
      <w:pPr>
        <w:pStyle w:val="6"/>
        <w:snapToGrid w:val="0"/>
        <w:spacing w:line="360" w:lineRule="auto"/>
        <w:rPr>
          <w:rFonts w:hint="eastAsia" w:hAnsi="宋体"/>
          <w:color w:val="000000"/>
          <w:spacing w:val="0"/>
          <w:sz w:val="24"/>
          <w:szCs w:val="24"/>
        </w:rPr>
      </w:pPr>
      <w:r>
        <w:rPr>
          <w:rFonts w:hint="eastAsia" w:hAnsi="宋体"/>
          <w:color w:val="000000"/>
          <w:spacing w:val="0"/>
          <w:sz w:val="24"/>
          <w:szCs w:val="24"/>
        </w:rPr>
        <w:t>2. 乙方提供的服务成果在服务质量保证期内发生故障，乙方应负责免费提供后续服务。对达不到要求者，根据实际情况，经双方协商，可按以下办法处理：</w:t>
      </w:r>
    </w:p>
    <w:p>
      <w:pPr>
        <w:pStyle w:val="6"/>
        <w:snapToGrid w:val="0"/>
        <w:spacing w:line="360" w:lineRule="auto"/>
        <w:rPr>
          <w:rFonts w:hint="eastAsia" w:hAnsi="宋体"/>
          <w:color w:val="000000"/>
          <w:spacing w:val="0"/>
          <w:sz w:val="24"/>
          <w:szCs w:val="24"/>
        </w:rPr>
      </w:pPr>
      <w:r>
        <w:rPr>
          <w:rFonts w:hint="eastAsia" w:hAnsi="宋体"/>
          <w:color w:val="000000"/>
          <w:spacing w:val="0"/>
          <w:sz w:val="24"/>
          <w:szCs w:val="24"/>
        </w:rPr>
        <w:t>⑴重做：由乙方承担所发生的全部费用。</w:t>
      </w:r>
    </w:p>
    <w:p>
      <w:pPr>
        <w:pStyle w:val="6"/>
        <w:snapToGrid w:val="0"/>
        <w:spacing w:line="360" w:lineRule="auto"/>
        <w:rPr>
          <w:rFonts w:hint="eastAsia" w:hAnsi="宋体"/>
          <w:color w:val="000000"/>
          <w:spacing w:val="0"/>
          <w:sz w:val="24"/>
          <w:szCs w:val="24"/>
        </w:rPr>
      </w:pPr>
      <w:r>
        <w:rPr>
          <w:rFonts w:hint="eastAsia" w:hAnsi="宋体"/>
          <w:color w:val="000000"/>
          <w:spacing w:val="0"/>
          <w:sz w:val="24"/>
          <w:szCs w:val="24"/>
        </w:rPr>
        <w:t>⑵贬值处理：由甲乙双方合议定价。</w:t>
      </w:r>
    </w:p>
    <w:p>
      <w:pPr>
        <w:pStyle w:val="6"/>
        <w:snapToGrid w:val="0"/>
        <w:spacing w:line="360" w:lineRule="auto"/>
        <w:rPr>
          <w:rFonts w:hint="eastAsia" w:hAnsi="宋体"/>
          <w:color w:val="000000"/>
          <w:spacing w:val="0"/>
          <w:sz w:val="24"/>
          <w:szCs w:val="24"/>
        </w:rPr>
      </w:pPr>
      <w:r>
        <w:rPr>
          <w:rFonts w:hint="eastAsia" w:hAnsi="宋体"/>
          <w:color w:val="000000"/>
          <w:spacing w:val="0"/>
          <w:sz w:val="24"/>
          <w:szCs w:val="24"/>
        </w:rPr>
        <w:t>⑶解除合同。</w:t>
      </w:r>
    </w:p>
    <w:p>
      <w:pPr>
        <w:pStyle w:val="6"/>
        <w:snapToGrid w:val="0"/>
        <w:spacing w:line="360" w:lineRule="auto"/>
        <w:rPr>
          <w:rFonts w:hint="eastAsia" w:hAnsi="宋体"/>
          <w:color w:val="000000"/>
          <w:spacing w:val="0"/>
          <w:sz w:val="24"/>
          <w:szCs w:val="24"/>
        </w:rPr>
      </w:pPr>
      <w:r>
        <w:rPr>
          <w:rFonts w:hint="eastAsia" w:hAnsi="宋体"/>
          <w:color w:val="000000"/>
          <w:spacing w:val="0"/>
          <w:sz w:val="24"/>
          <w:szCs w:val="24"/>
        </w:rPr>
        <w:t>3. 如在服务过程中发生问题，乙方在接到甲方通知后在   小时内到达甲方现场。</w:t>
      </w: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Ansi="宋体"/>
          <w:b/>
          <w:color w:val="000000"/>
        </w:rPr>
        <w:t>十</w:t>
      </w:r>
      <w:r>
        <w:rPr>
          <w:rFonts w:hint="eastAsia" w:hAnsi="宋体"/>
          <w:b/>
          <w:color w:val="000000"/>
        </w:rPr>
        <w:t>二</w:t>
      </w:r>
      <w:r>
        <w:rPr>
          <w:rFonts w:hAnsi="宋体"/>
          <w:b/>
          <w:color w:val="000000"/>
        </w:rPr>
        <w:t>、违约责任</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1</w:t>
      </w:r>
      <w:r>
        <w:rPr>
          <w:rFonts w:hint="eastAsia" w:hAnsi="宋体"/>
          <w:color w:val="000000"/>
        </w:rPr>
        <w:t>.</w:t>
      </w:r>
      <w:r>
        <w:rPr>
          <w:rFonts w:hAnsi="宋体"/>
          <w:color w:val="000000"/>
        </w:rPr>
        <w:t>甲方无正当理由</w:t>
      </w:r>
      <w:r>
        <w:rPr>
          <w:rFonts w:hint="eastAsia" w:hAnsi="宋体"/>
          <w:color w:val="000000"/>
        </w:rPr>
        <w:t>拒绝接受服务</w:t>
      </w:r>
      <w:r>
        <w:rPr>
          <w:rFonts w:hAnsi="宋体"/>
          <w:color w:val="000000"/>
        </w:rPr>
        <w:t>的，甲方向乙方偿付拒收</w:t>
      </w:r>
      <w:r>
        <w:rPr>
          <w:rFonts w:hint="eastAsia" w:hAnsi="宋体"/>
          <w:color w:val="000000"/>
        </w:rPr>
        <w:t>合同</w:t>
      </w:r>
      <w:r>
        <w:rPr>
          <w:rFonts w:hAnsi="宋体"/>
          <w:color w:val="000000"/>
        </w:rPr>
        <w:t>总值的百分之五违约金。</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2</w:t>
      </w:r>
      <w:r>
        <w:rPr>
          <w:rFonts w:hint="eastAsia" w:hAnsi="宋体"/>
          <w:color w:val="000000"/>
        </w:rPr>
        <w:t>.</w:t>
      </w:r>
      <w:r>
        <w:rPr>
          <w:rFonts w:hAnsi="宋体"/>
          <w:color w:val="000000"/>
        </w:rPr>
        <w:t>甲方无故逾期验收和办理</w:t>
      </w:r>
      <w:r>
        <w:rPr>
          <w:rFonts w:hint="eastAsia" w:hAnsi="宋体"/>
          <w:color w:val="000000"/>
        </w:rPr>
        <w:t>合同款项</w:t>
      </w:r>
      <w:r>
        <w:rPr>
          <w:rFonts w:hAnsi="宋体"/>
          <w:color w:val="000000"/>
        </w:rPr>
        <w:t>支付手续的,甲方应按逾期付款总额每日万分之五向乙方支付违约金。</w:t>
      </w:r>
    </w:p>
    <w:p>
      <w:pPr>
        <w:pStyle w:val="10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或提供服务不符合约定考核分值的，甲方可解除本合同。乙方因未能如期提供服务或因其他违约行为导致甲方解除合同的，乙方应向甲方支付合同总值5%的违约金，如造成甲方损失超过违约金的，超出部分由乙方继续承担赔偿责任。</w:t>
      </w:r>
    </w:p>
    <w:p>
      <w:pPr>
        <w:pStyle w:val="1011"/>
        <w:snapToGrid w:val="0"/>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4、乙方未按法律规定和本合同约定移交相关资料并办理交接手续的，应向甲方支付合同总值5%的违约金。违约金不足以弥补损失，甲方还有权要求乙方赔偿相应损失。</w:t>
      </w:r>
    </w:p>
    <w:p>
      <w:pPr>
        <w:pStyle w:val="1011"/>
        <w:snapToGrid w:val="0"/>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5、乙方未能履行或者未适当履行本合同的约定，导致业主权益受到损害的，应当依法承担相应的法律责任。</w:t>
      </w: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Ansi="宋体"/>
          <w:b/>
          <w:color w:val="000000"/>
        </w:rPr>
        <w:t>十</w:t>
      </w:r>
      <w:r>
        <w:rPr>
          <w:rFonts w:hint="eastAsia" w:hAnsi="宋体"/>
          <w:b/>
          <w:color w:val="000000"/>
        </w:rPr>
        <w:t>三</w:t>
      </w:r>
      <w:r>
        <w:rPr>
          <w:rFonts w:hAnsi="宋体"/>
          <w:b/>
          <w:color w:val="000000"/>
        </w:rPr>
        <w:t>、不可抗力事件处理</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1</w:t>
      </w:r>
      <w:r>
        <w:rPr>
          <w:rFonts w:hint="eastAsia" w:hAnsi="宋体"/>
          <w:color w:val="000000"/>
        </w:rPr>
        <w:t>.</w:t>
      </w:r>
      <w:r>
        <w:rPr>
          <w:rFonts w:hAnsi="宋体"/>
          <w:color w:val="000000"/>
        </w:rPr>
        <w:t xml:space="preserve"> 在合同有效期内，任何一方因不可抗力事件导致不能履行合同，则合同履行期可延长，其延长期与不可抗力影响期相同。</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2</w:t>
      </w:r>
      <w:r>
        <w:rPr>
          <w:rFonts w:hint="eastAsia" w:hAnsi="宋体"/>
          <w:color w:val="000000"/>
        </w:rPr>
        <w:t>.</w:t>
      </w:r>
      <w:r>
        <w:rPr>
          <w:rFonts w:hAnsi="宋体"/>
          <w:color w:val="000000"/>
        </w:rPr>
        <w:t xml:space="preserve"> 不可抗力事件发生后，应立即通知对方，并寄送有关权威机构出具的证明。</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3</w:t>
      </w:r>
      <w:r>
        <w:rPr>
          <w:rFonts w:hint="eastAsia" w:hAnsi="宋体"/>
          <w:color w:val="000000"/>
        </w:rPr>
        <w:t>.</w:t>
      </w:r>
      <w:r>
        <w:rPr>
          <w:rFonts w:hAnsi="宋体"/>
          <w:color w:val="000000"/>
        </w:rPr>
        <w:t xml:space="preserve"> 不可抗力事件延续120天以上，双方应通过友好协商，确定是否继续履行合同。</w:t>
      </w: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Ansi="宋体"/>
          <w:b/>
          <w:color w:val="000000"/>
        </w:rPr>
        <w:t>十</w:t>
      </w:r>
      <w:r>
        <w:rPr>
          <w:rFonts w:hint="eastAsia" w:hAnsi="宋体"/>
          <w:b/>
          <w:color w:val="000000"/>
        </w:rPr>
        <w:t>四</w:t>
      </w:r>
      <w:r>
        <w:rPr>
          <w:rFonts w:hAnsi="宋体"/>
          <w:b/>
          <w:color w:val="000000"/>
        </w:rPr>
        <w:t>、诉讼</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双方在执行合同中所发生的一切争议，应通过协商解决。如协商不成，可向</w:t>
      </w:r>
      <w:r>
        <w:rPr>
          <w:rFonts w:hint="eastAsia" w:hAnsi="宋体"/>
          <w:color w:val="000000"/>
        </w:rPr>
        <w:t>甲方所在</w:t>
      </w:r>
      <w:r>
        <w:rPr>
          <w:rFonts w:hAnsi="宋体"/>
          <w:color w:val="000000"/>
        </w:rPr>
        <w:t>地法院起诉。</w:t>
      </w:r>
    </w:p>
    <w:p>
      <w:pPr>
        <w:pStyle w:val="30"/>
        <w:numPr>
          <w:ilvl w:val="0"/>
          <w:numId w:val="0"/>
        </w:numPr>
        <w:tabs>
          <w:tab w:val="left" w:pos="1200"/>
        </w:tabs>
        <w:snapToGrid w:val="0"/>
        <w:spacing w:before="120" w:after="120" w:line="240" w:lineRule="auto"/>
        <w:ind w:firstLine="472" w:firstLineChars="196"/>
        <w:rPr>
          <w:rFonts w:hAnsi="宋体"/>
          <w:b/>
          <w:color w:val="000000"/>
        </w:rPr>
      </w:pPr>
      <w:r>
        <w:rPr>
          <w:rFonts w:hAnsi="宋体"/>
          <w:b/>
          <w:color w:val="000000"/>
        </w:rPr>
        <w:t>十</w:t>
      </w:r>
      <w:r>
        <w:rPr>
          <w:rFonts w:hint="eastAsia" w:hAnsi="宋体"/>
          <w:b/>
          <w:color w:val="000000"/>
        </w:rPr>
        <w:t>五</w:t>
      </w:r>
      <w:r>
        <w:rPr>
          <w:rFonts w:hAnsi="宋体"/>
          <w:b/>
          <w:color w:val="000000"/>
        </w:rPr>
        <w:t>、合同生效及其它</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1</w:t>
      </w:r>
      <w:r>
        <w:rPr>
          <w:rFonts w:hint="eastAsia" w:hAnsi="宋体"/>
          <w:color w:val="000000"/>
        </w:rPr>
        <w:t>.</w:t>
      </w:r>
      <w:r>
        <w:rPr>
          <w:rFonts w:hAnsi="宋体"/>
          <w:color w:val="000000"/>
        </w:rPr>
        <w:t xml:space="preserve"> 合同经双方法定代表人或授权代表签字并加盖单位公章后生效。</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2</w:t>
      </w:r>
      <w:r>
        <w:rPr>
          <w:rFonts w:hint="eastAsia" w:hAnsi="宋体"/>
          <w:color w:val="000000"/>
        </w:rPr>
        <w:t>.</w:t>
      </w:r>
      <w:r>
        <w:rPr>
          <w:rFonts w:hAnsi="宋体"/>
          <w:color w:val="000000"/>
        </w:rPr>
        <w:t>合同执行中涉及采购资金和采购内容修改或补充的，须经财政部门审批，并签书面补充协议报政府采购监督管理部门备案，方可作为主合同不可分割的一部分。</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3</w:t>
      </w:r>
      <w:r>
        <w:rPr>
          <w:rFonts w:hint="eastAsia" w:hAnsi="宋体"/>
          <w:color w:val="000000"/>
        </w:rPr>
        <w:t>.</w:t>
      </w:r>
      <w:r>
        <w:rPr>
          <w:rFonts w:hint="eastAsia" w:hAnsi="宋体" w:cs="宋体"/>
          <w:color w:val="000000"/>
        </w:rPr>
        <w:t xml:space="preserve"> 采购文件、投标文件及评标过程中形成的文字资料、询标纪要均作为本合同的组成部分，具有同等效力。</w:t>
      </w:r>
      <w:r>
        <w:rPr>
          <w:rFonts w:hAnsi="宋体"/>
          <w:color w:val="000000"/>
        </w:rPr>
        <w:t>本合同未尽事宜，遵照《</w:t>
      </w:r>
      <w:r>
        <w:rPr>
          <w:rFonts w:hint="eastAsia" w:hAnsi="宋体"/>
          <w:color w:val="000000"/>
        </w:rPr>
        <w:t>民法典</w:t>
      </w:r>
      <w:r>
        <w:rPr>
          <w:rFonts w:hAnsi="宋体"/>
          <w:color w:val="000000"/>
        </w:rPr>
        <w:t>》有关条文执行。</w:t>
      </w:r>
    </w:p>
    <w:p>
      <w:pPr>
        <w:pStyle w:val="30"/>
        <w:numPr>
          <w:ilvl w:val="0"/>
          <w:numId w:val="0"/>
        </w:numPr>
        <w:tabs>
          <w:tab w:val="left" w:pos="1200"/>
        </w:tabs>
        <w:snapToGrid w:val="0"/>
        <w:spacing w:before="120" w:after="120" w:line="240" w:lineRule="auto"/>
        <w:ind w:firstLine="480" w:firstLineChars="200"/>
        <w:rPr>
          <w:rFonts w:hAnsi="宋体"/>
          <w:color w:val="000000"/>
        </w:rPr>
      </w:pPr>
      <w:r>
        <w:rPr>
          <w:rFonts w:hAnsi="宋体"/>
          <w:color w:val="000000"/>
        </w:rPr>
        <w:t>4</w:t>
      </w:r>
      <w:r>
        <w:rPr>
          <w:rFonts w:hint="eastAsia" w:hAnsi="宋体"/>
          <w:color w:val="000000"/>
        </w:rPr>
        <w:t>. 本合同正本一式叁份，具有同等法律效力，甲乙双方各执一份，集采机构存档一份。甲方应当在签订合同后通过浙江省政府采购网向政府采购管理部门进行备案。</w:t>
      </w:r>
    </w:p>
    <w:p>
      <w:pPr>
        <w:pStyle w:val="30"/>
        <w:numPr>
          <w:ilvl w:val="0"/>
          <w:numId w:val="0"/>
        </w:numPr>
        <w:tabs>
          <w:tab w:val="left" w:pos="1200"/>
        </w:tabs>
        <w:snapToGrid w:val="0"/>
        <w:spacing w:before="120" w:after="120" w:line="240" w:lineRule="auto"/>
        <w:rPr>
          <w:rFonts w:hint="eastAsia" w:hAnsi="宋体"/>
          <w:color w:val="000000"/>
        </w:rPr>
      </w:pPr>
    </w:p>
    <w:p>
      <w:pPr>
        <w:pStyle w:val="30"/>
        <w:numPr>
          <w:ilvl w:val="0"/>
          <w:numId w:val="0"/>
        </w:numPr>
        <w:snapToGrid w:val="0"/>
        <w:spacing w:before="120" w:after="120" w:line="240" w:lineRule="auto"/>
        <w:ind w:left="851"/>
        <w:rPr>
          <w:rFonts w:hAnsi="宋体"/>
          <w:color w:val="000000"/>
        </w:rPr>
      </w:pPr>
      <w:r>
        <w:rPr>
          <w:rFonts w:hint="eastAsia" w:hAnsi="宋体"/>
          <w:color w:val="000000"/>
        </w:rPr>
        <w:t>甲方：</w:t>
      </w:r>
      <w:r>
        <w:rPr>
          <w:rFonts w:hAnsi="宋体"/>
          <w:color w:val="000000"/>
        </w:rPr>
        <w:t xml:space="preserve">                                    </w:t>
      </w:r>
      <w:r>
        <w:rPr>
          <w:rFonts w:hint="eastAsia" w:hAnsi="宋体"/>
          <w:color w:val="000000"/>
        </w:rPr>
        <w:t>乙方：</w:t>
      </w:r>
    </w:p>
    <w:p>
      <w:pPr>
        <w:pStyle w:val="30"/>
        <w:numPr>
          <w:ilvl w:val="0"/>
          <w:numId w:val="0"/>
        </w:numPr>
        <w:snapToGrid w:val="0"/>
        <w:spacing w:before="120" w:after="120" w:line="240" w:lineRule="auto"/>
        <w:ind w:left="851"/>
        <w:rPr>
          <w:rFonts w:hAnsi="宋体"/>
          <w:color w:val="000000"/>
        </w:rPr>
      </w:pPr>
      <w:r>
        <w:rPr>
          <w:rFonts w:hint="eastAsia" w:hAnsi="宋体"/>
          <w:color w:val="000000"/>
        </w:rPr>
        <w:t>地址：</w:t>
      </w:r>
      <w:r>
        <w:rPr>
          <w:rFonts w:hAnsi="宋体"/>
          <w:color w:val="000000"/>
        </w:rPr>
        <w:t xml:space="preserve">                                    </w:t>
      </w:r>
      <w:r>
        <w:rPr>
          <w:rFonts w:hint="eastAsia" w:hAnsi="宋体"/>
          <w:color w:val="000000"/>
        </w:rPr>
        <w:t>地址：</w:t>
      </w:r>
    </w:p>
    <w:p>
      <w:pPr>
        <w:pStyle w:val="30"/>
        <w:numPr>
          <w:ilvl w:val="0"/>
          <w:numId w:val="0"/>
        </w:numPr>
        <w:snapToGrid w:val="0"/>
        <w:spacing w:before="120" w:after="120" w:line="240" w:lineRule="auto"/>
        <w:ind w:left="851"/>
        <w:rPr>
          <w:rFonts w:hAnsi="宋体"/>
          <w:color w:val="000000"/>
        </w:rPr>
      </w:pPr>
      <w:r>
        <w:rPr>
          <w:rFonts w:hint="eastAsia" w:hAnsi="宋体"/>
          <w:color w:val="000000"/>
        </w:rPr>
        <w:t>法定（授权）代表人：</w:t>
      </w:r>
      <w:r>
        <w:rPr>
          <w:rFonts w:hAnsi="宋体"/>
          <w:color w:val="000000"/>
        </w:rPr>
        <w:t xml:space="preserve">                      </w:t>
      </w:r>
      <w:r>
        <w:rPr>
          <w:rFonts w:hint="eastAsia" w:hAnsi="宋体"/>
          <w:color w:val="000000"/>
        </w:rPr>
        <w:t>法定（授权）代表人：</w:t>
      </w:r>
    </w:p>
    <w:p>
      <w:pPr>
        <w:pStyle w:val="30"/>
        <w:numPr>
          <w:ilvl w:val="0"/>
          <w:numId w:val="0"/>
        </w:numPr>
        <w:snapToGrid w:val="0"/>
        <w:spacing w:before="120" w:after="120" w:line="240" w:lineRule="auto"/>
        <w:ind w:left="851"/>
        <w:rPr>
          <w:rFonts w:hAnsi="宋体"/>
          <w:color w:val="000000"/>
        </w:rPr>
      </w:pPr>
      <w:r>
        <w:rPr>
          <w:rFonts w:hint="eastAsia" w:hAnsi="宋体"/>
          <w:color w:val="000000"/>
        </w:rPr>
        <w:t>电话：</w:t>
      </w:r>
      <w:r>
        <w:rPr>
          <w:rFonts w:hAnsi="宋体"/>
          <w:color w:val="000000"/>
        </w:rPr>
        <w:t xml:space="preserve">                                    </w:t>
      </w:r>
      <w:r>
        <w:rPr>
          <w:rFonts w:hint="eastAsia" w:hAnsi="宋体"/>
          <w:color w:val="000000"/>
        </w:rPr>
        <w:t>电话：</w:t>
      </w:r>
    </w:p>
    <w:p>
      <w:pPr>
        <w:pStyle w:val="30"/>
        <w:numPr>
          <w:ilvl w:val="0"/>
          <w:numId w:val="0"/>
        </w:numPr>
        <w:snapToGrid w:val="0"/>
        <w:spacing w:before="120" w:after="120" w:line="240" w:lineRule="auto"/>
        <w:ind w:left="851"/>
        <w:rPr>
          <w:rFonts w:hAnsi="宋体"/>
          <w:color w:val="000000"/>
        </w:rPr>
      </w:pPr>
      <w:r>
        <w:rPr>
          <w:rFonts w:hint="eastAsia" w:hAnsi="宋体"/>
          <w:color w:val="000000"/>
        </w:rPr>
        <w:t>开户银行：</w:t>
      </w:r>
      <w:r>
        <w:rPr>
          <w:rFonts w:hAnsi="宋体"/>
          <w:color w:val="000000"/>
        </w:rPr>
        <w:t xml:space="preserve">                                </w:t>
      </w:r>
      <w:r>
        <w:rPr>
          <w:rFonts w:hint="eastAsia" w:hAnsi="宋体"/>
          <w:color w:val="000000"/>
        </w:rPr>
        <w:t>开户银行：</w:t>
      </w:r>
    </w:p>
    <w:p>
      <w:pPr>
        <w:pStyle w:val="30"/>
        <w:numPr>
          <w:ilvl w:val="0"/>
          <w:numId w:val="0"/>
        </w:numPr>
        <w:snapToGrid w:val="0"/>
        <w:spacing w:before="120" w:after="120" w:line="240" w:lineRule="auto"/>
        <w:ind w:left="851"/>
        <w:rPr>
          <w:rFonts w:hAnsi="宋体"/>
          <w:color w:val="000000"/>
        </w:rPr>
      </w:pPr>
      <w:r>
        <w:rPr>
          <w:rFonts w:hint="eastAsia" w:hAnsi="宋体"/>
          <w:color w:val="000000"/>
        </w:rPr>
        <w:t>账号：</w:t>
      </w:r>
      <w:r>
        <w:rPr>
          <w:rFonts w:hAnsi="宋体"/>
          <w:color w:val="000000"/>
        </w:rPr>
        <w:t xml:space="preserve">                                    </w:t>
      </w:r>
      <w:r>
        <w:rPr>
          <w:rFonts w:hint="eastAsia" w:hAnsi="宋体"/>
          <w:color w:val="000000"/>
        </w:rPr>
        <w:t>账号：</w:t>
      </w:r>
    </w:p>
    <w:p>
      <w:pPr>
        <w:pStyle w:val="30"/>
        <w:numPr>
          <w:ilvl w:val="0"/>
          <w:numId w:val="0"/>
        </w:numPr>
        <w:tabs>
          <w:tab w:val="left" w:pos="1200"/>
        </w:tabs>
        <w:snapToGrid w:val="0"/>
        <w:spacing w:before="120" w:after="120" w:line="240" w:lineRule="auto"/>
        <w:ind w:firstLine="480" w:firstLineChars="200"/>
        <w:rPr>
          <w:rFonts w:hint="eastAsia" w:hAnsi="宋体"/>
          <w:color w:val="000000"/>
        </w:rPr>
      </w:pPr>
      <w:r>
        <w:rPr>
          <w:rFonts w:hint="eastAsia" w:hAnsi="宋体"/>
          <w:color w:val="000000"/>
        </w:rPr>
        <w:t>签字日期：</w:t>
      </w:r>
      <w:r>
        <w:rPr>
          <w:rFonts w:hAnsi="宋体"/>
          <w:color w:val="000000"/>
        </w:rPr>
        <w:t xml:space="preserve">      </w:t>
      </w:r>
      <w:r>
        <w:rPr>
          <w:rFonts w:hint="eastAsia" w:hAnsi="宋体"/>
          <w:color w:val="000000"/>
        </w:rPr>
        <w:t>年</w:t>
      </w:r>
      <w:r>
        <w:rPr>
          <w:rFonts w:hAnsi="宋体"/>
          <w:color w:val="000000"/>
        </w:rPr>
        <w:t xml:space="preserve">  </w:t>
      </w:r>
      <w:r>
        <w:rPr>
          <w:rFonts w:hint="eastAsia" w:hAnsi="宋体"/>
          <w:color w:val="000000"/>
        </w:rPr>
        <w:t>月</w:t>
      </w:r>
      <w:r>
        <w:rPr>
          <w:rFonts w:hAnsi="宋体"/>
          <w:color w:val="000000"/>
        </w:rPr>
        <w:t xml:space="preserve">  </w:t>
      </w:r>
      <w:r>
        <w:rPr>
          <w:rFonts w:hint="eastAsia" w:hAnsi="宋体"/>
          <w:color w:val="000000"/>
        </w:rPr>
        <w:t>日</w:t>
      </w:r>
      <w:r>
        <w:rPr>
          <w:rFonts w:hAnsi="宋体"/>
          <w:color w:val="000000"/>
        </w:rPr>
        <w:t xml:space="preserve">               </w:t>
      </w:r>
      <w:r>
        <w:rPr>
          <w:rFonts w:hint="eastAsia" w:hAnsi="宋体"/>
          <w:color w:val="000000"/>
        </w:rPr>
        <w:t>签字日期：</w:t>
      </w:r>
      <w:r>
        <w:rPr>
          <w:rFonts w:hAnsi="宋体"/>
          <w:color w:val="000000"/>
        </w:rPr>
        <w:t xml:space="preserve">      </w:t>
      </w:r>
      <w:r>
        <w:rPr>
          <w:rFonts w:hint="eastAsia" w:hAnsi="宋体"/>
          <w:color w:val="000000"/>
        </w:rPr>
        <w:t>年</w:t>
      </w:r>
      <w:r>
        <w:rPr>
          <w:rFonts w:hAnsi="宋体"/>
          <w:color w:val="000000"/>
        </w:rPr>
        <w:t xml:space="preserve">  </w:t>
      </w:r>
      <w:r>
        <w:rPr>
          <w:rFonts w:hint="eastAsia" w:hAnsi="宋体"/>
          <w:color w:val="000000"/>
        </w:rPr>
        <w:t>月</w:t>
      </w:r>
      <w:r>
        <w:rPr>
          <w:rFonts w:hAnsi="宋体"/>
          <w:color w:val="000000"/>
        </w:rPr>
        <w:t xml:space="preserve">  </w:t>
      </w:r>
      <w:r>
        <w:rPr>
          <w:rFonts w:hint="eastAsia" w:hAnsi="宋体"/>
          <w:color w:val="000000"/>
        </w:rPr>
        <w:t>日</w:t>
      </w:r>
    </w:p>
    <w:p>
      <w:pPr>
        <w:pStyle w:val="30"/>
        <w:numPr>
          <w:ilvl w:val="0"/>
          <w:numId w:val="0"/>
        </w:numPr>
        <w:tabs>
          <w:tab w:val="left" w:pos="1200"/>
        </w:tabs>
        <w:snapToGrid w:val="0"/>
        <w:spacing w:before="120" w:after="120" w:line="240" w:lineRule="auto"/>
        <w:rPr>
          <w:rFonts w:hint="eastAsia" w:hAnsi="宋体"/>
          <w:color w:val="000000"/>
        </w:rPr>
      </w:pPr>
    </w:p>
    <w:p>
      <w:pPr>
        <w:pStyle w:val="30"/>
        <w:numPr>
          <w:ilvl w:val="0"/>
          <w:numId w:val="0"/>
        </w:numPr>
        <w:tabs>
          <w:tab w:val="left" w:pos="1200"/>
        </w:tabs>
        <w:snapToGrid w:val="0"/>
        <w:spacing w:before="120" w:after="120" w:line="240" w:lineRule="auto"/>
        <w:ind w:firstLine="240" w:firstLineChars="100"/>
        <w:rPr>
          <w:rFonts w:hint="eastAsia" w:hAnsi="宋体"/>
          <w:color w:val="000000"/>
        </w:rPr>
      </w:pPr>
      <w:r>
        <w:rPr>
          <w:rFonts w:hint="eastAsia" w:hAnsi="宋体"/>
          <w:color w:val="000000"/>
        </w:rPr>
        <w:t>合同见证方（集采机构）:</w:t>
      </w:r>
    </w:p>
    <w:p>
      <w:pPr>
        <w:pStyle w:val="30"/>
        <w:numPr>
          <w:ilvl w:val="0"/>
          <w:numId w:val="0"/>
        </w:numPr>
        <w:tabs>
          <w:tab w:val="left" w:pos="1200"/>
        </w:tabs>
        <w:snapToGrid w:val="0"/>
        <w:spacing w:before="120" w:after="120" w:line="240" w:lineRule="auto"/>
        <w:ind w:firstLine="240" w:firstLineChars="100"/>
        <w:rPr>
          <w:rFonts w:hint="eastAsia" w:hAnsi="宋体"/>
          <w:color w:val="000000"/>
        </w:rPr>
      </w:pPr>
      <w:r>
        <w:rPr>
          <w:rFonts w:hAnsi="宋体"/>
          <w:color w:val="000000"/>
        </w:rPr>
        <w:t>法定</w:t>
      </w:r>
      <w:r>
        <w:rPr>
          <w:rFonts w:hint="eastAsia" w:hAnsi="宋体"/>
          <w:color w:val="000000"/>
        </w:rPr>
        <w:t>（授权）</w:t>
      </w:r>
      <w:r>
        <w:rPr>
          <w:rFonts w:hAnsi="宋体"/>
          <w:color w:val="000000"/>
        </w:rPr>
        <w:t>代表人</w:t>
      </w:r>
      <w:r>
        <w:rPr>
          <w:rFonts w:hint="eastAsia" w:hAnsi="宋体"/>
          <w:color w:val="000000"/>
        </w:rPr>
        <w:t>:</w:t>
      </w:r>
    </w:p>
    <w:p>
      <w:pPr>
        <w:pStyle w:val="30"/>
        <w:numPr>
          <w:ilvl w:val="0"/>
          <w:numId w:val="0"/>
        </w:numPr>
        <w:tabs>
          <w:tab w:val="left" w:pos="1200"/>
        </w:tabs>
        <w:snapToGrid w:val="0"/>
        <w:spacing w:before="120" w:after="120" w:line="240" w:lineRule="auto"/>
        <w:ind w:firstLine="240" w:firstLineChars="100"/>
        <w:rPr>
          <w:rFonts w:hint="eastAsia" w:hAnsi="宋体"/>
          <w:color w:val="000000"/>
        </w:rPr>
      </w:pPr>
      <w:r>
        <w:rPr>
          <w:rFonts w:hint="eastAsia" w:hAnsi="宋体"/>
          <w:color w:val="000000"/>
        </w:rPr>
        <w:t>见证日期:</w:t>
      </w:r>
    </w:p>
    <w:p>
      <w:pPr>
        <w:pStyle w:val="30"/>
        <w:numPr>
          <w:ilvl w:val="0"/>
          <w:numId w:val="0"/>
        </w:numPr>
        <w:tabs>
          <w:tab w:val="left" w:pos="1200"/>
        </w:tabs>
        <w:snapToGrid w:val="0"/>
        <w:spacing w:before="120" w:after="120" w:line="240" w:lineRule="auto"/>
        <w:ind w:firstLine="280" w:firstLineChars="100"/>
        <w:rPr>
          <w:rFonts w:hint="eastAsia" w:hAnsi="宋体"/>
          <w:color w:val="000000"/>
          <w:sz w:val="28"/>
          <w:szCs w:val="28"/>
        </w:rPr>
      </w:pPr>
      <w:r>
        <w:rPr>
          <w:rFonts w:hint="eastAsia" w:hAnsi="宋体"/>
          <w:color w:val="000000"/>
          <w:sz w:val="28"/>
          <w:szCs w:val="28"/>
        </w:rPr>
        <w:t>提醒：政府采购合同双方必须</w:t>
      </w:r>
      <w:r>
        <w:rPr>
          <w:rFonts w:hAnsi="宋体"/>
          <w:color w:val="000000"/>
          <w:sz w:val="28"/>
          <w:szCs w:val="28"/>
        </w:rPr>
        <w:t>盖</w:t>
      </w:r>
      <w:r>
        <w:rPr>
          <w:rFonts w:hAnsi="宋体"/>
          <w:color w:val="000000"/>
          <w:sz w:val="28"/>
          <w:szCs w:val="28"/>
        </w:rPr>
        <w:fldChar w:fldCharType="begin"/>
      </w:r>
      <w:r>
        <w:rPr>
          <w:rFonts w:hAnsi="宋体"/>
          <w:color w:val="000000"/>
          <w:sz w:val="28"/>
          <w:szCs w:val="28"/>
        </w:rPr>
        <w:instrText xml:space="preserve"> HYPERLINK "http://www.baidu.com/s?wd=%E9%AA%91%E7%BC%9D%E7%AB%A0&amp;hl_tag=textlink&amp;tn=SE_hldp01350_v6v6zkg6" \t "_blank" </w:instrText>
      </w:r>
      <w:r>
        <w:rPr>
          <w:rFonts w:hAnsi="宋体"/>
          <w:color w:val="000000"/>
          <w:sz w:val="28"/>
          <w:szCs w:val="28"/>
        </w:rPr>
        <w:fldChar w:fldCharType="separate"/>
      </w:r>
      <w:r>
        <w:rPr>
          <w:rStyle w:val="69"/>
          <w:rFonts w:hAnsi="宋体"/>
          <w:color w:val="000000"/>
          <w:sz w:val="28"/>
          <w:szCs w:val="28"/>
        </w:rPr>
        <w:t>骑缝章</w:t>
      </w:r>
      <w:r>
        <w:rPr>
          <w:rFonts w:hAnsi="宋体"/>
          <w:color w:val="000000"/>
          <w:sz w:val="28"/>
          <w:szCs w:val="28"/>
        </w:rPr>
        <w:fldChar w:fldCharType="end"/>
      </w:r>
      <w:r>
        <w:rPr>
          <w:rFonts w:hint="eastAsia" w:hAnsi="宋体"/>
          <w:color w:val="000000"/>
          <w:sz w:val="28"/>
          <w:szCs w:val="28"/>
        </w:rPr>
        <w:t>。</w:t>
      </w:r>
    </w:p>
    <w:p>
      <w:pPr>
        <w:pStyle w:val="30"/>
        <w:numPr>
          <w:ilvl w:val="0"/>
          <w:numId w:val="0"/>
        </w:numPr>
        <w:tabs>
          <w:tab w:val="left" w:pos="1200"/>
        </w:tabs>
        <w:snapToGrid w:val="0"/>
        <w:spacing w:before="120" w:after="120" w:line="24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24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24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24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24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240" w:lineRule="auto"/>
        <w:jc w:val="center"/>
        <w:rPr>
          <w:rFonts w:hint="eastAsia" w:hAnsi="宋体"/>
          <w:color w:val="000000"/>
          <w:sz w:val="21"/>
        </w:rPr>
      </w:pPr>
    </w:p>
    <w:p>
      <w:pPr>
        <w:pStyle w:val="30"/>
        <w:numPr>
          <w:ilvl w:val="0"/>
          <w:numId w:val="0"/>
        </w:numPr>
        <w:tabs>
          <w:tab w:val="left" w:pos="1200"/>
        </w:tabs>
        <w:snapToGrid w:val="0"/>
        <w:spacing w:before="120" w:after="120" w:line="240" w:lineRule="auto"/>
        <w:jc w:val="center"/>
        <w:rPr>
          <w:rFonts w:hint="eastAsia" w:hAnsi="宋体"/>
          <w:b/>
          <w:color w:val="000000"/>
          <w:sz w:val="30"/>
          <w:szCs w:val="30"/>
        </w:rPr>
      </w:pPr>
      <w:r>
        <w:rPr>
          <w:rFonts w:hint="eastAsia" w:hAnsi="宋体"/>
          <w:b/>
          <w:color w:val="000000"/>
          <w:sz w:val="30"/>
          <w:szCs w:val="30"/>
        </w:rPr>
        <w:t>合同主要条款</w:t>
      </w:r>
    </w:p>
    <w:p>
      <w:pPr>
        <w:pStyle w:val="30"/>
        <w:numPr>
          <w:ilvl w:val="0"/>
          <w:numId w:val="0"/>
        </w:numPr>
        <w:tabs>
          <w:tab w:val="left" w:pos="1200"/>
        </w:tabs>
        <w:snapToGrid w:val="0"/>
        <w:spacing w:before="120" w:after="120" w:line="240" w:lineRule="auto"/>
        <w:jc w:val="center"/>
        <w:rPr>
          <w:rFonts w:hint="eastAsia" w:hAnsi="宋体"/>
          <w:color w:val="000000"/>
          <w:sz w:val="21"/>
        </w:rPr>
      </w:pPr>
      <w:r>
        <w:rPr>
          <w:rFonts w:hint="eastAsia" w:hAnsi="宋体"/>
          <w:color w:val="000000"/>
          <w:sz w:val="21"/>
        </w:rPr>
        <w:t>（货物）</w:t>
      </w:r>
    </w:p>
    <w:p>
      <w:pPr>
        <w:pStyle w:val="30"/>
        <w:numPr>
          <w:ilvl w:val="0"/>
          <w:numId w:val="0"/>
        </w:numPr>
        <w:tabs>
          <w:tab w:val="left" w:pos="1200"/>
        </w:tabs>
        <w:snapToGrid w:val="0"/>
        <w:spacing w:before="120" w:after="120" w:line="276" w:lineRule="auto"/>
        <w:rPr>
          <w:rFonts w:hAnsi="宋体"/>
          <w:color w:val="000000"/>
        </w:rPr>
      </w:pPr>
      <w:r>
        <w:rPr>
          <w:rFonts w:hAnsi="宋体"/>
          <w:color w:val="000000"/>
        </w:rPr>
        <w:t>项目名称：                                       项目编号：</w:t>
      </w:r>
    </w:p>
    <w:p>
      <w:pPr>
        <w:pStyle w:val="30"/>
        <w:numPr>
          <w:ilvl w:val="0"/>
          <w:numId w:val="0"/>
        </w:numPr>
        <w:tabs>
          <w:tab w:val="left" w:pos="1200"/>
        </w:tabs>
        <w:snapToGrid w:val="0"/>
        <w:spacing w:before="120" w:after="120" w:line="276" w:lineRule="auto"/>
        <w:rPr>
          <w:rFonts w:hint="eastAsia" w:hAnsi="宋体"/>
          <w:color w:val="000000"/>
        </w:rPr>
      </w:pPr>
      <w:r>
        <w:rPr>
          <w:rFonts w:hint="eastAsia" w:hAnsi="宋体"/>
          <w:color w:val="000000"/>
        </w:rPr>
        <w:t>标项：</w:t>
      </w:r>
    </w:p>
    <w:p>
      <w:pPr>
        <w:pStyle w:val="30"/>
        <w:numPr>
          <w:ilvl w:val="0"/>
          <w:numId w:val="0"/>
        </w:numPr>
        <w:tabs>
          <w:tab w:val="left" w:pos="1200"/>
        </w:tabs>
        <w:snapToGrid w:val="0"/>
        <w:spacing w:before="120" w:after="120" w:line="276" w:lineRule="auto"/>
        <w:rPr>
          <w:rFonts w:hAnsi="宋体"/>
          <w:color w:val="000000"/>
        </w:rPr>
      </w:pPr>
      <w:r>
        <w:rPr>
          <w:rFonts w:hAnsi="宋体"/>
          <w:color w:val="000000"/>
        </w:rPr>
        <w:t>甲方：（买方）</w:t>
      </w:r>
    </w:p>
    <w:p>
      <w:pPr>
        <w:pStyle w:val="30"/>
        <w:numPr>
          <w:ilvl w:val="0"/>
          <w:numId w:val="0"/>
        </w:numPr>
        <w:tabs>
          <w:tab w:val="left" w:pos="1200"/>
        </w:tabs>
        <w:snapToGrid w:val="0"/>
        <w:spacing w:before="120" w:after="120" w:line="276" w:lineRule="auto"/>
        <w:rPr>
          <w:rFonts w:hAnsi="宋体"/>
          <w:color w:val="000000"/>
        </w:rPr>
      </w:pPr>
      <w:r>
        <w:rPr>
          <w:rFonts w:hAnsi="宋体"/>
          <w:color w:val="000000"/>
        </w:rPr>
        <w:t>乙方：（卖方）</w:t>
      </w:r>
    </w:p>
    <w:p>
      <w:pPr>
        <w:pStyle w:val="6"/>
        <w:snapToGrid w:val="0"/>
        <w:spacing w:line="276" w:lineRule="auto"/>
        <w:ind w:firstLine="480" w:firstLineChars="200"/>
        <w:rPr>
          <w:rFonts w:hAnsi="宋体"/>
          <w:color w:val="000000"/>
          <w:spacing w:val="0"/>
          <w:sz w:val="24"/>
          <w:szCs w:val="24"/>
        </w:rPr>
      </w:pPr>
      <w:r>
        <w:rPr>
          <w:rFonts w:hAnsi="宋体"/>
          <w:color w:val="000000"/>
          <w:spacing w:val="0"/>
          <w:sz w:val="24"/>
          <w:szCs w:val="24"/>
        </w:rPr>
        <w:t>甲、乙双方根据</w:t>
      </w:r>
      <w:r>
        <w:rPr>
          <w:rFonts w:hint="eastAsia" w:hAnsi="宋体"/>
          <w:color w:val="000000"/>
          <w:spacing w:val="0"/>
          <w:sz w:val="24"/>
          <w:szCs w:val="24"/>
          <w:u w:val="single"/>
        </w:rPr>
        <w:t>金华市公共资源交易中心浦江县分中心</w:t>
      </w:r>
      <w:r>
        <w:rPr>
          <w:rFonts w:hAnsi="宋体"/>
          <w:color w:val="000000"/>
          <w:spacing w:val="0"/>
          <w:sz w:val="24"/>
          <w:szCs w:val="24"/>
          <w:u w:val="single"/>
        </w:rPr>
        <w:t>关于</w:t>
      </w:r>
      <w:r>
        <w:rPr>
          <w:rFonts w:hint="eastAsia" w:hAnsi="宋体"/>
          <w:color w:val="000000"/>
          <w:spacing w:val="0"/>
          <w:sz w:val="24"/>
          <w:szCs w:val="24"/>
          <w:u w:val="single"/>
        </w:rPr>
        <w:t xml:space="preserve">                    </w:t>
      </w:r>
      <w:r>
        <w:rPr>
          <w:rFonts w:hint="eastAsia" w:hAnsi="宋体"/>
          <w:color w:val="000000"/>
          <w:spacing w:val="0"/>
          <w:sz w:val="24"/>
          <w:szCs w:val="24"/>
        </w:rPr>
        <w:t>（</w:t>
      </w:r>
      <w:r>
        <w:rPr>
          <w:rFonts w:hAnsi="宋体"/>
          <w:color w:val="000000"/>
          <w:spacing w:val="0"/>
          <w:sz w:val="24"/>
          <w:szCs w:val="24"/>
        </w:rPr>
        <w:t>单位</w:t>
      </w:r>
      <w:r>
        <w:rPr>
          <w:rFonts w:hint="eastAsia" w:hAnsi="宋体"/>
          <w:color w:val="000000"/>
          <w:spacing w:val="0"/>
          <w:sz w:val="24"/>
          <w:szCs w:val="24"/>
        </w:rPr>
        <w:t>名称）</w:t>
      </w:r>
      <w:r>
        <w:rPr>
          <w:rFonts w:hint="eastAsia" w:hAnsi="宋体"/>
          <w:color w:val="000000"/>
          <w:spacing w:val="0"/>
          <w:sz w:val="24"/>
          <w:szCs w:val="24"/>
          <w:u w:val="single"/>
        </w:rPr>
        <w:t xml:space="preserve">                                   </w:t>
      </w:r>
      <w:r>
        <w:rPr>
          <w:rFonts w:hAnsi="宋体"/>
          <w:color w:val="000000"/>
          <w:spacing w:val="0"/>
          <w:sz w:val="24"/>
          <w:szCs w:val="24"/>
        </w:rPr>
        <w:t>项目公开招标的结果，签署本合同。</w:t>
      </w:r>
    </w:p>
    <w:p>
      <w:pPr>
        <w:pStyle w:val="30"/>
        <w:numPr>
          <w:ilvl w:val="0"/>
          <w:numId w:val="0"/>
        </w:numPr>
        <w:tabs>
          <w:tab w:val="left" w:pos="1200"/>
        </w:tabs>
        <w:snapToGrid w:val="0"/>
        <w:spacing w:before="120" w:after="120" w:line="276" w:lineRule="auto"/>
        <w:ind w:firstLine="472" w:firstLineChars="196"/>
        <w:rPr>
          <w:rFonts w:hAnsi="宋体"/>
          <w:b/>
          <w:color w:val="000000"/>
        </w:rPr>
      </w:pPr>
      <w:r>
        <w:rPr>
          <w:rFonts w:hAnsi="宋体"/>
          <w:b/>
          <w:color w:val="000000"/>
        </w:rPr>
        <w:t>一、</w:t>
      </w:r>
      <w:r>
        <w:rPr>
          <w:rFonts w:hint="eastAsia" w:hAnsi="宋体"/>
          <w:b/>
          <w:color w:val="000000"/>
        </w:rPr>
        <w:t>项目</w:t>
      </w:r>
      <w:r>
        <w:rPr>
          <w:rFonts w:hAnsi="宋体"/>
          <w:b/>
          <w:color w:val="000000"/>
        </w:rPr>
        <w:t>内容</w:t>
      </w:r>
    </w:p>
    <w:p>
      <w:pPr>
        <w:pStyle w:val="6"/>
        <w:snapToGrid w:val="0"/>
        <w:spacing w:line="276" w:lineRule="auto"/>
        <w:ind w:firstLine="480" w:firstLineChars="200"/>
        <w:rPr>
          <w:rFonts w:hAnsi="宋体"/>
          <w:color w:val="000000"/>
          <w:spacing w:val="0"/>
          <w:sz w:val="24"/>
          <w:szCs w:val="24"/>
        </w:rPr>
      </w:pPr>
      <w:r>
        <w:rPr>
          <w:rFonts w:hAnsi="宋体"/>
          <w:color w:val="000000"/>
          <w:spacing w:val="0"/>
          <w:sz w:val="24"/>
          <w:szCs w:val="24"/>
        </w:rPr>
        <w:t>1. 货物名称：</w:t>
      </w:r>
    </w:p>
    <w:p>
      <w:pPr>
        <w:pStyle w:val="6"/>
        <w:snapToGrid w:val="0"/>
        <w:spacing w:line="276" w:lineRule="auto"/>
        <w:ind w:firstLine="480" w:firstLineChars="200"/>
        <w:rPr>
          <w:rFonts w:hAnsi="宋体"/>
          <w:color w:val="000000"/>
          <w:spacing w:val="0"/>
          <w:sz w:val="24"/>
          <w:szCs w:val="24"/>
        </w:rPr>
      </w:pPr>
      <w:r>
        <w:rPr>
          <w:rFonts w:hAnsi="宋体"/>
          <w:color w:val="000000"/>
          <w:spacing w:val="0"/>
          <w:sz w:val="24"/>
          <w:szCs w:val="24"/>
        </w:rPr>
        <w:t>2. 型号规格：</w:t>
      </w:r>
    </w:p>
    <w:p>
      <w:pPr>
        <w:pStyle w:val="6"/>
        <w:snapToGrid w:val="0"/>
        <w:spacing w:line="276" w:lineRule="auto"/>
        <w:ind w:firstLine="480" w:firstLineChars="200"/>
        <w:rPr>
          <w:rFonts w:hAnsi="宋体"/>
          <w:color w:val="000000"/>
          <w:spacing w:val="0"/>
          <w:sz w:val="24"/>
          <w:szCs w:val="24"/>
        </w:rPr>
      </w:pPr>
      <w:r>
        <w:rPr>
          <w:rFonts w:hAnsi="宋体"/>
          <w:color w:val="000000"/>
          <w:spacing w:val="0"/>
          <w:sz w:val="24"/>
          <w:szCs w:val="24"/>
        </w:rPr>
        <w:t>3. 技术参数：</w:t>
      </w:r>
    </w:p>
    <w:p>
      <w:pPr>
        <w:pStyle w:val="6"/>
        <w:snapToGrid w:val="0"/>
        <w:spacing w:line="276" w:lineRule="auto"/>
        <w:ind w:firstLine="480" w:firstLineChars="200"/>
        <w:rPr>
          <w:rFonts w:hint="eastAsia" w:hAnsi="宋体"/>
          <w:b/>
          <w:color w:val="000000"/>
        </w:rPr>
      </w:pPr>
      <w:r>
        <w:rPr>
          <w:rFonts w:hAnsi="宋体"/>
          <w:color w:val="000000"/>
          <w:spacing w:val="0"/>
          <w:sz w:val="24"/>
          <w:szCs w:val="24"/>
        </w:rPr>
        <w:t>4. 数量（单位）</w:t>
      </w:r>
      <w:r>
        <w:rPr>
          <w:rFonts w:ascii="Times New Roman" w:hAnsi="Times New Roman"/>
        </w:rPr>
        <w:t>：</w:t>
      </w:r>
    </w:p>
    <w:p>
      <w:pPr>
        <w:pStyle w:val="30"/>
        <w:numPr>
          <w:ilvl w:val="0"/>
          <w:numId w:val="0"/>
        </w:numPr>
        <w:tabs>
          <w:tab w:val="left" w:pos="1200"/>
        </w:tabs>
        <w:snapToGrid w:val="0"/>
        <w:spacing w:before="120" w:after="120" w:line="276" w:lineRule="auto"/>
        <w:ind w:firstLine="472" w:firstLineChars="196"/>
        <w:rPr>
          <w:rFonts w:hAnsi="宋体"/>
          <w:b/>
          <w:color w:val="000000"/>
        </w:rPr>
      </w:pPr>
      <w:r>
        <w:rPr>
          <w:rFonts w:hAnsi="宋体"/>
          <w:b/>
          <w:color w:val="000000"/>
        </w:rPr>
        <w:t>二、合同金额</w:t>
      </w:r>
    </w:p>
    <w:p>
      <w:pPr>
        <w:pStyle w:val="30"/>
        <w:numPr>
          <w:ilvl w:val="0"/>
          <w:numId w:val="0"/>
        </w:numPr>
        <w:tabs>
          <w:tab w:val="left" w:pos="1200"/>
        </w:tabs>
        <w:snapToGrid w:val="0"/>
        <w:spacing w:before="120" w:after="120" w:line="276" w:lineRule="auto"/>
        <w:ind w:firstLine="480" w:firstLineChars="200"/>
        <w:rPr>
          <w:rFonts w:hAnsi="宋体"/>
          <w:color w:val="000000"/>
        </w:rPr>
      </w:pPr>
      <w:r>
        <w:rPr>
          <w:rFonts w:hAnsi="宋体"/>
          <w:color w:val="000000"/>
        </w:rPr>
        <w:t>本合同金额为（大写）：____________________________________元（￥_______________元）人民币。</w:t>
      </w:r>
    </w:p>
    <w:p>
      <w:pPr>
        <w:pStyle w:val="30"/>
        <w:numPr>
          <w:ilvl w:val="0"/>
          <w:numId w:val="0"/>
        </w:numPr>
        <w:tabs>
          <w:tab w:val="left" w:pos="1200"/>
        </w:tabs>
        <w:snapToGrid w:val="0"/>
        <w:spacing w:before="120" w:after="120" w:line="276" w:lineRule="auto"/>
        <w:ind w:firstLine="472" w:firstLineChars="196"/>
        <w:rPr>
          <w:rFonts w:hint="eastAsia" w:hAnsi="宋体"/>
          <w:b/>
          <w:color w:val="000000"/>
        </w:rPr>
      </w:pPr>
      <w:r>
        <w:rPr>
          <w:rFonts w:hAnsi="宋体"/>
          <w:b/>
          <w:color w:val="000000"/>
        </w:rPr>
        <w:t>三、技术资料</w:t>
      </w:r>
    </w:p>
    <w:p>
      <w:pPr>
        <w:pStyle w:val="30"/>
        <w:numPr>
          <w:ilvl w:val="0"/>
          <w:numId w:val="0"/>
        </w:numPr>
        <w:tabs>
          <w:tab w:val="left" w:pos="1200"/>
        </w:tabs>
        <w:snapToGrid w:val="0"/>
        <w:spacing w:before="120" w:after="120" w:line="276" w:lineRule="auto"/>
        <w:ind w:firstLine="470" w:firstLineChars="196"/>
        <w:rPr>
          <w:rFonts w:hint="eastAsia" w:hAnsi="宋体" w:cs="宋体"/>
          <w:color w:val="000000"/>
          <w:kern w:val="0"/>
        </w:rPr>
      </w:pPr>
      <w:r>
        <w:rPr>
          <w:rFonts w:hAnsi="宋体" w:cs="宋体"/>
          <w:color w:val="000000"/>
          <w:kern w:val="0"/>
        </w:rPr>
        <w:t>1</w:t>
      </w:r>
      <w:r>
        <w:rPr>
          <w:rFonts w:hint="eastAsia" w:hAnsi="宋体" w:cs="宋体"/>
          <w:color w:val="000000"/>
          <w:kern w:val="0"/>
        </w:rPr>
        <w:t>.</w:t>
      </w:r>
      <w:r>
        <w:rPr>
          <w:rFonts w:hAnsi="宋体" w:cs="宋体"/>
          <w:color w:val="000000"/>
          <w:kern w:val="0"/>
        </w:rPr>
        <w:t>乙方应按</w:t>
      </w:r>
      <w:r>
        <w:rPr>
          <w:rFonts w:hint="eastAsia" w:hAnsi="宋体" w:cs="宋体"/>
          <w:color w:val="000000"/>
          <w:kern w:val="0"/>
        </w:rPr>
        <w:t>采购文件</w:t>
      </w:r>
      <w:r>
        <w:rPr>
          <w:rFonts w:hAnsi="宋体" w:cs="宋体"/>
          <w:color w:val="000000"/>
          <w:kern w:val="0"/>
        </w:rPr>
        <w:t>规定的时间向甲方提供使用货物的有关技术资料。</w:t>
      </w:r>
    </w:p>
    <w:p>
      <w:pPr>
        <w:pStyle w:val="30"/>
        <w:numPr>
          <w:ilvl w:val="0"/>
          <w:numId w:val="0"/>
        </w:numPr>
        <w:tabs>
          <w:tab w:val="left" w:pos="1200"/>
        </w:tabs>
        <w:snapToGrid w:val="0"/>
        <w:spacing w:before="120" w:after="120" w:line="276" w:lineRule="auto"/>
        <w:ind w:firstLine="470" w:firstLineChars="196"/>
        <w:rPr>
          <w:rFonts w:hAnsi="宋体" w:cs="宋体"/>
          <w:color w:val="000000"/>
          <w:kern w:val="0"/>
        </w:rPr>
      </w:pPr>
      <w:r>
        <w:rPr>
          <w:rFonts w:hAnsi="宋体" w:cs="宋体"/>
          <w:color w:val="000000"/>
          <w:kern w:val="0"/>
        </w:rPr>
        <w:t>2</w:t>
      </w:r>
      <w:r>
        <w:rPr>
          <w:rFonts w:hint="eastAsia" w:hAnsi="宋体" w:cs="宋体"/>
          <w:color w:val="000000"/>
          <w:kern w:val="0"/>
        </w:rPr>
        <w:t>.</w:t>
      </w:r>
      <w:r>
        <w:rPr>
          <w:rFonts w:hAnsi="宋体" w:cs="宋体"/>
          <w:color w:val="000000"/>
          <w:kern w:val="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0"/>
        <w:numPr>
          <w:ilvl w:val="0"/>
          <w:numId w:val="0"/>
        </w:numPr>
        <w:tabs>
          <w:tab w:val="left" w:pos="1200"/>
        </w:tabs>
        <w:snapToGrid w:val="0"/>
        <w:spacing w:before="120" w:after="120" w:line="276" w:lineRule="auto"/>
        <w:ind w:firstLine="472" w:firstLineChars="196"/>
        <w:rPr>
          <w:rFonts w:hAnsi="宋体"/>
          <w:b/>
          <w:color w:val="000000"/>
        </w:rPr>
      </w:pPr>
      <w:r>
        <w:rPr>
          <w:rFonts w:hAnsi="宋体"/>
          <w:b/>
          <w:color w:val="000000"/>
        </w:rPr>
        <w:t>四、知识产权</w:t>
      </w:r>
    </w:p>
    <w:p>
      <w:pPr>
        <w:pStyle w:val="30"/>
        <w:numPr>
          <w:ilvl w:val="0"/>
          <w:numId w:val="0"/>
        </w:numPr>
        <w:tabs>
          <w:tab w:val="left" w:pos="1200"/>
        </w:tabs>
        <w:snapToGrid w:val="0"/>
        <w:spacing w:before="120" w:after="120" w:line="276" w:lineRule="auto"/>
        <w:ind w:firstLine="480" w:firstLineChars="200"/>
        <w:rPr>
          <w:rFonts w:hAnsi="宋体"/>
          <w:bCs/>
          <w:color w:val="000000"/>
        </w:rPr>
      </w:pPr>
      <w:r>
        <w:rPr>
          <w:rFonts w:hAnsi="宋体"/>
          <w:color w:val="000000"/>
        </w:rPr>
        <w:t>乙方应保证所提供的货物或其任何一部分均不会侵犯任何第三方的知识产权</w:t>
      </w:r>
      <w:r>
        <w:rPr>
          <w:rFonts w:hAnsi="宋体"/>
          <w:bCs/>
          <w:color w:val="000000"/>
        </w:rPr>
        <w:t>。</w:t>
      </w:r>
    </w:p>
    <w:p>
      <w:pPr>
        <w:pStyle w:val="30"/>
        <w:numPr>
          <w:ilvl w:val="0"/>
          <w:numId w:val="0"/>
        </w:numPr>
        <w:tabs>
          <w:tab w:val="left" w:pos="1200"/>
        </w:tabs>
        <w:snapToGrid w:val="0"/>
        <w:spacing w:before="120" w:after="120" w:line="276" w:lineRule="auto"/>
        <w:ind w:firstLine="472" w:firstLineChars="196"/>
        <w:rPr>
          <w:rFonts w:hAnsi="宋体"/>
          <w:b/>
          <w:color w:val="000000"/>
        </w:rPr>
      </w:pPr>
      <w:r>
        <w:rPr>
          <w:rFonts w:hint="eastAsia" w:hAnsi="宋体"/>
          <w:b/>
          <w:color w:val="000000"/>
        </w:rPr>
        <w:t>五</w:t>
      </w:r>
      <w:r>
        <w:rPr>
          <w:rFonts w:hAnsi="宋体"/>
          <w:b/>
          <w:color w:val="000000"/>
        </w:rPr>
        <w:t>、履约保证金</w:t>
      </w:r>
    </w:p>
    <w:p>
      <w:pPr>
        <w:pStyle w:val="1011"/>
        <w:snapToGrid w:val="0"/>
        <w:spacing w:line="276" w:lineRule="auto"/>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乙方以 □</w:t>
      </w:r>
      <w:r>
        <w:rPr>
          <w:rFonts w:hint="eastAsia" w:ascii="宋体" w:hAnsi="宋体" w:eastAsia="宋体"/>
          <w:color w:val="000000"/>
          <w:sz w:val="24"/>
          <w:szCs w:val="24"/>
          <w:u w:val="single"/>
          <w:lang w:eastAsia="zh-CN"/>
        </w:rPr>
        <w:t>支票</w:t>
      </w:r>
      <w:r>
        <w:rPr>
          <w:rFonts w:hint="eastAsia" w:ascii="宋体" w:hAnsi="宋体" w:eastAsia="宋体"/>
          <w:color w:val="000000"/>
          <w:sz w:val="24"/>
          <w:szCs w:val="24"/>
          <w:lang w:eastAsia="zh-CN"/>
        </w:rPr>
        <w:t xml:space="preserve"> □</w:t>
      </w:r>
      <w:r>
        <w:rPr>
          <w:rFonts w:hint="eastAsia" w:ascii="宋体" w:hAnsi="宋体" w:eastAsia="宋体"/>
          <w:color w:val="000000"/>
          <w:sz w:val="24"/>
          <w:szCs w:val="24"/>
          <w:u w:val="single"/>
          <w:lang w:eastAsia="zh-CN"/>
        </w:rPr>
        <w:t>汇票</w:t>
      </w:r>
      <w:r>
        <w:rPr>
          <w:rFonts w:hint="eastAsia" w:ascii="宋体" w:hAnsi="宋体" w:eastAsia="宋体"/>
          <w:color w:val="000000"/>
          <w:sz w:val="24"/>
          <w:szCs w:val="24"/>
          <w:lang w:eastAsia="zh-CN"/>
        </w:rPr>
        <w:t xml:space="preserve"> □</w:t>
      </w:r>
      <w:r>
        <w:rPr>
          <w:rFonts w:hint="eastAsia" w:ascii="宋体" w:hAnsi="宋体" w:eastAsia="宋体"/>
          <w:color w:val="000000"/>
          <w:sz w:val="24"/>
          <w:szCs w:val="24"/>
          <w:u w:val="single"/>
          <w:lang w:eastAsia="zh-CN"/>
        </w:rPr>
        <w:t>本票</w:t>
      </w:r>
      <w:r>
        <w:rPr>
          <w:rFonts w:hint="eastAsia" w:ascii="宋体" w:hAnsi="宋体" w:eastAsia="宋体"/>
          <w:color w:val="000000"/>
          <w:sz w:val="24"/>
          <w:szCs w:val="24"/>
          <w:lang w:eastAsia="zh-CN"/>
        </w:rPr>
        <w:t xml:space="preserve"> □</w:t>
      </w:r>
      <w:r>
        <w:rPr>
          <w:rFonts w:hint="eastAsia" w:ascii="宋体" w:hAnsi="宋体" w:eastAsia="宋体"/>
          <w:color w:val="000000"/>
          <w:sz w:val="24"/>
          <w:szCs w:val="24"/>
          <w:u w:val="single"/>
          <w:lang w:eastAsia="zh-CN"/>
        </w:rPr>
        <w:t>银行保函</w:t>
      </w:r>
      <w:r>
        <w:rPr>
          <w:rFonts w:hint="eastAsia" w:ascii="宋体" w:hAnsi="宋体" w:eastAsia="宋体"/>
          <w:color w:val="000000"/>
          <w:sz w:val="24"/>
          <w:szCs w:val="24"/>
          <w:lang w:eastAsia="zh-CN"/>
        </w:rPr>
        <w:t xml:space="preserve"> □</w:t>
      </w:r>
      <w:r>
        <w:rPr>
          <w:rFonts w:hint="eastAsia" w:ascii="宋体" w:hAnsi="宋体" w:eastAsia="宋体"/>
          <w:color w:val="000000"/>
          <w:sz w:val="24"/>
          <w:szCs w:val="24"/>
          <w:u w:val="single"/>
          <w:lang w:eastAsia="zh-CN"/>
        </w:rPr>
        <w:t>保险公司出具的保单</w:t>
      </w:r>
      <w:r>
        <w:rPr>
          <w:rFonts w:hint="eastAsia" w:ascii="宋体" w:hAnsi="宋体" w:eastAsia="宋体"/>
          <w:color w:val="000000"/>
          <w:sz w:val="24"/>
          <w:szCs w:val="24"/>
          <w:lang w:eastAsia="zh-CN"/>
        </w:rPr>
        <w:t xml:space="preserve"> □</w:t>
      </w:r>
      <w:r>
        <w:rPr>
          <w:rFonts w:hint="eastAsia" w:ascii="宋体" w:hAnsi="宋体" w:eastAsia="宋体"/>
          <w:color w:val="000000"/>
          <w:sz w:val="24"/>
          <w:szCs w:val="24"/>
          <w:u w:val="single"/>
          <w:lang w:eastAsia="zh-CN"/>
        </w:rPr>
        <w:t>其他非现金形式</w:t>
      </w:r>
      <w:r>
        <w:rPr>
          <w:rFonts w:hint="eastAsia" w:ascii="宋体" w:hAnsi="宋体" w:eastAsia="宋体"/>
          <w:color w:val="000000"/>
          <w:sz w:val="24"/>
          <w:szCs w:val="24"/>
          <w:lang w:eastAsia="zh-CN"/>
        </w:rPr>
        <w:t xml:space="preserve"> 提交的方式交纳金额</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元作为本合同的履约保证金（如采购人未要求收取履约保证金的，则本项无须填写）。</w:t>
      </w:r>
    </w:p>
    <w:p>
      <w:pPr>
        <w:pStyle w:val="30"/>
        <w:numPr>
          <w:ilvl w:val="0"/>
          <w:numId w:val="0"/>
        </w:numPr>
        <w:tabs>
          <w:tab w:val="left" w:pos="1200"/>
        </w:tabs>
        <w:snapToGrid w:val="0"/>
        <w:spacing w:before="120" w:after="120" w:line="276" w:lineRule="auto"/>
        <w:ind w:firstLine="472" w:firstLineChars="196"/>
        <w:rPr>
          <w:rFonts w:hint="eastAsia" w:hAnsi="宋体"/>
          <w:b/>
          <w:color w:val="000000"/>
        </w:rPr>
      </w:pPr>
      <w:r>
        <w:rPr>
          <w:rFonts w:hint="eastAsia" w:hAnsi="宋体"/>
          <w:b/>
          <w:color w:val="000000"/>
        </w:rPr>
        <w:t>六、转包或分包</w:t>
      </w:r>
    </w:p>
    <w:p>
      <w:pPr>
        <w:pStyle w:val="30"/>
        <w:numPr>
          <w:ilvl w:val="0"/>
          <w:numId w:val="0"/>
        </w:numPr>
        <w:tabs>
          <w:tab w:val="left" w:pos="1200"/>
        </w:tabs>
        <w:snapToGrid w:val="0"/>
        <w:spacing w:before="120" w:after="120" w:line="276" w:lineRule="auto"/>
        <w:ind w:firstLine="470" w:firstLineChars="196"/>
        <w:rPr>
          <w:rFonts w:hint="eastAsia" w:hAnsi="宋体"/>
          <w:color w:val="000000"/>
        </w:rPr>
      </w:pPr>
      <w:r>
        <w:rPr>
          <w:rFonts w:hint="eastAsia" w:hAnsi="宋体"/>
          <w:color w:val="000000"/>
        </w:rPr>
        <w:t>1.本合同范围的服务，应由乙方直接供应，不得转让他人供应；</w:t>
      </w:r>
    </w:p>
    <w:p>
      <w:pPr>
        <w:pStyle w:val="30"/>
        <w:numPr>
          <w:ilvl w:val="0"/>
          <w:numId w:val="0"/>
        </w:numPr>
        <w:tabs>
          <w:tab w:val="left" w:pos="1200"/>
        </w:tabs>
        <w:snapToGrid w:val="0"/>
        <w:spacing w:before="120" w:after="120" w:line="276" w:lineRule="auto"/>
        <w:ind w:firstLine="470" w:firstLineChars="196"/>
        <w:rPr>
          <w:rFonts w:hint="eastAsia" w:hAnsi="宋体"/>
          <w:color w:val="000000"/>
        </w:rPr>
      </w:pPr>
      <w:r>
        <w:rPr>
          <w:rFonts w:hint="eastAsia" w:hAnsi="宋体"/>
          <w:color w:val="000000"/>
        </w:rPr>
        <w:t>2.除非得到甲方的书面同意，乙方不得将本合同范围的服务全部或部分分包给他人供应；</w:t>
      </w:r>
    </w:p>
    <w:p>
      <w:pPr>
        <w:pStyle w:val="30"/>
        <w:numPr>
          <w:ilvl w:val="0"/>
          <w:numId w:val="0"/>
        </w:numPr>
        <w:tabs>
          <w:tab w:val="left" w:pos="1200"/>
        </w:tabs>
        <w:snapToGrid w:val="0"/>
        <w:spacing w:before="120" w:after="120" w:line="276" w:lineRule="auto"/>
        <w:ind w:firstLine="470" w:firstLineChars="196"/>
        <w:rPr>
          <w:rFonts w:hint="eastAsia" w:hAnsi="宋体"/>
          <w:color w:val="000000"/>
        </w:rPr>
      </w:pPr>
      <w:r>
        <w:rPr>
          <w:rFonts w:hint="eastAsia" w:hAnsi="宋体"/>
          <w:color w:val="000000"/>
        </w:rPr>
        <w:t>3.如有转让和未经甲方同意的分包行为，甲方有权解除合同，没收履约保证金并追究乙方的违约责任。</w:t>
      </w:r>
    </w:p>
    <w:p>
      <w:pPr>
        <w:pStyle w:val="30"/>
        <w:numPr>
          <w:ilvl w:val="0"/>
          <w:numId w:val="0"/>
        </w:numPr>
        <w:tabs>
          <w:tab w:val="left" w:pos="1200"/>
        </w:tabs>
        <w:snapToGrid w:val="0"/>
        <w:spacing w:before="120" w:after="120" w:line="276" w:lineRule="auto"/>
        <w:ind w:firstLine="472" w:firstLineChars="196"/>
        <w:rPr>
          <w:rFonts w:hint="eastAsia" w:hAnsi="宋体"/>
          <w:b/>
          <w:color w:val="000000"/>
        </w:rPr>
      </w:pPr>
      <w:r>
        <w:rPr>
          <w:rFonts w:hint="eastAsia" w:hAnsi="宋体"/>
          <w:b/>
          <w:color w:val="000000"/>
        </w:rPr>
        <w:t>七</w:t>
      </w:r>
      <w:r>
        <w:rPr>
          <w:rFonts w:hAnsi="宋体"/>
          <w:b/>
          <w:color w:val="000000"/>
        </w:rPr>
        <w:t>、</w:t>
      </w:r>
      <w:r>
        <w:rPr>
          <w:rFonts w:hint="eastAsia" w:hAnsi="宋体"/>
          <w:b/>
          <w:color w:val="000000"/>
        </w:rPr>
        <w:t>质保期</w:t>
      </w:r>
    </w:p>
    <w:p>
      <w:pPr>
        <w:pStyle w:val="30"/>
        <w:numPr>
          <w:ilvl w:val="0"/>
          <w:numId w:val="0"/>
        </w:numPr>
        <w:tabs>
          <w:tab w:val="left" w:pos="1200"/>
        </w:tabs>
        <w:snapToGrid w:val="0"/>
        <w:spacing w:before="120" w:after="120" w:line="276" w:lineRule="auto"/>
        <w:ind w:firstLine="470" w:firstLineChars="196"/>
        <w:rPr>
          <w:rFonts w:hint="eastAsia" w:ascii="Times New Roman" w:hAnsi="Times New Roman"/>
        </w:rPr>
      </w:pPr>
      <w:r>
        <w:rPr>
          <w:rFonts w:hint="eastAsia" w:hAnsi="宋体"/>
          <w:bCs/>
          <w:color w:val="000000"/>
        </w:rPr>
        <w:t>1. 项目质保期  年。</w:t>
      </w:r>
      <w:r>
        <w:rPr>
          <w:rFonts w:ascii="Times New Roman" w:hAnsi="Times New Roman"/>
        </w:rPr>
        <w:t>（自交货验收合格之日起计）</w:t>
      </w:r>
    </w:p>
    <w:p>
      <w:pPr>
        <w:pStyle w:val="30"/>
        <w:numPr>
          <w:ilvl w:val="0"/>
          <w:numId w:val="0"/>
        </w:numPr>
        <w:tabs>
          <w:tab w:val="left" w:pos="1200"/>
        </w:tabs>
        <w:snapToGrid w:val="0"/>
        <w:spacing w:before="120" w:after="120" w:line="276" w:lineRule="auto"/>
        <w:ind w:firstLine="472" w:firstLineChars="196"/>
        <w:rPr>
          <w:rFonts w:hint="eastAsia" w:hAnsi="宋体"/>
          <w:b/>
          <w:color w:val="000000"/>
        </w:rPr>
      </w:pPr>
      <w:r>
        <w:rPr>
          <w:rFonts w:hint="eastAsia" w:hAnsi="宋体"/>
          <w:b/>
          <w:color w:val="000000"/>
        </w:rPr>
        <w:t>八、</w:t>
      </w:r>
      <w:r>
        <w:rPr>
          <w:rFonts w:hAnsi="宋体"/>
          <w:b/>
          <w:color w:val="000000"/>
        </w:rPr>
        <w:t>交货期、交货方式及交货地点</w:t>
      </w:r>
    </w:p>
    <w:p>
      <w:pPr>
        <w:pStyle w:val="30"/>
        <w:numPr>
          <w:ilvl w:val="0"/>
          <w:numId w:val="0"/>
        </w:numPr>
        <w:tabs>
          <w:tab w:val="left" w:pos="1200"/>
        </w:tabs>
        <w:snapToGrid w:val="0"/>
        <w:spacing w:before="120" w:after="120" w:line="276" w:lineRule="auto"/>
        <w:ind w:firstLine="470" w:firstLineChars="196"/>
        <w:rPr>
          <w:rFonts w:hint="eastAsia" w:hAnsi="宋体"/>
          <w:color w:val="000000"/>
        </w:rPr>
      </w:pPr>
      <w:r>
        <w:rPr>
          <w:rFonts w:hAnsi="宋体"/>
          <w:color w:val="000000"/>
        </w:rPr>
        <w:t xml:space="preserve">1. 交货期： </w:t>
      </w:r>
    </w:p>
    <w:p>
      <w:pPr>
        <w:pStyle w:val="30"/>
        <w:numPr>
          <w:ilvl w:val="0"/>
          <w:numId w:val="0"/>
        </w:numPr>
        <w:tabs>
          <w:tab w:val="left" w:pos="1200"/>
        </w:tabs>
        <w:snapToGrid w:val="0"/>
        <w:spacing w:before="120" w:after="120" w:line="276" w:lineRule="auto"/>
        <w:ind w:firstLine="470" w:firstLineChars="196"/>
        <w:rPr>
          <w:rFonts w:hint="eastAsia" w:hAnsi="宋体"/>
          <w:color w:val="000000"/>
        </w:rPr>
      </w:pPr>
      <w:r>
        <w:rPr>
          <w:rFonts w:hAnsi="宋体"/>
          <w:color w:val="000000"/>
        </w:rPr>
        <w:t>2. 交货方式：</w:t>
      </w:r>
    </w:p>
    <w:p>
      <w:pPr>
        <w:pStyle w:val="30"/>
        <w:numPr>
          <w:ilvl w:val="0"/>
          <w:numId w:val="0"/>
        </w:numPr>
        <w:tabs>
          <w:tab w:val="left" w:pos="1200"/>
        </w:tabs>
        <w:snapToGrid w:val="0"/>
        <w:spacing w:before="120" w:after="120" w:line="276" w:lineRule="auto"/>
        <w:ind w:firstLine="470" w:firstLineChars="196"/>
        <w:rPr>
          <w:rFonts w:hint="eastAsia" w:hAnsi="宋体"/>
          <w:color w:val="000000"/>
        </w:rPr>
      </w:pPr>
      <w:r>
        <w:rPr>
          <w:rFonts w:hAnsi="宋体"/>
          <w:color w:val="000000"/>
        </w:rPr>
        <w:t>3. 交货地点：</w:t>
      </w:r>
    </w:p>
    <w:p>
      <w:pPr>
        <w:pStyle w:val="30"/>
        <w:numPr>
          <w:ilvl w:val="0"/>
          <w:numId w:val="0"/>
        </w:numPr>
        <w:tabs>
          <w:tab w:val="left" w:pos="1200"/>
        </w:tabs>
        <w:snapToGrid w:val="0"/>
        <w:spacing w:before="120" w:after="120" w:line="276" w:lineRule="auto"/>
        <w:ind w:firstLine="472" w:firstLineChars="196"/>
        <w:rPr>
          <w:rFonts w:hint="eastAsia" w:hAnsi="宋体"/>
          <w:b/>
          <w:color w:val="000000"/>
        </w:rPr>
      </w:pPr>
      <w:r>
        <w:rPr>
          <w:rFonts w:hint="eastAsia" w:hAnsi="宋体"/>
          <w:b/>
          <w:color w:val="000000"/>
        </w:rPr>
        <w:t>九</w:t>
      </w:r>
      <w:r>
        <w:rPr>
          <w:rFonts w:hAnsi="宋体"/>
          <w:b/>
          <w:color w:val="000000"/>
        </w:rPr>
        <w:t>、</w:t>
      </w:r>
      <w:r>
        <w:rPr>
          <w:rFonts w:hint="eastAsia" w:hAnsi="宋体"/>
          <w:b/>
          <w:color w:val="000000"/>
        </w:rPr>
        <w:t>款项</w:t>
      </w:r>
      <w:r>
        <w:rPr>
          <w:rFonts w:hAnsi="宋体"/>
          <w:b/>
          <w:color w:val="000000"/>
        </w:rPr>
        <w:t>支付</w:t>
      </w:r>
    </w:p>
    <w:p>
      <w:pPr>
        <w:pStyle w:val="30"/>
        <w:numPr>
          <w:ilvl w:val="0"/>
          <w:numId w:val="0"/>
        </w:numPr>
        <w:tabs>
          <w:tab w:val="left" w:pos="1200"/>
        </w:tabs>
        <w:snapToGrid w:val="0"/>
        <w:spacing w:before="120" w:after="120" w:line="276" w:lineRule="auto"/>
        <w:ind w:firstLine="470" w:firstLineChars="196"/>
        <w:rPr>
          <w:rFonts w:hint="eastAsia"/>
          <w:bCs/>
        </w:rPr>
      </w:pPr>
      <w:r>
        <w:rPr>
          <w:bCs/>
        </w:rPr>
        <w:t>1、付款方式：</w:t>
      </w:r>
    </w:p>
    <w:p>
      <w:pPr>
        <w:pStyle w:val="30"/>
        <w:numPr>
          <w:ilvl w:val="0"/>
          <w:numId w:val="0"/>
        </w:numPr>
        <w:tabs>
          <w:tab w:val="left" w:pos="1200"/>
        </w:tabs>
        <w:snapToGrid w:val="0"/>
        <w:spacing w:before="120" w:after="120" w:line="276" w:lineRule="auto"/>
        <w:ind w:firstLine="470" w:firstLineChars="196"/>
        <w:rPr>
          <w:rFonts w:hint="eastAsia" w:ascii="Times New Roman" w:hAnsi="Times New Roman"/>
          <w:bCs/>
        </w:rPr>
      </w:pPr>
      <w:r>
        <w:rPr>
          <w:rFonts w:ascii="Times New Roman" w:hAnsi="Times New Roman"/>
          <w:bCs/>
        </w:rPr>
        <w:t>2.当采购数量与实际使用数量不一致时，乙方应根据实际使用量供货，合同的最终结算金额按实际使用量乘以成交单价进行计算。</w:t>
      </w:r>
    </w:p>
    <w:p>
      <w:pPr>
        <w:pStyle w:val="30"/>
        <w:numPr>
          <w:ilvl w:val="0"/>
          <w:numId w:val="0"/>
        </w:numPr>
        <w:tabs>
          <w:tab w:val="left" w:pos="1200"/>
        </w:tabs>
        <w:snapToGrid w:val="0"/>
        <w:spacing w:before="120" w:after="120" w:line="276" w:lineRule="auto"/>
        <w:ind w:firstLine="472" w:firstLineChars="196"/>
        <w:rPr>
          <w:rFonts w:hint="eastAsia" w:hAnsi="宋体"/>
          <w:b/>
          <w:color w:val="000000"/>
        </w:rPr>
      </w:pPr>
      <w:r>
        <w:rPr>
          <w:rFonts w:hint="eastAsia" w:hAnsi="宋体"/>
          <w:b/>
          <w:color w:val="000000"/>
        </w:rPr>
        <w:t>十、税费</w:t>
      </w:r>
    </w:p>
    <w:p>
      <w:pPr>
        <w:pStyle w:val="30"/>
        <w:numPr>
          <w:ilvl w:val="0"/>
          <w:numId w:val="0"/>
        </w:numPr>
        <w:tabs>
          <w:tab w:val="left" w:pos="1200"/>
        </w:tabs>
        <w:snapToGrid w:val="0"/>
        <w:spacing w:before="120" w:after="120" w:line="276" w:lineRule="auto"/>
        <w:ind w:firstLine="470" w:firstLineChars="196"/>
        <w:rPr>
          <w:rFonts w:hint="eastAsia" w:hAnsi="宋体"/>
          <w:color w:val="000000"/>
        </w:rPr>
      </w:pPr>
      <w:r>
        <w:rPr>
          <w:rFonts w:hint="eastAsia" w:hAnsi="宋体"/>
          <w:color w:val="000000"/>
        </w:rPr>
        <w:t>本合同执行中相关的一切税费均由</w:t>
      </w:r>
      <w:r>
        <w:rPr>
          <w:rFonts w:hAnsi="宋体"/>
          <w:color w:val="000000"/>
        </w:rPr>
        <w:t>乙</w:t>
      </w:r>
      <w:r>
        <w:rPr>
          <w:rFonts w:hint="eastAsia" w:hAnsi="宋体"/>
          <w:color w:val="000000"/>
        </w:rPr>
        <w:t>方负担。</w:t>
      </w:r>
    </w:p>
    <w:p>
      <w:pPr>
        <w:pStyle w:val="30"/>
        <w:numPr>
          <w:ilvl w:val="0"/>
          <w:numId w:val="0"/>
        </w:numPr>
        <w:tabs>
          <w:tab w:val="left" w:pos="1200"/>
        </w:tabs>
        <w:snapToGrid w:val="0"/>
        <w:spacing w:before="120" w:after="120" w:line="276" w:lineRule="auto"/>
        <w:ind w:firstLine="472" w:firstLineChars="196"/>
        <w:rPr>
          <w:rFonts w:hint="eastAsia" w:hAnsi="宋体"/>
          <w:b/>
          <w:color w:val="000000"/>
        </w:rPr>
      </w:pPr>
      <w:r>
        <w:rPr>
          <w:rFonts w:hAnsi="宋体"/>
          <w:b/>
          <w:color w:val="000000"/>
        </w:rPr>
        <w:t>十</w:t>
      </w:r>
      <w:r>
        <w:rPr>
          <w:rFonts w:hint="eastAsia" w:hAnsi="宋体"/>
          <w:b/>
          <w:color w:val="000000"/>
        </w:rPr>
        <w:t>一</w:t>
      </w:r>
      <w:r>
        <w:rPr>
          <w:rFonts w:hAnsi="宋体"/>
          <w:b/>
          <w:color w:val="000000"/>
        </w:rPr>
        <w:t>、质量保证及售后服务</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1. 乙方应按招标文件规定的货物性能、技术要求、质量标准向甲方提供未经使用的全新产品。</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2. 乙方提供的货物在质保期内因货物本身的质量问题发生故障，乙方应负责免费更换。对达不到技术要求者，根据实际情况，经双方协商，可按以下办法处理：</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hint="eastAsia" w:hAnsi="宋体" w:cs="宋体"/>
        </w:rPr>
        <w:t>⑴</w:t>
      </w:r>
      <w:r>
        <w:rPr>
          <w:rFonts w:ascii="Times New Roman" w:hAnsi="Times New Roman"/>
        </w:rPr>
        <w:t>更换：由乙方承担所发生的全部费用。</w:t>
      </w:r>
    </w:p>
    <w:p>
      <w:pPr>
        <w:pStyle w:val="30"/>
        <w:numPr>
          <w:ilvl w:val="0"/>
          <w:numId w:val="0"/>
        </w:numPr>
        <w:tabs>
          <w:tab w:val="left" w:pos="1200"/>
        </w:tabs>
        <w:snapToGrid w:val="0"/>
        <w:spacing w:before="120" w:after="120" w:line="276" w:lineRule="auto"/>
        <w:ind w:firstLine="480" w:firstLineChars="200"/>
        <w:rPr>
          <w:rFonts w:hint="eastAsia" w:ascii="Times New Roman" w:hAnsi="Times New Roman"/>
        </w:rPr>
      </w:pPr>
      <w:r>
        <w:rPr>
          <w:rFonts w:hint="eastAsia" w:hAnsi="宋体" w:cs="宋体"/>
        </w:rPr>
        <w:t>⑵</w:t>
      </w:r>
      <w:r>
        <w:rPr>
          <w:rFonts w:ascii="Times New Roman" w:hAnsi="Times New Roman"/>
        </w:rPr>
        <w:t>贬值处理：由甲乙双方合议定价。</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hint="eastAsia" w:hAnsi="宋体" w:cs="宋体"/>
        </w:rPr>
        <w:t>⑶</w:t>
      </w:r>
      <w:r>
        <w:rPr>
          <w:rFonts w:ascii="Times New Roman" w:hAnsi="Times New Roman"/>
        </w:rPr>
        <w:t>退货处理：乙方应退还甲方支付的合同款，同时应承担该货物的直接费用（运输、保险、检验、货款利息及银行手续费等）。</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3. 如在使用过程中发生质量问题，乙方在接到甲方通知后在</w:t>
      </w:r>
      <w:r>
        <w:rPr>
          <w:rFonts w:ascii="Times New Roman" w:hAnsi="Times New Roman"/>
          <w:u w:val="single"/>
        </w:rPr>
        <w:t xml:space="preserve">    </w:t>
      </w:r>
      <w:r>
        <w:rPr>
          <w:rFonts w:ascii="Times New Roman" w:hAnsi="Times New Roman"/>
        </w:rPr>
        <w:t>小时内到达甲方现场。</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4. 在质保期内，乙方应对货物出现的质量及安全问题负责处理解决并承担一切费用。</w:t>
      </w:r>
    </w:p>
    <w:p>
      <w:pPr>
        <w:pStyle w:val="30"/>
        <w:numPr>
          <w:ilvl w:val="0"/>
          <w:numId w:val="0"/>
        </w:numPr>
        <w:tabs>
          <w:tab w:val="left" w:pos="1200"/>
        </w:tabs>
        <w:snapToGrid w:val="0"/>
        <w:spacing w:before="120" w:after="120" w:line="276" w:lineRule="auto"/>
        <w:ind w:firstLine="480" w:firstLineChars="200"/>
        <w:rPr>
          <w:rFonts w:hint="eastAsia"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上述的货物免费保修期为</w:t>
      </w:r>
      <w:r>
        <w:rPr>
          <w:rFonts w:ascii="Times New Roman" w:hAnsi="Times New Roman"/>
          <w:u w:val="single"/>
        </w:rPr>
        <w:t xml:space="preserve">      </w:t>
      </w:r>
      <w:r>
        <w:rPr>
          <w:rFonts w:ascii="Times New Roman" w:hAnsi="Times New Roman"/>
        </w:rPr>
        <w:t>年，因人为因素出现的故障不在免费保修范围内。超过保修期的机器设备，终生维修，维修时只收部件成本费。</w:t>
      </w:r>
    </w:p>
    <w:p>
      <w:pPr>
        <w:pStyle w:val="30"/>
        <w:numPr>
          <w:ilvl w:val="0"/>
          <w:numId w:val="0"/>
        </w:numPr>
        <w:tabs>
          <w:tab w:val="left" w:pos="1200"/>
        </w:tabs>
        <w:snapToGrid w:val="0"/>
        <w:spacing w:before="120" w:after="120" w:line="276" w:lineRule="auto"/>
        <w:ind w:firstLine="482" w:firstLineChars="200"/>
        <w:rPr>
          <w:rFonts w:ascii="Times New Roman" w:hAnsi="Times New Roman"/>
        </w:rPr>
      </w:pPr>
      <w:r>
        <w:rPr>
          <w:rFonts w:ascii="Times New Roman" w:hAnsi="Times New Roman"/>
          <w:b/>
        </w:rPr>
        <w:t>十</w:t>
      </w:r>
      <w:r>
        <w:rPr>
          <w:rFonts w:hint="eastAsia" w:ascii="Times New Roman" w:hAnsi="Times New Roman"/>
          <w:b/>
        </w:rPr>
        <w:t>二</w:t>
      </w:r>
      <w:r>
        <w:rPr>
          <w:rFonts w:ascii="Times New Roman" w:hAnsi="Times New Roman"/>
          <w:b/>
        </w:rPr>
        <w:t>、调试和验收</w:t>
      </w:r>
    </w:p>
    <w:p>
      <w:pPr>
        <w:pStyle w:val="30"/>
        <w:numPr>
          <w:ilvl w:val="0"/>
          <w:numId w:val="0"/>
        </w:numPr>
        <w:tabs>
          <w:tab w:val="left" w:pos="1200"/>
        </w:tabs>
        <w:snapToGrid w:val="0"/>
        <w:spacing w:before="120" w:after="120" w:line="276" w:lineRule="auto"/>
        <w:ind w:firstLine="480" w:firstLineChars="200"/>
        <w:jc w:val="left"/>
        <w:rPr>
          <w:rFonts w:ascii="Times New Roman" w:hAnsi="Times New Roman"/>
        </w:rPr>
      </w:pPr>
      <w:r>
        <w:rPr>
          <w:rFonts w:ascii="Times New Roman" w:hAnsi="Times New Roman"/>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2. 乙方交货前应对产品作出全面检查和对验收文件进行整理，并列出清单，作为甲方收货验收和使用的技术条件依据，检验的结果应随货物交甲方。</w:t>
      </w:r>
    </w:p>
    <w:p>
      <w:pPr>
        <w:pStyle w:val="30"/>
        <w:numPr>
          <w:ilvl w:val="0"/>
          <w:numId w:val="0"/>
        </w:numPr>
        <w:tabs>
          <w:tab w:val="left" w:pos="1200"/>
        </w:tabs>
        <w:snapToGrid w:val="0"/>
        <w:spacing w:before="120" w:after="120" w:line="276" w:lineRule="auto"/>
        <w:ind w:firstLine="480" w:firstLineChars="200"/>
        <w:rPr>
          <w:rFonts w:ascii="Times New Roman" w:hAnsi="Times New Roman"/>
          <w:u w:val="single"/>
        </w:rPr>
      </w:pPr>
      <w:r>
        <w:rPr>
          <w:rFonts w:ascii="Times New Roman" w:hAnsi="Times New Roman"/>
        </w:rPr>
        <w:t>3. 甲方对乙方提供的货物在使用前进行调试时，乙方需负责安装并培训甲方的使用操作人员，并协助甲方一起调试，直到符合技术要求，甲方才做最终验收。</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4. 对技术复杂的货物，甲方应请国家认可的专业检测机构参与初步验收及最终验收，并由其出具质量检测报告。</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5. 验收时乙方必须在现场，验收完毕后作出验收结果报告。</w:t>
      </w:r>
    </w:p>
    <w:p>
      <w:pPr>
        <w:pStyle w:val="30"/>
        <w:numPr>
          <w:ilvl w:val="0"/>
          <w:numId w:val="0"/>
        </w:numPr>
        <w:tabs>
          <w:tab w:val="left" w:pos="1200"/>
        </w:tabs>
        <w:snapToGrid w:val="0"/>
        <w:spacing w:before="120" w:after="120" w:line="276" w:lineRule="auto"/>
        <w:ind w:firstLine="472" w:firstLineChars="196"/>
        <w:rPr>
          <w:rFonts w:ascii="Times New Roman" w:hAnsi="Times New Roman"/>
          <w:b/>
        </w:rPr>
      </w:pPr>
      <w:r>
        <w:rPr>
          <w:rFonts w:ascii="Times New Roman" w:hAnsi="Times New Roman"/>
          <w:b/>
        </w:rPr>
        <w:t>十</w:t>
      </w:r>
      <w:r>
        <w:rPr>
          <w:rFonts w:hint="eastAsia" w:ascii="Times New Roman" w:hAnsi="Times New Roman"/>
          <w:b/>
        </w:rPr>
        <w:t>三</w:t>
      </w:r>
      <w:r>
        <w:rPr>
          <w:rFonts w:ascii="Times New Roman" w:hAnsi="Times New Roman"/>
          <w:b/>
        </w:rPr>
        <w:t>、货物包装、发运及运输</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1. 乙方应在货物发运前对其进行满足运输距离、防潮、防震、防锈和防破损装卸等要求包装，以保证货物安全运达甲方指定地点。</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2. 使用说明书、质量检验证明书、随配附件和工具以及清单一并附于货物内。</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3. 乙方在货物发运手续办理完毕后24小时内或货到甲方48小时前通知甲方，以准备接货。</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4. 货物在交付甲方前发生的风险均由乙方负责。</w:t>
      </w:r>
    </w:p>
    <w:p>
      <w:pPr>
        <w:pStyle w:val="30"/>
        <w:numPr>
          <w:ilvl w:val="0"/>
          <w:numId w:val="0"/>
        </w:numPr>
        <w:tabs>
          <w:tab w:val="left" w:pos="1200"/>
        </w:tabs>
        <w:snapToGrid w:val="0"/>
        <w:spacing w:beforeLines="0" w:afterLines="0" w:line="276" w:lineRule="auto"/>
        <w:ind w:right="26" w:firstLine="480" w:firstLineChars="200"/>
        <w:rPr>
          <w:rFonts w:ascii="Times New Roman" w:hAnsi="Times New Roman"/>
        </w:rPr>
      </w:pPr>
      <w:r>
        <w:rPr>
          <w:rFonts w:ascii="Times New Roman" w:hAnsi="Times New Roman"/>
        </w:rPr>
        <w:t>5. 货物在规定的交付期限内由乙方送达甲方指定的地点视为交付，乙方同时需通知甲方货物已送达。</w:t>
      </w:r>
    </w:p>
    <w:p>
      <w:pPr>
        <w:pStyle w:val="30"/>
        <w:numPr>
          <w:ilvl w:val="0"/>
          <w:numId w:val="0"/>
        </w:numPr>
        <w:tabs>
          <w:tab w:val="left" w:pos="1200"/>
        </w:tabs>
        <w:snapToGrid w:val="0"/>
        <w:spacing w:before="120" w:after="120" w:line="276" w:lineRule="auto"/>
        <w:ind w:firstLine="472" w:firstLineChars="196"/>
        <w:rPr>
          <w:rFonts w:ascii="Times New Roman" w:hAnsi="Times New Roman"/>
          <w:b/>
        </w:rPr>
      </w:pPr>
      <w:r>
        <w:rPr>
          <w:rFonts w:ascii="Times New Roman" w:hAnsi="Times New Roman"/>
          <w:b/>
        </w:rPr>
        <w:t>十</w:t>
      </w:r>
      <w:r>
        <w:rPr>
          <w:rFonts w:hint="eastAsia" w:ascii="Times New Roman" w:hAnsi="Times New Roman"/>
          <w:b/>
        </w:rPr>
        <w:t>四</w:t>
      </w:r>
      <w:r>
        <w:rPr>
          <w:rFonts w:ascii="Times New Roman" w:hAnsi="Times New Roman"/>
          <w:b/>
        </w:rPr>
        <w:t>、违约责任</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1. 甲方无正当理由拒收货物的，甲方向乙方偿付拒收货款总值的百分之五违约金。</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2. 甲方无故逾期验收和办理货款支付手续的,甲方应按逾期付款总额每日万分之五向乙方支付违约金。</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0"/>
        <w:numPr>
          <w:ilvl w:val="0"/>
          <w:numId w:val="0"/>
        </w:numPr>
        <w:tabs>
          <w:tab w:val="left" w:pos="1200"/>
        </w:tabs>
        <w:snapToGrid w:val="0"/>
        <w:spacing w:before="120" w:after="120" w:line="276" w:lineRule="auto"/>
        <w:ind w:firstLine="480" w:firstLineChars="200"/>
        <w:rPr>
          <w:rFonts w:ascii="Times New Roman" w:hAnsi="Times New Roman"/>
          <w:b/>
        </w:rPr>
      </w:pPr>
      <w:r>
        <w:rPr>
          <w:rFonts w:ascii="Times New Roman" w:hAnsi="Times New Roman"/>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0"/>
        <w:numPr>
          <w:ilvl w:val="0"/>
          <w:numId w:val="0"/>
        </w:numPr>
        <w:tabs>
          <w:tab w:val="left" w:pos="1200"/>
        </w:tabs>
        <w:snapToGrid w:val="0"/>
        <w:spacing w:before="120" w:after="120" w:line="276" w:lineRule="auto"/>
        <w:ind w:firstLine="472" w:firstLineChars="196"/>
        <w:rPr>
          <w:rFonts w:ascii="Times New Roman" w:hAnsi="Times New Roman"/>
          <w:b/>
        </w:rPr>
      </w:pPr>
      <w:r>
        <w:rPr>
          <w:rFonts w:ascii="Times New Roman" w:hAnsi="Times New Roman"/>
          <w:b/>
        </w:rPr>
        <w:t>十</w:t>
      </w:r>
      <w:r>
        <w:rPr>
          <w:rFonts w:hint="eastAsia" w:ascii="Times New Roman" w:hAnsi="Times New Roman"/>
          <w:b/>
        </w:rPr>
        <w:t>五</w:t>
      </w:r>
      <w:r>
        <w:rPr>
          <w:rFonts w:ascii="Times New Roman" w:hAnsi="Times New Roman"/>
          <w:b/>
        </w:rPr>
        <w:t>、不可抗力事件处理</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1. 在合同有效期内，任何一方因不可抗力事件导致不能履行合同，则合同履行期可延长，其延长期与不可抗力影响期相同。</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2. 不可抗力事件发生后，应立即通知对方，并寄送有关权威机构出具的证明。</w:t>
      </w:r>
    </w:p>
    <w:p>
      <w:pPr>
        <w:pStyle w:val="30"/>
        <w:numPr>
          <w:ilvl w:val="0"/>
          <w:numId w:val="0"/>
        </w:numPr>
        <w:tabs>
          <w:tab w:val="left" w:pos="1200"/>
        </w:tabs>
        <w:snapToGrid w:val="0"/>
        <w:spacing w:before="120" w:after="120" w:line="276" w:lineRule="auto"/>
        <w:ind w:firstLine="480" w:firstLineChars="200"/>
        <w:rPr>
          <w:rFonts w:ascii="Times New Roman" w:hAnsi="Times New Roman"/>
          <w:b/>
        </w:rPr>
      </w:pPr>
      <w:r>
        <w:rPr>
          <w:rFonts w:ascii="Times New Roman" w:hAnsi="Times New Roman"/>
        </w:rPr>
        <w:t>3. 不可抗力事件延续120天以上，双方应通过友好协商，确定是否继续履行合同。</w:t>
      </w:r>
    </w:p>
    <w:p>
      <w:pPr>
        <w:pStyle w:val="30"/>
        <w:numPr>
          <w:ilvl w:val="0"/>
          <w:numId w:val="0"/>
        </w:numPr>
        <w:tabs>
          <w:tab w:val="left" w:pos="1200"/>
        </w:tabs>
        <w:snapToGrid w:val="0"/>
        <w:spacing w:before="120" w:after="120" w:line="276" w:lineRule="auto"/>
        <w:ind w:firstLine="472" w:firstLineChars="196"/>
        <w:rPr>
          <w:rFonts w:ascii="Times New Roman" w:hAnsi="Times New Roman"/>
          <w:b/>
        </w:rPr>
      </w:pPr>
      <w:r>
        <w:rPr>
          <w:rFonts w:ascii="Times New Roman" w:hAnsi="Times New Roman"/>
          <w:b/>
        </w:rPr>
        <w:t>十</w:t>
      </w:r>
      <w:r>
        <w:rPr>
          <w:rFonts w:hint="eastAsia" w:ascii="Times New Roman" w:hAnsi="Times New Roman"/>
          <w:b/>
        </w:rPr>
        <w:t>六</w:t>
      </w:r>
      <w:r>
        <w:rPr>
          <w:rFonts w:ascii="Times New Roman" w:hAnsi="Times New Roman"/>
          <w:b/>
        </w:rPr>
        <w:t>、诉讼</w:t>
      </w:r>
    </w:p>
    <w:p>
      <w:pPr>
        <w:pStyle w:val="30"/>
        <w:numPr>
          <w:ilvl w:val="0"/>
          <w:numId w:val="0"/>
        </w:numPr>
        <w:tabs>
          <w:tab w:val="left" w:pos="1200"/>
        </w:tabs>
        <w:snapToGrid w:val="0"/>
        <w:spacing w:before="120" w:after="120" w:line="276" w:lineRule="auto"/>
        <w:ind w:firstLine="480" w:firstLineChars="200"/>
        <w:rPr>
          <w:rFonts w:ascii="Times New Roman" w:hAnsi="Times New Roman"/>
          <w:b/>
        </w:rPr>
      </w:pPr>
      <w:r>
        <w:rPr>
          <w:rFonts w:ascii="Times New Roman" w:hAnsi="Times New Roman"/>
        </w:rPr>
        <w:t>双方在执行合同中所发生的一切争议，应通过协商解决。如协商不成，可向甲方所在地法院起诉。</w:t>
      </w:r>
    </w:p>
    <w:p>
      <w:pPr>
        <w:pStyle w:val="30"/>
        <w:numPr>
          <w:ilvl w:val="0"/>
          <w:numId w:val="0"/>
        </w:numPr>
        <w:tabs>
          <w:tab w:val="left" w:pos="1200"/>
        </w:tabs>
        <w:snapToGrid w:val="0"/>
        <w:spacing w:before="120" w:after="120" w:line="276" w:lineRule="auto"/>
        <w:ind w:firstLine="472" w:firstLineChars="196"/>
        <w:rPr>
          <w:rFonts w:ascii="Times New Roman" w:hAnsi="Times New Roman"/>
          <w:b/>
        </w:rPr>
      </w:pPr>
      <w:r>
        <w:rPr>
          <w:rFonts w:ascii="Times New Roman" w:hAnsi="Times New Roman"/>
          <w:b/>
        </w:rPr>
        <w:t>十</w:t>
      </w:r>
      <w:r>
        <w:rPr>
          <w:rFonts w:hint="eastAsia" w:ascii="Times New Roman" w:hAnsi="Times New Roman"/>
          <w:b/>
        </w:rPr>
        <w:t>七</w:t>
      </w:r>
      <w:r>
        <w:rPr>
          <w:rFonts w:ascii="Times New Roman" w:hAnsi="Times New Roman"/>
          <w:b/>
        </w:rPr>
        <w:t>、合同生效及其它</w:t>
      </w:r>
    </w:p>
    <w:p>
      <w:pPr>
        <w:pStyle w:val="30"/>
        <w:numPr>
          <w:ilvl w:val="0"/>
          <w:numId w:val="0"/>
        </w:numPr>
        <w:tabs>
          <w:tab w:val="left" w:pos="1200"/>
        </w:tabs>
        <w:snapToGrid w:val="0"/>
        <w:spacing w:before="120" w:after="120" w:line="276" w:lineRule="auto"/>
        <w:ind w:firstLine="480" w:firstLineChars="200"/>
        <w:rPr>
          <w:rFonts w:hint="eastAsia" w:ascii="Times New Roman" w:hAnsi="Times New Roman"/>
        </w:rPr>
      </w:pPr>
      <w:r>
        <w:rPr>
          <w:rFonts w:ascii="Times New Roman" w:hAnsi="Times New Roman"/>
        </w:rPr>
        <w:t>1. 合同经双方法定代表人或授权代表签字并加盖单位公章后生效。</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合同执行中涉及采购资金和采购内容修改或补充的，须经财政部门审批，并签书面补充协议报政府采购监督管理部门备案，方可作为主合同不可分割的一部分。</w:t>
      </w:r>
    </w:p>
    <w:p>
      <w:pPr>
        <w:pStyle w:val="30"/>
        <w:numPr>
          <w:ilvl w:val="0"/>
          <w:numId w:val="0"/>
        </w:numPr>
        <w:tabs>
          <w:tab w:val="left" w:pos="1200"/>
        </w:tabs>
        <w:snapToGrid w:val="0"/>
        <w:spacing w:before="120" w:after="120" w:line="276" w:lineRule="auto"/>
        <w:ind w:firstLine="480" w:firstLineChars="200"/>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本合同未尽事宜，遵照《</w:t>
      </w:r>
      <w:r>
        <w:rPr>
          <w:rFonts w:hint="eastAsia" w:ascii="Times New Roman" w:hAnsi="Times New Roman"/>
        </w:rPr>
        <w:t>民法典</w:t>
      </w:r>
      <w:r>
        <w:rPr>
          <w:rFonts w:ascii="Times New Roman" w:hAnsi="Times New Roman"/>
        </w:rPr>
        <w:t>》有关条文执行。</w:t>
      </w:r>
    </w:p>
    <w:p>
      <w:pPr>
        <w:pStyle w:val="30"/>
        <w:numPr>
          <w:ilvl w:val="0"/>
          <w:numId w:val="0"/>
        </w:numPr>
        <w:tabs>
          <w:tab w:val="left" w:pos="1200"/>
        </w:tabs>
        <w:snapToGrid w:val="0"/>
        <w:spacing w:before="120" w:after="120" w:line="276" w:lineRule="auto"/>
        <w:ind w:firstLine="480" w:firstLineChars="200"/>
        <w:rPr>
          <w:rFonts w:hAnsi="宋体"/>
          <w:color w:val="000000"/>
        </w:rPr>
      </w:pPr>
      <w:r>
        <w:rPr>
          <w:rFonts w:hint="eastAsia" w:hAnsi="宋体"/>
        </w:rPr>
        <w:t>4.</w:t>
      </w:r>
      <w:r>
        <w:rPr>
          <w:rFonts w:hint="eastAsia" w:ascii="Times New Roman" w:hAnsi="Times New Roman"/>
        </w:rPr>
        <w:t>本合同正本一式叁份，具有同等法律效力，甲乙双方各执一份，采购代理机构存档一份。甲方应当在签订合同后通过浙江省政府采购网向政府采购管理部门进行备案。</w:t>
      </w:r>
    </w:p>
    <w:p>
      <w:pPr>
        <w:pStyle w:val="30"/>
        <w:numPr>
          <w:ilvl w:val="0"/>
          <w:numId w:val="0"/>
        </w:numPr>
        <w:snapToGrid w:val="0"/>
        <w:spacing w:before="120" w:after="120" w:line="276" w:lineRule="auto"/>
        <w:ind w:firstLine="480" w:firstLineChars="200"/>
        <w:rPr>
          <w:rFonts w:hAnsi="宋体"/>
          <w:color w:val="000000"/>
        </w:rPr>
      </w:pPr>
      <w:r>
        <w:rPr>
          <w:rFonts w:hint="eastAsia" w:hAnsi="宋体"/>
          <w:color w:val="000000"/>
        </w:rPr>
        <w:t>甲方：</w:t>
      </w:r>
      <w:r>
        <w:rPr>
          <w:rFonts w:hAnsi="宋体"/>
          <w:color w:val="000000"/>
        </w:rPr>
        <w:t xml:space="preserve">                                    </w:t>
      </w:r>
      <w:r>
        <w:rPr>
          <w:rFonts w:hint="eastAsia" w:hAnsi="宋体"/>
          <w:color w:val="000000"/>
        </w:rPr>
        <w:t>乙方：</w:t>
      </w:r>
    </w:p>
    <w:p>
      <w:pPr>
        <w:pStyle w:val="30"/>
        <w:numPr>
          <w:ilvl w:val="0"/>
          <w:numId w:val="0"/>
        </w:numPr>
        <w:snapToGrid w:val="0"/>
        <w:spacing w:before="120" w:after="120" w:line="276" w:lineRule="auto"/>
        <w:ind w:firstLine="480" w:firstLineChars="200"/>
        <w:rPr>
          <w:rFonts w:hint="eastAsia" w:hAnsi="宋体"/>
          <w:color w:val="000000"/>
        </w:rPr>
      </w:pPr>
      <w:r>
        <w:rPr>
          <w:rFonts w:hint="eastAsia" w:hAnsi="宋体"/>
          <w:color w:val="000000"/>
        </w:rPr>
        <w:t>地址：</w:t>
      </w:r>
      <w:r>
        <w:rPr>
          <w:rFonts w:hAnsi="宋体"/>
          <w:color w:val="000000"/>
        </w:rPr>
        <w:t xml:space="preserve">                                    </w:t>
      </w:r>
      <w:r>
        <w:rPr>
          <w:rFonts w:hint="eastAsia" w:hAnsi="宋体"/>
          <w:color w:val="000000"/>
        </w:rPr>
        <w:t>地址：</w:t>
      </w:r>
    </w:p>
    <w:p>
      <w:pPr>
        <w:pStyle w:val="30"/>
        <w:numPr>
          <w:ilvl w:val="0"/>
          <w:numId w:val="0"/>
        </w:numPr>
        <w:snapToGrid w:val="0"/>
        <w:spacing w:before="120" w:after="120" w:line="276" w:lineRule="auto"/>
        <w:ind w:firstLine="480" w:firstLineChars="200"/>
        <w:rPr>
          <w:rFonts w:hint="eastAsia" w:hAnsi="宋体"/>
          <w:color w:val="000000"/>
        </w:rPr>
      </w:pPr>
      <w:r>
        <w:rPr>
          <w:rFonts w:hint="eastAsia" w:hAnsi="宋体"/>
          <w:color w:val="000000"/>
        </w:rPr>
        <w:t>法定（授权）代表人：</w:t>
      </w:r>
      <w:r>
        <w:rPr>
          <w:rFonts w:hAnsi="宋体"/>
          <w:color w:val="000000"/>
        </w:rPr>
        <w:t xml:space="preserve">                      </w:t>
      </w:r>
      <w:r>
        <w:rPr>
          <w:rFonts w:hint="eastAsia" w:hAnsi="宋体"/>
          <w:color w:val="000000"/>
        </w:rPr>
        <w:t>法定（授权）代表人：</w:t>
      </w:r>
    </w:p>
    <w:p>
      <w:pPr>
        <w:pStyle w:val="30"/>
        <w:numPr>
          <w:ilvl w:val="0"/>
          <w:numId w:val="0"/>
        </w:numPr>
        <w:snapToGrid w:val="0"/>
        <w:spacing w:before="120" w:after="120" w:line="276" w:lineRule="auto"/>
        <w:ind w:firstLine="480" w:firstLineChars="200"/>
        <w:rPr>
          <w:rFonts w:hint="eastAsia" w:hAnsi="宋体"/>
          <w:color w:val="000000"/>
        </w:rPr>
      </w:pPr>
      <w:r>
        <w:rPr>
          <w:rFonts w:hint="eastAsia" w:hAnsi="宋体"/>
          <w:color w:val="000000"/>
        </w:rPr>
        <w:t>电话：</w:t>
      </w:r>
      <w:r>
        <w:rPr>
          <w:rFonts w:hAnsi="宋体"/>
          <w:color w:val="000000"/>
        </w:rPr>
        <w:t xml:space="preserve">                                    </w:t>
      </w:r>
      <w:r>
        <w:rPr>
          <w:rFonts w:hint="eastAsia" w:hAnsi="宋体"/>
          <w:color w:val="000000"/>
        </w:rPr>
        <w:t>电话：</w:t>
      </w:r>
    </w:p>
    <w:p>
      <w:pPr>
        <w:pStyle w:val="30"/>
        <w:numPr>
          <w:ilvl w:val="0"/>
          <w:numId w:val="0"/>
        </w:numPr>
        <w:snapToGrid w:val="0"/>
        <w:spacing w:before="120" w:after="120" w:line="276" w:lineRule="auto"/>
        <w:ind w:firstLine="480" w:firstLineChars="200"/>
        <w:rPr>
          <w:rFonts w:hint="eastAsia" w:hAnsi="宋体"/>
          <w:color w:val="000000"/>
        </w:rPr>
      </w:pPr>
      <w:r>
        <w:rPr>
          <w:rFonts w:hint="eastAsia" w:hAnsi="宋体"/>
          <w:color w:val="000000"/>
        </w:rPr>
        <w:t>开户银行：</w:t>
      </w:r>
      <w:r>
        <w:rPr>
          <w:rFonts w:hAnsi="宋体"/>
          <w:color w:val="000000"/>
        </w:rPr>
        <w:t xml:space="preserve">                                </w:t>
      </w:r>
      <w:r>
        <w:rPr>
          <w:rFonts w:hint="eastAsia" w:hAnsi="宋体"/>
          <w:color w:val="000000"/>
        </w:rPr>
        <w:t>开户银行：</w:t>
      </w:r>
    </w:p>
    <w:p>
      <w:pPr>
        <w:pStyle w:val="30"/>
        <w:numPr>
          <w:ilvl w:val="0"/>
          <w:numId w:val="0"/>
        </w:numPr>
        <w:tabs>
          <w:tab w:val="clear" w:pos="1211"/>
        </w:tabs>
        <w:snapToGrid w:val="0"/>
        <w:spacing w:before="120" w:after="120" w:line="276" w:lineRule="auto"/>
        <w:ind w:firstLine="480" w:firstLineChars="200"/>
        <w:rPr>
          <w:rFonts w:hint="eastAsia" w:hAnsi="宋体"/>
          <w:color w:val="000000"/>
        </w:rPr>
      </w:pPr>
      <w:r>
        <w:rPr>
          <w:rFonts w:hint="eastAsia" w:hAnsi="宋体"/>
          <w:color w:val="000000"/>
        </w:rPr>
        <w:t>账号：</w:t>
      </w:r>
      <w:r>
        <w:rPr>
          <w:rFonts w:hAnsi="宋体"/>
          <w:color w:val="000000"/>
        </w:rPr>
        <w:t xml:space="preserve">                                    </w:t>
      </w:r>
      <w:r>
        <w:rPr>
          <w:rFonts w:hint="eastAsia" w:hAnsi="宋体"/>
          <w:color w:val="000000"/>
        </w:rPr>
        <w:t>账号：</w:t>
      </w:r>
    </w:p>
    <w:p>
      <w:pPr>
        <w:pStyle w:val="30"/>
        <w:numPr>
          <w:ilvl w:val="0"/>
          <w:numId w:val="0"/>
        </w:numPr>
        <w:tabs>
          <w:tab w:val="clear" w:pos="1211"/>
        </w:tabs>
        <w:snapToGrid w:val="0"/>
        <w:spacing w:before="120" w:after="120" w:line="276" w:lineRule="auto"/>
        <w:ind w:firstLine="480" w:firstLineChars="200"/>
        <w:rPr>
          <w:rFonts w:hint="eastAsia" w:hAnsi="宋体"/>
          <w:color w:val="000000"/>
        </w:rPr>
      </w:pPr>
      <w:r>
        <w:rPr>
          <w:rFonts w:hint="eastAsia" w:hAnsi="宋体"/>
          <w:color w:val="000000"/>
        </w:rPr>
        <w:t>签字日期：</w:t>
      </w:r>
      <w:r>
        <w:rPr>
          <w:rFonts w:hAnsi="宋体"/>
          <w:color w:val="000000"/>
        </w:rPr>
        <w:t xml:space="preserve">      </w:t>
      </w:r>
      <w:r>
        <w:rPr>
          <w:rFonts w:hint="eastAsia" w:hAnsi="宋体"/>
          <w:color w:val="000000"/>
        </w:rPr>
        <w:t>年</w:t>
      </w:r>
      <w:r>
        <w:rPr>
          <w:rFonts w:hAnsi="宋体"/>
          <w:color w:val="000000"/>
        </w:rPr>
        <w:t xml:space="preserve">  </w:t>
      </w:r>
      <w:r>
        <w:rPr>
          <w:rFonts w:hint="eastAsia" w:hAnsi="宋体"/>
          <w:color w:val="000000"/>
        </w:rPr>
        <w:t>月</w:t>
      </w:r>
      <w:r>
        <w:rPr>
          <w:rFonts w:hAnsi="宋体"/>
          <w:color w:val="000000"/>
        </w:rPr>
        <w:t xml:space="preserve">  </w:t>
      </w:r>
      <w:r>
        <w:rPr>
          <w:rFonts w:hint="eastAsia" w:hAnsi="宋体"/>
          <w:color w:val="000000"/>
        </w:rPr>
        <w:t>日</w:t>
      </w:r>
      <w:r>
        <w:rPr>
          <w:rFonts w:hAnsi="宋体"/>
          <w:color w:val="000000"/>
        </w:rPr>
        <w:t xml:space="preserve">               </w:t>
      </w:r>
      <w:r>
        <w:rPr>
          <w:rFonts w:hint="eastAsia" w:hAnsi="宋体"/>
          <w:color w:val="000000"/>
        </w:rPr>
        <w:t>签字日期：</w:t>
      </w:r>
      <w:r>
        <w:rPr>
          <w:rFonts w:hAnsi="宋体"/>
          <w:color w:val="000000"/>
        </w:rPr>
        <w:t xml:space="preserve">      </w:t>
      </w:r>
      <w:r>
        <w:rPr>
          <w:rFonts w:hint="eastAsia" w:hAnsi="宋体"/>
          <w:color w:val="000000"/>
        </w:rPr>
        <w:t>年</w:t>
      </w:r>
      <w:r>
        <w:rPr>
          <w:rFonts w:hAnsi="宋体"/>
          <w:color w:val="000000"/>
        </w:rPr>
        <w:t xml:space="preserve">  </w:t>
      </w:r>
      <w:r>
        <w:rPr>
          <w:rFonts w:hint="eastAsia" w:hAnsi="宋体"/>
          <w:color w:val="000000"/>
        </w:rPr>
        <w:t>月</w:t>
      </w:r>
      <w:r>
        <w:rPr>
          <w:rFonts w:hAnsi="宋体"/>
          <w:color w:val="000000"/>
        </w:rPr>
        <w:t xml:space="preserve">  </w:t>
      </w:r>
      <w:r>
        <w:rPr>
          <w:rFonts w:hint="eastAsia" w:hAnsi="宋体"/>
          <w:color w:val="000000"/>
        </w:rPr>
        <w:t>日</w:t>
      </w:r>
    </w:p>
    <w:p>
      <w:pPr>
        <w:pStyle w:val="30"/>
        <w:numPr>
          <w:ilvl w:val="0"/>
          <w:numId w:val="0"/>
        </w:numPr>
        <w:tabs>
          <w:tab w:val="clear" w:pos="1211"/>
        </w:tabs>
        <w:snapToGrid w:val="0"/>
        <w:spacing w:before="120" w:after="120" w:line="276" w:lineRule="auto"/>
        <w:ind w:firstLine="480" w:firstLineChars="200"/>
        <w:rPr>
          <w:rFonts w:hint="eastAsia" w:hAnsi="宋体"/>
          <w:color w:val="000000"/>
        </w:rPr>
      </w:pPr>
    </w:p>
    <w:p>
      <w:pPr>
        <w:pStyle w:val="30"/>
        <w:numPr>
          <w:ilvl w:val="0"/>
          <w:numId w:val="0"/>
        </w:numPr>
        <w:tabs>
          <w:tab w:val="clear" w:pos="1211"/>
        </w:tabs>
        <w:snapToGrid w:val="0"/>
        <w:spacing w:before="120" w:after="120" w:line="276" w:lineRule="auto"/>
        <w:ind w:firstLine="480" w:firstLineChars="200"/>
        <w:rPr>
          <w:rFonts w:hint="eastAsia" w:hAnsi="宋体"/>
          <w:color w:val="000000"/>
        </w:rPr>
      </w:pPr>
      <w:r>
        <w:rPr>
          <w:rFonts w:hint="eastAsia" w:hAnsi="宋体"/>
          <w:color w:val="000000"/>
        </w:rPr>
        <w:t>合同见证方（集采机构）:</w:t>
      </w:r>
    </w:p>
    <w:p>
      <w:pPr>
        <w:pStyle w:val="30"/>
        <w:numPr>
          <w:ilvl w:val="0"/>
          <w:numId w:val="0"/>
        </w:numPr>
        <w:tabs>
          <w:tab w:val="clear" w:pos="1211"/>
        </w:tabs>
        <w:snapToGrid w:val="0"/>
        <w:spacing w:before="120" w:after="120" w:line="276" w:lineRule="auto"/>
        <w:ind w:firstLine="480" w:firstLineChars="200"/>
        <w:rPr>
          <w:rFonts w:hint="eastAsia" w:hAnsi="宋体"/>
          <w:color w:val="000000"/>
        </w:rPr>
      </w:pPr>
      <w:r>
        <w:rPr>
          <w:rFonts w:hAnsi="宋体"/>
          <w:color w:val="000000"/>
        </w:rPr>
        <w:t>法定</w:t>
      </w:r>
      <w:r>
        <w:rPr>
          <w:rFonts w:hint="eastAsia" w:hAnsi="宋体"/>
          <w:color w:val="000000"/>
        </w:rPr>
        <w:t>（授权）</w:t>
      </w:r>
      <w:r>
        <w:rPr>
          <w:rFonts w:hAnsi="宋体"/>
          <w:color w:val="000000"/>
        </w:rPr>
        <w:t>代表人</w:t>
      </w:r>
      <w:r>
        <w:rPr>
          <w:rFonts w:hint="eastAsia" w:hAnsi="宋体"/>
          <w:color w:val="000000"/>
        </w:rPr>
        <w:t>:</w:t>
      </w:r>
    </w:p>
    <w:p>
      <w:pPr>
        <w:pStyle w:val="30"/>
        <w:numPr>
          <w:ilvl w:val="0"/>
          <w:numId w:val="0"/>
        </w:numPr>
        <w:tabs>
          <w:tab w:val="clear" w:pos="1211"/>
        </w:tabs>
        <w:snapToGrid w:val="0"/>
        <w:spacing w:before="120" w:after="120" w:line="276" w:lineRule="auto"/>
        <w:ind w:firstLine="480" w:firstLineChars="200"/>
        <w:rPr>
          <w:rFonts w:hint="eastAsia" w:hAnsi="宋体"/>
          <w:color w:val="000000"/>
        </w:rPr>
      </w:pPr>
      <w:r>
        <w:rPr>
          <w:rFonts w:hint="eastAsia" w:hAnsi="宋体"/>
          <w:color w:val="000000"/>
        </w:rPr>
        <w:t>见证日期:</w:t>
      </w:r>
    </w:p>
    <w:p>
      <w:pPr>
        <w:pStyle w:val="30"/>
        <w:numPr>
          <w:ilvl w:val="0"/>
          <w:numId w:val="0"/>
        </w:numPr>
        <w:tabs>
          <w:tab w:val="left" w:pos="1200"/>
        </w:tabs>
        <w:snapToGrid w:val="0"/>
        <w:spacing w:before="120" w:after="120" w:line="276"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276" w:lineRule="auto"/>
        <w:ind w:firstLine="280" w:firstLineChars="100"/>
        <w:rPr>
          <w:rFonts w:hint="eastAsia" w:hAnsi="宋体"/>
          <w:color w:val="000000"/>
          <w:sz w:val="28"/>
          <w:szCs w:val="28"/>
        </w:rPr>
      </w:pPr>
      <w:r>
        <w:rPr>
          <w:rFonts w:hint="eastAsia" w:hAnsi="宋体"/>
          <w:color w:val="000000"/>
          <w:sz w:val="28"/>
          <w:szCs w:val="28"/>
        </w:rPr>
        <w:t>提醒：政府采购合同双方必须</w:t>
      </w:r>
      <w:r>
        <w:rPr>
          <w:rFonts w:hAnsi="宋体"/>
          <w:color w:val="000000"/>
          <w:sz w:val="28"/>
          <w:szCs w:val="28"/>
        </w:rPr>
        <w:t>盖</w:t>
      </w:r>
      <w:r>
        <w:rPr>
          <w:rFonts w:hAnsi="宋体"/>
          <w:color w:val="000000"/>
          <w:sz w:val="28"/>
          <w:szCs w:val="28"/>
        </w:rPr>
        <w:fldChar w:fldCharType="begin"/>
      </w:r>
      <w:r>
        <w:rPr>
          <w:rFonts w:hAnsi="宋体"/>
          <w:color w:val="000000"/>
          <w:sz w:val="28"/>
          <w:szCs w:val="28"/>
        </w:rPr>
        <w:instrText xml:space="preserve"> HYPERLINK "http://www.baidu.com/s?wd=%E9%AA%91%E7%BC%9D%E7%AB%A0&amp;hl_tag=textlink&amp;tn=SE_hldp01350_v6v6zkg6" \t "_blank" </w:instrText>
      </w:r>
      <w:r>
        <w:rPr>
          <w:rFonts w:hAnsi="宋体"/>
          <w:color w:val="000000"/>
          <w:sz w:val="28"/>
          <w:szCs w:val="28"/>
        </w:rPr>
        <w:fldChar w:fldCharType="separate"/>
      </w:r>
      <w:r>
        <w:rPr>
          <w:rStyle w:val="69"/>
          <w:rFonts w:hAnsi="宋体"/>
          <w:color w:val="000000"/>
          <w:sz w:val="28"/>
          <w:szCs w:val="28"/>
        </w:rPr>
        <w:t>骑缝章</w:t>
      </w:r>
      <w:r>
        <w:rPr>
          <w:rFonts w:hAnsi="宋体"/>
          <w:color w:val="000000"/>
          <w:sz w:val="28"/>
          <w:szCs w:val="28"/>
        </w:rPr>
        <w:fldChar w:fldCharType="end"/>
      </w:r>
      <w:r>
        <w:rPr>
          <w:rFonts w:hint="eastAsia" w:hAnsi="宋体"/>
          <w:color w:val="000000"/>
          <w:sz w:val="28"/>
          <w:szCs w:val="28"/>
        </w:rPr>
        <w:t>。</w:t>
      </w:r>
    </w:p>
    <w:p>
      <w:pPr>
        <w:pStyle w:val="30"/>
        <w:numPr>
          <w:ilvl w:val="0"/>
          <w:numId w:val="0"/>
        </w:numPr>
        <w:tabs>
          <w:tab w:val="left" w:pos="1200"/>
        </w:tabs>
        <w:snapToGrid w:val="0"/>
        <w:spacing w:before="120" w:after="120" w:line="36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36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36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36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36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360" w:lineRule="auto"/>
        <w:ind w:firstLine="280" w:firstLineChars="100"/>
        <w:rPr>
          <w:rFonts w:hint="eastAsia" w:hAnsi="宋体"/>
          <w:color w:val="000000"/>
          <w:sz w:val="28"/>
          <w:szCs w:val="28"/>
        </w:rPr>
      </w:pPr>
    </w:p>
    <w:p>
      <w:pPr>
        <w:pStyle w:val="30"/>
        <w:numPr>
          <w:ilvl w:val="0"/>
          <w:numId w:val="0"/>
        </w:numPr>
        <w:tabs>
          <w:tab w:val="left" w:pos="1200"/>
        </w:tabs>
        <w:snapToGrid w:val="0"/>
        <w:spacing w:before="120" w:after="120" w:line="240" w:lineRule="auto"/>
        <w:ind w:left="289" w:hanging="289" w:hangingChars="120"/>
        <w:jc w:val="center"/>
        <w:outlineLvl w:val="0"/>
        <w:rPr>
          <w:rFonts w:hint="eastAsia" w:hAnsi="宋体"/>
          <w:b/>
          <w:bCs/>
          <w:color w:val="000000"/>
        </w:rPr>
      </w:pPr>
      <w:r>
        <w:rPr>
          <w:rFonts w:hint="eastAsia" w:hAnsi="宋体"/>
          <w:b/>
          <w:bCs/>
          <w:color w:val="000000"/>
        </w:rPr>
        <w:t>第六章　投标文件格式</w:t>
      </w:r>
    </w:p>
    <w:p>
      <w:pPr>
        <w:rPr>
          <w:rFonts w:ascii="宋体" w:hAnsi="宋体"/>
          <w:color w:val="000000"/>
        </w:rPr>
      </w:pPr>
    </w:p>
    <w:p>
      <w:pPr>
        <w:pStyle w:val="4"/>
        <w:rPr>
          <w:rFonts w:ascii="宋体" w:hAnsi="宋体"/>
          <w:color w:val="000000"/>
          <w:sz w:val="24"/>
        </w:rPr>
      </w:pPr>
      <w:r>
        <w:rPr>
          <w:rFonts w:ascii="宋体" w:hAnsi="宋体"/>
          <w:color w:val="000000"/>
          <w:sz w:val="24"/>
        </w:rPr>
        <w:t>1</w:t>
      </w:r>
      <w:r>
        <w:rPr>
          <w:rFonts w:hint="eastAsia" w:ascii="宋体" w:hAnsi="宋体"/>
          <w:color w:val="000000"/>
          <w:sz w:val="24"/>
        </w:rPr>
        <w:t>.所有投标文件的外包装封面格式：</w:t>
      </w:r>
    </w:p>
    <w:p>
      <w:pPr>
        <w:snapToGrid w:val="0"/>
        <w:spacing w:before="120" w:beforeLines="50" w:after="50"/>
        <w:jc w:val="center"/>
        <w:rPr>
          <w:rFonts w:ascii="宋体" w:hAnsi="宋体"/>
          <w:bCs/>
          <w:color w:val="000000"/>
          <w:sz w:val="24"/>
          <w:szCs w:val="20"/>
        </w:rPr>
      </w:pPr>
      <w:r>
        <w:rPr>
          <w:rFonts w:hint="eastAsia" w:ascii="宋体" w:hAnsi="宋体"/>
          <w:bCs/>
          <w:color w:val="000000"/>
          <w:sz w:val="24"/>
        </w:rPr>
        <w:t>投</w:t>
      </w:r>
      <w:r>
        <w:rPr>
          <w:rFonts w:ascii="宋体" w:hAnsi="宋体"/>
          <w:bCs/>
          <w:color w:val="000000"/>
          <w:sz w:val="24"/>
        </w:rPr>
        <w:t xml:space="preserve"> </w:t>
      </w:r>
      <w:r>
        <w:rPr>
          <w:rFonts w:hint="eastAsia" w:ascii="宋体" w:hAnsi="宋体"/>
          <w:bCs/>
          <w:color w:val="000000"/>
          <w:sz w:val="24"/>
        </w:rPr>
        <w:t>标</w:t>
      </w:r>
      <w:r>
        <w:rPr>
          <w:rFonts w:ascii="宋体" w:hAnsi="宋体"/>
          <w:bCs/>
          <w:color w:val="000000"/>
          <w:sz w:val="24"/>
        </w:rPr>
        <w:t xml:space="preserve"> </w:t>
      </w:r>
      <w:r>
        <w:rPr>
          <w:rFonts w:hint="eastAsia" w:ascii="宋体" w:hAnsi="宋体"/>
          <w:bCs/>
          <w:color w:val="000000"/>
          <w:sz w:val="24"/>
        </w:rPr>
        <w:t>文</w:t>
      </w:r>
      <w:r>
        <w:rPr>
          <w:rFonts w:ascii="宋体" w:hAnsi="宋体"/>
          <w:bCs/>
          <w:color w:val="000000"/>
          <w:sz w:val="24"/>
        </w:rPr>
        <w:t xml:space="preserve"> </w:t>
      </w:r>
      <w:r>
        <w:rPr>
          <w:rFonts w:hint="eastAsia" w:ascii="宋体" w:hAnsi="宋体"/>
          <w:bCs/>
          <w:color w:val="000000"/>
          <w:sz w:val="24"/>
        </w:rPr>
        <w:t>件</w:t>
      </w:r>
    </w:p>
    <w:p>
      <w:pPr>
        <w:snapToGrid w:val="0"/>
        <w:spacing w:before="120" w:beforeLines="50" w:after="50"/>
        <w:rPr>
          <w:rFonts w:ascii="宋体" w:hAnsi="宋体"/>
          <w:bCs/>
          <w:color w:val="000000"/>
          <w:sz w:val="24"/>
          <w:szCs w:val="20"/>
        </w:rPr>
      </w:pPr>
    </w:p>
    <w:p>
      <w:pPr>
        <w:snapToGrid w:val="0"/>
        <w:spacing w:before="120" w:beforeLines="50" w:after="50"/>
        <w:ind w:firstLine="1068" w:firstLineChars="445"/>
        <w:rPr>
          <w:rFonts w:ascii="宋体" w:hAnsi="宋体"/>
          <w:bCs/>
          <w:color w:val="000000"/>
          <w:sz w:val="24"/>
          <w:szCs w:val="20"/>
        </w:rPr>
      </w:pPr>
      <w:r>
        <w:rPr>
          <w:rFonts w:hint="eastAsia" w:ascii="宋体" w:hAnsi="宋体"/>
          <w:bCs/>
          <w:color w:val="000000"/>
          <w:sz w:val="24"/>
        </w:rPr>
        <w:t>项目名称：</w:t>
      </w:r>
      <w:r>
        <w:rPr>
          <w:rFonts w:hint="eastAsia" w:ascii="宋体" w:hAnsi="宋体"/>
          <w:bCs/>
          <w:color w:val="000000"/>
          <w:sz w:val="24"/>
          <w:u w:val="single"/>
        </w:rPr>
        <w:t xml:space="preserve">           </w:t>
      </w:r>
      <w:r>
        <w:rPr>
          <w:rFonts w:hint="eastAsia" w:ascii="宋体" w:hAnsi="宋体"/>
          <w:bCs/>
          <w:color w:val="000000"/>
          <w:sz w:val="24"/>
        </w:rPr>
        <w:t>单位</w:t>
      </w:r>
      <w:r>
        <w:rPr>
          <w:rFonts w:hint="eastAsia" w:ascii="宋体" w:hAnsi="宋体"/>
          <w:bCs/>
          <w:color w:val="000000"/>
          <w:sz w:val="24"/>
          <w:u w:val="single"/>
        </w:rPr>
        <w:t xml:space="preserve">                   </w:t>
      </w:r>
      <w:r>
        <w:rPr>
          <w:rFonts w:hint="eastAsia" w:ascii="宋体" w:hAnsi="宋体"/>
          <w:bCs/>
          <w:color w:val="000000"/>
          <w:sz w:val="24"/>
        </w:rPr>
        <w:t>项目</w:t>
      </w:r>
    </w:p>
    <w:p>
      <w:pPr>
        <w:snapToGrid w:val="0"/>
        <w:spacing w:before="120" w:beforeLines="50" w:after="50"/>
        <w:ind w:firstLine="480" w:firstLineChars="200"/>
        <w:rPr>
          <w:rFonts w:ascii="宋体" w:hAnsi="宋体"/>
          <w:bCs/>
          <w:color w:val="000000"/>
          <w:sz w:val="24"/>
          <w:szCs w:val="20"/>
        </w:rPr>
      </w:pPr>
      <w:r>
        <w:rPr>
          <w:rFonts w:ascii="宋体" w:hAnsi="宋体"/>
          <w:bCs/>
          <w:color w:val="000000"/>
          <w:sz w:val="24"/>
        </w:rPr>
        <w:t xml:space="preserve">     </w:t>
      </w:r>
      <w:r>
        <w:rPr>
          <w:rFonts w:hint="eastAsia" w:ascii="宋体" w:hAnsi="宋体"/>
          <w:bCs/>
          <w:color w:val="000000"/>
          <w:sz w:val="24"/>
        </w:rPr>
        <w:t>项目编号：</w:t>
      </w:r>
      <w:r>
        <w:rPr>
          <w:rFonts w:ascii="宋体" w:hAnsi="宋体"/>
          <w:bCs/>
          <w:color w:val="000000"/>
          <w:sz w:val="24"/>
        </w:rPr>
        <w:t xml:space="preserve"> </w:t>
      </w:r>
    </w:p>
    <w:p>
      <w:pPr>
        <w:snapToGrid w:val="0"/>
        <w:spacing w:before="120" w:beforeLines="50" w:after="50"/>
        <w:ind w:firstLine="480" w:firstLineChars="200"/>
        <w:rPr>
          <w:rFonts w:ascii="宋体" w:hAnsi="宋体"/>
          <w:bCs/>
          <w:color w:val="000000"/>
          <w:sz w:val="24"/>
          <w:szCs w:val="20"/>
        </w:rPr>
      </w:pPr>
      <w:r>
        <w:rPr>
          <w:rFonts w:ascii="宋体" w:hAnsi="宋体"/>
          <w:bCs/>
          <w:color w:val="000000"/>
          <w:sz w:val="24"/>
        </w:rPr>
        <w:t xml:space="preserve">     </w:t>
      </w:r>
      <w:r>
        <w:rPr>
          <w:rFonts w:hint="eastAsia" w:ascii="宋体" w:hAnsi="宋体"/>
          <w:bCs/>
          <w:color w:val="000000"/>
          <w:sz w:val="24"/>
        </w:rPr>
        <w:t>标</w:t>
      </w:r>
      <w:r>
        <w:rPr>
          <w:rFonts w:ascii="宋体" w:hAnsi="宋体"/>
          <w:bCs/>
          <w:color w:val="000000"/>
          <w:sz w:val="24"/>
        </w:rPr>
        <w:t xml:space="preserve"> </w:t>
      </w:r>
      <w:r>
        <w:rPr>
          <w:rFonts w:hint="eastAsia" w:ascii="宋体" w:hAnsi="宋体"/>
          <w:bCs/>
          <w:color w:val="000000"/>
          <w:sz w:val="24"/>
        </w:rPr>
        <w:t>项</w:t>
      </w:r>
      <w:r>
        <w:rPr>
          <w:rFonts w:ascii="宋体" w:hAnsi="宋体"/>
          <w:bCs/>
          <w:color w:val="000000"/>
          <w:sz w:val="24"/>
        </w:rPr>
        <w:t>:</w:t>
      </w:r>
    </w:p>
    <w:p>
      <w:pPr>
        <w:pStyle w:val="5"/>
        <w:snapToGrid w:val="0"/>
        <w:spacing w:before="50" w:after="50"/>
        <w:ind w:firstLine="1020" w:firstLineChars="425"/>
        <w:rPr>
          <w:rFonts w:ascii="宋体" w:hAnsi="宋体"/>
          <w:bCs/>
          <w:color w:val="000000"/>
          <w:sz w:val="24"/>
          <w:szCs w:val="24"/>
        </w:rPr>
      </w:pPr>
      <w:r>
        <w:rPr>
          <w:rFonts w:hint="eastAsia" w:ascii="宋体" w:hAnsi="宋体"/>
          <w:bCs/>
          <w:color w:val="000000"/>
          <w:sz w:val="24"/>
          <w:szCs w:val="24"/>
        </w:rPr>
        <w:t>投标文件名称：资格响应文件、技术商务文件、报价文件</w:t>
      </w:r>
    </w:p>
    <w:p>
      <w:pPr>
        <w:pStyle w:val="5"/>
        <w:snapToGrid w:val="0"/>
        <w:spacing w:before="50" w:after="50"/>
        <w:ind w:firstLine="998" w:firstLineChars="416"/>
        <w:rPr>
          <w:rFonts w:ascii="宋体" w:hAnsi="宋体"/>
          <w:bCs/>
          <w:color w:val="000000"/>
          <w:sz w:val="24"/>
          <w:szCs w:val="24"/>
        </w:rPr>
      </w:pPr>
      <w:r>
        <w:rPr>
          <w:rFonts w:hint="eastAsia" w:ascii="宋体" w:hAnsi="宋体"/>
          <w:bCs/>
          <w:color w:val="000000"/>
          <w:sz w:val="24"/>
          <w:szCs w:val="24"/>
        </w:rPr>
        <w:t>投标供应商名称：</w:t>
      </w:r>
    </w:p>
    <w:p>
      <w:pPr>
        <w:pStyle w:val="5"/>
        <w:snapToGrid w:val="0"/>
        <w:spacing w:before="50" w:after="50"/>
        <w:ind w:firstLine="998" w:firstLineChars="416"/>
        <w:rPr>
          <w:rFonts w:ascii="宋体" w:hAnsi="宋体"/>
          <w:bCs/>
          <w:color w:val="000000"/>
          <w:sz w:val="24"/>
          <w:szCs w:val="24"/>
        </w:rPr>
      </w:pPr>
      <w:r>
        <w:rPr>
          <w:rFonts w:hint="eastAsia" w:ascii="宋体" w:hAnsi="宋体"/>
          <w:bCs/>
          <w:color w:val="000000"/>
          <w:sz w:val="24"/>
          <w:szCs w:val="24"/>
        </w:rPr>
        <w:t>投标供应商地址：</w:t>
      </w:r>
    </w:p>
    <w:p>
      <w:pPr>
        <w:pStyle w:val="5"/>
        <w:snapToGrid w:val="0"/>
        <w:spacing w:before="50" w:after="50"/>
        <w:ind w:firstLine="960" w:firstLineChars="400"/>
        <w:rPr>
          <w:rFonts w:ascii="宋体" w:hAnsi="宋体"/>
          <w:bCs/>
          <w:color w:val="000000"/>
          <w:sz w:val="24"/>
          <w:szCs w:val="24"/>
        </w:rPr>
      </w:pPr>
      <w:r>
        <w:rPr>
          <w:rFonts w:hint="eastAsia" w:ascii="宋体" w:hAnsi="宋体"/>
          <w:bCs/>
          <w:color w:val="000000"/>
          <w:sz w:val="24"/>
          <w:szCs w:val="24"/>
        </w:rPr>
        <w:t>在</w:t>
      </w:r>
      <w:r>
        <w:rPr>
          <w:rFonts w:ascii="宋体" w:hAnsi="宋体"/>
          <w:bCs/>
          <w:color w:val="000000"/>
          <w:sz w:val="24"/>
          <w:szCs w:val="24"/>
        </w:rPr>
        <w:t xml:space="preserve">  </w:t>
      </w:r>
      <w:r>
        <w:rPr>
          <w:rFonts w:hint="eastAsia" w:ascii="宋体" w:hAnsi="宋体"/>
          <w:bCs/>
          <w:color w:val="000000"/>
          <w:sz w:val="24"/>
          <w:szCs w:val="24"/>
        </w:rPr>
        <w:t>年</w:t>
      </w:r>
      <w:r>
        <w:rPr>
          <w:rFonts w:ascii="宋体" w:hAnsi="宋体"/>
          <w:bCs/>
          <w:color w:val="000000"/>
          <w:sz w:val="24"/>
          <w:szCs w:val="24"/>
        </w:rPr>
        <w:t xml:space="preserve">  </w:t>
      </w:r>
      <w:r>
        <w:rPr>
          <w:rFonts w:hint="eastAsia" w:ascii="宋体" w:hAnsi="宋体"/>
          <w:bCs/>
          <w:color w:val="000000"/>
          <w:sz w:val="24"/>
          <w:szCs w:val="24"/>
        </w:rPr>
        <w:t>月</w:t>
      </w:r>
      <w:r>
        <w:rPr>
          <w:rFonts w:ascii="宋体" w:hAnsi="宋体"/>
          <w:bCs/>
          <w:color w:val="000000"/>
          <w:sz w:val="24"/>
          <w:szCs w:val="24"/>
        </w:rPr>
        <w:t xml:space="preserve">  </w:t>
      </w:r>
      <w:r>
        <w:rPr>
          <w:rFonts w:hint="eastAsia" w:ascii="宋体" w:hAnsi="宋体"/>
          <w:bCs/>
          <w:color w:val="000000"/>
          <w:sz w:val="24"/>
          <w:szCs w:val="24"/>
        </w:rPr>
        <w:t>日</w:t>
      </w:r>
      <w:r>
        <w:rPr>
          <w:rFonts w:ascii="宋体" w:hAnsi="宋体"/>
          <w:bCs/>
          <w:color w:val="000000"/>
          <w:sz w:val="24"/>
          <w:szCs w:val="24"/>
        </w:rPr>
        <w:t xml:space="preserve">  </w:t>
      </w:r>
      <w:r>
        <w:rPr>
          <w:rFonts w:hint="eastAsia" w:ascii="宋体" w:hAnsi="宋体"/>
          <w:bCs/>
          <w:color w:val="000000"/>
          <w:sz w:val="24"/>
          <w:szCs w:val="24"/>
        </w:rPr>
        <w:t>时</w:t>
      </w:r>
      <w:r>
        <w:rPr>
          <w:rFonts w:ascii="宋体" w:hAnsi="宋体"/>
          <w:bCs/>
          <w:color w:val="000000"/>
          <w:sz w:val="24"/>
          <w:szCs w:val="24"/>
        </w:rPr>
        <w:t xml:space="preserve">  </w:t>
      </w:r>
      <w:r>
        <w:rPr>
          <w:rFonts w:hint="eastAsia" w:ascii="宋体" w:hAnsi="宋体"/>
          <w:bCs/>
          <w:color w:val="000000"/>
          <w:sz w:val="24"/>
          <w:szCs w:val="24"/>
        </w:rPr>
        <w:t>分之前不得启封</w:t>
      </w:r>
    </w:p>
    <w:p>
      <w:pPr>
        <w:snapToGrid w:val="0"/>
        <w:spacing w:before="120" w:beforeLines="50" w:after="50"/>
        <w:ind w:firstLine="4080" w:firstLineChars="1700"/>
        <w:rPr>
          <w:rFonts w:ascii="宋体" w:hAnsi="宋体"/>
          <w:bCs/>
          <w:color w:val="000000"/>
          <w:sz w:val="24"/>
          <w:szCs w:val="20"/>
        </w:rPr>
      </w:pPr>
    </w:p>
    <w:p>
      <w:pPr>
        <w:snapToGrid w:val="0"/>
        <w:spacing w:before="120" w:beforeLines="50" w:after="50"/>
        <w:ind w:firstLine="645"/>
        <w:jc w:val="center"/>
        <w:rPr>
          <w:rFonts w:ascii="宋体" w:hAnsi="宋体"/>
          <w:bCs/>
          <w:color w:val="000000"/>
          <w:sz w:val="24"/>
          <w:szCs w:val="20"/>
        </w:rPr>
      </w:pPr>
      <w:r>
        <w:rPr>
          <w:rFonts w:ascii="宋体" w:hAnsi="宋体"/>
          <w:bCs/>
          <w:color w:val="000000"/>
          <w:sz w:val="24"/>
        </w:rPr>
        <w:t xml:space="preserve">                        </w:t>
      </w:r>
      <w:r>
        <w:rPr>
          <w:rFonts w:hint="eastAsia" w:ascii="宋体" w:hAnsi="宋体"/>
          <w:bCs/>
          <w:color w:val="000000"/>
          <w:sz w:val="24"/>
        </w:rPr>
        <w:t>年</w:t>
      </w:r>
      <w:r>
        <w:rPr>
          <w:rFonts w:ascii="宋体" w:hAnsi="宋体"/>
          <w:bCs/>
          <w:color w:val="000000"/>
          <w:sz w:val="24"/>
        </w:rPr>
        <w:t xml:space="preserve">  </w:t>
      </w:r>
      <w:r>
        <w:rPr>
          <w:rFonts w:hint="eastAsia" w:ascii="宋体" w:hAnsi="宋体"/>
          <w:bCs/>
          <w:color w:val="000000"/>
          <w:sz w:val="24"/>
        </w:rPr>
        <w:t>月</w:t>
      </w:r>
      <w:r>
        <w:rPr>
          <w:rFonts w:ascii="宋体" w:hAnsi="宋体"/>
          <w:bCs/>
          <w:color w:val="000000"/>
          <w:sz w:val="24"/>
        </w:rPr>
        <w:t xml:space="preserve">  </w:t>
      </w:r>
      <w:r>
        <w:rPr>
          <w:rFonts w:hint="eastAsia" w:ascii="宋体" w:hAnsi="宋体"/>
          <w:bCs/>
          <w:color w:val="000000"/>
          <w:sz w:val="24"/>
        </w:rPr>
        <w:t>日</w:t>
      </w:r>
    </w:p>
    <w:p>
      <w:pPr>
        <w:rPr>
          <w:rFonts w:hint="eastAsia" w:ascii="宋体" w:hAnsi="宋体"/>
          <w:color w:val="000000"/>
        </w:rPr>
      </w:pPr>
    </w:p>
    <w:p>
      <w:pPr>
        <w:rPr>
          <w:rFonts w:hint="eastAsia" w:ascii="宋体" w:hAnsi="宋体"/>
          <w:color w:val="000000"/>
        </w:rPr>
      </w:pPr>
    </w:p>
    <w:p>
      <w:pPr>
        <w:pStyle w:val="4"/>
        <w:rPr>
          <w:rFonts w:ascii="宋体" w:hAnsi="宋体"/>
          <w:color w:val="000000"/>
          <w:sz w:val="24"/>
        </w:rPr>
      </w:pPr>
      <w:r>
        <w:rPr>
          <w:rFonts w:hint="eastAsia" w:ascii="宋体" w:hAnsi="宋体"/>
          <w:color w:val="000000"/>
          <w:sz w:val="24"/>
        </w:rPr>
        <w:t>2.所有投标文件封面格式：</w:t>
      </w:r>
      <w:r>
        <w:rPr>
          <w:rFonts w:ascii="宋体" w:hAnsi="宋体"/>
          <w:color w:val="000000"/>
          <w:sz w:val="24"/>
        </w:rPr>
        <w:t xml:space="preserve"> </w:t>
      </w:r>
    </w:p>
    <w:p>
      <w:pPr>
        <w:snapToGrid w:val="0"/>
        <w:spacing w:before="120" w:beforeLines="50" w:after="50"/>
        <w:rPr>
          <w:rFonts w:ascii="宋体" w:hAnsi="宋体"/>
          <w:b/>
          <w:bCs/>
          <w:color w:val="000000"/>
          <w:sz w:val="32"/>
          <w:szCs w:val="20"/>
        </w:rPr>
      </w:pPr>
      <w:r>
        <w:rPr>
          <w:rFonts w:ascii="宋体" w:hAnsi="宋体"/>
          <w:color w:val="000000"/>
          <w:sz w:val="24"/>
        </w:rPr>
        <w:t xml:space="preserve">                                                    </w:t>
      </w:r>
      <w:r>
        <w:rPr>
          <w:rFonts w:hint="eastAsia" w:ascii="宋体" w:hAnsi="宋体"/>
          <w:b/>
          <w:bCs/>
          <w:color w:val="000000"/>
        </w:rPr>
        <w:t>正本</w:t>
      </w:r>
      <w:r>
        <w:rPr>
          <w:rFonts w:ascii="宋体" w:hAnsi="宋体"/>
          <w:b/>
          <w:bCs/>
          <w:color w:val="000000"/>
        </w:rPr>
        <w:t>/</w:t>
      </w:r>
      <w:r>
        <w:rPr>
          <w:rFonts w:hint="eastAsia" w:ascii="宋体" w:hAnsi="宋体"/>
          <w:b/>
          <w:bCs/>
          <w:color w:val="000000"/>
        </w:rPr>
        <w:t>或副本</w:t>
      </w:r>
    </w:p>
    <w:p>
      <w:pPr>
        <w:snapToGrid w:val="0"/>
        <w:spacing w:before="120" w:beforeLines="50" w:after="50"/>
        <w:rPr>
          <w:rFonts w:ascii="宋体" w:hAnsi="宋体"/>
          <w:color w:val="000000"/>
          <w:sz w:val="24"/>
          <w:szCs w:val="20"/>
        </w:rPr>
      </w:pPr>
    </w:p>
    <w:p>
      <w:pPr>
        <w:snapToGrid w:val="0"/>
        <w:spacing w:before="120" w:beforeLines="50" w:after="50"/>
        <w:jc w:val="center"/>
        <w:rPr>
          <w:rFonts w:ascii="宋体" w:hAnsi="宋体"/>
          <w:bCs/>
          <w:color w:val="000000"/>
          <w:sz w:val="24"/>
          <w:szCs w:val="20"/>
        </w:rPr>
      </w:pPr>
    </w:p>
    <w:p>
      <w:pPr>
        <w:snapToGrid w:val="0"/>
        <w:spacing w:before="120" w:beforeLines="50" w:after="50"/>
        <w:jc w:val="center"/>
        <w:rPr>
          <w:rFonts w:ascii="宋体" w:hAnsi="宋体"/>
          <w:bCs/>
          <w:color w:val="000000"/>
          <w:sz w:val="24"/>
          <w:szCs w:val="20"/>
        </w:rPr>
      </w:pPr>
      <w:r>
        <w:rPr>
          <w:rFonts w:hint="eastAsia" w:ascii="宋体" w:hAnsi="宋体"/>
          <w:bCs/>
          <w:color w:val="000000"/>
          <w:sz w:val="24"/>
        </w:rPr>
        <w:t>资格响应文件/技术商务文件/报价文件</w:t>
      </w:r>
    </w:p>
    <w:p>
      <w:pPr>
        <w:snapToGrid w:val="0"/>
        <w:spacing w:before="120" w:beforeLines="50" w:after="50"/>
        <w:rPr>
          <w:rFonts w:ascii="宋体" w:hAnsi="宋体"/>
          <w:bCs/>
          <w:color w:val="000000"/>
          <w:sz w:val="24"/>
          <w:szCs w:val="20"/>
        </w:rPr>
      </w:pPr>
    </w:p>
    <w:p>
      <w:pPr>
        <w:snapToGrid w:val="0"/>
        <w:spacing w:before="120" w:beforeLines="50" w:after="50"/>
        <w:ind w:firstLine="1068" w:firstLineChars="445"/>
        <w:rPr>
          <w:rFonts w:ascii="宋体" w:hAnsi="宋体"/>
          <w:bCs/>
          <w:color w:val="000000"/>
          <w:sz w:val="24"/>
          <w:szCs w:val="20"/>
        </w:rPr>
      </w:pPr>
      <w:r>
        <w:rPr>
          <w:rFonts w:hint="eastAsia" w:ascii="宋体" w:hAnsi="宋体"/>
          <w:bCs/>
          <w:color w:val="000000"/>
          <w:sz w:val="24"/>
        </w:rPr>
        <w:t>项目名称：</w:t>
      </w:r>
      <w:r>
        <w:rPr>
          <w:rFonts w:hint="eastAsia" w:ascii="宋体" w:hAnsi="宋体"/>
          <w:bCs/>
          <w:color w:val="000000"/>
          <w:sz w:val="24"/>
          <w:u w:val="single"/>
        </w:rPr>
        <w:t xml:space="preserve">           </w:t>
      </w:r>
      <w:r>
        <w:rPr>
          <w:rFonts w:hint="eastAsia" w:ascii="宋体" w:hAnsi="宋体"/>
          <w:bCs/>
          <w:color w:val="000000"/>
          <w:sz w:val="24"/>
        </w:rPr>
        <w:t>单位</w:t>
      </w:r>
      <w:r>
        <w:rPr>
          <w:rFonts w:hint="eastAsia" w:ascii="宋体" w:hAnsi="宋体"/>
          <w:bCs/>
          <w:color w:val="000000"/>
          <w:sz w:val="24"/>
          <w:u w:val="single"/>
        </w:rPr>
        <w:t xml:space="preserve">                   </w:t>
      </w:r>
      <w:r>
        <w:rPr>
          <w:rFonts w:hint="eastAsia" w:ascii="宋体" w:hAnsi="宋体"/>
          <w:bCs/>
          <w:color w:val="000000"/>
          <w:sz w:val="24"/>
        </w:rPr>
        <w:t>项目</w:t>
      </w:r>
    </w:p>
    <w:p>
      <w:pPr>
        <w:snapToGrid w:val="0"/>
        <w:spacing w:before="120" w:beforeLines="50" w:after="50"/>
        <w:ind w:firstLine="480" w:firstLineChars="200"/>
        <w:rPr>
          <w:rFonts w:ascii="宋体" w:hAnsi="宋体"/>
          <w:bCs/>
          <w:color w:val="000000"/>
          <w:sz w:val="24"/>
          <w:szCs w:val="20"/>
        </w:rPr>
      </w:pPr>
      <w:r>
        <w:rPr>
          <w:rFonts w:ascii="宋体" w:hAnsi="宋体"/>
          <w:bCs/>
          <w:color w:val="000000"/>
          <w:sz w:val="24"/>
        </w:rPr>
        <w:t xml:space="preserve">     </w:t>
      </w:r>
      <w:r>
        <w:rPr>
          <w:rFonts w:hint="eastAsia" w:ascii="宋体" w:hAnsi="宋体"/>
          <w:bCs/>
          <w:color w:val="000000"/>
          <w:sz w:val="24"/>
        </w:rPr>
        <w:t>项目编号：</w:t>
      </w:r>
      <w:r>
        <w:rPr>
          <w:rFonts w:ascii="宋体" w:hAnsi="宋体"/>
          <w:bCs/>
          <w:color w:val="000000"/>
          <w:sz w:val="24"/>
        </w:rPr>
        <w:t xml:space="preserve"> </w:t>
      </w:r>
    </w:p>
    <w:p>
      <w:pPr>
        <w:snapToGrid w:val="0"/>
        <w:spacing w:before="120" w:beforeLines="50" w:after="50"/>
        <w:ind w:firstLine="480" w:firstLineChars="200"/>
        <w:rPr>
          <w:rFonts w:ascii="宋体" w:hAnsi="宋体"/>
          <w:bCs/>
          <w:color w:val="000000"/>
          <w:sz w:val="24"/>
          <w:szCs w:val="20"/>
        </w:rPr>
      </w:pPr>
      <w:r>
        <w:rPr>
          <w:rFonts w:ascii="宋体" w:hAnsi="宋体"/>
          <w:bCs/>
          <w:color w:val="000000"/>
          <w:sz w:val="24"/>
        </w:rPr>
        <w:t xml:space="preserve">     </w:t>
      </w:r>
      <w:r>
        <w:rPr>
          <w:rFonts w:hint="eastAsia" w:ascii="宋体" w:hAnsi="宋体"/>
          <w:bCs/>
          <w:color w:val="000000"/>
          <w:sz w:val="24"/>
        </w:rPr>
        <w:t>标</w:t>
      </w:r>
      <w:r>
        <w:rPr>
          <w:rFonts w:ascii="宋体" w:hAnsi="宋体"/>
          <w:bCs/>
          <w:color w:val="000000"/>
          <w:sz w:val="24"/>
        </w:rPr>
        <w:t xml:space="preserve"> </w:t>
      </w:r>
      <w:r>
        <w:rPr>
          <w:rFonts w:hint="eastAsia" w:ascii="宋体" w:hAnsi="宋体"/>
          <w:bCs/>
          <w:color w:val="000000"/>
          <w:sz w:val="24"/>
        </w:rPr>
        <w:t>项</w:t>
      </w:r>
      <w:r>
        <w:rPr>
          <w:rFonts w:ascii="宋体" w:hAnsi="宋体"/>
          <w:bCs/>
          <w:color w:val="000000"/>
          <w:sz w:val="24"/>
        </w:rPr>
        <w:t>:</w:t>
      </w:r>
    </w:p>
    <w:p>
      <w:pPr>
        <w:pStyle w:val="5"/>
        <w:snapToGrid w:val="0"/>
        <w:spacing w:before="50" w:after="50"/>
        <w:ind w:firstLine="998" w:firstLineChars="416"/>
        <w:rPr>
          <w:rFonts w:ascii="宋体" w:hAnsi="宋体"/>
          <w:bCs/>
          <w:color w:val="000000"/>
          <w:sz w:val="24"/>
          <w:szCs w:val="24"/>
        </w:rPr>
      </w:pPr>
      <w:r>
        <w:rPr>
          <w:rFonts w:hint="eastAsia" w:ascii="宋体" w:hAnsi="宋体"/>
          <w:bCs/>
          <w:color w:val="000000"/>
          <w:sz w:val="24"/>
          <w:szCs w:val="24"/>
        </w:rPr>
        <w:t>投标供应商名称：</w:t>
      </w:r>
    </w:p>
    <w:p>
      <w:pPr>
        <w:pStyle w:val="5"/>
        <w:snapToGrid w:val="0"/>
        <w:spacing w:before="50" w:after="50"/>
        <w:ind w:firstLine="998" w:firstLineChars="416"/>
        <w:rPr>
          <w:rFonts w:ascii="宋体" w:hAnsi="宋体"/>
          <w:bCs/>
          <w:color w:val="000000"/>
          <w:sz w:val="24"/>
          <w:szCs w:val="24"/>
        </w:rPr>
      </w:pPr>
      <w:r>
        <w:rPr>
          <w:rFonts w:hint="eastAsia" w:ascii="宋体" w:hAnsi="宋体"/>
          <w:bCs/>
          <w:color w:val="000000"/>
          <w:sz w:val="24"/>
          <w:szCs w:val="24"/>
        </w:rPr>
        <w:t>投标供应商地址：</w:t>
      </w:r>
    </w:p>
    <w:p>
      <w:pPr>
        <w:pStyle w:val="5"/>
        <w:snapToGrid w:val="0"/>
        <w:spacing w:before="50" w:after="50"/>
        <w:ind w:firstLine="960" w:firstLineChars="400"/>
        <w:rPr>
          <w:rFonts w:ascii="宋体" w:hAnsi="宋体"/>
          <w:bCs/>
          <w:color w:val="000000"/>
          <w:sz w:val="24"/>
          <w:szCs w:val="24"/>
        </w:rPr>
      </w:pPr>
    </w:p>
    <w:p>
      <w:pPr>
        <w:snapToGrid w:val="0"/>
        <w:spacing w:before="120" w:beforeLines="50" w:after="50"/>
        <w:ind w:firstLine="4080" w:firstLineChars="1700"/>
        <w:rPr>
          <w:rFonts w:ascii="宋体" w:hAnsi="宋体"/>
          <w:color w:val="000000"/>
          <w:sz w:val="24"/>
          <w:szCs w:val="20"/>
        </w:rPr>
      </w:pPr>
    </w:p>
    <w:p>
      <w:pPr>
        <w:snapToGrid w:val="0"/>
        <w:spacing w:before="120" w:beforeLines="50" w:after="50"/>
        <w:ind w:firstLine="645"/>
        <w:jc w:val="center"/>
        <w:rPr>
          <w:rFonts w:ascii="宋体" w:hAnsi="宋体"/>
          <w:color w:val="000000"/>
          <w:sz w:val="24"/>
          <w:szCs w:val="20"/>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napToGrid w:val="0"/>
        <w:spacing w:before="120" w:beforeLines="50" w:after="50"/>
        <w:rPr>
          <w:rFonts w:ascii="宋体" w:hAnsi="宋体"/>
          <w:color w:val="000000"/>
          <w:sz w:val="24"/>
          <w:szCs w:val="20"/>
        </w:rPr>
      </w:pPr>
    </w:p>
    <w:p>
      <w:pPr>
        <w:snapToGrid w:val="0"/>
        <w:spacing w:before="50" w:after="120" w:afterLines="50"/>
        <w:jc w:val="left"/>
        <w:rPr>
          <w:rFonts w:hint="eastAsia" w:ascii="宋体" w:hAnsi="宋体"/>
          <w:color w:val="000000"/>
        </w:rPr>
      </w:pPr>
    </w:p>
    <w:p>
      <w:pPr>
        <w:snapToGrid w:val="0"/>
        <w:spacing w:before="50" w:after="120" w:afterLines="50"/>
        <w:jc w:val="left"/>
        <w:rPr>
          <w:rFonts w:hint="eastAsia" w:ascii="宋体" w:hAnsi="宋体"/>
          <w:color w:val="000000"/>
        </w:rPr>
      </w:pPr>
    </w:p>
    <w:p>
      <w:pPr>
        <w:pStyle w:val="4"/>
        <w:rPr>
          <w:rFonts w:ascii="宋体" w:hAnsi="宋体"/>
          <w:color w:val="000000"/>
          <w:sz w:val="24"/>
        </w:rPr>
      </w:pPr>
      <w:r>
        <w:rPr>
          <w:rFonts w:hint="eastAsia" w:ascii="宋体" w:hAnsi="宋体"/>
          <w:color w:val="000000"/>
          <w:sz w:val="24"/>
        </w:rPr>
        <w:t>3.投标声明书格式：</w:t>
      </w:r>
    </w:p>
    <w:p>
      <w:pPr>
        <w:snapToGrid w:val="0"/>
        <w:spacing w:before="120" w:beforeLines="50" w:after="50"/>
        <w:jc w:val="center"/>
        <w:rPr>
          <w:rFonts w:ascii="宋体" w:hAnsi="宋体"/>
          <w:b/>
          <w:color w:val="000000"/>
          <w:sz w:val="24"/>
        </w:rPr>
      </w:pPr>
      <w:r>
        <w:rPr>
          <w:rFonts w:hint="eastAsia" w:ascii="宋体" w:hAnsi="宋体"/>
          <w:b/>
          <w:color w:val="000000"/>
          <w:sz w:val="24"/>
        </w:rPr>
        <w:t>投标声明书</w:t>
      </w:r>
    </w:p>
    <w:p>
      <w:pPr>
        <w:snapToGrid w:val="0"/>
        <w:spacing w:before="120" w:beforeLines="50" w:after="50" w:line="276" w:lineRule="auto"/>
        <w:rPr>
          <w:rFonts w:hint="eastAsia" w:ascii="宋体" w:hAnsi="宋体" w:cs="宋体"/>
          <w:color w:val="000000"/>
          <w:sz w:val="24"/>
          <w:szCs w:val="20"/>
        </w:rPr>
      </w:pPr>
      <w:r>
        <w:rPr>
          <w:rFonts w:hint="eastAsia" w:ascii="宋体" w:hAnsi="宋体" w:cs="宋体"/>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（采购单位名称）：</w:t>
      </w:r>
    </w:p>
    <w:p>
      <w:pPr>
        <w:snapToGrid w:val="0"/>
        <w:spacing w:before="120" w:beforeLines="50" w:after="50" w:line="276" w:lineRule="auto"/>
        <w:ind w:firstLine="720" w:firstLineChars="300"/>
        <w:rPr>
          <w:rFonts w:hint="eastAsia" w:ascii="宋体" w:hAnsi="宋体" w:cs="宋体"/>
          <w:color w:val="000000"/>
          <w:sz w:val="24"/>
          <w:szCs w:val="20"/>
        </w:rPr>
      </w:pPr>
      <w:r>
        <w:rPr>
          <w:rFonts w:hint="eastAsia" w:ascii="宋体" w:hAnsi="宋体" w:cs="宋体"/>
          <w:color w:val="000000"/>
          <w:sz w:val="24"/>
          <w:u w:val="single"/>
        </w:rPr>
        <w:t xml:space="preserve">              </w:t>
      </w:r>
      <w:r>
        <w:rPr>
          <w:rFonts w:hint="eastAsia" w:ascii="宋体" w:hAnsi="宋体" w:cs="宋体"/>
          <w:color w:val="000000"/>
          <w:sz w:val="24"/>
        </w:rPr>
        <w:t>（投标供应商名称）系中华人民共和国合法企业，经营地址</w:t>
      </w:r>
      <w:r>
        <w:rPr>
          <w:rFonts w:hint="eastAsia" w:ascii="宋体" w:hAnsi="宋体" w:cs="宋体"/>
          <w:color w:val="000000"/>
          <w:sz w:val="24"/>
          <w:u w:val="single"/>
        </w:rPr>
        <w:t xml:space="preserve">                               </w:t>
      </w:r>
      <w:r>
        <w:rPr>
          <w:rFonts w:hint="eastAsia" w:ascii="宋体" w:hAnsi="宋体" w:cs="宋体"/>
          <w:color w:val="000000"/>
          <w:sz w:val="24"/>
        </w:rPr>
        <w:t>。</w:t>
      </w:r>
    </w:p>
    <w:p>
      <w:pPr>
        <w:snapToGrid w:val="0"/>
        <w:spacing w:before="120" w:beforeLines="50" w:after="50" w:line="276" w:lineRule="auto"/>
        <w:ind w:firstLine="645"/>
        <w:rPr>
          <w:rFonts w:hint="eastAsia" w:ascii="宋体" w:hAnsi="宋体" w:cs="宋体"/>
          <w:color w:val="000000"/>
          <w:sz w:val="24"/>
          <w:szCs w:val="20"/>
        </w:rPr>
      </w:pPr>
      <w:r>
        <w:rPr>
          <w:rFonts w:hint="eastAsia" w:ascii="宋体" w:hAnsi="宋体" w:cs="宋体"/>
          <w:color w:val="000000"/>
          <w:sz w:val="24"/>
        </w:rPr>
        <w:t>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（投标供应商名称）的法定代表人，我方愿意参加贵方组织的</w:t>
      </w:r>
      <w:r>
        <w:rPr>
          <w:rFonts w:hint="eastAsia" w:ascii="宋体" w:hAnsi="宋体" w:cs="宋体"/>
          <w:color w:val="000000"/>
          <w:sz w:val="24"/>
          <w:u w:val="single"/>
        </w:rPr>
        <w:t xml:space="preserve">                </w:t>
      </w:r>
      <w:r>
        <w:rPr>
          <w:rFonts w:hint="eastAsia" w:ascii="宋体" w:hAnsi="宋体" w:cs="宋体"/>
          <w:color w:val="000000"/>
          <w:sz w:val="24"/>
        </w:rPr>
        <w:t>项目的投标，为便于贵方公正、择优地确定中标供应商及其投标产品和服务，我方就本次投标有关事项郑重声明如下：</w:t>
      </w:r>
    </w:p>
    <w:p>
      <w:pPr>
        <w:pStyle w:val="6"/>
        <w:spacing w:line="276" w:lineRule="auto"/>
        <w:ind w:firstLine="464" w:firstLineChars="200"/>
        <w:rPr>
          <w:rFonts w:hint="eastAsia" w:hAnsi="宋体" w:cs="宋体"/>
          <w:color w:val="000000"/>
          <w:sz w:val="24"/>
          <w:szCs w:val="24"/>
        </w:rPr>
      </w:pPr>
      <w:r>
        <w:rPr>
          <w:rFonts w:hAnsi="宋体" w:cs="宋体"/>
          <w:color w:val="000000"/>
          <w:sz w:val="24"/>
        </w:rPr>
        <w:t>1.</w:t>
      </w:r>
      <w:r>
        <w:rPr>
          <w:rFonts w:hint="eastAsia" w:hAnsi="宋体" w:cs="宋体"/>
          <w:color w:val="000000"/>
          <w:sz w:val="24"/>
        </w:rPr>
        <w:t>我方向贵方提交的所有投标文件、资料都是准确的和真实的。</w:t>
      </w:r>
    </w:p>
    <w:p>
      <w:pPr>
        <w:snapToGrid w:val="0"/>
        <w:spacing w:before="120" w:beforeLines="50" w:line="276" w:lineRule="auto"/>
        <w:ind w:firstLine="480" w:firstLineChars="200"/>
        <w:rPr>
          <w:rFonts w:ascii="宋体" w:hAnsi="宋体" w:cs="宋体"/>
          <w:color w:val="000000"/>
          <w:sz w:val="24"/>
          <w:szCs w:val="20"/>
        </w:rPr>
      </w:pPr>
      <w:r>
        <w:rPr>
          <w:rFonts w:hint="eastAsia" w:ascii="宋体" w:hAnsi="宋体" w:cs="宋体"/>
          <w:color w:val="000000"/>
          <w:sz w:val="24"/>
        </w:rPr>
        <w:t>2.</w:t>
      </w:r>
      <w:r>
        <w:rPr>
          <w:rFonts w:hint="eastAsia" w:ascii="宋体" w:hAnsi="宋体"/>
          <w:color w:val="000000"/>
          <w:sz w:val="24"/>
        </w:rPr>
        <w:t>我方不是采购人的附属机构</w:t>
      </w:r>
      <w:r>
        <w:rPr>
          <w:rFonts w:hint="eastAsia" w:ascii="宋体" w:hAnsi="宋体" w:cs="宋体"/>
          <w:color w:val="000000"/>
          <w:sz w:val="24"/>
        </w:rPr>
        <w:t>，与为采购人采购本次招标的服务进行编制规范和其他文件所委托的咨询公司或其附属机构无任何直接或间接的关联。</w:t>
      </w:r>
    </w:p>
    <w:p>
      <w:pPr>
        <w:snapToGrid w:val="0"/>
        <w:spacing w:before="120" w:beforeLines="50" w:line="276" w:lineRule="auto"/>
        <w:ind w:firstLine="480" w:firstLineChars="200"/>
        <w:rPr>
          <w:rFonts w:hint="eastAsia" w:ascii="宋体" w:hAnsi="宋体" w:cs="宋体"/>
          <w:color w:val="000000"/>
          <w:sz w:val="24"/>
          <w:szCs w:val="20"/>
        </w:rPr>
      </w:pPr>
      <w:r>
        <w:rPr>
          <w:rFonts w:hint="eastAsia" w:ascii="宋体" w:hAnsi="宋体" w:cs="宋体"/>
          <w:color w:val="000000"/>
          <w:sz w:val="24"/>
        </w:rPr>
        <w:t>3.我方此次向贵方提供的服务名称为：</w:t>
      </w:r>
      <w:r>
        <w:rPr>
          <w:rFonts w:hint="eastAsia" w:ascii="宋体" w:hAnsi="宋体" w:cs="宋体"/>
          <w:color w:val="000000"/>
          <w:sz w:val="24"/>
          <w:u w:val="single"/>
        </w:rPr>
        <w:t xml:space="preserve">  </w:t>
      </w:r>
      <w:r>
        <w:rPr>
          <w:rFonts w:hint="eastAsia" w:ascii="宋体" w:hAnsi="宋体" w:cs="宋体"/>
          <w:bCs/>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，该服务我方有能力完成。</w:t>
      </w:r>
    </w:p>
    <w:p>
      <w:pPr>
        <w:snapToGrid w:val="0"/>
        <w:spacing w:before="120" w:beforeLines="50" w:line="276" w:lineRule="auto"/>
        <w:ind w:firstLine="480" w:firstLineChars="200"/>
        <w:rPr>
          <w:rFonts w:hint="eastAsia" w:ascii="宋体" w:hAnsi="宋体" w:cs="宋体"/>
          <w:color w:val="000000"/>
          <w:sz w:val="24"/>
          <w:szCs w:val="20"/>
          <w:u w:val="single"/>
        </w:rPr>
      </w:pPr>
      <w:r>
        <w:rPr>
          <w:rFonts w:hint="eastAsia" w:ascii="宋体" w:hAnsi="宋体" w:cs="宋体"/>
          <w:color w:val="000000"/>
          <w:sz w:val="24"/>
        </w:rPr>
        <w:t>4.我方诚意提请贵方关注：近期有关服务的组织、人员、能力、售后服务等方面的重大决策和事项有：</w:t>
      </w:r>
      <w:r>
        <w:rPr>
          <w:rFonts w:hint="eastAsia" w:ascii="宋体" w:hAnsi="宋体" w:cs="宋体"/>
          <w:color w:val="000000"/>
          <w:sz w:val="24"/>
          <w:u w:val="single"/>
        </w:rPr>
        <w:t>　　　　　　　　　　　　　　　　　　　　　　　　　</w:t>
      </w:r>
    </w:p>
    <w:p>
      <w:pPr>
        <w:pStyle w:val="6"/>
        <w:snapToGrid w:val="0"/>
        <w:spacing w:line="276" w:lineRule="auto"/>
        <w:ind w:firstLine="464" w:firstLineChars="200"/>
        <w:rPr>
          <w:rFonts w:hint="eastAsia" w:hAnsi="宋体" w:cs="宋体"/>
          <w:color w:val="000000"/>
          <w:sz w:val="24"/>
        </w:rPr>
      </w:pPr>
      <w:r>
        <w:rPr>
          <w:rFonts w:hAnsi="宋体" w:cs="宋体"/>
          <w:color w:val="000000"/>
          <w:sz w:val="24"/>
        </w:rPr>
        <w:t>5.</w:t>
      </w:r>
      <w:r>
        <w:rPr>
          <w:rFonts w:hint="eastAsia" w:hAnsi="宋体" w:cs="宋体"/>
          <w:color w:val="000000"/>
          <w:sz w:val="24"/>
        </w:rPr>
        <w:t>我方及由本人担任法定代表人的其他机构最近三年内被通报或者被处罚的违法行为有：</w:t>
      </w:r>
    </w:p>
    <w:p>
      <w:pPr>
        <w:pStyle w:val="6"/>
        <w:snapToGrid w:val="0"/>
        <w:spacing w:line="276" w:lineRule="auto"/>
        <w:ind w:firstLine="464" w:firstLineChars="200"/>
        <w:rPr>
          <w:rFonts w:hint="eastAsia" w:hAnsi="宋体" w:cs="宋体"/>
          <w:color w:val="000000"/>
          <w:sz w:val="24"/>
          <w:szCs w:val="24"/>
          <w:u w:val="single"/>
        </w:rPr>
      </w:pPr>
      <w:r>
        <w:rPr>
          <w:rFonts w:hint="eastAsia" w:hAnsi="宋体" w:cs="宋体"/>
          <w:color w:val="000000"/>
          <w:sz w:val="24"/>
          <w:u w:val="single"/>
        </w:rPr>
        <w:t>　　　　　　　　　　　　　　　　　　　　　　　　　　　</w:t>
      </w:r>
    </w:p>
    <w:p>
      <w:pPr>
        <w:pStyle w:val="6"/>
        <w:spacing w:line="276" w:lineRule="auto"/>
        <w:ind w:firstLine="464" w:firstLineChars="200"/>
        <w:rPr>
          <w:rFonts w:hAnsi="宋体" w:cs="宋体"/>
          <w:color w:val="000000"/>
          <w:sz w:val="24"/>
        </w:rPr>
      </w:pPr>
      <w:r>
        <w:rPr>
          <w:rFonts w:hAnsi="宋体" w:cs="宋体"/>
          <w:color w:val="000000"/>
          <w:sz w:val="24"/>
        </w:rPr>
        <w:t>6.</w:t>
      </w:r>
      <w:r>
        <w:rPr>
          <w:rFonts w:hint="eastAsia" w:hAnsi="宋体" w:cs="宋体"/>
          <w:color w:val="000000"/>
          <w:sz w:val="24"/>
        </w:rPr>
        <w:t>我们已详细审查全部采购文件及有关的澄清、修改文件（若有的话），我们完全理解并同意放弃对这方面提出任何异议的权利。保证遵守采购文件有关条款规定。</w:t>
      </w:r>
    </w:p>
    <w:p>
      <w:pPr>
        <w:pStyle w:val="6"/>
        <w:spacing w:line="276" w:lineRule="auto"/>
        <w:ind w:firstLine="464" w:firstLineChars="200"/>
        <w:rPr>
          <w:rFonts w:hAnsi="宋体" w:cs="宋体"/>
          <w:color w:val="000000"/>
          <w:sz w:val="24"/>
        </w:rPr>
      </w:pPr>
      <w:r>
        <w:rPr>
          <w:rFonts w:hAnsi="宋体" w:cs="宋体"/>
          <w:color w:val="000000"/>
          <w:sz w:val="24"/>
        </w:rPr>
        <w:t xml:space="preserve">7. </w:t>
      </w:r>
      <w:r>
        <w:rPr>
          <w:rFonts w:hint="eastAsia" w:hAnsi="宋体" w:cs="宋体"/>
          <w:color w:val="000000"/>
          <w:sz w:val="24"/>
        </w:rPr>
        <w:t>保证在中标后忠实地执行与采购人所签署的合同，并承担合同规定的责任义务。承诺按采购人要求作好保密工作。</w:t>
      </w:r>
    </w:p>
    <w:p>
      <w:pPr>
        <w:pStyle w:val="6"/>
        <w:spacing w:line="276" w:lineRule="auto"/>
        <w:ind w:firstLine="464" w:firstLineChars="200"/>
        <w:rPr>
          <w:rFonts w:hAnsi="宋体" w:cs="宋体"/>
          <w:color w:val="000000"/>
          <w:sz w:val="24"/>
        </w:rPr>
      </w:pPr>
      <w:r>
        <w:rPr>
          <w:rFonts w:hAnsi="宋体" w:cs="宋体"/>
          <w:color w:val="000000"/>
          <w:sz w:val="24"/>
        </w:rPr>
        <w:t xml:space="preserve">8. </w:t>
      </w:r>
      <w:r>
        <w:rPr>
          <w:rFonts w:hint="eastAsia" w:hAnsi="宋体" w:cs="宋体"/>
          <w:color w:val="000000"/>
          <w:sz w:val="24"/>
        </w:rPr>
        <w:t>我们郑重承诺：我公司符合政府采购法规定的参加采购活动应当具备的条件：具有健全的财务会计制度、依法缴纳税收和社会保障资金、参加本次采购活动之前的三年内，在经营活动中无重大违法活动，并在人员、设备、技术、资金、售后服务等方面具有履行合同所需的设备与专业技术能力。我公司未被列入失信被执行人名单、重大税收违法案件当事人名单、政府采购严重违法失信行为记录名单。且我公司与参加本次项目同一合同项下政府采购活动的其他供应商不存在单位负责人为同一人或者直接控股、管理关系。</w:t>
      </w:r>
    </w:p>
    <w:p>
      <w:pPr>
        <w:snapToGrid w:val="0"/>
        <w:spacing w:line="276" w:lineRule="auto"/>
        <w:ind w:firstLine="480" w:firstLineChars="200"/>
        <w:rPr>
          <w:rFonts w:hint="eastAsia" w:ascii="宋体" w:hAnsi="宋体" w:cs="宋体"/>
          <w:color w:val="000000"/>
          <w:sz w:val="24"/>
        </w:rPr>
      </w:pPr>
      <w:r>
        <w:rPr>
          <w:rFonts w:hint="eastAsia" w:ascii="宋体" w:hAnsi="宋体" w:cs="宋体"/>
          <w:color w:val="000000"/>
          <w:sz w:val="24"/>
        </w:rPr>
        <w:t>9.以上事项如有虚假或隐瞒，我方愿意承担一切后果，并不再寻求任何旨在减轻或免除法律责任的辩解。</w:t>
      </w:r>
    </w:p>
    <w:p>
      <w:pPr>
        <w:snapToGrid w:val="0"/>
        <w:spacing w:before="120" w:beforeLines="50"/>
        <w:ind w:right="480" w:firstLine="3720" w:firstLineChars="1550"/>
        <w:rPr>
          <w:rFonts w:hint="eastAsia" w:ascii="宋体" w:hAnsi="宋体" w:cs="宋体"/>
          <w:color w:val="000000"/>
          <w:sz w:val="24"/>
          <w:szCs w:val="20"/>
          <w:u w:val="single"/>
        </w:rPr>
      </w:pPr>
      <w:r>
        <w:rPr>
          <w:rFonts w:hint="eastAsia" w:ascii="宋体" w:hAnsi="宋体" w:cs="宋体"/>
          <w:color w:val="000000"/>
          <w:sz w:val="24"/>
        </w:rPr>
        <w:t>法定代表人（签名或盖章）：</w:t>
      </w:r>
      <w:r>
        <w:rPr>
          <w:rFonts w:hint="eastAsia" w:ascii="宋体" w:hAnsi="宋体" w:cs="宋体"/>
          <w:color w:val="000000"/>
          <w:sz w:val="24"/>
          <w:u w:val="single"/>
        </w:rPr>
        <w:t xml:space="preserve">             </w:t>
      </w:r>
    </w:p>
    <w:p>
      <w:pPr>
        <w:snapToGrid w:val="0"/>
        <w:spacing w:before="120" w:beforeLines="50" w:after="50"/>
        <w:ind w:right="480" w:firstLine="240" w:firstLineChars="100"/>
        <w:jc w:val="center"/>
        <w:rPr>
          <w:rFonts w:hint="eastAsia" w:ascii="宋体" w:hAnsi="宋体" w:cs="宋体"/>
          <w:color w:val="000000"/>
          <w:sz w:val="24"/>
        </w:rPr>
      </w:pPr>
      <w:r>
        <w:rPr>
          <w:rFonts w:hint="eastAsia" w:ascii="宋体" w:hAnsi="宋体" w:cs="宋体"/>
          <w:color w:val="000000"/>
          <w:sz w:val="24"/>
        </w:rPr>
        <w:t xml:space="preserve">        投标供应商（盖章）：</w:t>
      </w:r>
      <w:r>
        <w:rPr>
          <w:rFonts w:hint="eastAsia" w:ascii="宋体" w:hAnsi="宋体" w:cs="宋体"/>
          <w:color w:val="000000"/>
          <w:sz w:val="24"/>
          <w:u w:val="single"/>
        </w:rPr>
        <w:t xml:space="preserve">               </w:t>
      </w:r>
    </w:p>
    <w:p>
      <w:pPr>
        <w:snapToGrid w:val="0"/>
        <w:spacing w:before="120" w:beforeLines="50" w:after="50"/>
        <w:ind w:firstLine="240" w:firstLineChars="100"/>
        <w:rPr>
          <w:rFonts w:hint="eastAsia" w:ascii="宋体" w:hAnsi="宋体" w:cs="宋体"/>
          <w:color w:val="000000"/>
          <w:sz w:val="24"/>
        </w:rPr>
      </w:pPr>
      <w:r>
        <w:rPr>
          <w:rFonts w:hint="eastAsia" w:ascii="宋体" w:hAnsi="宋体" w:cs="宋体"/>
          <w:color w:val="000000"/>
          <w:sz w:val="24"/>
        </w:rPr>
        <w:t xml:space="preserve">                                                             年    月    日</w:t>
      </w:r>
    </w:p>
    <w:p>
      <w:pPr>
        <w:snapToGrid w:val="0"/>
        <w:spacing w:before="120" w:beforeLines="50" w:after="50"/>
        <w:ind w:firstLine="240" w:firstLineChars="100"/>
        <w:rPr>
          <w:rFonts w:hint="eastAsia" w:ascii="宋体" w:hAnsi="宋体" w:cs="宋体"/>
          <w:color w:val="000000"/>
          <w:sz w:val="24"/>
        </w:rPr>
      </w:pPr>
    </w:p>
    <w:p>
      <w:pPr>
        <w:snapToGrid w:val="0"/>
        <w:spacing w:before="120" w:beforeLines="50" w:after="50"/>
        <w:ind w:firstLine="240" w:firstLineChars="100"/>
        <w:rPr>
          <w:rFonts w:hint="eastAsia" w:ascii="宋体" w:hAnsi="宋体" w:cs="宋体"/>
          <w:color w:val="000000"/>
          <w:sz w:val="24"/>
        </w:rPr>
      </w:pPr>
    </w:p>
    <w:p>
      <w:pPr>
        <w:snapToGrid w:val="0"/>
        <w:spacing w:before="120" w:beforeLines="50" w:after="50"/>
        <w:ind w:firstLine="240" w:firstLineChars="100"/>
        <w:rPr>
          <w:rFonts w:hint="eastAsia" w:ascii="宋体" w:hAnsi="宋体" w:cs="宋体"/>
          <w:color w:val="000000"/>
          <w:sz w:val="24"/>
          <w:szCs w:val="20"/>
        </w:rPr>
      </w:pPr>
    </w:p>
    <w:p>
      <w:pPr>
        <w:snapToGrid w:val="0"/>
        <w:spacing w:before="120" w:beforeLines="50" w:after="50"/>
        <w:ind w:firstLine="240" w:firstLineChars="100"/>
        <w:rPr>
          <w:rFonts w:hint="eastAsia" w:ascii="宋体" w:hAnsi="宋体" w:cs="宋体"/>
          <w:color w:val="000000"/>
          <w:sz w:val="24"/>
          <w:szCs w:val="20"/>
        </w:rPr>
      </w:pPr>
    </w:p>
    <w:p>
      <w:pPr>
        <w:pStyle w:val="4"/>
        <w:rPr>
          <w:rFonts w:ascii="宋体" w:hAnsi="宋体"/>
          <w:color w:val="000000"/>
          <w:sz w:val="24"/>
        </w:rPr>
      </w:pPr>
      <w:r>
        <w:rPr>
          <w:rFonts w:hint="eastAsia" w:ascii="宋体" w:hAnsi="宋体"/>
          <w:color w:val="000000"/>
          <w:sz w:val="24"/>
        </w:rPr>
        <w:t>4.法定代表人授权委托书格式：</w:t>
      </w:r>
    </w:p>
    <w:p>
      <w:pPr>
        <w:snapToGrid w:val="0"/>
        <w:spacing w:before="120" w:beforeLines="50" w:after="50"/>
        <w:jc w:val="center"/>
        <w:rPr>
          <w:rFonts w:ascii="宋体" w:hAnsi="宋体"/>
          <w:b/>
          <w:color w:val="000000"/>
          <w:sz w:val="24"/>
          <w:szCs w:val="20"/>
        </w:rPr>
      </w:pPr>
      <w:r>
        <w:rPr>
          <w:rFonts w:hint="eastAsia" w:ascii="宋体" w:hAnsi="宋体"/>
          <w:b/>
          <w:color w:val="000000"/>
          <w:sz w:val="24"/>
        </w:rPr>
        <w:t>法定代表人授权委托书</w:t>
      </w:r>
    </w:p>
    <w:p>
      <w:pPr>
        <w:snapToGrid w:val="0"/>
        <w:spacing w:before="120" w:beforeLines="50" w:after="50"/>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u w:val="single"/>
        </w:rPr>
        <w:t xml:space="preserve">                 </w:t>
      </w:r>
      <w:r>
        <w:rPr>
          <w:rFonts w:hint="eastAsia" w:ascii="宋体" w:hAnsi="宋体"/>
          <w:color w:val="000000"/>
          <w:sz w:val="24"/>
        </w:rPr>
        <w:t>（采购单位名称）</w:t>
      </w:r>
      <w:r>
        <w:rPr>
          <w:rFonts w:ascii="宋体" w:hAnsi="宋体"/>
          <w:b/>
          <w:bCs/>
          <w:color w:val="000000"/>
          <w:sz w:val="24"/>
        </w:rPr>
        <w:t xml:space="preserve"> </w:t>
      </w:r>
      <w:r>
        <w:rPr>
          <w:rFonts w:hint="eastAsia" w:ascii="宋体" w:hAnsi="宋体"/>
          <w:color w:val="000000"/>
          <w:sz w:val="24"/>
        </w:rPr>
        <w:t>：</w:t>
      </w:r>
    </w:p>
    <w:p>
      <w:pPr>
        <w:snapToGrid w:val="0"/>
        <w:spacing w:before="120" w:beforeLines="50" w:after="50"/>
        <w:ind w:firstLine="720" w:firstLineChars="300"/>
        <w:rPr>
          <w:rFonts w:ascii="宋体" w:hAnsi="宋体"/>
          <w:color w:val="000000"/>
          <w:sz w:val="24"/>
          <w:szCs w:val="20"/>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（投标供应商名称）的法定代表人，现授权委托本单位在职职工</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（姓名）以我方的名义参加</w:t>
      </w:r>
      <w:r>
        <w:rPr>
          <w:rFonts w:ascii="宋体" w:hAnsi="宋体"/>
          <w:color w:val="000000"/>
          <w:sz w:val="24"/>
          <w:u w:val="single"/>
        </w:rPr>
        <w:t xml:space="preserve">   ABC</w:t>
      </w:r>
      <w:r>
        <w:rPr>
          <w:rFonts w:hint="eastAsia" w:ascii="宋体" w:hAnsi="宋体"/>
          <w:color w:val="000000"/>
          <w:sz w:val="24"/>
          <w:u w:val="single"/>
        </w:rPr>
        <w:t>单位</w:t>
      </w:r>
      <w:r>
        <w:rPr>
          <w:rFonts w:ascii="宋体" w:hAnsi="宋体"/>
          <w:color w:val="000000"/>
          <w:sz w:val="24"/>
          <w:u w:val="single"/>
        </w:rPr>
        <w:t>XYZ</w:t>
      </w:r>
      <w:r>
        <w:rPr>
          <w:rFonts w:hint="eastAsia" w:ascii="宋体" w:hAnsi="宋体"/>
          <w:color w:val="000000"/>
          <w:sz w:val="24"/>
          <w:u w:val="single"/>
        </w:rPr>
        <w:t>政府采购</w:t>
      </w:r>
      <w:r>
        <w:rPr>
          <w:rFonts w:ascii="宋体" w:hAnsi="宋体"/>
          <w:color w:val="000000"/>
          <w:sz w:val="24"/>
          <w:u w:val="single"/>
        </w:rPr>
        <w:t xml:space="preserve">          </w:t>
      </w:r>
      <w:r>
        <w:rPr>
          <w:rFonts w:hint="eastAsia" w:ascii="宋体" w:hAnsi="宋体"/>
          <w:color w:val="000000"/>
          <w:sz w:val="24"/>
        </w:rPr>
        <w:t>项目的投标活动，并代表我方全权办理针对上述项目的投标、开标、评标、签约等具体事务和签署相关文件。</w:t>
      </w:r>
    </w:p>
    <w:p>
      <w:pPr>
        <w:snapToGrid w:val="0"/>
        <w:spacing w:before="120" w:beforeLines="50" w:after="50"/>
        <w:rPr>
          <w:rFonts w:ascii="宋体" w:hAnsi="宋体"/>
          <w:color w:val="000000"/>
          <w:sz w:val="24"/>
          <w:szCs w:val="20"/>
        </w:rPr>
      </w:pPr>
      <w:r>
        <w:rPr>
          <w:rFonts w:ascii="宋体" w:hAnsi="宋体"/>
          <w:color w:val="000000"/>
          <w:sz w:val="24"/>
        </w:rPr>
        <w:t xml:space="preserve">    </w:t>
      </w:r>
      <w:r>
        <w:rPr>
          <w:rFonts w:hint="eastAsia" w:ascii="宋体" w:hAnsi="宋体"/>
          <w:color w:val="000000"/>
          <w:sz w:val="24"/>
        </w:rPr>
        <w:t>我方对被授权人的签名事项负全部责任。</w:t>
      </w:r>
    </w:p>
    <w:p>
      <w:pPr>
        <w:snapToGrid w:val="0"/>
        <w:spacing w:before="120" w:beforeLines="50" w:after="50"/>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u w:val="single"/>
        </w:rPr>
      </w:pPr>
      <w:r>
        <w:rPr>
          <w:rFonts w:ascii="宋体" w:hAnsi="宋体"/>
          <w:color w:val="000000"/>
          <w:sz w:val="24"/>
        </w:rPr>
        <w:t>被授权人签名：</w:t>
      </w:r>
      <w:r>
        <w:rPr>
          <w:rFonts w:ascii="宋体" w:hAnsi="宋体"/>
          <w:color w:val="000000"/>
          <w:sz w:val="24"/>
          <w:u w:val="single"/>
        </w:rPr>
        <w:t xml:space="preserve">          </w:t>
      </w:r>
      <w:r>
        <w:rPr>
          <w:rFonts w:ascii="宋体" w:hAnsi="宋体"/>
          <w:color w:val="000000"/>
          <w:sz w:val="24"/>
        </w:rPr>
        <w:t xml:space="preserve">                 法定代表人签名：</w:t>
      </w:r>
      <w:r>
        <w:rPr>
          <w:rFonts w:ascii="宋体" w:hAnsi="宋体"/>
          <w:color w:val="000000"/>
          <w:sz w:val="24"/>
          <w:u w:val="single"/>
        </w:rPr>
        <w:t xml:space="preserve">          </w:t>
      </w:r>
    </w:p>
    <w:p>
      <w:pPr>
        <w:snapToGrid w:val="0"/>
        <w:spacing w:before="120" w:beforeLines="50" w:after="50"/>
        <w:ind w:firstLine="960" w:firstLineChars="400"/>
        <w:rPr>
          <w:rFonts w:hint="eastAsia" w:ascii="宋体" w:hAnsi="宋体"/>
          <w:color w:val="000000"/>
          <w:sz w:val="24"/>
          <w:u w:val="single"/>
        </w:rPr>
      </w:pP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职务：</w:t>
      </w:r>
      <w:r>
        <w:rPr>
          <w:rFonts w:ascii="宋体" w:hAnsi="宋体"/>
          <w:color w:val="000000"/>
          <w:sz w:val="24"/>
          <w:u w:val="single"/>
        </w:rPr>
        <w:t xml:space="preserve">           </w:t>
      </w:r>
    </w:p>
    <w:p>
      <w:pPr>
        <w:snapToGrid w:val="0"/>
        <w:spacing w:before="120" w:beforeLines="50" w:after="50"/>
        <w:ind w:firstLine="960" w:firstLineChars="400"/>
        <w:rPr>
          <w:rFonts w:ascii="宋体" w:hAnsi="宋体"/>
          <w:color w:val="000000"/>
          <w:sz w:val="24"/>
          <w:szCs w:val="20"/>
        </w:rPr>
      </w:pPr>
      <w:r>
        <w:rPr>
          <w:rFonts w:hint="eastAsia" w:ascii="宋体" w:hAnsi="宋体"/>
          <w:color w:val="000000"/>
          <w:sz w:val="24"/>
          <w:szCs w:val="20"/>
        </w:rPr>
        <w:t>联系电话：</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szCs w:val="20"/>
        </w:rPr>
        <w:t>联系电话：</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napToGrid w:val="0"/>
        <w:spacing w:before="120" w:beforeLines="50" w:after="50"/>
        <w:rPr>
          <w:rFonts w:ascii="宋体" w:hAnsi="宋体"/>
          <w:color w:val="000000"/>
          <w:sz w:val="24"/>
          <w:szCs w:val="20"/>
        </w:rPr>
      </w:pPr>
      <w:r>
        <w:rPr>
          <w:rFonts w:ascii="宋体" w:hAnsi="宋体"/>
          <w:color w:val="000000"/>
          <w:sz w:val="24"/>
        </w:rPr>
        <w:t>被授权人身份证号码：</w:t>
      </w:r>
      <w:r>
        <w:rPr>
          <w:rFonts w:ascii="宋体" w:hAnsi="宋体"/>
          <w:color w:val="000000"/>
          <w:sz w:val="24"/>
          <w:u w:val="single"/>
        </w:rPr>
        <w:t xml:space="preserve">                             </w:t>
      </w:r>
      <w:r>
        <w:rPr>
          <w:rFonts w:ascii="宋体" w:hAnsi="宋体"/>
          <w:color w:val="000000"/>
          <w:sz w:val="24"/>
        </w:rPr>
        <w:t xml:space="preserve"> </w:t>
      </w:r>
    </w:p>
    <w:p>
      <w:pPr>
        <w:snapToGrid w:val="0"/>
        <w:spacing w:before="120" w:beforeLines="50" w:after="50"/>
        <w:rPr>
          <w:rFonts w:ascii="宋体" w:hAnsi="宋体"/>
          <w:color w:val="000000"/>
          <w:sz w:val="24"/>
          <w:szCs w:val="20"/>
        </w:rPr>
      </w:pPr>
      <w:r>
        <w:rPr>
          <w:rFonts w:ascii="宋体" w:hAnsi="宋体"/>
          <w:color w:val="000000"/>
          <w:sz w:val="24"/>
        </w:rPr>
        <w:t xml:space="preserve">                                     </w:t>
      </w:r>
      <w:r>
        <w:rPr>
          <w:rFonts w:hint="eastAsia" w:ascii="宋体" w:hAnsi="宋体" w:cs="宋体"/>
          <w:color w:val="000000"/>
          <w:sz w:val="24"/>
        </w:rPr>
        <w:t>投标供应商（盖章）：</w:t>
      </w:r>
      <w:r>
        <w:rPr>
          <w:rFonts w:hint="eastAsia" w:ascii="宋体" w:hAnsi="宋体" w:cs="宋体"/>
          <w:color w:val="000000"/>
          <w:sz w:val="24"/>
          <w:u w:val="single"/>
        </w:rPr>
        <w:t xml:space="preserve">               </w:t>
      </w:r>
    </w:p>
    <w:p>
      <w:pPr>
        <w:snapToGrid w:val="0"/>
        <w:spacing w:before="120" w:beforeLines="50" w:after="50"/>
        <w:jc w:val="center"/>
        <w:rPr>
          <w:rFonts w:ascii="宋体" w:hAnsi="宋体"/>
          <w:color w:val="000000"/>
          <w:sz w:val="24"/>
          <w:szCs w:val="20"/>
        </w:rPr>
      </w:pPr>
      <w:r>
        <w:rPr>
          <w:rFonts w:ascii="宋体" w:hAnsi="宋体"/>
          <w:color w:val="000000"/>
          <w:sz w:val="24"/>
        </w:rPr>
        <w:t xml:space="preserve">                                        年    月    日</w:t>
      </w:r>
    </w:p>
    <w:p>
      <w:pPr>
        <w:snapToGrid w:val="0"/>
        <w:spacing w:before="120" w:beforeLines="50" w:after="50"/>
        <w:ind w:firstLine="3600" w:firstLineChars="1500"/>
        <w:rPr>
          <w:rFonts w:ascii="宋体" w:hAnsi="宋体"/>
          <w:color w:val="000000"/>
          <w:sz w:val="24"/>
          <w:szCs w:val="20"/>
        </w:rPr>
      </w:pPr>
    </w:p>
    <w:p>
      <w:pPr>
        <w:snapToGrid w:val="0"/>
        <w:spacing w:before="120" w:beforeLines="50" w:after="50"/>
        <w:rPr>
          <w:rFonts w:hint="eastAsia" w:ascii="宋体" w:hAnsi="宋体"/>
          <w:color w:val="000000"/>
          <w:sz w:val="24"/>
        </w:rPr>
      </w:pPr>
      <w:r>
        <w:rPr>
          <w:rFonts w:hint="eastAsia" w:ascii="宋体" w:hAnsi="宋体"/>
          <w:color w:val="000000"/>
          <w:sz w:val="24"/>
        </w:rPr>
        <w:t>法定代表人身份证扫描件：</w:t>
      </w: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r>
        <w:rPr>
          <w:rFonts w:hint="eastAsia" w:ascii="宋体" w:hAnsi="宋体"/>
          <w:color w:val="000000"/>
          <w:sz w:val="24"/>
        </w:rPr>
        <w:t>被授权人身份证扫描件：</w:t>
      </w: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pStyle w:val="4"/>
        <w:rPr>
          <w:rFonts w:hint="eastAsia" w:ascii="宋体" w:hAnsi="宋体"/>
          <w:color w:val="000000"/>
          <w:sz w:val="24"/>
        </w:rPr>
      </w:pPr>
      <w:r>
        <w:rPr>
          <w:rFonts w:hint="eastAsia" w:ascii="宋体" w:hAnsi="宋体"/>
          <w:color w:val="000000"/>
          <w:sz w:val="24"/>
        </w:rPr>
        <w:t>5.依法缴纳税收和社保资金的承诺函格式：</w:t>
      </w:r>
    </w:p>
    <w:p>
      <w:pPr>
        <w:snapToGrid w:val="0"/>
        <w:spacing w:before="120" w:beforeLines="50" w:after="50"/>
        <w:jc w:val="center"/>
        <w:rPr>
          <w:rFonts w:ascii="宋体" w:hAnsi="宋体"/>
          <w:color w:val="000000"/>
          <w:sz w:val="30"/>
          <w:szCs w:val="30"/>
          <w:lang w:val="zh-CN"/>
        </w:rPr>
      </w:pPr>
      <w:r>
        <w:rPr>
          <w:rFonts w:hint="eastAsia" w:ascii="宋体" w:hAnsi="宋体"/>
          <w:b/>
          <w:color w:val="000000"/>
          <w:sz w:val="24"/>
        </w:rPr>
        <w:t>依法缴纳税收和社会保障资金的承诺函</w:t>
      </w:r>
    </w:p>
    <w:p>
      <w:pPr>
        <w:spacing w:line="460" w:lineRule="exact"/>
        <w:rPr>
          <w:rFonts w:hint="eastAsia" w:ascii="宋体" w:hAnsi="宋体" w:cs="宋体"/>
          <w:color w:val="000000"/>
          <w:sz w:val="24"/>
          <w:u w:val="single"/>
        </w:rPr>
      </w:pPr>
      <w:r>
        <w:rPr>
          <w:rFonts w:hint="eastAsia" w:ascii="宋体" w:hAnsi="宋体" w:cs="黑体"/>
          <w:color w:val="000000"/>
          <w:sz w:val="22"/>
          <w:u w:val="single"/>
        </w:rPr>
        <w:t>（</w:t>
      </w:r>
      <w:r>
        <w:rPr>
          <w:rFonts w:hint="eastAsia" w:ascii="宋体" w:hAnsi="宋体" w:cs="宋体"/>
          <w:color w:val="000000"/>
          <w:sz w:val="24"/>
          <w:u w:val="single"/>
        </w:rPr>
        <w:t>采购单位名称）、金华市公共资源交易中心浦江县分中心：</w:t>
      </w: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我方</w:t>
      </w:r>
      <w:r>
        <w:rPr>
          <w:rFonts w:hint="eastAsia" w:ascii="宋体" w:hAnsi="宋体" w:cs="Courier New"/>
          <w:color w:val="000000"/>
          <w:sz w:val="24"/>
          <w:u w:val="single"/>
        </w:rPr>
        <w:t>（供应商）</w:t>
      </w:r>
      <w:r>
        <w:rPr>
          <w:rFonts w:hint="eastAsia" w:ascii="宋体" w:hAnsi="宋体" w:cs="宋体"/>
          <w:color w:val="000000"/>
          <w:sz w:val="24"/>
        </w:rPr>
        <w:t>郑重声明，我方严格依法缴纳税收和社会保障资金，本文件中所提供的相关材料均真实有效，不存在虚假、造假行为。如有违反，愿承担一切责任。</w:t>
      </w: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特此承诺！</w:t>
      </w:r>
    </w:p>
    <w:p>
      <w:pPr>
        <w:widowControl/>
        <w:snapToGrid w:val="0"/>
        <w:spacing w:line="460" w:lineRule="exact"/>
        <w:ind w:firstLine="440" w:firstLineChars="200"/>
        <w:jc w:val="left"/>
        <w:rPr>
          <w:rFonts w:hint="eastAsia" w:ascii="宋体" w:hAnsi="宋体" w:cs="Courier New"/>
          <w:color w:val="000000"/>
          <w:sz w:val="22"/>
        </w:rPr>
      </w:pPr>
    </w:p>
    <w:p>
      <w:pPr>
        <w:pStyle w:val="16"/>
        <w:snapToGrid w:val="0"/>
        <w:ind w:firstLine="480" w:firstLineChars="200"/>
        <w:jc w:val="center"/>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snapToGrid w:val="0"/>
        <w:spacing w:before="50"/>
        <w:ind w:left="479" w:leftChars="228"/>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s="宋体"/>
          <w:color w:val="000000"/>
          <w:sz w:val="24"/>
        </w:rPr>
        <w:t>投标供应商（盖章）</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pPr>
        <w:snapToGrid w:val="0"/>
        <w:spacing w:before="50"/>
        <w:ind w:left="479" w:leftChars="228" w:firstLine="7200" w:firstLineChars="3000"/>
        <w:jc w:val="left"/>
        <w:rPr>
          <w:rFonts w:hint="eastAsia"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 xml:space="preserve"> 日</w:t>
      </w:r>
    </w:p>
    <w:p>
      <w:pPr>
        <w:widowControl/>
        <w:snapToGrid w:val="0"/>
        <w:spacing w:line="460" w:lineRule="exact"/>
        <w:ind w:firstLine="440" w:firstLineChars="200"/>
        <w:jc w:val="left"/>
        <w:rPr>
          <w:rFonts w:hint="eastAsia" w:ascii="宋体" w:hAnsi="宋体" w:cs="Courier New"/>
          <w:color w:val="000000"/>
          <w:sz w:val="22"/>
        </w:rPr>
      </w:pPr>
      <w:r>
        <w:rPr>
          <w:rFonts w:hint="eastAsia" w:ascii="宋体" w:hAnsi="宋体" w:cs="Courier New"/>
          <w:color w:val="000000"/>
          <w:sz w:val="22"/>
        </w:rPr>
        <w:t xml:space="preserve"> </w:t>
      </w:r>
    </w:p>
    <w:p>
      <w:pPr>
        <w:widowControl/>
        <w:snapToGrid w:val="0"/>
        <w:spacing w:line="460" w:lineRule="exact"/>
        <w:ind w:firstLine="440" w:firstLineChars="200"/>
        <w:jc w:val="left"/>
        <w:rPr>
          <w:rFonts w:hint="eastAsia" w:ascii="宋体" w:hAnsi="宋体" w:cs="Courier New"/>
          <w:color w:val="000000"/>
          <w:sz w:val="22"/>
        </w:rPr>
      </w:pPr>
    </w:p>
    <w:p>
      <w:pPr>
        <w:widowControl/>
        <w:snapToGrid w:val="0"/>
        <w:spacing w:line="460" w:lineRule="exact"/>
        <w:ind w:firstLine="440" w:firstLineChars="200"/>
        <w:jc w:val="left"/>
        <w:rPr>
          <w:rFonts w:hint="eastAsia" w:ascii="宋体" w:hAnsi="宋体" w:cs="Courier New"/>
          <w:color w:val="000000"/>
          <w:sz w:val="22"/>
        </w:rPr>
      </w:pPr>
    </w:p>
    <w:p>
      <w:pPr>
        <w:widowControl/>
        <w:snapToGrid w:val="0"/>
        <w:spacing w:line="460" w:lineRule="exact"/>
        <w:ind w:firstLine="440" w:firstLineChars="200"/>
        <w:jc w:val="left"/>
        <w:rPr>
          <w:rFonts w:hint="eastAsia" w:ascii="宋体" w:hAnsi="宋体" w:cs="Courier New"/>
          <w:color w:val="000000"/>
          <w:sz w:val="22"/>
        </w:rPr>
      </w:pPr>
    </w:p>
    <w:p>
      <w:pPr>
        <w:pStyle w:val="4"/>
        <w:rPr>
          <w:rFonts w:hint="eastAsia" w:ascii="宋体" w:hAnsi="宋体"/>
          <w:color w:val="000000"/>
          <w:sz w:val="24"/>
        </w:rPr>
      </w:pPr>
      <w:r>
        <w:rPr>
          <w:rFonts w:hint="eastAsia" w:ascii="宋体" w:hAnsi="宋体"/>
          <w:color w:val="000000"/>
          <w:sz w:val="24"/>
        </w:rPr>
        <w:t>6. 具有履行合同所必需的设备和专业技术能力的承诺函格式：</w:t>
      </w:r>
    </w:p>
    <w:p>
      <w:pPr>
        <w:snapToGrid w:val="0"/>
        <w:spacing w:before="120" w:beforeLines="50" w:after="50"/>
        <w:rPr>
          <w:rFonts w:hint="eastAsia" w:ascii="宋体" w:hAnsi="宋体"/>
          <w:color w:val="000000"/>
          <w:sz w:val="24"/>
        </w:rPr>
      </w:pPr>
    </w:p>
    <w:p>
      <w:pPr>
        <w:snapToGrid w:val="0"/>
        <w:spacing w:before="120" w:beforeLines="50" w:after="50"/>
        <w:jc w:val="center"/>
        <w:rPr>
          <w:rFonts w:ascii="宋体" w:hAnsi="宋体"/>
          <w:b/>
          <w:color w:val="000000"/>
          <w:sz w:val="24"/>
        </w:rPr>
      </w:pPr>
      <w:r>
        <w:rPr>
          <w:rFonts w:hint="eastAsia" w:ascii="宋体" w:hAnsi="宋体"/>
          <w:b/>
          <w:color w:val="000000"/>
          <w:sz w:val="24"/>
        </w:rPr>
        <w:t>具有履行合同所必需的设备和专业技术能力的承诺函</w:t>
      </w:r>
    </w:p>
    <w:p>
      <w:pPr>
        <w:spacing w:line="460" w:lineRule="exact"/>
        <w:rPr>
          <w:rFonts w:hint="eastAsia" w:ascii="宋体" w:hAnsi="宋体" w:cs="宋体"/>
          <w:color w:val="000000"/>
          <w:sz w:val="24"/>
          <w:u w:val="single"/>
        </w:rPr>
      </w:pPr>
      <w:r>
        <w:rPr>
          <w:rFonts w:hint="eastAsia" w:ascii="宋体" w:hAnsi="宋体" w:cs="黑体"/>
          <w:color w:val="000000"/>
          <w:sz w:val="22"/>
          <w:u w:val="single"/>
        </w:rPr>
        <w:t>（</w:t>
      </w:r>
      <w:r>
        <w:rPr>
          <w:rFonts w:hint="eastAsia" w:ascii="宋体" w:hAnsi="宋体" w:cs="宋体"/>
          <w:color w:val="000000"/>
          <w:sz w:val="24"/>
          <w:u w:val="single"/>
        </w:rPr>
        <w:t>采购单位名称）、金华市公共资源交易中心浦江县分中心：</w:t>
      </w:r>
    </w:p>
    <w:p>
      <w:pPr>
        <w:widowControl/>
        <w:snapToGrid w:val="0"/>
        <w:spacing w:line="460" w:lineRule="exact"/>
        <w:ind w:firstLine="440" w:firstLineChars="200"/>
        <w:jc w:val="left"/>
        <w:rPr>
          <w:rFonts w:hint="eastAsia" w:ascii="宋体" w:hAnsi="宋体" w:cs="Courier New"/>
          <w:color w:val="000000"/>
          <w:sz w:val="22"/>
        </w:rPr>
      </w:pPr>
    </w:p>
    <w:p>
      <w:pPr>
        <w:widowControl/>
        <w:snapToGrid w:val="0"/>
        <w:spacing w:line="500" w:lineRule="exact"/>
        <w:ind w:firstLine="480" w:firstLineChars="200"/>
        <w:jc w:val="left"/>
        <w:rPr>
          <w:rFonts w:hint="eastAsia" w:ascii="宋体" w:hAnsi="宋体" w:cs="Courier New"/>
          <w:color w:val="000000"/>
          <w:sz w:val="24"/>
        </w:rPr>
      </w:pPr>
      <w:r>
        <w:rPr>
          <w:rFonts w:hint="eastAsia" w:ascii="宋体" w:hAnsi="宋体" w:cs="Courier New"/>
          <w:color w:val="000000"/>
          <w:sz w:val="24"/>
        </w:rPr>
        <w:t>我方</w:t>
      </w:r>
      <w:r>
        <w:rPr>
          <w:rFonts w:hint="eastAsia" w:ascii="宋体" w:hAnsi="宋体" w:cs="Courier New"/>
          <w:color w:val="000000"/>
          <w:sz w:val="24"/>
          <w:u w:val="single"/>
        </w:rPr>
        <w:t xml:space="preserve"> （供应商）</w:t>
      </w:r>
      <w:r>
        <w:rPr>
          <w:rFonts w:hint="eastAsia" w:ascii="宋体" w:hAnsi="宋体" w:cs="Courier New"/>
          <w:color w:val="000000"/>
          <w:sz w:val="24"/>
        </w:rPr>
        <w:t>承诺具有履行合同所必需的设备和专业技术能力。如有虚假，采购人可取消我方任何资格（投标/中标/签订合同），我方对此无任何异议。</w:t>
      </w:r>
    </w:p>
    <w:p>
      <w:pPr>
        <w:widowControl/>
        <w:snapToGrid w:val="0"/>
        <w:spacing w:line="460" w:lineRule="exact"/>
        <w:ind w:firstLine="480" w:firstLineChars="200"/>
        <w:jc w:val="left"/>
        <w:rPr>
          <w:rFonts w:hint="eastAsia" w:ascii="宋体" w:hAnsi="宋体" w:cs="Courier New"/>
          <w:color w:val="000000"/>
          <w:sz w:val="24"/>
        </w:rPr>
      </w:pPr>
    </w:p>
    <w:p>
      <w:pPr>
        <w:widowControl/>
        <w:snapToGrid w:val="0"/>
        <w:spacing w:line="460" w:lineRule="exact"/>
        <w:ind w:firstLine="480" w:firstLineChars="200"/>
        <w:jc w:val="left"/>
        <w:rPr>
          <w:rFonts w:hint="eastAsia" w:ascii="宋体" w:hAnsi="宋体" w:cs="Courier New"/>
          <w:color w:val="000000"/>
          <w:sz w:val="24"/>
        </w:rPr>
      </w:pPr>
      <w:r>
        <w:rPr>
          <w:rFonts w:hint="eastAsia" w:ascii="宋体" w:hAnsi="宋体" w:cs="Courier New"/>
          <w:color w:val="000000"/>
          <w:sz w:val="24"/>
        </w:rPr>
        <w:t>特此承诺！</w:t>
      </w:r>
    </w:p>
    <w:p>
      <w:pPr>
        <w:pStyle w:val="16"/>
        <w:snapToGrid w:val="0"/>
        <w:ind w:firstLine="480" w:firstLineChars="200"/>
        <w:jc w:val="center"/>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snapToGrid w:val="0"/>
        <w:spacing w:before="50"/>
        <w:ind w:left="479" w:leftChars="228"/>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s="宋体"/>
          <w:color w:val="000000"/>
          <w:sz w:val="24"/>
        </w:rPr>
        <w:t>投标供应商（盖章）</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pPr>
        <w:snapToGrid w:val="0"/>
        <w:spacing w:before="120" w:beforeLines="50" w:after="50"/>
        <w:jc w:val="right"/>
        <w:rPr>
          <w:rFonts w:hint="eastAsia"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 xml:space="preserve"> 日</w:t>
      </w:r>
    </w:p>
    <w:p>
      <w:pPr>
        <w:snapToGrid w:val="0"/>
        <w:spacing w:before="120" w:beforeLines="50" w:after="50"/>
        <w:rPr>
          <w:rFonts w:hint="eastAsia" w:ascii="宋体" w:hAnsi="宋体"/>
          <w:color w:val="000000"/>
          <w:sz w:val="24"/>
        </w:rPr>
      </w:pPr>
    </w:p>
    <w:p>
      <w:pPr>
        <w:pStyle w:val="4"/>
        <w:rPr>
          <w:rFonts w:hint="eastAsia" w:ascii="宋体" w:hAnsi="宋体"/>
          <w:color w:val="000000"/>
          <w:sz w:val="24"/>
        </w:rPr>
      </w:pPr>
      <w:r>
        <w:rPr>
          <w:rFonts w:hint="eastAsia" w:ascii="宋体" w:hAnsi="宋体"/>
          <w:color w:val="000000"/>
          <w:sz w:val="24"/>
        </w:rPr>
        <w:t>7.参加政府采购活动前3年内在经营活动中没有重大违法记录的声明函格式：</w:t>
      </w:r>
    </w:p>
    <w:p>
      <w:pPr>
        <w:autoSpaceDE w:val="0"/>
        <w:autoSpaceDN w:val="0"/>
        <w:adjustRightInd w:val="0"/>
        <w:spacing w:line="460" w:lineRule="atLeast"/>
        <w:jc w:val="center"/>
        <w:rPr>
          <w:rFonts w:ascii="宋体" w:hAnsi="宋体"/>
          <w:color w:val="000000"/>
          <w:sz w:val="30"/>
          <w:szCs w:val="30"/>
          <w:lang w:val="zh-CN"/>
        </w:rPr>
      </w:pPr>
      <w:r>
        <w:rPr>
          <w:rFonts w:hint="eastAsia" w:ascii="宋体" w:hAnsi="宋体"/>
          <w:b/>
          <w:color w:val="000000"/>
          <w:sz w:val="24"/>
        </w:rPr>
        <w:t>参加政府采购活动前3年内在经营活动中没有重大违法记录的声明函</w:t>
      </w:r>
    </w:p>
    <w:p>
      <w:pPr>
        <w:widowControl/>
        <w:snapToGrid w:val="0"/>
        <w:spacing w:line="460" w:lineRule="exact"/>
        <w:jc w:val="left"/>
        <w:rPr>
          <w:rFonts w:hint="eastAsia" w:ascii="宋体" w:hAnsi="宋体" w:cs="宋体"/>
          <w:color w:val="000000"/>
          <w:sz w:val="24"/>
          <w:u w:val="single"/>
        </w:rPr>
      </w:pPr>
      <w:r>
        <w:rPr>
          <w:rFonts w:hint="eastAsia" w:ascii="宋体" w:hAnsi="宋体" w:cs="黑体"/>
          <w:color w:val="000000"/>
          <w:sz w:val="22"/>
          <w:u w:val="single"/>
        </w:rPr>
        <w:t>（</w:t>
      </w:r>
      <w:r>
        <w:rPr>
          <w:rFonts w:hint="eastAsia" w:ascii="宋体" w:hAnsi="宋体" w:cs="宋体"/>
          <w:color w:val="000000"/>
          <w:sz w:val="24"/>
          <w:u w:val="single"/>
        </w:rPr>
        <w:t>采购单位名称）、金华市公共资源交易中心浦江县分中心：</w:t>
      </w:r>
    </w:p>
    <w:p>
      <w:pPr>
        <w:widowControl/>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我方</w:t>
      </w:r>
      <w:r>
        <w:rPr>
          <w:rFonts w:hint="eastAsia" w:ascii="宋体" w:hAnsi="宋体" w:cs="宋体"/>
          <w:color w:val="000000"/>
          <w:sz w:val="24"/>
          <w:u w:val="single"/>
        </w:rPr>
        <w:t xml:space="preserve"> （供应商）</w:t>
      </w:r>
      <w:r>
        <w:rPr>
          <w:rFonts w:hint="eastAsia" w:ascii="宋体" w:hAnsi="宋体" w:cs="宋体"/>
          <w:color w:val="00000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80" w:firstLineChars="200"/>
        <w:jc w:val="left"/>
        <w:rPr>
          <w:rFonts w:hint="eastAsia" w:ascii="宋体" w:hAnsi="宋体" w:cs="宋体"/>
          <w:color w:val="000000"/>
          <w:sz w:val="24"/>
        </w:rPr>
      </w:pPr>
    </w:p>
    <w:p>
      <w:pPr>
        <w:snapToGrid w:val="0"/>
        <w:spacing w:before="120" w:beforeLines="50" w:after="50"/>
        <w:rPr>
          <w:rFonts w:hint="eastAsia" w:ascii="宋体" w:hAnsi="宋体" w:cs="宋体"/>
          <w:color w:val="000000"/>
          <w:sz w:val="24"/>
        </w:rPr>
      </w:pPr>
      <w:r>
        <w:rPr>
          <w:rFonts w:hint="eastAsia" w:ascii="宋体" w:hAnsi="宋体" w:cs="宋体"/>
          <w:color w:val="000000"/>
          <w:sz w:val="24"/>
        </w:rPr>
        <w:t>特此承诺！</w:t>
      </w:r>
    </w:p>
    <w:p>
      <w:pPr>
        <w:pStyle w:val="16"/>
        <w:snapToGrid w:val="0"/>
        <w:ind w:firstLine="480" w:firstLineChars="200"/>
        <w:jc w:val="center"/>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snapToGrid w:val="0"/>
        <w:spacing w:before="50"/>
        <w:ind w:left="479" w:leftChars="228"/>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s="宋体"/>
          <w:color w:val="000000"/>
          <w:sz w:val="24"/>
        </w:rPr>
        <w:t>投标供应商（盖章）</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pPr>
        <w:snapToGrid w:val="0"/>
        <w:spacing w:before="120" w:beforeLines="50" w:after="50"/>
        <w:jc w:val="right"/>
        <w:rPr>
          <w:rFonts w:hint="eastAsia"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 xml:space="preserve"> 日</w:t>
      </w:r>
    </w:p>
    <w:p>
      <w:pPr>
        <w:pStyle w:val="4"/>
        <w:rPr>
          <w:rFonts w:hint="eastAsia" w:ascii="宋体" w:hAnsi="宋体"/>
          <w:color w:val="000000"/>
          <w:sz w:val="24"/>
        </w:rPr>
      </w:pPr>
      <w:r>
        <w:rPr>
          <w:rFonts w:hint="eastAsia" w:ascii="宋体" w:hAnsi="宋体"/>
          <w:color w:val="000000"/>
          <w:sz w:val="24"/>
        </w:rPr>
        <w:t>8.评分对应表格式：</w:t>
      </w:r>
    </w:p>
    <w:p>
      <w:pPr>
        <w:snapToGrid w:val="0"/>
        <w:spacing w:before="120" w:beforeLines="50" w:after="50"/>
        <w:jc w:val="center"/>
        <w:rPr>
          <w:rFonts w:hint="eastAsia" w:ascii="宋体" w:hAnsi="宋体"/>
          <w:b/>
          <w:color w:val="000000"/>
          <w:sz w:val="24"/>
        </w:rPr>
      </w:pPr>
      <w:r>
        <w:rPr>
          <w:rFonts w:hint="eastAsia" w:ascii="宋体" w:hAnsi="宋体"/>
          <w:b/>
          <w:color w:val="000000"/>
          <w:sz w:val="24"/>
        </w:rPr>
        <w:t>评分对应表</w:t>
      </w:r>
    </w:p>
    <w:p>
      <w:pPr>
        <w:snapToGrid w:val="0"/>
        <w:spacing w:before="120" w:beforeLines="50" w:after="50"/>
        <w:jc w:val="center"/>
        <w:rPr>
          <w:rFonts w:hint="eastAsia" w:ascii="宋体" w:hAnsi="宋体"/>
          <w:color w:val="000000"/>
          <w:sz w:val="30"/>
          <w:szCs w:val="30"/>
          <w:lang w:val="zh-CN"/>
        </w:rPr>
      </w:pPr>
      <w:r>
        <w:rPr>
          <w:rFonts w:hint="eastAsia" w:ascii="宋体" w:hAnsi="宋体"/>
          <w:color w:val="000000"/>
          <w:sz w:val="30"/>
          <w:szCs w:val="30"/>
          <w:lang w:val="zh-CN"/>
        </w:rPr>
        <w:t xml:space="preserve">                                              </w:t>
      </w:r>
      <w:r>
        <w:rPr>
          <w:rFonts w:hint="eastAsia" w:ascii="宋体" w:hAnsi="宋体"/>
          <w:color w:val="000000"/>
          <w:sz w:val="24"/>
          <w:szCs w:val="30"/>
          <w:lang w:val="zh-CN"/>
        </w:rPr>
        <w:t>标项：</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2"/>
        <w:gridCol w:w="396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exact"/>
        </w:trPr>
        <w:tc>
          <w:tcPr>
            <w:tcW w:w="36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s="宋体"/>
                <w:color w:val="000000"/>
                <w:sz w:val="24"/>
              </w:rPr>
            </w:pPr>
            <w:r>
              <w:rPr>
                <w:rFonts w:hint="eastAsia" w:ascii="宋体" w:hAnsi="宋体" w:cs="宋体"/>
                <w:color w:val="000000"/>
                <w:sz w:val="24"/>
              </w:rPr>
              <w:t>评分项目（报价除外）</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s="宋体"/>
                <w:color w:val="000000"/>
                <w:sz w:val="24"/>
              </w:rPr>
            </w:pPr>
            <w:r>
              <w:rPr>
                <w:rFonts w:hint="eastAsia" w:ascii="宋体" w:hAnsi="宋体" w:cs="宋体"/>
                <w:color w:val="000000"/>
                <w:sz w:val="24"/>
              </w:rPr>
              <w:t>投标文件对应资料</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s="宋体"/>
                <w:color w:val="000000"/>
                <w:sz w:val="24"/>
              </w:rPr>
            </w:pPr>
            <w:r>
              <w:rPr>
                <w:rFonts w:hint="eastAsia" w:ascii="宋体" w:hAnsi="宋体" w:cs="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exact"/>
        </w:trPr>
        <w:tc>
          <w:tcPr>
            <w:tcW w:w="365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s="宋体"/>
                <w:color w:val="000000"/>
                <w:sz w:val="24"/>
              </w:rPr>
            </w:pPr>
          </w:p>
        </w:tc>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exact"/>
        </w:trPr>
        <w:tc>
          <w:tcPr>
            <w:tcW w:w="365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s="宋体"/>
                <w:color w:val="000000"/>
                <w:sz w:val="24"/>
              </w:rPr>
            </w:pPr>
          </w:p>
        </w:tc>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exact"/>
        </w:trPr>
        <w:tc>
          <w:tcPr>
            <w:tcW w:w="365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s="宋体"/>
                <w:color w:val="000000"/>
                <w:sz w:val="24"/>
              </w:rPr>
            </w:pPr>
          </w:p>
        </w:tc>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exact"/>
        </w:trPr>
        <w:tc>
          <w:tcPr>
            <w:tcW w:w="365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s="宋体"/>
                <w:color w:val="000000"/>
                <w:sz w:val="24"/>
              </w:rPr>
            </w:pPr>
          </w:p>
        </w:tc>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exact"/>
        </w:trPr>
        <w:tc>
          <w:tcPr>
            <w:tcW w:w="365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s="宋体"/>
                <w:color w:val="000000"/>
                <w:sz w:val="24"/>
              </w:rPr>
            </w:pPr>
          </w:p>
        </w:tc>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exact"/>
        </w:trPr>
        <w:tc>
          <w:tcPr>
            <w:tcW w:w="365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s="宋体"/>
                <w:color w:val="000000"/>
                <w:sz w:val="24"/>
              </w:rPr>
            </w:pPr>
          </w:p>
        </w:tc>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rPr>
            </w:pPr>
          </w:p>
        </w:tc>
      </w:tr>
    </w:tbl>
    <w:p>
      <w:pPr>
        <w:pStyle w:val="16"/>
        <w:snapToGrid w:val="0"/>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1.注：表格可延续。</w:t>
      </w:r>
    </w:p>
    <w:p>
      <w:pPr>
        <w:pStyle w:val="16"/>
        <w:snapToGrid w:val="0"/>
        <w:ind w:firstLine="480" w:firstLineChars="200"/>
        <w:jc w:val="center"/>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snapToGrid w:val="0"/>
        <w:spacing w:before="50"/>
        <w:ind w:left="479" w:leftChars="228"/>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s="宋体"/>
          <w:color w:val="000000"/>
          <w:sz w:val="24"/>
        </w:rPr>
        <w:t>投标供应商（盖章）</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pPr>
        <w:snapToGrid w:val="0"/>
        <w:spacing w:before="120" w:beforeLines="50" w:after="50"/>
        <w:jc w:val="right"/>
        <w:rPr>
          <w:rFonts w:hint="eastAsia"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 xml:space="preserve"> 日</w:t>
      </w:r>
    </w:p>
    <w:p>
      <w:pPr>
        <w:pStyle w:val="4"/>
        <w:rPr>
          <w:rFonts w:hint="eastAsia" w:ascii="宋体" w:hAnsi="宋体"/>
          <w:color w:val="000000"/>
          <w:sz w:val="24"/>
        </w:rPr>
      </w:pPr>
      <w:r>
        <w:rPr>
          <w:rFonts w:hint="eastAsia" w:ascii="宋体" w:hAnsi="宋体"/>
          <w:color w:val="000000"/>
          <w:sz w:val="24"/>
        </w:rPr>
        <w:t>9.投标供应商的类似成功案例的业绩文件资料：</w:t>
      </w:r>
    </w:p>
    <w:p>
      <w:pPr>
        <w:pStyle w:val="41"/>
        <w:snapToGrid w:val="0"/>
        <w:ind w:left="480" w:hanging="480"/>
        <w:rPr>
          <w:rFonts w:ascii="宋体" w:hAnsi="宋体"/>
          <w:color w:val="000000"/>
          <w:sz w:val="24"/>
        </w:rPr>
      </w:pPr>
      <w:r>
        <w:rPr>
          <w:rFonts w:hint="eastAsia" w:ascii="宋体" w:hAnsi="宋体"/>
          <w:color w:val="000000"/>
          <w:sz w:val="24"/>
        </w:rPr>
        <w:t>投标供应商</w:t>
      </w:r>
      <w:r>
        <w:rPr>
          <w:rFonts w:ascii="宋体" w:hAnsi="宋体"/>
          <w:color w:val="000000"/>
          <w:sz w:val="24"/>
        </w:rPr>
        <w:t>同类项目实施情况一览表格式：（</w:t>
      </w:r>
      <w:r>
        <w:rPr>
          <w:rFonts w:hint="eastAsia" w:ascii="宋体" w:hAnsi="宋体"/>
          <w:color w:val="000000"/>
          <w:sz w:val="24"/>
        </w:rPr>
        <w:t>投标供应商</w:t>
      </w:r>
      <w:r>
        <w:rPr>
          <w:rFonts w:ascii="宋体" w:hAnsi="宋体"/>
          <w:color w:val="000000"/>
          <w:sz w:val="24"/>
        </w:rPr>
        <w:t>同类项目合同</w:t>
      </w:r>
      <w:r>
        <w:rPr>
          <w:rFonts w:hint="eastAsia" w:ascii="宋体" w:hAnsi="宋体"/>
          <w:color w:val="000000"/>
          <w:sz w:val="24"/>
        </w:rPr>
        <w:t>扫描</w:t>
      </w:r>
      <w:r>
        <w:rPr>
          <w:rFonts w:ascii="宋体" w:hAnsi="宋体"/>
          <w:color w:val="000000"/>
          <w:sz w:val="24"/>
        </w:rPr>
        <w:t>件、用户验收报告、用户评价意见</w:t>
      </w:r>
      <w:r>
        <w:rPr>
          <w:rFonts w:hint="eastAsia" w:ascii="宋体" w:hAnsi="宋体"/>
          <w:color w:val="000000"/>
          <w:sz w:val="24"/>
        </w:rPr>
        <w:t>，</w:t>
      </w:r>
      <w:r>
        <w:rPr>
          <w:rFonts w:ascii="宋体" w:hAnsi="宋体"/>
          <w:color w:val="000000"/>
          <w:sz w:val="24"/>
        </w:rPr>
        <w:t>格式自拟）</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6"/>
        <w:gridCol w:w="1467"/>
        <w:gridCol w:w="945"/>
        <w:gridCol w:w="840"/>
        <w:gridCol w:w="1050"/>
        <w:gridCol w:w="1050"/>
        <w:gridCol w:w="735"/>
        <w:gridCol w:w="735"/>
        <w:gridCol w:w="10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7" w:hRule="atLeast"/>
        </w:trPr>
        <w:tc>
          <w:tcPr>
            <w:tcW w:w="14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18"/>
                <w:szCs w:val="20"/>
              </w:rPr>
            </w:pPr>
            <w:r>
              <w:rPr>
                <w:rFonts w:hint="eastAsia" w:ascii="宋体" w:hAnsi="宋体"/>
                <w:color w:val="000000"/>
                <w:sz w:val="18"/>
              </w:rPr>
              <w:t>采购单位名称</w:t>
            </w:r>
          </w:p>
        </w:tc>
        <w:tc>
          <w:tcPr>
            <w:tcW w:w="146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18"/>
                <w:szCs w:val="20"/>
              </w:rPr>
            </w:pPr>
            <w:r>
              <w:rPr>
                <w:rFonts w:hint="eastAsia" w:ascii="宋体" w:hAnsi="宋体"/>
                <w:color w:val="000000"/>
                <w:sz w:val="18"/>
              </w:rPr>
              <w:t>设备或项目名称</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18"/>
                <w:szCs w:val="20"/>
              </w:rPr>
            </w:pPr>
            <w:r>
              <w:rPr>
                <w:rFonts w:hint="eastAsia" w:ascii="宋体" w:hAnsi="宋体"/>
                <w:color w:val="000000"/>
                <w:sz w:val="18"/>
              </w:rPr>
              <w:t>采购</w:t>
            </w:r>
          </w:p>
          <w:p>
            <w:pPr>
              <w:snapToGrid w:val="0"/>
              <w:spacing w:line="240" w:lineRule="exact"/>
              <w:jc w:val="center"/>
              <w:rPr>
                <w:rFonts w:ascii="宋体" w:hAnsi="宋体"/>
                <w:color w:val="000000"/>
                <w:sz w:val="18"/>
                <w:szCs w:val="20"/>
              </w:rPr>
            </w:pPr>
            <w:r>
              <w:rPr>
                <w:rFonts w:hint="eastAsia" w:ascii="宋体" w:hAnsi="宋体"/>
                <w:color w:val="000000"/>
                <w:sz w:val="18"/>
              </w:rPr>
              <w:t>数量</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18"/>
                <w:szCs w:val="20"/>
              </w:rPr>
            </w:pPr>
            <w:r>
              <w:rPr>
                <w:rFonts w:hint="eastAsia" w:ascii="宋体" w:hAnsi="宋体"/>
                <w:color w:val="000000"/>
                <w:sz w:val="18"/>
              </w:rPr>
              <w:t>单价</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18"/>
                <w:szCs w:val="20"/>
              </w:rPr>
            </w:pPr>
            <w:r>
              <w:rPr>
                <w:rFonts w:hint="eastAsia" w:ascii="宋体" w:hAnsi="宋体"/>
                <w:color w:val="000000"/>
                <w:sz w:val="18"/>
              </w:rPr>
              <w:t>合同</w:t>
            </w:r>
          </w:p>
          <w:p>
            <w:pPr>
              <w:snapToGrid w:val="0"/>
              <w:spacing w:line="240" w:lineRule="exact"/>
              <w:jc w:val="center"/>
              <w:rPr>
                <w:rFonts w:ascii="宋体" w:hAnsi="宋体"/>
                <w:color w:val="000000"/>
                <w:sz w:val="18"/>
                <w:szCs w:val="20"/>
              </w:rPr>
            </w:pPr>
            <w:r>
              <w:rPr>
                <w:rFonts w:hint="eastAsia" w:ascii="宋体" w:hAnsi="宋体"/>
                <w:color w:val="000000"/>
                <w:sz w:val="18"/>
              </w:rPr>
              <w:t>金额</w:t>
            </w:r>
          </w:p>
          <w:p>
            <w:pPr>
              <w:snapToGrid w:val="0"/>
              <w:spacing w:line="240" w:lineRule="exact"/>
              <w:jc w:val="center"/>
              <w:rPr>
                <w:rFonts w:ascii="宋体" w:hAnsi="宋体"/>
                <w:color w:val="000000"/>
                <w:sz w:val="18"/>
                <w:szCs w:val="20"/>
              </w:rPr>
            </w:pPr>
            <w:r>
              <w:rPr>
                <w:rFonts w:hint="eastAsia" w:ascii="宋体" w:hAnsi="宋体"/>
                <w:color w:val="000000"/>
                <w:sz w:val="18"/>
              </w:rPr>
              <w:t>（万元）</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18"/>
                <w:szCs w:val="20"/>
              </w:rPr>
            </w:pPr>
            <w:r>
              <w:rPr>
                <w:rFonts w:hint="eastAsia" w:ascii="宋体" w:hAnsi="宋体"/>
                <w:color w:val="000000"/>
                <w:sz w:val="18"/>
              </w:rPr>
              <w:t>附件页码</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18"/>
                <w:szCs w:val="20"/>
              </w:rPr>
            </w:pPr>
            <w:r>
              <w:rPr>
                <w:rFonts w:hint="eastAsia" w:ascii="宋体" w:hAnsi="宋体"/>
                <w:color w:val="000000"/>
                <w:sz w:val="18"/>
              </w:rPr>
              <w:t>采购单位联系人及</w:t>
            </w:r>
          </w:p>
          <w:p>
            <w:pPr>
              <w:snapToGrid w:val="0"/>
              <w:spacing w:line="240" w:lineRule="exact"/>
              <w:jc w:val="center"/>
              <w:rPr>
                <w:rFonts w:ascii="宋体" w:hAnsi="宋体"/>
                <w:color w:val="000000"/>
                <w:sz w:val="18"/>
                <w:szCs w:val="20"/>
              </w:rPr>
            </w:pPr>
            <w:r>
              <w:rPr>
                <w:rFonts w:hint="eastAsia" w:ascii="宋体" w:hAnsi="宋体"/>
                <w:color w:val="000000"/>
                <w:sz w:val="1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63" w:hRule="atLeast"/>
        </w:trPr>
        <w:tc>
          <w:tcPr>
            <w:tcW w:w="14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18"/>
              </w:rPr>
            </w:pPr>
          </w:p>
        </w:tc>
        <w:tc>
          <w:tcPr>
            <w:tcW w:w="14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18"/>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18"/>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18"/>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1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18"/>
                <w:szCs w:val="20"/>
              </w:rPr>
            </w:pPr>
            <w:r>
              <w:rPr>
                <w:rFonts w:hint="eastAsia" w:ascii="宋体" w:hAnsi="宋体"/>
                <w:color w:val="000000"/>
                <w:sz w:val="18"/>
              </w:rPr>
              <w:t>合同</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18"/>
                <w:szCs w:val="20"/>
              </w:rPr>
            </w:pPr>
            <w:r>
              <w:rPr>
                <w:rFonts w:hint="eastAsia" w:ascii="宋体" w:hAnsi="宋体"/>
                <w:color w:val="000000"/>
                <w:sz w:val="18"/>
              </w:rPr>
              <w:t>验收报告</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18"/>
                <w:szCs w:val="20"/>
              </w:rPr>
            </w:pPr>
            <w:r>
              <w:rPr>
                <w:rFonts w:hint="eastAsia" w:ascii="宋体" w:hAnsi="宋体"/>
                <w:color w:val="000000"/>
                <w:sz w:val="18"/>
              </w:rPr>
              <w:t>用户评价</w:t>
            </w: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3" w:hRule="atLeast"/>
        </w:trPr>
        <w:tc>
          <w:tcPr>
            <w:tcW w:w="14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18"/>
                <w:szCs w:val="20"/>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18"/>
                <w:szCs w:val="20"/>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18"/>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18"/>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18"/>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18"/>
                <w:szCs w:val="20"/>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18"/>
                <w:szCs w:val="20"/>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18"/>
                <w:szCs w:val="20"/>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9" w:hRule="atLeast"/>
        </w:trPr>
        <w:tc>
          <w:tcPr>
            <w:tcW w:w="14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3" w:hRule="atLeast"/>
        </w:trPr>
        <w:tc>
          <w:tcPr>
            <w:tcW w:w="14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51" w:hRule="atLeast"/>
        </w:trPr>
        <w:tc>
          <w:tcPr>
            <w:tcW w:w="14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3" w:hRule="atLeast"/>
        </w:trPr>
        <w:tc>
          <w:tcPr>
            <w:tcW w:w="14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bl>
    <w:p>
      <w:pPr>
        <w:pStyle w:val="16"/>
        <w:snapToGrid w:val="0"/>
        <w:ind w:firstLine="480" w:firstLineChars="200"/>
        <w:jc w:val="center"/>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snapToGrid w:val="0"/>
        <w:spacing w:before="50"/>
        <w:ind w:left="479" w:leftChars="228"/>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s="宋体"/>
          <w:color w:val="000000"/>
          <w:sz w:val="24"/>
        </w:rPr>
        <w:t>投标供应商（盖章）</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pPr>
        <w:snapToGrid w:val="0"/>
        <w:spacing w:before="50"/>
        <w:ind w:left="479" w:leftChars="228" w:firstLine="7200" w:firstLineChars="3000"/>
        <w:jc w:val="left"/>
        <w:rPr>
          <w:rFonts w:hint="eastAsia"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 xml:space="preserve"> 日</w:t>
      </w:r>
    </w:p>
    <w:p>
      <w:pPr>
        <w:pStyle w:val="4"/>
        <w:rPr>
          <w:rFonts w:ascii="宋体" w:hAnsi="宋体"/>
          <w:color w:val="000000"/>
          <w:sz w:val="24"/>
        </w:rPr>
      </w:pPr>
      <w:r>
        <w:rPr>
          <w:rFonts w:hint="eastAsia" w:ascii="宋体" w:hAnsi="宋体"/>
          <w:color w:val="000000"/>
          <w:sz w:val="24"/>
        </w:rPr>
        <w:t>10.距采购人最近或者能为本项目提供最优服务的网点情况表：</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left"/>
              <w:rPr>
                <w:rFonts w:ascii="宋体" w:hAnsi="宋体"/>
                <w:color w:val="000000"/>
                <w:szCs w:val="20"/>
              </w:rPr>
            </w:pPr>
            <w:r>
              <w:rPr>
                <w:rFonts w:hint="eastAsia" w:ascii="宋体" w:hAnsi="宋体"/>
                <w:color w:val="000000"/>
              </w:rPr>
              <w:t>投标文件</w:t>
            </w:r>
          </w:p>
          <w:p>
            <w:pPr>
              <w:snapToGrid w:val="0"/>
              <w:spacing w:before="50" w:after="120" w:afterLines="50"/>
              <w:jc w:val="center"/>
              <w:rPr>
                <w:rFonts w:ascii="宋体" w:hAnsi="宋体"/>
                <w:color w:val="000000"/>
                <w:szCs w:val="20"/>
              </w:rPr>
            </w:pPr>
            <w:r>
              <w:rPr>
                <w:rFonts w:hint="eastAsia" w:ascii="宋体" w:hAnsi="宋体"/>
                <w:color w:val="000000"/>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其中：投标供应商出资比例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left="60"/>
              <w:jc w:val="left"/>
              <w:rPr>
                <w:rFonts w:ascii="宋体" w:hAnsi="宋体"/>
                <w:color w:val="000000"/>
                <w:szCs w:val="20"/>
              </w:rPr>
            </w:pPr>
            <w:r>
              <w:rPr>
                <w:rFonts w:hint="eastAsia" w:ascii="宋体" w:hAnsi="宋体"/>
                <w:color w:val="000000"/>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售后服务协议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售后服务内容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color w:val="000000"/>
                <w:szCs w:val="20"/>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ind w:firstLine="210" w:firstLineChars="100"/>
              <w:jc w:val="left"/>
              <w:rPr>
                <w:rFonts w:ascii="宋体" w:hAnsi="宋体"/>
                <w:color w:val="000000"/>
                <w:szCs w:val="20"/>
              </w:rPr>
            </w:pPr>
            <w:r>
              <w:rPr>
                <w:rFonts w:hint="eastAsia" w:ascii="宋体" w:hAnsi="宋体"/>
                <w:color w:val="000000"/>
              </w:rPr>
              <w:t>传</w:t>
            </w:r>
            <w:r>
              <w:rPr>
                <w:rFonts w:ascii="宋体" w:hAnsi="宋体"/>
                <w:color w:val="000000"/>
              </w:rPr>
              <w:t xml:space="preserve">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0" w:hRule="exac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color w:val="000000"/>
                <w:szCs w:val="20"/>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ascii="宋体" w:hAnsi="宋体"/>
                <w:color w:val="000000"/>
                <w:szCs w:val="20"/>
              </w:rPr>
            </w:pPr>
            <w:r>
              <w:rPr>
                <w:rFonts w:hint="eastAsia" w:ascii="宋体" w:hAnsi="宋体"/>
                <w:color w:val="000000"/>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Cs w:val="20"/>
              </w:rPr>
            </w:pPr>
          </w:p>
        </w:tc>
      </w:tr>
    </w:tbl>
    <w:p>
      <w:pPr>
        <w:pStyle w:val="16"/>
        <w:snapToGrid w:val="0"/>
        <w:ind w:firstLine="2040" w:firstLineChars="850"/>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snapToGrid w:val="0"/>
        <w:jc w:val="center"/>
        <w:rPr>
          <w:rFonts w:ascii="宋体" w:hAnsi="宋体"/>
          <w:color w:val="000000"/>
          <w:sz w:val="24"/>
          <w:u w:val="single"/>
        </w:rPr>
      </w:pPr>
      <w:r>
        <w:rPr>
          <w:rFonts w:hint="eastAsia" w:ascii="宋体" w:hAnsi="宋体" w:cs="宋体"/>
          <w:color w:val="000000"/>
          <w:sz w:val="24"/>
        </w:rPr>
        <w:t xml:space="preserve">    投标供应商（盖章）</w:t>
      </w:r>
      <w:r>
        <w:rPr>
          <w:rFonts w:hint="eastAsia" w:ascii="宋体" w:hAnsi="宋体"/>
          <w:color w:val="000000"/>
          <w:sz w:val="24"/>
        </w:rPr>
        <w:t>：</w:t>
      </w:r>
      <w:r>
        <w:rPr>
          <w:rFonts w:hint="eastAsia" w:ascii="宋体" w:hAnsi="宋体"/>
          <w:color w:val="000000"/>
          <w:sz w:val="24"/>
          <w:u w:val="single"/>
        </w:rPr>
        <w:t xml:space="preserve">                   </w:t>
      </w:r>
    </w:p>
    <w:p>
      <w:pPr>
        <w:pStyle w:val="22"/>
        <w:snapToGrid w:val="0"/>
        <w:jc w:val="right"/>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　 日</w:t>
      </w:r>
    </w:p>
    <w:p>
      <w:pPr>
        <w:pStyle w:val="4"/>
        <w:rPr>
          <w:rFonts w:ascii="宋体" w:hAnsi="宋体"/>
          <w:color w:val="000000"/>
          <w:sz w:val="24"/>
        </w:rPr>
      </w:pPr>
      <w:r>
        <w:rPr>
          <w:rFonts w:hint="eastAsia" w:ascii="宋体" w:hAnsi="宋体"/>
          <w:color w:val="000000"/>
          <w:sz w:val="24"/>
        </w:rPr>
        <w:t>11.商务响应表格式：</w:t>
      </w:r>
    </w:p>
    <w:p>
      <w:pPr>
        <w:snapToGrid w:val="0"/>
        <w:spacing w:before="50"/>
        <w:jc w:val="left"/>
        <w:rPr>
          <w:rFonts w:hint="eastAsia" w:ascii="宋体" w:hAnsi="宋体"/>
          <w:color w:val="000000"/>
          <w:sz w:val="24"/>
          <w:u w:val="single"/>
        </w:rPr>
      </w:pPr>
      <w:r>
        <w:rPr>
          <w:rFonts w:hint="eastAsia" w:ascii="宋体" w:hAnsi="宋体"/>
          <w:color w:val="000000"/>
          <w:sz w:val="24"/>
        </w:rPr>
        <w:t>标项：</w:t>
      </w:r>
      <w:r>
        <w:rPr>
          <w:rFonts w:ascii="宋体" w:hAnsi="宋体"/>
          <w:color w:val="000000"/>
          <w:sz w:val="24"/>
          <w:u w:val="single"/>
        </w:rPr>
        <w:t xml:space="preserve">              </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2250"/>
        <w:gridCol w:w="1913"/>
        <w:gridCol w:w="1075"/>
        <w:gridCol w:w="24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87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color w:val="000000"/>
                <w:szCs w:val="21"/>
              </w:rPr>
              <w:t>序号</w:t>
            </w: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color w:val="000000"/>
                <w:szCs w:val="21"/>
              </w:rPr>
              <w:t>项目</w:t>
            </w:r>
          </w:p>
        </w:tc>
        <w:tc>
          <w:tcPr>
            <w:tcW w:w="19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color w:val="000000"/>
                <w:szCs w:val="21"/>
              </w:rPr>
              <w:t>采购文件要求</w:t>
            </w:r>
          </w:p>
        </w:tc>
        <w:tc>
          <w:tcPr>
            <w:tcW w:w="10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color w:val="000000"/>
                <w:szCs w:val="21"/>
              </w:rPr>
              <w:t>是否响应</w:t>
            </w:r>
          </w:p>
        </w:tc>
        <w:tc>
          <w:tcPr>
            <w:tcW w:w="2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color w:val="000000"/>
                <w:szCs w:val="21"/>
              </w:rPr>
              <w:t>投标供应商的承诺或说明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9" w:hRule="atLeast"/>
        </w:trPr>
        <w:tc>
          <w:tcPr>
            <w:tcW w:w="87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color w:val="000000"/>
                <w:szCs w:val="21"/>
              </w:rPr>
              <w:t>投标报价及费用（详见采购文件相应条款）</w:t>
            </w:r>
          </w:p>
        </w:tc>
        <w:tc>
          <w:tcPr>
            <w:tcW w:w="19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87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color w:val="000000"/>
                <w:szCs w:val="21"/>
              </w:rPr>
              <w:t>项目服务期（详见采购文件相应条款）</w:t>
            </w:r>
          </w:p>
        </w:tc>
        <w:tc>
          <w:tcPr>
            <w:tcW w:w="19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cs="宋体"/>
                <w:color w:val="000000"/>
                <w:sz w:val="24"/>
                <w:szCs w:val="20"/>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6" w:hRule="atLeast"/>
        </w:trPr>
        <w:tc>
          <w:tcPr>
            <w:tcW w:w="87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color w:val="000000"/>
                <w:szCs w:val="21"/>
              </w:rPr>
              <w:t>服务质量要求（详见采购文件相应条款）</w:t>
            </w:r>
          </w:p>
        </w:tc>
        <w:tc>
          <w:tcPr>
            <w:tcW w:w="19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7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color w:val="000000"/>
                <w:szCs w:val="21"/>
              </w:rPr>
              <w:t>履约保证金（详见采购文件相应条款）</w:t>
            </w:r>
          </w:p>
        </w:tc>
        <w:tc>
          <w:tcPr>
            <w:tcW w:w="19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7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bCs/>
                <w:color w:val="000000"/>
                <w:szCs w:val="21"/>
              </w:rPr>
              <w:t>付款方式</w:t>
            </w:r>
            <w:r>
              <w:rPr>
                <w:rFonts w:hint="eastAsia" w:ascii="宋体" w:hAnsi="宋体" w:cs="宋体"/>
                <w:color w:val="000000"/>
                <w:szCs w:val="21"/>
              </w:rPr>
              <w:t>（详见采购文件相应条款）</w:t>
            </w:r>
          </w:p>
        </w:tc>
        <w:tc>
          <w:tcPr>
            <w:tcW w:w="19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7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Cs w:val="21"/>
              </w:rPr>
            </w:pPr>
            <w:r>
              <w:rPr>
                <w:rFonts w:hint="eastAsia" w:ascii="宋体" w:hAnsi="宋体" w:cs="宋体"/>
                <w:color w:val="000000"/>
                <w:szCs w:val="21"/>
              </w:rPr>
              <w:t>投标文件有效期（详见采购文件相应条款）</w:t>
            </w:r>
          </w:p>
        </w:tc>
        <w:tc>
          <w:tcPr>
            <w:tcW w:w="19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7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r>
              <w:rPr>
                <w:rFonts w:hint="eastAsia" w:ascii="宋体" w:hAnsi="宋体" w:cs="宋体"/>
                <w:color w:val="000000"/>
                <w:sz w:val="24"/>
              </w:rPr>
              <w:t>…</w:t>
            </w: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rPr>
            </w:pPr>
            <w:r>
              <w:rPr>
                <w:rFonts w:hint="eastAsia" w:ascii="宋体" w:hAnsi="宋体" w:cs="宋体"/>
                <w:color w:val="000000"/>
                <w:sz w:val="24"/>
              </w:rPr>
              <w:t>…</w:t>
            </w:r>
          </w:p>
        </w:tc>
        <w:tc>
          <w:tcPr>
            <w:tcW w:w="19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c>
          <w:tcPr>
            <w:tcW w:w="2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cs="宋体"/>
                <w:color w:val="000000"/>
                <w:sz w:val="24"/>
                <w:szCs w:val="20"/>
              </w:rPr>
            </w:pPr>
          </w:p>
        </w:tc>
      </w:tr>
    </w:tbl>
    <w:p>
      <w:pPr>
        <w:snapToGrid w:val="0"/>
        <w:spacing w:before="120" w:beforeLines="50"/>
        <w:rPr>
          <w:rFonts w:ascii="宋体" w:hAnsi="宋体"/>
          <w:color w:val="000000"/>
          <w:sz w:val="24"/>
          <w:szCs w:val="20"/>
        </w:rPr>
      </w:pPr>
      <w:r>
        <w:rPr>
          <w:rFonts w:hint="eastAsia" w:ascii="宋体" w:hAnsi="宋体"/>
          <w:color w:val="000000"/>
          <w:sz w:val="24"/>
          <w:szCs w:val="20"/>
        </w:rPr>
        <w:t>注</w:t>
      </w:r>
      <w:r>
        <w:rPr>
          <w:rFonts w:hint="eastAsia" w:ascii="宋体" w:hAnsi="宋体"/>
          <w:color w:val="000000"/>
          <w:sz w:val="24"/>
        </w:rPr>
        <w:t>：如不填写的，采购人将视为无偏离。</w:t>
      </w:r>
    </w:p>
    <w:p>
      <w:pPr>
        <w:pStyle w:val="16"/>
        <w:wordWrap w:val="0"/>
        <w:snapToGrid w:val="0"/>
        <w:ind w:firstLine="1440" w:firstLineChars="600"/>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120" w:beforeLines="50" w:after="50"/>
        <w:jc w:val="right"/>
        <w:rPr>
          <w:rFonts w:hint="eastAsia" w:ascii="宋体" w:hAnsi="宋体"/>
          <w:color w:val="000000"/>
          <w:sz w:val="24"/>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snapToGrid w:val="0"/>
        <w:spacing w:before="120" w:beforeLines="50" w:after="50"/>
        <w:jc w:val="right"/>
        <w:rPr>
          <w:rFonts w:hint="eastAsia" w:ascii="宋体" w:hAnsi="宋体"/>
          <w:color w:val="000000"/>
          <w:sz w:val="24"/>
        </w:rPr>
      </w:pPr>
    </w:p>
    <w:p>
      <w:pPr>
        <w:pStyle w:val="4"/>
        <w:rPr>
          <w:rFonts w:ascii="宋体" w:hAnsi="宋体"/>
          <w:color w:val="000000"/>
          <w:sz w:val="24"/>
        </w:rPr>
      </w:pPr>
      <w:r>
        <w:rPr>
          <w:rFonts w:hint="eastAsia" w:ascii="宋体" w:hAnsi="宋体"/>
          <w:color w:val="000000"/>
          <w:sz w:val="24"/>
        </w:rPr>
        <w:t>12.技术响应表格式：</w:t>
      </w:r>
    </w:p>
    <w:p>
      <w:pPr>
        <w:snapToGrid w:val="0"/>
        <w:spacing w:before="50" w:after="120" w:afterLines="50"/>
        <w:jc w:val="left"/>
        <w:rPr>
          <w:rFonts w:hint="eastAsia" w:ascii="宋体" w:hAnsi="宋体"/>
          <w:color w:val="000000"/>
          <w:u w:val="single"/>
        </w:rPr>
      </w:pPr>
      <w:r>
        <w:rPr>
          <w:rFonts w:hint="eastAsia" w:ascii="宋体" w:hAnsi="宋体"/>
          <w:color w:val="000000"/>
        </w:rPr>
        <w:t>标项：</w:t>
      </w:r>
      <w:r>
        <w:rPr>
          <w:rFonts w:ascii="宋体" w:hAnsi="宋体"/>
          <w:color w:val="000000"/>
          <w:u w:val="single"/>
        </w:rPr>
        <w:t xml:space="preserve">              </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ind w:firstLine="960" w:firstLineChars="400"/>
              <w:outlineLvl w:val="0"/>
              <w:rPr>
                <w:rFonts w:ascii="宋体" w:hAnsi="宋体" w:cs="宋体"/>
                <w:color w:val="000000"/>
                <w:sz w:val="24"/>
                <w:szCs w:val="21"/>
              </w:rPr>
            </w:pPr>
            <w:bookmarkStart w:id="10" w:name="_Toc16830"/>
            <w:bookmarkStart w:id="11" w:name="_Toc4298"/>
            <w:bookmarkStart w:id="12" w:name="_Toc8544"/>
            <w:bookmarkStart w:id="13" w:name="_Toc816"/>
            <w:bookmarkStart w:id="14" w:name="_Toc24441"/>
            <w:r>
              <w:rPr>
                <w:rFonts w:hint="eastAsia" w:ascii="宋体" w:hAnsi="宋体" w:cs="宋体"/>
                <w:color w:val="000000"/>
                <w:sz w:val="24"/>
                <w:szCs w:val="21"/>
              </w:rPr>
              <w:t>采购文件要求</w:t>
            </w:r>
            <w:bookmarkEnd w:id="10"/>
            <w:bookmarkEnd w:id="11"/>
            <w:bookmarkEnd w:id="12"/>
            <w:bookmarkEnd w:id="13"/>
            <w:bookmarkEnd w:id="14"/>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ind w:firstLine="480" w:firstLineChars="200"/>
              <w:outlineLvl w:val="0"/>
              <w:rPr>
                <w:rFonts w:ascii="宋体" w:hAnsi="宋体" w:cs="宋体"/>
                <w:color w:val="000000"/>
                <w:sz w:val="24"/>
                <w:szCs w:val="21"/>
              </w:rPr>
            </w:pPr>
            <w:bookmarkStart w:id="15" w:name="_Toc31941"/>
            <w:bookmarkStart w:id="16" w:name="_Toc28482"/>
            <w:bookmarkStart w:id="17" w:name="_Toc18737"/>
            <w:bookmarkStart w:id="18" w:name="_Toc23153"/>
            <w:bookmarkStart w:id="19" w:name="_Toc2465"/>
            <w:r>
              <w:rPr>
                <w:rFonts w:hint="eastAsia" w:ascii="宋体" w:hAnsi="宋体" w:cs="宋体"/>
                <w:color w:val="000000"/>
                <w:sz w:val="24"/>
                <w:szCs w:val="21"/>
              </w:rPr>
              <w:t>投标文件响应</w:t>
            </w:r>
            <w:bookmarkEnd w:id="15"/>
            <w:bookmarkEnd w:id="16"/>
            <w:bookmarkEnd w:id="17"/>
            <w:bookmarkEnd w:id="18"/>
            <w:bookmarkEnd w:id="19"/>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jc w:val="center"/>
              <w:outlineLvl w:val="0"/>
              <w:rPr>
                <w:rFonts w:ascii="宋体" w:hAnsi="宋体" w:cs="宋体"/>
                <w:color w:val="000000"/>
                <w:sz w:val="24"/>
                <w:szCs w:val="21"/>
              </w:rPr>
            </w:pPr>
            <w:bookmarkStart w:id="20" w:name="_Toc12556"/>
            <w:bookmarkStart w:id="21" w:name="_Toc5097"/>
            <w:bookmarkStart w:id="22" w:name="_Toc2464"/>
            <w:bookmarkStart w:id="23" w:name="_Toc22461"/>
            <w:bookmarkStart w:id="24" w:name="_Toc9799"/>
            <w:r>
              <w:rPr>
                <w:rFonts w:hint="eastAsia" w:ascii="宋体" w:hAnsi="宋体" w:cs="宋体"/>
                <w:color w:val="000000"/>
                <w:sz w:val="24"/>
                <w:szCs w:val="21"/>
              </w:rPr>
              <w:t>偏离情况</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ind w:firstLine="240" w:firstLineChars="100"/>
              <w:jc w:val="center"/>
              <w:outlineLvl w:val="0"/>
              <w:rPr>
                <w:rFonts w:ascii="宋体" w:hAnsi="宋体" w:cs="宋体"/>
                <w:color w:val="000000"/>
                <w:sz w:val="24"/>
                <w:szCs w:val="21"/>
              </w:rPr>
            </w:pPr>
            <w:bookmarkStart w:id="25" w:name="_Toc13807"/>
            <w:bookmarkStart w:id="26" w:name="_Toc1712"/>
            <w:bookmarkStart w:id="27" w:name="_Toc25578"/>
            <w:bookmarkStart w:id="28" w:name="_Toc6882"/>
            <w:bookmarkStart w:id="29" w:name="_Toc1682"/>
            <w:r>
              <w:rPr>
                <w:rFonts w:hint="eastAsia" w:ascii="宋体" w:hAnsi="宋体" w:cs="宋体"/>
                <w:color w:val="000000"/>
                <w:sz w:val="24"/>
                <w:szCs w:val="21"/>
              </w:rPr>
              <w:t>项目</w:t>
            </w:r>
            <w:bookmarkEnd w:id="25"/>
            <w:bookmarkEnd w:id="26"/>
            <w:bookmarkEnd w:id="27"/>
            <w:bookmarkEnd w:id="28"/>
            <w:bookmarkEnd w:id="29"/>
          </w:p>
        </w:tc>
        <w:tc>
          <w:tcPr>
            <w:tcW w:w="2160"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ind w:firstLine="240" w:firstLineChars="100"/>
              <w:jc w:val="center"/>
              <w:outlineLvl w:val="0"/>
              <w:rPr>
                <w:rFonts w:ascii="宋体" w:hAnsi="宋体" w:cs="宋体"/>
                <w:color w:val="000000"/>
                <w:sz w:val="24"/>
                <w:szCs w:val="21"/>
              </w:rPr>
            </w:pPr>
            <w:bookmarkStart w:id="30" w:name="_Toc25437"/>
            <w:bookmarkStart w:id="31" w:name="_Toc20127"/>
            <w:bookmarkStart w:id="32" w:name="_Toc32661"/>
            <w:bookmarkStart w:id="33" w:name="_Toc19507"/>
            <w:bookmarkStart w:id="34" w:name="_Toc28935"/>
            <w:r>
              <w:rPr>
                <w:rFonts w:hint="eastAsia" w:ascii="宋体" w:hAnsi="宋体" w:cs="宋体"/>
                <w:color w:val="000000"/>
                <w:sz w:val="24"/>
                <w:szCs w:val="21"/>
              </w:rPr>
              <w:t>要求</w:t>
            </w:r>
            <w:bookmarkEnd w:id="30"/>
            <w:bookmarkEnd w:id="31"/>
            <w:bookmarkEnd w:id="32"/>
            <w:bookmarkEnd w:id="33"/>
            <w:bookmarkEnd w:id="34"/>
          </w:p>
        </w:tc>
        <w:tc>
          <w:tcPr>
            <w:tcW w:w="197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jc w:val="center"/>
              <w:outlineLvl w:val="0"/>
              <w:rPr>
                <w:rFonts w:ascii="宋体" w:hAnsi="宋体" w:cs="宋体"/>
                <w:color w:val="000000"/>
                <w:sz w:val="24"/>
                <w:szCs w:val="21"/>
              </w:rPr>
            </w:pPr>
            <w:bookmarkStart w:id="35" w:name="_Toc18109"/>
            <w:bookmarkStart w:id="36" w:name="_Toc13942"/>
            <w:bookmarkStart w:id="37" w:name="_Toc10504"/>
            <w:bookmarkStart w:id="38" w:name="_Toc30621"/>
            <w:bookmarkStart w:id="39" w:name="_Toc13002"/>
            <w:r>
              <w:rPr>
                <w:rFonts w:hint="eastAsia" w:ascii="宋体" w:hAnsi="宋体" w:cs="宋体"/>
                <w:color w:val="000000"/>
                <w:sz w:val="24"/>
                <w:szCs w:val="21"/>
              </w:rPr>
              <w:t>项目</w:t>
            </w:r>
            <w:bookmarkEnd w:id="35"/>
            <w:bookmarkEnd w:id="36"/>
            <w:bookmarkEnd w:id="37"/>
            <w:bookmarkEnd w:id="38"/>
            <w:bookmarkEnd w:id="39"/>
          </w:p>
        </w:tc>
        <w:tc>
          <w:tcPr>
            <w:tcW w:w="1808"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jc w:val="center"/>
              <w:outlineLvl w:val="0"/>
              <w:rPr>
                <w:rFonts w:ascii="宋体" w:hAnsi="宋体" w:cs="宋体"/>
                <w:color w:val="000000"/>
                <w:sz w:val="24"/>
                <w:szCs w:val="21"/>
              </w:rPr>
            </w:pPr>
            <w:bookmarkStart w:id="40" w:name="_Toc20853"/>
            <w:bookmarkStart w:id="41" w:name="_Toc23799"/>
            <w:bookmarkStart w:id="42" w:name="_Toc12551"/>
            <w:r>
              <w:rPr>
                <w:rFonts w:hint="eastAsia" w:ascii="宋体" w:hAnsi="宋体" w:cs="宋体"/>
                <w:color w:val="000000"/>
                <w:szCs w:val="21"/>
              </w:rPr>
              <w:t>投标供应商的承诺或说明</w:t>
            </w:r>
            <w:bookmarkEnd w:id="40"/>
            <w:bookmarkEnd w:id="41"/>
            <w:bookmarkEnd w:id="42"/>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outlineLvl w:val="0"/>
              <w:rPr>
                <w:rFonts w:hint="eastAsia" w:ascii="宋体" w:hAnsi="宋体" w:cs="宋体"/>
                <w:color w:val="000000"/>
                <w:sz w:val="24"/>
              </w:rPr>
            </w:pPr>
            <w:bookmarkStart w:id="43" w:name="_Toc22260"/>
            <w:bookmarkStart w:id="44" w:name="_Toc22983"/>
            <w:bookmarkStart w:id="45" w:name="_Toc32721"/>
            <w:r>
              <w:rPr>
                <w:rFonts w:hint="eastAsia" w:ascii="宋体" w:hAnsi="宋体" w:cs="宋体"/>
                <w:color w:val="000000"/>
                <w:sz w:val="24"/>
              </w:rPr>
              <w:t>详见采购文件第二章</w:t>
            </w:r>
            <w:bookmarkEnd w:id="43"/>
            <w:bookmarkEnd w:id="44"/>
            <w:bookmarkEnd w:id="45"/>
            <w:r>
              <w:rPr>
                <w:rFonts w:hint="eastAsia" w:ascii="宋体" w:hAnsi="宋体" w:cs="宋体"/>
                <w:color w:val="000000"/>
                <w:sz w:val="24"/>
              </w:rPr>
              <w:t>采购需求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outlineLvl w:val="0"/>
              <w:rPr>
                <w:rFonts w:ascii="宋体" w:hAnsi="宋体" w:cs="宋体"/>
                <w:color w:val="000000"/>
                <w:sz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outlineLvl w:val="0"/>
              <w:rPr>
                <w:rFonts w:ascii="宋体" w:hAnsi="宋体" w:cs="宋体"/>
                <w:color w:val="000000"/>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rPr>
                <w:rFonts w:ascii="宋体" w:hAnsi="宋体" w:cs="宋体"/>
                <w:color w:val="000000"/>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rPr>
                <w:rFonts w:ascii="宋体" w:hAnsi="宋体" w:cs="宋体"/>
                <w:color w:val="000000"/>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rPr>
                <w:rFonts w:ascii="宋体" w:hAnsi="宋体" w:cs="宋体"/>
                <w:color w:val="000000"/>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rPr>
                <w:rFonts w:ascii="宋体" w:hAnsi="宋体" w:cs="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outlineLvl w:val="0"/>
              <w:rPr>
                <w:rFonts w:ascii="宋体" w:hAnsi="宋体" w:cs="宋体"/>
                <w:color w:val="000000"/>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outlineLvl w:val="0"/>
              <w:rPr>
                <w:rFonts w:ascii="宋体" w:hAnsi="宋体" w:cs="宋体"/>
                <w:color w:val="000000"/>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outlineLvl w:val="0"/>
              <w:rPr>
                <w:rFonts w:ascii="宋体" w:hAnsi="宋体" w:cs="宋体"/>
                <w:color w:val="000000"/>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napToGrid w:val="0"/>
              <w:spacing w:before="120" w:beforeLines="50" w:after="120" w:afterLines="50"/>
              <w:outlineLvl w:val="0"/>
              <w:rPr>
                <w:rFonts w:ascii="宋体" w:hAnsi="宋体" w:cs="宋体"/>
                <w:color w:val="000000"/>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jc w:val="center"/>
              <w:outlineLvl w:val="0"/>
              <w:rPr>
                <w:rFonts w:ascii="宋体" w:hAnsi="宋体" w:cs="宋体"/>
                <w:color w:val="000000"/>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szCs w:val="21"/>
              </w:rPr>
            </w:pPr>
            <w:bookmarkStart w:id="46" w:name="_Toc30335"/>
            <w:bookmarkStart w:id="47" w:name="_Toc24648"/>
            <w:bookmarkStart w:id="48" w:name="_Toc29139"/>
            <w:bookmarkStart w:id="49" w:name="_Toc4272"/>
            <w:bookmarkStart w:id="50" w:name="_Toc29441"/>
            <w:r>
              <w:rPr>
                <w:rFonts w:hint="eastAsia" w:ascii="宋体" w:hAnsi="宋体" w:cs="宋体"/>
                <w:color w:val="000000"/>
                <w:sz w:val="24"/>
                <w:szCs w:val="21"/>
              </w:rPr>
              <w:t>...</w:t>
            </w:r>
            <w:bookmarkEnd w:id="46"/>
            <w:bookmarkEnd w:id="47"/>
            <w:r>
              <w:rPr>
                <w:rFonts w:hint="eastAsia" w:ascii="宋体" w:hAnsi="宋体" w:cs="宋体"/>
                <w:color w:val="000000"/>
                <w:sz w:val="24"/>
                <w:szCs w:val="21"/>
              </w:rPr>
              <w:t>...</w:t>
            </w:r>
            <w:bookmarkEnd w:id="48"/>
            <w:bookmarkEnd w:id="49"/>
            <w:bookmarkEnd w:id="50"/>
          </w:p>
        </w:tc>
        <w:tc>
          <w:tcPr>
            <w:tcW w:w="2160"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tabs>
                <w:tab w:val="left" w:pos="900"/>
              </w:tabs>
              <w:snapToGrid w:val="0"/>
              <w:spacing w:before="120" w:beforeLines="50" w:after="120" w:afterLines="50"/>
              <w:outlineLvl w:val="0"/>
              <w:rPr>
                <w:rFonts w:ascii="宋体" w:hAnsi="宋体" w:cs="宋体"/>
                <w:color w:val="000000"/>
                <w:sz w:val="24"/>
              </w:rPr>
            </w:pPr>
          </w:p>
        </w:tc>
      </w:tr>
    </w:tbl>
    <w:p>
      <w:pPr>
        <w:pStyle w:val="21"/>
        <w:rPr>
          <w:rFonts w:ascii="宋体" w:eastAsia="宋体"/>
          <w:color w:val="000000"/>
          <w:spacing w:val="20"/>
        </w:rPr>
      </w:pPr>
      <w:r>
        <w:rPr>
          <w:rFonts w:hint="eastAsia" w:ascii="宋体" w:eastAsia="宋体"/>
          <w:color w:val="000000"/>
        </w:rPr>
        <w:t>注：投标供应商应根据投标设备、技术的性能指标、对照采购文件要求在“偏离情况”栏注明“正偏离”、“负偏离”或“无偏离”。</w:t>
      </w:r>
    </w:p>
    <w:p>
      <w:pPr>
        <w:pStyle w:val="16"/>
        <w:wordWrap w:val="0"/>
        <w:snapToGrid w:val="0"/>
        <w:ind w:firstLine="1440" w:firstLineChars="600"/>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50" w:after="120" w:afterLines="50"/>
        <w:jc w:val="right"/>
        <w:rPr>
          <w:rFonts w:hint="eastAsia" w:ascii="宋体" w:hAnsi="宋体"/>
          <w:color w:val="000000"/>
          <w:sz w:val="24"/>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p>
      <w:pPr>
        <w:snapToGrid w:val="0"/>
        <w:spacing w:before="50" w:after="120" w:afterLines="50"/>
        <w:jc w:val="right"/>
        <w:rPr>
          <w:rFonts w:hint="eastAsia" w:ascii="宋体" w:hAnsi="宋体"/>
          <w:color w:val="000000"/>
          <w:sz w:val="24"/>
        </w:rPr>
      </w:pPr>
    </w:p>
    <w:p>
      <w:pPr>
        <w:snapToGrid w:val="0"/>
        <w:spacing w:before="50" w:after="120" w:afterLines="50"/>
        <w:jc w:val="right"/>
        <w:rPr>
          <w:rFonts w:hint="eastAsia" w:ascii="宋体" w:hAnsi="宋体"/>
          <w:color w:val="000000"/>
          <w:sz w:val="24"/>
        </w:rPr>
      </w:pPr>
    </w:p>
    <w:p>
      <w:pPr>
        <w:snapToGrid w:val="0"/>
        <w:spacing w:before="50" w:after="120" w:afterLines="50"/>
        <w:jc w:val="right"/>
        <w:rPr>
          <w:rFonts w:hint="eastAsia" w:ascii="宋体" w:hAnsi="宋体"/>
          <w:color w:val="000000"/>
          <w:sz w:val="24"/>
        </w:rPr>
      </w:pPr>
    </w:p>
    <w:p>
      <w:pPr>
        <w:snapToGrid w:val="0"/>
        <w:spacing w:before="50" w:after="120" w:afterLines="50"/>
        <w:jc w:val="right"/>
        <w:rPr>
          <w:rFonts w:hint="eastAsia" w:ascii="宋体" w:hAnsi="宋体"/>
          <w:color w:val="000000"/>
          <w:sz w:val="24"/>
        </w:rPr>
      </w:pPr>
    </w:p>
    <w:p>
      <w:pPr>
        <w:snapToGrid w:val="0"/>
        <w:spacing w:before="50" w:after="120" w:afterLines="50"/>
        <w:jc w:val="right"/>
        <w:rPr>
          <w:rFonts w:hint="eastAsia" w:ascii="宋体" w:hAnsi="宋体"/>
          <w:color w:val="000000"/>
          <w:sz w:val="24"/>
        </w:rPr>
      </w:pPr>
    </w:p>
    <w:p>
      <w:pPr>
        <w:snapToGrid w:val="0"/>
        <w:spacing w:before="50" w:after="120" w:afterLines="50"/>
        <w:jc w:val="right"/>
        <w:rPr>
          <w:rFonts w:hint="eastAsia" w:ascii="宋体" w:hAnsi="宋体"/>
          <w:color w:val="000000"/>
          <w:sz w:val="24"/>
        </w:rPr>
      </w:pPr>
    </w:p>
    <w:p>
      <w:pPr>
        <w:snapToGrid w:val="0"/>
        <w:spacing w:before="50" w:after="120" w:afterLines="50"/>
        <w:jc w:val="right"/>
        <w:rPr>
          <w:rFonts w:hint="eastAsia" w:ascii="宋体" w:hAnsi="宋体"/>
          <w:color w:val="000000"/>
          <w:sz w:val="24"/>
        </w:rPr>
      </w:pPr>
    </w:p>
    <w:p>
      <w:pPr>
        <w:snapToGrid w:val="0"/>
        <w:spacing w:before="50" w:after="120" w:afterLines="50"/>
        <w:jc w:val="right"/>
        <w:rPr>
          <w:rFonts w:hint="eastAsia" w:ascii="宋体" w:hAnsi="宋体"/>
          <w:color w:val="000000"/>
          <w:sz w:val="24"/>
        </w:rPr>
      </w:pPr>
    </w:p>
    <w:p>
      <w:pPr>
        <w:snapToGrid w:val="0"/>
        <w:spacing w:before="50" w:after="120" w:afterLines="50"/>
        <w:jc w:val="right"/>
        <w:rPr>
          <w:rFonts w:hint="eastAsia" w:ascii="宋体" w:hAnsi="宋体"/>
          <w:color w:val="000000"/>
          <w:sz w:val="24"/>
          <w:szCs w:val="20"/>
        </w:rPr>
      </w:pPr>
    </w:p>
    <w:p>
      <w:pPr>
        <w:pStyle w:val="4"/>
        <w:rPr>
          <w:rFonts w:hint="eastAsia" w:ascii="宋体" w:hAnsi="宋体" w:cs="Arial"/>
          <w:bCs w:val="0"/>
          <w:color w:val="000000"/>
          <w:sz w:val="36"/>
          <w:szCs w:val="36"/>
        </w:rPr>
      </w:pPr>
      <w:r>
        <w:rPr>
          <w:rFonts w:hint="eastAsia" w:ascii="宋体" w:hAnsi="宋体"/>
          <w:color w:val="000000"/>
          <w:sz w:val="24"/>
        </w:rPr>
        <w:t>13.所投货物的品牌型号格式：</w:t>
      </w:r>
    </w:p>
    <w:p>
      <w:pPr>
        <w:spacing w:line="400" w:lineRule="exact"/>
        <w:ind w:left="960" w:hanging="960" w:hangingChars="400"/>
        <w:jc w:val="center"/>
        <w:rPr>
          <w:rFonts w:hint="eastAsia" w:ascii="宋体" w:hAnsi="宋体" w:cs="Arial"/>
          <w:bCs/>
          <w:color w:val="000000"/>
          <w:sz w:val="32"/>
        </w:rPr>
      </w:pPr>
      <w:r>
        <w:rPr>
          <w:rFonts w:hint="eastAsia" w:ascii="宋体" w:hAnsi="宋体"/>
          <w:color w:val="000000"/>
          <w:sz w:val="24"/>
        </w:rPr>
        <w:t>所投货物的品牌型号（货物类）</w:t>
      </w:r>
    </w:p>
    <w:p>
      <w:pPr>
        <w:spacing w:line="380" w:lineRule="exact"/>
        <w:rPr>
          <w:rFonts w:hint="eastAsia" w:ascii="宋体" w:hAnsi="宋体"/>
          <w:bCs/>
          <w:color w:val="000000"/>
          <w:sz w:val="22"/>
        </w:rPr>
      </w:pPr>
      <w:r>
        <w:rPr>
          <w:rFonts w:hint="eastAsia" w:ascii="宋体" w:hAnsi="宋体"/>
          <w:bCs/>
          <w:color w:val="000000"/>
          <w:sz w:val="22"/>
        </w:rPr>
        <w:t>项目名称：                                          招标编号：</w:t>
      </w:r>
    </w:p>
    <w:tbl>
      <w:tblPr>
        <w:tblStyle w:val="5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100"/>
        <w:gridCol w:w="1667"/>
        <w:gridCol w:w="1561"/>
        <w:gridCol w:w="113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sz w:val="22"/>
                <w:szCs w:val="22"/>
              </w:rPr>
            </w:pPr>
            <w:r>
              <w:rPr>
                <w:rFonts w:hint="eastAsia" w:ascii="宋体" w:hAnsi="宋体" w:cs="Arial"/>
                <w:color w:val="000000"/>
                <w:sz w:val="22"/>
              </w:rPr>
              <w:t>序号</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sz w:val="22"/>
                <w:szCs w:val="22"/>
              </w:rPr>
            </w:pPr>
            <w:r>
              <w:rPr>
                <w:rFonts w:hint="eastAsia" w:ascii="宋体" w:hAnsi="宋体" w:cs="Arial"/>
                <w:color w:val="000000"/>
                <w:sz w:val="22"/>
              </w:rPr>
              <w:t>设备名称</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sz w:val="22"/>
                <w:szCs w:val="22"/>
              </w:rPr>
            </w:pPr>
            <w:r>
              <w:rPr>
                <w:rFonts w:hint="eastAsia" w:ascii="宋体" w:hAnsi="宋体" w:cs="Arial"/>
                <w:color w:val="000000"/>
                <w:sz w:val="22"/>
              </w:rPr>
              <w:t>规格型号</w:t>
            </w:r>
          </w:p>
        </w:tc>
        <w:tc>
          <w:tcPr>
            <w:tcW w:w="1561"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ascii="宋体" w:hAnsi="宋体" w:cs="Arial"/>
                <w:color w:val="000000"/>
                <w:sz w:val="22"/>
                <w:szCs w:val="22"/>
              </w:rPr>
            </w:pPr>
            <w:r>
              <w:rPr>
                <w:rFonts w:hint="eastAsia" w:ascii="宋体" w:hAnsi="宋体" w:cs="Arial"/>
                <w:color w:val="000000"/>
                <w:sz w:val="22"/>
              </w:rPr>
              <w:t>品牌</w:t>
            </w:r>
          </w:p>
        </w:tc>
        <w:tc>
          <w:tcPr>
            <w:tcW w:w="1135"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ascii="宋体" w:hAnsi="宋体" w:cs="Arial"/>
                <w:color w:val="000000"/>
                <w:sz w:val="22"/>
                <w:szCs w:val="22"/>
              </w:rPr>
            </w:pPr>
            <w:r>
              <w:rPr>
                <w:rFonts w:hint="eastAsia" w:ascii="宋体" w:hAnsi="宋体" w:cs="Arial"/>
                <w:color w:val="000000"/>
                <w:sz w:val="22"/>
              </w:rPr>
              <w:t>数量</w:t>
            </w:r>
          </w:p>
        </w:tc>
        <w:tc>
          <w:tcPr>
            <w:tcW w:w="1418"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ascii="宋体" w:hAnsi="宋体" w:cs="Arial"/>
                <w:color w:val="000000"/>
                <w:sz w:val="22"/>
                <w:szCs w:val="22"/>
              </w:rPr>
            </w:pPr>
            <w:r>
              <w:rPr>
                <w:rFonts w:hint="eastAsia" w:ascii="宋体" w:hAnsi="宋体" w:cs="Arial"/>
                <w:color w:val="000000"/>
                <w:sz w:val="22"/>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21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21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p>
            <w:pPr>
              <w:spacing w:line="400" w:lineRule="exact"/>
              <w:rPr>
                <w:rFonts w:ascii="宋体" w:hAnsi="宋体" w:cs="Arial"/>
                <w:color w:val="000000"/>
                <w:sz w:val="22"/>
                <w:szCs w:val="22"/>
              </w:rPr>
            </w:pPr>
          </w:p>
        </w:tc>
        <w:tc>
          <w:tcPr>
            <w:tcW w:w="21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21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21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21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21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56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Arial"/>
                <w:color w:val="000000"/>
                <w:sz w:val="22"/>
                <w:szCs w:val="22"/>
              </w:rPr>
            </w:pPr>
          </w:p>
        </w:tc>
      </w:tr>
    </w:tbl>
    <w:p>
      <w:pPr>
        <w:pStyle w:val="30"/>
        <w:numPr>
          <w:ilvl w:val="0"/>
          <w:numId w:val="0"/>
        </w:numPr>
        <w:spacing w:before="120" w:after="120"/>
        <w:rPr>
          <w:rFonts w:hint="eastAsia" w:hAnsi="宋体"/>
          <w:bCs/>
          <w:color w:val="000000"/>
          <w:sz w:val="22"/>
          <w:szCs w:val="22"/>
        </w:rPr>
      </w:pPr>
      <w:r>
        <w:rPr>
          <w:rFonts w:hint="eastAsia" w:hAnsi="宋体"/>
          <w:color w:val="000000"/>
          <w:sz w:val="22"/>
          <w:szCs w:val="22"/>
        </w:rPr>
        <w:t>注：1、</w:t>
      </w:r>
      <w:r>
        <w:rPr>
          <w:rFonts w:hint="eastAsia" w:hAnsi="宋体"/>
          <w:bCs/>
          <w:color w:val="000000"/>
          <w:sz w:val="22"/>
          <w:szCs w:val="22"/>
        </w:rPr>
        <w:t>表格可以延续。</w:t>
      </w:r>
    </w:p>
    <w:p>
      <w:pPr>
        <w:pStyle w:val="16"/>
        <w:wordWrap w:val="0"/>
        <w:snapToGrid w:val="0"/>
        <w:ind w:left="851"/>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ind w:left="851"/>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50" w:after="120" w:afterLines="50"/>
        <w:ind w:left="851"/>
        <w:jc w:val="right"/>
        <w:rPr>
          <w:rFonts w:hint="eastAsia" w:ascii="宋体" w:hAnsi="宋体"/>
          <w:color w:val="000000"/>
          <w:sz w:val="24"/>
          <w:szCs w:val="20"/>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pStyle w:val="4"/>
        <w:rPr>
          <w:rFonts w:hint="eastAsia" w:ascii="宋体" w:hAnsi="宋体"/>
          <w:color w:val="000000"/>
          <w:sz w:val="24"/>
        </w:rPr>
      </w:pPr>
      <w:r>
        <w:rPr>
          <w:rFonts w:hint="eastAsia" w:ascii="宋体" w:hAnsi="宋体"/>
          <w:color w:val="000000"/>
          <w:sz w:val="24"/>
        </w:rPr>
        <w:t>14.项目实施人员一览表</w:t>
      </w:r>
    </w:p>
    <w:p>
      <w:pPr>
        <w:spacing w:before="100" w:beforeAutospacing="1" w:line="360" w:lineRule="auto"/>
        <w:jc w:val="center"/>
        <w:rPr>
          <w:rFonts w:ascii="宋体" w:hAnsi="宋体" w:cs="宋体"/>
          <w:color w:val="000000"/>
          <w:sz w:val="24"/>
        </w:rPr>
      </w:pPr>
      <w:r>
        <w:rPr>
          <w:rFonts w:hint="eastAsia" w:ascii="宋体" w:hAnsi="宋体" w:cs="宋体"/>
          <w:color w:val="000000"/>
          <w:sz w:val="24"/>
        </w:rPr>
        <w:t>项目实施人员（主要从业人员及其技术资格）一览表</w:t>
      </w:r>
    </w:p>
    <w:p>
      <w:pPr>
        <w:pStyle w:val="6"/>
        <w:tabs>
          <w:tab w:val="right" w:pos="8847"/>
        </w:tabs>
        <w:spacing w:line="360" w:lineRule="auto"/>
        <w:rPr>
          <w:rFonts w:hint="eastAsia" w:hAnsi="宋体" w:cs="宋体"/>
          <w:color w:val="000000"/>
          <w:sz w:val="24"/>
          <w:u w:val="single"/>
        </w:rPr>
      </w:pPr>
      <w:r>
        <w:rPr>
          <w:rFonts w:hint="eastAsia" w:hAnsi="宋体" w:cs="宋体"/>
          <w:color w:val="000000"/>
          <w:sz w:val="24"/>
        </w:rPr>
        <w:t>招标项目名称：</w:t>
      </w:r>
      <w:r>
        <w:rPr>
          <w:rFonts w:hAnsi="宋体" w:cs="宋体"/>
          <w:color w:val="000000"/>
          <w:sz w:val="24"/>
          <w:u w:val="single"/>
        </w:rPr>
        <w:t xml:space="preserve">                                   </w:t>
      </w:r>
      <w:r>
        <w:rPr>
          <w:rFonts w:hint="eastAsia" w:hAnsi="宋体" w:cs="宋体"/>
          <w:color w:val="000000"/>
          <w:sz w:val="24"/>
        </w:rPr>
        <w:t>招标编号：</w:t>
      </w:r>
      <w:r>
        <w:rPr>
          <w:rFonts w:hAnsi="宋体" w:cs="宋体"/>
          <w:color w:val="000000"/>
          <w:sz w:val="24"/>
          <w:u w:val="single"/>
        </w:rPr>
        <w:t xml:space="preserve">                </w:t>
      </w:r>
    </w:p>
    <w:p>
      <w:pPr>
        <w:ind w:firstLine="241"/>
        <w:rPr>
          <w:rFonts w:ascii="宋体" w:hAnsi="宋体" w:cs="宋体"/>
          <w:b/>
          <w:color w:val="000000"/>
          <w:sz w:val="24"/>
        </w:rPr>
      </w:pPr>
    </w:p>
    <w:tbl>
      <w:tblPr>
        <w:tblStyle w:val="57"/>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拟在本项目担任的职务(岗位)</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r>
              <w:rPr>
                <w:rFonts w:hint="eastAsia" w:ascii="宋体" w:hAnsi="宋体" w:cs="宋体"/>
                <w:color w:val="000000"/>
                <w:sz w:val="24"/>
              </w:rPr>
              <w:t>姓名</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r>
              <w:rPr>
                <w:rFonts w:hint="eastAsia" w:ascii="宋体" w:hAnsi="宋体" w:cs="宋体"/>
                <w:color w:val="000000"/>
                <w:sz w:val="24"/>
              </w:rPr>
              <w:t>技术职称</w:t>
            </w:r>
          </w:p>
        </w:tc>
        <w:tc>
          <w:tcPr>
            <w:tcW w:w="5405" w:type="dxa"/>
            <w:gridSpan w:val="5"/>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执业或职业资格证件</w:t>
            </w:r>
          </w:p>
        </w:tc>
        <w:tc>
          <w:tcPr>
            <w:tcW w:w="107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4"/>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r>
              <w:rPr>
                <w:rFonts w:hint="eastAsia" w:ascii="宋体" w:hAnsi="宋体" w:cs="宋体"/>
                <w:color w:val="000000"/>
                <w:sz w:val="24"/>
              </w:rPr>
              <w:t>证书名称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级别</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证号</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专业</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工作年限</w:t>
            </w:r>
          </w:p>
        </w:tc>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tcBorders>
              <w:top w:val="single" w:color="auto" w:sz="4" w:space="0"/>
              <w:left w:val="single" w:color="auto" w:sz="4" w:space="0"/>
              <w:bottom w:val="single" w:color="auto" w:sz="4" w:space="0"/>
              <w:right w:val="single" w:color="auto" w:sz="4" w:space="0"/>
            </w:tcBorders>
            <w:noWrap w:val="0"/>
            <w:vAlign w:val="center"/>
          </w:tcPr>
          <w:p>
            <w:pPr>
              <w:ind w:firstLine="241"/>
              <w:jc w:val="center"/>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704" w:type="dxa"/>
            <w:gridSpan w:val="9"/>
            <w:tcBorders>
              <w:top w:val="single" w:color="auto" w:sz="4" w:space="0"/>
              <w:left w:val="single" w:color="auto" w:sz="4" w:space="0"/>
              <w:bottom w:val="single" w:color="auto" w:sz="4" w:space="0"/>
              <w:right w:val="single" w:color="auto" w:sz="4" w:space="0"/>
            </w:tcBorders>
            <w:noWrap w:val="0"/>
            <w:vAlign w:val="center"/>
          </w:tcPr>
          <w:p>
            <w:pPr>
              <w:ind w:firstLine="241"/>
              <w:jc w:val="center"/>
              <w:rPr>
                <w:rFonts w:ascii="宋体" w:hAnsi="宋体" w:cs="宋体"/>
                <w:b/>
                <w:color w:val="000000"/>
                <w:sz w:val="24"/>
              </w:rPr>
            </w:pPr>
            <w:r>
              <w:rPr>
                <w:rFonts w:hint="eastAsia" w:ascii="宋体" w:hAnsi="宋体" w:cs="宋体"/>
                <w:b/>
                <w:color w:val="000000"/>
                <w:sz w:val="24"/>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…专业负责人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…专业负责人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技术人员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r>
              <w:rPr>
                <w:rFonts w:hint="eastAsia" w:ascii="宋体" w:hAnsi="宋体" w:cs="宋体"/>
                <w:color w:val="000000"/>
                <w:sz w:val="24"/>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ind w:firstLine="240"/>
              <w:jc w:val="center"/>
              <w:rPr>
                <w:rFonts w:ascii="宋体" w:hAnsi="宋体" w:cs="宋体"/>
                <w:color w:val="000000"/>
                <w:sz w:val="24"/>
              </w:rPr>
            </w:pPr>
          </w:p>
        </w:tc>
      </w:tr>
    </w:tbl>
    <w:p>
      <w:pPr>
        <w:snapToGrid w:val="0"/>
        <w:spacing w:before="50" w:after="120" w:afterLines="50"/>
        <w:jc w:val="left"/>
        <w:rPr>
          <w:rFonts w:hint="eastAsia" w:ascii="宋体" w:hAnsi="宋体" w:cs="宋体"/>
          <w:color w:val="000000"/>
          <w:sz w:val="24"/>
        </w:rPr>
      </w:pPr>
      <w:r>
        <w:rPr>
          <w:rFonts w:hint="eastAsia" w:ascii="宋体" w:hAnsi="宋体" w:cs="宋体"/>
          <w:color w:val="000000"/>
          <w:sz w:val="24"/>
        </w:rPr>
        <w:t>注：1、</w:t>
      </w:r>
      <w:r>
        <w:rPr>
          <w:rFonts w:hint="eastAsia" w:ascii="宋体" w:hAnsi="宋体" w:cs="宋体"/>
          <w:snapToGrid w:val="0"/>
          <w:color w:val="000000"/>
          <w:sz w:val="24"/>
        </w:rPr>
        <w:t>项目组成人员应附职称证书、执业资格证书、社保资料等扫描件</w:t>
      </w:r>
      <w:r>
        <w:rPr>
          <w:rFonts w:hint="eastAsia" w:ascii="宋体" w:hAnsi="宋体" w:cs="宋体"/>
          <w:snapToGrid w:val="0"/>
          <w:color w:val="000000"/>
          <w:szCs w:val="21"/>
        </w:rPr>
        <w:t>（具体按评标办法提供）</w:t>
      </w:r>
      <w:r>
        <w:rPr>
          <w:rFonts w:hint="eastAsia" w:ascii="宋体" w:hAnsi="宋体" w:cs="宋体"/>
          <w:snapToGrid w:val="0"/>
          <w:color w:val="000000"/>
          <w:sz w:val="24"/>
        </w:rPr>
        <w:t>。</w:t>
      </w:r>
    </w:p>
    <w:p>
      <w:pPr>
        <w:snapToGrid w:val="0"/>
        <w:spacing w:before="50" w:after="120" w:afterLines="50"/>
        <w:jc w:val="left"/>
        <w:rPr>
          <w:rFonts w:hint="eastAsia" w:ascii="宋体" w:hAnsi="宋体" w:cs="宋体"/>
          <w:color w:val="000000"/>
          <w:sz w:val="24"/>
          <w:szCs w:val="20"/>
        </w:rPr>
      </w:pPr>
      <w:r>
        <w:rPr>
          <w:rFonts w:hint="eastAsia" w:ascii="宋体" w:hAnsi="宋体" w:cs="宋体"/>
          <w:color w:val="000000"/>
          <w:sz w:val="24"/>
        </w:rPr>
        <w:t>2、在填写时，如本表格不适合投标单位的实际情况，可根据本表格式按评标办法要求自行划表填写并提供相关资料。</w:t>
      </w:r>
    </w:p>
    <w:p>
      <w:pPr>
        <w:snapToGrid w:val="0"/>
        <w:spacing w:before="50" w:after="50"/>
        <w:rPr>
          <w:rFonts w:hint="eastAsia" w:ascii="宋体" w:hAnsi="宋体" w:cs="宋体"/>
          <w:color w:val="000000"/>
          <w:spacing w:val="20"/>
          <w:sz w:val="24"/>
          <w:szCs w:val="20"/>
          <w:u w:val="single"/>
        </w:rPr>
      </w:pPr>
    </w:p>
    <w:p>
      <w:pPr>
        <w:pStyle w:val="16"/>
        <w:wordWrap w:val="0"/>
        <w:snapToGrid w:val="0"/>
        <w:ind w:firstLine="1440" w:firstLineChars="600"/>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50" w:after="120" w:afterLines="50"/>
        <w:jc w:val="right"/>
        <w:rPr>
          <w:rFonts w:hint="eastAsia" w:ascii="宋体" w:hAnsi="宋体"/>
          <w:color w:val="000000"/>
          <w:sz w:val="24"/>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pStyle w:val="4"/>
        <w:rPr>
          <w:rFonts w:ascii="宋体" w:hAnsi="宋体"/>
          <w:color w:val="000000"/>
          <w:sz w:val="24"/>
        </w:rPr>
      </w:pPr>
      <w:r>
        <w:rPr>
          <w:rFonts w:hint="eastAsia" w:ascii="宋体" w:hAnsi="宋体"/>
          <w:color w:val="000000"/>
          <w:sz w:val="24"/>
        </w:rPr>
        <w:t>15.投标单位项目负责人简历、专业职称、业绩表（如有）</w:t>
      </w:r>
    </w:p>
    <w:p>
      <w:pPr>
        <w:rPr>
          <w:rFonts w:hint="eastAsia" w:ascii="宋体" w:hAnsi="宋体" w:cs="宋体"/>
          <w:color w:val="000000"/>
          <w:szCs w:val="21"/>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292"/>
        <w:gridCol w:w="159"/>
        <w:gridCol w:w="1434"/>
        <w:gridCol w:w="183"/>
        <w:gridCol w:w="1135"/>
        <w:gridCol w:w="1059"/>
        <w:gridCol w:w="1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7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姓名</w:t>
            </w:r>
          </w:p>
        </w:tc>
        <w:tc>
          <w:tcPr>
            <w:tcW w:w="1292"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593"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性别</w:t>
            </w:r>
          </w:p>
        </w:tc>
        <w:tc>
          <w:tcPr>
            <w:tcW w:w="1318"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059"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年龄</w:t>
            </w:r>
          </w:p>
        </w:tc>
        <w:tc>
          <w:tcPr>
            <w:tcW w:w="1964"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27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职务</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拟担任本</w:t>
            </w:r>
          </w:p>
          <w:p>
            <w:pPr>
              <w:spacing w:line="360" w:lineRule="auto"/>
              <w:jc w:val="center"/>
              <w:rPr>
                <w:rFonts w:ascii="宋体" w:hAnsi="宋体" w:cs="宋体"/>
                <w:color w:val="000000"/>
                <w:szCs w:val="21"/>
              </w:rPr>
            </w:pPr>
            <w:r>
              <w:rPr>
                <w:rFonts w:hint="eastAsia" w:ascii="宋体" w:hAnsi="宋体" w:cs="宋体"/>
                <w:color w:val="000000"/>
                <w:szCs w:val="21"/>
              </w:rPr>
              <w:t>项目职务</w:t>
            </w:r>
          </w:p>
        </w:tc>
        <w:tc>
          <w:tcPr>
            <w:tcW w:w="13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学历</w:t>
            </w:r>
          </w:p>
        </w:tc>
        <w:tc>
          <w:tcPr>
            <w:tcW w:w="196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27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参加工作时间</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39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从事项目负责人</w:t>
            </w:r>
          </w:p>
          <w:p>
            <w:pPr>
              <w:jc w:val="center"/>
              <w:rPr>
                <w:rFonts w:ascii="宋体" w:hAnsi="宋体" w:cs="宋体"/>
                <w:color w:val="000000"/>
                <w:szCs w:val="21"/>
              </w:rPr>
            </w:pPr>
            <w:r>
              <w:rPr>
                <w:rFonts w:hint="eastAsia" w:ascii="宋体" w:hAnsi="宋体" w:cs="宋体"/>
                <w:color w:val="000000"/>
                <w:szCs w:val="21"/>
              </w:rPr>
              <w:t xml:space="preserve">年限    </w:t>
            </w:r>
          </w:p>
        </w:tc>
        <w:tc>
          <w:tcPr>
            <w:tcW w:w="1964" w:type="dxa"/>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color w:val="000000"/>
                <w:szCs w:val="21"/>
              </w:rPr>
            </w:pPr>
          </w:p>
          <w:p>
            <w:pPr>
              <w:spacing w:line="360" w:lineRule="auto"/>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7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职称</w:t>
            </w:r>
          </w:p>
        </w:tc>
        <w:tc>
          <w:tcPr>
            <w:tcW w:w="7226" w:type="dxa"/>
            <w:gridSpan w:val="7"/>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0" w:type="dxa"/>
            <w:gridSpan w:val="8"/>
            <w:tcBorders>
              <w:top w:val="single" w:color="auto" w:sz="4" w:space="0"/>
              <w:left w:val="single" w:color="auto" w:sz="12" w:space="0"/>
              <w:bottom w:val="single" w:color="auto" w:sz="4" w:space="0"/>
              <w:right w:val="single" w:color="auto" w:sz="12"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已 完 成 项 目 情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27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项目名称</w:t>
            </w:r>
          </w:p>
        </w:tc>
        <w:tc>
          <w:tcPr>
            <w:tcW w:w="14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规模</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开始完成日期</w:t>
            </w:r>
          </w:p>
        </w:tc>
        <w:tc>
          <w:tcPr>
            <w:tcW w:w="21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负担的技术</w:t>
            </w:r>
          </w:p>
          <w:p>
            <w:pPr>
              <w:spacing w:line="360" w:lineRule="auto"/>
              <w:jc w:val="center"/>
              <w:rPr>
                <w:rFonts w:ascii="宋体" w:hAnsi="宋体" w:cs="宋体"/>
                <w:color w:val="000000"/>
                <w:szCs w:val="21"/>
              </w:rPr>
            </w:pPr>
            <w:r>
              <w:rPr>
                <w:rFonts w:hint="eastAsia" w:ascii="宋体" w:hAnsi="宋体" w:cs="宋体"/>
                <w:color w:val="000000"/>
                <w:szCs w:val="21"/>
              </w:rPr>
              <w:t>职务</w:t>
            </w:r>
          </w:p>
        </w:tc>
        <w:tc>
          <w:tcPr>
            <w:tcW w:w="196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7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 xml:space="preserve">       </w:t>
            </w:r>
          </w:p>
        </w:tc>
        <w:tc>
          <w:tcPr>
            <w:tcW w:w="14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21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96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7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4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21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96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7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4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21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96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7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4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21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Cs w:val="21"/>
              </w:rPr>
            </w:pPr>
          </w:p>
        </w:tc>
        <w:tc>
          <w:tcPr>
            <w:tcW w:w="196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274"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ascii="宋体" w:hAnsi="宋体" w:cs="宋体"/>
                <w:color w:val="000000"/>
                <w:szCs w:val="21"/>
              </w:rPr>
            </w:pPr>
          </w:p>
        </w:tc>
        <w:tc>
          <w:tcPr>
            <w:tcW w:w="1451" w:type="dxa"/>
            <w:gridSpan w:val="2"/>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宋体" w:hAnsi="宋体" w:cs="宋体"/>
                <w:color w:val="000000"/>
                <w:szCs w:val="21"/>
              </w:rPr>
            </w:pPr>
          </w:p>
        </w:tc>
        <w:tc>
          <w:tcPr>
            <w:tcW w:w="1617" w:type="dxa"/>
            <w:gridSpan w:val="2"/>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宋体" w:hAnsi="宋体" w:cs="宋体"/>
                <w:color w:val="000000"/>
                <w:szCs w:val="21"/>
              </w:rPr>
            </w:pPr>
          </w:p>
        </w:tc>
        <w:tc>
          <w:tcPr>
            <w:tcW w:w="2194" w:type="dxa"/>
            <w:gridSpan w:val="2"/>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宋体" w:hAnsi="宋体" w:cs="宋体"/>
                <w:color w:val="000000"/>
                <w:szCs w:val="21"/>
              </w:rPr>
            </w:pPr>
          </w:p>
        </w:tc>
        <w:tc>
          <w:tcPr>
            <w:tcW w:w="196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rFonts w:ascii="宋体" w:hAnsi="宋体" w:cs="宋体"/>
                <w:color w:val="000000"/>
                <w:szCs w:val="21"/>
              </w:rPr>
            </w:pPr>
          </w:p>
        </w:tc>
      </w:tr>
    </w:tbl>
    <w:p>
      <w:pPr>
        <w:snapToGrid w:val="0"/>
        <w:spacing w:before="50" w:after="120" w:afterLines="50"/>
        <w:jc w:val="left"/>
        <w:rPr>
          <w:rFonts w:hint="eastAsia" w:ascii="宋体" w:hAnsi="宋体" w:cs="宋体"/>
          <w:color w:val="000000"/>
          <w:sz w:val="24"/>
        </w:rPr>
      </w:pPr>
      <w:r>
        <w:rPr>
          <w:rFonts w:hint="eastAsia" w:ascii="宋体" w:hAnsi="宋体" w:cs="宋体"/>
          <w:color w:val="000000"/>
          <w:sz w:val="24"/>
        </w:rPr>
        <w:t>注：1、项目负责人应附身份证、职称证书、执业资格证书、社保资料等扫描件（具体按评标办法提供）。</w:t>
      </w:r>
    </w:p>
    <w:p>
      <w:pPr>
        <w:snapToGrid w:val="0"/>
        <w:spacing w:before="50" w:after="120" w:afterLines="50"/>
        <w:jc w:val="left"/>
        <w:rPr>
          <w:rFonts w:hint="eastAsia" w:ascii="宋体" w:hAnsi="宋体" w:cs="宋体"/>
          <w:color w:val="000000"/>
          <w:sz w:val="24"/>
        </w:rPr>
      </w:pPr>
      <w:r>
        <w:rPr>
          <w:rFonts w:hint="eastAsia" w:ascii="宋体" w:hAnsi="宋体" w:cs="宋体"/>
          <w:color w:val="000000"/>
          <w:sz w:val="24"/>
        </w:rPr>
        <w:t>2、在填写时，如本表格不适合投标单位的实际情况，可根据本表格式按评标办法要求自行划表填写并提供相关资料。</w:t>
      </w:r>
    </w:p>
    <w:p>
      <w:pPr>
        <w:pStyle w:val="16"/>
        <w:wordWrap w:val="0"/>
        <w:snapToGrid w:val="0"/>
        <w:ind w:firstLine="1440" w:firstLineChars="600"/>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50" w:after="120" w:afterLines="50"/>
        <w:jc w:val="right"/>
        <w:rPr>
          <w:rFonts w:hint="eastAsia" w:ascii="宋体" w:hAnsi="宋体"/>
          <w:color w:val="000000"/>
          <w:sz w:val="24"/>
          <w:szCs w:val="20"/>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snapToGrid w:val="0"/>
        <w:spacing w:before="50" w:after="120" w:afterLines="50"/>
        <w:jc w:val="left"/>
        <w:rPr>
          <w:rFonts w:hint="eastAsia" w:ascii="宋体" w:hAnsi="宋体"/>
          <w:color w:val="000000"/>
          <w:sz w:val="24"/>
          <w:szCs w:val="20"/>
        </w:rPr>
      </w:pPr>
    </w:p>
    <w:p>
      <w:pPr>
        <w:pStyle w:val="4"/>
        <w:rPr>
          <w:rFonts w:ascii="宋体" w:hAnsi="宋体"/>
          <w:color w:val="000000"/>
          <w:sz w:val="24"/>
          <w:szCs w:val="20"/>
        </w:rPr>
      </w:pPr>
      <w:r>
        <w:rPr>
          <w:rFonts w:hint="eastAsia" w:ascii="宋体" w:hAnsi="宋体"/>
          <w:color w:val="000000"/>
          <w:sz w:val="24"/>
        </w:rPr>
        <w:t>16.投标函格式：</w:t>
      </w:r>
    </w:p>
    <w:p>
      <w:pPr>
        <w:snapToGrid w:val="0"/>
        <w:spacing w:before="120" w:beforeLines="50" w:after="50"/>
        <w:jc w:val="center"/>
        <w:rPr>
          <w:rFonts w:ascii="宋体" w:hAnsi="宋体"/>
          <w:b/>
          <w:color w:val="000000"/>
          <w:sz w:val="24"/>
          <w:szCs w:val="20"/>
        </w:rPr>
      </w:pPr>
      <w:r>
        <w:rPr>
          <w:rFonts w:hint="eastAsia" w:ascii="宋体" w:hAnsi="宋体"/>
          <w:b/>
          <w:color w:val="000000"/>
          <w:sz w:val="24"/>
        </w:rPr>
        <w:t>投</w:t>
      </w:r>
      <w:r>
        <w:rPr>
          <w:rFonts w:ascii="宋体" w:hAnsi="宋体"/>
          <w:b/>
          <w:color w:val="000000"/>
          <w:sz w:val="24"/>
        </w:rPr>
        <w:t xml:space="preserve"> </w:t>
      </w:r>
      <w:r>
        <w:rPr>
          <w:rFonts w:hint="eastAsia" w:ascii="宋体" w:hAnsi="宋体"/>
          <w:b/>
          <w:color w:val="000000"/>
          <w:sz w:val="24"/>
        </w:rPr>
        <w:t>标</w:t>
      </w:r>
      <w:r>
        <w:rPr>
          <w:rFonts w:ascii="宋体" w:hAnsi="宋体"/>
          <w:b/>
          <w:color w:val="000000"/>
          <w:sz w:val="24"/>
        </w:rPr>
        <w:t xml:space="preserve"> </w:t>
      </w:r>
      <w:r>
        <w:rPr>
          <w:rFonts w:hint="eastAsia" w:ascii="宋体" w:hAnsi="宋体"/>
          <w:b/>
          <w:color w:val="000000"/>
          <w:sz w:val="24"/>
        </w:rPr>
        <w:t>函</w:t>
      </w:r>
    </w:p>
    <w:p>
      <w:pPr>
        <w:snapToGrid w:val="0"/>
        <w:spacing w:line="360" w:lineRule="auto"/>
        <w:rPr>
          <w:rFonts w:ascii="宋体" w:hAnsi="宋体"/>
          <w:color w:val="000000"/>
          <w:sz w:val="24"/>
          <w:szCs w:val="20"/>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（采购单位名称）：</w:t>
      </w:r>
    </w:p>
    <w:p>
      <w:pPr>
        <w:snapToGrid w:val="0"/>
        <w:spacing w:line="360" w:lineRule="auto"/>
        <w:ind w:firstLine="480" w:firstLineChars="200"/>
        <w:rPr>
          <w:rFonts w:ascii="宋体" w:hAnsi="宋体"/>
          <w:color w:val="000000"/>
          <w:sz w:val="24"/>
          <w:szCs w:val="20"/>
        </w:rPr>
      </w:pPr>
      <w:r>
        <w:rPr>
          <w:rFonts w:hint="eastAsia" w:ascii="宋体" w:hAnsi="宋体"/>
          <w:color w:val="000000"/>
          <w:sz w:val="24"/>
        </w:rPr>
        <w:t>根据贵方为</w:t>
      </w:r>
      <w:r>
        <w:rPr>
          <w:rFonts w:ascii="宋体" w:hAnsi="宋体"/>
          <w:color w:val="000000"/>
          <w:sz w:val="24"/>
          <w:u w:val="single"/>
        </w:rPr>
        <w:t xml:space="preserve">                             </w:t>
      </w:r>
      <w:r>
        <w:rPr>
          <w:rFonts w:hint="eastAsia" w:ascii="宋体" w:hAnsi="宋体"/>
          <w:color w:val="000000"/>
          <w:sz w:val="24"/>
        </w:rPr>
        <w:t>项目的招标公告</w:t>
      </w:r>
      <w:r>
        <w:rPr>
          <w:rFonts w:ascii="宋体" w:hAnsi="宋体"/>
          <w:color w:val="000000"/>
          <w:sz w:val="24"/>
        </w:rPr>
        <w:t>/</w:t>
      </w:r>
      <w:r>
        <w:rPr>
          <w:rFonts w:hint="eastAsia" w:ascii="宋体" w:hAnsi="宋体"/>
          <w:color w:val="000000"/>
          <w:sz w:val="24"/>
        </w:rPr>
        <w:t>投标邀请书</w:t>
      </w:r>
    </w:p>
    <w:p>
      <w:pPr>
        <w:snapToGrid w:val="0"/>
        <w:spacing w:line="360" w:lineRule="auto"/>
        <w:rPr>
          <w:rFonts w:ascii="宋体" w:hAnsi="宋体"/>
          <w:color w:val="000000"/>
          <w:sz w:val="24"/>
          <w:szCs w:val="20"/>
        </w:rPr>
      </w:pP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），签字代表</w:t>
      </w:r>
      <w:r>
        <w:rPr>
          <w:rFonts w:hint="eastAsia" w:ascii="宋体" w:hAnsi="宋体"/>
          <w:color w:val="000000"/>
          <w:sz w:val="24"/>
          <w:u w:val="single"/>
        </w:rPr>
        <w:t xml:space="preserve">                 </w:t>
      </w:r>
      <w:r>
        <w:rPr>
          <w:rFonts w:hint="eastAsia" w:ascii="宋体" w:hAnsi="宋体"/>
          <w:color w:val="000000"/>
          <w:sz w:val="24"/>
        </w:rPr>
        <w:t>（全名）经正式授权并代表投标供应商</w:t>
      </w:r>
      <w:r>
        <w:rPr>
          <w:rFonts w:hint="eastAsia" w:ascii="宋体" w:hAnsi="宋体"/>
          <w:color w:val="000000"/>
          <w:sz w:val="24"/>
          <w:u w:val="single"/>
        </w:rPr>
        <w:t xml:space="preserve">                 </w:t>
      </w:r>
      <w:r>
        <w:rPr>
          <w:rFonts w:hint="eastAsia" w:ascii="宋体" w:hAnsi="宋体"/>
          <w:color w:val="000000"/>
          <w:sz w:val="24"/>
        </w:rPr>
        <w:t>（投标供应商名称）按政采云系统要求提交资格响应文件、技术商务文件、报价文件。</w:t>
      </w:r>
    </w:p>
    <w:p>
      <w:pPr>
        <w:snapToGrid w:val="0"/>
        <w:spacing w:line="360" w:lineRule="auto"/>
        <w:ind w:firstLine="480" w:firstLineChars="200"/>
        <w:rPr>
          <w:rFonts w:ascii="宋体" w:hAnsi="宋体"/>
          <w:color w:val="000000"/>
          <w:sz w:val="24"/>
          <w:szCs w:val="20"/>
        </w:rPr>
      </w:pPr>
      <w:r>
        <w:rPr>
          <w:rFonts w:hint="eastAsia" w:ascii="宋体" w:hAnsi="宋体"/>
          <w:color w:val="000000"/>
          <w:sz w:val="24"/>
        </w:rPr>
        <w:t>据此函，签字代表宣布同意如下：</w:t>
      </w:r>
    </w:p>
    <w:p>
      <w:pPr>
        <w:snapToGrid w:val="0"/>
        <w:spacing w:line="360" w:lineRule="auto"/>
        <w:ind w:firstLine="480" w:firstLineChars="200"/>
        <w:rPr>
          <w:rFonts w:ascii="宋体" w:hAnsi="宋体"/>
          <w:color w:val="000000"/>
          <w:sz w:val="24"/>
          <w:szCs w:val="20"/>
        </w:rPr>
      </w:pPr>
      <w:r>
        <w:rPr>
          <w:rFonts w:ascii="宋体" w:hAnsi="宋体"/>
          <w:color w:val="000000"/>
          <w:sz w:val="24"/>
        </w:rPr>
        <w:t>1</w:t>
      </w:r>
      <w:r>
        <w:rPr>
          <w:rFonts w:hint="eastAsia" w:ascii="宋体" w:hAnsi="宋体"/>
          <w:color w:val="000000"/>
          <w:sz w:val="24"/>
        </w:rPr>
        <w:t>.投标供应商已详细审查全部“采购文件”，包括修改文件（如有的话）以及全部参考资料和有关附件，已经了解我方对于采购文件、采购过程、采购结果有依法进行询问、质疑、投诉的权利及相关渠道和要求。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ascii="宋体" w:hAnsi="宋体"/>
          <w:color w:val="000000"/>
          <w:sz w:val="24"/>
          <w:szCs w:val="20"/>
        </w:rPr>
      </w:pPr>
      <w:r>
        <w:rPr>
          <w:rFonts w:ascii="宋体" w:hAnsi="宋体"/>
          <w:color w:val="000000"/>
          <w:sz w:val="24"/>
        </w:rPr>
        <w:t>2</w:t>
      </w:r>
      <w:r>
        <w:rPr>
          <w:rFonts w:hint="eastAsia" w:ascii="宋体" w:hAnsi="宋体"/>
          <w:color w:val="000000"/>
          <w:sz w:val="24"/>
        </w:rPr>
        <w:t>.投标供应商在投标之前已经与贵方进行了充分的沟通，完全理解并接受采购文件的各项规定和要求，对采购文件的合理性、合法性不再有异议。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color w:val="000000"/>
          <w:sz w:val="24"/>
          <w:szCs w:val="20"/>
        </w:rPr>
      </w:pPr>
      <w:r>
        <w:rPr>
          <w:rFonts w:ascii="宋体" w:hAnsi="宋体"/>
          <w:color w:val="000000"/>
          <w:sz w:val="24"/>
        </w:rPr>
        <w:t>3</w:t>
      </w:r>
      <w:r>
        <w:rPr>
          <w:rFonts w:hint="eastAsia" w:ascii="宋体" w:hAnsi="宋体"/>
          <w:color w:val="000000"/>
          <w:sz w:val="24"/>
        </w:rPr>
        <w:t>.本投标有效期自开标日起</w:t>
      </w:r>
      <w:r>
        <w:rPr>
          <w:rFonts w:ascii="宋体" w:hAnsi="宋体"/>
          <w:color w:val="000000"/>
          <w:sz w:val="24"/>
        </w:rPr>
        <w:t xml:space="preserve"> ______</w:t>
      </w:r>
      <w:r>
        <w:rPr>
          <w:rFonts w:hint="eastAsia" w:ascii="宋体" w:hAnsi="宋体"/>
          <w:color w:val="000000"/>
          <w:sz w:val="24"/>
        </w:rPr>
        <w:t>日。</w:t>
      </w:r>
    </w:p>
    <w:p>
      <w:pPr>
        <w:snapToGrid w:val="0"/>
        <w:spacing w:line="360" w:lineRule="auto"/>
        <w:ind w:firstLine="480" w:firstLineChars="200"/>
        <w:rPr>
          <w:rFonts w:ascii="宋体" w:hAnsi="宋体"/>
          <w:color w:val="000000"/>
          <w:sz w:val="24"/>
          <w:szCs w:val="20"/>
        </w:rPr>
      </w:pPr>
      <w:r>
        <w:rPr>
          <w:rFonts w:ascii="宋体" w:hAnsi="宋体"/>
          <w:color w:val="000000"/>
          <w:sz w:val="24"/>
        </w:rPr>
        <w:t>4</w:t>
      </w:r>
      <w:r>
        <w:rPr>
          <w:rFonts w:hint="eastAsia" w:ascii="宋体" w:hAnsi="宋体"/>
          <w:color w:val="000000"/>
          <w:sz w:val="24"/>
        </w:rPr>
        <w:t>.如中标，本投标文件至本项目合同履行完毕止均保持有效，本投标供应商将按“采购文件”及政府采购法律、法规的规定履行合同责任和义务。</w:t>
      </w:r>
    </w:p>
    <w:p>
      <w:pPr>
        <w:snapToGrid w:val="0"/>
        <w:spacing w:line="360" w:lineRule="auto"/>
        <w:ind w:firstLine="480" w:firstLineChars="200"/>
        <w:rPr>
          <w:rFonts w:ascii="宋体" w:hAnsi="宋体"/>
          <w:color w:val="000000"/>
          <w:sz w:val="24"/>
          <w:szCs w:val="20"/>
        </w:rPr>
      </w:pPr>
      <w:r>
        <w:rPr>
          <w:rFonts w:ascii="宋体" w:hAnsi="宋体"/>
          <w:color w:val="000000"/>
          <w:sz w:val="24"/>
        </w:rPr>
        <w:t>5</w:t>
      </w:r>
      <w:r>
        <w:rPr>
          <w:rFonts w:hint="eastAsia" w:ascii="宋体" w:hAnsi="宋体"/>
          <w:color w:val="000000"/>
          <w:sz w:val="24"/>
        </w:rPr>
        <w:t>.投标供应商同意按照贵方要求提供与投标有关的一切数据或资料。</w:t>
      </w:r>
    </w:p>
    <w:p>
      <w:pPr>
        <w:snapToGrid w:val="0"/>
        <w:spacing w:line="360" w:lineRule="auto"/>
        <w:ind w:firstLine="480" w:firstLineChars="200"/>
        <w:rPr>
          <w:rFonts w:ascii="宋体" w:hAnsi="宋体"/>
          <w:color w:val="000000"/>
          <w:sz w:val="24"/>
          <w:szCs w:val="20"/>
        </w:rPr>
      </w:pPr>
      <w:r>
        <w:rPr>
          <w:rFonts w:ascii="宋体" w:hAnsi="宋体"/>
          <w:color w:val="000000"/>
          <w:sz w:val="24"/>
        </w:rPr>
        <w:t>6</w:t>
      </w:r>
      <w:r>
        <w:rPr>
          <w:rFonts w:hint="eastAsia" w:ascii="宋体" w:hAnsi="宋体"/>
          <w:color w:val="000000"/>
          <w:sz w:val="24"/>
        </w:rPr>
        <w:t>.与本投标有关的一切正式往来信函请寄：</w:t>
      </w:r>
    </w:p>
    <w:p>
      <w:pPr>
        <w:snapToGrid w:val="0"/>
        <w:spacing w:line="360" w:lineRule="auto"/>
        <w:rPr>
          <w:rFonts w:ascii="宋体" w:hAnsi="宋体"/>
          <w:color w:val="000000"/>
          <w:sz w:val="24"/>
          <w:szCs w:val="20"/>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邮编：</w:t>
      </w:r>
      <w:r>
        <w:rPr>
          <w:rFonts w:ascii="宋体" w:hAnsi="宋体"/>
          <w:color w:val="000000"/>
          <w:sz w:val="24"/>
        </w:rPr>
        <w:t xml:space="preserve">__________   </w:t>
      </w:r>
      <w:r>
        <w:rPr>
          <w:rFonts w:hint="eastAsia" w:ascii="宋体" w:hAnsi="宋体"/>
          <w:color w:val="000000"/>
          <w:sz w:val="24"/>
        </w:rPr>
        <w:t>电话：</w:t>
      </w:r>
      <w:r>
        <w:rPr>
          <w:rFonts w:ascii="宋体" w:hAnsi="宋体"/>
          <w:color w:val="000000"/>
          <w:sz w:val="24"/>
        </w:rPr>
        <w:t>______________</w:t>
      </w:r>
    </w:p>
    <w:p>
      <w:pPr>
        <w:snapToGrid w:val="0"/>
        <w:spacing w:line="360" w:lineRule="auto"/>
        <w:rPr>
          <w:rFonts w:ascii="宋体" w:hAnsi="宋体"/>
          <w:color w:val="000000"/>
          <w:sz w:val="24"/>
          <w:szCs w:val="20"/>
        </w:rPr>
      </w:pPr>
      <w:r>
        <w:rPr>
          <w:rFonts w:hint="eastAsia" w:ascii="宋体" w:hAnsi="宋体"/>
          <w:color w:val="000000"/>
          <w:sz w:val="24"/>
        </w:rPr>
        <w:t>传真：</w:t>
      </w:r>
      <w:r>
        <w:rPr>
          <w:rFonts w:ascii="宋体" w:hAnsi="宋体"/>
          <w:color w:val="000000"/>
          <w:sz w:val="24"/>
        </w:rPr>
        <w:t>______________</w:t>
      </w:r>
      <w:r>
        <w:rPr>
          <w:rFonts w:hint="eastAsia" w:ascii="宋体" w:hAnsi="宋体"/>
          <w:color w:val="000000"/>
          <w:sz w:val="24"/>
        </w:rPr>
        <w:t>授权代表姓名</w:t>
      </w:r>
      <w:r>
        <w:rPr>
          <w:rFonts w:ascii="宋体" w:hAnsi="宋体"/>
          <w:color w:val="000000"/>
          <w:sz w:val="24"/>
        </w:rPr>
        <w:t xml:space="preserve"> ___________  </w:t>
      </w:r>
      <w:r>
        <w:rPr>
          <w:rFonts w:hint="eastAsia" w:ascii="宋体" w:hAnsi="宋体"/>
          <w:color w:val="000000"/>
          <w:sz w:val="24"/>
        </w:rPr>
        <w:t>职务：</w:t>
      </w:r>
      <w:r>
        <w:rPr>
          <w:rFonts w:hint="eastAsia" w:ascii="宋体" w:hAnsi="宋体"/>
          <w:color w:val="000000"/>
          <w:sz w:val="24"/>
          <w:u w:val="single"/>
        </w:rPr>
        <w:t xml:space="preserve">                 </w:t>
      </w:r>
    </w:p>
    <w:p>
      <w:pPr>
        <w:snapToGrid w:val="0"/>
        <w:spacing w:line="360" w:lineRule="auto"/>
        <w:rPr>
          <w:rFonts w:ascii="宋体" w:hAnsi="宋体"/>
          <w:color w:val="000000"/>
          <w:sz w:val="24"/>
          <w:szCs w:val="20"/>
        </w:rPr>
      </w:pPr>
      <w:r>
        <w:rPr>
          <w:rFonts w:hint="eastAsia" w:ascii="宋体" w:hAnsi="宋体" w:cs="宋体"/>
          <w:color w:val="000000"/>
          <w:sz w:val="24"/>
        </w:rPr>
        <w:t>投标供应商（盖章）</w:t>
      </w:r>
      <w:r>
        <w:rPr>
          <w:rFonts w:ascii="宋体" w:hAnsi="宋体"/>
          <w:color w:val="000000"/>
          <w:sz w:val="24"/>
        </w:rPr>
        <w:t>:___________________</w:t>
      </w:r>
    </w:p>
    <w:p>
      <w:pPr>
        <w:snapToGrid w:val="0"/>
        <w:spacing w:line="360" w:lineRule="auto"/>
        <w:rPr>
          <w:rFonts w:ascii="宋体" w:hAnsi="宋体"/>
          <w:color w:val="000000"/>
          <w:sz w:val="24"/>
          <w:szCs w:val="20"/>
        </w:rPr>
      </w:pPr>
      <w:r>
        <w:rPr>
          <w:rFonts w:hint="eastAsia" w:ascii="宋体" w:hAnsi="宋体"/>
          <w:color w:val="000000"/>
          <w:sz w:val="24"/>
        </w:rPr>
        <w:t>开户银行：</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银行帐号：</w:t>
      </w:r>
      <w:r>
        <w:rPr>
          <w:rFonts w:ascii="宋体" w:hAnsi="宋体"/>
          <w:color w:val="000000"/>
          <w:sz w:val="24"/>
          <w:u w:val="single"/>
        </w:rPr>
        <w:t xml:space="preserve">                    </w:t>
      </w:r>
      <w:r>
        <w:rPr>
          <w:rFonts w:ascii="宋体" w:hAnsi="宋体"/>
          <w:color w:val="000000"/>
          <w:sz w:val="24"/>
        </w:rPr>
        <w:t xml:space="preserve"> </w:t>
      </w:r>
    </w:p>
    <w:p>
      <w:pPr>
        <w:snapToGrid w:val="0"/>
        <w:spacing w:line="360" w:lineRule="auto"/>
        <w:rPr>
          <w:rFonts w:hint="eastAsia" w:ascii="宋体" w:hAnsi="宋体"/>
          <w:color w:val="000000"/>
          <w:sz w:val="24"/>
        </w:rPr>
      </w:pPr>
      <w:r>
        <w:rPr>
          <w:rFonts w:hint="eastAsia" w:ascii="宋体" w:hAnsi="宋体"/>
          <w:color w:val="000000"/>
          <w:sz w:val="24"/>
        </w:rPr>
        <w:t>授权代表签字</w:t>
      </w:r>
      <w:r>
        <w:rPr>
          <w:rFonts w:ascii="宋体" w:hAnsi="宋体"/>
          <w:color w:val="000000"/>
          <w:sz w:val="24"/>
        </w:rPr>
        <w:t xml:space="preserve">:___________                      </w:t>
      </w:r>
      <w:r>
        <w:rPr>
          <w:rFonts w:hint="eastAsia" w:ascii="宋体" w:hAnsi="宋体"/>
          <w:color w:val="000000"/>
          <w:sz w:val="24"/>
        </w:rPr>
        <w:t>日期</w:t>
      </w:r>
      <w:r>
        <w:rPr>
          <w:rFonts w:ascii="宋体" w:hAnsi="宋体"/>
          <w:color w:val="000000"/>
          <w:sz w:val="24"/>
        </w:rPr>
        <w:t>:_____</w:t>
      </w:r>
      <w:r>
        <w:rPr>
          <w:rFonts w:hint="eastAsia" w:ascii="宋体" w:hAnsi="宋体"/>
          <w:color w:val="000000"/>
          <w:sz w:val="24"/>
        </w:rPr>
        <w:t>年</w:t>
      </w:r>
      <w:r>
        <w:rPr>
          <w:rFonts w:ascii="宋体" w:hAnsi="宋体"/>
          <w:color w:val="000000"/>
          <w:sz w:val="24"/>
        </w:rPr>
        <w:t>___</w:t>
      </w:r>
      <w:r>
        <w:rPr>
          <w:rFonts w:hint="eastAsia" w:ascii="宋体" w:hAnsi="宋体"/>
          <w:color w:val="000000"/>
          <w:sz w:val="24"/>
        </w:rPr>
        <w:t>月</w:t>
      </w:r>
      <w:r>
        <w:rPr>
          <w:rFonts w:ascii="宋体" w:hAnsi="宋体"/>
          <w:color w:val="000000"/>
          <w:sz w:val="24"/>
        </w:rPr>
        <w:t>___</w:t>
      </w:r>
      <w:r>
        <w:rPr>
          <w:rFonts w:hint="eastAsia" w:ascii="宋体" w:hAnsi="宋体"/>
          <w:color w:val="000000"/>
          <w:sz w:val="24"/>
        </w:rPr>
        <w:t>日</w:t>
      </w:r>
    </w:p>
    <w:p>
      <w:pPr>
        <w:snapToGrid w:val="0"/>
        <w:spacing w:line="360" w:lineRule="auto"/>
        <w:rPr>
          <w:rFonts w:hint="eastAsia" w:ascii="宋体" w:hAnsi="宋体"/>
          <w:color w:val="000000"/>
          <w:sz w:val="30"/>
          <w:szCs w:val="20"/>
        </w:rPr>
      </w:pPr>
    </w:p>
    <w:p>
      <w:pPr>
        <w:snapToGrid w:val="0"/>
        <w:spacing w:line="360" w:lineRule="auto"/>
        <w:rPr>
          <w:rFonts w:hint="eastAsia" w:ascii="宋体" w:hAnsi="宋体"/>
          <w:color w:val="000000"/>
          <w:sz w:val="30"/>
          <w:szCs w:val="20"/>
        </w:rPr>
      </w:pPr>
    </w:p>
    <w:p>
      <w:pPr>
        <w:snapToGrid w:val="0"/>
        <w:spacing w:line="360" w:lineRule="auto"/>
        <w:rPr>
          <w:rFonts w:hint="eastAsia" w:ascii="宋体" w:hAnsi="宋体"/>
          <w:color w:val="000000"/>
          <w:sz w:val="30"/>
          <w:szCs w:val="20"/>
        </w:rPr>
      </w:pPr>
    </w:p>
    <w:p>
      <w:pPr>
        <w:snapToGrid w:val="0"/>
        <w:spacing w:line="360" w:lineRule="auto"/>
        <w:rPr>
          <w:rFonts w:ascii="宋体" w:hAnsi="宋体"/>
          <w:color w:val="000000"/>
          <w:sz w:val="30"/>
          <w:szCs w:val="20"/>
        </w:rPr>
      </w:pPr>
    </w:p>
    <w:p>
      <w:pPr>
        <w:pStyle w:val="4"/>
        <w:rPr>
          <w:rFonts w:ascii="宋体" w:hAnsi="宋体"/>
          <w:color w:val="000000"/>
        </w:rPr>
      </w:pPr>
      <w:r>
        <w:rPr>
          <w:rFonts w:hint="eastAsia" w:ascii="宋体" w:hAnsi="宋体"/>
          <w:color w:val="000000"/>
          <w:sz w:val="24"/>
        </w:rPr>
        <w:t>17.</w:t>
      </w:r>
      <w:r>
        <w:rPr>
          <w:rFonts w:ascii="宋体" w:hAnsi="宋体"/>
          <w:color w:val="000000"/>
          <w:sz w:val="24"/>
        </w:rPr>
        <w:t xml:space="preserve">投标报价明细表格式： </w:t>
      </w:r>
      <w:r>
        <w:rPr>
          <w:rFonts w:ascii="宋体" w:hAnsi="宋体"/>
          <w:color w:val="000000"/>
        </w:rPr>
        <w:t xml:space="preserve">      </w:t>
      </w:r>
    </w:p>
    <w:p>
      <w:pPr>
        <w:pStyle w:val="30"/>
        <w:numPr>
          <w:ilvl w:val="0"/>
          <w:numId w:val="0"/>
        </w:numPr>
        <w:tabs>
          <w:tab w:val="left" w:pos="1200"/>
        </w:tabs>
        <w:snapToGrid w:val="0"/>
        <w:spacing w:before="295" w:beforeLines="0" w:after="295" w:afterLines="0" w:line="240" w:lineRule="auto"/>
        <w:ind w:firstLine="3480" w:firstLineChars="1450"/>
        <w:rPr>
          <w:rFonts w:hAnsi="宋体"/>
          <w:color w:val="000000"/>
        </w:rPr>
      </w:pPr>
      <w:r>
        <w:rPr>
          <w:rFonts w:hAnsi="宋体"/>
          <w:color w:val="000000"/>
        </w:rPr>
        <w:t>投标报价明细表</w:t>
      </w:r>
    </w:p>
    <w:p>
      <w:pPr>
        <w:pStyle w:val="30"/>
        <w:numPr>
          <w:ilvl w:val="0"/>
          <w:numId w:val="0"/>
        </w:numPr>
        <w:tabs>
          <w:tab w:val="left" w:pos="1200"/>
        </w:tabs>
        <w:snapToGrid w:val="0"/>
        <w:spacing w:before="295" w:beforeLines="0" w:after="295" w:afterLines="0" w:line="240" w:lineRule="auto"/>
        <w:rPr>
          <w:rFonts w:hint="eastAsia" w:hAnsi="宋体"/>
          <w:color w:val="000000"/>
          <w:szCs w:val="21"/>
        </w:rPr>
      </w:pPr>
      <w:r>
        <w:rPr>
          <w:rFonts w:hAnsi="宋体"/>
          <w:color w:val="000000"/>
        </w:rPr>
        <w:t>标项：</w:t>
      </w:r>
      <w:r>
        <w:rPr>
          <w:rFonts w:hAnsi="宋体"/>
          <w:color w:val="000000"/>
          <w:u w:val="single"/>
        </w:rPr>
        <w:t xml:space="preserve">              </w:t>
      </w:r>
      <w:r>
        <w:rPr>
          <w:rFonts w:hAnsi="宋体"/>
          <w:color w:val="000000"/>
          <w:sz w:val="30"/>
        </w:rPr>
        <w:t xml:space="preserve">                   </w:t>
      </w:r>
      <w:r>
        <w:rPr>
          <w:rFonts w:hAnsi="宋体"/>
          <w:color w:val="000000"/>
          <w:szCs w:val="21"/>
        </w:rPr>
        <w:t>金额单位：人民币（元）</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972"/>
        <w:gridCol w:w="992"/>
        <w:gridCol w:w="1559"/>
        <w:gridCol w:w="1134"/>
        <w:gridCol w:w="1276"/>
        <w:gridCol w:w="1134"/>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品牌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单位及数量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单价（元）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合计（元）</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0" w:hRule="atLeast"/>
        </w:trPr>
        <w:tc>
          <w:tcPr>
            <w:tcW w:w="9780"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rPr>
                <w:rFonts w:ascii="宋体" w:hAnsi="宋体"/>
                <w:color w:val="000000"/>
                <w:spacing w:val="20"/>
                <w:sz w:val="24"/>
              </w:rPr>
            </w:pPr>
            <w:r>
              <w:rPr>
                <w:rFonts w:hint="eastAsia" w:ascii="宋体" w:hAnsi="宋体"/>
                <w:b/>
                <w:color w:val="000000"/>
                <w:spacing w:val="20"/>
                <w:sz w:val="24"/>
              </w:rPr>
              <w:t>投标总价</w:t>
            </w:r>
            <w:r>
              <w:rPr>
                <w:rFonts w:hint="eastAsia" w:ascii="宋体" w:hAnsi="宋体"/>
                <w:color w:val="000000"/>
                <w:spacing w:val="20"/>
                <w:sz w:val="24"/>
              </w:rPr>
              <w:t>：小写：</w:t>
            </w:r>
            <w:r>
              <w:rPr>
                <w:rFonts w:hint="eastAsia" w:ascii="宋体" w:hAnsi="宋体"/>
                <w:color w:val="000000"/>
                <w:spacing w:val="20"/>
                <w:sz w:val="24"/>
                <w:u w:val="single"/>
              </w:rPr>
              <w:t xml:space="preserve">                 </w:t>
            </w:r>
            <w:r>
              <w:rPr>
                <w:rFonts w:hint="eastAsia" w:ascii="宋体" w:hAnsi="宋体"/>
                <w:color w:val="000000"/>
                <w:spacing w:val="20"/>
                <w:sz w:val="24"/>
              </w:rPr>
              <w:t>元</w:t>
            </w:r>
          </w:p>
          <w:p>
            <w:pPr>
              <w:tabs>
                <w:tab w:val="left" w:pos="1418"/>
              </w:tabs>
              <w:snapToGrid w:val="0"/>
              <w:spacing w:before="50" w:after="50"/>
              <w:ind w:firstLine="1400" w:firstLineChars="500"/>
              <w:rPr>
                <w:rFonts w:ascii="宋体" w:hAnsi="宋体"/>
                <w:color w:val="000000"/>
                <w:spacing w:val="20"/>
                <w:sz w:val="24"/>
                <w:szCs w:val="20"/>
              </w:rPr>
            </w:pPr>
            <w:r>
              <w:rPr>
                <w:rFonts w:hint="eastAsia" w:ascii="宋体" w:hAnsi="宋体"/>
                <w:color w:val="000000"/>
                <w:spacing w:val="20"/>
                <w:sz w:val="24"/>
              </w:rPr>
              <w:t>大写：</w:t>
            </w:r>
            <w:r>
              <w:rPr>
                <w:rFonts w:hint="eastAsia" w:ascii="宋体" w:hAnsi="宋体"/>
                <w:color w:val="000000"/>
                <w:spacing w:val="20"/>
                <w:sz w:val="24"/>
                <w:u w:val="single"/>
              </w:rPr>
              <w:t xml:space="preserve">                 </w:t>
            </w:r>
          </w:p>
        </w:tc>
      </w:tr>
    </w:tbl>
    <w:p>
      <w:pPr>
        <w:snapToGrid w:val="0"/>
        <w:spacing w:line="500" w:lineRule="atLeast"/>
        <w:ind w:firstLine="210" w:firstLineChars="100"/>
        <w:rPr>
          <w:rFonts w:ascii="宋体" w:hAnsi="宋体"/>
          <w:color w:val="000000"/>
          <w:sz w:val="22"/>
        </w:rPr>
      </w:pPr>
      <w:r>
        <w:rPr>
          <w:rFonts w:hint="eastAsia" w:ascii="宋体" w:hAnsi="宋体" w:cs="宋体"/>
          <w:color w:val="000000"/>
        </w:rPr>
        <w:t>注：</w:t>
      </w:r>
      <w:r>
        <w:rPr>
          <w:rFonts w:hint="eastAsia" w:ascii="宋体" w:hAnsi="宋体"/>
          <w:color w:val="000000"/>
          <w:sz w:val="22"/>
        </w:rPr>
        <w:t>1、上表中的总计报价应与开标一览表中投标报价相一致。</w:t>
      </w:r>
    </w:p>
    <w:p>
      <w:pPr>
        <w:snapToGrid w:val="0"/>
        <w:spacing w:line="500" w:lineRule="atLeast"/>
        <w:ind w:firstLine="660" w:firstLineChars="300"/>
        <w:rPr>
          <w:rFonts w:hint="eastAsia" w:ascii="宋体" w:hAnsi="宋体"/>
          <w:color w:val="000000"/>
          <w:sz w:val="22"/>
        </w:rPr>
      </w:pPr>
      <w:r>
        <w:rPr>
          <w:rFonts w:hint="eastAsia" w:ascii="宋体" w:hAnsi="宋体"/>
          <w:color w:val="000000"/>
          <w:sz w:val="22"/>
        </w:rPr>
        <w:t>2、本表所列费用为本项目的全部费用，未列费用均为综合考虑。</w:t>
      </w:r>
    </w:p>
    <w:p>
      <w:pPr>
        <w:snapToGrid w:val="0"/>
        <w:spacing w:line="500" w:lineRule="atLeast"/>
        <w:ind w:firstLine="660" w:firstLineChars="300"/>
        <w:rPr>
          <w:rFonts w:hint="eastAsia" w:ascii="宋体" w:hAnsi="宋体"/>
          <w:color w:val="000000"/>
          <w:sz w:val="22"/>
        </w:rPr>
      </w:pPr>
      <w:r>
        <w:rPr>
          <w:rFonts w:hint="eastAsia" w:ascii="宋体" w:hAnsi="宋体"/>
          <w:color w:val="000000"/>
          <w:sz w:val="22"/>
        </w:rPr>
        <w:t>3、以上格式可改动，</w:t>
      </w:r>
      <w:r>
        <w:rPr>
          <w:rFonts w:hint="eastAsia" w:ascii="宋体" w:hAnsi="宋体" w:cs="宋体"/>
          <w:color w:val="000000"/>
          <w:sz w:val="24"/>
        </w:rPr>
        <w:t>投标供应商</w:t>
      </w:r>
      <w:r>
        <w:rPr>
          <w:rFonts w:hint="eastAsia" w:ascii="宋体" w:hAnsi="宋体"/>
          <w:color w:val="000000"/>
          <w:sz w:val="22"/>
        </w:rPr>
        <w:t>可根据本表结合实际自行扩充。</w:t>
      </w:r>
    </w:p>
    <w:p>
      <w:pPr>
        <w:snapToGrid w:val="0"/>
        <w:spacing w:line="500" w:lineRule="atLeast"/>
        <w:ind w:firstLine="660" w:firstLineChars="300"/>
        <w:rPr>
          <w:rFonts w:hint="eastAsia" w:ascii="宋体" w:hAnsi="宋体"/>
          <w:color w:val="000000"/>
          <w:sz w:val="22"/>
        </w:rPr>
      </w:pPr>
      <w:r>
        <w:rPr>
          <w:rFonts w:hint="eastAsia" w:ascii="宋体" w:hAnsi="宋体"/>
          <w:color w:val="000000"/>
          <w:sz w:val="22"/>
        </w:rPr>
        <w:t>4、根据《中华人民共和国政府采购法实施条例》第四十三条规定，在中标或者成交公告的内容中增加本表，请各</w:t>
      </w:r>
      <w:r>
        <w:rPr>
          <w:rFonts w:hint="eastAsia" w:ascii="宋体" w:hAnsi="宋体" w:cs="宋体"/>
          <w:color w:val="000000"/>
          <w:sz w:val="24"/>
        </w:rPr>
        <w:t>投标供应商</w:t>
      </w:r>
      <w:r>
        <w:rPr>
          <w:rFonts w:hint="eastAsia" w:ascii="宋体" w:hAnsi="宋体"/>
          <w:color w:val="000000"/>
          <w:sz w:val="22"/>
        </w:rPr>
        <w:t>认真填写，确保相关数据的真实性、完整性和合理性。</w:t>
      </w:r>
    </w:p>
    <w:p>
      <w:pPr>
        <w:snapToGrid w:val="0"/>
        <w:spacing w:line="500" w:lineRule="atLeast"/>
        <w:ind w:firstLine="660" w:firstLineChars="300"/>
        <w:rPr>
          <w:rFonts w:hint="eastAsia" w:ascii="宋体" w:hAnsi="宋体"/>
          <w:color w:val="000000"/>
          <w:sz w:val="22"/>
        </w:rPr>
      </w:pPr>
    </w:p>
    <w:p>
      <w:pPr>
        <w:snapToGrid w:val="0"/>
        <w:spacing w:line="500" w:lineRule="atLeast"/>
        <w:ind w:firstLine="900" w:firstLineChars="300"/>
        <w:rPr>
          <w:rFonts w:hint="eastAsia" w:ascii="宋体" w:hAnsi="宋体"/>
          <w:color w:val="000000"/>
          <w:sz w:val="30"/>
        </w:rPr>
      </w:pPr>
    </w:p>
    <w:p>
      <w:pPr>
        <w:pStyle w:val="16"/>
        <w:wordWrap w:val="0"/>
        <w:snapToGrid w:val="0"/>
        <w:ind w:firstLine="1440" w:firstLineChars="600"/>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50" w:after="120" w:afterLines="50"/>
        <w:jc w:val="right"/>
        <w:rPr>
          <w:rFonts w:hint="eastAsia" w:ascii="宋体" w:hAnsi="宋体"/>
          <w:color w:val="000000"/>
          <w:sz w:val="24"/>
          <w:szCs w:val="20"/>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p>
      <w:pPr>
        <w:pStyle w:val="22"/>
        <w:snapToGrid w:val="0"/>
        <w:jc w:val="right"/>
        <w:rPr>
          <w:rFonts w:ascii="宋体" w:hAnsi="宋体"/>
          <w:color w:val="000000"/>
          <w:spacing w:val="20"/>
          <w:sz w:val="24"/>
          <w:szCs w:val="20"/>
          <w:u w:val="single"/>
        </w:rPr>
      </w:pPr>
    </w:p>
    <w:p>
      <w:pPr>
        <w:pStyle w:val="30"/>
        <w:numPr>
          <w:ilvl w:val="0"/>
          <w:numId w:val="0"/>
        </w:numPr>
        <w:tabs>
          <w:tab w:val="left" w:pos="1200"/>
        </w:tabs>
        <w:snapToGrid w:val="0"/>
        <w:spacing w:before="295" w:beforeLines="0" w:after="295" w:afterLines="0" w:line="240" w:lineRule="auto"/>
        <w:rPr>
          <w:rFonts w:hint="eastAsia" w:hAnsi="宋体"/>
          <w:color w:val="000000"/>
        </w:rPr>
      </w:pPr>
    </w:p>
    <w:p>
      <w:pPr>
        <w:snapToGrid w:val="0"/>
        <w:spacing w:before="50" w:after="50"/>
        <w:rPr>
          <w:rFonts w:ascii="宋体" w:hAnsi="宋体"/>
          <w:color w:val="000000"/>
        </w:rPr>
        <w:sectPr>
          <w:headerReference r:id="rId8" w:type="first"/>
          <w:footerReference r:id="rId9" w:type="first"/>
          <w:pgSz w:w="11906" w:h="16838"/>
          <w:pgMar w:top="1474" w:right="1134" w:bottom="1134" w:left="1361" w:header="851" w:footer="851" w:gutter="0"/>
          <w:cols w:space="720" w:num="1"/>
          <w:docGrid w:linePitch="312" w:charSpace="0"/>
        </w:sectPr>
      </w:pPr>
    </w:p>
    <w:p>
      <w:pPr>
        <w:pStyle w:val="4"/>
        <w:rPr>
          <w:rFonts w:ascii="宋体" w:hAnsi="宋体"/>
          <w:color w:val="000000"/>
          <w:sz w:val="24"/>
        </w:rPr>
      </w:pPr>
      <w:r>
        <w:rPr>
          <w:rFonts w:hint="eastAsia" w:ascii="宋体" w:hAnsi="宋体"/>
          <w:color w:val="000000"/>
          <w:sz w:val="24"/>
        </w:rPr>
        <w:t>18.开标一览表（适用于货物类）</w:t>
      </w:r>
    </w:p>
    <w:p>
      <w:pPr>
        <w:snapToGrid w:val="0"/>
        <w:spacing w:before="50" w:after="50"/>
        <w:jc w:val="center"/>
        <w:rPr>
          <w:rFonts w:ascii="宋体" w:hAnsi="宋体"/>
          <w:b/>
          <w:color w:val="000000"/>
          <w:sz w:val="30"/>
          <w:szCs w:val="20"/>
        </w:rPr>
      </w:pPr>
      <w:r>
        <w:rPr>
          <w:rFonts w:ascii="宋体" w:hAnsi="宋体"/>
          <w:b/>
          <w:color w:val="000000"/>
          <w:sz w:val="30"/>
        </w:rPr>
        <w:t>开标一览表</w:t>
      </w:r>
    </w:p>
    <w:p>
      <w:pPr>
        <w:snapToGrid w:val="0"/>
        <w:spacing w:before="50" w:after="50"/>
        <w:rPr>
          <w:rFonts w:hint="eastAsia" w:ascii="宋体" w:hAnsi="宋体"/>
          <w:color w:val="000000"/>
          <w:sz w:val="24"/>
          <w:u w:val="single"/>
        </w:rPr>
      </w:pPr>
      <w:r>
        <w:rPr>
          <w:rFonts w:ascii="宋体" w:hAnsi="宋体"/>
          <w:color w:val="000000"/>
          <w:sz w:val="24"/>
        </w:rPr>
        <w:t>招标编号：</w:t>
      </w:r>
      <w:r>
        <w:rPr>
          <w:rFonts w:ascii="宋体" w:hAnsi="宋体"/>
          <w:color w:val="000000"/>
          <w:sz w:val="24"/>
          <w:u w:val="single"/>
        </w:rPr>
        <w:t xml:space="preserve">       </w:t>
      </w:r>
      <w:r>
        <w:rPr>
          <w:rFonts w:ascii="宋体" w:hAnsi="宋体"/>
          <w:color w:val="000000"/>
          <w:sz w:val="24"/>
        </w:rPr>
        <w:t xml:space="preserve">  标    项：</w:t>
      </w:r>
      <w:r>
        <w:rPr>
          <w:rFonts w:ascii="宋体" w:hAnsi="宋体"/>
          <w:color w:val="000000"/>
          <w:sz w:val="24"/>
          <w:u w:val="single"/>
        </w:rPr>
        <w:t xml:space="preserve">         </w:t>
      </w:r>
    </w:p>
    <w:p>
      <w:pPr>
        <w:snapToGrid w:val="0"/>
        <w:spacing w:before="50" w:after="50"/>
        <w:rPr>
          <w:rFonts w:ascii="宋体" w:hAnsi="宋体"/>
          <w:color w:val="000000"/>
          <w:sz w:val="24"/>
          <w:szCs w:val="20"/>
        </w:rPr>
      </w:pPr>
      <w:r>
        <w:rPr>
          <w:rFonts w:hint="eastAsia" w:ascii="宋体" w:hAnsi="宋体"/>
          <w:color w:val="000000"/>
          <w:sz w:val="24"/>
        </w:rPr>
        <w:t>投标供应商</w:t>
      </w:r>
      <w:r>
        <w:rPr>
          <w:rFonts w:ascii="宋体" w:hAnsi="宋体"/>
          <w:color w:val="000000"/>
          <w:sz w:val="24"/>
        </w:rPr>
        <w:t>名称：</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单位：元</w:t>
      </w: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394"/>
        <w:gridCol w:w="734"/>
        <w:gridCol w:w="709"/>
        <w:gridCol w:w="2268"/>
        <w:gridCol w:w="1417"/>
        <w:gridCol w:w="992"/>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ascii="宋体" w:hAnsi="宋体"/>
                <w:b/>
                <w:color w:val="000000"/>
                <w:szCs w:val="30"/>
              </w:rPr>
              <w:t>标项</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ascii="宋体" w:hAnsi="宋体"/>
                <w:b/>
                <w:color w:val="000000"/>
                <w:szCs w:val="30"/>
              </w:rPr>
              <w:t>货物名称</w:t>
            </w:r>
          </w:p>
        </w:tc>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ascii="宋体" w:hAnsi="宋体"/>
                <w:b/>
                <w:color w:val="000000"/>
                <w:szCs w:val="30"/>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ascii="宋体" w:hAnsi="宋体"/>
                <w:b/>
                <w:color w:val="000000"/>
                <w:szCs w:val="30"/>
              </w:rPr>
              <w:t>产地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ascii="宋体" w:hAnsi="宋体"/>
                <w:b/>
                <w:color w:val="000000"/>
                <w:szCs w:val="30"/>
              </w:rPr>
              <w:t>品牌及生产厂家</w:t>
            </w:r>
          </w:p>
          <w:p>
            <w:pPr>
              <w:snapToGrid w:val="0"/>
              <w:spacing w:before="50" w:after="50"/>
              <w:jc w:val="center"/>
              <w:rPr>
                <w:rFonts w:ascii="宋体" w:hAnsi="宋体"/>
                <w:b/>
                <w:color w:val="000000"/>
                <w:szCs w:val="30"/>
              </w:rPr>
            </w:pPr>
            <w:r>
              <w:rPr>
                <w:rFonts w:ascii="宋体" w:hAnsi="宋体"/>
                <w:b/>
                <w:color w:val="000000"/>
                <w:szCs w:val="30"/>
              </w:rPr>
              <w:t>（必须同时注明品牌与生产厂家）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ascii="宋体" w:hAnsi="宋体"/>
                <w:b/>
                <w:color w:val="000000"/>
                <w:szCs w:val="30"/>
              </w:rPr>
              <w:t>规格型号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ascii="宋体" w:hAnsi="宋体"/>
                <w:b/>
                <w:color w:val="000000"/>
                <w:szCs w:val="30"/>
              </w:rPr>
              <w:t>单价</w:t>
            </w: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b/>
                <w:color w:val="000000"/>
                <w:szCs w:val="30"/>
              </w:rPr>
            </w:pPr>
          </w:p>
          <w:p>
            <w:pPr>
              <w:snapToGrid w:val="0"/>
              <w:spacing w:before="50" w:after="50"/>
              <w:jc w:val="center"/>
              <w:rPr>
                <w:rFonts w:ascii="宋体" w:hAnsi="宋体"/>
                <w:b/>
                <w:color w:val="000000"/>
                <w:szCs w:val="30"/>
              </w:rPr>
            </w:pPr>
            <w:r>
              <w:rPr>
                <w:rFonts w:ascii="宋体" w:hAnsi="宋体"/>
                <w:b/>
                <w:color w:val="000000"/>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01" w:hRule="atLeast"/>
          <w:jc w:val="center"/>
        </w:trPr>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0"/>
              </w:rPr>
            </w:pPr>
          </w:p>
          <w:p>
            <w:pPr>
              <w:snapToGrid w:val="0"/>
              <w:spacing w:before="50" w:after="50"/>
              <w:jc w:val="center"/>
              <w:rPr>
                <w:rFonts w:ascii="宋体" w:hAnsi="宋体"/>
                <w:color w:val="000000"/>
                <w:sz w:val="32"/>
                <w:szCs w:val="20"/>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02"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2"/>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39"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2"/>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63" w:hRule="atLeast"/>
          <w:jc w:val="center"/>
        </w:trPr>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pStyle w:val="424"/>
              <w:tabs>
                <w:tab w:val="left" w:pos="420"/>
              </w:tabs>
              <w:snapToGrid w:val="0"/>
              <w:spacing w:before="50" w:after="50" w:line="240" w:lineRule="auto"/>
              <w:rPr>
                <w:rFonts w:ascii="宋体" w:hAnsi="宋体" w:eastAsia="宋体"/>
                <w:color w:val="000000"/>
                <w:spacing w:val="0"/>
                <w:kern w:val="2"/>
                <w:szCs w:val="20"/>
              </w:rPr>
            </w:pPr>
            <w:r>
              <w:rPr>
                <w:rFonts w:ascii="宋体" w:hAnsi="宋体" w:eastAsia="宋体"/>
                <w:color w:val="000000"/>
                <w:spacing w:val="0"/>
                <w:kern w:val="2"/>
                <w:szCs w:val="20"/>
              </w:rPr>
              <w:t>专用耗材</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24"/>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24"/>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24"/>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53"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24"/>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24"/>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24"/>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jc w:val="center"/>
        </w:trPr>
        <w:tc>
          <w:tcPr>
            <w:tcW w:w="728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r>
              <w:rPr>
                <w:rFonts w:ascii="宋体" w:hAnsi="宋体"/>
                <w:color w:val="000000"/>
                <w:sz w:val="24"/>
                <w:szCs w:val="21"/>
              </w:rPr>
              <w:t>投标费用及利润</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9" w:hRule="atLeast"/>
          <w:jc w:val="center"/>
        </w:trPr>
        <w:tc>
          <w:tcPr>
            <w:tcW w:w="10094"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24"/>
                <w:szCs w:val="21"/>
              </w:rPr>
            </w:pPr>
            <w:r>
              <w:rPr>
                <w:rFonts w:ascii="宋体" w:hAnsi="宋体"/>
                <w:color w:val="000000"/>
                <w:sz w:val="24"/>
                <w:szCs w:val="21"/>
              </w:rPr>
              <w:t>合计金额大写：</w:t>
            </w:r>
          </w:p>
          <w:p>
            <w:pPr>
              <w:snapToGrid w:val="0"/>
              <w:spacing w:before="50" w:after="50"/>
              <w:rPr>
                <w:rFonts w:ascii="宋体" w:hAnsi="宋体"/>
                <w:color w:val="000000"/>
                <w:sz w:val="24"/>
                <w:szCs w:val="21"/>
                <w:u w:val="single"/>
              </w:rPr>
            </w:pPr>
            <w:r>
              <w:rPr>
                <w:rFonts w:ascii="宋体" w:hAnsi="宋体"/>
                <w:color w:val="000000"/>
                <w:sz w:val="24"/>
                <w:szCs w:val="21"/>
              </w:rPr>
              <w:t>￥</w:t>
            </w:r>
            <w:r>
              <w:rPr>
                <w:rFonts w:ascii="宋体" w:hAnsi="宋体"/>
                <w:color w:val="000000"/>
                <w:sz w:val="24"/>
                <w:szCs w:val="21"/>
                <w:u w:val="single"/>
              </w:rPr>
              <w:t xml:space="preserve">            </w:t>
            </w:r>
          </w:p>
        </w:tc>
      </w:tr>
    </w:tbl>
    <w:p>
      <w:pPr>
        <w:snapToGrid w:val="0"/>
        <w:spacing w:before="50" w:after="50"/>
        <w:jc w:val="left"/>
        <w:rPr>
          <w:rFonts w:ascii="宋体" w:hAnsi="宋体"/>
          <w:color w:val="000000"/>
          <w:sz w:val="24"/>
          <w:szCs w:val="20"/>
        </w:rPr>
      </w:pPr>
      <w:r>
        <w:rPr>
          <w:rFonts w:ascii="宋体" w:hAnsi="宋体"/>
          <w:color w:val="000000"/>
          <w:sz w:val="24"/>
        </w:rPr>
        <w:t>注: 1、报价一经涂改，应在涂改处加盖单位公章或者由法定代表人或授权委托人签字或盖章，否则其投标作无效标处理。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color w:val="000000"/>
          <w:sz w:val="24"/>
          <w:szCs w:val="20"/>
        </w:rPr>
      </w:pPr>
      <w:r>
        <w:rPr>
          <w:rFonts w:ascii="宋体" w:hAnsi="宋体"/>
          <w:color w:val="000000"/>
          <w:sz w:val="24"/>
        </w:rPr>
        <w:t>2、凡需用专用耗材的专用设备类采购项目，应按</w:t>
      </w:r>
      <w:r>
        <w:rPr>
          <w:rFonts w:hint="eastAsia" w:ascii="宋体" w:hAnsi="宋体"/>
          <w:color w:val="000000"/>
          <w:sz w:val="24"/>
        </w:rPr>
        <w:t>采购文件</w:t>
      </w:r>
      <w:r>
        <w:rPr>
          <w:rFonts w:ascii="宋体" w:hAnsi="宋体"/>
          <w:color w:val="000000"/>
          <w:sz w:val="24"/>
        </w:rPr>
        <w:t>规定的耗材量或按耗材的常规试用量提供报价。</w:t>
      </w:r>
    </w:p>
    <w:p>
      <w:pPr>
        <w:snapToGrid w:val="0"/>
        <w:spacing w:before="50" w:after="50"/>
        <w:ind w:firstLine="480" w:firstLineChars="200"/>
        <w:jc w:val="left"/>
        <w:rPr>
          <w:rFonts w:ascii="宋体" w:hAnsi="宋体"/>
          <w:color w:val="000000"/>
          <w:sz w:val="24"/>
          <w:szCs w:val="20"/>
        </w:rPr>
      </w:pPr>
      <w:r>
        <w:rPr>
          <w:rFonts w:ascii="宋体" w:hAnsi="宋体"/>
          <w:color w:val="000000"/>
          <w:sz w:val="24"/>
        </w:rPr>
        <w:t>3、投标费用包括项目实施所需的人工费、服务费、运输费、安装调试费、购买及制作标书费、税费及其他一切费用。</w:t>
      </w:r>
    </w:p>
    <w:p>
      <w:pPr>
        <w:snapToGrid w:val="0"/>
        <w:spacing w:before="50" w:after="50"/>
        <w:ind w:firstLine="480" w:firstLineChars="200"/>
        <w:jc w:val="left"/>
        <w:rPr>
          <w:rFonts w:ascii="宋体" w:hAnsi="宋体"/>
          <w:color w:val="000000"/>
          <w:sz w:val="24"/>
          <w:szCs w:val="20"/>
        </w:rPr>
      </w:pPr>
      <w:r>
        <w:rPr>
          <w:rFonts w:ascii="宋体" w:hAnsi="宋体"/>
          <w:color w:val="000000"/>
          <w:sz w:val="24"/>
        </w:rPr>
        <w:t>4、以上报价应分别与“投标设备报价明细表”中的“</w:t>
      </w:r>
      <w:r>
        <w:rPr>
          <w:rFonts w:ascii="宋体" w:hAnsi="宋体"/>
          <w:b/>
          <w:color w:val="000000"/>
          <w:spacing w:val="20"/>
          <w:sz w:val="24"/>
        </w:rPr>
        <w:t>投标总价</w:t>
      </w:r>
      <w:r>
        <w:rPr>
          <w:rFonts w:ascii="宋体" w:hAnsi="宋体"/>
          <w:color w:val="000000"/>
          <w:sz w:val="24"/>
        </w:rPr>
        <w:t>”相一致。</w:t>
      </w:r>
    </w:p>
    <w:p>
      <w:pPr>
        <w:snapToGrid w:val="0"/>
        <w:spacing w:before="50" w:after="50"/>
        <w:ind w:firstLine="480" w:firstLineChars="200"/>
        <w:rPr>
          <w:rFonts w:ascii="宋体" w:hAnsi="宋体"/>
          <w:color w:val="000000"/>
          <w:sz w:val="24"/>
          <w:szCs w:val="20"/>
        </w:rPr>
      </w:pPr>
      <w:r>
        <w:rPr>
          <w:rFonts w:ascii="宋体" w:hAnsi="宋体"/>
          <w:color w:val="000000"/>
          <w:sz w:val="24"/>
        </w:rPr>
        <w:t>5、</w:t>
      </w:r>
      <w:r>
        <w:rPr>
          <w:rFonts w:hint="eastAsia" w:ascii="宋体" w:hAnsi="宋体"/>
          <w:color w:val="000000"/>
          <w:sz w:val="24"/>
        </w:rPr>
        <w:t>可根据项目特点自行制定表格，但不可缺合计金额大小写。</w:t>
      </w:r>
    </w:p>
    <w:p>
      <w:pPr>
        <w:snapToGrid w:val="0"/>
        <w:spacing w:before="50" w:after="50"/>
        <w:ind w:left="-3" w:leftChars="-72" w:right="-817" w:rightChars="-389" w:hanging="148" w:hangingChars="62"/>
        <w:rPr>
          <w:rFonts w:ascii="宋体" w:hAnsi="宋体"/>
          <w:color w:val="000000"/>
          <w:sz w:val="24"/>
        </w:rPr>
      </w:pPr>
    </w:p>
    <w:p>
      <w:pPr>
        <w:pStyle w:val="16"/>
        <w:wordWrap w:val="0"/>
        <w:snapToGrid w:val="0"/>
        <w:ind w:firstLine="1440" w:firstLineChars="600"/>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50" w:after="120" w:afterLines="50"/>
        <w:jc w:val="right"/>
        <w:rPr>
          <w:rFonts w:hint="eastAsia" w:ascii="宋体" w:hAnsi="宋体"/>
          <w:color w:val="000000"/>
          <w:sz w:val="24"/>
          <w:szCs w:val="20"/>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ascii="宋体" w:hAnsi="宋体"/>
          <w:color w:val="000000"/>
        </w:rPr>
      </w:pPr>
    </w:p>
    <w:p>
      <w:pPr>
        <w:pStyle w:val="4"/>
        <w:rPr>
          <w:rFonts w:ascii="宋体" w:hAnsi="宋体"/>
          <w:color w:val="000000"/>
          <w:sz w:val="24"/>
        </w:rPr>
      </w:pPr>
      <w:r>
        <w:rPr>
          <w:rFonts w:hint="eastAsia" w:ascii="宋体" w:hAnsi="宋体"/>
          <w:color w:val="000000"/>
          <w:sz w:val="24"/>
        </w:rPr>
        <w:t>19.开标一览表（适用于工程/服务类）</w:t>
      </w:r>
    </w:p>
    <w:p>
      <w:pPr>
        <w:snapToGrid w:val="0"/>
        <w:spacing w:before="50" w:after="50"/>
        <w:jc w:val="center"/>
        <w:rPr>
          <w:rFonts w:ascii="宋体" w:hAnsi="宋体"/>
          <w:b/>
          <w:color w:val="000000"/>
          <w:sz w:val="30"/>
          <w:szCs w:val="20"/>
        </w:rPr>
      </w:pPr>
      <w:r>
        <w:rPr>
          <w:rFonts w:hint="eastAsia" w:ascii="宋体" w:hAnsi="宋体"/>
          <w:b/>
          <w:color w:val="000000"/>
          <w:sz w:val="30"/>
        </w:rPr>
        <w:t>开标一览表</w:t>
      </w:r>
    </w:p>
    <w:p>
      <w:pPr>
        <w:snapToGrid w:val="0"/>
        <w:spacing w:before="50" w:after="50"/>
        <w:rPr>
          <w:rFonts w:hint="eastAsia" w:ascii="宋体" w:hAnsi="宋体"/>
          <w:color w:val="000000"/>
          <w:sz w:val="24"/>
          <w:szCs w:val="20"/>
        </w:rPr>
      </w:pPr>
      <w:r>
        <w:rPr>
          <w:rFonts w:hint="eastAsia" w:ascii="宋体" w:hAnsi="宋体"/>
          <w:color w:val="000000"/>
          <w:sz w:val="24"/>
        </w:rPr>
        <w:t>招标编号：</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项：</w:t>
      </w:r>
      <w:r>
        <w:rPr>
          <w:rFonts w:ascii="宋体" w:hAnsi="宋体"/>
          <w:color w:val="000000"/>
          <w:sz w:val="24"/>
          <w:u w:val="single"/>
        </w:rPr>
        <w:t xml:space="preserve">         </w:t>
      </w:r>
      <w:r>
        <w:rPr>
          <w:rFonts w:hint="eastAsia" w:ascii="宋体" w:hAnsi="宋体"/>
          <w:color w:val="000000"/>
          <w:sz w:val="24"/>
        </w:rPr>
        <w:t>投标供应商名称：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单位：元</w:t>
      </w: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394"/>
        <w:gridCol w:w="553"/>
        <w:gridCol w:w="633"/>
        <w:gridCol w:w="1939"/>
        <w:gridCol w:w="1249"/>
        <w:gridCol w:w="68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hint="eastAsia" w:ascii="宋体" w:hAnsi="宋体"/>
                <w:b/>
                <w:color w:val="000000"/>
                <w:szCs w:val="30"/>
              </w:rPr>
              <w:t>标项</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hint="eastAsia" w:ascii="宋体" w:hAnsi="宋体"/>
                <w:b/>
                <w:color w:val="000000"/>
                <w:szCs w:val="30"/>
              </w:rPr>
              <w:t>项目内容</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hint="eastAsia" w:ascii="宋体" w:hAnsi="宋体"/>
                <w:b/>
                <w:color w:val="000000"/>
                <w:szCs w:val="30"/>
              </w:rPr>
              <w:t>数量</w:t>
            </w:r>
          </w:p>
        </w:tc>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hint="eastAsia" w:ascii="宋体" w:hAnsi="宋体"/>
                <w:b/>
                <w:color w:val="000000"/>
                <w:szCs w:val="30"/>
              </w:rPr>
              <w:t>产地</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000000"/>
                <w:szCs w:val="30"/>
              </w:rPr>
            </w:pPr>
            <w:r>
              <w:rPr>
                <w:rFonts w:hint="eastAsia" w:ascii="宋体" w:hAnsi="宋体"/>
                <w:b/>
                <w:color w:val="000000"/>
                <w:szCs w:val="30"/>
              </w:rPr>
              <w:t>品牌及生产厂家</w:t>
            </w:r>
          </w:p>
          <w:p>
            <w:pPr>
              <w:snapToGrid w:val="0"/>
              <w:spacing w:before="50" w:after="50"/>
              <w:jc w:val="center"/>
              <w:rPr>
                <w:rFonts w:ascii="宋体" w:hAnsi="宋体"/>
                <w:b/>
                <w:color w:val="000000"/>
                <w:szCs w:val="30"/>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hint="eastAsia" w:ascii="宋体" w:hAnsi="宋体"/>
                <w:b/>
                <w:color w:val="000000"/>
                <w:szCs w:val="30"/>
              </w:rPr>
              <w:t>规格型号</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000000"/>
                <w:szCs w:val="30"/>
              </w:rPr>
            </w:pPr>
            <w:r>
              <w:rPr>
                <w:rFonts w:hint="eastAsia" w:ascii="宋体" w:hAnsi="宋体"/>
                <w:b/>
                <w:color w:val="000000"/>
                <w:szCs w:val="30"/>
              </w:rPr>
              <w:t>单价</w:t>
            </w: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b/>
                <w:color w:val="000000"/>
                <w:szCs w:val="30"/>
              </w:rPr>
            </w:pPr>
            <w:r>
              <w:rPr>
                <w:rFonts w:hint="eastAsia" w:ascii="宋体" w:hAnsi="宋体"/>
                <w:b/>
                <w:color w:val="000000"/>
                <w:szCs w:val="30"/>
              </w:rPr>
              <w:t>投标报价</w:t>
            </w:r>
          </w:p>
          <w:p>
            <w:pPr>
              <w:snapToGrid w:val="0"/>
              <w:spacing w:before="50" w:after="50"/>
              <w:jc w:val="center"/>
              <w:rPr>
                <w:rFonts w:ascii="宋体" w:hAnsi="宋体"/>
                <w:b/>
                <w:color w:val="00000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01" w:hRule="atLeast"/>
          <w:jc w:val="center"/>
        </w:trPr>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0"/>
              </w:rPr>
            </w:pPr>
          </w:p>
          <w:p>
            <w:pPr>
              <w:snapToGrid w:val="0"/>
              <w:spacing w:before="50" w:after="50"/>
              <w:jc w:val="center"/>
              <w:rPr>
                <w:rFonts w:ascii="宋体" w:hAnsi="宋体"/>
                <w:color w:val="000000"/>
                <w:sz w:val="32"/>
                <w:szCs w:val="20"/>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02"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2"/>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39"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2"/>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32"/>
                <w:szCs w:val="20"/>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32"/>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32"/>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63" w:hRule="atLeast"/>
          <w:jc w:val="center"/>
        </w:trPr>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pStyle w:val="424"/>
              <w:tabs>
                <w:tab w:val="left" w:pos="420"/>
              </w:tabs>
              <w:snapToGrid w:val="0"/>
              <w:spacing w:before="50" w:after="50" w:line="240" w:lineRule="auto"/>
              <w:rPr>
                <w:rFonts w:ascii="宋体" w:hAnsi="宋体" w:eastAsia="宋体"/>
                <w:color w:val="000000"/>
                <w:spacing w:val="0"/>
                <w:kern w:val="2"/>
                <w:szCs w:val="20"/>
              </w:rPr>
            </w:pPr>
            <w:r>
              <w:rPr>
                <w:rFonts w:ascii="宋体" w:hAnsi="宋体" w:eastAsia="宋体"/>
                <w:color w:val="000000"/>
                <w:spacing w:val="0"/>
                <w:kern w:val="2"/>
                <w:szCs w:val="20"/>
              </w:rPr>
              <w:t>专用耗材</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24"/>
                <w:szCs w:val="20"/>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24"/>
                <w:szCs w:val="20"/>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24"/>
                <w:szCs w:val="21"/>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24"/>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53" w:hRule="atLeast"/>
          <w:jc w:val="center"/>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24"/>
                <w:szCs w:val="20"/>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sz w:val="24"/>
                <w:szCs w:val="20"/>
              </w:rPr>
            </w:pPr>
          </w:p>
        </w:tc>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24"/>
                <w:szCs w:val="21"/>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sz w:val="24"/>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jc w:val="center"/>
        </w:trPr>
        <w:tc>
          <w:tcPr>
            <w:tcW w:w="653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r>
              <w:rPr>
                <w:rFonts w:hint="eastAsia" w:ascii="宋体" w:hAnsi="宋体"/>
                <w:color w:val="000000"/>
                <w:sz w:val="24"/>
                <w:szCs w:val="21"/>
              </w:rPr>
              <w:t>投标费用及利润</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sz w:val="24"/>
                <w:szCs w:val="21"/>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9" w:hRule="atLeast"/>
          <w:jc w:val="center"/>
        </w:trPr>
        <w:tc>
          <w:tcPr>
            <w:tcW w:w="10094" w:type="dxa"/>
            <w:gridSpan w:val="8"/>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000000"/>
                <w:sz w:val="24"/>
                <w:szCs w:val="21"/>
                <w:u w:val="single"/>
              </w:rPr>
            </w:pPr>
            <w:r>
              <w:rPr>
                <w:rFonts w:hint="eastAsia" w:ascii="宋体" w:hAnsi="宋体"/>
                <w:color w:val="000000"/>
                <w:sz w:val="24"/>
                <w:szCs w:val="21"/>
              </w:rPr>
              <w:t>合计金额大写：                                              ￥</w:t>
            </w:r>
            <w:r>
              <w:rPr>
                <w:rFonts w:ascii="宋体" w:hAnsi="宋体"/>
                <w:color w:val="000000"/>
                <w:sz w:val="24"/>
                <w:szCs w:val="21"/>
                <w:u w:val="single"/>
              </w:rPr>
              <w:t xml:space="preserve">            </w:t>
            </w:r>
          </w:p>
        </w:tc>
      </w:tr>
    </w:tbl>
    <w:p>
      <w:pPr>
        <w:snapToGrid w:val="0"/>
        <w:spacing w:before="50" w:after="50"/>
        <w:jc w:val="left"/>
        <w:rPr>
          <w:rFonts w:ascii="宋体" w:hAnsi="宋体"/>
          <w:color w:val="000000"/>
          <w:sz w:val="24"/>
          <w:szCs w:val="20"/>
        </w:rPr>
      </w:pPr>
      <w:r>
        <w:rPr>
          <w:rFonts w:hint="eastAsia" w:ascii="宋体" w:hAnsi="宋体"/>
          <w:color w:val="000000"/>
          <w:sz w:val="24"/>
        </w:rPr>
        <w:t>注</w:t>
      </w:r>
      <w:r>
        <w:rPr>
          <w:rFonts w:ascii="宋体" w:hAnsi="宋体"/>
          <w:color w:val="000000"/>
          <w:sz w:val="24"/>
        </w:rPr>
        <w:t>: 1</w:t>
      </w:r>
      <w:r>
        <w:rPr>
          <w:rFonts w:hint="eastAsia" w:ascii="宋体" w:hAnsi="宋体"/>
          <w:color w:val="000000"/>
          <w:sz w:val="24"/>
        </w:rPr>
        <w:t>、报价一经涂改，应在涂改处加盖单位公章或者由法定代表人或授权委托人签字或盖章，否则其投标作无效标处理。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color w:val="000000"/>
          <w:sz w:val="24"/>
          <w:szCs w:val="20"/>
        </w:rPr>
      </w:pPr>
      <w:r>
        <w:rPr>
          <w:rFonts w:ascii="宋体" w:hAnsi="宋体"/>
          <w:color w:val="000000"/>
          <w:sz w:val="24"/>
        </w:rPr>
        <w:t>2</w:t>
      </w:r>
      <w:r>
        <w:rPr>
          <w:rFonts w:hint="eastAsia" w:ascii="宋体" w:hAnsi="宋体"/>
          <w:color w:val="000000"/>
          <w:sz w:val="24"/>
        </w:rPr>
        <w:t>、凡需用专用耗材的专用设备类采购项目，应按采购文件规定的耗材量或按耗材的常规试用量提供报价。</w:t>
      </w:r>
    </w:p>
    <w:p>
      <w:pPr>
        <w:snapToGrid w:val="0"/>
        <w:spacing w:before="50" w:after="50"/>
        <w:ind w:firstLine="480" w:firstLineChars="200"/>
        <w:jc w:val="left"/>
        <w:rPr>
          <w:rFonts w:ascii="宋体" w:hAnsi="宋体"/>
          <w:color w:val="000000"/>
          <w:sz w:val="24"/>
          <w:szCs w:val="20"/>
        </w:rPr>
      </w:pPr>
      <w:r>
        <w:rPr>
          <w:rFonts w:ascii="宋体" w:hAnsi="宋体"/>
          <w:color w:val="000000"/>
          <w:sz w:val="24"/>
        </w:rPr>
        <w:t>3</w:t>
      </w:r>
      <w:r>
        <w:rPr>
          <w:rFonts w:hint="eastAsia" w:ascii="宋体" w:hAnsi="宋体"/>
          <w:color w:val="000000"/>
          <w:sz w:val="24"/>
        </w:rPr>
        <w:t>、投标费用包括项目实施所需的人工费、服务费、运输费、安装调试费、购买及制作标书费、税费及其他一切费用。</w:t>
      </w:r>
    </w:p>
    <w:p>
      <w:pPr>
        <w:snapToGrid w:val="0"/>
        <w:spacing w:before="50" w:after="50"/>
        <w:ind w:firstLine="480" w:firstLineChars="200"/>
        <w:jc w:val="left"/>
        <w:rPr>
          <w:rFonts w:ascii="宋体" w:hAnsi="宋体"/>
          <w:color w:val="000000"/>
          <w:sz w:val="24"/>
          <w:szCs w:val="20"/>
        </w:rPr>
      </w:pPr>
      <w:r>
        <w:rPr>
          <w:rFonts w:ascii="宋体" w:hAnsi="宋体"/>
          <w:color w:val="000000"/>
          <w:sz w:val="24"/>
        </w:rPr>
        <w:t>4</w:t>
      </w:r>
      <w:r>
        <w:rPr>
          <w:rFonts w:hint="eastAsia" w:ascii="宋体" w:hAnsi="宋体"/>
          <w:color w:val="000000"/>
          <w:sz w:val="24"/>
        </w:rPr>
        <w:t>、以上报价应分别与“投标设备报价明细表”中的“</w:t>
      </w:r>
      <w:r>
        <w:rPr>
          <w:rFonts w:hint="eastAsia" w:ascii="宋体" w:hAnsi="宋体"/>
          <w:b/>
          <w:color w:val="000000"/>
          <w:spacing w:val="20"/>
          <w:sz w:val="24"/>
        </w:rPr>
        <w:t>投标总价</w:t>
      </w:r>
      <w:r>
        <w:rPr>
          <w:rFonts w:hint="eastAsia" w:ascii="宋体" w:hAnsi="宋体"/>
          <w:color w:val="000000"/>
          <w:sz w:val="24"/>
        </w:rPr>
        <w:t>”相一致。</w:t>
      </w:r>
    </w:p>
    <w:p>
      <w:pPr>
        <w:snapToGrid w:val="0"/>
        <w:spacing w:before="50" w:after="50"/>
        <w:ind w:firstLine="480" w:firstLineChars="200"/>
        <w:rPr>
          <w:rFonts w:ascii="宋体" w:hAnsi="宋体"/>
          <w:color w:val="000000"/>
          <w:sz w:val="24"/>
          <w:szCs w:val="20"/>
        </w:rPr>
      </w:pPr>
      <w:r>
        <w:rPr>
          <w:rFonts w:ascii="宋体" w:hAnsi="宋体"/>
          <w:color w:val="000000"/>
          <w:sz w:val="24"/>
        </w:rPr>
        <w:t>5</w:t>
      </w:r>
      <w:r>
        <w:rPr>
          <w:rFonts w:hint="eastAsia" w:ascii="宋体" w:hAnsi="宋体"/>
          <w:color w:val="000000"/>
          <w:sz w:val="24"/>
        </w:rPr>
        <w:t>、此表请单独信封放入投标文件袋，信封封面请注明招标编号、标项、投标供应商名称及“开标一览表”字样。</w:t>
      </w:r>
    </w:p>
    <w:p>
      <w:pPr>
        <w:snapToGrid w:val="0"/>
        <w:spacing w:before="50" w:after="50"/>
        <w:ind w:left="-3" w:leftChars="-72" w:right="-817" w:rightChars="-389" w:hanging="148" w:hangingChars="62"/>
        <w:rPr>
          <w:rFonts w:hint="eastAsia" w:ascii="宋体" w:hAnsi="宋体"/>
          <w:color w:val="000000"/>
          <w:sz w:val="24"/>
        </w:rPr>
      </w:pPr>
    </w:p>
    <w:p>
      <w:pPr>
        <w:pStyle w:val="16"/>
        <w:wordWrap w:val="0"/>
        <w:snapToGrid w:val="0"/>
        <w:ind w:firstLine="1440" w:firstLineChars="600"/>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50" w:after="120" w:afterLines="50"/>
        <w:jc w:val="right"/>
        <w:rPr>
          <w:rFonts w:hint="eastAsia" w:ascii="宋体" w:hAnsi="宋体"/>
          <w:color w:val="000000"/>
          <w:sz w:val="24"/>
          <w:szCs w:val="20"/>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pStyle w:val="4"/>
        <w:rPr>
          <w:rFonts w:ascii="宋体" w:hAnsi="宋体"/>
          <w:color w:val="000000"/>
          <w:sz w:val="24"/>
        </w:rPr>
      </w:pPr>
      <w:r>
        <w:rPr>
          <w:rFonts w:hint="eastAsia" w:ascii="宋体" w:hAnsi="宋体"/>
          <w:color w:val="000000"/>
          <w:sz w:val="24"/>
        </w:rPr>
        <w:t>20.开标一览表（适用于物业项目）</w:t>
      </w:r>
    </w:p>
    <w:p>
      <w:pPr>
        <w:pStyle w:val="6"/>
        <w:tabs>
          <w:tab w:val="left" w:pos="4841"/>
        </w:tabs>
        <w:spacing w:line="360" w:lineRule="auto"/>
        <w:jc w:val="center"/>
        <w:rPr>
          <w:rFonts w:hAnsi="宋体" w:cs="宋体"/>
          <w:b/>
          <w:color w:val="000000"/>
          <w:sz w:val="24"/>
        </w:rPr>
      </w:pPr>
      <w:r>
        <w:rPr>
          <w:rFonts w:hint="eastAsia" w:hAnsi="宋体" w:cs="宋体"/>
          <w:b/>
          <w:color w:val="000000"/>
          <w:sz w:val="24"/>
        </w:rPr>
        <w:t>开标一览表</w:t>
      </w:r>
    </w:p>
    <w:p>
      <w:pPr>
        <w:pStyle w:val="6"/>
        <w:spacing w:line="360" w:lineRule="auto"/>
        <w:rPr>
          <w:rFonts w:hAnsi="宋体" w:cs="宋体"/>
          <w:color w:val="000000"/>
          <w:sz w:val="21"/>
          <w:szCs w:val="21"/>
        </w:rPr>
      </w:pPr>
    </w:p>
    <w:p>
      <w:pPr>
        <w:pStyle w:val="6"/>
        <w:spacing w:line="360" w:lineRule="auto"/>
        <w:rPr>
          <w:rFonts w:hAnsi="宋体"/>
          <w:color w:val="000000"/>
          <w:spacing w:val="0"/>
          <w:sz w:val="24"/>
          <w:szCs w:val="24"/>
        </w:rPr>
      </w:pPr>
      <w:r>
        <w:rPr>
          <w:rFonts w:hint="eastAsia" w:hAnsi="宋体"/>
          <w:color w:val="000000"/>
          <w:spacing w:val="0"/>
          <w:sz w:val="24"/>
          <w:szCs w:val="24"/>
        </w:rPr>
        <w:t>项目名称：</w:t>
      </w:r>
      <w:r>
        <w:rPr>
          <w:rFonts w:hint="eastAsia" w:hAnsi="宋体"/>
          <w:color w:val="000000"/>
          <w:sz w:val="24"/>
          <w:u w:val="single"/>
        </w:rPr>
        <w:t xml:space="preserve">                 </w:t>
      </w:r>
      <w:r>
        <w:rPr>
          <w:rFonts w:hAnsi="宋体"/>
          <w:color w:val="000000"/>
          <w:spacing w:val="0"/>
          <w:sz w:val="24"/>
          <w:szCs w:val="24"/>
        </w:rPr>
        <w:t xml:space="preserve">      </w:t>
      </w:r>
      <w:r>
        <w:rPr>
          <w:rFonts w:hint="eastAsia" w:hAnsi="宋体"/>
          <w:color w:val="000000"/>
          <w:spacing w:val="0"/>
          <w:sz w:val="24"/>
          <w:szCs w:val="24"/>
        </w:rPr>
        <w:t>项目编号：</w:t>
      </w:r>
      <w:r>
        <w:rPr>
          <w:rFonts w:hAnsi="宋体"/>
          <w:color w:val="000000"/>
          <w:spacing w:val="0"/>
          <w:sz w:val="24"/>
          <w:szCs w:val="24"/>
        </w:rPr>
        <w:t xml:space="preserve"> </w:t>
      </w:r>
      <w:r>
        <w:rPr>
          <w:rFonts w:hint="eastAsia" w:hAnsi="宋体"/>
          <w:color w:val="000000"/>
          <w:sz w:val="24"/>
          <w:u w:val="single"/>
        </w:rPr>
        <w:t xml:space="preserve">                 </w:t>
      </w:r>
      <w:r>
        <w:rPr>
          <w:rFonts w:hAnsi="宋体"/>
          <w:color w:val="000000"/>
          <w:spacing w:val="0"/>
          <w:sz w:val="24"/>
          <w:szCs w:val="24"/>
        </w:rPr>
        <w:t xml:space="preserve">               </w:t>
      </w:r>
    </w:p>
    <w:tbl>
      <w:tblPr>
        <w:tblStyle w:val="57"/>
        <w:tblW w:w="0" w:type="auto"/>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555"/>
        <w:gridCol w:w="1984"/>
        <w:gridCol w:w="3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9" w:hRule="atLeast"/>
        </w:trPr>
        <w:tc>
          <w:tcPr>
            <w:tcW w:w="700" w:type="dxa"/>
            <w:tcBorders>
              <w:top w:val="single" w:color="auto" w:sz="12" w:space="0"/>
              <w:left w:val="single" w:color="auto" w:sz="12"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序号</w:t>
            </w:r>
          </w:p>
        </w:tc>
        <w:tc>
          <w:tcPr>
            <w:tcW w:w="2555" w:type="dxa"/>
            <w:tcBorders>
              <w:top w:val="single" w:color="auto" w:sz="12"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名称</w:t>
            </w:r>
          </w:p>
        </w:tc>
        <w:tc>
          <w:tcPr>
            <w:tcW w:w="1984" w:type="dxa"/>
            <w:tcBorders>
              <w:top w:val="single" w:color="auto" w:sz="12"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服务期限</w:t>
            </w:r>
          </w:p>
        </w:tc>
        <w:tc>
          <w:tcPr>
            <w:tcW w:w="3163"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投标报价（人民币：元）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 w:hRule="atLeast"/>
        </w:trPr>
        <w:tc>
          <w:tcPr>
            <w:tcW w:w="700"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olor w:val="000000"/>
                <w:sz w:val="24"/>
              </w:rPr>
              <w:t>1</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color w:val="000000"/>
                <w:kern w:val="1"/>
                <w:sz w:val="24"/>
              </w:rPr>
            </w:pPr>
          </w:p>
        </w:tc>
        <w:tc>
          <w:tcPr>
            <w:tcW w:w="3163"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rPr>
                <w:rFonts w:ascii="宋体" w:hAnsi="宋体" w:cs="宋体"/>
                <w:b/>
                <w:color w:val="000000"/>
                <w:kern w:val="1"/>
                <w:sz w:val="24"/>
              </w:rPr>
            </w:pPr>
            <w:r>
              <w:rPr>
                <w:rFonts w:hint="eastAsia" w:ascii="宋体" w:hAnsi="宋体" w:cs="宋体"/>
                <w:b/>
                <w:color w:val="000000"/>
                <w:kern w:val="1"/>
                <w:sz w:val="24"/>
              </w:rPr>
              <w:t>小写：</w:t>
            </w:r>
          </w:p>
          <w:p>
            <w:pPr>
              <w:spacing w:line="400" w:lineRule="exact"/>
              <w:rPr>
                <w:rFonts w:ascii="宋体" w:hAnsi="宋体" w:cs="宋体"/>
                <w:b/>
                <w:color w:val="000000"/>
                <w:kern w:val="1"/>
                <w:sz w:val="24"/>
              </w:rPr>
            </w:pPr>
            <w:r>
              <w:rPr>
                <w:rFonts w:hint="eastAsia" w:ascii="宋体" w:hAnsi="宋体" w:cs="宋体"/>
                <w:b/>
                <w:color w:val="000000"/>
                <w:kern w:val="1"/>
                <w:sz w:val="24"/>
              </w:rPr>
              <w:t>大写：</w:t>
            </w:r>
          </w:p>
        </w:tc>
      </w:tr>
    </w:tbl>
    <w:p>
      <w:pPr>
        <w:pStyle w:val="6"/>
        <w:spacing w:line="360" w:lineRule="auto"/>
        <w:ind w:firstLine="480" w:firstLineChars="200"/>
        <w:rPr>
          <w:rFonts w:hint="eastAsia" w:hAnsi="宋体"/>
          <w:color w:val="000000"/>
          <w:spacing w:val="0"/>
          <w:sz w:val="24"/>
          <w:szCs w:val="24"/>
        </w:rPr>
      </w:pPr>
    </w:p>
    <w:p>
      <w:pPr>
        <w:pStyle w:val="6"/>
        <w:spacing w:line="240" w:lineRule="auto"/>
        <w:ind w:firstLine="480" w:firstLineChars="200"/>
        <w:rPr>
          <w:rFonts w:hAnsi="宋体"/>
          <w:color w:val="000000"/>
          <w:spacing w:val="0"/>
          <w:sz w:val="24"/>
          <w:szCs w:val="24"/>
        </w:rPr>
      </w:pPr>
      <w:r>
        <w:rPr>
          <w:rFonts w:hint="eastAsia" w:hAnsi="宋体"/>
          <w:color w:val="000000"/>
          <w:spacing w:val="0"/>
          <w:sz w:val="24"/>
          <w:szCs w:val="24"/>
        </w:rPr>
        <w:t>注：1.报价一经涂改，应在涂改处加盖单位公章或者由法定代表人或授权委托人签名或盖章，否则其投标作无效标处理。</w:t>
      </w:r>
    </w:p>
    <w:p>
      <w:pPr>
        <w:snapToGrid w:val="0"/>
        <w:spacing w:before="50" w:after="50"/>
        <w:ind w:firstLine="120" w:firstLineChars="50"/>
        <w:jc w:val="lef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2.投标费用包括项目实施所需的人工费、服务费、运输费、培训费、服装费、税费及其他一切费用。</w:t>
      </w:r>
    </w:p>
    <w:p>
      <w:pPr>
        <w:snapToGrid w:val="0"/>
        <w:spacing w:before="50" w:after="50"/>
        <w:ind w:firstLine="480" w:firstLineChars="200"/>
        <w:jc w:val="left"/>
        <w:rPr>
          <w:rFonts w:ascii="宋体" w:hAnsi="宋体"/>
          <w:color w:val="000000"/>
          <w:sz w:val="24"/>
        </w:rPr>
      </w:pPr>
      <w:r>
        <w:rPr>
          <w:rFonts w:hint="eastAsia" w:ascii="宋体" w:hAnsi="宋体"/>
          <w:color w:val="000000"/>
          <w:sz w:val="24"/>
        </w:rPr>
        <w:t>3.以上报价应分别与“投标设备报价明细表”中的“投标总价”相一致。</w:t>
      </w:r>
    </w:p>
    <w:p>
      <w:pPr>
        <w:snapToGrid w:val="0"/>
        <w:spacing w:before="50" w:after="50"/>
        <w:ind w:firstLine="480" w:firstLineChars="200"/>
        <w:rPr>
          <w:rFonts w:ascii="宋体" w:hAnsi="宋体"/>
          <w:color w:val="000000"/>
          <w:sz w:val="24"/>
        </w:rPr>
      </w:pPr>
      <w:r>
        <w:rPr>
          <w:rFonts w:hint="eastAsia" w:ascii="宋体" w:hAnsi="宋体"/>
          <w:color w:val="000000"/>
          <w:sz w:val="24"/>
        </w:rPr>
        <w:t>4.可根据项目特点自行制定表格，但不可缺合计金额大小写。</w:t>
      </w:r>
    </w:p>
    <w:p>
      <w:pPr>
        <w:pStyle w:val="6"/>
        <w:spacing w:line="360" w:lineRule="auto"/>
        <w:ind w:left="590" w:hanging="589" w:hangingChars="343"/>
        <w:rPr>
          <w:rFonts w:hAnsi="宋体" w:cs="宋体"/>
          <w:color w:val="000000"/>
          <w:szCs w:val="21"/>
        </w:rPr>
      </w:pPr>
    </w:p>
    <w:p>
      <w:pPr>
        <w:pStyle w:val="6"/>
        <w:spacing w:line="360" w:lineRule="auto"/>
        <w:ind w:left="590" w:hanging="589" w:hangingChars="343"/>
        <w:rPr>
          <w:rFonts w:hAnsi="宋体" w:cs="宋体"/>
          <w:color w:val="000000"/>
          <w:szCs w:val="21"/>
        </w:rPr>
      </w:pPr>
    </w:p>
    <w:p>
      <w:pPr>
        <w:pStyle w:val="6"/>
        <w:spacing w:line="360" w:lineRule="auto"/>
        <w:ind w:left="590" w:hanging="589" w:hangingChars="343"/>
        <w:rPr>
          <w:rFonts w:hAnsi="宋体" w:cs="宋体"/>
          <w:color w:val="000000"/>
          <w:szCs w:val="21"/>
        </w:rPr>
      </w:pPr>
    </w:p>
    <w:p>
      <w:pPr>
        <w:pStyle w:val="16"/>
        <w:wordWrap w:val="0"/>
        <w:snapToGrid w:val="0"/>
        <w:ind w:firstLine="1440" w:firstLineChars="600"/>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50" w:after="120" w:afterLines="50"/>
        <w:jc w:val="right"/>
        <w:rPr>
          <w:rFonts w:hint="eastAsia" w:ascii="宋体" w:hAnsi="宋体"/>
          <w:color w:val="000000"/>
          <w:sz w:val="24"/>
          <w:szCs w:val="20"/>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p>
      <w:pPr>
        <w:pStyle w:val="6"/>
        <w:spacing w:line="360" w:lineRule="auto"/>
        <w:rPr>
          <w:rFonts w:hAnsi="宋体" w:cs="宋体"/>
          <w:color w:val="000000"/>
          <w:szCs w:val="21"/>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pStyle w:val="30"/>
        <w:numPr>
          <w:ilvl w:val="0"/>
          <w:numId w:val="0"/>
        </w:numPr>
        <w:tabs>
          <w:tab w:val="left" w:pos="1200"/>
        </w:tabs>
        <w:snapToGrid w:val="0"/>
        <w:spacing w:before="295" w:beforeLines="0" w:after="295" w:afterLines="0" w:line="240" w:lineRule="auto"/>
        <w:jc w:val="right"/>
        <w:rPr>
          <w:rFonts w:hint="eastAsia" w:hAnsi="宋体"/>
          <w:color w:val="000000"/>
        </w:rPr>
      </w:pPr>
    </w:p>
    <w:p>
      <w:pPr>
        <w:pStyle w:val="30"/>
        <w:numPr>
          <w:ilvl w:val="0"/>
          <w:numId w:val="0"/>
        </w:numPr>
        <w:tabs>
          <w:tab w:val="left" w:pos="1200"/>
        </w:tabs>
        <w:snapToGrid w:val="0"/>
        <w:spacing w:before="295" w:beforeLines="0" w:after="295" w:afterLines="0" w:line="240" w:lineRule="auto"/>
        <w:jc w:val="right"/>
        <w:rPr>
          <w:rFonts w:hint="eastAsia" w:hAnsi="宋体"/>
          <w:color w:val="000000"/>
        </w:rPr>
      </w:pPr>
    </w:p>
    <w:p>
      <w:pPr>
        <w:pStyle w:val="4"/>
        <w:rPr>
          <w:rFonts w:hint="eastAsia" w:ascii="宋体" w:hAnsi="宋体"/>
          <w:color w:val="000000"/>
          <w:sz w:val="24"/>
        </w:rPr>
      </w:pPr>
      <w:r>
        <w:rPr>
          <w:rFonts w:hint="eastAsia" w:ascii="宋体" w:hAnsi="宋体"/>
          <w:color w:val="000000"/>
          <w:sz w:val="24"/>
        </w:rPr>
        <w:t>21.政府采购节能产品表</w:t>
      </w:r>
    </w:p>
    <w:tbl>
      <w:tblPr>
        <w:tblStyle w:val="57"/>
        <w:tblW w:w="0" w:type="auto"/>
        <w:tblInd w:w="-942" w:type="dxa"/>
        <w:tblLayout w:type="fixed"/>
        <w:tblCellMar>
          <w:top w:w="0" w:type="dxa"/>
          <w:left w:w="108" w:type="dxa"/>
          <w:bottom w:w="0" w:type="dxa"/>
          <w:right w:w="108" w:type="dxa"/>
        </w:tblCellMar>
      </w:tblPr>
      <w:tblGrid>
        <w:gridCol w:w="735"/>
        <w:gridCol w:w="1204"/>
        <w:gridCol w:w="2471"/>
        <w:gridCol w:w="1995"/>
        <w:gridCol w:w="4620"/>
      </w:tblGrid>
      <w:tr>
        <w:tblPrEx>
          <w:tblCellMar>
            <w:top w:w="0" w:type="dxa"/>
            <w:left w:w="108" w:type="dxa"/>
            <w:bottom w:w="0" w:type="dxa"/>
            <w:right w:w="108" w:type="dxa"/>
          </w:tblCellMar>
        </w:tblPrEx>
        <w:trPr>
          <w:trHeight w:val="714" w:hRule="atLeast"/>
        </w:trPr>
        <w:tc>
          <w:tcPr>
            <w:tcW w:w="735"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204"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产品型号</w:t>
            </w:r>
          </w:p>
        </w:tc>
        <w:tc>
          <w:tcPr>
            <w:tcW w:w="2471"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节能产品认证证书号</w:t>
            </w:r>
          </w:p>
        </w:tc>
        <w:tc>
          <w:tcPr>
            <w:tcW w:w="1995"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节能产品认证证书有效截止日期</w:t>
            </w:r>
          </w:p>
        </w:tc>
        <w:tc>
          <w:tcPr>
            <w:tcW w:w="4620"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节能产品政府采购品目清单中</w:t>
            </w:r>
            <w:r>
              <w:rPr>
                <w:rFonts w:ascii="宋体" w:hAnsi="宋体" w:cs="宋体"/>
                <w:color w:val="000000"/>
                <w:sz w:val="24"/>
              </w:rPr>
              <w:t>序号</w:t>
            </w:r>
          </w:p>
        </w:tc>
      </w:tr>
      <w:tr>
        <w:tblPrEx>
          <w:tblCellMar>
            <w:top w:w="0" w:type="dxa"/>
            <w:left w:w="108" w:type="dxa"/>
            <w:bottom w:w="0" w:type="dxa"/>
            <w:right w:w="108" w:type="dxa"/>
          </w:tblCellMar>
        </w:tblPrEx>
        <w:trPr>
          <w:trHeight w:val="579" w:hRule="atLeast"/>
        </w:trPr>
        <w:tc>
          <w:tcPr>
            <w:tcW w:w="735"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462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trHeight w:val="615" w:hRule="atLeast"/>
        </w:trPr>
        <w:tc>
          <w:tcPr>
            <w:tcW w:w="735"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462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trHeight w:val="615" w:hRule="atLeast"/>
        </w:trPr>
        <w:tc>
          <w:tcPr>
            <w:tcW w:w="735"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ascii="宋体" w:hAnsi="宋体" w:cs="宋体"/>
                <w:color w:val="000000"/>
                <w:sz w:val="24"/>
              </w:rPr>
            </w:pPr>
          </w:p>
        </w:tc>
        <w:tc>
          <w:tcPr>
            <w:tcW w:w="1204"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宋体" w:hAnsi="宋体" w:cs="宋体"/>
                <w:color w:val="000000"/>
                <w:sz w:val="24"/>
              </w:rPr>
            </w:pPr>
          </w:p>
        </w:tc>
        <w:tc>
          <w:tcPr>
            <w:tcW w:w="2471"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宋体" w:hAnsi="宋体" w:cs="宋体"/>
                <w:color w:val="000000"/>
                <w:sz w:val="24"/>
              </w:rPr>
            </w:pPr>
          </w:p>
        </w:tc>
        <w:tc>
          <w:tcPr>
            <w:tcW w:w="199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宋体" w:hAnsi="宋体" w:cs="宋体"/>
                <w:color w:val="000000"/>
                <w:sz w:val="24"/>
              </w:rPr>
            </w:pPr>
          </w:p>
        </w:tc>
        <w:tc>
          <w:tcPr>
            <w:tcW w:w="4620"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rFonts w:ascii="宋体" w:hAnsi="宋体" w:cs="宋体"/>
                <w:color w:val="000000"/>
                <w:sz w:val="24"/>
              </w:rPr>
            </w:pPr>
          </w:p>
        </w:tc>
      </w:tr>
    </w:tbl>
    <w:p>
      <w:pPr>
        <w:spacing w:line="360" w:lineRule="auto"/>
        <w:rPr>
          <w:rFonts w:ascii="宋体" w:hAnsi="宋体"/>
          <w:b/>
          <w:bCs/>
          <w:color w:val="000000"/>
          <w:sz w:val="24"/>
        </w:rPr>
      </w:pPr>
    </w:p>
    <w:p>
      <w:pPr>
        <w:spacing w:line="360" w:lineRule="auto"/>
        <w:rPr>
          <w:rFonts w:ascii="宋体" w:hAnsi="宋体"/>
          <w:b/>
          <w:bCs/>
          <w:color w:val="000000"/>
          <w:sz w:val="24"/>
        </w:rPr>
      </w:pPr>
      <w:r>
        <w:rPr>
          <w:rFonts w:hint="eastAsia" w:ascii="宋体" w:hAnsi="宋体"/>
          <w:b/>
          <w:bCs/>
          <w:color w:val="000000"/>
          <w:sz w:val="24"/>
        </w:rPr>
        <w:t>附</w:t>
      </w:r>
      <w:r>
        <w:rPr>
          <w:rFonts w:ascii="宋体" w:hAnsi="宋体"/>
          <w:b/>
          <w:bCs/>
          <w:color w:val="000000"/>
          <w:sz w:val="24"/>
        </w:rPr>
        <w:t>：节能</w:t>
      </w:r>
      <w:r>
        <w:rPr>
          <w:rFonts w:hint="eastAsia" w:ascii="宋体" w:hAnsi="宋体"/>
          <w:b/>
          <w:bCs/>
          <w:color w:val="000000"/>
          <w:sz w:val="24"/>
        </w:rPr>
        <w:t>产品</w:t>
      </w:r>
      <w:r>
        <w:rPr>
          <w:rFonts w:ascii="宋体" w:hAnsi="宋体"/>
          <w:b/>
          <w:bCs/>
          <w:color w:val="000000"/>
          <w:sz w:val="24"/>
        </w:rPr>
        <w:t>清单认证证书</w:t>
      </w:r>
      <w:r>
        <w:rPr>
          <w:rFonts w:hint="eastAsia" w:ascii="宋体" w:hAnsi="宋体"/>
          <w:b/>
          <w:bCs/>
          <w:color w:val="000000"/>
          <w:sz w:val="24"/>
        </w:rPr>
        <w:t xml:space="preserve"> </w:t>
      </w:r>
    </w:p>
    <w:p>
      <w:pPr>
        <w:pStyle w:val="16"/>
        <w:wordWrap w:val="0"/>
        <w:snapToGrid w:val="0"/>
        <w:ind w:firstLine="1440" w:firstLineChars="600"/>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50" w:after="120" w:afterLines="50"/>
        <w:jc w:val="right"/>
        <w:rPr>
          <w:rFonts w:hint="eastAsia" w:ascii="宋体" w:hAnsi="宋体"/>
          <w:color w:val="000000"/>
          <w:sz w:val="24"/>
          <w:szCs w:val="20"/>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p>
      <w:pPr>
        <w:spacing w:line="360" w:lineRule="auto"/>
        <w:rPr>
          <w:rFonts w:hint="eastAsia" w:ascii="宋体" w:hAnsi="宋体"/>
          <w:b/>
          <w:bCs/>
          <w:color w:val="000000"/>
          <w:sz w:val="24"/>
        </w:rPr>
      </w:pPr>
    </w:p>
    <w:p>
      <w:pPr>
        <w:pStyle w:val="4"/>
        <w:rPr>
          <w:rFonts w:hint="eastAsia" w:ascii="宋体" w:hAnsi="宋体"/>
          <w:color w:val="000000"/>
          <w:sz w:val="24"/>
        </w:rPr>
      </w:pPr>
      <w:r>
        <w:rPr>
          <w:rFonts w:hint="eastAsia" w:ascii="宋体" w:hAnsi="宋体"/>
          <w:color w:val="000000"/>
          <w:sz w:val="24"/>
        </w:rPr>
        <w:t>22.政府采购环境标志产品表</w:t>
      </w:r>
    </w:p>
    <w:tbl>
      <w:tblPr>
        <w:tblStyle w:val="57"/>
        <w:tblW w:w="0" w:type="auto"/>
        <w:tblInd w:w="-837" w:type="dxa"/>
        <w:tblLayout w:type="fixed"/>
        <w:tblCellMar>
          <w:top w:w="0" w:type="dxa"/>
          <w:left w:w="108" w:type="dxa"/>
          <w:bottom w:w="0" w:type="dxa"/>
          <w:right w:w="108" w:type="dxa"/>
        </w:tblCellMar>
      </w:tblPr>
      <w:tblGrid>
        <w:gridCol w:w="714"/>
        <w:gridCol w:w="1218"/>
        <w:gridCol w:w="2457"/>
        <w:gridCol w:w="2100"/>
        <w:gridCol w:w="4410"/>
      </w:tblGrid>
      <w:tr>
        <w:tblPrEx>
          <w:tblCellMar>
            <w:top w:w="0" w:type="dxa"/>
            <w:left w:w="108" w:type="dxa"/>
            <w:bottom w:w="0" w:type="dxa"/>
            <w:right w:w="108" w:type="dxa"/>
          </w:tblCellMar>
        </w:tblPrEx>
        <w:trPr>
          <w:trHeight w:val="714" w:hRule="atLeast"/>
        </w:trPr>
        <w:tc>
          <w:tcPr>
            <w:tcW w:w="71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21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产品型号</w:t>
            </w:r>
          </w:p>
        </w:tc>
        <w:tc>
          <w:tcPr>
            <w:tcW w:w="2457"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环境标志产品认证证书号</w:t>
            </w:r>
          </w:p>
        </w:tc>
        <w:tc>
          <w:tcPr>
            <w:tcW w:w="2100"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环境标志产品认证证书有效截止日期</w:t>
            </w:r>
          </w:p>
        </w:tc>
        <w:tc>
          <w:tcPr>
            <w:tcW w:w="4410"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环境产品政府采购品目清单中</w:t>
            </w:r>
            <w:r>
              <w:rPr>
                <w:rFonts w:ascii="宋体" w:hAnsi="宋体" w:cs="宋体"/>
                <w:color w:val="000000"/>
                <w:sz w:val="24"/>
              </w:rPr>
              <w:t>的序号</w:t>
            </w:r>
          </w:p>
        </w:tc>
      </w:tr>
      <w:tr>
        <w:tblPrEx>
          <w:tblCellMar>
            <w:top w:w="0" w:type="dxa"/>
            <w:left w:w="108" w:type="dxa"/>
            <w:bottom w:w="0" w:type="dxa"/>
            <w:right w:w="108" w:type="dxa"/>
          </w:tblCellMar>
        </w:tblPrEx>
        <w:trPr>
          <w:trHeight w:val="637" w:hRule="atLeast"/>
        </w:trPr>
        <w:tc>
          <w:tcPr>
            <w:tcW w:w="71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441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trHeight w:val="617" w:hRule="atLeast"/>
        </w:trPr>
        <w:tc>
          <w:tcPr>
            <w:tcW w:w="71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p>
        </w:tc>
        <w:tc>
          <w:tcPr>
            <w:tcW w:w="441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trHeight w:val="617" w:hRule="atLeast"/>
        </w:trPr>
        <w:tc>
          <w:tcPr>
            <w:tcW w:w="714"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ascii="宋体" w:hAnsi="宋体" w:cs="宋体"/>
                <w:color w:val="000000"/>
                <w:sz w:val="24"/>
              </w:rPr>
            </w:pPr>
          </w:p>
        </w:tc>
        <w:tc>
          <w:tcPr>
            <w:tcW w:w="1218"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宋体" w:hAnsi="宋体" w:cs="宋体"/>
                <w:color w:val="000000"/>
                <w:sz w:val="24"/>
              </w:rPr>
            </w:pPr>
          </w:p>
        </w:tc>
        <w:tc>
          <w:tcPr>
            <w:tcW w:w="245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宋体" w:hAnsi="宋体" w:cs="宋体"/>
                <w:color w:val="000000"/>
                <w:sz w:val="24"/>
              </w:rPr>
            </w:pPr>
          </w:p>
        </w:tc>
        <w:tc>
          <w:tcPr>
            <w:tcW w:w="21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宋体" w:hAnsi="宋体" w:cs="宋体"/>
                <w:color w:val="000000"/>
                <w:sz w:val="24"/>
              </w:rPr>
            </w:pPr>
          </w:p>
        </w:tc>
        <w:tc>
          <w:tcPr>
            <w:tcW w:w="4410"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rFonts w:ascii="宋体" w:hAnsi="宋体" w:cs="宋体"/>
                <w:color w:val="000000"/>
                <w:sz w:val="24"/>
              </w:rPr>
            </w:pPr>
          </w:p>
        </w:tc>
      </w:tr>
    </w:tbl>
    <w:p>
      <w:pPr>
        <w:autoSpaceDE w:val="0"/>
        <w:autoSpaceDN w:val="0"/>
        <w:spacing w:line="360" w:lineRule="auto"/>
        <w:rPr>
          <w:rFonts w:ascii="宋体" w:hAnsi="宋体"/>
          <w:b/>
          <w:color w:val="000000"/>
          <w:kern w:val="0"/>
          <w:sz w:val="24"/>
        </w:rPr>
      </w:pPr>
    </w:p>
    <w:p>
      <w:pPr>
        <w:autoSpaceDE w:val="0"/>
        <w:autoSpaceDN w:val="0"/>
        <w:spacing w:line="360" w:lineRule="auto"/>
        <w:rPr>
          <w:rFonts w:hint="eastAsia" w:ascii="宋体" w:hAnsi="宋体"/>
          <w:b/>
          <w:color w:val="000000"/>
          <w:kern w:val="0"/>
          <w:sz w:val="24"/>
        </w:rPr>
      </w:pPr>
      <w:r>
        <w:rPr>
          <w:rFonts w:hint="eastAsia" w:ascii="宋体" w:hAnsi="宋体"/>
          <w:b/>
          <w:color w:val="000000"/>
          <w:kern w:val="0"/>
          <w:sz w:val="24"/>
        </w:rPr>
        <w:t>附</w:t>
      </w:r>
      <w:r>
        <w:rPr>
          <w:rFonts w:ascii="宋体" w:hAnsi="宋体"/>
          <w:b/>
          <w:color w:val="000000"/>
          <w:kern w:val="0"/>
          <w:sz w:val="24"/>
        </w:rPr>
        <w:t>：环境标志产品认证证书</w:t>
      </w:r>
    </w:p>
    <w:p>
      <w:pPr>
        <w:autoSpaceDE w:val="0"/>
        <w:autoSpaceDN w:val="0"/>
        <w:spacing w:line="360" w:lineRule="auto"/>
        <w:rPr>
          <w:rFonts w:hint="eastAsia" w:ascii="宋体" w:hAnsi="宋体"/>
          <w:color w:val="000000"/>
          <w:kern w:val="0"/>
          <w:sz w:val="24"/>
        </w:rPr>
      </w:pPr>
    </w:p>
    <w:p>
      <w:pPr>
        <w:pStyle w:val="16"/>
        <w:wordWrap w:val="0"/>
        <w:snapToGrid w:val="0"/>
        <w:ind w:firstLine="1440" w:firstLineChars="600"/>
        <w:jc w:val="right"/>
        <w:rPr>
          <w:rFonts w:ascii="宋体" w:hAnsi="宋体" w:eastAsia="宋体"/>
          <w:color w:val="000000"/>
          <w:sz w:val="24"/>
          <w:u w:val="single"/>
        </w:rPr>
      </w:pPr>
      <w:r>
        <w:rPr>
          <w:rFonts w:hint="eastAsia" w:ascii="宋体" w:hAnsi="宋体" w:eastAsia="宋体" w:cs="宋体"/>
          <w:color w:val="000000"/>
          <w:sz w:val="24"/>
          <w:szCs w:val="24"/>
        </w:rPr>
        <w:t>法定代表人或其授权代表（签字或盖章）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pStyle w:val="22"/>
        <w:wordWrap w:val="0"/>
        <w:snapToGrid w:val="0"/>
        <w:jc w:val="right"/>
        <w:rPr>
          <w:rFonts w:ascii="宋体" w:hAnsi="宋体"/>
          <w:color w:val="000000"/>
          <w:sz w:val="24"/>
          <w:u w:val="single"/>
        </w:rPr>
      </w:pPr>
      <w:r>
        <w:rPr>
          <w:rFonts w:hint="eastAsia" w:ascii="宋体" w:hAnsi="宋体" w:cs="宋体"/>
          <w:color w:val="000000"/>
          <w:sz w:val="24"/>
        </w:rPr>
        <w:t>投标供应商（盖章）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50" w:after="120" w:afterLines="50"/>
        <w:jc w:val="right"/>
        <w:rPr>
          <w:rFonts w:hint="eastAsia" w:ascii="宋体" w:hAnsi="宋体"/>
          <w:color w:val="000000"/>
        </w:rPr>
      </w:pPr>
      <w:r>
        <w:rPr>
          <w:rFonts w:ascii="宋体" w:hAnsi="宋体"/>
          <w:color w:val="000000"/>
          <w:sz w:val="24"/>
        </w:rPr>
        <w:t xml:space="preserve">              </w:t>
      </w:r>
      <w:r>
        <w:rPr>
          <w:rFonts w:hint="eastAsia" w:ascii="宋体" w:hAnsi="宋体"/>
          <w:color w:val="000000"/>
          <w:sz w:val="24"/>
        </w:rPr>
        <w:t>　 年</w:t>
      </w:r>
      <w:r>
        <w:rPr>
          <w:rFonts w:ascii="宋体" w:hAnsi="宋体"/>
          <w:color w:val="000000"/>
          <w:sz w:val="24"/>
        </w:rPr>
        <w:t xml:space="preserve">    </w:t>
      </w:r>
      <w:r>
        <w:rPr>
          <w:rFonts w:hint="eastAsia" w:ascii="宋体" w:hAnsi="宋体"/>
          <w:color w:val="000000"/>
          <w:sz w:val="24"/>
        </w:rPr>
        <w:t>月　 日</w:t>
      </w:r>
    </w:p>
    <w:sectPr>
      <w:footerReference r:id="rId10" w:type="default"/>
      <w:footerReference r:id="rId11" w:type="even"/>
      <w:pgSz w:w="11906" w:h="16838"/>
      <w:pgMar w:top="1474" w:right="1134" w:bottom="1134" w:left="1361"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F7FFAFFF" w:usb1="E9DFFFFF" w:usb2="0000003F" w:usb3="00000000" w:csb0="003F01FF" w:csb1="00000000"/>
  </w:font>
  <w:font w:name="仿宋_GB2312">
    <w:altName w:val="仿宋"/>
    <w:panose1 w:val="02010609030101010101"/>
    <w:charset w:val="86"/>
    <w:family w:val="modern"/>
    <w:pitch w:val="default"/>
    <w:sig w:usb0="00000001"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66"/>
      </w:rPr>
    </w:pPr>
    <w:r>
      <w:fldChar w:fldCharType="begin"/>
    </w:r>
    <w:r>
      <w:rPr>
        <w:rStyle w:val="66"/>
      </w:rPr>
      <w:instrText xml:space="preserve">PAGE  </w:instrText>
    </w:r>
    <w:r>
      <w:fldChar w:fldCharType="end"/>
    </w:r>
  </w:p>
  <w:p>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66"/>
        <w:rFonts w:hint="eastAsia"/>
        <w:sz w:val="28"/>
      </w:rPr>
    </w:pPr>
    <w:r>
      <w:rPr>
        <w:rStyle w:val="66"/>
        <w:rFonts w:hint="eastAsia"/>
        <w:sz w:val="28"/>
      </w:rPr>
      <w:t xml:space="preserve">— </w:t>
    </w:r>
    <w:r>
      <w:rPr>
        <w:sz w:val="28"/>
      </w:rPr>
      <w:fldChar w:fldCharType="begin"/>
    </w:r>
    <w:r>
      <w:rPr>
        <w:rStyle w:val="66"/>
        <w:sz w:val="28"/>
      </w:rPr>
      <w:instrText xml:space="preserve"> PAGE </w:instrText>
    </w:r>
    <w:r>
      <w:rPr>
        <w:sz w:val="28"/>
      </w:rPr>
      <w:fldChar w:fldCharType="separate"/>
    </w:r>
    <w:r>
      <w:rPr>
        <w:rStyle w:val="66"/>
        <w:sz w:val="28"/>
        <w:lang/>
      </w:rPr>
      <w:t>138</w:t>
    </w:r>
    <w:r>
      <w:rPr>
        <w:sz w:val="28"/>
      </w:rPr>
      <w:fldChar w:fldCharType="end"/>
    </w:r>
    <w:r>
      <w:rPr>
        <w:rStyle w:val="66"/>
        <w:rFonts w:hint="eastAsia"/>
        <w:sz w:val="28"/>
      </w:rPr>
      <w:t xml:space="preserve"> —</w:t>
    </w:r>
  </w:p>
  <w:p>
    <w:pPr>
      <w:pStyle w:val="35"/>
      <w:ind w:right="72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rPr>
        <w:rStyle w:val="66"/>
      </w:rPr>
      <w:instrText xml:space="preserve"> PAGE </w:instrText>
    </w:r>
    <w:r>
      <w:fldChar w:fldCharType="separate"/>
    </w:r>
    <w:r>
      <w:rPr>
        <w:rStyle w:val="66"/>
        <w:lang/>
      </w:rPr>
      <w:t>20</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66"/>
        <w:rFonts w:hint="eastAsia"/>
        <w:sz w:val="28"/>
      </w:rPr>
    </w:pPr>
    <w:r>
      <w:rPr>
        <w:rStyle w:val="66"/>
        <w:rFonts w:hint="eastAsia"/>
        <w:sz w:val="28"/>
      </w:rPr>
      <w:t xml:space="preserve">— </w:t>
    </w:r>
    <w:r>
      <w:rPr>
        <w:sz w:val="28"/>
      </w:rPr>
      <w:fldChar w:fldCharType="begin"/>
    </w:r>
    <w:r>
      <w:rPr>
        <w:rStyle w:val="66"/>
        <w:sz w:val="28"/>
      </w:rPr>
      <w:instrText xml:space="preserve"> PAGE </w:instrText>
    </w:r>
    <w:r>
      <w:rPr>
        <w:sz w:val="28"/>
      </w:rPr>
      <w:fldChar w:fldCharType="separate"/>
    </w:r>
    <w:r>
      <w:rPr>
        <w:rStyle w:val="66"/>
        <w:sz w:val="28"/>
        <w:lang/>
      </w:rPr>
      <w:t>146</w:t>
    </w:r>
    <w:r>
      <w:rPr>
        <w:sz w:val="28"/>
      </w:rPr>
      <w:fldChar w:fldCharType="end"/>
    </w:r>
    <w:r>
      <w:rPr>
        <w:rStyle w:val="66"/>
        <w:rFonts w:hint="eastAsia"/>
        <w:sz w:val="28"/>
      </w:rPr>
      <w:t xml:space="preserve"> —</w:t>
    </w:r>
  </w:p>
  <w:p>
    <w:pPr>
      <w:pStyle w:val="3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66"/>
      </w:rPr>
    </w:pPr>
    <w:r>
      <w:fldChar w:fldCharType="begin"/>
    </w:r>
    <w:r>
      <w:rPr>
        <w:rStyle w:val="66"/>
      </w:rPr>
      <w:instrText xml:space="preserve">PAGE  </w:instrText>
    </w:r>
    <w:r>
      <w:fldChar w:fldCharType="end"/>
    </w:r>
  </w:p>
  <w:p>
    <w:pPr>
      <w:pStyle w:val="3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ascii="黑体" w:hAnsi="黑体" w:eastAsia="黑体"/>
        <w:sz w:val="20"/>
      </w:rPr>
      <w:t>金华市公共资源交易中心浦江县分中心                                         0579-88088931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r>
      <w:rPr>
        <w:rFonts w:hint="eastAsia" w:ascii="黑体" w:hAnsi="黑体" w:eastAsia="黑体"/>
        <w:sz w:val="20"/>
      </w:rPr>
      <w:t>金华市公共资源交易中心浦江县分中心                                  0579-88088931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rPr>
    </w:pPr>
    <w:r>
      <w:rPr>
        <w:rFonts w:hint="eastAsia" w:ascii="宋体" w:hAnsi="宋体" w:cs="宋体"/>
      </w:rPr>
      <w:t>浦江县中医院</w:t>
    </w:r>
    <w:r>
      <w:rPr>
        <w:rFonts w:hint="eastAsia" w:ascii="仿宋_GB2312"/>
      </w:rPr>
      <w:t>物业管理服务项目采购文件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0A9D5"/>
    <w:multiLevelType w:val="singleLevel"/>
    <w:tmpl w:val="E1B0A9D5"/>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30"/>
      <w:lvlText w:val="%1."/>
      <w:lvlJc w:val="left"/>
      <w:pPr>
        <w:tabs>
          <w:tab w:val="left" w:pos="1211"/>
        </w:tabs>
        <w:ind w:left="1211" w:hanging="360"/>
      </w:pPr>
      <w:rPr>
        <w:lang w:val="en-US"/>
      </w:rPr>
    </w:lvl>
  </w:abstractNum>
  <w:abstractNum w:abstractNumId="2">
    <w:nsid w:val="00000002"/>
    <w:multiLevelType w:val="singleLevel"/>
    <w:tmpl w:val="00000002"/>
    <w:lvl w:ilvl="0" w:tentative="0">
      <w:start w:val="3"/>
      <w:numFmt w:val="chineseCounting"/>
      <w:suff w:val="nothing"/>
      <w:lvlText w:val="%1、"/>
      <w:lvlJc w:val="left"/>
      <w:rPr>
        <w:rFonts w:hint="eastAsia"/>
      </w:rPr>
    </w:lvl>
  </w:abstractNum>
  <w:abstractNum w:abstractNumId="3">
    <w:nsid w:val="00B4900D"/>
    <w:multiLevelType w:val="singleLevel"/>
    <w:tmpl w:val="00B4900D"/>
    <w:lvl w:ilvl="0" w:tentative="0">
      <w:start w:val="4"/>
      <w:numFmt w:val="decimal"/>
      <w:lvlText w:val="%1."/>
      <w:lvlJc w:val="left"/>
      <w:pPr>
        <w:tabs>
          <w:tab w:val="left" w:pos="312"/>
        </w:tabs>
      </w:pPr>
    </w:lvl>
  </w:abstractNum>
  <w:abstractNum w:abstractNumId="4">
    <w:nsid w:val="09890BCC"/>
    <w:multiLevelType w:val="multilevel"/>
    <w:tmpl w:val="09890BCC"/>
    <w:lvl w:ilvl="0" w:tentative="0">
      <w:start w:val="1"/>
      <w:numFmt w:val="decimal"/>
      <w:pStyle w:val="73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D1DBF0C"/>
    <w:multiLevelType w:val="singleLevel"/>
    <w:tmpl w:val="0D1DBF0C"/>
    <w:lvl w:ilvl="0" w:tentative="0">
      <w:start w:val="1"/>
      <w:numFmt w:val="chineseCounting"/>
      <w:suff w:val="nothing"/>
      <w:lvlText w:val="%1、"/>
      <w:lvlJc w:val="left"/>
      <w:rPr>
        <w:rFonts w:hint="eastAsia"/>
      </w:rPr>
    </w:lvl>
  </w:abstractNum>
  <w:abstractNum w:abstractNumId="6">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6"/>
      <w:lvlText w:val=""/>
      <w:lvlJc w:val="left"/>
      <w:pPr>
        <w:tabs>
          <w:tab w:val="left" w:pos="3780"/>
        </w:tabs>
        <w:ind w:left="3780" w:hanging="420"/>
      </w:pPr>
      <w:rPr>
        <w:rFonts w:hint="default" w:ascii="Wingdings" w:hAnsi="Wingdings"/>
      </w:rPr>
    </w:lvl>
  </w:abstractNum>
  <w:abstractNum w:abstractNumId="7">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453"/>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F1468F9"/>
    <w:multiLevelType w:val="multilevel"/>
    <w:tmpl w:val="1F1468F9"/>
    <w:lvl w:ilvl="0" w:tentative="0">
      <w:start w:val="1"/>
      <w:numFmt w:val="japaneseCounting"/>
      <w:pStyle w:val="724"/>
      <w:lvlText w:val="%1、"/>
      <w:lvlJc w:val="left"/>
      <w:pPr>
        <w:tabs>
          <w:tab w:val="left" w:pos="1360"/>
        </w:tabs>
        <w:ind w:left="1360" w:hanging="720"/>
      </w:pPr>
      <w:rPr>
        <w:rFonts w:hint="default"/>
      </w:rPr>
    </w:lvl>
    <w:lvl w:ilvl="1" w:tentative="0">
      <w:start w:val="1"/>
      <w:numFmt w:val="lowerLetter"/>
      <w:pStyle w:val="667"/>
      <w:lvlText w:val="%2)"/>
      <w:lvlJc w:val="left"/>
      <w:pPr>
        <w:tabs>
          <w:tab w:val="left" w:pos="1480"/>
        </w:tabs>
        <w:ind w:left="1480" w:hanging="420"/>
      </w:pPr>
    </w:lvl>
    <w:lvl w:ilvl="2" w:tentative="0">
      <w:start w:val="1"/>
      <w:numFmt w:val="lowerRoman"/>
      <w:pStyle w:val="428"/>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9">
    <w:nsid w:val="26845082"/>
    <w:multiLevelType w:val="multilevel"/>
    <w:tmpl w:val="26845082"/>
    <w:lvl w:ilvl="0" w:tentative="0">
      <w:start w:val="1"/>
      <w:numFmt w:val="decimal"/>
      <w:pStyle w:val="784"/>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91B7A9"/>
    <w:multiLevelType w:val="singleLevel"/>
    <w:tmpl w:val="3A91B7A9"/>
    <w:lvl w:ilvl="0" w:tentative="0">
      <w:start w:val="1"/>
      <w:numFmt w:val="chineseCounting"/>
      <w:suff w:val="nothing"/>
      <w:lvlText w:val="%1、"/>
      <w:lvlJc w:val="left"/>
      <w:rPr>
        <w:rFonts w:hint="eastAsia"/>
      </w:rPr>
    </w:lvl>
  </w:abstractNum>
  <w:abstractNum w:abstractNumId="11">
    <w:nsid w:val="4EBAC1A3"/>
    <w:multiLevelType w:val="singleLevel"/>
    <w:tmpl w:val="4EBAC1A3"/>
    <w:lvl w:ilvl="0" w:tentative="0">
      <w:start w:val="23"/>
      <w:numFmt w:val="decimal"/>
      <w:suff w:val="nothing"/>
      <w:lvlText w:val="%1、"/>
      <w:lvlJc w:val="left"/>
    </w:lvl>
  </w:abstractNum>
  <w:abstractNum w:abstractNumId="12">
    <w:nsid w:val="56C76396"/>
    <w:multiLevelType w:val="multilevel"/>
    <w:tmpl w:val="56C76396"/>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19E3AEE"/>
    <w:multiLevelType w:val="multilevel"/>
    <w:tmpl w:val="619E3AEE"/>
    <w:lvl w:ilvl="0" w:tentative="0">
      <w:start w:val="1"/>
      <w:numFmt w:val="decimal"/>
      <w:lvlText w:val="%1、"/>
      <w:lvlJc w:val="left"/>
      <w:pPr>
        <w:ind w:left="57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44181AC"/>
    <w:multiLevelType w:val="singleLevel"/>
    <w:tmpl w:val="644181AC"/>
    <w:lvl w:ilvl="0" w:tentative="0">
      <w:start w:val="1"/>
      <w:numFmt w:val="decimal"/>
      <w:lvlText w:val="%1."/>
      <w:lvlJc w:val="left"/>
      <w:pPr>
        <w:tabs>
          <w:tab w:val="left" w:pos="312"/>
        </w:tabs>
      </w:pPr>
    </w:lvl>
  </w:abstractNum>
  <w:abstractNum w:abstractNumId="15">
    <w:nsid w:val="6A9A5F31"/>
    <w:multiLevelType w:val="multilevel"/>
    <w:tmpl w:val="6A9A5F31"/>
    <w:lvl w:ilvl="0" w:tentative="0">
      <w:start w:val="1"/>
      <w:numFmt w:val="decimal"/>
      <w:pStyle w:val="386"/>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361"/>
      <w:lvlText w:val="%9."/>
      <w:lvlJc w:val="right"/>
      <w:pPr>
        <w:tabs>
          <w:tab w:val="left" w:pos="4420"/>
        </w:tabs>
        <w:ind w:left="4420" w:hanging="420"/>
      </w:pPr>
    </w:lvl>
  </w:abstractNum>
  <w:abstractNum w:abstractNumId="16">
    <w:nsid w:val="6DA07666"/>
    <w:multiLevelType w:val="singleLevel"/>
    <w:tmpl w:val="6DA07666"/>
    <w:lvl w:ilvl="0" w:tentative="0">
      <w:start w:val="5"/>
      <w:numFmt w:val="decimal"/>
      <w:lvlText w:val="%1."/>
      <w:lvlJc w:val="left"/>
      <w:pPr>
        <w:tabs>
          <w:tab w:val="left" w:pos="312"/>
        </w:tabs>
      </w:pPr>
    </w:lvl>
  </w:abstractNum>
  <w:abstractNum w:abstractNumId="17">
    <w:nsid w:val="71390441"/>
    <w:multiLevelType w:val="multilevel"/>
    <w:tmpl w:val="71390441"/>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8">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9">
    <w:nsid w:val="7C35BCB6"/>
    <w:multiLevelType w:val="singleLevel"/>
    <w:tmpl w:val="7C35BCB6"/>
    <w:lvl w:ilvl="0" w:tentative="0">
      <w:start w:val="1"/>
      <w:numFmt w:val="decimal"/>
      <w:lvlText w:val="%1."/>
      <w:lvlJc w:val="left"/>
      <w:pPr>
        <w:tabs>
          <w:tab w:val="left" w:pos="312"/>
        </w:tabs>
      </w:pPr>
    </w:lvl>
  </w:abstractNum>
  <w:num w:numId="1">
    <w:abstractNumId w:val="4"/>
  </w:num>
  <w:num w:numId="2">
    <w:abstractNumId w:val="6"/>
  </w:num>
  <w:num w:numId="3">
    <w:abstractNumId w:val="1"/>
  </w:num>
  <w:num w:numId="4">
    <w:abstractNumId w:val="15"/>
  </w:num>
  <w:num w:numId="5">
    <w:abstractNumId w:val="8"/>
  </w:num>
  <w:num w:numId="6">
    <w:abstractNumId w:val="7"/>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num>
  <w:num w:numId="11">
    <w:abstractNumId w:val="13"/>
  </w:num>
  <w:num w:numId="12">
    <w:abstractNumId w:val="19"/>
  </w:num>
  <w:num w:numId="13">
    <w:abstractNumId w:val="14"/>
  </w:num>
  <w:num w:numId="14">
    <w:abstractNumId w:val="3"/>
  </w:num>
  <w:num w:numId="15">
    <w:abstractNumId w:val="0"/>
  </w:num>
  <w:num w:numId="16">
    <w:abstractNumId w:val="11"/>
  </w:num>
  <w:num w:numId="17">
    <w:abstractNumId w:val="10"/>
  </w:num>
  <w:num w:numId="18">
    <w:abstractNumId w:val="16"/>
  </w:num>
  <w:num w:numId="19">
    <w:abstractNumId w:val="5"/>
  </w:num>
  <w:num w:numId="2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YmMzZGI0NDhhZmEyMTU3Njg3YzQ5YWMzNzdhZTcifQ=="/>
  </w:docVars>
  <w:rsids>
    <w:rsidRoot w:val="00700082"/>
    <w:rsid w:val="00000E1E"/>
    <w:rsid w:val="0000200F"/>
    <w:rsid w:val="000035B3"/>
    <w:rsid w:val="000037C5"/>
    <w:rsid w:val="00003C25"/>
    <w:rsid w:val="00003FB6"/>
    <w:rsid w:val="00004978"/>
    <w:rsid w:val="00004EB4"/>
    <w:rsid w:val="00005301"/>
    <w:rsid w:val="00006519"/>
    <w:rsid w:val="00006947"/>
    <w:rsid w:val="00010291"/>
    <w:rsid w:val="0001072A"/>
    <w:rsid w:val="00010BE8"/>
    <w:rsid w:val="0001204A"/>
    <w:rsid w:val="000125AF"/>
    <w:rsid w:val="000146C7"/>
    <w:rsid w:val="000153FC"/>
    <w:rsid w:val="000164C3"/>
    <w:rsid w:val="00016914"/>
    <w:rsid w:val="0001789F"/>
    <w:rsid w:val="00020831"/>
    <w:rsid w:val="00020EDC"/>
    <w:rsid w:val="000212A9"/>
    <w:rsid w:val="00021A82"/>
    <w:rsid w:val="00021B03"/>
    <w:rsid w:val="00021E03"/>
    <w:rsid w:val="000237F8"/>
    <w:rsid w:val="00023F94"/>
    <w:rsid w:val="00025D7C"/>
    <w:rsid w:val="0002685D"/>
    <w:rsid w:val="00027C8F"/>
    <w:rsid w:val="000322D7"/>
    <w:rsid w:val="00032E31"/>
    <w:rsid w:val="000332DF"/>
    <w:rsid w:val="00036834"/>
    <w:rsid w:val="00036FAC"/>
    <w:rsid w:val="00037DAE"/>
    <w:rsid w:val="00040C0B"/>
    <w:rsid w:val="0004194E"/>
    <w:rsid w:val="00041E34"/>
    <w:rsid w:val="00042D17"/>
    <w:rsid w:val="00044F74"/>
    <w:rsid w:val="000454F2"/>
    <w:rsid w:val="00046743"/>
    <w:rsid w:val="00050E54"/>
    <w:rsid w:val="00050EEA"/>
    <w:rsid w:val="000514C5"/>
    <w:rsid w:val="0005155A"/>
    <w:rsid w:val="0005160E"/>
    <w:rsid w:val="000522EB"/>
    <w:rsid w:val="00053B46"/>
    <w:rsid w:val="0005442C"/>
    <w:rsid w:val="000554DC"/>
    <w:rsid w:val="00060839"/>
    <w:rsid w:val="000609D6"/>
    <w:rsid w:val="00063156"/>
    <w:rsid w:val="00066C19"/>
    <w:rsid w:val="00067993"/>
    <w:rsid w:val="00067B6A"/>
    <w:rsid w:val="00071E2F"/>
    <w:rsid w:val="000727A4"/>
    <w:rsid w:val="00074F83"/>
    <w:rsid w:val="00075053"/>
    <w:rsid w:val="00076484"/>
    <w:rsid w:val="000772BE"/>
    <w:rsid w:val="000778B4"/>
    <w:rsid w:val="000779CB"/>
    <w:rsid w:val="00077BC1"/>
    <w:rsid w:val="000800E2"/>
    <w:rsid w:val="0008043D"/>
    <w:rsid w:val="00080BD1"/>
    <w:rsid w:val="00080F2E"/>
    <w:rsid w:val="000810F8"/>
    <w:rsid w:val="00081674"/>
    <w:rsid w:val="000818C2"/>
    <w:rsid w:val="0008270F"/>
    <w:rsid w:val="00084006"/>
    <w:rsid w:val="0008421F"/>
    <w:rsid w:val="0008483C"/>
    <w:rsid w:val="00084DCB"/>
    <w:rsid w:val="00084E6E"/>
    <w:rsid w:val="000865EC"/>
    <w:rsid w:val="000868F1"/>
    <w:rsid w:val="00086CFD"/>
    <w:rsid w:val="00087655"/>
    <w:rsid w:val="000902BA"/>
    <w:rsid w:val="00091D2F"/>
    <w:rsid w:val="00092C2B"/>
    <w:rsid w:val="0009311E"/>
    <w:rsid w:val="00093BD4"/>
    <w:rsid w:val="000944FE"/>
    <w:rsid w:val="000947B8"/>
    <w:rsid w:val="000952B3"/>
    <w:rsid w:val="00097B80"/>
    <w:rsid w:val="000A02BB"/>
    <w:rsid w:val="000A0BEF"/>
    <w:rsid w:val="000A13B7"/>
    <w:rsid w:val="000A25BB"/>
    <w:rsid w:val="000A297A"/>
    <w:rsid w:val="000A359E"/>
    <w:rsid w:val="000A38B1"/>
    <w:rsid w:val="000A3B41"/>
    <w:rsid w:val="000A4D43"/>
    <w:rsid w:val="000A6200"/>
    <w:rsid w:val="000A65E7"/>
    <w:rsid w:val="000A72E4"/>
    <w:rsid w:val="000A7327"/>
    <w:rsid w:val="000A75F9"/>
    <w:rsid w:val="000B0307"/>
    <w:rsid w:val="000B0776"/>
    <w:rsid w:val="000B133C"/>
    <w:rsid w:val="000B17A4"/>
    <w:rsid w:val="000B1E80"/>
    <w:rsid w:val="000B26AB"/>
    <w:rsid w:val="000B2E3A"/>
    <w:rsid w:val="000B5168"/>
    <w:rsid w:val="000B53E8"/>
    <w:rsid w:val="000B561D"/>
    <w:rsid w:val="000B639A"/>
    <w:rsid w:val="000B6461"/>
    <w:rsid w:val="000B6D01"/>
    <w:rsid w:val="000C010D"/>
    <w:rsid w:val="000C0180"/>
    <w:rsid w:val="000C01ED"/>
    <w:rsid w:val="000C0508"/>
    <w:rsid w:val="000C072E"/>
    <w:rsid w:val="000C0B78"/>
    <w:rsid w:val="000C410B"/>
    <w:rsid w:val="000C5584"/>
    <w:rsid w:val="000C5667"/>
    <w:rsid w:val="000C6745"/>
    <w:rsid w:val="000D129C"/>
    <w:rsid w:val="000D1E19"/>
    <w:rsid w:val="000D2825"/>
    <w:rsid w:val="000D2881"/>
    <w:rsid w:val="000D6E8A"/>
    <w:rsid w:val="000E0AC2"/>
    <w:rsid w:val="000E1746"/>
    <w:rsid w:val="000E288D"/>
    <w:rsid w:val="000E3064"/>
    <w:rsid w:val="000E395F"/>
    <w:rsid w:val="000E6D2E"/>
    <w:rsid w:val="000F065B"/>
    <w:rsid w:val="000F0EB3"/>
    <w:rsid w:val="000F133C"/>
    <w:rsid w:val="000F19E1"/>
    <w:rsid w:val="000F386F"/>
    <w:rsid w:val="000F4276"/>
    <w:rsid w:val="000F4284"/>
    <w:rsid w:val="000F5C73"/>
    <w:rsid w:val="000F6546"/>
    <w:rsid w:val="000F66EF"/>
    <w:rsid w:val="0010007E"/>
    <w:rsid w:val="001013DC"/>
    <w:rsid w:val="00102664"/>
    <w:rsid w:val="00104445"/>
    <w:rsid w:val="0010515B"/>
    <w:rsid w:val="00106695"/>
    <w:rsid w:val="001066F7"/>
    <w:rsid w:val="00106F39"/>
    <w:rsid w:val="0010760C"/>
    <w:rsid w:val="00110F5D"/>
    <w:rsid w:val="0011192F"/>
    <w:rsid w:val="00111A49"/>
    <w:rsid w:val="00112059"/>
    <w:rsid w:val="00112AA9"/>
    <w:rsid w:val="001141FD"/>
    <w:rsid w:val="00114436"/>
    <w:rsid w:val="0011447B"/>
    <w:rsid w:val="00114743"/>
    <w:rsid w:val="0011617F"/>
    <w:rsid w:val="00116A93"/>
    <w:rsid w:val="001173CE"/>
    <w:rsid w:val="00120E99"/>
    <w:rsid w:val="00121A32"/>
    <w:rsid w:val="001220ED"/>
    <w:rsid w:val="00122ABB"/>
    <w:rsid w:val="001247B3"/>
    <w:rsid w:val="00124B7B"/>
    <w:rsid w:val="00124DA3"/>
    <w:rsid w:val="001254FF"/>
    <w:rsid w:val="00126219"/>
    <w:rsid w:val="0012791D"/>
    <w:rsid w:val="001279D8"/>
    <w:rsid w:val="001306D1"/>
    <w:rsid w:val="00131ADC"/>
    <w:rsid w:val="001362D0"/>
    <w:rsid w:val="001371AB"/>
    <w:rsid w:val="001403C7"/>
    <w:rsid w:val="001414E5"/>
    <w:rsid w:val="001428C2"/>
    <w:rsid w:val="00143C2B"/>
    <w:rsid w:val="00143F7F"/>
    <w:rsid w:val="00147123"/>
    <w:rsid w:val="001478A4"/>
    <w:rsid w:val="001526AF"/>
    <w:rsid w:val="0015299E"/>
    <w:rsid w:val="0015412A"/>
    <w:rsid w:val="00154A43"/>
    <w:rsid w:val="00154C4F"/>
    <w:rsid w:val="0015512D"/>
    <w:rsid w:val="00155422"/>
    <w:rsid w:val="00155F29"/>
    <w:rsid w:val="001566FC"/>
    <w:rsid w:val="00156990"/>
    <w:rsid w:val="00156C72"/>
    <w:rsid w:val="001577EE"/>
    <w:rsid w:val="0015787B"/>
    <w:rsid w:val="00160AB5"/>
    <w:rsid w:val="00160BDC"/>
    <w:rsid w:val="0016144E"/>
    <w:rsid w:val="001627C5"/>
    <w:rsid w:val="00162802"/>
    <w:rsid w:val="00162D7C"/>
    <w:rsid w:val="00163408"/>
    <w:rsid w:val="00164789"/>
    <w:rsid w:val="0016602C"/>
    <w:rsid w:val="00166840"/>
    <w:rsid w:val="00166B0D"/>
    <w:rsid w:val="00166D9B"/>
    <w:rsid w:val="00167E36"/>
    <w:rsid w:val="00170377"/>
    <w:rsid w:val="0017175C"/>
    <w:rsid w:val="00171D69"/>
    <w:rsid w:val="001727C9"/>
    <w:rsid w:val="0017287F"/>
    <w:rsid w:val="0017472C"/>
    <w:rsid w:val="001757E1"/>
    <w:rsid w:val="0017635B"/>
    <w:rsid w:val="00176422"/>
    <w:rsid w:val="00176494"/>
    <w:rsid w:val="00177CBE"/>
    <w:rsid w:val="00180402"/>
    <w:rsid w:val="0018245F"/>
    <w:rsid w:val="0018534A"/>
    <w:rsid w:val="00190658"/>
    <w:rsid w:val="0019164B"/>
    <w:rsid w:val="00196C88"/>
    <w:rsid w:val="00196E8F"/>
    <w:rsid w:val="001971E8"/>
    <w:rsid w:val="001A1C50"/>
    <w:rsid w:val="001A2954"/>
    <w:rsid w:val="001A3014"/>
    <w:rsid w:val="001A4060"/>
    <w:rsid w:val="001A4E59"/>
    <w:rsid w:val="001A4FEF"/>
    <w:rsid w:val="001A5634"/>
    <w:rsid w:val="001A575F"/>
    <w:rsid w:val="001A678B"/>
    <w:rsid w:val="001A6F56"/>
    <w:rsid w:val="001A7C82"/>
    <w:rsid w:val="001B1545"/>
    <w:rsid w:val="001B1790"/>
    <w:rsid w:val="001B2880"/>
    <w:rsid w:val="001B3DF5"/>
    <w:rsid w:val="001B60FD"/>
    <w:rsid w:val="001C0ACB"/>
    <w:rsid w:val="001C14B0"/>
    <w:rsid w:val="001C1B8F"/>
    <w:rsid w:val="001C4A6B"/>
    <w:rsid w:val="001C5E3D"/>
    <w:rsid w:val="001C6352"/>
    <w:rsid w:val="001C72D6"/>
    <w:rsid w:val="001D0DF8"/>
    <w:rsid w:val="001D1800"/>
    <w:rsid w:val="001D2F61"/>
    <w:rsid w:val="001D318B"/>
    <w:rsid w:val="001D364D"/>
    <w:rsid w:val="001D39A4"/>
    <w:rsid w:val="001D3E0C"/>
    <w:rsid w:val="001D4315"/>
    <w:rsid w:val="001D480F"/>
    <w:rsid w:val="001D5157"/>
    <w:rsid w:val="001D6072"/>
    <w:rsid w:val="001D6C42"/>
    <w:rsid w:val="001D6E34"/>
    <w:rsid w:val="001D6F88"/>
    <w:rsid w:val="001D701A"/>
    <w:rsid w:val="001E028C"/>
    <w:rsid w:val="001E03F8"/>
    <w:rsid w:val="001E1868"/>
    <w:rsid w:val="001E3A0B"/>
    <w:rsid w:val="001E3D61"/>
    <w:rsid w:val="001E3FB2"/>
    <w:rsid w:val="001E5082"/>
    <w:rsid w:val="001E70CE"/>
    <w:rsid w:val="001E7CE6"/>
    <w:rsid w:val="001F11A0"/>
    <w:rsid w:val="001F1561"/>
    <w:rsid w:val="001F1566"/>
    <w:rsid w:val="001F278E"/>
    <w:rsid w:val="001F2F20"/>
    <w:rsid w:val="001F5CB8"/>
    <w:rsid w:val="001F6426"/>
    <w:rsid w:val="001F6FE0"/>
    <w:rsid w:val="001F70FE"/>
    <w:rsid w:val="001F7AC5"/>
    <w:rsid w:val="00200CE8"/>
    <w:rsid w:val="00200DB7"/>
    <w:rsid w:val="00202C6F"/>
    <w:rsid w:val="00203020"/>
    <w:rsid w:val="00203CB0"/>
    <w:rsid w:val="002041AA"/>
    <w:rsid w:val="002050F1"/>
    <w:rsid w:val="00206AEE"/>
    <w:rsid w:val="00212AF4"/>
    <w:rsid w:val="00212D3F"/>
    <w:rsid w:val="00213069"/>
    <w:rsid w:val="00213DBF"/>
    <w:rsid w:val="00214AA5"/>
    <w:rsid w:val="00215AAA"/>
    <w:rsid w:val="00215F85"/>
    <w:rsid w:val="00216AAF"/>
    <w:rsid w:val="00216BEF"/>
    <w:rsid w:val="00216E16"/>
    <w:rsid w:val="002205E7"/>
    <w:rsid w:val="002205F3"/>
    <w:rsid w:val="0022150D"/>
    <w:rsid w:val="00223FEF"/>
    <w:rsid w:val="0022545B"/>
    <w:rsid w:val="002258B3"/>
    <w:rsid w:val="002305AF"/>
    <w:rsid w:val="00230F72"/>
    <w:rsid w:val="002310E6"/>
    <w:rsid w:val="002329CC"/>
    <w:rsid w:val="002331C1"/>
    <w:rsid w:val="0023477F"/>
    <w:rsid w:val="00235DF2"/>
    <w:rsid w:val="00236520"/>
    <w:rsid w:val="00237D29"/>
    <w:rsid w:val="00240029"/>
    <w:rsid w:val="0024249F"/>
    <w:rsid w:val="0024285F"/>
    <w:rsid w:val="00243166"/>
    <w:rsid w:val="00243E89"/>
    <w:rsid w:val="002444D2"/>
    <w:rsid w:val="00244B55"/>
    <w:rsid w:val="002469EF"/>
    <w:rsid w:val="00247542"/>
    <w:rsid w:val="002524EE"/>
    <w:rsid w:val="002539EA"/>
    <w:rsid w:val="002546E6"/>
    <w:rsid w:val="00255493"/>
    <w:rsid w:val="00261412"/>
    <w:rsid w:val="002637EB"/>
    <w:rsid w:val="00263C86"/>
    <w:rsid w:val="002642EF"/>
    <w:rsid w:val="002652D7"/>
    <w:rsid w:val="00265DFE"/>
    <w:rsid w:val="002663FD"/>
    <w:rsid w:val="00267054"/>
    <w:rsid w:val="00267F98"/>
    <w:rsid w:val="0027142C"/>
    <w:rsid w:val="0027368F"/>
    <w:rsid w:val="00273EBF"/>
    <w:rsid w:val="00275B83"/>
    <w:rsid w:val="0027602D"/>
    <w:rsid w:val="00277D57"/>
    <w:rsid w:val="00280891"/>
    <w:rsid w:val="0028153B"/>
    <w:rsid w:val="0028499E"/>
    <w:rsid w:val="00285E7B"/>
    <w:rsid w:val="00287929"/>
    <w:rsid w:val="00287CFC"/>
    <w:rsid w:val="002902A0"/>
    <w:rsid w:val="002908E7"/>
    <w:rsid w:val="00290BB0"/>
    <w:rsid w:val="00291364"/>
    <w:rsid w:val="00291612"/>
    <w:rsid w:val="00296276"/>
    <w:rsid w:val="002A043C"/>
    <w:rsid w:val="002A05EC"/>
    <w:rsid w:val="002A183C"/>
    <w:rsid w:val="002A19C6"/>
    <w:rsid w:val="002A2755"/>
    <w:rsid w:val="002A3613"/>
    <w:rsid w:val="002A4A73"/>
    <w:rsid w:val="002A61A6"/>
    <w:rsid w:val="002A72AD"/>
    <w:rsid w:val="002A7EA7"/>
    <w:rsid w:val="002B0CD0"/>
    <w:rsid w:val="002B0E79"/>
    <w:rsid w:val="002B1FC6"/>
    <w:rsid w:val="002B24BF"/>
    <w:rsid w:val="002B352F"/>
    <w:rsid w:val="002B4A3B"/>
    <w:rsid w:val="002B4B27"/>
    <w:rsid w:val="002B4FB8"/>
    <w:rsid w:val="002B63A4"/>
    <w:rsid w:val="002B6F69"/>
    <w:rsid w:val="002C03CD"/>
    <w:rsid w:val="002C079B"/>
    <w:rsid w:val="002C1691"/>
    <w:rsid w:val="002C20EC"/>
    <w:rsid w:val="002C5952"/>
    <w:rsid w:val="002C63B2"/>
    <w:rsid w:val="002D0CCC"/>
    <w:rsid w:val="002D10CF"/>
    <w:rsid w:val="002D16A7"/>
    <w:rsid w:val="002D2539"/>
    <w:rsid w:val="002D2854"/>
    <w:rsid w:val="002D3700"/>
    <w:rsid w:val="002D3A28"/>
    <w:rsid w:val="002D3FBB"/>
    <w:rsid w:val="002D5E65"/>
    <w:rsid w:val="002D5FAA"/>
    <w:rsid w:val="002D62DD"/>
    <w:rsid w:val="002D76E3"/>
    <w:rsid w:val="002E10BF"/>
    <w:rsid w:val="002E261F"/>
    <w:rsid w:val="002E29D5"/>
    <w:rsid w:val="002E3C1F"/>
    <w:rsid w:val="002E4495"/>
    <w:rsid w:val="002E52C0"/>
    <w:rsid w:val="002E5A61"/>
    <w:rsid w:val="002E5AF8"/>
    <w:rsid w:val="002E6E87"/>
    <w:rsid w:val="002E7BA7"/>
    <w:rsid w:val="002F0ADC"/>
    <w:rsid w:val="002F0BA3"/>
    <w:rsid w:val="002F1AC5"/>
    <w:rsid w:val="002F2D70"/>
    <w:rsid w:val="002F368F"/>
    <w:rsid w:val="002F5A2D"/>
    <w:rsid w:val="002F5AEF"/>
    <w:rsid w:val="002F5B12"/>
    <w:rsid w:val="002F60BB"/>
    <w:rsid w:val="002F688D"/>
    <w:rsid w:val="002F7511"/>
    <w:rsid w:val="00300137"/>
    <w:rsid w:val="00300F09"/>
    <w:rsid w:val="0030202D"/>
    <w:rsid w:val="0030230B"/>
    <w:rsid w:val="0030266D"/>
    <w:rsid w:val="0030315F"/>
    <w:rsid w:val="00303E7F"/>
    <w:rsid w:val="00304653"/>
    <w:rsid w:val="00304AAF"/>
    <w:rsid w:val="003056CB"/>
    <w:rsid w:val="00306742"/>
    <w:rsid w:val="00311E45"/>
    <w:rsid w:val="00311EB0"/>
    <w:rsid w:val="00313A31"/>
    <w:rsid w:val="00313E63"/>
    <w:rsid w:val="00314F91"/>
    <w:rsid w:val="003155B0"/>
    <w:rsid w:val="00315C1E"/>
    <w:rsid w:val="00316BDC"/>
    <w:rsid w:val="003211AE"/>
    <w:rsid w:val="00324EB2"/>
    <w:rsid w:val="00325E9E"/>
    <w:rsid w:val="00326592"/>
    <w:rsid w:val="00327C0D"/>
    <w:rsid w:val="00330911"/>
    <w:rsid w:val="00330D5B"/>
    <w:rsid w:val="003316A5"/>
    <w:rsid w:val="00332773"/>
    <w:rsid w:val="003334BB"/>
    <w:rsid w:val="003357FB"/>
    <w:rsid w:val="00335AB5"/>
    <w:rsid w:val="00335FAC"/>
    <w:rsid w:val="00337D89"/>
    <w:rsid w:val="00341A5A"/>
    <w:rsid w:val="00342020"/>
    <w:rsid w:val="00344195"/>
    <w:rsid w:val="0034450E"/>
    <w:rsid w:val="00344956"/>
    <w:rsid w:val="00345DB7"/>
    <w:rsid w:val="003477E6"/>
    <w:rsid w:val="00347BE0"/>
    <w:rsid w:val="00350EED"/>
    <w:rsid w:val="00350F5F"/>
    <w:rsid w:val="003515E5"/>
    <w:rsid w:val="00351C82"/>
    <w:rsid w:val="003525BB"/>
    <w:rsid w:val="00354716"/>
    <w:rsid w:val="00356BA2"/>
    <w:rsid w:val="003572A9"/>
    <w:rsid w:val="0036009B"/>
    <w:rsid w:val="00360849"/>
    <w:rsid w:val="0036462B"/>
    <w:rsid w:val="003649CD"/>
    <w:rsid w:val="00365196"/>
    <w:rsid w:val="00365CDE"/>
    <w:rsid w:val="00366149"/>
    <w:rsid w:val="00366BEE"/>
    <w:rsid w:val="00370CC3"/>
    <w:rsid w:val="0037145C"/>
    <w:rsid w:val="0037179C"/>
    <w:rsid w:val="003727BB"/>
    <w:rsid w:val="003730A3"/>
    <w:rsid w:val="0037320A"/>
    <w:rsid w:val="0037325C"/>
    <w:rsid w:val="00373995"/>
    <w:rsid w:val="0037466F"/>
    <w:rsid w:val="0037626F"/>
    <w:rsid w:val="00376CFC"/>
    <w:rsid w:val="00377205"/>
    <w:rsid w:val="0038101C"/>
    <w:rsid w:val="00382516"/>
    <w:rsid w:val="00384DFC"/>
    <w:rsid w:val="0038523B"/>
    <w:rsid w:val="00385AD9"/>
    <w:rsid w:val="003864E4"/>
    <w:rsid w:val="00387835"/>
    <w:rsid w:val="00387CA3"/>
    <w:rsid w:val="0039027D"/>
    <w:rsid w:val="003907E7"/>
    <w:rsid w:val="0039236A"/>
    <w:rsid w:val="0039344E"/>
    <w:rsid w:val="00394665"/>
    <w:rsid w:val="00396B31"/>
    <w:rsid w:val="00396C75"/>
    <w:rsid w:val="003A2275"/>
    <w:rsid w:val="003A34BD"/>
    <w:rsid w:val="003A3786"/>
    <w:rsid w:val="003A477F"/>
    <w:rsid w:val="003A534F"/>
    <w:rsid w:val="003A5361"/>
    <w:rsid w:val="003A5AE9"/>
    <w:rsid w:val="003A675B"/>
    <w:rsid w:val="003A6A9C"/>
    <w:rsid w:val="003A7F74"/>
    <w:rsid w:val="003B16CC"/>
    <w:rsid w:val="003B18A4"/>
    <w:rsid w:val="003B1C2E"/>
    <w:rsid w:val="003B1DD5"/>
    <w:rsid w:val="003B283E"/>
    <w:rsid w:val="003B40CA"/>
    <w:rsid w:val="003B4C61"/>
    <w:rsid w:val="003B7B8D"/>
    <w:rsid w:val="003C090B"/>
    <w:rsid w:val="003C1035"/>
    <w:rsid w:val="003C1E44"/>
    <w:rsid w:val="003C1F59"/>
    <w:rsid w:val="003C1FBF"/>
    <w:rsid w:val="003C257E"/>
    <w:rsid w:val="003C2B77"/>
    <w:rsid w:val="003C31A6"/>
    <w:rsid w:val="003C33CC"/>
    <w:rsid w:val="003C42CE"/>
    <w:rsid w:val="003C4390"/>
    <w:rsid w:val="003C4501"/>
    <w:rsid w:val="003C58A2"/>
    <w:rsid w:val="003C687B"/>
    <w:rsid w:val="003C6B15"/>
    <w:rsid w:val="003C6D5E"/>
    <w:rsid w:val="003C7265"/>
    <w:rsid w:val="003D0A08"/>
    <w:rsid w:val="003D13BB"/>
    <w:rsid w:val="003D2EE2"/>
    <w:rsid w:val="003D33B4"/>
    <w:rsid w:val="003D3CFA"/>
    <w:rsid w:val="003D4011"/>
    <w:rsid w:val="003D416B"/>
    <w:rsid w:val="003D48FC"/>
    <w:rsid w:val="003D4CA3"/>
    <w:rsid w:val="003D53FC"/>
    <w:rsid w:val="003D574C"/>
    <w:rsid w:val="003D711F"/>
    <w:rsid w:val="003D733E"/>
    <w:rsid w:val="003E0003"/>
    <w:rsid w:val="003E16AE"/>
    <w:rsid w:val="003E1913"/>
    <w:rsid w:val="003E27A8"/>
    <w:rsid w:val="003E3134"/>
    <w:rsid w:val="003E39AA"/>
    <w:rsid w:val="003E4FB0"/>
    <w:rsid w:val="003E5B7D"/>
    <w:rsid w:val="003F0629"/>
    <w:rsid w:val="003F0D7A"/>
    <w:rsid w:val="003F2ABC"/>
    <w:rsid w:val="003F3346"/>
    <w:rsid w:val="003F3518"/>
    <w:rsid w:val="003F3811"/>
    <w:rsid w:val="003F3E66"/>
    <w:rsid w:val="003F53A7"/>
    <w:rsid w:val="003F543C"/>
    <w:rsid w:val="003F62DA"/>
    <w:rsid w:val="003F6995"/>
    <w:rsid w:val="003F6A66"/>
    <w:rsid w:val="004004E6"/>
    <w:rsid w:val="0040062E"/>
    <w:rsid w:val="00400A25"/>
    <w:rsid w:val="004018AF"/>
    <w:rsid w:val="00402EEF"/>
    <w:rsid w:val="00404502"/>
    <w:rsid w:val="004046AA"/>
    <w:rsid w:val="00404AE8"/>
    <w:rsid w:val="00405575"/>
    <w:rsid w:val="004059DA"/>
    <w:rsid w:val="004071D4"/>
    <w:rsid w:val="004137F0"/>
    <w:rsid w:val="004139B6"/>
    <w:rsid w:val="00413CA5"/>
    <w:rsid w:val="00413DA9"/>
    <w:rsid w:val="00415185"/>
    <w:rsid w:val="004164B0"/>
    <w:rsid w:val="0041734C"/>
    <w:rsid w:val="00417529"/>
    <w:rsid w:val="0041793C"/>
    <w:rsid w:val="00420F2A"/>
    <w:rsid w:val="00422ED4"/>
    <w:rsid w:val="00422F26"/>
    <w:rsid w:val="004243D2"/>
    <w:rsid w:val="00424922"/>
    <w:rsid w:val="0042546E"/>
    <w:rsid w:val="0042578D"/>
    <w:rsid w:val="00425E0F"/>
    <w:rsid w:val="00427480"/>
    <w:rsid w:val="0042751D"/>
    <w:rsid w:val="0043013B"/>
    <w:rsid w:val="0043032E"/>
    <w:rsid w:val="00430457"/>
    <w:rsid w:val="0043088A"/>
    <w:rsid w:val="00435E52"/>
    <w:rsid w:val="00436DFF"/>
    <w:rsid w:val="00441557"/>
    <w:rsid w:val="00443AF9"/>
    <w:rsid w:val="004447B9"/>
    <w:rsid w:val="00444807"/>
    <w:rsid w:val="00444A46"/>
    <w:rsid w:val="0044581B"/>
    <w:rsid w:val="00446247"/>
    <w:rsid w:val="00446F0A"/>
    <w:rsid w:val="004531B8"/>
    <w:rsid w:val="00453CBE"/>
    <w:rsid w:val="00453DB2"/>
    <w:rsid w:val="00454C95"/>
    <w:rsid w:val="00455C0F"/>
    <w:rsid w:val="004565B9"/>
    <w:rsid w:val="004572DB"/>
    <w:rsid w:val="0046071D"/>
    <w:rsid w:val="00462C5D"/>
    <w:rsid w:val="00462F2B"/>
    <w:rsid w:val="00463479"/>
    <w:rsid w:val="004644EB"/>
    <w:rsid w:val="00464608"/>
    <w:rsid w:val="004647E2"/>
    <w:rsid w:val="004661CF"/>
    <w:rsid w:val="00467AD4"/>
    <w:rsid w:val="00470B48"/>
    <w:rsid w:val="00471671"/>
    <w:rsid w:val="004724E0"/>
    <w:rsid w:val="00472CC6"/>
    <w:rsid w:val="004743E1"/>
    <w:rsid w:val="00474D90"/>
    <w:rsid w:val="00474FC8"/>
    <w:rsid w:val="0047522E"/>
    <w:rsid w:val="00475426"/>
    <w:rsid w:val="00475A40"/>
    <w:rsid w:val="00475F87"/>
    <w:rsid w:val="004769C1"/>
    <w:rsid w:val="00477742"/>
    <w:rsid w:val="00477A11"/>
    <w:rsid w:val="00480297"/>
    <w:rsid w:val="004803C4"/>
    <w:rsid w:val="00482EF5"/>
    <w:rsid w:val="00483866"/>
    <w:rsid w:val="004845CD"/>
    <w:rsid w:val="00484897"/>
    <w:rsid w:val="00485195"/>
    <w:rsid w:val="00486066"/>
    <w:rsid w:val="004874BF"/>
    <w:rsid w:val="00487D33"/>
    <w:rsid w:val="00491393"/>
    <w:rsid w:val="00491722"/>
    <w:rsid w:val="004924D7"/>
    <w:rsid w:val="00492CA8"/>
    <w:rsid w:val="00493B78"/>
    <w:rsid w:val="0049416B"/>
    <w:rsid w:val="00496544"/>
    <w:rsid w:val="0049690C"/>
    <w:rsid w:val="00496A72"/>
    <w:rsid w:val="00496AD4"/>
    <w:rsid w:val="0049783A"/>
    <w:rsid w:val="004A01DB"/>
    <w:rsid w:val="004A3006"/>
    <w:rsid w:val="004A34C0"/>
    <w:rsid w:val="004A61A8"/>
    <w:rsid w:val="004A6326"/>
    <w:rsid w:val="004A6396"/>
    <w:rsid w:val="004B2291"/>
    <w:rsid w:val="004B2A6A"/>
    <w:rsid w:val="004B403E"/>
    <w:rsid w:val="004B4F5C"/>
    <w:rsid w:val="004B6852"/>
    <w:rsid w:val="004C1391"/>
    <w:rsid w:val="004C1FE5"/>
    <w:rsid w:val="004C3C6E"/>
    <w:rsid w:val="004C3E5B"/>
    <w:rsid w:val="004C4A4C"/>
    <w:rsid w:val="004C4B8A"/>
    <w:rsid w:val="004C71B5"/>
    <w:rsid w:val="004C73FD"/>
    <w:rsid w:val="004C7777"/>
    <w:rsid w:val="004C798E"/>
    <w:rsid w:val="004D0140"/>
    <w:rsid w:val="004D04E2"/>
    <w:rsid w:val="004D18E1"/>
    <w:rsid w:val="004D2E25"/>
    <w:rsid w:val="004D32DA"/>
    <w:rsid w:val="004D3580"/>
    <w:rsid w:val="004D5FCA"/>
    <w:rsid w:val="004D6906"/>
    <w:rsid w:val="004D731C"/>
    <w:rsid w:val="004E03EC"/>
    <w:rsid w:val="004E2913"/>
    <w:rsid w:val="004E2C48"/>
    <w:rsid w:val="004E449C"/>
    <w:rsid w:val="004E48A7"/>
    <w:rsid w:val="004E5049"/>
    <w:rsid w:val="004E60A2"/>
    <w:rsid w:val="004E72C6"/>
    <w:rsid w:val="004F017B"/>
    <w:rsid w:val="004F08AA"/>
    <w:rsid w:val="004F0B48"/>
    <w:rsid w:val="004F0E6F"/>
    <w:rsid w:val="004F2DE7"/>
    <w:rsid w:val="004F3243"/>
    <w:rsid w:val="004F36ED"/>
    <w:rsid w:val="004F4940"/>
    <w:rsid w:val="004F6EB7"/>
    <w:rsid w:val="004F7772"/>
    <w:rsid w:val="00500276"/>
    <w:rsid w:val="00500D37"/>
    <w:rsid w:val="00503B89"/>
    <w:rsid w:val="005041C8"/>
    <w:rsid w:val="005041D5"/>
    <w:rsid w:val="00505E1B"/>
    <w:rsid w:val="00506D44"/>
    <w:rsid w:val="00510834"/>
    <w:rsid w:val="00510A15"/>
    <w:rsid w:val="00510A38"/>
    <w:rsid w:val="00511076"/>
    <w:rsid w:val="00513230"/>
    <w:rsid w:val="0051335C"/>
    <w:rsid w:val="005146B5"/>
    <w:rsid w:val="00514DC6"/>
    <w:rsid w:val="00521A3F"/>
    <w:rsid w:val="00522641"/>
    <w:rsid w:val="00522A2E"/>
    <w:rsid w:val="00523E48"/>
    <w:rsid w:val="00524318"/>
    <w:rsid w:val="00525805"/>
    <w:rsid w:val="00525EEA"/>
    <w:rsid w:val="00526348"/>
    <w:rsid w:val="005267C1"/>
    <w:rsid w:val="0053103E"/>
    <w:rsid w:val="0053151F"/>
    <w:rsid w:val="00531ED3"/>
    <w:rsid w:val="00532D1C"/>
    <w:rsid w:val="00534344"/>
    <w:rsid w:val="00534DB3"/>
    <w:rsid w:val="00535250"/>
    <w:rsid w:val="0053550C"/>
    <w:rsid w:val="00535A93"/>
    <w:rsid w:val="00536B89"/>
    <w:rsid w:val="00537649"/>
    <w:rsid w:val="00540531"/>
    <w:rsid w:val="00541157"/>
    <w:rsid w:val="0054126B"/>
    <w:rsid w:val="005426DC"/>
    <w:rsid w:val="005438EA"/>
    <w:rsid w:val="00543E5E"/>
    <w:rsid w:val="0054557E"/>
    <w:rsid w:val="00545FE1"/>
    <w:rsid w:val="005466F8"/>
    <w:rsid w:val="00546DC3"/>
    <w:rsid w:val="005475FA"/>
    <w:rsid w:val="005513C9"/>
    <w:rsid w:val="00553032"/>
    <w:rsid w:val="005532E4"/>
    <w:rsid w:val="00553C2E"/>
    <w:rsid w:val="005557E6"/>
    <w:rsid w:val="00556B2A"/>
    <w:rsid w:val="00556FE0"/>
    <w:rsid w:val="0055725B"/>
    <w:rsid w:val="00557A8D"/>
    <w:rsid w:val="00560E29"/>
    <w:rsid w:val="005624EF"/>
    <w:rsid w:val="00562A5C"/>
    <w:rsid w:val="00562B4C"/>
    <w:rsid w:val="005641C1"/>
    <w:rsid w:val="00565239"/>
    <w:rsid w:val="0056543F"/>
    <w:rsid w:val="00565CC0"/>
    <w:rsid w:val="00565F6A"/>
    <w:rsid w:val="00567D1D"/>
    <w:rsid w:val="0057079F"/>
    <w:rsid w:val="00570AE4"/>
    <w:rsid w:val="00570E59"/>
    <w:rsid w:val="00570EC6"/>
    <w:rsid w:val="00571622"/>
    <w:rsid w:val="005734AF"/>
    <w:rsid w:val="00573B4C"/>
    <w:rsid w:val="00573CF4"/>
    <w:rsid w:val="00573F34"/>
    <w:rsid w:val="00574790"/>
    <w:rsid w:val="00575005"/>
    <w:rsid w:val="00576C35"/>
    <w:rsid w:val="00580415"/>
    <w:rsid w:val="00580AA7"/>
    <w:rsid w:val="00582174"/>
    <w:rsid w:val="00583C2C"/>
    <w:rsid w:val="00583E9C"/>
    <w:rsid w:val="005840F8"/>
    <w:rsid w:val="00585953"/>
    <w:rsid w:val="00585D40"/>
    <w:rsid w:val="00587FC1"/>
    <w:rsid w:val="00590A45"/>
    <w:rsid w:val="00594335"/>
    <w:rsid w:val="005954DD"/>
    <w:rsid w:val="005970C5"/>
    <w:rsid w:val="005977B3"/>
    <w:rsid w:val="005A04B3"/>
    <w:rsid w:val="005A1742"/>
    <w:rsid w:val="005A3998"/>
    <w:rsid w:val="005A4B0A"/>
    <w:rsid w:val="005A4E12"/>
    <w:rsid w:val="005A56AE"/>
    <w:rsid w:val="005A6B19"/>
    <w:rsid w:val="005A793A"/>
    <w:rsid w:val="005B0F9C"/>
    <w:rsid w:val="005B1012"/>
    <w:rsid w:val="005B147B"/>
    <w:rsid w:val="005B1B2F"/>
    <w:rsid w:val="005B2610"/>
    <w:rsid w:val="005B2D35"/>
    <w:rsid w:val="005B2EA6"/>
    <w:rsid w:val="005B3BB6"/>
    <w:rsid w:val="005B470B"/>
    <w:rsid w:val="005B4C60"/>
    <w:rsid w:val="005B51E1"/>
    <w:rsid w:val="005B5C86"/>
    <w:rsid w:val="005B724D"/>
    <w:rsid w:val="005B78E8"/>
    <w:rsid w:val="005B7D57"/>
    <w:rsid w:val="005C0733"/>
    <w:rsid w:val="005C0BDF"/>
    <w:rsid w:val="005C1272"/>
    <w:rsid w:val="005C23B4"/>
    <w:rsid w:val="005C3892"/>
    <w:rsid w:val="005C3C3A"/>
    <w:rsid w:val="005C454B"/>
    <w:rsid w:val="005C526F"/>
    <w:rsid w:val="005C57D0"/>
    <w:rsid w:val="005C6AA2"/>
    <w:rsid w:val="005C709F"/>
    <w:rsid w:val="005C7C28"/>
    <w:rsid w:val="005C7E8A"/>
    <w:rsid w:val="005D1872"/>
    <w:rsid w:val="005D41BA"/>
    <w:rsid w:val="005D4616"/>
    <w:rsid w:val="005D4F61"/>
    <w:rsid w:val="005D5C1E"/>
    <w:rsid w:val="005D64A0"/>
    <w:rsid w:val="005D6C51"/>
    <w:rsid w:val="005D6ED8"/>
    <w:rsid w:val="005D73A9"/>
    <w:rsid w:val="005D7A1F"/>
    <w:rsid w:val="005D7AD4"/>
    <w:rsid w:val="005E1890"/>
    <w:rsid w:val="005E18EA"/>
    <w:rsid w:val="005E1A6E"/>
    <w:rsid w:val="005E3506"/>
    <w:rsid w:val="005E3AC0"/>
    <w:rsid w:val="005E6B4A"/>
    <w:rsid w:val="005E766F"/>
    <w:rsid w:val="005F01CB"/>
    <w:rsid w:val="005F0442"/>
    <w:rsid w:val="005F0D77"/>
    <w:rsid w:val="005F31F1"/>
    <w:rsid w:val="005F378F"/>
    <w:rsid w:val="005F3A24"/>
    <w:rsid w:val="005F4284"/>
    <w:rsid w:val="005F52B1"/>
    <w:rsid w:val="005F5E90"/>
    <w:rsid w:val="005F6D13"/>
    <w:rsid w:val="005F6F6F"/>
    <w:rsid w:val="005F744F"/>
    <w:rsid w:val="00601000"/>
    <w:rsid w:val="00601006"/>
    <w:rsid w:val="006030E1"/>
    <w:rsid w:val="00607467"/>
    <w:rsid w:val="00607808"/>
    <w:rsid w:val="00611553"/>
    <w:rsid w:val="006115CD"/>
    <w:rsid w:val="00611F25"/>
    <w:rsid w:val="0061224E"/>
    <w:rsid w:val="00612D31"/>
    <w:rsid w:val="00613C6E"/>
    <w:rsid w:val="00615944"/>
    <w:rsid w:val="0062098F"/>
    <w:rsid w:val="00620BCB"/>
    <w:rsid w:val="006225A1"/>
    <w:rsid w:val="00623256"/>
    <w:rsid w:val="00623CC2"/>
    <w:rsid w:val="00624F0B"/>
    <w:rsid w:val="00625C7D"/>
    <w:rsid w:val="00625FE6"/>
    <w:rsid w:val="006273D6"/>
    <w:rsid w:val="006300E2"/>
    <w:rsid w:val="00630604"/>
    <w:rsid w:val="006310D6"/>
    <w:rsid w:val="006313D5"/>
    <w:rsid w:val="00631A09"/>
    <w:rsid w:val="0063215C"/>
    <w:rsid w:val="00633D78"/>
    <w:rsid w:val="00634474"/>
    <w:rsid w:val="006345E2"/>
    <w:rsid w:val="00634F9B"/>
    <w:rsid w:val="0063583E"/>
    <w:rsid w:val="006364C9"/>
    <w:rsid w:val="006373CA"/>
    <w:rsid w:val="006404F5"/>
    <w:rsid w:val="006410D6"/>
    <w:rsid w:val="006433FE"/>
    <w:rsid w:val="006447E0"/>
    <w:rsid w:val="00645166"/>
    <w:rsid w:val="006457E7"/>
    <w:rsid w:val="006460E1"/>
    <w:rsid w:val="0064616A"/>
    <w:rsid w:val="006465F9"/>
    <w:rsid w:val="0064698C"/>
    <w:rsid w:val="0065183A"/>
    <w:rsid w:val="00651EF8"/>
    <w:rsid w:val="006521F0"/>
    <w:rsid w:val="00652CDB"/>
    <w:rsid w:val="00654B6B"/>
    <w:rsid w:val="00656C3D"/>
    <w:rsid w:val="00656FE7"/>
    <w:rsid w:val="00661A35"/>
    <w:rsid w:val="00661D4F"/>
    <w:rsid w:val="00663309"/>
    <w:rsid w:val="0066394D"/>
    <w:rsid w:val="00663B12"/>
    <w:rsid w:val="00667D94"/>
    <w:rsid w:val="006705A7"/>
    <w:rsid w:val="00673266"/>
    <w:rsid w:val="00674207"/>
    <w:rsid w:val="00675660"/>
    <w:rsid w:val="00675BD9"/>
    <w:rsid w:val="00675C18"/>
    <w:rsid w:val="00677ECD"/>
    <w:rsid w:val="00680B40"/>
    <w:rsid w:val="00680C31"/>
    <w:rsid w:val="00680CDF"/>
    <w:rsid w:val="00680FBD"/>
    <w:rsid w:val="0068124C"/>
    <w:rsid w:val="006815E5"/>
    <w:rsid w:val="00682BBB"/>
    <w:rsid w:val="00683B8B"/>
    <w:rsid w:val="00683DBF"/>
    <w:rsid w:val="00684143"/>
    <w:rsid w:val="006848C4"/>
    <w:rsid w:val="006857DC"/>
    <w:rsid w:val="00685EC7"/>
    <w:rsid w:val="006867A7"/>
    <w:rsid w:val="006907D2"/>
    <w:rsid w:val="00690F5D"/>
    <w:rsid w:val="006919BC"/>
    <w:rsid w:val="006944D8"/>
    <w:rsid w:val="00696846"/>
    <w:rsid w:val="00697350"/>
    <w:rsid w:val="00697C82"/>
    <w:rsid w:val="006A2590"/>
    <w:rsid w:val="006A3228"/>
    <w:rsid w:val="006A78DE"/>
    <w:rsid w:val="006A7FD5"/>
    <w:rsid w:val="006B0593"/>
    <w:rsid w:val="006B06C2"/>
    <w:rsid w:val="006B1294"/>
    <w:rsid w:val="006B211F"/>
    <w:rsid w:val="006B2F85"/>
    <w:rsid w:val="006B308D"/>
    <w:rsid w:val="006B3B53"/>
    <w:rsid w:val="006B42AA"/>
    <w:rsid w:val="006B6D5E"/>
    <w:rsid w:val="006B767C"/>
    <w:rsid w:val="006B7AF1"/>
    <w:rsid w:val="006B7C6D"/>
    <w:rsid w:val="006B7EF3"/>
    <w:rsid w:val="006C0267"/>
    <w:rsid w:val="006C2819"/>
    <w:rsid w:val="006C2E01"/>
    <w:rsid w:val="006C5FC3"/>
    <w:rsid w:val="006D1866"/>
    <w:rsid w:val="006D1FB6"/>
    <w:rsid w:val="006D2200"/>
    <w:rsid w:val="006D30C4"/>
    <w:rsid w:val="006D4126"/>
    <w:rsid w:val="006D4146"/>
    <w:rsid w:val="006D4A8B"/>
    <w:rsid w:val="006D5255"/>
    <w:rsid w:val="006D5DFE"/>
    <w:rsid w:val="006E1782"/>
    <w:rsid w:val="006E1DC2"/>
    <w:rsid w:val="006E2524"/>
    <w:rsid w:val="006E28DB"/>
    <w:rsid w:val="006E2B24"/>
    <w:rsid w:val="006E5DFB"/>
    <w:rsid w:val="006E75D6"/>
    <w:rsid w:val="006F0DD5"/>
    <w:rsid w:val="006F0E1F"/>
    <w:rsid w:val="006F1226"/>
    <w:rsid w:val="006F15B8"/>
    <w:rsid w:val="006F28E4"/>
    <w:rsid w:val="006F2985"/>
    <w:rsid w:val="006F2A04"/>
    <w:rsid w:val="006F2C87"/>
    <w:rsid w:val="006F3B6C"/>
    <w:rsid w:val="006F435D"/>
    <w:rsid w:val="006F78AD"/>
    <w:rsid w:val="006F7B04"/>
    <w:rsid w:val="00700082"/>
    <w:rsid w:val="0070118A"/>
    <w:rsid w:val="00701C06"/>
    <w:rsid w:val="007029FD"/>
    <w:rsid w:val="00702B5E"/>
    <w:rsid w:val="00702FC8"/>
    <w:rsid w:val="00704523"/>
    <w:rsid w:val="00705AC1"/>
    <w:rsid w:val="007075F4"/>
    <w:rsid w:val="007103E2"/>
    <w:rsid w:val="00710F42"/>
    <w:rsid w:val="00711970"/>
    <w:rsid w:val="00711A22"/>
    <w:rsid w:val="00713950"/>
    <w:rsid w:val="00715376"/>
    <w:rsid w:val="007158CA"/>
    <w:rsid w:val="00715AB4"/>
    <w:rsid w:val="0072033B"/>
    <w:rsid w:val="007221F4"/>
    <w:rsid w:val="00722D2F"/>
    <w:rsid w:val="00723462"/>
    <w:rsid w:val="00723622"/>
    <w:rsid w:val="00723868"/>
    <w:rsid w:val="00723C29"/>
    <w:rsid w:val="00724A32"/>
    <w:rsid w:val="007261A8"/>
    <w:rsid w:val="007266B4"/>
    <w:rsid w:val="007279B6"/>
    <w:rsid w:val="00730452"/>
    <w:rsid w:val="007312DF"/>
    <w:rsid w:val="00731EA0"/>
    <w:rsid w:val="0073248C"/>
    <w:rsid w:val="007324E0"/>
    <w:rsid w:val="0073264E"/>
    <w:rsid w:val="00733510"/>
    <w:rsid w:val="007354E6"/>
    <w:rsid w:val="00736C25"/>
    <w:rsid w:val="00736E2D"/>
    <w:rsid w:val="00737122"/>
    <w:rsid w:val="00737E95"/>
    <w:rsid w:val="00740D43"/>
    <w:rsid w:val="00741182"/>
    <w:rsid w:val="00741479"/>
    <w:rsid w:val="007414D7"/>
    <w:rsid w:val="007419BA"/>
    <w:rsid w:val="00742F22"/>
    <w:rsid w:val="007436D7"/>
    <w:rsid w:val="00743EFA"/>
    <w:rsid w:val="00745F47"/>
    <w:rsid w:val="00746F2C"/>
    <w:rsid w:val="007472AC"/>
    <w:rsid w:val="00747BE7"/>
    <w:rsid w:val="00747E7C"/>
    <w:rsid w:val="007506E2"/>
    <w:rsid w:val="00750A7F"/>
    <w:rsid w:val="00751A0F"/>
    <w:rsid w:val="00753755"/>
    <w:rsid w:val="0075483A"/>
    <w:rsid w:val="0075540F"/>
    <w:rsid w:val="00755D7C"/>
    <w:rsid w:val="007560E0"/>
    <w:rsid w:val="00756424"/>
    <w:rsid w:val="00756D45"/>
    <w:rsid w:val="0075753C"/>
    <w:rsid w:val="00760A82"/>
    <w:rsid w:val="007619A7"/>
    <w:rsid w:val="00761E77"/>
    <w:rsid w:val="0076284D"/>
    <w:rsid w:val="0076328E"/>
    <w:rsid w:val="007636DD"/>
    <w:rsid w:val="00763E58"/>
    <w:rsid w:val="00764631"/>
    <w:rsid w:val="0076497C"/>
    <w:rsid w:val="00764CD9"/>
    <w:rsid w:val="00767241"/>
    <w:rsid w:val="007707E4"/>
    <w:rsid w:val="00772F23"/>
    <w:rsid w:val="00774336"/>
    <w:rsid w:val="00774751"/>
    <w:rsid w:val="00774AF9"/>
    <w:rsid w:val="00775EF1"/>
    <w:rsid w:val="007770DB"/>
    <w:rsid w:val="00777B73"/>
    <w:rsid w:val="00780595"/>
    <w:rsid w:val="00782A4F"/>
    <w:rsid w:val="00783706"/>
    <w:rsid w:val="007838DB"/>
    <w:rsid w:val="00783BD9"/>
    <w:rsid w:val="00786380"/>
    <w:rsid w:val="00787DE2"/>
    <w:rsid w:val="00791B73"/>
    <w:rsid w:val="00791CCD"/>
    <w:rsid w:val="00792104"/>
    <w:rsid w:val="00793527"/>
    <w:rsid w:val="00793BA2"/>
    <w:rsid w:val="00794BC6"/>
    <w:rsid w:val="007956B5"/>
    <w:rsid w:val="00795DA3"/>
    <w:rsid w:val="007963C8"/>
    <w:rsid w:val="007A421C"/>
    <w:rsid w:val="007A49F3"/>
    <w:rsid w:val="007A518F"/>
    <w:rsid w:val="007A73C5"/>
    <w:rsid w:val="007B0E7A"/>
    <w:rsid w:val="007B0F07"/>
    <w:rsid w:val="007B1044"/>
    <w:rsid w:val="007B1402"/>
    <w:rsid w:val="007B3F53"/>
    <w:rsid w:val="007B709C"/>
    <w:rsid w:val="007C17A1"/>
    <w:rsid w:val="007C19BC"/>
    <w:rsid w:val="007C4083"/>
    <w:rsid w:val="007C4E63"/>
    <w:rsid w:val="007C6C58"/>
    <w:rsid w:val="007C70E8"/>
    <w:rsid w:val="007C7CFF"/>
    <w:rsid w:val="007D02B9"/>
    <w:rsid w:val="007D185E"/>
    <w:rsid w:val="007D2B7C"/>
    <w:rsid w:val="007D31D7"/>
    <w:rsid w:val="007D380C"/>
    <w:rsid w:val="007D382B"/>
    <w:rsid w:val="007D3E80"/>
    <w:rsid w:val="007D3EB7"/>
    <w:rsid w:val="007D4310"/>
    <w:rsid w:val="007D4438"/>
    <w:rsid w:val="007D446C"/>
    <w:rsid w:val="007D5AA7"/>
    <w:rsid w:val="007D5B3F"/>
    <w:rsid w:val="007D5DF6"/>
    <w:rsid w:val="007D628F"/>
    <w:rsid w:val="007D6780"/>
    <w:rsid w:val="007D7265"/>
    <w:rsid w:val="007D7462"/>
    <w:rsid w:val="007E039D"/>
    <w:rsid w:val="007E10BC"/>
    <w:rsid w:val="007E132A"/>
    <w:rsid w:val="007E26E2"/>
    <w:rsid w:val="007E4C9E"/>
    <w:rsid w:val="007E52F9"/>
    <w:rsid w:val="007E60FF"/>
    <w:rsid w:val="007E6146"/>
    <w:rsid w:val="007E6B0A"/>
    <w:rsid w:val="007E70DE"/>
    <w:rsid w:val="007E7402"/>
    <w:rsid w:val="007F004E"/>
    <w:rsid w:val="007F07AD"/>
    <w:rsid w:val="007F1122"/>
    <w:rsid w:val="007F1225"/>
    <w:rsid w:val="007F156B"/>
    <w:rsid w:val="007F2A49"/>
    <w:rsid w:val="007F32D6"/>
    <w:rsid w:val="007F3383"/>
    <w:rsid w:val="007F39F4"/>
    <w:rsid w:val="007F3D3B"/>
    <w:rsid w:val="007F3DD3"/>
    <w:rsid w:val="007F4B74"/>
    <w:rsid w:val="007F5B09"/>
    <w:rsid w:val="007F665C"/>
    <w:rsid w:val="007F6A39"/>
    <w:rsid w:val="007F7ABE"/>
    <w:rsid w:val="007F7DEA"/>
    <w:rsid w:val="007F7E9D"/>
    <w:rsid w:val="00800FD9"/>
    <w:rsid w:val="008017DC"/>
    <w:rsid w:val="00802E89"/>
    <w:rsid w:val="00803746"/>
    <w:rsid w:val="00804289"/>
    <w:rsid w:val="00804DA3"/>
    <w:rsid w:val="00804F4A"/>
    <w:rsid w:val="00805B69"/>
    <w:rsid w:val="00811B8D"/>
    <w:rsid w:val="008134C5"/>
    <w:rsid w:val="00814EB6"/>
    <w:rsid w:val="00814F7D"/>
    <w:rsid w:val="0081502C"/>
    <w:rsid w:val="00815CEE"/>
    <w:rsid w:val="00816965"/>
    <w:rsid w:val="00816F98"/>
    <w:rsid w:val="00817480"/>
    <w:rsid w:val="00820C46"/>
    <w:rsid w:val="008226F8"/>
    <w:rsid w:val="00822EDD"/>
    <w:rsid w:val="00823448"/>
    <w:rsid w:val="008236ED"/>
    <w:rsid w:val="00823DEB"/>
    <w:rsid w:val="00827231"/>
    <w:rsid w:val="008301EC"/>
    <w:rsid w:val="00831803"/>
    <w:rsid w:val="00831BB1"/>
    <w:rsid w:val="00832161"/>
    <w:rsid w:val="0083365D"/>
    <w:rsid w:val="0083367A"/>
    <w:rsid w:val="008342FA"/>
    <w:rsid w:val="008344EE"/>
    <w:rsid w:val="00835BD1"/>
    <w:rsid w:val="00836047"/>
    <w:rsid w:val="00836C27"/>
    <w:rsid w:val="00837A9E"/>
    <w:rsid w:val="00837DA8"/>
    <w:rsid w:val="008417BD"/>
    <w:rsid w:val="008422C9"/>
    <w:rsid w:val="008433B3"/>
    <w:rsid w:val="00843650"/>
    <w:rsid w:val="00843B14"/>
    <w:rsid w:val="00843FA9"/>
    <w:rsid w:val="008467D7"/>
    <w:rsid w:val="0084725B"/>
    <w:rsid w:val="00847D17"/>
    <w:rsid w:val="00850105"/>
    <w:rsid w:val="00850728"/>
    <w:rsid w:val="0085088C"/>
    <w:rsid w:val="008532BF"/>
    <w:rsid w:val="0085350A"/>
    <w:rsid w:val="0085622E"/>
    <w:rsid w:val="00856432"/>
    <w:rsid w:val="008567CA"/>
    <w:rsid w:val="008579E6"/>
    <w:rsid w:val="00860B8B"/>
    <w:rsid w:val="00861A6D"/>
    <w:rsid w:val="00861CDD"/>
    <w:rsid w:val="00863A0D"/>
    <w:rsid w:val="00863FB4"/>
    <w:rsid w:val="00865D1D"/>
    <w:rsid w:val="008666BA"/>
    <w:rsid w:val="00867428"/>
    <w:rsid w:val="00867CBE"/>
    <w:rsid w:val="00867F78"/>
    <w:rsid w:val="00867FEA"/>
    <w:rsid w:val="0087030E"/>
    <w:rsid w:val="00870A42"/>
    <w:rsid w:val="00870B71"/>
    <w:rsid w:val="00871B99"/>
    <w:rsid w:val="00872097"/>
    <w:rsid w:val="00872E0A"/>
    <w:rsid w:val="00873328"/>
    <w:rsid w:val="00874EFC"/>
    <w:rsid w:val="008767D2"/>
    <w:rsid w:val="0087759F"/>
    <w:rsid w:val="00880B01"/>
    <w:rsid w:val="00884DD0"/>
    <w:rsid w:val="008852B8"/>
    <w:rsid w:val="00886D72"/>
    <w:rsid w:val="008872F2"/>
    <w:rsid w:val="00887BF7"/>
    <w:rsid w:val="00887F01"/>
    <w:rsid w:val="00897674"/>
    <w:rsid w:val="00897A59"/>
    <w:rsid w:val="008A0DF5"/>
    <w:rsid w:val="008A11AB"/>
    <w:rsid w:val="008A1F70"/>
    <w:rsid w:val="008A2882"/>
    <w:rsid w:val="008A3050"/>
    <w:rsid w:val="008A347B"/>
    <w:rsid w:val="008A421B"/>
    <w:rsid w:val="008A4E00"/>
    <w:rsid w:val="008A4EA1"/>
    <w:rsid w:val="008A51A6"/>
    <w:rsid w:val="008A5A80"/>
    <w:rsid w:val="008A630C"/>
    <w:rsid w:val="008A79B7"/>
    <w:rsid w:val="008B0085"/>
    <w:rsid w:val="008B1A73"/>
    <w:rsid w:val="008B1C1B"/>
    <w:rsid w:val="008B2B1A"/>
    <w:rsid w:val="008B491F"/>
    <w:rsid w:val="008B60A5"/>
    <w:rsid w:val="008B68D9"/>
    <w:rsid w:val="008C05F6"/>
    <w:rsid w:val="008C1096"/>
    <w:rsid w:val="008C1098"/>
    <w:rsid w:val="008C317B"/>
    <w:rsid w:val="008C375B"/>
    <w:rsid w:val="008C3DAD"/>
    <w:rsid w:val="008C51C3"/>
    <w:rsid w:val="008C57C2"/>
    <w:rsid w:val="008C6F47"/>
    <w:rsid w:val="008C75BE"/>
    <w:rsid w:val="008C75E9"/>
    <w:rsid w:val="008C7C7E"/>
    <w:rsid w:val="008D070A"/>
    <w:rsid w:val="008D1248"/>
    <w:rsid w:val="008D2B91"/>
    <w:rsid w:val="008D43EE"/>
    <w:rsid w:val="008D531F"/>
    <w:rsid w:val="008D5D3A"/>
    <w:rsid w:val="008D69CD"/>
    <w:rsid w:val="008E0C90"/>
    <w:rsid w:val="008E165C"/>
    <w:rsid w:val="008E181F"/>
    <w:rsid w:val="008E27F4"/>
    <w:rsid w:val="008E2F18"/>
    <w:rsid w:val="008E3AF1"/>
    <w:rsid w:val="008E4920"/>
    <w:rsid w:val="008E50A9"/>
    <w:rsid w:val="008E57AA"/>
    <w:rsid w:val="008E5CD5"/>
    <w:rsid w:val="008E6D6F"/>
    <w:rsid w:val="008E77FE"/>
    <w:rsid w:val="008F249A"/>
    <w:rsid w:val="008F29A9"/>
    <w:rsid w:val="008F3A2F"/>
    <w:rsid w:val="008F5B8E"/>
    <w:rsid w:val="008F75FE"/>
    <w:rsid w:val="008F76F9"/>
    <w:rsid w:val="008F7EF5"/>
    <w:rsid w:val="0090117E"/>
    <w:rsid w:val="00901E13"/>
    <w:rsid w:val="009028A5"/>
    <w:rsid w:val="00904A9E"/>
    <w:rsid w:val="009062B5"/>
    <w:rsid w:val="009102ED"/>
    <w:rsid w:val="00913C7E"/>
    <w:rsid w:val="00915BBA"/>
    <w:rsid w:val="00916BCD"/>
    <w:rsid w:val="00917447"/>
    <w:rsid w:val="00921A29"/>
    <w:rsid w:val="009221A8"/>
    <w:rsid w:val="00922F75"/>
    <w:rsid w:val="00923BEE"/>
    <w:rsid w:val="00924C30"/>
    <w:rsid w:val="00925F27"/>
    <w:rsid w:val="0092778D"/>
    <w:rsid w:val="00930E6B"/>
    <w:rsid w:val="00931F23"/>
    <w:rsid w:val="00932B39"/>
    <w:rsid w:val="00932C98"/>
    <w:rsid w:val="0093461D"/>
    <w:rsid w:val="00934DD9"/>
    <w:rsid w:val="009351E5"/>
    <w:rsid w:val="009355BE"/>
    <w:rsid w:val="00936F7A"/>
    <w:rsid w:val="009402C1"/>
    <w:rsid w:val="00940F4B"/>
    <w:rsid w:val="00942D7C"/>
    <w:rsid w:val="0094403C"/>
    <w:rsid w:val="009442DA"/>
    <w:rsid w:val="009447FB"/>
    <w:rsid w:val="00944BB8"/>
    <w:rsid w:val="009479A4"/>
    <w:rsid w:val="00950A12"/>
    <w:rsid w:val="00950BBE"/>
    <w:rsid w:val="00952A7B"/>
    <w:rsid w:val="00953D55"/>
    <w:rsid w:val="00954669"/>
    <w:rsid w:val="009551E4"/>
    <w:rsid w:val="00956017"/>
    <w:rsid w:val="009560C8"/>
    <w:rsid w:val="00957232"/>
    <w:rsid w:val="009620FD"/>
    <w:rsid w:val="00962E52"/>
    <w:rsid w:val="009636E3"/>
    <w:rsid w:val="00964352"/>
    <w:rsid w:val="0096443F"/>
    <w:rsid w:val="00964FD9"/>
    <w:rsid w:val="00966456"/>
    <w:rsid w:val="00966F8F"/>
    <w:rsid w:val="00967E00"/>
    <w:rsid w:val="00971574"/>
    <w:rsid w:val="00973031"/>
    <w:rsid w:val="00974723"/>
    <w:rsid w:val="00974F7B"/>
    <w:rsid w:val="009750D1"/>
    <w:rsid w:val="009761B4"/>
    <w:rsid w:val="00976796"/>
    <w:rsid w:val="0098063C"/>
    <w:rsid w:val="00980743"/>
    <w:rsid w:val="009809EB"/>
    <w:rsid w:val="0098169E"/>
    <w:rsid w:val="00981FAE"/>
    <w:rsid w:val="00982338"/>
    <w:rsid w:val="00982617"/>
    <w:rsid w:val="00983449"/>
    <w:rsid w:val="00985525"/>
    <w:rsid w:val="009859C0"/>
    <w:rsid w:val="0098667C"/>
    <w:rsid w:val="00987864"/>
    <w:rsid w:val="009879DF"/>
    <w:rsid w:val="009879F2"/>
    <w:rsid w:val="00987CF8"/>
    <w:rsid w:val="00990022"/>
    <w:rsid w:val="00991DF6"/>
    <w:rsid w:val="009920D2"/>
    <w:rsid w:val="00993745"/>
    <w:rsid w:val="00993748"/>
    <w:rsid w:val="00995D59"/>
    <w:rsid w:val="00996392"/>
    <w:rsid w:val="0099699D"/>
    <w:rsid w:val="0099732A"/>
    <w:rsid w:val="0099764C"/>
    <w:rsid w:val="00997AD4"/>
    <w:rsid w:val="009A034C"/>
    <w:rsid w:val="009A0B6C"/>
    <w:rsid w:val="009A0C80"/>
    <w:rsid w:val="009A0CC6"/>
    <w:rsid w:val="009A1889"/>
    <w:rsid w:val="009A1B83"/>
    <w:rsid w:val="009A2727"/>
    <w:rsid w:val="009A34A1"/>
    <w:rsid w:val="009A4AC2"/>
    <w:rsid w:val="009A4B88"/>
    <w:rsid w:val="009A4BF4"/>
    <w:rsid w:val="009A56A4"/>
    <w:rsid w:val="009A657C"/>
    <w:rsid w:val="009A68E6"/>
    <w:rsid w:val="009A7C04"/>
    <w:rsid w:val="009B1808"/>
    <w:rsid w:val="009B18DF"/>
    <w:rsid w:val="009B1990"/>
    <w:rsid w:val="009B35DF"/>
    <w:rsid w:val="009B3F36"/>
    <w:rsid w:val="009B4657"/>
    <w:rsid w:val="009B4B8E"/>
    <w:rsid w:val="009B7581"/>
    <w:rsid w:val="009B7E63"/>
    <w:rsid w:val="009B7FB3"/>
    <w:rsid w:val="009C0742"/>
    <w:rsid w:val="009C1681"/>
    <w:rsid w:val="009C350F"/>
    <w:rsid w:val="009C39DC"/>
    <w:rsid w:val="009C4579"/>
    <w:rsid w:val="009C469D"/>
    <w:rsid w:val="009C5407"/>
    <w:rsid w:val="009C7227"/>
    <w:rsid w:val="009C72C3"/>
    <w:rsid w:val="009D038D"/>
    <w:rsid w:val="009D0929"/>
    <w:rsid w:val="009D0D77"/>
    <w:rsid w:val="009D102C"/>
    <w:rsid w:val="009D21A6"/>
    <w:rsid w:val="009D2C65"/>
    <w:rsid w:val="009D34B0"/>
    <w:rsid w:val="009D372E"/>
    <w:rsid w:val="009D42F2"/>
    <w:rsid w:val="009D579B"/>
    <w:rsid w:val="009D5F01"/>
    <w:rsid w:val="009D60AC"/>
    <w:rsid w:val="009E051D"/>
    <w:rsid w:val="009E074A"/>
    <w:rsid w:val="009E07BF"/>
    <w:rsid w:val="009E0A20"/>
    <w:rsid w:val="009E0B47"/>
    <w:rsid w:val="009E3F27"/>
    <w:rsid w:val="009E51B5"/>
    <w:rsid w:val="009E540E"/>
    <w:rsid w:val="009E585D"/>
    <w:rsid w:val="009E5B3A"/>
    <w:rsid w:val="009E650A"/>
    <w:rsid w:val="009E65AD"/>
    <w:rsid w:val="009E74B2"/>
    <w:rsid w:val="009E7B76"/>
    <w:rsid w:val="009E7E69"/>
    <w:rsid w:val="009F0BF8"/>
    <w:rsid w:val="009F2A8A"/>
    <w:rsid w:val="009F2F60"/>
    <w:rsid w:val="009F3C36"/>
    <w:rsid w:val="009F3E0A"/>
    <w:rsid w:val="009F3FE4"/>
    <w:rsid w:val="009F4126"/>
    <w:rsid w:val="009F4CB0"/>
    <w:rsid w:val="009F60FD"/>
    <w:rsid w:val="009F6D67"/>
    <w:rsid w:val="009F6D83"/>
    <w:rsid w:val="009F790E"/>
    <w:rsid w:val="009F7DA6"/>
    <w:rsid w:val="00A004C9"/>
    <w:rsid w:val="00A031D3"/>
    <w:rsid w:val="00A03564"/>
    <w:rsid w:val="00A0514F"/>
    <w:rsid w:val="00A0795C"/>
    <w:rsid w:val="00A07DED"/>
    <w:rsid w:val="00A10A82"/>
    <w:rsid w:val="00A10BE4"/>
    <w:rsid w:val="00A11DC3"/>
    <w:rsid w:val="00A12C92"/>
    <w:rsid w:val="00A14CBF"/>
    <w:rsid w:val="00A14E8D"/>
    <w:rsid w:val="00A162C4"/>
    <w:rsid w:val="00A166C3"/>
    <w:rsid w:val="00A1795B"/>
    <w:rsid w:val="00A17D27"/>
    <w:rsid w:val="00A20EAC"/>
    <w:rsid w:val="00A22437"/>
    <w:rsid w:val="00A228FA"/>
    <w:rsid w:val="00A24885"/>
    <w:rsid w:val="00A3150E"/>
    <w:rsid w:val="00A323B1"/>
    <w:rsid w:val="00A3281B"/>
    <w:rsid w:val="00A32856"/>
    <w:rsid w:val="00A32B84"/>
    <w:rsid w:val="00A3314C"/>
    <w:rsid w:val="00A3327A"/>
    <w:rsid w:val="00A3409F"/>
    <w:rsid w:val="00A3457B"/>
    <w:rsid w:val="00A3618C"/>
    <w:rsid w:val="00A37512"/>
    <w:rsid w:val="00A376DE"/>
    <w:rsid w:val="00A4016C"/>
    <w:rsid w:val="00A415CE"/>
    <w:rsid w:val="00A41B20"/>
    <w:rsid w:val="00A41D0D"/>
    <w:rsid w:val="00A46469"/>
    <w:rsid w:val="00A46D9C"/>
    <w:rsid w:val="00A47FA3"/>
    <w:rsid w:val="00A50A13"/>
    <w:rsid w:val="00A510D6"/>
    <w:rsid w:val="00A5257B"/>
    <w:rsid w:val="00A532AA"/>
    <w:rsid w:val="00A5464E"/>
    <w:rsid w:val="00A5492B"/>
    <w:rsid w:val="00A5541C"/>
    <w:rsid w:val="00A5638E"/>
    <w:rsid w:val="00A56D1A"/>
    <w:rsid w:val="00A57456"/>
    <w:rsid w:val="00A579BA"/>
    <w:rsid w:val="00A57BA8"/>
    <w:rsid w:val="00A57C6E"/>
    <w:rsid w:val="00A60106"/>
    <w:rsid w:val="00A61D84"/>
    <w:rsid w:val="00A63390"/>
    <w:rsid w:val="00A63701"/>
    <w:rsid w:val="00A64A50"/>
    <w:rsid w:val="00A64F1B"/>
    <w:rsid w:val="00A6571F"/>
    <w:rsid w:val="00A657C4"/>
    <w:rsid w:val="00A66AD9"/>
    <w:rsid w:val="00A702AB"/>
    <w:rsid w:val="00A70BD9"/>
    <w:rsid w:val="00A71F86"/>
    <w:rsid w:val="00A72B79"/>
    <w:rsid w:val="00A73903"/>
    <w:rsid w:val="00A74096"/>
    <w:rsid w:val="00A749F6"/>
    <w:rsid w:val="00A74CFC"/>
    <w:rsid w:val="00A76927"/>
    <w:rsid w:val="00A76F17"/>
    <w:rsid w:val="00A7729D"/>
    <w:rsid w:val="00A77B91"/>
    <w:rsid w:val="00A81DB3"/>
    <w:rsid w:val="00A841DA"/>
    <w:rsid w:val="00A8494E"/>
    <w:rsid w:val="00A86D46"/>
    <w:rsid w:val="00A86F88"/>
    <w:rsid w:val="00A87ADF"/>
    <w:rsid w:val="00A90295"/>
    <w:rsid w:val="00A91A35"/>
    <w:rsid w:val="00A91EF2"/>
    <w:rsid w:val="00A92400"/>
    <w:rsid w:val="00A92A39"/>
    <w:rsid w:val="00A92EC4"/>
    <w:rsid w:val="00A952D2"/>
    <w:rsid w:val="00A96060"/>
    <w:rsid w:val="00A97425"/>
    <w:rsid w:val="00AA04B5"/>
    <w:rsid w:val="00AA051D"/>
    <w:rsid w:val="00AA084B"/>
    <w:rsid w:val="00AA1DE5"/>
    <w:rsid w:val="00AA2D80"/>
    <w:rsid w:val="00AA34CA"/>
    <w:rsid w:val="00AA64AA"/>
    <w:rsid w:val="00AB1761"/>
    <w:rsid w:val="00AB226B"/>
    <w:rsid w:val="00AB3C3D"/>
    <w:rsid w:val="00AB512D"/>
    <w:rsid w:val="00AB62D2"/>
    <w:rsid w:val="00AB6940"/>
    <w:rsid w:val="00AB6F28"/>
    <w:rsid w:val="00AB74FB"/>
    <w:rsid w:val="00AC0996"/>
    <w:rsid w:val="00AC22FF"/>
    <w:rsid w:val="00AC2A68"/>
    <w:rsid w:val="00AC32D8"/>
    <w:rsid w:val="00AC3AF9"/>
    <w:rsid w:val="00AC4254"/>
    <w:rsid w:val="00AC4FE7"/>
    <w:rsid w:val="00AC5844"/>
    <w:rsid w:val="00AC5AC6"/>
    <w:rsid w:val="00AC5D33"/>
    <w:rsid w:val="00AC69CF"/>
    <w:rsid w:val="00AC70AA"/>
    <w:rsid w:val="00AC72B7"/>
    <w:rsid w:val="00AD098D"/>
    <w:rsid w:val="00AD09B4"/>
    <w:rsid w:val="00AD0FA8"/>
    <w:rsid w:val="00AD11C6"/>
    <w:rsid w:val="00AD173E"/>
    <w:rsid w:val="00AD1C25"/>
    <w:rsid w:val="00AD2B35"/>
    <w:rsid w:val="00AD37AC"/>
    <w:rsid w:val="00AD4C10"/>
    <w:rsid w:val="00AD67E9"/>
    <w:rsid w:val="00AD6E15"/>
    <w:rsid w:val="00AE0D54"/>
    <w:rsid w:val="00AE39F7"/>
    <w:rsid w:val="00AE5025"/>
    <w:rsid w:val="00AE5ECB"/>
    <w:rsid w:val="00AF0DE6"/>
    <w:rsid w:val="00AF302E"/>
    <w:rsid w:val="00AF3594"/>
    <w:rsid w:val="00AF3ABC"/>
    <w:rsid w:val="00AF3B04"/>
    <w:rsid w:val="00AF473B"/>
    <w:rsid w:val="00AF6932"/>
    <w:rsid w:val="00B00E05"/>
    <w:rsid w:val="00B014E0"/>
    <w:rsid w:val="00B01838"/>
    <w:rsid w:val="00B01CF7"/>
    <w:rsid w:val="00B01E85"/>
    <w:rsid w:val="00B048C8"/>
    <w:rsid w:val="00B05952"/>
    <w:rsid w:val="00B05E08"/>
    <w:rsid w:val="00B0603E"/>
    <w:rsid w:val="00B065B6"/>
    <w:rsid w:val="00B06654"/>
    <w:rsid w:val="00B06703"/>
    <w:rsid w:val="00B06A7A"/>
    <w:rsid w:val="00B06FA2"/>
    <w:rsid w:val="00B07CA4"/>
    <w:rsid w:val="00B07FB6"/>
    <w:rsid w:val="00B10ADA"/>
    <w:rsid w:val="00B10DD2"/>
    <w:rsid w:val="00B129D8"/>
    <w:rsid w:val="00B138CA"/>
    <w:rsid w:val="00B13AA8"/>
    <w:rsid w:val="00B16483"/>
    <w:rsid w:val="00B165AB"/>
    <w:rsid w:val="00B16895"/>
    <w:rsid w:val="00B171A7"/>
    <w:rsid w:val="00B1727B"/>
    <w:rsid w:val="00B20515"/>
    <w:rsid w:val="00B20547"/>
    <w:rsid w:val="00B22344"/>
    <w:rsid w:val="00B23822"/>
    <w:rsid w:val="00B2387C"/>
    <w:rsid w:val="00B24FE5"/>
    <w:rsid w:val="00B31266"/>
    <w:rsid w:val="00B33979"/>
    <w:rsid w:val="00B3399E"/>
    <w:rsid w:val="00B35991"/>
    <w:rsid w:val="00B35B7C"/>
    <w:rsid w:val="00B3617F"/>
    <w:rsid w:val="00B36D9D"/>
    <w:rsid w:val="00B37A1E"/>
    <w:rsid w:val="00B406FC"/>
    <w:rsid w:val="00B42182"/>
    <w:rsid w:val="00B4236E"/>
    <w:rsid w:val="00B4314F"/>
    <w:rsid w:val="00B4324A"/>
    <w:rsid w:val="00B437E8"/>
    <w:rsid w:val="00B44888"/>
    <w:rsid w:val="00B467A4"/>
    <w:rsid w:val="00B46D93"/>
    <w:rsid w:val="00B47EB0"/>
    <w:rsid w:val="00B50446"/>
    <w:rsid w:val="00B5061F"/>
    <w:rsid w:val="00B50787"/>
    <w:rsid w:val="00B516EE"/>
    <w:rsid w:val="00B51D3A"/>
    <w:rsid w:val="00B52827"/>
    <w:rsid w:val="00B52A70"/>
    <w:rsid w:val="00B5377A"/>
    <w:rsid w:val="00B56304"/>
    <w:rsid w:val="00B56792"/>
    <w:rsid w:val="00B57EE1"/>
    <w:rsid w:val="00B6573D"/>
    <w:rsid w:val="00B715BA"/>
    <w:rsid w:val="00B71C30"/>
    <w:rsid w:val="00B7207E"/>
    <w:rsid w:val="00B72599"/>
    <w:rsid w:val="00B72605"/>
    <w:rsid w:val="00B734E3"/>
    <w:rsid w:val="00B736DF"/>
    <w:rsid w:val="00B73CA5"/>
    <w:rsid w:val="00B74325"/>
    <w:rsid w:val="00B74CC2"/>
    <w:rsid w:val="00B76F4A"/>
    <w:rsid w:val="00B80A2E"/>
    <w:rsid w:val="00B817F4"/>
    <w:rsid w:val="00B81C07"/>
    <w:rsid w:val="00B81E28"/>
    <w:rsid w:val="00B8200E"/>
    <w:rsid w:val="00B82D48"/>
    <w:rsid w:val="00B902E7"/>
    <w:rsid w:val="00B91E05"/>
    <w:rsid w:val="00B92180"/>
    <w:rsid w:val="00B933C0"/>
    <w:rsid w:val="00B97CF6"/>
    <w:rsid w:val="00BA1C71"/>
    <w:rsid w:val="00BA4D4A"/>
    <w:rsid w:val="00BA4EF5"/>
    <w:rsid w:val="00BA5059"/>
    <w:rsid w:val="00BA5547"/>
    <w:rsid w:val="00BA5607"/>
    <w:rsid w:val="00BA619F"/>
    <w:rsid w:val="00BA6243"/>
    <w:rsid w:val="00BA668F"/>
    <w:rsid w:val="00BA6D57"/>
    <w:rsid w:val="00BA776A"/>
    <w:rsid w:val="00BB0124"/>
    <w:rsid w:val="00BB1061"/>
    <w:rsid w:val="00BB1488"/>
    <w:rsid w:val="00BB25FC"/>
    <w:rsid w:val="00BB2E70"/>
    <w:rsid w:val="00BB56E0"/>
    <w:rsid w:val="00BB6934"/>
    <w:rsid w:val="00BB7311"/>
    <w:rsid w:val="00BC0218"/>
    <w:rsid w:val="00BC0447"/>
    <w:rsid w:val="00BC3214"/>
    <w:rsid w:val="00BC40EE"/>
    <w:rsid w:val="00BC434F"/>
    <w:rsid w:val="00BC5A8F"/>
    <w:rsid w:val="00BC6082"/>
    <w:rsid w:val="00BC6322"/>
    <w:rsid w:val="00BC63D8"/>
    <w:rsid w:val="00BD2F2C"/>
    <w:rsid w:val="00BD39E6"/>
    <w:rsid w:val="00BD5BB2"/>
    <w:rsid w:val="00BD7BC7"/>
    <w:rsid w:val="00BE03A6"/>
    <w:rsid w:val="00BE04B3"/>
    <w:rsid w:val="00BE1AD0"/>
    <w:rsid w:val="00BE27FD"/>
    <w:rsid w:val="00BE2D76"/>
    <w:rsid w:val="00BE604B"/>
    <w:rsid w:val="00BF05C4"/>
    <w:rsid w:val="00BF0ABC"/>
    <w:rsid w:val="00BF1D5F"/>
    <w:rsid w:val="00BF20FE"/>
    <w:rsid w:val="00BF33F8"/>
    <w:rsid w:val="00BF376D"/>
    <w:rsid w:val="00C007FC"/>
    <w:rsid w:val="00C021EB"/>
    <w:rsid w:val="00C03028"/>
    <w:rsid w:val="00C07824"/>
    <w:rsid w:val="00C07F0E"/>
    <w:rsid w:val="00C10461"/>
    <w:rsid w:val="00C104BF"/>
    <w:rsid w:val="00C11516"/>
    <w:rsid w:val="00C14269"/>
    <w:rsid w:val="00C14951"/>
    <w:rsid w:val="00C1581A"/>
    <w:rsid w:val="00C16AEF"/>
    <w:rsid w:val="00C176AE"/>
    <w:rsid w:val="00C20517"/>
    <w:rsid w:val="00C20F9D"/>
    <w:rsid w:val="00C21A92"/>
    <w:rsid w:val="00C21D92"/>
    <w:rsid w:val="00C24296"/>
    <w:rsid w:val="00C26071"/>
    <w:rsid w:val="00C26126"/>
    <w:rsid w:val="00C26883"/>
    <w:rsid w:val="00C26C6A"/>
    <w:rsid w:val="00C275A1"/>
    <w:rsid w:val="00C278FA"/>
    <w:rsid w:val="00C32E0B"/>
    <w:rsid w:val="00C339EF"/>
    <w:rsid w:val="00C33EB7"/>
    <w:rsid w:val="00C348C2"/>
    <w:rsid w:val="00C36120"/>
    <w:rsid w:val="00C366EC"/>
    <w:rsid w:val="00C404C1"/>
    <w:rsid w:val="00C40C98"/>
    <w:rsid w:val="00C40F21"/>
    <w:rsid w:val="00C41E1B"/>
    <w:rsid w:val="00C41FAE"/>
    <w:rsid w:val="00C423B3"/>
    <w:rsid w:val="00C42993"/>
    <w:rsid w:val="00C42AB8"/>
    <w:rsid w:val="00C4387F"/>
    <w:rsid w:val="00C45348"/>
    <w:rsid w:val="00C46834"/>
    <w:rsid w:val="00C4705F"/>
    <w:rsid w:val="00C47CE6"/>
    <w:rsid w:val="00C507C7"/>
    <w:rsid w:val="00C50CD0"/>
    <w:rsid w:val="00C51AFB"/>
    <w:rsid w:val="00C52813"/>
    <w:rsid w:val="00C5731B"/>
    <w:rsid w:val="00C61FD5"/>
    <w:rsid w:val="00C62232"/>
    <w:rsid w:val="00C6331B"/>
    <w:rsid w:val="00C64945"/>
    <w:rsid w:val="00C6709A"/>
    <w:rsid w:val="00C67388"/>
    <w:rsid w:val="00C6758A"/>
    <w:rsid w:val="00C7072E"/>
    <w:rsid w:val="00C710C4"/>
    <w:rsid w:val="00C71DE8"/>
    <w:rsid w:val="00C72B34"/>
    <w:rsid w:val="00C72B8B"/>
    <w:rsid w:val="00C72C45"/>
    <w:rsid w:val="00C7307B"/>
    <w:rsid w:val="00C739D6"/>
    <w:rsid w:val="00C7449C"/>
    <w:rsid w:val="00C7503E"/>
    <w:rsid w:val="00C756BD"/>
    <w:rsid w:val="00C804D0"/>
    <w:rsid w:val="00C81200"/>
    <w:rsid w:val="00C82B08"/>
    <w:rsid w:val="00C83919"/>
    <w:rsid w:val="00C84A7F"/>
    <w:rsid w:val="00C84D34"/>
    <w:rsid w:val="00C84DC8"/>
    <w:rsid w:val="00C84E7F"/>
    <w:rsid w:val="00C85017"/>
    <w:rsid w:val="00C87253"/>
    <w:rsid w:val="00C874FA"/>
    <w:rsid w:val="00C87AD3"/>
    <w:rsid w:val="00C910FD"/>
    <w:rsid w:val="00C91686"/>
    <w:rsid w:val="00C91B07"/>
    <w:rsid w:val="00C91C18"/>
    <w:rsid w:val="00C92AD7"/>
    <w:rsid w:val="00C9419B"/>
    <w:rsid w:val="00C94D70"/>
    <w:rsid w:val="00C96505"/>
    <w:rsid w:val="00C96E1B"/>
    <w:rsid w:val="00CA0147"/>
    <w:rsid w:val="00CA2847"/>
    <w:rsid w:val="00CA2B44"/>
    <w:rsid w:val="00CA2D9C"/>
    <w:rsid w:val="00CA34ED"/>
    <w:rsid w:val="00CA383F"/>
    <w:rsid w:val="00CA3C9D"/>
    <w:rsid w:val="00CA52CC"/>
    <w:rsid w:val="00CA59BC"/>
    <w:rsid w:val="00CA678C"/>
    <w:rsid w:val="00CA7EAC"/>
    <w:rsid w:val="00CB1191"/>
    <w:rsid w:val="00CB1301"/>
    <w:rsid w:val="00CB2329"/>
    <w:rsid w:val="00CB2368"/>
    <w:rsid w:val="00CB24CA"/>
    <w:rsid w:val="00CB26DB"/>
    <w:rsid w:val="00CB2B24"/>
    <w:rsid w:val="00CB4D47"/>
    <w:rsid w:val="00CB715C"/>
    <w:rsid w:val="00CB7F5E"/>
    <w:rsid w:val="00CC1261"/>
    <w:rsid w:val="00CC31EF"/>
    <w:rsid w:val="00CC3AE1"/>
    <w:rsid w:val="00CC3ED1"/>
    <w:rsid w:val="00CC5B2A"/>
    <w:rsid w:val="00CC6527"/>
    <w:rsid w:val="00CC681C"/>
    <w:rsid w:val="00CC70D3"/>
    <w:rsid w:val="00CD0025"/>
    <w:rsid w:val="00CD1E93"/>
    <w:rsid w:val="00CD431F"/>
    <w:rsid w:val="00CD4A26"/>
    <w:rsid w:val="00CD55A2"/>
    <w:rsid w:val="00CD55E6"/>
    <w:rsid w:val="00CD5DFE"/>
    <w:rsid w:val="00CD7B51"/>
    <w:rsid w:val="00CE04A2"/>
    <w:rsid w:val="00CE074F"/>
    <w:rsid w:val="00CE25D9"/>
    <w:rsid w:val="00CE4D79"/>
    <w:rsid w:val="00CE6083"/>
    <w:rsid w:val="00CE6774"/>
    <w:rsid w:val="00CE6AF2"/>
    <w:rsid w:val="00CE7BD4"/>
    <w:rsid w:val="00CE7C32"/>
    <w:rsid w:val="00CF04D3"/>
    <w:rsid w:val="00CF0CD6"/>
    <w:rsid w:val="00CF11CC"/>
    <w:rsid w:val="00CF1556"/>
    <w:rsid w:val="00CF218F"/>
    <w:rsid w:val="00CF2597"/>
    <w:rsid w:val="00CF2E68"/>
    <w:rsid w:val="00CF3A5F"/>
    <w:rsid w:val="00CF588F"/>
    <w:rsid w:val="00CF60E5"/>
    <w:rsid w:val="00D00E31"/>
    <w:rsid w:val="00D0158D"/>
    <w:rsid w:val="00D04C0C"/>
    <w:rsid w:val="00D04FE9"/>
    <w:rsid w:val="00D050C7"/>
    <w:rsid w:val="00D0581E"/>
    <w:rsid w:val="00D05829"/>
    <w:rsid w:val="00D0598A"/>
    <w:rsid w:val="00D06140"/>
    <w:rsid w:val="00D1121B"/>
    <w:rsid w:val="00D1176F"/>
    <w:rsid w:val="00D12128"/>
    <w:rsid w:val="00D13B1F"/>
    <w:rsid w:val="00D14458"/>
    <w:rsid w:val="00D1627E"/>
    <w:rsid w:val="00D177D9"/>
    <w:rsid w:val="00D20B54"/>
    <w:rsid w:val="00D20F1A"/>
    <w:rsid w:val="00D214C0"/>
    <w:rsid w:val="00D229DA"/>
    <w:rsid w:val="00D23EA4"/>
    <w:rsid w:val="00D26AC5"/>
    <w:rsid w:val="00D278C5"/>
    <w:rsid w:val="00D30DBF"/>
    <w:rsid w:val="00D30EA1"/>
    <w:rsid w:val="00D32C89"/>
    <w:rsid w:val="00D33621"/>
    <w:rsid w:val="00D33C8A"/>
    <w:rsid w:val="00D345B7"/>
    <w:rsid w:val="00D34FF3"/>
    <w:rsid w:val="00D36EC1"/>
    <w:rsid w:val="00D40209"/>
    <w:rsid w:val="00D4181A"/>
    <w:rsid w:val="00D41B7F"/>
    <w:rsid w:val="00D431A8"/>
    <w:rsid w:val="00D43265"/>
    <w:rsid w:val="00D43D0B"/>
    <w:rsid w:val="00D450B6"/>
    <w:rsid w:val="00D452D5"/>
    <w:rsid w:val="00D45A75"/>
    <w:rsid w:val="00D46AE5"/>
    <w:rsid w:val="00D515BA"/>
    <w:rsid w:val="00D5316D"/>
    <w:rsid w:val="00D5444A"/>
    <w:rsid w:val="00D544F6"/>
    <w:rsid w:val="00D54A0A"/>
    <w:rsid w:val="00D5501A"/>
    <w:rsid w:val="00D564ED"/>
    <w:rsid w:val="00D56B2C"/>
    <w:rsid w:val="00D56CAA"/>
    <w:rsid w:val="00D5751A"/>
    <w:rsid w:val="00D57A3C"/>
    <w:rsid w:val="00D57E29"/>
    <w:rsid w:val="00D61E7B"/>
    <w:rsid w:val="00D63271"/>
    <w:rsid w:val="00D6386C"/>
    <w:rsid w:val="00D63BF2"/>
    <w:rsid w:val="00D642DC"/>
    <w:rsid w:val="00D65C9C"/>
    <w:rsid w:val="00D65D66"/>
    <w:rsid w:val="00D67145"/>
    <w:rsid w:val="00D6799E"/>
    <w:rsid w:val="00D711CC"/>
    <w:rsid w:val="00D71968"/>
    <w:rsid w:val="00D71BD4"/>
    <w:rsid w:val="00D71C53"/>
    <w:rsid w:val="00D71FA0"/>
    <w:rsid w:val="00D72584"/>
    <w:rsid w:val="00D743AF"/>
    <w:rsid w:val="00D74A85"/>
    <w:rsid w:val="00D74C5D"/>
    <w:rsid w:val="00D755A2"/>
    <w:rsid w:val="00D76737"/>
    <w:rsid w:val="00D77AE0"/>
    <w:rsid w:val="00D77F24"/>
    <w:rsid w:val="00D80BEF"/>
    <w:rsid w:val="00D819D5"/>
    <w:rsid w:val="00D82327"/>
    <w:rsid w:val="00D82C38"/>
    <w:rsid w:val="00D833B6"/>
    <w:rsid w:val="00D8351C"/>
    <w:rsid w:val="00D83601"/>
    <w:rsid w:val="00D83FCB"/>
    <w:rsid w:val="00D8409D"/>
    <w:rsid w:val="00D843D8"/>
    <w:rsid w:val="00D84BEC"/>
    <w:rsid w:val="00D8585A"/>
    <w:rsid w:val="00D85B8F"/>
    <w:rsid w:val="00D860BD"/>
    <w:rsid w:val="00D86C07"/>
    <w:rsid w:val="00D91A85"/>
    <w:rsid w:val="00D9272F"/>
    <w:rsid w:val="00D92882"/>
    <w:rsid w:val="00D92C0E"/>
    <w:rsid w:val="00D92E6F"/>
    <w:rsid w:val="00D932F6"/>
    <w:rsid w:val="00D9385D"/>
    <w:rsid w:val="00D93C1F"/>
    <w:rsid w:val="00D9440C"/>
    <w:rsid w:val="00D944FF"/>
    <w:rsid w:val="00D94DF0"/>
    <w:rsid w:val="00D95517"/>
    <w:rsid w:val="00D97D28"/>
    <w:rsid w:val="00DA0AAA"/>
    <w:rsid w:val="00DA0FB1"/>
    <w:rsid w:val="00DA14ED"/>
    <w:rsid w:val="00DA2998"/>
    <w:rsid w:val="00DA3DC4"/>
    <w:rsid w:val="00DA40EE"/>
    <w:rsid w:val="00DA4A13"/>
    <w:rsid w:val="00DA4AC2"/>
    <w:rsid w:val="00DA5CA0"/>
    <w:rsid w:val="00DA716C"/>
    <w:rsid w:val="00DA771D"/>
    <w:rsid w:val="00DA7A76"/>
    <w:rsid w:val="00DA7C2D"/>
    <w:rsid w:val="00DB032C"/>
    <w:rsid w:val="00DB07FE"/>
    <w:rsid w:val="00DB14D3"/>
    <w:rsid w:val="00DB1617"/>
    <w:rsid w:val="00DB1D1A"/>
    <w:rsid w:val="00DB1D40"/>
    <w:rsid w:val="00DB2F93"/>
    <w:rsid w:val="00DB4C6F"/>
    <w:rsid w:val="00DB5BC2"/>
    <w:rsid w:val="00DB5CF1"/>
    <w:rsid w:val="00DB5DF0"/>
    <w:rsid w:val="00DB62C2"/>
    <w:rsid w:val="00DB6F9E"/>
    <w:rsid w:val="00DB6FBD"/>
    <w:rsid w:val="00DC05C7"/>
    <w:rsid w:val="00DC06BB"/>
    <w:rsid w:val="00DC1D47"/>
    <w:rsid w:val="00DC2378"/>
    <w:rsid w:val="00DC58BF"/>
    <w:rsid w:val="00DC5961"/>
    <w:rsid w:val="00DC5ADC"/>
    <w:rsid w:val="00DC7204"/>
    <w:rsid w:val="00DD197E"/>
    <w:rsid w:val="00DD1D3C"/>
    <w:rsid w:val="00DD29DC"/>
    <w:rsid w:val="00DD2ABD"/>
    <w:rsid w:val="00DD37E0"/>
    <w:rsid w:val="00DD644C"/>
    <w:rsid w:val="00DD72B7"/>
    <w:rsid w:val="00DE07DF"/>
    <w:rsid w:val="00DE24F9"/>
    <w:rsid w:val="00DE2571"/>
    <w:rsid w:val="00DE38CD"/>
    <w:rsid w:val="00DE4490"/>
    <w:rsid w:val="00DF0790"/>
    <w:rsid w:val="00DF0ED0"/>
    <w:rsid w:val="00DF1140"/>
    <w:rsid w:val="00DF140A"/>
    <w:rsid w:val="00DF2166"/>
    <w:rsid w:val="00DF3FF3"/>
    <w:rsid w:val="00DF45D2"/>
    <w:rsid w:val="00DF5AC6"/>
    <w:rsid w:val="00DF6597"/>
    <w:rsid w:val="00DF6676"/>
    <w:rsid w:val="00DF7132"/>
    <w:rsid w:val="00DF74A8"/>
    <w:rsid w:val="00E00FA1"/>
    <w:rsid w:val="00E02CCD"/>
    <w:rsid w:val="00E03221"/>
    <w:rsid w:val="00E03613"/>
    <w:rsid w:val="00E03CFC"/>
    <w:rsid w:val="00E047AC"/>
    <w:rsid w:val="00E0607C"/>
    <w:rsid w:val="00E06759"/>
    <w:rsid w:val="00E06F2E"/>
    <w:rsid w:val="00E07785"/>
    <w:rsid w:val="00E10C7A"/>
    <w:rsid w:val="00E1106E"/>
    <w:rsid w:val="00E115D3"/>
    <w:rsid w:val="00E12183"/>
    <w:rsid w:val="00E12284"/>
    <w:rsid w:val="00E12DE3"/>
    <w:rsid w:val="00E132D2"/>
    <w:rsid w:val="00E14A58"/>
    <w:rsid w:val="00E170E5"/>
    <w:rsid w:val="00E17A50"/>
    <w:rsid w:val="00E17DB0"/>
    <w:rsid w:val="00E20594"/>
    <w:rsid w:val="00E21123"/>
    <w:rsid w:val="00E229D1"/>
    <w:rsid w:val="00E23A99"/>
    <w:rsid w:val="00E25225"/>
    <w:rsid w:val="00E253D3"/>
    <w:rsid w:val="00E25576"/>
    <w:rsid w:val="00E25877"/>
    <w:rsid w:val="00E26416"/>
    <w:rsid w:val="00E30BF3"/>
    <w:rsid w:val="00E30ED6"/>
    <w:rsid w:val="00E31329"/>
    <w:rsid w:val="00E3144E"/>
    <w:rsid w:val="00E3468E"/>
    <w:rsid w:val="00E354DC"/>
    <w:rsid w:val="00E374C8"/>
    <w:rsid w:val="00E3778A"/>
    <w:rsid w:val="00E4062C"/>
    <w:rsid w:val="00E406EE"/>
    <w:rsid w:val="00E41164"/>
    <w:rsid w:val="00E41A81"/>
    <w:rsid w:val="00E422C1"/>
    <w:rsid w:val="00E42D8B"/>
    <w:rsid w:val="00E44B31"/>
    <w:rsid w:val="00E45ED1"/>
    <w:rsid w:val="00E4714C"/>
    <w:rsid w:val="00E47FF3"/>
    <w:rsid w:val="00E50843"/>
    <w:rsid w:val="00E51429"/>
    <w:rsid w:val="00E52A67"/>
    <w:rsid w:val="00E53931"/>
    <w:rsid w:val="00E53D1D"/>
    <w:rsid w:val="00E54E33"/>
    <w:rsid w:val="00E55021"/>
    <w:rsid w:val="00E5569C"/>
    <w:rsid w:val="00E571FA"/>
    <w:rsid w:val="00E57D44"/>
    <w:rsid w:val="00E57F8F"/>
    <w:rsid w:val="00E61682"/>
    <w:rsid w:val="00E616A4"/>
    <w:rsid w:val="00E65180"/>
    <w:rsid w:val="00E6528E"/>
    <w:rsid w:val="00E65D8B"/>
    <w:rsid w:val="00E66A61"/>
    <w:rsid w:val="00E66BDC"/>
    <w:rsid w:val="00E702D2"/>
    <w:rsid w:val="00E71C8C"/>
    <w:rsid w:val="00E750E3"/>
    <w:rsid w:val="00E755BF"/>
    <w:rsid w:val="00E75A5E"/>
    <w:rsid w:val="00E75B6A"/>
    <w:rsid w:val="00E76349"/>
    <w:rsid w:val="00E76594"/>
    <w:rsid w:val="00E76C2E"/>
    <w:rsid w:val="00E774FA"/>
    <w:rsid w:val="00E77F7F"/>
    <w:rsid w:val="00E80C0F"/>
    <w:rsid w:val="00E80ECF"/>
    <w:rsid w:val="00E81176"/>
    <w:rsid w:val="00E81447"/>
    <w:rsid w:val="00E82F1A"/>
    <w:rsid w:val="00E8402C"/>
    <w:rsid w:val="00E86105"/>
    <w:rsid w:val="00E865A2"/>
    <w:rsid w:val="00E86D1F"/>
    <w:rsid w:val="00E9070A"/>
    <w:rsid w:val="00E90841"/>
    <w:rsid w:val="00E9128C"/>
    <w:rsid w:val="00E91667"/>
    <w:rsid w:val="00E92099"/>
    <w:rsid w:val="00E92A9E"/>
    <w:rsid w:val="00E9330E"/>
    <w:rsid w:val="00E941D8"/>
    <w:rsid w:val="00E94835"/>
    <w:rsid w:val="00E95073"/>
    <w:rsid w:val="00E957C2"/>
    <w:rsid w:val="00E959A1"/>
    <w:rsid w:val="00E962EA"/>
    <w:rsid w:val="00E967C7"/>
    <w:rsid w:val="00E97AE8"/>
    <w:rsid w:val="00E97B08"/>
    <w:rsid w:val="00EA1E47"/>
    <w:rsid w:val="00EA339C"/>
    <w:rsid w:val="00EA3C1F"/>
    <w:rsid w:val="00EA3FCC"/>
    <w:rsid w:val="00EA5086"/>
    <w:rsid w:val="00EA5515"/>
    <w:rsid w:val="00EA5875"/>
    <w:rsid w:val="00EA6387"/>
    <w:rsid w:val="00EA7ADB"/>
    <w:rsid w:val="00EB00C5"/>
    <w:rsid w:val="00EB00E9"/>
    <w:rsid w:val="00EB0971"/>
    <w:rsid w:val="00EB0F7F"/>
    <w:rsid w:val="00EB144E"/>
    <w:rsid w:val="00EB2771"/>
    <w:rsid w:val="00EB2BC0"/>
    <w:rsid w:val="00EB2BE3"/>
    <w:rsid w:val="00EB6DA0"/>
    <w:rsid w:val="00EC00CC"/>
    <w:rsid w:val="00EC0C45"/>
    <w:rsid w:val="00EC21E3"/>
    <w:rsid w:val="00EC29DB"/>
    <w:rsid w:val="00EC2D90"/>
    <w:rsid w:val="00EC3254"/>
    <w:rsid w:val="00EC3A73"/>
    <w:rsid w:val="00EC3CDF"/>
    <w:rsid w:val="00EC4285"/>
    <w:rsid w:val="00EC75FF"/>
    <w:rsid w:val="00EC7988"/>
    <w:rsid w:val="00EC7B9F"/>
    <w:rsid w:val="00ED0A51"/>
    <w:rsid w:val="00ED12B2"/>
    <w:rsid w:val="00ED20E2"/>
    <w:rsid w:val="00ED4D39"/>
    <w:rsid w:val="00ED590C"/>
    <w:rsid w:val="00ED6911"/>
    <w:rsid w:val="00ED6F2F"/>
    <w:rsid w:val="00ED7411"/>
    <w:rsid w:val="00EE06FA"/>
    <w:rsid w:val="00EE1E23"/>
    <w:rsid w:val="00EE2CF8"/>
    <w:rsid w:val="00EE3AC2"/>
    <w:rsid w:val="00EE63FF"/>
    <w:rsid w:val="00EE7AF4"/>
    <w:rsid w:val="00EF0828"/>
    <w:rsid w:val="00EF0BB0"/>
    <w:rsid w:val="00EF105F"/>
    <w:rsid w:val="00EF1CAA"/>
    <w:rsid w:val="00EF27B3"/>
    <w:rsid w:val="00EF28AD"/>
    <w:rsid w:val="00EF321C"/>
    <w:rsid w:val="00EF6F1B"/>
    <w:rsid w:val="00EF7403"/>
    <w:rsid w:val="00EF75A6"/>
    <w:rsid w:val="00F019F9"/>
    <w:rsid w:val="00F01A4B"/>
    <w:rsid w:val="00F01A62"/>
    <w:rsid w:val="00F0293D"/>
    <w:rsid w:val="00F037E9"/>
    <w:rsid w:val="00F03A47"/>
    <w:rsid w:val="00F03F80"/>
    <w:rsid w:val="00F04E67"/>
    <w:rsid w:val="00F05D56"/>
    <w:rsid w:val="00F061A3"/>
    <w:rsid w:val="00F06378"/>
    <w:rsid w:val="00F06A65"/>
    <w:rsid w:val="00F112B7"/>
    <w:rsid w:val="00F1197E"/>
    <w:rsid w:val="00F11D43"/>
    <w:rsid w:val="00F12B3D"/>
    <w:rsid w:val="00F13549"/>
    <w:rsid w:val="00F13F48"/>
    <w:rsid w:val="00F14DCD"/>
    <w:rsid w:val="00F15992"/>
    <w:rsid w:val="00F15C36"/>
    <w:rsid w:val="00F16497"/>
    <w:rsid w:val="00F21CF5"/>
    <w:rsid w:val="00F22068"/>
    <w:rsid w:val="00F227C1"/>
    <w:rsid w:val="00F22CC7"/>
    <w:rsid w:val="00F2401E"/>
    <w:rsid w:val="00F2406B"/>
    <w:rsid w:val="00F24C04"/>
    <w:rsid w:val="00F24F41"/>
    <w:rsid w:val="00F2586C"/>
    <w:rsid w:val="00F26D2A"/>
    <w:rsid w:val="00F27495"/>
    <w:rsid w:val="00F3076B"/>
    <w:rsid w:val="00F30A6F"/>
    <w:rsid w:val="00F31CB7"/>
    <w:rsid w:val="00F323E0"/>
    <w:rsid w:val="00F32D4F"/>
    <w:rsid w:val="00F34D77"/>
    <w:rsid w:val="00F34D81"/>
    <w:rsid w:val="00F34E3C"/>
    <w:rsid w:val="00F35674"/>
    <w:rsid w:val="00F36877"/>
    <w:rsid w:val="00F369D6"/>
    <w:rsid w:val="00F41BC1"/>
    <w:rsid w:val="00F441D5"/>
    <w:rsid w:val="00F45814"/>
    <w:rsid w:val="00F463EA"/>
    <w:rsid w:val="00F50275"/>
    <w:rsid w:val="00F5036E"/>
    <w:rsid w:val="00F50581"/>
    <w:rsid w:val="00F51024"/>
    <w:rsid w:val="00F532A5"/>
    <w:rsid w:val="00F553A3"/>
    <w:rsid w:val="00F55680"/>
    <w:rsid w:val="00F5606C"/>
    <w:rsid w:val="00F564F6"/>
    <w:rsid w:val="00F56A5D"/>
    <w:rsid w:val="00F56E8F"/>
    <w:rsid w:val="00F571FD"/>
    <w:rsid w:val="00F6057D"/>
    <w:rsid w:val="00F60ACE"/>
    <w:rsid w:val="00F6363A"/>
    <w:rsid w:val="00F664CE"/>
    <w:rsid w:val="00F66B62"/>
    <w:rsid w:val="00F6720C"/>
    <w:rsid w:val="00F702FE"/>
    <w:rsid w:val="00F70F2E"/>
    <w:rsid w:val="00F71774"/>
    <w:rsid w:val="00F72330"/>
    <w:rsid w:val="00F72C20"/>
    <w:rsid w:val="00F731CA"/>
    <w:rsid w:val="00F742CA"/>
    <w:rsid w:val="00F743A5"/>
    <w:rsid w:val="00F7453C"/>
    <w:rsid w:val="00F74918"/>
    <w:rsid w:val="00F75C98"/>
    <w:rsid w:val="00F76D7B"/>
    <w:rsid w:val="00F76E34"/>
    <w:rsid w:val="00F8030F"/>
    <w:rsid w:val="00F82519"/>
    <w:rsid w:val="00F85202"/>
    <w:rsid w:val="00F85724"/>
    <w:rsid w:val="00F85D86"/>
    <w:rsid w:val="00F867AE"/>
    <w:rsid w:val="00F86CBD"/>
    <w:rsid w:val="00F86F53"/>
    <w:rsid w:val="00F86F7E"/>
    <w:rsid w:val="00F87F68"/>
    <w:rsid w:val="00F907B6"/>
    <w:rsid w:val="00F90DE7"/>
    <w:rsid w:val="00F92B84"/>
    <w:rsid w:val="00F9553D"/>
    <w:rsid w:val="00F97390"/>
    <w:rsid w:val="00F97D30"/>
    <w:rsid w:val="00FA01BB"/>
    <w:rsid w:val="00FA113E"/>
    <w:rsid w:val="00FA1A91"/>
    <w:rsid w:val="00FA2022"/>
    <w:rsid w:val="00FA2A1D"/>
    <w:rsid w:val="00FA3DF4"/>
    <w:rsid w:val="00FA49E6"/>
    <w:rsid w:val="00FA59BF"/>
    <w:rsid w:val="00FA652F"/>
    <w:rsid w:val="00FA69CE"/>
    <w:rsid w:val="00FB0376"/>
    <w:rsid w:val="00FB072F"/>
    <w:rsid w:val="00FB083F"/>
    <w:rsid w:val="00FB0A6F"/>
    <w:rsid w:val="00FB11BA"/>
    <w:rsid w:val="00FB1537"/>
    <w:rsid w:val="00FB19A8"/>
    <w:rsid w:val="00FB2124"/>
    <w:rsid w:val="00FB27B7"/>
    <w:rsid w:val="00FB2DE9"/>
    <w:rsid w:val="00FB325B"/>
    <w:rsid w:val="00FB3477"/>
    <w:rsid w:val="00FB3C57"/>
    <w:rsid w:val="00FB5F3B"/>
    <w:rsid w:val="00FB6816"/>
    <w:rsid w:val="00FC0E71"/>
    <w:rsid w:val="00FC15EA"/>
    <w:rsid w:val="00FC2104"/>
    <w:rsid w:val="00FC23F9"/>
    <w:rsid w:val="00FC2D34"/>
    <w:rsid w:val="00FC42A2"/>
    <w:rsid w:val="00FC4760"/>
    <w:rsid w:val="00FC4858"/>
    <w:rsid w:val="00FC5525"/>
    <w:rsid w:val="00FC6C83"/>
    <w:rsid w:val="00FC704F"/>
    <w:rsid w:val="00FC71BA"/>
    <w:rsid w:val="00FC752C"/>
    <w:rsid w:val="00FD0C15"/>
    <w:rsid w:val="00FD0D7D"/>
    <w:rsid w:val="00FD1091"/>
    <w:rsid w:val="00FD111A"/>
    <w:rsid w:val="00FD1F72"/>
    <w:rsid w:val="00FD3DCF"/>
    <w:rsid w:val="00FD50A8"/>
    <w:rsid w:val="00FD7317"/>
    <w:rsid w:val="00FE10C6"/>
    <w:rsid w:val="00FE14FB"/>
    <w:rsid w:val="00FE1545"/>
    <w:rsid w:val="00FE4463"/>
    <w:rsid w:val="00FE4C39"/>
    <w:rsid w:val="00FE5B28"/>
    <w:rsid w:val="00FE5DA3"/>
    <w:rsid w:val="00FE7034"/>
    <w:rsid w:val="00FF07AF"/>
    <w:rsid w:val="00FF1310"/>
    <w:rsid w:val="00FF2139"/>
    <w:rsid w:val="00FF3547"/>
    <w:rsid w:val="00FF42A0"/>
    <w:rsid w:val="00FF46DA"/>
    <w:rsid w:val="00FF58C6"/>
    <w:rsid w:val="00FF68D3"/>
    <w:rsid w:val="02D52081"/>
    <w:rsid w:val="04A125F0"/>
    <w:rsid w:val="051C169D"/>
    <w:rsid w:val="05B57DF5"/>
    <w:rsid w:val="05D71D1E"/>
    <w:rsid w:val="05EA3F27"/>
    <w:rsid w:val="05F4037F"/>
    <w:rsid w:val="06130D1B"/>
    <w:rsid w:val="06A51E5F"/>
    <w:rsid w:val="07131902"/>
    <w:rsid w:val="073B6792"/>
    <w:rsid w:val="0762455E"/>
    <w:rsid w:val="07F004D3"/>
    <w:rsid w:val="086103B8"/>
    <w:rsid w:val="0A0C57CD"/>
    <w:rsid w:val="0A1F583B"/>
    <w:rsid w:val="0A321E77"/>
    <w:rsid w:val="0AF8142B"/>
    <w:rsid w:val="0AF85876"/>
    <w:rsid w:val="0AFA259B"/>
    <w:rsid w:val="0B673184"/>
    <w:rsid w:val="0C3B18F4"/>
    <w:rsid w:val="0C663E2F"/>
    <w:rsid w:val="0C985340"/>
    <w:rsid w:val="0CEA760F"/>
    <w:rsid w:val="0D2A3EAD"/>
    <w:rsid w:val="0D904F60"/>
    <w:rsid w:val="0F8365B5"/>
    <w:rsid w:val="0F9D564B"/>
    <w:rsid w:val="10425E62"/>
    <w:rsid w:val="110C47F5"/>
    <w:rsid w:val="12F1403F"/>
    <w:rsid w:val="13AE4806"/>
    <w:rsid w:val="14363218"/>
    <w:rsid w:val="15014D40"/>
    <w:rsid w:val="15474F67"/>
    <w:rsid w:val="154E72A8"/>
    <w:rsid w:val="16220F72"/>
    <w:rsid w:val="1780765F"/>
    <w:rsid w:val="18667226"/>
    <w:rsid w:val="18C54F8F"/>
    <w:rsid w:val="197314BE"/>
    <w:rsid w:val="1A7C6F5B"/>
    <w:rsid w:val="1B4F4F26"/>
    <w:rsid w:val="20102C13"/>
    <w:rsid w:val="20C57DBA"/>
    <w:rsid w:val="20DE4734"/>
    <w:rsid w:val="222D7BE6"/>
    <w:rsid w:val="225A3C5D"/>
    <w:rsid w:val="22D546E3"/>
    <w:rsid w:val="22E828F9"/>
    <w:rsid w:val="230A6D5D"/>
    <w:rsid w:val="233F34B3"/>
    <w:rsid w:val="240F5D5F"/>
    <w:rsid w:val="242C096F"/>
    <w:rsid w:val="243043D6"/>
    <w:rsid w:val="24A20B7B"/>
    <w:rsid w:val="25843552"/>
    <w:rsid w:val="25D12399"/>
    <w:rsid w:val="26B11406"/>
    <w:rsid w:val="27D017F3"/>
    <w:rsid w:val="28962F9D"/>
    <w:rsid w:val="2A281CD1"/>
    <w:rsid w:val="2BED2556"/>
    <w:rsid w:val="2D5F6161"/>
    <w:rsid w:val="2F1D4533"/>
    <w:rsid w:val="2FA0621A"/>
    <w:rsid w:val="301453AF"/>
    <w:rsid w:val="3065118C"/>
    <w:rsid w:val="315F2812"/>
    <w:rsid w:val="318A4E86"/>
    <w:rsid w:val="32537AC4"/>
    <w:rsid w:val="32A8364D"/>
    <w:rsid w:val="32BF375D"/>
    <w:rsid w:val="32DD358A"/>
    <w:rsid w:val="32FB3CC4"/>
    <w:rsid w:val="343A1177"/>
    <w:rsid w:val="34A416D6"/>
    <w:rsid w:val="35B70049"/>
    <w:rsid w:val="36A150E9"/>
    <w:rsid w:val="36BD707B"/>
    <w:rsid w:val="36EA3D40"/>
    <w:rsid w:val="382D05E8"/>
    <w:rsid w:val="3923071D"/>
    <w:rsid w:val="39FC4A34"/>
    <w:rsid w:val="3A015D81"/>
    <w:rsid w:val="3A7367F0"/>
    <w:rsid w:val="3B3740DC"/>
    <w:rsid w:val="3C634979"/>
    <w:rsid w:val="3CB74BA1"/>
    <w:rsid w:val="3CE76F9F"/>
    <w:rsid w:val="3CE9219D"/>
    <w:rsid w:val="3D8552D5"/>
    <w:rsid w:val="3DB9029D"/>
    <w:rsid w:val="3E5A0AB4"/>
    <w:rsid w:val="408D5CFA"/>
    <w:rsid w:val="40FF5FBD"/>
    <w:rsid w:val="41EB2B4A"/>
    <w:rsid w:val="44172621"/>
    <w:rsid w:val="448D6452"/>
    <w:rsid w:val="44AB6A40"/>
    <w:rsid w:val="466E6E2D"/>
    <w:rsid w:val="47450F96"/>
    <w:rsid w:val="474829A8"/>
    <w:rsid w:val="47593DAE"/>
    <w:rsid w:val="478168DD"/>
    <w:rsid w:val="478F4E51"/>
    <w:rsid w:val="47B16259"/>
    <w:rsid w:val="47B464C6"/>
    <w:rsid w:val="47C90500"/>
    <w:rsid w:val="48D56B7F"/>
    <w:rsid w:val="4A886739"/>
    <w:rsid w:val="4C1E0583"/>
    <w:rsid w:val="4C8C174F"/>
    <w:rsid w:val="4CA06286"/>
    <w:rsid w:val="4DEE4078"/>
    <w:rsid w:val="4E3E2CD8"/>
    <w:rsid w:val="4F254E7E"/>
    <w:rsid w:val="4F2F576A"/>
    <w:rsid w:val="4FDD4606"/>
    <w:rsid w:val="5050608C"/>
    <w:rsid w:val="50C90AB2"/>
    <w:rsid w:val="512B26A3"/>
    <w:rsid w:val="51964850"/>
    <w:rsid w:val="521A0311"/>
    <w:rsid w:val="522E6920"/>
    <w:rsid w:val="52502520"/>
    <w:rsid w:val="52A465E5"/>
    <w:rsid w:val="535F11A9"/>
    <w:rsid w:val="53912CDB"/>
    <w:rsid w:val="53C020A8"/>
    <w:rsid w:val="54173913"/>
    <w:rsid w:val="546D3E85"/>
    <w:rsid w:val="54AF78B3"/>
    <w:rsid w:val="55495106"/>
    <w:rsid w:val="57157FAC"/>
    <w:rsid w:val="571E700D"/>
    <w:rsid w:val="577A7C4D"/>
    <w:rsid w:val="57E67865"/>
    <w:rsid w:val="584453B4"/>
    <w:rsid w:val="590E43E1"/>
    <w:rsid w:val="5941087C"/>
    <w:rsid w:val="597A6642"/>
    <w:rsid w:val="5B4A3EC8"/>
    <w:rsid w:val="5D9A2D53"/>
    <w:rsid w:val="5F911BA4"/>
    <w:rsid w:val="60C1646E"/>
    <w:rsid w:val="61A62FED"/>
    <w:rsid w:val="64B3313D"/>
    <w:rsid w:val="65795262"/>
    <w:rsid w:val="66997F95"/>
    <w:rsid w:val="66B6639C"/>
    <w:rsid w:val="66E734F5"/>
    <w:rsid w:val="677C3003"/>
    <w:rsid w:val="686D6CA3"/>
    <w:rsid w:val="6A874A21"/>
    <w:rsid w:val="6D6D4CF9"/>
    <w:rsid w:val="6D8A4C8C"/>
    <w:rsid w:val="6DBF1C08"/>
    <w:rsid w:val="6DED71CD"/>
    <w:rsid w:val="6DF16BA8"/>
    <w:rsid w:val="6F78466C"/>
    <w:rsid w:val="6F812F0D"/>
    <w:rsid w:val="70180CEA"/>
    <w:rsid w:val="711160AC"/>
    <w:rsid w:val="71E36F13"/>
    <w:rsid w:val="71E57DC0"/>
    <w:rsid w:val="722930DD"/>
    <w:rsid w:val="72AC2E1E"/>
    <w:rsid w:val="737B676C"/>
    <w:rsid w:val="73D96BBE"/>
    <w:rsid w:val="73E300A7"/>
    <w:rsid w:val="73E64673"/>
    <w:rsid w:val="740238DF"/>
    <w:rsid w:val="75851CEC"/>
    <w:rsid w:val="7625601A"/>
    <w:rsid w:val="76554A50"/>
    <w:rsid w:val="766A6200"/>
    <w:rsid w:val="767C2C15"/>
    <w:rsid w:val="7736580A"/>
    <w:rsid w:val="77D75529"/>
    <w:rsid w:val="77FA648E"/>
    <w:rsid w:val="783A7029"/>
    <w:rsid w:val="78F71D52"/>
    <w:rsid w:val="793C0542"/>
    <w:rsid w:val="7A48542A"/>
    <w:rsid w:val="7A66052A"/>
    <w:rsid w:val="7ADA435C"/>
    <w:rsid w:val="7D6E05B6"/>
    <w:rsid w:val="7DC7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99"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72"/>
    <w:qFormat/>
    <w:uiPriority w:val="0"/>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73"/>
    <w:qFormat/>
    <w:uiPriority w:val="0"/>
    <w:pPr>
      <w:keepNext/>
      <w:keepLines/>
      <w:spacing w:before="120" w:after="120" w:line="360" w:lineRule="auto"/>
      <w:outlineLvl w:val="2"/>
    </w:pPr>
    <w:rPr>
      <w:b/>
      <w:bCs/>
      <w:szCs w:val="32"/>
    </w:rPr>
  </w:style>
  <w:style w:type="paragraph" w:styleId="7">
    <w:name w:val="heading 4"/>
    <w:basedOn w:val="1"/>
    <w:next w:val="1"/>
    <w:link w:val="7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7"/>
    <w:qFormat/>
    <w:uiPriority w:val="0"/>
    <w:pPr>
      <w:keepNext/>
      <w:keepLines/>
      <w:spacing w:before="280" w:after="290" w:line="376" w:lineRule="auto"/>
      <w:outlineLvl w:val="4"/>
    </w:pPr>
    <w:rPr>
      <w:b/>
      <w:bCs/>
      <w:sz w:val="28"/>
      <w:szCs w:val="28"/>
    </w:rPr>
  </w:style>
  <w:style w:type="paragraph" w:styleId="9">
    <w:name w:val="heading 6"/>
    <w:basedOn w:val="1"/>
    <w:next w:val="1"/>
    <w:link w:val="78"/>
    <w:qFormat/>
    <w:uiPriority w:val="0"/>
    <w:pPr>
      <w:spacing w:before="240" w:after="60"/>
      <w:outlineLvl w:val="5"/>
    </w:pPr>
    <w:rPr>
      <w:i/>
      <w:iCs/>
      <w:sz w:val="22"/>
      <w:szCs w:val="20"/>
    </w:rPr>
  </w:style>
  <w:style w:type="paragraph" w:styleId="10">
    <w:name w:val="heading 7"/>
    <w:basedOn w:val="1"/>
    <w:next w:val="1"/>
    <w:link w:val="79"/>
    <w:qFormat/>
    <w:uiPriority w:val="0"/>
    <w:pPr>
      <w:keepNext/>
      <w:keepLines/>
      <w:spacing w:before="240" w:after="64" w:line="320" w:lineRule="auto"/>
      <w:outlineLvl w:val="6"/>
    </w:pPr>
    <w:rPr>
      <w:b/>
      <w:bCs/>
      <w:sz w:val="24"/>
    </w:rPr>
  </w:style>
  <w:style w:type="paragraph" w:styleId="11">
    <w:name w:val="heading 8"/>
    <w:basedOn w:val="1"/>
    <w:next w:val="1"/>
    <w:link w:val="80"/>
    <w:qFormat/>
    <w:uiPriority w:val="0"/>
    <w:pPr>
      <w:keepNext/>
      <w:keepLines/>
      <w:tabs>
        <w:tab w:val="left" w:pos="0"/>
      </w:tabs>
      <w:spacing w:before="240" w:after="64" w:line="320" w:lineRule="auto"/>
      <w:ind w:left="1440" w:hanging="1440"/>
      <w:outlineLvl w:val="7"/>
    </w:pPr>
    <w:rPr>
      <w:rFonts w:ascii="Cambria" w:hAnsi="Cambria"/>
      <w:sz w:val="24"/>
    </w:rPr>
  </w:style>
  <w:style w:type="paragraph" w:styleId="12">
    <w:name w:val="heading 9"/>
    <w:basedOn w:val="1"/>
    <w:next w:val="1"/>
    <w:link w:val="81"/>
    <w:qFormat/>
    <w:uiPriority w:val="0"/>
    <w:pPr>
      <w:spacing w:before="240" w:after="60"/>
      <w:outlineLvl w:val="8"/>
    </w:pPr>
    <w:rPr>
      <w:rFonts w:ascii="Arial" w:hAnsi="Arial"/>
      <w:b/>
      <w:i/>
      <w:iCs/>
      <w:sz w:val="18"/>
      <w:szCs w:val="20"/>
    </w:rPr>
  </w:style>
  <w:style w:type="character" w:default="1" w:styleId="64">
    <w:name w:val="Default Paragraph Font"/>
    <w:semiHidden/>
    <w:uiPriority w:val="0"/>
  </w:style>
  <w:style w:type="table" w:default="1" w:styleId="57">
    <w:name w:val="Normal Table"/>
    <w:semiHidden/>
    <w:uiPriority w:val="0"/>
    <w:tblPr>
      <w:tblStyle w:val="57"/>
      <w:tblCellMar>
        <w:top w:w="0" w:type="dxa"/>
        <w:left w:w="108" w:type="dxa"/>
        <w:bottom w:w="0" w:type="dxa"/>
        <w:right w:w="108" w:type="dxa"/>
      </w:tblCellMar>
    </w:tblPr>
  </w:style>
  <w:style w:type="paragraph" w:styleId="5">
    <w:name w:val="Normal Indent"/>
    <w:basedOn w:val="1"/>
    <w:next w:val="6"/>
    <w:link w:val="74"/>
    <w:qFormat/>
    <w:uiPriority w:val="99"/>
    <w:pPr>
      <w:ind w:firstLine="420"/>
    </w:pPr>
    <w:rPr>
      <w:szCs w:val="20"/>
    </w:rPr>
  </w:style>
  <w:style w:type="paragraph" w:styleId="6">
    <w:name w:val="Body Text Indent"/>
    <w:basedOn w:val="1"/>
    <w:next w:val="1"/>
    <w:link w:val="75"/>
    <w:qFormat/>
    <w:uiPriority w:val="99"/>
    <w:pPr>
      <w:spacing w:line="200" w:lineRule="exact"/>
      <w:ind w:firstLine="301"/>
    </w:pPr>
    <w:rPr>
      <w:rFonts w:ascii="宋体" w:hAnsi="Courier New"/>
      <w:spacing w:val="-4"/>
      <w:sz w:val="18"/>
      <w:szCs w:val="20"/>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w:basedOn w:val="1"/>
    <w:uiPriority w:val="0"/>
    <w:pPr>
      <w:widowControl/>
      <w:numPr>
        <w:ilvl w:val="0"/>
        <w:numId w:val="1"/>
      </w:numPr>
      <w:tabs>
        <w:tab w:val="left" w:pos="454"/>
        <w:tab w:val="left" w:pos="720"/>
      </w:tabs>
      <w:spacing w:after="50" w:afterLines="50"/>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82"/>
    <w:qFormat/>
    <w:uiPriority w:val="99"/>
    <w:pPr>
      <w:shd w:val="clear" w:color="auto" w:fill="000080"/>
    </w:pPr>
    <w:rPr>
      <w:rFonts w:ascii="Calibri" w:hAnsi="Calibri"/>
      <w:szCs w:val="22"/>
    </w:rPr>
  </w:style>
  <w:style w:type="paragraph" w:styleId="18">
    <w:name w:val="toa heading"/>
    <w:basedOn w:val="1"/>
    <w:next w:val="1"/>
    <w:unhideWhenUsed/>
    <w:qFormat/>
    <w:uiPriority w:val="99"/>
    <w:pPr>
      <w:spacing w:before="120"/>
    </w:pPr>
    <w:rPr>
      <w:rFonts w:ascii="Arial" w:hAnsi="Arial"/>
      <w:sz w:val="24"/>
    </w:rPr>
  </w:style>
  <w:style w:type="paragraph" w:styleId="19">
    <w:name w:val="annotation text"/>
    <w:basedOn w:val="1"/>
    <w:link w:val="83"/>
    <w:qFormat/>
    <w:uiPriority w:val="99"/>
    <w:pPr>
      <w:jc w:val="left"/>
    </w:pPr>
  </w:style>
  <w:style w:type="paragraph" w:styleId="20">
    <w:name w:val="Salutation"/>
    <w:basedOn w:val="1"/>
    <w:next w:val="1"/>
    <w:uiPriority w:val="0"/>
    <w:pPr>
      <w:spacing w:line="520" w:lineRule="exact"/>
    </w:pPr>
    <w:rPr>
      <w:rFonts w:ascii="华文宋体" w:hAnsi="Arial Unicode MS" w:eastAsia="华文宋体"/>
      <w:sz w:val="24"/>
      <w:szCs w:val="20"/>
    </w:rPr>
  </w:style>
  <w:style w:type="paragraph" w:styleId="21">
    <w:name w:val="Body Text 3"/>
    <w:basedOn w:val="1"/>
    <w:link w:val="84"/>
    <w:qFormat/>
    <w:uiPriority w:val="0"/>
    <w:pPr>
      <w:snapToGrid w:val="0"/>
      <w:spacing w:before="50" w:after="50"/>
    </w:pPr>
    <w:rPr>
      <w:rFonts w:hAnsi="宋体" w:eastAsia="仿宋_GB2312"/>
      <w:b/>
      <w:bCs/>
      <w:sz w:val="24"/>
      <w:szCs w:val="20"/>
    </w:rPr>
  </w:style>
  <w:style w:type="paragraph" w:styleId="22">
    <w:name w:val="Body Text"/>
    <w:basedOn w:val="1"/>
    <w:next w:val="23"/>
    <w:link w:val="85"/>
    <w:qFormat/>
    <w:uiPriority w:val="0"/>
    <w:pPr>
      <w:spacing w:after="120"/>
    </w:pPr>
    <w:rPr>
      <w:sz w:val="28"/>
    </w:rPr>
  </w:style>
  <w:style w:type="paragraph" w:styleId="23">
    <w:name w:val="Body Text First Indent"/>
    <w:basedOn w:val="22"/>
    <w:link w:val="86"/>
    <w:qFormat/>
    <w:uiPriority w:val="0"/>
    <w:pPr>
      <w:ind w:firstLine="420" w:firstLineChars="100"/>
    </w:pPr>
    <w:rPr>
      <w:sz w:val="21"/>
    </w:rPr>
  </w:style>
  <w:style w:type="paragraph" w:styleId="24">
    <w:name w:val="List Number 3"/>
    <w:basedOn w:val="1"/>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List Continue"/>
    <w:basedOn w:val="1"/>
    <w:uiPriority w:val="0"/>
    <w:pPr>
      <w:numPr>
        <w:ilvl w:val="8"/>
        <w:numId w:val="2"/>
      </w:numPr>
      <w:tabs>
        <w:tab w:val="clear" w:pos="3780"/>
      </w:tabs>
      <w:spacing w:after="120"/>
      <w:ind w:left="420" w:leftChars="200" w:firstLine="0"/>
    </w:pPr>
  </w:style>
  <w:style w:type="paragraph" w:styleId="27">
    <w:name w:val="Block Text"/>
    <w:basedOn w:val="1"/>
    <w:uiPriority w:val="0"/>
    <w:pPr>
      <w:ind w:left="1200" w:right="-72" w:hanging="30"/>
    </w:pPr>
    <w:rPr>
      <w:rFonts w:ascii="Arial" w:hAnsi="Arial" w:eastAsia="幼圆" w:cs="Arial"/>
      <w:sz w:val="22"/>
      <w:szCs w:val="20"/>
    </w:rPr>
  </w:style>
  <w:style w:type="paragraph" w:styleId="28">
    <w:name w:val="toc 5"/>
    <w:basedOn w:val="1"/>
    <w:next w:val="1"/>
    <w:qFormat/>
    <w:uiPriority w:val="0"/>
    <w:pPr>
      <w:ind w:left="840"/>
      <w:jc w:val="left"/>
    </w:pPr>
    <w:rPr>
      <w:sz w:val="18"/>
      <w:szCs w:val="18"/>
    </w:rPr>
  </w:style>
  <w:style w:type="paragraph" w:styleId="29">
    <w:name w:val="toc 3"/>
    <w:basedOn w:val="1"/>
    <w:next w:val="1"/>
    <w:qFormat/>
    <w:uiPriority w:val="39"/>
    <w:pPr>
      <w:ind w:left="840" w:leftChars="400"/>
    </w:pPr>
  </w:style>
  <w:style w:type="paragraph" w:styleId="30">
    <w:name w:val="Plain Text"/>
    <w:basedOn w:val="1"/>
    <w:link w:val="87"/>
    <w:qFormat/>
    <w:uiPriority w:val="0"/>
    <w:pPr>
      <w:numPr>
        <w:ilvl w:val="0"/>
        <w:numId w:val="3"/>
      </w:numPr>
      <w:spacing w:before="156" w:beforeLines="50" w:after="156" w:afterLines="50" w:line="400" w:lineRule="exact"/>
    </w:pPr>
    <w:rPr>
      <w:rFonts w:ascii="宋体" w:hAnsi="Courier New"/>
      <w:sz w:val="24"/>
    </w:rPr>
  </w:style>
  <w:style w:type="paragraph" w:styleId="31">
    <w:name w:val="toc 8"/>
    <w:basedOn w:val="1"/>
    <w:next w:val="1"/>
    <w:qFormat/>
    <w:uiPriority w:val="0"/>
    <w:pPr>
      <w:ind w:left="1470"/>
      <w:jc w:val="left"/>
    </w:pPr>
    <w:rPr>
      <w:sz w:val="18"/>
      <w:szCs w:val="18"/>
    </w:rPr>
  </w:style>
  <w:style w:type="paragraph" w:styleId="32">
    <w:name w:val="Date"/>
    <w:basedOn w:val="1"/>
    <w:next w:val="1"/>
    <w:link w:val="88"/>
    <w:qFormat/>
    <w:uiPriority w:val="0"/>
    <w:pPr>
      <w:ind w:leftChars="2500"/>
    </w:pPr>
    <w:rPr>
      <w:rFonts w:eastAsia="楷体_GB2312"/>
      <w:sz w:val="32"/>
      <w:szCs w:val="20"/>
    </w:rPr>
  </w:style>
  <w:style w:type="paragraph" w:styleId="33">
    <w:name w:val="Body Text Indent 2"/>
    <w:basedOn w:val="1"/>
    <w:link w:val="89"/>
    <w:qFormat/>
    <w:uiPriority w:val="0"/>
    <w:pPr>
      <w:snapToGrid w:val="0"/>
      <w:ind w:firstLine="542" w:firstLineChars="225"/>
    </w:pPr>
    <w:rPr>
      <w:rFonts w:ascii="仿宋_GB2312" w:hAnsi="宋体" w:cs="Arial"/>
      <w:b/>
      <w:bCs/>
      <w:color w:val="000000"/>
      <w:sz w:val="24"/>
    </w:rPr>
  </w:style>
  <w:style w:type="paragraph" w:styleId="34">
    <w:name w:val="Balloon Text"/>
    <w:basedOn w:val="1"/>
    <w:link w:val="90"/>
    <w:qFormat/>
    <w:uiPriority w:val="0"/>
    <w:rPr>
      <w:rFonts w:ascii="Calibri" w:hAnsi="Calibri"/>
      <w:sz w:val="18"/>
      <w:szCs w:val="18"/>
    </w:rPr>
  </w:style>
  <w:style w:type="paragraph" w:styleId="35">
    <w:name w:val="footer"/>
    <w:basedOn w:val="1"/>
    <w:link w:val="91"/>
    <w:qFormat/>
    <w:uiPriority w:val="0"/>
    <w:pPr>
      <w:tabs>
        <w:tab w:val="center" w:pos="4153"/>
        <w:tab w:val="right" w:pos="8306"/>
      </w:tabs>
      <w:snapToGrid w:val="0"/>
      <w:jc w:val="left"/>
    </w:pPr>
    <w:rPr>
      <w:rFonts w:eastAsia="黑体"/>
      <w:snapToGrid w:val="0"/>
      <w:kern w:val="0"/>
      <w:sz w:val="18"/>
      <w:szCs w:val="18"/>
    </w:rPr>
  </w:style>
  <w:style w:type="paragraph" w:styleId="36">
    <w:name w:val="header"/>
    <w:basedOn w:val="1"/>
    <w:link w:val="92"/>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7">
    <w:name w:val="Signature"/>
    <w:basedOn w:val="1"/>
    <w:link w:val="93"/>
    <w:uiPriority w:val="0"/>
    <w:pPr>
      <w:ind w:left="4320"/>
    </w:pPr>
    <w:rPr>
      <w:rFonts w:eastAsia="楷体_GB2312"/>
      <w:szCs w:val="20"/>
    </w:rPr>
  </w:style>
  <w:style w:type="paragraph" w:styleId="38">
    <w:name w:val="toc 1"/>
    <w:basedOn w:val="1"/>
    <w:next w:val="1"/>
    <w:qFormat/>
    <w:uiPriority w:val="39"/>
    <w:pPr>
      <w:jc w:val="left"/>
    </w:pPr>
  </w:style>
  <w:style w:type="paragraph" w:styleId="39">
    <w:name w:val="toc 4"/>
    <w:basedOn w:val="1"/>
    <w:next w:val="1"/>
    <w:qFormat/>
    <w:uiPriority w:val="0"/>
    <w:pPr>
      <w:ind w:left="630"/>
      <w:jc w:val="left"/>
    </w:pPr>
    <w:rPr>
      <w:rFonts w:eastAsia="楷体_GB2312"/>
      <w:i/>
      <w:szCs w:val="18"/>
    </w:rPr>
  </w:style>
  <w:style w:type="paragraph" w:styleId="40">
    <w:name w:val="Subtitle"/>
    <w:basedOn w:val="1"/>
    <w:next w:val="1"/>
    <w:link w:val="94"/>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ind w:left="200" w:hanging="200" w:hangingChars="200"/>
    </w:pPr>
    <w:rPr>
      <w:sz w:val="28"/>
    </w:rPr>
  </w:style>
  <w:style w:type="paragraph" w:styleId="42">
    <w:name w:val="toc 6"/>
    <w:basedOn w:val="1"/>
    <w:next w:val="1"/>
    <w:qFormat/>
    <w:uiPriority w:val="0"/>
    <w:pPr>
      <w:ind w:left="1050"/>
      <w:jc w:val="left"/>
    </w:pPr>
    <w:rPr>
      <w:sz w:val="18"/>
      <w:szCs w:val="18"/>
    </w:rPr>
  </w:style>
  <w:style w:type="paragraph" w:styleId="43">
    <w:name w:val="List 5"/>
    <w:basedOn w:val="1"/>
    <w:qFormat/>
    <w:uiPriority w:val="0"/>
    <w:pPr>
      <w:ind w:left="100" w:leftChars="800" w:hanging="200" w:hangingChars="200"/>
    </w:pPr>
    <w:rPr>
      <w:szCs w:val="20"/>
    </w:rPr>
  </w:style>
  <w:style w:type="paragraph" w:styleId="44">
    <w:name w:val="Body Text Indent 3"/>
    <w:basedOn w:val="1"/>
    <w:link w:val="95"/>
    <w:qFormat/>
    <w:uiPriority w:val="0"/>
    <w:pPr>
      <w:snapToGrid w:val="0"/>
      <w:ind w:firstLine="480" w:firstLineChars="200"/>
      <w:jc w:val="left"/>
    </w:pPr>
    <w:rPr>
      <w:rFonts w:ascii="仿宋_GB2312" w:hAnsi="宋体" w:eastAsia="仿宋_GB2312"/>
      <w:color w:val="000000"/>
      <w:sz w:val="24"/>
    </w:rPr>
  </w:style>
  <w:style w:type="paragraph" w:styleId="45">
    <w:name w:val="table of figures"/>
    <w:basedOn w:val="1"/>
    <w:next w:val="1"/>
    <w:qFormat/>
    <w:uiPriority w:val="0"/>
    <w:pPr>
      <w:ind w:left="200" w:leftChars="200" w:hanging="200" w:hangingChars="200"/>
    </w:pPr>
  </w:style>
  <w:style w:type="paragraph" w:styleId="46">
    <w:name w:val="toc 2"/>
    <w:basedOn w:val="1"/>
    <w:next w:val="1"/>
    <w:qFormat/>
    <w:uiPriority w:val="39"/>
    <w:pPr>
      <w:ind w:left="420" w:leftChars="200"/>
    </w:pPr>
  </w:style>
  <w:style w:type="paragraph" w:styleId="47">
    <w:name w:val="toc 9"/>
    <w:basedOn w:val="1"/>
    <w:next w:val="1"/>
    <w:qFormat/>
    <w:uiPriority w:val="0"/>
    <w:pPr>
      <w:ind w:left="1680"/>
      <w:jc w:val="left"/>
    </w:pPr>
    <w:rPr>
      <w:sz w:val="18"/>
      <w:szCs w:val="18"/>
    </w:rPr>
  </w:style>
  <w:style w:type="paragraph" w:styleId="48">
    <w:name w:val="Body Text 2"/>
    <w:basedOn w:val="1"/>
    <w:link w:val="96"/>
    <w:qFormat/>
    <w:uiPriority w:val="0"/>
    <w:pPr>
      <w:widowControl/>
      <w:snapToGrid w:val="0"/>
      <w:spacing w:before="50" w:after="156" w:afterLines="50" w:line="400" w:lineRule="exact"/>
      <w:jc w:val="left"/>
    </w:pPr>
    <w:rPr>
      <w:rFonts w:ascii="宋体" w:hAnsi="宋体"/>
      <w:color w:val="000000"/>
      <w:sz w:val="24"/>
    </w:rPr>
  </w:style>
  <w:style w:type="paragraph" w:styleId="49">
    <w:name w:val="List 4"/>
    <w:basedOn w:val="1"/>
    <w:qFormat/>
    <w:uiPriority w:val="0"/>
    <w:pPr>
      <w:ind w:left="100" w:leftChars="600" w:hanging="200" w:hangingChars="200"/>
    </w:pPr>
    <w:rPr>
      <w:szCs w:val="20"/>
    </w:rPr>
  </w:style>
  <w:style w:type="paragraph" w:styleId="50">
    <w:name w:val="HTML Preformatted"/>
    <w:basedOn w:val="1"/>
    <w:link w:val="9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qFormat/>
    <w:uiPriority w:val="0"/>
    <w:pPr>
      <w:jc w:val="left"/>
    </w:pPr>
    <w:rPr>
      <w:kern w:val="0"/>
      <w:sz w:val="24"/>
      <w:szCs w:val="20"/>
    </w:rPr>
  </w:style>
  <w:style w:type="paragraph" w:styleId="52">
    <w:name w:val="index 1"/>
    <w:basedOn w:val="1"/>
    <w:next w:val="1"/>
    <w:qFormat/>
    <w:uiPriority w:val="0"/>
    <w:pPr>
      <w:spacing w:line="360" w:lineRule="auto"/>
      <w:jc w:val="center"/>
    </w:pPr>
    <w:rPr>
      <w:rFonts w:ascii="宋体" w:hAnsi="宋体"/>
      <w:bCs/>
    </w:rPr>
  </w:style>
  <w:style w:type="paragraph" w:styleId="53">
    <w:name w:val="Title"/>
    <w:basedOn w:val="30"/>
    <w:next w:val="30"/>
    <w:link w:val="98"/>
    <w:qFormat/>
    <w:uiPriority w:val="10"/>
    <w:pPr>
      <w:numPr>
        <w:ilvl w:val="0"/>
        <w:numId w:val="0"/>
      </w:numPr>
      <w:tabs>
        <w:tab w:val="left" w:pos="1200"/>
      </w:tabs>
      <w:spacing w:before="0" w:beforeLines="0" w:after="0" w:afterLines="0" w:line="240" w:lineRule="auto"/>
    </w:pPr>
    <w:rPr>
      <w:rFonts w:ascii="Arial" w:hAnsi="Arial"/>
      <w:b/>
      <w:kern w:val="18"/>
      <w:sz w:val="30"/>
      <w:szCs w:val="20"/>
    </w:rPr>
  </w:style>
  <w:style w:type="paragraph" w:styleId="54">
    <w:name w:val="annotation subject"/>
    <w:basedOn w:val="19"/>
    <w:next w:val="19"/>
    <w:link w:val="99"/>
    <w:qFormat/>
    <w:uiPriority w:val="99"/>
    <w:rPr>
      <w:b/>
      <w:bCs/>
    </w:rPr>
  </w:style>
  <w:style w:type="paragraph" w:styleId="55">
    <w:name w:val="Body Text First Indent 2"/>
    <w:basedOn w:val="6"/>
    <w:next w:val="56"/>
    <w:link w:val="100"/>
    <w:qFormat/>
    <w:uiPriority w:val="99"/>
    <w:pPr>
      <w:spacing w:after="120" w:line="240" w:lineRule="auto"/>
      <w:ind w:left="420" w:leftChars="200" w:firstLine="420" w:firstLineChars="200"/>
    </w:pPr>
    <w:rPr>
      <w:sz w:val="21"/>
      <w:szCs w:val="24"/>
    </w:rPr>
  </w:style>
  <w:style w:type="paragraph" w:customStyle="1" w:styleId="56">
    <w:name w:val="xl53"/>
    <w:basedOn w:val="1"/>
    <w:next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58">
    <w:name w:val="Table Grid"/>
    <w:basedOn w:val="57"/>
    <w:qFormat/>
    <w:uiPriority w:val="39"/>
    <w:pPr>
      <w:widowControl w:val="0"/>
      <w:jc w:val="both"/>
    </w:p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9">
    <w:name w:val="Table Theme"/>
    <w:basedOn w:val="57"/>
    <w:uiPriority w:val="0"/>
    <w:pPr>
      <w:widowControl w:val="0"/>
      <w:jc w:val="both"/>
    </w:p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7"/>
    <w:uiPriority w:val="0"/>
    <w:pPr>
      <w:widowControl w:val="0"/>
      <w:jc w:val="both"/>
    </w:pPr>
    <w:tblPr>
      <w:tblStyle w:val="5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7"/>
      </w:tblPr>
      <w:tcPr>
        <w:tcBorders>
          <w:top w:val="nil"/>
          <w:left w:val="nil"/>
          <w:bottom w:val="nil"/>
          <w:right w:val="nil"/>
          <w:insideH w:val="nil"/>
          <w:insideV w:val="nil"/>
          <w:tl2br w:val="nil"/>
          <w:tr2bl w:val="nil"/>
        </w:tcBorders>
      </w:tcPr>
    </w:tblStylePr>
  </w:style>
  <w:style w:type="table" w:styleId="61">
    <w:name w:val="Table Grid 1"/>
    <w:basedOn w:val="57"/>
    <w:uiPriority w:val="0"/>
    <w:pPr>
      <w:widowControl w:val="0"/>
      <w:jc w:val="both"/>
    </w:pPr>
    <w:tblPr>
      <w:tblStyle w:val="5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57"/>
      </w:tblPr>
      <w:tcPr>
        <w:tcBorders>
          <w:top w:val="nil"/>
          <w:left w:val="nil"/>
          <w:bottom w:val="nil"/>
          <w:right w:val="nil"/>
          <w:insideH w:val="nil"/>
          <w:insideV w:val="nil"/>
          <w:tl2br w:val="nil"/>
          <w:tr2bl w:val="nil"/>
        </w:tcBorders>
      </w:tcPr>
    </w:tblStylePr>
    <w:tblStylePr w:type="lastCol">
      <w:rPr>
        <w:i/>
        <w:iCs/>
      </w:rPr>
      <w:tblPr>
        <w:tblStyle w:val="57"/>
      </w:tblPr>
      <w:tcPr>
        <w:tcBorders>
          <w:top w:val="nil"/>
          <w:left w:val="nil"/>
          <w:bottom w:val="nil"/>
          <w:right w:val="nil"/>
          <w:insideH w:val="nil"/>
          <w:insideV w:val="nil"/>
          <w:tl2br w:val="nil"/>
          <w:tr2bl w:val="nil"/>
        </w:tcBorders>
      </w:tcPr>
    </w:tblStylePr>
    <w:tblStylePr w:type="nwCell">
      <w:tblPr>
        <w:tblStyle w:val="57"/>
      </w:tblPr>
      <w:tcPr>
        <w:tcBorders>
          <w:top w:val="nil"/>
          <w:left w:val="nil"/>
          <w:bottom w:val="nil"/>
          <w:right w:val="nil"/>
          <w:insideH w:val="nil"/>
          <w:insideV w:val="nil"/>
          <w:tl2br w:val="single" w:color="000000" w:sz="6" w:space="0"/>
          <w:tr2bl w:val="nil"/>
        </w:tcBorders>
      </w:tcPr>
    </w:tblStylePr>
  </w:style>
  <w:style w:type="table" w:styleId="62">
    <w:name w:val="Table Professional"/>
    <w:basedOn w:val="57"/>
    <w:qFormat/>
    <w:uiPriority w:val="99"/>
    <w:pPr>
      <w:widowControl w:val="0"/>
      <w:jc w:val="both"/>
    </w:pPr>
    <w:tblPr>
      <w:tblStyle w:val="5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57"/>
      </w:tblPr>
      <w:tcPr>
        <w:tcBorders>
          <w:top w:val="nil"/>
          <w:left w:val="nil"/>
          <w:bottom w:val="nil"/>
          <w:right w:val="nil"/>
          <w:insideH w:val="nil"/>
          <w:insideV w:val="nil"/>
          <w:tl2br w:val="nil"/>
          <w:tr2bl w:val="nil"/>
        </w:tcBorders>
        <w:shd w:val="solid" w:color="000000" w:fill="FFFFFF"/>
      </w:tcPr>
    </w:tblStylePr>
  </w:style>
  <w:style w:type="table" w:styleId="63">
    <w:name w:val="Colorful List Accent 1"/>
    <w:basedOn w:val="57"/>
    <w:unhideWhenUsed/>
    <w:uiPriority w:val="0"/>
    <w:rPr>
      <w:rFonts w:ascii="Calibri" w:hAnsi="Calibri"/>
      <w:kern w:val="2"/>
      <w:sz w:val="21"/>
      <w:szCs w:val="22"/>
    </w:rPr>
    <w:tblPr>
      <w:tblStyle w:val="57"/>
      <w:tblStyleRowBandSize w:val="1"/>
      <w:tblStyleColBandSize w:val="1"/>
    </w:tblPr>
    <w:tcPr>
      <w:shd w:val="clear" w:color="auto" w:fill="EDF2F8"/>
    </w:tcPr>
    <w:tblStylePr w:type="firstRow">
      <w:rPr>
        <w:b/>
        <w:bCs/>
        <w:color w:val="FFFFFF"/>
      </w:rPr>
      <w:tblPr>
        <w:tblStyle w:val="57"/>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Style w:val="57"/>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57"/>
      </w:tblPr>
      <w:tcPr>
        <w:tcBorders>
          <w:top w:val="nil"/>
          <w:left w:val="nil"/>
          <w:bottom w:val="nil"/>
          <w:right w:val="nil"/>
          <w:insideH w:val="nil"/>
          <w:insideV w:val="nil"/>
          <w:tl2br w:val="nil"/>
          <w:tr2bl w:val="nil"/>
        </w:tcBorders>
        <w:shd w:val="clear" w:color="auto" w:fill="D3DFEE"/>
      </w:tcPr>
    </w:tblStylePr>
    <w:tblStylePr w:type="band1Horz">
      <w:tblPr>
        <w:tblStyle w:val="57"/>
      </w:tblPr>
      <w:tcPr>
        <w:shd w:val="clear" w:color="auto" w:fill="DBE5F1"/>
      </w:tcPr>
    </w:tblStylePr>
  </w:style>
  <w:style w:type="character" w:styleId="65">
    <w:name w:val="Strong"/>
    <w:qFormat/>
    <w:uiPriority w:val="0"/>
    <w:rPr>
      <w:b/>
    </w:rPr>
  </w:style>
  <w:style w:type="character" w:styleId="66">
    <w:name w:val="page number"/>
    <w:qFormat/>
    <w:uiPriority w:val="0"/>
  </w:style>
  <w:style w:type="character" w:styleId="67">
    <w:name w:val="FollowedHyperlink"/>
    <w:qFormat/>
    <w:uiPriority w:val="0"/>
    <w:rPr>
      <w:color w:val="800080"/>
      <w:u w:val="single"/>
    </w:rPr>
  </w:style>
  <w:style w:type="character" w:styleId="68">
    <w:name w:val="Emphasis"/>
    <w:qFormat/>
    <w:uiPriority w:val="20"/>
    <w:rPr>
      <w:color w:val="CC0033"/>
    </w:rPr>
  </w:style>
  <w:style w:type="character" w:styleId="69">
    <w:name w:val="Hyperlink"/>
    <w:qFormat/>
    <w:uiPriority w:val="99"/>
    <w:rPr>
      <w:color w:val="0000FF"/>
      <w:u w:val="single"/>
    </w:rPr>
  </w:style>
  <w:style w:type="character" w:styleId="70">
    <w:name w:val="annotation reference"/>
    <w:qFormat/>
    <w:uiPriority w:val="99"/>
    <w:rPr>
      <w:sz w:val="21"/>
      <w:szCs w:val="21"/>
    </w:rPr>
  </w:style>
  <w:style w:type="character" w:customStyle="1" w:styleId="71">
    <w:name w:val="标题 2 Char"/>
    <w:link w:val="2"/>
    <w:qFormat/>
    <w:uiPriority w:val="9"/>
    <w:rPr>
      <w:rFonts w:ascii="Arial" w:hAnsi="Arial" w:eastAsia="黑体"/>
      <w:b/>
      <w:bCs/>
      <w:kern w:val="2"/>
      <w:sz w:val="32"/>
      <w:szCs w:val="32"/>
      <w:lang w:val="en-US" w:eastAsia="zh-CN" w:bidi="ar-SA"/>
    </w:rPr>
  </w:style>
  <w:style w:type="character" w:customStyle="1" w:styleId="72">
    <w:name w:val="标题 1 Char"/>
    <w:link w:val="3"/>
    <w:qFormat/>
    <w:locked/>
    <w:uiPriority w:val="0"/>
    <w:rPr>
      <w:rFonts w:ascii="Calibri" w:hAnsi="Calibri" w:eastAsia="宋体"/>
      <w:b/>
      <w:bCs/>
      <w:kern w:val="44"/>
      <w:sz w:val="44"/>
      <w:szCs w:val="44"/>
      <w:lang w:val="en-US" w:eastAsia="zh-CN" w:bidi="ar-SA"/>
    </w:rPr>
  </w:style>
  <w:style w:type="character" w:customStyle="1" w:styleId="73">
    <w:name w:val="标题 3 Char"/>
    <w:link w:val="4"/>
    <w:qFormat/>
    <w:uiPriority w:val="0"/>
    <w:rPr>
      <w:rFonts w:eastAsia="宋体"/>
      <w:b/>
      <w:bCs/>
      <w:kern w:val="2"/>
      <w:sz w:val="21"/>
      <w:szCs w:val="32"/>
      <w:lang w:val="en-US" w:eastAsia="zh-CN" w:bidi="ar-SA"/>
    </w:rPr>
  </w:style>
  <w:style w:type="character" w:customStyle="1" w:styleId="74">
    <w:name w:val="正文缩进 Char"/>
    <w:link w:val="5"/>
    <w:qFormat/>
    <w:uiPriority w:val="0"/>
    <w:rPr>
      <w:rFonts w:eastAsia="宋体"/>
      <w:kern w:val="2"/>
      <w:sz w:val="21"/>
      <w:lang w:val="en-US" w:eastAsia="zh-CN" w:bidi="ar-SA"/>
    </w:rPr>
  </w:style>
  <w:style w:type="character" w:customStyle="1" w:styleId="75">
    <w:name w:val="正文文本缩进 Char"/>
    <w:link w:val="6"/>
    <w:qFormat/>
    <w:locked/>
    <w:uiPriority w:val="0"/>
    <w:rPr>
      <w:rFonts w:ascii="宋体" w:hAnsi="Courier New" w:eastAsia="宋体"/>
      <w:spacing w:val="-4"/>
      <w:kern w:val="2"/>
      <w:sz w:val="18"/>
      <w:lang w:val="en-US" w:eastAsia="zh-CN" w:bidi="ar-SA"/>
    </w:rPr>
  </w:style>
  <w:style w:type="character" w:customStyle="1" w:styleId="76">
    <w:name w:val="标题 4 Char"/>
    <w:link w:val="7"/>
    <w:uiPriority w:val="0"/>
    <w:rPr>
      <w:rFonts w:ascii="Arial" w:hAnsi="Arial" w:eastAsia="黑体"/>
      <w:b/>
      <w:bCs/>
      <w:kern w:val="2"/>
      <w:sz w:val="28"/>
      <w:szCs w:val="28"/>
      <w:lang w:val="en-US" w:eastAsia="zh-CN" w:bidi="ar-SA"/>
    </w:rPr>
  </w:style>
  <w:style w:type="character" w:customStyle="1" w:styleId="77">
    <w:name w:val="标题 5 Char"/>
    <w:link w:val="8"/>
    <w:qFormat/>
    <w:uiPriority w:val="0"/>
    <w:rPr>
      <w:rFonts w:eastAsia="宋体"/>
      <w:b/>
      <w:bCs/>
      <w:kern w:val="2"/>
      <w:sz w:val="28"/>
      <w:szCs w:val="28"/>
      <w:lang w:val="en-US" w:eastAsia="zh-CN" w:bidi="ar-SA"/>
    </w:rPr>
  </w:style>
  <w:style w:type="character" w:customStyle="1" w:styleId="78">
    <w:name w:val="标题 6 Char"/>
    <w:link w:val="9"/>
    <w:uiPriority w:val="0"/>
    <w:rPr>
      <w:rFonts w:eastAsia="宋体"/>
      <w:i/>
      <w:iCs/>
      <w:kern w:val="2"/>
      <w:sz w:val="22"/>
      <w:lang w:val="en-US" w:eastAsia="zh-CN" w:bidi="ar-SA"/>
    </w:rPr>
  </w:style>
  <w:style w:type="character" w:customStyle="1" w:styleId="79">
    <w:name w:val="标题 7 Char"/>
    <w:link w:val="10"/>
    <w:uiPriority w:val="0"/>
    <w:rPr>
      <w:rFonts w:eastAsia="宋体"/>
      <w:b/>
      <w:bCs/>
      <w:kern w:val="2"/>
      <w:sz w:val="24"/>
      <w:szCs w:val="24"/>
      <w:lang w:val="en-US" w:eastAsia="zh-CN" w:bidi="ar-SA"/>
    </w:rPr>
  </w:style>
  <w:style w:type="character" w:customStyle="1" w:styleId="80">
    <w:name w:val="标题 8 Char"/>
    <w:link w:val="11"/>
    <w:uiPriority w:val="0"/>
    <w:rPr>
      <w:rFonts w:ascii="Cambria" w:hAnsi="Cambria" w:eastAsia="宋体"/>
      <w:kern w:val="2"/>
      <w:sz w:val="24"/>
      <w:szCs w:val="24"/>
      <w:lang w:val="en-US" w:eastAsia="zh-CN" w:bidi="ar-SA"/>
    </w:rPr>
  </w:style>
  <w:style w:type="character" w:customStyle="1" w:styleId="81">
    <w:name w:val="标题 9 Char"/>
    <w:link w:val="12"/>
    <w:uiPriority w:val="0"/>
    <w:rPr>
      <w:rFonts w:ascii="Arial" w:hAnsi="Arial" w:eastAsia="宋体"/>
      <w:b/>
      <w:i/>
      <w:iCs/>
      <w:kern w:val="2"/>
      <w:sz w:val="18"/>
      <w:lang w:val="en-US" w:eastAsia="zh-CN" w:bidi="ar-SA"/>
    </w:rPr>
  </w:style>
  <w:style w:type="character" w:customStyle="1" w:styleId="82">
    <w:name w:val="文档结构图 Char"/>
    <w:link w:val="17"/>
    <w:uiPriority w:val="99"/>
    <w:rPr>
      <w:rFonts w:ascii="Calibri" w:hAnsi="Calibri" w:eastAsia="宋体"/>
      <w:kern w:val="2"/>
      <w:sz w:val="21"/>
      <w:szCs w:val="22"/>
      <w:lang w:bidi="ar-SA"/>
    </w:rPr>
  </w:style>
  <w:style w:type="character" w:customStyle="1" w:styleId="83">
    <w:name w:val="批注文字 Char"/>
    <w:link w:val="19"/>
    <w:qFormat/>
    <w:uiPriority w:val="0"/>
    <w:rPr>
      <w:rFonts w:eastAsia="宋体"/>
      <w:kern w:val="2"/>
      <w:sz w:val="21"/>
      <w:szCs w:val="24"/>
      <w:lang w:val="en-US" w:eastAsia="zh-CN" w:bidi="ar-SA"/>
    </w:rPr>
  </w:style>
  <w:style w:type="character" w:customStyle="1" w:styleId="84">
    <w:name w:val="正文文本 3 Char"/>
    <w:link w:val="21"/>
    <w:semiHidden/>
    <w:locked/>
    <w:uiPriority w:val="0"/>
    <w:rPr>
      <w:rFonts w:hAnsi="宋体" w:eastAsia="仿宋_GB2312"/>
      <w:b/>
      <w:bCs/>
      <w:kern w:val="2"/>
      <w:sz w:val="24"/>
      <w:lang w:val="en-US" w:eastAsia="zh-CN" w:bidi="ar-SA"/>
    </w:rPr>
  </w:style>
  <w:style w:type="character" w:customStyle="1" w:styleId="85">
    <w:name w:val="正文文本 Char"/>
    <w:link w:val="22"/>
    <w:qFormat/>
    <w:uiPriority w:val="0"/>
    <w:rPr>
      <w:rFonts w:eastAsia="宋体"/>
      <w:kern w:val="2"/>
      <w:sz w:val="28"/>
      <w:szCs w:val="24"/>
      <w:lang w:val="en-US" w:eastAsia="zh-CN" w:bidi="ar-SA"/>
    </w:rPr>
  </w:style>
  <w:style w:type="character" w:customStyle="1" w:styleId="86">
    <w:name w:val="正文首行缩进 Char"/>
    <w:link w:val="23"/>
    <w:qFormat/>
    <w:uiPriority w:val="0"/>
    <w:rPr>
      <w:rFonts w:eastAsia="宋体"/>
      <w:kern w:val="2"/>
      <w:sz w:val="21"/>
      <w:szCs w:val="24"/>
      <w:lang w:val="en-US" w:eastAsia="zh-CN" w:bidi="ar-SA"/>
    </w:rPr>
  </w:style>
  <w:style w:type="character" w:customStyle="1" w:styleId="87">
    <w:name w:val="纯文本 Char"/>
    <w:aliases w:val="普通文字 Char Char2,纯文本 Char Char Char1,普通文字 Char Char Char2,普通文字 Char2,Texte Char1,普通文字 Char Char Char Char1,正 文 1 Char,普通文字1 Char1,普通文字2 Char,普通文字3 Char,普通文字4 Char,普通文字5 Char,普通文字6 Char,普通文字11 Char,普通文字21 Char,普通文字31 Char,普通文字41 Char,普通文字7 Char"/>
    <w:link w:val="30"/>
    <w:qFormat/>
    <w:uiPriority w:val="0"/>
    <w:rPr>
      <w:rFonts w:ascii="宋体" w:hAnsi="Courier New"/>
      <w:kern w:val="2"/>
      <w:sz w:val="24"/>
      <w:szCs w:val="24"/>
    </w:rPr>
  </w:style>
  <w:style w:type="character" w:customStyle="1" w:styleId="88">
    <w:name w:val="日期 Char"/>
    <w:link w:val="32"/>
    <w:uiPriority w:val="0"/>
    <w:rPr>
      <w:rFonts w:eastAsia="楷体_GB2312"/>
      <w:kern w:val="2"/>
      <w:sz w:val="32"/>
      <w:lang w:val="en-US" w:eastAsia="zh-CN" w:bidi="ar-SA"/>
    </w:rPr>
  </w:style>
  <w:style w:type="character" w:customStyle="1" w:styleId="89">
    <w:name w:val="正文文本缩进 2 Char"/>
    <w:link w:val="33"/>
    <w:uiPriority w:val="0"/>
    <w:rPr>
      <w:rFonts w:ascii="仿宋_GB2312" w:hAnsi="宋体" w:eastAsia="宋体" w:cs="Arial"/>
      <w:b/>
      <w:bCs/>
      <w:color w:val="000000"/>
      <w:kern w:val="2"/>
      <w:sz w:val="24"/>
      <w:szCs w:val="24"/>
      <w:lang w:val="en-US" w:eastAsia="zh-CN" w:bidi="ar-SA"/>
    </w:rPr>
  </w:style>
  <w:style w:type="character" w:customStyle="1" w:styleId="90">
    <w:name w:val="批注框文本 Char"/>
    <w:link w:val="34"/>
    <w:semiHidden/>
    <w:locked/>
    <w:uiPriority w:val="0"/>
    <w:rPr>
      <w:rFonts w:ascii="Calibri" w:hAnsi="Calibri" w:eastAsia="宋体"/>
      <w:kern w:val="2"/>
      <w:sz w:val="18"/>
      <w:szCs w:val="18"/>
      <w:lang w:val="en-US" w:eastAsia="zh-CN" w:bidi="ar-SA"/>
    </w:rPr>
  </w:style>
  <w:style w:type="character" w:customStyle="1" w:styleId="91">
    <w:name w:val="页脚 Char"/>
    <w:link w:val="35"/>
    <w:qFormat/>
    <w:uiPriority w:val="0"/>
    <w:rPr>
      <w:rFonts w:eastAsia="黑体"/>
      <w:snapToGrid w:val="0"/>
      <w:sz w:val="18"/>
      <w:szCs w:val="18"/>
      <w:lang w:val="en-US" w:eastAsia="zh-CN" w:bidi="ar-SA"/>
    </w:rPr>
  </w:style>
  <w:style w:type="character" w:customStyle="1" w:styleId="92">
    <w:name w:val="页眉 Char"/>
    <w:link w:val="36"/>
    <w:qFormat/>
    <w:locked/>
    <w:uiPriority w:val="0"/>
    <w:rPr>
      <w:rFonts w:eastAsia="仿宋_GB2312"/>
      <w:kern w:val="2"/>
      <w:sz w:val="18"/>
      <w:lang w:val="en-US" w:eastAsia="zh-CN" w:bidi="ar-SA"/>
    </w:rPr>
  </w:style>
  <w:style w:type="character" w:customStyle="1" w:styleId="93">
    <w:name w:val="签名 Char"/>
    <w:link w:val="37"/>
    <w:uiPriority w:val="0"/>
    <w:rPr>
      <w:rFonts w:eastAsia="楷体_GB2312"/>
      <w:kern w:val="2"/>
      <w:sz w:val="21"/>
    </w:rPr>
  </w:style>
  <w:style w:type="character" w:customStyle="1" w:styleId="94">
    <w:name w:val="副标题 Char"/>
    <w:link w:val="40"/>
    <w:qFormat/>
    <w:uiPriority w:val="0"/>
    <w:rPr>
      <w:rFonts w:ascii="Cambria" w:hAnsi="Cambria"/>
      <w:b/>
      <w:bCs/>
      <w:kern w:val="28"/>
      <w:sz w:val="32"/>
      <w:szCs w:val="32"/>
    </w:rPr>
  </w:style>
  <w:style w:type="character" w:customStyle="1" w:styleId="95">
    <w:name w:val="正文文本缩进 3 Char"/>
    <w:link w:val="44"/>
    <w:uiPriority w:val="0"/>
    <w:rPr>
      <w:rFonts w:ascii="仿宋_GB2312" w:hAnsi="宋体" w:eastAsia="仿宋_GB2312"/>
      <w:color w:val="000000"/>
      <w:kern w:val="2"/>
      <w:sz w:val="24"/>
      <w:szCs w:val="24"/>
      <w:lang w:val="en-US" w:eastAsia="zh-CN" w:bidi="ar-SA"/>
    </w:rPr>
  </w:style>
  <w:style w:type="character" w:customStyle="1" w:styleId="96">
    <w:name w:val="正文文本 2 Char"/>
    <w:link w:val="48"/>
    <w:uiPriority w:val="0"/>
    <w:rPr>
      <w:rFonts w:ascii="宋体" w:hAnsi="宋体" w:eastAsia="宋体"/>
      <w:color w:val="000000"/>
      <w:kern w:val="2"/>
      <w:sz w:val="24"/>
      <w:szCs w:val="24"/>
      <w:lang w:val="en-US" w:eastAsia="zh-CN" w:bidi="ar-SA"/>
    </w:rPr>
  </w:style>
  <w:style w:type="character" w:customStyle="1" w:styleId="97">
    <w:name w:val="HTML 预设格式 Char"/>
    <w:link w:val="50"/>
    <w:qFormat/>
    <w:uiPriority w:val="0"/>
    <w:rPr>
      <w:rFonts w:ascii="宋体" w:hAnsi="宋体" w:cs="宋体"/>
      <w:sz w:val="24"/>
      <w:szCs w:val="24"/>
    </w:rPr>
  </w:style>
  <w:style w:type="character" w:customStyle="1" w:styleId="98">
    <w:name w:val="标题 Char"/>
    <w:link w:val="53"/>
    <w:qFormat/>
    <w:uiPriority w:val="10"/>
    <w:rPr>
      <w:rFonts w:ascii="Arial" w:hAnsi="Arial"/>
      <w:b/>
      <w:kern w:val="18"/>
      <w:sz w:val="30"/>
    </w:rPr>
  </w:style>
  <w:style w:type="character" w:customStyle="1" w:styleId="99">
    <w:name w:val="批注主题 Char"/>
    <w:link w:val="54"/>
    <w:qFormat/>
    <w:uiPriority w:val="99"/>
    <w:rPr>
      <w:rFonts w:eastAsia="宋体"/>
      <w:b/>
      <w:bCs/>
      <w:kern w:val="2"/>
      <w:sz w:val="21"/>
      <w:szCs w:val="24"/>
      <w:lang w:val="en-US" w:eastAsia="zh-CN" w:bidi="ar-SA"/>
    </w:rPr>
  </w:style>
  <w:style w:type="character" w:customStyle="1" w:styleId="100">
    <w:name w:val="正文首行缩进 2 Char"/>
    <w:link w:val="55"/>
    <w:qFormat/>
    <w:uiPriority w:val="99"/>
    <w:rPr>
      <w:rFonts w:ascii="宋体" w:hAnsi="Courier New" w:eastAsia="宋体"/>
      <w:spacing w:val="-4"/>
      <w:kern w:val="2"/>
      <w:sz w:val="21"/>
      <w:szCs w:val="24"/>
      <w:lang w:val="en-US" w:eastAsia="zh-CN" w:bidi="ar-SA"/>
    </w:rPr>
  </w:style>
  <w:style w:type="character" w:customStyle="1" w:styleId="101">
    <w:name w:val="UserStyle_23"/>
    <w:uiPriority w:val="0"/>
  </w:style>
  <w:style w:type="character" w:customStyle="1" w:styleId="102">
    <w:name w:val="font01"/>
    <w:qFormat/>
    <w:uiPriority w:val="0"/>
    <w:rPr>
      <w:rFonts w:hint="default" w:ascii="Verdana" w:hAnsi="Verdana"/>
      <w:color w:val="000000"/>
      <w:sz w:val="20"/>
      <w:szCs w:val="20"/>
      <w:u w:val="none"/>
    </w:rPr>
  </w:style>
  <w:style w:type="character" w:customStyle="1" w:styleId="103">
    <w:name w:val="标题 2 字符"/>
    <w:uiPriority w:val="0"/>
    <w:rPr>
      <w:rFonts w:ascii="等线 Light" w:hAnsi="等线 Light" w:eastAsia="等线 Light" w:cs="Times New Roman"/>
      <w:b/>
      <w:bCs/>
      <w:sz w:val="32"/>
      <w:szCs w:val="32"/>
    </w:rPr>
  </w:style>
  <w:style w:type="character" w:customStyle="1" w:styleId="104">
    <w:name w:val="批注框文本 字符"/>
    <w:semiHidden/>
    <w:uiPriority w:val="99"/>
    <w:rPr>
      <w:sz w:val="18"/>
      <w:szCs w:val="18"/>
    </w:rPr>
  </w:style>
  <w:style w:type="character" w:customStyle="1" w:styleId="105">
    <w:name w:val="font3"/>
    <w:uiPriority w:val="0"/>
  </w:style>
  <w:style w:type="character" w:customStyle="1" w:styleId="106">
    <w:name w:val="UserStyle_62"/>
    <w:locked/>
    <w:uiPriority w:val="0"/>
    <w:rPr>
      <w:rFonts w:ascii="Calibri" w:hAnsi="Calibri" w:eastAsia="宋体"/>
      <w:kern w:val="2"/>
      <w:sz w:val="21"/>
      <w:szCs w:val="22"/>
      <w:lang w:val="en-US" w:eastAsia="zh-CN" w:bidi="ar-SA"/>
    </w:rPr>
  </w:style>
  <w:style w:type="character" w:customStyle="1" w:styleId="107">
    <w:name w:val="c11"/>
    <w:uiPriority w:val="0"/>
    <w:rPr>
      <w:color w:val="999999"/>
    </w:rPr>
  </w:style>
  <w:style w:type="character" w:customStyle="1" w:styleId="108">
    <w:name w:val="标题 1 字符"/>
    <w:uiPriority w:val="0"/>
    <w:rPr>
      <w:rFonts w:ascii="Times New Roman" w:hAnsi="Times New Roman" w:eastAsia="微软雅黑" w:cs="Times New Roman"/>
      <w:b/>
      <w:bCs/>
      <w:kern w:val="44"/>
      <w:sz w:val="32"/>
      <w:szCs w:val="44"/>
    </w:rPr>
  </w:style>
  <w:style w:type="character" w:customStyle="1" w:styleId="109">
    <w:name w:val=" Char Char12"/>
    <w:locked/>
    <w:uiPriority w:val="0"/>
    <w:rPr>
      <w:rFonts w:cs="Times New Roman"/>
      <w:sz w:val="18"/>
      <w:szCs w:val="18"/>
    </w:rPr>
  </w:style>
  <w:style w:type="character" w:customStyle="1" w:styleId="110">
    <w:name w:val="批注文字 Char Char"/>
    <w:uiPriority w:val="0"/>
    <w:rPr>
      <w:kern w:val="2"/>
      <w:sz w:val="21"/>
    </w:rPr>
  </w:style>
  <w:style w:type="character" w:customStyle="1" w:styleId="111">
    <w:name w:val=" Char Char8"/>
    <w:uiPriority w:val="0"/>
    <w:rPr>
      <w:rFonts w:ascii="Times New Roman" w:hAnsi="Times New Roman" w:cs="Times New Roman"/>
      <w:kern w:val="2"/>
      <w:sz w:val="18"/>
      <w:szCs w:val="18"/>
    </w:rPr>
  </w:style>
  <w:style w:type="character" w:customStyle="1" w:styleId="112">
    <w:name w:val="apple-style-span"/>
    <w:uiPriority w:val="0"/>
  </w:style>
  <w:style w:type="character" w:customStyle="1" w:styleId="113">
    <w:name w:val="标准文本 Char"/>
    <w:link w:val="114"/>
    <w:locked/>
    <w:uiPriority w:val="0"/>
    <w:rPr>
      <w:rFonts w:ascii="宋体" w:hAnsi="宋体"/>
      <w:color w:val="000000"/>
      <w:szCs w:val="21"/>
      <w:lang w:bidi="ar-SA"/>
    </w:rPr>
  </w:style>
  <w:style w:type="paragraph" w:customStyle="1" w:styleId="114">
    <w:name w:val="标准文本"/>
    <w:basedOn w:val="1"/>
    <w:link w:val="113"/>
    <w:uiPriority w:val="0"/>
    <w:pPr>
      <w:tabs>
        <w:tab w:val="left" w:pos="3060"/>
        <w:tab w:val="left" w:pos="6048"/>
        <w:tab w:val="left" w:pos="7668"/>
      </w:tabs>
      <w:spacing w:line="312" w:lineRule="auto"/>
      <w:ind w:firstLine="420" w:firstLineChars="200"/>
    </w:pPr>
    <w:rPr>
      <w:rFonts w:ascii="宋体" w:hAnsi="宋体"/>
      <w:color w:val="000000"/>
      <w:kern w:val="0"/>
      <w:sz w:val="20"/>
      <w:szCs w:val="21"/>
    </w:rPr>
  </w:style>
  <w:style w:type="character" w:customStyle="1" w:styleId="115">
    <w:name w:val="font41"/>
    <w:qFormat/>
    <w:uiPriority w:val="0"/>
    <w:rPr>
      <w:rFonts w:hint="eastAsia" w:ascii="宋体" w:hAnsi="宋体" w:eastAsia="宋体" w:cs="宋体"/>
      <w:b/>
      <w:color w:val="000000"/>
      <w:sz w:val="36"/>
      <w:szCs w:val="36"/>
      <w:u w:val="single"/>
    </w:rPr>
  </w:style>
  <w:style w:type="character" w:customStyle="1" w:styleId="116">
    <w:name w:val="标题 3 字符"/>
    <w:semiHidden/>
    <w:uiPriority w:val="9"/>
    <w:rPr>
      <w:b/>
      <w:bCs/>
      <w:sz w:val="32"/>
      <w:szCs w:val="32"/>
    </w:rPr>
  </w:style>
  <w:style w:type="character" w:customStyle="1" w:styleId="117">
    <w:name w:val="段 Char"/>
    <w:link w:val="118"/>
    <w:uiPriority w:val="0"/>
    <w:rPr>
      <w:rFonts w:ascii="宋体"/>
      <w:sz w:val="21"/>
      <w:lang w:val="en-US" w:eastAsia="zh-CN" w:bidi="ar-SA"/>
    </w:rPr>
  </w:style>
  <w:style w:type="paragraph" w:customStyle="1" w:styleId="118">
    <w:name w:val="段"/>
    <w:link w:val="117"/>
    <w:uiPriority w:val="0"/>
    <w:pPr>
      <w:autoSpaceDE w:val="0"/>
      <w:autoSpaceDN w:val="0"/>
      <w:ind w:firstLine="200" w:firstLineChars="200"/>
      <w:jc w:val="both"/>
    </w:pPr>
    <w:rPr>
      <w:rFonts w:ascii="宋体"/>
      <w:sz w:val="21"/>
      <w:lang w:val="en-US" w:eastAsia="zh-CN" w:bidi="ar-SA"/>
    </w:rPr>
  </w:style>
  <w:style w:type="character" w:customStyle="1" w:styleId="119">
    <w:name w:val="标题 2 字符1"/>
    <w:uiPriority w:val="0"/>
    <w:rPr>
      <w:rFonts w:ascii="Arial" w:hAnsi="Arial" w:eastAsia="微软雅黑" w:cs="Times New Roman"/>
      <w:b/>
      <w:bCs/>
      <w:sz w:val="30"/>
      <w:szCs w:val="32"/>
    </w:rPr>
  </w:style>
  <w:style w:type="character" w:customStyle="1" w:styleId="120">
    <w:name w:val="bookmark-item"/>
    <w:uiPriority w:val="0"/>
  </w:style>
  <w:style w:type="character" w:customStyle="1" w:styleId="121">
    <w:name w:val="style31"/>
    <w:uiPriority w:val="0"/>
    <w:rPr>
      <w:sz w:val="18"/>
    </w:rPr>
  </w:style>
  <w:style w:type="character" w:customStyle="1" w:styleId="122">
    <w:name w:val="样式1 Char Char"/>
    <w:link w:val="123"/>
    <w:qFormat/>
    <w:uiPriority w:val="0"/>
    <w:rPr>
      <w:rFonts w:ascii="宋体" w:hAnsi="宋体" w:cs="Arial Unicode MS"/>
      <w:b/>
      <w:kern w:val="44"/>
      <w:sz w:val="32"/>
    </w:rPr>
  </w:style>
  <w:style w:type="paragraph" w:customStyle="1" w:styleId="123">
    <w:name w:val="样式1"/>
    <w:basedOn w:val="3"/>
    <w:link w:val="122"/>
    <w:qFormat/>
    <w:uiPriority w:val="0"/>
    <w:pPr>
      <w:adjustRightInd w:val="0"/>
      <w:spacing w:before="240" w:after="240" w:line="360" w:lineRule="auto"/>
      <w:jc w:val="left"/>
      <w:textAlignment w:val="baseline"/>
    </w:pPr>
    <w:rPr>
      <w:rFonts w:ascii="宋体" w:hAnsi="宋体"/>
      <w:bCs w:val="0"/>
      <w:sz w:val="32"/>
      <w:szCs w:val="20"/>
    </w:rPr>
  </w:style>
  <w:style w:type="character" w:customStyle="1" w:styleId="124">
    <w:name w:val="正文文本缩进 字符"/>
    <w:qFormat/>
    <w:locked/>
    <w:uiPriority w:val="0"/>
    <w:rPr>
      <w:rFonts w:ascii="宋体" w:hAnsi="Courier New" w:eastAsia="宋体"/>
      <w:spacing w:val="-4"/>
      <w:kern w:val="2"/>
      <w:sz w:val="18"/>
      <w:lang w:val="en-US" w:eastAsia="zh-CN" w:bidi="ar-SA"/>
    </w:rPr>
  </w:style>
  <w:style w:type="character" w:customStyle="1" w:styleId="125">
    <w:name w:val="font111"/>
    <w:uiPriority w:val="0"/>
    <w:rPr>
      <w:rFonts w:hint="eastAsia" w:ascii="宋体" w:hAnsi="宋体" w:eastAsia="宋体" w:cs="宋体"/>
      <w:color w:val="000000"/>
      <w:sz w:val="20"/>
      <w:szCs w:val="20"/>
      <w:u w:val="none"/>
    </w:rPr>
  </w:style>
  <w:style w:type="character" w:customStyle="1" w:styleId="126">
    <w:name w:val="font101"/>
    <w:uiPriority w:val="0"/>
    <w:rPr>
      <w:rFonts w:hint="eastAsia" w:ascii="微软雅黑" w:hAnsi="微软雅黑" w:eastAsia="微软雅黑" w:cs="微软雅黑"/>
      <w:color w:val="000000"/>
      <w:sz w:val="20"/>
      <w:szCs w:val="20"/>
      <w:u w:val="none"/>
    </w:rPr>
  </w:style>
  <w:style w:type="character" w:customStyle="1" w:styleId="127">
    <w:name w:val="UserStyle_95"/>
    <w:link w:val="128"/>
    <w:locked/>
    <w:uiPriority w:val="0"/>
    <w:rPr>
      <w:rFonts w:ascii="Calibri" w:hAnsi="Calibri"/>
      <w:b/>
      <w:bCs/>
      <w:kern w:val="44"/>
      <w:sz w:val="44"/>
      <w:szCs w:val="44"/>
    </w:rPr>
  </w:style>
  <w:style w:type="paragraph" w:customStyle="1" w:styleId="128">
    <w:name w:val="Heading1"/>
    <w:basedOn w:val="1"/>
    <w:next w:val="1"/>
    <w:link w:val="127"/>
    <w:uiPriority w:val="0"/>
    <w:pPr>
      <w:keepNext/>
      <w:keepLines/>
      <w:widowControl/>
      <w:spacing w:before="340" w:after="330" w:line="578" w:lineRule="auto"/>
      <w:textAlignment w:val="baseline"/>
    </w:pPr>
    <w:rPr>
      <w:rFonts w:ascii="Calibri" w:hAnsi="Calibri"/>
      <w:b/>
      <w:bCs/>
      <w:kern w:val="44"/>
      <w:sz w:val="44"/>
      <w:szCs w:val="44"/>
    </w:rPr>
  </w:style>
  <w:style w:type="character" w:customStyle="1" w:styleId="129">
    <w:name w:val="UserStyle_0"/>
    <w:link w:val="130"/>
    <w:uiPriority w:val="0"/>
    <w:rPr>
      <w:rFonts w:ascii="Arial" w:hAnsi="Arial" w:eastAsia="黑体"/>
      <w:b/>
      <w:bCs/>
      <w:kern w:val="2"/>
      <w:sz w:val="32"/>
      <w:szCs w:val="32"/>
    </w:rPr>
  </w:style>
  <w:style w:type="paragraph" w:customStyle="1" w:styleId="130">
    <w:name w:val="Heading2"/>
    <w:basedOn w:val="1"/>
    <w:next w:val="1"/>
    <w:link w:val="129"/>
    <w:uiPriority w:val="0"/>
    <w:pPr>
      <w:keepNext/>
      <w:keepLines/>
      <w:widowControl/>
      <w:spacing w:before="260" w:after="260" w:line="416" w:lineRule="auto"/>
      <w:textAlignment w:val="baseline"/>
    </w:pPr>
    <w:rPr>
      <w:rFonts w:ascii="Arial" w:hAnsi="Arial" w:eastAsia="黑体"/>
      <w:b/>
      <w:bCs/>
      <w:sz w:val="32"/>
      <w:szCs w:val="32"/>
    </w:rPr>
  </w:style>
  <w:style w:type="character" w:customStyle="1" w:styleId="131">
    <w:name w:val="UserStyle_24"/>
    <w:link w:val="132"/>
    <w:uiPriority w:val="0"/>
    <w:rPr>
      <w:b/>
      <w:bCs/>
      <w:kern w:val="2"/>
      <w:sz w:val="21"/>
      <w:szCs w:val="32"/>
    </w:rPr>
  </w:style>
  <w:style w:type="paragraph" w:customStyle="1" w:styleId="132">
    <w:name w:val="Heading3"/>
    <w:basedOn w:val="1"/>
    <w:next w:val="1"/>
    <w:link w:val="131"/>
    <w:uiPriority w:val="0"/>
    <w:pPr>
      <w:keepNext/>
      <w:keepLines/>
      <w:widowControl/>
      <w:spacing w:before="120" w:after="120" w:line="360" w:lineRule="auto"/>
      <w:textAlignment w:val="baseline"/>
    </w:pPr>
    <w:rPr>
      <w:b/>
      <w:bCs/>
      <w:szCs w:val="32"/>
    </w:rPr>
  </w:style>
  <w:style w:type="character" w:customStyle="1" w:styleId="133">
    <w:name w:val="UserStyle_14"/>
    <w:uiPriority w:val="0"/>
    <w:rPr>
      <w:rFonts w:cs="Times New Roman"/>
      <w:b/>
      <w:bCs/>
      <w:color w:val="999999"/>
    </w:rPr>
  </w:style>
  <w:style w:type="character" w:customStyle="1" w:styleId="134">
    <w:name w:val="UserStyle_5"/>
    <w:link w:val="135"/>
    <w:locked/>
    <w:uiPriority w:val="0"/>
    <w:rPr>
      <w:rFonts w:hAnsi="宋体" w:eastAsia="仿宋_GB2312"/>
      <w:b/>
      <w:bCs/>
      <w:kern w:val="2"/>
      <w:sz w:val="24"/>
    </w:rPr>
  </w:style>
  <w:style w:type="paragraph" w:customStyle="1" w:styleId="135">
    <w:name w:val="BodyText3"/>
    <w:basedOn w:val="1"/>
    <w:link w:val="134"/>
    <w:uiPriority w:val="0"/>
    <w:pPr>
      <w:widowControl/>
      <w:snapToGrid w:val="0"/>
      <w:spacing w:before="50" w:after="50"/>
      <w:textAlignment w:val="baseline"/>
    </w:pPr>
    <w:rPr>
      <w:rFonts w:hAnsi="宋体" w:eastAsia="仿宋_GB2312"/>
      <w:b/>
      <w:bCs/>
      <w:sz w:val="24"/>
      <w:szCs w:val="20"/>
    </w:rPr>
  </w:style>
  <w:style w:type="character" w:customStyle="1" w:styleId="136">
    <w:name w:val="UserStyle_22"/>
    <w:uiPriority w:val="0"/>
  </w:style>
  <w:style w:type="character" w:customStyle="1" w:styleId="137">
    <w:name w:val="UserStyle_27"/>
    <w:uiPriority w:val="0"/>
    <w:rPr>
      <w:rFonts w:ascii="宋体" w:hAnsi="宋体"/>
      <w:kern w:val="2"/>
      <w:sz w:val="36"/>
      <w:szCs w:val="24"/>
    </w:rPr>
  </w:style>
  <w:style w:type="character" w:customStyle="1" w:styleId="138">
    <w:name w:val="UserStyle_28"/>
    <w:uiPriority w:val="0"/>
    <w:rPr>
      <w:rFonts w:ascii="Tahoma" w:hAnsi="Tahoma"/>
      <w:color w:val="555555"/>
      <w:sz w:val="18"/>
      <w:szCs w:val="18"/>
    </w:rPr>
  </w:style>
  <w:style w:type="character" w:customStyle="1" w:styleId="139">
    <w:name w:val="UserStyle_37"/>
    <w:uiPriority w:val="0"/>
    <w:rPr>
      <w:rFonts w:ascii="Verdana" w:hAnsi="Verdana"/>
      <w:color w:val="C90000"/>
      <w:sz w:val="18"/>
    </w:rPr>
  </w:style>
  <w:style w:type="character" w:customStyle="1" w:styleId="140">
    <w:name w:val="UserStyle_36"/>
    <w:uiPriority w:val="0"/>
  </w:style>
  <w:style w:type="character" w:customStyle="1" w:styleId="141">
    <w:name w:val="UserStyle_25"/>
    <w:uiPriority w:val="0"/>
    <w:rPr>
      <w:rFonts w:ascii="Tahoma" w:hAnsi="Tahoma" w:eastAsia="宋体"/>
      <w:color w:val="CC6633"/>
      <w:kern w:val="2"/>
      <w:sz w:val="24"/>
      <w:lang w:val="en-US" w:eastAsia="zh-CN" w:bidi="ar-SA"/>
    </w:rPr>
  </w:style>
  <w:style w:type="character" w:customStyle="1" w:styleId="142">
    <w:name w:val="UserStyle_53"/>
    <w:uiPriority w:val="0"/>
    <w:rPr>
      <w:rFonts w:ascii="Arial" w:hAnsi="Arial"/>
      <w:sz w:val="18"/>
    </w:rPr>
  </w:style>
  <w:style w:type="character" w:customStyle="1" w:styleId="143">
    <w:name w:val="UserStyle_47"/>
    <w:uiPriority w:val="0"/>
    <w:rPr>
      <w:rFonts w:ascii="Arial" w:hAnsi="Arial" w:eastAsia="微软雅黑" w:cs="Times New Roman"/>
      <w:b/>
      <w:bCs/>
      <w:sz w:val="30"/>
      <w:szCs w:val="32"/>
    </w:rPr>
  </w:style>
  <w:style w:type="character" w:customStyle="1" w:styleId="144">
    <w:name w:val="UserStyle_78"/>
    <w:uiPriority w:val="0"/>
  </w:style>
  <w:style w:type="character" w:customStyle="1" w:styleId="145">
    <w:name w:val="UserStyle_64"/>
    <w:link w:val="146"/>
    <w:uiPriority w:val="0"/>
    <w:rPr>
      <w:kern w:val="2"/>
      <w:sz w:val="24"/>
    </w:rPr>
  </w:style>
  <w:style w:type="paragraph" w:customStyle="1" w:styleId="146">
    <w:name w:val="UserStyle_65"/>
    <w:basedOn w:val="1"/>
    <w:link w:val="145"/>
    <w:uiPriority w:val="0"/>
    <w:pPr>
      <w:widowControl/>
      <w:spacing w:before="156" w:line="360" w:lineRule="auto"/>
      <w:ind w:firstLine="510" w:firstLineChars="200"/>
      <w:textAlignment w:val="baseline"/>
    </w:pPr>
    <w:rPr>
      <w:sz w:val="24"/>
      <w:szCs w:val="20"/>
    </w:rPr>
  </w:style>
  <w:style w:type="character" w:customStyle="1" w:styleId="147">
    <w:name w:val="UserStyle_74"/>
    <w:uiPriority w:val="0"/>
    <w:rPr>
      <w:color w:val="CC0000"/>
    </w:rPr>
  </w:style>
  <w:style w:type="character" w:customStyle="1" w:styleId="148">
    <w:name w:val="UserStyle_69"/>
    <w:uiPriority w:val="0"/>
    <w:rPr>
      <w:rFonts w:ascii="Arial" w:hAnsi="Arial" w:eastAsia="黑体" w:cs="Times New Roman"/>
      <w:b/>
      <w:bCs/>
      <w:kern w:val="2"/>
      <w:sz w:val="32"/>
      <w:szCs w:val="32"/>
      <w:lang w:val="en-US" w:eastAsia="zh-CN" w:bidi="ar-SA"/>
    </w:rPr>
  </w:style>
  <w:style w:type="character" w:customStyle="1" w:styleId="149">
    <w:name w:val="UserStyle_76"/>
    <w:uiPriority w:val="0"/>
    <w:rPr>
      <w:rFonts w:ascii="Times New Roman" w:hAnsi="Times New Roman"/>
      <w:sz w:val="21"/>
      <w:szCs w:val="21"/>
    </w:rPr>
  </w:style>
  <w:style w:type="character" w:customStyle="1" w:styleId="150">
    <w:name w:val="UserStyle_85"/>
    <w:uiPriority w:val="0"/>
    <w:rPr>
      <w:rFonts w:ascii="Verdana" w:hAnsi="Verdana"/>
      <w:color w:val="000000"/>
      <w:sz w:val="20"/>
      <w:szCs w:val="20"/>
    </w:rPr>
  </w:style>
  <w:style w:type="character" w:customStyle="1" w:styleId="151">
    <w:name w:val="UserStyle_100"/>
    <w:link w:val="152"/>
    <w:locked/>
    <w:uiPriority w:val="0"/>
    <w:rPr>
      <w:rFonts w:ascii="宋体" w:hAnsi="宋体"/>
      <w:color w:val="000000"/>
      <w:szCs w:val="21"/>
    </w:rPr>
  </w:style>
  <w:style w:type="paragraph" w:customStyle="1" w:styleId="152">
    <w:name w:val="UserStyle_101"/>
    <w:basedOn w:val="1"/>
    <w:link w:val="151"/>
    <w:uiPriority w:val="0"/>
    <w:pPr>
      <w:widowControl/>
      <w:tabs>
        <w:tab w:val="left" w:pos="3060"/>
        <w:tab w:val="left" w:pos="6048"/>
        <w:tab w:val="left" w:pos="7668"/>
      </w:tabs>
      <w:spacing w:line="312" w:lineRule="auto"/>
      <w:ind w:firstLine="420" w:firstLineChars="200"/>
      <w:textAlignment w:val="baseline"/>
    </w:pPr>
    <w:rPr>
      <w:rFonts w:ascii="宋体" w:hAnsi="宋体"/>
      <w:color w:val="000000"/>
      <w:kern w:val="0"/>
      <w:sz w:val="20"/>
      <w:szCs w:val="21"/>
    </w:rPr>
  </w:style>
  <w:style w:type="character" w:customStyle="1" w:styleId="153">
    <w:name w:val="UserStyle_113"/>
    <w:link w:val="154"/>
    <w:uiPriority w:val="0"/>
    <w:rPr>
      <w:rFonts w:ascii="Calibri" w:hAnsi="Calibri"/>
      <w:kern w:val="2"/>
      <w:sz w:val="21"/>
      <w:szCs w:val="22"/>
    </w:rPr>
  </w:style>
  <w:style w:type="paragraph" w:customStyle="1" w:styleId="154">
    <w:name w:val="UserStyle_114"/>
    <w:basedOn w:val="1"/>
    <w:link w:val="153"/>
    <w:uiPriority w:val="0"/>
    <w:pPr>
      <w:widowControl/>
      <w:ind w:firstLine="420" w:firstLineChars="200"/>
      <w:textAlignment w:val="baseline"/>
    </w:pPr>
    <w:rPr>
      <w:rFonts w:ascii="Calibri" w:hAnsi="Calibri"/>
      <w:szCs w:val="22"/>
    </w:rPr>
  </w:style>
  <w:style w:type="character" w:customStyle="1" w:styleId="155">
    <w:name w:val="UserStyle_115"/>
    <w:uiPriority w:val="0"/>
  </w:style>
  <w:style w:type="character" w:customStyle="1" w:styleId="156">
    <w:name w:val="样式1 Char Char Char"/>
    <w:qFormat/>
    <w:uiPriority w:val="0"/>
    <w:rPr>
      <w:rFonts w:ascii="Arial" w:hAnsi="Arial" w:eastAsia="宋体"/>
      <w:kern w:val="2"/>
      <w:sz w:val="21"/>
      <w:szCs w:val="24"/>
      <w:lang w:val="en-US" w:eastAsia="zh-CN" w:bidi="ar-SA"/>
    </w:rPr>
  </w:style>
  <w:style w:type="character" w:customStyle="1" w:styleId="157">
    <w:name w:val="UserStyle_119"/>
    <w:link w:val="158"/>
    <w:uiPriority w:val="0"/>
    <w:rPr>
      <w:rFonts w:ascii="仿宋_GB2312" w:hAnsi="宋体" w:eastAsia="仿宋_GB2312"/>
      <w:color w:val="000000"/>
      <w:kern w:val="2"/>
      <w:sz w:val="24"/>
      <w:szCs w:val="24"/>
    </w:rPr>
  </w:style>
  <w:style w:type="paragraph" w:customStyle="1" w:styleId="158">
    <w:name w:val="BodyTextIndent3"/>
    <w:basedOn w:val="1"/>
    <w:link w:val="157"/>
    <w:uiPriority w:val="0"/>
    <w:pPr>
      <w:widowControl/>
      <w:snapToGrid w:val="0"/>
      <w:ind w:firstLine="480" w:firstLineChars="200"/>
      <w:jc w:val="left"/>
      <w:textAlignment w:val="baseline"/>
    </w:pPr>
    <w:rPr>
      <w:rFonts w:ascii="仿宋_GB2312" w:hAnsi="宋体" w:eastAsia="仿宋_GB2312"/>
      <w:color w:val="000000"/>
      <w:sz w:val="24"/>
    </w:rPr>
  </w:style>
  <w:style w:type="character" w:customStyle="1" w:styleId="159">
    <w:name w:val="副标题 Char1"/>
    <w:qFormat/>
    <w:uiPriority w:val="11"/>
    <w:rPr>
      <w:rFonts w:ascii="Cambria" w:hAnsi="Cambria" w:cs="Times New Roman"/>
      <w:b/>
      <w:bCs/>
      <w:kern w:val="28"/>
      <w:sz w:val="32"/>
      <w:szCs w:val="32"/>
    </w:rPr>
  </w:style>
  <w:style w:type="character" w:customStyle="1" w:styleId="160">
    <w:name w:val="UserStyle_6"/>
    <w:link w:val="161"/>
    <w:uiPriority w:val="0"/>
    <w:rPr>
      <w:kern w:val="2"/>
      <w:sz w:val="28"/>
      <w:szCs w:val="24"/>
    </w:rPr>
  </w:style>
  <w:style w:type="paragraph" w:customStyle="1" w:styleId="161">
    <w:name w:val="BodyText"/>
    <w:basedOn w:val="1"/>
    <w:link w:val="160"/>
    <w:uiPriority w:val="0"/>
    <w:pPr>
      <w:widowControl/>
      <w:spacing w:after="120"/>
      <w:textAlignment w:val="baseline"/>
    </w:pPr>
    <w:rPr>
      <w:sz w:val="28"/>
    </w:rPr>
  </w:style>
  <w:style w:type="character" w:customStyle="1" w:styleId="162">
    <w:name w:val="UserStyle_60"/>
    <w:link w:val="163"/>
    <w:uiPriority w:val="0"/>
    <w:rPr>
      <w:rFonts w:ascii="Cambria" w:hAnsi="Cambria"/>
      <w:kern w:val="2"/>
      <w:sz w:val="24"/>
      <w:szCs w:val="24"/>
    </w:rPr>
  </w:style>
  <w:style w:type="paragraph" w:customStyle="1" w:styleId="163">
    <w:name w:val="Heading8"/>
    <w:basedOn w:val="1"/>
    <w:next w:val="1"/>
    <w:link w:val="162"/>
    <w:uiPriority w:val="0"/>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164">
    <w:name w:val="UserStyle_17"/>
    <w:uiPriority w:val="0"/>
    <w:rPr>
      <w:rFonts w:ascii="宋体" w:hAnsi="宋体" w:eastAsia="宋体"/>
      <w:b/>
      <w:color w:val="000000"/>
      <w:sz w:val="36"/>
      <w:szCs w:val="36"/>
      <w:u w:val="single"/>
    </w:rPr>
  </w:style>
  <w:style w:type="character" w:customStyle="1" w:styleId="165">
    <w:name w:val="UserStyle_80"/>
    <w:link w:val="166"/>
    <w:uiPriority w:val="0"/>
    <w:rPr>
      <w:rFonts w:ascii="Arial" w:hAnsi="Arial" w:eastAsia="黑体"/>
      <w:b/>
      <w:bCs/>
      <w:kern w:val="2"/>
      <w:sz w:val="28"/>
      <w:szCs w:val="28"/>
    </w:rPr>
  </w:style>
  <w:style w:type="paragraph" w:customStyle="1" w:styleId="166">
    <w:name w:val="Heading4"/>
    <w:basedOn w:val="1"/>
    <w:next w:val="1"/>
    <w:link w:val="165"/>
    <w:uiPriority w:val="0"/>
    <w:pPr>
      <w:keepNext/>
      <w:keepLines/>
      <w:widowControl/>
      <w:spacing w:before="280" w:after="290" w:line="376" w:lineRule="auto"/>
      <w:textAlignment w:val="baseline"/>
    </w:pPr>
    <w:rPr>
      <w:rFonts w:ascii="Arial" w:hAnsi="Arial" w:eastAsia="黑体"/>
      <w:b/>
      <w:bCs/>
      <w:sz w:val="28"/>
      <w:szCs w:val="28"/>
    </w:rPr>
  </w:style>
  <w:style w:type="character" w:customStyle="1" w:styleId="167">
    <w:name w:val="UserStyle_13"/>
    <w:uiPriority w:val="0"/>
    <w:rPr>
      <w:rFonts w:cs="Times New Roman"/>
      <w:b/>
      <w:bCs/>
      <w:kern w:val="44"/>
      <w:sz w:val="44"/>
      <w:szCs w:val="44"/>
    </w:rPr>
  </w:style>
  <w:style w:type="character" w:customStyle="1" w:styleId="168">
    <w:name w:val="UserStyle_73"/>
    <w:link w:val="169"/>
    <w:uiPriority w:val="0"/>
    <w:rPr>
      <w:b/>
      <w:bCs/>
      <w:kern w:val="2"/>
      <w:sz w:val="24"/>
      <w:szCs w:val="24"/>
    </w:rPr>
  </w:style>
  <w:style w:type="paragraph" w:customStyle="1" w:styleId="169">
    <w:name w:val="Heading7"/>
    <w:basedOn w:val="1"/>
    <w:next w:val="1"/>
    <w:link w:val="168"/>
    <w:uiPriority w:val="0"/>
    <w:pPr>
      <w:keepNext/>
      <w:keepLines/>
      <w:widowControl/>
      <w:spacing w:before="240" w:after="64" w:line="320" w:lineRule="auto"/>
      <w:textAlignment w:val="baseline"/>
    </w:pPr>
    <w:rPr>
      <w:b/>
      <w:bCs/>
      <w:sz w:val="24"/>
    </w:rPr>
  </w:style>
  <w:style w:type="character" w:customStyle="1" w:styleId="170">
    <w:name w:val="UserStyle_3"/>
    <w:link w:val="171"/>
    <w:uiPriority w:val="0"/>
    <w:rPr>
      <w:rFonts w:ascii="宋体" w:hAnsi="宋体"/>
      <w:sz w:val="24"/>
      <w:szCs w:val="22"/>
    </w:rPr>
  </w:style>
  <w:style w:type="paragraph" w:customStyle="1" w:styleId="171">
    <w:name w:val="UserStyle_4"/>
    <w:basedOn w:val="1"/>
    <w:link w:val="170"/>
    <w:uiPriority w:val="0"/>
    <w:pPr>
      <w:widowControl/>
      <w:spacing w:after="200" w:line="360" w:lineRule="auto"/>
      <w:ind w:firstLine="480" w:firstLineChars="200"/>
      <w:jc w:val="left"/>
      <w:textAlignment w:val="baseline"/>
    </w:pPr>
    <w:rPr>
      <w:rFonts w:ascii="宋体" w:hAnsi="宋体"/>
      <w:kern w:val="0"/>
      <w:sz w:val="24"/>
      <w:szCs w:val="22"/>
    </w:rPr>
  </w:style>
  <w:style w:type="character" w:customStyle="1" w:styleId="172">
    <w:name w:val="PageNumber"/>
    <w:uiPriority w:val="0"/>
  </w:style>
  <w:style w:type="character" w:customStyle="1" w:styleId="173">
    <w:name w:val="UserStyle_7"/>
    <w:uiPriority w:val="0"/>
  </w:style>
  <w:style w:type="character" w:customStyle="1" w:styleId="174">
    <w:name w:val="UserStyle_1"/>
    <w:uiPriority w:val="0"/>
    <w:rPr>
      <w:rFonts w:ascii="Times New Roman" w:hAnsi="Times New Roman" w:eastAsia="宋体"/>
      <w:sz w:val="18"/>
      <w:szCs w:val="18"/>
    </w:rPr>
  </w:style>
  <w:style w:type="character" w:customStyle="1" w:styleId="175">
    <w:name w:val="UserStyle_10"/>
    <w:link w:val="176"/>
    <w:uiPriority w:val="0"/>
    <w:rPr>
      <w:rFonts w:ascii="Calibri" w:hAnsi="Calibri"/>
      <w:kern w:val="2"/>
      <w:sz w:val="21"/>
      <w:szCs w:val="22"/>
      <w:shd w:val="clear" w:color="auto" w:fill="000080"/>
    </w:rPr>
  </w:style>
  <w:style w:type="paragraph" w:customStyle="1" w:styleId="176">
    <w:name w:val="NavPane"/>
    <w:basedOn w:val="1"/>
    <w:link w:val="175"/>
    <w:uiPriority w:val="0"/>
    <w:pPr>
      <w:widowControl/>
      <w:shd w:val="clear" w:color="auto" w:fill="000080"/>
      <w:textAlignment w:val="baseline"/>
    </w:pPr>
    <w:rPr>
      <w:rFonts w:ascii="Calibri" w:hAnsi="Calibri"/>
      <w:szCs w:val="22"/>
    </w:rPr>
  </w:style>
  <w:style w:type="character" w:customStyle="1" w:styleId="177">
    <w:name w:val="UserStyle_87"/>
    <w:link w:val="178"/>
    <w:uiPriority w:val="0"/>
    <w:rPr>
      <w:i/>
      <w:iCs/>
      <w:kern w:val="2"/>
      <w:sz w:val="22"/>
    </w:rPr>
  </w:style>
  <w:style w:type="paragraph" w:customStyle="1" w:styleId="178">
    <w:name w:val="Heading6"/>
    <w:basedOn w:val="1"/>
    <w:next w:val="1"/>
    <w:link w:val="177"/>
    <w:uiPriority w:val="0"/>
    <w:pPr>
      <w:widowControl/>
      <w:spacing w:before="240" w:after="60"/>
      <w:textAlignment w:val="baseline"/>
    </w:pPr>
    <w:rPr>
      <w:i/>
      <w:iCs/>
      <w:sz w:val="22"/>
      <w:szCs w:val="20"/>
    </w:rPr>
  </w:style>
  <w:style w:type="character" w:customStyle="1" w:styleId="179">
    <w:name w:val="NormalCharacter"/>
    <w:semiHidden/>
    <w:uiPriority w:val="0"/>
  </w:style>
  <w:style w:type="character" w:customStyle="1" w:styleId="180">
    <w:name w:val="UserStyle_15"/>
    <w:uiPriority w:val="0"/>
    <w:rPr>
      <w:sz w:val="18"/>
      <w:szCs w:val="18"/>
    </w:rPr>
  </w:style>
  <w:style w:type="character" w:customStyle="1" w:styleId="181">
    <w:name w:val="AnnotationReference"/>
    <w:uiPriority w:val="0"/>
    <w:rPr>
      <w:sz w:val="21"/>
      <w:szCs w:val="21"/>
    </w:rPr>
  </w:style>
  <w:style w:type="character" w:customStyle="1" w:styleId="182">
    <w:name w:val="UserStyle_98"/>
    <w:link w:val="183"/>
    <w:uiPriority w:val="0"/>
    <w:rPr>
      <w:rFonts w:ascii="Arial" w:hAnsi="Arial"/>
      <w:b/>
      <w:i/>
      <w:iCs/>
      <w:kern w:val="2"/>
      <w:sz w:val="18"/>
    </w:rPr>
  </w:style>
  <w:style w:type="paragraph" w:customStyle="1" w:styleId="183">
    <w:name w:val="Heading9"/>
    <w:basedOn w:val="1"/>
    <w:next w:val="1"/>
    <w:link w:val="182"/>
    <w:uiPriority w:val="0"/>
    <w:pPr>
      <w:widowControl/>
      <w:spacing w:before="240" w:after="60"/>
      <w:textAlignment w:val="baseline"/>
    </w:pPr>
    <w:rPr>
      <w:rFonts w:ascii="Arial" w:hAnsi="Arial"/>
      <w:b/>
      <w:i/>
      <w:iCs/>
      <w:sz w:val="18"/>
      <w:szCs w:val="20"/>
    </w:rPr>
  </w:style>
  <w:style w:type="character" w:customStyle="1" w:styleId="184">
    <w:name w:val="UserStyle_42"/>
    <w:uiPriority w:val="0"/>
    <w:rPr>
      <w:rFonts w:ascii="仿宋体" w:eastAsia="仿宋体"/>
      <w:sz w:val="21"/>
      <w:szCs w:val="21"/>
    </w:rPr>
  </w:style>
  <w:style w:type="character" w:customStyle="1" w:styleId="185">
    <w:name w:val="UserStyle_44"/>
    <w:uiPriority w:val="0"/>
  </w:style>
  <w:style w:type="character" w:customStyle="1" w:styleId="186">
    <w:name w:val="UserStyle_29"/>
    <w:locked/>
    <w:uiPriority w:val="0"/>
    <w:rPr>
      <w:sz w:val="18"/>
      <w:szCs w:val="18"/>
    </w:rPr>
  </w:style>
  <w:style w:type="character" w:customStyle="1" w:styleId="187">
    <w:name w:val="UserStyle_55"/>
    <w:link w:val="188"/>
    <w:uiPriority w:val="0"/>
    <w:rPr>
      <w:kern w:val="2"/>
      <w:sz w:val="21"/>
      <w:szCs w:val="24"/>
    </w:rPr>
  </w:style>
  <w:style w:type="paragraph" w:customStyle="1" w:styleId="188">
    <w:name w:val="UserStyle_56"/>
    <w:basedOn w:val="1"/>
    <w:link w:val="187"/>
    <w:uiPriority w:val="0"/>
    <w:pPr>
      <w:widowControl/>
      <w:ind w:firstLine="420" w:firstLineChars="200"/>
      <w:textAlignment w:val="baseline"/>
    </w:pPr>
  </w:style>
  <w:style w:type="character" w:customStyle="1" w:styleId="189">
    <w:name w:val="UserStyle_35"/>
    <w:link w:val="190"/>
    <w:uiPriority w:val="0"/>
    <w:rPr>
      <w:rFonts w:ascii="仿宋_GB2312" w:hAnsi="宋体" w:cs="Arial"/>
      <w:b/>
      <w:bCs/>
      <w:color w:val="000000"/>
      <w:kern w:val="2"/>
      <w:sz w:val="24"/>
      <w:szCs w:val="24"/>
    </w:rPr>
  </w:style>
  <w:style w:type="paragraph" w:customStyle="1" w:styleId="190">
    <w:name w:val="BodyTextIndent2"/>
    <w:basedOn w:val="1"/>
    <w:link w:val="189"/>
    <w:uiPriority w:val="0"/>
    <w:pPr>
      <w:widowControl/>
      <w:snapToGrid w:val="0"/>
      <w:ind w:firstLine="542" w:firstLineChars="225"/>
      <w:textAlignment w:val="baseline"/>
    </w:pPr>
    <w:rPr>
      <w:rFonts w:ascii="仿宋_GB2312" w:hAnsi="宋体"/>
      <w:b/>
      <w:bCs/>
      <w:color w:val="000000"/>
      <w:sz w:val="24"/>
    </w:rPr>
  </w:style>
  <w:style w:type="character" w:customStyle="1" w:styleId="191">
    <w:name w:val="UserStyle_39"/>
    <w:uiPriority w:val="0"/>
    <w:rPr>
      <w:rFonts w:ascii="宋体" w:hAnsi="宋体" w:eastAsia="宋体"/>
      <w:b/>
      <w:color w:val="000000"/>
      <w:sz w:val="36"/>
      <w:szCs w:val="36"/>
    </w:rPr>
  </w:style>
  <w:style w:type="character" w:customStyle="1" w:styleId="192">
    <w:name w:val="UserStyle_89"/>
    <w:link w:val="193"/>
    <w:uiPriority w:val="0"/>
    <w:rPr>
      <w:kern w:val="2"/>
      <w:sz w:val="21"/>
    </w:rPr>
  </w:style>
  <w:style w:type="paragraph" w:customStyle="1" w:styleId="193">
    <w:name w:val="NormalIndent"/>
    <w:basedOn w:val="1"/>
    <w:link w:val="192"/>
    <w:uiPriority w:val="0"/>
    <w:pPr>
      <w:widowControl/>
      <w:ind w:firstLine="420"/>
      <w:textAlignment w:val="baseline"/>
    </w:pPr>
    <w:rPr>
      <w:szCs w:val="20"/>
    </w:rPr>
  </w:style>
  <w:style w:type="character" w:customStyle="1" w:styleId="194">
    <w:name w:val="UserStyle_41"/>
    <w:link w:val="195"/>
    <w:uiPriority w:val="0"/>
    <w:rPr>
      <w:rFonts w:ascii="宋体" w:hAnsi="宋体"/>
      <w:color w:val="000000"/>
      <w:kern w:val="2"/>
      <w:sz w:val="24"/>
      <w:szCs w:val="24"/>
    </w:rPr>
  </w:style>
  <w:style w:type="paragraph" w:customStyle="1" w:styleId="195">
    <w:name w:val="BodyText2"/>
    <w:basedOn w:val="1"/>
    <w:link w:val="194"/>
    <w:uiPriority w:val="0"/>
    <w:pPr>
      <w:widowControl/>
      <w:snapToGrid w:val="0"/>
      <w:spacing w:before="50" w:after="156" w:line="400" w:lineRule="exact"/>
      <w:jc w:val="left"/>
      <w:textAlignment w:val="baseline"/>
    </w:pPr>
    <w:rPr>
      <w:rFonts w:ascii="宋体" w:hAnsi="宋体"/>
      <w:color w:val="000000"/>
      <w:sz w:val="24"/>
    </w:rPr>
  </w:style>
  <w:style w:type="character" w:customStyle="1" w:styleId="196">
    <w:name w:val="UserStyle_51"/>
    <w:link w:val="197"/>
    <w:uiPriority w:val="0"/>
    <w:rPr>
      <w:kern w:val="2"/>
      <w:sz w:val="21"/>
      <w:szCs w:val="24"/>
    </w:rPr>
  </w:style>
  <w:style w:type="paragraph" w:customStyle="1" w:styleId="197">
    <w:name w:val="BodyText1I"/>
    <w:basedOn w:val="161"/>
    <w:link w:val="196"/>
    <w:uiPriority w:val="0"/>
    <w:pPr>
      <w:ind w:firstLine="420" w:firstLineChars="100"/>
    </w:pPr>
    <w:rPr>
      <w:sz w:val="21"/>
    </w:rPr>
  </w:style>
  <w:style w:type="character" w:customStyle="1" w:styleId="198">
    <w:name w:val="UserStyle_48"/>
    <w:link w:val="199"/>
    <w:semiHidden/>
    <w:locked/>
    <w:uiPriority w:val="0"/>
    <w:rPr>
      <w:rFonts w:ascii="Calibri" w:hAnsi="Calibri"/>
      <w:kern w:val="2"/>
      <w:sz w:val="18"/>
      <w:szCs w:val="18"/>
    </w:rPr>
  </w:style>
  <w:style w:type="paragraph" w:customStyle="1" w:styleId="199">
    <w:name w:val="Acetate"/>
    <w:basedOn w:val="1"/>
    <w:link w:val="198"/>
    <w:semiHidden/>
    <w:uiPriority w:val="0"/>
    <w:pPr>
      <w:widowControl/>
      <w:textAlignment w:val="baseline"/>
    </w:pPr>
    <w:rPr>
      <w:rFonts w:ascii="Calibri" w:hAnsi="Calibri"/>
      <w:sz w:val="18"/>
      <w:szCs w:val="18"/>
    </w:rPr>
  </w:style>
  <w:style w:type="character" w:customStyle="1" w:styleId="200">
    <w:name w:val="UserStyle_34"/>
    <w:uiPriority w:val="0"/>
    <w:rPr>
      <w:rFonts w:ascii="Times New Roman" w:hAnsi="Times New Roman"/>
      <w:kern w:val="2"/>
      <w:sz w:val="16"/>
      <w:szCs w:val="16"/>
    </w:rPr>
  </w:style>
  <w:style w:type="character" w:customStyle="1" w:styleId="201">
    <w:name w:val="UserStyle_50"/>
    <w:uiPriority w:val="0"/>
    <w:rPr>
      <w:kern w:val="2"/>
      <w:sz w:val="21"/>
      <w:szCs w:val="24"/>
    </w:rPr>
  </w:style>
  <w:style w:type="character" w:customStyle="1" w:styleId="202">
    <w:name w:val="UserStyle_38"/>
    <w:uiPriority w:val="0"/>
    <w:rPr>
      <w:rFonts w:ascii="Cambria" w:hAnsi="Cambria" w:eastAsia="宋体" w:cs="黑体"/>
      <w:b/>
      <w:bCs/>
      <w:sz w:val="32"/>
      <w:szCs w:val="32"/>
    </w:rPr>
  </w:style>
  <w:style w:type="character" w:customStyle="1" w:styleId="203">
    <w:name w:val="UserStyle_49"/>
    <w:uiPriority w:val="0"/>
    <w:rPr>
      <w:sz w:val="18"/>
      <w:szCs w:val="18"/>
    </w:rPr>
  </w:style>
  <w:style w:type="character" w:customStyle="1" w:styleId="204">
    <w:name w:val="UserStyle_52"/>
    <w:uiPriority w:val="0"/>
    <w:rPr>
      <w:rFonts w:ascii="Arial" w:hAnsi="Arial"/>
      <w:color w:val="666666"/>
      <w:sz w:val="18"/>
      <w:szCs w:val="18"/>
    </w:rPr>
  </w:style>
  <w:style w:type="character" w:customStyle="1" w:styleId="205">
    <w:name w:val="UserStyle_31"/>
    <w:locked/>
    <w:uiPriority w:val="0"/>
    <w:rPr>
      <w:rFonts w:ascii="宋体" w:hAnsi="Courier New" w:eastAsia="宋体"/>
      <w:sz w:val="24"/>
      <w:szCs w:val="24"/>
    </w:rPr>
  </w:style>
  <w:style w:type="character" w:customStyle="1" w:styleId="206">
    <w:name w:val="UserStyle_71"/>
    <w:link w:val="207"/>
    <w:uiPriority w:val="0"/>
    <w:rPr>
      <w:rFonts w:ascii="宋体" w:hAnsi="宋体"/>
      <w:sz w:val="24"/>
      <w:szCs w:val="24"/>
    </w:rPr>
  </w:style>
  <w:style w:type="paragraph" w:customStyle="1" w:styleId="207">
    <w:name w:val="HtmlPre"/>
    <w:basedOn w:val="1"/>
    <w:link w:val="20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208">
    <w:name w:val="UserStyle_93"/>
    <w:link w:val="209"/>
    <w:locked/>
    <w:uiPriority w:val="0"/>
    <w:rPr>
      <w:rFonts w:hAnsi="宋体" w:eastAsia="微软雅黑"/>
      <w:sz w:val="24"/>
      <w:szCs w:val="24"/>
    </w:rPr>
  </w:style>
  <w:style w:type="paragraph" w:customStyle="1" w:styleId="209">
    <w:name w:val="UserStyle_94"/>
    <w:basedOn w:val="1"/>
    <w:link w:val="208"/>
    <w:uiPriority w:val="0"/>
    <w:pPr>
      <w:widowControl/>
      <w:spacing w:line="360" w:lineRule="auto"/>
      <w:ind w:firstLine="480" w:firstLineChars="200"/>
      <w:jc w:val="left"/>
      <w:textAlignment w:val="baseline"/>
    </w:pPr>
    <w:rPr>
      <w:rFonts w:hAnsi="宋体" w:eastAsia="微软雅黑"/>
      <w:kern w:val="0"/>
      <w:sz w:val="24"/>
    </w:rPr>
  </w:style>
  <w:style w:type="character" w:customStyle="1" w:styleId="210">
    <w:name w:val="UserStyle_97"/>
    <w:uiPriority w:val="0"/>
    <w:rPr>
      <w:rFonts w:ascii="Arial" w:hAnsi="Arial" w:eastAsia="黑体"/>
      <w:b/>
      <w:kern w:val="2"/>
      <w:sz w:val="28"/>
      <w:lang w:val="en-US" w:eastAsia="zh-CN"/>
    </w:rPr>
  </w:style>
  <w:style w:type="character" w:customStyle="1" w:styleId="211">
    <w:name w:val="UserStyle_75"/>
    <w:uiPriority w:val="0"/>
    <w:rPr>
      <w:kern w:val="2"/>
      <w:sz w:val="21"/>
    </w:rPr>
  </w:style>
  <w:style w:type="character" w:customStyle="1" w:styleId="212">
    <w:name w:val="UserStyle_77"/>
    <w:link w:val="213"/>
    <w:uiPriority w:val="0"/>
    <w:rPr>
      <w:rFonts w:ascii="Calibri" w:hAnsi="Calibri"/>
      <w:sz w:val="22"/>
      <w:szCs w:val="22"/>
      <w:lang w:val="en-US" w:eastAsia="zh-CN" w:bidi="ar-SA"/>
    </w:rPr>
  </w:style>
  <w:style w:type="paragraph" w:customStyle="1" w:styleId="213">
    <w:name w:val="Null"/>
    <w:link w:val="212"/>
    <w:uiPriority w:val="0"/>
    <w:pPr>
      <w:textAlignment w:val="baseline"/>
    </w:pPr>
    <w:rPr>
      <w:rFonts w:ascii="Calibri" w:hAnsi="Calibri"/>
      <w:sz w:val="22"/>
      <w:szCs w:val="22"/>
      <w:lang w:val="en-US" w:eastAsia="zh-CN" w:bidi="ar-SA"/>
    </w:rPr>
  </w:style>
  <w:style w:type="character" w:customStyle="1" w:styleId="214">
    <w:name w:val="UserStyle_96"/>
    <w:uiPriority w:val="0"/>
    <w:rPr>
      <w:sz w:val="18"/>
      <w:szCs w:val="18"/>
    </w:rPr>
  </w:style>
  <w:style w:type="character" w:customStyle="1" w:styleId="215">
    <w:name w:val="UserStyle_90"/>
    <w:uiPriority w:val="0"/>
    <w:rPr>
      <w:color w:val="999999"/>
    </w:rPr>
  </w:style>
  <w:style w:type="character" w:customStyle="1" w:styleId="216">
    <w:name w:val="UserStyle_102"/>
    <w:link w:val="217"/>
    <w:uiPriority w:val="0"/>
    <w:rPr>
      <w:b/>
      <w:bCs/>
      <w:kern w:val="2"/>
      <w:sz w:val="21"/>
      <w:szCs w:val="24"/>
    </w:rPr>
  </w:style>
  <w:style w:type="paragraph" w:customStyle="1" w:styleId="217">
    <w:name w:val="AnnotationSubject"/>
    <w:basedOn w:val="218"/>
    <w:next w:val="218"/>
    <w:link w:val="216"/>
    <w:uiPriority w:val="0"/>
    <w:rPr>
      <w:b/>
      <w:bCs/>
    </w:rPr>
  </w:style>
  <w:style w:type="paragraph" w:customStyle="1" w:styleId="218">
    <w:name w:val="AnnotationText"/>
    <w:basedOn w:val="1"/>
    <w:link w:val="219"/>
    <w:uiPriority w:val="0"/>
    <w:pPr>
      <w:widowControl/>
      <w:jc w:val="left"/>
      <w:textAlignment w:val="baseline"/>
    </w:pPr>
  </w:style>
  <w:style w:type="character" w:customStyle="1" w:styleId="219">
    <w:name w:val="UserStyle_16"/>
    <w:link w:val="218"/>
    <w:uiPriority w:val="0"/>
    <w:rPr>
      <w:kern w:val="2"/>
      <w:sz w:val="21"/>
      <w:szCs w:val="24"/>
    </w:rPr>
  </w:style>
  <w:style w:type="character" w:customStyle="1" w:styleId="220">
    <w:name w:val="UserStyle_61"/>
    <w:uiPriority w:val="0"/>
    <w:rPr>
      <w:rFonts w:ascii="Times New Roman" w:hAnsi="Times New Roman" w:eastAsia="微软雅黑" w:cs="Times New Roman"/>
      <w:b/>
      <w:bCs/>
      <w:kern w:val="44"/>
      <w:sz w:val="32"/>
      <w:szCs w:val="44"/>
    </w:rPr>
  </w:style>
  <w:style w:type="character" w:customStyle="1" w:styleId="221">
    <w:name w:val="UserStyle_83"/>
    <w:link w:val="222"/>
    <w:uiPriority w:val="0"/>
    <w:rPr>
      <w:sz w:val="24"/>
    </w:rPr>
  </w:style>
  <w:style w:type="paragraph" w:customStyle="1" w:styleId="222">
    <w:name w:val="UserStyle_84"/>
    <w:basedOn w:val="1"/>
    <w:link w:val="221"/>
    <w:uiPriority w:val="0"/>
    <w:pPr>
      <w:widowControl/>
      <w:spacing w:line="360" w:lineRule="auto"/>
      <w:ind w:firstLine="482"/>
      <w:textAlignment w:val="baseline"/>
    </w:pPr>
    <w:rPr>
      <w:kern w:val="0"/>
      <w:sz w:val="24"/>
      <w:szCs w:val="20"/>
    </w:rPr>
  </w:style>
  <w:style w:type="character" w:customStyle="1" w:styleId="223">
    <w:name w:val="UserStyle_66"/>
    <w:uiPriority w:val="0"/>
    <w:rPr>
      <w:rFonts w:eastAsia="宋体"/>
      <w:sz w:val="24"/>
    </w:rPr>
  </w:style>
  <w:style w:type="character" w:customStyle="1" w:styleId="224">
    <w:name w:val="UserStyle_58"/>
    <w:uiPriority w:val="0"/>
    <w:rPr>
      <w:rFonts w:ascii="Verdana" w:hAnsi="Verdana" w:eastAsia="宋体" w:cs="Times New Roman"/>
      <w:b/>
      <w:bCs/>
      <w:color w:val="4A82CA"/>
      <w:sz w:val="17"/>
      <w:szCs w:val="17"/>
      <w:lang w:val="en-US" w:eastAsia="zh-CN" w:bidi="ar-SA"/>
    </w:rPr>
  </w:style>
  <w:style w:type="character" w:customStyle="1" w:styleId="225">
    <w:name w:val="UserStyle_82"/>
    <w:uiPriority w:val="0"/>
    <w:rPr>
      <w:sz w:val="18"/>
    </w:rPr>
  </w:style>
  <w:style w:type="character" w:customStyle="1" w:styleId="226">
    <w:name w:val="UserStyle_91"/>
    <w:locked/>
    <w:uiPriority w:val="0"/>
    <w:rPr>
      <w:sz w:val="18"/>
      <w:szCs w:val="18"/>
    </w:rPr>
  </w:style>
  <w:style w:type="character" w:customStyle="1" w:styleId="227">
    <w:name w:val="UserStyle_92"/>
    <w:uiPriority w:val="0"/>
  </w:style>
  <w:style w:type="character" w:customStyle="1" w:styleId="228">
    <w:name w:val="UserStyle_99"/>
    <w:uiPriority w:val="0"/>
    <w:rPr>
      <w:rFonts w:ascii="Arial" w:hAnsi="Arial" w:eastAsia="宋体"/>
      <w:kern w:val="2"/>
      <w:sz w:val="24"/>
      <w:lang w:val="en-US" w:eastAsia="zh-CN"/>
    </w:rPr>
  </w:style>
  <w:style w:type="character" w:customStyle="1" w:styleId="229">
    <w:name w:val="UserStyle_117"/>
    <w:link w:val="230"/>
    <w:uiPriority w:val="0"/>
    <w:rPr>
      <w:rFonts w:ascii="宋体" w:hAnsi="宋体"/>
      <w:kern w:val="2"/>
      <w:sz w:val="24"/>
      <w:szCs w:val="24"/>
    </w:rPr>
  </w:style>
  <w:style w:type="paragraph" w:customStyle="1" w:styleId="230">
    <w:name w:val="UserStyle_118"/>
    <w:basedOn w:val="1"/>
    <w:link w:val="229"/>
    <w:uiPriority w:val="0"/>
    <w:pPr>
      <w:widowControl/>
      <w:spacing w:after="60" w:line="360" w:lineRule="auto"/>
      <w:ind w:firstLine="200" w:firstLineChars="200"/>
      <w:jc w:val="left"/>
      <w:textAlignment w:val="baseline"/>
    </w:pPr>
    <w:rPr>
      <w:rFonts w:ascii="宋体" w:hAnsi="宋体"/>
      <w:sz w:val="24"/>
    </w:rPr>
  </w:style>
  <w:style w:type="character" w:customStyle="1" w:styleId="231">
    <w:name w:val="UserStyle_105"/>
    <w:link w:val="232"/>
    <w:uiPriority w:val="0"/>
    <w:rPr>
      <w:rFonts w:ascii="Calibri" w:hAnsi="Calibri"/>
      <w:kern w:val="2"/>
      <w:sz w:val="21"/>
      <w:szCs w:val="22"/>
    </w:rPr>
  </w:style>
  <w:style w:type="paragraph" w:customStyle="1" w:styleId="232">
    <w:name w:val="UserStyle_106"/>
    <w:basedOn w:val="1"/>
    <w:link w:val="231"/>
    <w:uiPriority w:val="0"/>
    <w:pPr>
      <w:widowControl/>
      <w:ind w:firstLine="420" w:firstLineChars="200"/>
      <w:textAlignment w:val="baseline"/>
    </w:pPr>
    <w:rPr>
      <w:rFonts w:ascii="Calibri" w:hAnsi="Calibri"/>
      <w:szCs w:val="22"/>
    </w:rPr>
  </w:style>
  <w:style w:type="character" w:customStyle="1" w:styleId="233">
    <w:name w:val="unnamed51"/>
    <w:qFormat/>
    <w:uiPriority w:val="0"/>
    <w:rPr>
      <w:sz w:val="22"/>
      <w:szCs w:val="22"/>
    </w:rPr>
  </w:style>
  <w:style w:type="character" w:customStyle="1" w:styleId="234">
    <w:name w:val="fontstyle01"/>
    <w:qFormat/>
    <w:uiPriority w:val="0"/>
    <w:rPr>
      <w:rFonts w:hint="eastAsia" w:ascii="宋体" w:hAnsi="宋体" w:eastAsia="宋体"/>
      <w:color w:val="000000"/>
      <w:sz w:val="22"/>
      <w:szCs w:val="22"/>
    </w:rPr>
  </w:style>
  <w:style w:type="character" w:customStyle="1" w:styleId="235">
    <w:name w:val="UserStyle_108"/>
    <w:uiPriority w:val="0"/>
    <w:rPr>
      <w:rFonts w:ascii="仿宋体" w:eastAsia="仿宋体"/>
      <w:i/>
      <w:iCs/>
      <w:sz w:val="21"/>
      <w:szCs w:val="21"/>
    </w:rPr>
  </w:style>
  <w:style w:type="character" w:customStyle="1" w:styleId="236">
    <w:name w:val="正文文本缩进 Char1"/>
    <w:locked/>
    <w:uiPriority w:val="0"/>
    <w:rPr>
      <w:kern w:val="2"/>
      <w:sz w:val="21"/>
      <w:szCs w:val="24"/>
    </w:rPr>
  </w:style>
  <w:style w:type="character" w:customStyle="1" w:styleId="237">
    <w:name w:val="UserStyle_109"/>
    <w:uiPriority w:val="0"/>
    <w:rPr>
      <w:rFonts w:ascii="Arial" w:hAnsi="Arial" w:eastAsia="黑体" w:cs="Times New Roman"/>
      <w:b/>
      <w:bCs/>
      <w:kern w:val="2"/>
      <w:sz w:val="32"/>
      <w:szCs w:val="32"/>
      <w:lang w:val="en-US" w:eastAsia="zh-CN" w:bidi="ar-SA"/>
    </w:rPr>
  </w:style>
  <w:style w:type="character" w:customStyle="1" w:styleId="238">
    <w:name w:val="UserStyle_104"/>
    <w:locked/>
    <w:uiPriority w:val="0"/>
    <w:rPr>
      <w:rFonts w:ascii="仿宋_GB2312" w:hAnsi="Times New Roman" w:eastAsia="仿宋_GB2312"/>
      <w:kern w:val="0"/>
      <w:sz w:val="20"/>
      <w:szCs w:val="20"/>
    </w:rPr>
  </w:style>
  <w:style w:type="character" w:customStyle="1" w:styleId="239">
    <w:name w:val="UserStyle_107"/>
    <w:uiPriority w:val="0"/>
  </w:style>
  <w:style w:type="character" w:customStyle="1" w:styleId="240">
    <w:name w:val="页脚 Char Char"/>
    <w:qFormat/>
    <w:uiPriority w:val="0"/>
    <w:rPr>
      <w:kern w:val="2"/>
      <w:sz w:val="18"/>
      <w:szCs w:val="18"/>
    </w:rPr>
  </w:style>
  <w:style w:type="character" w:customStyle="1" w:styleId="241">
    <w:name w:val="UserStyle_116"/>
    <w:uiPriority w:val="0"/>
    <w:rPr>
      <w:rFonts w:ascii="宋体" w:hAnsi="宋体" w:eastAsia="宋体"/>
      <w:color w:val="000000"/>
      <w:sz w:val="24"/>
      <w:szCs w:val="24"/>
    </w:rPr>
  </w:style>
  <w:style w:type="character" w:customStyle="1" w:styleId="242">
    <w:name w:val="样式1 Char"/>
    <w:qFormat/>
    <w:uiPriority w:val="0"/>
    <w:rPr>
      <w:rFonts w:ascii="Arial" w:hAnsi="Arial" w:eastAsia="宋体"/>
      <w:kern w:val="2"/>
      <w:sz w:val="21"/>
      <w:szCs w:val="24"/>
      <w:lang w:val="en-US" w:eastAsia="zh-CN" w:bidi="ar-SA"/>
    </w:rPr>
  </w:style>
  <w:style w:type="character" w:customStyle="1" w:styleId="243">
    <w:name w:val="Body Text Indent 3 Char"/>
    <w:locked/>
    <w:uiPriority w:val="0"/>
    <w:rPr>
      <w:rFonts w:ascii="仿宋_GB2312" w:hAnsi="Times New Roman" w:eastAsia="仿宋_GB2312" w:cs="Times New Roman"/>
      <w:kern w:val="0"/>
      <w:sz w:val="20"/>
      <w:szCs w:val="20"/>
    </w:rPr>
  </w:style>
  <w:style w:type="character" w:customStyle="1" w:styleId="244">
    <w:name w:val="引文目录标题 Char"/>
    <w:uiPriority w:val="0"/>
    <w:rPr>
      <w:rFonts w:ascii="Arial" w:hAnsi="Arial" w:eastAsia="宋体"/>
      <w:kern w:val="2"/>
      <w:sz w:val="24"/>
      <w:lang w:val="en-US" w:eastAsia="zh-CN"/>
    </w:rPr>
  </w:style>
  <w:style w:type="character" w:customStyle="1" w:styleId="245">
    <w:name w:val="标题 2 Char1"/>
    <w:locked/>
    <w:uiPriority w:val="0"/>
    <w:rPr>
      <w:rFonts w:ascii="Arial" w:hAnsi="Arial" w:eastAsia="黑体" w:cs="Times New Roman"/>
      <w:b/>
      <w:bCs/>
      <w:sz w:val="32"/>
      <w:szCs w:val="32"/>
    </w:rPr>
  </w:style>
  <w:style w:type="character" w:customStyle="1" w:styleId="246">
    <w:name w:val="标题 2 Char Char Char"/>
    <w:aliases w:val="H2 Char,Title2 Char,Heading 2 Hidden Char,Heading 2 CCBS Char,sect 1.2 Char,H21 Char,sect 1.21 Char,H22 Char,sect 1.22 Char,H211 Char,sect 1.211 Char,H23 Char,sect 1.23 Char,H212 Char,sect 1.212 Char,2nd level Char,2 Char,h2 Char"/>
    <w:uiPriority w:val="0"/>
    <w:rPr>
      <w:rFonts w:ascii="Arial" w:hAnsi="Arial" w:eastAsia="黑体"/>
      <w:b/>
      <w:bCs/>
      <w:kern w:val="2"/>
      <w:sz w:val="32"/>
      <w:szCs w:val="32"/>
      <w:lang w:val="en-US" w:eastAsia="zh-CN" w:bidi="ar-SA"/>
    </w:rPr>
  </w:style>
  <w:style w:type="character" w:customStyle="1" w:styleId="247">
    <w:name w:val="tel-desc1"/>
    <w:uiPriority w:val="0"/>
    <w:rPr>
      <w:color w:val="999999"/>
    </w:rPr>
  </w:style>
  <w:style w:type="character" w:customStyle="1" w:styleId="248">
    <w:name w:val="H1 Char"/>
    <w:aliases w:val="PIM 1 Char,Heading 0 Char,Section Head Char,h1 Char,1st level Char,l1 Char,1 Char,H11 Char,H12 Char,H13 Char,H14 Char,H15 Char,H16 Char,H17 Char,Head 1 Char,Head 11 Char,Head 12 Char,Head 111 Char,Head 13 Char,Head 112 Char,Head 14 Char"/>
    <w:uiPriority w:val="0"/>
    <w:rPr>
      <w:rFonts w:cs="Times New Roman"/>
      <w:b/>
      <w:bCs/>
      <w:kern w:val="44"/>
      <w:sz w:val="44"/>
      <w:szCs w:val="44"/>
    </w:rPr>
  </w:style>
  <w:style w:type="character" w:customStyle="1" w:styleId="249">
    <w:name w:val="Plain Text Char"/>
    <w:locked/>
    <w:uiPriority w:val="0"/>
    <w:rPr>
      <w:rFonts w:ascii="宋体" w:hAnsi="Courier New" w:eastAsia="宋体" w:cs="金山简魏碑"/>
      <w:sz w:val="21"/>
      <w:szCs w:val="21"/>
    </w:rPr>
  </w:style>
  <w:style w:type="character" w:customStyle="1" w:styleId="250">
    <w:name w:val="彩色列表 - 着色 1 Char"/>
    <w:locked/>
    <w:uiPriority w:val="0"/>
    <w:rPr>
      <w:rFonts w:ascii="Calibri" w:hAnsi="Calibri" w:eastAsia="宋体"/>
      <w:kern w:val="2"/>
      <w:sz w:val="21"/>
      <w:szCs w:val="22"/>
      <w:lang w:val="en-US" w:eastAsia="zh-CN" w:bidi="ar-SA"/>
    </w:rPr>
  </w:style>
  <w:style w:type="character" w:customStyle="1" w:styleId="251">
    <w:name w:val="Footer Char"/>
    <w:locked/>
    <w:uiPriority w:val="0"/>
    <w:rPr>
      <w:rFonts w:cs="Times New Roman"/>
      <w:sz w:val="18"/>
      <w:szCs w:val="18"/>
    </w:rPr>
  </w:style>
  <w:style w:type="character" w:customStyle="1" w:styleId="252">
    <w:name w:val="para1"/>
    <w:uiPriority w:val="0"/>
    <w:rPr>
      <w:rFonts w:hint="default" w:ascii="Arial" w:hAnsi="Arial"/>
      <w:sz w:val="18"/>
    </w:rPr>
  </w:style>
  <w:style w:type="character" w:customStyle="1" w:styleId="253">
    <w:name w:val="纯文本 Char1"/>
    <w:aliases w:val="普通文字 Char Char1,纯文本 Char Char Char,普通文字 Char Char Char1,普通文字 Char Char Char Char,普通文字 Char1,纯文本 Char Char Char Char Char Char Char Char Char Char,纯文本 Char Char Char Char Char Char Char Char Char C Char,Texte Char,普通文字1 Char,普通文字2 Char1,小 Char"/>
    <w:locked/>
    <w:uiPriority w:val="0"/>
    <w:rPr>
      <w:rFonts w:ascii="宋体" w:hAnsi="Courier New" w:eastAsia="宋体"/>
      <w:sz w:val="24"/>
      <w:szCs w:val="24"/>
    </w:rPr>
  </w:style>
  <w:style w:type="character" w:customStyle="1" w:styleId="254">
    <w:name w:val="List Paragraph Char"/>
    <w:link w:val="255"/>
    <w:qFormat/>
    <w:uiPriority w:val="99"/>
    <w:rPr>
      <w:rFonts w:ascii="Calibri" w:hAnsi="Calibri" w:eastAsia="宋体"/>
      <w:kern w:val="2"/>
      <w:sz w:val="21"/>
      <w:szCs w:val="22"/>
      <w:lang w:bidi="ar-SA"/>
    </w:rPr>
  </w:style>
  <w:style w:type="paragraph" w:customStyle="1" w:styleId="255">
    <w:name w:val="列出段落1"/>
    <w:basedOn w:val="1"/>
    <w:link w:val="254"/>
    <w:qFormat/>
    <w:uiPriority w:val="0"/>
    <w:pPr>
      <w:ind w:firstLine="420" w:firstLineChars="200"/>
    </w:pPr>
    <w:rPr>
      <w:rFonts w:ascii="Calibri" w:hAnsi="Calibri"/>
      <w:szCs w:val="22"/>
    </w:rPr>
  </w:style>
  <w:style w:type="character" w:customStyle="1" w:styleId="256">
    <w:name w:val="marklong"/>
    <w:uiPriority w:val="0"/>
  </w:style>
  <w:style w:type="character" w:customStyle="1" w:styleId="257">
    <w:name w:val="clearfix1"/>
    <w:uiPriority w:val="0"/>
  </w:style>
  <w:style w:type="character" w:customStyle="1" w:styleId="258">
    <w:name w:val="c01"/>
    <w:uiPriority w:val="0"/>
    <w:rPr>
      <w:color w:val="CC0000"/>
    </w:rPr>
  </w:style>
  <w:style w:type="character" w:customStyle="1" w:styleId="259">
    <w:name w:val="ca-21"/>
    <w:uiPriority w:val="0"/>
    <w:rPr>
      <w:rFonts w:hint="eastAsia" w:ascii="仿宋体" w:eastAsia="仿宋体"/>
      <w:sz w:val="21"/>
      <w:szCs w:val="21"/>
    </w:rPr>
  </w:style>
  <w:style w:type="character" w:customStyle="1" w:styleId="260">
    <w:name w:val="自定义正文 Char Char"/>
    <w:link w:val="261"/>
    <w:uiPriority w:val="0"/>
    <w:rPr>
      <w:rFonts w:ascii="宋体" w:hAnsi="宋体" w:eastAsia="宋体"/>
      <w:kern w:val="2"/>
      <w:sz w:val="24"/>
      <w:szCs w:val="24"/>
      <w:lang w:bidi="ar-SA"/>
    </w:rPr>
  </w:style>
  <w:style w:type="paragraph" w:customStyle="1" w:styleId="261">
    <w:name w:val="自定义正文"/>
    <w:basedOn w:val="1"/>
    <w:link w:val="260"/>
    <w:uiPriority w:val="0"/>
    <w:pPr>
      <w:spacing w:after="60" w:line="360" w:lineRule="auto"/>
      <w:ind w:firstLine="200" w:firstLineChars="200"/>
      <w:jc w:val="left"/>
    </w:pPr>
    <w:rPr>
      <w:rFonts w:ascii="宋体" w:hAnsi="宋体"/>
      <w:sz w:val="24"/>
    </w:rPr>
  </w:style>
  <w:style w:type="character" w:customStyle="1" w:styleId="262">
    <w:name w:val="md"/>
    <w:qFormat/>
    <w:uiPriority w:val="0"/>
  </w:style>
  <w:style w:type="character" w:customStyle="1" w:styleId="263">
    <w:name w:val="wenben11"/>
    <w:uiPriority w:val="0"/>
    <w:rPr>
      <w:sz w:val="18"/>
      <w:szCs w:val="18"/>
    </w:rPr>
  </w:style>
  <w:style w:type="character" w:customStyle="1" w:styleId="264">
    <w:name w:val="ca-41"/>
    <w:uiPriority w:val="0"/>
    <w:rPr>
      <w:rFonts w:hint="default" w:ascii="Times New Roman" w:hAnsi="Times New Roman" w:cs="Times New Roman"/>
      <w:sz w:val="21"/>
      <w:szCs w:val="21"/>
    </w:rPr>
  </w:style>
  <w:style w:type="character" w:customStyle="1" w:styleId="265">
    <w:name w:val="cnfont1"/>
    <w:uiPriority w:val="0"/>
    <w:rPr>
      <w:rFonts w:ascii="Tahoma" w:hAnsi="Tahoma" w:eastAsia="宋体"/>
      <w:kern w:val="2"/>
      <w:sz w:val="24"/>
      <w:lang w:val="en-US" w:eastAsia="zh-CN" w:bidi="ar-SA"/>
    </w:rPr>
  </w:style>
  <w:style w:type="character" w:customStyle="1" w:styleId="266">
    <w:name w:val="Char Char2"/>
    <w:uiPriority w:val="0"/>
    <w:rPr>
      <w:rFonts w:ascii="宋体" w:hAnsi="Courier New" w:eastAsia="宋体"/>
      <w:sz w:val="21"/>
      <w:lang w:val="en-US" w:eastAsia="zh-CN" w:bidi="ar-SA"/>
    </w:rPr>
  </w:style>
  <w:style w:type="character" w:customStyle="1" w:styleId="267">
    <w:name w:val=" Char Char5"/>
    <w:uiPriority w:val="0"/>
    <w:rPr>
      <w:rFonts w:ascii="宋体" w:hAnsi="宋体" w:cs="Times New Roman"/>
      <w:kern w:val="2"/>
      <w:sz w:val="36"/>
      <w:szCs w:val="24"/>
    </w:rPr>
  </w:style>
  <w:style w:type="character" w:customStyle="1" w:styleId="268">
    <w:name w:val="font21"/>
    <w:qFormat/>
    <w:uiPriority w:val="0"/>
    <w:rPr>
      <w:rFonts w:hint="eastAsia" w:ascii="宋体" w:hAnsi="宋体" w:eastAsia="宋体"/>
      <w:color w:val="000000"/>
      <w:sz w:val="20"/>
      <w:szCs w:val="20"/>
      <w:u w:val="none"/>
    </w:rPr>
  </w:style>
  <w:style w:type="character" w:customStyle="1" w:styleId="269">
    <w:name w:val="font31"/>
    <w:qFormat/>
    <w:uiPriority w:val="0"/>
    <w:rPr>
      <w:rFonts w:hint="eastAsia" w:ascii="宋体" w:hAnsi="宋体" w:eastAsia="宋体" w:cs="宋体"/>
      <w:b/>
      <w:color w:val="000000"/>
      <w:sz w:val="36"/>
      <w:szCs w:val="36"/>
      <w:u w:val="none"/>
    </w:rPr>
  </w:style>
  <w:style w:type="character" w:customStyle="1" w:styleId="270">
    <w:name w:val="so-ask-best"/>
    <w:uiPriority w:val="0"/>
  </w:style>
  <w:style w:type="character" w:customStyle="1" w:styleId="271">
    <w:name w:val="Char Char3"/>
    <w:qFormat/>
    <w:uiPriority w:val="0"/>
    <w:rPr>
      <w:rFonts w:ascii="Arial" w:hAnsi="Arial" w:eastAsia="黑体"/>
      <w:b/>
      <w:bCs/>
      <w:kern w:val="2"/>
      <w:sz w:val="32"/>
      <w:szCs w:val="32"/>
      <w:lang w:val="en-US" w:eastAsia="zh-CN" w:bidi="ar-SA"/>
    </w:rPr>
  </w:style>
  <w:style w:type="character" w:customStyle="1" w:styleId="272">
    <w:name w:val="a-标题3 Char"/>
    <w:uiPriority w:val="0"/>
    <w:rPr>
      <w:rFonts w:ascii="楷体_GB2312" w:eastAsia="楷体_GB2312"/>
      <w:b/>
      <w:bCs/>
      <w:kern w:val="2"/>
      <w:sz w:val="28"/>
      <w:lang w:val="en-US" w:eastAsia="zh-CN" w:bidi="ar-SA"/>
    </w:rPr>
  </w:style>
  <w:style w:type="character" w:customStyle="1" w:styleId="273">
    <w:name w:val="正文文本样式 Char Char"/>
    <w:link w:val="274"/>
    <w:uiPriority w:val="0"/>
    <w:rPr>
      <w:sz w:val="24"/>
      <w:lang w:bidi="ar-SA"/>
    </w:rPr>
  </w:style>
  <w:style w:type="paragraph" w:customStyle="1" w:styleId="274">
    <w:name w:val="正文文本样式"/>
    <w:basedOn w:val="1"/>
    <w:link w:val="273"/>
    <w:uiPriority w:val="0"/>
    <w:pPr>
      <w:spacing w:line="360" w:lineRule="auto"/>
      <w:ind w:firstLine="482"/>
    </w:pPr>
    <w:rPr>
      <w:kern w:val="0"/>
      <w:sz w:val="24"/>
      <w:szCs w:val="20"/>
    </w:rPr>
  </w:style>
  <w:style w:type="character" w:customStyle="1" w:styleId="275">
    <w:name w:val="批注框文本 Char1"/>
    <w:uiPriority w:val="0"/>
    <w:rPr>
      <w:rFonts w:ascii="Times New Roman" w:hAnsi="Times New Roman" w:eastAsia="宋体" w:cs="Times New Roman"/>
      <w:sz w:val="18"/>
      <w:szCs w:val="18"/>
    </w:rPr>
  </w:style>
  <w:style w:type="character" w:customStyle="1" w:styleId="276">
    <w:name w:val="标题 4 Char1"/>
    <w:uiPriority w:val="0"/>
    <w:rPr>
      <w:rFonts w:ascii="Arial" w:hAnsi="Arial" w:eastAsia="黑体"/>
      <w:b/>
      <w:kern w:val="2"/>
      <w:sz w:val="28"/>
      <w:lang w:val="en-US" w:eastAsia="zh-CN"/>
    </w:rPr>
  </w:style>
  <w:style w:type="character" w:customStyle="1" w:styleId="277">
    <w:name w:val="ca-81"/>
    <w:uiPriority w:val="0"/>
    <w:rPr>
      <w:rFonts w:hint="eastAsia" w:ascii="仿宋体" w:eastAsia="仿宋体"/>
      <w:i/>
      <w:iCs/>
      <w:sz w:val="21"/>
      <w:szCs w:val="21"/>
    </w:rPr>
  </w:style>
  <w:style w:type="character" w:customStyle="1" w:styleId="278">
    <w:name w:val="apple-converted-space"/>
    <w:uiPriority w:val="0"/>
  </w:style>
  <w:style w:type="character" w:customStyle="1" w:styleId="279">
    <w:name w:val="Style 小四"/>
    <w:uiPriority w:val="0"/>
    <w:rPr>
      <w:rFonts w:eastAsia="宋体"/>
      <w:sz w:val="24"/>
    </w:rPr>
  </w:style>
  <w:style w:type="character" w:customStyle="1" w:styleId="280">
    <w:name w:val="页脚 字符"/>
    <w:uiPriority w:val="99"/>
    <w:rPr>
      <w:sz w:val="18"/>
      <w:szCs w:val="18"/>
    </w:rPr>
  </w:style>
  <w:style w:type="character" w:customStyle="1" w:styleId="281">
    <w:name w:val="style71"/>
    <w:uiPriority w:val="0"/>
    <w:rPr>
      <w:color w:val="999999"/>
    </w:rPr>
  </w:style>
  <w:style w:type="character" w:customStyle="1" w:styleId="282">
    <w:name w:val="页眉 字符"/>
    <w:uiPriority w:val="99"/>
    <w:rPr>
      <w:sz w:val="18"/>
      <w:szCs w:val="18"/>
    </w:rPr>
  </w:style>
  <w:style w:type="character" w:customStyle="1" w:styleId="283">
    <w:name w:val="彩色列表 - 强调文字颜色 1字符"/>
    <w:link w:val="284"/>
    <w:uiPriority w:val="0"/>
    <w:rPr>
      <w:rFonts w:ascii="Calibri" w:hAnsi="Calibri"/>
      <w:kern w:val="2"/>
      <w:sz w:val="21"/>
      <w:szCs w:val="22"/>
    </w:rPr>
  </w:style>
  <w:style w:type="paragraph" w:customStyle="1" w:styleId="284">
    <w:name w:val="彩色列表 - 强调文字颜色 11"/>
    <w:basedOn w:val="1"/>
    <w:link w:val="283"/>
    <w:qFormat/>
    <w:uiPriority w:val="0"/>
    <w:pPr>
      <w:ind w:firstLine="420" w:firstLineChars="200"/>
    </w:pPr>
    <w:rPr>
      <w:rFonts w:ascii="Calibri" w:hAnsi="Calibri"/>
      <w:szCs w:val="22"/>
    </w:rPr>
  </w:style>
  <w:style w:type="character" w:customStyle="1" w:styleId="285">
    <w:name w:val="标题 1 Char Char"/>
    <w:qFormat/>
    <w:uiPriority w:val="0"/>
    <w:rPr>
      <w:rFonts w:eastAsia="宋体"/>
      <w:b/>
      <w:spacing w:val="-2"/>
      <w:sz w:val="24"/>
      <w:lang w:val="en-US" w:eastAsia="zh-CN" w:bidi="ar-SA"/>
    </w:rPr>
  </w:style>
  <w:style w:type="character" w:customStyle="1" w:styleId="286">
    <w:name w:val="正文缩进 Char Char Char Char Char Char Char Char Char Char Char Char Char Char Char Char Char Char"/>
    <w:aliases w:val="表正文 Char Char Char Char Char Char Char Char Char Char Char Char,±íÕýÎÄ Char,±í Char,ÕýÎÄ·ÇËõ½ø Char,±í?y?? Char,?y???ÕýÎÄ Char"/>
    <w:uiPriority w:val="0"/>
    <w:rPr>
      <w:kern w:val="2"/>
      <w:sz w:val="21"/>
      <w:szCs w:val="24"/>
    </w:rPr>
  </w:style>
  <w:style w:type="character" w:customStyle="1" w:styleId="287">
    <w:name w:val="unnamed11"/>
    <w:qFormat/>
    <w:uiPriority w:val="0"/>
    <w:rPr>
      <w:sz w:val="26"/>
    </w:rPr>
  </w:style>
  <w:style w:type="character" w:customStyle="1" w:styleId="288">
    <w:name w:val="ca-1"/>
    <w:uiPriority w:val="0"/>
  </w:style>
  <w:style w:type="character" w:customStyle="1" w:styleId="289">
    <w:name w:val="列出段落 Char"/>
    <w:aliases w:val="编号 Char,列出段落3 Char"/>
    <w:link w:val="290"/>
    <w:uiPriority w:val="0"/>
    <w:rPr>
      <w:rFonts w:eastAsia="宋体"/>
      <w:kern w:val="2"/>
      <w:sz w:val="21"/>
      <w:szCs w:val="24"/>
      <w:lang w:val="en-US" w:eastAsia="zh-CN" w:bidi="ar-SA"/>
    </w:rPr>
  </w:style>
  <w:style w:type="paragraph" w:customStyle="1" w:styleId="290">
    <w:name w:val="列出段落3"/>
    <w:basedOn w:val="1"/>
    <w:link w:val="289"/>
    <w:qFormat/>
    <w:uiPriority w:val="0"/>
    <w:pPr>
      <w:ind w:firstLine="420" w:firstLineChars="200"/>
    </w:pPr>
  </w:style>
  <w:style w:type="character" w:customStyle="1" w:styleId="291">
    <w:name w:val="style15"/>
    <w:uiPriority w:val="0"/>
  </w:style>
  <w:style w:type="character" w:customStyle="1" w:styleId="292">
    <w:name w:val="style421"/>
    <w:uiPriority w:val="0"/>
    <w:rPr>
      <w:sz w:val="18"/>
      <w:szCs w:val="18"/>
    </w:rPr>
  </w:style>
  <w:style w:type="character" w:customStyle="1" w:styleId="293">
    <w:name w:val="15"/>
    <w:qFormat/>
    <w:uiPriority w:val="0"/>
    <w:rPr>
      <w:rFonts w:ascii="Verdana" w:hAnsi="Verdana" w:cs="Times New Roman"/>
      <w:color w:val="C90000"/>
      <w:sz w:val="18"/>
    </w:rPr>
  </w:style>
  <w:style w:type="character" w:customStyle="1" w:styleId="294">
    <w:name w:val="杨俊标书正文 Char"/>
    <w:link w:val="295"/>
    <w:uiPriority w:val="0"/>
    <w:rPr>
      <w:rFonts w:ascii="宋体" w:hAnsi="宋体" w:eastAsia="宋体"/>
      <w:sz w:val="24"/>
      <w:szCs w:val="22"/>
      <w:lang w:bidi="ar-SA"/>
    </w:rPr>
  </w:style>
  <w:style w:type="paragraph" w:customStyle="1" w:styleId="295">
    <w:name w:val="杨俊标书正文"/>
    <w:basedOn w:val="1"/>
    <w:link w:val="294"/>
    <w:qFormat/>
    <w:uiPriority w:val="0"/>
    <w:pPr>
      <w:widowControl/>
      <w:spacing w:after="200" w:line="360" w:lineRule="auto"/>
      <w:ind w:firstLine="480" w:firstLineChars="200"/>
      <w:jc w:val="left"/>
    </w:pPr>
    <w:rPr>
      <w:rFonts w:ascii="宋体" w:hAnsi="宋体"/>
      <w:kern w:val="0"/>
      <w:sz w:val="24"/>
      <w:szCs w:val="22"/>
    </w:rPr>
  </w:style>
  <w:style w:type="character" w:customStyle="1" w:styleId="296">
    <w:name w:val="param-name1"/>
    <w:uiPriority w:val="0"/>
    <w:rPr>
      <w:b/>
    </w:rPr>
  </w:style>
  <w:style w:type="character" w:customStyle="1" w:styleId="297">
    <w:name w:val="Heading 2 Char1 Char"/>
    <w:aliases w:val="Heading 2 Char Char Char,H2 Char Char Char,标题 1.1 Char Char Char,Title2 Char Char Char,h2 Char Char Char,Underrubrik1 Char Char Char,prop2 Char Char Char,标题二 Char Char Char,H21 Char Char Char,Heading 2 Hidden Char Char Char"/>
    <w:uiPriority w:val="0"/>
    <w:rPr>
      <w:rFonts w:ascii="Arial" w:hAnsi="Arial" w:eastAsia="黑体"/>
      <w:b/>
      <w:bCs/>
      <w:kern w:val="2"/>
      <w:sz w:val="32"/>
      <w:szCs w:val="32"/>
      <w:lang w:val="en-US" w:eastAsia="zh-CN" w:bidi="ar-SA"/>
    </w:rPr>
  </w:style>
  <w:style w:type="character" w:customStyle="1" w:styleId="298">
    <w:name w:val="ca-51"/>
    <w:uiPriority w:val="0"/>
    <w:rPr>
      <w:rFonts w:hint="eastAsia" w:ascii="宋体" w:hAnsi="宋体" w:eastAsia="宋体"/>
      <w:color w:val="000000"/>
      <w:sz w:val="24"/>
      <w:szCs w:val="24"/>
    </w:rPr>
  </w:style>
  <w:style w:type="character" w:customStyle="1" w:styleId="299">
    <w:name w:val="tel17"/>
    <w:uiPriority w:val="0"/>
  </w:style>
  <w:style w:type="character" w:customStyle="1" w:styleId="300">
    <w:name w:val=" Char Char7"/>
    <w:uiPriority w:val="0"/>
    <w:rPr>
      <w:rFonts w:ascii="Times New Roman" w:hAnsi="Times New Roman" w:cs="Times New Roman"/>
      <w:kern w:val="2"/>
      <w:sz w:val="16"/>
      <w:szCs w:val="16"/>
    </w:rPr>
  </w:style>
  <w:style w:type="character" w:customStyle="1" w:styleId="301">
    <w:name w:val="expanded1"/>
    <w:uiPriority w:val="0"/>
    <w:rPr>
      <w:rFonts w:hint="default" w:ascii="Verdana" w:hAnsi="Verdana"/>
      <w:color w:val="000066"/>
      <w:sz w:val="15"/>
      <w:szCs w:val="15"/>
    </w:rPr>
  </w:style>
  <w:style w:type="character" w:customStyle="1" w:styleId="302">
    <w:name w:val="GP正文(首行缩进) Char Char"/>
    <w:link w:val="303"/>
    <w:locked/>
    <w:uiPriority w:val="0"/>
    <w:rPr>
      <w:rFonts w:hAnsi="宋体" w:eastAsia="微软雅黑"/>
      <w:sz w:val="24"/>
      <w:szCs w:val="24"/>
    </w:rPr>
  </w:style>
  <w:style w:type="paragraph" w:customStyle="1" w:styleId="303">
    <w:name w:val="GP正文(首行缩进)"/>
    <w:basedOn w:val="1"/>
    <w:link w:val="302"/>
    <w:qFormat/>
    <w:uiPriority w:val="0"/>
    <w:pPr>
      <w:spacing w:line="360" w:lineRule="auto"/>
      <w:ind w:firstLine="480" w:firstLineChars="200"/>
      <w:jc w:val="left"/>
    </w:pPr>
    <w:rPr>
      <w:rFonts w:hAnsi="宋体" w:eastAsia="微软雅黑"/>
      <w:kern w:val="0"/>
      <w:sz w:val="24"/>
    </w:rPr>
  </w:style>
  <w:style w:type="character" w:customStyle="1" w:styleId="304">
    <w:name w:val="b11_01b Char Char"/>
    <w:uiPriority w:val="0"/>
    <w:rPr>
      <w:rFonts w:ascii="Verdana" w:hAnsi="Verdana" w:eastAsia="宋体"/>
      <w:b/>
      <w:bCs/>
      <w:color w:val="4A82CA"/>
      <w:sz w:val="17"/>
      <w:szCs w:val="17"/>
      <w:lang w:val="en-US" w:eastAsia="zh-CN" w:bidi="ar-SA"/>
    </w:rPr>
  </w:style>
  <w:style w:type="character" w:customStyle="1" w:styleId="305">
    <w:name w:val="h Char"/>
    <w:aliases w:val="Header/Footer Char Char,页眉 Char1"/>
    <w:locked/>
    <w:uiPriority w:val="0"/>
    <w:rPr>
      <w:rFonts w:cs="Times New Roman"/>
      <w:sz w:val="18"/>
      <w:szCs w:val="18"/>
    </w:rPr>
  </w:style>
  <w:style w:type="character" w:customStyle="1" w:styleId="306">
    <w:name w:val="small"/>
    <w:uiPriority w:val="0"/>
  </w:style>
  <w:style w:type="character" w:customStyle="1" w:styleId="307">
    <w:name w:val="标题 3 Char1"/>
    <w:aliases w:val="Heading 3 - old Char1,Heading 3 - old Char Char,标题 3 Char Char,小标题 Char,level_3 Char,PIM 3 Char,H3 Char,Level 3 Head Char,章标题1 Char,第二层条 Char,h3 Char,sect1.2.3 Char,Bold Head Char,bh Char,l3 Char,CT Char,prop3 Char,3 Char,3heading Char"/>
    <w:uiPriority w:val="0"/>
    <w:rPr>
      <w:rFonts w:ascii="宋体" w:hAnsi="宋体" w:eastAsia="黑体"/>
      <w:kern w:val="2"/>
      <w:sz w:val="28"/>
      <w:szCs w:val="32"/>
      <w:lang w:val="en-US" w:eastAsia="zh-CN" w:bidi="ar-SA"/>
    </w:rPr>
  </w:style>
  <w:style w:type="character" w:customStyle="1" w:styleId="308">
    <w:name w:val="正文2 Char"/>
    <w:link w:val="309"/>
    <w:uiPriority w:val="0"/>
    <w:rPr>
      <w:kern w:val="2"/>
      <w:sz w:val="24"/>
      <w:lang w:bidi="ar-SA"/>
    </w:rPr>
  </w:style>
  <w:style w:type="paragraph" w:customStyle="1" w:styleId="309">
    <w:name w:val="正文2"/>
    <w:basedOn w:val="1"/>
    <w:link w:val="308"/>
    <w:qFormat/>
    <w:uiPriority w:val="0"/>
    <w:pPr>
      <w:spacing w:before="156" w:line="360" w:lineRule="auto"/>
      <w:ind w:firstLine="510" w:firstLineChars="200"/>
    </w:pPr>
    <w:rPr>
      <w:sz w:val="24"/>
      <w:szCs w:val="20"/>
    </w:rPr>
  </w:style>
  <w:style w:type="character" w:customStyle="1" w:styleId="310">
    <w:name w:val="unnamed21"/>
    <w:uiPriority w:val="0"/>
    <w:rPr>
      <w:rFonts w:ascii="Tahoma" w:hAnsi="Tahoma" w:eastAsia="宋体"/>
      <w:color w:val="CC6633"/>
      <w:kern w:val="2"/>
      <w:sz w:val="24"/>
      <w:u w:val="none"/>
      <w:lang w:val="en-US" w:eastAsia="zh-CN" w:bidi="ar-SA"/>
    </w:rPr>
  </w:style>
  <w:style w:type="character" w:customStyle="1" w:styleId="311">
    <w:name w:val="标题 Char1"/>
    <w:uiPriority w:val="0"/>
    <w:rPr>
      <w:rFonts w:ascii="Cambria" w:hAnsi="Cambria" w:eastAsia="宋体" w:cs="黑体"/>
      <w:b/>
      <w:bCs/>
      <w:sz w:val="32"/>
      <w:szCs w:val="32"/>
    </w:rPr>
  </w:style>
  <w:style w:type="character" w:customStyle="1" w:styleId="312">
    <w:name w:val="text-content11"/>
    <w:uiPriority w:val="0"/>
    <w:rPr>
      <w:rFonts w:hint="default" w:ascii="Tahoma" w:hAnsi="Tahoma" w:cs="Tahoma"/>
      <w:color w:val="555555"/>
      <w:sz w:val="18"/>
      <w:szCs w:val="18"/>
    </w:rPr>
  </w:style>
  <w:style w:type="character" w:customStyle="1" w:styleId="313">
    <w:name w:val="txt_cn_121"/>
    <w:uiPriority w:val="0"/>
    <w:rPr>
      <w:rFonts w:hint="default" w:ascii="Arial" w:hAnsi="Arial" w:cs="Arial"/>
      <w:color w:val="666666"/>
      <w:sz w:val="18"/>
      <w:szCs w:val="18"/>
      <w:u w:val="none"/>
    </w:rPr>
  </w:style>
  <w:style w:type="character" w:customStyle="1" w:styleId="314">
    <w:name w:val="无间隔 Char"/>
    <w:link w:val="315"/>
    <w:uiPriority w:val="0"/>
    <w:rPr>
      <w:rFonts w:ascii="Calibri" w:hAnsi="Calibri"/>
      <w:sz w:val="22"/>
      <w:szCs w:val="22"/>
      <w:lang w:val="en-US" w:eastAsia="zh-CN" w:bidi="ar-SA"/>
    </w:rPr>
  </w:style>
  <w:style w:type="paragraph" w:styleId="315">
    <w:name w:val="No Spacing"/>
    <w:link w:val="314"/>
    <w:qFormat/>
    <w:uiPriority w:val="0"/>
    <w:rPr>
      <w:rFonts w:ascii="Calibri" w:hAnsi="Calibri"/>
      <w:sz w:val="22"/>
      <w:szCs w:val="22"/>
      <w:lang w:val="en-US" w:eastAsia="zh-CN" w:bidi="ar-SA"/>
    </w:rPr>
  </w:style>
  <w:style w:type="character" w:customStyle="1" w:styleId="316">
    <w:name w:val="px14"/>
    <w:uiPriority w:val="0"/>
  </w:style>
  <w:style w:type="character" w:customStyle="1" w:styleId="317">
    <w:name w:val="style61"/>
    <w:uiPriority w:val="0"/>
    <w:rPr>
      <w:b/>
      <w:bCs/>
      <w:color w:val="999999"/>
    </w:rPr>
  </w:style>
  <w:style w:type="character" w:customStyle="1" w:styleId="318">
    <w:name w:val="font51"/>
    <w:qFormat/>
    <w:uiPriority w:val="0"/>
    <w:rPr>
      <w:rFonts w:hint="eastAsia" w:ascii="微软雅黑" w:hAnsi="微软雅黑" w:eastAsia="微软雅黑" w:cs="微软雅黑"/>
      <w:color w:val="000000"/>
      <w:sz w:val="20"/>
      <w:szCs w:val="20"/>
      <w:u w:val="none"/>
    </w:rPr>
  </w:style>
  <w:style w:type="character" w:customStyle="1" w:styleId="319">
    <w:name w:val="font91"/>
    <w:uiPriority w:val="0"/>
    <w:rPr>
      <w:rFonts w:hint="eastAsia" w:ascii="微软雅黑" w:hAnsi="微软雅黑" w:eastAsia="微软雅黑" w:cs="微软雅黑"/>
      <w:color w:val="000000"/>
      <w:sz w:val="20"/>
      <w:szCs w:val="20"/>
      <w:u w:val="none"/>
    </w:rPr>
  </w:style>
  <w:style w:type="character" w:customStyle="1" w:styleId="320">
    <w:name w:val="font71"/>
    <w:uiPriority w:val="0"/>
    <w:rPr>
      <w:rFonts w:hint="eastAsia" w:ascii="宋体" w:hAnsi="宋体" w:eastAsia="宋体" w:cs="宋体"/>
      <w:color w:val="000000"/>
      <w:sz w:val="20"/>
      <w:szCs w:val="20"/>
      <w:u w:val="none"/>
    </w:rPr>
  </w:style>
  <w:style w:type="character" w:customStyle="1" w:styleId="321">
    <w:name w:val="正文文本首行缩进 字符"/>
    <w:uiPriority w:val="0"/>
    <w:rPr>
      <w:rFonts w:ascii="Calibri" w:hAnsi="Calibri" w:eastAsia="宋体"/>
      <w:kern w:val="2"/>
      <w:sz w:val="21"/>
      <w:szCs w:val="24"/>
      <w:lang w:val="en-US" w:eastAsia="zh-CN" w:bidi="ar-SA"/>
    </w:rPr>
  </w:style>
  <w:style w:type="character" w:customStyle="1" w:styleId="322">
    <w:name w:val="UserStyle_19"/>
    <w:link w:val="323"/>
    <w:uiPriority w:val="0"/>
    <w:rPr>
      <w:rFonts w:ascii="宋体" w:hAnsi="Courier New"/>
      <w:kern w:val="2"/>
      <w:sz w:val="24"/>
      <w:szCs w:val="24"/>
    </w:rPr>
  </w:style>
  <w:style w:type="paragraph" w:customStyle="1" w:styleId="323">
    <w:name w:val="PlainText"/>
    <w:basedOn w:val="1"/>
    <w:link w:val="322"/>
    <w:uiPriority w:val="0"/>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324">
    <w:name w:val="UserStyle_112"/>
    <w:link w:val="325"/>
    <w:uiPriority w:val="0"/>
    <w:rPr>
      <w:b/>
      <w:bCs/>
      <w:kern w:val="2"/>
      <w:sz w:val="28"/>
      <w:szCs w:val="28"/>
    </w:rPr>
  </w:style>
  <w:style w:type="paragraph" w:customStyle="1" w:styleId="325">
    <w:name w:val="Heading5"/>
    <w:basedOn w:val="1"/>
    <w:next w:val="1"/>
    <w:link w:val="324"/>
    <w:qFormat/>
    <w:uiPriority w:val="0"/>
    <w:pPr>
      <w:keepNext/>
      <w:keepLines/>
      <w:widowControl/>
      <w:spacing w:before="280" w:after="290" w:line="376" w:lineRule="auto"/>
      <w:textAlignment w:val="baseline"/>
    </w:pPr>
    <w:rPr>
      <w:b/>
      <w:bCs/>
      <w:sz w:val="28"/>
      <w:szCs w:val="28"/>
    </w:rPr>
  </w:style>
  <w:style w:type="character" w:customStyle="1" w:styleId="326">
    <w:name w:val="UserStyle_2"/>
    <w:uiPriority w:val="0"/>
    <w:rPr>
      <w:rFonts w:ascii="宋体" w:hAnsi="宋体" w:eastAsia="黑体"/>
      <w:kern w:val="2"/>
      <w:sz w:val="28"/>
      <w:szCs w:val="32"/>
      <w:lang w:val="en-US" w:eastAsia="zh-CN" w:bidi="ar-SA"/>
    </w:rPr>
  </w:style>
  <w:style w:type="character" w:customStyle="1" w:styleId="327">
    <w:name w:val="UserStyle_8"/>
    <w:uiPriority w:val="0"/>
  </w:style>
  <w:style w:type="character" w:customStyle="1" w:styleId="328">
    <w:name w:val="UserStyle_11"/>
    <w:locked/>
    <w:uiPriority w:val="0"/>
    <w:rPr>
      <w:sz w:val="18"/>
      <w:szCs w:val="18"/>
    </w:rPr>
  </w:style>
  <w:style w:type="character" w:customStyle="1" w:styleId="329">
    <w:name w:val="UserStyle_12"/>
    <w:uiPriority w:val="0"/>
  </w:style>
  <w:style w:type="character" w:customStyle="1" w:styleId="330">
    <w:name w:val="UserStyle_20"/>
    <w:link w:val="331"/>
    <w:uiPriority w:val="0"/>
    <w:rPr>
      <w:rFonts w:ascii="宋体"/>
      <w:sz w:val="21"/>
      <w:lang w:val="en-US" w:eastAsia="zh-CN" w:bidi="ar-SA"/>
    </w:rPr>
  </w:style>
  <w:style w:type="paragraph" w:customStyle="1" w:styleId="331">
    <w:name w:val="UserStyle_21"/>
    <w:link w:val="330"/>
    <w:uiPriority w:val="0"/>
    <w:pPr>
      <w:ind w:firstLine="200" w:firstLineChars="200"/>
      <w:jc w:val="both"/>
      <w:textAlignment w:val="baseline"/>
    </w:pPr>
    <w:rPr>
      <w:rFonts w:ascii="宋体"/>
      <w:sz w:val="21"/>
      <w:lang w:val="en-US" w:eastAsia="zh-CN" w:bidi="ar-SA"/>
    </w:rPr>
  </w:style>
  <w:style w:type="character" w:customStyle="1" w:styleId="332">
    <w:name w:val="UserStyle_26"/>
    <w:link w:val="333"/>
    <w:locked/>
    <w:uiPriority w:val="0"/>
    <w:rPr>
      <w:rFonts w:ascii="宋体" w:hAnsi="Courier New"/>
      <w:spacing w:val="-4"/>
      <w:kern w:val="2"/>
      <w:sz w:val="18"/>
    </w:rPr>
  </w:style>
  <w:style w:type="paragraph" w:customStyle="1" w:styleId="333">
    <w:name w:val="BodyTextIndent"/>
    <w:basedOn w:val="1"/>
    <w:next w:val="193"/>
    <w:link w:val="332"/>
    <w:qFormat/>
    <w:uiPriority w:val="0"/>
    <w:pPr>
      <w:widowControl/>
      <w:spacing w:line="200" w:lineRule="exact"/>
      <w:ind w:firstLine="301"/>
      <w:textAlignment w:val="baseline"/>
    </w:pPr>
    <w:rPr>
      <w:rFonts w:ascii="宋体" w:hAnsi="Courier New"/>
      <w:spacing w:val="-4"/>
      <w:sz w:val="18"/>
      <w:szCs w:val="20"/>
    </w:rPr>
  </w:style>
  <w:style w:type="character" w:customStyle="1" w:styleId="334">
    <w:name w:val="UserStyle_30"/>
    <w:uiPriority w:val="0"/>
  </w:style>
  <w:style w:type="character" w:customStyle="1" w:styleId="335">
    <w:name w:val="UserStyle_32"/>
    <w:uiPriority w:val="0"/>
    <w:rPr>
      <w:sz w:val="26"/>
    </w:rPr>
  </w:style>
  <w:style w:type="character" w:customStyle="1" w:styleId="336">
    <w:name w:val="UserStyle_40"/>
    <w:uiPriority w:val="0"/>
    <w:rPr>
      <w:color w:val="999999"/>
    </w:rPr>
  </w:style>
  <w:style w:type="character" w:customStyle="1" w:styleId="337">
    <w:name w:val="UserStyle_43"/>
    <w:uiPriority w:val="0"/>
    <w:rPr>
      <w:rFonts w:ascii="Arial" w:hAnsi="Arial" w:eastAsia="黑体" w:cs="Times New Roman"/>
      <w:b/>
      <w:bCs/>
      <w:kern w:val="2"/>
      <w:sz w:val="32"/>
      <w:szCs w:val="32"/>
      <w:lang w:val="en-US" w:eastAsia="zh-CN" w:bidi="ar-SA"/>
    </w:rPr>
  </w:style>
  <w:style w:type="character" w:customStyle="1" w:styleId="338">
    <w:name w:val="UserStyle_45"/>
    <w:uiPriority w:val="0"/>
    <w:rPr>
      <w:color w:val="999999"/>
    </w:rPr>
  </w:style>
  <w:style w:type="character" w:customStyle="1" w:styleId="339">
    <w:name w:val="UserStyle_46"/>
    <w:locked/>
    <w:uiPriority w:val="0"/>
    <w:rPr>
      <w:rFonts w:ascii="宋体" w:hAnsi="Courier New" w:eastAsia="宋体"/>
      <w:sz w:val="21"/>
      <w:szCs w:val="21"/>
    </w:rPr>
  </w:style>
  <w:style w:type="character" w:customStyle="1" w:styleId="340">
    <w:name w:val="UserStyle_54"/>
    <w:uiPriority w:val="0"/>
    <w:rPr>
      <w:rFonts w:ascii="Verdana" w:hAnsi="Verdana"/>
      <w:color w:val="000066"/>
      <w:sz w:val="15"/>
      <w:szCs w:val="15"/>
    </w:rPr>
  </w:style>
  <w:style w:type="character" w:customStyle="1" w:styleId="341">
    <w:name w:val="UserStyle_57"/>
    <w:uiPriority w:val="0"/>
    <w:rPr>
      <w:rFonts w:ascii="宋体" w:hAnsi="宋体" w:eastAsia="宋体"/>
      <w:color w:val="000000"/>
      <w:sz w:val="20"/>
      <w:szCs w:val="20"/>
    </w:rPr>
  </w:style>
  <w:style w:type="character" w:customStyle="1" w:styleId="342">
    <w:name w:val="UserStyle_63"/>
    <w:uiPriority w:val="0"/>
    <w:rPr>
      <w:sz w:val="18"/>
      <w:szCs w:val="18"/>
    </w:rPr>
  </w:style>
  <w:style w:type="character" w:customStyle="1" w:styleId="343">
    <w:name w:val="UserStyle_67"/>
    <w:uiPriority w:val="0"/>
    <w:rPr>
      <w:rFonts w:ascii="Tahoma" w:hAnsi="Tahoma" w:eastAsia="宋体"/>
      <w:kern w:val="2"/>
      <w:sz w:val="24"/>
      <w:lang w:val="en-US" w:eastAsia="zh-CN" w:bidi="ar-SA"/>
    </w:rPr>
  </w:style>
  <w:style w:type="character" w:customStyle="1" w:styleId="344">
    <w:name w:val="UserStyle_70"/>
    <w:locked/>
    <w:uiPriority w:val="0"/>
    <w:rPr>
      <w:rFonts w:ascii="Arial" w:hAnsi="Arial" w:eastAsia="黑体" w:cs="Times New Roman"/>
      <w:b/>
      <w:bCs/>
      <w:sz w:val="32"/>
      <w:szCs w:val="32"/>
    </w:rPr>
  </w:style>
  <w:style w:type="character" w:customStyle="1" w:styleId="345">
    <w:name w:val="UserStyle_72"/>
    <w:uiPriority w:val="0"/>
    <w:rPr>
      <w:rFonts w:eastAsia="宋体"/>
      <w:b/>
      <w:spacing w:val="-2"/>
      <w:sz w:val="24"/>
      <w:lang w:val="en-US" w:eastAsia="zh-CN" w:bidi="ar-SA"/>
    </w:rPr>
  </w:style>
  <w:style w:type="character" w:customStyle="1" w:styleId="346">
    <w:name w:val="UserStyle_79"/>
    <w:uiPriority w:val="0"/>
    <w:rPr>
      <w:b/>
    </w:rPr>
  </w:style>
  <w:style w:type="character" w:customStyle="1" w:styleId="347">
    <w:name w:val="UserStyle_81"/>
    <w:uiPriority w:val="0"/>
    <w:rPr>
      <w:rFonts w:ascii="楷体_GB2312" w:eastAsia="楷体_GB2312" w:cs="Times New Roman"/>
      <w:b/>
      <w:bCs/>
      <w:kern w:val="2"/>
      <w:sz w:val="28"/>
      <w:lang w:val="en-US" w:eastAsia="zh-CN" w:bidi="ar-SA"/>
    </w:rPr>
  </w:style>
  <w:style w:type="character" w:customStyle="1" w:styleId="348">
    <w:name w:val="UserStyle_86"/>
    <w:uiPriority w:val="0"/>
    <w:rPr>
      <w:rFonts w:ascii="Times New Roman" w:hAnsi="Times New Roman"/>
      <w:kern w:val="2"/>
      <w:sz w:val="18"/>
      <w:szCs w:val="18"/>
    </w:rPr>
  </w:style>
  <w:style w:type="character" w:customStyle="1" w:styleId="349">
    <w:name w:val="UserStyle_103"/>
    <w:uiPriority w:val="0"/>
    <w:rPr>
      <w:rFonts w:ascii="宋体" w:hAnsi="Courier New" w:eastAsia="宋体"/>
      <w:sz w:val="21"/>
      <w:lang w:val="en-US" w:eastAsia="zh-CN" w:bidi="ar-SA"/>
    </w:rPr>
  </w:style>
  <w:style w:type="character" w:customStyle="1" w:styleId="350">
    <w:name w:val="正文2 Char Char"/>
    <w:qFormat/>
    <w:uiPriority w:val="0"/>
    <w:rPr>
      <w:rFonts w:eastAsia="宋体"/>
      <w:kern w:val="2"/>
      <w:sz w:val="24"/>
      <w:lang w:val="en-US" w:eastAsia="zh-CN" w:bidi="ar-SA"/>
    </w:rPr>
  </w:style>
  <w:style w:type="character" w:customStyle="1" w:styleId="351">
    <w:name w:val="DN-正文 Char Char"/>
    <w:link w:val="352"/>
    <w:qFormat/>
    <w:uiPriority w:val="0"/>
    <w:rPr>
      <w:kern w:val="2"/>
      <w:sz w:val="21"/>
      <w:szCs w:val="24"/>
    </w:rPr>
  </w:style>
  <w:style w:type="paragraph" w:customStyle="1" w:styleId="352">
    <w:name w:val="DN-正文"/>
    <w:basedOn w:val="5"/>
    <w:link w:val="351"/>
    <w:qFormat/>
    <w:uiPriority w:val="0"/>
    <w:pPr>
      <w:spacing w:line="400" w:lineRule="exact"/>
      <w:ind w:firstLine="200" w:firstLineChars="200"/>
    </w:pPr>
    <w:rPr>
      <w:szCs w:val="24"/>
    </w:rPr>
  </w:style>
  <w:style w:type="character" w:customStyle="1" w:styleId="353">
    <w:name w:val="彩色列表 - 强调文字颜色 1 Char"/>
    <w:qFormat/>
    <w:uiPriority w:val="0"/>
    <w:rPr>
      <w:kern w:val="2"/>
      <w:sz w:val="21"/>
      <w:szCs w:val="24"/>
    </w:rPr>
  </w:style>
  <w:style w:type="character" w:customStyle="1" w:styleId="354">
    <w:name w:val="zbggmain style9"/>
    <w:qFormat/>
    <w:uiPriority w:val="0"/>
  </w:style>
  <w:style w:type="character" w:customStyle="1" w:styleId="355">
    <w:name w:val="结算规范正文 Char Char"/>
    <w:link w:val="356"/>
    <w:qFormat/>
    <w:uiPriority w:val="0"/>
    <w:rPr>
      <w:rFonts w:ascii="宋体" w:hAnsi="宋体" w:cs="宋体"/>
      <w:kern w:val="2"/>
      <w:sz w:val="24"/>
    </w:rPr>
  </w:style>
  <w:style w:type="paragraph" w:customStyle="1" w:styleId="356">
    <w:name w:val="结算规范正文"/>
    <w:basedOn w:val="1"/>
    <w:link w:val="355"/>
    <w:qFormat/>
    <w:uiPriority w:val="0"/>
    <w:pPr>
      <w:adjustRightInd w:val="0"/>
      <w:spacing w:beforeLines="50" w:line="360" w:lineRule="auto"/>
      <w:ind w:firstLine="480" w:firstLineChars="200"/>
    </w:pPr>
    <w:rPr>
      <w:rFonts w:ascii="宋体" w:hAnsi="宋体"/>
      <w:sz w:val="24"/>
      <w:szCs w:val="20"/>
    </w:rPr>
  </w:style>
  <w:style w:type="character" w:customStyle="1" w:styleId="357">
    <w:name w:val="My正文 Char"/>
    <w:link w:val="358"/>
    <w:qFormat/>
    <w:uiPriority w:val="0"/>
    <w:rPr>
      <w:rFonts w:ascii="Arial" w:hAnsi="Arial"/>
      <w:sz w:val="24"/>
    </w:rPr>
  </w:style>
  <w:style w:type="paragraph" w:customStyle="1" w:styleId="358">
    <w:name w:val="My正文"/>
    <w:basedOn w:val="1"/>
    <w:link w:val="357"/>
    <w:qFormat/>
    <w:uiPriority w:val="0"/>
    <w:pPr>
      <w:adjustRightInd w:val="0"/>
      <w:spacing w:before="120" w:line="360" w:lineRule="auto"/>
      <w:ind w:firstLine="567"/>
      <w:textAlignment w:val="baseline"/>
    </w:pPr>
    <w:rPr>
      <w:rFonts w:ascii="Arial" w:hAnsi="Arial"/>
      <w:kern w:val="0"/>
      <w:sz w:val="24"/>
      <w:szCs w:val="20"/>
    </w:rPr>
  </w:style>
  <w:style w:type="character" w:customStyle="1" w:styleId="359">
    <w:name w:val="10"/>
    <w:qFormat/>
    <w:uiPriority w:val="0"/>
    <w:rPr>
      <w:rFonts w:hint="default" w:ascii="Times New Roman" w:hAnsi="Times New Roman" w:cs="Times New Roman"/>
    </w:rPr>
  </w:style>
  <w:style w:type="paragraph" w:customStyle="1" w:styleId="360">
    <w:name w:val="xl142"/>
    <w:basedOn w:val="1"/>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61">
    <w:name w:val="列表延续"/>
    <w:basedOn w:val="1"/>
    <w:uiPriority w:val="0"/>
    <w:pPr>
      <w:numPr>
        <w:ilvl w:val="8"/>
        <w:numId w:val="4"/>
      </w:numPr>
      <w:adjustRightInd w:val="0"/>
      <w:spacing w:line="360" w:lineRule="auto"/>
      <w:textAlignment w:val="baseline"/>
    </w:pPr>
    <w:rPr>
      <w:rFonts w:eastAsia="楷体_GB2312"/>
      <w:kern w:val="28"/>
      <w:sz w:val="28"/>
      <w:szCs w:val="20"/>
    </w:rPr>
  </w:style>
  <w:style w:type="paragraph" w:customStyle="1" w:styleId="362">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363">
    <w:name w:val="xl99"/>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4">
    <w:name w:val="xl12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5">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366">
    <w:name w:val="IBM 正文"/>
    <w:basedOn w:val="1"/>
    <w:uiPriority w:val="0"/>
    <w:pPr>
      <w:spacing w:line="360" w:lineRule="atLeast"/>
    </w:pPr>
    <w:rPr>
      <w:sz w:val="24"/>
      <w:szCs w:val="20"/>
    </w:rPr>
  </w:style>
  <w:style w:type="paragraph" w:customStyle="1" w:styleId="367">
    <w:name w:val="xl6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68">
    <w:name w:val="UserStyle_432"/>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cs="Times New Roman"/>
      <w:kern w:val="0"/>
      <w:sz w:val="24"/>
    </w:rPr>
  </w:style>
  <w:style w:type="paragraph" w:customStyle="1" w:styleId="369">
    <w:name w:val="1"/>
    <w:basedOn w:val="1"/>
    <w:next w:val="44"/>
    <w:qFormat/>
    <w:uiPriority w:val="0"/>
    <w:pPr>
      <w:widowControl/>
      <w:snapToGrid w:val="0"/>
      <w:spacing w:line="440" w:lineRule="atLeast"/>
      <w:ind w:firstLine="480"/>
    </w:pPr>
    <w:rPr>
      <w:kern w:val="0"/>
      <w:sz w:val="24"/>
      <w:szCs w:val="20"/>
    </w:rPr>
  </w:style>
  <w:style w:type="paragraph" w:customStyle="1" w:styleId="370">
    <w:name w:val="彩色底纹 - 强调文字颜色 11"/>
    <w:qFormat/>
    <w:uiPriority w:val="71"/>
    <w:rPr>
      <w:kern w:val="2"/>
      <w:sz w:val="21"/>
      <w:szCs w:val="24"/>
      <w:lang w:val="en-US" w:eastAsia="zh-CN" w:bidi="ar-SA"/>
    </w:rPr>
  </w:style>
  <w:style w:type="paragraph" w:customStyle="1" w:styleId="371">
    <w:name w:val="正文缩进1"/>
    <w:basedOn w:val="1"/>
    <w:qFormat/>
    <w:uiPriority w:val="0"/>
    <w:pPr>
      <w:ind w:firstLine="420" w:firstLineChars="200"/>
    </w:pPr>
    <w:rPr>
      <w:szCs w:val="20"/>
    </w:rPr>
  </w:style>
  <w:style w:type="paragraph" w:customStyle="1" w:styleId="372">
    <w:name w:val="font6"/>
    <w:basedOn w:val="1"/>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373">
    <w:name w:val="xl14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4">
    <w:name w:val="标准"/>
    <w:basedOn w:val="1"/>
    <w:uiPriority w:val="0"/>
    <w:pPr>
      <w:tabs>
        <w:tab w:val="left" w:pos="8279"/>
      </w:tabs>
      <w:adjustRightInd w:val="0"/>
      <w:jc w:val="left"/>
      <w:textAlignment w:val="baseline"/>
    </w:pPr>
    <w:rPr>
      <w:rFonts w:ascii="宋体"/>
      <w:b/>
      <w:spacing w:val="4"/>
      <w:kern w:val="0"/>
      <w:sz w:val="24"/>
      <w:szCs w:val="20"/>
    </w:rPr>
  </w:style>
  <w:style w:type="paragraph" w:customStyle="1" w:styleId="375">
    <w:name w:val="xl88"/>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76">
    <w:name w:val="样式 样式 标题 2 + 段前: 0.5 行 段后: 0.5 行 + 首行缩进:  2 字符 段前: 0.5 行 段后: 0..."/>
    <w:basedOn w:val="377"/>
    <w:uiPriority w:val="0"/>
    <w:pPr>
      <w:spacing w:before="50" w:after="50"/>
      <w:ind w:firstLine="0" w:firstLineChars="0"/>
    </w:pPr>
    <w:rPr>
      <w:rFonts w:cs="Times New Roman"/>
      <w:bCs w:val="0"/>
      <w:szCs w:val="20"/>
    </w:rPr>
  </w:style>
  <w:style w:type="paragraph" w:customStyle="1" w:styleId="377">
    <w:name w:val="样式 标题 2 + 段前: 0.5 行 段后: 0.5 行"/>
    <w:basedOn w:val="2"/>
    <w:uiPriority w:val="0"/>
    <w:pPr>
      <w:adjustRightInd w:val="0"/>
      <w:spacing w:before="156" w:after="156" w:line="240" w:lineRule="auto"/>
      <w:ind w:firstLine="200" w:firstLineChars="200"/>
      <w:jc w:val="left"/>
      <w:textAlignment w:val="baseline"/>
    </w:pPr>
    <w:rPr>
      <w:rFonts w:ascii="Times New Roman" w:hAnsi="Times New Roman" w:cs="宋体"/>
      <w:b w:val="0"/>
      <w:kern w:val="0"/>
      <w:sz w:val="21"/>
      <w:szCs w:val="21"/>
    </w:rPr>
  </w:style>
  <w:style w:type="paragraph" w:customStyle="1" w:styleId="378">
    <w:name w:val="xl14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79">
    <w:name w:val="UserStyle_160"/>
    <w:basedOn w:val="1"/>
    <w:uiPriority w:val="0"/>
    <w:pPr>
      <w:widowControl/>
      <w:textAlignment w:val="baseline"/>
    </w:pPr>
    <w:rPr>
      <w:rFonts w:eastAsia="仿宋_GB2312" w:cs="Times New Roman"/>
      <w:sz w:val="28"/>
    </w:rPr>
  </w:style>
  <w:style w:type="paragraph" w:customStyle="1" w:styleId="380">
    <w:name w:val="xl13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81">
    <w:name w:val="UserStyle_171"/>
    <w:basedOn w:val="1"/>
    <w:uiPriority w:val="0"/>
    <w:pPr>
      <w:widowControl/>
      <w:textAlignment w:val="baseline"/>
    </w:pPr>
    <w:rPr>
      <w:rFonts w:ascii="Tahoma" w:hAnsi="Tahoma" w:cs="Times New Roman"/>
      <w:sz w:val="24"/>
      <w:szCs w:val="20"/>
    </w:rPr>
  </w:style>
  <w:style w:type="paragraph" w:customStyle="1" w:styleId="382">
    <w:name w:val="UserStyle_183"/>
    <w:basedOn w:val="1"/>
    <w:uiPriority w:val="0"/>
    <w:pPr>
      <w:widowControl/>
      <w:pBdr>
        <w:bottom w:val="single" w:color="000000" w:sz="6" w:space="1"/>
      </w:pBdr>
      <w:tabs>
        <w:tab w:val="center" w:pos="4153"/>
        <w:tab w:val="right" w:pos="8306"/>
      </w:tabs>
      <w:snapToGrid w:val="0"/>
      <w:jc w:val="center"/>
      <w:textAlignment w:val="baseline"/>
    </w:pPr>
    <w:rPr>
      <w:rFonts w:cs="Times New Roman"/>
      <w:sz w:val="18"/>
      <w:szCs w:val="18"/>
    </w:rPr>
  </w:style>
  <w:style w:type="paragraph" w:customStyle="1" w:styleId="383">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84">
    <w:name w:val="xl154"/>
    <w:basedOn w:val="1"/>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85">
    <w:name w:val="xl11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86">
    <w:name w:val="项目编号1"/>
    <w:basedOn w:val="1"/>
    <w:uiPriority w:val="0"/>
    <w:pPr>
      <w:numPr>
        <w:ilvl w:val="0"/>
        <w:numId w:val="4"/>
      </w:numPr>
      <w:spacing w:before="100" w:beforeAutospacing="1" w:after="100" w:afterAutospacing="1" w:line="360" w:lineRule="auto"/>
    </w:pPr>
    <w:rPr>
      <w:sz w:val="24"/>
    </w:rPr>
  </w:style>
  <w:style w:type="paragraph" w:customStyle="1" w:styleId="387">
    <w:name w:val="样式 首行缩进:  2 字符 行距: 2 倍行距"/>
    <w:basedOn w:val="1"/>
    <w:uiPriority w:val="0"/>
    <w:pPr>
      <w:spacing w:line="360" w:lineRule="auto"/>
      <w:ind w:firstLine="200" w:firstLineChars="200"/>
    </w:pPr>
    <w:rPr>
      <w:rFonts w:cs="宋体"/>
      <w:sz w:val="24"/>
      <w:szCs w:val="20"/>
    </w:rPr>
  </w:style>
  <w:style w:type="paragraph" w:customStyle="1" w:styleId="388">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9">
    <w:name w:val=" Char Char Char Char"/>
    <w:basedOn w:val="1"/>
    <w:uiPriority w:val="0"/>
    <w:rPr>
      <w:rFonts w:ascii="Tahoma" w:hAnsi="Tahoma"/>
      <w:sz w:val="24"/>
      <w:szCs w:val="20"/>
    </w:rPr>
  </w:style>
  <w:style w:type="paragraph" w:customStyle="1" w:styleId="390">
    <w:name w:val="列出段落2"/>
    <w:basedOn w:val="1"/>
    <w:qFormat/>
    <w:uiPriority w:val="34"/>
    <w:pPr>
      <w:ind w:firstLine="420" w:firstLineChars="200"/>
    </w:pPr>
    <w:rPr>
      <w:rFonts w:ascii="Calibri" w:hAnsi="Calibri" w:cs="黑体"/>
      <w:szCs w:val="22"/>
    </w:rPr>
  </w:style>
  <w:style w:type="paragraph" w:customStyle="1" w:styleId="391">
    <w:name w:val="xl62"/>
    <w:basedOn w:val="1"/>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392">
    <w:name w:val="font11"/>
    <w:basedOn w:val="1"/>
    <w:uiPriority w:val="0"/>
    <w:pPr>
      <w:widowControl/>
      <w:spacing w:before="100" w:beforeAutospacing="1" w:after="100" w:afterAutospacing="1"/>
      <w:jc w:val="left"/>
    </w:pPr>
    <w:rPr>
      <w:kern w:val="0"/>
      <w:sz w:val="36"/>
      <w:szCs w:val="20"/>
    </w:rPr>
  </w:style>
  <w:style w:type="paragraph" w:customStyle="1" w:styleId="393">
    <w:name w:val="Char1 Char Char Char Char"/>
    <w:basedOn w:val="17"/>
    <w:uiPriority w:val="0"/>
    <w:pPr>
      <w:widowControl/>
      <w:spacing w:beforeLines="50" w:afterLines="50"/>
      <w:jc w:val="left"/>
    </w:pPr>
    <w:rPr>
      <w:rFonts w:ascii="Times New Roman" w:hAnsi="Times New Roman"/>
      <w:szCs w:val="20"/>
    </w:rPr>
  </w:style>
  <w:style w:type="paragraph" w:customStyle="1" w:styleId="394">
    <w:name w:val=" Char Char1 Char Char Char"/>
    <w:basedOn w:val="1"/>
    <w:uiPriority w:val="0"/>
    <w:rPr>
      <w:rFonts w:ascii="仿宋_GB2312" w:eastAsia="仿宋_GB2312"/>
      <w:b/>
      <w:sz w:val="32"/>
      <w:szCs w:val="32"/>
    </w:rPr>
  </w:style>
  <w:style w:type="paragraph" w:customStyle="1" w:styleId="395">
    <w:name w:val="cnfont"/>
    <w:basedOn w:val="1"/>
    <w:uiPriority w:val="0"/>
    <w:pPr>
      <w:widowControl/>
      <w:spacing w:before="100" w:beforeAutospacing="1" w:after="100" w:afterAutospacing="1"/>
      <w:jc w:val="left"/>
    </w:pPr>
    <w:rPr>
      <w:rFonts w:ascii="宋体" w:hAnsi="宋体"/>
      <w:color w:val="000000"/>
      <w:kern w:val="0"/>
      <w:sz w:val="24"/>
    </w:rPr>
  </w:style>
  <w:style w:type="paragraph" w:customStyle="1" w:styleId="396">
    <w:name w:val="UserStyle_146"/>
    <w:basedOn w:val="1"/>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397">
    <w:name w:val="Char3 Char Char Char Char Char Char Char Char Char"/>
    <w:basedOn w:val="1"/>
    <w:uiPriority w:val="0"/>
    <w:pPr>
      <w:widowControl/>
      <w:tabs>
        <w:tab w:val="left" w:pos="960"/>
      </w:tabs>
      <w:ind w:left="960" w:hanging="420"/>
      <w:jc w:val="left"/>
    </w:pPr>
    <w:rPr>
      <w:rFonts w:ascii="宋体" w:hAnsi="宋体" w:cs="宋体"/>
      <w:kern w:val="0"/>
      <w:sz w:val="24"/>
    </w:rPr>
  </w:style>
  <w:style w:type="paragraph" w:customStyle="1" w:styleId="398">
    <w:name w:val="UserStyle_123"/>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399">
    <w:name w:val="UserStyle_169"/>
    <w:basedOn w:val="1"/>
    <w:uiPriority w:val="0"/>
    <w:pPr>
      <w:widowControl/>
      <w:pBdr>
        <w:top w:val="single" w:color="000000" w:sz="4" w:space="0"/>
        <w:left w:val="single" w:color="000000" w:sz="4" w:space="0"/>
        <w:bottom w:val="single" w:color="000000" w:sz="4" w:space="0"/>
      </w:pBdr>
      <w:shd w:val="clear" w:color="auto" w:fill="C0C0C0"/>
      <w:spacing w:before="100" w:beforeAutospacing="1" w:after="100" w:afterAutospacing="1"/>
      <w:jc w:val="center"/>
      <w:textAlignment w:val="center"/>
    </w:pPr>
    <w:rPr>
      <w:b/>
      <w:bCs/>
      <w:kern w:val="0"/>
      <w:sz w:val="20"/>
      <w:szCs w:val="20"/>
    </w:rPr>
  </w:style>
  <w:style w:type="paragraph" w:customStyle="1" w:styleId="400">
    <w:name w:val="xl156"/>
    <w:basedOn w:val="1"/>
    <w:uiPriority w:val="0"/>
    <w:pPr>
      <w:widowControl/>
      <w:spacing w:before="100" w:beforeAutospacing="1" w:after="100" w:afterAutospacing="1"/>
      <w:jc w:val="center"/>
    </w:pPr>
    <w:rPr>
      <w:rFonts w:ascii="宋体" w:hAnsi="宋体" w:cs="宋体"/>
      <w:b/>
      <w:bCs/>
      <w:kern w:val="0"/>
      <w:sz w:val="36"/>
      <w:szCs w:val="36"/>
    </w:rPr>
  </w:style>
  <w:style w:type="paragraph" w:customStyle="1" w:styleId="401">
    <w:name w:val="UserStyle_154"/>
    <w:basedOn w:val="1"/>
    <w:uiPriority w:val="0"/>
    <w:pPr>
      <w:widowControl/>
      <w:textAlignment w:val="baseline"/>
    </w:pPr>
    <w:rPr>
      <w:rFonts w:ascii="Arial" w:hAnsi="Arial" w:cs="Times New Roman"/>
      <w:spacing w:val="-12"/>
      <w:szCs w:val="20"/>
    </w:rPr>
  </w:style>
  <w:style w:type="paragraph" w:customStyle="1" w:styleId="402">
    <w:name w:val="首行缩进"/>
    <w:basedOn w:val="1"/>
    <w:qFormat/>
    <w:uiPriority w:val="0"/>
    <w:pPr>
      <w:spacing w:line="360" w:lineRule="auto"/>
      <w:ind w:firstLine="480" w:firstLineChars="200"/>
    </w:pPr>
    <w:rPr>
      <w:rFonts w:hAnsi="宋体" w:cs="宋体"/>
      <w:sz w:val="24"/>
    </w:rPr>
  </w:style>
  <w:style w:type="paragraph" w:customStyle="1" w:styleId="403">
    <w:name w:val="UserStyle_223"/>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404">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5">
    <w:name w:val="UserStyle_150"/>
    <w:basedOn w:val="1"/>
    <w:uiPriority w:val="0"/>
    <w:pPr>
      <w:widowControl/>
      <w:textAlignment w:val="baseline"/>
    </w:pPr>
    <w:rPr>
      <w:rFonts w:ascii="仿宋_GB2312" w:eastAsia="仿宋_GB2312" w:cs="Times New Roman"/>
      <w:b/>
      <w:sz w:val="32"/>
      <w:szCs w:val="32"/>
    </w:rPr>
  </w:style>
  <w:style w:type="paragraph" w:customStyle="1" w:styleId="406">
    <w:name w:val="UserStyle_161"/>
    <w:basedOn w:val="1"/>
    <w:uiPriority w:val="0"/>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407">
    <w:name w:val="xl59"/>
    <w:basedOn w:val="1"/>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408">
    <w:name w:val="UserStyle_197"/>
    <w:basedOn w:val="1"/>
    <w:uiPriority w:val="0"/>
    <w:pPr>
      <w:widowControl/>
      <w:pBdr>
        <w:top w:val="single" w:color="000000" w:sz="4" w:space="0"/>
        <w:bottom w:val="single" w:color="000000" w:sz="4" w:space="0"/>
      </w:pBdr>
      <w:spacing w:before="100" w:beforeAutospacing="1" w:after="100" w:afterAutospacing="1"/>
      <w:jc w:val="center"/>
      <w:textAlignment w:val="center"/>
    </w:pPr>
    <w:rPr>
      <w:rFonts w:ascii="黑体" w:hAnsi="宋体" w:eastAsia="黑体" w:cs="Times New Roman"/>
      <w:kern w:val="0"/>
      <w:sz w:val="20"/>
      <w:szCs w:val="20"/>
    </w:rPr>
  </w:style>
  <w:style w:type="paragraph" w:customStyle="1" w:styleId="409">
    <w:name w:val="默认段落字体 Para Char"/>
    <w:basedOn w:val="1"/>
    <w:qFormat/>
    <w:uiPriority w:val="0"/>
    <w:pPr>
      <w:widowControl/>
      <w:topLinePunct/>
      <w:adjustRightInd w:val="0"/>
      <w:snapToGrid w:val="0"/>
      <w:spacing w:before="160" w:after="160" w:line="240" w:lineRule="atLeast"/>
      <w:ind w:left="1701"/>
      <w:jc w:val="left"/>
    </w:pPr>
  </w:style>
  <w:style w:type="paragraph" w:customStyle="1" w:styleId="410">
    <w:name w:val="UserStyle_22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kern w:val="0"/>
      <w:sz w:val="18"/>
      <w:szCs w:val="20"/>
    </w:rPr>
  </w:style>
  <w:style w:type="paragraph" w:customStyle="1" w:styleId="411">
    <w:name w:val="xl110"/>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2">
    <w:name w:val="UserStyle_281"/>
    <w:basedOn w:val="1"/>
    <w:uiPriority w:val="0"/>
    <w:pPr>
      <w:widowControl/>
      <w:spacing w:before="100" w:beforeAutospacing="1" w:after="100" w:afterAutospacing="1"/>
      <w:jc w:val="left"/>
      <w:textAlignment w:val="baseline"/>
    </w:pPr>
    <w:rPr>
      <w:rFonts w:cs="Times New Roman"/>
      <w:kern w:val="0"/>
      <w:sz w:val="36"/>
      <w:szCs w:val="20"/>
    </w:rPr>
  </w:style>
  <w:style w:type="paragraph" w:customStyle="1" w:styleId="413">
    <w:name w:val="List Paragraph"/>
    <w:basedOn w:val="1"/>
    <w:qFormat/>
    <w:uiPriority w:val="0"/>
    <w:pPr>
      <w:ind w:firstLine="420" w:firstLineChars="200"/>
    </w:pPr>
    <w:rPr>
      <w:rFonts w:ascii="Calibri" w:hAnsi="Calibri"/>
    </w:rPr>
  </w:style>
  <w:style w:type="paragraph" w:customStyle="1" w:styleId="414">
    <w:name w:val="UserStyle_23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color w:val="FF0000"/>
      <w:kern w:val="0"/>
      <w:sz w:val="20"/>
      <w:szCs w:val="20"/>
    </w:rPr>
  </w:style>
  <w:style w:type="paragraph" w:customStyle="1" w:styleId="415">
    <w:name w:val="xl10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6">
    <w:name w:val="UserStyle_165"/>
    <w:basedOn w:val="1"/>
    <w:uiPriority w:val="0"/>
    <w:pPr>
      <w:widowControl/>
      <w:textAlignment w:val="baseline"/>
    </w:pPr>
    <w:rPr>
      <w:rFonts w:ascii="Calibri" w:hAnsi="Calibri" w:cs="Times New Roman"/>
      <w:szCs w:val="22"/>
    </w:rPr>
  </w:style>
  <w:style w:type="paragraph" w:customStyle="1" w:styleId="417">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1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419">
    <w:name w:val="UserStyle_285"/>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Times New Roman"/>
      <w:color w:val="000000"/>
      <w:kern w:val="0"/>
      <w:sz w:val="20"/>
      <w:szCs w:val="20"/>
    </w:rPr>
  </w:style>
  <w:style w:type="paragraph" w:customStyle="1" w:styleId="420">
    <w:name w:val="xl157"/>
    <w:basedOn w:val="1"/>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421">
    <w:name w:val="UserStyle_264"/>
    <w:basedOn w:val="1"/>
    <w:uiPriority w:val="0"/>
    <w:pPr>
      <w:widowControl/>
      <w:pBdr>
        <w:bottom w:val="single" w:color="000000" w:sz="4" w:space="0"/>
      </w:pBdr>
      <w:spacing w:before="100" w:beforeAutospacing="1" w:after="100" w:afterAutospacing="1"/>
      <w:jc w:val="center"/>
      <w:textAlignment w:val="baseline"/>
    </w:pPr>
    <w:rPr>
      <w:rFonts w:ascii="宋体" w:hAnsi="宋体" w:cs="Times New Roman"/>
      <w:kern w:val="0"/>
      <w:sz w:val="22"/>
      <w:szCs w:val="20"/>
    </w:rPr>
  </w:style>
  <w:style w:type="paragraph" w:customStyle="1" w:styleId="422">
    <w:name w:val="UserStyle_139"/>
    <w:basedOn w:val="1"/>
    <w:uiPriority w:val="0"/>
    <w:pPr>
      <w:widowControl/>
      <w:pBdr>
        <w:top w:val="single" w:color="000000" w:sz="4" w:space="0"/>
        <w:bottom w:val="single" w:color="000000" w:sz="4" w:space="0"/>
        <w:right w:val="single" w:color="000000" w:sz="4" w:space="0"/>
      </w:pBdr>
      <w:spacing w:before="100" w:beforeAutospacing="1" w:after="100" w:afterAutospacing="1"/>
      <w:jc w:val="right"/>
      <w:textAlignment w:val="center"/>
    </w:pPr>
    <w:rPr>
      <w:rFonts w:cs="Times New Roman"/>
      <w:kern w:val="0"/>
      <w:sz w:val="20"/>
      <w:szCs w:val="20"/>
    </w:rPr>
  </w:style>
  <w:style w:type="paragraph" w:customStyle="1" w:styleId="423">
    <w:name w:val="TOC2"/>
    <w:basedOn w:val="1"/>
    <w:next w:val="1"/>
    <w:uiPriority w:val="0"/>
    <w:pPr>
      <w:widowControl/>
      <w:ind w:left="420" w:leftChars="200"/>
      <w:textAlignment w:val="baseline"/>
    </w:pPr>
    <w:rPr>
      <w:rFonts w:cs="Times New Roman"/>
    </w:rPr>
  </w:style>
  <w:style w:type="paragraph" w:customStyle="1" w:styleId="424">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425">
    <w:name w:val="font7"/>
    <w:basedOn w:val="1"/>
    <w:uiPriority w:val="0"/>
    <w:pPr>
      <w:widowControl/>
      <w:spacing w:before="100" w:beforeAutospacing="1" w:after="100" w:afterAutospacing="1"/>
      <w:jc w:val="left"/>
    </w:pPr>
    <w:rPr>
      <w:rFonts w:hint="eastAsia" w:ascii="宋体" w:hAnsi="宋体"/>
      <w:kern w:val="0"/>
      <w:sz w:val="22"/>
      <w:szCs w:val="20"/>
    </w:rPr>
  </w:style>
  <w:style w:type="paragraph" w:customStyle="1" w:styleId="426">
    <w:name w:val="font15"/>
    <w:basedOn w:val="1"/>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427">
    <w:name w:val="UserStyle_156"/>
    <w:basedOn w:val="1"/>
    <w:uiPriority w:val="0"/>
    <w:pPr>
      <w:widowControl/>
      <w:spacing w:line="520" w:lineRule="atLeast"/>
      <w:textAlignment w:val="baseline"/>
    </w:pPr>
    <w:rPr>
      <w:rFonts w:cs="Times New Roman"/>
      <w:kern w:val="0"/>
      <w:sz w:val="28"/>
      <w:szCs w:val="28"/>
    </w:rPr>
  </w:style>
  <w:style w:type="paragraph" w:customStyle="1" w:styleId="428">
    <w:name w:val="说明书3级标题"/>
    <w:basedOn w:val="1"/>
    <w:next w:val="1"/>
    <w:uiPriority w:val="0"/>
    <w:pPr>
      <w:numPr>
        <w:ilvl w:val="2"/>
        <w:numId w:val="5"/>
      </w:numPr>
      <w:spacing w:line="360" w:lineRule="auto"/>
    </w:pPr>
    <w:rPr>
      <w:rFonts w:eastAsia="黑体"/>
      <w:sz w:val="24"/>
    </w:rPr>
  </w:style>
  <w:style w:type="paragraph" w:customStyle="1" w:styleId="429">
    <w:name w:val="UserStyle_246"/>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宋体" w:eastAsia="黑体" w:cs="Times New Roman"/>
      <w:kern w:val="0"/>
      <w:sz w:val="20"/>
      <w:szCs w:val="20"/>
    </w:rPr>
  </w:style>
  <w:style w:type="paragraph" w:customStyle="1" w:styleId="430">
    <w:name w:val="TOC3"/>
    <w:basedOn w:val="1"/>
    <w:next w:val="1"/>
    <w:uiPriority w:val="0"/>
    <w:pPr>
      <w:widowControl/>
      <w:ind w:left="840" w:leftChars="400"/>
      <w:textAlignment w:val="baseline"/>
    </w:pPr>
    <w:rPr>
      <w:rFonts w:cs="Times New Roman"/>
    </w:rPr>
  </w:style>
  <w:style w:type="paragraph" w:customStyle="1" w:styleId="431">
    <w:name w:val="UserStyle_229"/>
    <w:basedOn w:val="1"/>
    <w:uiPriority w:val="0"/>
    <w:pPr>
      <w:widowControl/>
      <w:spacing w:line="420" w:lineRule="atLeast"/>
      <w:ind w:left="454" w:firstLine="425"/>
      <w:jc w:val="left"/>
      <w:textAlignment w:val="baseline"/>
    </w:pPr>
    <w:rPr>
      <w:rFonts w:cs="Times New Roman"/>
      <w:kern w:val="0"/>
      <w:szCs w:val="20"/>
    </w:rPr>
  </w:style>
  <w:style w:type="paragraph" w:customStyle="1" w:styleId="432">
    <w:name w:val="UserStyle_240"/>
    <w:basedOn w:val="1"/>
    <w:uiPriority w:val="0"/>
    <w:pPr>
      <w:widowControl/>
      <w:textAlignment w:val="baseline"/>
    </w:pPr>
    <w:rPr>
      <w:rFonts w:ascii="Tahoma" w:hAnsi="Tahoma" w:cs="Times New Roman"/>
      <w:sz w:val="24"/>
      <w:szCs w:val="20"/>
    </w:rPr>
  </w:style>
  <w:style w:type="paragraph" w:customStyle="1" w:styleId="433">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434">
    <w:name w:val="font5"/>
    <w:basedOn w:val="1"/>
    <w:uiPriority w:val="0"/>
    <w:pPr>
      <w:widowControl/>
      <w:spacing w:before="100" w:beforeAutospacing="1" w:after="100" w:afterAutospacing="1"/>
      <w:jc w:val="left"/>
    </w:pPr>
    <w:rPr>
      <w:rFonts w:hint="eastAsia" w:ascii="宋体" w:hAnsi="宋体"/>
      <w:kern w:val="0"/>
      <w:sz w:val="18"/>
      <w:szCs w:val="20"/>
    </w:rPr>
  </w:style>
  <w:style w:type="paragraph" w:customStyle="1" w:styleId="435">
    <w:name w:val="SANGFOR_6_正文"/>
    <w:basedOn w:val="1"/>
    <w:qFormat/>
    <w:uiPriority w:val="0"/>
    <w:pPr>
      <w:spacing w:line="360" w:lineRule="auto"/>
    </w:pPr>
    <w:rPr>
      <w:rFonts w:ascii="Calibri" w:hAnsi="Calibri"/>
      <w:szCs w:val="21"/>
    </w:rPr>
  </w:style>
  <w:style w:type="paragraph" w:customStyle="1" w:styleId="436">
    <w:name w:val="UserStyle_231"/>
    <w:basedOn w:val="1"/>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437">
    <w:name w:val="UserStyle_243"/>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438">
    <w:name w:val="UserStyle_248"/>
    <w:basedOn w:val="1"/>
    <w:uiPriority w:val="0"/>
    <w:pPr>
      <w:widowControl/>
      <w:ind w:firstLine="420" w:firstLineChars="200"/>
      <w:jc w:val="left"/>
      <w:textAlignment w:val="baseline"/>
    </w:pPr>
    <w:rPr>
      <w:rFonts w:cs="Times New Roman"/>
    </w:rPr>
  </w:style>
  <w:style w:type="paragraph" w:customStyle="1" w:styleId="439">
    <w:name w:val="Char19"/>
    <w:basedOn w:val="1"/>
    <w:uiPriority w:val="0"/>
    <w:rPr>
      <w:szCs w:val="20"/>
    </w:rPr>
  </w:style>
  <w:style w:type="paragraph" w:customStyle="1" w:styleId="440">
    <w:name w:val="UserStyle_235"/>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441">
    <w:name w:val="UserStyle_278"/>
    <w:next w:val="331"/>
    <w:uiPriority w:val="0"/>
    <w:pPr>
      <w:tabs>
        <w:tab w:val="left" w:pos="360"/>
      </w:tabs>
      <w:textAlignment w:val="baseline"/>
    </w:pPr>
    <w:rPr>
      <w:rFonts w:eastAsia="黑体"/>
      <w:sz w:val="21"/>
      <w:lang w:val="en-US" w:eastAsia="zh-CN" w:bidi="ar-SA"/>
    </w:rPr>
  </w:style>
  <w:style w:type="paragraph" w:customStyle="1" w:styleId="442">
    <w:name w:val="UserStyle_261"/>
    <w:basedOn w:val="1"/>
    <w:uiPriority w:val="0"/>
    <w:pPr>
      <w:widowControl/>
      <w:pBdr>
        <w:left w:val="single" w:color="000000" w:sz="4" w:space="0"/>
        <w:right w:val="single" w:color="000000" w:sz="4" w:space="0"/>
      </w:pBdr>
      <w:spacing w:before="100" w:beforeAutospacing="1" w:after="100" w:afterAutospacing="1"/>
      <w:jc w:val="center"/>
      <w:textAlignment w:val="baseline"/>
    </w:pPr>
    <w:rPr>
      <w:rFonts w:ascii="宋体" w:hAnsi="宋体" w:cs="Times New Roman"/>
      <w:kern w:val="0"/>
      <w:sz w:val="24"/>
    </w:rPr>
  </w:style>
  <w:style w:type="paragraph" w:customStyle="1" w:styleId="443">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444">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45">
    <w:name w:val="UserStyle_224"/>
    <w:basedOn w:val="1"/>
    <w:uiPriority w:val="0"/>
    <w:pPr>
      <w:widowControl/>
      <w:spacing w:before="100" w:beforeAutospacing="1" w:after="100" w:afterAutospacing="1"/>
      <w:jc w:val="left"/>
      <w:textAlignment w:val="baseline"/>
    </w:pPr>
    <w:rPr>
      <w:rFonts w:cs="Times New Roman"/>
      <w:kern w:val="0"/>
      <w:sz w:val="18"/>
      <w:szCs w:val="20"/>
    </w:rPr>
  </w:style>
  <w:style w:type="paragraph" w:customStyle="1" w:styleId="446">
    <w:name w:val="UserStyle_26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447">
    <w:name w:val="_Style 3"/>
    <w:basedOn w:val="1"/>
    <w:qFormat/>
    <w:uiPriority w:val="34"/>
    <w:pPr>
      <w:ind w:firstLine="420" w:firstLineChars="200"/>
    </w:pPr>
    <w:rPr>
      <w:rFonts w:ascii="Verdana" w:hAnsi="Verdana" w:eastAsia="微软雅黑"/>
      <w:szCs w:val="20"/>
    </w:rPr>
  </w:style>
  <w:style w:type="paragraph" w:customStyle="1" w:styleId="448">
    <w:name w:val="UserStyle_254"/>
    <w:basedOn w:val="1"/>
    <w:uiPriority w:val="0"/>
    <w:pPr>
      <w:widowControl/>
      <w:spacing w:line="360" w:lineRule="auto"/>
      <w:ind w:firstLine="200" w:firstLineChars="200"/>
      <w:textAlignment w:val="baseline"/>
    </w:pPr>
    <w:rPr>
      <w:rFonts w:ascii="Tahoma" w:hAnsi="Tahoma" w:cs="Times New Roman"/>
      <w:sz w:val="24"/>
      <w:szCs w:val="20"/>
    </w:rPr>
  </w:style>
  <w:style w:type="paragraph" w:customStyle="1" w:styleId="449">
    <w:name w:val="UserStyle_234"/>
    <w:basedOn w:val="1"/>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450">
    <w:name w:val="UserStyle_239"/>
    <w:basedOn w:val="1"/>
    <w:uiPriority w:val="0"/>
    <w:pPr>
      <w:widowControl/>
      <w:spacing w:line="360" w:lineRule="atLeast"/>
      <w:textAlignment w:val="baseline"/>
    </w:pPr>
    <w:rPr>
      <w:rFonts w:ascii="黑体" w:hAnsi="黑体" w:eastAsia="黑体" w:cs="Times New Roman"/>
      <w:szCs w:val="21"/>
    </w:rPr>
  </w:style>
  <w:style w:type="paragraph" w:customStyle="1" w:styleId="451">
    <w:name w:val="UserStyle_144"/>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452">
    <w:name w:val="xl76"/>
    <w:basedOn w:val="1"/>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453">
    <w:name w:val="说明书2级标题"/>
    <w:basedOn w:val="1"/>
    <w:next w:val="428"/>
    <w:uiPriority w:val="0"/>
    <w:pPr>
      <w:numPr>
        <w:ilvl w:val="2"/>
        <w:numId w:val="6"/>
      </w:numPr>
      <w:spacing w:beforeLines="100"/>
    </w:pPr>
    <w:rPr>
      <w:rFonts w:eastAsia="黑体"/>
      <w:sz w:val="28"/>
      <w:szCs w:val="28"/>
    </w:rPr>
  </w:style>
  <w:style w:type="paragraph" w:customStyle="1" w:styleId="454">
    <w:name w:val="UserStyle_25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color w:val="000000"/>
      <w:kern w:val="0"/>
      <w:sz w:val="20"/>
      <w:szCs w:val="20"/>
    </w:rPr>
  </w:style>
  <w:style w:type="paragraph" w:customStyle="1" w:styleId="455">
    <w:name w:val="xl7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456">
    <w:name w:val="BodyText1I2"/>
    <w:basedOn w:val="333"/>
    <w:qFormat/>
    <w:uiPriority w:val="0"/>
    <w:pPr>
      <w:spacing w:after="120" w:line="240" w:lineRule="auto"/>
      <w:ind w:left="420" w:leftChars="200" w:firstLine="420" w:firstLineChars="200"/>
    </w:pPr>
    <w:rPr>
      <w:rFonts w:ascii="Times New Roman" w:hAnsi="Times New Roman" w:cs="Times New Roman"/>
      <w:kern w:val="0"/>
      <w:sz w:val="28"/>
    </w:rPr>
  </w:style>
  <w:style w:type="paragraph" w:customStyle="1" w:styleId="457">
    <w:name w:val="xl118"/>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8">
    <w:name w:val="UserStyle_132"/>
    <w:basedOn w:val="1"/>
    <w:uiPriority w:val="0"/>
    <w:pPr>
      <w:widowControl/>
      <w:jc w:val="center"/>
      <w:textAlignment w:val="baseline"/>
    </w:pPr>
    <w:rPr>
      <w:rFonts w:ascii="Tahoma" w:hAnsi="Tahoma" w:cs="Times New Roman"/>
      <w:sz w:val="24"/>
      <w:szCs w:val="20"/>
    </w:rPr>
  </w:style>
  <w:style w:type="paragraph" w:customStyle="1" w:styleId="459">
    <w:name w:val="xl28"/>
    <w:basedOn w:val="1"/>
    <w:uiPriority w:val="0"/>
    <w:pPr>
      <w:widowControl/>
      <w:spacing w:before="100" w:beforeAutospacing="1" w:after="100" w:afterAutospacing="1"/>
      <w:jc w:val="left"/>
    </w:pPr>
    <w:rPr>
      <w:rFonts w:ascii="宋体" w:hAnsi="宋体"/>
      <w:kern w:val="0"/>
      <w:sz w:val="24"/>
      <w:szCs w:val="20"/>
    </w:rPr>
  </w:style>
  <w:style w:type="paragraph" w:customStyle="1" w:styleId="460">
    <w:name w:val="UserStyle_280"/>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461">
    <w:name w:val="UserStyle_133"/>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黑体" w:hAnsi="宋体" w:eastAsia="黑体" w:cs="Times New Roman"/>
      <w:kern w:val="0"/>
      <w:sz w:val="20"/>
      <w:szCs w:val="20"/>
    </w:rPr>
  </w:style>
  <w:style w:type="paragraph" w:customStyle="1" w:styleId="462">
    <w:name w:val="Char Char Char Char1"/>
    <w:basedOn w:val="1"/>
    <w:qFormat/>
    <w:uiPriority w:val="0"/>
    <w:rPr>
      <w:szCs w:val="20"/>
    </w:rPr>
  </w:style>
  <w:style w:type="paragraph" w:customStyle="1" w:styleId="463">
    <w:name w:val="样式 标题 4H4Ref Heading 1rh1Heading sqlsect 1.2.3.4付标题PIM 4..."/>
    <w:basedOn w:val="7"/>
    <w:uiPriority w:val="0"/>
    <w:pPr>
      <w:spacing w:line="360" w:lineRule="auto"/>
    </w:pPr>
    <w:rPr>
      <w:rFonts w:ascii="楷体_GB2312" w:hAnsi="楷体_GB2312" w:eastAsia="宋体" w:cs="宋体"/>
      <w:szCs w:val="20"/>
    </w:rPr>
  </w:style>
  <w:style w:type="paragraph" w:customStyle="1" w:styleId="464">
    <w:name w:val="一级条标题"/>
    <w:next w:val="118"/>
    <w:uiPriority w:val="0"/>
    <w:pPr>
      <w:tabs>
        <w:tab w:val="left" w:pos="360"/>
      </w:tabs>
      <w:outlineLvl w:val="2"/>
    </w:pPr>
    <w:rPr>
      <w:rFonts w:eastAsia="黑体"/>
      <w:sz w:val="21"/>
      <w:lang w:val="en-US" w:eastAsia="zh-CN" w:bidi="ar-SA"/>
    </w:rPr>
  </w:style>
  <w:style w:type="paragraph" w:customStyle="1" w:styleId="465">
    <w:name w:val="Char Char Char Char Char Char Char"/>
    <w:basedOn w:val="1"/>
    <w:uiPriority w:val="0"/>
    <w:pPr>
      <w:tabs>
        <w:tab w:val="left" w:pos="432"/>
      </w:tabs>
      <w:ind w:left="432" w:hanging="432"/>
    </w:pPr>
    <w:rPr>
      <w:rFonts w:ascii="Tahoma" w:hAnsi="Tahoma"/>
      <w:sz w:val="24"/>
      <w:szCs w:val="20"/>
    </w:rPr>
  </w:style>
  <w:style w:type="paragraph" w:customStyle="1" w:styleId="466">
    <w:name w:val="UserStyle_17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cs="Times New Roman"/>
      <w:kern w:val="0"/>
      <w:sz w:val="20"/>
      <w:szCs w:val="20"/>
    </w:rPr>
  </w:style>
  <w:style w:type="paragraph" w:customStyle="1" w:styleId="467">
    <w:name w:val="xl155"/>
    <w:basedOn w:val="1"/>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68">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69">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0">
    <w:name w:val="UserStyle_250"/>
    <w:basedOn w:val="471"/>
    <w:uiPriority w:val="0"/>
    <w:pPr>
      <w:tabs>
        <w:tab w:val="right" w:leader="dot" w:pos="9458"/>
      </w:tabs>
      <w:spacing w:before="120" w:after="120"/>
    </w:pPr>
    <w:rPr>
      <w:bCs/>
      <w:caps/>
    </w:rPr>
  </w:style>
  <w:style w:type="paragraph" w:customStyle="1" w:styleId="471">
    <w:name w:val="TOC1"/>
    <w:basedOn w:val="1"/>
    <w:next w:val="1"/>
    <w:uiPriority w:val="0"/>
    <w:pPr>
      <w:widowControl/>
      <w:jc w:val="left"/>
      <w:textAlignment w:val="baseline"/>
    </w:pPr>
    <w:rPr>
      <w:rFonts w:cs="Times New Roman"/>
    </w:rPr>
  </w:style>
  <w:style w:type="paragraph" w:customStyle="1" w:styleId="472">
    <w:name w:val="Char Char Char Char Char Char Char Char Char Char Char Char Char Char Char Char Char Char Char Char Char Char Char Char Char"/>
    <w:basedOn w:val="1"/>
    <w:uiPriority w:val="0"/>
    <w:rPr>
      <w:rFonts w:ascii="Tahoma" w:hAnsi="Tahoma"/>
      <w:sz w:val="24"/>
      <w:szCs w:val="20"/>
    </w:rPr>
  </w:style>
  <w:style w:type="paragraph" w:customStyle="1" w:styleId="473">
    <w:name w:val="xl144"/>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4">
    <w:name w:val="UserStyle_257"/>
    <w:uiPriority w:val="0"/>
    <w:pPr>
      <w:textAlignment w:val="baseline"/>
    </w:pPr>
    <w:rPr>
      <w:kern w:val="2"/>
      <w:sz w:val="21"/>
      <w:szCs w:val="24"/>
      <w:lang w:val="en-US" w:eastAsia="zh-CN" w:bidi="ar-SA"/>
    </w:rPr>
  </w:style>
  <w:style w:type="paragraph" w:customStyle="1" w:styleId="4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6">
    <w:name w:val="UserStyle_249"/>
    <w:basedOn w:val="470"/>
    <w:next w:val="470"/>
    <w:uiPriority w:val="0"/>
  </w:style>
  <w:style w:type="paragraph" w:customStyle="1" w:styleId="477">
    <w:name w:val="目录3"/>
    <w:basedOn w:val="1"/>
    <w:uiPriority w:val="0"/>
    <w:pPr>
      <w:adjustRightInd w:val="0"/>
      <w:spacing w:line="420" w:lineRule="atLeast"/>
      <w:ind w:left="454" w:firstLine="425"/>
      <w:jc w:val="left"/>
      <w:textAlignment w:val="baseline"/>
    </w:pPr>
    <w:rPr>
      <w:kern w:val="0"/>
      <w:szCs w:val="20"/>
    </w:rPr>
  </w:style>
  <w:style w:type="paragraph" w:customStyle="1" w:styleId="478">
    <w:name w:val=" Char Char"/>
    <w:basedOn w:val="1"/>
    <w:uiPriority w:val="0"/>
    <w:pPr>
      <w:numPr>
        <w:ilvl w:val="0"/>
        <w:numId w:val="3"/>
      </w:numPr>
      <w:tabs>
        <w:tab w:val="left" w:pos="432"/>
      </w:tabs>
    </w:pPr>
    <w:rPr>
      <w:rFonts w:ascii="Tahoma" w:hAnsi="Tahoma"/>
      <w:sz w:val="24"/>
      <w:szCs w:val="20"/>
    </w:rPr>
  </w:style>
  <w:style w:type="paragraph" w:customStyle="1" w:styleId="479">
    <w:name w:val="ListNumber"/>
    <w:basedOn w:val="1"/>
    <w:uiPriority w:val="0"/>
    <w:pPr>
      <w:widowControl/>
      <w:tabs>
        <w:tab w:val="left" w:pos="454"/>
        <w:tab w:val="left" w:pos="720"/>
        <w:tab w:val="left" w:pos="900"/>
      </w:tabs>
      <w:spacing w:after="50"/>
      <w:ind w:left="454" w:hanging="284"/>
      <w:jc w:val="left"/>
      <w:textAlignment w:val="baseline"/>
    </w:pPr>
    <w:rPr>
      <w:rFonts w:cs="Times New Roman"/>
      <w:kern w:val="0"/>
      <w:sz w:val="24"/>
      <w:szCs w:val="20"/>
    </w:rPr>
  </w:style>
  <w:style w:type="paragraph" w:customStyle="1" w:styleId="480">
    <w:name w:val="l2"/>
    <w:basedOn w:val="1"/>
    <w:uiPriority w:val="0"/>
    <w:pPr>
      <w:keepLines/>
      <w:widowControl/>
      <w:spacing w:before="156" w:beforeLines="50" w:after="156" w:afterLines="50" w:line="300" w:lineRule="auto"/>
    </w:pPr>
    <w:rPr>
      <w:rFonts w:ascii="Arial" w:hAnsi="Arial"/>
      <w:bCs/>
    </w:rPr>
  </w:style>
  <w:style w:type="paragraph" w:customStyle="1" w:styleId="481">
    <w:name w:val="xl5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82">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83">
    <w:name w:val="font1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84">
    <w:name w:val="CCTV文档正文"/>
    <w:basedOn w:val="1"/>
    <w:uiPriority w:val="0"/>
    <w:pPr>
      <w:spacing w:line="360" w:lineRule="auto"/>
      <w:jc w:val="left"/>
    </w:pPr>
    <w:rPr>
      <w:sz w:val="24"/>
      <w:szCs w:val="21"/>
    </w:rPr>
  </w:style>
  <w:style w:type="paragraph" w:customStyle="1" w:styleId="485">
    <w:name w:val="xl153"/>
    <w:basedOn w:val="1"/>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486">
    <w:name w:val="ToCaption"/>
    <w:basedOn w:val="1"/>
    <w:next w:val="1"/>
    <w:uiPriority w:val="0"/>
    <w:pPr>
      <w:widowControl/>
      <w:ind w:left="200" w:leftChars="200" w:hanging="200" w:hangingChars="200"/>
      <w:textAlignment w:val="baseline"/>
    </w:pPr>
    <w:rPr>
      <w:rFonts w:cs="Times New Roman"/>
    </w:rPr>
  </w:style>
  <w:style w:type="paragraph" w:customStyle="1" w:styleId="487">
    <w:name w:val="UserStyle_148"/>
    <w:basedOn w:val="1"/>
    <w:uiPriority w:val="0"/>
    <w:pPr>
      <w:widowControl/>
      <w:tabs>
        <w:tab w:val="left" w:pos="960"/>
      </w:tabs>
      <w:ind w:left="960" w:hanging="420"/>
      <w:jc w:val="left"/>
      <w:textAlignment w:val="baseline"/>
    </w:pPr>
    <w:rPr>
      <w:rFonts w:ascii="宋体" w:hAnsi="宋体" w:cs="Times New Roman"/>
      <w:kern w:val="0"/>
      <w:sz w:val="24"/>
    </w:rPr>
  </w:style>
  <w:style w:type="paragraph" w:customStyle="1" w:styleId="488">
    <w:name w:val="xl14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8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0">
    <w:name w:val="UserStyle_162"/>
    <w:basedOn w:val="1"/>
    <w:uiPriority w:val="0"/>
    <w:pPr>
      <w:widowControl/>
      <w:topLinePunct/>
      <w:snapToGrid w:val="0"/>
      <w:textAlignment w:val="baseline"/>
    </w:pPr>
    <w:rPr>
      <w:rFonts w:ascii="仿宋_GB2312" w:hAnsi="宋体" w:eastAsia="仿宋_GB2312" w:cs="Times New Roman"/>
      <w:b/>
      <w:kern w:val="0"/>
      <w:sz w:val="24"/>
    </w:rPr>
  </w:style>
  <w:style w:type="paragraph" w:customStyle="1" w:styleId="491">
    <w:name w:val="样式 标题 3 + 左侧:  2 字符"/>
    <w:basedOn w:val="4"/>
    <w:uiPriority w:val="0"/>
    <w:pPr>
      <w:spacing w:line="240" w:lineRule="auto"/>
    </w:pPr>
    <w:rPr>
      <w:rFonts w:cs="宋体"/>
      <w:sz w:val="28"/>
      <w:szCs w:val="28"/>
    </w:rPr>
  </w:style>
  <w:style w:type="paragraph" w:customStyle="1" w:styleId="492">
    <w:name w:val="xl14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93">
    <w:name w:val="UserStyle_126"/>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494">
    <w:name w:val="xl14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95">
    <w:name w:val="Normal"/>
    <w:uiPriority w:val="0"/>
    <w:pPr>
      <w:widowControl w:val="0"/>
      <w:adjustRightInd w:val="0"/>
      <w:spacing w:line="360" w:lineRule="atLeast"/>
      <w:textAlignment w:val="baseline"/>
    </w:pPr>
    <w:rPr>
      <w:rFonts w:ascii="宋体"/>
      <w:sz w:val="24"/>
      <w:lang w:val="en-US" w:eastAsia="zh-CN" w:bidi="ar-SA"/>
    </w:rPr>
  </w:style>
  <w:style w:type="paragraph" w:customStyle="1" w:styleId="496">
    <w:name w:val=" Char Char Char Char Char Char Char Char Char1 Char"/>
    <w:basedOn w:val="17"/>
    <w:uiPriority w:val="0"/>
    <w:pPr>
      <w:widowControl/>
      <w:adjustRightInd w:val="0"/>
      <w:snapToGrid w:val="0"/>
      <w:spacing w:line="360" w:lineRule="auto"/>
      <w:jc w:val="left"/>
    </w:pPr>
    <w:rPr>
      <w:rFonts w:ascii="Tahoma" w:hAnsi="Tahoma"/>
      <w:kern w:val="0"/>
      <w:sz w:val="24"/>
      <w:szCs w:val="20"/>
      <w:lang w:val="en-US" w:eastAsia="zh-CN"/>
    </w:rPr>
  </w:style>
  <w:style w:type="paragraph" w:customStyle="1" w:styleId="497">
    <w:name w:val="列出段落11"/>
    <w:basedOn w:val="1"/>
    <w:qFormat/>
    <w:uiPriority w:val="34"/>
    <w:pPr>
      <w:widowControl/>
      <w:spacing w:beforeLines="50" w:afterLines="50"/>
      <w:ind w:firstLine="420" w:firstLineChars="200"/>
      <w:jc w:val="left"/>
    </w:pPr>
  </w:style>
  <w:style w:type="paragraph" w:customStyle="1" w:styleId="498">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499">
    <w:name w:val="样式 宋体 小五 左 段前: 5 磅 段后: 5 磅 行距: 1.5 倍行距"/>
    <w:basedOn w:val="1"/>
    <w:uiPriority w:val="0"/>
    <w:pPr>
      <w:widowControl/>
      <w:tabs>
        <w:tab w:val="left" w:pos="5100"/>
      </w:tabs>
      <w:spacing w:line="0" w:lineRule="atLeast"/>
      <w:jc w:val="left"/>
    </w:pPr>
    <w:rPr>
      <w:rFonts w:ascii="宋体" w:hAnsi="宋体"/>
      <w:kern w:val="0"/>
      <w:szCs w:val="20"/>
    </w:rPr>
  </w:style>
  <w:style w:type="paragraph" w:customStyle="1" w:styleId="500">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01">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02">
    <w:name w:val="xl90"/>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03">
    <w:name w:val="A正文"/>
    <w:basedOn w:val="1"/>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504">
    <w:name w:val="xl79"/>
    <w:basedOn w:val="1"/>
    <w:uiPriority w:val="0"/>
    <w:pPr>
      <w:widowControl/>
      <w:pBdr>
        <w:bottom w:val="single" w:color="auto" w:sz="4" w:space="0"/>
      </w:pBdr>
      <w:spacing w:before="100" w:beforeAutospacing="1" w:after="100" w:afterAutospacing="1"/>
      <w:jc w:val="right"/>
    </w:pPr>
    <w:rPr>
      <w:kern w:val="0"/>
      <w:sz w:val="22"/>
      <w:szCs w:val="20"/>
    </w:rPr>
  </w:style>
  <w:style w:type="paragraph" w:customStyle="1" w:styleId="505">
    <w:name w:val="UserStyle_177"/>
    <w:basedOn w:val="1"/>
    <w:uiPriority w:val="0"/>
    <w:pPr>
      <w:widowControl/>
      <w:tabs>
        <w:tab w:val="left" w:pos="360"/>
      </w:tabs>
      <w:textAlignment w:val="baseline"/>
    </w:pPr>
    <w:rPr>
      <w:rFonts w:cs="Times New Roman"/>
      <w:sz w:val="24"/>
    </w:rPr>
  </w:style>
  <w:style w:type="paragraph" w:customStyle="1" w:styleId="50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07">
    <w:name w:val="xl47"/>
    <w:basedOn w:val="1"/>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508">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09">
    <w:name w:val="UserStyle_138"/>
    <w:basedOn w:val="1"/>
    <w:uiPriority w:val="0"/>
    <w:pPr>
      <w:widowControl/>
      <w:spacing w:before="100" w:beforeAutospacing="1" w:after="100" w:afterAutospacing="1"/>
      <w:jc w:val="left"/>
      <w:textAlignment w:val="baseline"/>
    </w:pPr>
    <w:rPr>
      <w:rFonts w:cs="Times New Roman"/>
      <w:kern w:val="0"/>
      <w:sz w:val="24"/>
      <w:szCs w:val="20"/>
    </w:rPr>
  </w:style>
  <w:style w:type="paragraph" w:customStyle="1" w:styleId="510">
    <w:name w:val="xl15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11">
    <w:name w:val="正文段"/>
    <w:basedOn w:val="1"/>
    <w:uiPriority w:val="0"/>
    <w:pPr>
      <w:widowControl/>
      <w:snapToGrid w:val="0"/>
      <w:spacing w:after="50" w:afterLines="50"/>
      <w:ind w:firstLine="200" w:firstLineChars="200"/>
    </w:pPr>
    <w:rPr>
      <w:kern w:val="0"/>
      <w:sz w:val="24"/>
      <w:szCs w:val="20"/>
    </w:rPr>
  </w:style>
  <w:style w:type="paragraph" w:customStyle="1" w:styleId="512">
    <w:name w:val="ST20_17"/>
    <w:basedOn w:val="7"/>
    <w:uiPriority w:val="0"/>
    <w:pPr>
      <w:autoSpaceDE w:val="0"/>
      <w:autoSpaceDN w:val="0"/>
      <w:adjustRightInd w:val="0"/>
      <w:spacing w:before="0" w:after="0" w:line="240" w:lineRule="atLeast"/>
      <w:textAlignment w:val="baseline"/>
      <w:outlineLvl w:val="9"/>
    </w:pPr>
    <w:rPr>
      <w:rFonts w:ascii="宋体" w:hAnsi="宋体" w:eastAsia="宋体" w:cs="Arial Unicode MS"/>
      <w:b w:val="0"/>
      <w:bCs w:val="0"/>
      <w:kern w:val="0"/>
      <w:sz w:val="24"/>
      <w:szCs w:val="20"/>
    </w:rPr>
  </w:style>
  <w:style w:type="paragraph" w:customStyle="1" w:styleId="513">
    <w:name w:val="xl141"/>
    <w:basedOn w:val="1"/>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14">
    <w:name w:val="标题5"/>
    <w:basedOn w:val="1"/>
    <w:uiPriority w:val="0"/>
    <w:pPr>
      <w:spacing w:before="120" w:after="120"/>
    </w:pPr>
    <w:rPr>
      <w:rFonts w:ascii="宋体"/>
      <w:b/>
      <w:sz w:val="28"/>
    </w:rPr>
  </w:style>
  <w:style w:type="paragraph" w:customStyle="1" w:styleId="515">
    <w:name w:val="xl27"/>
    <w:basedOn w:val="1"/>
    <w:uiPriority w:val="0"/>
    <w:pPr>
      <w:widowControl/>
      <w:spacing w:before="100" w:beforeAutospacing="1" w:after="100" w:afterAutospacing="1"/>
      <w:jc w:val="left"/>
    </w:pPr>
    <w:rPr>
      <w:rFonts w:ascii="宋体" w:hAnsi="宋体"/>
      <w:kern w:val="0"/>
      <w:sz w:val="24"/>
      <w:szCs w:val="20"/>
    </w:rPr>
  </w:style>
  <w:style w:type="paragraph" w:customStyle="1" w:styleId="516">
    <w:name w:val="ListContinue"/>
    <w:basedOn w:val="1"/>
    <w:uiPriority w:val="0"/>
    <w:pPr>
      <w:tabs>
        <w:tab w:val="left" w:pos="3960"/>
      </w:tabs>
      <w:spacing w:after="120"/>
      <w:ind w:left="420" w:leftChars="200"/>
    </w:pPr>
    <w:rPr>
      <w:rFonts w:cs="Times New Roman"/>
    </w:rPr>
  </w:style>
  <w:style w:type="paragraph" w:customStyle="1" w:styleId="517">
    <w:name w:val="p0"/>
    <w:basedOn w:val="1"/>
    <w:qFormat/>
    <w:uiPriority w:val="0"/>
    <w:pPr>
      <w:widowControl/>
      <w:spacing w:line="520" w:lineRule="atLeast"/>
    </w:pPr>
    <w:rPr>
      <w:kern w:val="0"/>
      <w:sz w:val="28"/>
      <w:szCs w:val="28"/>
    </w:rPr>
  </w:style>
  <w:style w:type="paragraph" w:customStyle="1" w:styleId="518">
    <w:name w:val="Char Char Char"/>
    <w:basedOn w:val="1"/>
    <w:qFormat/>
    <w:uiPriority w:val="0"/>
    <w:rPr>
      <w:rFonts w:ascii="Tahoma" w:hAnsi="Tahoma"/>
      <w:sz w:val="24"/>
      <w:szCs w:val="20"/>
    </w:rPr>
  </w:style>
  <w:style w:type="paragraph" w:customStyle="1" w:styleId="519">
    <w:name w:val="UserStyle_142"/>
    <w:basedOn w:val="1"/>
    <w:uiPriority w:val="0"/>
    <w:pPr>
      <w:keepNext/>
      <w:widowControl/>
      <w:spacing w:before="60" w:after="60" w:line="300" w:lineRule="auto"/>
      <w:jc w:val="center"/>
      <w:textAlignment w:val="center"/>
    </w:pPr>
    <w:rPr>
      <w:rFonts w:cs="Times New Roman"/>
      <w:spacing w:val="20"/>
      <w:kern w:val="0"/>
      <w:sz w:val="24"/>
      <w:szCs w:val="20"/>
    </w:rPr>
  </w:style>
  <w:style w:type="paragraph" w:customStyle="1" w:styleId="520">
    <w:name w:val="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21">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2">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523">
    <w:name w:val="reader-word-layer reader-word-s21-5"/>
    <w:basedOn w:val="1"/>
    <w:uiPriority w:val="0"/>
    <w:pPr>
      <w:widowControl/>
      <w:spacing w:before="100" w:beforeAutospacing="1" w:after="100" w:afterAutospacing="1"/>
      <w:jc w:val="left"/>
    </w:pPr>
    <w:rPr>
      <w:rFonts w:ascii="宋体" w:hAnsi="宋体" w:cs="宋体"/>
      <w:kern w:val="0"/>
      <w:sz w:val="24"/>
    </w:rPr>
  </w:style>
  <w:style w:type="paragraph" w:customStyle="1" w:styleId="524">
    <w:name w:val="TOC8"/>
    <w:basedOn w:val="1"/>
    <w:next w:val="1"/>
    <w:uiPriority w:val="0"/>
    <w:pPr>
      <w:widowControl/>
      <w:ind w:left="1470"/>
      <w:jc w:val="left"/>
      <w:textAlignment w:val="baseline"/>
    </w:pPr>
    <w:rPr>
      <w:rFonts w:cs="Times New Roman"/>
      <w:sz w:val="18"/>
      <w:szCs w:val="18"/>
    </w:rPr>
  </w:style>
  <w:style w:type="paragraph" w:customStyle="1" w:styleId="525">
    <w:name w:val="_Style 103"/>
    <w:basedOn w:val="1"/>
    <w:next w:val="5"/>
    <w:uiPriority w:val="0"/>
    <w:pPr>
      <w:ind w:firstLine="420"/>
    </w:pPr>
    <w:rPr>
      <w:rFonts w:eastAsia="仿宋_GB2312"/>
      <w:sz w:val="32"/>
      <w:szCs w:val="20"/>
    </w:rPr>
  </w:style>
  <w:style w:type="paragraph" w:customStyle="1" w:styleId="526">
    <w:name w:val="font1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527">
    <w:name w:val="rmv"/>
    <w:basedOn w:val="1"/>
    <w:uiPriority w:val="0"/>
    <w:pPr>
      <w:widowControl/>
      <w:spacing w:before="100" w:beforeAutospacing="1" w:after="100" w:afterAutospacing="1"/>
      <w:jc w:val="left"/>
    </w:pPr>
    <w:rPr>
      <w:rFonts w:ascii="宋体" w:hAnsi="宋体" w:cs="宋体"/>
      <w:kern w:val="0"/>
      <w:sz w:val="24"/>
    </w:rPr>
  </w:style>
  <w:style w:type="paragraph" w:customStyle="1" w:styleId="528">
    <w:name w:val="font12"/>
    <w:basedOn w:val="1"/>
    <w:uiPriority w:val="0"/>
    <w:pPr>
      <w:widowControl/>
      <w:spacing w:before="100" w:beforeAutospacing="1" w:after="100" w:afterAutospacing="1"/>
      <w:jc w:val="left"/>
    </w:pPr>
    <w:rPr>
      <w:kern w:val="0"/>
      <w:sz w:val="18"/>
      <w:szCs w:val="20"/>
    </w:rPr>
  </w:style>
  <w:style w:type="paragraph" w:customStyle="1" w:styleId="529">
    <w:name w:val="UserStyle_268"/>
    <w:basedOn w:val="1"/>
    <w:uiPriority w:val="0"/>
    <w:pPr>
      <w:widowControl/>
      <w:pBdr>
        <w:right w:val="single" w:color="000000" w:sz="4" w:space="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530">
    <w:name w:val="font0"/>
    <w:basedOn w:val="1"/>
    <w:uiPriority w:val="0"/>
    <w:pPr>
      <w:widowControl/>
      <w:spacing w:before="100" w:beforeAutospacing="1" w:after="100" w:afterAutospacing="1"/>
      <w:jc w:val="left"/>
    </w:pPr>
    <w:rPr>
      <w:rFonts w:hint="eastAsia" w:ascii="宋体" w:hAnsi="宋体"/>
      <w:kern w:val="0"/>
      <w:sz w:val="24"/>
      <w:szCs w:val="20"/>
    </w:rPr>
  </w:style>
  <w:style w:type="paragraph" w:customStyle="1" w:styleId="531">
    <w:name w:val="xl75"/>
    <w:basedOn w:val="1"/>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532">
    <w:name w:val="xl46"/>
    <w:basedOn w:val="1"/>
    <w:uiPriority w:val="0"/>
    <w:pPr>
      <w:widowControl/>
      <w:spacing w:before="100" w:beforeAutospacing="1" w:after="100" w:afterAutospacing="1"/>
      <w:jc w:val="center"/>
      <w:textAlignment w:val="center"/>
    </w:pPr>
    <w:rPr>
      <w:kern w:val="0"/>
      <w:sz w:val="20"/>
      <w:szCs w:val="20"/>
    </w:rPr>
  </w:style>
  <w:style w:type="paragraph" w:customStyle="1" w:styleId="533">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534">
    <w:name w:val="UserStyle_141"/>
    <w:basedOn w:val="1"/>
    <w:uiPriority w:val="0"/>
    <w:pPr>
      <w:tabs>
        <w:tab w:val="left" w:pos="432"/>
        <w:tab w:val="left" w:pos="1211"/>
      </w:tabs>
      <w:ind w:left="1211" w:hanging="360"/>
    </w:pPr>
    <w:rPr>
      <w:rFonts w:ascii="Tahoma" w:hAnsi="Tahoma" w:cs="Times New Roman"/>
      <w:sz w:val="24"/>
      <w:szCs w:val="20"/>
    </w:rPr>
  </w:style>
  <w:style w:type="paragraph" w:customStyle="1" w:styleId="535">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536">
    <w:name w:val="xl61"/>
    <w:basedOn w:val="1"/>
    <w:uiPriority w:val="0"/>
    <w:pPr>
      <w:widowControl/>
      <w:pBdr>
        <w:bottom w:val="single" w:color="auto" w:sz="4" w:space="0"/>
      </w:pBdr>
      <w:spacing w:before="100" w:beforeAutospacing="1" w:after="100" w:afterAutospacing="1"/>
      <w:jc w:val="center"/>
    </w:pPr>
    <w:rPr>
      <w:kern w:val="0"/>
      <w:sz w:val="22"/>
      <w:szCs w:val="20"/>
    </w:rPr>
  </w:style>
  <w:style w:type="paragraph" w:customStyle="1" w:styleId="537">
    <w:name w:val="xl60"/>
    <w:basedOn w:val="1"/>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538">
    <w:name w:val="BlockQuote"/>
    <w:basedOn w:val="1"/>
    <w:uiPriority w:val="0"/>
    <w:pPr>
      <w:widowControl/>
      <w:ind w:left="1200" w:right="-72" w:hanging="30"/>
      <w:textAlignment w:val="baseline"/>
    </w:pPr>
    <w:rPr>
      <w:rFonts w:ascii="Arial" w:hAnsi="Arial" w:eastAsia="幼圆" w:cs="Times New Roman"/>
      <w:sz w:val="22"/>
      <w:szCs w:val="20"/>
    </w:rPr>
  </w:style>
  <w:style w:type="paragraph" w:customStyle="1" w:styleId="539">
    <w:name w:val="xl50"/>
    <w:basedOn w:val="1"/>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540">
    <w:name w:val="图表脚注"/>
    <w:next w:val="118"/>
    <w:uiPriority w:val="0"/>
    <w:pPr>
      <w:tabs>
        <w:tab w:val="left" w:pos="360"/>
      </w:tabs>
      <w:ind w:left="300" w:leftChars="200" w:hanging="100" w:hangingChars="100"/>
      <w:jc w:val="both"/>
    </w:pPr>
    <w:rPr>
      <w:rFonts w:ascii="宋体"/>
      <w:sz w:val="18"/>
      <w:lang w:val="en-US" w:eastAsia="zh-CN" w:bidi="ar-SA"/>
    </w:rPr>
  </w:style>
  <w:style w:type="paragraph" w:customStyle="1" w:styleId="541">
    <w:name w:val="UserStyle_251"/>
    <w:basedOn w:val="1"/>
    <w:uiPriority w:val="0"/>
    <w:pPr>
      <w:widowControl/>
      <w:textAlignment w:val="baseline"/>
    </w:pPr>
    <w:rPr>
      <w:rFonts w:ascii="仿宋_GB2312" w:eastAsia="仿宋_GB2312" w:cs="Times New Roman"/>
      <w:b/>
      <w:sz w:val="32"/>
      <w:szCs w:val="32"/>
    </w:rPr>
  </w:style>
  <w:style w:type="paragraph" w:customStyle="1" w:styleId="542">
    <w:name w:val="mso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543">
    <w:name w:val="UserStyle_167"/>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黑体" w:hAnsi="宋体" w:eastAsia="黑体" w:cs="Times New Roman"/>
      <w:kern w:val="0"/>
      <w:sz w:val="20"/>
      <w:szCs w:val="20"/>
    </w:rPr>
  </w:style>
  <w:style w:type="paragraph" w:customStyle="1" w:styleId="544">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545">
    <w:name w:val="样式4"/>
    <w:basedOn w:val="38"/>
    <w:qFormat/>
    <w:uiPriority w:val="0"/>
    <w:pPr>
      <w:tabs>
        <w:tab w:val="right" w:leader="dot" w:pos="9458"/>
      </w:tabs>
      <w:spacing w:before="120" w:after="120"/>
    </w:pPr>
    <w:rPr>
      <w:bCs/>
      <w:caps/>
      <w:lang/>
    </w:rPr>
  </w:style>
  <w:style w:type="paragraph" w:customStyle="1" w:styleId="54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547">
    <w:name w:val="UserStyle_263"/>
    <w:basedOn w:val="1"/>
    <w:uiPriority w:val="0"/>
    <w:pPr>
      <w:widowControl/>
      <w:spacing w:line="440" w:lineRule="exact"/>
      <w:jc w:val="left"/>
      <w:textAlignment w:val="baseline"/>
    </w:pPr>
    <w:rPr>
      <w:rFonts w:ascii="楷体_GB2312" w:hAnsi="Arial Unicode MS" w:eastAsia="楷体_GB2312" w:cs="Times New Roman"/>
      <w:b/>
      <w:sz w:val="28"/>
      <w:szCs w:val="20"/>
    </w:rPr>
  </w:style>
  <w:style w:type="paragraph" w:customStyle="1" w:styleId="548">
    <w:name w:val="实施日期"/>
    <w:basedOn w:val="1"/>
    <w:uiPriority w:val="0"/>
    <w:pPr>
      <w:framePr w:w="4000" w:h="473" w:hRule="exact" w:vSpace="180" w:wrap="around" w:vAnchor="margin" w:hAnchor="margin" w:xAlign="right" w:y="13511" w:anchorLock="1"/>
      <w:widowControl/>
      <w:tabs>
        <w:tab w:val="left" w:pos="360"/>
      </w:tabs>
      <w:jc w:val="right"/>
    </w:pPr>
    <w:rPr>
      <w:rFonts w:eastAsia="黑体"/>
      <w:kern w:val="0"/>
      <w:sz w:val="28"/>
      <w:szCs w:val="20"/>
    </w:rPr>
  </w:style>
  <w:style w:type="paragraph" w:customStyle="1" w:styleId="549">
    <w:name w:val="二级-章"/>
    <w:uiPriority w:val="0"/>
    <w:pPr>
      <w:tabs>
        <w:tab w:val="left" w:pos="1000"/>
      </w:tabs>
      <w:ind w:left="1000" w:hanging="360"/>
      <w:jc w:val="center"/>
      <w:outlineLvl w:val="1"/>
    </w:pPr>
    <w:rPr>
      <w:rFonts w:ascii="黑体" w:eastAsia="黑体"/>
      <w:sz w:val="36"/>
      <w:szCs w:val="36"/>
      <w:lang w:val="en-US" w:eastAsia="zh-CN" w:bidi="ar-SA"/>
    </w:rPr>
  </w:style>
  <w:style w:type="paragraph" w:customStyle="1" w:styleId="550">
    <w:name w:val="UserStyle_140"/>
    <w:basedOn w:val="1"/>
    <w:uiPriority w:val="0"/>
    <w:pPr>
      <w:widowControl/>
      <w:spacing w:line="360" w:lineRule="auto"/>
      <w:textAlignment w:val="baseline"/>
    </w:pPr>
    <w:rPr>
      <w:rFonts w:eastAsia="Times New Roman" w:cs="Times New Roman"/>
      <w:kern w:val="0"/>
      <w:sz w:val="20"/>
      <w:szCs w:val="20"/>
    </w:rPr>
  </w:style>
  <w:style w:type="paragraph" w:customStyle="1" w:styleId="551">
    <w:name w:val="表1"/>
    <w:basedOn w:val="1"/>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552">
    <w:name w:val="UserStyle_180"/>
    <w:basedOn w:val="1"/>
    <w:uiPriority w:val="0"/>
    <w:pPr>
      <w:widowControl/>
      <w:pBdr>
        <w:top w:val="single" w:color="000000" w:sz="4" w:space="0"/>
        <w:bottom w:val="single" w:color="000000" w:sz="4" w:space="0"/>
      </w:pBdr>
      <w:spacing w:before="100" w:beforeAutospacing="1" w:after="100" w:afterAutospacing="1"/>
      <w:jc w:val="center"/>
      <w:textAlignment w:val="center"/>
    </w:pPr>
    <w:rPr>
      <w:rFonts w:cs="Times New Roman"/>
      <w:kern w:val="0"/>
      <w:sz w:val="20"/>
      <w:szCs w:val="20"/>
    </w:rPr>
  </w:style>
  <w:style w:type="paragraph" w:customStyle="1" w:styleId="553">
    <w:name w:val="xl49"/>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54">
    <w:name w:val="正文1 New"/>
    <w:basedOn w:val="1"/>
    <w:uiPriority w:val="0"/>
    <w:pPr>
      <w:spacing w:line="360" w:lineRule="auto"/>
      <w:ind w:left="1260" w:leftChars="600" w:firstLine="540" w:firstLineChars="257"/>
    </w:pPr>
    <w:rPr>
      <w:rFonts w:ascii="宋体" w:hAnsi="宋体"/>
    </w:rPr>
  </w:style>
  <w:style w:type="paragraph" w:customStyle="1" w:styleId="555">
    <w:name w:val="xl67"/>
    <w:basedOn w:val="1"/>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556">
    <w:name w:val="xl124"/>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7">
    <w:name w:val="[Normal]"/>
    <w:basedOn w:val="1"/>
    <w:uiPriority w:val="0"/>
    <w:pPr>
      <w:widowControl/>
      <w:jc w:val="left"/>
    </w:pPr>
    <w:rPr>
      <w:rFonts w:ascii="宋体" w:hAnsi="宋体"/>
      <w:kern w:val="0"/>
      <w:sz w:val="24"/>
    </w:rPr>
  </w:style>
  <w:style w:type="paragraph" w:customStyle="1" w:styleId="558">
    <w:name w:val="UserStyle_149"/>
    <w:basedOn w:val="1"/>
    <w:uiPriority w:val="0"/>
    <w:pPr>
      <w:widowControl/>
      <w:jc w:val="left"/>
      <w:textAlignment w:val="baseline"/>
    </w:pPr>
    <w:rPr>
      <w:rFonts w:ascii="Calibri" w:hAnsi="Calibri" w:cs="Times New Roman"/>
      <w:kern w:val="0"/>
      <w:sz w:val="22"/>
      <w:szCs w:val="22"/>
      <w:lang w:eastAsia="en-US"/>
    </w:rPr>
  </w:style>
  <w:style w:type="paragraph" w:customStyle="1" w:styleId="559">
    <w:name w:val="Table Paragraph"/>
    <w:basedOn w:val="1"/>
    <w:qFormat/>
    <w:uiPriority w:val="0"/>
    <w:pPr>
      <w:jc w:val="left"/>
    </w:pPr>
    <w:rPr>
      <w:rFonts w:ascii="Calibri" w:hAnsi="Calibri"/>
      <w:kern w:val="0"/>
      <w:sz w:val="22"/>
      <w:szCs w:val="22"/>
      <w:lang w:eastAsia="en-US"/>
    </w:rPr>
  </w:style>
  <w:style w:type="paragraph" w:customStyle="1" w:styleId="560">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1">
    <w:name w:val="Table Body"/>
    <w:basedOn w:val="1"/>
    <w:uiPriority w:val="0"/>
    <w:pPr>
      <w:widowControl/>
      <w:jc w:val="center"/>
    </w:pPr>
    <w:rPr>
      <w:rFonts w:ascii="Arial" w:hAnsi="Arial"/>
      <w:snapToGrid w:val="0"/>
      <w:kern w:val="0"/>
      <w:sz w:val="18"/>
      <w:szCs w:val="20"/>
    </w:rPr>
  </w:style>
  <w:style w:type="paragraph" w:customStyle="1" w:styleId="562">
    <w:name w:val="TOC6"/>
    <w:basedOn w:val="1"/>
    <w:next w:val="1"/>
    <w:uiPriority w:val="0"/>
    <w:pPr>
      <w:widowControl/>
      <w:ind w:left="1050"/>
      <w:jc w:val="left"/>
      <w:textAlignment w:val="baseline"/>
    </w:pPr>
    <w:rPr>
      <w:rFonts w:cs="Times New Roman"/>
      <w:sz w:val="18"/>
      <w:szCs w:val="18"/>
    </w:rPr>
  </w:style>
  <w:style w:type="paragraph" w:customStyle="1" w:styleId="563">
    <w:name w:val="排版"/>
    <w:basedOn w:val="1"/>
    <w:next w:val="22"/>
    <w:uiPriority w:val="0"/>
    <w:pPr>
      <w:spacing w:line="600" w:lineRule="exact"/>
    </w:pPr>
    <w:rPr>
      <w:rFonts w:eastAsia="华文仿宋"/>
      <w:spacing w:val="6"/>
      <w:sz w:val="32"/>
      <w:szCs w:val="20"/>
    </w:rPr>
  </w:style>
  <w:style w:type="paragraph" w:customStyle="1" w:styleId="564">
    <w:name w:val="xl42"/>
    <w:basedOn w:val="1"/>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565">
    <w:name w:val="正文小4号"/>
    <w:basedOn w:val="1"/>
    <w:uiPriority w:val="0"/>
    <w:pPr>
      <w:spacing w:line="360" w:lineRule="auto"/>
      <w:ind w:firstLine="200" w:firstLineChars="200"/>
    </w:pPr>
    <w:rPr>
      <w:sz w:val="24"/>
    </w:rPr>
  </w:style>
  <w:style w:type="paragraph" w:customStyle="1" w:styleId="566">
    <w:name w:val="Char Char6"/>
    <w:basedOn w:val="1"/>
    <w:uiPriority w:val="0"/>
    <w:pPr>
      <w:adjustRightInd w:val="0"/>
      <w:spacing w:line="360" w:lineRule="auto"/>
      <w:ind w:firstLine="480"/>
    </w:pPr>
    <w:rPr>
      <w:rFonts w:ascii="宋体" w:hAnsi="宋体"/>
      <w:kern w:val="0"/>
      <w:sz w:val="24"/>
      <w:szCs w:val="20"/>
    </w:rPr>
  </w:style>
  <w:style w:type="paragraph" w:customStyle="1" w:styleId="567">
    <w:name w:val="xl104"/>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68">
    <w:name w:val="关于"/>
    <w:basedOn w:val="1"/>
    <w:next w:val="1"/>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569">
    <w:name w:val="xl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70">
    <w:name w:val="UserStyle_255"/>
    <w:basedOn w:val="1"/>
    <w:uiPriority w:val="0"/>
    <w:pPr>
      <w:widowControl/>
      <w:textAlignment w:val="baseline"/>
    </w:pPr>
    <w:rPr>
      <w:rFonts w:eastAsia="仿宋_GB2312" w:cs="Times New Roman"/>
      <w:sz w:val="28"/>
      <w:szCs w:val="20"/>
    </w:rPr>
  </w:style>
  <w:style w:type="paragraph" w:customStyle="1" w:styleId="571">
    <w:name w:val="UserStyle_127"/>
    <w:basedOn w:val="130"/>
    <w:uiPriority w:val="0"/>
    <w:pPr>
      <w:spacing w:before="156" w:after="156" w:line="240" w:lineRule="auto"/>
      <w:ind w:firstLine="200" w:firstLineChars="200"/>
      <w:jc w:val="left"/>
    </w:pPr>
    <w:rPr>
      <w:rFonts w:ascii="Times New Roman" w:hAnsi="Times New Roman" w:cs="宋体"/>
      <w:b w:val="0"/>
      <w:kern w:val="0"/>
      <w:sz w:val="21"/>
      <w:szCs w:val="21"/>
    </w:rPr>
  </w:style>
  <w:style w:type="paragraph" w:customStyle="1" w:styleId="572">
    <w:name w:val="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573">
    <w:name w:val="标3"/>
    <w:basedOn w:val="1"/>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574">
    <w:name w:val="UserStyle_164"/>
    <w:basedOn w:val="1"/>
    <w:next w:val="128"/>
    <w:uiPriority w:val="0"/>
    <w:pPr>
      <w:widowControl/>
      <w:snapToGrid w:val="0"/>
      <w:spacing w:line="520" w:lineRule="atLeast"/>
      <w:ind w:firstLine="200" w:firstLineChars="200"/>
      <w:textAlignment w:val="baseline"/>
    </w:pPr>
    <w:rPr>
      <w:rFonts w:cs="Times New Roman"/>
    </w:rPr>
  </w:style>
  <w:style w:type="paragraph" w:customStyle="1" w:styleId="575">
    <w:name w:val="font10"/>
    <w:basedOn w:val="1"/>
    <w:uiPriority w:val="0"/>
    <w:pPr>
      <w:widowControl/>
      <w:spacing w:before="100" w:beforeAutospacing="1" w:after="100" w:afterAutospacing="1"/>
      <w:jc w:val="left"/>
    </w:pPr>
    <w:rPr>
      <w:kern w:val="0"/>
      <w:sz w:val="22"/>
      <w:szCs w:val="20"/>
    </w:rPr>
  </w:style>
  <w:style w:type="paragraph" w:customStyle="1" w:styleId="576">
    <w:name w:val="样式5"/>
    <w:basedOn w:val="545"/>
    <w:next w:val="545"/>
    <w:qFormat/>
    <w:uiPriority w:val="0"/>
  </w:style>
  <w:style w:type="paragraph" w:customStyle="1" w:styleId="577">
    <w:name w:val="UserStyle_122"/>
    <w:basedOn w:val="1"/>
    <w:uiPriority w:val="0"/>
    <w:pPr>
      <w:widowControl/>
      <w:spacing w:line="360" w:lineRule="auto"/>
      <w:ind w:left="105" w:leftChars="50" w:firstLine="315" w:firstLineChars="150"/>
      <w:jc w:val="left"/>
      <w:textAlignment w:val="baseline"/>
    </w:pPr>
    <w:rPr>
      <w:rFonts w:ascii="Arial" w:hAnsi="Arial" w:cs="Times New Roman"/>
      <w:kern w:val="0"/>
    </w:rPr>
  </w:style>
  <w:style w:type="paragraph" w:customStyle="1" w:styleId="578">
    <w:name w:val="无间隔1"/>
    <w:qFormat/>
    <w:uiPriority w:val="1"/>
    <w:rPr>
      <w:rFonts w:ascii="Calibri" w:hAnsi="Calibri"/>
      <w:sz w:val="22"/>
      <w:szCs w:val="22"/>
      <w:lang w:val="en-US" w:eastAsia="en-US" w:bidi="ar-SA"/>
    </w:rPr>
  </w:style>
  <w:style w:type="paragraph" w:customStyle="1" w:styleId="579">
    <w:name w:val="TOC5"/>
    <w:basedOn w:val="1"/>
    <w:next w:val="1"/>
    <w:uiPriority w:val="0"/>
    <w:pPr>
      <w:widowControl/>
      <w:ind w:left="840"/>
      <w:jc w:val="left"/>
      <w:textAlignment w:val="baseline"/>
    </w:pPr>
    <w:rPr>
      <w:rFonts w:cs="Times New Roman"/>
      <w:sz w:val="18"/>
      <w:szCs w:val="18"/>
    </w:rPr>
  </w:style>
  <w:style w:type="paragraph" w:customStyle="1" w:styleId="580">
    <w:name w:val="签名 - 公司"/>
    <w:basedOn w:val="37"/>
    <w:next w:val="568"/>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581">
    <w:name w:val="正文文本缩进 31"/>
    <w:basedOn w:val="1"/>
    <w:uiPriority w:val="0"/>
    <w:pPr>
      <w:adjustRightInd w:val="0"/>
      <w:spacing w:line="360" w:lineRule="auto"/>
      <w:ind w:firstLine="420"/>
      <w:textAlignment w:val="baseline"/>
    </w:pPr>
    <w:rPr>
      <w:sz w:val="24"/>
      <w:szCs w:val="20"/>
    </w:rPr>
  </w:style>
  <w:style w:type="paragraph" w:customStyle="1" w:styleId="582">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83">
    <w:name w:val="正文表格内容（居中）"/>
    <w:basedOn w:val="1"/>
    <w:qFormat/>
    <w:uiPriority w:val="0"/>
    <w:pPr>
      <w:widowControl/>
      <w:jc w:val="center"/>
    </w:pPr>
    <w:rPr>
      <w:rFonts w:ascii="Arial" w:hAnsi="Arial" w:cs="Arial"/>
      <w:kern w:val="0"/>
      <w:szCs w:val="18"/>
    </w:rPr>
  </w:style>
  <w:style w:type="paragraph" w:customStyle="1" w:styleId="584">
    <w:name w:val="UserStyle_253"/>
    <w:basedOn w:val="1"/>
    <w:uiPriority w:val="0"/>
    <w:pPr>
      <w:widowControl/>
      <w:ind w:firstLine="420" w:firstLineChars="200"/>
      <w:textAlignment w:val="baseline"/>
    </w:pPr>
    <w:rPr>
      <w:rFonts w:ascii="Verdana" w:hAnsi="Verdana" w:eastAsia="微软雅黑" w:cs="Times New Roman"/>
      <w:szCs w:val="20"/>
    </w:rPr>
  </w:style>
  <w:style w:type="paragraph" w:customStyle="1" w:styleId="585">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586">
    <w:name w:val="UserStyle_2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587">
    <w:name w:val="正文－恩普"/>
    <w:basedOn w:val="5"/>
    <w:qFormat/>
    <w:uiPriority w:val="0"/>
    <w:pPr>
      <w:widowControl/>
      <w:spacing w:after="156" w:afterLines="50" w:line="360" w:lineRule="auto"/>
      <w:ind w:firstLine="480" w:firstLineChars="200"/>
      <w:jc w:val="left"/>
    </w:pPr>
    <w:rPr>
      <w:kern w:val="0"/>
      <w:sz w:val="24"/>
    </w:rPr>
  </w:style>
  <w:style w:type="paragraph" w:customStyle="1" w:styleId="588">
    <w:name w:val="文档正文"/>
    <w:basedOn w:val="1"/>
    <w:uiPriority w:val="0"/>
    <w:pPr>
      <w:adjustRightInd w:val="0"/>
      <w:spacing w:line="312" w:lineRule="atLeast"/>
      <w:ind w:firstLine="567"/>
    </w:pPr>
    <w:rPr>
      <w:rFonts w:ascii="Arial" w:eastAsia="长城仿宋"/>
      <w:kern w:val="0"/>
      <w:sz w:val="28"/>
      <w:szCs w:val="20"/>
    </w:rPr>
  </w:style>
  <w:style w:type="paragraph" w:customStyle="1" w:styleId="589">
    <w:name w:val="UserStyle_121"/>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590">
    <w:name w:val="xl131"/>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591">
    <w:name w:val="xl100"/>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92">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93">
    <w:name w:val="4"/>
    <w:basedOn w:val="1"/>
    <w:next w:val="1"/>
    <w:uiPriority w:val="0"/>
  </w:style>
  <w:style w:type="paragraph" w:customStyle="1" w:styleId="594">
    <w:name w:val="页脚1"/>
    <w:basedOn w:val="1"/>
    <w:uiPriority w:val="0"/>
    <w:pPr>
      <w:widowControl/>
      <w:tabs>
        <w:tab w:val="center" w:pos="4153"/>
        <w:tab w:val="right" w:pos="8306"/>
      </w:tabs>
      <w:snapToGrid w:val="0"/>
      <w:spacing w:beforeLines="50" w:afterLines="50"/>
      <w:jc w:val="left"/>
    </w:pPr>
    <w:rPr>
      <w:sz w:val="18"/>
      <w:szCs w:val="18"/>
    </w:rPr>
  </w:style>
  <w:style w:type="paragraph" w:customStyle="1" w:styleId="595">
    <w:name w:val="UserStyle_170"/>
    <w:basedOn w:val="1"/>
    <w:uiPriority w:val="0"/>
    <w:pPr>
      <w:widowControl/>
      <w:pBdr>
        <w:bottom w:val="single" w:color="000000" w:sz="4" w:space="0"/>
      </w:pBdr>
      <w:spacing w:before="100" w:beforeAutospacing="1" w:after="100" w:afterAutospacing="1"/>
      <w:jc w:val="right"/>
      <w:textAlignment w:val="baseline"/>
    </w:pPr>
    <w:rPr>
      <w:rFonts w:cs="Times New Roman"/>
      <w:kern w:val="0"/>
      <w:sz w:val="22"/>
      <w:szCs w:val="20"/>
    </w:rPr>
  </w:style>
  <w:style w:type="paragraph" w:customStyle="1" w:styleId="596">
    <w:name w:val="UserStyle_168"/>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597">
    <w:name w:val="reader-word-layer reader-word-s1-0 reader-word-s1-6"/>
    <w:basedOn w:val="1"/>
    <w:uiPriority w:val="0"/>
    <w:pPr>
      <w:widowControl/>
      <w:spacing w:before="100" w:beforeAutospacing="1" w:after="100" w:afterAutospacing="1"/>
      <w:jc w:val="left"/>
    </w:pPr>
    <w:rPr>
      <w:rFonts w:ascii="宋体" w:hAnsi="宋体" w:cs="宋体"/>
      <w:kern w:val="0"/>
      <w:sz w:val="24"/>
    </w:rPr>
  </w:style>
  <w:style w:type="paragraph" w:customStyle="1" w:styleId="598">
    <w:name w:val="技标2"/>
    <w:basedOn w:val="4"/>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599">
    <w:name w:val="xl25"/>
    <w:basedOn w:val="1"/>
    <w:qFormat/>
    <w:uiPriority w:val="0"/>
    <w:pPr>
      <w:widowControl/>
      <w:spacing w:before="100" w:beforeAutospacing="1" w:after="100" w:afterAutospacing="1"/>
      <w:jc w:val="center"/>
    </w:pPr>
    <w:rPr>
      <w:rFonts w:ascii="宋体" w:hAnsi="宋体" w:cs="Arial Unicode MS"/>
      <w:kern w:val="0"/>
      <w:sz w:val="24"/>
    </w:rPr>
  </w:style>
  <w:style w:type="paragraph" w:customStyle="1" w:styleId="600">
    <w:name w:val="Char Char Char Char Char Char"/>
    <w:basedOn w:val="1"/>
    <w:uiPriority w:val="0"/>
    <w:pPr>
      <w:jc w:val="center"/>
    </w:pPr>
    <w:rPr>
      <w:rFonts w:ascii="Tahoma" w:hAnsi="Tahoma"/>
      <w:sz w:val="24"/>
      <w:szCs w:val="20"/>
    </w:rPr>
  </w:style>
  <w:style w:type="paragraph" w:customStyle="1" w:styleId="601">
    <w:name w:val="默认段落字体 Para Char Char Char Char Char Char Char Char Char1 Char Char Char Char"/>
    <w:basedOn w:val="1"/>
    <w:uiPriority w:val="0"/>
    <w:rPr>
      <w:rFonts w:ascii="Tahoma" w:hAnsi="Tahoma"/>
      <w:sz w:val="24"/>
      <w:szCs w:val="20"/>
    </w:rPr>
  </w:style>
  <w:style w:type="paragraph" w:customStyle="1" w:styleId="602">
    <w:name w:val="UserStyle_173"/>
    <w:basedOn w:val="1"/>
    <w:next w:val="195"/>
    <w:uiPriority w:val="0"/>
    <w:pPr>
      <w:widowControl/>
      <w:snapToGrid w:val="0"/>
      <w:spacing w:line="360" w:lineRule="auto"/>
      <w:textAlignment w:val="baseline"/>
    </w:pPr>
    <w:rPr>
      <w:rFonts w:ascii="宋体" w:cs="Times New Roman"/>
      <w:b/>
      <w:sz w:val="24"/>
      <w:szCs w:val="20"/>
    </w:rPr>
  </w:style>
  <w:style w:type="paragraph" w:customStyle="1" w:styleId="603">
    <w:name w:val="UserStyle_157"/>
    <w:basedOn w:val="1"/>
    <w:uiPriority w:val="0"/>
    <w:pPr>
      <w:widowControl/>
      <w:spacing w:before="100" w:beforeAutospacing="1" w:after="100" w:afterAutospacing="1"/>
      <w:jc w:val="left"/>
      <w:textAlignment w:val="baseline"/>
    </w:pPr>
    <w:rPr>
      <w:rFonts w:ascii="宋体" w:hAnsi="宋体" w:cs="Times New Roman"/>
      <w:color w:val="DD0806"/>
      <w:kern w:val="0"/>
      <w:sz w:val="20"/>
      <w:szCs w:val="20"/>
    </w:rPr>
  </w:style>
  <w:style w:type="paragraph" w:customStyle="1" w:styleId="604">
    <w:name w:val="章正文"/>
    <w:basedOn w:val="1"/>
    <w:qFormat/>
    <w:uiPriority w:val="0"/>
    <w:pPr>
      <w:spacing w:beforeLines="50" w:after="120" w:line="300" w:lineRule="auto"/>
      <w:ind w:firstLine="480"/>
    </w:pPr>
    <w:rPr>
      <w:rFonts w:ascii="Helvetica" w:hAnsi="Helvetica"/>
      <w:kern w:val="0"/>
      <w:sz w:val="24"/>
    </w:rPr>
  </w:style>
  <w:style w:type="paragraph" w:customStyle="1" w:styleId="605">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606">
    <w:name w:val="xl51"/>
    <w:basedOn w:val="1"/>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607">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608">
    <w:name w:val="xl6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styleId="609">
    <w:name w:val="List Paragraph"/>
    <w:basedOn w:val="1"/>
    <w:qFormat/>
    <w:uiPriority w:val="34"/>
    <w:pPr>
      <w:ind w:firstLine="420" w:firstLineChars="200"/>
    </w:pPr>
  </w:style>
  <w:style w:type="paragraph" w:customStyle="1" w:styleId="610">
    <w:name w:val="UserStyle_172"/>
    <w:basedOn w:val="1"/>
    <w:uiPriority w:val="0"/>
    <w:pPr>
      <w:widowControl/>
      <w:spacing w:before="100" w:beforeAutospacing="1" w:after="100" w:afterAutospacing="1"/>
      <w:jc w:val="left"/>
      <w:textAlignment w:val="baseline"/>
    </w:pPr>
    <w:rPr>
      <w:rFonts w:ascii="宋体" w:hAnsi="宋体" w:cs="Times New Roman"/>
      <w:kern w:val="0"/>
      <w:sz w:val="22"/>
      <w:szCs w:val="20"/>
    </w:rPr>
  </w:style>
  <w:style w:type="paragraph" w:customStyle="1" w:styleId="611">
    <w:name w:val="表文字左边"/>
    <w:basedOn w:val="1"/>
    <w:uiPriority w:val="0"/>
    <w:pPr>
      <w:autoSpaceDE w:val="0"/>
      <w:autoSpaceDN w:val="0"/>
      <w:spacing w:line="320" w:lineRule="exact"/>
      <w:jc w:val="left"/>
      <w:textAlignment w:val="bottom"/>
    </w:pPr>
    <w:rPr>
      <w:rFonts w:ascii="宋体" w:hAnsi="宋体" w:cs="Arial Unicode MS"/>
      <w:sz w:val="28"/>
      <w:szCs w:val="20"/>
    </w:rPr>
  </w:style>
  <w:style w:type="paragraph" w:customStyle="1" w:styleId="612">
    <w:name w:val="UserStyle_153"/>
    <w:basedOn w:val="1"/>
    <w:uiPriority w:val="0"/>
    <w:pPr>
      <w:widowControl/>
      <w:pBdr>
        <w:top w:val="single" w:color="000000" w:sz="4" w:space="0"/>
        <w:left w:val="single" w:color="000000" w:sz="4" w:space="0"/>
        <w:right w:val="single" w:color="000000" w:sz="4" w:space="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613">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14">
    <w:name w:val="xl57"/>
    <w:basedOn w:val="1"/>
    <w:uiPriority w:val="0"/>
    <w:pPr>
      <w:widowControl/>
      <w:spacing w:before="100" w:beforeAutospacing="1" w:after="100" w:afterAutospacing="1"/>
      <w:jc w:val="left"/>
      <w:textAlignment w:val="top"/>
    </w:pPr>
    <w:rPr>
      <w:rFonts w:ascii="宋体" w:hAnsi="宋体"/>
      <w:kern w:val="0"/>
      <w:sz w:val="20"/>
      <w:szCs w:val="20"/>
    </w:rPr>
  </w:style>
  <w:style w:type="paragraph" w:customStyle="1" w:styleId="615">
    <w:name w:val="xl11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616">
    <w:name w:val="页眉1"/>
    <w:basedOn w:val="1"/>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617">
    <w:name w:val="ListNumber3"/>
    <w:basedOn w:val="1"/>
    <w:uiPriority w:val="0"/>
    <w:pPr>
      <w:widowControl/>
      <w:tabs>
        <w:tab w:val="left" w:pos="1200"/>
      </w:tabs>
      <w:ind w:left="1200" w:leftChars="400" w:hanging="360" w:hangingChars="200"/>
      <w:textAlignment w:val="baseline"/>
    </w:pPr>
    <w:rPr>
      <w:rFonts w:cs="Times New Roman"/>
    </w:rPr>
  </w:style>
  <w:style w:type="paragraph" w:customStyle="1" w:styleId="618">
    <w:name w:val="xl13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19">
    <w:name w:val="正文样式"/>
    <w:basedOn w:val="1"/>
    <w:uiPriority w:val="0"/>
    <w:pPr>
      <w:tabs>
        <w:tab w:val="left" w:pos="1560"/>
      </w:tabs>
      <w:spacing w:before="163" w:after="163" w:line="300" w:lineRule="auto"/>
      <w:ind w:left="1560" w:hanging="360"/>
    </w:pPr>
    <w:rPr>
      <w:rFonts w:ascii="宋体"/>
      <w:sz w:val="24"/>
    </w:rPr>
  </w:style>
  <w:style w:type="paragraph" w:customStyle="1" w:styleId="620">
    <w:name w:val="reader-word-layer reader-word-s21-6"/>
    <w:basedOn w:val="1"/>
    <w:uiPriority w:val="0"/>
    <w:pPr>
      <w:widowControl/>
      <w:spacing w:before="100" w:beforeAutospacing="1" w:after="100" w:afterAutospacing="1"/>
      <w:jc w:val="left"/>
    </w:pPr>
    <w:rPr>
      <w:rFonts w:ascii="宋体" w:hAnsi="宋体" w:cs="宋体"/>
      <w:kern w:val="0"/>
      <w:sz w:val="24"/>
    </w:rPr>
  </w:style>
  <w:style w:type="paragraph" w:customStyle="1" w:styleId="621">
    <w:name w:val="UserStyle_182"/>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622">
    <w:name w:val="xl58"/>
    <w:basedOn w:val="1"/>
    <w:uiPriority w:val="0"/>
    <w:pPr>
      <w:widowControl/>
      <w:spacing w:before="100" w:beforeAutospacing="1" w:after="100" w:afterAutospacing="1"/>
      <w:jc w:val="left"/>
      <w:textAlignment w:val="top"/>
    </w:pPr>
    <w:rPr>
      <w:rFonts w:ascii="宋体" w:hAnsi="宋体"/>
      <w:kern w:val="0"/>
      <w:sz w:val="20"/>
      <w:szCs w:val="20"/>
    </w:rPr>
  </w:style>
  <w:style w:type="paragraph" w:customStyle="1" w:styleId="623">
    <w:name w:val="UserStyle_159"/>
    <w:basedOn w:val="132"/>
    <w:uiPriority w:val="0"/>
    <w:pPr>
      <w:tabs>
        <w:tab w:val="left" w:pos="720"/>
        <w:tab w:val="left" w:pos="1360"/>
      </w:tabs>
      <w:spacing w:before="0" w:after="0"/>
      <w:ind w:left="720" w:hanging="360"/>
    </w:pPr>
    <w:rPr>
      <w:rFonts w:ascii="宋体" w:hAnsi="宋体" w:cs="宋体"/>
      <w:kern w:val="0"/>
      <w:sz w:val="24"/>
      <w:szCs w:val="20"/>
    </w:rPr>
  </w:style>
  <w:style w:type="paragraph" w:customStyle="1" w:styleId="624">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625">
    <w:name w:val="UserStyle_15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color w:val="000000"/>
      <w:kern w:val="0"/>
      <w:sz w:val="20"/>
      <w:szCs w:val="20"/>
    </w:rPr>
  </w:style>
  <w:style w:type="paragraph" w:customStyle="1" w:styleId="626">
    <w:name w:val="xl140"/>
    <w:basedOn w:val="1"/>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627">
    <w:name w:val="UserStyle_14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cs="Times New Roman"/>
      <w:kern w:val="0"/>
      <w:sz w:val="20"/>
      <w:szCs w:val="20"/>
    </w:rPr>
  </w:style>
  <w:style w:type="paragraph" w:customStyle="1" w:styleId="628">
    <w:name w:val="xl56"/>
    <w:basedOn w:val="1"/>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629">
    <w:name w:val="UserStyle_131"/>
    <w:basedOn w:val="1"/>
    <w:uiPriority w:val="0"/>
    <w:pPr>
      <w:widowControl/>
      <w:pBdr>
        <w:left w:val="single" w:color="000000" w:sz="4" w:space="0"/>
        <w:right w:val="single" w:color="000000" w:sz="4" w:space="0"/>
      </w:pBdr>
      <w:spacing w:before="100" w:beforeAutospacing="1" w:after="100" w:afterAutospacing="1"/>
      <w:jc w:val="center"/>
      <w:textAlignment w:val="baseline"/>
    </w:pPr>
    <w:rPr>
      <w:rFonts w:ascii="宋体" w:hAnsi="宋体" w:cs="Times New Roman"/>
      <w:kern w:val="0"/>
      <w:sz w:val="20"/>
      <w:szCs w:val="20"/>
    </w:rPr>
  </w:style>
  <w:style w:type="paragraph" w:customStyle="1" w:styleId="630">
    <w:name w:val="xl6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631">
    <w:name w:val="xl87"/>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32">
    <w:name w:val="xl24"/>
    <w:basedOn w:val="1"/>
    <w:uiPriority w:val="0"/>
    <w:pPr>
      <w:widowControl/>
      <w:spacing w:before="100" w:beforeAutospacing="1" w:after="100" w:afterAutospacing="1"/>
      <w:jc w:val="left"/>
    </w:pPr>
    <w:rPr>
      <w:rFonts w:ascii="宋体" w:hAnsi="宋体"/>
      <w:kern w:val="0"/>
      <w:sz w:val="22"/>
      <w:szCs w:val="20"/>
    </w:rPr>
  </w:style>
  <w:style w:type="paragraph" w:customStyle="1" w:styleId="633">
    <w:name w:val="正文内容"/>
    <w:basedOn w:val="1"/>
    <w:uiPriority w:val="0"/>
    <w:rPr>
      <w:rFonts w:ascii="Arial" w:hAnsi="Arial"/>
      <w:spacing w:val="-12"/>
      <w:szCs w:val="20"/>
    </w:rPr>
  </w:style>
  <w:style w:type="paragraph" w:customStyle="1" w:styleId="634">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635">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636">
    <w:name w:val="TOC4"/>
    <w:basedOn w:val="1"/>
    <w:next w:val="1"/>
    <w:uiPriority w:val="0"/>
    <w:pPr>
      <w:widowControl/>
      <w:ind w:left="630"/>
      <w:jc w:val="left"/>
      <w:textAlignment w:val="baseline"/>
    </w:pPr>
    <w:rPr>
      <w:rFonts w:eastAsia="楷体_GB2312" w:cs="Times New Roman"/>
      <w:i/>
      <w:szCs w:val="18"/>
    </w:rPr>
  </w:style>
  <w:style w:type="paragraph" w:customStyle="1" w:styleId="637">
    <w:name w:val="z1"/>
    <w:basedOn w:val="1"/>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638">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639">
    <w:name w:val="No Spacing1"/>
    <w:uiPriority w:val="0"/>
    <w:rPr>
      <w:rFonts w:ascii="Calibri" w:hAnsi="Calibri"/>
      <w:sz w:val="22"/>
      <w:szCs w:val="22"/>
      <w:lang w:val="en-US" w:eastAsia="en-US" w:bidi="ar-SA"/>
    </w:rPr>
  </w:style>
  <w:style w:type="paragraph" w:customStyle="1" w:styleId="640">
    <w:name w:val="xl114"/>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41">
    <w:name w:val="font9"/>
    <w:basedOn w:val="1"/>
    <w:uiPriority w:val="0"/>
    <w:pPr>
      <w:widowControl/>
      <w:spacing w:before="100" w:beforeAutospacing="1" w:after="100" w:afterAutospacing="1"/>
      <w:jc w:val="left"/>
    </w:pPr>
    <w:rPr>
      <w:kern w:val="0"/>
      <w:sz w:val="20"/>
      <w:szCs w:val="20"/>
    </w:rPr>
  </w:style>
  <w:style w:type="paragraph" w:customStyle="1" w:styleId="642">
    <w:name w:val="UserStyle_129"/>
    <w:basedOn w:val="1"/>
    <w:uiPriority w:val="0"/>
    <w:pPr>
      <w:widowControl/>
      <w:ind w:firstLine="420" w:firstLineChars="200"/>
      <w:textAlignment w:val="baseline"/>
    </w:pPr>
    <w:rPr>
      <w:rFonts w:ascii="Calibri" w:hAnsi="Calibri" w:cs="Times New Roman"/>
      <w:szCs w:val="22"/>
    </w:rPr>
  </w:style>
  <w:style w:type="paragraph" w:customStyle="1" w:styleId="643">
    <w:name w:val="xl13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44">
    <w:name w:val="正文文字表格居中"/>
    <w:basedOn w:val="1"/>
    <w:next w:val="48"/>
    <w:qFormat/>
    <w:uiPriority w:val="0"/>
    <w:pPr>
      <w:snapToGrid w:val="0"/>
      <w:spacing w:line="360" w:lineRule="auto"/>
    </w:pPr>
    <w:rPr>
      <w:rFonts w:ascii="宋体"/>
      <w:b/>
      <w:sz w:val="24"/>
      <w:szCs w:val="20"/>
    </w:rPr>
  </w:style>
  <w:style w:type="paragraph" w:customStyle="1" w:styleId="645">
    <w:name w:val="xl12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46">
    <w:name w:val="图表文字"/>
    <w:qFormat/>
    <w:uiPriority w:val="0"/>
    <w:pPr>
      <w:tabs>
        <w:tab w:val="left" w:pos="3850"/>
      </w:tabs>
      <w:spacing w:line="320" w:lineRule="exact"/>
      <w:jc w:val="both"/>
    </w:pPr>
    <w:rPr>
      <w:sz w:val="21"/>
      <w:szCs w:val="21"/>
      <w:lang w:val="en-US" w:eastAsia="zh-CN" w:bidi="ar-SA"/>
    </w:rPr>
  </w:style>
  <w:style w:type="paragraph" w:customStyle="1" w:styleId="647">
    <w:name w:val="xl70"/>
    <w:basedOn w:val="1"/>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648">
    <w:name w:val="xl134"/>
    <w:basedOn w:val="1"/>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649">
    <w:name w:val="a-标题2"/>
    <w:basedOn w:val="1"/>
    <w:uiPriority w:val="0"/>
    <w:pPr>
      <w:spacing w:line="440" w:lineRule="exact"/>
      <w:jc w:val="left"/>
    </w:pPr>
    <w:rPr>
      <w:rFonts w:ascii="楷体_GB2312" w:hAnsi="Arial Unicode MS" w:eastAsia="楷体_GB2312" w:cs="Arial Unicode MS"/>
      <w:b/>
      <w:sz w:val="30"/>
      <w:szCs w:val="20"/>
    </w:rPr>
  </w:style>
  <w:style w:type="paragraph" w:customStyle="1" w:styleId="650">
    <w:name w:val="UserStyle_152"/>
    <w:basedOn w:val="128"/>
    <w:uiPriority w:val="0"/>
    <w:pPr>
      <w:spacing w:before="240" w:after="240" w:line="360" w:lineRule="auto"/>
      <w:jc w:val="left"/>
    </w:pPr>
    <w:rPr>
      <w:rFonts w:ascii="宋体" w:hAnsi="宋体"/>
      <w:bCs w:val="0"/>
      <w:sz w:val="32"/>
      <w:szCs w:val="20"/>
    </w:rPr>
  </w:style>
  <w:style w:type="paragraph" w:customStyle="1" w:styleId="651">
    <w:name w:val="reader-word-layer reader-word-s21-9"/>
    <w:basedOn w:val="1"/>
    <w:uiPriority w:val="0"/>
    <w:pPr>
      <w:widowControl/>
      <w:spacing w:before="100" w:beforeAutospacing="1" w:after="100" w:afterAutospacing="1"/>
      <w:jc w:val="left"/>
    </w:pPr>
    <w:rPr>
      <w:rFonts w:ascii="宋体" w:hAnsi="宋体" w:cs="宋体"/>
      <w:kern w:val="0"/>
      <w:sz w:val="24"/>
    </w:rPr>
  </w:style>
  <w:style w:type="paragraph" w:customStyle="1" w:styleId="652">
    <w:name w:val="UserStyle_425"/>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653">
    <w:name w:val="Char Char1 Char"/>
    <w:basedOn w:val="1"/>
    <w:uiPriority w:val="0"/>
    <w:rPr>
      <w:rFonts w:ascii="仿宋_GB2312" w:eastAsia="仿宋_GB2312"/>
      <w:b/>
      <w:sz w:val="32"/>
      <w:szCs w:val="32"/>
    </w:rPr>
  </w:style>
  <w:style w:type="paragraph" w:customStyle="1" w:styleId="654">
    <w:name w:val="UserStyle_143"/>
    <w:basedOn w:val="1"/>
    <w:uiPriority w:val="0"/>
    <w:pPr>
      <w:widowControl/>
      <w:spacing w:line="360" w:lineRule="auto"/>
      <w:ind w:left="1260" w:leftChars="600" w:firstLine="540" w:firstLineChars="257"/>
      <w:textAlignment w:val="baseline"/>
    </w:pPr>
    <w:rPr>
      <w:rFonts w:ascii="宋体" w:hAnsi="宋体" w:cs="Times New Roman"/>
    </w:rPr>
  </w:style>
  <w:style w:type="paragraph" w:customStyle="1" w:styleId="655">
    <w:name w:val="_Style 6"/>
    <w:basedOn w:val="22"/>
    <w:next w:val="23"/>
    <w:uiPriority w:val="0"/>
    <w:pPr>
      <w:ind w:firstLine="420" w:firstLineChars="100"/>
    </w:pPr>
    <w:rPr>
      <w:sz w:val="21"/>
    </w:rPr>
  </w:style>
  <w:style w:type="paragraph" w:customStyle="1" w:styleId="656">
    <w:name w:val="xl12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57">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58">
    <w:name w:val="xl48"/>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59">
    <w:name w:val="UserStyle_13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660">
    <w:name w:val="正文文本样式 加粗"/>
    <w:basedOn w:val="274"/>
    <w:uiPriority w:val="0"/>
    <w:rPr>
      <w:b/>
    </w:rPr>
  </w:style>
  <w:style w:type="paragraph" w:customStyle="1" w:styleId="661">
    <w:name w:val="xl152"/>
    <w:basedOn w:val="1"/>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662">
    <w:name w:val="UserStyle_12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663">
    <w:name w:val="xl143"/>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64">
    <w:name w:val="xl13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665">
    <w:name w:val="xl7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666">
    <w:name w:val="UserStyle_124"/>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667">
    <w:name w:val="文2"/>
    <w:basedOn w:val="1"/>
    <w:uiPriority w:val="0"/>
    <w:pPr>
      <w:numPr>
        <w:ilvl w:val="1"/>
        <w:numId w:val="5"/>
      </w:numPr>
      <w:adjustRightInd w:val="0"/>
      <w:spacing w:before="60" w:after="60" w:line="400" w:lineRule="atLeast"/>
      <w:textAlignment w:val="baseline"/>
    </w:pPr>
    <w:rPr>
      <w:b/>
      <w:kern w:val="0"/>
      <w:sz w:val="24"/>
      <w:szCs w:val="20"/>
    </w:rPr>
  </w:style>
  <w:style w:type="paragraph" w:customStyle="1" w:styleId="668">
    <w:name w:val="标题6"/>
    <w:basedOn w:val="1"/>
    <w:next w:val="3"/>
    <w:uiPriority w:val="0"/>
    <w:pPr>
      <w:widowControl/>
      <w:snapToGrid w:val="0"/>
      <w:spacing w:beforeLines="50" w:afterLines="50" w:line="520" w:lineRule="atLeast"/>
      <w:ind w:firstLine="200" w:firstLineChars="200"/>
    </w:pPr>
  </w:style>
  <w:style w:type="paragraph" w:customStyle="1" w:styleId="669">
    <w:name w:val="List2"/>
    <w:basedOn w:val="1"/>
    <w:uiPriority w:val="0"/>
    <w:pPr>
      <w:widowControl/>
      <w:ind w:left="100" w:leftChars="200" w:hanging="200" w:hangingChars="200"/>
      <w:textAlignment w:val="baseline"/>
    </w:pPr>
    <w:rPr>
      <w:rFonts w:cs="Times New Roman"/>
      <w:sz w:val="28"/>
    </w:rPr>
  </w:style>
  <w:style w:type="paragraph" w:customStyle="1" w:styleId="670">
    <w:name w:val="xl10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671">
    <w:name w:val="Char"/>
    <w:basedOn w:val="1"/>
    <w:qFormat/>
    <w:uiPriority w:val="0"/>
    <w:rPr>
      <w:rFonts w:ascii="仿宋_GB2312" w:eastAsia="仿宋_GB2312"/>
      <w:b/>
      <w:sz w:val="32"/>
      <w:szCs w:val="32"/>
    </w:rPr>
  </w:style>
  <w:style w:type="paragraph" w:customStyle="1" w:styleId="672">
    <w:name w:val="xl8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673">
    <w:name w:val="text"/>
    <w:basedOn w:val="1"/>
    <w:uiPriority w:val="0"/>
    <w:pPr>
      <w:widowControl/>
      <w:spacing w:before="100" w:beforeAutospacing="1" w:after="100" w:afterAutospacing="1"/>
      <w:jc w:val="left"/>
    </w:pPr>
    <w:rPr>
      <w:rFonts w:ascii="宋体" w:hAnsi="宋体" w:cs="宋体"/>
      <w:kern w:val="0"/>
      <w:sz w:val="24"/>
    </w:rPr>
  </w:style>
  <w:style w:type="paragraph" w:customStyle="1" w:styleId="674">
    <w:name w:val="修订1"/>
    <w:uiPriority w:val="0"/>
    <w:rPr>
      <w:kern w:val="2"/>
      <w:sz w:val="21"/>
      <w:szCs w:val="24"/>
      <w:lang w:val="en-US" w:eastAsia="zh-CN" w:bidi="ar-SA"/>
    </w:rPr>
  </w:style>
  <w:style w:type="paragraph" w:customStyle="1" w:styleId="675">
    <w:name w:val="UserStyle_2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s="Times New Roman"/>
      <w:kern w:val="0"/>
      <w:sz w:val="20"/>
      <w:szCs w:val="20"/>
    </w:rPr>
  </w:style>
  <w:style w:type="paragraph" w:customStyle="1" w:styleId="676">
    <w:name w:val="UserStyle_275"/>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677">
    <w:name w:val="xl80"/>
    <w:basedOn w:val="1"/>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678">
    <w:name w:val="xl78"/>
    <w:basedOn w:val="1"/>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679">
    <w:name w:val="Char Char Char Char Char Char Char Char Char"/>
    <w:basedOn w:val="1"/>
    <w:uiPriority w:val="0"/>
    <w:rPr>
      <w:rFonts w:ascii="Calibri" w:hAnsi="Calibri"/>
      <w:szCs w:val="22"/>
    </w:rPr>
  </w:style>
  <w:style w:type="paragraph" w:customStyle="1" w:styleId="680">
    <w:name w:val="paragraph text-align-type-justify pap-line-1.5 pap-line-rule-auto pap-spacing-before-0pt pap-spacing-after-0pt pap-firstline-indent-24pt pap-firstline-indent-24pt"/>
    <w:basedOn w:val="1"/>
    <w:qFormat/>
    <w:uiPriority w:val="99"/>
    <w:pPr>
      <w:widowControl/>
      <w:spacing w:before="100" w:beforeAutospacing="1" w:after="100" w:afterAutospacing="1"/>
      <w:jc w:val="left"/>
    </w:pPr>
    <w:rPr>
      <w:rFonts w:hAnsi="宋体" w:cs="宋体"/>
      <w:szCs w:val="24"/>
    </w:rPr>
  </w:style>
  <w:style w:type="paragraph" w:customStyle="1" w:styleId="681">
    <w:name w:val="Char Char Char Char Char Char1 Char Char Char Char Char Char Char Char Char"/>
    <w:basedOn w:val="1"/>
    <w:uiPriority w:val="0"/>
    <w:pPr>
      <w:adjustRightInd w:val="0"/>
      <w:spacing w:line="360" w:lineRule="auto"/>
    </w:pPr>
    <w:rPr>
      <w:rFonts w:eastAsia="Times New Roman"/>
      <w:kern w:val="0"/>
      <w:sz w:val="20"/>
      <w:szCs w:val="20"/>
    </w:rPr>
  </w:style>
  <w:style w:type="paragraph" w:customStyle="1" w:styleId="682">
    <w:name w:val="xl6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683">
    <w:name w:val="标准正文"/>
    <w:basedOn w:val="6"/>
    <w:uiPriority w:val="0"/>
    <w:pPr>
      <w:widowControl/>
      <w:spacing w:beforeLines="50" w:after="120" w:afterLines="50" w:line="360" w:lineRule="auto"/>
      <w:ind w:firstLine="482"/>
    </w:pPr>
    <w:rPr>
      <w:rFonts w:ascii="Arial" w:hAnsi="Arial"/>
      <w:spacing w:val="0"/>
      <w:sz w:val="24"/>
    </w:rPr>
  </w:style>
  <w:style w:type="paragraph" w:customStyle="1" w:styleId="684">
    <w:name w:val="xl77"/>
    <w:basedOn w:val="1"/>
    <w:uiPriority w:val="0"/>
    <w:pPr>
      <w:widowControl/>
      <w:pBdr>
        <w:bottom w:val="single" w:color="auto" w:sz="4" w:space="0"/>
      </w:pBdr>
      <w:spacing w:before="100" w:beforeAutospacing="1" w:after="100" w:afterAutospacing="1"/>
      <w:jc w:val="right"/>
    </w:pPr>
    <w:rPr>
      <w:kern w:val="0"/>
      <w:sz w:val="22"/>
      <w:szCs w:val="20"/>
    </w:rPr>
  </w:style>
  <w:style w:type="paragraph" w:customStyle="1" w:styleId="685">
    <w:name w:val="UserStyle_128"/>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686">
    <w:name w:val="UserStyle_25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cs="Times New Roman"/>
      <w:kern w:val="0"/>
      <w:sz w:val="20"/>
      <w:szCs w:val="20"/>
    </w:rPr>
  </w:style>
  <w:style w:type="paragraph" w:customStyle="1" w:styleId="687">
    <w:name w:val="_Style 2"/>
    <w:basedOn w:val="1"/>
    <w:qFormat/>
    <w:uiPriority w:val="1"/>
    <w:pPr>
      <w:ind w:firstLine="420" w:firstLineChars="200"/>
    </w:pPr>
    <w:rPr>
      <w:rFonts w:ascii="Calibri" w:hAnsi="Calibri"/>
    </w:rPr>
  </w:style>
  <w:style w:type="paragraph" w:customStyle="1" w:styleId="688">
    <w:name w:val="font14"/>
    <w:basedOn w:val="1"/>
    <w:uiPriority w:val="0"/>
    <w:pPr>
      <w:widowControl/>
      <w:spacing w:before="100" w:beforeAutospacing="1" w:after="100" w:afterAutospacing="1"/>
      <w:jc w:val="left"/>
    </w:pPr>
    <w:rPr>
      <w:kern w:val="0"/>
      <w:sz w:val="24"/>
      <w:szCs w:val="20"/>
    </w:rPr>
  </w:style>
  <w:style w:type="paragraph" w:customStyle="1" w:styleId="689">
    <w:name w:val="Index1"/>
    <w:basedOn w:val="1"/>
    <w:next w:val="1"/>
    <w:uiPriority w:val="0"/>
    <w:pPr>
      <w:widowControl/>
      <w:spacing w:line="360" w:lineRule="auto"/>
      <w:jc w:val="center"/>
      <w:textAlignment w:val="baseline"/>
    </w:pPr>
    <w:rPr>
      <w:rFonts w:ascii="宋体" w:hAnsi="宋体"/>
      <w:bCs/>
    </w:rPr>
  </w:style>
  <w:style w:type="paragraph" w:customStyle="1" w:styleId="690">
    <w:name w:val="CM58"/>
    <w:basedOn w:val="1"/>
    <w:next w:val="1"/>
    <w:uiPriority w:val="0"/>
    <w:pPr>
      <w:autoSpaceDE w:val="0"/>
      <w:autoSpaceDN w:val="0"/>
      <w:adjustRightInd w:val="0"/>
      <w:spacing w:after="298"/>
      <w:jc w:val="left"/>
    </w:pPr>
    <w:rPr>
      <w:rFonts w:ascii="宋体" w:hAnsi="宋体" w:cs="Arial Unicode MS"/>
      <w:kern w:val="0"/>
      <w:sz w:val="24"/>
    </w:rPr>
  </w:style>
  <w:style w:type="paragraph" w:customStyle="1" w:styleId="691">
    <w:name w:val="a-标题3"/>
    <w:basedOn w:val="1"/>
    <w:uiPriority w:val="0"/>
    <w:pPr>
      <w:spacing w:line="440" w:lineRule="exact"/>
      <w:jc w:val="left"/>
    </w:pPr>
    <w:rPr>
      <w:rFonts w:ascii="楷体_GB2312" w:hAnsi="Arial Unicode MS" w:eastAsia="楷体_GB2312" w:cs="Arial Unicode MS"/>
      <w:b/>
      <w:sz w:val="28"/>
      <w:szCs w:val="20"/>
    </w:rPr>
  </w:style>
  <w:style w:type="paragraph" w:customStyle="1" w:styleId="692">
    <w:name w:val="xl55"/>
    <w:basedOn w:val="1"/>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693">
    <w:name w:val="UserStyle_130"/>
    <w:basedOn w:val="176"/>
    <w:uiPriority w:val="0"/>
    <w:pPr>
      <w:snapToGrid w:val="0"/>
      <w:spacing w:line="360" w:lineRule="auto"/>
      <w:jc w:val="left"/>
    </w:pPr>
    <w:rPr>
      <w:rFonts w:ascii="Tahoma" w:hAnsi="Tahoma" w:cs="Times New Roman"/>
      <w:kern w:val="0"/>
      <w:sz w:val="24"/>
      <w:szCs w:val="20"/>
    </w:rPr>
  </w:style>
  <w:style w:type="paragraph" w:customStyle="1" w:styleId="694">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95">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696">
    <w:name w:val="标准标题2"/>
    <w:basedOn w:val="2"/>
    <w:uiPriority w:val="0"/>
    <w:pPr>
      <w:spacing w:line="360" w:lineRule="auto"/>
    </w:pPr>
    <w:rPr>
      <w:rFonts w:eastAsia="仿宋_GB2312"/>
      <w:bCs w:val="0"/>
      <w:sz w:val="28"/>
    </w:rPr>
  </w:style>
  <w:style w:type="paragraph" w:customStyle="1" w:styleId="697">
    <w:name w:val="xl6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698">
    <w:name w:val="UserStyle_137"/>
    <w:basedOn w:val="333"/>
    <w:uiPriority w:val="0"/>
    <w:pPr>
      <w:spacing w:after="120" w:line="360" w:lineRule="auto"/>
      <w:ind w:firstLine="482"/>
    </w:pPr>
    <w:rPr>
      <w:rFonts w:ascii="Arial" w:hAnsi="Arial" w:cs="Times New Roman"/>
      <w:sz w:val="24"/>
    </w:rPr>
  </w:style>
  <w:style w:type="paragraph" w:customStyle="1" w:styleId="699">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700">
    <w:name w:val="xl68"/>
    <w:basedOn w:val="1"/>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701">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702">
    <w:name w:val="xl8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03">
    <w:name w:val=" Char Char Char Char Char Char Char Char"/>
    <w:basedOn w:val="1"/>
    <w:uiPriority w:val="0"/>
    <w:pPr>
      <w:tabs>
        <w:tab w:val="left" w:pos="360"/>
      </w:tabs>
    </w:pPr>
    <w:rPr>
      <w:sz w:val="24"/>
    </w:rPr>
  </w:style>
  <w:style w:type="paragraph" w:customStyle="1" w:styleId="704">
    <w:name w:val="font19"/>
    <w:basedOn w:val="1"/>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705">
    <w:name w:val="样式"/>
    <w:uiPriority w:val="0"/>
    <w:pPr>
      <w:widowControl w:val="0"/>
      <w:adjustRightInd w:val="0"/>
      <w:spacing w:line="360" w:lineRule="auto"/>
      <w:ind w:firstLine="482"/>
      <w:jc w:val="both"/>
      <w:textAlignment w:val="baseline"/>
    </w:pPr>
    <w:rPr>
      <w:sz w:val="24"/>
      <w:lang w:val="en-US" w:eastAsia="zh-CN" w:bidi="ar-SA"/>
    </w:rPr>
  </w:style>
  <w:style w:type="paragraph" w:customStyle="1" w:styleId="706">
    <w:name w:val="UserStyle_269"/>
    <w:basedOn w:val="1"/>
    <w:uiPriority w:val="0"/>
    <w:pPr>
      <w:widowControl/>
      <w:pBdr>
        <w:left w:val="single" w:color="000000" w:sz="4" w:space="0"/>
        <w:right w:val="single" w:color="000000" w:sz="4" w:space="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707">
    <w:name w:val="xl43"/>
    <w:basedOn w:val="1"/>
    <w:uiPriority w:val="0"/>
    <w:pPr>
      <w:widowControl/>
      <w:spacing w:before="100" w:beforeAutospacing="1" w:after="100" w:afterAutospacing="1"/>
      <w:jc w:val="right"/>
      <w:textAlignment w:val="center"/>
    </w:pPr>
    <w:rPr>
      <w:kern w:val="0"/>
      <w:sz w:val="20"/>
      <w:szCs w:val="20"/>
    </w:rPr>
  </w:style>
  <w:style w:type="paragraph" w:customStyle="1" w:styleId="708">
    <w:name w:val="样式7"/>
    <w:basedOn w:val="1"/>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09">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0">
    <w:name w:val="UserStyle_17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cs="Times New Roman"/>
      <w:kern w:val="0"/>
      <w:sz w:val="20"/>
      <w:szCs w:val="20"/>
    </w:rPr>
  </w:style>
  <w:style w:type="paragraph" w:customStyle="1" w:styleId="711">
    <w:name w:val="font8"/>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712">
    <w:name w:val="正文1"/>
    <w:qFormat/>
    <w:uiPriority w:val="0"/>
    <w:pPr>
      <w:widowControl w:val="0"/>
      <w:adjustRightInd w:val="0"/>
      <w:spacing w:line="312" w:lineRule="atLeast"/>
      <w:jc w:val="both"/>
      <w:textAlignment w:val="baseline"/>
    </w:pPr>
    <w:rPr>
      <w:rFonts w:ascii="宋体" w:hAnsi="宋体"/>
      <w:sz w:val="24"/>
      <w:lang w:val="en-US" w:eastAsia="zh-CN" w:bidi="ar-SA"/>
    </w:rPr>
  </w:style>
  <w:style w:type="paragraph" w:customStyle="1" w:styleId="713">
    <w:name w:val="表格1"/>
    <w:basedOn w:val="1"/>
    <w:uiPriority w:val="0"/>
    <w:pPr>
      <w:widowControl/>
      <w:topLinePunct/>
      <w:adjustRightInd w:val="0"/>
      <w:snapToGrid w:val="0"/>
    </w:pPr>
    <w:rPr>
      <w:rFonts w:ascii="仿宋_GB2312" w:hAnsi="宋体" w:eastAsia="仿宋_GB2312" w:cs="宋体"/>
      <w:b/>
      <w:kern w:val="0"/>
      <w:sz w:val="24"/>
    </w:rPr>
  </w:style>
  <w:style w:type="paragraph" w:customStyle="1" w:styleId="714">
    <w:name w:val="HtmlNormal"/>
    <w:basedOn w:val="1"/>
    <w:uiPriority w:val="0"/>
    <w:pPr>
      <w:widowControl/>
      <w:jc w:val="left"/>
      <w:textAlignment w:val="baseline"/>
    </w:pPr>
    <w:rPr>
      <w:rFonts w:cs="Times New Roman"/>
      <w:kern w:val="0"/>
      <w:sz w:val="24"/>
      <w:szCs w:val="20"/>
    </w:rPr>
  </w:style>
  <w:style w:type="paragraph" w:customStyle="1" w:styleId="715">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16">
    <w:name w:val="reader-word-layer reader-word-s21-4"/>
    <w:basedOn w:val="1"/>
    <w:uiPriority w:val="0"/>
    <w:pPr>
      <w:widowControl/>
      <w:spacing w:before="100" w:beforeAutospacing="1" w:after="100" w:afterAutospacing="1"/>
      <w:jc w:val="left"/>
    </w:pPr>
    <w:rPr>
      <w:rFonts w:ascii="宋体" w:hAnsi="宋体" w:cs="宋体"/>
      <w:kern w:val="0"/>
      <w:sz w:val="24"/>
    </w:rPr>
  </w:style>
  <w:style w:type="paragraph" w:customStyle="1" w:styleId="717">
    <w:name w:val="xl72"/>
    <w:basedOn w:val="1"/>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718">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19">
    <w:name w:val="Char Char Char 字元 字元"/>
    <w:basedOn w:val="1"/>
    <w:uiPriority w:val="0"/>
    <w:pPr>
      <w:spacing w:line="360" w:lineRule="auto"/>
      <w:ind w:firstLine="200" w:firstLineChars="200"/>
    </w:pPr>
    <w:rPr>
      <w:szCs w:val="20"/>
    </w:rPr>
  </w:style>
  <w:style w:type="paragraph" w:customStyle="1" w:styleId="720">
    <w:name w:val="xl52"/>
    <w:basedOn w:val="1"/>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721">
    <w:name w:val="UserStyle_271"/>
    <w:basedOn w:val="1"/>
    <w:uiPriority w:val="0"/>
    <w:pPr>
      <w:widowControl/>
      <w:textAlignment w:val="baseline"/>
    </w:pPr>
    <w:rPr>
      <w:rFonts w:ascii="仿宋_GB2312" w:eastAsia="仿宋_GB2312" w:cs="Times New Roman"/>
      <w:b/>
      <w:sz w:val="32"/>
      <w:szCs w:val="32"/>
    </w:rPr>
  </w:style>
  <w:style w:type="paragraph" w:customStyle="1" w:styleId="722">
    <w:name w:val="UserStyle_260"/>
    <w:basedOn w:val="1"/>
    <w:uiPriority w:val="0"/>
    <w:pPr>
      <w:widowControl/>
      <w:spacing w:after="160" w:line="240" w:lineRule="exact"/>
      <w:jc w:val="left"/>
      <w:textAlignment w:val="baseline"/>
    </w:pPr>
    <w:rPr>
      <w:rFonts w:ascii="Verdana" w:hAnsi="Verdana" w:cs="Times New Roman"/>
      <w:kern w:val="0"/>
      <w:szCs w:val="20"/>
      <w:lang w:eastAsia="en-US"/>
    </w:rPr>
  </w:style>
  <w:style w:type="paragraph" w:customStyle="1" w:styleId="723">
    <w:name w:val="xl29"/>
    <w:basedOn w:val="1"/>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724">
    <w:name w:val="项目符号1"/>
    <w:basedOn w:val="274"/>
    <w:uiPriority w:val="0"/>
    <w:pPr>
      <w:numPr>
        <w:ilvl w:val="0"/>
        <w:numId w:val="5"/>
      </w:numPr>
      <w:tabs>
        <w:tab w:val="left" w:pos="420"/>
        <w:tab w:val="left" w:pos="900"/>
        <w:tab w:val="clear" w:pos="1360"/>
      </w:tabs>
      <w:ind w:left="720" w:hanging="420"/>
    </w:pPr>
  </w:style>
  <w:style w:type="paragraph" w:customStyle="1" w:styleId="725">
    <w:name w:val="reader-word-layer reader-word-s1-1"/>
    <w:basedOn w:val="1"/>
    <w:uiPriority w:val="0"/>
    <w:pPr>
      <w:widowControl/>
      <w:spacing w:before="100" w:beforeAutospacing="1" w:after="100" w:afterAutospacing="1"/>
      <w:jc w:val="left"/>
    </w:pPr>
    <w:rPr>
      <w:rFonts w:ascii="宋体" w:hAnsi="宋体" w:cs="宋体"/>
      <w:kern w:val="0"/>
      <w:sz w:val="24"/>
    </w:rPr>
  </w:style>
  <w:style w:type="paragraph" w:customStyle="1" w:styleId="726">
    <w:name w:val="xl74"/>
    <w:basedOn w:val="1"/>
    <w:uiPriority w:val="0"/>
    <w:pPr>
      <w:widowControl/>
      <w:spacing w:before="100" w:beforeAutospacing="1" w:after="100" w:afterAutospacing="1"/>
      <w:jc w:val="left"/>
    </w:pPr>
    <w:rPr>
      <w:kern w:val="0"/>
      <w:sz w:val="24"/>
      <w:szCs w:val="20"/>
    </w:rPr>
  </w:style>
  <w:style w:type="paragraph" w:customStyle="1" w:styleId="727">
    <w:name w:val="Char3 Char Char Char"/>
    <w:basedOn w:val="1"/>
    <w:uiPriority w:val="0"/>
    <w:pPr>
      <w:widowControl/>
      <w:spacing w:after="160" w:line="240" w:lineRule="exact"/>
      <w:jc w:val="left"/>
    </w:pPr>
    <w:rPr>
      <w:szCs w:val="20"/>
    </w:rPr>
  </w:style>
  <w:style w:type="paragraph" w:customStyle="1" w:styleId="728">
    <w:name w:val="UserStyle_135"/>
    <w:basedOn w:val="1"/>
    <w:uiPriority w:val="0"/>
    <w:pPr>
      <w:widowControl/>
      <w:pBdr>
        <w:left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729">
    <w:name w:val="Char Char Char Char Char Char Char Char"/>
    <w:basedOn w:val="1"/>
    <w:uiPriority w:val="0"/>
    <w:rPr>
      <w:rFonts w:eastAsia="仿宋_GB2312"/>
      <w:sz w:val="28"/>
    </w:rPr>
  </w:style>
  <w:style w:type="paragraph" w:customStyle="1" w:styleId="730">
    <w:name w:val="TOC9"/>
    <w:basedOn w:val="1"/>
    <w:next w:val="1"/>
    <w:uiPriority w:val="0"/>
    <w:pPr>
      <w:widowControl/>
      <w:ind w:left="1680"/>
      <w:jc w:val="left"/>
      <w:textAlignment w:val="baseline"/>
    </w:pPr>
    <w:rPr>
      <w:rFonts w:cs="Times New Roman"/>
      <w:sz w:val="18"/>
      <w:szCs w:val="18"/>
    </w:rPr>
  </w:style>
  <w:style w:type="paragraph" w:customStyle="1" w:styleId="731">
    <w:name w:val="样式 标题 21.1 + 小四"/>
    <w:basedOn w:val="2"/>
    <w:uiPriority w:val="0"/>
    <w:pPr>
      <w:tabs>
        <w:tab w:val="left" w:pos="720"/>
      </w:tabs>
      <w:adjustRightInd w:val="0"/>
      <w:snapToGrid w:val="0"/>
      <w:spacing w:before="0" w:after="0" w:line="360" w:lineRule="auto"/>
      <w:textAlignment w:val="baseline"/>
    </w:pPr>
    <w:rPr>
      <w:rFonts w:ascii="Times New Roman" w:hAnsi="Times New Roman" w:eastAsia="宋体"/>
      <w:b w:val="0"/>
      <w:bCs w:val="0"/>
      <w:kern w:val="0"/>
      <w:sz w:val="24"/>
      <w:szCs w:val="20"/>
    </w:rPr>
  </w:style>
  <w:style w:type="paragraph" w:customStyle="1" w:styleId="732">
    <w:name w:val=" Char"/>
    <w:basedOn w:val="1"/>
    <w:uiPriority w:val="0"/>
    <w:pPr>
      <w:numPr>
        <w:ilvl w:val="0"/>
        <w:numId w:val="1"/>
      </w:numPr>
    </w:pPr>
    <w:rPr>
      <w:sz w:val="24"/>
    </w:rPr>
  </w:style>
  <w:style w:type="paragraph" w:customStyle="1" w:styleId="733">
    <w:name w:val="Char1 Char Char Char"/>
    <w:basedOn w:val="1"/>
    <w:qFormat/>
    <w:uiPriority w:val="0"/>
    <w:rPr>
      <w:rFonts w:eastAsia="仿宋_GB2312"/>
      <w:sz w:val="28"/>
      <w:szCs w:val="20"/>
    </w:rPr>
  </w:style>
  <w:style w:type="paragraph" w:customStyle="1" w:styleId="734">
    <w:name w:val="样式2"/>
    <w:basedOn w:val="22"/>
    <w:uiPriority w:val="0"/>
    <w:pPr>
      <w:spacing w:after="0" w:line="400" w:lineRule="exact"/>
      <w:jc w:val="center"/>
    </w:pPr>
    <w:rPr>
      <w:rFonts w:ascii="宋体" w:hAnsi="宋体"/>
      <w:sz w:val="24"/>
      <w:szCs w:val="20"/>
    </w:rPr>
  </w:style>
  <w:style w:type="paragraph" w:customStyle="1" w:styleId="735">
    <w:name w:val="UserStyle_151"/>
    <w:basedOn w:val="1"/>
    <w:uiPriority w:val="0"/>
    <w:pPr>
      <w:widowControl/>
      <w:spacing w:line="300" w:lineRule="auto"/>
      <w:jc w:val="center"/>
      <w:textAlignment w:val="baseline"/>
    </w:pPr>
    <w:rPr>
      <w:rFonts w:ascii="宋体" w:hAnsi="宋体" w:cs="Times New Roman"/>
      <w:sz w:val="24"/>
      <w:szCs w:val="20"/>
    </w:rPr>
  </w:style>
  <w:style w:type="paragraph" w:customStyle="1" w:styleId="736">
    <w:name w:val="图"/>
    <w:basedOn w:val="1"/>
    <w:uiPriority w:val="0"/>
    <w:pPr>
      <w:keepNext/>
      <w:adjustRightInd w:val="0"/>
      <w:spacing w:before="60" w:after="60" w:line="300" w:lineRule="auto"/>
      <w:jc w:val="center"/>
      <w:textAlignment w:val="center"/>
    </w:pPr>
    <w:rPr>
      <w:snapToGrid w:val="0"/>
      <w:spacing w:val="20"/>
      <w:kern w:val="0"/>
      <w:sz w:val="24"/>
      <w:szCs w:val="20"/>
      <w:lang/>
    </w:rPr>
  </w:style>
  <w:style w:type="paragraph" w:customStyle="1" w:styleId="737">
    <w:name w:val="标题1正文"/>
    <w:basedOn w:val="1"/>
    <w:uiPriority w:val="0"/>
    <w:pPr>
      <w:spacing w:line="360" w:lineRule="auto"/>
      <w:ind w:left="105" w:leftChars="50" w:firstLine="315" w:firstLineChars="150"/>
      <w:jc w:val="left"/>
    </w:pPr>
    <w:rPr>
      <w:rFonts w:ascii="Arial" w:hAnsi="Arial"/>
      <w:kern w:val="0"/>
    </w:rPr>
  </w:style>
  <w:style w:type="paragraph" w:customStyle="1" w:styleId="738">
    <w:name w:val="二级条标题"/>
    <w:basedOn w:val="464"/>
    <w:next w:val="118"/>
    <w:uiPriority w:val="0"/>
    <w:pPr>
      <w:outlineLvl w:val="3"/>
    </w:pPr>
  </w:style>
  <w:style w:type="paragraph" w:customStyle="1" w:styleId="739">
    <w:name w:val="UserStyle_27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740">
    <w:name w:val="UserStyle_145"/>
    <w:basedOn w:val="1"/>
    <w:uiPriority w:val="0"/>
    <w:pPr>
      <w:widowControl/>
      <w:pBdr>
        <w:right w:val="single" w:color="000000" w:sz="4" w:space="0"/>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741">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42">
    <w:name w:val="Char1"/>
    <w:basedOn w:val="1"/>
    <w:qFormat/>
    <w:uiPriority w:val="0"/>
    <w:rPr>
      <w:rFonts w:ascii="仿宋_GB2312" w:eastAsia="仿宋_GB2312"/>
      <w:b/>
      <w:sz w:val="32"/>
      <w:szCs w:val="32"/>
    </w:rPr>
  </w:style>
  <w:style w:type="paragraph" w:customStyle="1" w:styleId="743">
    <w:name w:val="表格"/>
    <w:basedOn w:val="1"/>
    <w:qFormat/>
    <w:uiPriority w:val="0"/>
    <w:pPr>
      <w:adjustRightInd w:val="0"/>
      <w:spacing w:line="360" w:lineRule="atLeast"/>
    </w:pPr>
    <w:rPr>
      <w:rFonts w:ascii="黑体" w:hAnsi="黑体" w:eastAsia="黑体" w:cs="Arial Unicode MS"/>
      <w:szCs w:val="21"/>
    </w:rPr>
  </w:style>
  <w:style w:type="paragraph" w:customStyle="1" w:styleId="744">
    <w:name w:val="other"/>
    <w:basedOn w:val="1"/>
    <w:uiPriority w:val="0"/>
    <w:pPr>
      <w:jc w:val="right"/>
    </w:pPr>
    <w:rPr>
      <w:rFonts w:eastAsia="华文中宋"/>
    </w:rPr>
  </w:style>
  <w:style w:type="paragraph" w:customStyle="1" w:styleId="745">
    <w:name w:val="前言、引言标题"/>
    <w:next w:val="1"/>
    <w:uiPriority w:val="0"/>
    <w:pPr>
      <w:shd w:val="clear" w:color="FFFFFF" w:fill="FFFFFF"/>
      <w:tabs>
        <w:tab w:val="left" w:pos="360"/>
      </w:tabs>
      <w:spacing w:before="640" w:after="560"/>
      <w:jc w:val="center"/>
      <w:outlineLvl w:val="0"/>
    </w:pPr>
    <w:rPr>
      <w:rFonts w:ascii="黑体" w:eastAsia="黑体"/>
      <w:sz w:val="32"/>
      <w:lang w:val="en-US" w:eastAsia="zh-CN" w:bidi="ar-SA"/>
    </w:rPr>
  </w:style>
  <w:style w:type="paragraph" w:customStyle="1" w:styleId="746">
    <w:name w:val="表中"/>
    <w:basedOn w:val="1"/>
    <w:uiPriority w:val="0"/>
    <w:pPr>
      <w:adjustRightInd w:val="0"/>
      <w:spacing w:line="360" w:lineRule="atLeast"/>
      <w:jc w:val="center"/>
      <w:textAlignment w:val="baseline"/>
    </w:pPr>
    <w:rPr>
      <w:kern w:val="0"/>
      <w:szCs w:val="20"/>
    </w:rPr>
  </w:style>
  <w:style w:type="paragraph" w:customStyle="1" w:styleId="747">
    <w:name w:val="reader-word-layer reader-word-s21-12"/>
    <w:basedOn w:val="1"/>
    <w:uiPriority w:val="0"/>
    <w:pPr>
      <w:widowControl/>
      <w:spacing w:before="100" w:beforeAutospacing="1" w:after="100" w:afterAutospacing="1"/>
      <w:jc w:val="left"/>
    </w:pPr>
    <w:rPr>
      <w:rFonts w:ascii="宋体" w:hAnsi="宋体" w:cs="宋体"/>
      <w:kern w:val="0"/>
      <w:sz w:val="24"/>
    </w:rPr>
  </w:style>
  <w:style w:type="paragraph" w:customStyle="1" w:styleId="748">
    <w:name w:val="xl97"/>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49">
    <w:name w:val="xl133"/>
    <w:basedOn w:val="1"/>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50">
    <w:name w:val="封面标准文稿类别"/>
    <w:uiPriority w:val="0"/>
    <w:pPr>
      <w:spacing w:before="440" w:line="400" w:lineRule="exact"/>
      <w:jc w:val="center"/>
    </w:pPr>
    <w:rPr>
      <w:rFonts w:ascii="宋体" w:hAnsi="宋体"/>
      <w:sz w:val="24"/>
      <w:lang w:val="en-US" w:eastAsia="zh-CN" w:bidi="ar-SA"/>
    </w:rPr>
  </w:style>
  <w:style w:type="paragraph" w:customStyle="1" w:styleId="751">
    <w:name w:val="reader-word-layer reader-word-s21-11"/>
    <w:basedOn w:val="1"/>
    <w:uiPriority w:val="0"/>
    <w:pPr>
      <w:widowControl/>
      <w:spacing w:before="100" w:beforeAutospacing="1" w:after="100" w:afterAutospacing="1"/>
      <w:jc w:val="left"/>
    </w:pPr>
    <w:rPr>
      <w:rFonts w:ascii="宋体" w:hAnsi="宋体" w:cs="宋体"/>
      <w:kern w:val="0"/>
      <w:sz w:val="24"/>
    </w:rPr>
  </w:style>
  <w:style w:type="paragraph" w:customStyle="1" w:styleId="752">
    <w:name w:val="_Style 20"/>
    <w:basedOn w:val="1"/>
    <w:uiPriority w:val="0"/>
  </w:style>
  <w:style w:type="paragraph" w:customStyle="1" w:styleId="753">
    <w:name w:val="font17"/>
    <w:basedOn w:val="1"/>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754">
    <w:name w:val="xl115"/>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755">
    <w:name w:val=""/>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6">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757">
    <w:name w:val="xl9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58">
    <w:name w:val="xl13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759">
    <w:name w:val="UserStyle_15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760">
    <w:name w:val="UserStyle_13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761">
    <w:name w:val="UserStyle_174"/>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762">
    <w:name w:val="xl10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763">
    <w:name w:val="UserStyle_274"/>
    <w:basedOn w:val="1"/>
    <w:uiPriority w:val="0"/>
    <w:pPr>
      <w:widowControl/>
      <w:spacing w:before="100" w:beforeAutospacing="1" w:after="100" w:afterAutospacing="1"/>
      <w:jc w:val="left"/>
      <w:textAlignment w:val="baseline"/>
    </w:pPr>
    <w:rPr>
      <w:rFonts w:ascii="宋体" w:hAnsi="宋体" w:cs="Times New Roman"/>
      <w:color w:val="DD0806"/>
      <w:kern w:val="0"/>
      <w:sz w:val="20"/>
      <w:szCs w:val="20"/>
    </w:rPr>
  </w:style>
  <w:style w:type="paragraph" w:customStyle="1" w:styleId="764">
    <w:name w:val="reader-word-layer reader-word-s21-13"/>
    <w:basedOn w:val="1"/>
    <w:uiPriority w:val="0"/>
    <w:pPr>
      <w:widowControl/>
      <w:spacing w:before="100" w:beforeAutospacing="1" w:after="100" w:afterAutospacing="1"/>
      <w:jc w:val="left"/>
    </w:pPr>
    <w:rPr>
      <w:rFonts w:ascii="宋体" w:hAnsi="宋体" w:cs="宋体"/>
      <w:kern w:val="0"/>
      <w:sz w:val="24"/>
    </w:rPr>
  </w:style>
  <w:style w:type="paragraph" w:customStyle="1" w:styleId="765">
    <w:name w:val="xl8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66">
    <w:name w:val="UserStyle_17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cs="Times New Roman"/>
      <w:kern w:val="0"/>
      <w:sz w:val="20"/>
      <w:szCs w:val="20"/>
    </w:rPr>
  </w:style>
  <w:style w:type="paragraph" w:customStyle="1" w:styleId="767">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68">
    <w:name w:val="批注框文本 Char Char"/>
    <w:basedOn w:val="1"/>
    <w:uiPriority w:val="0"/>
    <w:rPr>
      <w:sz w:val="18"/>
      <w:szCs w:val="20"/>
    </w:rPr>
  </w:style>
  <w:style w:type="paragraph" w:customStyle="1" w:styleId="769">
    <w:name w:val="Table Heading"/>
    <w:basedOn w:val="1"/>
    <w:uiPriority w:val="0"/>
    <w:pPr>
      <w:widowControl/>
      <w:jc w:val="center"/>
    </w:pPr>
    <w:rPr>
      <w:rFonts w:ascii="Arial" w:hAnsi="Arial"/>
      <w:b/>
      <w:kern w:val="0"/>
      <w:sz w:val="18"/>
      <w:szCs w:val="20"/>
    </w:rPr>
  </w:style>
  <w:style w:type="paragraph" w:customStyle="1" w:styleId="770">
    <w:name w:val="xl26"/>
    <w:basedOn w:val="1"/>
    <w:uiPriority w:val="0"/>
    <w:pPr>
      <w:widowControl/>
      <w:spacing w:before="100" w:beforeAutospacing="1" w:after="100" w:afterAutospacing="1"/>
      <w:jc w:val="left"/>
    </w:pPr>
    <w:rPr>
      <w:rFonts w:ascii="宋体" w:hAnsi="宋体"/>
      <w:kern w:val="0"/>
      <w:sz w:val="24"/>
      <w:szCs w:val="20"/>
    </w:rPr>
  </w:style>
  <w:style w:type="paragraph" w:customStyle="1" w:styleId="771">
    <w:name w:val="content"/>
    <w:basedOn w:val="1"/>
    <w:uiPriority w:val="0"/>
    <w:pPr>
      <w:widowControl/>
      <w:spacing w:before="100" w:beforeAutospacing="1" w:after="100" w:afterAutospacing="1"/>
      <w:jc w:val="left"/>
    </w:pPr>
    <w:rPr>
      <w:rFonts w:ascii="宋体" w:hAnsi="宋体" w:cs="宋体"/>
      <w:kern w:val="0"/>
      <w:sz w:val="24"/>
    </w:rPr>
  </w:style>
  <w:style w:type="paragraph" w:customStyle="1" w:styleId="772">
    <w:name w:val="UserStyle_175"/>
    <w:basedOn w:val="1"/>
    <w:uiPriority w:val="0"/>
    <w:pPr>
      <w:widowControl/>
      <w:textAlignment w:val="baseline"/>
    </w:pPr>
    <w:rPr>
      <w:rFonts w:cs="Times New Roman"/>
      <w:sz w:val="18"/>
      <w:szCs w:val="20"/>
    </w:rPr>
  </w:style>
  <w:style w:type="paragraph" w:customStyle="1" w:styleId="773">
    <w:name w:val="样式 正文"/>
    <w:basedOn w:val="1"/>
    <w:next w:val="1"/>
    <w:uiPriority w:val="0"/>
    <w:pPr>
      <w:widowControl/>
      <w:spacing w:beforeLines="50" w:afterLines="50"/>
      <w:jc w:val="left"/>
    </w:pPr>
    <w:rPr>
      <w:rFonts w:ascii="宋体" w:cs="宋体"/>
      <w:snapToGrid w:val="0"/>
      <w:kern w:val="0"/>
      <w:szCs w:val="20"/>
    </w:rPr>
  </w:style>
  <w:style w:type="paragraph" w:customStyle="1" w:styleId="774">
    <w:name w:val="TOC7"/>
    <w:basedOn w:val="1"/>
    <w:next w:val="1"/>
    <w:uiPriority w:val="0"/>
    <w:pPr>
      <w:widowControl/>
      <w:ind w:left="1260"/>
      <w:jc w:val="left"/>
      <w:textAlignment w:val="baseline"/>
    </w:pPr>
    <w:rPr>
      <w:rFonts w:cs="Times New Roman"/>
      <w:sz w:val="18"/>
      <w:szCs w:val="18"/>
    </w:rPr>
  </w:style>
  <w:style w:type="paragraph" w:customStyle="1" w:styleId="775">
    <w:name w:val="pa-2"/>
    <w:basedOn w:val="1"/>
    <w:uiPriority w:val="0"/>
    <w:pPr>
      <w:widowControl/>
      <w:spacing w:line="240" w:lineRule="atLeast"/>
    </w:pPr>
    <w:rPr>
      <w:rFonts w:ascii="宋体" w:hAnsi="宋体" w:cs="宋体"/>
      <w:kern w:val="0"/>
      <w:sz w:val="24"/>
    </w:rPr>
  </w:style>
  <w:style w:type="paragraph" w:customStyle="1" w:styleId="776">
    <w:name w:val="UserStyle_163"/>
    <w:basedOn w:val="1"/>
    <w:uiPriority w:val="0"/>
    <w:pPr>
      <w:widowControl/>
      <w:spacing w:line="360" w:lineRule="auto"/>
      <w:jc w:val="left"/>
      <w:textAlignment w:val="baseline"/>
    </w:pPr>
    <w:rPr>
      <w:rFonts w:cs="Times New Roman"/>
      <w:sz w:val="24"/>
      <w:szCs w:val="21"/>
    </w:rPr>
  </w:style>
  <w:style w:type="paragraph" w:customStyle="1" w:styleId="777">
    <w:name w:val="项目符号2"/>
    <w:basedOn w:val="274"/>
    <w:uiPriority w:val="0"/>
    <w:pPr>
      <w:tabs>
        <w:tab w:val="left" w:pos="735"/>
      </w:tabs>
      <w:ind w:left="735" w:hanging="420"/>
    </w:pPr>
  </w:style>
  <w:style w:type="paragraph" w:customStyle="1" w:styleId="778">
    <w:name w:val="xl96"/>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79">
    <w:name w:val="Char Char Char Char Char Char1 Char Char Char Char Char Char Char Char Char Char Char Char"/>
    <w:basedOn w:val="1"/>
    <w:uiPriority w:val="0"/>
    <w:pPr>
      <w:adjustRightInd w:val="0"/>
      <w:spacing w:line="360" w:lineRule="auto"/>
    </w:pPr>
    <w:rPr>
      <w:rFonts w:eastAsia="Times New Roman"/>
      <w:kern w:val="0"/>
      <w:sz w:val="20"/>
      <w:szCs w:val="20"/>
    </w:rPr>
  </w:style>
  <w:style w:type="paragraph" w:customStyle="1" w:styleId="780">
    <w:name w:val=" Char2"/>
    <w:basedOn w:val="1"/>
    <w:uiPriority w:val="0"/>
    <w:rPr>
      <w:rFonts w:ascii="仿宋_GB2312" w:eastAsia="仿宋_GB2312"/>
      <w:b/>
      <w:sz w:val="32"/>
      <w:szCs w:val="32"/>
    </w:rPr>
  </w:style>
  <w:style w:type="paragraph" w:customStyle="1" w:styleId="781">
    <w:name w:val="章标题"/>
    <w:next w:val="118"/>
    <w:uiPriority w:val="0"/>
    <w:pPr>
      <w:spacing w:beforeLines="50" w:afterLines="50"/>
      <w:jc w:val="both"/>
      <w:outlineLvl w:val="1"/>
    </w:pPr>
    <w:rPr>
      <w:rFonts w:ascii="黑体" w:eastAsia="黑体"/>
      <w:sz w:val="21"/>
      <w:lang w:val="en-US" w:eastAsia="zh-CN" w:bidi="ar-SA"/>
    </w:rPr>
  </w:style>
  <w:style w:type="paragraph" w:customStyle="1" w:styleId="782">
    <w:name w:val="xl108"/>
    <w:basedOn w:val="1"/>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83">
    <w:name w:val="Char Char Char Char"/>
    <w:basedOn w:val="1"/>
    <w:qFormat/>
    <w:uiPriority w:val="0"/>
  </w:style>
  <w:style w:type="paragraph" w:customStyle="1" w:styleId="784">
    <w:name w:val="样式 标题 3 + 宋体 小四 段前: 0 磅 段后: 0 磅 行距: 1.5 倍行距"/>
    <w:basedOn w:val="4"/>
    <w:uiPriority w:val="0"/>
    <w:pPr>
      <w:numPr>
        <w:ilvl w:val="0"/>
        <w:numId w:val="7"/>
      </w:numPr>
      <w:tabs>
        <w:tab w:val="left" w:pos="720"/>
      </w:tabs>
      <w:spacing w:before="0" w:after="0"/>
      <w:ind w:left="720" w:hanging="360"/>
    </w:pPr>
    <w:rPr>
      <w:rFonts w:ascii="宋体" w:hAnsi="宋体" w:cs="宋体"/>
      <w:kern w:val="0"/>
      <w:sz w:val="24"/>
      <w:szCs w:val="20"/>
    </w:rPr>
  </w:style>
  <w:style w:type="paragraph" w:customStyle="1" w:styleId="785">
    <w:name w:val="UserStyle_166"/>
    <w:basedOn w:val="1"/>
    <w:uiPriority w:val="0"/>
    <w:pPr>
      <w:widowControl/>
      <w:pBdr>
        <w:top w:val="single" w:color="000000" w:sz="4" w:space="0"/>
        <w:bottom w:val="single" w:color="000000" w:sz="4" w:space="0"/>
        <w:right w:val="single" w:color="000000" w:sz="4" w:space="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786">
    <w:name w:val="xl150"/>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787">
    <w:name w:val="font20"/>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788">
    <w:name w:val=" Char1"/>
    <w:basedOn w:val="1"/>
    <w:uiPriority w:val="0"/>
    <w:rPr>
      <w:rFonts w:ascii="仿宋_GB2312" w:eastAsia="仿宋_GB2312"/>
      <w:b/>
      <w:sz w:val="32"/>
      <w:szCs w:val="32"/>
    </w:rPr>
  </w:style>
  <w:style w:type="paragraph" w:customStyle="1" w:styleId="789">
    <w:name w:val="UserStyle_247"/>
    <w:basedOn w:val="1"/>
    <w:uiPriority w:val="0"/>
    <w:pPr>
      <w:widowControl/>
      <w:tabs>
        <w:tab w:val="left" w:pos="5100"/>
      </w:tabs>
      <w:spacing w:line="240" w:lineRule="atLeast"/>
      <w:jc w:val="left"/>
      <w:textAlignment w:val="baseline"/>
    </w:pPr>
    <w:rPr>
      <w:rFonts w:ascii="宋体" w:hAnsi="宋体" w:cs="Times New Roman"/>
      <w:kern w:val="0"/>
      <w:szCs w:val="20"/>
    </w:rPr>
  </w:style>
  <w:style w:type="paragraph" w:customStyle="1" w:styleId="790">
    <w:name w:val="xl8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91">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792">
    <w:name w:val="xl44"/>
    <w:basedOn w:val="1"/>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793">
    <w:name w:val="UserStyle_181"/>
    <w:basedOn w:val="1"/>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794">
    <w:name w:val=" Char Char Char Char Char Char Char"/>
    <w:basedOn w:val="1"/>
    <w:uiPriority w:val="0"/>
    <w:rPr>
      <w:rFonts w:ascii="仿宋_GB2312" w:eastAsia="仿宋_GB2312"/>
      <w:b/>
      <w:sz w:val="32"/>
      <w:szCs w:val="32"/>
    </w:rPr>
  </w:style>
  <w:style w:type="paragraph" w:customStyle="1" w:styleId="795">
    <w:name w:val="Test2"/>
    <w:basedOn w:val="2"/>
    <w:qFormat/>
    <w:uiPriority w:val="0"/>
    <w:pPr>
      <w:widowControl/>
      <w:adjustRightInd w:val="0"/>
      <w:snapToGrid w:val="0"/>
      <w:spacing w:before="360" w:after="360" w:line="240" w:lineRule="atLeast"/>
      <w:jc w:val="left"/>
    </w:pPr>
    <w:rPr>
      <w:rFonts w:ascii="宋体" w:eastAsia="宋体"/>
      <w:snapToGrid w:val="0"/>
      <w:kern w:val="0"/>
      <w:sz w:val="28"/>
    </w:rPr>
  </w:style>
  <w:style w:type="paragraph" w:customStyle="1" w:styleId="796">
    <w:name w:val="纯文本1"/>
    <w:basedOn w:val="1"/>
    <w:qFormat/>
    <w:uiPriority w:val="0"/>
    <w:pPr>
      <w:adjustRightInd w:val="0"/>
      <w:jc w:val="left"/>
      <w:textAlignment w:val="baseline"/>
    </w:pPr>
    <w:rPr>
      <w:rFonts w:ascii="宋体" w:hAnsi="Courier New"/>
      <w:szCs w:val="20"/>
    </w:rPr>
  </w:style>
  <w:style w:type="paragraph" w:customStyle="1" w:styleId="797">
    <w:name w:val="expanded"/>
    <w:basedOn w:val="1"/>
    <w:uiPriority w:val="0"/>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798">
    <w:name w:val="font13"/>
    <w:basedOn w:val="1"/>
    <w:uiPriority w:val="0"/>
    <w:pPr>
      <w:widowControl/>
      <w:spacing w:before="100" w:beforeAutospacing="1" w:after="100" w:afterAutospacing="1"/>
      <w:jc w:val="left"/>
    </w:pPr>
    <w:rPr>
      <w:kern w:val="0"/>
      <w:sz w:val="18"/>
      <w:szCs w:val="20"/>
    </w:rPr>
  </w:style>
  <w:style w:type="paragraph" w:customStyle="1" w:styleId="799">
    <w:name w:val="样式 标题 3(A-3)sect1.2.3h3H3level_3PIM 3Level 3 HeadHeading..."/>
    <w:basedOn w:val="4"/>
    <w:uiPriority w:val="0"/>
    <w:pPr>
      <w:numPr>
        <w:ilvl w:val="2"/>
        <w:numId w:val="0"/>
      </w:numPr>
      <w:spacing w:before="260" w:after="260" w:line="416" w:lineRule="auto"/>
    </w:pPr>
    <w:rPr>
      <w:rFonts w:ascii="Arial" w:hAnsi="Arial"/>
      <w:sz w:val="30"/>
    </w:rPr>
  </w:style>
  <w:style w:type="paragraph" w:customStyle="1" w:styleId="800">
    <w:name w:val="UserStyle_120"/>
    <w:uiPriority w:val="0"/>
    <w:pPr>
      <w:spacing w:before="440" w:line="400" w:lineRule="exact"/>
      <w:jc w:val="center"/>
      <w:textAlignment w:val="baseline"/>
    </w:pPr>
    <w:rPr>
      <w:rFonts w:ascii="宋体" w:hAnsi="宋体"/>
      <w:sz w:val="24"/>
      <w:lang w:val="en-US" w:eastAsia="zh-CN" w:bidi="ar-SA"/>
    </w:rPr>
  </w:style>
  <w:style w:type="paragraph" w:customStyle="1" w:styleId="801">
    <w:name w:val="xl109"/>
    <w:basedOn w:val="1"/>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02">
    <w:name w:val="xl123"/>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03">
    <w:name w:val="UserStyle_184"/>
    <w:next w:val="1"/>
    <w:uiPriority w:val="0"/>
    <w:pPr>
      <w:shd w:val="clear" w:color="auto" w:fill="FFFFFF"/>
      <w:tabs>
        <w:tab w:val="left" w:pos="360"/>
      </w:tabs>
      <w:spacing w:before="640" w:after="560"/>
      <w:jc w:val="center"/>
      <w:textAlignment w:val="baseline"/>
    </w:pPr>
    <w:rPr>
      <w:rFonts w:ascii="黑体" w:eastAsia="黑体"/>
      <w:sz w:val="32"/>
      <w:lang w:val="en-US" w:eastAsia="zh-CN" w:bidi="ar-SA"/>
    </w:rPr>
  </w:style>
  <w:style w:type="paragraph" w:customStyle="1" w:styleId="804">
    <w:name w:val="UserStyle_185"/>
    <w:uiPriority w:val="0"/>
    <w:pPr>
      <w:textAlignment w:val="baseline"/>
    </w:pPr>
    <w:rPr>
      <w:rFonts w:ascii="Calibri" w:hAnsi="Calibri"/>
      <w:sz w:val="22"/>
      <w:szCs w:val="22"/>
      <w:lang w:val="en-US" w:eastAsia="en-US" w:bidi="ar-SA"/>
    </w:rPr>
  </w:style>
  <w:style w:type="paragraph" w:customStyle="1" w:styleId="805">
    <w:name w:val="UserStyle_186"/>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Times New Roman"/>
      <w:color w:val="000000"/>
      <w:kern w:val="0"/>
      <w:sz w:val="20"/>
      <w:szCs w:val="20"/>
    </w:rPr>
  </w:style>
  <w:style w:type="paragraph" w:customStyle="1" w:styleId="806">
    <w:name w:val="UserStyle_187"/>
    <w:basedOn w:val="130"/>
    <w:uiPriority w:val="0"/>
    <w:pPr>
      <w:snapToGrid w:val="0"/>
      <w:spacing w:before="360" w:after="360" w:line="240" w:lineRule="atLeast"/>
      <w:jc w:val="left"/>
    </w:pPr>
    <w:rPr>
      <w:rFonts w:ascii="宋体" w:eastAsia="宋体"/>
      <w:kern w:val="0"/>
      <w:sz w:val="28"/>
    </w:rPr>
  </w:style>
  <w:style w:type="paragraph" w:customStyle="1" w:styleId="807">
    <w:name w:val="UserStyle_188"/>
    <w:basedOn w:val="1"/>
    <w:uiPriority w:val="0"/>
    <w:pPr>
      <w:widowControl/>
      <w:pBdr>
        <w:top w:val="single" w:color="000000" w:sz="4" w:space="0"/>
      </w:pBdr>
      <w:spacing w:before="100" w:beforeAutospacing="1" w:after="100" w:afterAutospacing="1"/>
      <w:jc w:val="left"/>
      <w:textAlignment w:val="baseline"/>
    </w:pPr>
    <w:rPr>
      <w:rFonts w:ascii="宋体" w:hAnsi="宋体" w:cs="Times New Roman"/>
      <w:kern w:val="0"/>
      <w:sz w:val="24"/>
      <w:szCs w:val="20"/>
    </w:rPr>
  </w:style>
  <w:style w:type="paragraph" w:customStyle="1" w:styleId="808">
    <w:name w:val="UserStyle_189"/>
    <w:basedOn w:val="1"/>
    <w:uiPriority w:val="0"/>
    <w:pPr>
      <w:widowControl/>
      <w:spacing w:line="360" w:lineRule="auto"/>
      <w:ind w:firstLine="200" w:firstLineChars="200"/>
      <w:textAlignment w:val="baseline"/>
    </w:pPr>
    <w:rPr>
      <w:rFonts w:cs="Times New Roman"/>
      <w:sz w:val="24"/>
    </w:rPr>
  </w:style>
  <w:style w:type="paragraph" w:customStyle="1" w:styleId="809">
    <w:name w:val="UserStyle_190"/>
    <w:basedOn w:val="1"/>
    <w:uiPriority w:val="0"/>
    <w:pPr>
      <w:widowControl/>
      <w:pBdr>
        <w:top w:val="single" w:color="000000" w:sz="4" w:space="0"/>
        <w:bottom w:val="single" w:color="000000" w:sz="4" w:space="0"/>
      </w:pBdr>
      <w:spacing w:before="100" w:beforeAutospacing="1" w:after="100" w:afterAutospacing="1"/>
      <w:jc w:val="left"/>
      <w:textAlignment w:val="center"/>
    </w:pPr>
    <w:rPr>
      <w:rFonts w:cs="Times New Roman"/>
      <w:kern w:val="0"/>
      <w:sz w:val="18"/>
      <w:szCs w:val="20"/>
    </w:rPr>
  </w:style>
  <w:style w:type="paragraph" w:customStyle="1" w:styleId="810">
    <w:name w:val="UserStyle_191"/>
    <w:basedOn w:val="1"/>
    <w:uiPriority w:val="0"/>
    <w:pPr>
      <w:keepLines/>
      <w:widowControl/>
      <w:spacing w:before="156" w:after="156" w:line="300" w:lineRule="auto"/>
      <w:textAlignment w:val="baseline"/>
    </w:pPr>
    <w:rPr>
      <w:rFonts w:ascii="Arial" w:hAnsi="Arial"/>
      <w:bCs/>
    </w:rPr>
  </w:style>
  <w:style w:type="paragraph" w:customStyle="1" w:styleId="811">
    <w:name w:val="UserStyle_192"/>
    <w:basedOn w:val="1"/>
    <w:uiPriority w:val="0"/>
    <w:pPr>
      <w:widowControl/>
      <w:pBdr>
        <w:top w:val="single" w:color="000000" w:sz="4" w:space="0"/>
      </w:pBdr>
      <w:spacing w:before="100" w:beforeAutospacing="1" w:after="100" w:afterAutospacing="1"/>
      <w:jc w:val="left"/>
      <w:textAlignment w:val="top"/>
    </w:pPr>
    <w:rPr>
      <w:rFonts w:ascii="宋体" w:hAnsi="宋体" w:cs="Times New Roman"/>
      <w:kern w:val="0"/>
      <w:sz w:val="20"/>
      <w:szCs w:val="20"/>
    </w:rPr>
  </w:style>
  <w:style w:type="paragraph" w:customStyle="1" w:styleId="812">
    <w:name w:val="UserStyle_193"/>
    <w:basedOn w:val="1"/>
    <w:uiPriority w:val="0"/>
    <w:pPr>
      <w:widowControl/>
      <w:spacing w:before="100" w:beforeAutospacing="1" w:after="100" w:afterAutospacing="1"/>
      <w:jc w:val="left"/>
      <w:textAlignment w:val="baseline"/>
    </w:pPr>
    <w:rPr>
      <w:rFonts w:cs="Times New Roman"/>
      <w:kern w:val="0"/>
      <w:sz w:val="24"/>
      <w:szCs w:val="20"/>
    </w:rPr>
  </w:style>
  <w:style w:type="paragraph" w:customStyle="1" w:styleId="813">
    <w:name w:val="UserStyle_194"/>
    <w:basedOn w:val="1"/>
    <w:uiPriority w:val="0"/>
    <w:pPr>
      <w:tabs>
        <w:tab w:val="left" w:pos="4200"/>
      </w:tabs>
      <w:spacing w:line="360" w:lineRule="auto"/>
      <w:ind w:left="4200" w:hanging="420"/>
    </w:pPr>
    <w:rPr>
      <w:rFonts w:eastAsia="楷体_GB2312" w:cs="Times New Roman"/>
      <w:kern w:val="28"/>
      <w:sz w:val="28"/>
      <w:szCs w:val="20"/>
    </w:rPr>
  </w:style>
  <w:style w:type="paragraph" w:customStyle="1" w:styleId="814">
    <w:name w:val="UserStyle_195"/>
    <w:basedOn w:val="1"/>
    <w:next w:val="1"/>
    <w:uiPriority w:val="0"/>
    <w:pPr>
      <w:widowControl/>
      <w:spacing w:after="298"/>
      <w:jc w:val="left"/>
      <w:textAlignment w:val="baseline"/>
    </w:pPr>
    <w:rPr>
      <w:rFonts w:ascii="宋体" w:hAnsi="宋体" w:cs="Times New Roman"/>
      <w:kern w:val="0"/>
      <w:sz w:val="24"/>
    </w:rPr>
  </w:style>
  <w:style w:type="paragraph" w:customStyle="1" w:styleId="815">
    <w:name w:val="UserStyle_196"/>
    <w:basedOn w:val="1"/>
    <w:uiPriority w:val="0"/>
    <w:pPr>
      <w:widowControl/>
      <w:spacing w:before="100" w:beforeAutospacing="1" w:after="100" w:afterAutospacing="1"/>
      <w:jc w:val="center"/>
      <w:textAlignment w:val="baseline"/>
    </w:pPr>
    <w:rPr>
      <w:rFonts w:ascii="黑体" w:hAnsi="宋体" w:eastAsia="黑体" w:cs="Times New Roman"/>
      <w:kern w:val="0"/>
      <w:sz w:val="36"/>
      <w:szCs w:val="20"/>
    </w:rPr>
  </w:style>
  <w:style w:type="paragraph" w:customStyle="1" w:styleId="816">
    <w:name w:val="UserStyle_198"/>
    <w:basedOn w:val="1"/>
    <w:uiPriority w:val="0"/>
    <w:pPr>
      <w:widowControl/>
      <w:pBdr>
        <w:top w:val="single" w:color="000000" w:sz="4" w:space="0"/>
        <w:bottom w:val="single" w:color="000000" w:sz="4" w:space="0"/>
      </w:pBdr>
      <w:spacing w:before="100" w:beforeAutospacing="1" w:after="100" w:afterAutospacing="1"/>
      <w:jc w:val="left"/>
      <w:textAlignment w:val="center"/>
    </w:pPr>
    <w:rPr>
      <w:rFonts w:cs="Times New Roman"/>
      <w:kern w:val="0"/>
      <w:sz w:val="20"/>
      <w:szCs w:val="20"/>
    </w:rPr>
  </w:style>
  <w:style w:type="paragraph" w:customStyle="1" w:styleId="817">
    <w:name w:val="UserStyle_199"/>
    <w:basedOn w:val="1"/>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818">
    <w:name w:val="UserStyle_200"/>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819">
    <w:name w:val="UserStyle_201"/>
    <w:basedOn w:val="222"/>
    <w:uiPriority w:val="0"/>
    <w:rPr>
      <w:rFonts w:cs="Times New Roman"/>
      <w:b/>
    </w:rPr>
  </w:style>
  <w:style w:type="paragraph" w:customStyle="1" w:styleId="820">
    <w:name w:val="UserStyle_202"/>
    <w:basedOn w:val="1"/>
    <w:uiPriority w:val="0"/>
    <w:pPr>
      <w:widowControl/>
      <w:spacing w:line="360" w:lineRule="auto"/>
      <w:ind w:firstLine="480" w:firstLineChars="200"/>
      <w:textAlignment w:val="baseline"/>
    </w:pPr>
    <w:rPr>
      <w:rFonts w:cs="Times New Roman"/>
      <w:sz w:val="24"/>
      <w:szCs w:val="20"/>
    </w:rPr>
  </w:style>
  <w:style w:type="paragraph" w:customStyle="1" w:styleId="821">
    <w:name w:val="UserStyle_203"/>
    <w:basedOn w:val="1"/>
    <w:uiPriority w:val="0"/>
    <w:pPr>
      <w:widowControl/>
      <w:ind w:left="720" w:hanging="720"/>
      <w:textAlignment w:val="baseline"/>
    </w:pPr>
    <w:rPr>
      <w:rFonts w:cs="Times New Roman"/>
      <w:kern w:val="0"/>
      <w:sz w:val="24"/>
      <w:szCs w:val="20"/>
      <w:lang w:val="en-GB"/>
    </w:rPr>
  </w:style>
  <w:style w:type="paragraph" w:customStyle="1" w:styleId="822">
    <w:name w:val="UserStyle_204"/>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Times New Roman"/>
      <w:color w:val="000000"/>
      <w:kern w:val="0"/>
      <w:sz w:val="20"/>
      <w:szCs w:val="20"/>
    </w:rPr>
  </w:style>
  <w:style w:type="paragraph" w:customStyle="1" w:styleId="823">
    <w:name w:val="UserStyle_205"/>
    <w:basedOn w:val="1"/>
    <w:uiPriority w:val="0"/>
    <w:pPr>
      <w:widowControl/>
      <w:spacing w:after="160" w:line="240" w:lineRule="exact"/>
      <w:jc w:val="left"/>
      <w:textAlignment w:val="baseline"/>
    </w:pPr>
    <w:rPr>
      <w:rFonts w:ascii="Verdana" w:hAnsi="Verdana" w:cs="Times New Roman"/>
      <w:kern w:val="0"/>
      <w:sz w:val="20"/>
      <w:szCs w:val="20"/>
      <w:lang w:eastAsia="en-US"/>
    </w:rPr>
  </w:style>
  <w:style w:type="paragraph" w:customStyle="1" w:styleId="824">
    <w:name w:val="UserStyle_206"/>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宋体" w:eastAsia="黑体" w:cs="Times New Roman"/>
      <w:kern w:val="0"/>
      <w:sz w:val="20"/>
      <w:szCs w:val="20"/>
    </w:rPr>
  </w:style>
  <w:style w:type="paragraph" w:customStyle="1" w:styleId="825">
    <w:name w:val="UserStyle_207"/>
    <w:basedOn w:val="1"/>
    <w:uiPriority w:val="0"/>
    <w:pPr>
      <w:widowControl/>
      <w:spacing w:before="100" w:beforeAutospacing="1" w:after="100" w:afterAutospacing="1"/>
      <w:jc w:val="left"/>
      <w:textAlignment w:val="baseline"/>
    </w:pPr>
    <w:rPr>
      <w:rFonts w:ascii="宋体" w:hAnsi="宋体" w:cs="Times New Roman"/>
      <w:kern w:val="0"/>
      <w:sz w:val="22"/>
      <w:szCs w:val="20"/>
    </w:rPr>
  </w:style>
  <w:style w:type="paragraph" w:customStyle="1" w:styleId="826">
    <w:name w:val="UserStyle_208"/>
    <w:basedOn w:val="1"/>
    <w:uiPriority w:val="0"/>
    <w:pPr>
      <w:widowControl/>
      <w:pBdr>
        <w:left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827">
    <w:name w:val="UserStyle_209"/>
    <w:basedOn w:val="1"/>
    <w:uiPriority w:val="0"/>
    <w:pPr>
      <w:widowControl/>
      <w:pBdr>
        <w:bottom w:val="single" w:color="000000" w:sz="4" w:space="0"/>
      </w:pBdr>
      <w:spacing w:before="100" w:beforeAutospacing="1" w:after="100" w:afterAutospacing="1"/>
      <w:jc w:val="right"/>
      <w:textAlignment w:val="baseline"/>
    </w:pPr>
    <w:rPr>
      <w:rFonts w:ascii="宋体" w:hAnsi="宋体" w:cs="Times New Roman"/>
      <w:kern w:val="0"/>
      <w:sz w:val="22"/>
      <w:szCs w:val="20"/>
    </w:rPr>
  </w:style>
  <w:style w:type="paragraph" w:customStyle="1" w:styleId="828">
    <w:name w:val="UserStyle_210"/>
    <w:basedOn w:val="1"/>
    <w:uiPriority w:val="0"/>
    <w:pPr>
      <w:widowControl/>
      <w:textAlignment w:val="baseline"/>
    </w:pPr>
    <w:rPr>
      <w:rFonts w:cs="Times New Roman"/>
    </w:rPr>
  </w:style>
  <w:style w:type="paragraph" w:customStyle="1" w:styleId="829">
    <w:name w:val="UserStyle_211"/>
    <w:basedOn w:val="1"/>
    <w:uiPriority w:val="0"/>
    <w:pPr>
      <w:widowControl/>
      <w:spacing w:before="100" w:after="100"/>
      <w:ind w:left="360" w:right="360"/>
      <w:jc w:val="left"/>
      <w:textAlignment w:val="baseline"/>
    </w:pPr>
    <w:rPr>
      <w:rFonts w:cs="Times New Roman"/>
      <w:kern w:val="0"/>
      <w:sz w:val="24"/>
      <w:szCs w:val="20"/>
    </w:rPr>
  </w:style>
  <w:style w:type="paragraph" w:customStyle="1" w:styleId="830">
    <w:name w:val="UserStyle_212"/>
    <w:basedOn w:val="1"/>
    <w:uiPriority w:val="0"/>
    <w:pPr>
      <w:widowControl/>
      <w:spacing w:after="160" w:line="240" w:lineRule="exact"/>
      <w:jc w:val="left"/>
      <w:textAlignment w:val="baseline"/>
    </w:pPr>
    <w:rPr>
      <w:rFonts w:ascii="Verdana" w:hAnsi="Verdana" w:cs="Times New Roman"/>
      <w:kern w:val="0"/>
      <w:sz w:val="20"/>
      <w:szCs w:val="20"/>
      <w:lang w:eastAsia="en-US"/>
    </w:rPr>
  </w:style>
  <w:style w:type="paragraph" w:customStyle="1" w:styleId="831">
    <w:name w:val="UserStyle_213"/>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baseline"/>
    </w:pPr>
    <w:rPr>
      <w:rFonts w:ascii="宋体" w:hAnsi="宋体" w:cs="Times New Roman"/>
      <w:kern w:val="0"/>
      <w:sz w:val="20"/>
      <w:szCs w:val="20"/>
    </w:rPr>
  </w:style>
  <w:style w:type="paragraph" w:customStyle="1" w:styleId="832">
    <w:name w:val="UserStyle_214"/>
    <w:basedOn w:val="1"/>
    <w:next w:val="1"/>
    <w:uiPriority w:val="0"/>
    <w:pPr>
      <w:widowControl/>
      <w:spacing w:line="360" w:lineRule="auto"/>
      <w:jc w:val="left"/>
      <w:textAlignment w:val="baseline"/>
    </w:pPr>
    <w:rPr>
      <w:rFonts w:ascii="宋体" w:cs="Times New Roman"/>
      <w:color w:val="000000"/>
      <w:kern w:val="0"/>
      <w:sz w:val="24"/>
      <w:szCs w:val="20"/>
    </w:rPr>
  </w:style>
  <w:style w:type="paragraph" w:customStyle="1" w:styleId="833">
    <w:name w:val="UserStyle_215"/>
    <w:basedOn w:val="1"/>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834">
    <w:name w:val="UserStyle_217"/>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宋体" w:eastAsia="黑体" w:cs="Times New Roman"/>
      <w:kern w:val="0"/>
      <w:sz w:val="20"/>
      <w:szCs w:val="20"/>
    </w:rPr>
  </w:style>
  <w:style w:type="paragraph" w:customStyle="1" w:styleId="835">
    <w:name w:val="UserStyle_218"/>
    <w:basedOn w:val="1"/>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836">
    <w:name w:val="UserStyle_219"/>
    <w:uiPriority w:val="0"/>
    <w:pPr>
      <w:tabs>
        <w:tab w:val="left" w:pos="1000"/>
      </w:tabs>
      <w:ind w:left="1000" w:hanging="360"/>
      <w:jc w:val="center"/>
      <w:textAlignment w:val="baseline"/>
    </w:pPr>
    <w:rPr>
      <w:rFonts w:ascii="黑体" w:eastAsia="黑体"/>
      <w:sz w:val="36"/>
      <w:szCs w:val="36"/>
      <w:lang w:val="en-US" w:eastAsia="zh-CN" w:bidi="ar-SA"/>
    </w:rPr>
  </w:style>
  <w:style w:type="paragraph" w:customStyle="1" w:styleId="837">
    <w:name w:val="UserStyle_220"/>
    <w:basedOn w:val="1"/>
    <w:uiPriority w:val="0"/>
    <w:pPr>
      <w:widowControl/>
      <w:textAlignment w:val="baseline"/>
    </w:pPr>
    <w:rPr>
      <w:rFonts w:ascii="仿宋_GB2312" w:eastAsia="仿宋_GB2312" w:cs="Times New Roman"/>
      <w:b/>
      <w:sz w:val="32"/>
      <w:szCs w:val="32"/>
    </w:rPr>
  </w:style>
  <w:style w:type="paragraph" w:customStyle="1" w:styleId="838">
    <w:name w:val="UserStyle_221"/>
    <w:basedOn w:val="1"/>
    <w:uiPriority w:val="0"/>
    <w:pPr>
      <w:widowControl/>
      <w:spacing w:before="100" w:beforeAutospacing="1" w:after="100" w:afterAutospacing="1"/>
      <w:jc w:val="left"/>
      <w:textAlignment w:val="baseline"/>
    </w:pPr>
    <w:rPr>
      <w:rFonts w:cs="Times New Roman"/>
      <w:kern w:val="0"/>
      <w:sz w:val="20"/>
      <w:szCs w:val="20"/>
    </w:rPr>
  </w:style>
  <w:style w:type="paragraph" w:customStyle="1" w:styleId="839">
    <w:name w:val="UserStyle_222"/>
    <w:basedOn w:val="1"/>
    <w:uiPriority w:val="0"/>
    <w:pPr>
      <w:widowControl/>
      <w:spacing w:line="320" w:lineRule="exact"/>
      <w:jc w:val="left"/>
      <w:textAlignment w:val="bottom"/>
    </w:pPr>
    <w:rPr>
      <w:rFonts w:ascii="宋体" w:hAnsi="宋体" w:cs="Times New Roman"/>
      <w:sz w:val="28"/>
      <w:szCs w:val="20"/>
    </w:rPr>
  </w:style>
  <w:style w:type="paragraph" w:customStyle="1" w:styleId="840">
    <w:name w:val="UserStyle_225"/>
    <w:basedOn w:val="1"/>
    <w:uiPriority w:val="0"/>
    <w:pPr>
      <w:widowControl/>
      <w:tabs>
        <w:tab w:val="left" w:pos="8279"/>
      </w:tabs>
      <w:jc w:val="left"/>
      <w:textAlignment w:val="baseline"/>
    </w:pPr>
    <w:rPr>
      <w:rFonts w:ascii="宋体" w:cs="Times New Roman"/>
      <w:b/>
      <w:spacing w:val="4"/>
      <w:kern w:val="0"/>
      <w:sz w:val="24"/>
      <w:szCs w:val="20"/>
    </w:rPr>
  </w:style>
  <w:style w:type="paragraph" w:customStyle="1" w:styleId="841">
    <w:name w:val="UserStyle_226"/>
    <w:basedOn w:val="130"/>
    <w:uiPriority w:val="0"/>
    <w:pPr>
      <w:tabs>
        <w:tab w:val="left" w:pos="720"/>
      </w:tabs>
      <w:snapToGrid w:val="0"/>
      <w:spacing w:before="0" w:after="0" w:line="360" w:lineRule="auto"/>
    </w:pPr>
    <w:rPr>
      <w:rFonts w:ascii="Times New Roman" w:hAnsi="Times New Roman" w:eastAsia="宋体"/>
      <w:b w:val="0"/>
      <w:bCs w:val="0"/>
      <w:kern w:val="0"/>
      <w:sz w:val="24"/>
      <w:szCs w:val="20"/>
    </w:rPr>
  </w:style>
  <w:style w:type="paragraph" w:customStyle="1" w:styleId="842">
    <w:name w:val="UserStyle_228"/>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Times New Roman"/>
      <w:color w:val="000000"/>
      <w:kern w:val="0"/>
      <w:sz w:val="20"/>
      <w:szCs w:val="20"/>
    </w:rPr>
  </w:style>
  <w:style w:type="paragraph" w:customStyle="1" w:styleId="843">
    <w:name w:val="UserStyle_230"/>
    <w:basedOn w:val="1"/>
    <w:uiPriority w:val="0"/>
    <w:pPr>
      <w:spacing w:before="60" w:after="60" w:line="400" w:lineRule="atLeast"/>
      <w:ind w:left="900" w:hanging="480"/>
    </w:pPr>
    <w:rPr>
      <w:rFonts w:cs="Times New Roman"/>
      <w:b/>
      <w:kern w:val="0"/>
      <w:sz w:val="24"/>
      <w:szCs w:val="20"/>
    </w:rPr>
  </w:style>
  <w:style w:type="paragraph" w:customStyle="1" w:styleId="844">
    <w:name w:val="UserStyle_233"/>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Times New Roman"/>
      <w:color w:val="FF0000"/>
      <w:kern w:val="0"/>
      <w:sz w:val="20"/>
      <w:szCs w:val="20"/>
    </w:rPr>
  </w:style>
  <w:style w:type="paragraph" w:customStyle="1" w:styleId="845">
    <w:name w:val="UserStyle_236"/>
    <w:basedOn w:val="1"/>
    <w:uiPriority w:val="0"/>
    <w:pPr>
      <w:widowControl/>
      <w:spacing w:before="100" w:beforeAutospacing="1" w:after="100" w:afterAutospacing="1"/>
      <w:jc w:val="left"/>
      <w:textAlignment w:val="baseline"/>
    </w:pPr>
    <w:rPr>
      <w:rFonts w:ascii="宋体" w:hAnsi="宋体" w:cs="Times New Roman"/>
      <w:kern w:val="0"/>
      <w:sz w:val="20"/>
      <w:szCs w:val="20"/>
    </w:rPr>
  </w:style>
  <w:style w:type="paragraph" w:customStyle="1" w:styleId="846">
    <w:name w:val="UserStyle_237"/>
    <w:uiPriority w:val="0"/>
    <w:pPr>
      <w:spacing w:line="400" w:lineRule="exact"/>
      <w:jc w:val="both"/>
      <w:textAlignment w:val="baseline"/>
    </w:pPr>
    <w:rPr>
      <w:sz w:val="24"/>
      <w:lang w:val="en-US" w:eastAsia="zh-CN" w:bidi="ar-SA"/>
    </w:rPr>
  </w:style>
  <w:style w:type="paragraph" w:customStyle="1" w:styleId="847">
    <w:name w:val="UserStyle_23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848">
    <w:name w:val="UserStyle_241"/>
    <w:basedOn w:val="37"/>
    <w:next w:val="849"/>
    <w:uiPriority w:val="0"/>
    <w:pPr>
      <w:keepNext/>
      <w:widowControl/>
      <w:tabs>
        <w:tab w:val="left" w:pos="600"/>
        <w:tab w:val="left" w:pos="960"/>
        <w:tab w:val="left" w:pos="1080"/>
      </w:tabs>
      <w:spacing w:line="360" w:lineRule="auto"/>
      <w:ind w:left="0" w:right="28" w:firstLine="480"/>
      <w:jc w:val="right"/>
      <w:textAlignment w:val="baseline"/>
    </w:pPr>
    <w:rPr>
      <w:rFonts w:ascii="宋体" w:hAnsi="宋体" w:eastAsia="宋体" w:cs="Times New Roman"/>
      <w:kern w:val="0"/>
      <w:lang w:val="en-US" w:eastAsia="zh-CN"/>
    </w:rPr>
  </w:style>
  <w:style w:type="paragraph" w:customStyle="1" w:styleId="849">
    <w:name w:val="UserStyle_242"/>
    <w:basedOn w:val="1"/>
    <w:next w:val="1"/>
    <w:uiPriority w:val="0"/>
    <w:pPr>
      <w:keepNext/>
      <w:keepLines/>
      <w:widowControl/>
      <w:tabs>
        <w:tab w:val="left" w:pos="600"/>
        <w:tab w:val="left" w:pos="960"/>
        <w:tab w:val="left" w:pos="1080"/>
      </w:tabs>
      <w:spacing w:before="220" w:line="360" w:lineRule="auto"/>
      <w:ind w:right="28" w:firstLine="480"/>
      <w:textAlignment w:val="baseline"/>
    </w:pPr>
    <w:rPr>
      <w:rFonts w:ascii="宋体" w:hAnsi="宋体" w:cs="Times New Roman"/>
      <w:kern w:val="0"/>
      <w:sz w:val="24"/>
      <w:szCs w:val="20"/>
    </w:rPr>
  </w:style>
  <w:style w:type="paragraph" w:customStyle="1" w:styleId="850">
    <w:name w:val="UserStyle_244"/>
    <w:basedOn w:val="132"/>
    <w:uiPriority w:val="0"/>
    <w:pPr>
      <w:spacing w:line="240" w:lineRule="auto"/>
    </w:pPr>
    <w:rPr>
      <w:rFonts w:cs="宋体"/>
      <w:sz w:val="28"/>
      <w:szCs w:val="28"/>
    </w:rPr>
  </w:style>
  <w:style w:type="paragraph" w:customStyle="1" w:styleId="851">
    <w:name w:val="UserStyle_245"/>
    <w:basedOn w:val="1"/>
    <w:uiPriority w:val="0"/>
    <w:pPr>
      <w:widowControl/>
      <w:spacing w:before="100" w:beforeAutospacing="1" w:after="100" w:afterAutospacing="1"/>
      <w:jc w:val="left"/>
      <w:textAlignment w:val="baseline"/>
    </w:pPr>
    <w:rPr>
      <w:rFonts w:ascii="宋体" w:hAnsi="宋体" w:cs="Times New Roman"/>
      <w:kern w:val="0"/>
      <w:sz w:val="20"/>
      <w:szCs w:val="20"/>
    </w:rPr>
  </w:style>
  <w:style w:type="paragraph" w:customStyle="1" w:styleId="852">
    <w:name w:val="UserStyle_252"/>
    <w:basedOn w:val="1"/>
    <w:uiPriority w:val="0"/>
    <w:pPr>
      <w:widowControl/>
      <w:spacing w:line="240" w:lineRule="atLeast"/>
      <w:textAlignment w:val="baseline"/>
    </w:pPr>
    <w:rPr>
      <w:rFonts w:ascii="宋体" w:hAnsi="宋体" w:cs="Times New Roman"/>
      <w:kern w:val="0"/>
      <w:sz w:val="24"/>
    </w:rPr>
  </w:style>
  <w:style w:type="paragraph" w:customStyle="1" w:styleId="853">
    <w:name w:val="UserStyle_259"/>
    <w:basedOn w:val="1"/>
    <w:uiPriority w:val="0"/>
    <w:pPr>
      <w:widowControl/>
      <w:pBdr>
        <w:bottom w:val="single" w:color="000000" w:sz="4" w:space="0"/>
      </w:pBdr>
      <w:spacing w:before="100" w:beforeAutospacing="1" w:after="100" w:afterAutospacing="1"/>
      <w:jc w:val="left"/>
      <w:textAlignment w:val="baseline"/>
    </w:pPr>
    <w:rPr>
      <w:rFonts w:ascii="宋体" w:hAnsi="宋体" w:cs="Times New Roman"/>
      <w:kern w:val="0"/>
      <w:sz w:val="22"/>
      <w:szCs w:val="20"/>
    </w:rPr>
  </w:style>
  <w:style w:type="paragraph" w:customStyle="1" w:styleId="854">
    <w:name w:val="UserStyle_262"/>
    <w:basedOn w:val="1"/>
    <w:uiPriority w:val="0"/>
    <w:pPr>
      <w:widowControl/>
      <w:spacing w:line="360" w:lineRule="auto"/>
      <w:ind w:firstLine="200" w:firstLineChars="200"/>
      <w:textAlignment w:val="baseline"/>
    </w:pPr>
    <w:rPr>
      <w:rFonts w:cs="Times New Roman"/>
      <w:sz w:val="24"/>
      <w:szCs w:val="20"/>
    </w:rPr>
  </w:style>
  <w:style w:type="paragraph" w:customStyle="1" w:styleId="855">
    <w:name w:val="UserStyle_266"/>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Times New Roman"/>
      <w:kern w:val="0"/>
      <w:sz w:val="20"/>
      <w:szCs w:val="20"/>
    </w:rPr>
  </w:style>
  <w:style w:type="paragraph" w:customStyle="1" w:styleId="856">
    <w:name w:val="UserStyle_267"/>
    <w:basedOn w:val="1"/>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857">
    <w:name w:val="UserStyle_270"/>
    <w:basedOn w:val="1"/>
    <w:uiPriority w:val="0"/>
    <w:pPr>
      <w:widowControl/>
      <w:tabs>
        <w:tab w:val="left" w:pos="1418"/>
      </w:tabs>
      <w:spacing w:line="360" w:lineRule="auto"/>
      <w:jc w:val="center"/>
      <w:textAlignment w:val="baseline"/>
    </w:pPr>
    <w:rPr>
      <w:rFonts w:ascii="仿宋_GB2312" w:eastAsia="仿宋_GB2312" w:cs="Times New Roman"/>
      <w:spacing w:val="-20"/>
      <w:kern w:val="0"/>
      <w:sz w:val="24"/>
    </w:rPr>
  </w:style>
  <w:style w:type="paragraph" w:customStyle="1" w:styleId="858">
    <w:name w:val="UserStyle_273"/>
    <w:basedOn w:val="1"/>
    <w:uiPriority w:val="0"/>
    <w:pPr>
      <w:widowControl/>
      <w:spacing w:before="100" w:beforeAutospacing="1" w:after="100" w:afterAutospacing="1"/>
      <w:jc w:val="center"/>
      <w:textAlignment w:val="center"/>
    </w:pPr>
    <w:rPr>
      <w:rFonts w:ascii="宋体" w:hAnsi="宋体" w:cs="Times New Roman"/>
      <w:kern w:val="0"/>
      <w:sz w:val="20"/>
      <w:szCs w:val="20"/>
    </w:rPr>
  </w:style>
  <w:style w:type="paragraph" w:customStyle="1" w:styleId="859">
    <w:name w:val="UserStyle_277"/>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黑体" w:hAnsi="宋体" w:eastAsia="黑体" w:cs="Times New Roman"/>
      <w:kern w:val="0"/>
      <w:sz w:val="20"/>
      <w:szCs w:val="20"/>
    </w:rPr>
  </w:style>
  <w:style w:type="paragraph" w:customStyle="1" w:styleId="860">
    <w:name w:val="UserStyle_279"/>
    <w:basedOn w:val="1"/>
    <w:uiPriority w:val="0"/>
    <w:pPr>
      <w:widowControl/>
      <w:jc w:val="left"/>
      <w:textAlignment w:val="baseline"/>
    </w:pPr>
    <w:rPr>
      <w:rFonts w:ascii="宋体" w:hAnsi="宋体" w:cs="Times New Roman"/>
      <w:kern w:val="0"/>
      <w:sz w:val="24"/>
    </w:rPr>
  </w:style>
  <w:style w:type="paragraph" w:customStyle="1" w:styleId="861">
    <w:name w:val="UserStyle_282"/>
    <w:basedOn w:val="1"/>
    <w:uiPriority w:val="0"/>
    <w:pPr>
      <w:widowControl/>
      <w:spacing w:before="100" w:beforeAutospacing="1" w:after="100" w:afterAutospacing="1"/>
      <w:jc w:val="left"/>
      <w:textAlignment w:val="baseline"/>
    </w:pPr>
    <w:rPr>
      <w:rFonts w:ascii="宋体" w:hAnsi="宋体" w:cs="Times New Roman"/>
      <w:kern w:val="0"/>
      <w:sz w:val="24"/>
      <w:szCs w:val="20"/>
    </w:rPr>
  </w:style>
  <w:style w:type="paragraph" w:customStyle="1" w:styleId="862">
    <w:name w:val="UserStyle_283"/>
    <w:basedOn w:val="1"/>
    <w:uiPriority w:val="0"/>
    <w:pPr>
      <w:widowControl/>
      <w:pBdr>
        <w:top w:val="single" w:color="000000" w:sz="4" w:space="0"/>
      </w:pBdr>
      <w:spacing w:before="100" w:beforeAutospacing="1" w:after="100" w:afterAutospacing="1"/>
      <w:jc w:val="left"/>
      <w:textAlignment w:val="top"/>
    </w:pPr>
    <w:rPr>
      <w:rFonts w:ascii="宋体" w:hAnsi="宋体" w:cs="Times New Roman"/>
      <w:kern w:val="0"/>
      <w:sz w:val="20"/>
      <w:szCs w:val="20"/>
    </w:rPr>
  </w:style>
  <w:style w:type="paragraph" w:customStyle="1" w:styleId="863">
    <w:name w:val="UserStyle_284"/>
    <w:basedOn w:val="1"/>
    <w:uiPriority w:val="0"/>
    <w:pPr>
      <w:widowControl/>
      <w:spacing w:before="100" w:beforeAutospacing="1" w:after="100" w:afterAutospacing="1"/>
      <w:jc w:val="right"/>
      <w:textAlignment w:val="center"/>
    </w:pPr>
    <w:rPr>
      <w:rFonts w:cs="Times New Roman"/>
      <w:kern w:val="0"/>
      <w:sz w:val="20"/>
      <w:szCs w:val="20"/>
    </w:rPr>
  </w:style>
  <w:style w:type="paragraph" w:customStyle="1" w:styleId="864">
    <w:name w:val="UserStyle_286"/>
    <w:basedOn w:val="1"/>
    <w:next w:val="193"/>
    <w:uiPriority w:val="0"/>
    <w:pPr>
      <w:widowControl/>
      <w:ind w:firstLine="420"/>
      <w:textAlignment w:val="baseline"/>
    </w:pPr>
    <w:rPr>
      <w:rFonts w:eastAsia="仿宋_GB2312" w:cs="Times New Roman"/>
      <w:sz w:val="32"/>
      <w:szCs w:val="20"/>
    </w:rPr>
  </w:style>
  <w:style w:type="paragraph" w:customStyle="1" w:styleId="865">
    <w:name w:val="UserStyle_287"/>
    <w:next w:val="331"/>
    <w:uiPriority w:val="0"/>
    <w:pPr>
      <w:tabs>
        <w:tab w:val="left" w:pos="360"/>
      </w:tabs>
      <w:ind w:left="300" w:leftChars="200" w:hanging="100" w:hangingChars="100"/>
      <w:jc w:val="both"/>
      <w:textAlignment w:val="baseline"/>
    </w:pPr>
    <w:rPr>
      <w:rFonts w:ascii="宋体"/>
      <w:sz w:val="18"/>
      <w:lang w:val="en-US" w:eastAsia="zh-CN" w:bidi="ar-SA"/>
    </w:rPr>
  </w:style>
  <w:style w:type="paragraph" w:customStyle="1" w:styleId="866">
    <w:name w:val="UserStyle_288"/>
    <w:basedOn w:val="1"/>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Times New Roman"/>
      <w:kern w:val="0"/>
      <w:sz w:val="20"/>
      <w:szCs w:val="20"/>
    </w:rPr>
  </w:style>
  <w:style w:type="paragraph" w:customStyle="1" w:styleId="867">
    <w:name w:val="UserStyle_289"/>
    <w:uiPriority w:val="0"/>
    <w:pPr>
      <w:spacing w:line="360" w:lineRule="auto"/>
      <w:ind w:firstLine="482"/>
      <w:jc w:val="both"/>
      <w:textAlignment w:val="baseline"/>
    </w:pPr>
    <w:rPr>
      <w:sz w:val="24"/>
      <w:lang w:val="en-US" w:eastAsia="zh-CN" w:bidi="ar-SA"/>
    </w:rPr>
  </w:style>
  <w:style w:type="paragraph" w:customStyle="1" w:styleId="868">
    <w:name w:val="UserStyle_290"/>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869">
    <w:name w:val="UserStyle_291"/>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Times New Roman"/>
      <w:color w:val="000000"/>
      <w:kern w:val="0"/>
      <w:sz w:val="20"/>
      <w:szCs w:val="20"/>
    </w:rPr>
  </w:style>
  <w:style w:type="paragraph" w:customStyle="1" w:styleId="870">
    <w:name w:val="UserStyle_292"/>
    <w:basedOn w:val="1"/>
    <w:uiPriority w:val="0"/>
    <w:pPr>
      <w:widowControl/>
      <w:spacing w:before="100" w:beforeAutospacing="1" w:after="100" w:afterAutospacing="1"/>
      <w:jc w:val="left"/>
      <w:textAlignment w:val="baseline"/>
    </w:pPr>
    <w:rPr>
      <w:rFonts w:cs="Times New Roman"/>
      <w:kern w:val="0"/>
      <w:sz w:val="18"/>
      <w:szCs w:val="20"/>
    </w:rPr>
  </w:style>
  <w:style w:type="paragraph" w:customStyle="1" w:styleId="871">
    <w:name w:val="UserStyle_29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cs="Times New Roman"/>
      <w:kern w:val="0"/>
      <w:sz w:val="20"/>
      <w:szCs w:val="20"/>
    </w:rPr>
  </w:style>
  <w:style w:type="paragraph" w:customStyle="1" w:styleId="872">
    <w:name w:val="UserStyle_294"/>
    <w:basedOn w:val="130"/>
    <w:uiPriority w:val="0"/>
    <w:pPr>
      <w:spacing w:line="360" w:lineRule="auto"/>
    </w:pPr>
    <w:rPr>
      <w:rFonts w:eastAsia="仿宋_GB2312"/>
      <w:bCs w:val="0"/>
      <w:sz w:val="28"/>
    </w:rPr>
  </w:style>
  <w:style w:type="paragraph" w:customStyle="1" w:styleId="873">
    <w:name w:val="UserStyle_29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874">
    <w:name w:val="UserStyle_296"/>
    <w:basedOn w:val="166"/>
    <w:uiPriority w:val="0"/>
    <w:pPr>
      <w:spacing w:before="0" w:after="0" w:line="240" w:lineRule="atLeast"/>
    </w:pPr>
    <w:rPr>
      <w:rFonts w:ascii="宋体" w:hAnsi="宋体" w:eastAsia="宋体"/>
      <w:b w:val="0"/>
      <w:bCs w:val="0"/>
      <w:kern w:val="0"/>
      <w:sz w:val="24"/>
      <w:szCs w:val="20"/>
    </w:rPr>
  </w:style>
  <w:style w:type="paragraph" w:customStyle="1" w:styleId="875">
    <w:name w:val="UserStyle_297"/>
    <w:basedOn w:val="176"/>
    <w:uiPriority w:val="0"/>
    <w:pPr>
      <w:jc w:val="left"/>
    </w:pPr>
    <w:rPr>
      <w:rFonts w:ascii="Times New Roman" w:hAnsi="Times New Roman" w:cs="Times New Roman"/>
      <w:szCs w:val="20"/>
    </w:rPr>
  </w:style>
  <w:style w:type="paragraph" w:customStyle="1" w:styleId="876">
    <w:name w:val="UserStyle_298"/>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877">
    <w:name w:val="UserStyle_299"/>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cs="Times New Roman"/>
      <w:color w:val="000000"/>
      <w:kern w:val="0"/>
      <w:sz w:val="20"/>
      <w:szCs w:val="20"/>
    </w:rPr>
  </w:style>
  <w:style w:type="paragraph" w:customStyle="1" w:styleId="878">
    <w:name w:val="UserStyle_300"/>
    <w:next w:val="331"/>
    <w:uiPriority w:val="0"/>
    <w:pPr>
      <w:jc w:val="both"/>
      <w:textAlignment w:val="baseline"/>
    </w:pPr>
    <w:rPr>
      <w:rFonts w:ascii="黑体" w:eastAsia="黑体"/>
      <w:sz w:val="21"/>
      <w:lang w:val="en-US" w:eastAsia="zh-CN" w:bidi="ar-SA"/>
    </w:rPr>
  </w:style>
  <w:style w:type="paragraph" w:customStyle="1" w:styleId="879">
    <w:name w:val="UserStyle_301"/>
    <w:basedOn w:val="1"/>
    <w:uiPriority w:val="0"/>
    <w:pPr>
      <w:widowControl/>
      <w:spacing w:before="100" w:beforeAutospacing="1" w:after="100" w:afterAutospacing="1"/>
      <w:jc w:val="center"/>
      <w:textAlignment w:val="center"/>
    </w:pPr>
    <w:rPr>
      <w:rFonts w:cs="Times New Roman"/>
      <w:kern w:val="0"/>
      <w:sz w:val="20"/>
      <w:szCs w:val="20"/>
    </w:rPr>
  </w:style>
  <w:style w:type="paragraph" w:customStyle="1" w:styleId="880">
    <w:name w:val="UserStyle_302"/>
    <w:basedOn w:val="132"/>
    <w:uiPriority w:val="0"/>
    <w:pPr>
      <w:snapToGrid w:val="0"/>
      <w:spacing w:before="600" w:after="240" w:line="420" w:lineRule="atLeast"/>
      <w:jc w:val="center"/>
    </w:pPr>
    <w:rPr>
      <w:bCs w:val="0"/>
      <w:kern w:val="0"/>
      <w:sz w:val="28"/>
      <w:szCs w:val="20"/>
    </w:rPr>
  </w:style>
  <w:style w:type="paragraph" w:customStyle="1" w:styleId="881">
    <w:name w:val="UserStyle_303"/>
    <w:basedOn w:val="1"/>
    <w:uiPriority w:val="0"/>
    <w:pPr>
      <w:widowControl/>
      <w:textAlignment w:val="baseline"/>
    </w:pPr>
    <w:rPr>
      <w:rFonts w:ascii="仿宋_GB2312" w:eastAsia="仿宋_GB2312" w:cs="Times New Roman"/>
      <w:b/>
      <w:sz w:val="32"/>
      <w:szCs w:val="32"/>
    </w:rPr>
  </w:style>
  <w:style w:type="paragraph" w:customStyle="1" w:styleId="882">
    <w:name w:val="UserStyle_304"/>
    <w:basedOn w:val="1"/>
    <w:uiPriority w:val="0"/>
    <w:pPr>
      <w:widowControl/>
      <w:spacing w:before="100" w:beforeAutospacing="1" w:after="100" w:afterAutospacing="1"/>
      <w:jc w:val="left"/>
      <w:textAlignment w:val="baseline"/>
    </w:pPr>
    <w:rPr>
      <w:rFonts w:ascii="宋体" w:hAnsi="宋体" w:cs="Times New Roman"/>
      <w:kern w:val="0"/>
      <w:sz w:val="24"/>
      <w:szCs w:val="20"/>
    </w:rPr>
  </w:style>
  <w:style w:type="paragraph" w:customStyle="1" w:styleId="883">
    <w:name w:val="UserStyle_305"/>
    <w:basedOn w:val="1"/>
    <w:uiPriority w:val="0"/>
    <w:pPr>
      <w:widowControl/>
      <w:spacing w:before="100" w:beforeAutospacing="1" w:after="100" w:afterAutospacing="1"/>
      <w:jc w:val="left"/>
      <w:textAlignment w:val="baseline"/>
    </w:pPr>
    <w:rPr>
      <w:rFonts w:ascii="宋体" w:hAnsi="宋体" w:cs="Times New Roman"/>
      <w:kern w:val="0"/>
      <w:sz w:val="18"/>
      <w:szCs w:val="18"/>
    </w:rPr>
  </w:style>
  <w:style w:type="paragraph" w:customStyle="1" w:styleId="884">
    <w:name w:val="UserStyle_306"/>
    <w:basedOn w:val="1"/>
    <w:uiPriority w:val="0"/>
    <w:pPr>
      <w:widowControl/>
      <w:jc w:val="center"/>
      <w:textAlignment w:val="baseline"/>
    </w:pPr>
    <w:rPr>
      <w:rFonts w:ascii="Arial" w:hAnsi="Arial" w:cs="Times New Roman"/>
      <w:kern w:val="0"/>
      <w:szCs w:val="18"/>
    </w:rPr>
  </w:style>
  <w:style w:type="paragraph" w:customStyle="1" w:styleId="885">
    <w:name w:val="UserStyle_307"/>
    <w:basedOn w:val="1"/>
    <w:next w:val="1"/>
    <w:uiPriority w:val="0"/>
    <w:pPr>
      <w:spacing w:line="360" w:lineRule="auto"/>
      <w:ind w:left="1260" w:hanging="420"/>
    </w:pPr>
    <w:rPr>
      <w:rFonts w:eastAsia="黑体" w:cs="Times New Roman"/>
      <w:sz w:val="24"/>
    </w:rPr>
  </w:style>
  <w:style w:type="paragraph" w:customStyle="1" w:styleId="886">
    <w:name w:val="UserStyle_308"/>
    <w:basedOn w:val="1"/>
    <w:uiPriority w:val="0"/>
    <w:pPr>
      <w:widowControl/>
      <w:pBdr>
        <w:bottom w:val="single" w:color="000000" w:sz="4" w:space="0"/>
      </w:pBdr>
      <w:spacing w:before="100" w:beforeAutospacing="1" w:after="100" w:afterAutospacing="1"/>
      <w:jc w:val="right"/>
      <w:textAlignment w:val="baseline"/>
    </w:pPr>
    <w:rPr>
      <w:rFonts w:ascii="宋体" w:hAnsi="宋体" w:cs="Times New Roman"/>
      <w:kern w:val="0"/>
      <w:sz w:val="22"/>
      <w:szCs w:val="20"/>
    </w:rPr>
  </w:style>
  <w:style w:type="paragraph" w:customStyle="1" w:styleId="887">
    <w:name w:val="UserStyle_309"/>
    <w:basedOn w:val="222"/>
    <w:uiPriority w:val="0"/>
    <w:pPr>
      <w:tabs>
        <w:tab w:val="left" w:pos="735"/>
      </w:tabs>
      <w:ind w:left="735" w:hanging="420"/>
    </w:pPr>
    <w:rPr>
      <w:rFonts w:cs="Times New Roman"/>
    </w:rPr>
  </w:style>
  <w:style w:type="paragraph" w:customStyle="1" w:styleId="888">
    <w:name w:val="UserStyle_310"/>
    <w:basedOn w:val="1"/>
    <w:uiPriority w:val="0"/>
    <w:pPr>
      <w:widowControl/>
      <w:spacing w:line="312" w:lineRule="atLeast"/>
      <w:ind w:firstLine="567"/>
      <w:textAlignment w:val="baseline"/>
    </w:pPr>
    <w:rPr>
      <w:rFonts w:ascii="Arial" w:eastAsia="长城仿宋" w:cs="Times New Roman"/>
      <w:kern w:val="0"/>
      <w:sz w:val="28"/>
      <w:szCs w:val="20"/>
    </w:rPr>
  </w:style>
  <w:style w:type="paragraph" w:customStyle="1" w:styleId="889">
    <w:name w:val="UserStyle_311"/>
    <w:basedOn w:val="571"/>
    <w:uiPriority w:val="0"/>
    <w:pPr>
      <w:spacing w:before="50" w:after="50"/>
      <w:ind w:firstLine="0" w:firstLineChars="0"/>
    </w:pPr>
    <w:rPr>
      <w:bCs w:val="0"/>
      <w:szCs w:val="20"/>
    </w:rPr>
  </w:style>
  <w:style w:type="paragraph" w:customStyle="1" w:styleId="890">
    <w:name w:val="UserStyle_312"/>
    <w:basedOn w:val="1"/>
    <w:uiPriority w:val="0"/>
    <w:pPr>
      <w:widowControl/>
      <w:spacing w:line="360" w:lineRule="atLeast"/>
      <w:textAlignment w:val="baseline"/>
    </w:pPr>
    <w:rPr>
      <w:rFonts w:cs="Times New Roman"/>
      <w:sz w:val="24"/>
      <w:szCs w:val="20"/>
    </w:rPr>
  </w:style>
  <w:style w:type="paragraph" w:customStyle="1" w:styleId="891">
    <w:name w:val="UserStyle_313"/>
    <w:basedOn w:val="1"/>
    <w:uiPriority w:val="0"/>
    <w:pPr>
      <w:widowControl/>
      <w:pBdr>
        <w:left w:val="single" w:color="000000" w:sz="4" w:space="0"/>
        <w:right w:val="single" w:color="000000" w:sz="4" w:space="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892">
    <w:name w:val="UserStyle_314"/>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893">
    <w:name w:val="UserStyle_315"/>
    <w:basedOn w:val="1"/>
    <w:uiPriority w:val="0"/>
    <w:pPr>
      <w:widowControl/>
      <w:pBdr>
        <w:top w:val="single" w:color="000000" w:sz="4" w:space="0"/>
        <w:right w:val="single" w:color="000000" w:sz="4" w:space="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894">
    <w:name w:val="UserStyle_316"/>
    <w:basedOn w:val="1"/>
    <w:uiPriority w:val="0"/>
    <w:pPr>
      <w:framePr w:w="4000" w:h="473" w:vSpace="180" w:wrap="around" w:vAnchor="margin" w:hAnchor="text" w:xAlign="right" w:y="13511"/>
      <w:widowControl/>
      <w:tabs>
        <w:tab w:val="left" w:pos="360"/>
      </w:tabs>
      <w:jc w:val="right"/>
      <w:textAlignment w:val="baseline"/>
    </w:pPr>
    <w:rPr>
      <w:rFonts w:eastAsia="黑体" w:cs="Times New Roman"/>
      <w:kern w:val="0"/>
      <w:sz w:val="28"/>
      <w:szCs w:val="20"/>
    </w:rPr>
  </w:style>
  <w:style w:type="paragraph" w:customStyle="1" w:styleId="895">
    <w:name w:val="UserStyle_317"/>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896">
    <w:name w:val="UserStyle_318"/>
    <w:basedOn w:val="1"/>
    <w:uiPriority w:val="0"/>
    <w:pPr>
      <w:widowControl/>
      <w:textAlignment w:val="baseline"/>
    </w:pPr>
    <w:rPr>
      <w:rFonts w:cs="Times New Roman"/>
      <w:szCs w:val="20"/>
    </w:rPr>
  </w:style>
  <w:style w:type="paragraph" w:customStyle="1" w:styleId="897">
    <w:name w:val="UserStyle_319"/>
    <w:basedOn w:val="1"/>
    <w:uiPriority w:val="0"/>
    <w:pPr>
      <w:widowControl/>
      <w:textAlignment w:val="baseline"/>
    </w:pPr>
    <w:rPr>
      <w:rFonts w:ascii="Tahoma" w:hAnsi="Tahoma" w:cs="Times New Roman"/>
      <w:sz w:val="24"/>
      <w:szCs w:val="20"/>
    </w:rPr>
  </w:style>
  <w:style w:type="paragraph" w:customStyle="1" w:styleId="898">
    <w:name w:val="UserStyle_320"/>
    <w:basedOn w:val="222"/>
    <w:uiPriority w:val="0"/>
    <w:pPr>
      <w:tabs>
        <w:tab w:val="left" w:pos="420"/>
        <w:tab w:val="left" w:pos="900"/>
      </w:tabs>
      <w:ind w:left="720" w:hanging="420"/>
    </w:pPr>
    <w:rPr>
      <w:rFonts w:cs="Times New Roman"/>
    </w:rPr>
  </w:style>
  <w:style w:type="paragraph" w:customStyle="1" w:styleId="899">
    <w:name w:val="UserStyle_321"/>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Times New Roman"/>
      <w:kern w:val="0"/>
      <w:sz w:val="20"/>
      <w:szCs w:val="20"/>
    </w:rPr>
  </w:style>
  <w:style w:type="paragraph" w:customStyle="1" w:styleId="900">
    <w:name w:val="UserStyle_322"/>
    <w:basedOn w:val="1"/>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left"/>
      <w:textAlignment w:val="center"/>
    </w:pPr>
    <w:rPr>
      <w:rFonts w:ascii="宋体" w:hAnsi="宋体" w:cs="Times New Roman"/>
      <w:kern w:val="0"/>
      <w:sz w:val="20"/>
      <w:szCs w:val="20"/>
    </w:rPr>
  </w:style>
  <w:style w:type="paragraph" w:customStyle="1" w:styleId="901">
    <w:name w:val="UserStyle_323"/>
    <w:uiPriority w:val="0"/>
    <w:pPr>
      <w:jc w:val="both"/>
      <w:textAlignment w:val="baseline"/>
    </w:pPr>
    <w:rPr>
      <w:rFonts w:ascii="Calibri" w:hAnsi="Calibri"/>
      <w:kern w:val="2"/>
      <w:sz w:val="21"/>
      <w:szCs w:val="24"/>
      <w:lang w:val="en-US" w:eastAsia="zh-CN" w:bidi="ar-SA"/>
    </w:rPr>
  </w:style>
  <w:style w:type="paragraph" w:customStyle="1" w:styleId="902">
    <w:name w:val="UserStyle_324"/>
    <w:basedOn w:val="1"/>
    <w:uiPriority w:val="0"/>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903">
    <w:name w:val="UserStyle_325"/>
    <w:basedOn w:val="1"/>
    <w:uiPriority w:val="0"/>
    <w:pPr>
      <w:widowControl/>
      <w:pBdr>
        <w:top w:val="single" w:color="000000" w:sz="4" w:space="0"/>
        <w:bottom w:val="single" w:color="000000" w:sz="4" w:space="0"/>
      </w:pBdr>
      <w:spacing w:before="100" w:beforeAutospacing="1" w:after="100" w:afterAutospacing="1"/>
      <w:jc w:val="right"/>
      <w:textAlignment w:val="center"/>
    </w:pPr>
    <w:rPr>
      <w:rFonts w:ascii="宋体" w:hAnsi="宋体" w:cs="Times New Roman"/>
      <w:kern w:val="0"/>
      <w:sz w:val="20"/>
      <w:szCs w:val="20"/>
    </w:rPr>
  </w:style>
  <w:style w:type="paragraph" w:customStyle="1" w:styleId="904">
    <w:name w:val="UserStyle_326"/>
    <w:basedOn w:val="1"/>
    <w:uiPriority w:val="0"/>
    <w:pPr>
      <w:widowControl/>
      <w:pBdr>
        <w:bottom w:val="single" w:color="000000" w:sz="4" w:space="0"/>
      </w:pBdr>
      <w:spacing w:before="100" w:beforeAutospacing="1" w:after="100" w:afterAutospacing="1"/>
      <w:jc w:val="right"/>
      <w:textAlignment w:val="baseline"/>
    </w:pPr>
    <w:rPr>
      <w:rFonts w:ascii="宋体" w:hAnsi="宋体" w:cs="宋体"/>
      <w:b/>
      <w:bCs/>
      <w:kern w:val="0"/>
      <w:sz w:val="24"/>
    </w:rPr>
  </w:style>
  <w:style w:type="paragraph" w:customStyle="1" w:styleId="905">
    <w:name w:val="UserStyle_327"/>
    <w:basedOn w:val="1"/>
    <w:uiPriority w:val="0"/>
    <w:pPr>
      <w:widowControl/>
      <w:pBdr>
        <w:bottom w:val="single" w:color="000000" w:sz="4" w:space="0"/>
        <w:right w:val="single" w:color="000000" w:sz="4" w:space="0"/>
      </w:pBdr>
      <w:spacing w:before="100" w:beforeAutospacing="1" w:after="100" w:afterAutospacing="1"/>
      <w:jc w:val="left"/>
      <w:textAlignment w:val="baseline"/>
    </w:pPr>
    <w:rPr>
      <w:rFonts w:ascii="宋体" w:hAnsi="宋体" w:cs="Times New Roman"/>
      <w:color w:val="000000"/>
      <w:kern w:val="0"/>
      <w:sz w:val="20"/>
      <w:szCs w:val="20"/>
    </w:rPr>
  </w:style>
  <w:style w:type="paragraph" w:customStyle="1" w:styleId="906">
    <w:name w:val="UserStyle_32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微软雅黑" w:hAnsi="微软雅黑" w:eastAsia="微软雅黑" w:cs="Times New Roman"/>
      <w:kern w:val="0"/>
      <w:sz w:val="20"/>
      <w:szCs w:val="20"/>
    </w:rPr>
  </w:style>
  <w:style w:type="paragraph" w:customStyle="1" w:styleId="907">
    <w:name w:val="UserStyle_329"/>
    <w:basedOn w:val="1"/>
    <w:uiPriority w:val="0"/>
    <w:pPr>
      <w:widowControl/>
      <w:spacing w:before="100" w:beforeAutospacing="1" w:after="100" w:afterAutospacing="1"/>
      <w:jc w:val="left"/>
      <w:textAlignment w:val="baseline"/>
    </w:pPr>
    <w:rPr>
      <w:rFonts w:ascii="Arial Unicode MS" w:hAnsi="Arial Unicode MS" w:cs="Times New Roman"/>
      <w:color w:val="000000"/>
      <w:kern w:val="0"/>
      <w:sz w:val="24"/>
    </w:rPr>
  </w:style>
  <w:style w:type="paragraph" w:customStyle="1" w:styleId="908">
    <w:name w:val="UserStyle_330"/>
    <w:basedOn w:val="1"/>
    <w:uiPriority w:val="0"/>
    <w:pPr>
      <w:widowControl/>
      <w:spacing w:before="100" w:beforeAutospacing="1" w:after="100" w:afterAutospacing="1"/>
      <w:jc w:val="center"/>
      <w:textAlignment w:val="baseline"/>
    </w:pPr>
    <w:rPr>
      <w:rFonts w:ascii="黑体" w:hAnsi="宋体" w:eastAsia="黑体" w:cs="Times New Roman"/>
      <w:kern w:val="0"/>
      <w:sz w:val="36"/>
      <w:szCs w:val="20"/>
    </w:rPr>
  </w:style>
  <w:style w:type="paragraph" w:customStyle="1" w:styleId="909">
    <w:name w:val="UserStyle_331"/>
    <w:uiPriority w:val="0"/>
    <w:pPr>
      <w:spacing w:line="312" w:lineRule="atLeast"/>
      <w:jc w:val="both"/>
      <w:textAlignment w:val="baseline"/>
    </w:pPr>
    <w:rPr>
      <w:rFonts w:ascii="宋体" w:hAnsi="宋体"/>
      <w:sz w:val="24"/>
      <w:lang w:val="en-US" w:eastAsia="zh-CN" w:bidi="ar-SA"/>
    </w:rPr>
  </w:style>
  <w:style w:type="paragraph" w:customStyle="1" w:styleId="910">
    <w:name w:val="UserStyle_332"/>
    <w:basedOn w:val="1"/>
    <w:uiPriority w:val="0"/>
    <w:pPr>
      <w:widowControl/>
      <w:jc w:val="center"/>
      <w:textAlignment w:val="baseline"/>
    </w:pPr>
    <w:rPr>
      <w:rFonts w:ascii="Arial" w:hAnsi="Arial" w:cs="Times New Roman"/>
      <w:b/>
      <w:kern w:val="0"/>
      <w:sz w:val="18"/>
      <w:szCs w:val="20"/>
    </w:rPr>
  </w:style>
  <w:style w:type="paragraph" w:customStyle="1" w:styleId="911">
    <w:name w:val="UserStyle_333"/>
    <w:basedOn w:val="1"/>
    <w:next w:val="1"/>
    <w:uiPriority w:val="0"/>
    <w:pPr>
      <w:widowControl/>
      <w:textAlignment w:val="baseline"/>
    </w:pPr>
    <w:rPr>
      <w:rFonts w:cs="Times New Roman"/>
    </w:rPr>
  </w:style>
  <w:style w:type="paragraph" w:customStyle="1" w:styleId="912">
    <w:name w:val="UserStyle_334"/>
    <w:basedOn w:val="1"/>
    <w:uiPriority w:val="0"/>
    <w:pPr>
      <w:widowControl/>
      <w:textAlignment w:val="baseline"/>
    </w:pPr>
    <w:rPr>
      <w:rFonts w:ascii="仿宋_GB2312" w:eastAsia="仿宋_GB2312" w:cs="Times New Roman"/>
      <w:b/>
      <w:sz w:val="32"/>
      <w:szCs w:val="32"/>
    </w:rPr>
  </w:style>
  <w:style w:type="paragraph" w:customStyle="1" w:styleId="913">
    <w:name w:val="UserStyle_335"/>
    <w:basedOn w:val="1"/>
    <w:next w:val="885"/>
    <w:uiPriority w:val="0"/>
    <w:pPr>
      <w:tabs>
        <w:tab w:val="left" w:pos="1900"/>
      </w:tabs>
      <w:ind w:left="1900" w:hanging="420"/>
    </w:pPr>
    <w:rPr>
      <w:rFonts w:eastAsia="黑体" w:cs="Times New Roman"/>
      <w:sz w:val="28"/>
      <w:szCs w:val="28"/>
    </w:rPr>
  </w:style>
  <w:style w:type="paragraph" w:customStyle="1" w:styleId="914">
    <w:name w:val="UserStyle_336"/>
    <w:basedOn w:val="1"/>
    <w:uiPriority w:val="0"/>
    <w:pPr>
      <w:widowControl/>
      <w:ind w:firstLine="420" w:firstLineChars="200"/>
      <w:textAlignment w:val="baseline"/>
    </w:pPr>
    <w:rPr>
      <w:rFonts w:cs="Times New Roman"/>
      <w:szCs w:val="20"/>
    </w:rPr>
  </w:style>
  <w:style w:type="paragraph" w:customStyle="1" w:styleId="915">
    <w:name w:val="UserStyle_33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cs="Times New Roman"/>
      <w:kern w:val="0"/>
      <w:sz w:val="20"/>
      <w:szCs w:val="20"/>
    </w:rPr>
  </w:style>
  <w:style w:type="paragraph" w:customStyle="1" w:styleId="916">
    <w:name w:val="UserStyle_338"/>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917">
    <w:name w:val="UserStyle_339"/>
    <w:basedOn w:val="1"/>
    <w:uiPriority w:val="0"/>
    <w:pPr>
      <w:widowControl/>
      <w:pBdr>
        <w:top w:val="single" w:color="000000" w:sz="4" w:space="0"/>
        <w:left w:val="single" w:color="000000" w:sz="4" w:space="0"/>
        <w:bottom w:val="single" w:color="000000" w:sz="4" w:space="0"/>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918">
    <w:name w:val="UserStyle_340"/>
    <w:basedOn w:val="1"/>
    <w:uiPriority w:val="0"/>
    <w:pPr>
      <w:widowControl/>
      <w:textAlignment w:val="baseline"/>
    </w:pPr>
    <w:rPr>
      <w:rFonts w:cs="Times New Roman"/>
    </w:rPr>
  </w:style>
  <w:style w:type="paragraph" w:customStyle="1" w:styleId="919">
    <w:name w:val="UserStyle_341"/>
    <w:basedOn w:val="1"/>
    <w:uiPriority w:val="0"/>
    <w:pPr>
      <w:widowControl/>
      <w:pBdr>
        <w:left w:val="single" w:color="000000" w:sz="4" w:space="0"/>
        <w:right w:val="single" w:color="000000" w:sz="4" w:space="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920">
    <w:name w:val="UserStyle_342"/>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baseline"/>
    </w:pPr>
    <w:rPr>
      <w:rFonts w:ascii="宋体" w:hAnsi="宋体" w:cs="Times New Roman"/>
      <w:color w:val="000000"/>
      <w:kern w:val="0"/>
      <w:sz w:val="20"/>
      <w:szCs w:val="20"/>
    </w:rPr>
  </w:style>
  <w:style w:type="paragraph" w:customStyle="1" w:styleId="921">
    <w:name w:val="UserStyle_34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color w:val="000000"/>
      <w:kern w:val="0"/>
      <w:sz w:val="20"/>
      <w:szCs w:val="20"/>
    </w:rPr>
  </w:style>
  <w:style w:type="paragraph" w:customStyle="1" w:styleId="922">
    <w:name w:val="UserStyle_344"/>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923">
    <w:name w:val="UserStyle_345"/>
    <w:basedOn w:val="1"/>
    <w:uiPriority w:val="0"/>
    <w:pPr>
      <w:widowControl/>
      <w:tabs>
        <w:tab w:val="left" w:pos="1560"/>
      </w:tabs>
      <w:spacing w:before="163" w:after="163" w:line="300" w:lineRule="auto"/>
      <w:ind w:left="1560" w:hanging="360"/>
      <w:textAlignment w:val="baseline"/>
    </w:pPr>
    <w:rPr>
      <w:rFonts w:ascii="宋体" w:cs="Times New Roman"/>
      <w:sz w:val="24"/>
    </w:rPr>
  </w:style>
  <w:style w:type="paragraph" w:customStyle="1" w:styleId="924">
    <w:name w:val="UserStyle_346"/>
    <w:basedOn w:val="1"/>
    <w:uiPriority w:val="0"/>
    <w:pPr>
      <w:widowControl/>
      <w:textAlignment w:val="baseline"/>
    </w:pPr>
    <w:rPr>
      <w:rFonts w:ascii="Tahoma" w:hAnsi="Tahoma" w:cs="Times New Roman"/>
      <w:sz w:val="24"/>
      <w:szCs w:val="20"/>
    </w:rPr>
  </w:style>
  <w:style w:type="paragraph" w:customStyle="1" w:styleId="925">
    <w:name w:val="UserStyle_347"/>
    <w:basedOn w:val="161"/>
    <w:uiPriority w:val="0"/>
    <w:pPr>
      <w:spacing w:after="0" w:line="400" w:lineRule="exact"/>
      <w:jc w:val="center"/>
    </w:pPr>
    <w:rPr>
      <w:rFonts w:ascii="宋体" w:hAnsi="宋体" w:cs="Times New Roman"/>
      <w:sz w:val="24"/>
      <w:szCs w:val="20"/>
    </w:rPr>
  </w:style>
  <w:style w:type="paragraph" w:customStyle="1" w:styleId="926">
    <w:name w:val="UserStyle_348"/>
    <w:basedOn w:val="1"/>
    <w:uiPriority w:val="0"/>
    <w:pPr>
      <w:widowControl/>
      <w:topLinePunct/>
      <w:snapToGrid w:val="0"/>
      <w:spacing w:before="160" w:after="160" w:line="240" w:lineRule="atLeast"/>
      <w:ind w:left="1701"/>
      <w:jc w:val="left"/>
      <w:textAlignment w:val="baseline"/>
    </w:pPr>
    <w:rPr>
      <w:rFonts w:cs="Times New Roman"/>
    </w:rPr>
  </w:style>
  <w:style w:type="paragraph" w:customStyle="1" w:styleId="927">
    <w:name w:val="UserStyle_349"/>
    <w:basedOn w:val="1"/>
    <w:uiPriority w:val="0"/>
    <w:pPr>
      <w:widowControl/>
      <w:spacing w:line="360" w:lineRule="atLeast"/>
      <w:jc w:val="center"/>
      <w:textAlignment w:val="baseline"/>
    </w:pPr>
    <w:rPr>
      <w:rFonts w:cs="Times New Roman"/>
      <w:kern w:val="0"/>
      <w:szCs w:val="20"/>
    </w:rPr>
  </w:style>
  <w:style w:type="paragraph" w:customStyle="1" w:styleId="928">
    <w:name w:val="UserStyle_350"/>
    <w:basedOn w:val="1"/>
    <w:uiPriority w:val="0"/>
    <w:pPr>
      <w:widowControl/>
      <w:spacing w:line="360" w:lineRule="auto"/>
      <w:ind w:firstLine="200" w:firstLineChars="200"/>
      <w:textAlignment w:val="baseline"/>
    </w:pPr>
    <w:rPr>
      <w:rFonts w:cs="Times New Roman"/>
      <w:szCs w:val="20"/>
    </w:rPr>
  </w:style>
  <w:style w:type="paragraph" w:customStyle="1" w:styleId="929">
    <w:name w:val="UserStyle_351"/>
    <w:basedOn w:val="1"/>
    <w:uiPriority w:val="0"/>
    <w:pPr>
      <w:widowControl/>
      <w:tabs>
        <w:tab w:val="left" w:pos="1200"/>
      </w:tabs>
      <w:snapToGrid w:val="0"/>
      <w:spacing w:before="50"/>
      <w:ind w:left="1200" w:leftChars="400" w:hanging="360" w:hangingChars="200"/>
      <w:textAlignment w:val="baseline"/>
    </w:pPr>
    <w:rPr>
      <w:rFonts w:ascii="Arial Narrow" w:hAnsi="Arial Narrow" w:eastAsia="仿宋_GB2312" w:cs="Times New Roman"/>
      <w:sz w:val="28"/>
      <w:szCs w:val="20"/>
    </w:rPr>
  </w:style>
  <w:style w:type="paragraph" w:customStyle="1" w:styleId="930">
    <w:name w:val="UserStyle_352"/>
    <w:basedOn w:val="1"/>
    <w:uiPriority w:val="0"/>
    <w:pPr>
      <w:widowControl/>
      <w:ind w:firstLine="420" w:firstLineChars="200"/>
      <w:textAlignment w:val="baseline"/>
    </w:pPr>
    <w:rPr>
      <w:rFonts w:ascii="Calibri" w:hAnsi="Calibri" w:cs="Times New Roman"/>
    </w:rPr>
  </w:style>
  <w:style w:type="paragraph" w:customStyle="1" w:styleId="931">
    <w:name w:val="UserStyle_353"/>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932">
    <w:name w:val="UserStyle_354"/>
    <w:basedOn w:val="1"/>
    <w:uiPriority w:val="0"/>
    <w:pPr>
      <w:keepNext/>
      <w:pageBreakBefore/>
      <w:widowControl/>
      <w:tabs>
        <w:tab w:val="left" w:pos="720"/>
      </w:tabs>
      <w:spacing w:line="360" w:lineRule="auto"/>
      <w:jc w:val="center"/>
      <w:textAlignment w:val="baseline"/>
    </w:pPr>
    <w:rPr>
      <w:rFonts w:eastAsia="黑体" w:cs="Times New Roman"/>
      <w:b/>
      <w:kern w:val="44"/>
      <w:sz w:val="36"/>
      <w:szCs w:val="20"/>
    </w:rPr>
  </w:style>
  <w:style w:type="paragraph" w:customStyle="1" w:styleId="933">
    <w:name w:val="UserStyle_355"/>
    <w:basedOn w:val="1"/>
    <w:uiPriority w:val="0"/>
    <w:pPr>
      <w:widowControl/>
      <w:spacing w:before="120" w:after="120"/>
      <w:textAlignment w:val="baseline"/>
    </w:pPr>
    <w:rPr>
      <w:rFonts w:ascii="宋体" w:cs="Times New Roman"/>
      <w:b/>
      <w:sz w:val="28"/>
    </w:rPr>
  </w:style>
  <w:style w:type="paragraph" w:customStyle="1" w:styleId="934">
    <w:name w:val="UserStyle_35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cs="Times New Roman"/>
      <w:kern w:val="0"/>
      <w:sz w:val="20"/>
      <w:szCs w:val="20"/>
    </w:rPr>
  </w:style>
  <w:style w:type="paragraph" w:customStyle="1" w:styleId="935">
    <w:name w:val="UserStyle_357"/>
    <w:basedOn w:val="1"/>
    <w:uiPriority w:val="0"/>
    <w:pPr>
      <w:widowControl/>
      <w:spacing w:line="360" w:lineRule="atLeast"/>
      <w:textAlignment w:val="baseline"/>
    </w:pPr>
    <w:rPr>
      <w:rFonts w:ascii="Tahoma" w:hAnsi="Tahoma" w:cs="Times New Roman"/>
      <w:sz w:val="24"/>
      <w:szCs w:val="20"/>
    </w:rPr>
  </w:style>
  <w:style w:type="paragraph" w:customStyle="1" w:styleId="936">
    <w:name w:val="UserStyle_358"/>
    <w:basedOn w:val="193"/>
    <w:uiPriority w:val="0"/>
    <w:pPr>
      <w:spacing w:after="156" w:line="360" w:lineRule="auto"/>
      <w:ind w:firstLine="480" w:firstLineChars="200"/>
      <w:jc w:val="left"/>
    </w:pPr>
    <w:rPr>
      <w:rFonts w:cs="Times New Roman"/>
      <w:kern w:val="0"/>
      <w:sz w:val="24"/>
    </w:rPr>
  </w:style>
  <w:style w:type="paragraph" w:customStyle="1" w:styleId="937">
    <w:name w:val="UserStyle_359"/>
    <w:basedOn w:val="1"/>
    <w:uiPriority w:val="0"/>
    <w:pPr>
      <w:widowControl/>
      <w:spacing w:before="100" w:beforeAutospacing="1" w:after="100" w:afterAutospacing="1"/>
      <w:jc w:val="left"/>
      <w:textAlignment w:val="baseline"/>
    </w:pPr>
    <w:rPr>
      <w:rFonts w:cs="Times New Roman"/>
      <w:kern w:val="0"/>
      <w:sz w:val="22"/>
      <w:szCs w:val="20"/>
    </w:rPr>
  </w:style>
  <w:style w:type="paragraph" w:customStyle="1" w:styleId="938">
    <w:name w:val="UserStyle_360"/>
    <w:basedOn w:val="1"/>
    <w:uiPriority w:val="0"/>
    <w:pPr>
      <w:widowControl/>
      <w:spacing w:line="360" w:lineRule="auto"/>
      <w:textAlignment w:val="baseline"/>
    </w:pPr>
    <w:rPr>
      <w:rFonts w:eastAsia="Times New Roman" w:cs="Times New Roman"/>
      <w:kern w:val="0"/>
      <w:sz w:val="20"/>
      <w:szCs w:val="20"/>
    </w:rPr>
  </w:style>
  <w:style w:type="paragraph" w:customStyle="1" w:styleId="939">
    <w:name w:val="UserStyle_36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940">
    <w:name w:val="179"/>
    <w:basedOn w:val="1"/>
    <w:uiPriority w:val="0"/>
    <w:pPr>
      <w:widowControl/>
      <w:ind w:firstLine="420" w:firstLineChars="200"/>
      <w:textAlignment w:val="baseline"/>
    </w:pPr>
    <w:rPr>
      <w:rFonts w:cs="Times New Roman"/>
    </w:rPr>
  </w:style>
  <w:style w:type="paragraph" w:customStyle="1" w:styleId="941">
    <w:name w:val="UserStyle_362"/>
    <w:basedOn w:val="1"/>
    <w:uiPriority w:val="0"/>
    <w:pPr>
      <w:widowControl/>
      <w:snapToGrid w:val="0"/>
      <w:spacing w:before="156" w:after="156" w:line="300" w:lineRule="auto"/>
      <w:ind w:left="359" w:leftChars="171" w:firstLine="480" w:firstLineChars="200"/>
      <w:textAlignment w:val="baseline"/>
    </w:pPr>
    <w:rPr>
      <w:rFonts w:ascii="Arial" w:hAnsi="Arial" w:cs="Times New Roman"/>
      <w:sz w:val="24"/>
      <w:szCs w:val="21"/>
    </w:rPr>
  </w:style>
  <w:style w:type="paragraph" w:customStyle="1" w:styleId="942">
    <w:name w:val="UserStyle_363"/>
    <w:basedOn w:val="1"/>
    <w:next w:val="1"/>
    <w:uiPriority w:val="0"/>
    <w:pPr>
      <w:widowControl/>
      <w:jc w:val="left"/>
      <w:textAlignment w:val="baseline"/>
    </w:pPr>
    <w:rPr>
      <w:rFonts w:ascii="宋体" w:cs="Times New Roman"/>
      <w:kern w:val="0"/>
      <w:szCs w:val="20"/>
    </w:rPr>
  </w:style>
  <w:style w:type="paragraph" w:customStyle="1" w:styleId="943">
    <w:name w:val="UserStyle_36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color w:val="000000"/>
      <w:kern w:val="0"/>
      <w:sz w:val="20"/>
      <w:szCs w:val="20"/>
    </w:rPr>
  </w:style>
  <w:style w:type="paragraph" w:customStyle="1" w:styleId="944">
    <w:name w:val="266"/>
    <w:basedOn w:val="128"/>
    <w:next w:val="1"/>
    <w:uiPriority w:val="0"/>
    <w:pPr>
      <w:spacing w:before="480" w:after="0" w:line="276" w:lineRule="auto"/>
      <w:jc w:val="left"/>
    </w:pPr>
    <w:rPr>
      <w:rFonts w:ascii="Cambria" w:hAnsi="Cambria"/>
      <w:color w:val="365F91"/>
      <w:kern w:val="0"/>
      <w:sz w:val="28"/>
      <w:szCs w:val="28"/>
    </w:rPr>
  </w:style>
  <w:style w:type="paragraph" w:customStyle="1" w:styleId="945">
    <w:name w:val="UserStyle_365"/>
    <w:basedOn w:val="1"/>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946">
    <w:name w:val="UserStyle_366"/>
    <w:basedOn w:val="1"/>
    <w:uiPriority w:val="0"/>
    <w:pPr>
      <w:widowControl/>
      <w:tabs>
        <w:tab w:val="center" w:pos="4153"/>
        <w:tab w:val="right" w:pos="8306"/>
      </w:tabs>
      <w:snapToGrid w:val="0"/>
      <w:jc w:val="left"/>
      <w:textAlignment w:val="baseline"/>
    </w:pPr>
    <w:rPr>
      <w:rFonts w:cs="Times New Roman"/>
      <w:sz w:val="18"/>
      <w:szCs w:val="18"/>
    </w:rPr>
  </w:style>
  <w:style w:type="paragraph" w:customStyle="1" w:styleId="947">
    <w:name w:val="UserStyle_367"/>
    <w:uiPriority w:val="0"/>
    <w:pPr>
      <w:textAlignment w:val="baseline"/>
    </w:pPr>
    <w:rPr>
      <w:rFonts w:ascii="Calibri" w:hAnsi="Calibri"/>
      <w:sz w:val="22"/>
      <w:szCs w:val="22"/>
      <w:lang w:val="en-US" w:eastAsia="en-US" w:bidi="ar-SA"/>
    </w:rPr>
  </w:style>
  <w:style w:type="paragraph" w:customStyle="1" w:styleId="948">
    <w:name w:val="UserStyle_368"/>
    <w:basedOn w:val="1"/>
    <w:uiPriority w:val="0"/>
    <w:pPr>
      <w:widowControl/>
      <w:textAlignment w:val="baseline"/>
    </w:pPr>
    <w:rPr>
      <w:rFonts w:ascii="Tahoma" w:hAnsi="Tahoma" w:cs="Times New Roman"/>
      <w:sz w:val="24"/>
      <w:szCs w:val="20"/>
    </w:rPr>
  </w:style>
  <w:style w:type="paragraph" w:customStyle="1" w:styleId="949">
    <w:name w:val="UserStyle_36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宋体" w:eastAsia="黑体" w:cs="Times New Roman"/>
      <w:kern w:val="0"/>
      <w:sz w:val="20"/>
      <w:szCs w:val="20"/>
    </w:rPr>
  </w:style>
  <w:style w:type="paragraph" w:customStyle="1" w:styleId="950">
    <w:name w:val="UserStyle_370"/>
    <w:basedOn w:val="1"/>
    <w:uiPriority w:val="0"/>
    <w:pPr>
      <w:widowControl/>
      <w:pBdr>
        <w:bottom w:val="single" w:color="000000" w:sz="4" w:space="0"/>
      </w:pBdr>
      <w:spacing w:before="100" w:beforeAutospacing="1" w:after="100" w:afterAutospacing="1"/>
      <w:jc w:val="center"/>
      <w:textAlignment w:val="baseline"/>
    </w:pPr>
    <w:rPr>
      <w:rFonts w:cs="Times New Roman"/>
      <w:kern w:val="0"/>
      <w:sz w:val="22"/>
      <w:szCs w:val="20"/>
    </w:rPr>
  </w:style>
  <w:style w:type="paragraph" w:customStyle="1" w:styleId="951">
    <w:name w:val="UserStyle_371"/>
    <w:basedOn w:val="1"/>
    <w:uiPriority w:val="0"/>
    <w:pPr>
      <w:widowControl/>
      <w:spacing w:before="100" w:beforeAutospacing="1" w:after="100" w:afterAutospacing="1"/>
      <w:jc w:val="left"/>
      <w:textAlignment w:val="baseline"/>
    </w:pPr>
    <w:rPr>
      <w:rFonts w:ascii="宋体" w:hAnsi="宋体" w:cs="Times New Roman"/>
      <w:kern w:val="0"/>
      <w:sz w:val="24"/>
      <w:szCs w:val="20"/>
    </w:rPr>
  </w:style>
  <w:style w:type="paragraph" w:customStyle="1" w:styleId="952">
    <w:name w:val="UserStyle_372"/>
    <w:basedOn w:val="1"/>
    <w:uiPriority w:val="0"/>
    <w:pPr>
      <w:widowControl/>
      <w:tabs>
        <w:tab w:val="left" w:pos="780"/>
      </w:tabs>
      <w:spacing w:before="200" w:line="320" w:lineRule="atLeast"/>
      <w:textAlignment w:val="baseline"/>
    </w:pPr>
    <w:rPr>
      <w:rFonts w:cs="Times New Roman"/>
      <w:kern w:val="0"/>
      <w:sz w:val="24"/>
      <w:szCs w:val="20"/>
    </w:rPr>
  </w:style>
  <w:style w:type="paragraph" w:customStyle="1" w:styleId="953">
    <w:name w:val="UserStyle_373"/>
    <w:basedOn w:val="1"/>
    <w:uiPriority w:val="0"/>
    <w:pPr>
      <w:widowControl/>
      <w:spacing w:before="100" w:beforeAutospacing="1" w:after="100" w:afterAutospacing="1"/>
      <w:jc w:val="center"/>
      <w:textAlignment w:val="baseline"/>
    </w:pPr>
    <w:rPr>
      <w:rFonts w:ascii="宋体" w:hAnsi="宋体" w:cs="Times New Roman"/>
      <w:kern w:val="0"/>
      <w:sz w:val="24"/>
    </w:rPr>
  </w:style>
  <w:style w:type="paragraph" w:customStyle="1" w:styleId="954">
    <w:name w:val="UserStyle_374"/>
    <w:basedOn w:val="1"/>
    <w:uiPriority w:val="0"/>
    <w:pPr>
      <w:widowControl/>
      <w:spacing w:line="360" w:lineRule="auto"/>
      <w:ind w:firstLine="200" w:firstLineChars="200"/>
      <w:textAlignment w:val="baseline"/>
    </w:pPr>
    <w:rPr>
      <w:rFonts w:cs="Times New Roman"/>
      <w:sz w:val="24"/>
      <w:szCs w:val="20"/>
    </w:rPr>
  </w:style>
  <w:style w:type="paragraph" w:customStyle="1" w:styleId="955">
    <w:name w:val="UserStyle_375"/>
    <w:basedOn w:val="1"/>
    <w:uiPriority w:val="0"/>
    <w:pPr>
      <w:widowControl/>
      <w:jc w:val="right"/>
      <w:textAlignment w:val="baseline"/>
    </w:pPr>
    <w:rPr>
      <w:rFonts w:eastAsia="华文中宋" w:cs="Times New Roman"/>
    </w:rPr>
  </w:style>
  <w:style w:type="paragraph" w:customStyle="1" w:styleId="956">
    <w:name w:val="UserStyle_376"/>
    <w:basedOn w:val="1"/>
    <w:uiPriority w:val="0"/>
    <w:pPr>
      <w:widowControl/>
      <w:spacing w:before="100" w:beforeAutospacing="1" w:after="100" w:afterAutospacing="1"/>
      <w:jc w:val="left"/>
      <w:textAlignment w:val="baseline"/>
    </w:pPr>
    <w:rPr>
      <w:rFonts w:ascii="宋体" w:hAnsi="宋体" w:cs="Times New Roman"/>
      <w:kern w:val="0"/>
      <w:sz w:val="24"/>
      <w:szCs w:val="20"/>
    </w:rPr>
  </w:style>
  <w:style w:type="paragraph" w:customStyle="1" w:styleId="957">
    <w:name w:val="UserStyle_377"/>
    <w:basedOn w:val="1"/>
    <w:uiPriority w:val="0"/>
    <w:pPr>
      <w:widowControl/>
      <w:spacing w:before="100" w:beforeAutospacing="1" w:after="100" w:afterAutospacing="1"/>
      <w:jc w:val="left"/>
      <w:textAlignment w:val="center"/>
    </w:pPr>
    <w:rPr>
      <w:rFonts w:ascii="宋体" w:hAnsi="宋体" w:cs="Times New Roman"/>
      <w:kern w:val="0"/>
      <w:sz w:val="18"/>
      <w:szCs w:val="20"/>
    </w:rPr>
  </w:style>
  <w:style w:type="paragraph" w:customStyle="1" w:styleId="958">
    <w:name w:val="UserStyle_37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宋体" w:eastAsia="黑体" w:cs="Times New Roman"/>
      <w:kern w:val="0"/>
      <w:sz w:val="20"/>
      <w:szCs w:val="20"/>
    </w:rPr>
  </w:style>
  <w:style w:type="paragraph" w:customStyle="1" w:styleId="959">
    <w:name w:val="UserStyle_379"/>
    <w:basedOn w:val="1"/>
    <w:uiPriority w:val="0"/>
    <w:pPr>
      <w:widowControl/>
      <w:spacing w:before="100" w:beforeAutospacing="1" w:after="100" w:afterAutospacing="1"/>
      <w:jc w:val="left"/>
      <w:textAlignment w:val="baseline"/>
    </w:pPr>
    <w:rPr>
      <w:rFonts w:ascii="黑体" w:hAnsi="宋体" w:eastAsia="黑体" w:cs="Times New Roman"/>
      <w:kern w:val="0"/>
      <w:sz w:val="36"/>
      <w:szCs w:val="20"/>
    </w:rPr>
  </w:style>
  <w:style w:type="paragraph" w:customStyle="1" w:styleId="960">
    <w:name w:val="UserStyle_380"/>
    <w:basedOn w:val="1"/>
    <w:uiPriority w:val="0"/>
    <w:pPr>
      <w:widowControl/>
      <w:spacing w:line="360" w:lineRule="auto"/>
      <w:ind w:firstLine="200" w:firstLineChars="200"/>
      <w:jc w:val="left"/>
      <w:textAlignment w:val="baseline"/>
    </w:pPr>
    <w:rPr>
      <w:rFonts w:eastAsia="仿宋_GB2312" w:cs="Times New Roman"/>
      <w:kern w:val="0"/>
      <w:sz w:val="24"/>
      <w:szCs w:val="20"/>
    </w:rPr>
  </w:style>
  <w:style w:type="paragraph" w:customStyle="1" w:styleId="961">
    <w:name w:val="UserStyle_381"/>
    <w:basedOn w:val="1"/>
    <w:uiPriority w:val="0"/>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962">
    <w:name w:val="UserStyle_382"/>
    <w:basedOn w:val="1"/>
    <w:uiPriority w:val="0"/>
    <w:pPr>
      <w:widowControl/>
      <w:spacing w:line="360" w:lineRule="auto"/>
      <w:ind w:firstLine="480"/>
      <w:textAlignment w:val="baseline"/>
    </w:pPr>
    <w:rPr>
      <w:rFonts w:ascii="宋体" w:hAnsi="宋体" w:cs="Times New Roman"/>
      <w:kern w:val="0"/>
      <w:sz w:val="24"/>
      <w:szCs w:val="20"/>
    </w:rPr>
  </w:style>
  <w:style w:type="paragraph" w:customStyle="1" w:styleId="963">
    <w:name w:val="UserStyle_383"/>
    <w:basedOn w:val="166"/>
    <w:uiPriority w:val="0"/>
    <w:pPr>
      <w:spacing w:line="360" w:lineRule="auto"/>
    </w:pPr>
    <w:rPr>
      <w:rFonts w:ascii="楷体_GB2312" w:hAnsi="楷体_GB2312" w:eastAsia="宋体" w:cs="宋体"/>
      <w:szCs w:val="20"/>
    </w:rPr>
  </w:style>
  <w:style w:type="paragraph" w:customStyle="1" w:styleId="964">
    <w:name w:val="UserStyle_384"/>
    <w:basedOn w:val="1"/>
    <w:uiPriority w:val="0"/>
    <w:pPr>
      <w:tabs>
        <w:tab w:val="left" w:pos="840"/>
      </w:tabs>
      <w:spacing w:before="100" w:beforeAutospacing="1" w:after="100" w:afterAutospacing="1" w:line="360" w:lineRule="auto"/>
      <w:ind w:left="840" w:hanging="420"/>
    </w:pPr>
    <w:rPr>
      <w:rFonts w:cs="Times New Roman"/>
      <w:sz w:val="24"/>
    </w:rPr>
  </w:style>
  <w:style w:type="paragraph" w:customStyle="1" w:styleId="965">
    <w:name w:val="UserStyle_385"/>
    <w:basedOn w:val="441"/>
    <w:next w:val="331"/>
    <w:uiPriority w:val="0"/>
    <w:rPr>
      <w:rFonts w:cs="Times New Roman"/>
    </w:rPr>
  </w:style>
  <w:style w:type="paragraph" w:customStyle="1" w:styleId="966">
    <w:name w:val="UserStyle_386"/>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967">
    <w:name w:val="UserStyle_387"/>
    <w:basedOn w:val="1"/>
    <w:uiPriority w:val="0"/>
    <w:pPr>
      <w:widowControl/>
      <w:spacing w:after="160" w:line="240" w:lineRule="exact"/>
      <w:jc w:val="left"/>
      <w:textAlignment w:val="baseline"/>
    </w:pPr>
    <w:rPr>
      <w:rFonts w:cs="Times New Roman"/>
      <w:szCs w:val="20"/>
    </w:rPr>
  </w:style>
  <w:style w:type="paragraph" w:customStyle="1" w:styleId="968">
    <w:name w:val="UserStyle_388"/>
    <w:uiPriority w:val="0"/>
    <w:pPr>
      <w:spacing w:line="360" w:lineRule="atLeast"/>
      <w:textAlignment w:val="baseline"/>
    </w:pPr>
    <w:rPr>
      <w:rFonts w:ascii="宋体"/>
      <w:sz w:val="24"/>
      <w:lang w:val="en-US" w:eastAsia="zh-CN" w:bidi="ar-SA"/>
    </w:rPr>
  </w:style>
  <w:style w:type="paragraph" w:customStyle="1" w:styleId="969">
    <w:name w:val="UserStyle_389"/>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cs="Times New Roman"/>
      <w:kern w:val="0"/>
      <w:sz w:val="20"/>
      <w:szCs w:val="20"/>
    </w:rPr>
  </w:style>
  <w:style w:type="paragraph" w:customStyle="1" w:styleId="970">
    <w:name w:val="UserStyle_390"/>
    <w:basedOn w:val="1"/>
    <w:next w:val="161"/>
    <w:uiPriority w:val="0"/>
    <w:pPr>
      <w:widowControl/>
      <w:spacing w:line="600" w:lineRule="exact"/>
      <w:textAlignment w:val="baseline"/>
    </w:pPr>
    <w:rPr>
      <w:rFonts w:eastAsia="华文仿宋" w:cs="Times New Roman"/>
      <w:spacing w:val="6"/>
      <w:sz w:val="32"/>
      <w:szCs w:val="20"/>
    </w:rPr>
  </w:style>
  <w:style w:type="paragraph" w:customStyle="1" w:styleId="971">
    <w:name w:val="UserStyle_391"/>
    <w:uiPriority w:val="0"/>
    <w:pPr>
      <w:tabs>
        <w:tab w:val="left" w:pos="3850"/>
      </w:tabs>
      <w:spacing w:line="320" w:lineRule="exact"/>
      <w:jc w:val="both"/>
      <w:textAlignment w:val="baseline"/>
    </w:pPr>
    <w:rPr>
      <w:sz w:val="21"/>
      <w:szCs w:val="21"/>
      <w:lang w:val="en-US" w:eastAsia="zh-CN" w:bidi="ar-SA"/>
    </w:rPr>
  </w:style>
  <w:style w:type="paragraph" w:customStyle="1" w:styleId="972">
    <w:name w:val="UserStyle_392"/>
    <w:basedOn w:val="1"/>
    <w:uiPriority w:val="0"/>
    <w:pPr>
      <w:widowControl/>
      <w:spacing w:line="360" w:lineRule="auto"/>
      <w:ind w:firstLine="420"/>
      <w:textAlignment w:val="baseline"/>
    </w:pPr>
    <w:rPr>
      <w:rFonts w:cs="Times New Roman"/>
      <w:sz w:val="24"/>
      <w:szCs w:val="20"/>
    </w:rPr>
  </w:style>
  <w:style w:type="paragraph" w:customStyle="1" w:styleId="973">
    <w:name w:val="UserStyle_393"/>
    <w:basedOn w:val="1"/>
    <w:uiPriority w:val="0"/>
    <w:pPr>
      <w:widowControl/>
      <w:jc w:val="left"/>
      <w:textAlignment w:val="baseline"/>
    </w:pPr>
    <w:rPr>
      <w:rFonts w:ascii="宋体" w:hAnsi="Courier New" w:cs="Times New Roman"/>
      <w:szCs w:val="20"/>
    </w:rPr>
  </w:style>
  <w:style w:type="paragraph" w:customStyle="1" w:styleId="974">
    <w:name w:val="UserStyle_394"/>
    <w:basedOn w:val="1"/>
    <w:uiPriority w:val="0"/>
    <w:pPr>
      <w:widowControl/>
      <w:snapToGrid w:val="0"/>
      <w:spacing w:after="50"/>
      <w:ind w:firstLine="200" w:firstLineChars="200"/>
      <w:textAlignment w:val="baseline"/>
    </w:pPr>
    <w:rPr>
      <w:rFonts w:cs="Times New Roman"/>
      <w:kern w:val="0"/>
      <w:sz w:val="24"/>
      <w:szCs w:val="20"/>
    </w:rPr>
  </w:style>
  <w:style w:type="paragraph" w:customStyle="1" w:styleId="975">
    <w:name w:val="UserStyle_395"/>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976">
    <w:name w:val="UserStyle_396"/>
    <w:basedOn w:val="1"/>
    <w:uiPriority w:val="0"/>
    <w:pPr>
      <w:widowControl/>
      <w:spacing w:line="360" w:lineRule="auto"/>
      <w:ind w:firstLine="669"/>
      <w:textAlignment w:val="baseline"/>
    </w:pPr>
    <w:rPr>
      <w:rFonts w:ascii="宋体" w:hAnsi="宋体" w:cs="Times New Roman"/>
      <w:kern w:val="0"/>
      <w:sz w:val="28"/>
      <w:szCs w:val="20"/>
    </w:rPr>
  </w:style>
  <w:style w:type="paragraph" w:customStyle="1" w:styleId="977">
    <w:name w:val="UserStyle_397"/>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978">
    <w:name w:val="UserStyle_398"/>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979">
    <w:name w:val="UserStyle_39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Times New Roman"/>
      <w:kern w:val="0"/>
      <w:sz w:val="20"/>
      <w:szCs w:val="20"/>
    </w:rPr>
  </w:style>
  <w:style w:type="paragraph" w:customStyle="1" w:styleId="980">
    <w:name w:val="UserStyle_400"/>
    <w:basedOn w:val="1"/>
    <w:uiPriority w:val="0"/>
    <w:pPr>
      <w:widowControl/>
      <w:spacing w:before="100" w:beforeAutospacing="1" w:after="100" w:afterAutospacing="1"/>
      <w:jc w:val="left"/>
      <w:textAlignment w:val="top"/>
    </w:pPr>
    <w:rPr>
      <w:rFonts w:ascii="宋体" w:hAnsi="宋体" w:cs="Times New Roman"/>
      <w:kern w:val="0"/>
      <w:sz w:val="20"/>
      <w:szCs w:val="20"/>
    </w:rPr>
  </w:style>
  <w:style w:type="paragraph" w:customStyle="1" w:styleId="981">
    <w:name w:val="UserStyle_401"/>
    <w:basedOn w:val="1"/>
    <w:uiPriority w:val="0"/>
    <w:pPr>
      <w:widowControl/>
      <w:tabs>
        <w:tab w:val="left" w:pos="432"/>
      </w:tabs>
      <w:ind w:left="432" w:hanging="432"/>
      <w:textAlignment w:val="baseline"/>
    </w:pPr>
    <w:rPr>
      <w:rFonts w:ascii="Tahoma" w:hAnsi="Tahoma" w:cs="Times New Roman"/>
      <w:sz w:val="24"/>
      <w:szCs w:val="20"/>
    </w:rPr>
  </w:style>
  <w:style w:type="paragraph" w:customStyle="1" w:styleId="982">
    <w:name w:val="UserStyle_402"/>
    <w:basedOn w:val="1"/>
    <w:uiPriority w:val="0"/>
    <w:pPr>
      <w:widowControl/>
      <w:spacing w:line="360" w:lineRule="auto"/>
      <w:textAlignment w:val="baseline"/>
    </w:pPr>
    <w:rPr>
      <w:rFonts w:ascii="Calibri" w:hAnsi="Calibri" w:cs="Times New Roman"/>
      <w:szCs w:val="21"/>
    </w:rPr>
  </w:style>
  <w:style w:type="paragraph" w:customStyle="1" w:styleId="983">
    <w:name w:val="UserStyle_403"/>
    <w:basedOn w:val="1"/>
    <w:uiPriority w:val="0"/>
    <w:pPr>
      <w:widowControl/>
      <w:spacing w:before="100" w:beforeAutospacing="1" w:after="100" w:afterAutospacing="1"/>
      <w:jc w:val="right"/>
      <w:textAlignment w:val="center"/>
    </w:pPr>
    <w:rPr>
      <w:rFonts w:ascii="宋体" w:hAnsi="宋体" w:cs="Times New Roman"/>
      <w:kern w:val="0"/>
      <w:sz w:val="20"/>
      <w:szCs w:val="20"/>
    </w:rPr>
  </w:style>
  <w:style w:type="paragraph" w:customStyle="1" w:styleId="984">
    <w:name w:val="UserStyle_404"/>
    <w:basedOn w:val="1"/>
    <w:uiPriority w:val="0"/>
    <w:pPr>
      <w:widowControl/>
      <w:ind w:firstLine="420" w:firstLineChars="200"/>
      <w:textAlignment w:val="baseline"/>
    </w:pPr>
    <w:rPr>
      <w:rFonts w:ascii="Calibri" w:hAnsi="Calibri" w:cs="Times New Roman"/>
    </w:rPr>
  </w:style>
  <w:style w:type="paragraph" w:customStyle="1" w:styleId="985">
    <w:name w:val="UserStyle_405"/>
    <w:basedOn w:val="1"/>
    <w:uiPriority w:val="0"/>
    <w:pPr>
      <w:widowControl/>
      <w:spacing w:after="120" w:line="300" w:lineRule="auto"/>
      <w:ind w:firstLine="480"/>
      <w:textAlignment w:val="baseline"/>
    </w:pPr>
    <w:rPr>
      <w:rFonts w:ascii="Helvetica" w:hAnsi="Helvetica" w:cs="Times New Roman"/>
      <w:kern w:val="0"/>
      <w:sz w:val="24"/>
    </w:rPr>
  </w:style>
  <w:style w:type="paragraph" w:customStyle="1" w:styleId="986">
    <w:name w:val="UserStyle_406"/>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黑体" w:hAnsi="宋体" w:eastAsia="黑体" w:cs="Times New Roman"/>
      <w:kern w:val="0"/>
      <w:sz w:val="20"/>
      <w:szCs w:val="20"/>
    </w:rPr>
  </w:style>
  <w:style w:type="paragraph" w:customStyle="1" w:styleId="987">
    <w:name w:val="UserStyle_407"/>
    <w:basedOn w:val="1"/>
    <w:uiPriority w:val="0"/>
    <w:pPr>
      <w:widowControl/>
      <w:pBdr>
        <w:left w:val="single" w:color="000000" w:sz="4" w:space="0"/>
        <w:right w:val="single" w:color="000000" w:sz="4" w:space="0"/>
      </w:pBdr>
      <w:spacing w:before="100" w:beforeAutospacing="1" w:after="100" w:afterAutospacing="1"/>
      <w:jc w:val="center"/>
      <w:textAlignment w:val="baseline"/>
    </w:pPr>
    <w:rPr>
      <w:rFonts w:ascii="宋体" w:hAnsi="宋体" w:cs="Times New Roman"/>
      <w:color w:val="000000"/>
      <w:kern w:val="0"/>
      <w:sz w:val="20"/>
      <w:szCs w:val="20"/>
    </w:rPr>
  </w:style>
  <w:style w:type="paragraph" w:customStyle="1" w:styleId="988">
    <w:name w:val="UserStyle_408"/>
    <w:basedOn w:val="1"/>
    <w:uiPriority w:val="0"/>
    <w:pPr>
      <w:widowControl/>
      <w:spacing w:before="100" w:beforeAutospacing="1" w:after="100" w:afterAutospacing="1"/>
      <w:jc w:val="left"/>
      <w:textAlignment w:val="baseline"/>
    </w:pPr>
    <w:rPr>
      <w:rFonts w:ascii="宋体" w:hAnsi="宋体" w:cs="Times New Roman"/>
      <w:kern w:val="0"/>
      <w:sz w:val="18"/>
      <w:szCs w:val="20"/>
    </w:rPr>
  </w:style>
  <w:style w:type="paragraph" w:customStyle="1" w:styleId="989">
    <w:name w:val="UserStyle_409"/>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990">
    <w:name w:val="UserStyle_410"/>
    <w:basedOn w:val="1"/>
    <w:uiPriority w:val="0"/>
    <w:pPr>
      <w:widowControl/>
      <w:spacing w:before="100" w:beforeAutospacing="1" w:after="100" w:afterAutospacing="1" w:line="272" w:lineRule="atLeast"/>
      <w:jc w:val="left"/>
      <w:textAlignment w:val="baseline"/>
    </w:pPr>
    <w:rPr>
      <w:rFonts w:ascii="Verdana" w:hAnsi="Verdana" w:cs="Times New Roman"/>
      <w:color w:val="000066"/>
      <w:kern w:val="0"/>
      <w:sz w:val="15"/>
      <w:szCs w:val="15"/>
    </w:rPr>
  </w:style>
  <w:style w:type="paragraph" w:customStyle="1" w:styleId="991">
    <w:name w:val="UserStyle_411"/>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992">
    <w:name w:val="UserStyle_412"/>
    <w:basedOn w:val="1"/>
    <w:uiPriority w:val="0"/>
    <w:pPr>
      <w:tabs>
        <w:tab w:val="left" w:pos="420"/>
      </w:tabs>
      <w:ind w:left="420" w:hanging="420"/>
    </w:pPr>
    <w:rPr>
      <w:rFonts w:cs="Times New Roman"/>
      <w:sz w:val="24"/>
    </w:rPr>
  </w:style>
  <w:style w:type="paragraph" w:customStyle="1" w:styleId="993">
    <w:name w:val="UserStyle_413"/>
    <w:basedOn w:val="1"/>
    <w:uiPriority w:val="0"/>
    <w:pPr>
      <w:widowControl/>
      <w:spacing w:line="440" w:lineRule="exact"/>
      <w:jc w:val="left"/>
      <w:textAlignment w:val="baseline"/>
    </w:pPr>
    <w:rPr>
      <w:rFonts w:ascii="楷体_GB2312" w:hAnsi="Arial Unicode MS" w:eastAsia="楷体_GB2312" w:cs="Times New Roman"/>
      <w:b/>
      <w:sz w:val="30"/>
      <w:szCs w:val="20"/>
    </w:rPr>
  </w:style>
  <w:style w:type="paragraph" w:customStyle="1" w:styleId="994">
    <w:name w:val="UserStyle_414"/>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995">
    <w:name w:val="UserStyle_415"/>
    <w:basedOn w:val="1"/>
    <w:uiPriority w:val="0"/>
    <w:pPr>
      <w:widowControl/>
      <w:spacing w:before="100" w:beforeAutospacing="1" w:after="100" w:afterAutospacing="1"/>
      <w:jc w:val="left"/>
      <w:textAlignment w:val="top"/>
    </w:pPr>
    <w:rPr>
      <w:rFonts w:ascii="宋体" w:hAnsi="宋体" w:cs="Times New Roman"/>
      <w:kern w:val="0"/>
      <w:sz w:val="20"/>
      <w:szCs w:val="20"/>
    </w:rPr>
  </w:style>
  <w:style w:type="paragraph" w:customStyle="1" w:styleId="996">
    <w:name w:val="UserStyle_416"/>
    <w:basedOn w:val="1"/>
    <w:uiPriority w:val="0"/>
    <w:pPr>
      <w:widowControl/>
      <w:jc w:val="center"/>
      <w:textAlignment w:val="baseline"/>
    </w:pPr>
    <w:rPr>
      <w:rFonts w:ascii="Arial" w:hAnsi="Arial" w:cs="Times New Roman"/>
      <w:kern w:val="0"/>
      <w:sz w:val="18"/>
      <w:szCs w:val="20"/>
    </w:rPr>
  </w:style>
  <w:style w:type="paragraph" w:customStyle="1" w:styleId="997">
    <w:name w:val="UserStyle_417"/>
    <w:basedOn w:val="1"/>
    <w:uiPriority w:val="0"/>
    <w:pPr>
      <w:widowControl/>
      <w:pBdr>
        <w:right w:val="single" w:color="000000" w:sz="4" w:space="0"/>
      </w:pBdr>
      <w:spacing w:before="100" w:beforeAutospacing="1" w:after="100" w:afterAutospacing="1"/>
      <w:jc w:val="left"/>
      <w:textAlignment w:val="baseline"/>
    </w:pPr>
    <w:rPr>
      <w:rFonts w:ascii="宋体" w:hAnsi="宋体" w:cs="Times New Roman"/>
      <w:color w:val="000000"/>
      <w:kern w:val="0"/>
      <w:sz w:val="20"/>
      <w:szCs w:val="20"/>
    </w:rPr>
  </w:style>
  <w:style w:type="paragraph" w:customStyle="1" w:styleId="998">
    <w:name w:val="UserStyle_418"/>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Times New Roman"/>
      <w:color w:val="000000"/>
      <w:kern w:val="0"/>
      <w:sz w:val="20"/>
      <w:szCs w:val="20"/>
    </w:rPr>
  </w:style>
  <w:style w:type="paragraph" w:customStyle="1" w:styleId="999">
    <w:name w:val="UserStyle_419"/>
    <w:uiPriority w:val="0"/>
    <w:pPr>
      <w:textAlignment w:val="baseline"/>
    </w:pPr>
    <w:rPr>
      <w:rFonts w:ascii="微软雅黑" w:hAnsi="Calibri" w:eastAsia="微软雅黑"/>
      <w:color w:val="000000"/>
      <w:sz w:val="24"/>
      <w:szCs w:val="24"/>
      <w:lang w:val="en-US" w:eastAsia="zh-CN" w:bidi="ar-SA"/>
    </w:rPr>
  </w:style>
  <w:style w:type="paragraph" w:customStyle="1" w:styleId="1000">
    <w:name w:val="UserStyle_420"/>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1001">
    <w:name w:val="UserStyle_421"/>
    <w:basedOn w:val="1"/>
    <w:uiPriority w:val="0"/>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1002">
    <w:name w:val="UserStyle_422"/>
    <w:basedOn w:val="1"/>
    <w:uiPriority w:val="0"/>
    <w:pPr>
      <w:widowControl/>
      <w:pBdr>
        <w:bottom w:val="single" w:color="000000" w:sz="4" w:space="0"/>
      </w:pBdr>
      <w:spacing w:before="100" w:beforeAutospacing="1" w:after="100" w:afterAutospacing="1"/>
      <w:jc w:val="right"/>
      <w:textAlignment w:val="baseline"/>
    </w:pPr>
    <w:rPr>
      <w:rFonts w:cs="Times New Roman"/>
      <w:kern w:val="0"/>
      <w:sz w:val="22"/>
      <w:szCs w:val="20"/>
    </w:rPr>
  </w:style>
  <w:style w:type="paragraph" w:customStyle="1" w:styleId="1003">
    <w:name w:val="UserStyle_423"/>
    <w:basedOn w:val="1"/>
    <w:uiPriority w:val="0"/>
    <w:pPr>
      <w:widowControl/>
      <w:textAlignment w:val="baseline"/>
    </w:pPr>
    <w:rPr>
      <w:rFonts w:ascii="仿宋_GB2312" w:eastAsia="仿宋_GB2312" w:cs="Times New Roman"/>
      <w:b/>
      <w:sz w:val="32"/>
      <w:szCs w:val="32"/>
    </w:rPr>
  </w:style>
  <w:style w:type="paragraph" w:customStyle="1" w:styleId="1004">
    <w:name w:val="UserStyle_424"/>
    <w:basedOn w:val="1"/>
    <w:uiPriority w:val="0"/>
    <w:pPr>
      <w:widowControl/>
      <w:textAlignment w:val="baseline"/>
    </w:pPr>
    <w:rPr>
      <w:rFonts w:cs="Times New Roman"/>
      <w:szCs w:val="20"/>
    </w:rPr>
  </w:style>
  <w:style w:type="paragraph" w:customStyle="1" w:styleId="1005">
    <w:name w:val="UserStyle_426"/>
    <w:basedOn w:val="1"/>
    <w:uiPriority w:val="0"/>
    <w:pPr>
      <w:widowControl/>
      <w:spacing w:before="100" w:beforeAutospacing="1" w:after="100" w:afterAutospacing="1"/>
      <w:jc w:val="left"/>
      <w:textAlignment w:val="baseline"/>
    </w:pPr>
    <w:rPr>
      <w:rFonts w:ascii="宋体" w:hAnsi="宋体" w:cs="Times New Roman"/>
      <w:kern w:val="0"/>
      <w:sz w:val="24"/>
    </w:rPr>
  </w:style>
  <w:style w:type="paragraph" w:customStyle="1" w:styleId="1006">
    <w:name w:val="UserStyle_427"/>
    <w:basedOn w:val="1"/>
    <w:uiPriority w:val="0"/>
    <w:pPr>
      <w:widowControl/>
      <w:pBdr>
        <w:bottom w:val="single" w:color="000000" w:sz="4" w:space="0"/>
      </w:pBdr>
      <w:spacing w:before="100" w:beforeAutospacing="1" w:after="100" w:afterAutospacing="1"/>
      <w:jc w:val="left"/>
      <w:textAlignment w:val="baseline"/>
    </w:pPr>
    <w:rPr>
      <w:rFonts w:ascii="宋体" w:hAnsi="宋体" w:cs="Times New Roman"/>
      <w:kern w:val="0"/>
      <w:sz w:val="22"/>
      <w:szCs w:val="20"/>
    </w:rPr>
  </w:style>
  <w:style w:type="paragraph" w:customStyle="1" w:styleId="1007">
    <w:name w:val="UserStyle_428"/>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1008">
    <w:name w:val="UserStyle_429"/>
    <w:basedOn w:val="1"/>
    <w:qFormat/>
    <w:uiPriority w:val="0"/>
    <w:pPr>
      <w:widowControl/>
      <w:pBdr>
        <w:top w:val="single" w:color="000000" w:sz="4" w:space="0"/>
        <w:bottom w:val="single" w:color="000000" w:sz="4" w:space="0"/>
      </w:pBdr>
      <w:spacing w:before="100" w:beforeAutospacing="1" w:after="100" w:afterAutospacing="1"/>
      <w:jc w:val="right"/>
      <w:textAlignment w:val="center"/>
    </w:pPr>
    <w:rPr>
      <w:rFonts w:cs="Times New Roman"/>
      <w:kern w:val="0"/>
      <w:sz w:val="20"/>
      <w:szCs w:val="20"/>
    </w:rPr>
  </w:style>
  <w:style w:type="paragraph" w:customStyle="1" w:styleId="1009">
    <w:name w:val="UserStyle_430"/>
    <w:basedOn w:val="1"/>
    <w:uiPriority w:val="0"/>
    <w:pPr>
      <w:widowControl/>
      <w:spacing w:before="100" w:beforeAutospacing="1" w:after="100" w:afterAutospacing="1"/>
      <w:jc w:val="left"/>
      <w:textAlignment w:val="baseline"/>
    </w:pPr>
    <w:rPr>
      <w:rFonts w:ascii="宋体" w:hAnsi="宋体" w:cs="Times New Roman"/>
      <w:color w:val="000000"/>
      <w:kern w:val="0"/>
      <w:sz w:val="24"/>
    </w:rPr>
  </w:style>
  <w:style w:type="paragraph" w:customStyle="1" w:styleId="1010">
    <w:name w:val="UserStyle_431"/>
    <w:basedOn w:val="1"/>
    <w:uiPriority w:val="0"/>
    <w:pPr>
      <w:widowControl/>
      <w:spacing w:before="100" w:beforeAutospacing="1" w:after="100" w:afterAutospacing="1"/>
      <w:jc w:val="center"/>
      <w:textAlignment w:val="baseline"/>
    </w:pPr>
    <w:rPr>
      <w:rFonts w:ascii="Arial Unicode MS" w:hAnsi="Arial Unicode MS" w:eastAsia="Arial Unicode MS" w:cs="Times New Roman"/>
      <w:kern w:val="0"/>
      <w:sz w:val="24"/>
    </w:rPr>
  </w:style>
  <w:style w:type="paragraph" w:customStyle="1" w:styleId="1011">
    <w:name w:val="No Spacing"/>
    <w:uiPriority w:val="0"/>
    <w:rPr>
      <w:rFonts w:eastAsia="??" w:cs="宋体"/>
      <w:sz w:val="22"/>
      <w:szCs w:val="22"/>
      <w:lang w:val="en-US" w:eastAsia="en-US" w:bidi="ar-SA"/>
    </w:rPr>
  </w:style>
  <w:style w:type="paragraph" w:customStyle="1" w:styleId="1012">
    <w:name w:val="！正文"/>
    <w:qFormat/>
    <w:uiPriority w:val="0"/>
    <w:pPr>
      <w:widowControl w:val="0"/>
      <w:spacing w:line="360" w:lineRule="auto"/>
      <w:ind w:firstLine="200" w:firstLineChars="200"/>
      <w:jc w:val="both"/>
    </w:pPr>
    <w:rPr>
      <w:rFonts w:ascii="Calibri" w:hAnsi="Calibri" w:eastAsia="仿宋"/>
      <w:kern w:val="2"/>
      <w:sz w:val="28"/>
      <w:szCs w:val="21"/>
      <w:lang w:val="en-US" w:eastAsia="zh-CN" w:bidi="ar-SA"/>
    </w:rPr>
  </w:style>
  <w:style w:type="paragraph" w:customStyle="1" w:styleId="1013">
    <w:name w:val="Normal Indent1"/>
    <w:basedOn w:val="1"/>
    <w:qFormat/>
    <w:uiPriority w:val="0"/>
    <w:pPr>
      <w:ind w:firstLine="420" w:firstLineChars="200"/>
    </w:pPr>
  </w:style>
  <w:style w:type="paragraph" w:customStyle="1" w:styleId="1014">
    <w:name w:val="Char31"/>
    <w:basedOn w:val="36"/>
    <w:next w:val="36"/>
    <w:qFormat/>
    <w:uiPriority w:val="0"/>
    <w:pPr>
      <w:snapToGrid/>
      <w:jc w:val="right"/>
    </w:pPr>
    <w:rPr>
      <w:rFonts w:ascii="宋体" w:hAnsi="宋体" w:eastAsia="宋体"/>
      <w:b/>
      <w:sz w:val="21"/>
      <w:szCs w:val="21"/>
    </w:rPr>
  </w:style>
  <w:style w:type="paragraph" w:customStyle="1" w:styleId="1015">
    <w:name w:val="TOC 标题1"/>
    <w:basedOn w:val="3"/>
    <w:next w:val="1"/>
    <w:qFormat/>
    <w:uiPriority w:val="39"/>
    <w:pPr>
      <w:widowControl/>
      <w:snapToGrid w:val="0"/>
      <w:spacing w:before="480" w:beforeLines="50" w:after="0" w:line="276" w:lineRule="auto"/>
      <w:jc w:val="left"/>
      <w:outlineLvl w:val="9"/>
    </w:pPr>
    <w:rPr>
      <w:rFonts w:ascii="Cambria" w:hAnsi="Cambria"/>
      <w:color w:val="365F91"/>
      <w:kern w:val="0"/>
      <w:sz w:val="28"/>
      <w:szCs w:val="28"/>
    </w:rPr>
  </w:style>
  <w:style w:type="paragraph" w:customStyle="1" w:styleId="1016">
    <w:name w:val="内文正文"/>
    <w:basedOn w:val="30"/>
    <w:qFormat/>
    <w:uiPriority w:val="0"/>
    <w:pPr>
      <w:numPr>
        <w:ilvl w:val="0"/>
        <w:numId w:val="0"/>
      </w:numPr>
      <w:tabs>
        <w:tab w:val="clear" w:pos="1211"/>
      </w:tabs>
      <w:adjustRightInd w:val="0"/>
      <w:snapToGrid w:val="0"/>
      <w:spacing w:before="0" w:beforeLines="0" w:after="0" w:afterLines="0"/>
      <w:ind w:firstLine="200" w:firstLineChars="200"/>
    </w:pPr>
    <w:rPr>
      <w:rFonts w:ascii="Arial" w:hAnsi="Arial" w:cs="Courier New"/>
      <w:color w:val="000000"/>
      <w:sz w:val="21"/>
      <w:szCs w:val="21"/>
      <w:lang w:val="en-US" w:eastAsia="zh-CN"/>
    </w:rPr>
  </w:style>
  <w:style w:type="paragraph" w:customStyle="1" w:styleId="1017">
    <w:name w:val="普通(网站)1"/>
    <w:basedOn w:val="1"/>
    <w:qFormat/>
    <w:uiPriority w:val="0"/>
    <w:pPr>
      <w:widowControl/>
      <w:jc w:val="left"/>
    </w:pPr>
    <w:rPr>
      <w:rFonts w:ascii="ˎ̥" w:hAnsi="ˎ̥" w:cs="宋体"/>
      <w:color w:val="000000"/>
      <w:kern w:val="0"/>
      <w:sz w:val="13"/>
      <w:szCs w:val="13"/>
    </w:rPr>
  </w:style>
  <w:style w:type="paragraph" w:customStyle="1" w:styleId="101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019">
    <w:name w:val="Char Char1 Char Char Char"/>
    <w:basedOn w:val="1"/>
    <w:qFormat/>
    <w:uiPriority w:val="0"/>
    <w:rPr>
      <w:rFonts w:ascii="仿宋_GB2312" w:eastAsia="仿宋_GB2312"/>
      <w:b/>
      <w:sz w:val="32"/>
      <w:szCs w:val="32"/>
    </w:rPr>
  </w:style>
  <w:style w:type="paragraph" w:customStyle="1" w:styleId="1020">
    <w:name w:val="Char1 Char Char Char1"/>
    <w:basedOn w:val="1"/>
    <w:qFormat/>
    <w:uiPriority w:val="0"/>
    <w:rPr>
      <w:rFonts w:ascii="仿宋_GB2312" w:eastAsia="仿宋_GB2312" w:cs="仿宋_GB2312"/>
      <w:b/>
      <w:bCs/>
      <w:sz w:val="32"/>
      <w:szCs w:val="32"/>
    </w:rPr>
  </w:style>
  <w:style w:type="paragraph" w:customStyle="1" w:styleId="1021">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1022">
    <w:name w:val="Char1 Char Char Char Char Char Char"/>
    <w:basedOn w:val="1"/>
    <w:qFormat/>
    <w:uiPriority w:val="0"/>
    <w:rPr>
      <w:rFonts w:ascii="仿宋_GB2312" w:eastAsia="仿宋_GB2312"/>
      <w:b/>
      <w:sz w:val="32"/>
      <w:szCs w:val="32"/>
    </w:rPr>
  </w:style>
  <w:style w:type="paragraph" w:customStyle="1" w:styleId="1023">
    <w:name w:val="Char11"/>
    <w:basedOn w:val="1"/>
    <w:qFormat/>
    <w:uiPriority w:val="0"/>
    <w:rPr>
      <w:rFonts w:ascii="仿宋_GB2312" w:eastAsia="仿宋_GB2312"/>
      <w:b/>
      <w:sz w:val="32"/>
      <w:szCs w:val="32"/>
    </w:rPr>
  </w:style>
  <w:style w:type="paragraph" w:customStyle="1" w:styleId="1024">
    <w:name w:val="Char4"/>
    <w:basedOn w:val="5"/>
    <w:qFormat/>
    <w:uiPriority w:val="0"/>
    <w:pPr>
      <w:widowControl/>
      <w:spacing w:afterLines="50" w:line="360" w:lineRule="auto"/>
      <w:ind w:firstLine="480" w:firstLineChars="200"/>
      <w:jc w:val="left"/>
    </w:pPr>
  </w:style>
  <w:style w:type="paragraph" w:customStyle="1" w:styleId="102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026">
    <w:name w:val="Char Char1"/>
    <w:basedOn w:val="1"/>
    <w:qFormat/>
    <w:uiPriority w:val="0"/>
    <w:pPr>
      <w:widowControl/>
      <w:spacing w:after="160" w:line="240" w:lineRule="exact"/>
      <w:jc w:val="left"/>
    </w:pPr>
    <w:rPr>
      <w:rFonts w:eastAsia="仿宋_GB2312"/>
      <w:sz w:val="28"/>
    </w:rPr>
  </w:style>
  <w:style w:type="paragraph" w:customStyle="1" w:styleId="1027">
    <w:name w:val="Char Char1 Char Char Char Char Char Char"/>
    <w:basedOn w:val="1"/>
    <w:qFormat/>
    <w:uiPriority w:val="0"/>
    <w:rPr>
      <w:rFonts w:ascii="仿宋_GB2312" w:eastAsia="仿宋_GB2312"/>
      <w:b/>
      <w:sz w:val="32"/>
      <w:szCs w:val="32"/>
    </w:rPr>
  </w:style>
  <w:style w:type="paragraph" w:customStyle="1" w:styleId="1028">
    <w:name w:val="Char2"/>
    <w:basedOn w:val="1"/>
    <w:qFormat/>
    <w:uiPriority w:val="0"/>
    <w:rPr>
      <w:rFonts w:ascii="仿宋_GB2312" w:eastAsia="仿宋_GB2312"/>
      <w:b/>
      <w:sz w:val="32"/>
      <w:szCs w:val="32"/>
    </w:rPr>
  </w:style>
  <w:style w:type="paragraph" w:customStyle="1" w:styleId="1029">
    <w:name w:val="Char3"/>
    <w:basedOn w:val="1"/>
    <w:qFormat/>
    <w:uiPriority w:val="0"/>
    <w:pPr>
      <w:tabs>
        <w:tab w:val="left" w:pos="425"/>
      </w:tabs>
      <w:ind w:left="425" w:hanging="425"/>
    </w:pPr>
    <w:rPr>
      <w:sz w:val="24"/>
    </w:rPr>
  </w:style>
  <w:style w:type="paragraph" w:customStyle="1" w:styleId="103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031">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032">
    <w:name w:val="Char Char Char Char Char Char Char Char Char Char"/>
    <w:basedOn w:val="1"/>
    <w:qFormat/>
    <w:uiPriority w:val="0"/>
    <w:rPr>
      <w:rFonts w:ascii="仿宋_GB2312" w:eastAsia="仿宋_GB2312"/>
      <w:b/>
      <w:sz w:val="32"/>
      <w:szCs w:val="32"/>
    </w:rPr>
  </w:style>
  <w:style w:type="paragraph" w:customStyle="1" w:styleId="1033">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34">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035">
    <w:name w:val="Char12"/>
    <w:basedOn w:val="1"/>
    <w:qFormat/>
    <w:uiPriority w:val="0"/>
    <w:rPr>
      <w:rFonts w:ascii="仿宋_GB2312" w:eastAsia="仿宋_GB2312"/>
      <w:b/>
      <w:sz w:val="32"/>
      <w:szCs w:val="32"/>
    </w:rPr>
  </w:style>
  <w:style w:type="paragraph" w:customStyle="1" w:styleId="1036">
    <w:name w:val="正文中文"/>
    <w:basedOn w:val="1"/>
    <w:qFormat/>
    <w:uiPriority w:val="0"/>
    <w:pPr>
      <w:spacing w:line="360" w:lineRule="auto"/>
      <w:ind w:firstLine="200" w:firstLineChars="200"/>
      <w:jc w:val="left"/>
    </w:pPr>
    <w:rPr>
      <w:sz w:val="24"/>
      <w:szCs w:val="22"/>
    </w:rPr>
  </w:style>
  <w:style w:type="paragraph" w:customStyle="1" w:styleId="1037">
    <w:name w:val="A_正文_黑"/>
    <w:basedOn w:val="1038"/>
    <w:qFormat/>
    <w:uiPriority w:val="0"/>
    <w:pPr>
      <w:tabs>
        <w:tab w:val="left" w:pos="1547"/>
      </w:tabs>
    </w:pPr>
    <w:rPr>
      <w:color w:val="000000"/>
    </w:rPr>
  </w:style>
  <w:style w:type="paragraph" w:customStyle="1" w:styleId="1038">
    <w:name w:val="A_正文_注释"/>
    <w:basedOn w:val="1"/>
    <w:qFormat/>
    <w:uiPriority w:val="0"/>
    <w:pPr>
      <w:tabs>
        <w:tab w:val="left" w:pos="1547"/>
      </w:tabs>
      <w:ind w:firstLine="600"/>
    </w:pPr>
    <w:rPr>
      <w:rFonts w:eastAsia="仿宋"/>
      <w:color w:val="0070C0"/>
    </w:rPr>
  </w:style>
  <w:style w:type="paragraph" w:customStyle="1" w:styleId="1039">
    <w:name w:val="正文说明"/>
    <w:basedOn w:val="1"/>
    <w:qFormat/>
    <w:uiPriority w:val="0"/>
  </w:style>
  <w:style w:type="paragraph" w:customStyle="1" w:styleId="1040">
    <w:name w:val="列表段落1"/>
    <w:basedOn w:val="1"/>
    <w:qFormat/>
    <w:uiPriority w:val="34"/>
    <w:pPr>
      <w:ind w:left="205" w:right="169" w:firstLine="655"/>
    </w:pPr>
    <w:rPr>
      <w:rFonts w:ascii="仿宋" w:hAnsi="仿宋" w:eastAsia="仿宋" w:cs="仿宋"/>
      <w:u w:val="single" w:color="000000"/>
      <w:lang w:val="zh-CN" w:bidi="zh-CN"/>
    </w:rPr>
  </w:style>
  <w:style w:type="paragraph" w:customStyle="1" w:styleId="1041">
    <w:name w:val="列表段落2"/>
    <w:basedOn w:val="1"/>
    <w:qFormat/>
    <w:uiPriority w:val="99"/>
    <w:pPr>
      <w:ind w:firstLine="420" w:firstLineChars="200"/>
    </w:pPr>
  </w:style>
  <w:style w:type="paragraph" w:customStyle="1" w:styleId="1042">
    <w:name w:val="paragraph text-align-type-justify pap-line-1.5 pap-line-rule-auto pap-spacing-before-0pt pap-spacing-after-0pt pap-firstline-indent-2em"/>
    <w:basedOn w:val="1"/>
    <w:qFormat/>
    <w:uiPriority w:val="99"/>
    <w:pPr>
      <w:widowControl/>
      <w:spacing w:before="100" w:beforeAutospacing="1" w:after="100" w:afterAutospacing="1"/>
      <w:jc w:val="left"/>
    </w:pPr>
    <w:rPr>
      <w:rFonts w:hAnsi="宋体" w:cs="宋体"/>
      <w:szCs w:val="24"/>
    </w:rPr>
  </w:style>
  <w:style w:type="table" w:customStyle="1" w:styleId="1043">
    <w:name w:val="中等深浅网格 1 - 强调文字颜色 51"/>
    <w:basedOn w:val="57"/>
    <w:uiPriority w:val="0"/>
    <w:tblPr>
      <w:tblStyle w:val="57"/>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blStyle w:val="57"/>
      </w:tbl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57"/>
      </w:tblPr>
      <w:tcPr>
        <w:shd w:val="clear" w:color="auto" w:fill="A5D5E2"/>
      </w:tcPr>
    </w:tblStylePr>
    <w:tblStylePr w:type="band1Horz">
      <w:tblPr>
        <w:tblStyle w:val="57"/>
      </w:tblPr>
      <w:tcPr>
        <w:shd w:val="clear" w:color="auto" w:fill="A5D5E2"/>
      </w:tcPr>
    </w:tblStylePr>
  </w:style>
  <w:style w:type="table" w:customStyle="1" w:styleId="1044">
    <w:name w:val="Table Normal1"/>
    <w:semiHidden/>
    <w:uiPriority w:val="0"/>
    <w:rPr>
      <w:rFonts w:eastAsia="Times New Roman"/>
      <w:lang w:val="en-US" w:eastAsia="zh-CN" w:bidi="ar-SA"/>
    </w:rPr>
    <w:tblPr>
      <w:tblStyle w:val="57"/>
      <w:tblCellMar>
        <w:top w:w="0" w:type="dxa"/>
        <w:left w:w="108" w:type="dxa"/>
        <w:bottom w:w="0" w:type="dxa"/>
        <w:right w:w="108" w:type="dxa"/>
      </w:tblCellMar>
    </w:tblPr>
  </w:style>
  <w:style w:type="table" w:customStyle="1" w:styleId="1045">
    <w:name w:val="Table Normal"/>
    <w:semiHidden/>
    <w:uiPriority w:val="0"/>
    <w:rPr>
      <w:rFonts w:eastAsia="Times New Roman"/>
      <w:lang w:val="en-US" w:eastAsia="zh-CN" w:bidi="ar-SA"/>
    </w:rPr>
    <w:tblPr>
      <w:tblStyle w:val="57"/>
      <w:tblCellMar>
        <w:top w:w="0" w:type="dxa"/>
        <w:left w:w="108" w:type="dxa"/>
        <w:bottom w:w="0" w:type="dxa"/>
        <w:right w:w="108" w:type="dxa"/>
      </w:tblCellMar>
    </w:tblPr>
  </w:style>
  <w:style w:type="table" w:customStyle="1" w:styleId="1046">
    <w:name w:val="网格型11"/>
    <w:basedOn w:val="57"/>
    <w:uiPriority w:val="0"/>
    <w:pPr>
      <w:widowControl w:val="0"/>
      <w:jc w:val="both"/>
    </w:p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彩色网格 - 强调文字颜色 51"/>
    <w:basedOn w:val="57"/>
    <w:uiPriority w:val="0"/>
    <w:rPr>
      <w:color w:val="000000"/>
    </w:rPr>
    <w:tblPr>
      <w:tblStyle w:val="57"/>
      <w:tblStyleRowBandSize w:val="1"/>
      <w:tblStyleColBandSize w:val="1"/>
      <w:tblBorders>
        <w:insideH w:val="single" w:color="FFFFFF" w:sz="4" w:space="0"/>
      </w:tblBorders>
    </w:tblPr>
    <w:tcPr>
      <w:shd w:val="clear" w:color="auto" w:fill="DAEEF3"/>
    </w:tcPr>
    <w:tblStylePr w:type="firstRow">
      <w:rPr>
        <w:b/>
        <w:bCs/>
      </w:rPr>
      <w:tblPr>
        <w:tblStyle w:val="57"/>
      </w:tblPr>
      <w:tcPr>
        <w:shd w:val="clear" w:color="auto" w:fill="B6DDE8"/>
      </w:tcPr>
    </w:tblStylePr>
    <w:tblStylePr w:type="lastRow">
      <w:rPr>
        <w:b/>
        <w:bCs/>
        <w:color w:val="000000"/>
      </w:rPr>
      <w:tblPr>
        <w:tblStyle w:val="57"/>
      </w:tblPr>
      <w:tcPr>
        <w:shd w:val="clear" w:color="auto" w:fill="B6DDE8"/>
      </w:tcPr>
    </w:tblStylePr>
    <w:tblStylePr w:type="firstCol">
      <w:rPr>
        <w:color w:val="FFFFFF"/>
      </w:rPr>
      <w:tblPr>
        <w:tblStyle w:val="57"/>
      </w:tblPr>
      <w:tcPr>
        <w:shd w:val="clear" w:color="auto" w:fill="31849B"/>
      </w:tcPr>
    </w:tblStylePr>
    <w:tblStylePr w:type="lastCol">
      <w:rPr>
        <w:color w:val="FFFFFF"/>
      </w:rPr>
      <w:tblPr>
        <w:tblStyle w:val="57"/>
      </w:tblPr>
      <w:tcPr>
        <w:shd w:val="clear" w:color="auto" w:fill="31849B"/>
      </w:tcPr>
    </w:tblStylePr>
    <w:tblStylePr w:type="band1Vert">
      <w:tblPr>
        <w:tblStyle w:val="57"/>
      </w:tblPr>
      <w:tcPr>
        <w:shd w:val="clear" w:color="auto" w:fill="A5D5E2"/>
      </w:tcPr>
    </w:tblStylePr>
    <w:tblStylePr w:type="band1Horz">
      <w:tblPr>
        <w:tblStyle w:val="57"/>
      </w:tblPr>
      <w:tcPr>
        <w:shd w:val="clear" w:color="auto" w:fill="A5D5E2"/>
      </w:tcPr>
    </w:tblStylePr>
  </w:style>
  <w:style w:type="table" w:customStyle="1" w:styleId="1048">
    <w:name w:val="彩色底纹 - 强调文字颜色 51"/>
    <w:basedOn w:val="57"/>
    <w:uiPriority w:val="0"/>
    <w:rPr>
      <w:color w:val="000000"/>
    </w:rPr>
    <w:tblPr>
      <w:tblStyle w:val="57"/>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blStyle w:val="57"/>
      </w:tblPr>
      <w:tcPr>
        <w:tcBorders>
          <w:top w:val="nil"/>
          <w:left w:val="single" w:color="F79646" w:sz="24" w:space="0"/>
          <w:bottom w:val="nil"/>
          <w:right w:val="nil"/>
          <w:insideH w:val="nil"/>
          <w:insideV w:val="nil"/>
          <w:tl2br w:val="nil"/>
          <w:tr2bl w:val="nil"/>
        </w:tcBorders>
        <w:shd w:val="clear" w:color="auto" w:fill="FFFFFF"/>
      </w:tcPr>
    </w:tblStylePr>
    <w:tblStylePr w:type="lastRow">
      <w:rPr>
        <w:b/>
        <w:bCs/>
        <w:color w:val="FFFFFF"/>
      </w:rPr>
      <w:tblPr>
        <w:tblStyle w:val="57"/>
      </w:tbl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blPr>
        <w:tblStyle w:val="57"/>
      </w:tbl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blPr>
        <w:tblStyle w:val="57"/>
      </w:tblPr>
      <w:tcPr>
        <w:tcBorders>
          <w:top w:val="nil"/>
          <w:left w:val="nil"/>
          <w:bottom w:val="nil"/>
          <w:right w:val="nil"/>
          <w:insideH w:val="nil"/>
          <w:insideV w:val="nil"/>
          <w:tl2br w:val="nil"/>
          <w:tr2bl w:val="nil"/>
        </w:tcBorders>
        <w:shd w:val="clear" w:color="auto" w:fill="276A7C"/>
      </w:tcPr>
    </w:tblStylePr>
    <w:tblStylePr w:type="band1Vert">
      <w:tblPr>
        <w:tblStyle w:val="57"/>
      </w:tblPr>
      <w:tcPr>
        <w:shd w:val="clear" w:color="auto" w:fill="B6DDE8"/>
      </w:tcPr>
    </w:tblStylePr>
    <w:tblStylePr w:type="band1Horz">
      <w:tblPr>
        <w:tblStyle w:val="57"/>
      </w:tblPr>
      <w:tcPr>
        <w:shd w:val="clear" w:color="auto" w:fill="A5D5E2"/>
      </w:tcPr>
    </w:tblStylePr>
    <w:tblStylePr w:type="neCell">
      <w:rPr>
        <w:color w:val="000000"/>
      </w:rPr>
    </w:tblStylePr>
    <w:tblStylePr w:type="nwCell">
      <w:rPr>
        <w:color w:val="000000"/>
      </w:rPr>
    </w:tblStylePr>
  </w:style>
  <w:style w:type="table" w:customStyle="1" w:styleId="1049">
    <w:name w:val="中等深浅列表 1 - 强调文字颜色 51"/>
    <w:basedOn w:val="57"/>
    <w:uiPriority w:val="0"/>
    <w:rPr>
      <w:color w:val="000000"/>
    </w:rPr>
    <w:tblPr>
      <w:tblStyle w:val="57"/>
      <w:tblStyleRowBandSize w:val="1"/>
      <w:tblStyleColBandSize w:val="1"/>
      <w:tblBorders>
        <w:top w:val="single" w:color="4BACC6" w:sz="8" w:space="0"/>
        <w:bottom w:val="single" w:color="4BACC6" w:sz="8" w:space="0"/>
      </w:tblBorders>
    </w:tblPr>
    <w:tblStylePr w:type="firstRow">
      <w:rPr>
        <w:rFonts w:eastAsia="幼圆" w:cs="Verdana"/>
      </w:rPr>
      <w:tblPr>
        <w:tblStyle w:val="57"/>
      </w:tblPr>
      <w:tcPr>
        <w:tcBorders>
          <w:top w:val="nil"/>
          <w:left w:val="single" w:color="4BACC6" w:sz="8" w:space="0"/>
          <w:bottom w:val="nil"/>
          <w:right w:val="nil"/>
          <w:insideH w:val="nil"/>
          <w:insideV w:val="nil"/>
          <w:tl2br w:val="nil"/>
          <w:tr2bl w:val="nil"/>
        </w:tcBorders>
      </w:tcPr>
    </w:tblStylePr>
    <w:tblStylePr w:type="lastRow">
      <w:rPr>
        <w:b/>
        <w:bCs/>
        <w:color w:val="1F497D"/>
      </w:rPr>
      <w:tblPr>
        <w:tblStyle w:val="57"/>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Pr>
        <w:tblStyle w:val="57"/>
      </w:tblPr>
      <w:tcPr>
        <w:tcBorders>
          <w:top w:val="single" w:color="4BACC6" w:sz="8" w:space="0"/>
          <w:left w:val="single" w:color="4BACC6" w:sz="8" w:space="0"/>
          <w:bottom w:val="nil"/>
          <w:right w:val="nil"/>
          <w:insideH w:val="nil"/>
          <w:insideV w:val="nil"/>
          <w:tl2br w:val="nil"/>
          <w:tr2bl w:val="nil"/>
        </w:tcBorders>
      </w:tcPr>
    </w:tblStylePr>
    <w:tblStylePr w:type="band1Vert">
      <w:tblPr>
        <w:tblStyle w:val="57"/>
      </w:tblPr>
      <w:tcPr>
        <w:shd w:val="clear" w:color="auto" w:fill="D2EAF1"/>
      </w:tcPr>
    </w:tblStylePr>
    <w:tblStylePr w:type="band1Horz">
      <w:tblPr>
        <w:tblStyle w:val="57"/>
      </w:tblPr>
      <w:tcPr>
        <w:shd w:val="clear" w:color="auto" w:fill="D2EAF1"/>
      </w:tcPr>
    </w:tblStylePr>
  </w:style>
  <w:style w:type="table" w:customStyle="1" w:styleId="1050">
    <w:name w:val="TableNormal"/>
    <w:semiHidden/>
    <w:uiPriority w:val="0"/>
    <w:rPr>
      <w:lang w:val="en-US" w:eastAsia="zh-CN" w:bidi="ar-SA"/>
    </w:rPr>
    <w:tblPr>
      <w:tblStyle w:val="57"/>
    </w:tblPr>
  </w:style>
  <w:style w:type="paragraph" w:customStyle="1" w:styleId="1051">
    <w:name w:val="正文（首行不缩进）"/>
    <w:basedOn w:val="1"/>
    <w:qFormat/>
    <w:uiPriority w:val="0"/>
    <w:pPr>
      <w:spacing w:afterLines="50"/>
    </w:pPr>
    <w:rPr>
      <w:color w:val="000000"/>
      <w:szCs w:val="22"/>
    </w:rPr>
  </w:style>
  <w:style w:type="paragraph" w:customStyle="1" w:styleId="1052">
    <w:name w:val="样式6"/>
    <w:next w:val="48"/>
    <w:qFormat/>
    <w:uiPriority w:val="0"/>
    <w:pPr>
      <w:widowControl w:val="0"/>
      <w:spacing w:before="120" w:after="120" w:line="240" w:lineRule="atLeast"/>
      <w:ind w:firstLine="5120"/>
      <w:jc w:val="both"/>
    </w:pPr>
    <w:rPr>
      <w:rFonts w:ascii="宋体"/>
      <w:caps/>
      <w:lang w:val="en-US" w:eastAsia="zh-CN" w:bidi="ar-SA"/>
    </w:rPr>
  </w:style>
  <w:style w:type="paragraph" w:customStyle="1" w:styleId="1053">
    <w:name w:val="Char Char Char Char Char Char Char Char Char Char Char Char Char Char Char Char"/>
    <w:basedOn w:val="1"/>
    <w:next w:val="255"/>
    <w:qFormat/>
    <w:uiPriority w:val="0"/>
    <w:rPr>
      <w:rFonts w:ascii="Calibri" w:hAnsi="Calibri" w:eastAsia="宋体" w:cs="Times New Roman"/>
      <w:szCs w:val="22"/>
    </w:rPr>
  </w:style>
  <w:style w:type="paragraph" w:customStyle="1" w:styleId="1054">
    <w:name w:val="BG（ZWQ)"/>
    <w:basedOn w:val="1"/>
    <w:qFormat/>
    <w:uiPriority w:val="0"/>
    <w:pPr>
      <w:spacing w:line="360" w:lineRule="auto"/>
    </w:pPr>
    <w:rPr>
      <w:rFonts w:eastAsia="宋体" w:cs="Times New Roman"/>
      <w:szCs w:val="21"/>
    </w:rPr>
  </w:style>
  <w:style w:type="paragraph" w:customStyle="1" w:styleId="1055">
    <w:name w:val="正文360首行缩进"/>
    <w:qFormat/>
    <w:uiPriority w:val="0"/>
    <w:pPr>
      <w:spacing w:after="50" w:line="300" w:lineRule="auto"/>
      <w:ind w:firstLine="200" w:firstLineChars="200"/>
    </w:pPr>
    <w:rPr>
      <w:rFonts w:ascii="Arial" w:hAnsi="Arial"/>
      <w:sz w:val="24"/>
      <w:szCs w:val="21"/>
      <w:lang w:val="en-US" w:eastAsia="zh-CN" w:bidi="ar-SA"/>
    </w:rPr>
  </w:style>
  <w:style w:type="table" w:customStyle="1" w:styleId="1056">
    <w:name w:val="网格型1"/>
    <w:basedOn w:val="57"/>
    <w:qFormat/>
    <w:uiPriority w:val="99"/>
    <w:rPr>
      <w:rFonts w:ascii="Calibri" w:hAnsi="Calibri" w:eastAsia="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dxa"/>
    </w:trPr>
  </w:style>
  <w:style w:type="character" w:customStyle="1" w:styleId="1057">
    <w:name w:val="批注文字 Char1"/>
    <w:qFormat/>
    <w:uiPriority w:val="0"/>
    <w:rPr>
      <w:kern w:val="2"/>
      <w:sz w:val="21"/>
      <w:szCs w:val="24"/>
    </w:rPr>
  </w:style>
  <w:style w:type="paragraph" w:customStyle="1" w:styleId="1058">
    <w:name w:val="_Style 11"/>
    <w:basedOn w:val="1"/>
    <w:next w:val="609"/>
    <w:qFormat/>
    <w:uiPriority w:val="34"/>
    <w:pPr>
      <w:ind w:firstLine="420" w:firstLineChars="200"/>
    </w:pPr>
    <w:rPr>
      <w:rFonts w:ascii="Calibri" w:hAnsi="Calibri"/>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pjjsj</Company>
  <Pages>148</Pages>
  <Words>18934</Words>
  <Characters>107924</Characters>
  <Lines>899</Lines>
  <Paragraphs>253</Paragraphs>
  <TotalTime>0</TotalTime>
  <ScaleCrop>false</ScaleCrop>
  <LinksUpToDate>false</LinksUpToDate>
  <CharactersWithSpaces>126605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2022-06-30T07:33:00Z</dcterms:created>
  <dc:creator>Lenovo User</dc:creator>
  <cp:lastModifiedBy>＞眺望未来-</cp:lastModifiedBy>
  <cp:lastPrinted>2023-04-12T02:01:00Z</cp:lastPrinted>
  <dcterms:modified xsi:type="dcterms:W3CDTF">2024-01-31T02:06:10Z</dcterms:modified>
  <cp:revision>55</cp:revision>
  <dc:title>浦江县公共资源交易中心关于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6526FDEDAE87404BA13E6B3141960A63_13</vt:lpwstr>
  </property>
</Properties>
</file>