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亚运会亚运村媒体村小学室内地胶板及专业运动地板采购</w:t>
      </w:r>
    </w:p>
    <w:p>
      <w:pPr>
        <w:adjustRightInd/>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招标文件 </w:t>
      </w:r>
    </w:p>
    <w:p>
      <w:pPr>
        <w:adjustRightInd/>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（电子招投标）</w:t>
      </w: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编号:</w:t>
      </w:r>
      <w:r>
        <w:rPr>
          <w:rFonts w:hint="eastAsia" w:ascii="宋体" w:hAnsi="宋体" w:eastAsia="宋体" w:cs="宋体"/>
          <w:color w:val="auto"/>
          <w:sz w:val="24"/>
          <w:highlight w:val="none"/>
        </w:rPr>
        <w:t>2024-FJ-BOT9</w:t>
      </w:r>
    </w:p>
    <w:p>
      <w:pPr>
        <w:adjustRightInd/>
        <w:spacing w:line="360" w:lineRule="auto"/>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杭州市萧山钱江世纪城管理委员会</w:t>
      </w:r>
    </w:p>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浙江佳诚工程咨询股份有限公司</w:t>
      </w:r>
    </w:p>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w:t>
      </w:r>
      <w:r>
        <w:rPr>
          <w:rFonts w:hint="eastAsia" w:ascii="宋体" w:hAnsi="宋体" w:eastAsia="宋体" w:cs="宋体"/>
          <w:bCs/>
          <w:color w:val="auto"/>
          <w:sz w:val="24"/>
          <w:highlight w:val="none"/>
          <w:lang w:val="en-US" w:eastAsia="zh-CN"/>
        </w:rPr>
        <w:t>2024</w:t>
      </w:r>
      <w:r>
        <w:rPr>
          <w:rFonts w:hint="eastAsia" w:ascii="宋体" w:hAnsi="宋体" w:eastAsia="宋体" w:cs="宋体"/>
          <w:bCs/>
          <w:color w:val="auto"/>
          <w:sz w:val="24"/>
          <w:highlight w:val="none"/>
        </w:rPr>
        <w:t xml:space="preserve"> 年</w:t>
      </w:r>
      <w:r>
        <w:rPr>
          <w:rFonts w:hint="eastAsia" w:ascii="宋体" w:hAnsi="宋体" w:eastAsia="宋体" w:cs="宋体"/>
          <w:bCs/>
          <w:color w:val="auto"/>
          <w:sz w:val="24"/>
          <w:highlight w:val="none"/>
          <w:lang w:val="en-US" w:eastAsia="zh-CN"/>
        </w:rPr>
        <w:t>4</w:t>
      </w:r>
      <w:r>
        <w:rPr>
          <w:rFonts w:hint="eastAsia" w:ascii="宋体" w:hAnsi="宋体" w:eastAsia="宋体" w:cs="宋体"/>
          <w:bCs/>
          <w:color w:val="auto"/>
          <w:sz w:val="24"/>
          <w:highlight w:val="none"/>
        </w:rPr>
        <w:t xml:space="preserve"> 月</w:t>
      </w:r>
      <w:r>
        <w:rPr>
          <w:rFonts w:hint="eastAsia" w:ascii="宋体" w:hAnsi="宋体" w:eastAsia="宋体" w:cs="宋体"/>
          <w:bCs/>
          <w:color w:val="auto"/>
          <w:sz w:val="24"/>
          <w:highlight w:val="none"/>
          <w:lang w:val="en-US" w:eastAsia="zh-CN"/>
        </w:rPr>
        <w:t>25</w:t>
      </w:r>
      <w:r>
        <w:rPr>
          <w:rFonts w:hint="eastAsia" w:ascii="宋体" w:hAnsi="宋体" w:eastAsia="宋体" w:cs="宋体"/>
          <w:bCs/>
          <w:color w:val="auto"/>
          <w:sz w:val="24"/>
          <w:highlight w:val="none"/>
        </w:rPr>
        <w:t xml:space="preserve"> 日</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本招标文件为2023年5月1日稿，请各位投标人详细阅读各项条款</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目  录</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第一部分      招标公告</w:t>
      </w:r>
    </w:p>
    <w:p>
      <w:pPr>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第二部分      投标人须知</w:t>
      </w:r>
    </w:p>
    <w:p>
      <w:pPr>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第三部分      采购需求</w:t>
      </w:r>
    </w:p>
    <w:p>
      <w:pPr>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第四部分      评标办法</w:t>
      </w:r>
    </w:p>
    <w:p>
      <w:pPr>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第五部分      拟签订的合同文本</w:t>
      </w:r>
    </w:p>
    <w:p>
      <w:pPr>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24"/>
          <w:highlight w:val="none"/>
        </w:rPr>
      </w:pPr>
      <w:bookmarkStart w:id="3" w:name="第一部分"/>
      <w:r>
        <w:rPr>
          <w:rFonts w:hint="eastAsia" w:ascii="宋体" w:hAnsi="宋体" w:eastAsia="宋体" w:cs="宋体"/>
          <w:b/>
          <w:color w:val="auto"/>
          <w:sz w:val="24"/>
          <w:highlight w:val="none"/>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eastAsia="宋体" w:cs="宋体"/>
          <w:b/>
          <w:color w:val="auto"/>
          <w:sz w:val="24"/>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亚运会亚运村媒体村小学室内地胶板及专业运动地板采购</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"https://www.zcygov.cn/）获取（下载）招标文件，并于202%20年%20月%20日%20点%20分00秒" </w:instrText>
      </w:r>
      <w:r>
        <w:rPr>
          <w:rFonts w:hint="eastAsia" w:ascii="宋体" w:hAnsi="宋体" w:eastAsia="宋体" w:cs="宋体"/>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Style w:val="76"/>
          <w:rFonts w:hint="eastAsia" w:ascii="宋体" w:hAnsi="宋体" w:eastAsia="宋体" w:cs="宋体"/>
          <w:snapToGrid/>
          <w:color w:val="auto"/>
          <w:kern w:val="2"/>
          <w:sz w:val="24"/>
          <w:szCs w:val="24"/>
          <w:highlight w:val="none"/>
        </w:rPr>
        <w:t>202</w:t>
      </w:r>
      <w:r>
        <w:rPr>
          <w:rStyle w:val="76"/>
          <w:rFonts w:hint="eastAsia" w:ascii="宋体" w:hAnsi="宋体" w:eastAsia="宋体" w:cs="宋体"/>
          <w:snapToGrid/>
          <w:color w:val="auto"/>
          <w:kern w:val="2"/>
          <w:sz w:val="24"/>
          <w:szCs w:val="24"/>
          <w:highlight w:val="none"/>
          <w:lang w:val="en-US" w:eastAsia="zh-CN"/>
        </w:rPr>
        <w:t>4</w:t>
      </w:r>
      <w:r>
        <w:rPr>
          <w:rStyle w:val="76"/>
          <w:rFonts w:hint="eastAsia" w:ascii="宋体" w:hAnsi="宋体" w:eastAsia="宋体" w:cs="宋体"/>
          <w:snapToGrid/>
          <w:color w:val="auto"/>
          <w:kern w:val="2"/>
          <w:sz w:val="24"/>
          <w:szCs w:val="24"/>
          <w:highlight w:val="none"/>
        </w:rPr>
        <w:t>年</w:t>
      </w:r>
      <w:r>
        <w:rPr>
          <w:rStyle w:val="76"/>
          <w:rFonts w:hint="eastAsia" w:ascii="宋体" w:hAnsi="宋体" w:eastAsia="宋体" w:cs="宋体"/>
          <w:snapToGrid/>
          <w:color w:val="auto"/>
          <w:kern w:val="2"/>
          <w:sz w:val="24"/>
          <w:szCs w:val="24"/>
          <w:highlight w:val="none"/>
          <w:lang w:val="en-US" w:eastAsia="zh-CN"/>
        </w:rPr>
        <w:t>05</w:t>
      </w:r>
      <w:r>
        <w:rPr>
          <w:rStyle w:val="76"/>
          <w:rFonts w:hint="eastAsia" w:ascii="宋体" w:hAnsi="宋体" w:eastAsia="宋体" w:cs="宋体"/>
          <w:snapToGrid/>
          <w:color w:val="auto"/>
          <w:kern w:val="2"/>
          <w:sz w:val="24"/>
          <w:szCs w:val="24"/>
          <w:highlight w:val="none"/>
        </w:rPr>
        <w:t>月</w:t>
      </w:r>
      <w:r>
        <w:rPr>
          <w:rStyle w:val="76"/>
          <w:rFonts w:hint="eastAsia" w:ascii="宋体" w:hAnsi="宋体" w:eastAsia="宋体" w:cs="宋体"/>
          <w:snapToGrid/>
          <w:color w:val="auto"/>
          <w:kern w:val="2"/>
          <w:sz w:val="24"/>
          <w:szCs w:val="24"/>
          <w:highlight w:val="none"/>
          <w:lang w:val="en-US" w:eastAsia="zh-CN"/>
        </w:rPr>
        <w:t>15</w:t>
      </w:r>
      <w:r>
        <w:rPr>
          <w:rStyle w:val="76"/>
          <w:rFonts w:hint="eastAsia" w:ascii="宋体" w:hAnsi="宋体" w:eastAsia="宋体" w:cs="宋体"/>
          <w:snapToGrid/>
          <w:color w:val="auto"/>
          <w:kern w:val="2"/>
          <w:sz w:val="24"/>
          <w:szCs w:val="24"/>
          <w:highlight w:val="none"/>
        </w:rPr>
        <w:t>日</w:t>
      </w:r>
      <w:r>
        <w:rPr>
          <w:rStyle w:val="76"/>
          <w:rFonts w:hint="eastAsia" w:ascii="宋体" w:hAnsi="宋体" w:eastAsia="宋体" w:cs="宋体"/>
          <w:snapToGrid/>
          <w:color w:val="auto"/>
          <w:kern w:val="2"/>
          <w:sz w:val="24"/>
          <w:szCs w:val="24"/>
          <w:highlight w:val="none"/>
          <w:lang w:val="en-US" w:eastAsia="zh-CN"/>
        </w:rPr>
        <w:t>09</w:t>
      </w:r>
      <w:r>
        <w:rPr>
          <w:rStyle w:val="76"/>
          <w:rFonts w:hint="eastAsia" w:ascii="宋体" w:hAnsi="宋体" w:eastAsia="宋体" w:cs="宋体"/>
          <w:snapToGrid/>
          <w:color w:val="auto"/>
          <w:kern w:val="2"/>
          <w:sz w:val="24"/>
          <w:szCs w:val="24"/>
          <w:highlight w:val="none"/>
        </w:rPr>
        <w:t>点</w:t>
      </w:r>
      <w:r>
        <w:rPr>
          <w:rStyle w:val="76"/>
          <w:rFonts w:hint="eastAsia" w:ascii="宋体" w:hAnsi="宋体" w:eastAsia="宋体" w:cs="宋体"/>
          <w:snapToGrid/>
          <w:color w:val="auto"/>
          <w:kern w:val="2"/>
          <w:sz w:val="24"/>
          <w:szCs w:val="24"/>
          <w:highlight w:val="none"/>
          <w:lang w:val="en-US" w:eastAsia="zh-CN"/>
        </w:rPr>
        <w:t>30</w:t>
      </w:r>
      <w:r>
        <w:rPr>
          <w:rStyle w:val="76"/>
          <w:rFonts w:hint="eastAsia" w:ascii="宋体" w:hAnsi="宋体" w:eastAsia="宋体" w:cs="宋体"/>
          <w:snapToGrid/>
          <w:color w:val="auto"/>
          <w:kern w:val="2"/>
          <w:sz w:val="24"/>
          <w:szCs w:val="24"/>
          <w:highlight w:val="none"/>
        </w:rPr>
        <w:t>分</w:t>
      </w:r>
      <w:r>
        <w:rPr>
          <w:rStyle w:val="76"/>
          <w:rFonts w:hint="eastAsia" w:ascii="宋体" w:hAnsi="宋体" w:eastAsia="宋体" w:cs="宋体"/>
          <w:bCs/>
          <w:snapToGrid/>
          <w:color w:val="auto"/>
          <w:kern w:val="2"/>
          <w:sz w:val="24"/>
          <w:szCs w:val="24"/>
          <w:highlight w:val="none"/>
        </w:rPr>
        <w:t>00秒</w:t>
      </w:r>
      <w:r>
        <w:rPr>
          <w:rStyle w:val="76"/>
          <w:rFonts w:hint="eastAsia" w:ascii="宋体" w:hAnsi="宋体" w:eastAsia="宋体" w:cs="宋体"/>
          <w:bCs/>
          <w:snapToGrid/>
          <w:color w:val="auto"/>
          <w:kern w:val="2"/>
          <w:sz w:val="24"/>
          <w:szCs w:val="24"/>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 xml:space="preserve">一、项目基本情况                                            </w:t>
      </w:r>
    </w:p>
    <w:p>
      <w:pPr>
        <w:spacing w:line="36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 xml:space="preserve">    项目编号：2024-FJ-BOT9</w:t>
      </w:r>
    </w:p>
    <w:p>
      <w:pPr>
        <w:spacing w:line="360" w:lineRule="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 xml:space="preserve">    项目名称：亚运会亚运村媒体村小学室内地胶板及专业运动地板采购</w:t>
      </w: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标项一：</w:t>
      </w: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预算金额(元）：1236057</w:t>
      </w: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最高限价(元）：1236057</w:t>
      </w: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标项二：</w:t>
      </w: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预算金额(元）：987115</w:t>
      </w: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最高限价(元）：987115</w:t>
      </w: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采购需求：标项一：</w:t>
      </w: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标项名称：亚运会亚运村媒体村小学室内地胶板及专业运动地板采购（地胶板）</w:t>
      </w: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预算金额（元）：1236057</w:t>
      </w: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简要规格描述或项目基本概况介绍、用途：亚运会亚运村媒体村小学地胶板采购，面积约4785平方米，1家，详见招标文件第三部分采购需求。</w:t>
      </w:r>
    </w:p>
    <w:p>
      <w:pPr>
        <w:pStyle w:val="5"/>
        <w:spacing w:line="360" w:lineRule="auto"/>
        <w:ind w:firstLine="480"/>
        <w:rPr>
          <w:rFonts w:hint="eastAsia" w:ascii="宋体" w:hAnsi="宋体" w:eastAsia="宋体" w:cs="宋体"/>
          <w:b w:val="0"/>
          <w:bCs/>
          <w:color w:val="auto"/>
          <w:sz w:val="24"/>
          <w:szCs w:val="24"/>
          <w:highlight w:val="none"/>
        </w:rPr>
      </w:pP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采购需求：标项二：</w:t>
      </w: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标项名称：亚运会亚运村媒体村小学室内地胶板及专业运动地板采购（运动地板）</w:t>
      </w: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预算金额（元）：987115</w:t>
      </w:r>
    </w:p>
    <w:p>
      <w:pPr>
        <w:pStyle w:val="5"/>
        <w:spacing w:line="360" w:lineRule="auto"/>
        <w:ind w:firstLine="48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简要规格描述或项目基本概况介绍、用途：主要内容为亚运会亚运村媒体村小学专业地板采购，面积约998平方米，1家，详见招标文件第三部分采购需求。</w:t>
      </w:r>
    </w:p>
    <w:p>
      <w:pPr>
        <w:pStyle w:val="5"/>
        <w:spacing w:line="360" w:lineRule="auto"/>
        <w:ind w:firstLine="480"/>
        <w:rPr>
          <w:rFonts w:hint="eastAsia" w:ascii="宋体" w:hAnsi="宋体" w:eastAsia="宋体" w:cs="宋体"/>
          <w:b w:val="0"/>
          <w:bCs/>
          <w:snapToGrid/>
          <w:color w:val="auto"/>
          <w:kern w:val="2"/>
          <w:sz w:val="24"/>
          <w:szCs w:val="24"/>
          <w:highlight w:val="none"/>
        </w:rPr>
      </w:pPr>
    </w:p>
    <w:p>
      <w:pPr>
        <w:pStyle w:val="129"/>
        <w:ind w:firstLine="482"/>
        <w:outlineLvl w:val="2"/>
        <w:rPr>
          <w:rFonts w:hint="eastAsia" w:ascii="宋体" w:hAnsi="宋体" w:eastAsia="宋体" w:cs="宋体"/>
          <w:b w:val="0"/>
          <w:bCs/>
          <w:color w:val="auto"/>
          <w:szCs w:val="24"/>
          <w:highlight w:val="none"/>
        </w:rPr>
      </w:pPr>
      <w:r>
        <w:rPr>
          <w:rFonts w:hint="eastAsia" w:ascii="宋体" w:hAnsi="宋体" w:eastAsia="宋体" w:cs="宋体"/>
          <w:b w:val="0"/>
          <w:bCs/>
          <w:color w:val="auto"/>
          <w:szCs w:val="24"/>
          <w:highlight w:val="none"/>
        </w:rPr>
        <w:t xml:space="preserve">合同履约期限：详见采购需求 </w:t>
      </w:r>
    </w:p>
    <w:p>
      <w:pPr>
        <w:pStyle w:val="5"/>
        <w:spacing w:line="360" w:lineRule="auto"/>
        <w:ind w:firstLine="48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sz w:val="24"/>
          <w:szCs w:val="24"/>
          <w:highlight w:val="none"/>
        </w:rPr>
        <w:t>本项目接受联合体投标：</w:t>
      </w:r>
      <w:sdt>
        <w:sdtPr>
          <w:rPr>
            <w:rFonts w:hint="eastAsia" w:ascii="宋体" w:hAnsi="宋体" w:eastAsia="宋体" w:cs="宋体"/>
            <w:b w:val="0"/>
            <w:bCs/>
            <w:color w:val="auto"/>
            <w:kern w:val="0"/>
            <w:sz w:val="24"/>
            <w:szCs w:val="24"/>
            <w:highlight w:val="none"/>
          </w:rPr>
          <w:id w:val="4648"/>
          <w14:checkbox>
            <w14:checked w14:val="1"/>
            <w14:checkedState w14:val="00FE" w14:font="Wingdings"/>
            <w14:uncheckedState w14:val="2610" w14:font="MS Gothic"/>
          </w14:checkbox>
        </w:sdtPr>
        <w:sdtEndPr>
          <w:rPr>
            <w:rFonts w:hint="eastAsia" w:ascii="宋体" w:hAnsi="宋体" w:eastAsia="宋体" w:cs="宋体"/>
            <w:b w:val="0"/>
            <w:bCs/>
            <w:snapToGrid/>
            <w:color w:val="auto"/>
            <w:kern w:val="2"/>
            <w:sz w:val="24"/>
            <w:szCs w:val="24"/>
            <w:highlight w:val="none"/>
          </w:rPr>
        </w:sdtEndPr>
        <w:sdtContent>
          <w:r>
            <w:rPr>
              <w:rFonts w:hint="eastAsia" w:ascii="Wingdings" w:hAnsi="Wingdings" w:eastAsia="宋体" w:cs="宋体"/>
              <w:b w:val="0"/>
              <w:bCs/>
              <w:snapToGrid/>
              <w:color w:val="auto"/>
              <w:kern w:val="2"/>
              <w:sz w:val="24"/>
              <w:szCs w:val="24"/>
              <w:highlight w:val="none"/>
              <w:lang w:val="en-US" w:eastAsia="zh-CN" w:bidi="ar-SA"/>
            </w:rPr>
            <w:t>þ</w:t>
          </w:r>
        </w:sdtContent>
      </w:sdt>
      <w:r>
        <w:rPr>
          <w:rFonts w:hint="eastAsia" w:ascii="宋体" w:hAnsi="宋体" w:eastAsia="宋体" w:cs="宋体"/>
          <w:b w:val="0"/>
          <w:bCs/>
          <w:snapToGrid/>
          <w:color w:val="auto"/>
          <w:kern w:val="2"/>
          <w:sz w:val="24"/>
          <w:szCs w:val="24"/>
          <w:highlight w:val="none"/>
        </w:rPr>
        <w:t xml:space="preserve"> 是；</w:t>
      </w:r>
      <w:sdt>
        <w:sdtPr>
          <w:rPr>
            <w:rFonts w:hint="eastAsia" w:ascii="宋体" w:hAnsi="宋体" w:eastAsia="宋体" w:cs="宋体"/>
            <w:b w:val="0"/>
            <w:bCs/>
            <w:snapToGrid/>
            <w:color w:val="auto"/>
            <w:kern w:val="2"/>
            <w:sz w:val="24"/>
            <w:szCs w:val="24"/>
            <w:highlight w:val="none"/>
          </w:rPr>
          <w:id w:val="4649"/>
          <w14:checkbox>
            <w14:checked w14:val="0"/>
            <w14:checkedState w14:val="00FE" w14:font="Wingdings"/>
            <w14:uncheckedState w14:val="2610" w14:font="MS Gothic"/>
          </w14:checkbox>
        </w:sdtPr>
        <w:sdtEndPr>
          <w:rPr>
            <w:rFonts w:hint="eastAsia" w:ascii="宋体" w:hAnsi="宋体" w:eastAsia="宋体" w:cs="宋体"/>
            <w:b w:val="0"/>
            <w:bCs/>
            <w:snapToGrid/>
            <w:color w:val="auto"/>
            <w:kern w:val="2"/>
            <w:sz w:val="24"/>
            <w:szCs w:val="24"/>
            <w:highlight w:val="none"/>
          </w:rPr>
        </w:sdtEndPr>
        <w:sdtContent>
          <w:r>
            <w:rPr>
              <w:rFonts w:hint="eastAsia" w:ascii="宋体" w:hAnsi="宋体" w:eastAsia="宋体" w:cs="宋体"/>
              <w:b w:val="0"/>
              <w:bCs/>
              <w:snapToGrid/>
              <w:color w:val="auto"/>
              <w:kern w:val="2"/>
              <w:sz w:val="24"/>
              <w:szCs w:val="24"/>
              <w:highlight w:val="none"/>
            </w:rPr>
            <w:t>☐</w:t>
          </w:r>
        </w:sdtContent>
      </w:sdt>
      <w:r>
        <w:rPr>
          <w:rFonts w:hint="eastAsia" w:ascii="宋体" w:hAnsi="宋体" w:eastAsia="宋体" w:cs="宋体"/>
          <w:b w:val="0"/>
          <w:bCs/>
          <w:snapToGrid/>
          <w:color w:val="auto"/>
          <w:kern w:val="2"/>
          <w:sz w:val="24"/>
          <w:szCs w:val="24"/>
          <w:highlight w:val="none"/>
        </w:rPr>
        <w:t xml:space="preserve"> 否</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w:t>
      </w:r>
      <w:bookmarkStart w:id="11" w:name="_Hlk101132948"/>
      <w:r>
        <w:rPr>
          <w:rFonts w:hint="eastAsia" w:ascii="宋体" w:hAnsi="宋体" w:eastAsia="宋体" w:cs="宋体"/>
          <w:b/>
          <w:color w:val="auto"/>
          <w:sz w:val="24"/>
          <w:highlight w:val="none"/>
        </w:rPr>
        <w:t>申请人的资格要求</w:t>
      </w:r>
      <w:bookmarkEnd w:id="11"/>
      <w:r>
        <w:rPr>
          <w:rFonts w:hint="eastAsia" w:ascii="宋体" w:hAnsi="宋体" w:eastAsia="宋体" w:cs="宋体"/>
          <w:b/>
          <w:color w:val="auto"/>
          <w:sz w:val="24"/>
          <w:highlight w:val="none"/>
        </w:rPr>
        <w:t>：</w:t>
      </w:r>
    </w:p>
    <w:p>
      <w:pPr>
        <w:spacing w:line="360" w:lineRule="auto"/>
        <w:ind w:firstLine="48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 xml:space="preserve">    </w:t>
      </w:r>
      <w:r>
        <w:rPr>
          <w:rFonts w:hint="eastAsia" w:ascii="宋体" w:hAnsi="宋体" w:eastAsia="宋体" w:cs="宋体"/>
          <w:snapToGrid w:val="0"/>
          <w:color w:val="auto"/>
          <w:kern w:val="28"/>
          <w:sz w:val="24"/>
          <w:highlight w:val="none"/>
        </w:rPr>
        <w:t>2</w:t>
      </w:r>
      <w:r>
        <w:rPr>
          <w:rFonts w:hint="eastAsia" w:ascii="宋体" w:hAnsi="宋体" w:eastAsia="宋体" w:cs="宋体"/>
          <w:snapToGrid w:val="0"/>
          <w:color w:val="auto"/>
          <w:kern w:val="28"/>
          <w:sz w:val="24"/>
          <w:highlight w:val="none"/>
        </w:rPr>
        <w:t>.</w:t>
      </w:r>
      <w:r>
        <w:rPr>
          <w:rFonts w:hint="eastAsia" w:ascii="宋体" w:hAnsi="宋体" w:eastAsia="宋体" w:cs="宋体"/>
          <w:color w:val="auto"/>
          <w:sz w:val="24"/>
          <w:highlight w:val="none"/>
        </w:rPr>
        <w:t xml:space="preserve"> </w:t>
      </w:r>
      <w:r>
        <w:rPr>
          <w:rFonts w:hint="eastAsia" w:ascii="宋体" w:hAnsi="宋体" w:eastAsia="宋体" w:cs="宋体"/>
          <w:snapToGrid w:val="0"/>
          <w:color w:val="auto"/>
          <w:kern w:val="28"/>
          <w:sz w:val="24"/>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3</w:t>
      </w:r>
      <w:r>
        <w:rPr>
          <w:rFonts w:hint="eastAsia" w:ascii="宋体" w:hAnsi="宋体" w:eastAsia="宋体" w:cs="宋体"/>
          <w:snapToGrid w:val="0"/>
          <w:color w:val="auto"/>
          <w:kern w:val="28"/>
          <w:sz w:val="24"/>
          <w:highlight w:val="none"/>
        </w:rPr>
        <w:t>.落实政府采购政策需满足的资格要求：</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4650"/>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 xml:space="preserve"> </w:t>
      </w:r>
      <w:r>
        <w:rPr>
          <w:rFonts w:hint="eastAsia" w:ascii="宋体" w:hAnsi="宋体" w:eastAsia="宋体" w:cs="宋体"/>
          <w:color w:val="auto"/>
          <w:sz w:val="24"/>
          <w:highlight w:val="none"/>
        </w:rPr>
        <w:t>无</w:t>
      </w:r>
      <w:r>
        <w:rPr>
          <w:rFonts w:hint="eastAsia" w:ascii="宋体" w:hAnsi="宋体" w:eastAsia="宋体" w:cs="宋体"/>
          <w:snapToGrid w:val="0"/>
          <w:color w:val="auto"/>
          <w:kern w:val="28"/>
          <w:sz w:val="24"/>
          <w:highlight w:val="none"/>
        </w:rPr>
        <w:t>（注：不得限制大中型企业与小微企业组成联合体参与投标）</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465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u w:val="single"/>
        </w:rPr>
      </w:pPr>
      <w:sdt>
        <w:sdtPr>
          <w:rPr>
            <w:rFonts w:hint="eastAsia" w:ascii="宋体" w:hAnsi="宋体" w:eastAsia="宋体" w:cs="宋体"/>
            <w:color w:val="auto"/>
            <w:kern w:val="0"/>
            <w:sz w:val="24"/>
            <w:highlight w:val="none"/>
          </w:rPr>
          <w:id w:val="4652"/>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 xml:space="preserve"> </w:t>
      </w:r>
      <w:r>
        <w:rPr>
          <w:rFonts w:hint="eastAsia" w:ascii="宋体" w:hAnsi="宋体" w:eastAsia="宋体" w:cs="宋体"/>
          <w:color w:val="auto"/>
          <w:sz w:val="24"/>
          <w:highlight w:val="none"/>
        </w:rPr>
        <w:t>货物全部由符合政策要求的中小企业制造，提供中小企业声明函；</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465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 xml:space="preserve"> </w:t>
      </w:r>
      <w:r>
        <w:rPr>
          <w:rFonts w:hint="eastAsia" w:ascii="宋体" w:hAnsi="宋体" w:eastAsia="宋体" w:cs="宋体"/>
          <w:color w:val="auto"/>
          <w:sz w:val="24"/>
          <w:highlight w:val="none"/>
        </w:rPr>
        <w:t>货物全部由符合政策要求的小微企业制造，提供中小企业声明函；</w:t>
      </w:r>
    </w:p>
    <w:p>
      <w:pPr>
        <w:spacing w:line="360" w:lineRule="auto"/>
        <w:ind w:firstLine="480" w:firstLineChars="200"/>
        <w:rPr>
          <w:rFonts w:hint="eastAsia" w:ascii="宋体" w:hAnsi="宋体" w:eastAsia="宋体" w:cs="宋体"/>
          <w:color w:val="auto"/>
          <w:sz w:val="24"/>
          <w:highlight w:val="none"/>
        </w:rPr>
      </w:pPr>
      <w:bookmarkStart w:id="12" w:name="_Hlk101132524"/>
      <w:sdt>
        <w:sdtPr>
          <w:rPr>
            <w:rFonts w:hint="eastAsia" w:ascii="宋体" w:hAnsi="宋体" w:eastAsia="宋体" w:cs="宋体"/>
            <w:color w:val="auto"/>
            <w:kern w:val="0"/>
            <w:sz w:val="24"/>
            <w:highlight w:val="none"/>
          </w:rPr>
          <w:id w:val="465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 xml:space="preserve"> </w:t>
      </w:r>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highlight w:val="none"/>
        </w:rPr>
        <w:t>；</w:t>
      </w:r>
    </w:p>
    <w:bookmarkEnd w:id="12"/>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465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 xml:space="preserve"> </w:t>
      </w:r>
      <w:r>
        <w:rPr>
          <w:rFonts w:hint="eastAsia" w:ascii="宋体" w:hAnsi="宋体" w:eastAsia="宋体" w:cs="宋体"/>
          <w:color w:val="auto"/>
          <w:sz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highlight w:val="none"/>
        </w:rPr>
        <w:t>；</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rPr>
        <w:t>.本项目的特定资格要求：</w:t>
      </w:r>
      <w:sdt>
        <w:sdtPr>
          <w:rPr>
            <w:rFonts w:hint="eastAsia" w:ascii="宋体" w:hAnsi="宋体" w:eastAsia="宋体" w:cs="宋体"/>
            <w:color w:val="auto"/>
            <w:kern w:val="0"/>
            <w:sz w:val="24"/>
            <w:highlight w:val="none"/>
          </w:rPr>
          <w:id w:val="465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无</w:t>
      </w:r>
      <w:r>
        <w:rPr>
          <w:rFonts w:hint="eastAsia" w:ascii="宋体" w:hAnsi="宋体" w:eastAsia="宋体" w:cs="宋体"/>
          <w:color w:val="auto"/>
          <w:sz w:val="24"/>
          <w:highlight w:val="none"/>
        </w:rPr>
        <w:br w:type="textWrapping"/>
      </w:r>
      <w:sdt>
        <w:sdtPr>
          <w:rPr>
            <w:rFonts w:hint="eastAsia" w:ascii="宋体" w:hAnsi="宋体" w:eastAsia="宋体" w:cs="宋体"/>
            <w:color w:val="auto"/>
            <w:kern w:val="0"/>
            <w:sz w:val="24"/>
            <w:highlight w:val="none"/>
          </w:rPr>
          <w:id w:val="465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有特定资格要求：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，该特定条件的法律法规据：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eastAsia="宋体" w:cs="宋体"/>
          <w:color w:val="auto"/>
          <w:sz w:val="24"/>
          <w:highlight w:val="none"/>
          <w:u w:val="single"/>
          <w:lang w:val="en-US" w:eastAsia="zh-CN"/>
        </w:rPr>
        <w:t>05</w:t>
      </w:r>
      <w:r>
        <w:rPr>
          <w:rFonts w:hint="eastAsia" w:ascii="宋体" w:hAnsi="宋体" w:eastAsia="宋体" w:cs="宋体"/>
          <w:color w:val="auto"/>
          <w:sz w:val="24"/>
          <w:highlight w:val="none"/>
          <w:u w:val="single"/>
        </w:rPr>
        <w:t>月</w:t>
      </w:r>
      <w:r>
        <w:rPr>
          <w:rFonts w:hint="eastAsia" w:ascii="宋体" w:hAnsi="宋体" w:eastAsia="宋体" w:cs="宋体"/>
          <w:color w:val="auto"/>
          <w:sz w:val="24"/>
          <w:highlight w:val="none"/>
          <w:u w:val="single"/>
          <w:lang w:val="en-US" w:eastAsia="zh-CN"/>
        </w:rPr>
        <w:t>15</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 xml:space="preserve"> 年</w:t>
      </w:r>
      <w:r>
        <w:rPr>
          <w:rFonts w:hint="eastAsia" w:ascii="宋体" w:hAnsi="宋体" w:eastAsia="宋体" w:cs="宋体"/>
          <w:color w:val="auto"/>
          <w:sz w:val="24"/>
          <w:highlight w:val="none"/>
          <w:u w:val="single"/>
          <w:lang w:val="en-US" w:eastAsia="zh-CN"/>
        </w:rPr>
        <w:t>05</w:t>
      </w:r>
      <w:r>
        <w:rPr>
          <w:rFonts w:hint="eastAsia" w:ascii="宋体" w:hAnsi="宋体" w:eastAsia="宋体" w:cs="宋体"/>
          <w:color w:val="auto"/>
          <w:sz w:val="24"/>
          <w:highlight w:val="none"/>
          <w:u w:val="single"/>
        </w:rPr>
        <w:t>月</w:t>
      </w:r>
      <w:r>
        <w:rPr>
          <w:rFonts w:hint="eastAsia" w:ascii="宋体" w:hAnsi="宋体" w:eastAsia="宋体" w:cs="宋体"/>
          <w:color w:val="auto"/>
          <w:sz w:val="24"/>
          <w:highlight w:val="none"/>
          <w:u w:val="single"/>
          <w:lang w:val="en-US" w:eastAsia="zh-CN"/>
        </w:rPr>
        <w:t>15</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09</w:t>
      </w:r>
      <w:r>
        <w:rPr>
          <w:rFonts w:hint="eastAsia" w:ascii="宋体" w:hAnsi="宋体" w:eastAsia="宋体" w:cs="宋体"/>
          <w:color w:val="auto"/>
          <w:sz w:val="24"/>
          <w:highlight w:val="none"/>
          <w:u w:val="single"/>
        </w:rPr>
        <w:t>点</w:t>
      </w:r>
      <w:r>
        <w:rPr>
          <w:rFonts w:hint="eastAsia" w:ascii="宋体" w:hAnsi="宋体" w:eastAsia="宋体" w:cs="宋体"/>
          <w:color w:val="auto"/>
          <w:sz w:val="24"/>
          <w:highlight w:val="none"/>
          <w:u w:val="single"/>
          <w:lang w:val="en-US" w:eastAsia="zh-CN"/>
        </w:rPr>
        <w:t>30</w:t>
      </w:r>
      <w:r>
        <w:rPr>
          <w:rFonts w:hint="eastAsia" w:ascii="宋体" w:hAnsi="宋体" w:eastAsia="宋体" w:cs="宋体"/>
          <w:color w:val="auto"/>
          <w:sz w:val="24"/>
          <w:highlight w:val="none"/>
          <w:u w:val="single"/>
        </w:rPr>
        <w:t>分00秒</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 xml:space="preserve"> 年</w:t>
      </w:r>
      <w:r>
        <w:rPr>
          <w:rFonts w:hint="eastAsia" w:ascii="宋体" w:hAnsi="宋体" w:eastAsia="宋体" w:cs="宋体"/>
          <w:color w:val="auto"/>
          <w:sz w:val="24"/>
          <w:highlight w:val="none"/>
          <w:u w:val="single"/>
          <w:lang w:val="en-US" w:eastAsia="zh-CN"/>
        </w:rPr>
        <w:t>05</w:t>
      </w:r>
      <w:r>
        <w:rPr>
          <w:rFonts w:hint="eastAsia" w:ascii="宋体" w:hAnsi="宋体" w:eastAsia="宋体" w:cs="宋体"/>
          <w:color w:val="auto"/>
          <w:sz w:val="24"/>
          <w:highlight w:val="none"/>
          <w:u w:val="single"/>
        </w:rPr>
        <w:t>月</w:t>
      </w:r>
      <w:r>
        <w:rPr>
          <w:rFonts w:hint="eastAsia" w:ascii="宋体" w:hAnsi="宋体" w:eastAsia="宋体" w:cs="宋体"/>
          <w:color w:val="auto"/>
          <w:sz w:val="24"/>
          <w:highlight w:val="none"/>
          <w:u w:val="single"/>
          <w:lang w:val="en-US" w:eastAsia="zh-CN"/>
        </w:rPr>
        <w:t>15</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09</w:t>
      </w:r>
      <w:r>
        <w:rPr>
          <w:rFonts w:hint="eastAsia" w:ascii="宋体" w:hAnsi="宋体" w:eastAsia="宋体" w:cs="宋体"/>
          <w:color w:val="auto"/>
          <w:sz w:val="24"/>
          <w:highlight w:val="none"/>
          <w:u w:val="single"/>
        </w:rPr>
        <w:t>点</w:t>
      </w:r>
      <w:r>
        <w:rPr>
          <w:rFonts w:hint="eastAsia" w:ascii="宋体" w:hAnsi="宋体" w:eastAsia="宋体" w:cs="宋体"/>
          <w:color w:val="auto"/>
          <w:sz w:val="24"/>
          <w:highlight w:val="none"/>
          <w:u w:val="single"/>
          <w:lang w:val="en-US" w:eastAsia="zh-CN"/>
        </w:rPr>
        <w:t>30</w:t>
      </w:r>
      <w:r>
        <w:rPr>
          <w:rFonts w:hint="eastAsia" w:ascii="宋体" w:hAnsi="宋体" w:eastAsia="宋体" w:cs="宋体"/>
          <w:color w:val="auto"/>
          <w:sz w:val="24"/>
          <w:highlight w:val="none"/>
          <w:u w:val="single"/>
        </w:rPr>
        <w:t>分00秒</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 </w:t>
      </w:r>
      <w:r>
        <w:rPr>
          <w:rFonts w:hint="eastAsia" w:ascii="宋体" w:hAnsi="宋体" w:eastAsia="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称：杭州市萧山钱江世纪城管理委员会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 浙江省杭州市萧山区宁围街道民和路525号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项目联系人（询问）：唐传瑾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项目联系方式（询问）：13357155530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 汤工</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质疑联系方式：13646824554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称：浙江佳诚工程咨询股份有限公司</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址：杭州市萧山区宁围街道富业巷1号A座12楼</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项目联系人（询问）： 周立军</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项目联系方式（询问）：19906716509</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 夏婷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质疑联系方式：15967157761</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rPr>
        <w:t xml:space="preserve">同级政府采购监督管理部门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称：萧山区财政局、浙江省政府采购行政裁决服务中心（杭州）</w:t>
      </w:r>
    </w:p>
    <w:p>
      <w:pPr>
        <w:spacing w:line="360" w:lineRule="auto"/>
        <w:ind w:left="237" w:leftChars="113" w:firstLine="180" w:firstLineChars="75"/>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址：杭州市上城区四季青街道新业路市民之家G03办公室（快递仅限ems或顺丰）</w:t>
      </w:r>
    </w:p>
    <w:p>
      <w:pPr>
        <w:spacing w:line="360" w:lineRule="auto"/>
        <w:ind w:left="237" w:leftChars="113" w:firstLine="180" w:firstLineChars="75"/>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p>
    <w:p>
      <w:pPr>
        <w:spacing w:line="360" w:lineRule="auto"/>
        <w:ind w:left="237" w:leftChars="113" w:firstLine="180" w:firstLineChars="75"/>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 ：朱女士/王女士</w:t>
      </w:r>
    </w:p>
    <w:p>
      <w:pPr>
        <w:spacing w:line="360" w:lineRule="auto"/>
        <w:ind w:left="237" w:leftChars="113" w:firstLine="180" w:firstLineChars="75"/>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监督投诉电话：0571-85252453 </w:t>
      </w:r>
    </w:p>
    <w:p>
      <w:pPr>
        <w:spacing w:line="360" w:lineRule="auto"/>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政策咨询电话：0571-82756122  （汤先生）</w:t>
      </w:r>
    </w:p>
    <w:p>
      <w:pPr>
        <w:spacing w:line="360" w:lineRule="auto"/>
        <w:rPr>
          <w:rFonts w:hint="eastAsia" w:ascii="宋体" w:hAnsi="宋体" w:eastAsia="宋体" w:cs="宋体"/>
          <w:color w:val="auto"/>
          <w:sz w:val="24"/>
          <w:highlight w:val="none"/>
        </w:rPr>
      </w:pP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pStyle w:val="32"/>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 xml:space="preserve"> </w:t>
      </w:r>
    </w:p>
    <w:p>
      <w:pPr>
        <w:pStyle w:val="2"/>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br w:type="page"/>
      </w:r>
    </w:p>
    <w:p>
      <w:pPr>
        <w:adjustRightInd/>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第二部分</w:t>
      </w:r>
      <w:bookmarkEnd w:id="8"/>
      <w:r>
        <w:rPr>
          <w:rFonts w:hint="eastAsia" w:ascii="宋体" w:hAnsi="宋体" w:eastAsia="宋体" w:cs="宋体"/>
          <w:b/>
          <w:color w:val="auto"/>
          <w:sz w:val="24"/>
          <w:highlight w:val="none"/>
        </w:rPr>
        <w:t xml:space="preserve"> 投标人须知</w:t>
      </w:r>
      <w:bookmarkEnd w:id="9"/>
    </w:p>
    <w:p>
      <w:pPr>
        <w:adjustRightInd/>
        <w:spacing w:line="360" w:lineRule="auto"/>
        <w:ind w:firstLine="2884" w:firstLineChars="1197"/>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货物类，单一产品或</w:t>
            </w:r>
            <w:r>
              <w:rPr>
                <w:rFonts w:hint="eastAsia" w:ascii="宋体" w:hAnsi="宋体" w:eastAsia="宋体" w:cs="宋体"/>
                <w:color w:val="auto"/>
                <w:kern w:val="0"/>
                <w:sz w:val="24"/>
                <w:highlight w:val="none"/>
              </w:rPr>
              <w:t>核心产品为：</w:t>
            </w:r>
            <w:r>
              <w:rPr>
                <w:rFonts w:hint="eastAsia" w:ascii="宋体" w:hAnsi="宋体" w:eastAsia="宋体" w:cs="宋体"/>
                <w:color w:val="auto"/>
                <w:sz w:val="24"/>
                <w:highlight w:val="none"/>
                <w:u w:val="single"/>
              </w:rPr>
              <w:t xml:space="preserve"> </w:t>
            </w:r>
            <w:r>
              <w:rPr>
                <w:rFonts w:hint="eastAsia" w:ascii="宋体" w:hAnsi="宋体" w:eastAsia="宋体" w:cs="宋体"/>
                <w:b/>
                <w:bCs/>
                <w:color w:val="auto"/>
                <w:sz w:val="24"/>
                <w:highlight w:val="none"/>
                <w:u w:val="single"/>
              </w:rPr>
              <w:t>标项一：</w:t>
            </w:r>
            <w:r>
              <w:rPr>
                <w:rFonts w:hint="eastAsia" w:ascii="宋体" w:hAnsi="宋体" w:eastAsia="宋体" w:cs="宋体"/>
                <w:b/>
                <w:bCs/>
                <w:color w:val="auto"/>
                <w:sz w:val="24"/>
                <w:highlight w:val="none"/>
              </w:rPr>
              <w:t>地胶板；标项二：</w:t>
            </w:r>
            <w:r>
              <w:rPr>
                <w:rFonts w:hint="eastAsia" w:ascii="宋体" w:hAnsi="宋体" w:eastAsia="宋体" w:cs="宋体"/>
                <w:b/>
                <w:bCs/>
                <w:color w:val="auto"/>
                <w:sz w:val="24"/>
                <w:highlight w:val="none"/>
                <w:u w:val="single"/>
              </w:rPr>
              <w:t xml:space="preserve"> 运动地板  </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（1）标的：亚运会亚运村媒体村小学室内地胶板及专业运动地板 ，属于 </w:t>
            </w:r>
            <w:r>
              <w:rPr>
                <w:rFonts w:hint="eastAsia" w:ascii="宋体" w:hAnsi="宋体" w:eastAsia="宋体" w:cs="宋体"/>
                <w:color w:val="auto"/>
                <w:sz w:val="24"/>
                <w:highlight w:val="none"/>
                <w:u w:val="single"/>
              </w:rPr>
              <w:t>工业</w:t>
            </w:r>
            <w:r>
              <w:rPr>
                <w:rFonts w:hint="eastAsia" w:ascii="宋体" w:hAnsi="宋体" w:eastAsia="宋体" w:cs="宋体"/>
                <w:color w:val="auto"/>
                <w:sz w:val="24"/>
                <w:highlight w:val="none"/>
              </w:rPr>
              <w:t xml:space="preserve"> 行业；</w:t>
            </w:r>
          </w:p>
          <w:p>
            <w:pPr>
              <w:pStyle w:val="2"/>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sz w:val="24"/>
                <w:highlight w:val="none"/>
              </w:rPr>
            </w:pPr>
            <w:sdt>
              <w:sdtPr>
                <w:rPr>
                  <w:rFonts w:hint="eastAsia" w:ascii="宋体" w:hAnsi="宋体" w:eastAsia="宋体" w:cs="宋体"/>
                  <w:color w:val="auto"/>
                  <w:sz w:val="24"/>
                  <w:highlight w:val="none"/>
                </w:rPr>
                <w:id w:val="4658"/>
                <w14:checkbox>
                  <w14:checked w14:val="1"/>
                  <w14:checkedState w14:val="00FE" w14:font="Wingdings"/>
                  <w14:uncheckedState w14:val="2610" w14:font="MS Gothic"/>
                </w14:checkbox>
              </w:sdtPr>
              <w:sdtEndPr>
                <w:rPr>
                  <w:rFonts w:hint="eastAsia" w:ascii="宋体" w:hAnsi="宋体" w:eastAsia="宋体" w:cs="宋体"/>
                  <w:color w:val="auto"/>
                  <w:sz w:val="24"/>
                  <w:highlight w:val="none"/>
                </w:rPr>
              </w:sdtEndPr>
              <w:sdtContent>
                <w:r>
                  <w:rPr>
                    <w:rFonts w:hint="eastAsia" w:ascii="宋体" w:hAnsi="宋体" w:eastAsia="宋体" w:cs="宋体"/>
                    <w:color w:val="auto"/>
                    <w:sz w:val="24"/>
                    <w:highlight w:val="none"/>
                  </w:rPr>
                  <w:sym w:font="Wingdings" w:char="F0FE"/>
                </w:r>
              </w:sdtContent>
            </w:sdt>
            <w:r>
              <w:rPr>
                <w:rFonts w:hint="eastAsia" w:ascii="宋体" w:hAnsi="宋体" w:eastAsia="宋体" w:cs="宋体"/>
                <w:color w:val="auto"/>
                <w:sz w:val="24"/>
                <w:highlight w:val="none"/>
              </w:rPr>
              <w:t>本项目不允许采购进口产品。</w:t>
            </w:r>
          </w:p>
          <w:p>
            <w:pPr>
              <w:rPr>
                <w:rFonts w:hint="eastAsia" w:ascii="宋体" w:hAnsi="宋体" w:eastAsia="宋体" w:cs="宋体"/>
                <w:color w:val="auto"/>
                <w:sz w:val="24"/>
                <w:highlight w:val="none"/>
              </w:rPr>
            </w:pPr>
            <w:sdt>
              <w:sdtPr>
                <w:rPr>
                  <w:rFonts w:hint="eastAsia" w:ascii="宋体" w:hAnsi="宋体" w:eastAsia="宋体" w:cs="宋体"/>
                  <w:color w:val="auto"/>
                  <w:sz w:val="24"/>
                  <w:highlight w:val="none"/>
                </w:rPr>
                <w:id w:val="4659"/>
                <w14:checkbox>
                  <w14:checked w14:val="0"/>
                  <w14:checkedState w14:val="00FE" w14:font="Wingdings"/>
                  <w14:uncheckedState w14:val="2610" w14:font="MS Gothic"/>
                </w14:checkbox>
              </w:sdtPr>
              <w:sdtEndPr>
                <w:rPr>
                  <w:rFonts w:hint="eastAsia" w:ascii="宋体" w:hAnsi="宋体" w:eastAsia="宋体" w:cs="宋体"/>
                  <w:color w:val="auto"/>
                  <w:sz w:val="24"/>
                  <w:highlight w:val="none"/>
                </w:rPr>
              </w:sdtEndPr>
              <w:sdtContent>
                <w:r>
                  <w:rPr>
                    <w:rFonts w:hint="eastAsia" w:ascii="宋体" w:hAnsi="宋体" w:eastAsia="宋体" w:cs="宋体"/>
                    <w:color w:val="auto"/>
                    <w:sz w:val="24"/>
                    <w:highlight w:val="none"/>
                  </w:rPr>
                  <w:t>☐</w:t>
                </w:r>
              </w:sdtContent>
            </w:sdt>
            <w:r>
              <w:rPr>
                <w:rFonts w:hint="eastAsia" w:ascii="宋体" w:hAnsi="宋体" w:eastAsia="宋体" w:cs="宋体"/>
                <w:color w:val="auto"/>
                <w:sz w:val="24"/>
                <w:highlight w:val="none"/>
              </w:rPr>
              <w:t>可以就    采购进口产品。</w:t>
            </w:r>
            <w:r>
              <w:rPr>
                <w:rFonts w:hint="eastAsia" w:ascii="宋体" w:hAnsi="宋体" w:eastAsia="宋体" w:cs="宋体"/>
                <w:color w:val="auto"/>
                <w:kern w:val="0"/>
                <w:sz w:val="24"/>
                <w:highlight w:val="none"/>
              </w:rPr>
              <w:t>优先采购向我国企业转让技术、与我国企业签订消化吸收再创新方案的供应商的进口产品，详见</w:t>
            </w:r>
            <w:r>
              <w:rPr>
                <w:rFonts w:hint="eastAsia" w:ascii="宋体" w:hAnsi="宋体" w:eastAsia="宋体" w:cs="宋体"/>
                <w:color w:val="auto"/>
                <w:kern w:val="0"/>
                <w:sz w:val="24"/>
                <w:highlight w:val="none"/>
                <w:u w:val="single"/>
              </w:rPr>
              <w:t>评分标准</w:t>
            </w:r>
            <w:r>
              <w:rPr>
                <w:rFonts w:hint="eastAsia" w:ascii="宋体" w:hAnsi="宋体" w:eastAsia="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4660"/>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single"/>
              </w:rPr>
              <w:t xml:space="preserve">   运输   </w:t>
            </w:r>
            <w:r>
              <w:rPr>
                <w:rFonts w:hint="eastAsia" w:ascii="宋体" w:hAnsi="宋体" w:eastAsia="宋体" w:cs="宋体"/>
                <w:color w:val="auto"/>
                <w:sz w:val="24"/>
                <w:highlight w:val="none"/>
              </w:rPr>
              <w:t>工作分包。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4662"/>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466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8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sz w:val="24"/>
                  <w:highlight w:val="none"/>
                </w:rPr>
                <w:id w:val="1026831988"/>
                <w14:checkbox>
                  <w14:checked w14:val="1"/>
                  <w14:checkedState w14:val="00FE" w14:font="Wingdings"/>
                  <w14:uncheckedState w14:val="2610" w14:font="MS Gothic"/>
                </w14:checkbox>
              </w:sdtPr>
              <w:sdtEndPr>
                <w:rPr>
                  <w:rFonts w:hint="eastAsia" w:ascii="宋体" w:hAnsi="宋体" w:eastAsia="宋体" w:cs="宋体"/>
                  <w:color w:val="auto"/>
                  <w:sz w:val="24"/>
                  <w:highlight w:val="none"/>
                </w:rPr>
              </w:sdtEndPr>
              <w:sdtContent>
                <w:r>
                  <w:rPr>
                    <w:rFonts w:hint="eastAsia" w:ascii="Wingdings" w:hAnsi="Wingdings" w:eastAsia="宋体" w:cs="宋体"/>
                    <w:color w:val="auto"/>
                    <w:kern w:val="2"/>
                    <w:sz w:val="24"/>
                    <w:szCs w:val="24"/>
                    <w:highlight w:val="none"/>
                    <w:lang w:val="en-US" w:eastAsia="zh-CN" w:bidi="ar-SA"/>
                  </w:rPr>
                  <w:t>þ</w:t>
                </w:r>
              </w:sdtContent>
            </w:sdt>
            <w:r>
              <w:rPr>
                <w:rFonts w:hint="eastAsia" w:ascii="宋体" w:hAnsi="宋体" w:eastAsia="宋体" w:cs="宋体"/>
                <w:color w:val="auto"/>
                <w:sz w:val="24"/>
                <w:highlight w:val="none"/>
              </w:rPr>
              <w:t>要求提供，</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（1）样品：详见样品清单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（2）样品制作的标准和要求： 详见采购需求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（3）样品的评审方法以及评审标准：详见评标办法；</w:t>
            </w:r>
            <w:r>
              <w:rPr>
                <w:rFonts w:hint="eastAsia" w:ascii="宋体" w:hAnsi="宋体" w:eastAsia="宋体" w:cs="宋体"/>
                <w:color w:val="auto"/>
                <w:sz w:val="24"/>
                <w:highlight w:val="none"/>
              </w:rPr>
              <w:br w:type="textWrapping"/>
            </w:r>
            <w:sdt>
              <w:sdtPr>
                <w:rPr>
                  <w:rFonts w:hint="eastAsia" w:ascii="宋体" w:hAnsi="宋体" w:eastAsia="宋体" w:cs="宋体"/>
                  <w:color w:val="auto"/>
                  <w:kern w:val="0"/>
                  <w:sz w:val="24"/>
                  <w:highlight w:val="none"/>
                </w:rPr>
                <w:id w:val="466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2"/>
                    <w:sz w:val="24"/>
                    <w:szCs w:val="24"/>
                    <w:highlight w:val="none"/>
                    <w:lang w:val="en-US" w:eastAsia="zh-CN" w:bidi="ar-SA"/>
                  </w:rPr>
                  <w:t>þ</w:t>
                </w:r>
              </w:sdtContent>
            </w:sdt>
            <w:r>
              <w:rPr>
                <w:rFonts w:hint="eastAsia" w:ascii="宋体" w:hAnsi="宋体" w:eastAsia="宋体" w:cs="宋体"/>
                <w:color w:val="auto"/>
                <w:sz w:val="24"/>
                <w:highlight w:val="none"/>
              </w:rPr>
              <w:t>样品分未超过价格分的50%；</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详见招标文件第四部分评标办分法。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（4）是否需要随样品提交检测报告：</w:t>
            </w:r>
            <w:sdt>
              <w:sdtPr>
                <w:rPr>
                  <w:rFonts w:hint="eastAsia" w:ascii="宋体" w:hAnsi="宋体" w:eastAsia="宋体" w:cs="宋体"/>
                  <w:color w:val="auto"/>
                  <w:sz w:val="24"/>
                  <w:highlight w:val="none"/>
                </w:rPr>
                <w:id w:val="1303421454"/>
                <w14:checkbox>
                  <w14:checked w14:val="1"/>
                  <w14:checkedState w14:val="00FE" w14:font="Wingdings"/>
                  <w14:uncheckedState w14:val="2610" w14:font="MS Gothic"/>
                </w14:checkbox>
              </w:sdtPr>
              <w:sdtEndPr>
                <w:rPr>
                  <w:rFonts w:hint="eastAsia" w:ascii="宋体" w:hAnsi="宋体" w:eastAsia="宋体" w:cs="宋体"/>
                  <w:color w:val="auto"/>
                  <w:sz w:val="24"/>
                  <w:highlight w:val="none"/>
                </w:rPr>
              </w:sdtEndPr>
              <w:sdtContent>
                <w:r>
                  <w:rPr>
                    <w:rFonts w:hint="eastAsia" w:ascii="宋体" w:hAnsi="宋体" w:eastAsia="宋体" w:cs="宋体"/>
                    <w:color w:val="auto"/>
                    <w:kern w:val="2"/>
                    <w:sz w:val="24"/>
                    <w:szCs w:val="24"/>
                    <w:highlight w:val="none"/>
                    <w:lang w:val="en-US" w:eastAsia="zh-CN" w:bidi="ar-SA"/>
                  </w:rPr>
                  <w:t>þ</w:t>
                </w:r>
              </w:sdtContent>
            </w:sdt>
            <w:r>
              <w:rPr>
                <w:rFonts w:hint="eastAsia" w:ascii="宋体" w:hAnsi="宋体" w:eastAsia="宋体" w:cs="宋体"/>
                <w:color w:val="auto"/>
                <w:sz w:val="24"/>
                <w:highlight w:val="none"/>
              </w:rPr>
              <w:t xml:space="preserve">否；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（5）提供样品的时间： 开标当天9：00分至9：30分 ；地点： </w:t>
            </w:r>
            <w:r>
              <w:rPr>
                <w:rFonts w:hint="eastAsia" w:ascii="宋体" w:hAnsi="宋体" w:eastAsia="宋体" w:cs="宋体"/>
                <w:color w:val="auto"/>
                <w:sz w:val="24"/>
                <w:highlight w:val="none"/>
              </w:rPr>
              <w:t>浙江省杭州市萧山区宁围街道民和路525号1楼大厅</w:t>
            </w:r>
            <w:r>
              <w:rPr>
                <w:rFonts w:hint="eastAsia" w:ascii="宋体" w:hAnsi="宋体" w:eastAsia="宋体" w:cs="宋体"/>
                <w:color w:val="auto"/>
                <w:sz w:val="24"/>
                <w:highlight w:val="none"/>
              </w:rPr>
              <w:t xml:space="preserve">   ；联系人：夏婷，联系电话： 15967157761 。请投标人在上述时间内提供样品，样品递交人须提供投标人的授权书（见附件格式，法人代表请携带身份证复件及营业执照复印件）、身份证明。超过截止时间的，采购人或采购代理机构将不予接收，并将清场并封闭样品现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（7）制作、运输、安装和保管样品所发生的一切费用由投标人自理。</w:t>
            </w:r>
          </w:p>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pacing w:line="360" w:lineRule="auto"/>
              <w:rPr>
                <w:rFonts w:hint="eastAsia" w:ascii="宋体" w:hAnsi="宋体" w:eastAsia="宋体" w:cs="宋体"/>
                <w:snapToGrid w:val="0"/>
                <w:color w:val="auto"/>
                <w:kern w:val="0"/>
                <w:sz w:val="24"/>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b/>
                <w:bCs/>
                <w:color w:val="auto"/>
                <w:kern w:val="0"/>
                <w:sz w:val="24"/>
                <w:highlight w:val="none"/>
                <w:lang w:val="zh-CN"/>
              </w:rPr>
              <w:t>投标文件</w:t>
            </w:r>
            <w:r>
              <w:rPr>
                <w:rFonts w:hint="eastAsia" w:ascii="宋体" w:hAnsi="宋体" w:eastAsia="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4"/>
                <w:highlight w:val="none"/>
                <w:lang w:val="zh-CN"/>
              </w:rPr>
              <w:t>提醒：验收时检测费用由采购人承担，不包含在投标总价中。</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highlight w:val="none"/>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w:t>
            </w:r>
            <w:r>
              <w:rPr>
                <w:rFonts w:hint="eastAsia" w:ascii="宋体" w:hAnsi="宋体" w:eastAsia="宋体" w:cs="宋体"/>
                <w:color w:val="auto"/>
                <w:sz w:val="24"/>
                <w:highlight w:val="none"/>
              </w:rPr>
              <w:t>支持</w:t>
            </w:r>
            <w:r>
              <w:rPr>
                <w:rFonts w:hint="eastAsia" w:ascii="宋体" w:hAnsi="宋体" w:eastAsia="宋体" w:cs="宋体"/>
                <w:color w:val="auto"/>
                <w:sz w:val="24"/>
                <w:highlight w:val="none"/>
              </w:rPr>
              <w:t>《杭州市萧山区政府采购支持中小企业信用融资暂行办法》。</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有</w:t>
            </w:r>
            <w:r>
              <w:rPr>
                <w:rFonts w:hint="eastAsia" w:ascii="宋体" w:hAnsi="宋体" w:eastAsia="宋体" w:cs="宋体"/>
                <w:color w:val="auto"/>
                <w:sz w:val="24"/>
                <w:highlight w:val="none"/>
              </w:rPr>
              <w:t>融资需求的中标供应商可参照相关规定及银行方案</w:t>
            </w:r>
            <w:r>
              <w:rPr>
                <w:rFonts w:hint="eastAsia" w:ascii="宋体" w:hAnsi="宋体" w:eastAsia="宋体" w:cs="宋体"/>
                <w:color w:val="auto"/>
                <w:sz w:val="24"/>
                <w:highlight w:val="none"/>
              </w:rPr>
              <w:t>凭政府采购合同向相关合作银行提出信用融资（贷款）申请。详见</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"http://www.xiaoshan.gov.cn/art/2018/12/20/art_1229293109_1559514.html" </w:instrText>
            </w:r>
            <w:r>
              <w:rPr>
                <w:rFonts w:hint="eastAsia" w:ascii="宋体" w:hAnsi="宋体" w:eastAsia="宋体" w:cs="宋体"/>
                <w:color w:val="auto"/>
                <w:highlight w:val="none"/>
              </w:rPr>
              <w:fldChar w:fldCharType="separate"/>
            </w:r>
            <w:r>
              <w:rPr>
                <w:rStyle w:val="76"/>
                <w:rFonts w:hint="eastAsia" w:ascii="宋体" w:hAnsi="宋体" w:eastAsia="宋体" w:cs="宋体"/>
                <w:snapToGrid/>
                <w:color w:val="auto"/>
                <w:sz w:val="24"/>
                <w:szCs w:val="24"/>
                <w:highlight w:val="none"/>
              </w:rPr>
              <w:t>http://www.xiaoshan.gov.cn/art/2018/12/20/art_1229293109_1559514.html</w:t>
            </w:r>
            <w:r>
              <w:rPr>
                <w:rStyle w:val="76"/>
                <w:rFonts w:hint="eastAsia" w:ascii="宋体" w:hAnsi="宋体" w:eastAsia="宋体" w:cs="宋体"/>
                <w:snapToGrid/>
                <w:color w:val="auto"/>
                <w:sz w:val="24"/>
                <w:szCs w:val="24"/>
                <w:highlight w:val="none"/>
              </w:rPr>
              <w:fldChar w:fldCharType="end"/>
            </w:r>
          </w:p>
          <w:p>
            <w:pPr>
              <w:pStyle w:val="2"/>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28"/>
                <w:sz w:val="24"/>
                <w:szCs w:val="24"/>
                <w:highlight w:val="none"/>
              </w:rPr>
              <w:t>本项目备份文件是否收取：不收取</w:t>
            </w:r>
          </w:p>
          <w:p>
            <w:pPr>
              <w:pStyle w:val="32"/>
              <w:spacing w:line="360" w:lineRule="auto"/>
              <w:rPr>
                <w:rFonts w:hint="eastAsia" w:ascii="宋体" w:hAnsi="宋体" w:eastAsia="宋体" w:cs="宋体"/>
                <w:color w:val="auto"/>
                <w:kern w:val="28"/>
                <w:sz w:val="24"/>
                <w:szCs w:val="24"/>
                <w:highlight w:val="none"/>
              </w:rPr>
            </w:pPr>
            <w:r>
              <w:rPr>
                <w:rFonts w:hint="eastAsia" w:ascii="宋体" w:hAnsi="宋体" w:eastAsia="宋体" w:cs="宋体"/>
                <w:b/>
                <w:color w:val="auto"/>
                <w:sz w:val="24"/>
                <w:szCs w:val="24"/>
                <w:highlight w:val="none"/>
              </w:rPr>
              <w:t>采购人、采购代理机构不强制或变相强制投标人提交备份投标文件。</w:t>
            </w:r>
            <w:bookmarkStart w:id="423" w:name="_GoBack"/>
            <w:bookmarkEnd w:id="42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sz w:val="24"/>
                <w:highlight w:val="none"/>
              </w:rPr>
            </w:pPr>
            <w:r>
              <w:rPr>
                <w:rFonts w:hint="eastAsia" w:ascii="宋体" w:hAnsi="宋体" w:eastAsia="宋体" w:cs="宋体"/>
                <w:b/>
                <w:color w:val="auto"/>
                <w:sz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sz w:val="24"/>
                <w:highlight w:val="none"/>
              </w:rPr>
            </w:pPr>
            <w:r>
              <w:rPr>
                <w:rFonts w:hint="eastAsia" w:ascii="宋体" w:hAnsi="宋体" w:eastAsia="宋体" w:cs="宋体"/>
                <w:color w:val="auto"/>
                <w:kern w:val="28"/>
                <w:sz w:val="24"/>
                <w:highlight w:val="none"/>
              </w:rPr>
              <w:t>本次</w:t>
            </w:r>
            <w:r>
              <w:rPr>
                <w:rFonts w:hint="eastAsia" w:ascii="宋体" w:hAnsi="宋体" w:eastAsia="宋体" w:cs="宋体"/>
                <w:color w:val="auto"/>
                <w:sz w:val="24"/>
                <w:highlight w:val="none"/>
              </w:rPr>
              <w:t>采购机构代理费用由中标单位向代理机构支付，代理服务费按计价格【2002】1980号文件收费标准计取，中标单位在领取中</w:t>
            </w:r>
            <w:r>
              <w:rPr>
                <w:rFonts w:hint="eastAsia" w:ascii="宋体" w:hAnsi="宋体" w:eastAsia="宋体" w:cs="宋体"/>
                <w:color w:val="auto"/>
                <w:kern w:val="28"/>
                <w:sz w:val="24"/>
                <w:highlight w:val="none"/>
              </w:rPr>
              <w:t>标通知书前一次性付清。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sz w:val="24"/>
                <w:highlight w:val="none"/>
              </w:rPr>
            </w:pPr>
            <w:r>
              <w:rPr>
                <w:rFonts w:hint="eastAsia" w:ascii="宋体" w:hAnsi="宋体" w:eastAsia="宋体" w:cs="宋体"/>
                <w:b/>
                <w:color w:val="auto"/>
                <w:sz w:val="24"/>
                <w:highlight w:val="none"/>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w:t>
            </w:r>
            <w:r>
              <w:rPr>
                <w:rFonts w:hint="eastAsia" w:ascii="宋体" w:hAnsi="宋体" w:eastAsia="宋体" w:cs="宋体"/>
                <w:color w:val="auto"/>
                <w:sz w:val="24"/>
                <w:highlight w:val="none"/>
              </w:rPr>
              <w:t>由采购人</w:t>
            </w:r>
            <w:r>
              <w:rPr>
                <w:rFonts w:hint="eastAsia" w:ascii="宋体" w:hAnsi="宋体" w:eastAsia="宋体" w:cs="宋体"/>
                <w:color w:val="auto"/>
                <w:sz w:val="24"/>
                <w:highlight w:val="none"/>
              </w:rPr>
              <w:t>进行</w:t>
            </w:r>
            <w:r>
              <w:rPr>
                <w:rFonts w:hint="eastAsia" w:ascii="宋体" w:hAnsi="宋体" w:eastAsia="宋体" w:cs="宋体"/>
                <w:color w:val="auto"/>
                <w:sz w:val="24"/>
                <w:highlight w:val="none"/>
              </w:rPr>
              <w:t>资格文件</w:t>
            </w:r>
            <w:r>
              <w:rPr>
                <w:rFonts w:hint="eastAsia" w:ascii="宋体" w:hAnsi="宋体" w:eastAsia="宋体" w:cs="宋体"/>
                <w:color w:val="auto"/>
                <w:sz w:val="24"/>
                <w:highlight w:val="none"/>
              </w:rPr>
              <w:t>及</w:t>
            </w:r>
            <w:r>
              <w:rPr>
                <w:rFonts w:hint="eastAsia" w:ascii="宋体" w:hAnsi="宋体" w:eastAsia="宋体" w:cs="宋体"/>
                <w:color w:val="auto"/>
                <w:sz w:val="24"/>
                <w:highlight w:val="none"/>
              </w:rPr>
              <w:t>信用信息</w:t>
            </w:r>
            <w:r>
              <w:rPr>
                <w:rFonts w:hint="eastAsia" w:ascii="宋体" w:hAnsi="宋体" w:eastAsia="宋体" w:cs="宋体"/>
                <w:color w:val="auto"/>
                <w:sz w:val="24"/>
                <w:highlight w:val="none"/>
              </w:rPr>
              <w:t>查询</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w:t>
            </w:r>
            <w:r>
              <w:rPr>
                <w:rFonts w:hint="eastAsia" w:ascii="宋体" w:hAnsi="宋体" w:eastAsia="宋体" w:cs="宋体"/>
                <w:color w:val="auto"/>
                <w:sz w:val="24"/>
                <w:highlight w:val="none"/>
              </w:rPr>
              <w:t>人、</w:t>
            </w:r>
            <w:r>
              <w:rPr>
                <w:rFonts w:hint="eastAsia" w:ascii="宋体" w:hAnsi="宋体" w:eastAsia="宋体" w:cs="宋体"/>
                <w:color w:val="auto"/>
                <w:sz w:val="24"/>
                <w:highlight w:val="none"/>
              </w:rPr>
              <w:t>采购</w:t>
            </w:r>
            <w:r>
              <w:rPr>
                <w:rFonts w:hint="eastAsia" w:ascii="宋体" w:hAnsi="宋体" w:eastAsia="宋体" w:cs="宋体"/>
                <w:color w:val="auto"/>
                <w:sz w:val="24"/>
                <w:highlight w:val="none"/>
              </w:rPr>
              <w:t>机构质疑接收人</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详见公告</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线上提交质疑方式：政采云线上质疑路径：项目采购-询问质疑投诉-质疑列表。请使用ca签章在每一页质疑文件中加盖电子公章，上传完整附件。</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本项目涉及资格条件、采购需求、评分办法及采购过程中有关现场考察或开标前答疑会等事项由</w:t>
            </w:r>
            <w:r>
              <w:rPr>
                <w:rFonts w:hint="eastAsia" w:ascii="宋体" w:hAnsi="宋体" w:eastAsia="宋体" w:cs="宋体"/>
                <w:color w:val="auto"/>
                <w:sz w:val="24"/>
                <w:highlight w:val="none"/>
              </w:rPr>
              <w:t>采购人进行答复。</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涉及</w:t>
            </w:r>
            <w:r>
              <w:rPr>
                <w:rFonts w:hint="eastAsia" w:ascii="宋体" w:hAnsi="宋体" w:eastAsia="宋体" w:cs="宋体"/>
                <w:color w:val="auto"/>
                <w:sz w:val="24"/>
                <w:highlight w:val="none"/>
              </w:rPr>
              <w:t>流程规范性、组织程序等</w:t>
            </w:r>
            <w:r>
              <w:rPr>
                <w:rFonts w:hint="eastAsia" w:ascii="宋体" w:hAnsi="宋体" w:eastAsia="宋体" w:cs="宋体"/>
                <w:color w:val="auto"/>
                <w:sz w:val="24"/>
                <w:highlight w:val="none"/>
              </w:rPr>
              <w:t>相关</w:t>
            </w:r>
            <w:r>
              <w:rPr>
                <w:rFonts w:hint="eastAsia" w:ascii="宋体" w:hAnsi="宋体" w:eastAsia="宋体" w:cs="宋体"/>
                <w:color w:val="auto"/>
                <w:sz w:val="24"/>
                <w:highlight w:val="none"/>
              </w:rPr>
              <w:t>事项，由</w:t>
            </w:r>
            <w:r>
              <w:rPr>
                <w:rFonts w:hint="eastAsia" w:ascii="宋体" w:hAnsi="宋体" w:eastAsia="宋体" w:cs="宋体"/>
                <w:color w:val="auto"/>
                <w:sz w:val="24"/>
                <w:highlight w:val="none"/>
              </w:rPr>
              <w:t>采购</w:t>
            </w:r>
            <w:r>
              <w:rPr>
                <w:rFonts w:hint="eastAsia" w:ascii="宋体" w:hAnsi="宋体" w:eastAsia="宋体" w:cs="宋体"/>
                <w:color w:val="auto"/>
                <w:sz w:val="24"/>
                <w:highlight w:val="none"/>
              </w:rPr>
              <w:t>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ascii="宋体" w:hAnsi="宋体" w:eastAsia="宋体" w:cs="宋体"/>
                <w:color w:val="auto"/>
                <w:sz w:val="24"/>
                <w:highlight w:val="none"/>
              </w:rPr>
              <w:t>后</w:t>
            </w:r>
            <w:r>
              <w:rPr>
                <w:rFonts w:hint="eastAsia" w:ascii="宋体" w:hAnsi="宋体" w:eastAsia="宋体" w:cs="宋体"/>
                <w:color w:val="auto"/>
                <w:sz w:val="24"/>
                <w:highlight w:val="none"/>
              </w:rPr>
              <w:t>已有新文件</w:t>
            </w:r>
            <w:r>
              <w:rPr>
                <w:rFonts w:hint="eastAsia" w:ascii="宋体" w:hAnsi="宋体" w:eastAsia="宋体" w:cs="宋体"/>
                <w:color w:val="auto"/>
                <w:sz w:val="24"/>
                <w:highlight w:val="none"/>
              </w:rPr>
              <w:t>规定</w:t>
            </w:r>
            <w:r>
              <w:rPr>
                <w:rFonts w:hint="eastAsia" w:ascii="宋体" w:hAnsi="宋体" w:eastAsia="宋体" w:cs="宋体"/>
                <w:color w:val="auto"/>
                <w:sz w:val="24"/>
                <w:highlight w:val="none"/>
              </w:rPr>
              <w:t>，按照最新文件执行）。存在隐蔽工程的项目，采购单位及供应商应在货物到货并将实施</w:t>
            </w:r>
            <w:r>
              <w:rPr>
                <w:rFonts w:hint="eastAsia" w:ascii="宋体" w:hAnsi="宋体" w:eastAsia="宋体" w:cs="宋体"/>
                <w:color w:val="auto"/>
                <w:sz w:val="24"/>
                <w:highlight w:val="none"/>
              </w:rPr>
              <w:t>安装前，申请进行初验收。</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rPr>
              <w:t>: 0571-83587785/0571-82816012  联系地址: 萧山区通惠北路2-1号302室</w:t>
            </w:r>
          </w:p>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sz w:val="24"/>
                  <w:highlight w:val="none"/>
                </w:rPr>
                <w:id w:val="4672"/>
                <w14:checkbox>
                  <w14:checked w14:val="0"/>
                  <w14:checkedState w14:val="00FE" w14:font="Wingdings"/>
                  <w14:uncheckedState w14:val="2610" w14:font="MS Gothic"/>
                </w14:checkbox>
              </w:sdtPr>
              <w:sdtEndPr>
                <w:rPr>
                  <w:rFonts w:hint="eastAsia" w:ascii="宋体" w:hAnsi="宋体" w:eastAsia="宋体" w:cs="宋体"/>
                  <w:color w:val="auto"/>
                  <w:sz w:val="24"/>
                  <w:highlight w:val="none"/>
                </w:rPr>
              </w:sdtEndPr>
              <w:sdtContent>
                <w:r>
                  <w:rPr>
                    <w:rFonts w:hint="eastAsia" w:ascii="宋体" w:hAnsi="宋体" w:eastAsia="宋体" w:cs="宋体"/>
                    <w:color w:val="auto"/>
                    <w:sz w:val="24"/>
                    <w:highlight w:val="none"/>
                  </w:rPr>
                  <w:t>☐</w:t>
                </w:r>
              </w:sdtContent>
            </w:sdt>
            <w:r>
              <w:rPr>
                <w:rFonts w:hint="eastAsia" w:ascii="宋体" w:hAnsi="宋体" w:eastAsia="宋体" w:cs="宋体"/>
                <w:color w:val="auto"/>
                <w:sz w:val="24"/>
                <w:highlight w:val="none"/>
              </w:rPr>
              <w:t>联合体投标的，联合体各方均需按招标文件第四部分评标标准要求提供资信证明文件，否则视为不符合相关要求。</w:t>
            </w:r>
          </w:p>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sz w:val="24"/>
                  <w:highlight w:val="none"/>
                </w:rPr>
                <w:id w:val="1052570136"/>
                <w14:checkbox>
                  <w14:checked w14:val="1"/>
                  <w14:checkedState w14:val="00FE" w14:font="Wingdings"/>
                  <w14:uncheckedState w14:val="2610" w14:font="MS Gothic"/>
                </w14:checkbox>
              </w:sdtPr>
              <w:sdtEndPr>
                <w:rPr>
                  <w:rFonts w:hint="eastAsia" w:ascii="宋体" w:hAnsi="宋体" w:eastAsia="宋体" w:cs="宋体"/>
                  <w:color w:val="auto"/>
                  <w:sz w:val="24"/>
                  <w:highlight w:val="none"/>
                </w:rPr>
              </w:sdtEndPr>
              <w:sdtContent>
                <w:r>
                  <w:rPr>
                    <w:rFonts w:hint="eastAsia" w:ascii="宋体" w:hAnsi="宋体" w:eastAsia="宋体" w:cs="宋体"/>
                    <w:color w:val="auto"/>
                    <w:sz w:val="24"/>
                    <w:highlight w:val="none"/>
                  </w:rPr>
                  <w:sym w:font="Wingdings" w:char="F0FE"/>
                </w:r>
              </w:sdtContent>
            </w:sdt>
            <w:r>
              <w:rPr>
                <w:rFonts w:hint="eastAsia" w:ascii="宋体" w:hAnsi="宋体" w:eastAsia="宋体" w:cs="宋体"/>
                <w:color w:val="auto"/>
                <w:sz w:val="24"/>
                <w:highlight w:val="none"/>
              </w:rPr>
              <w:t>联合体投标的，联合体中有一方或者联合体成员根据分工按招标文件第四部分评标标准要求提供资信证明文件的，视为符合了相关要求。</w:t>
            </w:r>
            <w:r>
              <w:rPr>
                <w:rFonts w:hint="eastAsia" w:ascii="宋体" w:hAnsi="宋体" w:eastAsia="宋体" w:cs="宋体"/>
                <w:color w:val="auto"/>
                <w:sz w:val="24"/>
                <w:highlight w:val="none"/>
              </w:rPr>
              <w:br w:type="textWrapping"/>
            </w:r>
            <w:r>
              <w:rPr>
                <w:rFonts w:hint="eastAsia" w:ascii="宋体" w:hAnsi="宋体" w:eastAsia="宋体" w:cs="宋体"/>
                <w:color w:val="auto"/>
                <w:kern w:val="0"/>
                <w:sz w:val="24"/>
                <w:highlight w:val="none"/>
              </w:rPr>
              <w:t>评审因素对应的要求视为采购需求的一部分。</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严格执行预算限价，项目如涉及办公用房装修、通用办公设备家具的不得超限额标准。（萧财国资【2019】389号）</w:t>
            </w:r>
          </w:p>
          <w:p>
            <w:pPr>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本项目每个标项推荐中标候选人数量：1</w:t>
            </w:r>
          </w:p>
        </w:tc>
      </w:tr>
    </w:tbl>
    <w:p>
      <w:pPr>
        <w:snapToGrid w:val="0"/>
        <w:spacing w:line="360" w:lineRule="auto"/>
        <w:jc w:val="center"/>
        <w:rPr>
          <w:rFonts w:hint="eastAsia" w:ascii="宋体" w:hAnsi="宋体" w:eastAsia="宋体" w:cs="宋体"/>
          <w:b/>
          <w:color w:val="auto"/>
          <w:sz w:val="24"/>
          <w:highlight w:val="none"/>
        </w:rPr>
      </w:pPr>
    </w:p>
    <w:bookmarkEnd w:id="10"/>
    <w:p>
      <w:pPr>
        <w:adjustRightInd/>
        <w:spacing w:line="360" w:lineRule="auto"/>
        <w:ind w:firstLine="2884" w:firstLineChars="1197"/>
        <w:outlineLvl w:val="0"/>
        <w:rPr>
          <w:rFonts w:hint="eastAsia" w:ascii="宋体" w:hAnsi="宋体" w:eastAsia="宋体" w:cs="宋体"/>
          <w:b/>
          <w:color w:val="auto"/>
          <w:sz w:val="24"/>
          <w:highlight w:val="none"/>
        </w:rPr>
      </w:pPr>
      <w:bookmarkStart w:id="13" w:name="_Toc164416483"/>
      <w:bookmarkStart w:id="14" w:name="第三部分"/>
      <w:r>
        <w:rPr>
          <w:rFonts w:hint="eastAsia" w:ascii="宋体" w:hAnsi="宋体" w:eastAsia="宋体" w:cs="宋体"/>
          <w:b/>
          <w:color w:val="auto"/>
          <w:sz w:val="24"/>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“采购代理机构”系指招标公告中载明的本项目的采购代理机构。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2.6“电子交易平台”系指本项目政府采购活动所依托的政府采购云平台（https://www.zcygov.cn/）。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w:t>
      </w:r>
      <w:sdt>
        <w:sdtPr>
          <w:rPr>
            <w:rFonts w:hint="eastAsia" w:ascii="宋体" w:hAnsi="宋体" w:eastAsia="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系指适用本项目的要求，“</w:t>
      </w:r>
      <w:sdt>
        <w:sdtPr>
          <w:rPr>
            <w:rFonts w:hint="eastAsia" w:ascii="宋体" w:hAnsi="宋体" w:eastAsia="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eastAsia="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3.3.3对于未预留份额专门面向中小企业的政府采购货物项目，以及预留份额政府采购货物项目中的非预留部分标项，对小型和微型企业的投标报价给予10%-</w:t>
      </w:r>
      <w:r>
        <w:rPr>
          <w:rFonts w:hint="eastAsia" w:ascii="宋体" w:hAnsi="宋体" w:eastAsia="宋体" w:cs="宋体"/>
          <w:color w:val="auto"/>
          <w:sz w:val="24"/>
          <w:highlight w:val="none"/>
        </w:rPr>
        <w:t>20</w:t>
      </w:r>
      <w:r>
        <w:rPr>
          <w:rFonts w:hint="eastAsia" w:ascii="宋体" w:hAnsi="宋体" w:eastAsia="宋体" w:cs="宋体"/>
          <w:color w:val="auto"/>
          <w:sz w:val="24"/>
          <w:highlight w:val="none"/>
        </w:rPr>
        <w:t>%的扣除（</w:t>
      </w:r>
      <w:r>
        <w:rPr>
          <w:rFonts w:hint="eastAsia" w:ascii="宋体" w:hAnsi="宋体" w:eastAsia="宋体" w:cs="宋体"/>
          <w:snapToGrid w:val="0"/>
          <w:color w:val="auto"/>
          <w:kern w:val="28"/>
          <w:sz w:val="24"/>
          <w:highlight w:val="none"/>
        </w:rPr>
        <w:t>招标文件第四部分</w:t>
      </w:r>
      <w:r>
        <w:rPr>
          <w:rFonts w:hint="eastAsia" w:ascii="宋体" w:hAnsi="宋体" w:eastAsia="宋体" w:cs="宋体"/>
          <w:color w:val="auto"/>
          <w:sz w:val="24"/>
          <w:highlight w:val="none"/>
          <w:u w:val="single"/>
        </w:rPr>
        <w:t>评标办分法明确具体的扣除比例，未明确的，</w:t>
      </w:r>
      <w:r>
        <w:rPr>
          <w:rFonts w:hint="eastAsia" w:ascii="宋体" w:hAnsi="宋体" w:eastAsia="宋体" w:cs="宋体"/>
          <w:color w:val="auto"/>
          <w:sz w:val="24"/>
          <w:highlight w:val="none"/>
        </w:rPr>
        <w:t>给予2</w:t>
      </w:r>
      <w:r>
        <w:rPr>
          <w:rFonts w:hint="eastAsia" w:ascii="宋体" w:hAnsi="宋体" w:eastAsia="宋体" w:cs="宋体"/>
          <w:color w:val="auto"/>
          <w:sz w:val="24"/>
          <w:highlight w:val="none"/>
        </w:rPr>
        <w:t>0</w:t>
      </w:r>
      <w:r>
        <w:rPr>
          <w:rFonts w:hint="eastAsia" w:ascii="宋体" w:hAnsi="宋体" w:eastAsia="宋体" w:cs="宋体"/>
          <w:color w:val="auto"/>
          <w:sz w:val="24"/>
          <w:highlight w:val="none"/>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eastAsia="宋体" w:cs="宋体"/>
          <w:color w:val="auto"/>
          <w:sz w:val="24"/>
          <w:highlight w:val="none"/>
        </w:rPr>
        <w:t>联合协议或者分包意向协议约定小微企业的合同份额占到合同总金额30%以上的</w:t>
      </w:r>
      <w:bookmarkEnd w:id="16"/>
      <w:r>
        <w:rPr>
          <w:rFonts w:hint="eastAsia" w:ascii="宋体" w:hAnsi="宋体" w:eastAsia="宋体" w:cs="宋体"/>
          <w:color w:val="auto"/>
          <w:sz w:val="24"/>
          <w:highlight w:val="none"/>
        </w:rPr>
        <w:t>，对联合体或者大中型企业的报价给予4%-</w:t>
      </w:r>
      <w:r>
        <w:rPr>
          <w:rFonts w:hint="eastAsia" w:ascii="宋体" w:hAnsi="宋体" w:eastAsia="宋体" w:cs="宋体"/>
          <w:color w:val="auto"/>
          <w:sz w:val="24"/>
          <w:highlight w:val="none"/>
        </w:rPr>
        <w:t>6</w:t>
      </w:r>
      <w:r>
        <w:rPr>
          <w:rFonts w:hint="eastAsia" w:ascii="宋体" w:hAnsi="宋体" w:eastAsia="宋体" w:cs="宋体"/>
          <w:color w:val="auto"/>
          <w:sz w:val="24"/>
          <w:highlight w:val="none"/>
        </w:rPr>
        <w:t>%（</w:t>
      </w:r>
      <w:r>
        <w:rPr>
          <w:rFonts w:hint="eastAsia" w:ascii="宋体" w:hAnsi="宋体" w:eastAsia="宋体" w:cs="宋体"/>
          <w:snapToGrid w:val="0"/>
          <w:color w:val="auto"/>
          <w:kern w:val="28"/>
          <w:sz w:val="24"/>
          <w:highlight w:val="none"/>
        </w:rPr>
        <w:t>招标文件第四部分</w:t>
      </w:r>
      <w:r>
        <w:rPr>
          <w:rFonts w:hint="eastAsia" w:ascii="宋体" w:hAnsi="宋体" w:eastAsia="宋体" w:cs="宋体"/>
          <w:color w:val="auto"/>
          <w:sz w:val="24"/>
          <w:highlight w:val="none"/>
          <w:u w:val="single"/>
        </w:rPr>
        <w:t>评标办分法明确具体的扣除比例，未明确的，</w:t>
      </w:r>
      <w:r>
        <w:rPr>
          <w:rFonts w:hint="eastAsia" w:ascii="宋体" w:hAnsi="宋体" w:eastAsia="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w:t>
      </w:r>
      <w:r>
        <w:rPr>
          <w:rFonts w:hint="eastAsia" w:ascii="宋体" w:hAnsi="宋体" w:eastAsia="宋体" w:cs="宋体"/>
          <w:color w:val="auto"/>
          <w:sz w:val="24"/>
          <w:highlight w:val="none"/>
        </w:rPr>
        <w:t>3</w:t>
      </w:r>
      <w:r>
        <w:rPr>
          <w:rFonts w:hint="eastAsia" w:ascii="宋体" w:hAnsi="宋体" w:eastAsia="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3.5平等对待内外资企业和符合条件的破产重整企业</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平等对待内外资企业和符合条件的破产重整企业，切实保障企业公平竞争，平等维护企业的合法利益。</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4.1在线询问、质疑、投诉</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4.3供应商质疑</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4.3</w:t>
      </w:r>
      <w:r>
        <w:rPr>
          <w:rFonts w:hint="eastAsia" w:ascii="宋体" w:hAnsi="宋体" w:eastAsia="宋体" w:cs="宋体"/>
          <w:color w:val="auto"/>
          <w:sz w:val="24"/>
          <w:szCs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4.3</w:t>
      </w:r>
      <w:r>
        <w:rPr>
          <w:rFonts w:hint="eastAsia" w:ascii="宋体" w:hAnsi="宋体" w:eastAsia="宋体" w:cs="宋体"/>
          <w:color w:val="auto"/>
          <w:sz w:val="24"/>
          <w:szCs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int="eastAsia" w:ascii="宋体" w:hAnsi="宋体" w:eastAsia="宋体" w:cs="宋体"/>
          <w:snapToGrid/>
          <w:color w:val="auto"/>
          <w:kern w:val="2"/>
          <w:sz w:val="24"/>
          <w:szCs w:val="24"/>
          <w:highlight w:val="none"/>
        </w:rPr>
      </w:pPr>
      <w:r>
        <w:rPr>
          <w:rFonts w:hint="eastAsia" w:ascii="宋体" w:hAnsi="宋体" w:eastAsia="宋体" w:cs="宋体"/>
          <w:snapToGrid/>
          <w:color w:val="auto"/>
          <w:kern w:val="2"/>
          <w:sz w:val="24"/>
          <w:szCs w:val="24"/>
          <w:highlight w:val="none"/>
        </w:rPr>
        <w:t>4.3.2.1对招标文件提出质疑的，质疑期限为供应商获得招标文件之日或者招标文件公告期限届满之日起计算。</w:t>
      </w:r>
    </w:p>
    <w:p>
      <w:pPr>
        <w:pStyle w:val="32"/>
        <w:spacing w:line="360" w:lineRule="auto"/>
        <w:ind w:left="479" w:leftChars="22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w:t>
      </w:r>
      <w:r>
        <w:rPr>
          <w:rFonts w:hint="eastAsia" w:ascii="宋体" w:hAnsi="宋体" w:eastAsia="宋体" w:cs="宋体"/>
          <w:color w:val="auto"/>
          <w:sz w:val="24"/>
          <w:szCs w:val="24"/>
          <w:highlight w:val="none"/>
        </w:rPr>
        <w:t>供应商提出质疑应当提交质疑函和必要的证明材料。质疑函应当包括下列内容：</w:t>
      </w:r>
    </w:p>
    <w:p>
      <w:pPr>
        <w:pStyle w:val="32"/>
        <w:spacing w:line="360" w:lineRule="auto"/>
        <w:ind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4.3.3.1供应商的姓名或者名称、地址、邮编、联系人及联系电话；</w:t>
      </w:r>
    </w:p>
    <w:p>
      <w:pPr>
        <w:pStyle w:val="32"/>
        <w:spacing w:line="360" w:lineRule="auto"/>
        <w:ind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4.3.3.2质疑项目的名称、编号；</w:t>
      </w:r>
    </w:p>
    <w:p>
      <w:pPr>
        <w:pStyle w:val="32"/>
        <w:spacing w:line="360" w:lineRule="auto"/>
        <w:ind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4.3.3.3具体、明确的质疑事项和与质疑事项相关的请求；</w:t>
      </w:r>
    </w:p>
    <w:p>
      <w:pPr>
        <w:pStyle w:val="32"/>
        <w:spacing w:line="360" w:lineRule="auto"/>
        <w:ind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4.3.3.4事实依据；</w:t>
      </w:r>
    </w:p>
    <w:p>
      <w:pPr>
        <w:pStyle w:val="32"/>
        <w:spacing w:line="360" w:lineRule="auto"/>
        <w:ind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　　4.3.3.5必要的法律依据；</w:t>
      </w:r>
    </w:p>
    <w:p>
      <w:pPr>
        <w:pStyle w:val="32"/>
        <w:spacing w:line="360" w:lineRule="auto"/>
        <w:ind w:firstLine="960" w:firstLineChars="4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4.3.3.6提出质疑的日期。</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4.4供应商投诉</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129"/>
        <w:snapToGrid w:val="0"/>
        <w:spacing w:before="0"/>
        <w:ind w:firstLine="480"/>
        <w:rPr>
          <w:rFonts w:hint="eastAsia" w:ascii="宋体" w:hAnsi="宋体" w:eastAsia="宋体" w:cs="宋体"/>
          <w:color w:val="auto"/>
          <w:szCs w:val="24"/>
          <w:highlight w:val="none"/>
        </w:rPr>
      </w:pPr>
    </w:p>
    <w:p>
      <w:pPr>
        <w:adjustRightInd/>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二、招标文件的构成、澄清、修改</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5.1.6应提交的有关格式范例。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129"/>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6.1已获取招标文件的潜在投标人，若有问题需要澄清，应于投标截止时间前，以书面形式向采购代理机构提出。</w:t>
      </w:r>
    </w:p>
    <w:p>
      <w:pPr>
        <w:pStyle w:val="129"/>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宋体" w:hAnsi="宋体" w:eastAsia="宋体" w:cs="宋体"/>
          <w:color w:val="auto"/>
          <w:szCs w:val="24"/>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三、投标</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kern w:val="28"/>
          <w:sz w:val="24"/>
          <w:szCs w:val="24"/>
          <w:highlight w:val="none"/>
        </w:rPr>
        <w:t>9.投标保证金</w:t>
      </w:r>
    </w:p>
    <w:p>
      <w:pPr>
        <w:pStyle w:val="5"/>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本项目不需缴纳投标保证金。</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rPr>
        <w:t>1.1.2</w:t>
      </w:r>
      <w:bookmarkStart w:id="17" w:name="_Hlk101259339"/>
      <w:r>
        <w:rPr>
          <w:rFonts w:hint="eastAsia" w:ascii="宋体" w:hAnsi="宋体" w:eastAsia="宋体" w:cs="宋体"/>
          <w:snapToGrid w:val="0"/>
          <w:color w:val="auto"/>
          <w:kern w:val="28"/>
          <w:sz w:val="24"/>
          <w:highlight w:val="none"/>
        </w:rPr>
        <w:t>联合协议</w:t>
      </w:r>
      <w:bookmarkEnd w:id="17"/>
      <w:r>
        <w:rPr>
          <w:rFonts w:hint="eastAsia" w:ascii="宋体" w:hAnsi="宋体" w:eastAsia="宋体" w:cs="宋体"/>
          <w:snapToGrid w:val="0"/>
          <w:color w:val="auto"/>
          <w:kern w:val="28"/>
          <w:sz w:val="24"/>
          <w:highlight w:val="none"/>
        </w:rPr>
        <w:t>（如果有)；</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color w:val="auto"/>
          <w:sz w:val="24"/>
          <w:highlight w:val="none"/>
        </w:rPr>
        <w:t>3</w:t>
      </w:r>
      <w:r>
        <w:rPr>
          <w:rFonts w:hint="eastAsia" w:ascii="宋体" w:hAnsi="宋体" w:eastAsia="宋体" w:cs="宋体"/>
          <w:color w:val="auto"/>
          <w:sz w:val="24"/>
          <w:highlight w:val="none"/>
        </w:rPr>
        <w:t>落实政府采购政策需满足的资格要求</w:t>
      </w:r>
      <w:r>
        <w:rPr>
          <w:rFonts w:hint="eastAsia" w:ascii="宋体" w:hAnsi="宋体" w:eastAsia="宋体" w:cs="宋体"/>
          <w:snapToGrid w:val="0"/>
          <w:color w:val="auto"/>
          <w:kern w:val="28"/>
          <w:sz w:val="24"/>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color w:val="auto"/>
          <w:sz w:val="24"/>
          <w:highlight w:val="none"/>
        </w:rPr>
        <w:t>4</w:t>
      </w:r>
      <w:r>
        <w:rPr>
          <w:rFonts w:hint="eastAsia" w:ascii="宋体" w:hAnsi="宋体" w:eastAsia="宋体" w:cs="宋体"/>
          <w:color w:val="auto"/>
          <w:sz w:val="24"/>
          <w:highlight w:val="none"/>
        </w:rPr>
        <w:t>本项目的特定资格要求</w:t>
      </w:r>
      <w:r>
        <w:rPr>
          <w:rFonts w:hint="eastAsia" w:ascii="宋体" w:hAnsi="宋体" w:eastAsia="宋体" w:cs="宋体"/>
          <w:snapToGrid w:val="0"/>
          <w:color w:val="auto"/>
          <w:kern w:val="28"/>
          <w:sz w:val="24"/>
          <w:highlight w:val="none"/>
        </w:rPr>
        <w:t>（如果有)</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eastAsia="宋体" w:cs="宋体"/>
          <w:color w:val="auto"/>
          <w:sz w:val="24"/>
          <w:highlight w:val="none"/>
        </w:rPr>
        <w:t>3</w:t>
      </w:r>
      <w:r>
        <w:rPr>
          <w:rFonts w:hint="eastAsia" w:ascii="宋体" w:hAnsi="宋体" w:eastAsia="宋体" w:cs="宋体"/>
          <w:color w:val="auto"/>
          <w:sz w:val="24"/>
          <w:highlight w:val="none"/>
        </w:rPr>
        <w:t>分包意向协议</w:t>
      </w:r>
      <w:r>
        <w:rPr>
          <w:rFonts w:hint="eastAsia" w:ascii="宋体" w:hAnsi="宋体" w:eastAsia="宋体" w:cs="宋体"/>
          <w:snapToGrid w:val="0"/>
          <w:color w:val="auto"/>
          <w:kern w:val="28"/>
          <w:sz w:val="24"/>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eastAsia="宋体" w:cs="宋体"/>
          <w:color w:val="auto"/>
          <w:sz w:val="24"/>
          <w:highlight w:val="none"/>
        </w:rPr>
        <w:t>4</w:t>
      </w:r>
      <w:r>
        <w:rPr>
          <w:rFonts w:hint="eastAsia" w:ascii="宋体" w:hAnsi="宋体" w:eastAsia="宋体" w:cs="宋体"/>
          <w:color w:val="auto"/>
          <w:sz w:val="24"/>
          <w:highlight w:val="none"/>
        </w:rPr>
        <w:t>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eastAsia="宋体" w:cs="宋体"/>
          <w:color w:val="auto"/>
          <w:sz w:val="24"/>
          <w:highlight w:val="none"/>
        </w:rPr>
        <w:t>5</w:t>
      </w:r>
      <w:r>
        <w:rPr>
          <w:rFonts w:hint="eastAsia" w:ascii="宋体" w:hAnsi="宋体" w:eastAsia="宋体" w:cs="宋体"/>
          <w:color w:val="auto"/>
          <w:sz w:val="24"/>
          <w:highlight w:val="none"/>
        </w:rPr>
        <w:t>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eastAsia="宋体" w:cs="宋体"/>
          <w:color w:val="auto"/>
          <w:sz w:val="24"/>
          <w:highlight w:val="none"/>
        </w:rPr>
        <w:t>6</w:t>
      </w:r>
      <w:r>
        <w:rPr>
          <w:rFonts w:hint="eastAsia" w:ascii="宋体" w:hAnsi="宋体" w:eastAsia="宋体" w:cs="宋体"/>
          <w:color w:val="auto"/>
          <w:sz w:val="24"/>
          <w:highlight w:val="none"/>
        </w:rPr>
        <w:t>投标标的清单；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eastAsia="宋体" w:cs="宋体"/>
          <w:color w:val="auto"/>
          <w:sz w:val="24"/>
          <w:highlight w:val="none"/>
        </w:rPr>
        <w:t>7</w:t>
      </w:r>
      <w:r>
        <w:rPr>
          <w:rFonts w:hint="eastAsia" w:ascii="宋体" w:hAnsi="宋体" w:eastAsia="宋体" w:cs="宋体"/>
          <w:color w:val="auto"/>
          <w:sz w:val="24"/>
          <w:highlight w:val="none"/>
        </w:rPr>
        <w:t>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投标人提供虚假材料投标的，投标无效。</w:t>
      </w:r>
    </w:p>
    <w:p>
      <w:pPr>
        <w:pStyle w:val="129"/>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129"/>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13.1投标文件按照招标文件第六部分格式要求进行签署、盖章。</w:t>
      </w:r>
      <w:r>
        <w:rPr>
          <w:rFonts w:hint="eastAsia" w:ascii="宋体" w:hAnsi="宋体" w:eastAsia="宋体" w:cs="宋体"/>
          <w:b/>
          <w:color w:val="auto"/>
          <w:szCs w:val="24"/>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129"/>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13.3招标文件对投标文件签署、盖章的要求适用于电子签名。</w:t>
      </w:r>
    </w:p>
    <w:p>
      <w:pPr>
        <w:pStyle w:val="129"/>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129"/>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2"/>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但采购人、采购代理机构不强制或变相强制投标人提交备份投标文件。</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szCs w:val="24"/>
          <w:highlight w:val="none"/>
        </w:rPr>
        <w:t>不符合上述制作、存储、密封规定的备份投标文件将被视为无效或者被拒绝接收。</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auto"/>
          <w:sz w:val="24"/>
          <w:szCs w:val="24"/>
          <w:highlight w:val="none"/>
        </w:rPr>
        <w:t>招标文件第二部分投标人须知前附表规定的备份投标文件送达地点；</w:t>
      </w:r>
      <w:r>
        <w:rPr>
          <w:rFonts w:hint="eastAsia" w:ascii="宋体" w:hAnsi="宋体" w:eastAsia="宋体" w:cs="宋体"/>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15.5投标人仅提交备份投标文件，未在电子交易平台传输递交投标文件的，投标无效。</w:t>
      </w:r>
    </w:p>
    <w:p>
      <w:pPr>
        <w:pStyle w:val="129"/>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6"/>
        <w:spacing w:line="360" w:lineRule="auto"/>
        <w:ind w:firstLine="360" w:firstLineChars="150"/>
        <w:rPr>
          <w:rFonts w:hint="eastAsia" w:ascii="宋体" w:hAnsi="宋体" w:eastAsia="宋体" w:cs="宋体"/>
          <w:color w:val="auto"/>
          <w:highlight w:val="none"/>
        </w:rPr>
      </w:pPr>
      <w:r>
        <w:rPr>
          <w:rFonts w:hint="eastAsia" w:ascii="宋体" w:hAnsi="宋体" w:eastAsia="宋体" w:cs="宋体"/>
          <w:color w:val="auto"/>
          <w:highlight w:val="none"/>
        </w:rPr>
        <w:t>有招标文件第四部分</w:t>
      </w:r>
      <w:r>
        <w:rPr>
          <w:rFonts w:hint="eastAsia" w:ascii="宋体" w:hAnsi="宋体" w:eastAsia="宋体" w:cs="宋体"/>
          <w:color w:val="auto"/>
          <w:highlight w:val="none"/>
        </w:rPr>
        <w:t>4.2规定</w:t>
      </w:r>
      <w:r>
        <w:rPr>
          <w:rFonts w:hint="eastAsia" w:ascii="宋体" w:hAnsi="宋体" w:eastAsia="宋体" w:cs="宋体"/>
          <w:color w:val="auto"/>
          <w:highlight w:val="none"/>
        </w:rPr>
        <w:t>的情形之一的，投标无效：</w:t>
      </w:r>
    </w:p>
    <w:p>
      <w:pPr>
        <w:pStyle w:val="129"/>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17.1投标有效期为从提交投标文件的截止之日起90天。▲</w:t>
      </w:r>
      <w:r>
        <w:rPr>
          <w:rFonts w:hint="eastAsia" w:ascii="宋体" w:hAnsi="宋体" w:eastAsia="宋体" w:cs="宋体"/>
          <w:b/>
          <w:color w:val="auto"/>
          <w:sz w:val="24"/>
          <w:highlight w:val="none"/>
        </w:rPr>
        <w:t>投标人的投标文件中承诺的投标有效期少于招标文件中载明的投标有效期的，投标无效。</w:t>
      </w:r>
    </w:p>
    <w:p>
      <w:pPr>
        <w:pStyle w:val="129"/>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17.2投标文件合格投递后，自投标截止日期起，在投标有效期内有效。</w:t>
      </w:r>
    </w:p>
    <w:p>
      <w:pPr>
        <w:pStyle w:val="129"/>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9"/>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17.4在投标截止时间起至投标有效期届满，供应商投标文件不可撤销。</w:t>
      </w:r>
    </w:p>
    <w:p>
      <w:pPr>
        <w:pStyle w:val="129"/>
        <w:spacing w:before="0"/>
        <w:ind w:firstLine="480"/>
        <w:rPr>
          <w:rFonts w:hint="eastAsia" w:ascii="宋体" w:hAnsi="宋体" w:eastAsia="宋体" w:cs="宋体"/>
          <w:color w:val="auto"/>
          <w:szCs w:val="24"/>
          <w:highlight w:val="none"/>
        </w:rPr>
      </w:pPr>
    </w:p>
    <w:p>
      <w:pPr>
        <w:pStyle w:val="129"/>
        <w:spacing w:before="0"/>
        <w:ind w:firstLine="482"/>
        <w:rPr>
          <w:rFonts w:hint="eastAsia" w:ascii="宋体" w:hAnsi="宋体" w:eastAsia="宋体" w:cs="宋体"/>
          <w:b/>
          <w:color w:val="auto"/>
          <w:szCs w:val="24"/>
          <w:highlight w:val="none"/>
        </w:rPr>
      </w:pPr>
    </w:p>
    <w:p>
      <w:pPr>
        <w:pStyle w:val="129"/>
        <w:spacing w:before="0"/>
        <w:ind w:firstLine="1446" w:firstLineChars="60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四、开标、资格审查与信用信息查询</w:t>
      </w:r>
    </w:p>
    <w:p>
      <w:pPr>
        <w:pStyle w:val="554"/>
        <w:spacing w:before="0" w:line="360" w:lineRule="auto"/>
        <w:ind w:left="0" w:firstLine="241" w:firstLineChars="100"/>
        <w:contextualSpacing/>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szCs w:val="24"/>
          <w:highlight w:val="none"/>
        </w:rPr>
        <w:t xml:space="preserve"> </w:t>
      </w:r>
    </w:p>
    <w:p>
      <w:pPr>
        <w:pStyle w:val="554"/>
        <w:spacing w:before="0" w:line="360" w:lineRule="auto"/>
        <w:ind w:left="0"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18.3</w:t>
      </w:r>
      <w:r>
        <w:rPr>
          <w:rFonts w:hint="eastAsia" w:ascii="宋体" w:hAnsi="宋体" w:eastAsia="宋体" w:cs="宋体"/>
          <w:b/>
          <w:color w:val="auto"/>
          <w:sz w:val="24"/>
          <w:szCs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19、资格审查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19.1</w:t>
      </w:r>
      <w:r>
        <w:rPr>
          <w:rFonts w:hint="eastAsia" w:ascii="宋体" w:hAnsi="宋体" w:eastAsia="宋体" w:cs="宋体"/>
          <w:color w:val="auto"/>
          <w:sz w:val="24"/>
          <w:highlight w:val="none"/>
        </w:rPr>
        <w:t>采购人或采购代理机构依据法律法规和招标文件的规定，对投标人的资格进行审查。</w:t>
      </w:r>
    </w:p>
    <w:p>
      <w:pPr>
        <w:pStyle w:val="129"/>
        <w:spacing w:before="0"/>
        <w:ind w:firstLine="480"/>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19.2投标人未按照招标文件要求提供与</w:t>
      </w:r>
      <w:r>
        <w:rPr>
          <w:rFonts w:hint="eastAsia" w:ascii="宋体" w:hAnsi="宋体" w:eastAsia="宋体" w:cs="宋体"/>
          <w:color w:val="auto"/>
          <w:szCs w:val="24"/>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szCs w:val="24"/>
          <w:highlight w:val="none"/>
        </w:rPr>
        <w:t>投标人不具备招标文件中规定的资格要求，其投标无效。</w:t>
      </w:r>
    </w:p>
    <w:p>
      <w:pPr>
        <w:pStyle w:val="129"/>
        <w:spacing w:before="0"/>
        <w:ind w:firstLine="480"/>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szCs w:val="24"/>
          <w:highlight w:val="none"/>
        </w:rPr>
        <w:t>3对未通过资格审查的投标人，采购人或采购代理机构告知其未通过的原因。</w:t>
      </w:r>
    </w:p>
    <w:p>
      <w:pPr>
        <w:pStyle w:val="129"/>
        <w:spacing w:before="0"/>
        <w:ind w:firstLine="480"/>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szCs w:val="24"/>
          <w:highlight w:val="none"/>
        </w:rPr>
        <w:t>4合格投标人不足3家的，不再评标。</w:t>
      </w:r>
    </w:p>
    <w:p>
      <w:pPr>
        <w:pStyle w:val="129"/>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29"/>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20.1信用信息查询渠道及截止时间：采购人或采购代理机构将在资格审查时通过“信用中国”网站(www.creditchina.gov.cn)、中国政府采购网(www.ccgp.gov.cn)渠道查询投标人接受资格审查时的信用记录。</w:t>
      </w:r>
    </w:p>
    <w:p>
      <w:pPr>
        <w:pStyle w:val="129"/>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szCs w:val="24"/>
          <w:highlight w:val="none"/>
        </w:rPr>
        <w:t>。</w:t>
      </w:r>
    </w:p>
    <w:p>
      <w:pPr>
        <w:pStyle w:val="129"/>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五、评标</w:t>
      </w:r>
    </w:p>
    <w:p>
      <w:pPr>
        <w:spacing w:line="360" w:lineRule="auto"/>
        <w:rPr>
          <w:rFonts w:hint="eastAsia" w:ascii="宋体" w:hAnsi="宋体" w:eastAsia="宋体" w:cs="宋体"/>
          <w:b/>
          <w:color w:val="auto"/>
          <w:sz w:val="24"/>
          <w:highlight w:val="none"/>
        </w:rPr>
      </w:pPr>
      <w:bookmarkStart w:id="18" w:name="_Toc91899903"/>
      <w:r>
        <w:rPr>
          <w:rFonts w:hint="eastAsia" w:ascii="宋体" w:hAnsi="宋体" w:eastAsia="宋体" w:cs="宋体"/>
          <w:b/>
          <w:color w:val="auto"/>
          <w:sz w:val="24"/>
          <w:highlight w:val="none"/>
        </w:rPr>
        <w:t>21.</w:t>
      </w:r>
      <w:r>
        <w:rPr>
          <w:rFonts w:hint="eastAsia" w:ascii="宋体" w:hAnsi="宋体" w:eastAsia="宋体" w:cs="宋体"/>
          <w:color w:val="auto"/>
          <w:sz w:val="24"/>
          <w:highlight w:val="none"/>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六、定 标</w:t>
      </w:r>
    </w:p>
    <w:p>
      <w:pPr>
        <w:pStyle w:val="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129"/>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361" w:firstLineChars="150"/>
        <w:jc w:val="center"/>
        <w:rPr>
          <w:rFonts w:hint="eastAsia" w:ascii="宋体" w:hAnsi="宋体" w:eastAsia="宋体" w:cs="宋体"/>
          <w:b/>
          <w:color w:val="auto"/>
          <w:sz w:val="24"/>
          <w:highlight w:val="none"/>
        </w:rPr>
      </w:pPr>
    </w:p>
    <w:p>
      <w:pPr>
        <w:snapToGrid w:val="0"/>
        <w:spacing w:line="360" w:lineRule="auto"/>
        <w:ind w:left="120" w:leftChars="57" w:firstLine="361" w:firstLineChars="15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七、合同授予</w:t>
      </w:r>
    </w:p>
    <w:p>
      <w:pPr>
        <w:pStyle w:val="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fill="FFFFFF"/>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25.3如签订合同并生效后，供应商无故拒绝或延期，除按照合同条款处理外，列入不良行为记录一次，并给予通报。</w:t>
      </w:r>
    </w:p>
    <w:p>
      <w:pPr>
        <w:pStyle w:val="129"/>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25.5采购合同由采购人与中标供应商根据招标文件、投标文件等内容通过政府采购电子交易平台在线签订，自动备案。</w:t>
      </w:r>
    </w:p>
    <w:p>
      <w:pPr>
        <w:pStyle w:val="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w:t>
      </w:r>
      <w:r>
        <w:rPr>
          <w:rFonts w:hint="eastAsia" w:ascii="宋体" w:hAnsi="宋体" w:eastAsia="宋体" w:cs="宋体"/>
          <w:color w:val="auto"/>
          <w:sz w:val="24"/>
          <w:highlight w:val="none"/>
        </w:rPr>
        <w:t>1</w:t>
      </w:r>
      <w:r>
        <w:rPr>
          <w:rFonts w:hint="eastAsia" w:ascii="宋体" w:hAnsi="宋体" w:eastAsia="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hint="eastAsia" w:ascii="宋体" w:hAnsi="宋体" w:eastAsia="宋体" w:cs="宋体"/>
          <w:color w:val="auto"/>
          <w:sz w:val="24"/>
          <w:highlight w:val="none"/>
        </w:rPr>
        <w:t>延迟退还的，应当按照合同约定和法律规定承担相应的赔偿责任</w:t>
      </w:r>
      <w:r>
        <w:rPr>
          <w:rFonts w:hint="eastAsia" w:ascii="宋体" w:hAnsi="宋体" w:eastAsia="宋体" w:cs="宋体"/>
          <w:color w:val="auto"/>
          <w:sz w:val="24"/>
          <w:highlight w:val="none"/>
        </w:rPr>
        <w:t>。</w:t>
      </w:r>
    </w:p>
    <w:p>
      <w:pPr>
        <w:pStyle w:val="2"/>
        <w:ind w:left="0" w:firstLine="480" w:firstLineChars="200"/>
        <w:rPr>
          <w:rFonts w:hint="eastAsia" w:ascii="宋体" w:hAnsi="宋体" w:eastAsia="宋体" w:cs="宋体"/>
          <w:b w:val="0"/>
          <w:bCs w:val="0"/>
          <w:snapToGrid w:val="0"/>
          <w:color w:val="auto"/>
          <w:kern w:val="28"/>
          <w:sz w:val="24"/>
          <w:szCs w:val="24"/>
          <w:highlight w:val="none"/>
        </w:rPr>
      </w:pPr>
      <w:r>
        <w:rPr>
          <w:rFonts w:hint="eastAsia" w:ascii="宋体" w:hAnsi="宋体" w:eastAsia="宋体" w:cs="宋体"/>
          <w:b w:val="0"/>
          <w:bCs w:val="0"/>
          <w:snapToGrid w:val="0"/>
          <w:color w:val="auto"/>
          <w:kern w:val="28"/>
          <w:sz w:val="24"/>
          <w:szCs w:val="24"/>
          <w:highlight w:val="none"/>
        </w:rPr>
        <w:t>供应商</w:t>
      </w:r>
      <w:r>
        <w:rPr>
          <w:rFonts w:hint="eastAsia" w:ascii="宋体" w:hAnsi="宋体" w:eastAsia="宋体" w:cs="宋体"/>
          <w:b w:val="0"/>
          <w:bCs w:val="0"/>
          <w:snapToGrid w:val="0"/>
          <w:color w:val="auto"/>
          <w:kern w:val="28"/>
          <w:sz w:val="24"/>
          <w:szCs w:val="24"/>
          <w:highlight w:val="none"/>
          <w:lang w:val="en-US"/>
        </w:rPr>
        <w:t>可</w:t>
      </w:r>
      <w:r>
        <w:rPr>
          <w:rFonts w:hint="eastAsia" w:ascii="宋体" w:hAnsi="宋体" w:eastAsia="宋体" w:cs="宋体"/>
          <w:b w:val="0"/>
          <w:bCs w:val="0"/>
          <w:snapToGrid w:val="0"/>
          <w:color w:val="auto"/>
          <w:kern w:val="28"/>
          <w:sz w:val="24"/>
          <w:szCs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27.预付款</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采购单位应当在政府采购合同中约定预付款，对中小企业合同预付款比例原则上不低于合同金额的</w:t>
      </w:r>
      <w:r>
        <w:rPr>
          <w:rFonts w:hint="eastAsia" w:ascii="宋体" w:hAnsi="宋体" w:eastAsia="宋体" w:cs="宋体"/>
          <w:color w:val="auto"/>
          <w:sz w:val="24"/>
          <w:highlight w:val="none"/>
        </w:rPr>
        <w:t>40％</w:t>
      </w:r>
      <w:r>
        <w:rPr>
          <w:rFonts w:hint="eastAsia" w:ascii="宋体" w:hAnsi="宋体" w:eastAsia="宋体" w:cs="宋体"/>
          <w:color w:val="auto"/>
          <w:sz w:val="24"/>
          <w:highlight w:val="none"/>
        </w:rPr>
        <w:t>，不高于合同金额的</w:t>
      </w:r>
      <w:r>
        <w:rPr>
          <w:rFonts w:hint="eastAsia" w:ascii="宋体" w:hAnsi="宋体" w:eastAsia="宋体" w:cs="宋体"/>
          <w:color w:val="auto"/>
          <w:sz w:val="24"/>
          <w:highlight w:val="none"/>
        </w:rPr>
        <w:t>70%；项目分年安排预算的，每年预付款比例</w:t>
      </w:r>
      <w:r>
        <w:rPr>
          <w:rFonts w:hint="eastAsia" w:ascii="宋体" w:hAnsi="宋体" w:eastAsia="宋体" w:cs="宋体"/>
          <w:color w:val="auto"/>
          <w:sz w:val="24"/>
          <w:highlight w:val="none"/>
        </w:rPr>
        <w:t>不低于</w:t>
      </w:r>
      <w:r>
        <w:rPr>
          <w:rFonts w:hint="eastAsia" w:ascii="宋体" w:hAnsi="宋体" w:eastAsia="宋体" w:cs="宋体"/>
          <w:color w:val="auto"/>
          <w:sz w:val="24"/>
          <w:highlight w:val="none"/>
        </w:rPr>
        <w:t>项目年度计划支付资金额的40％</w:t>
      </w:r>
      <w:r>
        <w:rPr>
          <w:rFonts w:hint="eastAsia" w:ascii="宋体" w:hAnsi="宋体" w:eastAsia="宋体" w:cs="宋体"/>
          <w:color w:val="auto"/>
          <w:sz w:val="24"/>
          <w:highlight w:val="none"/>
        </w:rPr>
        <w:t>，不高于合同金额的</w:t>
      </w:r>
      <w:r>
        <w:rPr>
          <w:rFonts w:hint="eastAsia" w:ascii="宋体" w:hAnsi="宋体" w:eastAsia="宋体" w:cs="宋体"/>
          <w:color w:val="auto"/>
          <w:sz w:val="24"/>
          <w:highlight w:val="none"/>
        </w:rPr>
        <w:t>70%；采购项目实施以人工投入为主的，</w:t>
      </w:r>
      <w:r>
        <w:rPr>
          <w:rFonts w:hint="eastAsia" w:ascii="宋体" w:hAnsi="宋体" w:eastAsia="宋体" w:cs="宋体"/>
          <w:color w:val="auto"/>
          <w:sz w:val="24"/>
          <w:highlight w:val="none"/>
        </w:rPr>
        <w:t>可适当降低预付款比例，但不得低于</w:t>
      </w:r>
      <w:r>
        <w:rPr>
          <w:rFonts w:hint="eastAsia" w:ascii="宋体" w:hAnsi="宋体" w:eastAsia="宋体" w:cs="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rPr>
        <w:t>明确表示无需预付款或者主动要求降低预付款比例的，</w:t>
      </w:r>
      <w:r>
        <w:rPr>
          <w:rFonts w:hint="eastAsia" w:ascii="宋体" w:hAnsi="宋体" w:eastAsia="宋体" w:cs="宋体"/>
          <w:color w:val="auto"/>
          <w:sz w:val="24"/>
          <w:highlight w:val="none"/>
        </w:rPr>
        <w:t>采购单位</w:t>
      </w:r>
      <w:r>
        <w:rPr>
          <w:rFonts w:hint="eastAsia" w:ascii="宋体" w:hAnsi="宋体" w:eastAsia="宋体" w:cs="宋体"/>
          <w:color w:val="auto"/>
          <w:sz w:val="24"/>
          <w:highlight w:val="none"/>
        </w:rPr>
        <w:t>可不适用前述规定。</w:t>
      </w:r>
      <w:r>
        <w:rPr>
          <w:rFonts w:hint="eastAsia" w:ascii="宋体" w:hAnsi="宋体" w:eastAsia="宋体" w:cs="宋体"/>
          <w:color w:val="auto"/>
          <w:sz w:val="24"/>
          <w:highlight w:val="none"/>
        </w:rPr>
        <w:t>采购单位</w:t>
      </w:r>
      <w:r>
        <w:rPr>
          <w:rFonts w:hint="eastAsia" w:ascii="宋体" w:hAnsi="宋体" w:eastAsia="宋体" w:cs="宋体"/>
          <w:color w:val="auto"/>
          <w:sz w:val="24"/>
          <w:highlight w:val="none"/>
        </w:rPr>
        <w:t>根据项目特点、供应商诚信等因素，可以要求</w:t>
      </w: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eastAsia="宋体" w:cs="宋体"/>
          <w:color w:val="auto"/>
          <w:sz w:val="24"/>
          <w:highlight w:val="none"/>
        </w:rPr>
        <w:t>政府采购工程以及与工程建设有关的货物、服务，采用招标方式采购的，预付款从其相关规定。供应商可登录政采云前台大厅选择金融服务</w:t>
      </w:r>
      <w:r>
        <w:rPr>
          <w:rFonts w:hint="eastAsia" w:ascii="宋体" w:hAnsi="宋体" w:eastAsia="宋体" w:cs="宋体"/>
          <w:color w:val="auto"/>
          <w:sz w:val="24"/>
          <w:highlight w:val="none"/>
        </w:rPr>
        <w:t xml:space="preserve"> - </w:t>
      </w:r>
      <w:r>
        <w:rPr>
          <w:rFonts w:hint="eastAsia" w:ascii="宋体" w:hAnsi="宋体" w:eastAsia="宋体" w:cs="宋体"/>
          <w:color w:val="auto"/>
          <w:sz w:val="24"/>
          <w:highlight w:val="none"/>
        </w:rPr>
        <w:t>【保函保险服务】出具预付款保函，具体步骤：选择产品—填写供应商信息—选择中标项目—确认信息—等待保险</w:t>
      </w:r>
      <w:r>
        <w:rPr>
          <w:rFonts w:hint="eastAsia" w:ascii="宋体" w:hAnsi="宋体" w:eastAsia="宋体" w:cs="宋体"/>
          <w:color w:val="auto"/>
          <w:sz w:val="24"/>
          <w:highlight w:val="none"/>
        </w:rPr>
        <w:t>/保函受理—确认保单—支付保费—成功出单。政</w:t>
      </w:r>
      <w:r>
        <w:rPr>
          <w:rFonts w:hint="eastAsia" w:ascii="宋体" w:hAnsi="宋体" w:eastAsia="宋体" w:cs="宋体"/>
          <w:color w:val="auto"/>
          <w:sz w:val="24"/>
          <w:highlight w:val="none"/>
        </w:rPr>
        <w:t>采云金融专线</w:t>
      </w:r>
      <w:r>
        <w:rPr>
          <w:rFonts w:hint="eastAsia" w:ascii="宋体" w:hAnsi="宋体" w:eastAsia="宋体" w:cs="宋体"/>
          <w:color w:val="auto"/>
          <w:sz w:val="24"/>
          <w:highlight w:val="none"/>
        </w:rPr>
        <w:t>400-903-9583。</w:t>
      </w:r>
    </w:p>
    <w:p>
      <w:pPr>
        <w:rPr>
          <w:rFonts w:hint="eastAsia" w:ascii="宋体" w:hAnsi="宋体" w:eastAsia="宋体" w:cs="宋体"/>
          <w:color w:val="auto"/>
          <w:sz w:val="24"/>
          <w:highlight w:val="none"/>
        </w:rPr>
      </w:pPr>
    </w:p>
    <w:p>
      <w:pPr>
        <w:snapToGrid w:val="0"/>
        <w:spacing w:line="360" w:lineRule="auto"/>
        <w:ind w:firstLine="2518" w:firstLineChars="1045"/>
        <w:rPr>
          <w:rFonts w:hint="eastAsia" w:ascii="宋体" w:hAnsi="宋体" w:eastAsia="宋体" w:cs="宋体"/>
          <w:b/>
          <w:color w:val="auto"/>
          <w:sz w:val="24"/>
          <w:highlight w:val="none"/>
        </w:rPr>
      </w:pPr>
    </w:p>
    <w:p>
      <w:pPr>
        <w:snapToGrid w:val="0"/>
        <w:spacing w:line="360" w:lineRule="auto"/>
        <w:ind w:firstLine="2518" w:firstLineChars="1045"/>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八、电子交易活动的中止</w:t>
      </w:r>
    </w:p>
    <w:p>
      <w:pPr>
        <w:pStyle w:val="129"/>
        <w:snapToGrid w:val="0"/>
        <w:spacing w:before="0"/>
        <w:ind w:firstLine="0" w:firstLineChars="0"/>
        <w:rPr>
          <w:rFonts w:hint="eastAsia" w:ascii="宋体" w:hAnsi="宋体" w:eastAsia="宋体" w:cs="宋体"/>
          <w:color w:val="auto"/>
          <w:szCs w:val="24"/>
          <w:highlight w:val="none"/>
        </w:rPr>
      </w:pPr>
      <w:r>
        <w:rPr>
          <w:rFonts w:hint="eastAsia" w:ascii="宋体" w:hAnsi="宋体" w:eastAsia="宋体" w:cs="宋体"/>
          <w:b/>
          <w:bCs/>
          <w:color w:val="auto"/>
          <w:szCs w:val="24"/>
          <w:highlight w:val="none"/>
        </w:rPr>
        <w:t>28</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szCs w:val="24"/>
          <w:highlight w:val="none"/>
        </w:rPr>
        <w:t>采购过程中出现以下情形，导致电子交易平台无法正常运行，或者无法保证电子交易的公平、公正和安全时，采购代理机构可中止电子交易活动：</w:t>
      </w:r>
    </w:p>
    <w:p>
      <w:pPr>
        <w:pStyle w:val="129"/>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28.1电子交易平台发生故障而无法登录访问的； </w:t>
      </w:r>
    </w:p>
    <w:p>
      <w:pPr>
        <w:pStyle w:val="129"/>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28.2电子交易平台应用或数据库出现错误，不能进行正常操作的；</w:t>
      </w:r>
    </w:p>
    <w:p>
      <w:pPr>
        <w:pStyle w:val="129"/>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28.3电子交易平台发现严重安全漏洞，有潜在泄密危险的；</w:t>
      </w:r>
    </w:p>
    <w:p>
      <w:pPr>
        <w:pStyle w:val="129"/>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28.4病毒发作导致不能进行正常操作的； </w:t>
      </w:r>
    </w:p>
    <w:p>
      <w:pPr>
        <w:pStyle w:val="129"/>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28.5其他无法保证电子交易的公平、公正和安全的情况。</w:t>
      </w:r>
    </w:p>
    <w:p>
      <w:pPr>
        <w:pStyle w:val="129"/>
        <w:snapToGrid w:val="0"/>
        <w:spacing w:before="0"/>
        <w:ind w:firstLine="0" w:firstLineChars="0"/>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361" w:firstLineChars="15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九、验收</w:t>
      </w:r>
    </w:p>
    <w:p>
      <w:pPr>
        <w:pStyle w:val="6"/>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30.验收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4714665"/>
      <w:bookmarkEnd w:id="19"/>
      <w:bookmarkStart w:id="20" w:name="_Hlt75236011"/>
      <w:bookmarkEnd w:id="20"/>
      <w:bookmarkStart w:id="21" w:name="_Hlt74729768"/>
      <w:bookmarkEnd w:id="21"/>
      <w:bookmarkStart w:id="22" w:name="_Hlt68072990"/>
      <w:bookmarkEnd w:id="22"/>
      <w:bookmarkStart w:id="23" w:name="_Hlt68073093"/>
      <w:bookmarkEnd w:id="23"/>
      <w:bookmarkStart w:id="24" w:name="_Hlt68403820"/>
      <w:bookmarkEnd w:id="24"/>
      <w:bookmarkStart w:id="25" w:name="_Hlt75236101"/>
      <w:bookmarkEnd w:id="25"/>
      <w:bookmarkStart w:id="26" w:name="_Hlt74730295"/>
      <w:bookmarkEnd w:id="26"/>
      <w:bookmarkStart w:id="27" w:name="_Hlt68072998"/>
      <w:bookmarkEnd w:id="27"/>
      <w:bookmarkStart w:id="28" w:name="_Hlt74707468"/>
      <w:bookmarkEnd w:id="28"/>
      <w:bookmarkStart w:id="29" w:name="_Hlt68057669"/>
      <w:bookmarkEnd w:id="29"/>
      <w:bookmarkStart w:id="30" w:name="_Hlt75236290"/>
      <w:bookmarkEnd w:id="30"/>
    </w:p>
    <w:bookmarkEnd w:id="13"/>
    <w:bookmarkEnd w:id="14"/>
    <w:p>
      <w:pPr>
        <w:spacing w:line="360" w:lineRule="auto"/>
        <w:jc w:val="center"/>
        <w:outlineLvl w:val="0"/>
        <w:rPr>
          <w:rFonts w:hint="eastAsia" w:ascii="宋体" w:hAnsi="宋体" w:eastAsia="宋体" w:cs="宋体"/>
          <w:b/>
          <w:color w:val="auto"/>
          <w:sz w:val="24"/>
          <w:highlight w:val="none"/>
        </w:rPr>
      </w:pPr>
      <w:bookmarkStart w:id="31" w:name="第四部分"/>
      <w:r>
        <w:rPr>
          <w:rFonts w:hint="eastAsia" w:ascii="宋体" w:hAnsi="宋体" w:eastAsia="宋体" w:cs="宋体"/>
          <w:b/>
          <w:color w:val="auto"/>
          <w:sz w:val="24"/>
          <w:highlight w:val="none"/>
        </w:rPr>
        <w:t>第三部分   采购需求</w:t>
      </w:r>
    </w:p>
    <w:p>
      <w:pPr>
        <w:snapToGrid w:val="0"/>
        <w:rPr>
          <w:rStyle w:val="962"/>
          <w:rFonts w:hint="eastAsia" w:ascii="宋体" w:hAnsi="宋体" w:eastAsia="宋体" w:cs="宋体"/>
          <w:color w:val="auto"/>
          <w:sz w:val="24"/>
          <w:highlight w:val="none"/>
        </w:rPr>
      </w:pPr>
      <w:r>
        <w:rPr>
          <w:rStyle w:val="962"/>
          <w:rFonts w:hint="eastAsia" w:ascii="宋体" w:hAnsi="宋体" w:eastAsia="宋体" w:cs="宋体"/>
          <w:color w:val="auto"/>
          <w:sz w:val="24"/>
          <w:highlight w:val="none"/>
        </w:rPr>
        <w:t>属于实质性要求条款的，请用符号“▲”标明，否则属于非实质性要求。</w:t>
      </w:r>
    </w:p>
    <w:p>
      <w:pPr>
        <w:snapToGrid w:val="0"/>
        <w:rPr>
          <w:rStyle w:val="962"/>
          <w:rFonts w:hint="eastAsia" w:ascii="宋体" w:hAnsi="宋体" w:eastAsia="宋体" w:cs="宋体"/>
          <w:color w:val="auto"/>
          <w:sz w:val="24"/>
          <w:highlight w:val="none"/>
        </w:rPr>
      </w:pPr>
      <w:r>
        <w:rPr>
          <w:rStyle w:val="962"/>
          <w:rFonts w:hint="eastAsia" w:ascii="宋体" w:hAnsi="宋体" w:eastAsia="宋体" w:cs="宋体"/>
          <w:color w:val="auto"/>
          <w:sz w:val="24"/>
          <w:highlight w:val="none"/>
        </w:rPr>
        <w:t>“★”系产品采购项目中单一产品或核心产品。</w:t>
      </w:r>
    </w:p>
    <w:p>
      <w:pPr>
        <w:pStyle w:val="2"/>
        <w:rPr>
          <w:rFonts w:hint="eastAsia" w:ascii="宋体" w:hAnsi="宋体" w:eastAsia="宋体" w:cs="宋体"/>
          <w:color w:val="auto"/>
          <w:sz w:val="24"/>
          <w:szCs w:val="24"/>
          <w:highlight w:val="none"/>
        </w:rPr>
      </w:pPr>
    </w:p>
    <w:p>
      <w:pPr>
        <w:pStyle w:val="2"/>
        <w:numPr>
          <w:ilvl w:val="0"/>
          <w:numId w:val="1"/>
        </w:num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招标一览表</w:t>
      </w:r>
    </w:p>
    <w:tbl>
      <w:tblPr>
        <w:tblStyle w:val="62"/>
        <w:tblpPr w:leftFromText="180" w:rightFromText="180" w:vertAnchor="text" w:horzAnchor="margin" w:tblpY="63"/>
        <w:tblOverlap w:val="never"/>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2085"/>
        <w:gridCol w:w="615"/>
        <w:gridCol w:w="780"/>
        <w:gridCol w:w="1170"/>
        <w:gridCol w:w="2640"/>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3" w:hRule="atLeast"/>
        </w:trPr>
        <w:tc>
          <w:tcPr>
            <w:tcW w:w="523" w:type="dxa"/>
            <w:tcMar>
              <w:top w:w="15" w:type="dxa"/>
              <w:left w:w="15" w:type="dxa"/>
              <w:bottom w:w="0" w:type="dxa"/>
              <w:right w:w="15" w:type="dxa"/>
            </w:tcMar>
            <w:vAlign w:val="center"/>
          </w:tcPr>
          <w:p>
            <w:pPr>
              <w:tabs>
                <w:tab w:val="left" w:pos="0"/>
              </w:tabs>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085" w:type="dxa"/>
            <w:tcMar>
              <w:top w:w="15" w:type="dxa"/>
              <w:left w:w="15" w:type="dxa"/>
              <w:bottom w:w="0" w:type="dxa"/>
              <w:right w:w="15" w:type="dxa"/>
            </w:tcMar>
            <w:vAlign w:val="center"/>
          </w:tcPr>
          <w:p>
            <w:pPr>
              <w:tabs>
                <w:tab w:val="left" w:pos="0"/>
              </w:tabs>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p>
        </w:tc>
        <w:tc>
          <w:tcPr>
            <w:tcW w:w="615" w:type="dxa"/>
            <w:tcMar>
              <w:top w:w="15" w:type="dxa"/>
              <w:left w:w="15" w:type="dxa"/>
              <w:bottom w:w="0" w:type="dxa"/>
              <w:right w:w="15" w:type="dxa"/>
            </w:tcMar>
            <w:vAlign w:val="center"/>
          </w:tcPr>
          <w:p>
            <w:pPr>
              <w:tabs>
                <w:tab w:val="left" w:pos="0"/>
              </w:tabs>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780" w:type="dxa"/>
            <w:tcMar>
              <w:top w:w="15" w:type="dxa"/>
              <w:left w:w="15" w:type="dxa"/>
              <w:bottom w:w="0" w:type="dxa"/>
              <w:right w:w="15" w:type="dxa"/>
            </w:tcMar>
            <w:vAlign w:val="center"/>
          </w:tcPr>
          <w:p>
            <w:pPr>
              <w:tabs>
                <w:tab w:val="left" w:pos="0"/>
              </w:tabs>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1170" w:type="dxa"/>
            <w:vAlign w:val="center"/>
          </w:tcPr>
          <w:p>
            <w:pPr>
              <w:tabs>
                <w:tab w:val="left" w:pos="0"/>
              </w:tabs>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预算（元）</w:t>
            </w:r>
          </w:p>
        </w:tc>
        <w:tc>
          <w:tcPr>
            <w:tcW w:w="2640" w:type="dxa"/>
            <w:vAlign w:val="center"/>
          </w:tcPr>
          <w:p>
            <w:pPr>
              <w:tabs>
                <w:tab w:val="left" w:pos="0"/>
              </w:tabs>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简要规格描述或基本情况介绍</w:t>
            </w:r>
          </w:p>
        </w:tc>
        <w:tc>
          <w:tcPr>
            <w:tcW w:w="1481" w:type="dxa"/>
            <w:vAlign w:val="center"/>
          </w:tcPr>
          <w:p>
            <w:pPr>
              <w:tabs>
                <w:tab w:val="left" w:pos="0"/>
              </w:tabs>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trPr>
        <w:tc>
          <w:tcPr>
            <w:tcW w:w="523"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085" w:type="dxa"/>
            <w:tcMar>
              <w:top w:w="15" w:type="dxa"/>
              <w:left w:w="15" w:type="dxa"/>
              <w:bottom w:w="0" w:type="dxa"/>
              <w:right w:w="15" w:type="dxa"/>
            </w:tcMar>
            <w:vAlign w:val="center"/>
          </w:tcPr>
          <w:p>
            <w:pPr>
              <w:jc w:val="center"/>
              <w:textAlignment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标项一：亚运会亚运村媒体村小学室内地胶板及专业运动地板采购（地胶板）</w:t>
            </w:r>
          </w:p>
        </w:tc>
        <w:tc>
          <w:tcPr>
            <w:tcW w:w="615" w:type="dxa"/>
            <w:tcMar>
              <w:top w:w="15" w:type="dxa"/>
              <w:left w:w="15" w:type="dxa"/>
              <w:bottom w:w="0" w:type="dxa"/>
              <w:right w:w="15" w:type="dxa"/>
            </w:tcMar>
            <w:vAlign w:val="center"/>
          </w:tcPr>
          <w:p>
            <w:pPr>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780" w:type="dxa"/>
            <w:tcMar>
              <w:top w:w="15" w:type="dxa"/>
              <w:left w:w="15" w:type="dxa"/>
              <w:bottom w:w="0" w:type="dxa"/>
              <w:right w:w="15" w:type="dxa"/>
            </w:tcMar>
            <w:vAlign w:val="center"/>
          </w:tcPr>
          <w:p>
            <w:pPr>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批</w:t>
            </w:r>
          </w:p>
        </w:tc>
        <w:tc>
          <w:tcPr>
            <w:tcW w:w="1170" w:type="dxa"/>
            <w:vAlign w:val="center"/>
          </w:tcPr>
          <w:p>
            <w:pPr>
              <w:jc w:val="center"/>
              <w:textAlignment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1236057</w:t>
            </w:r>
          </w:p>
        </w:tc>
        <w:tc>
          <w:tcPr>
            <w:tcW w:w="2640" w:type="dxa"/>
            <w:vAlign w:val="center"/>
          </w:tcPr>
          <w:p>
            <w:pPr>
              <w:tabs>
                <w:tab w:val="left" w:pos="0"/>
              </w:tabs>
              <w:jc w:val="center"/>
              <w:rPr>
                <w:rFonts w:hint="eastAsia" w:ascii="宋体" w:hAnsi="宋体" w:eastAsia="宋体" w:cs="宋体"/>
                <w:color w:val="auto"/>
                <w:sz w:val="24"/>
                <w:highlight w:val="none"/>
              </w:rPr>
            </w:pPr>
            <w:r>
              <w:rPr>
                <w:rFonts w:hint="eastAsia" w:ascii="宋体" w:hAnsi="宋体" w:eastAsia="宋体" w:cs="宋体"/>
                <w:color w:val="auto"/>
                <w:position w:val="-6"/>
                <w:sz w:val="24"/>
                <w:highlight w:val="none"/>
              </w:rPr>
              <w:t>详见采购需求</w:t>
            </w:r>
          </w:p>
        </w:tc>
        <w:tc>
          <w:tcPr>
            <w:tcW w:w="1481" w:type="dxa"/>
            <w:vAlign w:val="center"/>
          </w:tcPr>
          <w:p>
            <w:pPr>
              <w:jc w:val="center"/>
              <w:textAlignment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1236057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9" w:hRule="atLeast"/>
        </w:trPr>
        <w:tc>
          <w:tcPr>
            <w:tcW w:w="523"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085" w:type="dxa"/>
            <w:tcMar>
              <w:top w:w="15" w:type="dxa"/>
              <w:left w:w="15" w:type="dxa"/>
              <w:bottom w:w="0" w:type="dxa"/>
              <w:right w:w="15" w:type="dxa"/>
            </w:tcMar>
            <w:vAlign w:val="center"/>
          </w:tcPr>
          <w:p>
            <w:pPr>
              <w:jc w:val="center"/>
              <w:textAlignment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标项二：亚运会亚运村媒体村小学室内地胶板及专业运动地板采购（运动地板）</w:t>
            </w:r>
          </w:p>
        </w:tc>
        <w:tc>
          <w:tcPr>
            <w:tcW w:w="615" w:type="dxa"/>
            <w:tcMar>
              <w:top w:w="15" w:type="dxa"/>
              <w:left w:w="15" w:type="dxa"/>
              <w:bottom w:w="0" w:type="dxa"/>
              <w:right w:w="15" w:type="dxa"/>
            </w:tcMar>
            <w:vAlign w:val="center"/>
          </w:tcPr>
          <w:p>
            <w:pPr>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780" w:type="dxa"/>
            <w:tcMar>
              <w:top w:w="15" w:type="dxa"/>
              <w:left w:w="15" w:type="dxa"/>
              <w:bottom w:w="0" w:type="dxa"/>
              <w:right w:w="15" w:type="dxa"/>
            </w:tcMar>
            <w:vAlign w:val="center"/>
          </w:tcPr>
          <w:p>
            <w:pPr>
              <w:jc w:val="center"/>
              <w:textAlignment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批</w:t>
            </w:r>
          </w:p>
        </w:tc>
        <w:tc>
          <w:tcPr>
            <w:tcW w:w="1170" w:type="dxa"/>
            <w:vAlign w:val="center"/>
          </w:tcPr>
          <w:p>
            <w:pPr>
              <w:jc w:val="center"/>
              <w:textAlignment w:val="center"/>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987115</w:t>
            </w:r>
          </w:p>
        </w:tc>
        <w:tc>
          <w:tcPr>
            <w:tcW w:w="2640" w:type="dxa"/>
            <w:vAlign w:val="center"/>
          </w:tcPr>
          <w:p>
            <w:pPr>
              <w:tabs>
                <w:tab w:val="left" w:pos="0"/>
              </w:tabs>
              <w:jc w:val="center"/>
              <w:rPr>
                <w:rFonts w:hint="eastAsia" w:ascii="宋体" w:hAnsi="宋体" w:eastAsia="宋体" w:cs="宋体"/>
                <w:color w:val="auto"/>
                <w:sz w:val="24"/>
                <w:highlight w:val="none"/>
              </w:rPr>
            </w:pPr>
            <w:r>
              <w:rPr>
                <w:rFonts w:hint="eastAsia" w:ascii="宋体" w:hAnsi="宋体" w:eastAsia="宋体" w:cs="宋体"/>
                <w:color w:val="auto"/>
                <w:position w:val="-6"/>
                <w:sz w:val="24"/>
                <w:highlight w:val="none"/>
              </w:rPr>
              <w:t>详见采购需求</w:t>
            </w:r>
          </w:p>
        </w:tc>
        <w:tc>
          <w:tcPr>
            <w:tcW w:w="1481" w:type="dxa"/>
            <w:vAlign w:val="center"/>
          </w:tcPr>
          <w:p>
            <w:pPr>
              <w:jc w:val="center"/>
              <w:textAlignment w:val="center"/>
              <w:rPr>
                <w:rFonts w:hint="eastAsia" w:ascii="宋体" w:hAnsi="宋体" w:eastAsia="宋体" w:cs="宋体"/>
                <w:bCs/>
                <w:color w:val="auto"/>
                <w:sz w:val="24"/>
                <w:highlight w:val="none"/>
              </w:rPr>
            </w:pPr>
            <w:r>
              <w:rPr>
                <w:rFonts w:hint="eastAsia" w:ascii="宋体" w:hAnsi="宋体" w:eastAsia="宋体" w:cs="宋体"/>
                <w:color w:val="auto"/>
                <w:sz w:val="24"/>
                <w:highlight w:val="none"/>
                <w:lang w:bidi="ar"/>
              </w:rPr>
              <w:t>987115</w:t>
            </w:r>
          </w:p>
        </w:tc>
      </w:tr>
    </w:tbl>
    <w:p>
      <w:pPr>
        <w:pStyle w:val="2"/>
        <w:ind w:left="0" w:firstLine="0"/>
        <w:rPr>
          <w:rFonts w:hint="eastAsia" w:ascii="宋体" w:hAnsi="宋体" w:eastAsia="宋体" w:cs="宋体"/>
          <w:color w:val="auto"/>
          <w:sz w:val="24"/>
          <w:szCs w:val="24"/>
          <w:highlight w:val="none"/>
        </w:rPr>
      </w:pPr>
    </w:p>
    <w:p>
      <w:pPr>
        <w:pStyle w:val="2"/>
        <w:ind w:left="0"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充分保障采购人的服务质量与服务要求，本项目分2个标项进行采购（详见招标一览表），投标人可自行选择其中一个或者多个标项响应投标，但中标只能中一个标项。评审次序按标项一、标项二的顺序进行评审。（如投标人被推荐为标项一的中标候选人，则不参与标项二的评审。）评标委员会根据得分排名推荐每个标项的中标候选人。</w:t>
      </w:r>
    </w:p>
    <w:p>
      <w:pPr>
        <w:rPr>
          <w:rFonts w:hint="eastAsia" w:ascii="宋体" w:hAnsi="宋体" w:eastAsia="宋体" w:cs="宋体"/>
          <w:b/>
          <w:color w:val="auto"/>
          <w:sz w:val="24"/>
          <w:highlight w:val="none"/>
        </w:rPr>
      </w:pPr>
    </w:p>
    <w:p>
      <w:pPr>
        <w:pStyle w:val="2"/>
        <w:numPr>
          <w:ilvl w:val="0"/>
          <w:numId w:val="1"/>
        </w:num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采购需求</w:t>
      </w:r>
    </w:p>
    <w:p>
      <w:pPr>
        <w:pStyle w:val="60"/>
        <w:rPr>
          <w:rFonts w:hint="eastAsia" w:ascii="宋体" w:hAnsi="宋体" w:eastAsia="宋体" w:cs="宋体"/>
          <w:color w:val="auto"/>
          <w:szCs w:val="24"/>
          <w:highlight w:val="none"/>
          <w:lang w:val="en-US"/>
        </w:rPr>
      </w:pPr>
    </w:p>
    <w:p>
      <w:pPr>
        <w:numPr>
          <w:ilvl w:val="0"/>
          <w:numId w:val="2"/>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、采购内容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地胶板采购内容为2mm厚同质透心地胶板，约4785平方米</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专业运动木地板，单层悬浮式，面积约998平方米。</w:t>
      </w:r>
      <w:r>
        <w:rPr>
          <w:rFonts w:hint="eastAsia" w:ascii="宋体" w:hAnsi="宋体" w:eastAsia="宋体" w:cs="宋体"/>
          <w:color w:val="auto"/>
          <w:sz w:val="24"/>
          <w:highlight w:val="none"/>
        </w:rPr>
        <w:t>包括方案设计、配套材料供应、铺设和自流平施工及相关服务</w:t>
      </w:r>
      <w:r>
        <w:rPr>
          <w:rFonts w:hint="eastAsia" w:ascii="宋体" w:hAnsi="宋体" w:eastAsia="宋体" w:cs="宋体"/>
          <w:color w:val="auto"/>
          <w:sz w:val="24"/>
          <w:highlight w:val="none"/>
          <w:lang w:val="en-US" w:eastAsia="zh-CN"/>
        </w:rPr>
        <w:t>均包含在总体报价中，本项目实行总价包干制，投标人请综合考虑各风险因素</w:t>
      </w:r>
      <w:r>
        <w:rPr>
          <w:rFonts w:hint="eastAsia" w:ascii="宋体" w:hAnsi="宋体" w:eastAsia="宋体" w:cs="宋体"/>
          <w:color w:val="auto"/>
          <w:sz w:val="24"/>
          <w:highlight w:val="none"/>
        </w:rPr>
        <w:t>。其中，主要技术规格、参数详见技术规范，对采购文件提供的有关尺寸，投标供应商中标后须与建设单位复核确认。</w:t>
      </w:r>
    </w:p>
    <w:p>
      <w:pPr>
        <w:pStyle w:val="20"/>
        <w:tabs>
          <w:tab w:val="left" w:pos="567"/>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为地胶板安装需要，需对现有土建结构地面进行高差找平，40mm厚度水泥砂浆找平层，3mm自流平，相关费用由中标人自行测算，该笔费用计入总价内，投标供应商在报价时应已综合考虑，包含在总价范围内，采购人将不再另行向投标供应商支付相关费用。</w:t>
      </w:r>
    </w:p>
    <w:p>
      <w:pPr>
        <w:pStyle w:val="20"/>
        <w:tabs>
          <w:tab w:val="left" w:pos="567"/>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（二）、地胶板技术要求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1、“同质透心PVC卷材地板采购及安装”技术要求：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 投标产品的结构分类须为同质透心PVC卷材地板;无方向碎花纹,花纹立体清晰;聚氨酯抗污处理工艺。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 产品的基本技术要求：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安全保障：应具有防滑、减震、防火阻燃的性能；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2.2环保舒适：应采用绿色环保原料，杜绝有害气体释放；应具有舒适的质感、柔和宁静的色彩；应具有静音效果，适宜的足感，减轻行走疲劳；</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2.3洁净抗菌：应具有光洁的表面，易于清洁；应具有适当材质结构，不易附着、滞留菌尘；</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2.4易于维保：应具有持久的耐磨、抗老化能力；使用寿命长，投入效益合理；应具有局部快捷更换能力，免维护或易于维护。</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2.5自流平、粘合剂、接缝技术要求：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2.6自流平、粘合剂必须是优质产品，必须符合环保要求，须提供相关证明文件，产品应具备阻止微生物、细菌以及真菌在粘接层繁殖；所有接缝口应选用同品牌的专用配套焊条焊接，须提供相关证明文件。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产品主要技术参数要求：</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3.1产品要求：</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2mm厚同质透芯PVC卷材地板。</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3.2花纹要求： 花纹立体清晰,无方向碎花纹;</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3.3耐磨要求：符合中国GB/T4085标准 耐磨性≦0.1g/100转。</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3.4抗压要求： 残余凹陷值≦0.03mm。</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3.5重量要求：产品每平方米克重≤2950</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3.6防火要求：符合中国GB8624标准 燃烧性能达到Bfl-s1,t0级。</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3.7有害物质限量要求：符合中国GB18586标准    氯乙烯单体＜0.5mg/kg；可溶性重金属＜0.1mg/m2；挥发物＜10g/m2。（提供检测报告复印件加盖公章）</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3.8环保要求：提供ISO16000 TVOC挥发物检测报告。（提供检测报告复印件加盖公章）</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静电负荷：抗静电  小于2kv</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3.1</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防</w:t>
      </w:r>
      <w:r>
        <w:rPr>
          <w:rFonts w:hint="eastAsia" w:ascii="宋体" w:hAnsi="宋体" w:eastAsia="宋体" w:cs="宋体"/>
          <w:color w:val="auto"/>
          <w:sz w:val="24"/>
          <w:highlight w:val="none"/>
        </w:rPr>
        <w:t>滑性能： ≥R9级</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3.11</w:t>
      </w:r>
      <w:r>
        <w:rPr>
          <w:rFonts w:hint="eastAsia" w:ascii="宋体" w:hAnsi="宋体" w:eastAsia="宋体" w:cs="宋体"/>
          <w:color w:val="auto"/>
          <w:sz w:val="24"/>
          <w:highlight w:val="none"/>
        </w:rPr>
        <w:t>抗污耐化学腐蚀性能：ISO26987抗化学品  达到CLASS. 0级</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3.1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抗菌性能：抗细菌性能（金黄色葡萄糖球菌、大肠杆菌）符合QB/T2591-2003标准  ＞99%（提供检测报告复印件加盖公章）；</w:t>
      </w:r>
    </w:p>
    <w:p>
      <w:pPr>
        <w:spacing w:line="360" w:lineRule="auto"/>
        <w:ind w:firstLine="420" w:firstLineChars="200"/>
        <w:rPr>
          <w:rFonts w:hint="eastAsia" w:ascii="宋体" w:hAnsi="宋体" w:eastAsia="宋体" w:cs="宋体"/>
          <w:color w:val="auto"/>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3.1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粘合剂性能：粘合剂应符合民用建筑工程室内环境污染控制规范GB50325的规定,以及GB18583-2001室内装饰装修材料一般粘胶剂中有害物质限量规定的限量指标（提供相关检测报告复印件加盖公章）</w:t>
      </w:r>
    </w:p>
    <w:p>
      <w:pPr>
        <w:spacing w:line="360" w:lineRule="auto"/>
        <w:ind w:firstLine="482" w:firstLineChars="200"/>
        <w:rPr>
          <w:rFonts w:hint="eastAsia" w:ascii="宋体" w:hAnsi="宋体" w:eastAsia="宋体" w:cs="宋体"/>
          <w:b/>
          <w:bCs/>
          <w:color w:val="auto"/>
          <w:sz w:val="24"/>
          <w:highlight w:val="none"/>
        </w:rPr>
      </w:pP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（三）运动地板技术要求</w:t>
      </w:r>
    </w:p>
    <w:p>
      <w:pPr>
        <w:numPr>
          <w:ilvl w:val="0"/>
          <w:numId w:val="3"/>
        </w:numPr>
        <w:spacing w:line="360" w:lineRule="auto"/>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 xml:space="preserve">体育场馆木地板结构：单层龙骨结构；整体高度范围在 </w:t>
      </w:r>
      <w:r>
        <w:rPr>
          <w:rFonts w:hint="eastAsia" w:ascii="宋体" w:hAnsi="宋体" w:eastAsia="宋体" w:cs="宋体"/>
          <w:color w:val="auto"/>
          <w:kern w:val="0"/>
          <w:sz w:val="24"/>
          <w:highlight w:val="none"/>
          <w:u w:val="single"/>
        </w:rPr>
        <w:t xml:space="preserve">  80-100mm   </w:t>
      </w:r>
    </w:p>
    <w:p>
      <w:pPr>
        <w:numPr>
          <w:ilvl w:val="0"/>
          <w:numId w:val="3"/>
        </w:numPr>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安装方式：悬浮式铺装</w:t>
      </w:r>
    </w:p>
    <w:p>
      <w:pPr>
        <w:pStyle w:val="24"/>
        <w:numPr>
          <w:ilvl w:val="0"/>
          <w:numId w:val="3"/>
        </w:numPr>
        <w:kinsoku w:val="0"/>
        <w:overflowPunct w:val="0"/>
        <w:ind w:firstLine="472" w:firstLineChars="200"/>
        <w:jc w:val="left"/>
        <w:rPr>
          <w:rFonts w:hint="eastAsia" w:ascii="宋体" w:hAnsi="宋体" w:eastAsia="宋体" w:cs="宋体"/>
          <w:color w:val="auto"/>
          <w:szCs w:val="24"/>
          <w:highlight w:val="none"/>
        </w:rPr>
      </w:pPr>
      <w:r>
        <w:rPr>
          <w:rFonts w:hint="eastAsia" w:ascii="宋体" w:hAnsi="宋体" w:eastAsia="宋体" w:cs="宋体"/>
          <w:color w:val="auto"/>
          <w:spacing w:val="-2"/>
          <w:kern w:val="0"/>
          <w:szCs w:val="24"/>
          <w:highlight w:val="none"/>
          <w:lang w:val="en-US"/>
        </w:rPr>
        <w:t>运动木地板应必须具备面层、多层板，龙骨、弹性系统、防潮膜和通风设备等完整体育地板结构。</w:t>
      </w:r>
    </w:p>
    <w:p>
      <w:pPr>
        <w:numPr>
          <w:ilvl w:val="0"/>
          <w:numId w:val="3"/>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场地标志线：应清晰、不反光、无明显虚边，尺寸规格应符合有关竞赛标准。</w:t>
      </w:r>
    </w:p>
    <w:p>
      <w:pPr>
        <w:numPr>
          <w:ilvl w:val="0"/>
          <w:numId w:val="3"/>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安装时应考虑篮球架、活动座椅等项目器械承载及移动路径处木地板的荷载处理，以及各种预埋件、地插、地下管网、线缆的埋设及场地平面布置，配合业主设计要求做出深化图纸说明（如有）。</w:t>
      </w:r>
    </w:p>
    <w:p>
      <w:pPr>
        <w:numPr>
          <w:ilvl w:val="0"/>
          <w:numId w:val="3"/>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铺装完成后，用2m平尺和塞尺检查，表面平整度≤2.0mm/2m，在场地上任意选取间距15m的两点，用水准仪测量标高，其标高差值应不大于15mm。</w:t>
      </w:r>
    </w:p>
    <w:p>
      <w:pPr>
        <w:numPr>
          <w:ilvl w:val="0"/>
          <w:numId w:val="3"/>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材料详细参数要求：</w:t>
      </w:r>
    </w:p>
    <w:p>
      <w:pPr>
        <w:numPr>
          <w:ilvl w:val="0"/>
          <w:numId w:val="4"/>
        </w:numPr>
        <w:spacing w:line="360" w:lineRule="auto"/>
        <w:ind w:left="0" w:firstLine="482" w:firstLineChars="200"/>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油漆：</w:t>
      </w:r>
      <w:r>
        <w:rPr>
          <w:rFonts w:hint="eastAsia" w:ascii="宋体" w:hAnsi="宋体" w:eastAsia="宋体" w:cs="宋体"/>
          <w:color w:val="auto"/>
          <w:sz w:val="24"/>
          <w:highlight w:val="none"/>
        </w:rPr>
        <w:t>面层油漆采用运动木地板工厂上漆，体育地板专用油漆，环保、防滑、耐磨。</w:t>
      </w:r>
    </w:p>
    <w:p>
      <w:pPr>
        <w:numPr>
          <w:ilvl w:val="0"/>
          <w:numId w:val="4"/>
        </w:numPr>
        <w:spacing w:line="360" w:lineRule="auto"/>
        <w:ind w:left="0"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面板 </w:t>
      </w:r>
    </w:p>
    <w:p>
      <w:pPr>
        <w:numPr>
          <w:ilvl w:val="0"/>
          <w:numId w:val="5"/>
        </w:numPr>
        <w:spacing w:line="360" w:lineRule="auto"/>
        <w:ind w:firstLine="472" w:firstLineChars="200"/>
        <w:rPr>
          <w:rFonts w:hint="eastAsia" w:ascii="宋体" w:hAnsi="宋体" w:eastAsia="宋体" w:cs="宋体"/>
          <w:color w:val="auto"/>
          <w:spacing w:val="-2"/>
          <w:kern w:val="0"/>
          <w:sz w:val="24"/>
          <w:highlight w:val="none"/>
        </w:rPr>
      </w:pPr>
      <w:r>
        <w:rPr>
          <w:rFonts w:hint="eastAsia" w:ascii="宋体" w:hAnsi="宋体" w:eastAsia="宋体" w:cs="宋体"/>
          <w:color w:val="auto"/>
          <w:spacing w:val="-2"/>
          <w:kern w:val="0"/>
          <w:sz w:val="24"/>
          <w:highlight w:val="none"/>
        </w:rPr>
        <w:t>体育馆地面铺设枫木免漆地板，枫木A级实木面板。厚度22mm，宽度81mm，长度1810mm。力学度高，耐磨性好，绞理细腻；</w:t>
      </w:r>
    </w:p>
    <w:p>
      <w:pPr>
        <w:pStyle w:val="24"/>
        <w:numPr>
          <w:ilvl w:val="0"/>
          <w:numId w:val="5"/>
        </w:numPr>
        <w:kinsoku w:val="0"/>
        <w:overflowPunct w:val="0"/>
        <w:ind w:firstLine="472"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spacing w:val="-2"/>
          <w:kern w:val="0"/>
          <w:szCs w:val="24"/>
          <w:highlight w:val="none"/>
          <w:lang w:val="en-US"/>
        </w:rPr>
        <w:t>面板外观要求：纹理规则细腻、坚硬耐磨、富有弹性，平整刨光，不得有刨痕、翘曲与鼓包（包括漆面）、裂纹、死节、虫眼、腐朽、钝棱等缺陷。</w:t>
      </w:r>
    </w:p>
    <w:p>
      <w:pPr>
        <w:widowControl/>
        <w:spacing w:line="360" w:lineRule="auto"/>
        <w:ind w:firstLine="420" w:firstLineChars="200"/>
        <w:jc w:val="left"/>
        <w:rPr>
          <w:rFonts w:hint="eastAsia" w:ascii="宋体" w:hAnsi="宋体" w:eastAsia="宋体" w:cs="宋体"/>
          <w:color w:val="auto"/>
          <w:spacing w:val="-2"/>
          <w:kern w:val="0"/>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理化性能：</w:t>
      </w:r>
      <w:r>
        <w:rPr>
          <w:rFonts w:hint="eastAsia" w:ascii="宋体" w:hAnsi="宋体" w:eastAsia="宋体" w:cs="宋体"/>
          <w:color w:val="auto"/>
          <w:spacing w:val="-2"/>
          <w:kern w:val="0"/>
          <w:sz w:val="24"/>
          <w:highlight w:val="none"/>
        </w:rPr>
        <w:t>面板甲醛释放量使用气候箱法检测，达到E1级≤0.124mg/m³；</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含水率(%),含水率8.0≤H≤15.0；</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漆膜附着力≤2级；</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表面耐磨（g/100r）≤0.10，且100r后漆膜未磨透；</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漆膜硬度≥2H。</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静曲强度≥45MPa</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弹性模量≥11000MPa。</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根据GB6675.4-2014检测可溶性铅含量≤2mg/kg；</w:t>
      </w:r>
    </w:p>
    <w:p>
      <w:pPr>
        <w:pStyle w:val="24"/>
        <w:shd w:val="clear" w:color="auto" w:fill="FFFFFF" w:themeFill="background1"/>
        <w:kinsoku w:val="0"/>
        <w:overflowPunct w:val="0"/>
        <w:ind w:firstLine="480" w:firstLineChars="200"/>
        <w:jc w:val="left"/>
        <w:rPr>
          <w:rFonts w:hint="eastAsia" w:ascii="宋体" w:hAnsi="宋体" w:eastAsia="宋体" w:cs="宋体"/>
          <w:color w:val="auto"/>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zCs w:val="24"/>
          <w:highlight w:val="none"/>
          <w:lang w:val="en-US"/>
        </w:rPr>
        <w:t>根据GB/T 1927.21-2022检测握钉力≥80N/mm</w:t>
      </w:r>
    </w:p>
    <w:p>
      <w:pPr>
        <w:pStyle w:val="24"/>
        <w:kinsoku w:val="0"/>
        <w:overflowPunct w:val="0"/>
        <w:ind w:firstLine="472" w:firstLineChars="200"/>
        <w:jc w:val="left"/>
        <w:rPr>
          <w:rFonts w:hint="eastAsia" w:ascii="宋体" w:hAnsi="宋体" w:eastAsia="宋体" w:cs="宋体"/>
          <w:color w:val="auto"/>
          <w:szCs w:val="24"/>
          <w:highlight w:val="none"/>
        </w:rPr>
      </w:pPr>
      <w:r>
        <w:rPr>
          <w:rFonts w:hint="eastAsia" w:ascii="宋体" w:hAnsi="宋体" w:eastAsia="宋体" w:cs="宋体"/>
          <w:color w:val="auto"/>
          <w:spacing w:val="-2"/>
          <w:kern w:val="0"/>
          <w:szCs w:val="24"/>
          <w:highlight w:val="none"/>
          <w:lang w:val="en-US"/>
        </w:rPr>
        <w:t>投标文件中应提供依据GB/T20239-2015</w:t>
      </w:r>
      <w:r>
        <w:rPr>
          <w:rFonts w:hint="eastAsia" w:ascii="宋体" w:hAnsi="宋体" w:eastAsia="宋体" w:cs="宋体"/>
          <w:color w:val="auto"/>
          <w:szCs w:val="24"/>
          <w:highlight w:val="none"/>
        </w:rPr>
        <w:t>《体育馆用木地板》检测和</w:t>
      </w:r>
      <w:r>
        <w:rPr>
          <w:rFonts w:hint="eastAsia" w:ascii="宋体" w:hAnsi="宋体" w:eastAsia="宋体" w:cs="宋体"/>
          <w:color w:val="auto"/>
          <w:spacing w:val="-2"/>
          <w:kern w:val="0"/>
          <w:szCs w:val="24"/>
          <w:highlight w:val="none"/>
          <w:lang w:val="en-US"/>
        </w:rPr>
        <w:t>具有CMA资质的机构出具的检测报告。</w:t>
      </w:r>
    </w:p>
    <w:p>
      <w:pPr>
        <w:numPr>
          <w:ilvl w:val="0"/>
          <w:numId w:val="4"/>
        </w:numPr>
        <w:spacing w:line="360" w:lineRule="auto"/>
        <w:ind w:left="0"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毛板</w:t>
      </w:r>
    </w:p>
    <w:p>
      <w:pPr>
        <w:numPr>
          <w:ilvl w:val="0"/>
          <w:numId w:val="6"/>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多层板:厚度≥10mm，宽度≥1220mm，长度≥2440mm。</w:t>
      </w:r>
    </w:p>
    <w:p>
      <w:pPr>
        <w:numPr>
          <w:ilvl w:val="0"/>
          <w:numId w:val="6"/>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环保高温高压多层板，握钉力强、承重性强抗压及抗弯曲的强度大，应防腐、防潮、防虫处理。</w:t>
      </w:r>
    </w:p>
    <w:p>
      <w:pPr>
        <w:numPr>
          <w:ilvl w:val="0"/>
          <w:numId w:val="6"/>
        </w:numPr>
        <w:spacing w:line="360" w:lineRule="auto"/>
        <w:ind w:firstLine="472" w:firstLineChars="200"/>
        <w:jc w:val="left"/>
        <w:rPr>
          <w:rFonts w:hint="eastAsia" w:ascii="宋体" w:hAnsi="宋体" w:eastAsia="宋体" w:cs="宋体"/>
          <w:color w:val="auto"/>
          <w:sz w:val="24"/>
          <w:highlight w:val="none"/>
        </w:rPr>
      </w:pPr>
      <w:r>
        <w:rPr>
          <w:rFonts w:hint="eastAsia" w:ascii="宋体" w:hAnsi="宋体" w:eastAsia="宋体" w:cs="宋体"/>
          <w:color w:val="auto"/>
          <w:spacing w:val="-2"/>
          <w:kern w:val="0"/>
          <w:sz w:val="24"/>
          <w:highlight w:val="none"/>
        </w:rPr>
        <w:t>理性能要求：</w:t>
      </w:r>
    </w:p>
    <w:p>
      <w:pPr>
        <w:pStyle w:val="24"/>
        <w:kinsoku w:val="0"/>
        <w:overflowPunct w:val="0"/>
        <w:ind w:firstLine="480" w:firstLineChars="200"/>
        <w:jc w:val="left"/>
        <w:rPr>
          <w:rFonts w:hint="eastAsia" w:ascii="宋体" w:hAnsi="宋体" w:eastAsia="宋体" w:cs="宋体"/>
          <w:color w:val="auto"/>
          <w:szCs w:val="24"/>
          <w:highlight w:val="none"/>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多层板甲醛释放量使用气候箱法检测，达到E1级≤0.124mg/m³；</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含水率8~12%</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胶合强度≥1.50MPa；</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静曲强度≥50MPa；</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弹性模量≥8000MPa。</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根据GB6675.4-2014检测可溶性铅含量≤2mg/kg；</w:t>
      </w:r>
    </w:p>
    <w:p>
      <w:pPr>
        <w:pStyle w:val="24"/>
        <w:kinsoku w:val="0"/>
        <w:overflowPunct w:val="0"/>
        <w:ind w:firstLine="472" w:firstLineChars="200"/>
        <w:jc w:val="left"/>
        <w:rPr>
          <w:rFonts w:hint="eastAsia" w:ascii="宋体" w:hAnsi="宋体" w:eastAsia="宋体" w:cs="宋体"/>
          <w:color w:val="auto"/>
          <w:szCs w:val="24"/>
          <w:highlight w:val="none"/>
        </w:rPr>
      </w:pPr>
      <w:r>
        <w:rPr>
          <w:rFonts w:hint="eastAsia" w:ascii="宋体" w:hAnsi="宋体" w:eastAsia="宋体" w:cs="宋体"/>
          <w:color w:val="auto"/>
          <w:spacing w:val="-2"/>
          <w:kern w:val="0"/>
          <w:szCs w:val="24"/>
          <w:highlight w:val="none"/>
          <w:lang w:val="en-US"/>
        </w:rPr>
        <w:t>投标文件中应提供依据GB/T20239-2015</w:t>
      </w:r>
      <w:r>
        <w:rPr>
          <w:rFonts w:hint="eastAsia" w:ascii="宋体" w:hAnsi="宋体" w:eastAsia="宋体" w:cs="宋体"/>
          <w:color w:val="auto"/>
          <w:szCs w:val="24"/>
          <w:highlight w:val="none"/>
        </w:rPr>
        <w:t>《体育馆用木地板》检测和</w:t>
      </w:r>
      <w:r>
        <w:rPr>
          <w:rFonts w:hint="eastAsia" w:ascii="宋体" w:hAnsi="宋体" w:eastAsia="宋体" w:cs="宋体"/>
          <w:color w:val="auto"/>
          <w:spacing w:val="-2"/>
          <w:kern w:val="0"/>
          <w:szCs w:val="24"/>
          <w:highlight w:val="none"/>
          <w:lang w:val="en-US"/>
        </w:rPr>
        <w:t>具有CMA资质的机构出具的检测报告。</w:t>
      </w:r>
    </w:p>
    <w:p>
      <w:pPr>
        <w:numPr>
          <w:ilvl w:val="0"/>
          <w:numId w:val="4"/>
        </w:numPr>
        <w:spacing w:line="360" w:lineRule="auto"/>
        <w:ind w:left="0"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龙骨</w:t>
      </w:r>
    </w:p>
    <w:p>
      <w:pPr>
        <w:numPr>
          <w:ilvl w:val="0"/>
          <w:numId w:val="7"/>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实木松木龙骨，需要防腐防虫处理 </w:t>
      </w:r>
      <w:r>
        <w:rPr>
          <w:rFonts w:hint="eastAsia" w:ascii="宋体" w:hAnsi="宋体" w:eastAsia="宋体" w:cs="宋体"/>
          <w:color w:val="auto"/>
          <w:sz w:val="24"/>
          <w:highlight w:val="none"/>
          <w:u w:val="single"/>
        </w:rPr>
        <w:t>单层铺装，间距：400mm</w:t>
      </w:r>
    </w:p>
    <w:p>
      <w:pPr>
        <w:numPr>
          <w:ilvl w:val="0"/>
          <w:numId w:val="7"/>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规格：4</w:t>
      </w:r>
      <w:r>
        <w:rPr>
          <w:rFonts w:hint="eastAsia" w:ascii="宋体" w:hAnsi="宋体" w:eastAsia="宋体" w:cs="宋体"/>
          <w:color w:val="auto"/>
          <w:spacing w:val="-2"/>
          <w:kern w:val="0"/>
          <w:sz w:val="24"/>
          <w:highlight w:val="none"/>
        </w:rPr>
        <w:t>0（±1）mm*60（±1）mm ，</w:t>
      </w:r>
    </w:p>
    <w:p>
      <w:pPr>
        <w:pStyle w:val="24"/>
        <w:numPr>
          <w:ilvl w:val="0"/>
          <w:numId w:val="7"/>
        </w:numPr>
        <w:kinsoku w:val="0"/>
        <w:overflowPunct w:val="0"/>
        <w:ind w:firstLine="472" w:firstLineChars="200"/>
        <w:jc w:val="left"/>
        <w:rPr>
          <w:rFonts w:hint="eastAsia" w:ascii="宋体" w:hAnsi="宋体" w:eastAsia="宋体" w:cs="宋体"/>
          <w:color w:val="auto"/>
          <w:szCs w:val="24"/>
          <w:highlight w:val="none"/>
          <w:lang w:val="en-US"/>
        </w:rPr>
      </w:pPr>
      <w:r>
        <w:rPr>
          <w:rFonts w:hint="eastAsia" w:ascii="宋体" w:hAnsi="宋体" w:eastAsia="宋体" w:cs="宋体"/>
          <w:color w:val="auto"/>
          <w:spacing w:val="-2"/>
          <w:kern w:val="0"/>
          <w:szCs w:val="24"/>
          <w:highlight w:val="none"/>
          <w:lang w:val="en-US"/>
        </w:rPr>
        <w:t>理化性能:</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甲醛释放量使用气候箱法检测，达到E1级≤0.124mg/m³；</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含水率（6.0-15.0）%。</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抗弯强度≥50MPa。</w:t>
      </w:r>
    </w:p>
    <w:p>
      <w:pPr>
        <w:pStyle w:val="24"/>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弹性模量≥5000MPa。</w:t>
      </w:r>
    </w:p>
    <w:p>
      <w:pPr>
        <w:pStyle w:val="24"/>
        <w:kinsoku w:val="0"/>
        <w:overflowPunct w:val="0"/>
        <w:ind w:firstLine="480" w:firstLineChars="200"/>
        <w:jc w:val="left"/>
        <w:rPr>
          <w:rFonts w:hint="eastAsia" w:ascii="宋体" w:hAnsi="宋体" w:eastAsia="宋体" w:cs="宋体"/>
          <w:color w:val="auto"/>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zCs w:val="24"/>
          <w:highlight w:val="none"/>
        </w:rPr>
        <w:t>根据</w:t>
      </w:r>
      <w:r>
        <w:rPr>
          <w:rFonts w:hint="eastAsia" w:ascii="宋体" w:hAnsi="宋体" w:eastAsia="宋体" w:cs="宋体"/>
          <w:color w:val="auto"/>
          <w:szCs w:val="24"/>
          <w:highlight w:val="none"/>
          <w:lang w:val="en-US"/>
        </w:rPr>
        <w:t>GB6675.4-2014检测可溶性铅含量≤2mg/kg；</w:t>
      </w:r>
    </w:p>
    <w:p>
      <w:pPr>
        <w:pStyle w:val="24"/>
        <w:shd w:val="clear" w:color="auto" w:fill="FFFFFF" w:themeFill="background1"/>
        <w:kinsoku w:val="0"/>
        <w:overflowPunct w:val="0"/>
        <w:ind w:firstLine="480" w:firstLineChars="200"/>
        <w:jc w:val="left"/>
        <w:rPr>
          <w:rFonts w:hint="eastAsia" w:ascii="宋体" w:hAnsi="宋体" w:eastAsia="宋体" w:cs="宋体"/>
          <w:color w:val="auto"/>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zCs w:val="24"/>
          <w:highlight w:val="none"/>
          <w:lang w:val="en-US"/>
        </w:rPr>
        <w:t>根据GB/T 1927.21-2022检测握钉力≥65N/mm</w:t>
      </w:r>
    </w:p>
    <w:p>
      <w:pPr>
        <w:pStyle w:val="24"/>
        <w:kinsoku w:val="0"/>
        <w:overflowPunct w:val="0"/>
        <w:ind w:firstLine="472"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spacing w:val="-2"/>
          <w:kern w:val="0"/>
          <w:szCs w:val="24"/>
          <w:highlight w:val="none"/>
          <w:lang w:val="en-US"/>
        </w:rPr>
        <w:t>投标文件中应提供依据GB/T20239-2015</w:t>
      </w:r>
      <w:r>
        <w:rPr>
          <w:rFonts w:hint="eastAsia" w:ascii="宋体" w:hAnsi="宋体" w:eastAsia="宋体" w:cs="宋体"/>
          <w:color w:val="auto"/>
          <w:szCs w:val="24"/>
          <w:highlight w:val="none"/>
        </w:rPr>
        <w:t>《体育馆用木地板》检测和</w:t>
      </w:r>
      <w:r>
        <w:rPr>
          <w:rFonts w:hint="eastAsia" w:ascii="宋体" w:hAnsi="宋体" w:eastAsia="宋体" w:cs="宋体"/>
          <w:color w:val="auto"/>
          <w:spacing w:val="-2"/>
          <w:kern w:val="0"/>
          <w:szCs w:val="24"/>
          <w:highlight w:val="none"/>
          <w:lang w:val="en-US"/>
        </w:rPr>
        <w:t>具有CMA资质的机构出具的检测报告。</w:t>
      </w:r>
    </w:p>
    <w:p>
      <w:pPr>
        <w:numPr>
          <w:ilvl w:val="0"/>
          <w:numId w:val="4"/>
        </w:numPr>
        <w:spacing w:line="360" w:lineRule="auto"/>
        <w:ind w:left="0"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弹性垫</w:t>
      </w:r>
    </w:p>
    <w:p>
      <w:pPr>
        <w:pStyle w:val="61"/>
        <w:numPr>
          <w:ilvl w:val="0"/>
          <w:numId w:val="8"/>
        </w:numPr>
        <w:spacing w:after="0" w:line="360" w:lineRule="auto"/>
        <w:ind w:leftChars="0" w:firstLine="472"/>
        <w:rPr>
          <w:rFonts w:hint="eastAsia" w:ascii="宋体" w:hAnsi="宋体" w:eastAsia="宋体" w:cs="宋体"/>
          <w:color w:val="auto"/>
          <w:sz w:val="24"/>
          <w:highlight w:val="none"/>
        </w:rPr>
      </w:pPr>
      <w:r>
        <w:rPr>
          <w:rFonts w:hint="eastAsia" w:ascii="宋体" w:hAnsi="宋体" w:eastAsia="宋体" w:cs="宋体"/>
          <w:color w:val="auto"/>
          <w:spacing w:val="-2"/>
          <w:kern w:val="0"/>
          <w:sz w:val="24"/>
          <w:highlight w:val="none"/>
        </w:rPr>
        <w:t>运动地板专用弹性橡胶垫，为不易老化的橡胶材质，</w:t>
      </w:r>
      <w:r>
        <w:rPr>
          <w:rFonts w:hint="eastAsia" w:ascii="宋体" w:hAnsi="宋体" w:eastAsia="宋体" w:cs="宋体"/>
          <w:color w:val="auto"/>
          <w:sz w:val="24"/>
          <w:highlight w:val="none"/>
        </w:rPr>
        <w:t>在重压下能永久保持弹性结构，</w:t>
      </w:r>
      <w:r>
        <w:rPr>
          <w:rFonts w:hint="eastAsia" w:ascii="宋体" w:hAnsi="宋体" w:eastAsia="宋体" w:cs="宋体"/>
          <w:color w:val="auto"/>
          <w:spacing w:val="-2"/>
          <w:kern w:val="0"/>
          <w:sz w:val="24"/>
          <w:highlight w:val="none"/>
        </w:rPr>
        <w:t>固定在龙骨上。</w:t>
      </w:r>
    </w:p>
    <w:p>
      <w:pPr>
        <w:numPr>
          <w:ilvl w:val="0"/>
          <w:numId w:val="8"/>
        </w:numPr>
        <w:spacing w:line="360" w:lineRule="auto"/>
        <w:ind w:firstLine="420" w:firstLineChars="200"/>
        <w:jc w:val="left"/>
        <w:rPr>
          <w:rFonts w:hint="eastAsia" w:ascii="宋体" w:hAnsi="宋体" w:eastAsia="宋体" w:cs="宋体"/>
          <w:color w:val="auto"/>
          <w:sz w:val="24"/>
          <w:highlight w:val="none"/>
        </w:rPr>
      </w:pPr>
      <w:r>
        <w:rPr>
          <w:rFonts w:hint="eastAsia" w:ascii="宋体" w:hAnsi="宋体" w:eastAsia="宋体" w:cs="宋体"/>
          <w:color w:val="auto"/>
          <w:highlight w:val="none"/>
        </w:rPr>
        <w:t>◆</w:t>
      </w:r>
      <w:r>
        <w:rPr>
          <w:rFonts w:hint="eastAsia" w:ascii="宋体" w:hAnsi="宋体" w:eastAsia="宋体" w:cs="宋体"/>
          <w:color w:val="auto"/>
          <w:sz w:val="24"/>
          <w:highlight w:val="none"/>
        </w:rPr>
        <w:t>规格：厚度≥10mm，</w:t>
      </w:r>
    </w:p>
    <w:p>
      <w:pPr>
        <w:pStyle w:val="24"/>
        <w:numPr>
          <w:ilvl w:val="0"/>
          <w:numId w:val="8"/>
        </w:numPr>
        <w:kinsoku w:val="0"/>
        <w:overflowPunct w:val="0"/>
        <w:ind w:firstLine="480"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highlight w:val="none"/>
        </w:rPr>
        <w:t>◆</w:t>
      </w:r>
      <w:r>
        <w:rPr>
          <w:rFonts w:hint="eastAsia" w:ascii="宋体" w:hAnsi="宋体" w:eastAsia="宋体" w:cs="宋体"/>
          <w:color w:val="auto"/>
          <w:spacing w:val="-2"/>
          <w:kern w:val="0"/>
          <w:szCs w:val="24"/>
          <w:highlight w:val="none"/>
          <w:lang w:val="en-US"/>
        </w:rPr>
        <w:t>理化性能：拉伸强度</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val="en-US"/>
        </w:rPr>
        <w:t>0.5MPa,拉断伸长率</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val="en-US"/>
        </w:rPr>
        <w:t>40%，阻燃I级，</w:t>
      </w:r>
      <w:r>
        <w:rPr>
          <w:rFonts w:hint="eastAsia" w:ascii="宋体" w:hAnsi="宋体" w:eastAsia="宋体" w:cs="宋体"/>
          <w:color w:val="auto"/>
          <w:spacing w:val="-2"/>
          <w:kern w:val="0"/>
          <w:szCs w:val="24"/>
          <w:highlight w:val="none"/>
          <w:lang w:val="en-US"/>
        </w:rPr>
        <w:t>回弹值</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val="en-US"/>
        </w:rPr>
        <w:t>20%.</w:t>
      </w:r>
    </w:p>
    <w:p>
      <w:pPr>
        <w:pStyle w:val="24"/>
        <w:kinsoku w:val="0"/>
        <w:overflowPunct w:val="0"/>
        <w:ind w:firstLine="472" w:firstLineChars="200"/>
        <w:jc w:val="left"/>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spacing w:val="-2"/>
          <w:kern w:val="0"/>
          <w:szCs w:val="24"/>
          <w:highlight w:val="none"/>
          <w:lang w:val="en-US"/>
        </w:rPr>
        <w:t>投标文件中应提供具有CMA资质的机构出具的检测报告。</w:t>
      </w:r>
    </w:p>
    <w:p>
      <w:pPr>
        <w:numPr>
          <w:ilvl w:val="0"/>
          <w:numId w:val="4"/>
        </w:numPr>
        <w:spacing w:line="360" w:lineRule="auto"/>
        <w:ind w:left="0"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防潮垫：</w:t>
      </w:r>
    </w:p>
    <w:p>
      <w:pPr>
        <w:pStyle w:val="61"/>
        <w:spacing w:after="0" w:line="360" w:lineRule="auto"/>
        <w:ind w:left="0" w:leftChars="0" w:firstLine="472"/>
        <w:rPr>
          <w:rFonts w:hint="eastAsia" w:ascii="宋体" w:hAnsi="宋体" w:eastAsia="宋体" w:cs="宋体"/>
          <w:color w:val="auto"/>
          <w:spacing w:val="-2"/>
          <w:kern w:val="0"/>
          <w:sz w:val="24"/>
          <w:highlight w:val="none"/>
        </w:rPr>
      </w:pPr>
      <w:r>
        <w:rPr>
          <w:rFonts w:hint="eastAsia" w:ascii="宋体" w:hAnsi="宋体" w:eastAsia="宋体" w:cs="宋体"/>
          <w:color w:val="auto"/>
          <w:spacing w:val="-2"/>
          <w:kern w:val="0"/>
          <w:sz w:val="24"/>
          <w:highlight w:val="none"/>
        </w:rPr>
        <w:t>运动木地板底层需要铺设CPE薄膜，防潮防腐。</w:t>
      </w:r>
    </w:p>
    <w:p>
      <w:pPr>
        <w:numPr>
          <w:ilvl w:val="0"/>
          <w:numId w:val="4"/>
        </w:numPr>
        <w:spacing w:line="360" w:lineRule="auto"/>
        <w:ind w:left="0" w:firstLine="420" w:firstLineChars="200"/>
        <w:jc w:val="left"/>
        <w:rPr>
          <w:rFonts w:hint="eastAsia" w:ascii="宋体" w:hAnsi="宋体" w:eastAsia="宋体" w:cs="宋体"/>
          <w:b/>
          <w:bCs/>
          <w:color w:val="auto"/>
          <w:sz w:val="24"/>
          <w:highlight w:val="none"/>
        </w:rPr>
      </w:pPr>
      <w:r>
        <w:rPr>
          <w:rFonts w:hint="eastAsia" w:ascii="宋体" w:hAnsi="宋体" w:eastAsia="宋体" w:cs="宋体"/>
          <w:color w:val="auto"/>
          <w:highlight w:val="none"/>
        </w:rPr>
        <w:t>◆</w:t>
      </w:r>
      <w:r>
        <w:rPr>
          <w:rFonts w:hint="eastAsia" w:ascii="宋体" w:hAnsi="宋体" w:eastAsia="宋体" w:cs="宋体"/>
          <w:b/>
          <w:bCs/>
          <w:color w:val="auto"/>
          <w:sz w:val="24"/>
          <w:highlight w:val="none"/>
        </w:rPr>
        <w:t>运动木地板的功能要求</w:t>
      </w:r>
    </w:p>
    <w:tbl>
      <w:tblPr>
        <w:tblStyle w:val="62"/>
        <w:tblW w:w="8099"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1512"/>
        <w:gridCol w:w="4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trPr>
        <w:tc>
          <w:tcPr>
            <w:tcW w:w="2111" w:type="dxa"/>
            <w:tcBorders>
              <w:top w:val="single" w:color="auto" w:sz="4" w:space="0"/>
              <w:left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测试参数</w:t>
            </w:r>
          </w:p>
        </w:tc>
        <w:tc>
          <w:tcPr>
            <w:tcW w:w="1512" w:type="dxa"/>
            <w:tcBorders>
              <w:top w:val="single" w:color="auto" w:sz="4" w:space="0"/>
              <w:left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44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运动场地  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1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冲击力吸收</w:t>
            </w:r>
          </w:p>
        </w:tc>
        <w:tc>
          <w:tcPr>
            <w:tcW w:w="1512"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tc>
        <w:tc>
          <w:tcPr>
            <w:tcW w:w="4476"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1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标准垂直变形</w:t>
            </w:r>
          </w:p>
        </w:tc>
        <w:tc>
          <w:tcPr>
            <w:tcW w:w="1512"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mm</w:t>
            </w:r>
          </w:p>
        </w:tc>
        <w:tc>
          <w:tcPr>
            <w:tcW w:w="4476"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1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球类反弹</w:t>
            </w:r>
          </w:p>
        </w:tc>
        <w:tc>
          <w:tcPr>
            <w:tcW w:w="1512"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tc>
        <w:tc>
          <w:tcPr>
            <w:tcW w:w="4476"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1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滚动荷载</w:t>
            </w:r>
          </w:p>
        </w:tc>
        <w:tc>
          <w:tcPr>
            <w:tcW w:w="1512"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N</w:t>
            </w:r>
          </w:p>
        </w:tc>
        <w:tc>
          <w:tcPr>
            <w:tcW w:w="4476"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111"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滑动摩擦系数</w:t>
            </w:r>
          </w:p>
        </w:tc>
        <w:tc>
          <w:tcPr>
            <w:tcW w:w="1512"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u</w:t>
            </w:r>
          </w:p>
        </w:tc>
        <w:tc>
          <w:tcPr>
            <w:tcW w:w="4476"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0.4 – 0.6</w:t>
            </w:r>
          </w:p>
        </w:tc>
      </w:tr>
    </w:tbl>
    <w:p>
      <w:pPr>
        <w:pStyle w:val="24"/>
        <w:kinsoku w:val="0"/>
        <w:overflowPunct w:val="0"/>
        <w:autoSpaceDE/>
        <w:autoSpaceDN/>
        <w:adjustRightInd/>
        <w:ind w:firstLine="472" w:firstLineChars="200"/>
        <w:rPr>
          <w:rFonts w:hint="eastAsia" w:ascii="宋体" w:hAnsi="宋体" w:eastAsia="宋体" w:cs="宋体"/>
          <w:color w:val="auto"/>
          <w:spacing w:val="-2"/>
          <w:kern w:val="0"/>
          <w:szCs w:val="24"/>
          <w:highlight w:val="none"/>
          <w:lang w:val="en-US"/>
        </w:rPr>
      </w:pPr>
      <w:r>
        <w:rPr>
          <w:rFonts w:hint="eastAsia" w:ascii="宋体" w:hAnsi="宋体" w:eastAsia="宋体" w:cs="宋体"/>
          <w:color w:val="auto"/>
          <w:spacing w:val="-2"/>
          <w:kern w:val="0"/>
          <w:szCs w:val="24"/>
          <w:highlight w:val="none"/>
          <w:lang w:val="en-US"/>
        </w:rPr>
        <w:t>1、运动木地板品牌通过国家体育用品质量监督检验中心出具的GB/T20239-2015的检测报告五项运动性能指标全部符合要求的检测报告。</w:t>
      </w:r>
    </w:p>
    <w:p>
      <w:pPr>
        <w:pStyle w:val="24"/>
        <w:kinsoku w:val="0"/>
        <w:overflowPunct w:val="0"/>
        <w:autoSpaceDE/>
        <w:autoSpaceDN/>
        <w:adjustRightInd/>
        <w:ind w:firstLine="482" w:firstLineChars="200"/>
        <w:rPr>
          <w:rFonts w:hint="eastAsia" w:ascii="宋体" w:hAnsi="宋体" w:eastAsia="宋体" w:cs="宋体"/>
          <w:color w:val="auto"/>
          <w:spacing w:val="-2"/>
          <w:kern w:val="0"/>
          <w:szCs w:val="24"/>
          <w:highlight w:val="none"/>
          <w:lang w:val="en-US"/>
        </w:rPr>
      </w:pPr>
      <w:r>
        <w:rPr>
          <w:rFonts w:hint="eastAsia" w:ascii="宋体" w:hAnsi="宋体" w:eastAsia="宋体" w:cs="宋体"/>
          <w:b/>
          <w:bCs/>
          <w:color w:val="auto"/>
          <w:szCs w:val="24"/>
          <w:highlight w:val="none"/>
          <w:lang w:val="en-US"/>
        </w:rPr>
        <w:t>2、</w:t>
      </w:r>
      <w:r>
        <w:rPr>
          <w:rFonts w:hint="eastAsia" w:ascii="宋体" w:hAnsi="宋体" w:eastAsia="宋体" w:cs="宋体"/>
          <w:color w:val="auto"/>
          <w:szCs w:val="24"/>
          <w:highlight w:val="none"/>
          <w:lang w:val="en-US"/>
        </w:rPr>
        <w:t>木地板结构通过GB/T18260-2015《木材防腐剂对白蚁毒效实验室试验方法》检测，提供检测报告。</w:t>
      </w:r>
    </w:p>
    <w:p>
      <w:pPr>
        <w:pStyle w:val="24"/>
        <w:kinsoku w:val="0"/>
        <w:overflowPunct w:val="0"/>
        <w:autoSpaceDE/>
        <w:autoSpaceDN/>
        <w:adjustRightInd/>
        <w:ind w:firstLine="482" w:firstLineChars="200"/>
        <w:rPr>
          <w:rFonts w:hint="eastAsia" w:ascii="宋体" w:hAnsi="宋体" w:eastAsia="宋体" w:cs="宋体"/>
          <w:b/>
          <w:bCs/>
          <w:color w:val="auto"/>
          <w:szCs w:val="24"/>
          <w:highlight w:val="none"/>
          <w:lang w:val="en-US"/>
        </w:rPr>
      </w:pPr>
      <w:r>
        <w:rPr>
          <w:rFonts w:hint="eastAsia" w:ascii="宋体" w:hAnsi="宋体" w:eastAsia="宋体" w:cs="宋体"/>
          <w:b/>
          <w:bCs/>
          <w:color w:val="auto"/>
          <w:szCs w:val="24"/>
          <w:highlight w:val="none"/>
          <w:lang w:val="en-US"/>
        </w:rPr>
        <w:t>8）松木找平木垫块，油性大，吃钉力好，耐腐蚀;</w:t>
      </w:r>
    </w:p>
    <w:p>
      <w:pPr>
        <w:pStyle w:val="24"/>
        <w:kinsoku w:val="0"/>
        <w:overflowPunct w:val="0"/>
        <w:autoSpaceDE/>
        <w:autoSpaceDN/>
        <w:adjustRightInd/>
        <w:ind w:firstLine="482" w:firstLineChars="200"/>
        <w:rPr>
          <w:rFonts w:hint="eastAsia" w:ascii="宋体" w:hAnsi="宋体" w:eastAsia="宋体" w:cs="宋体"/>
          <w:b/>
          <w:bCs/>
          <w:color w:val="auto"/>
          <w:szCs w:val="24"/>
          <w:highlight w:val="none"/>
          <w:lang w:val="en-US" w:eastAsia="zh-CN"/>
        </w:rPr>
      </w:pPr>
      <w:r>
        <w:rPr>
          <w:rFonts w:hint="eastAsia" w:ascii="宋体" w:hAnsi="宋体" w:eastAsia="宋体" w:cs="宋体"/>
          <w:b/>
          <w:bCs/>
          <w:color w:val="auto"/>
          <w:szCs w:val="24"/>
          <w:highlight w:val="none"/>
          <w:lang w:val="en-US"/>
        </w:rPr>
        <w:t>9）</w:t>
      </w:r>
      <w:r>
        <w:rPr>
          <w:rFonts w:hint="eastAsia" w:ascii="宋体" w:hAnsi="宋体" w:eastAsia="宋体" w:cs="宋体"/>
          <w:b/>
          <w:bCs/>
          <w:color w:val="auto"/>
          <w:szCs w:val="24"/>
          <w:highlight w:val="none"/>
          <w:lang w:val="en-US"/>
        </w:rPr>
        <w:t>体育地板专用钉，直径</w:t>
      </w:r>
      <w:r>
        <w:rPr>
          <w:rFonts w:hint="eastAsia" w:ascii="宋体" w:hAnsi="宋体" w:eastAsia="宋体" w:cs="宋体"/>
          <w:b/>
          <w:bCs/>
          <w:color w:val="auto"/>
          <w:szCs w:val="24"/>
          <w:highlight w:val="none"/>
          <w:lang w:val="en-US"/>
        </w:rPr>
        <w:t>8mm</w:t>
      </w:r>
      <w:r>
        <w:rPr>
          <w:rFonts w:hint="eastAsia" w:ascii="宋体" w:hAnsi="宋体" w:eastAsia="宋体" w:cs="宋体"/>
          <w:b/>
          <w:bCs/>
          <w:color w:val="auto"/>
          <w:szCs w:val="24"/>
          <w:highlight w:val="none"/>
          <w:lang w:val="en-US"/>
        </w:rPr>
        <w:t>坚固耐用</w:t>
      </w:r>
      <w:r>
        <w:rPr>
          <w:rFonts w:hint="eastAsia" w:ascii="宋体" w:hAnsi="宋体" w:eastAsia="宋体" w:cs="宋体"/>
          <w:b/>
          <w:bCs/>
          <w:color w:val="auto"/>
          <w:szCs w:val="24"/>
          <w:highlight w:val="none"/>
          <w:lang w:val="en-US" w:eastAsia="zh-CN"/>
        </w:rPr>
        <w:t>。</w:t>
      </w:r>
    </w:p>
    <w:p>
      <w:pPr>
        <w:spacing w:line="360" w:lineRule="auto"/>
        <w:ind w:firstLine="482" w:firstLineChars="200"/>
        <w:rPr>
          <w:rFonts w:hint="eastAsia" w:ascii="宋体" w:hAnsi="宋体" w:eastAsia="宋体" w:cs="宋体"/>
          <w:b/>
          <w:bCs/>
          <w:color w:val="auto"/>
          <w:sz w:val="24"/>
          <w:highlight w:val="none"/>
        </w:rPr>
      </w:pPr>
    </w:p>
    <w:p>
      <w:pPr>
        <w:spacing w:line="360" w:lineRule="auto"/>
        <w:ind w:firstLine="482" w:firstLineChars="200"/>
        <w:rPr>
          <w:rFonts w:hint="eastAsia" w:ascii="宋体" w:hAnsi="宋体" w:eastAsia="宋体" w:cs="宋体"/>
          <w:b/>
          <w:bCs/>
          <w:color w:val="auto"/>
          <w:sz w:val="24"/>
          <w:highlight w:val="none"/>
        </w:rPr>
      </w:pPr>
    </w:p>
    <w:p>
      <w:pPr>
        <w:spacing w:line="360" w:lineRule="auto"/>
        <w:ind w:firstLine="482" w:firstLineChars="200"/>
        <w:rPr>
          <w:rFonts w:hint="eastAsia" w:ascii="宋体" w:hAnsi="宋体" w:eastAsia="宋体" w:cs="宋体"/>
          <w:b/>
          <w:bCs/>
          <w:color w:val="auto"/>
          <w:sz w:val="24"/>
          <w:highlight w:val="none"/>
        </w:rPr>
      </w:pPr>
    </w:p>
    <w:p>
      <w:pPr>
        <w:spacing w:line="360" w:lineRule="auto"/>
        <w:ind w:firstLine="482" w:firstLineChars="200"/>
        <w:rPr>
          <w:rFonts w:hint="eastAsia" w:ascii="宋体" w:hAnsi="宋体" w:eastAsia="宋体" w:cs="宋体"/>
          <w:b/>
          <w:bCs/>
          <w:color w:val="auto"/>
          <w:sz w:val="24"/>
          <w:highlight w:val="none"/>
        </w:rPr>
      </w:pPr>
    </w:p>
    <w:p>
      <w:pPr>
        <w:spacing w:line="360" w:lineRule="auto"/>
        <w:ind w:firstLine="482" w:firstLineChars="200"/>
        <w:rPr>
          <w:rFonts w:hint="eastAsia" w:ascii="宋体" w:hAnsi="宋体" w:eastAsia="宋体" w:cs="宋体"/>
          <w:b/>
          <w:bCs/>
          <w:color w:val="auto"/>
          <w:sz w:val="24"/>
          <w:highlight w:val="none"/>
        </w:rPr>
      </w:pP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（四）样品清单</w:t>
      </w:r>
    </w:p>
    <w:tbl>
      <w:tblPr>
        <w:tblStyle w:val="63"/>
        <w:tblpPr w:leftFromText="180" w:rightFromText="180" w:vertAnchor="text" w:horzAnchor="page" w:tblpX="1605" w:tblpY="4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5"/>
        <w:gridCol w:w="2360"/>
        <w:gridCol w:w="3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pStyle w:val="2"/>
              <w:jc w:val="center"/>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样品名称</w:t>
            </w:r>
          </w:p>
        </w:tc>
        <w:tc>
          <w:tcPr>
            <w:tcW w:w="2360" w:type="dxa"/>
            <w:vAlign w:val="center"/>
          </w:tcPr>
          <w:p>
            <w:pPr>
              <w:pStyle w:val="2"/>
              <w:jc w:val="center"/>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样品要求</w:t>
            </w:r>
          </w:p>
        </w:tc>
        <w:tc>
          <w:tcPr>
            <w:tcW w:w="3831" w:type="dxa"/>
            <w:vAlign w:val="center"/>
          </w:tcPr>
          <w:p>
            <w:pPr>
              <w:pStyle w:val="2"/>
              <w:jc w:val="center"/>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样品大小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pStyle w:val="2"/>
              <w:jc w:val="center"/>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地胶板</w:t>
            </w:r>
          </w:p>
        </w:tc>
        <w:tc>
          <w:tcPr>
            <w:tcW w:w="2360" w:type="dxa"/>
            <w:vAlign w:val="center"/>
          </w:tcPr>
          <w:p>
            <w:pPr>
              <w:pStyle w:val="2"/>
              <w:jc w:val="center"/>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详见采购需求</w:t>
            </w:r>
          </w:p>
        </w:tc>
        <w:tc>
          <w:tcPr>
            <w:tcW w:w="3831" w:type="dxa"/>
            <w:vAlign w:val="center"/>
          </w:tcPr>
          <w:p>
            <w:pPr>
              <w:pStyle w:val="2"/>
              <w:jc w:val="center"/>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不小于300mm*300mm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pStyle w:val="2"/>
              <w:jc w:val="center"/>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运动地板</w:t>
            </w:r>
          </w:p>
        </w:tc>
        <w:tc>
          <w:tcPr>
            <w:tcW w:w="2360" w:type="dxa"/>
            <w:vAlign w:val="center"/>
          </w:tcPr>
          <w:p>
            <w:pPr>
              <w:pStyle w:val="2"/>
              <w:jc w:val="center"/>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详见采购需求</w:t>
            </w:r>
          </w:p>
        </w:tc>
        <w:tc>
          <w:tcPr>
            <w:tcW w:w="3831" w:type="dxa"/>
            <w:vAlign w:val="center"/>
          </w:tcPr>
          <w:p>
            <w:pPr>
              <w:pStyle w:val="2"/>
              <w:jc w:val="center"/>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不小于300mm*300mm</w:t>
            </w:r>
          </w:p>
        </w:tc>
      </w:tr>
    </w:tbl>
    <w:p>
      <w:pPr>
        <w:pStyle w:val="2"/>
        <w:ind w:left="0" w:firstLine="0"/>
        <w:rPr>
          <w:rFonts w:hint="eastAsia" w:ascii="宋体" w:hAnsi="宋体" w:eastAsia="宋体" w:cs="宋体"/>
          <w:color w:val="auto"/>
          <w:sz w:val="24"/>
          <w:szCs w:val="24"/>
          <w:highlight w:val="none"/>
          <w:lang w:val="en-US"/>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（五）商务需求：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1、质量及工期：</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（1）本项采购、</w:t>
      </w:r>
      <w:r>
        <w:rPr>
          <w:rFonts w:hint="eastAsia" w:ascii="宋体" w:hAnsi="宋体" w:eastAsia="宋体" w:cs="宋体"/>
          <w:color w:val="auto"/>
          <w:sz w:val="24"/>
          <w:highlight w:val="none"/>
        </w:rPr>
        <w:t>安装施工项目，按最新国家标准、规范和招标文件要求，一次验收合格；投标供应商需按本技术规格书的要求完成产品的制造、运输、卸货、施工安装及售后服务等工作。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（2）接到招标人通知后50天内完成所有产品、材料的供货，并完成项目的安装及验收等工作。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2、质保期及售后服务：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（1）投标人须对合同中规定的货物提供至少48个月的质保期及免费维修和保养，时间从验收合格之日算起；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（2）同质透心PVC卷材地板必须保证至少10年不变色、不变形，并提供投标产品制造商“质量保证承诺书”（格式自拟）；</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（3）投标人售后维修点需提供足够的备品、备件以适应招标人维修需求；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（4）在质保期内的工作应包括所有常规检查，具体的操作程序和内容须在投标时说明。</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3、安装施工及验收要求：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在PVC地板铺设前，中标人应指导、监督地面找平层的质量，确保地面平整、坚硬、清洁和干燥；安装铺设卷材前须对地面做自流平处理，自流平厚度按照2mm考虑，任何原因造成的自流平用量增加，招标人不予追加费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在整个采购、安装过程中应服从建设方、总体设计单位、监理单位和总承包单位的总体安排，同时应与其他工种密切配合；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中标人对提供的主材及其他所有辅料的质量和规格应符合招标要求、符合国家和行业最新标准；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安装施工中业主、监理将按产品报验要求对供方成品、半成品进行随机抽查和检测，检测费用含在投标总价内由投标人承担；</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中标人须及时提交所需的资料，所有资料必须符合技术要求及现行最新验收规范要求；</w:t>
      </w:r>
    </w:p>
    <w:p>
      <w:pPr>
        <w:numPr>
          <w:ilvl w:val="0"/>
          <w:numId w:val="9"/>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付款方式：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(1)合同签订后，采购人向中标人支付合同款的 40%预付款。</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(2)安装调试完成后，采购人向中标人支付至合同款的80%。</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（3）验收合格完成后，采购人向中标人支付至合同款的 98.5%。</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（4）剩余1.5%作为质保金，质保期满后付清（质保期2年）。</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1、如有附图，仅作参考。</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2、打▲内容为实质性要求，不允许有负偏离，否则将以涉及无效投标条款作无效投标。</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3、中标人所提供的货物、服务须与投标承诺一致，不得以次充好、偷工减料，若在项目验收中发现有上述情况，将向有关部门举报，根据相关规定进行处理。</w:t>
      </w:r>
    </w:p>
    <w:p>
      <w:pPr>
        <w:spacing w:line="360" w:lineRule="auto"/>
        <w:ind w:firstLine="120" w:firstLineChars="50"/>
        <w:rPr>
          <w:rFonts w:hint="eastAsia" w:ascii="宋体" w:hAnsi="宋体" w:eastAsia="宋体" w:cs="宋体"/>
          <w:b/>
          <w:color w:val="auto"/>
          <w:sz w:val="24"/>
          <w:highlight w:val="none"/>
        </w:rPr>
      </w:pPr>
    </w:p>
    <w:p>
      <w:pPr>
        <w:spacing w:line="360" w:lineRule="auto"/>
        <w:rPr>
          <w:rFonts w:hint="eastAsia" w:ascii="宋体" w:hAnsi="宋体" w:eastAsia="宋体" w:cs="宋体"/>
          <w:color w:val="auto"/>
          <w:sz w:val="24"/>
          <w:highlight w:val="none"/>
        </w:rPr>
      </w:pPr>
    </w:p>
    <w:p>
      <w:pPr>
        <w:widowControl/>
        <w:ind w:firstLine="720" w:firstLineChars="300"/>
        <w:jc w:val="left"/>
        <w:rPr>
          <w:rFonts w:hint="eastAsia" w:ascii="宋体" w:hAnsi="宋体" w:eastAsia="宋体" w:cs="宋体"/>
          <w:bCs/>
          <w:color w:val="auto"/>
          <w:sz w:val="24"/>
          <w:highlight w:val="none"/>
        </w:rPr>
      </w:pPr>
    </w:p>
    <w:p>
      <w:pPr>
        <w:rPr>
          <w:rFonts w:hint="eastAsia" w:ascii="宋体" w:hAnsi="宋体" w:eastAsia="宋体" w:cs="宋体"/>
          <w:snapToGrid w:val="0"/>
          <w:color w:val="auto"/>
          <w:kern w:val="0"/>
          <w:sz w:val="24"/>
          <w:highlight w:val="none"/>
        </w:rPr>
      </w:pPr>
    </w:p>
    <w:p>
      <w:pPr>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24"/>
          <w:highlight w:val="none"/>
        </w:rPr>
        <w:t xml:space="preserve">第四部分   </w:t>
      </w:r>
      <w:bookmarkStart w:id="32" w:name="_Toc184314454"/>
      <w:bookmarkEnd w:id="32"/>
      <w:bookmarkStart w:id="33" w:name="_Toc184310310"/>
      <w:bookmarkEnd w:id="33"/>
      <w:bookmarkStart w:id="34" w:name="_Toc184308106"/>
      <w:bookmarkEnd w:id="34"/>
      <w:bookmarkStart w:id="35" w:name="_Toc184308073"/>
      <w:bookmarkEnd w:id="35"/>
      <w:bookmarkStart w:id="36" w:name="_Toc184310299"/>
      <w:bookmarkEnd w:id="36"/>
      <w:bookmarkStart w:id="37" w:name="_Toc184313278"/>
      <w:bookmarkEnd w:id="37"/>
      <w:bookmarkStart w:id="38" w:name="_Toc184308101"/>
      <w:bookmarkEnd w:id="38"/>
      <w:bookmarkStart w:id="39" w:name="_Toc184310277"/>
      <w:bookmarkEnd w:id="39"/>
      <w:bookmarkStart w:id="40" w:name="_Toc184308060"/>
      <w:bookmarkEnd w:id="40"/>
      <w:bookmarkStart w:id="41" w:name="_Toc184310301"/>
      <w:bookmarkEnd w:id="41"/>
      <w:bookmarkStart w:id="42" w:name="_Toc184312098"/>
      <w:bookmarkEnd w:id="42"/>
      <w:bookmarkStart w:id="43" w:name="_Toc184308104"/>
      <w:bookmarkEnd w:id="43"/>
      <w:bookmarkStart w:id="44" w:name="_Toc184310289"/>
      <w:bookmarkEnd w:id="44"/>
      <w:bookmarkStart w:id="45" w:name="_Toc184308053"/>
      <w:bookmarkEnd w:id="45"/>
      <w:bookmarkStart w:id="46" w:name="_Toc184312120"/>
      <w:bookmarkEnd w:id="46"/>
      <w:bookmarkStart w:id="47" w:name="_Toc184314432"/>
      <w:bookmarkEnd w:id="47"/>
      <w:bookmarkStart w:id="48" w:name="_Toc184310326"/>
      <w:bookmarkEnd w:id="48"/>
      <w:bookmarkStart w:id="49" w:name="_Toc184310334"/>
      <w:bookmarkEnd w:id="49"/>
      <w:bookmarkStart w:id="50" w:name="_Toc184313262"/>
      <w:bookmarkEnd w:id="50"/>
      <w:bookmarkStart w:id="51" w:name="_Toc184312102"/>
      <w:bookmarkEnd w:id="51"/>
      <w:bookmarkStart w:id="52" w:name="_Toc184312079"/>
      <w:bookmarkEnd w:id="52"/>
      <w:bookmarkStart w:id="53" w:name="_Toc184312069"/>
      <w:bookmarkEnd w:id="53"/>
      <w:bookmarkStart w:id="54" w:name="_Toc184314477"/>
      <w:bookmarkEnd w:id="54"/>
      <w:bookmarkStart w:id="55" w:name="_Toc184310297"/>
      <w:bookmarkEnd w:id="55"/>
      <w:bookmarkStart w:id="56" w:name="_Toc184313306"/>
      <w:bookmarkEnd w:id="56"/>
      <w:bookmarkStart w:id="57" w:name="_Toc184312080"/>
      <w:bookmarkEnd w:id="57"/>
      <w:bookmarkStart w:id="58" w:name="_Toc184308052"/>
      <w:bookmarkEnd w:id="58"/>
      <w:bookmarkStart w:id="59" w:name="_Toc184310278"/>
      <w:bookmarkEnd w:id="59"/>
      <w:bookmarkStart w:id="60" w:name="_Toc184314447"/>
      <w:bookmarkEnd w:id="60"/>
      <w:bookmarkStart w:id="61" w:name="_Toc184312086"/>
      <w:bookmarkEnd w:id="61"/>
      <w:bookmarkStart w:id="62" w:name="_Toc184313258"/>
      <w:bookmarkEnd w:id="62"/>
      <w:bookmarkStart w:id="63" w:name="_Toc184312131"/>
      <w:bookmarkEnd w:id="63"/>
      <w:bookmarkStart w:id="64" w:name="_Toc184314411"/>
      <w:bookmarkEnd w:id="64"/>
      <w:bookmarkStart w:id="65" w:name="_Toc184308058"/>
      <w:bookmarkEnd w:id="65"/>
      <w:bookmarkStart w:id="66" w:name="_Toc184313295"/>
      <w:bookmarkEnd w:id="66"/>
      <w:bookmarkStart w:id="67" w:name="_Toc184312092"/>
      <w:bookmarkEnd w:id="67"/>
      <w:bookmarkStart w:id="68" w:name="_Toc184308070"/>
      <w:bookmarkEnd w:id="68"/>
      <w:bookmarkStart w:id="69" w:name="_Toc184308095"/>
      <w:bookmarkEnd w:id="69"/>
      <w:bookmarkStart w:id="70" w:name="_Toc184312071"/>
      <w:bookmarkEnd w:id="70"/>
      <w:bookmarkStart w:id="71" w:name="_Toc184314414"/>
      <w:bookmarkEnd w:id="71"/>
      <w:bookmarkStart w:id="72" w:name="_Toc184314421"/>
      <w:bookmarkEnd w:id="72"/>
      <w:bookmarkStart w:id="73" w:name="_Toc184313304"/>
      <w:bookmarkEnd w:id="73"/>
      <w:bookmarkStart w:id="74" w:name="_Toc184310287"/>
      <w:bookmarkEnd w:id="74"/>
      <w:bookmarkStart w:id="75" w:name="_Toc184313284"/>
      <w:bookmarkEnd w:id="75"/>
      <w:bookmarkStart w:id="76" w:name="_Toc184313299"/>
      <w:bookmarkEnd w:id="76"/>
      <w:bookmarkStart w:id="77" w:name="_Toc184314449"/>
      <w:bookmarkEnd w:id="77"/>
      <w:bookmarkStart w:id="78" w:name="_Toc184310339"/>
      <w:bookmarkEnd w:id="78"/>
      <w:bookmarkStart w:id="79" w:name="_Toc184313243"/>
      <w:bookmarkEnd w:id="79"/>
      <w:bookmarkStart w:id="80" w:name="_Toc184314475"/>
      <w:bookmarkEnd w:id="80"/>
      <w:bookmarkStart w:id="81" w:name="_Toc184308063"/>
      <w:bookmarkEnd w:id="81"/>
      <w:bookmarkStart w:id="82" w:name="_Toc184310344"/>
      <w:bookmarkEnd w:id="82"/>
      <w:bookmarkStart w:id="83" w:name="_Toc184308072"/>
      <w:bookmarkEnd w:id="83"/>
      <w:bookmarkStart w:id="84" w:name="_Toc184314431"/>
      <w:bookmarkEnd w:id="84"/>
      <w:bookmarkStart w:id="85" w:name="_Toc184308079"/>
      <w:bookmarkEnd w:id="85"/>
      <w:bookmarkStart w:id="86" w:name="_Toc184313289"/>
      <w:bookmarkEnd w:id="86"/>
      <w:bookmarkStart w:id="87" w:name="_Toc184308086"/>
      <w:bookmarkEnd w:id="87"/>
      <w:bookmarkStart w:id="88" w:name="_Toc184313252"/>
      <w:bookmarkEnd w:id="88"/>
      <w:bookmarkStart w:id="89" w:name="_Toc184310274"/>
      <w:bookmarkEnd w:id="89"/>
      <w:bookmarkStart w:id="90" w:name="_Toc184308067"/>
      <w:bookmarkEnd w:id="90"/>
      <w:bookmarkStart w:id="91" w:name="_Toc184312096"/>
      <w:bookmarkEnd w:id="91"/>
      <w:bookmarkStart w:id="92" w:name="_Toc184313265"/>
      <w:bookmarkEnd w:id="92"/>
      <w:bookmarkStart w:id="93" w:name="_Toc184313296"/>
      <w:bookmarkEnd w:id="93"/>
      <w:bookmarkStart w:id="94" w:name="_Toc184312099"/>
      <w:bookmarkEnd w:id="94"/>
      <w:bookmarkStart w:id="95" w:name="_Toc184314448"/>
      <w:bookmarkEnd w:id="95"/>
      <w:bookmarkStart w:id="96" w:name="_Toc184308099"/>
      <w:bookmarkEnd w:id="96"/>
      <w:bookmarkStart w:id="97" w:name="_Toc184314458"/>
      <w:bookmarkEnd w:id="97"/>
      <w:bookmarkStart w:id="98" w:name="_Toc184313251"/>
      <w:bookmarkEnd w:id="98"/>
      <w:bookmarkStart w:id="99" w:name="_Toc184313285"/>
      <w:bookmarkEnd w:id="99"/>
      <w:bookmarkStart w:id="100" w:name="_Toc184312138"/>
      <w:bookmarkEnd w:id="100"/>
      <w:bookmarkStart w:id="101" w:name="_Toc184313274"/>
      <w:bookmarkEnd w:id="101"/>
      <w:bookmarkStart w:id="102" w:name="_Toc184310272"/>
      <w:bookmarkEnd w:id="102"/>
      <w:bookmarkStart w:id="103" w:name="_Toc184308042"/>
      <w:bookmarkEnd w:id="103"/>
      <w:bookmarkStart w:id="104" w:name="_Toc184314428"/>
      <w:bookmarkEnd w:id="104"/>
      <w:bookmarkStart w:id="105" w:name="_Toc184312097"/>
      <w:bookmarkEnd w:id="105"/>
      <w:bookmarkStart w:id="106" w:name="_Toc184310285"/>
      <w:bookmarkEnd w:id="106"/>
      <w:bookmarkStart w:id="107" w:name="_Toc184310312"/>
      <w:bookmarkEnd w:id="107"/>
      <w:bookmarkStart w:id="108" w:name="_Toc184308074"/>
      <w:bookmarkEnd w:id="108"/>
      <w:bookmarkStart w:id="109" w:name="_Toc184308071"/>
      <w:bookmarkEnd w:id="109"/>
      <w:bookmarkStart w:id="110" w:name="_Toc184308094"/>
      <w:bookmarkEnd w:id="110"/>
      <w:bookmarkStart w:id="111" w:name="_Toc184312139"/>
      <w:bookmarkEnd w:id="111"/>
      <w:bookmarkStart w:id="112" w:name="_Toc184308087"/>
      <w:bookmarkEnd w:id="112"/>
      <w:bookmarkStart w:id="113" w:name="_Toc184312137"/>
      <w:bookmarkEnd w:id="113"/>
      <w:bookmarkStart w:id="114" w:name="_Toc184312105"/>
      <w:bookmarkEnd w:id="114"/>
      <w:bookmarkStart w:id="115" w:name="_Toc184312085"/>
      <w:bookmarkEnd w:id="115"/>
      <w:bookmarkStart w:id="116" w:name="_Toc184313302"/>
      <w:bookmarkEnd w:id="116"/>
      <w:bookmarkStart w:id="117" w:name="_Toc184312110"/>
      <w:bookmarkEnd w:id="117"/>
      <w:bookmarkStart w:id="118" w:name="_Toc184308056"/>
      <w:bookmarkEnd w:id="118"/>
      <w:bookmarkStart w:id="119" w:name="_Toc184312074"/>
      <w:bookmarkEnd w:id="119"/>
      <w:bookmarkStart w:id="120" w:name="_Toc184310279"/>
      <w:bookmarkEnd w:id="120"/>
      <w:bookmarkStart w:id="121" w:name="_Toc184313260"/>
      <w:bookmarkEnd w:id="121"/>
      <w:bookmarkStart w:id="122" w:name="_Toc184310335"/>
      <w:bookmarkEnd w:id="122"/>
      <w:bookmarkStart w:id="123" w:name="_Toc184314459"/>
      <w:bookmarkEnd w:id="123"/>
      <w:bookmarkStart w:id="124" w:name="_Toc184310333"/>
      <w:bookmarkEnd w:id="124"/>
      <w:bookmarkStart w:id="125" w:name="_Toc184313287"/>
      <w:bookmarkEnd w:id="125"/>
      <w:bookmarkStart w:id="126" w:name="_Toc184310306"/>
      <w:bookmarkEnd w:id="126"/>
      <w:bookmarkStart w:id="127" w:name="_Toc184312125"/>
      <w:bookmarkEnd w:id="127"/>
      <w:bookmarkStart w:id="128" w:name="_Toc184314476"/>
      <w:bookmarkEnd w:id="128"/>
      <w:bookmarkStart w:id="129" w:name="_Toc184310315"/>
      <w:bookmarkEnd w:id="129"/>
      <w:bookmarkStart w:id="130" w:name="_Toc184308043"/>
      <w:bookmarkEnd w:id="130"/>
      <w:bookmarkStart w:id="131" w:name="_Toc184308054"/>
      <w:bookmarkEnd w:id="131"/>
      <w:bookmarkStart w:id="132" w:name="_Toc184308062"/>
      <w:bookmarkEnd w:id="132"/>
      <w:bookmarkStart w:id="133" w:name="_Toc184312088"/>
      <w:bookmarkEnd w:id="133"/>
      <w:bookmarkStart w:id="134" w:name="_Toc184308065"/>
      <w:bookmarkEnd w:id="134"/>
      <w:bookmarkStart w:id="135" w:name="_Toc184308066"/>
      <w:bookmarkEnd w:id="135"/>
      <w:bookmarkStart w:id="136" w:name="_Toc184312111"/>
      <w:bookmarkEnd w:id="136"/>
      <w:bookmarkStart w:id="137" w:name="_Toc184312136"/>
      <w:bookmarkEnd w:id="137"/>
      <w:bookmarkStart w:id="138" w:name="_Toc184312127"/>
      <w:bookmarkEnd w:id="138"/>
      <w:bookmarkStart w:id="139" w:name="_Toc184308085"/>
      <w:bookmarkEnd w:id="139"/>
      <w:bookmarkStart w:id="140" w:name="_Toc184310322"/>
      <w:bookmarkEnd w:id="140"/>
      <w:bookmarkStart w:id="141" w:name="_Toc184308051"/>
      <w:bookmarkEnd w:id="141"/>
      <w:bookmarkStart w:id="142" w:name="_Toc184313264"/>
      <w:bookmarkEnd w:id="142"/>
      <w:bookmarkStart w:id="143" w:name="_Toc184314468"/>
      <w:bookmarkEnd w:id="143"/>
      <w:bookmarkStart w:id="144" w:name="_Toc184310317"/>
      <w:bookmarkEnd w:id="144"/>
      <w:bookmarkStart w:id="145" w:name="_Toc184313238"/>
      <w:bookmarkEnd w:id="145"/>
      <w:bookmarkStart w:id="146" w:name="_Toc184308089"/>
      <w:bookmarkEnd w:id="146"/>
      <w:bookmarkStart w:id="147" w:name="_Toc184310309"/>
      <w:bookmarkEnd w:id="147"/>
      <w:bookmarkStart w:id="148" w:name="_Toc184310283"/>
      <w:bookmarkEnd w:id="148"/>
      <w:bookmarkStart w:id="149" w:name="_Toc184308092"/>
      <w:bookmarkEnd w:id="149"/>
      <w:bookmarkStart w:id="150" w:name="_Toc184314478"/>
      <w:bookmarkEnd w:id="150"/>
      <w:bookmarkStart w:id="151" w:name="_Toc184314410"/>
      <w:bookmarkEnd w:id="151"/>
      <w:bookmarkStart w:id="152" w:name="_Toc184310291"/>
      <w:bookmarkEnd w:id="152"/>
      <w:bookmarkStart w:id="153" w:name="_Toc184314442"/>
      <w:bookmarkEnd w:id="153"/>
      <w:bookmarkStart w:id="154" w:name="_Toc184314445"/>
      <w:bookmarkEnd w:id="154"/>
      <w:bookmarkStart w:id="155" w:name="_Toc184308088"/>
      <w:bookmarkEnd w:id="155"/>
      <w:bookmarkStart w:id="156" w:name="_Toc184312089"/>
      <w:bookmarkEnd w:id="156"/>
      <w:bookmarkStart w:id="157" w:name="_Toc184314443"/>
      <w:bookmarkEnd w:id="157"/>
      <w:bookmarkStart w:id="158" w:name="_Toc184308038"/>
      <w:bookmarkEnd w:id="158"/>
      <w:bookmarkStart w:id="159" w:name="_Toc184314469"/>
      <w:bookmarkEnd w:id="159"/>
      <w:bookmarkStart w:id="160" w:name="_Toc184310280"/>
      <w:bookmarkEnd w:id="160"/>
      <w:bookmarkStart w:id="161" w:name="_Toc184313250"/>
      <w:bookmarkEnd w:id="161"/>
      <w:bookmarkStart w:id="162" w:name="_Toc184313273"/>
      <w:bookmarkEnd w:id="162"/>
      <w:bookmarkStart w:id="163" w:name="_Toc184308061"/>
      <w:bookmarkEnd w:id="163"/>
      <w:bookmarkStart w:id="164" w:name="_Toc184310327"/>
      <w:bookmarkEnd w:id="164"/>
      <w:bookmarkStart w:id="165" w:name="_Toc184308057"/>
      <w:bookmarkEnd w:id="165"/>
      <w:bookmarkStart w:id="166" w:name="_Toc184313254"/>
      <w:bookmarkEnd w:id="166"/>
      <w:bookmarkStart w:id="167" w:name="_Toc184312090"/>
      <w:bookmarkEnd w:id="167"/>
      <w:bookmarkStart w:id="168" w:name="_Toc184314456"/>
      <w:bookmarkEnd w:id="168"/>
      <w:bookmarkStart w:id="169" w:name="_Toc184312073"/>
      <w:bookmarkEnd w:id="169"/>
      <w:bookmarkStart w:id="170" w:name="_Toc184310282"/>
      <w:bookmarkEnd w:id="170"/>
      <w:bookmarkStart w:id="171" w:name="_Toc184314461"/>
      <w:bookmarkEnd w:id="171"/>
      <w:bookmarkStart w:id="172" w:name="_Toc184312130"/>
      <w:bookmarkEnd w:id="172"/>
      <w:bookmarkStart w:id="173" w:name="_Toc184312113"/>
      <w:bookmarkEnd w:id="173"/>
      <w:bookmarkStart w:id="174" w:name="_Toc184312121"/>
      <w:bookmarkEnd w:id="174"/>
      <w:bookmarkStart w:id="175" w:name="_Toc184314455"/>
      <w:bookmarkEnd w:id="175"/>
      <w:bookmarkStart w:id="176" w:name="_Toc184314453"/>
      <w:bookmarkEnd w:id="176"/>
      <w:bookmarkStart w:id="177" w:name="_Toc184314444"/>
      <w:bookmarkEnd w:id="177"/>
      <w:bookmarkStart w:id="178" w:name="_Toc184310331"/>
      <w:bookmarkEnd w:id="178"/>
      <w:bookmarkStart w:id="179" w:name="_Toc184312076"/>
      <w:bookmarkEnd w:id="179"/>
      <w:bookmarkStart w:id="180" w:name="_Toc184313280"/>
      <w:bookmarkEnd w:id="180"/>
      <w:bookmarkStart w:id="181" w:name="_Toc184312115"/>
      <w:bookmarkEnd w:id="181"/>
      <w:bookmarkStart w:id="182" w:name="_Toc184308098"/>
      <w:bookmarkEnd w:id="182"/>
      <w:bookmarkStart w:id="183" w:name="_Toc184313281"/>
      <w:bookmarkEnd w:id="183"/>
      <w:bookmarkStart w:id="184" w:name="_Toc184310290"/>
      <w:bookmarkEnd w:id="184"/>
      <w:bookmarkStart w:id="185" w:name="_Toc184313298"/>
      <w:bookmarkEnd w:id="185"/>
      <w:bookmarkStart w:id="186" w:name="_Toc184314417"/>
      <w:bookmarkEnd w:id="186"/>
      <w:bookmarkStart w:id="187" w:name="_Toc184310328"/>
      <w:bookmarkEnd w:id="187"/>
      <w:bookmarkStart w:id="188" w:name="_Toc184314480"/>
      <w:bookmarkEnd w:id="188"/>
      <w:bookmarkStart w:id="189" w:name="_Toc184310321"/>
      <w:bookmarkEnd w:id="189"/>
      <w:bookmarkStart w:id="190" w:name="_Toc184314440"/>
      <w:bookmarkEnd w:id="190"/>
      <w:bookmarkStart w:id="191" w:name="_Toc184313309"/>
      <w:bookmarkEnd w:id="191"/>
      <w:bookmarkStart w:id="192" w:name="_Toc184313246"/>
      <w:bookmarkEnd w:id="192"/>
      <w:bookmarkStart w:id="193" w:name="_Toc184310296"/>
      <w:bookmarkEnd w:id="193"/>
      <w:bookmarkStart w:id="194" w:name="_Toc184313257"/>
      <w:bookmarkEnd w:id="194"/>
      <w:bookmarkStart w:id="195" w:name="_Toc184310307"/>
      <w:bookmarkEnd w:id="195"/>
      <w:bookmarkStart w:id="196" w:name="_Toc184314424"/>
      <w:bookmarkEnd w:id="196"/>
      <w:bookmarkStart w:id="197" w:name="_Toc184314472"/>
      <w:bookmarkEnd w:id="197"/>
      <w:bookmarkStart w:id="198" w:name="_Toc184314420"/>
      <w:bookmarkEnd w:id="198"/>
      <w:bookmarkStart w:id="199" w:name="_Toc184312100"/>
      <w:bookmarkEnd w:id="199"/>
      <w:bookmarkStart w:id="200" w:name="_Toc184310332"/>
      <w:bookmarkEnd w:id="200"/>
      <w:bookmarkStart w:id="201" w:name="_Toc184310303"/>
      <w:bookmarkEnd w:id="201"/>
      <w:bookmarkStart w:id="202" w:name="_Toc184314470"/>
      <w:bookmarkEnd w:id="202"/>
      <w:bookmarkStart w:id="203" w:name="_Toc184313270"/>
      <w:bookmarkEnd w:id="203"/>
      <w:bookmarkStart w:id="204" w:name="_Toc184314433"/>
      <w:bookmarkEnd w:id="204"/>
      <w:bookmarkStart w:id="205" w:name="_Toc184314464"/>
      <w:bookmarkEnd w:id="205"/>
      <w:bookmarkStart w:id="206" w:name="_Toc184312122"/>
      <w:bookmarkEnd w:id="206"/>
      <w:bookmarkStart w:id="207" w:name="_Toc184308044"/>
      <w:bookmarkEnd w:id="207"/>
      <w:bookmarkStart w:id="208" w:name="_Toc184312075"/>
      <w:bookmarkEnd w:id="208"/>
      <w:bookmarkStart w:id="209" w:name="_Toc184313266"/>
      <w:bookmarkEnd w:id="209"/>
      <w:bookmarkStart w:id="210" w:name="_Toc184310293"/>
      <w:bookmarkEnd w:id="210"/>
      <w:bookmarkStart w:id="211" w:name="_Toc184314479"/>
      <w:bookmarkEnd w:id="211"/>
      <w:bookmarkStart w:id="212" w:name="_Toc184312084"/>
      <w:bookmarkEnd w:id="212"/>
      <w:bookmarkStart w:id="213" w:name="_Toc184312108"/>
      <w:bookmarkEnd w:id="213"/>
      <w:bookmarkStart w:id="214" w:name="_Toc184314450"/>
      <w:bookmarkEnd w:id="214"/>
      <w:bookmarkStart w:id="215" w:name="_Toc184313282"/>
      <w:bookmarkEnd w:id="215"/>
      <w:bookmarkStart w:id="216" w:name="_Toc184313283"/>
      <w:bookmarkEnd w:id="216"/>
      <w:bookmarkStart w:id="217" w:name="_Toc184312101"/>
      <w:bookmarkEnd w:id="217"/>
      <w:bookmarkStart w:id="218" w:name="_Toc184308097"/>
      <w:bookmarkEnd w:id="218"/>
      <w:bookmarkStart w:id="219" w:name="_Toc184312082"/>
      <w:bookmarkEnd w:id="219"/>
      <w:bookmarkStart w:id="220" w:name="_Toc184308047"/>
      <w:bookmarkEnd w:id="220"/>
      <w:bookmarkStart w:id="221" w:name="_Toc184314427"/>
      <w:bookmarkEnd w:id="221"/>
      <w:bookmarkStart w:id="222" w:name="_Toc184314437"/>
      <w:bookmarkEnd w:id="222"/>
      <w:bookmarkStart w:id="223" w:name="_Toc184314457"/>
      <w:bookmarkEnd w:id="223"/>
      <w:bookmarkStart w:id="224" w:name="_Toc184313275"/>
      <w:bookmarkEnd w:id="224"/>
      <w:bookmarkStart w:id="225" w:name="_Toc184312124"/>
      <w:bookmarkEnd w:id="225"/>
      <w:bookmarkStart w:id="226" w:name="_Toc184313291"/>
      <w:bookmarkEnd w:id="226"/>
      <w:bookmarkStart w:id="227" w:name="_Toc184314419"/>
      <w:bookmarkEnd w:id="227"/>
      <w:bookmarkStart w:id="228" w:name="_Toc184312112"/>
      <w:bookmarkEnd w:id="228"/>
      <w:bookmarkStart w:id="229" w:name="_Toc184310313"/>
      <w:bookmarkEnd w:id="229"/>
      <w:bookmarkStart w:id="230" w:name="_Toc184308046"/>
      <w:bookmarkEnd w:id="230"/>
      <w:bookmarkStart w:id="231" w:name="_Toc184308068"/>
      <w:bookmarkEnd w:id="231"/>
      <w:bookmarkStart w:id="232" w:name="_Toc184310330"/>
      <w:bookmarkEnd w:id="232"/>
      <w:bookmarkStart w:id="233" w:name="_Toc184308083"/>
      <w:bookmarkEnd w:id="233"/>
      <w:bookmarkStart w:id="234" w:name="_Toc184313259"/>
      <w:bookmarkEnd w:id="234"/>
      <w:bookmarkStart w:id="235" w:name="_Toc184314422"/>
      <w:bookmarkEnd w:id="235"/>
      <w:bookmarkStart w:id="236" w:name="_Toc184312134"/>
      <w:bookmarkEnd w:id="236"/>
      <w:bookmarkStart w:id="237" w:name="_Toc184308064"/>
      <w:bookmarkEnd w:id="237"/>
      <w:bookmarkStart w:id="238" w:name="_Toc184314467"/>
      <w:bookmarkEnd w:id="238"/>
      <w:bookmarkStart w:id="239" w:name="_Toc184312072"/>
      <w:bookmarkEnd w:id="239"/>
      <w:bookmarkStart w:id="240" w:name="_Toc184310308"/>
      <w:bookmarkEnd w:id="240"/>
      <w:bookmarkStart w:id="241" w:name="_Toc184313305"/>
      <w:bookmarkEnd w:id="241"/>
      <w:bookmarkStart w:id="242" w:name="_Toc184313271"/>
      <w:bookmarkEnd w:id="242"/>
      <w:bookmarkStart w:id="243" w:name="_Toc184310319"/>
      <w:bookmarkEnd w:id="243"/>
      <w:bookmarkStart w:id="244" w:name="_Toc184314415"/>
      <w:bookmarkEnd w:id="244"/>
      <w:bookmarkStart w:id="245" w:name="_Toc184308055"/>
      <w:bookmarkEnd w:id="245"/>
      <w:bookmarkStart w:id="246" w:name="_Toc184310304"/>
      <w:bookmarkEnd w:id="246"/>
      <w:bookmarkStart w:id="247" w:name="_Toc184314446"/>
      <w:bookmarkEnd w:id="247"/>
      <w:bookmarkStart w:id="248" w:name="_Toc184313267"/>
      <w:bookmarkEnd w:id="248"/>
      <w:bookmarkStart w:id="249" w:name="_Toc184313249"/>
      <w:bookmarkEnd w:id="249"/>
      <w:bookmarkStart w:id="250" w:name="_Toc184310316"/>
      <w:bookmarkEnd w:id="250"/>
      <w:bookmarkStart w:id="251" w:name="_Toc184313248"/>
      <w:bookmarkEnd w:id="251"/>
      <w:bookmarkStart w:id="252" w:name="_Toc184312119"/>
      <w:bookmarkEnd w:id="252"/>
      <w:bookmarkStart w:id="253" w:name="_Toc184308041"/>
      <w:bookmarkEnd w:id="253"/>
      <w:bookmarkStart w:id="254" w:name="_Toc184313292"/>
      <w:bookmarkEnd w:id="254"/>
      <w:bookmarkStart w:id="255" w:name="_Toc184313239"/>
      <w:bookmarkEnd w:id="255"/>
      <w:bookmarkStart w:id="256" w:name="_Toc184312114"/>
      <w:bookmarkEnd w:id="256"/>
      <w:bookmarkStart w:id="257" w:name="_Toc184314413"/>
      <w:bookmarkEnd w:id="257"/>
      <w:bookmarkStart w:id="258" w:name="_Toc184314452"/>
      <w:bookmarkEnd w:id="258"/>
      <w:bookmarkStart w:id="259" w:name="_Toc184313240"/>
      <w:bookmarkEnd w:id="259"/>
      <w:bookmarkStart w:id="260" w:name="_Toc184312068"/>
      <w:bookmarkEnd w:id="260"/>
      <w:bookmarkStart w:id="261" w:name="_Toc184312087"/>
      <w:bookmarkEnd w:id="261"/>
      <w:bookmarkStart w:id="262" w:name="_Toc184313303"/>
      <w:bookmarkEnd w:id="262"/>
      <w:bookmarkStart w:id="263" w:name="_Toc184308078"/>
      <w:bookmarkEnd w:id="263"/>
      <w:bookmarkStart w:id="264" w:name="_Toc184313256"/>
      <w:bookmarkEnd w:id="264"/>
      <w:bookmarkStart w:id="265" w:name="_Toc184308077"/>
      <w:bookmarkEnd w:id="265"/>
      <w:bookmarkStart w:id="266" w:name="_Toc184312109"/>
      <w:bookmarkEnd w:id="266"/>
      <w:bookmarkStart w:id="267" w:name="_Toc184314430"/>
      <w:bookmarkEnd w:id="267"/>
      <w:bookmarkStart w:id="268" w:name="_Toc184314471"/>
      <w:bookmarkEnd w:id="268"/>
      <w:bookmarkStart w:id="269" w:name="_Toc184312103"/>
      <w:bookmarkEnd w:id="269"/>
      <w:bookmarkStart w:id="270" w:name="_Toc184308036"/>
      <w:bookmarkEnd w:id="270"/>
      <w:bookmarkStart w:id="271" w:name="_Toc184313245"/>
      <w:bookmarkEnd w:id="271"/>
      <w:bookmarkStart w:id="272" w:name="_Toc184310325"/>
      <w:bookmarkEnd w:id="272"/>
      <w:bookmarkStart w:id="273" w:name="_Toc184308069"/>
      <w:bookmarkEnd w:id="273"/>
      <w:bookmarkStart w:id="274" w:name="_Toc184310314"/>
      <w:bookmarkEnd w:id="274"/>
      <w:bookmarkStart w:id="275" w:name="_Toc184314439"/>
      <w:bookmarkEnd w:id="275"/>
      <w:bookmarkStart w:id="276" w:name="_Toc184313253"/>
      <w:bookmarkEnd w:id="276"/>
      <w:bookmarkStart w:id="277" w:name="_Toc184310275"/>
      <w:bookmarkEnd w:id="277"/>
      <w:bookmarkStart w:id="278" w:name="_Toc184310341"/>
      <w:bookmarkEnd w:id="278"/>
      <w:bookmarkStart w:id="279" w:name="_Toc184310284"/>
      <w:bookmarkEnd w:id="279"/>
      <w:bookmarkStart w:id="280" w:name="_Toc184314462"/>
      <w:bookmarkEnd w:id="280"/>
      <w:bookmarkStart w:id="281" w:name="_Toc184313241"/>
      <w:bookmarkEnd w:id="281"/>
      <w:bookmarkStart w:id="282" w:name="_Toc184314438"/>
      <w:bookmarkEnd w:id="282"/>
      <w:bookmarkStart w:id="283" w:name="_Toc184310288"/>
      <w:bookmarkEnd w:id="283"/>
      <w:bookmarkStart w:id="284" w:name="_Toc184308048"/>
      <w:bookmarkEnd w:id="284"/>
      <w:bookmarkStart w:id="285" w:name="_Toc184313269"/>
      <w:bookmarkEnd w:id="285"/>
      <w:bookmarkStart w:id="286" w:name="_Toc184310294"/>
      <w:bookmarkEnd w:id="286"/>
      <w:bookmarkStart w:id="287" w:name="_Toc184314436"/>
      <w:bookmarkEnd w:id="287"/>
      <w:bookmarkStart w:id="288" w:name="_Toc184312106"/>
      <w:bookmarkEnd w:id="288"/>
      <w:bookmarkStart w:id="289" w:name="_Toc184313310"/>
      <w:bookmarkEnd w:id="289"/>
      <w:bookmarkStart w:id="290" w:name="_Toc184308081"/>
      <w:bookmarkEnd w:id="290"/>
      <w:bookmarkStart w:id="291" w:name="_Toc184308049"/>
      <w:bookmarkEnd w:id="291"/>
      <w:bookmarkStart w:id="292" w:name="_Toc184310273"/>
      <w:bookmarkEnd w:id="292"/>
      <w:bookmarkStart w:id="293" w:name="_Toc184312117"/>
      <w:bookmarkEnd w:id="293"/>
      <w:bookmarkStart w:id="294" w:name="_Toc184314435"/>
      <w:bookmarkEnd w:id="294"/>
      <w:bookmarkStart w:id="295" w:name="_Toc184312083"/>
      <w:bookmarkEnd w:id="295"/>
      <w:bookmarkStart w:id="296" w:name="_Toc184314465"/>
      <w:bookmarkEnd w:id="296"/>
      <w:bookmarkStart w:id="297" w:name="_Toc184308091"/>
      <w:bookmarkEnd w:id="297"/>
      <w:bookmarkStart w:id="298" w:name="_Toc184314473"/>
      <w:bookmarkEnd w:id="298"/>
      <w:bookmarkStart w:id="299" w:name="_Toc184310338"/>
      <w:bookmarkEnd w:id="299"/>
      <w:bookmarkStart w:id="300" w:name="_Toc184312077"/>
      <w:bookmarkEnd w:id="300"/>
      <w:bookmarkStart w:id="301" w:name="_Toc184313307"/>
      <w:bookmarkEnd w:id="301"/>
      <w:bookmarkStart w:id="302" w:name="_Toc184308103"/>
      <w:bookmarkEnd w:id="302"/>
      <w:bookmarkStart w:id="303" w:name="_Toc184313290"/>
      <w:bookmarkEnd w:id="303"/>
      <w:bookmarkStart w:id="304" w:name="_Toc184313263"/>
      <w:bookmarkEnd w:id="304"/>
      <w:bookmarkStart w:id="305" w:name="_Toc184312070"/>
      <w:bookmarkEnd w:id="305"/>
      <w:bookmarkStart w:id="306" w:name="_Toc184310340"/>
      <w:bookmarkEnd w:id="306"/>
      <w:bookmarkStart w:id="307" w:name="_Toc184314412"/>
      <w:bookmarkEnd w:id="307"/>
      <w:bookmarkStart w:id="308" w:name="_Toc184312095"/>
      <w:bookmarkEnd w:id="308"/>
      <w:bookmarkStart w:id="309" w:name="_Toc184308039"/>
      <w:bookmarkEnd w:id="309"/>
      <w:bookmarkStart w:id="310" w:name="_Toc184310336"/>
      <w:bookmarkEnd w:id="310"/>
      <w:bookmarkStart w:id="311" w:name="_Toc184313293"/>
      <w:bookmarkEnd w:id="311"/>
      <w:bookmarkStart w:id="312" w:name="_Toc184313244"/>
      <w:bookmarkEnd w:id="312"/>
      <w:bookmarkStart w:id="313" w:name="_Toc184310343"/>
      <w:bookmarkEnd w:id="313"/>
      <w:bookmarkStart w:id="314" w:name="_Toc184312135"/>
      <w:bookmarkEnd w:id="314"/>
      <w:bookmarkStart w:id="315" w:name="_Toc184313288"/>
      <w:bookmarkEnd w:id="315"/>
      <w:bookmarkStart w:id="316" w:name="_Toc184308100"/>
      <w:bookmarkEnd w:id="316"/>
      <w:bookmarkStart w:id="317" w:name="_Toc184312081"/>
      <w:bookmarkEnd w:id="317"/>
      <w:bookmarkStart w:id="318" w:name="_Toc184314416"/>
      <w:bookmarkEnd w:id="318"/>
      <w:bookmarkStart w:id="319" w:name="_Toc184314418"/>
      <w:bookmarkEnd w:id="319"/>
      <w:bookmarkStart w:id="320" w:name="_Toc184312093"/>
      <w:bookmarkEnd w:id="320"/>
      <w:bookmarkStart w:id="321" w:name="_Toc184312078"/>
      <w:bookmarkEnd w:id="321"/>
      <w:bookmarkStart w:id="322" w:name="_Toc184313294"/>
      <w:bookmarkEnd w:id="322"/>
      <w:bookmarkStart w:id="323" w:name="_Toc184312104"/>
      <w:bookmarkEnd w:id="323"/>
      <w:bookmarkStart w:id="324" w:name="_Toc184310337"/>
      <w:bookmarkEnd w:id="324"/>
      <w:bookmarkStart w:id="325" w:name="_Toc184308105"/>
      <w:bookmarkEnd w:id="325"/>
      <w:bookmarkStart w:id="326" w:name="_Toc184313268"/>
      <w:bookmarkEnd w:id="326"/>
      <w:bookmarkStart w:id="327" w:name="_Toc184310329"/>
      <w:bookmarkEnd w:id="327"/>
      <w:bookmarkStart w:id="328" w:name="_Toc184310300"/>
      <w:bookmarkEnd w:id="328"/>
      <w:bookmarkStart w:id="329" w:name="_Toc184308059"/>
      <w:bookmarkEnd w:id="329"/>
      <w:bookmarkStart w:id="330" w:name="_Toc184310276"/>
      <w:bookmarkEnd w:id="330"/>
      <w:bookmarkStart w:id="331" w:name="_Toc184313242"/>
      <w:bookmarkEnd w:id="331"/>
      <w:bookmarkStart w:id="332" w:name="_Toc184313272"/>
      <w:bookmarkEnd w:id="332"/>
      <w:bookmarkStart w:id="333" w:name="_Toc184312126"/>
      <w:bookmarkEnd w:id="333"/>
      <w:bookmarkStart w:id="334" w:name="_Toc184314451"/>
      <w:bookmarkEnd w:id="334"/>
      <w:bookmarkStart w:id="335" w:name="_Toc184314425"/>
      <w:bookmarkEnd w:id="335"/>
      <w:bookmarkStart w:id="336" w:name="_Toc184314482"/>
      <w:bookmarkEnd w:id="336"/>
      <w:bookmarkStart w:id="337" w:name="_Toc184310286"/>
      <w:bookmarkEnd w:id="337"/>
      <w:bookmarkStart w:id="338" w:name="_Toc184308045"/>
      <w:bookmarkEnd w:id="338"/>
      <w:bookmarkStart w:id="339" w:name="_Toc184313301"/>
      <w:bookmarkEnd w:id="339"/>
      <w:bookmarkStart w:id="340" w:name="_Toc184313277"/>
      <w:bookmarkEnd w:id="340"/>
      <w:bookmarkStart w:id="341" w:name="_Toc184313276"/>
      <w:bookmarkEnd w:id="341"/>
      <w:bookmarkStart w:id="342" w:name="_Toc184313255"/>
      <w:bookmarkEnd w:id="342"/>
      <w:bookmarkStart w:id="343" w:name="_Toc184310295"/>
      <w:bookmarkEnd w:id="343"/>
      <w:bookmarkStart w:id="344" w:name="_Toc184314463"/>
      <w:bookmarkEnd w:id="344"/>
      <w:bookmarkStart w:id="345" w:name="_Toc184314429"/>
      <w:bookmarkEnd w:id="345"/>
      <w:bookmarkStart w:id="346" w:name="_Toc184308040"/>
      <w:bookmarkEnd w:id="346"/>
      <w:bookmarkStart w:id="347" w:name="_Toc184310302"/>
      <w:bookmarkEnd w:id="347"/>
      <w:bookmarkStart w:id="348" w:name="_Toc184314474"/>
      <w:bookmarkEnd w:id="348"/>
      <w:bookmarkStart w:id="349" w:name="_Toc184314441"/>
      <w:bookmarkEnd w:id="349"/>
      <w:bookmarkStart w:id="350" w:name="_Toc184313308"/>
      <w:bookmarkEnd w:id="350"/>
      <w:bookmarkStart w:id="351" w:name="_Toc184310292"/>
      <w:bookmarkEnd w:id="351"/>
      <w:bookmarkStart w:id="352" w:name="_Toc184310298"/>
      <w:bookmarkEnd w:id="352"/>
      <w:bookmarkStart w:id="353" w:name="_Toc184310323"/>
      <w:bookmarkEnd w:id="353"/>
      <w:bookmarkStart w:id="354" w:name="_Toc184310320"/>
      <w:bookmarkEnd w:id="354"/>
      <w:bookmarkStart w:id="355" w:name="_Toc184312129"/>
      <w:bookmarkEnd w:id="355"/>
      <w:bookmarkStart w:id="356" w:name="_Toc184310305"/>
      <w:bookmarkEnd w:id="356"/>
      <w:bookmarkStart w:id="357" w:name="_Toc184313279"/>
      <w:bookmarkEnd w:id="357"/>
      <w:bookmarkStart w:id="358" w:name="_Toc184314426"/>
      <w:bookmarkEnd w:id="358"/>
      <w:bookmarkStart w:id="359" w:name="_Toc184313300"/>
      <w:bookmarkEnd w:id="359"/>
      <w:bookmarkStart w:id="360" w:name="_Toc184308093"/>
      <w:bookmarkEnd w:id="360"/>
      <w:bookmarkStart w:id="361" w:name="_Toc184308082"/>
      <w:bookmarkEnd w:id="361"/>
      <w:bookmarkStart w:id="362" w:name="_Toc184312107"/>
      <w:bookmarkEnd w:id="362"/>
      <w:bookmarkStart w:id="363" w:name="_Toc184308084"/>
      <w:bookmarkEnd w:id="363"/>
      <w:bookmarkStart w:id="364" w:name="_Toc184313286"/>
      <w:bookmarkEnd w:id="364"/>
      <w:bookmarkStart w:id="365" w:name="_Toc184312094"/>
      <w:bookmarkEnd w:id="365"/>
      <w:bookmarkStart w:id="366" w:name="_Toc184308096"/>
      <w:bookmarkEnd w:id="366"/>
      <w:bookmarkStart w:id="367" w:name="_Toc184312091"/>
      <w:bookmarkEnd w:id="367"/>
      <w:bookmarkStart w:id="368" w:name="_Toc184313297"/>
      <w:bookmarkEnd w:id="368"/>
      <w:bookmarkStart w:id="369" w:name="_Toc184312128"/>
      <w:bookmarkEnd w:id="369"/>
      <w:bookmarkStart w:id="370" w:name="_Toc184313247"/>
      <w:bookmarkEnd w:id="370"/>
      <w:bookmarkStart w:id="371" w:name="_Toc184308090"/>
      <w:bookmarkEnd w:id="371"/>
      <w:bookmarkStart w:id="372" w:name="_Toc184312133"/>
      <w:bookmarkEnd w:id="372"/>
      <w:bookmarkStart w:id="373" w:name="_Toc184310324"/>
      <w:bookmarkEnd w:id="373"/>
      <w:bookmarkStart w:id="374" w:name="_Toc184310318"/>
      <w:bookmarkEnd w:id="374"/>
      <w:bookmarkStart w:id="375" w:name="_Toc184312116"/>
      <w:bookmarkEnd w:id="375"/>
      <w:bookmarkStart w:id="376" w:name="_Toc184312132"/>
      <w:bookmarkEnd w:id="376"/>
      <w:bookmarkStart w:id="377" w:name="_Toc184308050"/>
      <w:bookmarkEnd w:id="377"/>
      <w:bookmarkStart w:id="378" w:name="_Toc184312118"/>
      <w:bookmarkEnd w:id="378"/>
      <w:bookmarkStart w:id="379" w:name="_Toc184314466"/>
      <w:bookmarkEnd w:id="379"/>
      <w:bookmarkStart w:id="380" w:name="_Toc184314423"/>
      <w:bookmarkEnd w:id="380"/>
      <w:bookmarkStart w:id="381" w:name="_Toc184310281"/>
      <w:bookmarkEnd w:id="381"/>
      <w:bookmarkStart w:id="382" w:name="_Toc184308075"/>
      <w:bookmarkEnd w:id="382"/>
      <w:bookmarkStart w:id="383" w:name="_Toc184308076"/>
      <w:bookmarkEnd w:id="383"/>
      <w:bookmarkStart w:id="384" w:name="_Toc184314481"/>
      <w:bookmarkEnd w:id="384"/>
      <w:bookmarkStart w:id="385" w:name="_Toc184310342"/>
      <w:bookmarkEnd w:id="385"/>
      <w:bookmarkStart w:id="386" w:name="_Toc184312067"/>
      <w:bookmarkEnd w:id="386"/>
      <w:bookmarkStart w:id="387" w:name="_Toc184308107"/>
      <w:bookmarkEnd w:id="387"/>
      <w:bookmarkStart w:id="388" w:name="_Toc184314460"/>
      <w:bookmarkEnd w:id="388"/>
      <w:bookmarkStart w:id="389" w:name="_Toc184310311"/>
      <w:bookmarkEnd w:id="389"/>
      <w:bookmarkStart w:id="390" w:name="_Toc184308037"/>
      <w:bookmarkEnd w:id="390"/>
      <w:bookmarkStart w:id="391" w:name="_Toc184308102"/>
      <w:bookmarkEnd w:id="391"/>
      <w:bookmarkStart w:id="392" w:name="_Toc184312123"/>
      <w:bookmarkEnd w:id="392"/>
      <w:bookmarkStart w:id="393" w:name="_Toc184313261"/>
      <w:bookmarkEnd w:id="393"/>
      <w:bookmarkStart w:id="394" w:name="_Toc184308080"/>
      <w:bookmarkEnd w:id="394"/>
      <w:bookmarkStart w:id="395" w:name="_Toc184314434"/>
      <w:bookmarkEnd w:id="395"/>
      <w:bookmarkStart w:id="396" w:name="_Toc184308108"/>
      <w:bookmarkEnd w:id="396"/>
      <w:r>
        <w:rPr>
          <w:rFonts w:hint="eastAsia" w:ascii="宋体" w:hAnsi="宋体" w:eastAsia="宋体" w:cs="宋体"/>
          <w:b/>
          <w:color w:val="auto"/>
          <w:sz w:val="24"/>
          <w:highlight w:val="none"/>
        </w:rPr>
        <w:t>评标办法</w:t>
      </w:r>
    </w:p>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评标办法前附表（标项一）</w:t>
      </w:r>
    </w:p>
    <w:tbl>
      <w:tblPr>
        <w:tblStyle w:val="62"/>
        <w:tblpPr w:leftFromText="180" w:rightFromText="180" w:vertAnchor="text" w:horzAnchor="page" w:tblpX="1366" w:tblpY="624"/>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191"/>
        <w:gridCol w:w="6069"/>
        <w:gridCol w:w="81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620" w:type="dxa"/>
            <w:vAlign w:val="center"/>
          </w:tcPr>
          <w:p>
            <w:pPr>
              <w:spacing w:line="360" w:lineRule="auto"/>
              <w:jc w:val="center"/>
              <w:outlineLvl w:val="0"/>
              <w:rPr>
                <w:rFonts w:hint="eastAsia" w:ascii="宋体" w:hAnsi="宋体" w:eastAsia="宋体" w:cs="宋体"/>
                <w:bCs/>
                <w:color w:val="auto"/>
                <w:sz w:val="24"/>
                <w:highlight w:val="none"/>
              </w:rPr>
            </w:pPr>
            <w:bookmarkStart w:id="397" w:name="_Toc1457"/>
            <w:r>
              <w:rPr>
                <w:rFonts w:hint="eastAsia" w:ascii="宋体" w:hAnsi="宋体" w:eastAsia="宋体" w:cs="宋体"/>
                <w:bCs/>
                <w:color w:val="auto"/>
                <w:sz w:val="24"/>
                <w:highlight w:val="none"/>
              </w:rPr>
              <w:t>序号</w:t>
            </w:r>
            <w:bookmarkEnd w:id="397"/>
          </w:p>
        </w:tc>
        <w:tc>
          <w:tcPr>
            <w:tcW w:w="1191" w:type="dxa"/>
            <w:vAlign w:val="center"/>
          </w:tcPr>
          <w:p>
            <w:pPr>
              <w:spacing w:line="360" w:lineRule="auto"/>
              <w:jc w:val="center"/>
              <w:outlineLvl w:val="0"/>
              <w:rPr>
                <w:rFonts w:hint="eastAsia" w:ascii="宋体" w:hAnsi="宋体" w:eastAsia="宋体" w:cs="宋体"/>
                <w:bCs/>
                <w:color w:val="auto"/>
                <w:sz w:val="24"/>
                <w:highlight w:val="none"/>
              </w:rPr>
            </w:pPr>
            <w:bookmarkStart w:id="398" w:name="_Toc5069"/>
            <w:r>
              <w:rPr>
                <w:rFonts w:hint="eastAsia" w:ascii="宋体" w:hAnsi="宋体" w:eastAsia="宋体" w:cs="宋体"/>
                <w:bCs/>
                <w:color w:val="auto"/>
                <w:sz w:val="24"/>
                <w:highlight w:val="none"/>
              </w:rPr>
              <w:t>评分细则</w:t>
            </w:r>
            <w:bookmarkEnd w:id="398"/>
          </w:p>
        </w:tc>
        <w:tc>
          <w:tcPr>
            <w:tcW w:w="6069" w:type="dxa"/>
            <w:vAlign w:val="center"/>
          </w:tcPr>
          <w:p>
            <w:pPr>
              <w:spacing w:line="360" w:lineRule="auto"/>
              <w:jc w:val="center"/>
              <w:outlineLvl w:val="0"/>
              <w:rPr>
                <w:rFonts w:hint="eastAsia" w:ascii="宋体" w:hAnsi="宋体" w:eastAsia="宋体" w:cs="宋体"/>
                <w:bCs/>
                <w:color w:val="auto"/>
                <w:sz w:val="24"/>
                <w:highlight w:val="none"/>
              </w:rPr>
            </w:pPr>
            <w:bookmarkStart w:id="399" w:name="_Toc22510"/>
            <w:r>
              <w:rPr>
                <w:rFonts w:hint="eastAsia" w:ascii="宋体" w:hAnsi="宋体" w:eastAsia="宋体" w:cs="宋体"/>
                <w:bCs/>
                <w:color w:val="auto"/>
                <w:sz w:val="24"/>
                <w:highlight w:val="none"/>
              </w:rPr>
              <w:t>评标标准</w:t>
            </w:r>
            <w:bookmarkEnd w:id="399"/>
          </w:p>
        </w:tc>
        <w:tc>
          <w:tcPr>
            <w:tcW w:w="810" w:type="dxa"/>
            <w:vAlign w:val="center"/>
          </w:tcPr>
          <w:p>
            <w:pPr>
              <w:spacing w:line="360" w:lineRule="auto"/>
              <w:jc w:val="center"/>
              <w:outlineLvl w:val="0"/>
              <w:rPr>
                <w:rFonts w:hint="eastAsia" w:ascii="宋体" w:hAnsi="宋体" w:eastAsia="宋体" w:cs="宋体"/>
                <w:bCs/>
                <w:color w:val="auto"/>
                <w:sz w:val="24"/>
                <w:highlight w:val="none"/>
              </w:rPr>
            </w:pPr>
            <w:bookmarkStart w:id="400" w:name="_Toc24221"/>
            <w:r>
              <w:rPr>
                <w:rFonts w:hint="eastAsia" w:ascii="宋体" w:hAnsi="宋体" w:eastAsia="宋体" w:cs="宋体"/>
                <w:bCs/>
                <w:color w:val="auto"/>
                <w:sz w:val="24"/>
                <w:highlight w:val="none"/>
              </w:rPr>
              <w:t>分值</w:t>
            </w:r>
            <w:bookmarkEnd w:id="400"/>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p>
        </w:tc>
        <w:tc>
          <w:tcPr>
            <w:tcW w:w="1191" w:type="dxa"/>
            <w:vAlign w:val="center"/>
          </w:tcPr>
          <w:p>
            <w:pPr>
              <w:widowControl/>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管理体系</w:t>
            </w:r>
          </w:p>
        </w:tc>
        <w:tc>
          <w:tcPr>
            <w:tcW w:w="6069" w:type="dxa"/>
            <w:vAlign w:val="center"/>
          </w:tcPr>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投标人同时具有质量管理体系认证证书、环境管理体系认证证书及职业健康安全管理体系认证证书得3分，否则不得分。（提供有效期内的认证证书复印件并加盖投标人公章）</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0-3</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w:t>
            </w:r>
          </w:p>
        </w:tc>
        <w:tc>
          <w:tcPr>
            <w:tcW w:w="1191" w:type="dxa"/>
            <w:vAlign w:val="center"/>
          </w:tcPr>
          <w:p>
            <w:pPr>
              <w:widowControl/>
              <w:spacing w:line="360" w:lineRule="auto"/>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业绩</w:t>
            </w:r>
          </w:p>
        </w:tc>
        <w:tc>
          <w:tcPr>
            <w:tcW w:w="6069" w:type="dxa"/>
            <w:vAlign w:val="center"/>
          </w:tcPr>
          <w:p>
            <w:pPr>
              <w:widowControl/>
              <w:spacing w:line="360" w:lineRule="auto"/>
              <w:jc w:val="left"/>
              <w:rPr>
                <w:rFonts w:hint="eastAsia" w:ascii="宋体" w:hAnsi="宋体" w:eastAsia="宋体" w:cs="宋体"/>
                <w:color w:val="auto"/>
                <w:sz w:val="24"/>
                <w:highlight w:val="none"/>
              </w:rPr>
            </w:pPr>
            <w:bookmarkStart w:id="401" w:name="_Toc28902"/>
            <w:r>
              <w:rPr>
                <w:rFonts w:hint="eastAsia" w:ascii="宋体" w:hAnsi="宋体" w:eastAsia="宋体" w:cs="宋体"/>
                <w:color w:val="auto"/>
                <w:sz w:val="24"/>
                <w:highlight w:val="none"/>
              </w:rPr>
              <w:t>投标人提供20</w:t>
            </w:r>
            <w:r>
              <w:rPr>
                <w:rFonts w:hint="eastAsia" w:ascii="宋体" w:hAnsi="宋体" w:eastAsia="宋体" w:cs="宋体"/>
                <w:color w:val="auto"/>
                <w:sz w:val="24"/>
                <w:highlight w:val="none"/>
              </w:rPr>
              <w:t>2</w:t>
            </w:r>
            <w:r>
              <w:rPr>
                <w:rFonts w:hint="eastAsia" w:ascii="宋体" w:hAnsi="宋体" w:eastAsia="宋体" w:cs="宋体"/>
                <w:color w:val="auto"/>
                <w:sz w:val="24"/>
                <w:highlight w:val="none"/>
              </w:rPr>
              <w:t>1年1月1日至本项目开标截止日（以合同签订时间为准）相关项目业绩，每提供一个业绩得1分，最高得3分。（提供合同、相对应的发票（</w:t>
            </w:r>
            <w:bookmarkEnd w:id="401"/>
            <w:r>
              <w:rPr>
                <w:rFonts w:hint="eastAsia" w:ascii="宋体" w:hAnsi="宋体" w:eastAsia="宋体" w:cs="宋体"/>
                <w:color w:val="auto"/>
                <w:sz w:val="24"/>
                <w:highlight w:val="none"/>
              </w:rPr>
              <w:t>时间以合同签订日期为准，证明材料为中标通知书复印件、合同复印件、未提供或缺少一样不得分，单个合同不重复计分）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bookmarkStart w:id="402" w:name="_Toc6151"/>
            <w:r>
              <w:rPr>
                <w:rFonts w:hint="eastAsia" w:ascii="宋体" w:hAnsi="宋体" w:eastAsia="宋体" w:cs="宋体"/>
                <w:bCs/>
                <w:color w:val="auto"/>
                <w:sz w:val="24"/>
                <w:highlight w:val="none"/>
              </w:rPr>
              <w:t>0-3分</w:t>
            </w:r>
            <w:bookmarkEnd w:id="402"/>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w:t>
            </w:r>
          </w:p>
        </w:tc>
        <w:tc>
          <w:tcPr>
            <w:tcW w:w="1191" w:type="dxa"/>
            <w:vAlign w:val="center"/>
          </w:tcPr>
          <w:p>
            <w:pPr>
              <w:widowControl/>
              <w:spacing w:line="360" w:lineRule="auto"/>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证书</w:t>
            </w:r>
          </w:p>
        </w:tc>
        <w:tc>
          <w:tcPr>
            <w:tcW w:w="6069" w:type="dxa"/>
            <w:vAlign w:val="center"/>
          </w:tcPr>
          <w:p>
            <w:pPr>
              <w:widowControl/>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投标人具有安全生产标准化二级证书的得2分，具有安全生产标准化三级证书的得1分。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0-2</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w:t>
            </w:r>
          </w:p>
        </w:tc>
        <w:tc>
          <w:tcPr>
            <w:tcW w:w="1191" w:type="dxa"/>
            <w:vAlign w:val="center"/>
          </w:tcPr>
          <w:p>
            <w:pPr>
              <w:widowControl/>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kern w:val="0"/>
                <w:sz w:val="24"/>
                <w:highlight w:val="none"/>
              </w:rPr>
              <w:t>投标产品的基本功能、技术指标与需求的满足情况</w:t>
            </w:r>
          </w:p>
        </w:tc>
        <w:tc>
          <w:tcPr>
            <w:tcW w:w="6069" w:type="dxa"/>
            <w:vAlign w:val="center"/>
          </w:tcPr>
          <w:p>
            <w:pPr>
              <w:pStyle w:val="6"/>
              <w:snapToGrid w:val="0"/>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地胶板：</w:t>
            </w:r>
            <w:r>
              <w:rPr>
                <w:rFonts w:hint="eastAsia" w:ascii="宋体" w:hAnsi="宋体" w:eastAsia="宋体" w:cs="宋体"/>
                <w:color w:val="auto"/>
                <w:highlight w:val="none"/>
              </w:rPr>
              <w:t>所投产品技术吻合程度：</w:t>
            </w:r>
          </w:p>
          <w:p>
            <w:pPr>
              <w:pStyle w:val="6"/>
              <w:snapToGrid w:val="0"/>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投标产品的基本功能和技术指标与采购人需求的吻合程度和偏差情况，标◆项技术参数符合或优于采购需求的每项得2分，最多得24分。</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（需在投标文件中提供采购需求要求的对应材料进行证明，不提供不得分。）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0-24分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w:t>
            </w:r>
          </w:p>
        </w:tc>
        <w:tc>
          <w:tcPr>
            <w:tcW w:w="1191"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施工组织方案</w:t>
            </w:r>
          </w:p>
        </w:tc>
        <w:tc>
          <w:tcPr>
            <w:tcW w:w="6069" w:type="dxa"/>
            <w:vAlign w:val="center"/>
          </w:tcPr>
          <w:p>
            <w:pPr>
              <w:widowControl/>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shd w:val="clear" w:color="auto" w:fill="FFFFFF"/>
              </w:rPr>
              <w:t>根据</w:t>
            </w:r>
            <w:r>
              <w:rPr>
                <w:rFonts w:hint="eastAsia" w:ascii="宋体" w:hAnsi="宋体" w:eastAsia="宋体" w:cs="宋体"/>
                <w:color w:val="auto"/>
                <w:sz w:val="24"/>
                <w:highlight w:val="none"/>
              </w:rPr>
              <w:t>投标供应商针对本项目的施工组织方案是否规范合理，对施工过程中关键工序，关键部位质量（如自流平施工、接缝处理等）控制手段是否考虑，是否可靠等情况进行综合评定。</w:t>
            </w:r>
            <w:r>
              <w:rPr>
                <w:rFonts w:hint="eastAsia" w:ascii="宋体" w:hAnsi="宋体" w:eastAsia="宋体" w:cs="宋体"/>
                <w:color w:val="auto"/>
                <w:kern w:val="0"/>
                <w:sz w:val="24"/>
                <w:highlight w:val="none"/>
              </w:rPr>
              <w:t>施工方案针对性强、合理、可行的得5分；施工方案针对性较强、较合理可行的得4分；施工方案基本可行的得3分；施工方案一般、部分满足的得2分；施工方案欠缺较多的得1分；不提供不得分。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w:t>
            </w:r>
            <w:r>
              <w:rPr>
                <w:rFonts w:hint="eastAsia" w:ascii="宋体" w:hAnsi="宋体" w:eastAsia="宋体" w:cs="宋体"/>
                <w:bCs/>
                <w:color w:val="auto"/>
                <w:sz w:val="24"/>
                <w:highlight w:val="none"/>
              </w:rPr>
              <w:t>5</w:t>
            </w:r>
            <w:r>
              <w:rPr>
                <w:rFonts w:hint="eastAsia" w:ascii="宋体" w:hAnsi="宋体" w:eastAsia="宋体" w:cs="宋体"/>
                <w:bCs/>
                <w:color w:val="auto"/>
                <w:sz w:val="24"/>
                <w:highlight w:val="none"/>
              </w:rPr>
              <w:t>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w:t>
            </w:r>
          </w:p>
        </w:tc>
        <w:tc>
          <w:tcPr>
            <w:tcW w:w="1191" w:type="dxa"/>
            <w:vAlign w:val="center"/>
          </w:tcPr>
          <w:p>
            <w:pPr>
              <w:spacing w:line="360" w:lineRule="auto"/>
              <w:jc w:val="center"/>
              <w:outlineLvl w:val="0"/>
              <w:rPr>
                <w:rFonts w:hint="eastAsia" w:ascii="宋体" w:hAnsi="宋体" w:eastAsia="宋体" w:cs="宋体"/>
                <w:bCs/>
                <w:color w:val="auto"/>
                <w:sz w:val="24"/>
                <w:highlight w:val="none"/>
              </w:rPr>
            </w:pPr>
            <w:bookmarkStart w:id="403" w:name="_Toc19622"/>
            <w:r>
              <w:rPr>
                <w:rFonts w:hint="eastAsia" w:ascii="宋体" w:hAnsi="宋体" w:eastAsia="宋体" w:cs="宋体"/>
                <w:bCs/>
                <w:color w:val="auto"/>
                <w:sz w:val="24"/>
                <w:highlight w:val="none"/>
              </w:rPr>
              <w:t>拟派项目班子成员</w:t>
            </w:r>
            <w:bookmarkEnd w:id="403"/>
          </w:p>
        </w:tc>
        <w:tc>
          <w:tcPr>
            <w:tcW w:w="6069" w:type="dxa"/>
            <w:vAlign w:val="center"/>
          </w:tcPr>
          <w:p>
            <w:pPr>
              <w:widowControl/>
              <w:spacing w:line="360" w:lineRule="auto"/>
              <w:jc w:val="left"/>
              <w:rPr>
                <w:rFonts w:hint="eastAsia" w:ascii="宋体" w:hAnsi="宋体" w:eastAsia="宋体" w:cs="宋体"/>
                <w:bCs/>
                <w:color w:val="auto"/>
                <w:kern w:val="0"/>
                <w:sz w:val="24"/>
                <w:highlight w:val="none"/>
              </w:rPr>
            </w:pPr>
            <w:r>
              <w:rPr>
                <w:rFonts w:hint="eastAsia" w:ascii="宋体" w:hAnsi="宋体" w:eastAsia="宋体" w:cs="宋体"/>
                <w:color w:val="auto"/>
                <w:sz w:val="24"/>
                <w:highlight w:val="none"/>
              </w:rPr>
              <w:t>拟派项目实施团队情况，包括配置的人员专业能力、资格水平、类似工作经验、分工情况等，配置人员上述每一项都完全满足项目需求的得5分；配置水平等较好能满足需求的得4分；配置水平等能基本满足需求的得3分；一般的得2分；有缺项较差的得1分；不提供的不得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bookmarkStart w:id="404" w:name="_Toc1455"/>
            <w:r>
              <w:rPr>
                <w:rFonts w:hint="eastAsia" w:ascii="宋体" w:hAnsi="宋体" w:eastAsia="宋体" w:cs="宋体"/>
                <w:bCs/>
                <w:color w:val="auto"/>
                <w:sz w:val="24"/>
                <w:highlight w:val="none"/>
              </w:rPr>
              <w:t>0-5分</w:t>
            </w:r>
            <w:bookmarkEnd w:id="404"/>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7</w:t>
            </w:r>
          </w:p>
        </w:tc>
        <w:tc>
          <w:tcPr>
            <w:tcW w:w="1191" w:type="dxa"/>
            <w:vAlign w:val="center"/>
          </w:tcPr>
          <w:p>
            <w:pPr>
              <w:widowControl/>
              <w:spacing w:line="360" w:lineRule="auto"/>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验收方案</w:t>
            </w:r>
          </w:p>
        </w:tc>
        <w:tc>
          <w:tcPr>
            <w:tcW w:w="6069" w:type="dxa"/>
            <w:vAlign w:val="center"/>
          </w:tcPr>
          <w:p>
            <w:pPr>
              <w:widowControl/>
              <w:spacing w:line="36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根据投标人针对本项目的验收方案的合理性、可行性综合评分</w:t>
            </w:r>
            <w:r>
              <w:rPr>
                <w:rFonts w:hint="eastAsia" w:ascii="宋体" w:hAnsi="宋体" w:eastAsia="宋体" w:cs="宋体"/>
                <w:color w:val="auto"/>
                <w:kern w:val="0"/>
                <w:sz w:val="24"/>
                <w:highlight w:val="none"/>
              </w:rPr>
              <w:t>。验收方案针对性强、合理、可行的得5分；验收方案针对性较强、较合理可行的得4分；验收方案基本可行的得3分；验收方案一般、部分满足的得2分；验收方案欠缺较多的得1分；不提供不得分。</w:t>
            </w:r>
          </w:p>
        </w:tc>
        <w:tc>
          <w:tcPr>
            <w:tcW w:w="810" w:type="dxa"/>
            <w:vAlign w:val="center"/>
          </w:tcPr>
          <w:p>
            <w:pPr>
              <w:widowControl/>
              <w:spacing w:line="360" w:lineRule="auto"/>
              <w:jc w:val="center"/>
              <w:outlineLvl w:val="0"/>
              <w:rPr>
                <w:rFonts w:hint="eastAsia" w:ascii="宋体" w:hAnsi="宋体" w:eastAsia="宋体" w:cs="宋体"/>
                <w:bCs/>
                <w:color w:val="auto"/>
                <w:sz w:val="24"/>
                <w:highlight w:val="none"/>
              </w:rPr>
            </w:pPr>
            <w:bookmarkStart w:id="405" w:name="_Toc7126"/>
            <w:r>
              <w:rPr>
                <w:rFonts w:hint="eastAsia" w:ascii="宋体" w:hAnsi="宋体" w:eastAsia="宋体" w:cs="宋体"/>
                <w:bCs/>
                <w:color w:val="auto"/>
                <w:sz w:val="24"/>
                <w:highlight w:val="none"/>
              </w:rPr>
              <w:t>0-5分</w:t>
            </w:r>
            <w:bookmarkEnd w:id="405"/>
          </w:p>
        </w:tc>
        <w:tc>
          <w:tcPr>
            <w:tcW w:w="810" w:type="dxa"/>
            <w:vAlign w:val="center"/>
          </w:tcPr>
          <w:p>
            <w:pPr>
              <w:widowControl/>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8</w:t>
            </w:r>
          </w:p>
        </w:tc>
        <w:tc>
          <w:tcPr>
            <w:tcW w:w="1191" w:type="dxa"/>
            <w:vAlign w:val="center"/>
          </w:tcPr>
          <w:p>
            <w:pPr>
              <w:widowControl/>
              <w:spacing w:line="360" w:lineRule="auto"/>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保养服务</w:t>
            </w:r>
          </w:p>
        </w:tc>
        <w:tc>
          <w:tcPr>
            <w:tcW w:w="6069" w:type="dxa"/>
            <w:vAlign w:val="center"/>
          </w:tcPr>
          <w:p>
            <w:pPr>
              <w:widowControl/>
              <w:spacing w:line="360" w:lineRule="auto"/>
              <w:jc w:val="left"/>
              <w:rPr>
                <w:rFonts w:hint="eastAsia" w:ascii="宋体" w:hAnsi="宋体" w:eastAsia="宋体" w:cs="宋体"/>
                <w:bCs/>
                <w:color w:val="auto"/>
                <w:kern w:val="0"/>
                <w:sz w:val="24"/>
                <w:highlight w:val="none"/>
              </w:rPr>
            </w:pPr>
            <w:r>
              <w:rPr>
                <w:rFonts w:hint="eastAsia" w:ascii="宋体" w:hAnsi="宋体" w:eastAsia="宋体" w:cs="宋体"/>
                <w:color w:val="auto"/>
                <w:kern w:val="0"/>
                <w:sz w:val="24"/>
                <w:highlight w:val="none"/>
              </w:rPr>
              <w:t>根据投标人是否有明确的保养培训计划、有</w:t>
            </w:r>
            <w:r>
              <w:rPr>
                <w:rFonts w:hint="eastAsia" w:ascii="宋体" w:hAnsi="宋体" w:eastAsia="宋体" w:cs="宋体"/>
                <w:color w:val="auto"/>
                <w:kern w:val="0"/>
                <w:sz w:val="24"/>
                <w:highlight w:val="none"/>
                <w:lang w:val="en-US" w:eastAsia="zh-CN"/>
              </w:rPr>
              <w:t>有效</w:t>
            </w:r>
            <w:r>
              <w:rPr>
                <w:rFonts w:hint="eastAsia" w:ascii="宋体" w:hAnsi="宋体" w:eastAsia="宋体" w:cs="宋体"/>
                <w:color w:val="auto"/>
                <w:kern w:val="0"/>
                <w:sz w:val="24"/>
                <w:highlight w:val="none"/>
              </w:rPr>
              <w:t>的日常维护保养方法及方案综合评分。有明确的养护培训计划、</w:t>
            </w:r>
            <w:r>
              <w:rPr>
                <w:rFonts w:hint="eastAsia" w:ascii="宋体" w:hAnsi="宋体" w:eastAsia="宋体" w:cs="宋体"/>
                <w:color w:val="auto"/>
                <w:kern w:val="0"/>
                <w:sz w:val="24"/>
                <w:highlight w:val="none"/>
                <w:lang w:val="en-US" w:eastAsia="zh-CN"/>
              </w:rPr>
              <w:t>有效</w:t>
            </w:r>
            <w:r>
              <w:rPr>
                <w:rFonts w:hint="eastAsia" w:ascii="宋体" w:hAnsi="宋体" w:eastAsia="宋体" w:cs="宋体"/>
                <w:color w:val="auto"/>
                <w:kern w:val="0"/>
                <w:sz w:val="24"/>
                <w:highlight w:val="none"/>
              </w:rPr>
              <w:t>的保养方案的得5分；养护培训计划、保养方案较</w:t>
            </w:r>
            <w:r>
              <w:rPr>
                <w:rFonts w:hint="eastAsia" w:ascii="宋体" w:hAnsi="宋体" w:eastAsia="宋体" w:cs="宋体"/>
                <w:color w:val="auto"/>
                <w:kern w:val="0"/>
                <w:sz w:val="24"/>
                <w:highlight w:val="none"/>
                <w:lang w:val="en-US" w:eastAsia="zh-CN"/>
              </w:rPr>
              <w:t>有效</w:t>
            </w:r>
            <w:r>
              <w:rPr>
                <w:rFonts w:hint="eastAsia" w:ascii="宋体" w:hAnsi="宋体" w:eastAsia="宋体" w:cs="宋体"/>
                <w:color w:val="auto"/>
                <w:kern w:val="0"/>
                <w:sz w:val="24"/>
                <w:highlight w:val="none"/>
              </w:rPr>
              <w:t>可行的得4分；养护培训计划、保养方案基本满足需求且</w:t>
            </w:r>
            <w:r>
              <w:rPr>
                <w:rFonts w:hint="eastAsia" w:ascii="宋体" w:hAnsi="宋体" w:eastAsia="宋体" w:cs="宋体"/>
                <w:color w:val="auto"/>
                <w:kern w:val="0"/>
                <w:sz w:val="24"/>
                <w:highlight w:val="none"/>
                <w:lang w:val="en-US" w:eastAsia="zh-CN"/>
              </w:rPr>
              <w:t>切实</w:t>
            </w:r>
            <w:r>
              <w:rPr>
                <w:rFonts w:hint="eastAsia" w:ascii="宋体" w:hAnsi="宋体" w:eastAsia="宋体" w:cs="宋体"/>
                <w:color w:val="auto"/>
                <w:kern w:val="0"/>
                <w:sz w:val="24"/>
                <w:highlight w:val="none"/>
              </w:rPr>
              <w:t>可行的得3分；养护培训计划、保养方案一般的得2分；欠缺较多的得1分；不提供不得分。</w:t>
            </w:r>
          </w:p>
        </w:tc>
        <w:tc>
          <w:tcPr>
            <w:tcW w:w="810" w:type="dxa"/>
            <w:vAlign w:val="center"/>
          </w:tcPr>
          <w:p>
            <w:pPr>
              <w:widowControl/>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0-5分</w:t>
            </w:r>
          </w:p>
        </w:tc>
        <w:tc>
          <w:tcPr>
            <w:tcW w:w="810" w:type="dxa"/>
            <w:vAlign w:val="center"/>
          </w:tcPr>
          <w:p>
            <w:pPr>
              <w:widowControl/>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9</w:t>
            </w:r>
          </w:p>
        </w:tc>
        <w:tc>
          <w:tcPr>
            <w:tcW w:w="1191" w:type="dxa"/>
            <w:vAlign w:val="center"/>
          </w:tcPr>
          <w:p>
            <w:pPr>
              <w:spacing w:line="360" w:lineRule="auto"/>
              <w:jc w:val="center"/>
              <w:outlineLvl w:val="0"/>
              <w:rPr>
                <w:rFonts w:hint="eastAsia" w:ascii="宋体" w:hAnsi="宋体" w:eastAsia="宋体" w:cs="宋体"/>
                <w:bCs/>
                <w:color w:val="auto"/>
                <w:sz w:val="24"/>
                <w:highlight w:val="none"/>
              </w:rPr>
            </w:pPr>
            <w:bookmarkStart w:id="406" w:name="_Toc15569"/>
            <w:r>
              <w:rPr>
                <w:rFonts w:hint="eastAsia" w:ascii="宋体" w:hAnsi="宋体" w:eastAsia="宋体" w:cs="宋体"/>
                <w:bCs/>
                <w:color w:val="auto"/>
                <w:sz w:val="24"/>
                <w:highlight w:val="none"/>
              </w:rPr>
              <w:t>投标样品</w:t>
            </w:r>
            <w:bookmarkEnd w:id="406"/>
          </w:p>
        </w:tc>
        <w:tc>
          <w:tcPr>
            <w:tcW w:w="6069" w:type="dxa"/>
            <w:vAlign w:val="center"/>
          </w:tcPr>
          <w:p>
            <w:pPr>
              <w:widowControl/>
              <w:spacing w:line="360" w:lineRule="auto"/>
              <w:jc w:val="left"/>
              <w:rPr>
                <w:rFonts w:hint="eastAsia" w:ascii="宋体" w:hAnsi="宋体" w:eastAsia="宋体" w:cs="宋体"/>
                <w:bCs/>
                <w:color w:val="auto"/>
                <w:kern w:val="0"/>
                <w:sz w:val="24"/>
                <w:highlight w:val="none"/>
                <w:lang w:val="zh-CN"/>
              </w:rPr>
            </w:pPr>
            <w:r>
              <w:rPr>
                <w:rFonts w:hint="eastAsia" w:ascii="宋体" w:hAnsi="宋体" w:eastAsia="宋体" w:cs="宋体"/>
                <w:bCs/>
                <w:color w:val="auto"/>
                <w:kern w:val="0"/>
                <w:sz w:val="24"/>
                <w:highlight w:val="none"/>
                <w:lang w:val="zh-CN"/>
              </w:rPr>
              <w:t>需要提供设备样品</w:t>
            </w:r>
          </w:p>
          <w:p>
            <w:pPr>
              <w:widowControl/>
              <w:spacing w:line="36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lang w:val="zh-CN"/>
              </w:rPr>
              <w:t>一块不小于300mm*300mm</w:t>
            </w:r>
            <w:r>
              <w:rPr>
                <w:rFonts w:hint="eastAsia" w:ascii="宋体" w:hAnsi="宋体" w:eastAsia="宋体" w:cs="宋体"/>
                <w:bCs/>
                <w:color w:val="auto"/>
                <w:kern w:val="0"/>
                <w:sz w:val="24"/>
                <w:highlight w:val="none"/>
              </w:rPr>
              <w:t>地胶板</w:t>
            </w:r>
            <w:r>
              <w:rPr>
                <w:rFonts w:hint="eastAsia" w:ascii="宋体" w:hAnsi="宋体" w:eastAsia="宋体" w:cs="宋体"/>
                <w:bCs/>
                <w:color w:val="auto"/>
                <w:kern w:val="0"/>
                <w:sz w:val="24"/>
                <w:highlight w:val="none"/>
                <w:lang w:val="zh-CN"/>
              </w:rPr>
              <w:t>样品。</w:t>
            </w:r>
            <w:r>
              <w:rPr>
                <w:rFonts w:hint="eastAsia" w:ascii="宋体" w:hAnsi="宋体" w:eastAsia="宋体" w:cs="宋体"/>
                <w:color w:val="auto"/>
                <w:sz w:val="24"/>
                <w:highlight w:val="none"/>
              </w:rPr>
              <w:t>无方向碎花、花色里外一致、纹</w:t>
            </w:r>
            <w:r>
              <w:rPr>
                <w:rFonts w:hint="eastAsia" w:ascii="宋体" w:hAnsi="宋体" w:eastAsia="宋体" w:cs="宋体"/>
                <w:bCs/>
                <w:color w:val="auto"/>
                <w:kern w:val="0"/>
                <w:sz w:val="24"/>
                <w:highlight w:val="none"/>
                <w:lang w:val="zh-CN"/>
              </w:rPr>
              <w:t>理</w:t>
            </w:r>
            <w:r>
              <w:rPr>
                <w:rFonts w:hint="eastAsia" w:ascii="宋体" w:hAnsi="宋体" w:eastAsia="宋体" w:cs="宋体"/>
                <w:bCs/>
                <w:color w:val="auto"/>
                <w:kern w:val="0"/>
                <w:sz w:val="24"/>
                <w:highlight w:val="none"/>
              </w:rPr>
              <w:t>颗粒的</w:t>
            </w:r>
            <w:r>
              <w:rPr>
                <w:rFonts w:hint="eastAsia" w:ascii="宋体" w:hAnsi="宋体" w:eastAsia="宋体" w:cs="宋体"/>
                <w:bCs/>
                <w:color w:val="auto"/>
                <w:kern w:val="0"/>
                <w:sz w:val="24"/>
                <w:highlight w:val="none"/>
                <w:lang w:val="zh-CN"/>
              </w:rPr>
              <w:t>立体清晰</w:t>
            </w:r>
            <w:r>
              <w:rPr>
                <w:rFonts w:hint="eastAsia" w:ascii="宋体" w:hAnsi="宋体" w:eastAsia="宋体" w:cs="宋体"/>
                <w:bCs/>
                <w:color w:val="auto"/>
                <w:kern w:val="0"/>
                <w:sz w:val="24"/>
                <w:highlight w:val="none"/>
              </w:rPr>
              <w:t>度、</w:t>
            </w:r>
            <w:r>
              <w:rPr>
                <w:rFonts w:hint="eastAsia" w:ascii="宋体" w:hAnsi="宋体" w:eastAsia="宋体" w:cs="宋体"/>
                <w:bCs/>
                <w:color w:val="auto"/>
                <w:kern w:val="0"/>
                <w:sz w:val="24"/>
                <w:highlight w:val="none"/>
                <w:lang w:val="zh-CN"/>
              </w:rPr>
              <w:t xml:space="preserve"> 塑胶含量高光照通透、</w:t>
            </w:r>
            <w:r>
              <w:rPr>
                <w:rFonts w:hint="eastAsia" w:ascii="宋体" w:hAnsi="宋体" w:eastAsia="宋体" w:cs="宋体"/>
                <w:bCs/>
                <w:color w:val="auto"/>
                <w:kern w:val="0"/>
                <w:sz w:val="24"/>
                <w:highlight w:val="none"/>
              </w:rPr>
              <w:t>有无异味</w:t>
            </w:r>
            <w:r>
              <w:rPr>
                <w:rFonts w:hint="eastAsia" w:ascii="宋体" w:hAnsi="宋体" w:eastAsia="宋体" w:cs="宋体"/>
                <w:bCs/>
                <w:color w:val="auto"/>
                <w:kern w:val="0"/>
                <w:sz w:val="24"/>
                <w:highlight w:val="none"/>
                <w:lang w:val="zh-CN"/>
              </w:rPr>
              <w:t>、侧面气孔</w:t>
            </w:r>
            <w:r>
              <w:rPr>
                <w:rFonts w:hint="eastAsia" w:ascii="宋体" w:hAnsi="宋体" w:eastAsia="宋体" w:cs="宋体"/>
                <w:color w:val="auto"/>
                <w:sz w:val="24"/>
                <w:highlight w:val="none"/>
              </w:rPr>
              <w:t>等方面综合评定</w:t>
            </w:r>
            <w:r>
              <w:rPr>
                <w:rFonts w:hint="eastAsia" w:ascii="宋体" w:hAnsi="宋体" w:eastAsia="宋体" w:cs="宋体"/>
                <w:color w:val="auto"/>
                <w:sz w:val="24"/>
                <w:highlight w:val="none"/>
              </w:rPr>
              <w:t>。完全符合采购要求的且工艺精良的得8-12分；基本满足但尚有欠缺的得4-7分；质量较差且规格参数低于招标需求的得0-3分；没有提供样品或样品、规格不符的不得分。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bookmarkStart w:id="407" w:name="_Toc31232"/>
            <w:r>
              <w:rPr>
                <w:rFonts w:hint="eastAsia" w:ascii="宋体" w:hAnsi="宋体" w:eastAsia="宋体" w:cs="宋体"/>
                <w:bCs/>
                <w:color w:val="auto"/>
                <w:sz w:val="24"/>
                <w:highlight w:val="none"/>
              </w:rPr>
              <w:t>0-12分</w:t>
            </w:r>
            <w:bookmarkEnd w:id="407"/>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10</w:t>
            </w:r>
          </w:p>
        </w:tc>
        <w:tc>
          <w:tcPr>
            <w:tcW w:w="1191" w:type="dxa"/>
            <w:vAlign w:val="center"/>
          </w:tcPr>
          <w:p>
            <w:pPr>
              <w:widowControl/>
              <w:spacing w:line="360" w:lineRule="auto"/>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质保期</w:t>
            </w:r>
          </w:p>
        </w:tc>
        <w:tc>
          <w:tcPr>
            <w:tcW w:w="6069" w:type="dxa"/>
            <w:vAlign w:val="center"/>
          </w:tcPr>
          <w:p>
            <w:pPr>
              <w:widowControl/>
              <w:spacing w:line="36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质保期不低于2年，质保期每增加1年得</w:t>
            </w:r>
            <w:r>
              <w:rPr>
                <w:rFonts w:hint="eastAsia" w:ascii="宋体" w:hAnsi="宋体" w:eastAsia="宋体" w:cs="宋体"/>
                <w:bCs/>
                <w:color w:val="auto"/>
                <w:kern w:val="0"/>
                <w:sz w:val="24"/>
                <w:highlight w:val="none"/>
              </w:rPr>
              <w:t>1</w:t>
            </w:r>
            <w:r>
              <w:rPr>
                <w:rFonts w:hint="eastAsia" w:ascii="宋体" w:hAnsi="宋体" w:eastAsia="宋体" w:cs="宋体"/>
                <w:bCs/>
                <w:color w:val="auto"/>
                <w:kern w:val="0"/>
                <w:sz w:val="24"/>
                <w:highlight w:val="none"/>
              </w:rPr>
              <w:t>分，最高得</w:t>
            </w:r>
            <w:r>
              <w:rPr>
                <w:rFonts w:hint="eastAsia" w:ascii="宋体" w:hAnsi="宋体" w:eastAsia="宋体" w:cs="宋体"/>
                <w:bCs/>
                <w:color w:val="auto"/>
                <w:kern w:val="0"/>
                <w:sz w:val="24"/>
                <w:highlight w:val="none"/>
              </w:rPr>
              <w:t>1</w:t>
            </w:r>
            <w:r>
              <w:rPr>
                <w:rFonts w:hint="eastAsia" w:ascii="宋体" w:hAnsi="宋体" w:eastAsia="宋体" w:cs="宋体"/>
                <w:bCs/>
                <w:color w:val="auto"/>
                <w:kern w:val="0"/>
                <w:sz w:val="24"/>
                <w:highlight w:val="none"/>
              </w:rPr>
              <w:t>分（投标人自行提供承诺）</w:t>
            </w:r>
          </w:p>
        </w:tc>
        <w:tc>
          <w:tcPr>
            <w:tcW w:w="810" w:type="dxa"/>
            <w:vAlign w:val="center"/>
          </w:tcPr>
          <w:p>
            <w:pPr>
              <w:widowControl/>
              <w:spacing w:line="360" w:lineRule="auto"/>
              <w:jc w:val="center"/>
              <w:outlineLvl w:val="0"/>
              <w:rPr>
                <w:rFonts w:hint="eastAsia" w:ascii="宋体" w:hAnsi="宋体" w:eastAsia="宋体" w:cs="宋体"/>
                <w:bCs/>
                <w:color w:val="auto"/>
                <w:sz w:val="24"/>
                <w:highlight w:val="none"/>
              </w:rPr>
            </w:pPr>
            <w:bookmarkStart w:id="408" w:name="_Toc17087"/>
            <w:r>
              <w:rPr>
                <w:rFonts w:hint="eastAsia" w:ascii="宋体" w:hAnsi="宋体" w:eastAsia="宋体" w:cs="宋体"/>
                <w:bCs/>
                <w:color w:val="auto"/>
                <w:sz w:val="24"/>
                <w:highlight w:val="none"/>
              </w:rPr>
              <w:t>0-</w:t>
            </w: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rPr>
              <w:t>分</w:t>
            </w:r>
            <w:bookmarkEnd w:id="408"/>
          </w:p>
        </w:tc>
        <w:tc>
          <w:tcPr>
            <w:tcW w:w="810" w:type="dxa"/>
            <w:vAlign w:val="center"/>
          </w:tcPr>
          <w:p>
            <w:pPr>
              <w:widowControl/>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w:t>
            </w:r>
          </w:p>
        </w:tc>
        <w:tc>
          <w:tcPr>
            <w:tcW w:w="1191" w:type="dxa"/>
            <w:vAlign w:val="center"/>
          </w:tcPr>
          <w:p>
            <w:pPr>
              <w:widowControl/>
              <w:spacing w:line="360" w:lineRule="auto"/>
              <w:jc w:val="center"/>
              <w:rPr>
                <w:rFonts w:hint="eastAsia" w:ascii="宋体" w:hAnsi="宋体" w:eastAsia="宋体" w:cs="宋体"/>
                <w:bCs/>
                <w:color w:val="auto"/>
                <w:sz w:val="24"/>
                <w:highlight w:val="none"/>
              </w:rPr>
            </w:pPr>
            <w:r>
              <w:rPr>
                <w:rFonts w:hint="eastAsia" w:ascii="宋体" w:hAnsi="宋体" w:eastAsia="宋体" w:cs="宋体"/>
                <w:color w:val="auto"/>
                <w:kern w:val="0"/>
                <w:sz w:val="24"/>
                <w:highlight w:val="none"/>
              </w:rPr>
              <w:t>售后服务方案</w:t>
            </w:r>
          </w:p>
        </w:tc>
        <w:tc>
          <w:tcPr>
            <w:tcW w:w="6069" w:type="dxa"/>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各投标人提出的售后服务方案与承诺情况。承诺为本项目提供售后服务的售后服务机构及专业水平资质情况、售后服务人员配置情况、备品备件配备情况、售后响应能力、响应时效以及其他服务质量与承诺情况，方案详细、合理、满足采购需求、承诺切实可行的得5分；方案可行、能满足采购需求、承诺可行的得 4分；方案基本可行、基本能满足采购需求的得3分；方案一般、部分满足的得 2分，欠缺较多的得1分；不提供不得分。</w:t>
            </w:r>
          </w:p>
        </w:tc>
        <w:tc>
          <w:tcPr>
            <w:tcW w:w="810" w:type="dxa"/>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0-5分</w:t>
            </w:r>
          </w:p>
        </w:tc>
        <w:tc>
          <w:tcPr>
            <w:tcW w:w="810" w:type="dxa"/>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1" w:hRule="atLeast"/>
        </w:trPr>
        <w:tc>
          <w:tcPr>
            <w:tcW w:w="62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12</w:t>
            </w:r>
          </w:p>
        </w:tc>
        <w:tc>
          <w:tcPr>
            <w:tcW w:w="7260" w:type="dxa"/>
            <w:gridSpan w:val="2"/>
            <w:vAlign w:val="center"/>
          </w:tcPr>
          <w:p>
            <w:pPr>
              <w:widowControl/>
              <w:adjustRightInd/>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最低有效投标价格为评标基准价</w:t>
            </w:r>
          </w:p>
          <w:p>
            <w:pPr>
              <w:widowControl/>
              <w:adjustRightInd/>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投标报价得分=(评标基准价／投标报价)×价格权值（0.3）×100 </w:t>
            </w:r>
          </w:p>
          <w:p>
            <w:pPr>
              <w:widowControl/>
              <w:adjustRightInd/>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（计算得分保留小数点后2位）评标过程中，不得去掉报价中的最高报价和最低报价。</w:t>
            </w:r>
          </w:p>
          <w:p>
            <w:pPr>
              <w:widowControl/>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bookmarkStart w:id="409" w:name="_Toc22505"/>
            <w:r>
              <w:rPr>
                <w:rFonts w:hint="eastAsia" w:ascii="宋体" w:hAnsi="宋体" w:eastAsia="宋体" w:cs="宋体"/>
                <w:bCs/>
                <w:color w:val="auto"/>
                <w:sz w:val="24"/>
                <w:highlight w:val="none"/>
              </w:rPr>
              <w:t>0-30分</w:t>
            </w:r>
            <w:bookmarkEnd w:id="409"/>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客观</w:t>
            </w:r>
          </w:p>
        </w:tc>
      </w:tr>
    </w:tbl>
    <w:p>
      <w:pPr>
        <w:snapToGrid w:val="0"/>
        <w:spacing w:line="360" w:lineRule="auto"/>
        <w:jc w:val="center"/>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rPr>
          <w:rFonts w:hint="eastAsia" w:ascii="宋体" w:hAnsi="宋体" w:eastAsia="宋体" w:cs="宋体"/>
          <w:b/>
          <w:color w:val="auto"/>
          <w:sz w:val="24"/>
          <w:highlight w:val="none"/>
        </w:rPr>
      </w:pPr>
    </w:p>
    <w:p>
      <w:pPr>
        <w:pStyle w:val="2"/>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评标办法前附表（标项二）</w:t>
      </w:r>
    </w:p>
    <w:tbl>
      <w:tblPr>
        <w:tblStyle w:val="62"/>
        <w:tblpPr w:leftFromText="180" w:rightFromText="180" w:vertAnchor="text" w:horzAnchor="page" w:tblpX="1366" w:tblpY="624"/>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191"/>
        <w:gridCol w:w="6069"/>
        <w:gridCol w:w="81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62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序号</w:t>
            </w:r>
          </w:p>
        </w:tc>
        <w:tc>
          <w:tcPr>
            <w:tcW w:w="1191"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评分细则</w:t>
            </w:r>
          </w:p>
        </w:tc>
        <w:tc>
          <w:tcPr>
            <w:tcW w:w="6069"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评标标准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分值</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p>
        </w:tc>
        <w:tc>
          <w:tcPr>
            <w:tcW w:w="1191" w:type="dxa"/>
            <w:vAlign w:val="center"/>
          </w:tcPr>
          <w:p>
            <w:pPr>
              <w:widowControl/>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管理体系</w:t>
            </w:r>
          </w:p>
        </w:tc>
        <w:tc>
          <w:tcPr>
            <w:tcW w:w="6069" w:type="dxa"/>
            <w:vAlign w:val="center"/>
          </w:tcPr>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投标人同时具有质量管理体系认证证书、环境管理体系认证证书及职业健康安全管理体系认证证书得3分，否则不得分。（提供有效期内的认证证书复印件并加盖投标人公章）</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0-3</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w:t>
            </w:r>
          </w:p>
        </w:tc>
        <w:tc>
          <w:tcPr>
            <w:tcW w:w="1191" w:type="dxa"/>
            <w:vAlign w:val="center"/>
          </w:tcPr>
          <w:p>
            <w:pPr>
              <w:widowControl/>
              <w:spacing w:line="360" w:lineRule="auto"/>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业绩</w:t>
            </w:r>
          </w:p>
        </w:tc>
        <w:tc>
          <w:tcPr>
            <w:tcW w:w="6069" w:type="dxa"/>
            <w:vAlign w:val="center"/>
          </w:tcPr>
          <w:p>
            <w:pPr>
              <w:widowControl/>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投标人提供20</w:t>
            </w:r>
            <w:r>
              <w:rPr>
                <w:rFonts w:hint="eastAsia" w:ascii="宋体" w:hAnsi="宋体" w:eastAsia="宋体" w:cs="宋体"/>
                <w:color w:val="auto"/>
                <w:sz w:val="24"/>
                <w:highlight w:val="none"/>
              </w:rPr>
              <w:t>2</w:t>
            </w:r>
            <w:r>
              <w:rPr>
                <w:rFonts w:hint="eastAsia" w:ascii="宋体" w:hAnsi="宋体" w:eastAsia="宋体" w:cs="宋体"/>
                <w:color w:val="auto"/>
                <w:sz w:val="24"/>
                <w:highlight w:val="none"/>
              </w:rPr>
              <w:t>1年1月1日至本项目开标截止日（以合同签订时间为准）相关项目业绩，每提供一个业绩得1分，最高得3分。（提供中标通知书复印件、合同复印件，未提供或缺少一样不得分，单个合同不重复计分）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0-3分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w:t>
            </w:r>
          </w:p>
        </w:tc>
        <w:tc>
          <w:tcPr>
            <w:tcW w:w="1191" w:type="dxa"/>
            <w:vAlign w:val="center"/>
          </w:tcPr>
          <w:p>
            <w:pPr>
              <w:widowControl/>
              <w:spacing w:line="360" w:lineRule="auto"/>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证书</w:t>
            </w:r>
          </w:p>
        </w:tc>
        <w:tc>
          <w:tcPr>
            <w:tcW w:w="6069" w:type="dxa"/>
            <w:vAlign w:val="center"/>
          </w:tcPr>
          <w:p>
            <w:pPr>
              <w:widowControl/>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投标人具有安全生产标准化二级证书的得2分，具有安全生产标准化三级证书的得1分。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0-2</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w:t>
            </w:r>
          </w:p>
        </w:tc>
        <w:tc>
          <w:tcPr>
            <w:tcW w:w="1191" w:type="dxa"/>
            <w:vAlign w:val="center"/>
          </w:tcPr>
          <w:p>
            <w:pPr>
              <w:widowControl/>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kern w:val="0"/>
                <w:sz w:val="24"/>
                <w:highlight w:val="none"/>
              </w:rPr>
              <w:t>投标产品的基本功能、技术指标与需求的满足情况</w:t>
            </w:r>
          </w:p>
        </w:tc>
        <w:tc>
          <w:tcPr>
            <w:tcW w:w="6069" w:type="dxa"/>
            <w:vAlign w:val="center"/>
          </w:tcPr>
          <w:p>
            <w:pPr>
              <w:pStyle w:val="6"/>
              <w:snapToGrid w:val="0"/>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运动地板：</w:t>
            </w:r>
            <w:r>
              <w:rPr>
                <w:rFonts w:hint="eastAsia" w:ascii="宋体" w:hAnsi="宋体" w:eastAsia="宋体" w:cs="宋体"/>
                <w:color w:val="auto"/>
                <w:highlight w:val="none"/>
              </w:rPr>
              <w:t>所投产品技术吻合程度：</w:t>
            </w:r>
          </w:p>
          <w:p>
            <w:pPr>
              <w:pStyle w:val="6"/>
              <w:snapToGrid w:val="0"/>
              <w:spacing w:line="240" w:lineRule="auto"/>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投标产品的基本功能和技术指标与采购人需求的吻合程度和偏差情况，标◆项技术参数符合或优于采购需求的每项得1分，最多得24分。</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（需在投标文件中提供采购需求要求的对应材料进行证明，不提供不得分。）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0-24分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w:t>
            </w:r>
          </w:p>
        </w:tc>
        <w:tc>
          <w:tcPr>
            <w:tcW w:w="1191"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施工组织方案</w:t>
            </w:r>
          </w:p>
        </w:tc>
        <w:tc>
          <w:tcPr>
            <w:tcW w:w="6069" w:type="dxa"/>
            <w:vAlign w:val="center"/>
          </w:tcPr>
          <w:p>
            <w:pPr>
              <w:widowControl/>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shd w:val="clear" w:color="auto" w:fill="FFFFFF"/>
              </w:rPr>
              <w:t>根据</w:t>
            </w:r>
            <w:r>
              <w:rPr>
                <w:rFonts w:hint="eastAsia" w:ascii="宋体" w:hAnsi="宋体" w:eastAsia="宋体" w:cs="宋体"/>
                <w:color w:val="auto"/>
                <w:sz w:val="24"/>
                <w:highlight w:val="none"/>
              </w:rPr>
              <w:t>投标供应商针对本项目的施工组织方案是否规范合理，对施工过程中关键工序，关键部位质量（如自流平施工、接缝处理等）控制手段是否考虑，是否可靠等情况进行综合评定。</w:t>
            </w:r>
            <w:r>
              <w:rPr>
                <w:rFonts w:hint="eastAsia" w:ascii="宋体" w:hAnsi="宋体" w:eastAsia="宋体" w:cs="宋体"/>
                <w:color w:val="auto"/>
                <w:kern w:val="0"/>
                <w:sz w:val="24"/>
                <w:highlight w:val="none"/>
              </w:rPr>
              <w:t>施工方案针对性强、合理、可行的得5分；施工方案针对性较强、较合理可行的得4分；施工方案基本可行的得3分；施工方案一般、部分满足的得2分；施工方案欠缺较多的得1分；不提供不得分。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w:t>
            </w:r>
            <w:r>
              <w:rPr>
                <w:rFonts w:hint="eastAsia" w:ascii="宋体" w:hAnsi="宋体" w:eastAsia="宋体" w:cs="宋体"/>
                <w:bCs/>
                <w:color w:val="auto"/>
                <w:sz w:val="24"/>
                <w:highlight w:val="none"/>
              </w:rPr>
              <w:t>5</w:t>
            </w:r>
            <w:r>
              <w:rPr>
                <w:rFonts w:hint="eastAsia" w:ascii="宋体" w:hAnsi="宋体" w:eastAsia="宋体" w:cs="宋体"/>
                <w:bCs/>
                <w:color w:val="auto"/>
                <w:sz w:val="24"/>
                <w:highlight w:val="none"/>
              </w:rPr>
              <w:t>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w:t>
            </w:r>
          </w:p>
        </w:tc>
        <w:tc>
          <w:tcPr>
            <w:tcW w:w="1191"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拟派项目班子成员</w:t>
            </w:r>
          </w:p>
        </w:tc>
        <w:tc>
          <w:tcPr>
            <w:tcW w:w="6069" w:type="dxa"/>
            <w:vAlign w:val="center"/>
          </w:tcPr>
          <w:p>
            <w:pPr>
              <w:widowControl/>
              <w:spacing w:line="360" w:lineRule="auto"/>
              <w:jc w:val="left"/>
              <w:rPr>
                <w:rFonts w:hint="eastAsia" w:ascii="宋体" w:hAnsi="宋体" w:eastAsia="宋体" w:cs="宋体"/>
                <w:bCs/>
                <w:color w:val="auto"/>
                <w:kern w:val="0"/>
                <w:sz w:val="24"/>
                <w:highlight w:val="none"/>
              </w:rPr>
            </w:pPr>
            <w:r>
              <w:rPr>
                <w:rFonts w:hint="eastAsia" w:ascii="宋体" w:hAnsi="宋体" w:eastAsia="宋体" w:cs="宋体"/>
                <w:color w:val="auto"/>
                <w:sz w:val="24"/>
                <w:highlight w:val="none"/>
              </w:rPr>
              <w:t>拟派项目实施团队情况，包括配置的人员专业能力、资格水平、类似工作经验、分工情况等，配置人员上述每一项都完全满足项目需求的得5分；配置水平等较好能满足需求的得4分；配置水平等能基本满足需求的得3分；一般的得2分；有缺项较差的得1分；不提供的不得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0-5分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7</w:t>
            </w:r>
          </w:p>
        </w:tc>
        <w:tc>
          <w:tcPr>
            <w:tcW w:w="1191" w:type="dxa"/>
            <w:vAlign w:val="center"/>
          </w:tcPr>
          <w:p>
            <w:pPr>
              <w:widowControl/>
              <w:spacing w:line="360" w:lineRule="auto"/>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验收方案</w:t>
            </w:r>
          </w:p>
        </w:tc>
        <w:tc>
          <w:tcPr>
            <w:tcW w:w="6069" w:type="dxa"/>
            <w:vAlign w:val="center"/>
          </w:tcPr>
          <w:p>
            <w:pPr>
              <w:widowControl/>
              <w:spacing w:line="36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根据投标人针对本项目的验收方案的合理性、可行性综合评分</w:t>
            </w:r>
            <w:r>
              <w:rPr>
                <w:rFonts w:hint="eastAsia" w:ascii="宋体" w:hAnsi="宋体" w:eastAsia="宋体" w:cs="宋体"/>
                <w:color w:val="auto"/>
                <w:kern w:val="0"/>
                <w:sz w:val="24"/>
                <w:highlight w:val="none"/>
              </w:rPr>
              <w:t>。验收方案针对性强、合理、可行的得5分；验收方案针对性较强、较合理可行的得4分；验收方案基本可行的得3分；验收方案一般、部分满足的得2分；验收方案欠缺较多的得1分；不提供不得分。</w:t>
            </w:r>
          </w:p>
        </w:tc>
        <w:tc>
          <w:tcPr>
            <w:tcW w:w="810" w:type="dxa"/>
            <w:vAlign w:val="center"/>
          </w:tcPr>
          <w:p>
            <w:pPr>
              <w:widowControl/>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0-5分</w:t>
            </w:r>
          </w:p>
        </w:tc>
        <w:tc>
          <w:tcPr>
            <w:tcW w:w="810" w:type="dxa"/>
            <w:vAlign w:val="center"/>
          </w:tcPr>
          <w:p>
            <w:pPr>
              <w:widowControl/>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8</w:t>
            </w:r>
          </w:p>
        </w:tc>
        <w:tc>
          <w:tcPr>
            <w:tcW w:w="1191" w:type="dxa"/>
            <w:vAlign w:val="center"/>
          </w:tcPr>
          <w:p>
            <w:pPr>
              <w:widowControl/>
              <w:spacing w:line="360" w:lineRule="auto"/>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保养服务</w:t>
            </w:r>
          </w:p>
        </w:tc>
        <w:tc>
          <w:tcPr>
            <w:tcW w:w="6069" w:type="dxa"/>
            <w:vAlign w:val="center"/>
          </w:tcPr>
          <w:p>
            <w:pPr>
              <w:widowControl/>
              <w:spacing w:line="360" w:lineRule="auto"/>
              <w:jc w:val="left"/>
              <w:rPr>
                <w:rFonts w:hint="eastAsia" w:ascii="宋体" w:hAnsi="宋体" w:eastAsia="宋体" w:cs="宋体"/>
                <w:bCs/>
                <w:color w:val="auto"/>
                <w:kern w:val="0"/>
                <w:sz w:val="24"/>
                <w:highlight w:val="none"/>
              </w:rPr>
            </w:pPr>
            <w:r>
              <w:rPr>
                <w:rFonts w:hint="eastAsia" w:ascii="宋体" w:hAnsi="宋体" w:eastAsia="宋体" w:cs="宋体"/>
                <w:color w:val="auto"/>
                <w:kern w:val="0"/>
                <w:sz w:val="24"/>
                <w:highlight w:val="none"/>
              </w:rPr>
              <w:t>根据投标人是否有明确的保养培训计划、有</w:t>
            </w:r>
            <w:r>
              <w:rPr>
                <w:rFonts w:hint="eastAsia" w:ascii="宋体" w:hAnsi="宋体" w:eastAsia="宋体" w:cs="宋体"/>
                <w:color w:val="auto"/>
                <w:kern w:val="0"/>
                <w:sz w:val="24"/>
                <w:highlight w:val="none"/>
                <w:lang w:val="en-US" w:eastAsia="zh-CN"/>
              </w:rPr>
              <w:t>有效</w:t>
            </w:r>
            <w:r>
              <w:rPr>
                <w:rFonts w:hint="eastAsia" w:ascii="宋体" w:hAnsi="宋体" w:eastAsia="宋体" w:cs="宋体"/>
                <w:color w:val="auto"/>
                <w:kern w:val="0"/>
                <w:sz w:val="24"/>
                <w:highlight w:val="none"/>
              </w:rPr>
              <w:t>的日常维护保养方法及方案综合评分。有明确的养护培训计划、</w:t>
            </w:r>
            <w:r>
              <w:rPr>
                <w:rFonts w:hint="eastAsia" w:ascii="宋体" w:hAnsi="宋体" w:eastAsia="宋体" w:cs="宋体"/>
                <w:color w:val="auto"/>
                <w:kern w:val="0"/>
                <w:sz w:val="24"/>
                <w:highlight w:val="none"/>
                <w:lang w:val="en-US" w:eastAsia="zh-CN"/>
              </w:rPr>
              <w:t>有效</w:t>
            </w:r>
            <w:r>
              <w:rPr>
                <w:rFonts w:hint="eastAsia" w:ascii="宋体" w:hAnsi="宋体" w:eastAsia="宋体" w:cs="宋体"/>
                <w:color w:val="auto"/>
                <w:kern w:val="0"/>
                <w:sz w:val="24"/>
                <w:highlight w:val="none"/>
              </w:rPr>
              <w:t>的保养方案的得5分；养护培训计划、保养方案较</w:t>
            </w:r>
            <w:r>
              <w:rPr>
                <w:rFonts w:hint="eastAsia" w:ascii="宋体" w:hAnsi="宋体" w:eastAsia="宋体" w:cs="宋体"/>
                <w:color w:val="auto"/>
                <w:kern w:val="0"/>
                <w:sz w:val="24"/>
                <w:highlight w:val="none"/>
                <w:lang w:val="en-US" w:eastAsia="zh-CN"/>
              </w:rPr>
              <w:t>有效</w:t>
            </w:r>
            <w:r>
              <w:rPr>
                <w:rFonts w:hint="eastAsia" w:ascii="宋体" w:hAnsi="宋体" w:eastAsia="宋体" w:cs="宋体"/>
                <w:color w:val="auto"/>
                <w:kern w:val="0"/>
                <w:sz w:val="24"/>
                <w:highlight w:val="none"/>
              </w:rPr>
              <w:t>可行的得4分；养护培训计划、保养方案基本满足需求且</w:t>
            </w:r>
            <w:r>
              <w:rPr>
                <w:rFonts w:hint="eastAsia" w:ascii="宋体" w:hAnsi="宋体" w:eastAsia="宋体" w:cs="宋体"/>
                <w:color w:val="auto"/>
                <w:kern w:val="0"/>
                <w:sz w:val="24"/>
                <w:highlight w:val="none"/>
                <w:lang w:val="en-US" w:eastAsia="zh-CN"/>
              </w:rPr>
              <w:t>切实</w:t>
            </w:r>
            <w:r>
              <w:rPr>
                <w:rFonts w:hint="eastAsia" w:ascii="宋体" w:hAnsi="宋体" w:eastAsia="宋体" w:cs="宋体"/>
                <w:color w:val="auto"/>
                <w:kern w:val="0"/>
                <w:sz w:val="24"/>
                <w:highlight w:val="none"/>
              </w:rPr>
              <w:t>可行的得3分；养护培训计划、保养方案一般的得2分；欠缺较多的得1分；不提供不得分。</w:t>
            </w:r>
          </w:p>
        </w:tc>
        <w:tc>
          <w:tcPr>
            <w:tcW w:w="810" w:type="dxa"/>
            <w:vAlign w:val="center"/>
          </w:tcPr>
          <w:p>
            <w:pPr>
              <w:widowControl/>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0-5分</w:t>
            </w:r>
          </w:p>
        </w:tc>
        <w:tc>
          <w:tcPr>
            <w:tcW w:w="810" w:type="dxa"/>
            <w:vAlign w:val="center"/>
          </w:tcPr>
          <w:p>
            <w:pPr>
              <w:widowControl/>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9</w:t>
            </w:r>
          </w:p>
        </w:tc>
        <w:tc>
          <w:tcPr>
            <w:tcW w:w="1191"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投标样品</w:t>
            </w:r>
          </w:p>
        </w:tc>
        <w:tc>
          <w:tcPr>
            <w:tcW w:w="6069" w:type="dxa"/>
            <w:vAlign w:val="center"/>
          </w:tcPr>
          <w:p>
            <w:pPr>
              <w:widowControl/>
              <w:spacing w:line="360" w:lineRule="auto"/>
              <w:jc w:val="left"/>
              <w:rPr>
                <w:rFonts w:hint="eastAsia" w:ascii="宋体" w:hAnsi="宋体" w:eastAsia="宋体" w:cs="宋体"/>
                <w:bCs/>
                <w:color w:val="auto"/>
                <w:kern w:val="0"/>
                <w:sz w:val="24"/>
                <w:highlight w:val="none"/>
                <w:lang w:val="zh-CN"/>
              </w:rPr>
            </w:pPr>
            <w:r>
              <w:rPr>
                <w:rFonts w:hint="eastAsia" w:ascii="宋体" w:hAnsi="宋体" w:eastAsia="宋体" w:cs="宋体"/>
                <w:bCs/>
                <w:color w:val="auto"/>
                <w:kern w:val="0"/>
                <w:sz w:val="24"/>
                <w:highlight w:val="none"/>
                <w:lang w:val="zh-CN"/>
              </w:rPr>
              <w:t>需要提供设备样品</w:t>
            </w:r>
          </w:p>
          <w:p>
            <w:pPr>
              <w:widowControl/>
              <w:spacing w:line="36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lang w:val="zh-CN"/>
              </w:rPr>
              <w:t>一块不小于300mm*300mm运动木地板样品，投标人必须提供与招标文件材质规格要求一致的样品，且运动木地板样品要求具备完整的结构层次（包含面板，毛地板，龙骨，弹性垫等），根据样品</w:t>
            </w:r>
            <w:r>
              <w:rPr>
                <w:rFonts w:hint="eastAsia" w:ascii="宋体" w:hAnsi="宋体" w:eastAsia="宋体" w:cs="宋体"/>
                <w:bCs/>
                <w:color w:val="auto"/>
                <w:kern w:val="0"/>
                <w:sz w:val="24"/>
                <w:highlight w:val="none"/>
              </w:rPr>
              <w:t>的</w:t>
            </w:r>
            <w:r>
              <w:rPr>
                <w:rFonts w:hint="eastAsia" w:ascii="宋体" w:hAnsi="宋体" w:eastAsia="宋体" w:cs="宋体"/>
                <w:bCs/>
                <w:color w:val="auto"/>
                <w:kern w:val="0"/>
                <w:sz w:val="24"/>
                <w:highlight w:val="none"/>
                <w:lang w:val="zh-CN"/>
              </w:rPr>
              <w:t>原材料品质、产品的制作工艺等进行打分</w:t>
            </w:r>
            <w:r>
              <w:rPr>
                <w:rFonts w:hint="eastAsia" w:ascii="宋体" w:hAnsi="宋体" w:eastAsia="宋体" w:cs="宋体"/>
                <w:bCs/>
                <w:color w:val="auto"/>
                <w:kern w:val="0"/>
                <w:sz w:val="24"/>
                <w:highlight w:val="none"/>
              </w:rPr>
              <w:t>。</w:t>
            </w:r>
          </w:p>
          <w:p>
            <w:pPr>
              <w:widowControl/>
              <w:spacing w:line="360" w:lineRule="auto"/>
              <w:jc w:val="left"/>
              <w:rPr>
                <w:rFonts w:hint="eastAsia" w:ascii="宋体" w:hAnsi="宋体" w:eastAsia="宋体" w:cs="宋体"/>
                <w:bCs/>
                <w:color w:val="auto"/>
                <w:kern w:val="0"/>
                <w:sz w:val="24"/>
                <w:highlight w:val="none"/>
              </w:rPr>
            </w:pPr>
            <w:r>
              <w:rPr>
                <w:rFonts w:hint="eastAsia" w:ascii="宋体" w:hAnsi="宋体" w:eastAsia="宋体" w:cs="宋体"/>
                <w:color w:val="auto"/>
                <w:sz w:val="24"/>
                <w:highlight w:val="none"/>
              </w:rPr>
              <w:t>。完全符合采购要求的且工艺精良的得8-12分；基本满足但尚有欠缺的得4-7分；质量较差且规格参数低于招标需求的得0-3分；没有提供样品或样品、规格不符的不得分。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0-12分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10</w:t>
            </w:r>
          </w:p>
        </w:tc>
        <w:tc>
          <w:tcPr>
            <w:tcW w:w="1191" w:type="dxa"/>
            <w:vAlign w:val="center"/>
          </w:tcPr>
          <w:p>
            <w:pPr>
              <w:widowControl/>
              <w:spacing w:line="360" w:lineRule="auto"/>
              <w:jc w:val="center"/>
              <w:textAlignment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质保期</w:t>
            </w:r>
          </w:p>
        </w:tc>
        <w:tc>
          <w:tcPr>
            <w:tcW w:w="6069" w:type="dxa"/>
            <w:vAlign w:val="center"/>
          </w:tcPr>
          <w:p>
            <w:pPr>
              <w:widowControl/>
              <w:spacing w:line="36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质保期不低于2年，质保期每增加1年得</w:t>
            </w:r>
            <w:r>
              <w:rPr>
                <w:rFonts w:hint="eastAsia" w:ascii="宋体" w:hAnsi="宋体" w:eastAsia="宋体" w:cs="宋体"/>
                <w:bCs/>
                <w:color w:val="auto"/>
                <w:kern w:val="0"/>
                <w:sz w:val="24"/>
                <w:highlight w:val="none"/>
              </w:rPr>
              <w:t>1</w:t>
            </w:r>
            <w:r>
              <w:rPr>
                <w:rFonts w:hint="eastAsia" w:ascii="宋体" w:hAnsi="宋体" w:eastAsia="宋体" w:cs="宋体"/>
                <w:bCs/>
                <w:color w:val="auto"/>
                <w:kern w:val="0"/>
                <w:sz w:val="24"/>
                <w:highlight w:val="none"/>
              </w:rPr>
              <w:t>分，最高得</w:t>
            </w:r>
            <w:r>
              <w:rPr>
                <w:rFonts w:hint="eastAsia" w:ascii="宋体" w:hAnsi="宋体" w:eastAsia="宋体" w:cs="宋体"/>
                <w:bCs/>
                <w:color w:val="auto"/>
                <w:kern w:val="0"/>
                <w:sz w:val="24"/>
                <w:highlight w:val="none"/>
              </w:rPr>
              <w:t>1</w:t>
            </w:r>
            <w:r>
              <w:rPr>
                <w:rFonts w:hint="eastAsia" w:ascii="宋体" w:hAnsi="宋体" w:eastAsia="宋体" w:cs="宋体"/>
                <w:bCs/>
                <w:color w:val="auto"/>
                <w:kern w:val="0"/>
                <w:sz w:val="24"/>
                <w:highlight w:val="none"/>
              </w:rPr>
              <w:t>分（投标人自行提供承诺）</w:t>
            </w:r>
          </w:p>
        </w:tc>
        <w:tc>
          <w:tcPr>
            <w:tcW w:w="810" w:type="dxa"/>
            <w:vAlign w:val="center"/>
          </w:tcPr>
          <w:p>
            <w:pPr>
              <w:widowControl/>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w:t>
            </w: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rPr>
              <w:t>分</w:t>
            </w:r>
          </w:p>
        </w:tc>
        <w:tc>
          <w:tcPr>
            <w:tcW w:w="810" w:type="dxa"/>
            <w:vAlign w:val="center"/>
          </w:tcPr>
          <w:p>
            <w:pPr>
              <w:widowControl/>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20" w:type="dxa"/>
            <w:vAlign w:val="center"/>
          </w:tcPr>
          <w:p>
            <w:pPr>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w:t>
            </w:r>
          </w:p>
        </w:tc>
        <w:tc>
          <w:tcPr>
            <w:tcW w:w="1191" w:type="dxa"/>
            <w:vAlign w:val="center"/>
          </w:tcPr>
          <w:p>
            <w:pPr>
              <w:widowControl/>
              <w:spacing w:line="360" w:lineRule="auto"/>
              <w:jc w:val="center"/>
              <w:rPr>
                <w:rFonts w:hint="eastAsia" w:ascii="宋体" w:hAnsi="宋体" w:eastAsia="宋体" w:cs="宋体"/>
                <w:bCs/>
                <w:color w:val="auto"/>
                <w:sz w:val="24"/>
                <w:highlight w:val="none"/>
              </w:rPr>
            </w:pPr>
            <w:r>
              <w:rPr>
                <w:rFonts w:hint="eastAsia" w:ascii="宋体" w:hAnsi="宋体" w:eastAsia="宋体" w:cs="宋体"/>
                <w:color w:val="auto"/>
                <w:kern w:val="0"/>
                <w:sz w:val="24"/>
                <w:highlight w:val="none"/>
              </w:rPr>
              <w:t>售后服务方案</w:t>
            </w:r>
          </w:p>
        </w:tc>
        <w:tc>
          <w:tcPr>
            <w:tcW w:w="6069" w:type="dxa"/>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各投标人提出的售后服务方案与承诺情况。承诺为本项目提供售后服务的售后服务机构及专业水平资质情况、售后服务人员配置情况、备品备件配备情况、售后响应能力、响应时效以及其他服务质量与承诺情况，方案详细、合理、满足采购需求、承诺切实可行的得5分；方案可行、能满足采购需求、承诺可行的得 4分；方案基本可行、基本能满足采购需求的得3分；方案一般、部分满足的得 2分，欠缺较多的得1分；不提供不得分。</w:t>
            </w:r>
          </w:p>
        </w:tc>
        <w:tc>
          <w:tcPr>
            <w:tcW w:w="810" w:type="dxa"/>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0-5分</w:t>
            </w:r>
          </w:p>
        </w:tc>
        <w:tc>
          <w:tcPr>
            <w:tcW w:w="810" w:type="dxa"/>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1" w:hRule="atLeast"/>
        </w:trPr>
        <w:tc>
          <w:tcPr>
            <w:tcW w:w="62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12</w:t>
            </w:r>
          </w:p>
        </w:tc>
        <w:tc>
          <w:tcPr>
            <w:tcW w:w="7260" w:type="dxa"/>
            <w:gridSpan w:val="2"/>
            <w:vAlign w:val="center"/>
          </w:tcPr>
          <w:p>
            <w:pPr>
              <w:widowControl/>
              <w:adjustRightInd/>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最低有效投标价格为评标基准价</w:t>
            </w:r>
          </w:p>
          <w:p>
            <w:pPr>
              <w:widowControl/>
              <w:adjustRightInd/>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投标报价得分=(评标基准价／投标报价)×价格权值（0.3）×100 </w:t>
            </w:r>
          </w:p>
          <w:p>
            <w:pPr>
              <w:widowControl/>
              <w:adjustRightInd/>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（计算得分保留小数点后2位）评标过程中，不得去掉报价中的最高报价和最低报价。</w:t>
            </w:r>
          </w:p>
          <w:p>
            <w:pPr>
              <w:widowControl/>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0-30分</w:t>
            </w:r>
          </w:p>
        </w:tc>
        <w:tc>
          <w:tcPr>
            <w:tcW w:w="810" w:type="dxa"/>
            <w:vAlign w:val="center"/>
          </w:tcPr>
          <w:p>
            <w:pPr>
              <w:spacing w:line="360" w:lineRule="auto"/>
              <w:jc w:val="center"/>
              <w:outlineLvl w:val="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客观</w:t>
            </w:r>
          </w:p>
        </w:tc>
      </w:tr>
    </w:tbl>
    <w:p>
      <w:pPr>
        <w:snapToGrid w:val="0"/>
        <w:spacing w:line="360" w:lineRule="auto"/>
        <w:jc w:val="center"/>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b/>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shd w:val="clear" w:color="auto" w:fill="FFFFFF"/>
        </w:rPr>
        <w:t>*</w:t>
      </w:r>
      <w:r>
        <w:rPr>
          <w:rFonts w:hint="eastAsia" w:ascii="宋体" w:hAnsi="宋体" w:eastAsia="宋体" w:cs="宋体"/>
          <w:color w:val="auto"/>
          <w:sz w:val="24"/>
          <w:highlight w:val="none"/>
        </w:rPr>
        <w:t xml:space="preserve">备注：1、投标人编制投标文件（商务技术文件部分）时，建议按此目录（序号和内容）提供评标标准相应的商务技术资料。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2、评分条款中涉及的业绩、荣誉、人员、社保等分公司均有效。涉及社保、劳动关系证明关系的，如人员为法人代表，则无需提供相关证明</w:t>
      </w:r>
      <w:r>
        <w:rPr>
          <w:rFonts w:hint="eastAsia" w:ascii="宋体" w:hAnsi="宋体" w:eastAsia="宋体" w:cs="宋体"/>
          <w:color w:val="auto"/>
          <w:sz w:val="24"/>
          <w:highlight w:val="none"/>
        </w:rPr>
        <w:t>，提供营业执照及身份证</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3、投标文件中如附有外文资料，必须逐一对应翻译成中文并加盖投标人公章后附在相关外文资料后面，否则外文资料不予认可。</w:t>
      </w:r>
    </w:p>
    <w:p>
      <w:pPr>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24"/>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29"/>
        <w:spacing w:before="0"/>
        <w:ind w:firstLine="508" w:firstLineChars="212"/>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3.4.1投标文件报价出现前后不一致的，按照下列规定修正：</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3.4.5对于未预留份额专门面向中小企业的政府采购货物项目，以及预留份额政府采购货物项目中的非预留部分标项，对小型和微型企业的投标报价给予10%-</w:t>
      </w:r>
      <w:r>
        <w:rPr>
          <w:rFonts w:hint="eastAsia" w:ascii="宋体" w:hAnsi="宋体" w:eastAsia="宋体" w:cs="宋体"/>
          <w:color w:val="auto"/>
          <w:kern w:val="0"/>
          <w:szCs w:val="24"/>
          <w:highlight w:val="none"/>
        </w:rPr>
        <w:t>20</w:t>
      </w:r>
      <w:r>
        <w:rPr>
          <w:rFonts w:hint="eastAsia" w:ascii="宋体" w:hAnsi="宋体" w:eastAsia="宋体" w:cs="宋体"/>
          <w:color w:val="auto"/>
          <w:kern w:val="0"/>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hint="eastAsia" w:ascii="宋体" w:hAnsi="宋体" w:eastAsia="宋体" w:cs="宋体"/>
          <w:color w:val="auto"/>
          <w:kern w:val="0"/>
          <w:szCs w:val="24"/>
          <w:highlight w:val="none"/>
        </w:rPr>
        <w:t>6</w:t>
      </w:r>
      <w:r>
        <w:rPr>
          <w:rFonts w:hint="eastAsia" w:ascii="宋体" w:hAnsi="宋体" w:eastAsia="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四、评标中的其他事项</w:t>
      </w:r>
    </w:p>
    <w:p>
      <w:pPr>
        <w:pStyle w:val="129"/>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hint="eastAsia" w:ascii="宋体" w:hAnsi="宋体" w:eastAsia="宋体" w:cs="宋体"/>
          <w:color w:val="auto"/>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highlight w:val="none"/>
        </w:rPr>
        <w:t>有下列情形之一的，投标无效：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4.2.14 投标文件不满足招标文件的实质性要求的；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4.2.15法律、法规、规章（适用本市的）及省级以上规范性文件（适用本市的）规定的其他无效情形。</w:t>
      </w:r>
    </w:p>
    <w:p>
      <w:pPr>
        <w:pStyle w:val="6"/>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废标后，采购代理机构应当将废标理由通知所有投标人。</w:t>
      </w:r>
    </w:p>
    <w:p>
      <w:pPr>
        <w:pStyle w:val="6"/>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6"/>
        <w:snapToGrid w:val="0"/>
        <w:spacing w:line="360" w:lineRule="auto"/>
        <w:ind w:firstLine="482"/>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7.1未确定中标供应商的，终止本次政府采购活动，重新开展政府采购活动。</w:t>
      </w:r>
    </w:p>
    <w:p>
      <w:pPr>
        <w:pStyle w:val="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7.3政府采购合同已签订但尚未履行的，撤销合同，从合格的中标候选人中另行确定中标供应商；没有合格的中标候选人的，重新开展政府采购活动。</w:t>
      </w:r>
    </w:p>
    <w:p>
      <w:pPr>
        <w:pStyle w:val="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6"/>
        <w:snapToGrid w:val="0"/>
        <w:spacing w:line="360" w:lineRule="auto"/>
        <w:ind w:firstLine="0" w:firstLineChars="0"/>
        <w:rPr>
          <w:rFonts w:hint="eastAsia" w:ascii="宋体" w:hAnsi="宋体" w:eastAsia="宋体" w:cs="宋体"/>
          <w:color w:val="auto"/>
          <w:highlight w:val="none"/>
        </w:rPr>
      </w:pPr>
    </w:p>
    <w:bookmarkEnd w:id="31"/>
    <w:p>
      <w:pPr>
        <w:spacing w:line="360" w:lineRule="auto"/>
        <w:ind w:left="720" w:leftChars="343" w:firstLine="723" w:firstLineChars="300"/>
        <w:outlineLvl w:val="0"/>
        <w:rPr>
          <w:rFonts w:hint="eastAsia" w:ascii="宋体" w:hAnsi="宋体" w:eastAsia="宋体" w:cs="宋体"/>
          <w:b/>
          <w:color w:val="auto"/>
          <w:sz w:val="24"/>
          <w:highlight w:val="none"/>
        </w:rPr>
      </w:pPr>
      <w:bookmarkStart w:id="410" w:name="第五部分"/>
      <w:bookmarkStart w:id="411" w:name="_Toc86217003"/>
    </w:p>
    <w:p>
      <w:pPr>
        <w:spacing w:line="360" w:lineRule="auto"/>
        <w:ind w:left="720" w:leftChars="343" w:firstLine="723" w:firstLineChars="3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w:t>
      </w:r>
    </w:p>
    <w:p>
      <w:pPr>
        <w:spacing w:line="360" w:lineRule="auto"/>
        <w:ind w:left="720" w:leftChars="343" w:firstLine="723" w:firstLineChars="300"/>
        <w:outlineLvl w:val="0"/>
        <w:rPr>
          <w:rFonts w:hint="eastAsia" w:ascii="宋体" w:hAnsi="宋体" w:eastAsia="宋体" w:cs="宋体"/>
          <w:b/>
          <w:color w:val="auto"/>
          <w:sz w:val="24"/>
          <w:highlight w:val="none"/>
        </w:rPr>
      </w:pP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pacing w:line="360" w:lineRule="auto"/>
        <w:ind w:left="720" w:leftChars="343" w:firstLine="723" w:firstLineChars="3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第五部分 拟签订的合同文本</w:t>
      </w: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360" w:lineRule="auto"/>
        <w:ind w:left="-420" w:leftChars="-200" w:right="-420" w:rightChars="-200" w:firstLine="480" w:firstLineChars="200"/>
        <w:rPr>
          <w:rFonts w:hint="eastAsia" w:ascii="宋体" w:hAnsi="宋体" w:eastAsia="宋体" w:cs="宋体"/>
          <w:color w:val="auto"/>
          <w:sz w:val="24"/>
          <w:highlight w:val="none"/>
        </w:rPr>
      </w:pPr>
    </w:p>
    <w:p>
      <w:pPr>
        <w:pStyle w:val="2"/>
        <w:rPr>
          <w:rFonts w:hint="eastAsia" w:ascii="宋体" w:hAnsi="宋体" w:eastAsia="宋体" w:cs="宋体"/>
          <w:color w:val="auto"/>
          <w:sz w:val="24"/>
          <w:szCs w:val="24"/>
          <w:highlight w:val="none"/>
        </w:rPr>
      </w:pPr>
    </w:p>
    <w:p>
      <w:pPr>
        <w:rPr>
          <w:rFonts w:hint="eastAsia" w:ascii="宋体" w:hAnsi="宋体" w:eastAsia="宋体" w:cs="宋体"/>
          <w:color w:val="auto"/>
          <w:sz w:val="24"/>
          <w:highlight w:val="none"/>
        </w:rPr>
      </w:pPr>
    </w:p>
    <w:p>
      <w:pPr>
        <w:pStyle w:val="2"/>
        <w:rPr>
          <w:rFonts w:hint="eastAsia" w:ascii="宋体" w:hAnsi="宋体" w:eastAsia="宋体" w:cs="宋体"/>
          <w:color w:val="auto"/>
          <w:sz w:val="24"/>
          <w:szCs w:val="24"/>
          <w:highlight w:val="none"/>
        </w:rPr>
      </w:pPr>
    </w:p>
    <w:p>
      <w:pPr>
        <w:rPr>
          <w:rFonts w:hint="eastAsia" w:ascii="宋体" w:hAnsi="宋体" w:eastAsia="宋体" w:cs="宋体"/>
          <w:color w:val="auto"/>
          <w:sz w:val="24"/>
          <w:highlight w:val="none"/>
        </w:rPr>
      </w:pPr>
    </w:p>
    <w:p>
      <w:pPr>
        <w:pStyle w:val="2"/>
        <w:rPr>
          <w:rFonts w:hint="eastAsia" w:ascii="宋体" w:hAnsi="宋体" w:eastAsia="宋体" w:cs="宋体"/>
          <w:color w:val="auto"/>
          <w:sz w:val="24"/>
          <w:szCs w:val="24"/>
          <w:highlight w:val="none"/>
        </w:rPr>
      </w:pPr>
    </w:p>
    <w:p>
      <w:pPr>
        <w:spacing w:line="360" w:lineRule="auto"/>
        <w:ind w:left="-420" w:leftChars="-200" w:right="-420" w:rightChars="-200"/>
        <w:rPr>
          <w:rFonts w:hint="eastAsia" w:ascii="宋体" w:hAnsi="宋体" w:eastAsia="宋体" w:cs="宋体"/>
          <w:color w:val="auto"/>
          <w:sz w:val="24"/>
          <w:highlight w:val="none"/>
        </w:rPr>
      </w:pPr>
    </w:p>
    <w:p>
      <w:pPr>
        <w:pStyle w:val="2"/>
        <w:rPr>
          <w:rFonts w:hint="eastAsia" w:ascii="宋体" w:hAnsi="宋体" w:eastAsia="宋体" w:cs="宋体"/>
          <w:color w:val="auto"/>
          <w:sz w:val="24"/>
          <w:szCs w:val="24"/>
          <w:highlight w:val="none"/>
        </w:rPr>
      </w:pPr>
    </w:p>
    <w:p>
      <w:pPr>
        <w:rPr>
          <w:rFonts w:hint="eastAsia" w:ascii="宋体" w:hAnsi="宋体" w:eastAsia="宋体" w:cs="宋体"/>
          <w:color w:val="auto"/>
          <w:sz w:val="24"/>
          <w:highlight w:val="none"/>
        </w:rPr>
      </w:pPr>
    </w:p>
    <w:p>
      <w:pPr>
        <w:spacing w:line="360" w:lineRule="auto"/>
        <w:ind w:left="720" w:firstLine="482" w:firstLineChars="200"/>
        <w:outlineLvl w:val="0"/>
        <w:rPr>
          <w:rFonts w:hint="eastAsia" w:ascii="宋体" w:hAnsi="宋体" w:eastAsia="宋体" w:cs="宋体"/>
          <w:b/>
          <w:color w:val="auto"/>
          <w:sz w:val="24"/>
          <w:highlight w:val="none"/>
        </w:rPr>
      </w:pPr>
    </w:p>
    <w:p>
      <w:pPr>
        <w:spacing w:line="360" w:lineRule="auto"/>
        <w:ind w:left="720" w:firstLine="482" w:firstLineChars="200"/>
        <w:outlineLvl w:val="0"/>
        <w:rPr>
          <w:rFonts w:hint="eastAsia" w:ascii="宋体" w:hAnsi="宋体" w:eastAsia="宋体" w:cs="宋体"/>
          <w:b/>
          <w:color w:val="auto"/>
          <w:sz w:val="24"/>
          <w:highlight w:val="none"/>
        </w:rPr>
      </w:pPr>
    </w:p>
    <w:p>
      <w:pPr>
        <w:spacing w:line="360" w:lineRule="auto"/>
        <w:ind w:left="720" w:firstLine="482" w:firstLineChars="200"/>
        <w:outlineLvl w:val="0"/>
        <w:rPr>
          <w:rFonts w:hint="eastAsia" w:ascii="宋体" w:hAnsi="宋体" w:eastAsia="宋体" w:cs="宋体"/>
          <w:b/>
          <w:color w:val="auto"/>
          <w:sz w:val="24"/>
          <w:highlight w:val="none"/>
        </w:rPr>
      </w:pPr>
    </w:p>
    <w:p>
      <w:pPr>
        <w:spacing w:line="360" w:lineRule="auto"/>
        <w:ind w:left="720" w:firstLine="482" w:firstLineChars="200"/>
        <w:outlineLvl w:val="0"/>
        <w:rPr>
          <w:rFonts w:hint="eastAsia" w:ascii="宋体" w:hAnsi="宋体" w:eastAsia="宋体" w:cs="宋体"/>
          <w:b/>
          <w:color w:val="auto"/>
          <w:sz w:val="24"/>
          <w:highlight w:val="none"/>
        </w:rPr>
      </w:pPr>
    </w:p>
    <w:p>
      <w:pPr>
        <w:spacing w:line="360" w:lineRule="auto"/>
        <w:ind w:left="720" w:firstLine="482" w:firstLineChars="200"/>
        <w:outlineLvl w:val="0"/>
        <w:rPr>
          <w:rFonts w:hint="eastAsia" w:ascii="宋体" w:hAnsi="宋体" w:eastAsia="宋体" w:cs="宋体"/>
          <w:b/>
          <w:color w:val="auto"/>
          <w:sz w:val="24"/>
          <w:highlight w:val="none"/>
        </w:rPr>
      </w:pPr>
    </w:p>
    <w:p>
      <w:pPr>
        <w:spacing w:line="360" w:lineRule="auto"/>
        <w:ind w:left="720" w:firstLine="482" w:firstLineChars="200"/>
        <w:outlineLvl w:val="0"/>
        <w:rPr>
          <w:rFonts w:hint="eastAsia" w:ascii="宋体" w:hAnsi="宋体" w:eastAsia="宋体" w:cs="宋体"/>
          <w:b/>
          <w:color w:val="auto"/>
          <w:sz w:val="24"/>
          <w:highlight w:val="none"/>
        </w:rPr>
      </w:pPr>
    </w:p>
    <w:p>
      <w:pPr>
        <w:spacing w:line="360" w:lineRule="auto"/>
        <w:ind w:left="720" w:firstLine="482" w:firstLineChars="200"/>
        <w:outlineLvl w:val="0"/>
        <w:rPr>
          <w:rFonts w:hint="eastAsia" w:ascii="宋体" w:hAnsi="宋体" w:eastAsia="宋体" w:cs="宋体"/>
          <w:b/>
          <w:color w:val="auto"/>
          <w:sz w:val="24"/>
          <w:highlight w:val="none"/>
        </w:rPr>
      </w:pPr>
    </w:p>
    <w:p>
      <w:pPr>
        <w:spacing w:line="360" w:lineRule="auto"/>
        <w:ind w:left="720" w:firstLine="482" w:firstLineChars="200"/>
        <w:outlineLvl w:val="0"/>
        <w:rPr>
          <w:rFonts w:hint="eastAsia" w:ascii="宋体" w:hAnsi="宋体" w:eastAsia="宋体" w:cs="宋体"/>
          <w:b/>
          <w:color w:val="auto"/>
          <w:sz w:val="24"/>
          <w:highlight w:val="none"/>
        </w:rPr>
      </w:pPr>
    </w:p>
    <w:p>
      <w:pPr>
        <w:spacing w:line="360" w:lineRule="auto"/>
        <w:ind w:left="720" w:firstLine="482" w:firstLineChars="200"/>
        <w:outlineLvl w:val="0"/>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rPr>
          <w:rFonts w:hint="eastAsia" w:ascii="宋体" w:hAnsi="宋体" w:eastAsia="宋体" w:cs="宋体"/>
          <w:b/>
          <w:color w:val="auto"/>
          <w:sz w:val="24"/>
          <w:highlight w:val="none"/>
        </w:rPr>
      </w:pPr>
    </w:p>
    <w:p>
      <w:pPr>
        <w:pStyle w:val="2"/>
        <w:rPr>
          <w:rFonts w:hint="eastAsia" w:ascii="宋体" w:hAnsi="宋体" w:eastAsia="宋体" w:cs="宋体"/>
          <w:b/>
          <w:color w:val="auto"/>
          <w:sz w:val="24"/>
          <w:highlight w:val="none"/>
        </w:rPr>
      </w:pPr>
    </w:p>
    <w:p>
      <w:pPr>
        <w:rPr>
          <w:rFonts w:hint="eastAsia" w:ascii="宋体" w:hAnsi="宋体" w:eastAsia="宋体" w:cs="宋体"/>
          <w:b/>
          <w:color w:val="auto"/>
          <w:sz w:val="24"/>
          <w:highlight w:val="none"/>
        </w:rPr>
      </w:pPr>
    </w:p>
    <w:p>
      <w:pPr>
        <w:pStyle w:val="2"/>
        <w:rPr>
          <w:rFonts w:hint="eastAsia" w:ascii="宋体" w:hAnsi="宋体" w:eastAsia="宋体" w:cs="宋体"/>
          <w:color w:val="auto"/>
          <w:highlight w:val="none"/>
        </w:rPr>
      </w:pPr>
    </w:p>
    <w:p>
      <w:pPr>
        <w:spacing w:line="360" w:lineRule="auto"/>
        <w:ind w:left="720" w:firstLine="482" w:firstLineChars="200"/>
        <w:outlineLvl w:val="0"/>
        <w:rPr>
          <w:rFonts w:hint="eastAsia" w:ascii="宋体" w:hAnsi="宋体" w:eastAsia="宋体" w:cs="宋体"/>
          <w:b/>
          <w:color w:val="auto"/>
          <w:sz w:val="24"/>
          <w:highlight w:val="none"/>
        </w:rPr>
      </w:pPr>
    </w:p>
    <w:p>
      <w:pPr>
        <w:spacing w:line="360" w:lineRule="auto"/>
        <w:ind w:left="720" w:firstLine="482" w:firstLineChars="200"/>
        <w:outlineLvl w:val="0"/>
        <w:rPr>
          <w:rFonts w:hint="eastAsia" w:ascii="宋体" w:hAnsi="宋体" w:eastAsia="宋体" w:cs="宋体"/>
          <w:b/>
          <w:color w:val="auto"/>
          <w:sz w:val="24"/>
          <w:highlight w:val="none"/>
        </w:rPr>
      </w:pPr>
    </w:p>
    <w:p>
      <w:pPr>
        <w:spacing w:line="360" w:lineRule="auto"/>
        <w:ind w:left="720" w:firstLine="482" w:firstLineChars="200"/>
        <w:jc w:val="center"/>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第六部分</w:t>
      </w:r>
      <w:bookmarkEnd w:id="410"/>
      <w:r>
        <w:rPr>
          <w:rFonts w:hint="eastAsia" w:ascii="宋体" w:hAnsi="宋体" w:eastAsia="宋体" w:cs="宋体"/>
          <w:b/>
          <w:color w:val="auto"/>
          <w:sz w:val="24"/>
          <w:highlight w:val="none"/>
        </w:rPr>
        <w:t xml:space="preserve"> </w:t>
      </w:r>
      <w:bookmarkEnd w:id="411"/>
      <w:r>
        <w:rPr>
          <w:rFonts w:hint="eastAsia" w:ascii="宋体" w:hAnsi="宋体" w:eastAsia="宋体" w:cs="宋体"/>
          <w:b/>
          <w:color w:val="auto"/>
          <w:sz w:val="24"/>
          <w:highlight w:val="none"/>
        </w:rPr>
        <w:t>应提交的有关格式范例</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资格文件部分</w:t>
      </w:r>
    </w:p>
    <w:p>
      <w:pPr>
        <w:spacing w:line="360" w:lineRule="auto"/>
        <w:jc w:val="center"/>
        <w:outlineLvl w:val="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目录</w:t>
      </w:r>
    </w:p>
    <w:p>
      <w:pPr>
        <w:spacing w:line="360" w:lineRule="auto"/>
        <w:jc w:val="center"/>
        <w:outlineLvl w:val="0"/>
        <w:rPr>
          <w:rFonts w:hint="eastAsia" w:ascii="宋体" w:hAnsi="宋体" w:eastAsia="宋体" w:cs="宋体"/>
          <w:b/>
          <w:color w:val="auto"/>
          <w:kern w:val="0"/>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3</w:t>
      </w:r>
      <w:r>
        <w:rPr>
          <w:rFonts w:hint="eastAsia" w:ascii="宋体" w:hAnsi="宋体" w:eastAsia="宋体" w:cs="宋体"/>
          <w:color w:val="auto"/>
          <w:sz w:val="24"/>
          <w:highlight w:val="none"/>
        </w:rPr>
        <w:t>）落实政府采购政策需满足的资格要求………………………………（页码）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24"/>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rPr>
          <w:rFonts w:hint="eastAsia" w:ascii="宋体" w:hAnsi="宋体" w:eastAsia="宋体" w:cs="宋体"/>
          <w:b/>
          <w:color w:val="auto"/>
          <w:kern w:val="0"/>
          <w:sz w:val="24"/>
          <w:highlight w:val="none"/>
        </w:rPr>
      </w:pPr>
    </w:p>
    <w:p>
      <w:pPr>
        <w:snapToGrid w:val="0"/>
        <w:spacing w:line="360" w:lineRule="auto"/>
        <w:ind w:right="480" w:firstLine="559" w:firstLineChars="233"/>
        <w:jc w:val="left"/>
        <w:rPr>
          <w:rFonts w:hint="eastAsia" w:ascii="宋体" w:hAnsi="宋体" w:eastAsia="宋体" w:cs="宋体"/>
          <w:b/>
          <w:color w:val="auto"/>
          <w:kern w:val="0"/>
          <w:sz w:val="24"/>
          <w:highlight w:val="none"/>
        </w:rPr>
      </w:pPr>
      <w:r>
        <w:rPr>
          <w:rFonts w:hint="eastAsia" w:ascii="宋体" w:hAnsi="宋体" w:eastAsia="宋体" w:cs="宋体"/>
          <w:color w:val="auto"/>
          <w:sz w:val="24"/>
          <w:highlight w:val="none"/>
        </w:rPr>
        <w:t>注：根据《</w:t>
      </w:r>
      <w:r>
        <w:rPr>
          <w:rFonts w:hint="eastAsia" w:ascii="宋体" w:hAnsi="宋体" w:eastAsia="宋体" w:cs="宋体"/>
          <w:color w:val="auto"/>
          <w:sz w:val="24"/>
          <w:highlight w:val="none"/>
        </w:rPr>
        <w:t>关于规范政府采购供应商资格设定及资格审查的通知</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浙财采监[2013]24号</w:t>
      </w:r>
      <w:r>
        <w:rPr>
          <w:rFonts w:hint="eastAsia" w:ascii="宋体" w:hAnsi="宋体" w:eastAsia="宋体" w:cs="宋体"/>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宋体"/>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rPr>
          <w:rFonts w:hint="eastAsia" w:ascii="宋体" w:hAnsi="宋体" w:eastAsia="宋体" w:cs="宋体"/>
          <w:b/>
          <w:color w:val="auto"/>
          <w:kern w:val="0"/>
          <w:sz w:val="24"/>
          <w:highlight w:val="none"/>
        </w:rPr>
      </w:pPr>
    </w:p>
    <w:p>
      <w:pPr>
        <w:widowControl/>
        <w:spacing w:line="360" w:lineRule="auto"/>
        <w:ind w:firstLine="482" w:firstLineChars="200"/>
        <w:jc w:val="center"/>
        <w:rPr>
          <w:rFonts w:hint="eastAsia" w:ascii="宋体" w:hAnsi="宋体" w:eastAsia="宋体" w:cs="宋体"/>
          <w:b/>
          <w:color w:val="auto"/>
          <w:kern w:val="0"/>
          <w:sz w:val="24"/>
          <w:highlight w:val="none"/>
        </w:rPr>
      </w:pPr>
    </w:p>
    <w:p>
      <w:pPr>
        <w:widowControl/>
        <w:spacing w:line="360" w:lineRule="auto"/>
        <w:ind w:firstLine="482" w:firstLineChars="200"/>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二、联合协议（如果有）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三、落实政府采购政策需满足的资格要求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.专门面向中小企业，货物全部由符合政策要求的中小企业（或小微企业）制造的，提供相应的中小企业声明函（附件</w:t>
      </w:r>
      <w:r>
        <w:rPr>
          <w:rFonts w:hint="eastAsia" w:ascii="宋体" w:hAnsi="宋体" w:eastAsia="宋体" w:cs="宋体"/>
          <w:color w:val="auto"/>
          <w:sz w:val="24"/>
          <w:highlight w:val="none"/>
        </w:rPr>
        <w:t>7</w:t>
      </w:r>
      <w:r>
        <w:rPr>
          <w:rFonts w:hint="eastAsia" w:ascii="宋体" w:hAnsi="宋体" w:eastAsia="宋体" w:cs="宋体"/>
          <w:color w:val="auto"/>
          <w:sz w:val="24"/>
          <w:highlight w:val="none"/>
        </w:rPr>
        <w:t xml:space="preserve">）。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w:t>
      </w:r>
      <w:r>
        <w:rPr>
          <w:rFonts w:hint="eastAsia" w:ascii="宋体" w:hAnsi="宋体" w:eastAsia="宋体" w:cs="宋体"/>
          <w:color w:val="auto"/>
          <w:sz w:val="24"/>
          <w:highlight w:val="none"/>
        </w:rPr>
        <w:t>5</w:t>
      </w:r>
      <w:r>
        <w:rPr>
          <w:rFonts w:hint="eastAsia" w:ascii="宋体" w:hAnsi="宋体" w:eastAsia="宋体" w:cs="宋体"/>
          <w:color w:val="auto"/>
          <w:sz w:val="24"/>
          <w:highlight w:val="none"/>
        </w:rPr>
        <w:t>）和中小企业声明函（附件</w:t>
      </w:r>
      <w:r>
        <w:rPr>
          <w:rFonts w:hint="eastAsia" w:ascii="宋体" w:hAnsi="宋体" w:eastAsia="宋体" w:cs="宋体"/>
          <w:color w:val="auto"/>
          <w:sz w:val="24"/>
          <w:highlight w:val="none"/>
        </w:rPr>
        <w:t>7</w:t>
      </w:r>
      <w:r>
        <w:rPr>
          <w:rFonts w:hint="eastAsia" w:ascii="宋体" w:hAnsi="宋体" w:eastAsia="宋体" w:cs="宋体"/>
          <w:color w:val="auto"/>
          <w:sz w:val="24"/>
          <w:highlight w:val="none"/>
        </w:rPr>
        <w:t>），联合协议中中小企业合同金额应当达到招标公告载明的比例；如果供应商本身提供所有标的均由中小企业制造的，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w:t>
      </w:r>
      <w:r>
        <w:rPr>
          <w:rFonts w:hint="eastAsia" w:ascii="宋体" w:hAnsi="宋体" w:eastAsia="宋体" w:cs="宋体"/>
          <w:color w:val="auto"/>
          <w:sz w:val="24"/>
          <w:highlight w:val="none"/>
        </w:rPr>
        <w:t>7</w:t>
      </w:r>
      <w:r>
        <w:rPr>
          <w:rFonts w:hint="eastAsia" w:ascii="宋体" w:hAnsi="宋体" w:eastAsia="宋体" w:cs="宋体"/>
          <w:color w:val="auto"/>
          <w:sz w:val="24"/>
          <w:highlight w:val="none"/>
        </w:rPr>
        <w:t>），分包意向协议中中小企业合同金额应当达到招标公告载明的比例；如果供应商本身提供所有标的均由中小企业制造的，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24"/>
          <w:highlight w:val="none"/>
        </w:rPr>
      </w:pPr>
    </w:p>
    <w:p>
      <w:pPr>
        <w:widowControl/>
        <w:spacing w:line="360" w:lineRule="auto"/>
        <w:ind w:left="150"/>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sz w:val="24"/>
          <w:highlight w:val="none"/>
        </w:rPr>
      </w:pPr>
    </w:p>
    <w:p>
      <w:pPr>
        <w:widowControl/>
        <w:adjustRightInd/>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spacing w:line="360" w:lineRule="auto"/>
        <w:ind w:right="420" w:firstLine="3373" w:firstLineChars="140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目录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）投标函…………………………………………………………………（页码）</w:t>
      </w:r>
    </w:p>
    <w:p>
      <w:pPr>
        <w:keepNext w:val="0"/>
        <w:keepLines w:val="0"/>
        <w:pageBreakBefore w:val="0"/>
        <w:widowControl w:val="0"/>
        <w:numPr>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授权委托书或法定代表人（单位负责人、自然人本人）身份证明……（页码）</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分包意向协议………………………………………………………………（页码）</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符合性审查资料……………………………………………………………（页码）</w:t>
      </w:r>
    </w:p>
    <w:p>
      <w:pPr>
        <w:keepNext w:val="0"/>
        <w:keepLines w:val="0"/>
        <w:pageBreakBefore w:val="0"/>
        <w:widowControl w:val="0"/>
        <w:numPr>
          <w:ilvl w:val="0"/>
          <w:numId w:val="1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评标标准相应的商务技术资料…………………………………………（页码）</w:t>
      </w:r>
    </w:p>
    <w:p>
      <w:pPr>
        <w:keepNext w:val="0"/>
        <w:keepLines w:val="0"/>
        <w:pageBreakBefore w:val="0"/>
        <w:widowControl w:val="0"/>
        <w:numPr>
          <w:ilvl w:val="0"/>
          <w:numId w:val="1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投标标的清单………………………………………………………………（页码）</w:t>
      </w:r>
    </w:p>
    <w:p>
      <w:pPr>
        <w:keepNext w:val="0"/>
        <w:keepLines w:val="0"/>
        <w:pageBreakBefore w:val="0"/>
        <w:widowControl w:val="0"/>
        <w:numPr>
          <w:ilvl w:val="0"/>
          <w:numId w:val="1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商务技术偏离表……………………………………………………………（页码）</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sz w:val="24"/>
          <w:highlight w:val="none"/>
        </w:rPr>
        <w:t>…………………………………………（页码）</w:t>
      </w:r>
    </w:p>
    <w:p>
      <w:pPr>
        <w:snapToGrid w:val="0"/>
        <w:spacing w:line="360" w:lineRule="auto"/>
        <w:jc w:val="center"/>
        <w:rPr>
          <w:rFonts w:hint="eastAsia" w:ascii="宋体" w:hAnsi="宋体" w:eastAsia="宋体" w:cs="宋体"/>
          <w:b/>
          <w:color w:val="auto"/>
          <w:kern w:val="0"/>
          <w:sz w:val="24"/>
          <w:highlight w:val="none"/>
          <w:lang w:val="zh-CN"/>
        </w:rPr>
      </w:pPr>
    </w:p>
    <w:p>
      <w:pPr>
        <w:snapToGrid w:val="0"/>
        <w:spacing w:line="360" w:lineRule="auto"/>
        <w:jc w:val="center"/>
        <w:rPr>
          <w:rFonts w:hint="eastAsia" w:ascii="宋体" w:hAnsi="宋体" w:eastAsia="宋体" w:cs="宋体"/>
          <w:b/>
          <w:color w:val="auto"/>
          <w:kern w:val="0"/>
          <w:sz w:val="24"/>
          <w:highlight w:val="none"/>
          <w:lang w:val="zh-CN"/>
        </w:rPr>
      </w:pPr>
    </w:p>
    <w:p>
      <w:pPr>
        <w:snapToGrid w:val="0"/>
        <w:spacing w:line="360" w:lineRule="auto"/>
        <w:jc w:val="center"/>
        <w:rPr>
          <w:rFonts w:hint="eastAsia" w:ascii="宋体" w:hAnsi="宋体" w:eastAsia="宋体" w:cs="宋体"/>
          <w:b/>
          <w:color w:val="auto"/>
          <w:kern w:val="0"/>
          <w:sz w:val="24"/>
          <w:highlight w:val="none"/>
          <w:lang w:val="zh-CN"/>
        </w:rPr>
      </w:pPr>
    </w:p>
    <w:p>
      <w:pPr>
        <w:snapToGrid w:val="0"/>
        <w:spacing w:line="360" w:lineRule="auto"/>
        <w:jc w:val="center"/>
        <w:rPr>
          <w:rFonts w:hint="eastAsia" w:ascii="宋体" w:hAnsi="宋体" w:eastAsia="宋体" w:cs="宋体"/>
          <w:b/>
          <w:color w:val="auto"/>
          <w:kern w:val="0"/>
          <w:sz w:val="24"/>
          <w:highlight w:val="none"/>
          <w:lang w:val="zh-CN"/>
        </w:rPr>
      </w:pPr>
    </w:p>
    <w:p>
      <w:pPr>
        <w:snapToGrid w:val="0"/>
        <w:spacing w:line="360" w:lineRule="auto"/>
        <w:jc w:val="center"/>
        <w:rPr>
          <w:rFonts w:hint="eastAsia" w:ascii="宋体" w:hAnsi="宋体" w:eastAsia="宋体" w:cs="宋体"/>
          <w:b/>
          <w:color w:val="auto"/>
          <w:kern w:val="0"/>
          <w:sz w:val="24"/>
          <w:highlight w:val="none"/>
          <w:lang w:val="zh-CN"/>
        </w:rPr>
      </w:pPr>
    </w:p>
    <w:p>
      <w:pPr>
        <w:snapToGrid w:val="0"/>
        <w:spacing w:line="360" w:lineRule="auto"/>
        <w:jc w:val="center"/>
        <w:outlineLvl w:val="0"/>
        <w:rPr>
          <w:rFonts w:hint="eastAsia" w:ascii="宋体" w:hAnsi="宋体" w:eastAsia="宋体" w:cs="宋体"/>
          <w:b/>
          <w:color w:val="auto"/>
          <w:kern w:val="0"/>
          <w:sz w:val="24"/>
          <w:highlight w:val="none"/>
        </w:rPr>
      </w:pPr>
    </w:p>
    <w:p>
      <w:pPr>
        <w:snapToGrid w:val="0"/>
        <w:spacing w:line="360" w:lineRule="auto"/>
        <w:jc w:val="center"/>
        <w:outlineLvl w:val="0"/>
        <w:rPr>
          <w:rFonts w:hint="eastAsia" w:ascii="宋体" w:hAnsi="宋体" w:eastAsia="宋体" w:cs="宋体"/>
          <w:b/>
          <w:color w:val="auto"/>
          <w:kern w:val="0"/>
          <w:sz w:val="24"/>
          <w:highlight w:val="none"/>
        </w:rPr>
      </w:pPr>
    </w:p>
    <w:p>
      <w:pPr>
        <w:rPr>
          <w:rFonts w:hint="eastAsia" w:ascii="宋体" w:hAnsi="宋体" w:eastAsia="宋体" w:cs="宋体"/>
          <w:color w:val="auto"/>
          <w:sz w:val="24"/>
          <w:highlight w:val="none"/>
        </w:rPr>
      </w:pPr>
    </w:p>
    <w:p>
      <w:pPr>
        <w:snapToGrid w:val="0"/>
        <w:spacing w:line="360" w:lineRule="auto"/>
        <w:jc w:val="center"/>
        <w:outlineLvl w:val="0"/>
        <w:rPr>
          <w:rFonts w:hint="eastAsia" w:ascii="宋体" w:hAnsi="宋体" w:eastAsia="宋体" w:cs="宋体"/>
          <w:b/>
          <w:color w:val="auto"/>
          <w:kern w:val="0"/>
          <w:sz w:val="24"/>
          <w:highlight w:val="none"/>
        </w:rPr>
      </w:pPr>
    </w:p>
    <w:p>
      <w:pPr>
        <w:snapToGrid w:val="0"/>
        <w:spacing w:line="360" w:lineRule="auto"/>
        <w:jc w:val="center"/>
        <w:outlineLvl w:val="0"/>
        <w:rPr>
          <w:rFonts w:hint="eastAsia" w:ascii="宋体" w:hAnsi="宋体" w:eastAsia="宋体" w:cs="宋体"/>
          <w:b/>
          <w:color w:val="auto"/>
          <w:kern w:val="0"/>
          <w:sz w:val="24"/>
          <w:highlight w:val="none"/>
        </w:rPr>
      </w:pPr>
    </w:p>
    <w:p>
      <w:pPr>
        <w:pStyle w:val="2"/>
        <w:rPr>
          <w:rFonts w:hint="eastAsia" w:ascii="宋体" w:hAnsi="宋体" w:eastAsia="宋体" w:cs="宋体"/>
          <w:color w:val="auto"/>
          <w:sz w:val="24"/>
          <w:szCs w:val="24"/>
          <w:highlight w:val="none"/>
          <w:lang w:val="en-US"/>
        </w:rPr>
      </w:pPr>
    </w:p>
    <w:p>
      <w:pPr>
        <w:rPr>
          <w:rFonts w:hint="eastAsia" w:ascii="宋体" w:hAnsi="宋体" w:eastAsia="宋体" w:cs="宋体"/>
          <w:color w:val="auto"/>
          <w:sz w:val="24"/>
          <w:highlight w:val="none"/>
        </w:rPr>
      </w:pPr>
    </w:p>
    <w:p>
      <w:pPr>
        <w:snapToGrid w:val="0"/>
        <w:spacing w:line="360" w:lineRule="auto"/>
        <w:ind w:firstLine="2891" w:firstLineChars="1200"/>
        <w:outlineLvl w:val="0"/>
        <w:rPr>
          <w:rFonts w:hint="eastAsia" w:ascii="宋体" w:hAnsi="宋体" w:eastAsia="宋体" w:cs="宋体"/>
          <w:b/>
          <w:color w:val="auto"/>
          <w:kern w:val="0"/>
          <w:sz w:val="24"/>
          <w:highlight w:val="none"/>
        </w:rPr>
      </w:pPr>
    </w:p>
    <w:p>
      <w:pPr>
        <w:snapToGrid w:val="0"/>
        <w:spacing w:line="360" w:lineRule="auto"/>
        <w:ind w:firstLine="2891" w:firstLineChars="1200"/>
        <w:outlineLvl w:val="0"/>
        <w:rPr>
          <w:rFonts w:hint="eastAsia" w:ascii="宋体" w:hAnsi="宋体" w:eastAsia="宋体" w:cs="宋体"/>
          <w:b/>
          <w:color w:val="auto"/>
          <w:kern w:val="0"/>
          <w:sz w:val="24"/>
          <w:highlight w:val="none"/>
        </w:rPr>
      </w:pPr>
    </w:p>
    <w:p>
      <w:pPr>
        <w:snapToGrid w:val="0"/>
        <w:spacing w:line="360" w:lineRule="auto"/>
        <w:ind w:firstLine="2891" w:firstLineChars="1200"/>
        <w:outlineLvl w:val="0"/>
        <w:rPr>
          <w:rFonts w:hint="eastAsia" w:ascii="宋体" w:hAnsi="宋体" w:eastAsia="宋体" w:cs="宋体"/>
          <w:b/>
          <w:color w:val="auto"/>
          <w:kern w:val="0"/>
          <w:sz w:val="24"/>
          <w:highlight w:val="none"/>
        </w:rPr>
      </w:pPr>
    </w:p>
    <w:p>
      <w:pPr>
        <w:widowControl/>
        <w:adjustRightInd/>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snapToGrid w:val="0"/>
        <w:spacing w:line="360" w:lineRule="auto"/>
        <w:ind w:firstLine="2891" w:firstLineChars="1200"/>
        <w:outlineLvl w:val="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一、投标</w:t>
      </w:r>
      <w:r>
        <w:rPr>
          <w:rFonts w:hint="eastAsia" w:ascii="宋体" w:hAnsi="宋体" w:eastAsia="宋体" w:cs="宋体"/>
          <w:b/>
          <w:color w:val="auto"/>
          <w:sz w:val="24"/>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r>
        <w:rPr>
          <w:rFonts w:hint="eastAsia" w:ascii="宋体" w:hAnsi="宋体" w:eastAsia="宋体" w:cs="宋体"/>
          <w:snapToGrid w:val="0"/>
          <w:color w:val="auto"/>
          <w:kern w:val="28"/>
          <w:sz w:val="24"/>
          <w:highlight w:val="none"/>
        </w:rPr>
        <w:t>联合协议（如果有)；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rPr>
        <w:t>.1.3</w:t>
      </w:r>
      <w:r>
        <w:rPr>
          <w:rFonts w:hint="eastAsia" w:ascii="宋体" w:hAnsi="宋体" w:eastAsia="宋体" w:cs="宋体"/>
          <w:color w:val="auto"/>
          <w:sz w:val="24"/>
          <w:highlight w:val="none"/>
        </w:rPr>
        <w:t>落实政府采购政策需满足的资格要求</w:t>
      </w:r>
      <w:r>
        <w:rPr>
          <w:rFonts w:hint="eastAsia" w:ascii="宋体" w:hAnsi="宋体" w:eastAsia="宋体" w:cs="宋体"/>
          <w:snapToGrid w:val="0"/>
          <w:color w:val="auto"/>
          <w:kern w:val="28"/>
          <w:sz w:val="24"/>
          <w:highlight w:val="none"/>
        </w:rPr>
        <w:t>（如果有）</w:t>
      </w:r>
      <w:r>
        <w:rPr>
          <w:rFonts w:hint="eastAsia" w:ascii="宋体" w:hAnsi="宋体" w:eastAsia="宋体" w:cs="宋体"/>
          <w:color w:val="auto"/>
          <w:sz w:val="24"/>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r>
        <w:rPr>
          <w:rFonts w:hint="eastAsia" w:ascii="宋体" w:hAnsi="宋体" w:eastAsia="宋体" w:cs="宋体"/>
          <w:color w:val="auto"/>
          <w:sz w:val="24"/>
          <w:highlight w:val="none"/>
        </w:rPr>
        <w:t>4</w:t>
      </w:r>
      <w:r>
        <w:rPr>
          <w:rFonts w:hint="eastAsia" w:ascii="宋体" w:hAnsi="宋体" w:eastAsia="宋体" w:cs="宋体"/>
          <w:color w:val="auto"/>
          <w:sz w:val="24"/>
          <w:highlight w:val="none"/>
        </w:rPr>
        <w:t>本项目的特定资格要求</w:t>
      </w:r>
      <w:r>
        <w:rPr>
          <w:rFonts w:hint="eastAsia" w:ascii="宋体" w:hAnsi="宋体" w:eastAsia="宋体" w:cs="宋体"/>
          <w:snapToGrid w:val="0"/>
          <w:color w:val="auto"/>
          <w:kern w:val="28"/>
          <w:sz w:val="24"/>
          <w:highlight w:val="none"/>
        </w:rPr>
        <w:t>（如果有）</w:t>
      </w:r>
      <w:r>
        <w:rPr>
          <w:rFonts w:hint="eastAsia" w:ascii="宋体" w:hAnsi="宋体" w:eastAsia="宋体" w:cs="宋体"/>
          <w:color w:val="auto"/>
          <w:sz w:val="24"/>
          <w:highlight w:val="none"/>
        </w:rPr>
        <w:t>。</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eastAsia="宋体" w:cs="宋体"/>
          <w:color w:val="auto"/>
          <w:sz w:val="24"/>
          <w:highlight w:val="none"/>
        </w:rPr>
        <w:t>3</w:t>
      </w:r>
      <w:r>
        <w:rPr>
          <w:rFonts w:hint="eastAsia" w:ascii="宋体" w:hAnsi="宋体" w:eastAsia="宋体" w:cs="宋体"/>
          <w:color w:val="auto"/>
          <w:sz w:val="24"/>
          <w:highlight w:val="none"/>
        </w:rPr>
        <w:t>分包意向协议</w:t>
      </w:r>
      <w:r>
        <w:rPr>
          <w:rFonts w:hint="eastAsia" w:ascii="宋体" w:hAnsi="宋体" w:eastAsia="宋体" w:cs="宋体"/>
          <w:snapToGrid w:val="0"/>
          <w:color w:val="auto"/>
          <w:kern w:val="28"/>
          <w:sz w:val="24"/>
          <w:highlight w:val="none"/>
        </w:rPr>
        <w:t>（如果有）</w:t>
      </w:r>
      <w:r>
        <w:rPr>
          <w:rFonts w:hint="eastAsia" w:ascii="宋体" w:hAnsi="宋体" w:eastAsia="宋体" w:cs="宋体"/>
          <w:color w:val="auto"/>
          <w:sz w:val="24"/>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eastAsia="宋体" w:cs="宋体"/>
          <w:color w:val="auto"/>
          <w:sz w:val="24"/>
          <w:highlight w:val="none"/>
        </w:rPr>
        <w:t>4</w:t>
      </w:r>
      <w:r>
        <w:rPr>
          <w:rFonts w:hint="eastAsia" w:ascii="宋体" w:hAnsi="宋体" w:eastAsia="宋体" w:cs="宋体"/>
          <w:color w:val="auto"/>
          <w:sz w:val="24"/>
          <w:highlight w:val="none"/>
        </w:rPr>
        <w:t>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eastAsia="宋体" w:cs="宋体"/>
          <w:color w:val="auto"/>
          <w:sz w:val="24"/>
          <w:highlight w:val="none"/>
        </w:rPr>
        <w:t>5</w:t>
      </w:r>
      <w:r>
        <w:rPr>
          <w:rFonts w:hint="eastAsia" w:ascii="宋体" w:hAnsi="宋体" w:eastAsia="宋体" w:cs="宋体"/>
          <w:color w:val="auto"/>
          <w:sz w:val="24"/>
          <w:highlight w:val="none"/>
        </w:rPr>
        <w:t>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eastAsia="宋体" w:cs="宋体"/>
          <w:color w:val="auto"/>
          <w:sz w:val="24"/>
          <w:highlight w:val="none"/>
        </w:rPr>
        <w:t>6</w:t>
      </w:r>
      <w:r>
        <w:rPr>
          <w:rFonts w:hint="eastAsia" w:ascii="宋体" w:hAnsi="宋体" w:eastAsia="宋体" w:cs="宋体"/>
          <w:color w:val="auto"/>
          <w:sz w:val="24"/>
          <w:highlight w:val="none"/>
        </w:rPr>
        <w:t>投标标的清单；</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eastAsia="宋体" w:cs="宋体"/>
          <w:color w:val="auto"/>
          <w:sz w:val="24"/>
          <w:highlight w:val="none"/>
        </w:rPr>
        <w:t>7</w:t>
      </w:r>
      <w:r>
        <w:rPr>
          <w:rFonts w:hint="eastAsia" w:ascii="宋体" w:hAnsi="宋体" w:eastAsia="宋体" w:cs="宋体"/>
          <w:color w:val="auto"/>
          <w:sz w:val="24"/>
          <w:highlight w:val="none"/>
        </w:rPr>
        <w:t>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24"/>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widowControl/>
        <w:adjustRightInd/>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ind w:firstLine="2154" w:firstLineChars="894"/>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lang w:val="zh-CN"/>
        </w:rPr>
        <w:t>授权委托书（适用于非联合体投标）</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 xml:space="preserve">                                                 签发日期：  年  月   日</w:t>
      </w:r>
    </w:p>
    <w:p>
      <w:pPr>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 xml:space="preserve">      </w:t>
      </w:r>
    </w:p>
    <w:p>
      <w:pPr>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24"/>
          <w:highlight w:val="none"/>
        </w:rPr>
      </w:pPr>
    </w:p>
    <w:p>
      <w:pPr>
        <w:rPr>
          <w:rFonts w:hint="eastAsia" w:ascii="宋体" w:hAnsi="宋体" w:eastAsia="宋体" w:cs="宋体"/>
          <w:color w:val="auto"/>
          <w:sz w:val="24"/>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24"/>
          <w:highlight w:val="none"/>
          <w:lang w:val="zh-CN"/>
        </w:rPr>
      </w:pPr>
    </w:p>
    <w:p>
      <w:pPr>
        <w:autoSpaceDE w:val="0"/>
        <w:autoSpaceDN w:val="0"/>
        <w:spacing w:line="360" w:lineRule="auto"/>
        <w:jc w:val="center"/>
        <w:rPr>
          <w:rFonts w:hint="eastAsia" w:ascii="宋体" w:hAnsi="宋体" w:eastAsia="宋体" w:cs="宋体"/>
          <w:b/>
          <w:color w:val="auto"/>
          <w:kern w:val="0"/>
          <w:sz w:val="24"/>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val="zh-CN"/>
        </w:rPr>
        <w:t>法定代表人、单位负责人或自然人本人</w:t>
      </w:r>
      <w:r>
        <w:rPr>
          <w:rFonts w:hint="eastAsia" w:ascii="宋体" w:hAnsi="宋体" w:eastAsia="宋体" w:cs="宋体"/>
          <w:b/>
          <w:color w:val="auto"/>
          <w:sz w:val="24"/>
          <w:highlight w:val="none"/>
        </w:rPr>
        <w:t>的身份证明（适用于法定代表人、单位负责人或者自然人本人代表投标人参加投标）</w:t>
      </w:r>
    </w:p>
    <w:p>
      <w:pPr>
        <w:pStyle w:val="147"/>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7"/>
              <w:adjustRightIn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正面：                                 反面：</w:t>
            </w:r>
          </w:p>
          <w:p>
            <w:pPr>
              <w:pStyle w:val="147"/>
              <w:adjustRightInd w:val="0"/>
              <w:spacing w:line="360" w:lineRule="auto"/>
              <w:rPr>
                <w:rFonts w:hint="eastAsia" w:ascii="宋体" w:hAnsi="宋体" w:eastAsia="宋体" w:cs="宋体"/>
                <w:bCs/>
                <w:color w:val="auto"/>
                <w:sz w:val="24"/>
                <w:szCs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snapToGrid w:val="0"/>
        <w:spacing w:line="360" w:lineRule="auto"/>
        <w:ind w:right="480"/>
        <w:rPr>
          <w:rFonts w:hint="eastAsia" w:ascii="宋体" w:hAnsi="宋体" w:eastAsia="宋体" w:cs="宋体"/>
          <w:b/>
          <w:color w:val="auto"/>
          <w:kern w:val="0"/>
          <w:sz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三、分包意向协议（如果有）</w:t>
      </w:r>
    </w:p>
    <w:p>
      <w:pPr>
        <w:widowControl/>
        <w:spacing w:line="360" w:lineRule="auto"/>
        <w:ind w:firstLine="120" w:firstLineChars="50"/>
        <w:jc w:val="left"/>
        <w:rPr>
          <w:rFonts w:hint="eastAsia" w:ascii="宋体" w:hAnsi="宋体" w:eastAsia="宋体" w:cs="宋体"/>
          <w:color w:val="auto"/>
          <w:sz w:val="24"/>
          <w:highlight w:val="none"/>
        </w:rPr>
      </w:pPr>
      <w:bookmarkStart w:id="412" w:name="_Hlk101169080"/>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rPr>
        <w:t>；采购人不同意分包或者投标人中标后不以分包方式履行合同的，则不需要提供。</w:t>
      </w:r>
      <w:r>
        <w:rPr>
          <w:rFonts w:hint="eastAsia" w:ascii="宋体" w:hAnsi="宋体" w:eastAsia="宋体" w:cs="宋体"/>
          <w:color w:val="auto"/>
          <w:sz w:val="24"/>
          <w:highlight w:val="none"/>
        </w:rPr>
        <w:t>]</w:t>
      </w:r>
    </w:p>
    <w:bookmarkEnd w:id="412"/>
    <w:p>
      <w:pPr>
        <w:snapToGrid w:val="0"/>
        <w:spacing w:line="360" w:lineRule="auto"/>
        <w:rPr>
          <w:rFonts w:hint="eastAsia" w:ascii="宋体" w:hAnsi="宋体" w:eastAsia="宋体" w:cs="宋体"/>
          <w:color w:val="auto"/>
          <w:kern w:val="0"/>
          <w:sz w:val="24"/>
          <w:highlight w:val="none"/>
        </w:rPr>
      </w:pPr>
    </w:p>
    <w:p>
      <w:pPr>
        <w:jc w:val="center"/>
        <w:rPr>
          <w:rFonts w:hint="eastAsia" w:ascii="宋体" w:hAnsi="宋体" w:eastAsia="宋体" w:cs="宋体"/>
          <w:b/>
          <w:color w:val="auto"/>
          <w:kern w:val="0"/>
          <w:sz w:val="24"/>
          <w:highlight w:val="none"/>
        </w:rPr>
      </w:pPr>
    </w:p>
    <w:p>
      <w:pPr>
        <w:pStyle w:val="2"/>
        <w:rPr>
          <w:rFonts w:hint="eastAsia" w:ascii="宋体" w:hAnsi="宋体" w:eastAsia="宋体" w:cs="宋体"/>
          <w:color w:val="auto"/>
          <w:sz w:val="24"/>
          <w:szCs w:val="24"/>
          <w:highlight w:val="none"/>
          <w:lang w:val="en-US"/>
        </w:rPr>
      </w:pPr>
    </w:p>
    <w:p>
      <w:pPr>
        <w:rPr>
          <w:rFonts w:hint="eastAsia" w:ascii="宋体" w:hAnsi="宋体" w:eastAsia="宋体" w:cs="宋体"/>
          <w:color w:val="auto"/>
          <w:sz w:val="24"/>
          <w:highlight w:val="none"/>
        </w:rPr>
      </w:pPr>
    </w:p>
    <w:p>
      <w:pPr>
        <w:pStyle w:val="2"/>
        <w:rPr>
          <w:rFonts w:hint="eastAsia" w:ascii="宋体" w:hAnsi="宋体" w:eastAsia="宋体" w:cs="宋体"/>
          <w:color w:val="auto"/>
          <w:sz w:val="24"/>
          <w:szCs w:val="24"/>
          <w:highlight w:val="none"/>
          <w:lang w:val="en-US"/>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四、符合性审查资料</w:t>
      </w:r>
    </w:p>
    <w:p>
      <w:pPr>
        <w:jc w:val="center"/>
        <w:rPr>
          <w:rFonts w:hint="eastAsia" w:ascii="宋体" w:hAnsi="宋体" w:eastAsia="宋体" w:cs="宋体"/>
          <w:b/>
          <w:color w:val="auto"/>
          <w:kern w:val="0"/>
          <w:sz w:val="24"/>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 xml:space="preserve">            </w:t>
      </w: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widowControl/>
        <w:adjustRightInd/>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jc w:val="center"/>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五、评标标准相应的商务技术资料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ind w:firstLine="2168" w:firstLineChars="90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p>
    <w:p>
      <w:pPr>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24"/>
                <w:highlight w:val="none"/>
              </w:rPr>
            </w:pPr>
          </w:p>
        </w:tc>
        <w:tc>
          <w:tcPr>
            <w:tcW w:w="3546" w:type="dxa"/>
          </w:tcPr>
          <w:p>
            <w:pPr>
              <w:jc w:val="center"/>
              <w:rPr>
                <w:rFonts w:hint="eastAsia" w:ascii="宋体" w:hAnsi="宋体" w:eastAsia="宋体" w:cs="宋体"/>
                <w:b/>
                <w:color w:val="auto"/>
                <w:kern w:val="0"/>
                <w:sz w:val="24"/>
                <w:highlight w:val="none"/>
              </w:rPr>
            </w:pPr>
          </w:p>
        </w:tc>
        <w:tc>
          <w:tcPr>
            <w:tcW w:w="1276" w:type="dxa"/>
          </w:tcPr>
          <w:p>
            <w:pPr>
              <w:jc w:val="center"/>
              <w:rPr>
                <w:rFonts w:hint="eastAsia" w:ascii="宋体" w:hAnsi="宋体" w:eastAsia="宋体" w:cs="宋体"/>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24"/>
                <w:highlight w:val="none"/>
              </w:rPr>
            </w:pPr>
          </w:p>
        </w:tc>
        <w:tc>
          <w:tcPr>
            <w:tcW w:w="3546" w:type="dxa"/>
          </w:tcPr>
          <w:p>
            <w:pPr>
              <w:jc w:val="center"/>
              <w:rPr>
                <w:rFonts w:hint="eastAsia" w:ascii="宋体" w:hAnsi="宋体" w:eastAsia="宋体" w:cs="宋体"/>
                <w:b/>
                <w:color w:val="auto"/>
                <w:kern w:val="0"/>
                <w:sz w:val="24"/>
                <w:highlight w:val="none"/>
              </w:rPr>
            </w:pPr>
          </w:p>
        </w:tc>
        <w:tc>
          <w:tcPr>
            <w:tcW w:w="1276" w:type="dxa"/>
          </w:tcPr>
          <w:p>
            <w:pPr>
              <w:jc w:val="center"/>
              <w:rPr>
                <w:rFonts w:hint="eastAsia" w:ascii="宋体" w:hAnsi="宋体" w:eastAsia="宋体" w:cs="宋体"/>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24"/>
                <w:highlight w:val="none"/>
              </w:rPr>
            </w:pPr>
          </w:p>
        </w:tc>
        <w:tc>
          <w:tcPr>
            <w:tcW w:w="3546" w:type="dxa"/>
          </w:tcPr>
          <w:p>
            <w:pPr>
              <w:jc w:val="center"/>
              <w:rPr>
                <w:rFonts w:hint="eastAsia" w:ascii="宋体" w:hAnsi="宋体" w:eastAsia="宋体" w:cs="宋体"/>
                <w:b/>
                <w:color w:val="auto"/>
                <w:kern w:val="0"/>
                <w:sz w:val="24"/>
                <w:highlight w:val="none"/>
              </w:rPr>
            </w:pPr>
          </w:p>
        </w:tc>
        <w:tc>
          <w:tcPr>
            <w:tcW w:w="1276" w:type="dxa"/>
          </w:tcPr>
          <w:p>
            <w:pPr>
              <w:jc w:val="center"/>
              <w:rPr>
                <w:rFonts w:hint="eastAsia" w:ascii="宋体" w:hAnsi="宋体" w:eastAsia="宋体" w:cs="宋体"/>
                <w:b/>
                <w:color w:val="auto"/>
                <w:kern w:val="0"/>
                <w:sz w:val="24"/>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434" w:firstLineChars="595"/>
        <w:rPr>
          <w:rFonts w:hint="eastAsia" w:ascii="宋体" w:hAnsi="宋体" w:eastAsia="宋体" w:cs="宋体"/>
          <w:b/>
          <w:bCs/>
          <w:color w:val="auto"/>
          <w:sz w:val="24"/>
          <w:highlight w:val="none"/>
        </w:rPr>
      </w:pPr>
    </w:p>
    <w:p>
      <w:pPr>
        <w:ind w:firstLine="1434" w:firstLineChars="595"/>
        <w:rPr>
          <w:rFonts w:hint="eastAsia" w:ascii="宋体" w:hAnsi="宋体" w:eastAsia="宋体" w:cs="宋体"/>
          <w:b/>
          <w:bCs/>
          <w:color w:val="auto"/>
          <w:sz w:val="24"/>
          <w:highlight w:val="none"/>
        </w:rPr>
      </w:pPr>
    </w:p>
    <w:p>
      <w:pPr>
        <w:ind w:firstLine="1434" w:firstLineChars="595"/>
        <w:rPr>
          <w:rFonts w:hint="eastAsia" w:ascii="宋体" w:hAnsi="宋体" w:eastAsia="宋体" w:cs="宋体"/>
          <w:b/>
          <w:bCs/>
          <w:color w:val="auto"/>
          <w:sz w:val="24"/>
          <w:highlight w:val="none"/>
        </w:rPr>
      </w:pPr>
    </w:p>
    <w:p>
      <w:pPr>
        <w:ind w:firstLine="1434" w:firstLineChars="595"/>
        <w:rPr>
          <w:rFonts w:hint="eastAsia" w:ascii="宋体" w:hAnsi="宋体" w:eastAsia="宋体" w:cs="宋体"/>
          <w:b/>
          <w:bCs/>
          <w:color w:val="auto"/>
          <w:sz w:val="24"/>
          <w:highlight w:val="none"/>
        </w:rPr>
      </w:pPr>
    </w:p>
    <w:p>
      <w:pPr>
        <w:ind w:firstLine="1434" w:firstLineChars="595"/>
        <w:rPr>
          <w:rFonts w:hint="eastAsia" w:ascii="宋体" w:hAnsi="宋体" w:eastAsia="宋体" w:cs="宋体"/>
          <w:b/>
          <w:bCs/>
          <w:color w:val="auto"/>
          <w:sz w:val="24"/>
          <w:highlight w:val="none"/>
        </w:rPr>
      </w:pPr>
    </w:p>
    <w:p>
      <w:pPr>
        <w:widowControl/>
        <w:adjustRightInd/>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ind w:firstLine="1434" w:firstLineChars="595"/>
        <w:rPr>
          <w:rFonts w:hint="eastAsia" w:ascii="宋体" w:hAnsi="宋体" w:eastAsia="宋体" w:cs="宋体"/>
          <w:b/>
          <w:color w:val="auto"/>
          <w:kern w:val="0"/>
          <w:sz w:val="24"/>
          <w:highlight w:val="none"/>
        </w:rPr>
      </w:pPr>
      <w:r>
        <w:rPr>
          <w:rFonts w:hint="eastAsia" w:ascii="宋体" w:hAnsi="宋体" w:eastAsia="宋体" w:cs="宋体"/>
          <w:b/>
          <w:bCs/>
          <w:color w:val="auto"/>
          <w:sz w:val="24"/>
          <w:highlight w:val="none"/>
        </w:rPr>
        <w:t>八</w:t>
      </w:r>
      <w:r>
        <w:rPr>
          <w:rFonts w:hint="eastAsia" w:ascii="宋体" w:hAnsi="宋体" w:eastAsia="宋体" w:cs="宋体"/>
          <w:b/>
          <w:color w:val="auto"/>
          <w:kern w:val="0"/>
          <w:sz w:val="24"/>
          <w:highlight w:val="none"/>
        </w:rPr>
        <w:t>、</w:t>
      </w:r>
      <w:r>
        <w:rPr>
          <w:rFonts w:hint="eastAsia" w:ascii="宋体" w:hAnsi="宋体" w:eastAsia="宋体" w:cs="宋体"/>
          <w:b/>
          <w:color w:val="auto"/>
          <w:kern w:val="0"/>
          <w:sz w:val="24"/>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报价文件部分</w:t>
      </w:r>
    </w:p>
    <w:p>
      <w:pPr>
        <w:spacing w:line="360" w:lineRule="auto"/>
        <w:jc w:val="center"/>
        <w:outlineLvl w:val="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目录</w:t>
      </w:r>
    </w:p>
    <w:p>
      <w:pPr>
        <w:spacing w:line="360" w:lineRule="auto"/>
        <w:jc w:val="center"/>
        <w:outlineLvl w:val="0"/>
        <w:rPr>
          <w:rFonts w:hint="eastAsia" w:ascii="宋体" w:hAnsi="宋体" w:eastAsia="宋体" w:cs="宋体"/>
          <w:b/>
          <w:color w:val="auto"/>
          <w:kern w:val="0"/>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snapToGrid w:val="0"/>
        <w:spacing w:line="360" w:lineRule="auto"/>
        <w:ind w:right="480"/>
        <w:jc w:val="center"/>
        <w:rPr>
          <w:rFonts w:hint="eastAsia" w:ascii="宋体" w:hAnsi="宋体" w:eastAsia="宋体" w:cs="宋体"/>
          <w:b/>
          <w:color w:val="auto"/>
          <w:kern w:val="0"/>
          <w:sz w:val="24"/>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24"/>
          <w:szCs w:val="24"/>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41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843"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品牌（如果有）</w:t>
            </w:r>
          </w:p>
        </w:tc>
        <w:tc>
          <w:tcPr>
            <w:tcW w:w="3118"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规格型号</w:t>
            </w:r>
          </w:p>
        </w:tc>
        <w:tc>
          <w:tcPr>
            <w:tcW w:w="993"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559"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单价</w:t>
            </w:r>
          </w:p>
        </w:tc>
        <w:tc>
          <w:tcPr>
            <w:tcW w:w="1984"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合计</w:t>
            </w:r>
          </w:p>
        </w:tc>
        <w:tc>
          <w:tcPr>
            <w:tcW w:w="3119" w:type="dxa"/>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41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w:t>
            </w:r>
            <w:r>
              <w:rPr>
                <w:rFonts w:hint="eastAsia" w:ascii="宋体" w:hAnsi="宋体" w:eastAsia="宋体" w:cs="宋体"/>
                <w:color w:val="auto"/>
                <w:sz w:val="24"/>
                <w:highlight w:val="none"/>
              </w:rPr>
              <w:t>X</w:t>
            </w:r>
          </w:p>
        </w:tc>
        <w:tc>
          <w:tcPr>
            <w:tcW w:w="1843" w:type="dxa"/>
            <w:vAlign w:val="center"/>
          </w:tcPr>
          <w:p>
            <w:pPr>
              <w:snapToGrid w:val="0"/>
              <w:spacing w:line="360" w:lineRule="auto"/>
              <w:jc w:val="center"/>
              <w:rPr>
                <w:rFonts w:hint="eastAsia" w:ascii="宋体" w:hAnsi="宋体" w:eastAsia="宋体" w:cs="宋体"/>
                <w:color w:val="auto"/>
                <w:sz w:val="24"/>
                <w:highlight w:val="none"/>
              </w:rPr>
            </w:pPr>
          </w:p>
        </w:tc>
        <w:tc>
          <w:tcPr>
            <w:tcW w:w="3118" w:type="dxa"/>
            <w:vAlign w:val="center"/>
          </w:tcPr>
          <w:p>
            <w:pPr>
              <w:snapToGrid w:val="0"/>
              <w:spacing w:line="360" w:lineRule="auto"/>
              <w:jc w:val="center"/>
              <w:rPr>
                <w:rFonts w:hint="eastAsia" w:ascii="宋体" w:hAnsi="宋体" w:eastAsia="宋体" w:cs="宋体"/>
                <w:color w:val="auto"/>
                <w:sz w:val="24"/>
                <w:highlight w:val="none"/>
              </w:rPr>
            </w:pPr>
          </w:p>
        </w:tc>
        <w:tc>
          <w:tcPr>
            <w:tcW w:w="993" w:type="dxa"/>
            <w:vAlign w:val="center"/>
          </w:tcPr>
          <w:p>
            <w:pPr>
              <w:snapToGrid w:val="0"/>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984" w:type="dxa"/>
            <w:vAlign w:val="center"/>
          </w:tcPr>
          <w:p>
            <w:pPr>
              <w:spacing w:line="360" w:lineRule="auto"/>
              <w:jc w:val="center"/>
              <w:rPr>
                <w:rFonts w:hint="eastAsia" w:ascii="宋体" w:hAnsi="宋体" w:eastAsia="宋体" w:cs="宋体"/>
                <w:color w:val="auto"/>
                <w:sz w:val="24"/>
                <w:highlight w:val="none"/>
              </w:rPr>
            </w:pPr>
          </w:p>
        </w:tc>
        <w:tc>
          <w:tcPr>
            <w:tcW w:w="311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41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w:t>
            </w:r>
            <w:r>
              <w:rPr>
                <w:rFonts w:hint="eastAsia" w:ascii="宋体" w:hAnsi="宋体" w:eastAsia="宋体" w:cs="宋体"/>
                <w:color w:val="auto"/>
                <w:sz w:val="24"/>
                <w:highlight w:val="none"/>
              </w:rPr>
              <w:t>X</w:t>
            </w:r>
          </w:p>
        </w:tc>
        <w:tc>
          <w:tcPr>
            <w:tcW w:w="1843" w:type="dxa"/>
            <w:vAlign w:val="center"/>
          </w:tcPr>
          <w:p>
            <w:pPr>
              <w:snapToGrid w:val="0"/>
              <w:spacing w:line="360" w:lineRule="auto"/>
              <w:jc w:val="center"/>
              <w:rPr>
                <w:rFonts w:hint="eastAsia" w:ascii="宋体" w:hAnsi="宋体" w:eastAsia="宋体" w:cs="宋体"/>
                <w:color w:val="auto"/>
                <w:sz w:val="24"/>
                <w:highlight w:val="none"/>
              </w:rPr>
            </w:pPr>
          </w:p>
        </w:tc>
        <w:tc>
          <w:tcPr>
            <w:tcW w:w="3118" w:type="dxa"/>
            <w:vAlign w:val="center"/>
          </w:tcPr>
          <w:p>
            <w:pPr>
              <w:snapToGrid w:val="0"/>
              <w:spacing w:line="360" w:lineRule="auto"/>
              <w:jc w:val="center"/>
              <w:rPr>
                <w:rFonts w:hint="eastAsia" w:ascii="宋体" w:hAnsi="宋体" w:eastAsia="宋体" w:cs="宋体"/>
                <w:color w:val="auto"/>
                <w:sz w:val="24"/>
                <w:highlight w:val="none"/>
              </w:rPr>
            </w:pPr>
          </w:p>
        </w:tc>
        <w:tc>
          <w:tcPr>
            <w:tcW w:w="993" w:type="dxa"/>
            <w:vAlign w:val="center"/>
          </w:tcPr>
          <w:p>
            <w:pPr>
              <w:snapToGrid w:val="0"/>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984" w:type="dxa"/>
            <w:vAlign w:val="center"/>
          </w:tcPr>
          <w:p>
            <w:pPr>
              <w:spacing w:line="360" w:lineRule="auto"/>
              <w:jc w:val="center"/>
              <w:rPr>
                <w:rFonts w:hint="eastAsia" w:ascii="宋体" w:hAnsi="宋体" w:eastAsia="宋体" w:cs="宋体"/>
                <w:color w:val="auto"/>
                <w:sz w:val="24"/>
                <w:highlight w:val="none"/>
              </w:rPr>
            </w:pPr>
          </w:p>
        </w:tc>
        <w:tc>
          <w:tcPr>
            <w:tcW w:w="311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417" w:type="dxa"/>
            <w:vAlign w:val="center"/>
          </w:tcPr>
          <w:p>
            <w:pPr>
              <w:snapToGrid w:val="0"/>
              <w:spacing w:line="360" w:lineRule="auto"/>
              <w:jc w:val="center"/>
              <w:rPr>
                <w:rFonts w:hint="eastAsia" w:ascii="宋体" w:hAnsi="宋体" w:eastAsia="宋体" w:cs="宋体"/>
                <w:color w:val="auto"/>
                <w:sz w:val="24"/>
                <w:highlight w:val="none"/>
              </w:rPr>
            </w:pPr>
          </w:p>
        </w:tc>
        <w:tc>
          <w:tcPr>
            <w:tcW w:w="1843" w:type="dxa"/>
            <w:vAlign w:val="center"/>
          </w:tcPr>
          <w:p>
            <w:pPr>
              <w:snapToGrid w:val="0"/>
              <w:spacing w:line="360" w:lineRule="auto"/>
              <w:jc w:val="center"/>
              <w:rPr>
                <w:rFonts w:hint="eastAsia" w:ascii="宋体" w:hAnsi="宋体" w:eastAsia="宋体" w:cs="宋体"/>
                <w:color w:val="auto"/>
                <w:sz w:val="24"/>
                <w:highlight w:val="none"/>
              </w:rPr>
            </w:pPr>
          </w:p>
        </w:tc>
        <w:tc>
          <w:tcPr>
            <w:tcW w:w="3118" w:type="dxa"/>
            <w:vAlign w:val="center"/>
          </w:tcPr>
          <w:p>
            <w:pPr>
              <w:snapToGrid w:val="0"/>
              <w:spacing w:line="360" w:lineRule="auto"/>
              <w:jc w:val="center"/>
              <w:rPr>
                <w:rFonts w:hint="eastAsia" w:ascii="宋体" w:hAnsi="宋体" w:eastAsia="宋体" w:cs="宋体"/>
                <w:color w:val="auto"/>
                <w:sz w:val="24"/>
                <w:highlight w:val="none"/>
              </w:rPr>
            </w:pPr>
          </w:p>
        </w:tc>
        <w:tc>
          <w:tcPr>
            <w:tcW w:w="993" w:type="dxa"/>
            <w:vAlign w:val="center"/>
          </w:tcPr>
          <w:p>
            <w:pPr>
              <w:snapToGrid w:val="0"/>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984" w:type="dxa"/>
            <w:vAlign w:val="center"/>
          </w:tcPr>
          <w:p>
            <w:pPr>
              <w:spacing w:line="360" w:lineRule="auto"/>
              <w:jc w:val="center"/>
              <w:rPr>
                <w:rFonts w:hint="eastAsia" w:ascii="宋体" w:hAnsi="宋体" w:eastAsia="宋体" w:cs="宋体"/>
                <w:color w:val="auto"/>
                <w:sz w:val="24"/>
                <w:highlight w:val="none"/>
              </w:rPr>
            </w:pPr>
          </w:p>
        </w:tc>
        <w:tc>
          <w:tcPr>
            <w:tcW w:w="311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auto"/>
                <w:sz w:val="24"/>
                <w:highlight w:val="none"/>
              </w:rPr>
            </w:pPr>
          </w:p>
        </w:tc>
        <w:tc>
          <w:tcPr>
            <w:tcW w:w="1417" w:type="dxa"/>
            <w:vAlign w:val="center"/>
          </w:tcPr>
          <w:p>
            <w:pPr>
              <w:snapToGrid w:val="0"/>
              <w:spacing w:line="360" w:lineRule="auto"/>
              <w:jc w:val="center"/>
              <w:rPr>
                <w:rFonts w:hint="eastAsia" w:ascii="宋体" w:hAnsi="宋体" w:eastAsia="宋体" w:cs="宋体"/>
                <w:color w:val="auto"/>
                <w:sz w:val="24"/>
                <w:highlight w:val="none"/>
              </w:rPr>
            </w:pPr>
          </w:p>
        </w:tc>
        <w:tc>
          <w:tcPr>
            <w:tcW w:w="1843" w:type="dxa"/>
            <w:vAlign w:val="center"/>
          </w:tcPr>
          <w:p>
            <w:pPr>
              <w:snapToGrid w:val="0"/>
              <w:spacing w:line="360" w:lineRule="auto"/>
              <w:jc w:val="center"/>
              <w:rPr>
                <w:rFonts w:hint="eastAsia" w:ascii="宋体" w:hAnsi="宋体" w:eastAsia="宋体" w:cs="宋体"/>
                <w:color w:val="auto"/>
                <w:sz w:val="24"/>
                <w:highlight w:val="none"/>
              </w:rPr>
            </w:pPr>
          </w:p>
        </w:tc>
        <w:tc>
          <w:tcPr>
            <w:tcW w:w="3118" w:type="dxa"/>
            <w:vAlign w:val="center"/>
          </w:tcPr>
          <w:p>
            <w:pPr>
              <w:snapToGrid w:val="0"/>
              <w:spacing w:line="360" w:lineRule="auto"/>
              <w:jc w:val="center"/>
              <w:rPr>
                <w:rFonts w:hint="eastAsia" w:ascii="宋体" w:hAnsi="宋体" w:eastAsia="宋体" w:cs="宋体"/>
                <w:color w:val="auto"/>
                <w:sz w:val="24"/>
                <w:highlight w:val="none"/>
              </w:rPr>
            </w:pPr>
          </w:p>
        </w:tc>
        <w:tc>
          <w:tcPr>
            <w:tcW w:w="993" w:type="dxa"/>
            <w:vAlign w:val="center"/>
          </w:tcPr>
          <w:p>
            <w:pPr>
              <w:snapToGrid w:val="0"/>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984" w:type="dxa"/>
            <w:vAlign w:val="center"/>
          </w:tcPr>
          <w:p>
            <w:pPr>
              <w:spacing w:line="360" w:lineRule="auto"/>
              <w:jc w:val="center"/>
              <w:rPr>
                <w:rFonts w:hint="eastAsia" w:ascii="宋体" w:hAnsi="宋体" w:eastAsia="宋体" w:cs="宋体"/>
                <w:color w:val="auto"/>
                <w:sz w:val="24"/>
                <w:highlight w:val="none"/>
              </w:rPr>
            </w:pPr>
          </w:p>
        </w:tc>
        <w:tc>
          <w:tcPr>
            <w:tcW w:w="311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宋体" w:hAnsi="宋体" w:eastAsia="宋体" w:cs="宋体"/>
                <w:color w:val="auto"/>
                <w:sz w:val="24"/>
                <w:highlight w:val="none"/>
              </w:rPr>
            </w:pPr>
          </w:p>
        </w:tc>
        <w:tc>
          <w:tcPr>
            <w:tcW w:w="1417" w:type="dxa"/>
            <w:vAlign w:val="center"/>
          </w:tcPr>
          <w:p>
            <w:pPr>
              <w:snapToGrid w:val="0"/>
              <w:spacing w:line="360" w:lineRule="auto"/>
              <w:jc w:val="center"/>
              <w:rPr>
                <w:rFonts w:hint="eastAsia" w:ascii="宋体" w:hAnsi="宋体" w:eastAsia="宋体" w:cs="宋体"/>
                <w:color w:val="auto"/>
                <w:sz w:val="24"/>
                <w:highlight w:val="none"/>
              </w:rPr>
            </w:pPr>
          </w:p>
        </w:tc>
        <w:tc>
          <w:tcPr>
            <w:tcW w:w="1843" w:type="dxa"/>
            <w:vAlign w:val="center"/>
          </w:tcPr>
          <w:p>
            <w:pPr>
              <w:snapToGrid w:val="0"/>
              <w:spacing w:line="360" w:lineRule="auto"/>
              <w:jc w:val="center"/>
              <w:rPr>
                <w:rFonts w:hint="eastAsia" w:ascii="宋体" w:hAnsi="宋体" w:eastAsia="宋体" w:cs="宋体"/>
                <w:color w:val="auto"/>
                <w:sz w:val="24"/>
                <w:highlight w:val="none"/>
              </w:rPr>
            </w:pPr>
          </w:p>
        </w:tc>
        <w:tc>
          <w:tcPr>
            <w:tcW w:w="3118" w:type="dxa"/>
            <w:vAlign w:val="center"/>
          </w:tcPr>
          <w:p>
            <w:pPr>
              <w:snapToGrid w:val="0"/>
              <w:spacing w:line="360" w:lineRule="auto"/>
              <w:jc w:val="center"/>
              <w:rPr>
                <w:rFonts w:hint="eastAsia" w:ascii="宋体" w:hAnsi="宋体" w:eastAsia="宋体" w:cs="宋体"/>
                <w:color w:val="auto"/>
                <w:sz w:val="24"/>
                <w:highlight w:val="none"/>
              </w:rPr>
            </w:pPr>
          </w:p>
        </w:tc>
        <w:tc>
          <w:tcPr>
            <w:tcW w:w="993" w:type="dxa"/>
            <w:vAlign w:val="center"/>
          </w:tcPr>
          <w:p>
            <w:pPr>
              <w:snapToGrid w:val="0"/>
              <w:spacing w:line="360" w:lineRule="auto"/>
              <w:jc w:val="center"/>
              <w:rPr>
                <w:rFonts w:hint="eastAsia" w:ascii="宋体" w:hAnsi="宋体" w:eastAsia="宋体" w:cs="宋体"/>
                <w:color w:val="auto"/>
                <w:sz w:val="24"/>
                <w:highlight w:val="none"/>
              </w:rPr>
            </w:pPr>
          </w:p>
        </w:tc>
        <w:tc>
          <w:tcPr>
            <w:tcW w:w="1559" w:type="dxa"/>
            <w:vAlign w:val="center"/>
          </w:tcPr>
          <w:p>
            <w:pPr>
              <w:spacing w:line="360" w:lineRule="auto"/>
              <w:jc w:val="center"/>
              <w:rPr>
                <w:rFonts w:hint="eastAsia" w:ascii="宋体" w:hAnsi="宋体" w:eastAsia="宋体" w:cs="宋体"/>
                <w:color w:val="auto"/>
                <w:sz w:val="24"/>
                <w:highlight w:val="none"/>
              </w:rPr>
            </w:pPr>
          </w:p>
        </w:tc>
        <w:tc>
          <w:tcPr>
            <w:tcW w:w="1984" w:type="dxa"/>
            <w:vAlign w:val="center"/>
          </w:tcPr>
          <w:p>
            <w:pPr>
              <w:spacing w:line="360" w:lineRule="auto"/>
              <w:jc w:val="center"/>
              <w:rPr>
                <w:rFonts w:hint="eastAsia" w:ascii="宋体" w:hAnsi="宋体" w:eastAsia="宋体" w:cs="宋体"/>
                <w:color w:val="auto"/>
                <w:sz w:val="24"/>
                <w:highlight w:val="none"/>
              </w:rPr>
            </w:pPr>
          </w:p>
        </w:tc>
        <w:tc>
          <w:tcPr>
            <w:tcW w:w="3119"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投标报价（小写）</w:t>
            </w:r>
          </w:p>
        </w:tc>
        <w:tc>
          <w:tcPr>
            <w:tcW w:w="7655" w:type="dxa"/>
            <w:gridSpan w:val="4"/>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投标报价（大写）</w:t>
            </w:r>
          </w:p>
        </w:tc>
        <w:tc>
          <w:tcPr>
            <w:tcW w:w="7655" w:type="dxa"/>
            <w:gridSpan w:val="4"/>
            <w:vAlign w:val="center"/>
          </w:tcPr>
          <w:p>
            <w:pPr>
              <w:spacing w:line="360" w:lineRule="auto"/>
              <w:jc w:val="center"/>
              <w:rPr>
                <w:rFonts w:hint="eastAsia" w:ascii="宋体" w:hAnsi="宋体" w:eastAsia="宋体" w:cs="宋体"/>
                <w:color w:val="auto"/>
                <w:sz w:val="24"/>
                <w:highlight w:val="none"/>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5、特别说明：▲供应商报价低于项目预算50%的，应当在报价文件中详细阐述不影响产品质量或者诚信履约的具体原因，未做阐述说明的，投标无效。</w:t>
      </w: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24"/>
          <w:szCs w:val="24"/>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24"/>
          <w:szCs w:val="24"/>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二、</w:t>
      </w:r>
      <w:r>
        <w:rPr>
          <w:rFonts w:hint="eastAsia" w:ascii="宋体" w:hAnsi="宋体" w:eastAsia="宋体" w:cs="宋体"/>
          <w:color w:val="auto"/>
          <w:sz w:val="24"/>
          <w:szCs w:val="24"/>
          <w:highlight w:val="none"/>
        </w:rPr>
        <w:t>中小企业声明函</w:t>
      </w:r>
      <w:bookmarkStart w:id="413" w:name="_Hlk101259491"/>
      <w:r>
        <w:rPr>
          <w:rFonts w:hint="eastAsia" w:ascii="宋体" w:hAnsi="宋体" w:eastAsia="宋体" w:cs="宋体"/>
          <w:color w:val="auto"/>
          <w:sz w:val="24"/>
          <w:szCs w:val="24"/>
          <w:highlight w:val="none"/>
        </w:rPr>
        <w:t>（如果有）</w:t>
      </w:r>
      <w:bookmarkEnd w:id="413"/>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宋体" w:hAnsi="宋体" w:eastAsia="宋体" w:cs="宋体"/>
          <w:b/>
          <w:color w:val="auto"/>
          <w:sz w:val="24"/>
          <w:highlight w:val="none"/>
        </w:rPr>
        <w:t>7</w:t>
      </w:r>
      <w:r>
        <w:rPr>
          <w:rFonts w:hint="eastAsia" w:ascii="宋体" w:hAnsi="宋体" w:eastAsia="宋体" w:cs="宋体"/>
          <w:b/>
          <w:color w:val="auto"/>
          <w:sz w:val="24"/>
          <w:highlight w:val="none"/>
        </w:rPr>
        <w:t>）。]</w:t>
      </w:r>
    </w:p>
    <w:p>
      <w:pPr>
        <w:pStyle w:val="690"/>
        <w:keepNext w:val="0"/>
        <w:pageBreakBefore w:val="0"/>
        <w:tabs>
          <w:tab w:val="clear" w:pos="720"/>
        </w:tabs>
        <w:snapToGrid w:val="0"/>
        <w:spacing w:before="120" w:after="120"/>
        <w:ind w:firstLine="643"/>
        <w:outlineLvl w:val="9"/>
        <w:rPr>
          <w:rFonts w:hint="eastAsia" w:ascii="宋体" w:hAnsi="宋体" w:eastAsia="宋体" w:cs="宋体"/>
          <w:b w:val="0"/>
          <w:color w:val="auto"/>
          <w:sz w:val="24"/>
          <w:szCs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spacing w:line="360" w:lineRule="auto"/>
        <w:ind w:right="420" w:firstLine="2409" w:firstLineChars="1000"/>
        <w:rPr>
          <w:rFonts w:hint="eastAsia" w:ascii="宋体" w:hAnsi="宋体" w:eastAsia="宋体" w:cs="宋体"/>
          <w:b/>
          <w:color w:val="auto"/>
          <w:kern w:val="0"/>
          <w:sz w:val="24"/>
          <w:highlight w:val="none"/>
        </w:rPr>
      </w:pPr>
    </w:p>
    <w:p>
      <w:pPr>
        <w:pStyle w:val="3"/>
        <w:keepNext w:val="0"/>
        <w:keepLines w:val="0"/>
        <w:pageBreakBefore/>
        <w:widowControl/>
        <w:spacing w:before="100" w:beforeAutospacing="1" w:after="100" w:afterAutospacing="1" w:line="360" w:lineRule="auto"/>
        <w:ind w:left="1290" w:firstLine="1687" w:firstLineChars="700"/>
        <w:rPr>
          <w:rFonts w:hint="eastAsia" w:ascii="宋体" w:hAnsi="宋体" w:eastAsia="宋体" w:cs="宋体"/>
          <w:color w:val="auto"/>
          <w:sz w:val="24"/>
          <w:szCs w:val="24"/>
          <w:highlight w:val="none"/>
        </w:rPr>
      </w:pPr>
      <w:bookmarkStart w:id="414" w:name="_Toc465665161"/>
      <w:r>
        <w:rPr>
          <w:rFonts w:hint="eastAsia" w:ascii="宋体" w:hAnsi="宋体" w:eastAsia="宋体" w:cs="宋体"/>
          <w:color w:val="auto"/>
          <w:sz w:val="24"/>
          <w:szCs w:val="24"/>
          <w:highlight w:val="none"/>
        </w:rPr>
        <w:t>附件</w:t>
      </w:r>
      <w:bookmarkEnd w:id="414"/>
    </w:p>
    <w:p>
      <w:pPr>
        <w:spacing w:line="360" w:lineRule="auto"/>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附件1：</w:t>
      </w:r>
    </w:p>
    <w:p>
      <w:pPr>
        <w:spacing w:line="360" w:lineRule="auto"/>
        <w:jc w:val="center"/>
        <w:rPr>
          <w:rFonts w:hint="eastAsia" w:ascii="宋体" w:hAnsi="宋体" w:eastAsia="宋体" w:cs="宋体"/>
          <w:b/>
          <w:color w:val="auto"/>
          <w:spacing w:val="6"/>
          <w:sz w:val="24"/>
          <w:highlight w:val="none"/>
        </w:rPr>
      </w:pPr>
      <w:bookmarkStart w:id="415" w:name="OLE_LINK14"/>
      <w:bookmarkStart w:id="416" w:name="OLE_LINK13"/>
      <w:r>
        <w:rPr>
          <w:rFonts w:hint="eastAsia" w:ascii="宋体" w:hAnsi="宋体" w:eastAsia="宋体" w:cs="宋体"/>
          <w:b/>
          <w:color w:val="auto"/>
          <w:spacing w:val="6"/>
          <w:sz w:val="24"/>
          <w:highlight w:val="none"/>
        </w:rPr>
        <w:t>残疾人福利性单位声明函</w:t>
      </w:r>
    </w:p>
    <w:bookmarkEnd w:id="415"/>
    <w:bookmarkEnd w:id="416"/>
    <w:p>
      <w:pPr>
        <w:spacing w:line="360" w:lineRule="auto"/>
        <w:rPr>
          <w:rFonts w:hint="eastAsia" w:ascii="宋体" w:hAnsi="宋体" w:eastAsia="宋体" w:cs="宋体"/>
          <w:b/>
          <w:color w:val="auto"/>
          <w:spacing w:val="6"/>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24"/>
          <w:highlight w:val="none"/>
        </w:rPr>
      </w:pPr>
    </w:p>
    <w:p>
      <w:pPr>
        <w:spacing w:line="360" w:lineRule="auto"/>
        <w:jc w:val="left"/>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附件2：质疑函范本及制作说明</w:t>
      </w:r>
    </w:p>
    <w:p>
      <w:pPr>
        <w:spacing w:line="360" w:lineRule="auto"/>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center"/>
        <w:rPr>
          <w:rFonts w:hint="eastAsia" w:ascii="宋体" w:hAnsi="宋体" w:eastAsia="宋体" w:cs="宋体"/>
          <w:b/>
          <w:color w:val="auto"/>
          <w:spacing w:val="6"/>
          <w:sz w:val="24"/>
          <w:highlight w:val="none"/>
        </w:rPr>
      </w:pPr>
    </w:p>
    <w:p>
      <w:pPr>
        <w:spacing w:line="360" w:lineRule="auto"/>
        <w:jc w:val="left"/>
        <w:rPr>
          <w:rFonts w:hint="eastAsia" w:ascii="宋体" w:hAnsi="宋体" w:eastAsia="宋体" w:cs="宋体"/>
          <w:b/>
          <w:color w:val="auto"/>
          <w:spacing w:val="6"/>
          <w:sz w:val="24"/>
          <w:highlight w:val="none"/>
        </w:rPr>
      </w:pPr>
    </w:p>
    <w:p>
      <w:pPr>
        <w:spacing w:line="360" w:lineRule="auto"/>
        <w:jc w:val="left"/>
        <w:rPr>
          <w:rFonts w:hint="eastAsia" w:ascii="宋体" w:hAnsi="宋体" w:eastAsia="宋体" w:cs="宋体"/>
          <w:b/>
          <w:color w:val="auto"/>
          <w:spacing w:val="6"/>
          <w:sz w:val="24"/>
          <w:highlight w:val="none"/>
        </w:rPr>
      </w:pPr>
    </w:p>
    <w:p>
      <w:pPr>
        <w:pStyle w:val="2"/>
        <w:rPr>
          <w:rFonts w:hint="eastAsia" w:ascii="宋体" w:hAnsi="宋体" w:eastAsia="宋体" w:cs="宋体"/>
          <w:b/>
          <w:color w:val="auto"/>
          <w:spacing w:val="6"/>
          <w:sz w:val="24"/>
          <w:highlight w:val="none"/>
        </w:rPr>
      </w:pPr>
    </w:p>
    <w:p>
      <w:pPr>
        <w:rPr>
          <w:rFonts w:hint="eastAsia" w:ascii="宋体" w:hAnsi="宋体" w:eastAsia="宋体" w:cs="宋体"/>
          <w:b/>
          <w:color w:val="auto"/>
          <w:spacing w:val="6"/>
          <w:sz w:val="24"/>
          <w:highlight w:val="none"/>
        </w:rPr>
      </w:pPr>
    </w:p>
    <w:p>
      <w:pPr>
        <w:pStyle w:val="2"/>
        <w:rPr>
          <w:rFonts w:hint="eastAsia" w:ascii="宋体" w:hAnsi="宋体" w:eastAsia="宋体" w:cs="宋体"/>
          <w:b/>
          <w:color w:val="auto"/>
          <w:spacing w:val="6"/>
          <w:sz w:val="24"/>
          <w:highlight w:val="none"/>
        </w:rPr>
      </w:pPr>
    </w:p>
    <w:p>
      <w:pPr>
        <w:rPr>
          <w:rFonts w:hint="eastAsia" w:ascii="宋体" w:hAnsi="宋体" w:eastAsia="宋体" w:cs="宋体"/>
          <w:b/>
          <w:color w:val="auto"/>
          <w:spacing w:val="6"/>
          <w:sz w:val="24"/>
          <w:highlight w:val="none"/>
        </w:rPr>
      </w:pPr>
    </w:p>
    <w:p>
      <w:pPr>
        <w:pStyle w:val="2"/>
        <w:rPr>
          <w:rFonts w:hint="eastAsia" w:ascii="宋体" w:hAnsi="宋体" w:eastAsia="宋体" w:cs="宋体"/>
          <w:color w:val="auto"/>
          <w:highlight w:val="none"/>
        </w:rPr>
      </w:pPr>
    </w:p>
    <w:p>
      <w:pPr>
        <w:spacing w:line="360" w:lineRule="auto"/>
        <w:jc w:val="left"/>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bCs/>
          <w:color w:val="auto"/>
          <w:sz w:val="24"/>
          <w:highlight w:val="none"/>
        </w:rPr>
      </w:pPr>
      <w:r>
        <w:rPr>
          <w:rFonts w:hint="eastAsia" w:ascii="宋体" w:hAnsi="宋体" w:eastAsia="宋体" w:cs="宋体"/>
          <w:b/>
          <w:color w:val="auto"/>
          <w:spacing w:val="6"/>
          <w:sz w:val="24"/>
          <w:highlight w:val="none"/>
        </w:rPr>
        <w:t>附件4：</w:t>
      </w:r>
      <w:r>
        <w:rPr>
          <w:rFonts w:hint="eastAsia" w:ascii="宋体" w:hAnsi="宋体" w:eastAsia="宋体" w:cs="宋体"/>
          <w:b/>
          <w:bCs/>
          <w:color w:val="auto"/>
          <w:sz w:val="24"/>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pStyle w:val="2"/>
        <w:rPr>
          <w:rFonts w:hint="eastAsia" w:ascii="宋体" w:hAnsi="宋体" w:eastAsia="宋体" w:cs="宋体"/>
          <w:b/>
          <w:color w:val="auto"/>
          <w:spacing w:val="6"/>
          <w:sz w:val="24"/>
          <w:highlight w:val="none"/>
        </w:rPr>
      </w:pPr>
    </w:p>
    <w:p>
      <w:pPr>
        <w:rPr>
          <w:rFonts w:hint="eastAsia" w:ascii="宋体" w:hAnsi="宋体" w:eastAsia="宋体" w:cs="宋体"/>
          <w:b/>
          <w:color w:val="auto"/>
          <w:spacing w:val="6"/>
          <w:sz w:val="24"/>
          <w:highlight w:val="none"/>
        </w:rPr>
      </w:pPr>
    </w:p>
    <w:p>
      <w:pPr>
        <w:pStyle w:val="2"/>
        <w:rPr>
          <w:rFonts w:hint="eastAsia" w:ascii="宋体" w:hAnsi="宋体" w:eastAsia="宋体" w:cs="宋体"/>
          <w:b/>
          <w:color w:val="auto"/>
          <w:spacing w:val="6"/>
          <w:sz w:val="24"/>
          <w:highlight w:val="none"/>
        </w:rPr>
      </w:pPr>
    </w:p>
    <w:p>
      <w:pPr>
        <w:rPr>
          <w:rFonts w:hint="eastAsia" w:ascii="宋体" w:hAnsi="宋体" w:eastAsia="宋体" w:cs="宋体"/>
          <w:b/>
          <w:color w:val="auto"/>
          <w:spacing w:val="6"/>
          <w:sz w:val="24"/>
          <w:highlight w:val="none"/>
        </w:rPr>
      </w:pPr>
    </w:p>
    <w:p>
      <w:pPr>
        <w:pStyle w:val="2"/>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附件</w:t>
      </w:r>
      <w:r>
        <w:rPr>
          <w:rFonts w:hint="eastAsia" w:ascii="宋体" w:hAnsi="宋体" w:eastAsia="宋体" w:cs="宋体"/>
          <w:b/>
          <w:color w:val="auto"/>
          <w:kern w:val="0"/>
          <w:sz w:val="24"/>
          <w:highlight w:val="none"/>
        </w:rPr>
        <w:t>5</w:t>
      </w:r>
      <w:r>
        <w:rPr>
          <w:rFonts w:hint="eastAsia" w:ascii="宋体" w:hAnsi="宋体" w:eastAsia="宋体" w:cs="宋体"/>
          <w:b/>
          <w:color w:val="auto"/>
          <w:kern w:val="0"/>
          <w:sz w:val="24"/>
          <w:highlight w:val="none"/>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360" w:lineRule="auto"/>
        <w:ind w:firstLine="576"/>
        <w:rPr>
          <w:rFonts w:hint="eastAsia" w:ascii="宋体" w:hAnsi="宋体" w:eastAsia="宋体" w:cs="宋体"/>
          <w:color w:val="auto"/>
          <w:kern w:val="0"/>
          <w:sz w:val="24"/>
          <w:highlight w:val="none"/>
          <w:lang w:val="zh-CN"/>
        </w:rPr>
      </w:pPr>
      <w:bookmarkStart w:id="417" w:name="_Hlk101134295"/>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w:t>
      </w:r>
      <w:r>
        <w:rPr>
          <w:rFonts w:hint="eastAsia" w:ascii="宋体" w:hAnsi="宋体" w:eastAsia="宋体" w:cs="宋体"/>
          <w:color w:val="auto"/>
          <w:kern w:val="0"/>
          <w:sz w:val="24"/>
          <w:highlight w:val="none"/>
          <w:u w:val="single"/>
        </w:rPr>
        <w:t>2</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bookmarkEnd w:id="417"/>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（联合体成员</w:t>
      </w:r>
      <w:r>
        <w:rPr>
          <w:rFonts w:hint="eastAsia" w:ascii="宋体" w:hAnsi="宋体" w:eastAsia="宋体" w:cs="宋体"/>
          <w:color w:val="auto"/>
          <w:kern w:val="0"/>
          <w:sz w:val="24"/>
          <w:highlight w:val="none"/>
          <w:u w:val="single"/>
        </w:rPr>
        <w:t>X,</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提供的全部货物由小微企业制造，其合同份额占到合同总金额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pStyle w:val="2"/>
        <w:rPr>
          <w:rFonts w:hint="eastAsia" w:ascii="宋体" w:hAnsi="宋体" w:eastAsia="宋体" w:cs="宋体"/>
          <w:b/>
          <w:color w:val="auto"/>
          <w:spacing w:val="6"/>
          <w:sz w:val="24"/>
          <w:highlight w:val="none"/>
        </w:rPr>
      </w:pPr>
    </w:p>
    <w:p>
      <w:pPr>
        <w:rPr>
          <w:rFonts w:hint="eastAsia" w:ascii="宋体" w:hAnsi="宋体" w:eastAsia="宋体" w:cs="宋体"/>
          <w:b/>
          <w:color w:val="auto"/>
          <w:spacing w:val="6"/>
          <w:sz w:val="24"/>
          <w:highlight w:val="none"/>
        </w:rPr>
      </w:pPr>
    </w:p>
    <w:p>
      <w:pPr>
        <w:pStyle w:val="2"/>
        <w:rPr>
          <w:rFonts w:hint="eastAsia" w:ascii="宋体" w:hAnsi="宋体" w:eastAsia="宋体" w:cs="宋体"/>
          <w:b/>
          <w:color w:val="auto"/>
          <w:spacing w:val="6"/>
          <w:sz w:val="24"/>
          <w:highlight w:val="none"/>
        </w:rPr>
      </w:pPr>
    </w:p>
    <w:p>
      <w:pPr>
        <w:rPr>
          <w:rFonts w:hint="eastAsia" w:ascii="宋体" w:hAnsi="宋体" w:eastAsia="宋体" w:cs="宋体"/>
          <w:b/>
          <w:color w:val="auto"/>
          <w:spacing w:val="6"/>
          <w:sz w:val="24"/>
          <w:highlight w:val="none"/>
        </w:rPr>
      </w:pPr>
    </w:p>
    <w:p>
      <w:pPr>
        <w:pStyle w:val="2"/>
        <w:rPr>
          <w:rFonts w:hint="eastAsia" w:ascii="宋体" w:hAnsi="宋体" w:eastAsia="宋体" w:cs="宋体"/>
          <w:color w:val="auto"/>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snapToGrid w:val="0"/>
        <w:spacing w:line="360" w:lineRule="auto"/>
        <w:jc w:val="center"/>
        <w:outlineLvl w:val="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附件</w:t>
      </w:r>
      <w:r>
        <w:rPr>
          <w:rFonts w:hint="eastAsia" w:ascii="宋体" w:hAnsi="宋体" w:eastAsia="宋体" w:cs="宋体"/>
          <w:b/>
          <w:color w:val="auto"/>
          <w:kern w:val="0"/>
          <w:sz w:val="24"/>
          <w:highlight w:val="none"/>
        </w:rPr>
        <w:t>6</w:t>
      </w:r>
      <w:r>
        <w:rPr>
          <w:rFonts w:hint="eastAsia" w:ascii="宋体" w:hAnsi="宋体" w:eastAsia="宋体" w:cs="宋体"/>
          <w:b/>
          <w:color w:val="auto"/>
          <w:kern w:val="0"/>
          <w:sz w:val="24"/>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2"/>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u w:val="single"/>
        </w:rPr>
        <w:t>……）提供的货物全部由小微企业制造，</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sz w:val="24"/>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418"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bookmarkEnd w:id="418"/>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u w:val="single"/>
        </w:rPr>
        <w:t xml:space="preserve">                                                                                  </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分包供应商名称(电子签名/公章)：</w:t>
      </w:r>
    </w:p>
    <w:p>
      <w:pPr>
        <w:snapToGrid w:val="0"/>
        <w:spacing w:line="360" w:lineRule="auto"/>
        <w:ind w:firstLine="5760" w:firstLineChars="24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autoSpaceDE w:val="0"/>
        <w:autoSpaceDN w:val="0"/>
        <w:jc w:val="center"/>
        <w:rPr>
          <w:rFonts w:hint="eastAsia" w:ascii="宋体" w:hAnsi="宋体" w:eastAsia="宋体" w:cs="宋体"/>
          <w:b/>
          <w:color w:val="auto"/>
          <w:spacing w:val="6"/>
          <w:sz w:val="24"/>
          <w:highlight w:val="none"/>
        </w:rPr>
      </w:pPr>
    </w:p>
    <w:p>
      <w:pPr>
        <w:widowControl/>
        <w:adjustRightInd/>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snapToGrid w:val="0"/>
        <w:spacing w:line="360" w:lineRule="auto"/>
        <w:outlineLvl w:val="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附件</w:t>
      </w:r>
      <w:r>
        <w:rPr>
          <w:rFonts w:hint="eastAsia" w:ascii="宋体" w:hAnsi="宋体" w:eastAsia="宋体" w:cs="宋体"/>
          <w:b/>
          <w:color w:val="auto"/>
          <w:kern w:val="0"/>
          <w:sz w:val="24"/>
          <w:highlight w:val="none"/>
        </w:rPr>
        <w:t>7</w:t>
      </w:r>
      <w:r>
        <w:rPr>
          <w:rFonts w:hint="eastAsia" w:ascii="宋体" w:hAnsi="宋体" w:eastAsia="宋体" w:cs="宋体"/>
          <w:b/>
          <w:color w:val="auto"/>
          <w:kern w:val="0"/>
          <w:sz w:val="24"/>
          <w:highlight w:val="none"/>
        </w:rPr>
        <w:t>：中小企业声明函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中小企业声明函（货物）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 xml:space="preserve">的 </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 ，属于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pStyle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val="en-US"/>
        </w:rPr>
        <w:t>8</w:t>
      </w:r>
      <w:r>
        <w:rPr>
          <w:rFonts w:hint="eastAsia" w:ascii="宋体" w:hAnsi="宋体" w:eastAsia="宋体" w:cs="宋体"/>
          <w:color w:val="auto"/>
          <w:sz w:val="24"/>
          <w:szCs w:val="24"/>
          <w:highlight w:val="none"/>
        </w:rPr>
        <w:t>样品（演示）授权委托书</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样品（演示）授权委托书</w:t>
      </w:r>
    </w:p>
    <w:p>
      <w:pPr>
        <w:jc w:val="center"/>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XXX（单位名称或采购机构名称）</w:t>
      </w:r>
      <w:r>
        <w:rPr>
          <w:rFonts w:hint="eastAsia" w:ascii="宋体" w:hAnsi="宋体" w:eastAsia="宋体" w:cs="宋体"/>
          <w:color w:val="auto"/>
          <w:sz w:val="24"/>
          <w:highlight w:val="none"/>
          <w:lang w:val="zh-CN"/>
        </w:rPr>
        <w:t>：</w:t>
      </w:r>
    </w:p>
    <w:p>
      <w:pPr>
        <w:snapToGrid w:val="0"/>
        <w:spacing w:line="360" w:lineRule="auto"/>
        <w:ind w:left="254" w:leftChars="121"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sz w:val="24"/>
          <w:highlight w:val="none"/>
          <w:lang w:val="zh-CN"/>
        </w:rPr>
        <w:t>兹委派</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先生/女士，身份证号：</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single"/>
          <w:lang w:val="zh-CN"/>
        </w:rPr>
        <w:t xml:space="preserve">                  </w:t>
      </w:r>
    </w:p>
    <w:p>
      <w:pPr>
        <w:snapToGrid w:val="0"/>
        <w:spacing w:line="360" w:lineRule="auto"/>
        <w:ind w:left="254" w:leftChars="12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手机：</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，代表我公司前来递交</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u w:val="single"/>
          <w:lang w:val="zh-CN"/>
        </w:rPr>
        <w:t>采购项目</w:t>
      </w:r>
      <w:r>
        <w:rPr>
          <w:rFonts w:hint="eastAsia" w:ascii="宋体" w:hAnsi="宋体" w:eastAsia="宋体" w:cs="宋体"/>
          <w:color w:val="auto"/>
          <w:sz w:val="24"/>
          <w:highlight w:val="none"/>
          <w:lang w:val="zh-CN"/>
        </w:rPr>
        <w:t>【项目编号：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lang w:val="zh-CN"/>
        </w:rPr>
        <w:t xml:space="preserve">】（标项号： </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lang w:val="zh-CN"/>
        </w:rPr>
        <w:t>）投标样品或参加演示，并全权负责标后取回样品等其他处理事宜。</w:t>
      </w:r>
    </w:p>
    <w:p>
      <w:pPr>
        <w:snapToGrid w:val="0"/>
        <w:spacing w:line="360" w:lineRule="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 xml:space="preserve">    特此告知。</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 xml:space="preserve">                                                  投标人名称(公章)：</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 xml:space="preserve">                                                  </w:t>
      </w:r>
    </w:p>
    <w:p>
      <w:pPr>
        <w:snapToGrid w:val="0"/>
        <w:spacing w:line="360" w:lineRule="auto"/>
        <w:ind w:right="240"/>
        <w:jc w:val="righ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签发日期：  年  月   日</w:t>
      </w:r>
    </w:p>
    <w:p>
      <w:pPr>
        <w:snapToGrid w:val="0"/>
        <w:spacing w:line="360" w:lineRule="auto"/>
        <w:ind w:right="240"/>
        <w:jc w:val="right"/>
        <w:rPr>
          <w:rFonts w:hint="eastAsia" w:ascii="宋体" w:hAnsi="宋体" w:eastAsia="宋体" w:cs="宋体"/>
          <w:color w:val="auto"/>
          <w:sz w:val="24"/>
          <w:highlight w:val="none"/>
          <w:lang w:val="zh-CN"/>
        </w:rPr>
      </w:pPr>
    </w:p>
    <w:p>
      <w:pPr>
        <w:snapToGrid w:val="0"/>
        <w:spacing w:line="360" w:lineRule="auto"/>
        <w:ind w:right="1920"/>
        <w:rPr>
          <w:rFonts w:hint="eastAsia" w:ascii="宋体" w:hAnsi="宋体" w:eastAsia="宋体" w:cs="宋体"/>
          <w:color w:val="auto"/>
          <w:sz w:val="24"/>
          <w:highlight w:val="none"/>
          <w:lang w:val="zh-CN"/>
        </w:rPr>
      </w:pPr>
    </w:p>
    <w:p>
      <w:pPr>
        <w:snapToGrid w:val="0"/>
        <w:spacing w:line="360" w:lineRule="auto"/>
        <w:ind w:right="240"/>
        <w:jc w:val="right"/>
        <w:rPr>
          <w:rFonts w:hint="eastAsia" w:ascii="宋体" w:hAnsi="宋体" w:eastAsia="宋体" w:cs="宋体"/>
          <w:color w:val="auto"/>
          <w:sz w:val="24"/>
          <w:highlight w:val="none"/>
          <w:lang w:val="zh-CN"/>
        </w:rPr>
      </w:pPr>
    </w:p>
    <w:p>
      <w:pPr>
        <w:snapToGrid w:val="0"/>
        <w:spacing w:line="360" w:lineRule="auto"/>
        <w:ind w:right="24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受委托人</w:t>
      </w:r>
      <w:r>
        <w:rPr>
          <w:rFonts w:hint="eastAsia" w:ascii="宋体" w:hAnsi="宋体" w:eastAsia="宋体" w:cs="宋体"/>
          <w:color w:val="auto"/>
          <w:sz w:val="24"/>
          <w:highlight w:val="none"/>
          <w:lang w:val="zh-CN"/>
        </w:rPr>
        <w:t>身份证复印件：</w:t>
      </w:r>
    </w:p>
    <w:p>
      <w:pPr>
        <w:snapToGrid w:val="0"/>
        <w:spacing w:line="360" w:lineRule="auto"/>
        <w:ind w:right="240"/>
        <w:rPr>
          <w:rFonts w:hint="eastAsia" w:ascii="宋体" w:hAnsi="宋体" w:eastAsia="宋体" w:cs="宋体"/>
          <w:color w:val="auto"/>
          <w:sz w:val="24"/>
          <w:highlight w:val="none"/>
          <w:lang w:val="zh-CN"/>
        </w:rPr>
      </w:pPr>
    </w:p>
    <w:p>
      <w:pPr>
        <w:snapToGrid w:val="0"/>
        <w:spacing w:line="360" w:lineRule="auto"/>
        <w:ind w:right="24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说明：本委托书在有样品或演示时由受委托人携带至指定地点。</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同时有样品和演示的</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rPr>
        <w:t>可委托不同人员</w:t>
      </w:r>
      <w:r>
        <w:rPr>
          <w:rFonts w:hint="eastAsia" w:ascii="宋体" w:hAnsi="宋体" w:eastAsia="宋体" w:cs="宋体"/>
          <w:b/>
          <w:color w:val="auto"/>
          <w:sz w:val="24"/>
          <w:highlight w:val="none"/>
        </w:rPr>
        <w:t>。</w:t>
      </w:r>
    </w:p>
    <w:p>
      <w:pPr>
        <w:pStyle w:val="2"/>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itka Tex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1" w:usb3="00000000" w:csb0="400001BF" w:csb1="DFF7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19" w:name="_Toc131845147"/>
    <w:bookmarkStart w:id="420" w:name="_Toc91899912"/>
    <w:bookmarkStart w:id="421" w:name="_Toc164085800"/>
    <w:bookmarkStart w:id="422" w:name="_Toc36110187"/>
    <w:r>
      <w:rPr>
        <w:rFonts w:hint="eastAsia" w:ascii="仿宋_GB2312" w:eastAsia="仿宋_GB2312"/>
        <w:kern w:val="0"/>
        <w:szCs w:val="21"/>
      </w:rPr>
      <w:t xml:space="preserve"> 页</w:t>
    </w:r>
    <w:bookmarkEnd w:id="419"/>
    <w:bookmarkEnd w:id="420"/>
    <w:bookmarkEnd w:id="421"/>
    <w:bookmarkEnd w:id="42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399C5"/>
    <w:multiLevelType w:val="singleLevel"/>
    <w:tmpl w:val="8BD399C5"/>
    <w:lvl w:ilvl="0" w:tentative="0">
      <w:start w:val="1"/>
      <w:numFmt w:val="decimalEnclosedCircleChinese"/>
      <w:suff w:val="nothing"/>
      <w:lvlText w:val="%1　"/>
      <w:lvlJc w:val="left"/>
      <w:pPr>
        <w:ind w:left="0" w:firstLine="400"/>
      </w:pPr>
      <w:rPr>
        <w:rFonts w:hint="eastAsia"/>
      </w:rPr>
    </w:lvl>
  </w:abstractNum>
  <w:abstractNum w:abstractNumId="1">
    <w:nsid w:val="A3CD3190"/>
    <w:multiLevelType w:val="singleLevel"/>
    <w:tmpl w:val="A3CD3190"/>
    <w:lvl w:ilvl="0" w:tentative="0">
      <w:start w:val="1"/>
      <w:numFmt w:val="decimalEnclosedCircleChinese"/>
      <w:suff w:val="nothing"/>
      <w:lvlText w:val="%1　"/>
      <w:lvlJc w:val="left"/>
      <w:pPr>
        <w:ind w:left="0" w:firstLine="400"/>
      </w:pPr>
      <w:rPr>
        <w:rFonts w:hint="eastAsia"/>
      </w:rPr>
    </w:lvl>
  </w:abstractNum>
  <w:abstractNum w:abstractNumId="2">
    <w:nsid w:val="B53F39E8"/>
    <w:multiLevelType w:val="singleLevel"/>
    <w:tmpl w:val="B53F39E8"/>
    <w:lvl w:ilvl="0" w:tentative="0">
      <w:start w:val="1"/>
      <w:numFmt w:val="decimalEnclosedCircleChinese"/>
      <w:suff w:val="nothing"/>
      <w:lvlText w:val="%1　"/>
      <w:lvlJc w:val="left"/>
      <w:pPr>
        <w:ind w:left="0" w:firstLine="400"/>
      </w:pPr>
      <w:rPr>
        <w:rFonts w:hint="eastAsia"/>
      </w:rPr>
    </w:lvl>
  </w:abstractNum>
  <w:abstractNum w:abstractNumId="3">
    <w:nsid w:val="D641EC70"/>
    <w:multiLevelType w:val="singleLevel"/>
    <w:tmpl w:val="D641EC70"/>
    <w:lvl w:ilvl="0" w:tentative="0">
      <w:start w:val="1"/>
      <w:numFmt w:val="decimalEnclosedCircleChinese"/>
      <w:suff w:val="nothing"/>
      <w:lvlText w:val="%1　"/>
      <w:lvlJc w:val="left"/>
      <w:pPr>
        <w:ind w:left="0" w:firstLine="400"/>
      </w:pPr>
      <w:rPr>
        <w:rFonts w:hint="eastAsia"/>
      </w:rPr>
    </w:lvl>
  </w:abstractNum>
  <w:abstractNum w:abstractNumId="4">
    <w:nsid w:val="DA1D223C"/>
    <w:multiLevelType w:val="singleLevel"/>
    <w:tmpl w:val="DA1D223C"/>
    <w:lvl w:ilvl="0" w:tentative="0">
      <w:start w:val="1"/>
      <w:numFmt w:val="decimal"/>
      <w:suff w:val="nothing"/>
      <w:lvlText w:val="%1．"/>
      <w:lvlJc w:val="left"/>
      <w:pPr>
        <w:ind w:left="0" w:firstLine="400"/>
      </w:pPr>
      <w:rPr>
        <w:rFonts w:hint="default"/>
      </w:rPr>
    </w:lvl>
  </w:abstractNum>
  <w:abstractNum w:abstractNumId="5">
    <w:nsid w:val="F61D95EE"/>
    <w:multiLevelType w:val="singleLevel"/>
    <w:tmpl w:val="F61D95EE"/>
    <w:lvl w:ilvl="0" w:tentative="0">
      <w:start w:val="4"/>
      <w:numFmt w:val="decimal"/>
      <w:suff w:val="nothing"/>
      <w:lvlText w:val="%1、"/>
      <w:lvlJc w:val="left"/>
    </w:lvl>
  </w:abstractNum>
  <w:abstractNum w:abstractNumId="6">
    <w:nsid w:val="FC5352FF"/>
    <w:multiLevelType w:val="singleLevel"/>
    <w:tmpl w:val="FC5352FF"/>
    <w:lvl w:ilvl="0" w:tentative="0">
      <w:start w:val="5"/>
      <w:numFmt w:val="decimal"/>
      <w:suff w:val="nothing"/>
      <w:lvlText w:val="（%1）"/>
      <w:lvlJc w:val="left"/>
    </w:lvl>
  </w:abstractNum>
  <w:abstractNum w:abstractNumId="7">
    <w:nsid w:val="0931601D"/>
    <w:multiLevelType w:val="singleLevel"/>
    <w:tmpl w:val="0931601D"/>
    <w:lvl w:ilvl="0" w:tentative="0">
      <w:start w:val="1"/>
      <w:numFmt w:val="decimal"/>
      <w:lvlText w:val="%1)"/>
      <w:lvlJc w:val="left"/>
      <w:pPr>
        <w:ind w:left="425" w:hanging="425"/>
      </w:pPr>
      <w:rPr>
        <w:rFonts w:hint="default"/>
      </w:rPr>
    </w:lvl>
  </w:abstractNum>
  <w:abstractNum w:abstractNumId="8">
    <w:nsid w:val="0E321E94"/>
    <w:multiLevelType w:val="singleLevel"/>
    <w:tmpl w:val="0E321E94"/>
    <w:lvl w:ilvl="0" w:tentative="0">
      <w:start w:val="1"/>
      <w:numFmt w:val="chineseCounting"/>
      <w:suff w:val="nothing"/>
      <w:lvlText w:val="（%1）"/>
      <w:lvlJc w:val="left"/>
      <w:rPr>
        <w:rFonts w:hint="eastAsia"/>
      </w:rPr>
    </w:lvl>
  </w:abstractNum>
  <w:abstractNum w:abstractNumId="9">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8"/>
  </w:num>
  <w:num w:numId="3">
    <w:abstractNumId w:val="4"/>
  </w:num>
  <w:num w:numId="4">
    <w:abstractNumId w:val="7"/>
  </w:num>
  <w:num w:numId="5">
    <w:abstractNumId w:val="1"/>
  </w:num>
  <w:num w:numId="6">
    <w:abstractNumId w:val="0"/>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zNTZhM2MyNzhmOWI5N2JkZjQ2MjA2ZTVkOTFiNW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B7A0C"/>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CD7"/>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6E6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EEC"/>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37B"/>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DAE"/>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B74E41"/>
    <w:rsid w:val="03DD35E4"/>
    <w:rsid w:val="03E60E41"/>
    <w:rsid w:val="04076900"/>
    <w:rsid w:val="041A5A3B"/>
    <w:rsid w:val="041E3C2B"/>
    <w:rsid w:val="042311BA"/>
    <w:rsid w:val="042B157A"/>
    <w:rsid w:val="04824B9E"/>
    <w:rsid w:val="048F763B"/>
    <w:rsid w:val="049F330E"/>
    <w:rsid w:val="04AA775C"/>
    <w:rsid w:val="04AF1889"/>
    <w:rsid w:val="04F66F48"/>
    <w:rsid w:val="05251E14"/>
    <w:rsid w:val="05A16594"/>
    <w:rsid w:val="05A33A8F"/>
    <w:rsid w:val="05A7762D"/>
    <w:rsid w:val="060E5941"/>
    <w:rsid w:val="06110FAF"/>
    <w:rsid w:val="06493CA7"/>
    <w:rsid w:val="065A6178"/>
    <w:rsid w:val="066F1CF3"/>
    <w:rsid w:val="06930BB8"/>
    <w:rsid w:val="06A92350"/>
    <w:rsid w:val="07245D42"/>
    <w:rsid w:val="07264C62"/>
    <w:rsid w:val="072B7F88"/>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6E02C3"/>
    <w:rsid w:val="0C8445DA"/>
    <w:rsid w:val="0C87121B"/>
    <w:rsid w:val="0CAA755C"/>
    <w:rsid w:val="0CC007F7"/>
    <w:rsid w:val="0CC617AC"/>
    <w:rsid w:val="0CC70BCA"/>
    <w:rsid w:val="0CE618DF"/>
    <w:rsid w:val="0CFE707A"/>
    <w:rsid w:val="0D063BDA"/>
    <w:rsid w:val="0D08375F"/>
    <w:rsid w:val="0D0F7E0C"/>
    <w:rsid w:val="0D184CFB"/>
    <w:rsid w:val="0D4A7419"/>
    <w:rsid w:val="0D827401"/>
    <w:rsid w:val="0D84094E"/>
    <w:rsid w:val="0D8A00E9"/>
    <w:rsid w:val="0D8D589E"/>
    <w:rsid w:val="0DA01C73"/>
    <w:rsid w:val="0DD63300"/>
    <w:rsid w:val="0DF50604"/>
    <w:rsid w:val="0DF702FE"/>
    <w:rsid w:val="0E060E51"/>
    <w:rsid w:val="0E4E33A5"/>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E1494B"/>
    <w:rsid w:val="10646583"/>
    <w:rsid w:val="107D4B15"/>
    <w:rsid w:val="108A3C80"/>
    <w:rsid w:val="10C26171"/>
    <w:rsid w:val="10F33360"/>
    <w:rsid w:val="10FC16EA"/>
    <w:rsid w:val="10FC6AD8"/>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15556D"/>
    <w:rsid w:val="146D271E"/>
    <w:rsid w:val="14982588"/>
    <w:rsid w:val="149A5AD9"/>
    <w:rsid w:val="14A7619D"/>
    <w:rsid w:val="14A800EA"/>
    <w:rsid w:val="150536C3"/>
    <w:rsid w:val="150C1963"/>
    <w:rsid w:val="151447A0"/>
    <w:rsid w:val="154A6454"/>
    <w:rsid w:val="15762120"/>
    <w:rsid w:val="15F04750"/>
    <w:rsid w:val="16A8729C"/>
    <w:rsid w:val="16B33777"/>
    <w:rsid w:val="16BC70A7"/>
    <w:rsid w:val="16C6339E"/>
    <w:rsid w:val="17276389"/>
    <w:rsid w:val="172F2D79"/>
    <w:rsid w:val="17557BEF"/>
    <w:rsid w:val="17D349C1"/>
    <w:rsid w:val="18244F26"/>
    <w:rsid w:val="1830729E"/>
    <w:rsid w:val="18650755"/>
    <w:rsid w:val="1870062C"/>
    <w:rsid w:val="187B448D"/>
    <w:rsid w:val="18817102"/>
    <w:rsid w:val="18830A15"/>
    <w:rsid w:val="18852B28"/>
    <w:rsid w:val="188B5321"/>
    <w:rsid w:val="19563CB9"/>
    <w:rsid w:val="19932372"/>
    <w:rsid w:val="19A20DD5"/>
    <w:rsid w:val="19A838D1"/>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EF6D8A"/>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5D622D"/>
    <w:rsid w:val="208921B3"/>
    <w:rsid w:val="208D5628"/>
    <w:rsid w:val="20973DEB"/>
    <w:rsid w:val="20B26522"/>
    <w:rsid w:val="20B44310"/>
    <w:rsid w:val="211116EB"/>
    <w:rsid w:val="216133FC"/>
    <w:rsid w:val="21C105E1"/>
    <w:rsid w:val="21D56769"/>
    <w:rsid w:val="21E52EF3"/>
    <w:rsid w:val="21FB5D7B"/>
    <w:rsid w:val="22015E94"/>
    <w:rsid w:val="220B1C3D"/>
    <w:rsid w:val="221D1D20"/>
    <w:rsid w:val="22334A87"/>
    <w:rsid w:val="227A4A01"/>
    <w:rsid w:val="22BE6801"/>
    <w:rsid w:val="233500BF"/>
    <w:rsid w:val="23377FF7"/>
    <w:rsid w:val="236A3D4C"/>
    <w:rsid w:val="236B425F"/>
    <w:rsid w:val="23836192"/>
    <w:rsid w:val="23901F29"/>
    <w:rsid w:val="239C0061"/>
    <w:rsid w:val="23B908A4"/>
    <w:rsid w:val="23BA7198"/>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722306"/>
    <w:rsid w:val="26871DC8"/>
    <w:rsid w:val="26A53EF9"/>
    <w:rsid w:val="26A94201"/>
    <w:rsid w:val="26AC274F"/>
    <w:rsid w:val="26C91547"/>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E67BCF"/>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57C6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0E70FE"/>
    <w:rsid w:val="319C6071"/>
    <w:rsid w:val="31AC537E"/>
    <w:rsid w:val="31E3679B"/>
    <w:rsid w:val="31E732FD"/>
    <w:rsid w:val="32517576"/>
    <w:rsid w:val="32BE5C2C"/>
    <w:rsid w:val="32FB6478"/>
    <w:rsid w:val="33263B3F"/>
    <w:rsid w:val="336963EB"/>
    <w:rsid w:val="336C6D3E"/>
    <w:rsid w:val="33816EEB"/>
    <w:rsid w:val="33EB55CD"/>
    <w:rsid w:val="33EC4C02"/>
    <w:rsid w:val="340D2360"/>
    <w:rsid w:val="3410665D"/>
    <w:rsid w:val="34211214"/>
    <w:rsid w:val="342E63AB"/>
    <w:rsid w:val="34950E68"/>
    <w:rsid w:val="34986E94"/>
    <w:rsid w:val="34AF62C9"/>
    <w:rsid w:val="34CB4388"/>
    <w:rsid w:val="34FA6E12"/>
    <w:rsid w:val="352D00BC"/>
    <w:rsid w:val="354D7158"/>
    <w:rsid w:val="358D5588"/>
    <w:rsid w:val="359327BC"/>
    <w:rsid w:val="35B2594C"/>
    <w:rsid w:val="35FB54D9"/>
    <w:rsid w:val="363A3B40"/>
    <w:rsid w:val="36424D85"/>
    <w:rsid w:val="365302AE"/>
    <w:rsid w:val="36607A0A"/>
    <w:rsid w:val="366E227C"/>
    <w:rsid w:val="366F2E0D"/>
    <w:rsid w:val="367B6A5C"/>
    <w:rsid w:val="36A74ADA"/>
    <w:rsid w:val="36AD60D5"/>
    <w:rsid w:val="36B224F9"/>
    <w:rsid w:val="36EB5982"/>
    <w:rsid w:val="36EC0CC9"/>
    <w:rsid w:val="373F410B"/>
    <w:rsid w:val="376D4844"/>
    <w:rsid w:val="37EE7094"/>
    <w:rsid w:val="38296C89"/>
    <w:rsid w:val="383002EB"/>
    <w:rsid w:val="38586797"/>
    <w:rsid w:val="385D15DF"/>
    <w:rsid w:val="38BC0149"/>
    <w:rsid w:val="38D87D1C"/>
    <w:rsid w:val="39636459"/>
    <w:rsid w:val="396B7F6C"/>
    <w:rsid w:val="39B417A9"/>
    <w:rsid w:val="39FC5695"/>
    <w:rsid w:val="3A006D8E"/>
    <w:rsid w:val="3A136626"/>
    <w:rsid w:val="3A1E0383"/>
    <w:rsid w:val="3A3651E5"/>
    <w:rsid w:val="3A744481"/>
    <w:rsid w:val="3A8C7BEF"/>
    <w:rsid w:val="3A906246"/>
    <w:rsid w:val="3B2349B7"/>
    <w:rsid w:val="3B616CFF"/>
    <w:rsid w:val="3B6259F6"/>
    <w:rsid w:val="3B976654"/>
    <w:rsid w:val="3BC01EFC"/>
    <w:rsid w:val="3BCA786A"/>
    <w:rsid w:val="3BD31E2F"/>
    <w:rsid w:val="3BF15831"/>
    <w:rsid w:val="3C0331F7"/>
    <w:rsid w:val="3C105946"/>
    <w:rsid w:val="3C471448"/>
    <w:rsid w:val="3C5F759A"/>
    <w:rsid w:val="3C6C525A"/>
    <w:rsid w:val="3CCE23CB"/>
    <w:rsid w:val="3CD17D17"/>
    <w:rsid w:val="3D3C7F39"/>
    <w:rsid w:val="3D440F09"/>
    <w:rsid w:val="3D4504A0"/>
    <w:rsid w:val="3D8734BB"/>
    <w:rsid w:val="3D9616FC"/>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30FDE"/>
    <w:rsid w:val="3F95482B"/>
    <w:rsid w:val="4019356B"/>
    <w:rsid w:val="40592157"/>
    <w:rsid w:val="406E1CAE"/>
    <w:rsid w:val="40A0133A"/>
    <w:rsid w:val="40C31A53"/>
    <w:rsid w:val="40FE01E6"/>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66335D"/>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0A0A7E"/>
    <w:rsid w:val="4F104EC3"/>
    <w:rsid w:val="4F47354A"/>
    <w:rsid w:val="4F6D3775"/>
    <w:rsid w:val="4F911C54"/>
    <w:rsid w:val="4FD75DAD"/>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2FF7816"/>
    <w:rsid w:val="53097272"/>
    <w:rsid w:val="530B3D85"/>
    <w:rsid w:val="53544462"/>
    <w:rsid w:val="5397158E"/>
    <w:rsid w:val="53A72B6C"/>
    <w:rsid w:val="54013861"/>
    <w:rsid w:val="540A6E1A"/>
    <w:rsid w:val="54487265"/>
    <w:rsid w:val="544D6070"/>
    <w:rsid w:val="54544735"/>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1B338B"/>
    <w:rsid w:val="562C1C65"/>
    <w:rsid w:val="566B6D1E"/>
    <w:rsid w:val="56D71D4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AE71988"/>
    <w:rsid w:val="5B2E1A1D"/>
    <w:rsid w:val="5B843A1C"/>
    <w:rsid w:val="5B873E3F"/>
    <w:rsid w:val="5BF44255"/>
    <w:rsid w:val="5C02690E"/>
    <w:rsid w:val="5C196DA7"/>
    <w:rsid w:val="5C2A048C"/>
    <w:rsid w:val="5C327B4C"/>
    <w:rsid w:val="5C80234E"/>
    <w:rsid w:val="5C8A680C"/>
    <w:rsid w:val="5D0C4701"/>
    <w:rsid w:val="5D0F0395"/>
    <w:rsid w:val="5D1DE5DA"/>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482646"/>
    <w:rsid w:val="5F6277C6"/>
    <w:rsid w:val="5F6D0B1D"/>
    <w:rsid w:val="5F8D0B82"/>
    <w:rsid w:val="5FA40637"/>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643D4"/>
    <w:rsid w:val="619F7F92"/>
    <w:rsid w:val="61BA71F6"/>
    <w:rsid w:val="61C64CD9"/>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15E2C"/>
    <w:rsid w:val="662E75B1"/>
    <w:rsid w:val="66342C2E"/>
    <w:rsid w:val="663E784C"/>
    <w:rsid w:val="668B6A45"/>
    <w:rsid w:val="672F3F24"/>
    <w:rsid w:val="673E055F"/>
    <w:rsid w:val="67551CE3"/>
    <w:rsid w:val="67A22552"/>
    <w:rsid w:val="67B22DCC"/>
    <w:rsid w:val="67BE71AA"/>
    <w:rsid w:val="67C823EF"/>
    <w:rsid w:val="67D90273"/>
    <w:rsid w:val="67DE5875"/>
    <w:rsid w:val="67E55852"/>
    <w:rsid w:val="67EB1AB4"/>
    <w:rsid w:val="67FA1285"/>
    <w:rsid w:val="682269E1"/>
    <w:rsid w:val="68551F4F"/>
    <w:rsid w:val="687C10C9"/>
    <w:rsid w:val="68840C16"/>
    <w:rsid w:val="68876EFB"/>
    <w:rsid w:val="68884654"/>
    <w:rsid w:val="689F444F"/>
    <w:rsid w:val="68B96DBB"/>
    <w:rsid w:val="68BC69A9"/>
    <w:rsid w:val="68CA2805"/>
    <w:rsid w:val="68E937A3"/>
    <w:rsid w:val="693D2E7E"/>
    <w:rsid w:val="693E15D3"/>
    <w:rsid w:val="69627681"/>
    <w:rsid w:val="6977531D"/>
    <w:rsid w:val="69CC2BFF"/>
    <w:rsid w:val="69FD55B8"/>
    <w:rsid w:val="6A0B1C62"/>
    <w:rsid w:val="6A2406C8"/>
    <w:rsid w:val="6A772886"/>
    <w:rsid w:val="6AC256DB"/>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9F2B3A"/>
    <w:rsid w:val="6ED446C5"/>
    <w:rsid w:val="6F084B83"/>
    <w:rsid w:val="6F2A7D94"/>
    <w:rsid w:val="6F8331F1"/>
    <w:rsid w:val="6FAE1A09"/>
    <w:rsid w:val="6FD75BF8"/>
    <w:rsid w:val="70713D1E"/>
    <w:rsid w:val="707723D0"/>
    <w:rsid w:val="70F5661B"/>
    <w:rsid w:val="71360107"/>
    <w:rsid w:val="713B688E"/>
    <w:rsid w:val="719F449E"/>
    <w:rsid w:val="71D43752"/>
    <w:rsid w:val="71F1796A"/>
    <w:rsid w:val="72154626"/>
    <w:rsid w:val="72262B5D"/>
    <w:rsid w:val="72277FEF"/>
    <w:rsid w:val="72283FF7"/>
    <w:rsid w:val="722E7212"/>
    <w:rsid w:val="723A0474"/>
    <w:rsid w:val="725923E4"/>
    <w:rsid w:val="72864BF7"/>
    <w:rsid w:val="729023FC"/>
    <w:rsid w:val="73C0646E"/>
    <w:rsid w:val="742222F5"/>
    <w:rsid w:val="74476126"/>
    <w:rsid w:val="74706664"/>
    <w:rsid w:val="747F3682"/>
    <w:rsid w:val="749C4185"/>
    <w:rsid w:val="74C257AA"/>
    <w:rsid w:val="75067759"/>
    <w:rsid w:val="751002ED"/>
    <w:rsid w:val="752E6DCD"/>
    <w:rsid w:val="7551380D"/>
    <w:rsid w:val="75600BE5"/>
    <w:rsid w:val="7564475C"/>
    <w:rsid w:val="7583797F"/>
    <w:rsid w:val="75D20F1D"/>
    <w:rsid w:val="75DA2C18"/>
    <w:rsid w:val="75F54412"/>
    <w:rsid w:val="761D08E0"/>
    <w:rsid w:val="765D347C"/>
    <w:rsid w:val="76826699"/>
    <w:rsid w:val="76873BC1"/>
    <w:rsid w:val="76C87133"/>
    <w:rsid w:val="76CD08D5"/>
    <w:rsid w:val="76DB4B92"/>
    <w:rsid w:val="76FF5330"/>
    <w:rsid w:val="77052AA4"/>
    <w:rsid w:val="77136511"/>
    <w:rsid w:val="77167A87"/>
    <w:rsid w:val="77340A39"/>
    <w:rsid w:val="77351FD0"/>
    <w:rsid w:val="77472422"/>
    <w:rsid w:val="777F31F2"/>
    <w:rsid w:val="77D1700D"/>
    <w:rsid w:val="77EA74CC"/>
    <w:rsid w:val="77EC04CC"/>
    <w:rsid w:val="78775729"/>
    <w:rsid w:val="78A42DB0"/>
    <w:rsid w:val="78A656AB"/>
    <w:rsid w:val="78B2245C"/>
    <w:rsid w:val="78E172CC"/>
    <w:rsid w:val="78EA1D1F"/>
    <w:rsid w:val="7904172F"/>
    <w:rsid w:val="790F7E27"/>
    <w:rsid w:val="792A231A"/>
    <w:rsid w:val="79316829"/>
    <w:rsid w:val="79635B60"/>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6732F0"/>
    <w:rsid w:val="7C7C10F6"/>
    <w:rsid w:val="7C853BEA"/>
    <w:rsid w:val="7C881368"/>
    <w:rsid w:val="7CE27788"/>
    <w:rsid w:val="7CEC60E8"/>
    <w:rsid w:val="7D0C32F1"/>
    <w:rsid w:val="7D0F408D"/>
    <w:rsid w:val="7D22211C"/>
    <w:rsid w:val="7D491C6C"/>
    <w:rsid w:val="7D5429C0"/>
    <w:rsid w:val="7D6E6D43"/>
    <w:rsid w:val="7DB57A34"/>
    <w:rsid w:val="7DE60973"/>
    <w:rsid w:val="7DEF0916"/>
    <w:rsid w:val="7E1E5218"/>
    <w:rsid w:val="7E9A4E1F"/>
    <w:rsid w:val="7EA7723A"/>
    <w:rsid w:val="7EBE8AB3"/>
    <w:rsid w:val="7EF56FBB"/>
    <w:rsid w:val="7F0768EB"/>
    <w:rsid w:val="7F143BEC"/>
    <w:rsid w:val="7F715AF2"/>
    <w:rsid w:val="7F886E69"/>
    <w:rsid w:val="7F9DEFDD"/>
    <w:rsid w:val="7FDF7E14"/>
    <w:rsid w:val="9C2DC1F0"/>
    <w:rsid w:val="9EFF1932"/>
    <w:rsid w:val="BB7FA927"/>
    <w:rsid w:val="BE17C5AF"/>
    <w:rsid w:val="DEFB09E1"/>
    <w:rsid w:val="EFFFB235"/>
    <w:rsid w:val="F5FFD31F"/>
    <w:rsid w:val="F63D9962"/>
    <w:rsid w:val="F7FF2692"/>
    <w:rsid w:val="FA7FF16F"/>
    <w:rsid w:val="FBDC34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5"/>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0"/>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1"/>
    <w:autoRedefine/>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5"/>
    <w:link w:val="262"/>
    <w:autoRedefine/>
    <w:qFormat/>
    <w:uiPriority w:val="0"/>
    <w:pPr>
      <w:spacing w:line="480" w:lineRule="exact"/>
      <w:ind w:firstLine="480" w:firstLineChars="200"/>
    </w:pPr>
    <w:rPr>
      <w:rFonts w:ascii="宋体" w:hAnsi="宋体"/>
      <w:sz w:val="24"/>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7"/>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0"/>
    <w:autoRedefine/>
    <w:qFormat/>
    <w:uiPriority w:val="0"/>
    <w:pPr>
      <w:shd w:val="clear" w:color="auto" w:fill="000080"/>
    </w:pPr>
  </w:style>
  <w:style w:type="paragraph" w:styleId="20">
    <w:name w:val="annotation text"/>
    <w:basedOn w:val="1"/>
    <w:link w:val="341"/>
    <w:autoRedefine/>
    <w:qFormat/>
    <w:uiPriority w:val="99"/>
    <w:pPr>
      <w:jc w:val="left"/>
    </w:pPr>
  </w:style>
  <w:style w:type="paragraph" w:styleId="21">
    <w:name w:val="Salutation"/>
    <w:basedOn w:val="1"/>
    <w:next w:val="1"/>
    <w:link w:val="295"/>
    <w:autoRedefine/>
    <w:qFormat/>
    <w:uiPriority w:val="0"/>
    <w:rPr>
      <w:rFonts w:ascii="仿宋_GB2312" w:eastAsia="仿宋_GB2312"/>
      <w:sz w:val="28"/>
      <w:szCs w:val="20"/>
    </w:rPr>
  </w:style>
  <w:style w:type="paragraph" w:styleId="22">
    <w:name w:val="Body Text 3"/>
    <w:basedOn w:val="1"/>
    <w:link w:val="327"/>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7"/>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3"/>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79"/>
    <w:autoRedefine/>
    <w:qFormat/>
    <w:uiPriority w:val="0"/>
    <w:pPr>
      <w:ind w:left="100" w:leftChars="2500"/>
    </w:pPr>
    <w:rPr>
      <w:rFonts w:ascii="宋体"/>
      <w:sz w:val="24"/>
      <w:szCs w:val="21"/>
      <w:lang w:val="zh-CN"/>
    </w:rPr>
  </w:style>
  <w:style w:type="paragraph" w:styleId="36">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29"/>
    <w:autoRedefine/>
    <w:qFormat/>
    <w:uiPriority w:val="0"/>
    <w:rPr>
      <w:lang w:val="zh-CN"/>
    </w:rPr>
  </w:style>
  <w:style w:type="paragraph" w:styleId="38">
    <w:name w:val="Balloon Text"/>
    <w:basedOn w:val="1"/>
    <w:link w:val="186"/>
    <w:autoRedefine/>
    <w:qFormat/>
    <w:uiPriority w:val="0"/>
    <w:rPr>
      <w:sz w:val="18"/>
      <w:szCs w:val="18"/>
    </w:rPr>
  </w:style>
  <w:style w:type="paragraph" w:styleId="39">
    <w:name w:val="footer"/>
    <w:basedOn w:val="1"/>
    <w:link w:val="380"/>
    <w:autoRedefine/>
    <w:qFormat/>
    <w:uiPriority w:val="99"/>
    <w:pPr>
      <w:tabs>
        <w:tab w:val="center" w:pos="4153"/>
        <w:tab w:val="right" w:pos="8306"/>
      </w:tabs>
      <w:snapToGrid w:val="0"/>
      <w:jc w:val="left"/>
    </w:pPr>
    <w:rPr>
      <w:sz w:val="18"/>
      <w:szCs w:val="18"/>
    </w:rPr>
  </w:style>
  <w:style w:type="paragraph" w:styleId="40">
    <w:name w:val="header"/>
    <w:basedOn w:val="1"/>
    <w:link w:val="389"/>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1"/>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2"/>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299"/>
    <w:autoRedefine/>
    <w:qFormat/>
    <w:uiPriority w:val="0"/>
    <w:pPr>
      <w:spacing w:after="120" w:line="480" w:lineRule="auto"/>
    </w:pPr>
  </w:style>
  <w:style w:type="paragraph" w:styleId="56">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4"/>
    <w:autoRedefine/>
    <w:qFormat/>
    <w:uiPriority w:val="0"/>
    <w:rPr>
      <w:b/>
      <w:bCs/>
    </w:rPr>
  </w:style>
  <w:style w:type="paragraph" w:styleId="60">
    <w:name w:val="Body Text First Indent"/>
    <w:basedOn w:val="24"/>
    <w:link w:val="318"/>
    <w:autoRedefine/>
    <w:qFormat/>
    <w:uiPriority w:val="0"/>
    <w:pPr>
      <w:ind w:firstLine="420"/>
    </w:pPr>
    <w:rPr>
      <w:rFonts w:hAnsi="Calibri" w:cs="Times New Roman"/>
      <w:snapToGrid/>
      <w:szCs w:val="20"/>
    </w:rPr>
  </w:style>
  <w:style w:type="paragraph" w:styleId="61">
    <w:name w:val="Body Text First Indent 2"/>
    <w:basedOn w:val="6"/>
    <w:link w:val="119"/>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styleId="79">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80">
    <w:name w:val="表格非标题文字 Char"/>
    <w:link w:val="81"/>
    <w:autoRedefine/>
    <w:qFormat/>
    <w:uiPriority w:val="0"/>
    <w:rPr>
      <w:rFonts w:ascii="Futura Bk" w:hAnsi="Futura Bk"/>
      <w:kern w:val="2"/>
      <w:sz w:val="18"/>
      <w:szCs w:val="21"/>
      <w:lang w:val="en-US" w:eastAsia="zh-CN" w:bidi="ar-SA"/>
    </w:rPr>
  </w:style>
  <w:style w:type="paragraph" w:customStyle="1" w:styleId="81">
    <w:name w:val="表格非标题文字"/>
    <w:link w:val="80"/>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autoRedefine/>
    <w:qFormat/>
    <w:locked/>
    <w:uiPriority w:val="0"/>
    <w:rPr>
      <w:rFonts w:ascii="宋体" w:hAnsi="宋体"/>
      <w:sz w:val="24"/>
    </w:rPr>
  </w:style>
  <w:style w:type="paragraph" w:customStyle="1" w:styleId="83">
    <w:name w:val="*正文"/>
    <w:basedOn w:val="1"/>
    <w:link w:val="82"/>
    <w:autoRedefine/>
    <w:qFormat/>
    <w:uiPriority w:val="0"/>
    <w:pPr>
      <w:snapToGrid w:val="0"/>
      <w:spacing w:line="360" w:lineRule="auto"/>
      <w:ind w:firstLine="482"/>
      <w:jc w:val="left"/>
    </w:pPr>
    <w:rPr>
      <w:rFonts w:ascii="宋体" w:hAnsi="宋体"/>
      <w:kern w:val="0"/>
      <w:sz w:val="24"/>
      <w:szCs w:val="20"/>
    </w:rPr>
  </w:style>
  <w:style w:type="character" w:customStyle="1" w:styleId="84">
    <w:name w:val="Char Char71"/>
    <w:autoRedefine/>
    <w:semiHidden/>
    <w:qFormat/>
    <w:uiPriority w:val="0"/>
    <w:rPr>
      <w:rFonts w:eastAsia="宋体"/>
      <w:kern w:val="2"/>
      <w:sz w:val="21"/>
      <w:szCs w:val="24"/>
      <w:lang w:val="en-US" w:eastAsia="zh-CN" w:bidi="ar-SA"/>
    </w:rPr>
  </w:style>
  <w:style w:type="character" w:customStyle="1" w:styleId="85">
    <w:name w:val="Char Char6"/>
    <w:autoRedefine/>
    <w:qFormat/>
    <w:uiPriority w:val="0"/>
    <w:rPr>
      <w:rFonts w:eastAsia="宋体"/>
      <w:kern w:val="2"/>
      <w:sz w:val="21"/>
      <w:szCs w:val="24"/>
      <w:lang w:val="en-US" w:eastAsia="zh-CN" w:bidi="ar-SA"/>
    </w:rPr>
  </w:style>
  <w:style w:type="character" w:customStyle="1" w:styleId="86">
    <w:name w:val="正文缩进 Char"/>
    <w:autoRedefine/>
    <w:qFormat/>
    <w:uiPriority w:val="0"/>
    <w:rPr>
      <w:rFonts w:eastAsia="宋体"/>
      <w:kern w:val="2"/>
      <w:sz w:val="21"/>
      <w:lang w:val="en-US" w:eastAsia="zh-CN"/>
    </w:rPr>
  </w:style>
  <w:style w:type="character" w:customStyle="1" w:styleId="8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8">
    <w:name w:val="Char Char28"/>
    <w:autoRedefine/>
    <w:qFormat/>
    <w:uiPriority w:val="6"/>
    <w:rPr>
      <w:rFonts w:ascii="仿宋_GB2312" w:hAnsi="仿宋_GB2312" w:eastAsia="仿宋_GB2312"/>
      <w:kern w:val="1"/>
      <w:sz w:val="28"/>
    </w:rPr>
  </w:style>
  <w:style w:type="character" w:customStyle="1" w:styleId="8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autoRedefine/>
    <w:qFormat/>
    <w:uiPriority w:val="6"/>
    <w:rPr>
      <w:rFonts w:ascii="Times New Roman" w:hAnsi="Times New Roman" w:eastAsia="黑体" w:cs="Times New Roman"/>
      <w:b/>
      <w:kern w:val="0"/>
      <w:sz w:val="24"/>
      <w:szCs w:val="24"/>
    </w:rPr>
  </w:style>
  <w:style w:type="character" w:customStyle="1" w:styleId="91">
    <w:name w:val="U_正文 Char"/>
    <w:link w:val="92"/>
    <w:autoRedefine/>
    <w:qFormat/>
    <w:uiPriority w:val="0"/>
    <w:rPr>
      <w:sz w:val="24"/>
      <w:szCs w:val="24"/>
    </w:rPr>
  </w:style>
  <w:style w:type="paragraph" w:customStyle="1" w:styleId="92">
    <w:name w:val="U_正文"/>
    <w:basedOn w:val="1"/>
    <w:link w:val="91"/>
    <w:autoRedefine/>
    <w:qFormat/>
    <w:uiPriority w:val="0"/>
    <w:pPr>
      <w:adjustRightInd/>
      <w:spacing w:beforeLines="20" w:afterLines="20" w:line="300" w:lineRule="auto"/>
      <w:ind w:firstLine="200" w:firstLineChars="200"/>
    </w:pPr>
    <w:rPr>
      <w:kern w:val="0"/>
      <w:sz w:val="24"/>
    </w:rPr>
  </w:style>
  <w:style w:type="character" w:customStyle="1" w:styleId="93">
    <w:name w:val="HTML 地址 Char1"/>
    <w:autoRedefine/>
    <w:qFormat/>
    <w:uiPriority w:val="0"/>
    <w:rPr>
      <w:rFonts w:ascii="Times New Roman" w:hAnsi="Times New Roman" w:eastAsia="宋体" w:cs="Times New Roman"/>
      <w:i/>
      <w:iCs/>
      <w:szCs w:val="24"/>
    </w:rPr>
  </w:style>
  <w:style w:type="character" w:customStyle="1" w:styleId="94">
    <w:name w:val="批注主题 字符"/>
    <w:link w:val="59"/>
    <w:autoRedefine/>
    <w:qFormat/>
    <w:uiPriority w:val="0"/>
    <w:rPr>
      <w:b/>
      <w:bCs/>
      <w:kern w:val="2"/>
      <w:sz w:val="21"/>
      <w:szCs w:val="24"/>
    </w:rPr>
  </w:style>
  <w:style w:type="character" w:customStyle="1" w:styleId="95">
    <w:name w:val="Char Char51"/>
    <w:autoRedefine/>
    <w:qFormat/>
    <w:uiPriority w:val="0"/>
    <w:rPr>
      <w:rFonts w:ascii="宋体" w:hAnsi="Courier New" w:eastAsia="宋体"/>
      <w:kern w:val="2"/>
      <w:sz w:val="21"/>
      <w:lang w:val="en-US" w:eastAsia="zh-CN"/>
    </w:rPr>
  </w:style>
  <w:style w:type="character" w:customStyle="1" w:styleId="96">
    <w:name w:val="表正文 Char"/>
    <w:autoRedefine/>
    <w:qFormat/>
    <w:uiPriority w:val="0"/>
    <w:rPr>
      <w:rFonts w:ascii="宋体" w:eastAsia="宋体"/>
      <w:snapToGrid w:val="0"/>
      <w:color w:val="000000"/>
      <w:kern w:val="28"/>
      <w:sz w:val="28"/>
      <w:lang w:val="en-US" w:eastAsia="zh-CN" w:bidi="ar-SA"/>
    </w:rPr>
  </w:style>
  <w:style w:type="character" w:customStyle="1" w:styleId="97">
    <w:name w:val="Char Char34"/>
    <w:autoRedefine/>
    <w:qFormat/>
    <w:uiPriority w:val="6"/>
    <w:rPr>
      <w:b/>
      <w:kern w:val="1"/>
      <w:sz w:val="28"/>
      <w:szCs w:val="28"/>
    </w:rPr>
  </w:style>
  <w:style w:type="character" w:customStyle="1" w:styleId="98">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autoRedefine/>
    <w:qFormat/>
    <w:uiPriority w:val="0"/>
    <w:rPr>
      <w:rFonts w:ascii="宋体" w:hAnsi="宋体" w:eastAsia="宋体"/>
      <w:kern w:val="2"/>
      <w:sz w:val="24"/>
      <w:lang w:bidi="ar-SA"/>
    </w:rPr>
  </w:style>
  <w:style w:type="paragraph" w:customStyle="1" w:styleId="100">
    <w:name w:val="哈哈正文"/>
    <w:basedOn w:val="1"/>
    <w:link w:val="99"/>
    <w:autoRedefine/>
    <w:qFormat/>
    <w:uiPriority w:val="0"/>
    <w:pPr>
      <w:adjustRightInd/>
      <w:spacing w:line="360" w:lineRule="auto"/>
      <w:ind w:firstLine="200" w:firstLineChars="200"/>
    </w:pPr>
    <w:rPr>
      <w:rFonts w:ascii="宋体" w:hAnsi="宋体"/>
      <w:sz w:val="24"/>
      <w:szCs w:val="20"/>
    </w:rPr>
  </w:style>
  <w:style w:type="character" w:customStyle="1" w:styleId="101">
    <w:name w:val="未处理的提及1"/>
    <w:autoRedefine/>
    <w:qFormat/>
    <w:uiPriority w:val="0"/>
    <w:rPr>
      <w:color w:val="808080"/>
      <w:shd w:val="clear" w:color="auto" w:fill="E6E6E6"/>
    </w:rPr>
  </w:style>
  <w:style w:type="character" w:customStyle="1" w:styleId="102">
    <w:name w:val="txt"/>
    <w:autoRedefine/>
    <w:qFormat/>
    <w:uiPriority w:val="0"/>
    <w:rPr>
      <w:rFonts w:ascii="仿宋_GB2312" w:eastAsia="微软雅黑"/>
      <w:b/>
      <w:kern w:val="2"/>
      <w:sz w:val="32"/>
      <w:szCs w:val="32"/>
      <w:lang w:val="en-US" w:eastAsia="zh-CN" w:bidi="ar-SA"/>
    </w:rPr>
  </w:style>
  <w:style w:type="character" w:customStyle="1" w:styleId="103">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4">
    <w:name w:val="Char Char32"/>
    <w:autoRedefine/>
    <w:qFormat/>
    <w:uiPriority w:val="6"/>
    <w:rPr>
      <w:b/>
      <w:kern w:val="1"/>
      <w:sz w:val="24"/>
      <w:szCs w:val="24"/>
    </w:rPr>
  </w:style>
  <w:style w:type="character" w:customStyle="1" w:styleId="105">
    <w:name w:val="PI Char1"/>
    <w:autoRedefine/>
    <w:qFormat/>
    <w:uiPriority w:val="0"/>
    <w:rPr>
      <w:rFonts w:ascii="宋体" w:hAnsi="宋体"/>
      <w:kern w:val="2"/>
      <w:sz w:val="24"/>
      <w:szCs w:val="24"/>
    </w:rPr>
  </w:style>
  <w:style w:type="character" w:customStyle="1" w:styleId="106">
    <w:name w:val="tw4winTerm"/>
    <w:autoRedefine/>
    <w:qFormat/>
    <w:uiPriority w:val="0"/>
    <w:rPr>
      <w:color w:val="0000FF"/>
    </w:rPr>
  </w:style>
  <w:style w:type="character" w:customStyle="1" w:styleId="107">
    <w:name w:val="Footer Char"/>
    <w:autoRedefine/>
    <w:qFormat/>
    <w:locked/>
    <w:uiPriority w:val="0"/>
    <w:rPr>
      <w:rFonts w:eastAsia="宋体"/>
      <w:kern w:val="2"/>
      <w:sz w:val="18"/>
      <w:lang w:val="en-US" w:eastAsia="zh-CN" w:bidi="ar-SA"/>
    </w:rPr>
  </w:style>
  <w:style w:type="character" w:customStyle="1" w:styleId="108">
    <w:name w:val="普通文字 Char Char1"/>
    <w:autoRedefine/>
    <w:qFormat/>
    <w:uiPriority w:val="0"/>
    <w:rPr>
      <w:rFonts w:ascii="宋体" w:hAnsi="Courier New"/>
      <w:kern w:val="2"/>
      <w:sz w:val="21"/>
    </w:rPr>
  </w:style>
  <w:style w:type="character" w:customStyle="1" w:styleId="109">
    <w:name w:val="Char Char101"/>
    <w:autoRedefine/>
    <w:qFormat/>
    <w:uiPriority w:val="6"/>
    <w:rPr>
      <w:rFonts w:ascii="宋体" w:hAnsi="宋体"/>
      <w:kern w:val="2"/>
      <w:sz w:val="21"/>
      <w:szCs w:val="24"/>
      <w:lang w:val="en-US" w:eastAsia="zh-CN"/>
    </w:rPr>
  </w:style>
  <w:style w:type="character" w:customStyle="1" w:styleId="110">
    <w:name w:val="标题 4 Char"/>
    <w:autoRedefine/>
    <w:qFormat/>
    <w:uiPriority w:val="0"/>
    <w:rPr>
      <w:rFonts w:ascii="Arial" w:hAnsi="Arial" w:eastAsia="黑体"/>
      <w:b/>
      <w:kern w:val="2"/>
      <w:sz w:val="28"/>
    </w:rPr>
  </w:style>
  <w:style w:type="character" w:customStyle="1" w:styleId="111">
    <w:name w:val="链接"/>
    <w:autoRedefine/>
    <w:qFormat/>
    <w:uiPriority w:val="0"/>
    <w:rPr>
      <w:color w:val="0000FF"/>
      <w:sz w:val="21"/>
      <w:szCs w:val="21"/>
      <w:u w:val="single"/>
    </w:rPr>
  </w:style>
  <w:style w:type="character" w:customStyle="1" w:styleId="112">
    <w:name w:val="h4 Char"/>
    <w:autoRedefine/>
    <w:qFormat/>
    <w:uiPriority w:val="0"/>
    <w:rPr>
      <w:rFonts w:ascii="Arial" w:hAnsi="Arial" w:eastAsia="黑体"/>
      <w:b/>
      <w:bCs/>
      <w:kern w:val="2"/>
      <w:sz w:val="28"/>
      <w:szCs w:val="28"/>
      <w:lang w:val="zh-CN" w:eastAsia="zh-CN" w:bidi="ar-SA"/>
    </w:rPr>
  </w:style>
  <w:style w:type="character" w:customStyle="1" w:styleId="113">
    <w:name w:val="5正文 Char"/>
    <w:link w:val="114"/>
    <w:autoRedefine/>
    <w:qFormat/>
    <w:uiPriority w:val="0"/>
    <w:rPr>
      <w:rFonts w:ascii="仿宋_GB2312" w:hAnsi="微软雅黑" w:eastAsia="仿宋_GB2312"/>
      <w:sz w:val="28"/>
      <w:szCs w:val="21"/>
    </w:rPr>
  </w:style>
  <w:style w:type="paragraph" w:customStyle="1" w:styleId="114">
    <w:name w:val="5正文"/>
    <w:basedOn w:val="1"/>
    <w:link w:val="113"/>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autoRedefine/>
    <w:qFormat/>
    <w:uiPriority w:val="9"/>
    <w:rPr>
      <w:b/>
      <w:bCs/>
      <w:kern w:val="2"/>
      <w:sz w:val="32"/>
      <w:szCs w:val="32"/>
    </w:rPr>
  </w:style>
  <w:style w:type="character" w:customStyle="1" w:styleId="116">
    <w:name w:val="样式6 Char"/>
    <w:autoRedefine/>
    <w:qFormat/>
    <w:uiPriority w:val="0"/>
    <w:rPr>
      <w:rFonts w:ascii="仿宋_GB2312" w:hAnsi="宋体" w:eastAsia="仿宋_GB2312"/>
      <w:b/>
      <w:bCs/>
      <w:kern w:val="2"/>
      <w:sz w:val="24"/>
      <w:szCs w:val="24"/>
      <w:lang w:val="en-US" w:eastAsia="zh-CN" w:bidi="ar-SA"/>
    </w:rPr>
  </w:style>
  <w:style w:type="character" w:customStyle="1" w:styleId="117">
    <w:name w:val="Char Char14"/>
    <w:autoRedefine/>
    <w:qFormat/>
    <w:uiPriority w:val="6"/>
    <w:rPr>
      <w:rFonts w:ascii="黑体" w:hAnsi="黑体" w:eastAsia="黑体"/>
    </w:rPr>
  </w:style>
  <w:style w:type="character" w:customStyle="1" w:styleId="118">
    <w:name w:val="Heading 2 Hidden Char"/>
    <w:autoRedefine/>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61"/>
    <w:autoRedefine/>
    <w:qFormat/>
    <w:uiPriority w:val="0"/>
    <w:rPr>
      <w:rFonts w:ascii="宋体" w:hAnsi="宋体"/>
      <w:kern w:val="2"/>
      <w:sz w:val="21"/>
      <w:szCs w:val="24"/>
    </w:rPr>
  </w:style>
  <w:style w:type="character" w:customStyle="1" w:styleId="120">
    <w:name w:val="font11"/>
    <w:autoRedefine/>
    <w:qFormat/>
    <w:uiPriority w:val="0"/>
    <w:rPr>
      <w:rFonts w:hint="default" w:ascii="Times New Roman" w:hAnsi="Times New Roman" w:cs="Times New Roman"/>
      <w:color w:val="000000"/>
      <w:sz w:val="22"/>
      <w:szCs w:val="22"/>
      <w:u w:val="none"/>
    </w:rPr>
  </w:style>
  <w:style w:type="character" w:customStyle="1" w:styleId="121">
    <w:name w:val="表正文 Char1"/>
    <w:autoRedefine/>
    <w:qFormat/>
    <w:uiPriority w:val="0"/>
    <w:rPr>
      <w:rFonts w:ascii="宋体" w:eastAsia="宋体"/>
      <w:snapToGrid w:val="0"/>
      <w:color w:val="000000"/>
      <w:kern w:val="28"/>
      <w:sz w:val="28"/>
    </w:rPr>
  </w:style>
  <w:style w:type="character" w:customStyle="1" w:styleId="122">
    <w:name w:val="blue1"/>
    <w:basedOn w:val="69"/>
    <w:autoRedefine/>
    <w:qFormat/>
    <w:uiPriority w:val="0"/>
    <w:rPr>
      <w:rFonts w:ascii="Arial" w:hAnsi="Arial" w:eastAsia="黑体" w:cs="Arial"/>
      <w:snapToGrid w:val="0"/>
      <w:kern w:val="0"/>
      <w:szCs w:val="21"/>
    </w:rPr>
  </w:style>
  <w:style w:type="character" w:customStyle="1" w:styleId="123">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24">
    <w:name w:val="标书1 Char"/>
    <w:autoRedefine/>
    <w:qFormat/>
    <w:uiPriority w:val="0"/>
    <w:rPr>
      <w:rFonts w:eastAsia="宋体"/>
      <w:b/>
      <w:bCs/>
      <w:kern w:val="44"/>
      <w:sz w:val="44"/>
      <w:szCs w:val="44"/>
      <w:lang w:val="en-US" w:eastAsia="zh-CN" w:bidi="ar-SA"/>
    </w:rPr>
  </w:style>
  <w:style w:type="character" w:customStyle="1" w:styleId="125">
    <w:name w:val="样式5 Char"/>
    <w:autoRedefine/>
    <w:qFormat/>
    <w:uiPriority w:val="0"/>
    <w:rPr>
      <w:rFonts w:ascii="仿宋_GB2312" w:hAnsi="仿宋" w:eastAsia="仿宋_GB2312"/>
      <w:kern w:val="2"/>
      <w:sz w:val="24"/>
      <w:szCs w:val="24"/>
    </w:rPr>
  </w:style>
  <w:style w:type="character" w:customStyle="1" w:styleId="126">
    <w:name w:val="样式4 Char"/>
    <w:autoRedefine/>
    <w:qFormat/>
    <w:uiPriority w:val="0"/>
    <w:rPr>
      <w:rFonts w:ascii="仿宋_GB2312" w:hAnsi="仿宋" w:eastAsia="仿宋_GB2312"/>
      <w:b/>
      <w:kern w:val="2"/>
      <w:sz w:val="32"/>
      <w:szCs w:val="32"/>
      <w:lang w:bidi="ar-SA"/>
    </w:rPr>
  </w:style>
  <w:style w:type="character" w:customStyle="1" w:styleId="127">
    <w:name w:val="插图说明 Char"/>
    <w:autoRedefine/>
    <w:qFormat/>
    <w:uiPriority w:val="0"/>
    <w:rPr>
      <w:rFonts w:eastAsia="黑体"/>
      <w:sz w:val="24"/>
      <w:lang w:val="en-US" w:eastAsia="zh-CN"/>
    </w:rPr>
  </w:style>
  <w:style w:type="character" w:customStyle="1" w:styleId="128">
    <w:name w:val="正文2 Char Char"/>
    <w:link w:val="129"/>
    <w:autoRedefine/>
    <w:qFormat/>
    <w:uiPriority w:val="0"/>
    <w:rPr>
      <w:rFonts w:eastAsia="宋体"/>
      <w:kern w:val="2"/>
      <w:sz w:val="24"/>
      <w:lang w:val="en-US" w:eastAsia="zh-CN" w:bidi="ar-SA"/>
    </w:rPr>
  </w:style>
  <w:style w:type="paragraph" w:customStyle="1" w:styleId="129">
    <w:name w:val="正文2"/>
    <w:basedOn w:val="1"/>
    <w:link w:val="128"/>
    <w:autoRedefine/>
    <w:qFormat/>
    <w:uiPriority w:val="0"/>
    <w:pPr>
      <w:spacing w:before="156" w:line="360" w:lineRule="auto"/>
      <w:ind w:firstLine="510" w:firstLineChars="200"/>
    </w:pPr>
    <w:rPr>
      <w:sz w:val="24"/>
      <w:szCs w:val="20"/>
    </w:rPr>
  </w:style>
  <w:style w:type="character" w:customStyle="1" w:styleId="130">
    <w:name w:val="Char Char24"/>
    <w:autoRedefine/>
    <w:qFormat/>
    <w:uiPriority w:val="6"/>
    <w:rPr>
      <w:kern w:val="1"/>
      <w:sz w:val="21"/>
    </w:rPr>
  </w:style>
  <w:style w:type="character" w:customStyle="1" w:styleId="131">
    <w:name w:val="副标题 字符"/>
    <w:link w:val="46"/>
    <w:autoRedefine/>
    <w:qFormat/>
    <w:uiPriority w:val="0"/>
    <w:rPr>
      <w:rFonts w:ascii="Arial" w:hAnsi="Arial" w:eastAsia="隶书"/>
      <w:b/>
      <w:bCs/>
      <w:kern w:val="28"/>
      <w:sz w:val="44"/>
      <w:szCs w:val="32"/>
      <w:lang w:val="en-US" w:eastAsia="zh-CN" w:bidi="ar-SA"/>
    </w:rPr>
  </w:style>
  <w:style w:type="character" w:customStyle="1" w:styleId="132">
    <w:name w:val="普通文字 Char1 Char"/>
    <w:autoRedefine/>
    <w:qFormat/>
    <w:uiPriority w:val="0"/>
    <w:rPr>
      <w:rFonts w:ascii="宋体" w:hAnsi="Courier New" w:eastAsia="宋体"/>
      <w:kern w:val="2"/>
      <w:sz w:val="21"/>
      <w:szCs w:val="24"/>
      <w:lang w:val="en-US" w:eastAsia="zh-CN" w:bidi="ar-SA"/>
    </w:rPr>
  </w:style>
  <w:style w:type="character" w:customStyle="1" w:styleId="133">
    <w:name w:val="h3 Char1"/>
    <w:autoRedefine/>
    <w:qFormat/>
    <w:uiPriority w:val="0"/>
    <w:rPr>
      <w:rFonts w:eastAsia="宋体"/>
      <w:b/>
      <w:bCs/>
      <w:kern w:val="2"/>
      <w:sz w:val="32"/>
      <w:szCs w:val="32"/>
      <w:lang w:bidi="ar-SA"/>
    </w:rPr>
  </w:style>
  <w:style w:type="character" w:customStyle="1" w:styleId="134">
    <w:name w:val="标题 Char1"/>
    <w:autoRedefine/>
    <w:qFormat/>
    <w:uiPriority w:val="0"/>
    <w:rPr>
      <w:rFonts w:ascii="Cambria" w:hAnsi="Cambria" w:eastAsia="宋体" w:cs="Times New Roman"/>
      <w:b/>
      <w:bCs/>
      <w:sz w:val="32"/>
      <w:szCs w:val="32"/>
      <w:lang w:bidi="ar-SA"/>
    </w:rPr>
  </w:style>
  <w:style w:type="character" w:customStyle="1" w:styleId="135">
    <w:name w:val="gf正文1 Char"/>
    <w:autoRedefine/>
    <w:qFormat/>
    <w:uiPriority w:val="0"/>
    <w:rPr>
      <w:rFonts w:ascii="宋体" w:hAnsi="宋体" w:eastAsia="宋体" w:cs="宋体"/>
      <w:kern w:val="2"/>
      <w:sz w:val="24"/>
      <w:szCs w:val="24"/>
      <w:lang w:val="en-US" w:eastAsia="zh-CN" w:bidi="ar-SA"/>
    </w:rPr>
  </w:style>
  <w:style w:type="character" w:customStyle="1" w:styleId="136">
    <w:name w:val="正文文本缩进 Char1"/>
    <w:autoRedefine/>
    <w:qFormat/>
    <w:uiPriority w:val="0"/>
    <w:rPr>
      <w:rFonts w:ascii="Calibri" w:hAnsi="Calibri"/>
      <w:sz w:val="28"/>
    </w:rPr>
  </w:style>
  <w:style w:type="character" w:customStyle="1" w:styleId="137">
    <w:name w:val="No Spacing Char"/>
    <w:link w:val="138"/>
    <w:autoRedefine/>
    <w:qFormat/>
    <w:uiPriority w:val="1"/>
    <w:rPr>
      <w:sz w:val="22"/>
      <w:szCs w:val="22"/>
      <w:lang w:val="en-US" w:eastAsia="zh-CN" w:bidi="ar-SA"/>
    </w:rPr>
  </w:style>
  <w:style w:type="paragraph" w:customStyle="1" w:styleId="138">
    <w:name w:val="无间隔1"/>
    <w:link w:val="137"/>
    <w:autoRedefine/>
    <w:qFormat/>
    <w:uiPriority w:val="1"/>
    <w:rPr>
      <w:rFonts w:ascii="Times New Roman" w:hAnsi="Times New Roman" w:eastAsia="宋体" w:cs="Times New Roman"/>
      <w:sz w:val="22"/>
      <w:szCs w:val="22"/>
      <w:lang w:val="en-US" w:eastAsia="zh-CN" w:bidi="ar-SA"/>
    </w:rPr>
  </w:style>
  <w:style w:type="character" w:customStyle="1" w:styleId="139">
    <w:name w:val="样式7 Char"/>
    <w:autoRedefine/>
    <w:qFormat/>
    <w:uiPriority w:val="0"/>
    <w:rPr>
      <w:rFonts w:ascii="仿宋_GB2312" w:hAnsi="仿宋" w:eastAsia="仿宋_GB2312"/>
      <w:b/>
      <w:kern w:val="2"/>
      <w:sz w:val="24"/>
      <w:szCs w:val="24"/>
    </w:rPr>
  </w:style>
  <w:style w:type="character" w:customStyle="1" w:styleId="140">
    <w:name w:val="font12gray1"/>
    <w:autoRedefine/>
    <w:qFormat/>
    <w:uiPriority w:val="0"/>
    <w:rPr>
      <w:rFonts w:ascii="仿宋_GB2312" w:eastAsia="微软雅黑"/>
      <w:b/>
      <w:spacing w:val="300"/>
      <w:kern w:val="2"/>
      <w:sz w:val="18"/>
      <w:szCs w:val="18"/>
      <w:lang w:val="en-US" w:eastAsia="zh-CN" w:bidi="ar-SA"/>
    </w:rPr>
  </w:style>
  <w:style w:type="character" w:customStyle="1" w:styleId="141">
    <w:name w:val="Char Char7"/>
    <w:autoRedefine/>
    <w:semiHidden/>
    <w:qFormat/>
    <w:uiPriority w:val="0"/>
    <w:rPr>
      <w:rFonts w:eastAsia="宋体"/>
      <w:kern w:val="2"/>
      <w:sz w:val="21"/>
      <w:szCs w:val="24"/>
      <w:lang w:val="en-US" w:eastAsia="zh-CN" w:bidi="ar-SA"/>
    </w:rPr>
  </w:style>
  <w:style w:type="character" w:customStyle="1" w:styleId="142">
    <w:name w:val="表名 Char"/>
    <w:autoRedefine/>
    <w:qFormat/>
    <w:uiPriority w:val="0"/>
    <w:rPr>
      <w:rFonts w:eastAsia="宋体"/>
      <w:b/>
      <w:bCs/>
      <w:kern w:val="2"/>
      <w:sz w:val="24"/>
      <w:szCs w:val="24"/>
      <w:lang w:val="en-US" w:eastAsia="zh-CN" w:bidi="ar-SA"/>
    </w:rPr>
  </w:style>
  <w:style w:type="character" w:customStyle="1" w:styleId="143">
    <w:name w:val="Document Map Char"/>
    <w:autoRedefine/>
    <w:qFormat/>
    <w:locked/>
    <w:uiPriority w:val="0"/>
    <w:rPr>
      <w:rFonts w:eastAsia="宋体"/>
      <w:kern w:val="2"/>
      <w:sz w:val="21"/>
      <w:szCs w:val="24"/>
      <w:lang w:val="en-US" w:eastAsia="zh-CN" w:bidi="ar-SA"/>
    </w:rPr>
  </w:style>
  <w:style w:type="character" w:customStyle="1" w:styleId="144">
    <w:name w:val="font41"/>
    <w:autoRedefine/>
    <w:qFormat/>
    <w:uiPriority w:val="0"/>
    <w:rPr>
      <w:rFonts w:hint="eastAsia" w:ascii="仿宋_GB2312" w:eastAsia="仿宋_GB2312" w:cs="仿宋_GB2312"/>
      <w:color w:val="000000"/>
      <w:sz w:val="22"/>
      <w:szCs w:val="22"/>
      <w:u w:val="none"/>
    </w:rPr>
  </w:style>
  <w:style w:type="character" w:customStyle="1" w:styleId="145">
    <w:name w:val="标题 6 字符"/>
    <w:link w:val="9"/>
    <w:autoRedefine/>
    <w:qFormat/>
    <w:uiPriority w:val="0"/>
    <w:rPr>
      <w:rFonts w:ascii="Arial" w:hAnsi="Arial" w:eastAsia="黑体"/>
      <w:b/>
      <w:bCs/>
      <w:kern w:val="2"/>
      <w:sz w:val="24"/>
      <w:szCs w:val="24"/>
    </w:rPr>
  </w:style>
  <w:style w:type="character" w:customStyle="1" w:styleId="146">
    <w:name w:val="纯文本 Char_0"/>
    <w:link w:val="147"/>
    <w:autoRedefine/>
    <w:qFormat/>
    <w:uiPriority w:val="0"/>
    <w:rPr>
      <w:rFonts w:ascii="宋体" w:hAnsi="Courier New"/>
      <w:kern w:val="2"/>
      <w:sz w:val="21"/>
      <w:szCs w:val="21"/>
      <w:lang w:val="en-US" w:eastAsia="zh-CN"/>
    </w:rPr>
  </w:style>
  <w:style w:type="paragraph" w:customStyle="1" w:styleId="147">
    <w:name w:val="纯文本_0_0"/>
    <w:basedOn w:val="148"/>
    <w:link w:val="146"/>
    <w:autoRedefine/>
    <w:qFormat/>
    <w:uiPriority w:val="0"/>
    <w:rPr>
      <w:rFonts w:ascii="宋体" w:hAnsi="Courier New"/>
      <w:szCs w:val="21"/>
    </w:rPr>
  </w:style>
  <w:style w:type="paragraph" w:customStyle="1" w:styleId="14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autoRedefine/>
    <w:qFormat/>
    <w:locked/>
    <w:uiPriority w:val="0"/>
    <w:rPr>
      <w:rFonts w:eastAsia="宋体"/>
      <w:kern w:val="2"/>
      <w:sz w:val="18"/>
      <w:szCs w:val="18"/>
      <w:lang w:val="en-US" w:eastAsia="zh-CN" w:bidi="ar-SA"/>
    </w:rPr>
  </w:style>
  <w:style w:type="character" w:customStyle="1" w:styleId="150">
    <w:name w:val="正文 项目2 Char"/>
    <w:basedOn w:val="151"/>
    <w:autoRedefine/>
    <w:qFormat/>
    <w:uiPriority w:val="0"/>
    <w:rPr>
      <w:rFonts w:ascii="仿宋_GB2312" w:hAnsi="仿宋_GB2312" w:eastAsia="仿宋_GB2312"/>
      <w:kern w:val="2"/>
      <w:sz w:val="24"/>
      <w:lang w:bidi="ar-SA"/>
    </w:rPr>
  </w:style>
  <w:style w:type="character" w:customStyle="1" w:styleId="151">
    <w:name w:val="正文 项目 Char"/>
    <w:autoRedefine/>
    <w:qFormat/>
    <w:uiPriority w:val="0"/>
    <w:rPr>
      <w:rFonts w:ascii="仿宋_GB2312" w:hAnsi="仿宋_GB2312" w:eastAsia="仿宋_GB2312"/>
      <w:kern w:val="2"/>
      <w:sz w:val="24"/>
      <w:lang w:bidi="ar-SA"/>
    </w:rPr>
  </w:style>
  <w:style w:type="character" w:customStyle="1" w:styleId="152">
    <w:name w:val="h Char Char1"/>
    <w:autoRedefine/>
    <w:qFormat/>
    <w:uiPriority w:val="0"/>
    <w:rPr>
      <w:rFonts w:eastAsia="宋体"/>
      <w:kern w:val="2"/>
      <w:sz w:val="18"/>
      <w:szCs w:val="18"/>
      <w:lang w:val="en-US" w:eastAsia="zh-CN" w:bidi="ar-SA"/>
    </w:rPr>
  </w:style>
  <w:style w:type="character" w:customStyle="1" w:styleId="153">
    <w:name w:val="Char Char27"/>
    <w:autoRedefine/>
    <w:qFormat/>
    <w:uiPriority w:val="6"/>
    <w:rPr>
      <w:rFonts w:ascii="宋体" w:hAnsi="宋体" w:eastAsia="宋体"/>
      <w:color w:val="000000"/>
      <w:kern w:val="1"/>
      <w:sz w:val="28"/>
      <w:lang w:val="en-US" w:eastAsia="zh-CN" w:bidi="ar-SA"/>
    </w:rPr>
  </w:style>
  <w:style w:type="character" w:customStyle="1" w:styleId="154">
    <w:name w:val="px14"/>
    <w:autoRedefine/>
    <w:qFormat/>
    <w:uiPriority w:val="0"/>
    <w:rPr>
      <w:rFonts w:ascii="仿宋_GB2312" w:eastAsia="微软雅黑" w:cs="Times New Roman"/>
      <w:b/>
      <w:kern w:val="2"/>
      <w:sz w:val="32"/>
      <w:szCs w:val="32"/>
      <w:lang w:val="en-US" w:eastAsia="zh-CN" w:bidi="ar-SA"/>
    </w:rPr>
  </w:style>
  <w:style w:type="character" w:customStyle="1" w:styleId="155">
    <w:name w:val="HTML 预设格式 Char1"/>
    <w:autoRedefine/>
    <w:qFormat/>
    <w:uiPriority w:val="0"/>
    <w:rPr>
      <w:rFonts w:ascii="Courier New" w:hAnsi="Courier New" w:eastAsia="宋体" w:cs="Courier New"/>
      <w:sz w:val="20"/>
      <w:szCs w:val="20"/>
    </w:rPr>
  </w:style>
  <w:style w:type="character" w:customStyle="1" w:styleId="156">
    <w:name w:val="普通文字 Char1"/>
    <w:autoRedefine/>
    <w:qFormat/>
    <w:uiPriority w:val="0"/>
    <w:rPr>
      <w:rFonts w:ascii="宋体" w:hAnsi="Courier New" w:eastAsia="宋体"/>
      <w:kern w:val="2"/>
      <w:sz w:val="21"/>
      <w:lang w:val="en-US" w:eastAsia="zh-CN"/>
    </w:rPr>
  </w:style>
  <w:style w:type="character" w:customStyle="1" w:styleId="157">
    <w:name w:val="hei16b1"/>
    <w:autoRedefine/>
    <w:qFormat/>
    <w:uiPriority w:val="0"/>
    <w:rPr>
      <w:rFonts w:hint="default" w:ascii="Arial" w:hAnsi="Arial" w:cs="Arial"/>
      <w:b/>
      <w:bCs/>
      <w:color w:val="000000"/>
      <w:sz w:val="24"/>
      <w:szCs w:val="24"/>
    </w:rPr>
  </w:style>
  <w:style w:type="character" w:customStyle="1" w:styleId="158">
    <w:name w:val="正文（绿盟科技） Char"/>
    <w:link w:val="159"/>
    <w:autoRedefine/>
    <w:qFormat/>
    <w:uiPriority w:val="0"/>
    <w:rPr>
      <w:rFonts w:ascii="Arial" w:hAnsi="Arial"/>
      <w:sz w:val="21"/>
      <w:szCs w:val="21"/>
    </w:rPr>
  </w:style>
  <w:style w:type="paragraph" w:customStyle="1" w:styleId="159">
    <w:name w:val="正文（绿盟科技）"/>
    <w:link w:val="158"/>
    <w:autoRedefine/>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autoRedefine/>
    <w:qFormat/>
    <w:uiPriority w:val="6"/>
    <w:rPr>
      <w:rFonts w:ascii="宋体" w:hAnsi="宋体"/>
      <w:i/>
      <w:sz w:val="24"/>
      <w:szCs w:val="24"/>
    </w:rPr>
  </w:style>
  <w:style w:type="character" w:customStyle="1" w:styleId="161">
    <w:name w:val="页脚 Char"/>
    <w:autoRedefine/>
    <w:qFormat/>
    <w:uiPriority w:val="0"/>
    <w:rPr>
      <w:rFonts w:eastAsia="仿宋_GB2312"/>
      <w:kern w:val="2"/>
      <w:sz w:val="18"/>
      <w:lang w:val="en-US" w:eastAsia="zh-CN"/>
    </w:rPr>
  </w:style>
  <w:style w:type="character" w:customStyle="1" w:styleId="162">
    <w:name w:val="批注主题 Char"/>
    <w:autoRedefine/>
    <w:qFormat/>
    <w:uiPriority w:val="0"/>
    <w:rPr>
      <w:rFonts w:eastAsia="宋体"/>
      <w:b/>
      <w:bCs/>
      <w:kern w:val="2"/>
      <w:sz w:val="21"/>
      <w:szCs w:val="24"/>
      <w:lang w:val="en-US" w:eastAsia="zh-CN" w:bidi="ar-SA"/>
    </w:rPr>
  </w:style>
  <w:style w:type="character" w:customStyle="1" w:styleId="163">
    <w:name w:val="Comment Text Char"/>
    <w:autoRedefine/>
    <w:qFormat/>
    <w:locked/>
    <w:uiPriority w:val="0"/>
    <w:rPr>
      <w:rFonts w:ascii="宋体" w:hAnsi="宋体" w:eastAsia="宋体"/>
      <w:kern w:val="2"/>
      <w:sz w:val="24"/>
      <w:lang w:val="en-US" w:eastAsia="zh-CN" w:bidi="ar-SA"/>
    </w:rPr>
  </w:style>
  <w:style w:type="character" w:customStyle="1" w:styleId="164">
    <w:name w:val="标题 2 字符"/>
    <w:autoRedefine/>
    <w:qFormat/>
    <w:uiPriority w:val="1"/>
    <w:rPr>
      <w:rFonts w:ascii="仿宋_GB2312" w:hAnsi="Times New Roman" w:eastAsia="仿宋_GB2312" w:cs="Times New Roman"/>
      <w:b/>
      <w:kern w:val="2"/>
      <w:sz w:val="24"/>
      <w:lang w:val="zh-CN"/>
    </w:rPr>
  </w:style>
  <w:style w:type="character" w:customStyle="1" w:styleId="165">
    <w:name w:val="Char Char72"/>
    <w:autoRedefine/>
    <w:qFormat/>
    <w:uiPriority w:val="0"/>
    <w:rPr>
      <w:rFonts w:eastAsia="宋体"/>
      <w:kern w:val="2"/>
      <w:sz w:val="21"/>
      <w:szCs w:val="24"/>
      <w:lang w:val="en-US" w:eastAsia="zh-CN" w:bidi="ar-SA"/>
    </w:rPr>
  </w:style>
  <w:style w:type="character" w:customStyle="1" w:styleId="166">
    <w:name w:val="正文文本缩进 Char2"/>
    <w:autoRedefine/>
    <w:qFormat/>
    <w:uiPriority w:val="0"/>
    <w:rPr>
      <w:rFonts w:ascii="Times New Roman" w:hAnsi="Times New Roman" w:eastAsia="宋体" w:cs="Times New Roman"/>
      <w:snapToGrid w:val="0"/>
      <w:kern w:val="0"/>
      <w:szCs w:val="24"/>
    </w:rPr>
  </w:style>
  <w:style w:type="character" w:customStyle="1" w:styleId="167">
    <w:name w:val="样式2 Char"/>
    <w:autoRedefine/>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autoRedefine/>
    <w:qFormat/>
    <w:uiPriority w:val="0"/>
    <w:rPr>
      <w:sz w:val="32"/>
    </w:rPr>
  </w:style>
  <w:style w:type="paragraph" w:customStyle="1" w:styleId="169">
    <w:name w:val="表格名称"/>
    <w:basedOn w:val="2"/>
    <w:link w:val="16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autoRedefine/>
    <w:qFormat/>
    <w:uiPriority w:val="0"/>
    <w:rPr>
      <w:rFonts w:eastAsia="宋体"/>
      <w:b/>
      <w:sz w:val="24"/>
      <w:lang w:val="en-GB" w:eastAsia="zh-CN" w:bidi="ar-SA"/>
    </w:rPr>
  </w:style>
  <w:style w:type="character" w:customStyle="1" w:styleId="171">
    <w:name w:val="c7 style3"/>
    <w:autoRedefine/>
    <w:qFormat/>
    <w:uiPriority w:val="0"/>
  </w:style>
  <w:style w:type="character" w:customStyle="1" w:styleId="172">
    <w:name w:val="正文文本 3 Char1"/>
    <w:autoRedefine/>
    <w:semiHidden/>
    <w:qFormat/>
    <w:uiPriority w:val="99"/>
    <w:rPr>
      <w:rFonts w:ascii="Times New Roman" w:hAnsi="Times New Roman" w:eastAsia="宋体" w:cs="Times New Roman"/>
      <w:sz w:val="16"/>
      <w:szCs w:val="16"/>
    </w:rPr>
  </w:style>
  <w:style w:type="character" w:customStyle="1" w:styleId="173">
    <w:name w:val="tw4winInternal"/>
    <w:autoRedefine/>
    <w:qFormat/>
    <w:uiPriority w:val="0"/>
    <w:rPr>
      <w:rFonts w:ascii="Courier New" w:hAnsi="Courier New" w:cs="Courier New"/>
      <w:color w:val="FF0000"/>
      <w:lang w:val="en-US" w:eastAsia="zh-CN"/>
    </w:rPr>
  </w:style>
  <w:style w:type="character" w:customStyle="1" w:styleId="174">
    <w:name w:val="Char Char10"/>
    <w:autoRedefine/>
    <w:semiHidden/>
    <w:qFormat/>
    <w:uiPriority w:val="0"/>
    <w:rPr>
      <w:rFonts w:ascii="宋体" w:hAnsi="宋体"/>
      <w:kern w:val="2"/>
      <w:sz w:val="21"/>
      <w:szCs w:val="24"/>
      <w:lang w:val="en-US" w:eastAsia="zh-CN"/>
    </w:rPr>
  </w:style>
  <w:style w:type="character" w:customStyle="1" w:styleId="175">
    <w:name w:val="shadow11"/>
    <w:autoRedefine/>
    <w:qFormat/>
    <w:uiPriority w:val="0"/>
    <w:rPr>
      <w:color w:val="000000"/>
      <w:sz w:val="21"/>
    </w:rPr>
  </w:style>
  <w:style w:type="character" w:customStyle="1" w:styleId="176">
    <w:name w:val="正文非缩进 Char3"/>
    <w:autoRedefine/>
    <w:qFormat/>
    <w:uiPriority w:val="0"/>
    <w:rPr>
      <w:rFonts w:ascii="宋体" w:eastAsia="宋体"/>
      <w:snapToGrid w:val="0"/>
      <w:color w:val="000000"/>
      <w:kern w:val="28"/>
      <w:sz w:val="28"/>
      <w:lang w:val="en-US" w:eastAsia="zh-CN" w:bidi="ar-SA"/>
    </w:rPr>
  </w:style>
  <w:style w:type="character" w:customStyle="1" w:styleId="177">
    <w:name w:val="Char Char"/>
    <w:autoRedefine/>
    <w:qFormat/>
    <w:uiPriority w:val="0"/>
    <w:rPr>
      <w:rFonts w:ascii="宋体" w:hAnsi="Courier New" w:eastAsia="宋体"/>
      <w:kern w:val="2"/>
      <w:sz w:val="21"/>
      <w:lang w:val="en-US" w:eastAsia="zh-CN" w:bidi="ar-SA"/>
    </w:rPr>
  </w:style>
  <w:style w:type="character" w:customStyle="1" w:styleId="178">
    <w:name w:val="签名 Char1"/>
    <w:autoRedefine/>
    <w:qFormat/>
    <w:uiPriority w:val="0"/>
    <w:rPr>
      <w:rFonts w:ascii="Times New Roman" w:hAnsi="Times New Roman" w:eastAsia="宋体" w:cs="Times New Roman"/>
      <w:szCs w:val="24"/>
    </w:rPr>
  </w:style>
  <w:style w:type="character" w:customStyle="1" w:styleId="179">
    <w:name w:val="日期 字符"/>
    <w:link w:val="35"/>
    <w:autoRedefine/>
    <w:qFormat/>
    <w:uiPriority w:val="0"/>
    <w:rPr>
      <w:rFonts w:ascii="宋体"/>
      <w:kern w:val="2"/>
      <w:sz w:val="24"/>
      <w:szCs w:val="21"/>
      <w:lang w:val="zh-CN"/>
    </w:rPr>
  </w:style>
  <w:style w:type="character" w:customStyle="1" w:styleId="180">
    <w:name w:val="标题 9 字符"/>
    <w:link w:val="12"/>
    <w:autoRedefine/>
    <w:qFormat/>
    <w:uiPriority w:val="0"/>
    <w:rPr>
      <w:rFonts w:ascii="Arial" w:hAnsi="Arial" w:eastAsia="黑体"/>
      <w:kern w:val="2"/>
      <w:sz w:val="21"/>
      <w:szCs w:val="21"/>
    </w:rPr>
  </w:style>
  <w:style w:type="character" w:customStyle="1" w:styleId="181">
    <w:name w:val="Char Char18"/>
    <w:autoRedefine/>
    <w:qFormat/>
    <w:uiPriority w:val="6"/>
    <w:rPr>
      <w:rFonts w:ascii="宋体" w:hAnsi="宋体"/>
      <w:sz w:val="28"/>
    </w:rPr>
  </w:style>
  <w:style w:type="character" w:customStyle="1" w:styleId="182">
    <w:name w:val="批注文字 Char"/>
    <w:autoRedefine/>
    <w:qFormat/>
    <w:uiPriority w:val="0"/>
    <w:rPr>
      <w:kern w:val="2"/>
      <w:sz w:val="21"/>
      <w:szCs w:val="24"/>
    </w:rPr>
  </w:style>
  <w:style w:type="character" w:customStyle="1" w:styleId="183">
    <w:name w:val="Char Char22"/>
    <w:autoRedefine/>
    <w:qFormat/>
    <w:uiPriority w:val="6"/>
    <w:rPr>
      <w:rFonts w:ascii="宋体" w:hAnsi="宋体"/>
      <w:kern w:val="1"/>
      <w:sz w:val="24"/>
      <w:szCs w:val="24"/>
    </w:rPr>
  </w:style>
  <w:style w:type="character" w:customStyle="1" w:styleId="184">
    <w:name w:val="pt141"/>
    <w:autoRedefine/>
    <w:qFormat/>
    <w:uiPriority w:val="0"/>
    <w:rPr>
      <w:color w:val="330066"/>
      <w:sz w:val="22"/>
      <w:szCs w:val="22"/>
    </w:rPr>
  </w:style>
  <w:style w:type="character" w:customStyle="1" w:styleId="185">
    <w:name w:val="正文文本缩进 2 Char1"/>
    <w:autoRedefine/>
    <w:semiHidden/>
    <w:qFormat/>
    <w:uiPriority w:val="99"/>
    <w:rPr>
      <w:rFonts w:ascii="Times New Roman" w:hAnsi="Times New Roman" w:eastAsia="宋体" w:cs="Times New Roman"/>
      <w:szCs w:val="24"/>
    </w:rPr>
  </w:style>
  <w:style w:type="character" w:customStyle="1" w:styleId="186">
    <w:name w:val="批注框文本 字符1"/>
    <w:link w:val="38"/>
    <w:autoRedefine/>
    <w:qFormat/>
    <w:uiPriority w:val="0"/>
    <w:rPr>
      <w:kern w:val="2"/>
      <w:sz w:val="18"/>
      <w:szCs w:val="18"/>
    </w:rPr>
  </w:style>
  <w:style w:type="character" w:customStyle="1" w:styleId="187">
    <w:name w:val="Char Char611"/>
    <w:autoRedefine/>
    <w:qFormat/>
    <w:uiPriority w:val="0"/>
    <w:rPr>
      <w:rFonts w:eastAsia="宋体"/>
      <w:kern w:val="2"/>
      <w:sz w:val="21"/>
      <w:szCs w:val="24"/>
      <w:lang w:val="en-US" w:eastAsia="zh-CN" w:bidi="ar-SA"/>
    </w:rPr>
  </w:style>
  <w:style w:type="character" w:customStyle="1" w:styleId="188">
    <w:name w:val="highlight1"/>
    <w:autoRedefine/>
    <w:qFormat/>
    <w:uiPriority w:val="0"/>
    <w:rPr>
      <w:rFonts w:ascii="仿宋_GB2312" w:eastAsia="微软雅黑"/>
      <w:b/>
      <w:kern w:val="2"/>
      <w:sz w:val="23"/>
      <w:szCs w:val="23"/>
      <w:lang w:val="en-US" w:eastAsia="zh-CN" w:bidi="ar-SA"/>
    </w:rPr>
  </w:style>
  <w:style w:type="character" w:customStyle="1" w:styleId="189">
    <w:name w:val="my正文 Char"/>
    <w:link w:val="190"/>
    <w:autoRedefine/>
    <w:qFormat/>
    <w:locked/>
    <w:uiPriority w:val="0"/>
    <w:rPr>
      <w:rFonts w:ascii="Tahoma" w:hAnsi="Tahoma"/>
      <w:sz w:val="24"/>
      <w:szCs w:val="24"/>
    </w:rPr>
  </w:style>
  <w:style w:type="paragraph" w:customStyle="1" w:styleId="190">
    <w:name w:val="my正文"/>
    <w:basedOn w:val="1"/>
    <w:link w:val="189"/>
    <w:autoRedefine/>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autoRedefine/>
    <w:qFormat/>
    <w:uiPriority w:val="0"/>
    <w:rPr>
      <w:color w:val="0000FF"/>
      <w:sz w:val="21"/>
    </w:rPr>
  </w:style>
  <w:style w:type="character" w:customStyle="1" w:styleId="193">
    <w:name w:val="页眉 Char"/>
    <w:autoRedefine/>
    <w:qFormat/>
    <w:uiPriority w:val="0"/>
    <w:rPr>
      <w:rFonts w:eastAsia="仿宋_GB2312"/>
      <w:kern w:val="2"/>
      <w:sz w:val="18"/>
      <w:lang w:val="en-US" w:eastAsia="zh-CN"/>
    </w:rPr>
  </w:style>
  <w:style w:type="character" w:customStyle="1" w:styleId="194">
    <w:name w:val="FA正文 Char Char"/>
    <w:autoRedefine/>
    <w:qFormat/>
    <w:uiPriority w:val="0"/>
    <w:rPr>
      <w:rFonts w:hAnsi="宋体"/>
      <w:kern w:val="2"/>
      <w:sz w:val="24"/>
      <w:lang w:bidi="ar-SA"/>
    </w:rPr>
  </w:style>
  <w:style w:type="character" w:customStyle="1" w:styleId="19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autoRedefine/>
    <w:qFormat/>
    <w:uiPriority w:val="0"/>
    <w:rPr>
      <w:rFonts w:ascii="宋体" w:hAnsi="宋体"/>
      <w:b/>
      <w:bCs/>
      <w:snapToGrid/>
      <w:sz w:val="28"/>
    </w:rPr>
  </w:style>
  <w:style w:type="paragraph" w:customStyle="1" w:styleId="197">
    <w:name w:val="3级"/>
    <w:basedOn w:val="198"/>
    <w:link w:val="196"/>
    <w:autoRedefine/>
    <w:qFormat/>
    <w:uiPriority w:val="0"/>
    <w:pPr>
      <w:ind w:left="0" w:right="466" w:firstLine="288"/>
    </w:pPr>
    <w:rPr>
      <w:rFonts w:hAnsi="宋体"/>
      <w:snapToGrid/>
    </w:rPr>
  </w:style>
  <w:style w:type="paragraph" w:customStyle="1" w:styleId="198">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autoRedefine/>
    <w:qFormat/>
    <w:uiPriority w:val="0"/>
    <w:rPr>
      <w:rFonts w:ascii="仿宋_GB2312" w:eastAsia="微软雅黑"/>
      <w:b/>
      <w:kern w:val="2"/>
      <w:sz w:val="32"/>
      <w:szCs w:val="32"/>
      <w:lang w:val="en-US" w:eastAsia="zh-CN" w:bidi="ar-SA"/>
    </w:rPr>
  </w:style>
  <w:style w:type="character" w:customStyle="1" w:styleId="200">
    <w:name w:val="文档结构图 字符"/>
    <w:link w:val="19"/>
    <w:autoRedefine/>
    <w:qFormat/>
    <w:uiPriority w:val="0"/>
    <w:rPr>
      <w:kern w:val="2"/>
      <w:sz w:val="21"/>
      <w:szCs w:val="24"/>
      <w:shd w:val="clear" w:color="auto" w:fill="000080"/>
    </w:rPr>
  </w:style>
  <w:style w:type="character" w:customStyle="1" w:styleId="201">
    <w:name w:val="H6 Char"/>
    <w:autoRedefine/>
    <w:qFormat/>
    <w:uiPriority w:val="0"/>
    <w:rPr>
      <w:rFonts w:ascii="Arial" w:hAnsi="Arial" w:eastAsia="黑体"/>
      <w:b/>
      <w:bCs/>
      <w:kern w:val="2"/>
      <w:sz w:val="24"/>
      <w:szCs w:val="24"/>
    </w:rPr>
  </w:style>
  <w:style w:type="character" w:customStyle="1" w:styleId="202">
    <w:name w:val="Char Char91"/>
    <w:autoRedefine/>
    <w:qFormat/>
    <w:uiPriority w:val="0"/>
    <w:rPr>
      <w:rFonts w:eastAsia="宋体"/>
      <w:kern w:val="2"/>
      <w:sz w:val="18"/>
      <w:szCs w:val="18"/>
      <w:lang w:val="en-US" w:eastAsia="zh-CN" w:bidi="ar-SA"/>
    </w:rPr>
  </w:style>
  <w:style w:type="character" w:customStyle="1" w:styleId="203">
    <w:name w:val="副标题 Char1"/>
    <w:autoRedefine/>
    <w:qFormat/>
    <w:uiPriority w:val="0"/>
    <w:rPr>
      <w:rFonts w:ascii="Cambria" w:hAnsi="Cambria" w:eastAsia="宋体" w:cs="Times New Roman"/>
      <w:b/>
      <w:bCs/>
      <w:snapToGrid w:val="0"/>
      <w:kern w:val="28"/>
      <w:sz w:val="32"/>
      <w:szCs w:val="32"/>
    </w:rPr>
  </w:style>
  <w:style w:type="character" w:customStyle="1" w:styleId="204">
    <w:name w:val="font61"/>
    <w:autoRedefine/>
    <w:qFormat/>
    <w:uiPriority w:val="0"/>
    <w:rPr>
      <w:rFonts w:hint="eastAsia" w:ascii="仿宋" w:hAnsi="仿宋" w:eastAsia="仿宋" w:cs="仿宋"/>
      <w:color w:val="000000"/>
      <w:sz w:val="20"/>
      <w:szCs w:val="20"/>
      <w:u w:val="none"/>
    </w:rPr>
  </w:style>
  <w:style w:type="character" w:customStyle="1" w:styleId="205">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autoRedefine/>
    <w:qFormat/>
    <w:uiPriority w:val="0"/>
    <w:rPr>
      <w:rFonts w:eastAsia="宋体"/>
      <w:b/>
      <w:bCs/>
      <w:kern w:val="2"/>
      <w:sz w:val="21"/>
      <w:szCs w:val="24"/>
      <w:lang w:val="en-US" w:eastAsia="zh-CN" w:bidi="ar-SA"/>
    </w:rPr>
  </w:style>
  <w:style w:type="character" w:customStyle="1" w:styleId="207">
    <w:name w:val="标题 2 Char"/>
    <w:autoRedefine/>
    <w:qFormat/>
    <w:uiPriority w:val="0"/>
    <w:rPr>
      <w:rFonts w:ascii="Arial" w:hAnsi="Arial" w:eastAsia="黑体"/>
      <w:b/>
      <w:kern w:val="2"/>
      <w:sz w:val="32"/>
      <w:lang w:val="en-US" w:eastAsia="zh-CN"/>
    </w:rPr>
  </w:style>
  <w:style w:type="character" w:customStyle="1" w:styleId="208">
    <w:name w:val="maywed421"/>
    <w:autoRedefine/>
    <w:qFormat/>
    <w:uiPriority w:val="0"/>
    <w:rPr>
      <w:color w:val="366FB6"/>
      <w:u w:val="none"/>
    </w:rPr>
  </w:style>
  <w:style w:type="character" w:customStyle="1" w:styleId="209">
    <w:name w:val="正文文本缩进 Char"/>
    <w:autoRedefine/>
    <w:qFormat/>
    <w:uiPriority w:val="0"/>
    <w:rPr>
      <w:rFonts w:ascii="宋体" w:hAnsi="宋体"/>
      <w:kern w:val="2"/>
      <w:sz w:val="24"/>
      <w:szCs w:val="24"/>
    </w:rPr>
  </w:style>
  <w:style w:type="character" w:customStyle="1" w:styleId="210">
    <w:name w:val="Char Char102"/>
    <w:autoRedefine/>
    <w:semiHidden/>
    <w:qFormat/>
    <w:uiPriority w:val="0"/>
    <w:rPr>
      <w:rFonts w:ascii="宋体" w:hAnsi="宋体"/>
      <w:kern w:val="2"/>
      <w:sz w:val="21"/>
      <w:szCs w:val="24"/>
      <w:lang w:val="en-US" w:eastAsia="zh-CN"/>
    </w:rPr>
  </w:style>
  <w:style w:type="character" w:customStyle="1" w:styleId="211">
    <w:name w:val="页眉 Char1"/>
    <w:autoRedefine/>
    <w:qFormat/>
    <w:uiPriority w:val="0"/>
    <w:rPr>
      <w:rFonts w:eastAsia="宋体"/>
      <w:kern w:val="2"/>
      <w:sz w:val="18"/>
      <w:szCs w:val="18"/>
      <w:lang w:val="en-US" w:eastAsia="zh-CN" w:bidi="ar-SA"/>
    </w:rPr>
  </w:style>
  <w:style w:type="character" w:customStyle="1" w:styleId="212">
    <w:name w:val="md"/>
    <w:basedOn w:val="69"/>
    <w:autoRedefine/>
    <w:qFormat/>
    <w:uiPriority w:val="0"/>
    <w:rPr>
      <w:rFonts w:ascii="Arial" w:hAnsi="Arial" w:eastAsia="黑体" w:cs="Arial"/>
      <w:snapToGrid w:val="0"/>
      <w:kern w:val="0"/>
      <w:szCs w:val="21"/>
    </w:rPr>
  </w:style>
  <w:style w:type="character" w:customStyle="1" w:styleId="213">
    <w:name w:val="big1"/>
    <w:autoRedefine/>
    <w:qFormat/>
    <w:uiPriority w:val="0"/>
    <w:rPr>
      <w:rFonts w:hint="eastAsia" w:ascii="宋体" w:hAnsi="宋体" w:eastAsia="宋体"/>
      <w:color w:val="333333"/>
      <w:sz w:val="22"/>
      <w:szCs w:val="22"/>
    </w:rPr>
  </w:style>
  <w:style w:type="character" w:customStyle="1" w:styleId="214">
    <w:name w:val="Char Char311"/>
    <w:autoRedefine/>
    <w:qFormat/>
    <w:uiPriority w:val="0"/>
    <w:rPr>
      <w:rFonts w:eastAsia="宋体"/>
      <w:kern w:val="2"/>
      <w:sz w:val="21"/>
      <w:szCs w:val="24"/>
      <w:lang w:val="en-US" w:eastAsia="zh-CN" w:bidi="ar-SA"/>
    </w:rPr>
  </w:style>
  <w:style w:type="character" w:customStyle="1" w:styleId="215">
    <w:name w:val="Char Char81"/>
    <w:autoRedefine/>
    <w:qFormat/>
    <w:uiPriority w:val="6"/>
    <w:rPr>
      <w:rFonts w:eastAsia="宋体"/>
      <w:b/>
      <w:sz w:val="24"/>
      <w:lang w:val="en-GB" w:eastAsia="zh-CN"/>
    </w:rPr>
  </w:style>
  <w:style w:type="character" w:customStyle="1" w:styleId="216">
    <w:name w:val="样式3 Char"/>
    <w:basedOn w:val="167"/>
    <w:autoRedefine/>
    <w:qFormat/>
    <w:uiPriority w:val="0"/>
    <w:rPr>
      <w:rFonts w:ascii="仿宋_GB2312" w:hAnsi="仿宋" w:eastAsia="仿宋_GB2312" w:cs="仿宋_GB2312"/>
      <w:sz w:val="32"/>
      <w:szCs w:val="30"/>
      <w:lang w:val="zh-CN"/>
    </w:rPr>
  </w:style>
  <w:style w:type="character" w:customStyle="1" w:styleId="217">
    <w:name w:val="HTML 地址 字符"/>
    <w:link w:val="29"/>
    <w:autoRedefine/>
    <w:qFormat/>
    <w:uiPriority w:val="0"/>
    <w:rPr>
      <w:rFonts w:ascii="宋体" w:hAnsi="宋体"/>
      <w:i/>
      <w:iCs/>
      <w:sz w:val="24"/>
      <w:szCs w:val="24"/>
    </w:rPr>
  </w:style>
  <w:style w:type="character" w:customStyle="1" w:styleId="218">
    <w:name w:val="正文首行缩进 2 Char1"/>
    <w:autoRedefine/>
    <w:qFormat/>
    <w:uiPriority w:val="0"/>
    <w:rPr>
      <w:rFonts w:ascii="Times New Roman" w:hAnsi="Times New Roman" w:eastAsia="宋体" w:cs="Times New Roman"/>
      <w:kern w:val="2"/>
      <w:sz w:val="24"/>
      <w:szCs w:val="24"/>
    </w:rPr>
  </w:style>
  <w:style w:type="character" w:customStyle="1" w:styleId="219">
    <w:name w:val="副标题 Char2"/>
    <w:autoRedefine/>
    <w:qFormat/>
    <w:uiPriority w:val="0"/>
    <w:rPr>
      <w:rFonts w:ascii="Cambria" w:hAnsi="Cambria" w:eastAsia="宋体" w:cs="Times New Roman"/>
      <w:b/>
      <w:bCs/>
      <w:snapToGrid w:val="0"/>
      <w:kern w:val="28"/>
      <w:sz w:val="32"/>
      <w:szCs w:val="32"/>
    </w:rPr>
  </w:style>
  <w:style w:type="character" w:customStyle="1" w:styleId="220">
    <w:name w:val="标题4-dyf Char"/>
    <w:link w:val="221"/>
    <w:autoRedefine/>
    <w:qFormat/>
    <w:uiPriority w:val="0"/>
    <w:rPr>
      <w:rFonts w:ascii="Cambria" w:hAnsi="Cambria"/>
      <w:b/>
      <w:bCs/>
      <w:color w:val="000000"/>
      <w:kern w:val="2"/>
      <w:sz w:val="21"/>
      <w:szCs w:val="21"/>
    </w:rPr>
  </w:style>
  <w:style w:type="paragraph" w:customStyle="1" w:styleId="221">
    <w:name w:val="标题4-dyf"/>
    <w:basedOn w:val="7"/>
    <w:link w:val="220"/>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autoRedefine/>
    <w:qFormat/>
    <w:uiPriority w:val="0"/>
    <w:rPr>
      <w:rFonts w:ascii="宋体" w:hAnsi="宋体" w:eastAsia="宋体"/>
      <w:color w:val="333333"/>
      <w:sz w:val="21"/>
      <w:szCs w:val="21"/>
      <w:u w:val="none"/>
    </w:rPr>
  </w:style>
  <w:style w:type="character" w:customStyle="1" w:styleId="223">
    <w:name w:val="冯 Char"/>
    <w:link w:val="224"/>
    <w:autoRedefine/>
    <w:qFormat/>
    <w:uiPriority w:val="0"/>
    <w:rPr>
      <w:rFonts w:ascii="宋体" w:hAnsi="宋体"/>
      <w:color w:val="000000"/>
      <w:sz w:val="24"/>
      <w:szCs w:val="24"/>
    </w:rPr>
  </w:style>
  <w:style w:type="paragraph" w:customStyle="1" w:styleId="224">
    <w:name w:val="冯"/>
    <w:basedOn w:val="1"/>
    <w:link w:val="223"/>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autoRedefine/>
    <w:qFormat/>
    <w:locked/>
    <w:uiPriority w:val="0"/>
    <w:rPr>
      <w:rFonts w:eastAsia="宋体"/>
      <w:kern w:val="2"/>
      <w:sz w:val="18"/>
      <w:szCs w:val="18"/>
      <w:lang w:val="en-US" w:eastAsia="zh-CN" w:bidi="ar-SA"/>
    </w:rPr>
  </w:style>
  <w:style w:type="character" w:customStyle="1" w:styleId="226">
    <w:name w:val="Char Char12"/>
    <w:autoRedefine/>
    <w:qFormat/>
    <w:uiPriority w:val="0"/>
    <w:rPr>
      <w:rFonts w:ascii="仿宋_GB2312" w:eastAsia="仿宋_GB2312"/>
      <w:b/>
      <w:bCs/>
      <w:kern w:val="2"/>
      <w:sz w:val="24"/>
      <w:szCs w:val="24"/>
      <w:lang w:val="zh-CN" w:eastAsia="zh-CN" w:bidi="ar-SA"/>
    </w:rPr>
  </w:style>
  <w:style w:type="character" w:customStyle="1" w:styleId="227">
    <w:name w:val="题注 字符"/>
    <w:link w:val="17"/>
    <w:autoRedefine/>
    <w:qFormat/>
    <w:uiPriority w:val="0"/>
    <w:rPr>
      <w:b/>
      <w:kern w:val="2"/>
      <w:sz w:val="28"/>
    </w:rPr>
  </w:style>
  <w:style w:type="character" w:customStyle="1" w:styleId="228">
    <w:name w:val="普通文字 Char3"/>
    <w:autoRedefine/>
    <w:qFormat/>
    <w:uiPriority w:val="0"/>
    <w:rPr>
      <w:rFonts w:ascii="宋体" w:hAnsi="Courier New" w:eastAsia="宋体"/>
      <w:kern w:val="2"/>
      <w:sz w:val="21"/>
      <w:lang w:val="en-US" w:eastAsia="zh-CN" w:bidi="ar-SA"/>
    </w:rPr>
  </w:style>
  <w:style w:type="character" w:customStyle="1" w:styleId="229">
    <w:name w:val="公文正文 Char"/>
    <w:autoRedefine/>
    <w:qFormat/>
    <w:uiPriority w:val="0"/>
    <w:rPr>
      <w:rFonts w:ascii="仿宋_GB2312" w:eastAsia="仿宋_GB2312"/>
      <w:kern w:val="2"/>
      <w:sz w:val="24"/>
      <w:szCs w:val="24"/>
      <w:lang w:val="en-US" w:eastAsia="zh-CN" w:bidi="ar-SA"/>
    </w:rPr>
  </w:style>
  <w:style w:type="character" w:customStyle="1" w:styleId="230">
    <w:name w:val="正文首行缩进 Char Char Char Char Char"/>
    <w:autoRedefine/>
    <w:qFormat/>
    <w:uiPriority w:val="0"/>
    <w:rPr>
      <w:rFonts w:ascii="宋体"/>
      <w:kern w:val="2"/>
      <w:sz w:val="24"/>
      <w:lang w:val="zh-CN"/>
    </w:rPr>
  </w:style>
  <w:style w:type="character" w:customStyle="1" w:styleId="231">
    <w:name w:val="PI Char"/>
    <w:autoRedefine/>
    <w:qFormat/>
    <w:uiPriority w:val="0"/>
    <w:rPr>
      <w:rFonts w:ascii="宋体" w:hAnsi="宋体" w:eastAsia="宋体"/>
      <w:kern w:val="2"/>
      <w:sz w:val="24"/>
      <w:szCs w:val="24"/>
      <w:lang w:val="en-US" w:eastAsia="zh-CN" w:bidi="ar-SA"/>
    </w:rPr>
  </w:style>
  <w:style w:type="character" w:customStyle="1" w:styleId="232">
    <w:name w:val="Default Char"/>
    <w:link w:val="233"/>
    <w:autoRedefine/>
    <w:qFormat/>
    <w:uiPriority w:val="0"/>
    <w:rPr>
      <w:rFonts w:ascii="仿宋_GB2312" w:eastAsia="仿宋_GB2312" w:cs="仿宋_GB2312"/>
      <w:color w:val="000000"/>
      <w:sz w:val="24"/>
      <w:szCs w:val="24"/>
      <w:lang w:val="en-US" w:eastAsia="zh-CN" w:bidi="ar-SA"/>
    </w:rPr>
  </w:style>
  <w:style w:type="paragraph" w:customStyle="1" w:styleId="233">
    <w:name w:val="Default"/>
    <w:link w:val="232"/>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autoRedefine/>
    <w:qFormat/>
    <w:uiPriority w:val="0"/>
    <w:rPr>
      <w:color w:val="333333"/>
    </w:rPr>
  </w:style>
  <w:style w:type="character" w:customStyle="1" w:styleId="235">
    <w:name w:val="列出段落 Char2"/>
    <w:autoRedefine/>
    <w:qFormat/>
    <w:uiPriority w:val="34"/>
    <w:rPr>
      <w:rFonts w:ascii="Calibri" w:hAnsi="Calibri"/>
      <w:kern w:val="2"/>
      <w:sz w:val="28"/>
    </w:rPr>
  </w:style>
  <w:style w:type="character" w:customStyle="1" w:styleId="236">
    <w:name w:val="mdeck"/>
    <w:autoRedefine/>
    <w:qFormat/>
    <w:uiPriority w:val="0"/>
    <w:rPr>
      <w:rFonts w:ascii="仿宋_GB2312" w:eastAsia="微软雅黑"/>
      <w:b/>
      <w:kern w:val="2"/>
      <w:sz w:val="32"/>
      <w:szCs w:val="32"/>
      <w:lang w:val="en-US" w:eastAsia="zh-CN" w:bidi="ar-SA"/>
    </w:rPr>
  </w:style>
  <w:style w:type="character" w:customStyle="1" w:styleId="237">
    <w:name w:val="unnamed11"/>
    <w:autoRedefine/>
    <w:qFormat/>
    <w:uiPriority w:val="0"/>
    <w:rPr>
      <w:sz w:val="20"/>
      <w:szCs w:val="20"/>
    </w:rPr>
  </w:style>
  <w:style w:type="character" w:customStyle="1" w:styleId="238">
    <w:name w:val="正文文本 Char2"/>
    <w:autoRedefine/>
    <w:semiHidden/>
    <w:qFormat/>
    <w:uiPriority w:val="99"/>
    <w:rPr>
      <w:rFonts w:ascii="Times New Roman" w:hAnsi="Times New Roman" w:eastAsia="宋体" w:cs="Times New Roman"/>
      <w:snapToGrid w:val="0"/>
      <w:kern w:val="0"/>
      <w:szCs w:val="24"/>
    </w:rPr>
  </w:style>
  <w:style w:type="character" w:customStyle="1" w:styleId="239">
    <w:name w:val="标书正文格式 Char"/>
    <w:autoRedefine/>
    <w:qFormat/>
    <w:uiPriority w:val="0"/>
    <w:rPr>
      <w:rFonts w:eastAsia="楷体_GB2312"/>
      <w:kern w:val="2"/>
      <w:sz w:val="24"/>
      <w:szCs w:val="24"/>
      <w:lang w:bidi="ar-SA"/>
    </w:rPr>
  </w:style>
  <w:style w:type="character" w:customStyle="1" w:styleId="240">
    <w:name w:val="Char Char11"/>
    <w:autoRedefine/>
    <w:qFormat/>
    <w:locked/>
    <w:uiPriority w:val="0"/>
    <w:rPr>
      <w:rFonts w:ascii="宋体" w:hAnsi="宋体" w:eastAsia="宋体"/>
      <w:b/>
      <w:kern w:val="2"/>
      <w:sz w:val="24"/>
      <w:szCs w:val="24"/>
      <w:lang w:val="en-US" w:eastAsia="zh-CN" w:bidi="ar-SA"/>
    </w:rPr>
  </w:style>
  <w:style w:type="character" w:customStyle="1" w:styleId="241">
    <w:name w:val="ca-131"/>
    <w:autoRedefine/>
    <w:qFormat/>
    <w:uiPriority w:val="0"/>
    <w:rPr>
      <w:rFonts w:hint="eastAsia" w:ascii="仿宋_GB2312" w:eastAsia="仿宋_GB2312"/>
      <w:b/>
      <w:bCs/>
      <w:color w:val="000000"/>
      <w:spacing w:val="-20"/>
      <w:sz w:val="24"/>
      <w:szCs w:val="24"/>
    </w:rPr>
  </w:style>
  <w:style w:type="character" w:customStyle="1" w:styleId="242">
    <w:name w:val="tw4winMark"/>
    <w:autoRedefine/>
    <w:qFormat/>
    <w:uiPriority w:val="0"/>
    <w:rPr>
      <w:rFonts w:ascii="Courier New" w:hAnsi="Courier New" w:cs="Courier New"/>
      <w:vanish/>
      <w:color w:val="800080"/>
      <w:sz w:val="24"/>
      <w:szCs w:val="24"/>
      <w:vertAlign w:val="subscript"/>
    </w:rPr>
  </w:style>
  <w:style w:type="character" w:customStyle="1" w:styleId="243">
    <w:name w:val="正文样式 Char"/>
    <w:link w:val="244"/>
    <w:autoRedefine/>
    <w:qFormat/>
    <w:uiPriority w:val="0"/>
    <w:rPr>
      <w:rFonts w:ascii="Calibri" w:hAnsi="Calibri"/>
      <w:sz w:val="24"/>
      <w:szCs w:val="24"/>
    </w:rPr>
  </w:style>
  <w:style w:type="paragraph" w:customStyle="1" w:styleId="244">
    <w:name w:val="正文样式"/>
    <w:basedOn w:val="1"/>
    <w:link w:val="243"/>
    <w:autoRedefine/>
    <w:qFormat/>
    <w:uiPriority w:val="0"/>
    <w:pPr>
      <w:adjustRightInd/>
      <w:spacing w:line="360" w:lineRule="auto"/>
      <w:ind w:firstLine="480" w:firstLineChars="200"/>
    </w:pPr>
    <w:rPr>
      <w:kern w:val="0"/>
      <w:sz w:val="24"/>
    </w:rPr>
  </w:style>
  <w:style w:type="character" w:customStyle="1" w:styleId="245">
    <w:name w:val="表正文 Char3"/>
    <w:autoRedefine/>
    <w:qFormat/>
    <w:uiPriority w:val="0"/>
    <w:rPr>
      <w:rFonts w:eastAsia="宋体"/>
    </w:rPr>
  </w:style>
  <w:style w:type="character" w:customStyle="1" w:styleId="246">
    <w:name w:val="H5 Char"/>
    <w:autoRedefine/>
    <w:qFormat/>
    <w:uiPriority w:val="0"/>
    <w:rPr>
      <w:b/>
      <w:bCs/>
      <w:kern w:val="2"/>
      <w:sz w:val="28"/>
      <w:szCs w:val="28"/>
    </w:rPr>
  </w:style>
  <w:style w:type="character" w:customStyle="1" w:styleId="247">
    <w:name w:val="Char Char3"/>
    <w:autoRedefine/>
    <w:qFormat/>
    <w:uiPriority w:val="0"/>
    <w:rPr>
      <w:rFonts w:eastAsia="宋体"/>
      <w:kern w:val="2"/>
      <w:sz w:val="21"/>
      <w:szCs w:val="24"/>
      <w:lang w:val="en-US" w:eastAsia="zh-CN" w:bidi="ar-SA"/>
    </w:rPr>
  </w:style>
  <w:style w:type="character" w:customStyle="1" w:styleId="248">
    <w:name w:val="正文 编号 Char"/>
    <w:autoRedefine/>
    <w:qFormat/>
    <w:uiPriority w:val="0"/>
    <w:rPr>
      <w:rFonts w:ascii="仿宋_GB2312" w:hAnsi="仿宋_GB2312" w:eastAsia="仿宋_GB2312"/>
      <w:kern w:val="2"/>
      <w:sz w:val="24"/>
      <w:lang w:bidi="ar-SA"/>
    </w:rPr>
  </w:style>
  <w:style w:type="character" w:customStyle="1" w:styleId="249">
    <w:name w:val="question-title2"/>
    <w:autoRedefine/>
    <w:qFormat/>
    <w:uiPriority w:val="6"/>
    <w:rPr>
      <w:rFonts w:ascii="Arial" w:hAnsi="Arial" w:eastAsia="黑体" w:cs="Arial"/>
      <w:snapToGrid w:val="0"/>
      <w:kern w:val="0"/>
      <w:szCs w:val="21"/>
    </w:rPr>
  </w:style>
  <w:style w:type="character" w:customStyle="1" w:styleId="250">
    <w:name w:val="gf正文1 Char Char"/>
    <w:link w:val="251"/>
    <w:autoRedefine/>
    <w:qFormat/>
    <w:uiPriority w:val="0"/>
    <w:rPr>
      <w:rFonts w:ascii="宋体" w:hAnsi="宋体" w:cs="宋体"/>
      <w:kern w:val="2"/>
      <w:sz w:val="24"/>
      <w:szCs w:val="24"/>
    </w:rPr>
  </w:style>
  <w:style w:type="paragraph" w:customStyle="1" w:styleId="251">
    <w:name w:val="gf正文1"/>
    <w:basedOn w:val="1"/>
    <w:link w:val="250"/>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autoRedefine/>
    <w:qFormat/>
    <w:uiPriority w:val="6"/>
    <w:rPr>
      <w:rFonts w:ascii="宋体" w:hAnsi="宋体"/>
      <w:kern w:val="1"/>
      <w:sz w:val="21"/>
    </w:rPr>
  </w:style>
  <w:style w:type="character" w:customStyle="1" w:styleId="253">
    <w:name w:val="正文缩进 Char3"/>
    <w:autoRedefine/>
    <w:qFormat/>
    <w:uiPriority w:val="0"/>
    <w:rPr>
      <w:rFonts w:ascii="宋体" w:eastAsia="宋体"/>
      <w:snapToGrid w:val="0"/>
      <w:color w:val="000000"/>
      <w:kern w:val="28"/>
      <w:sz w:val="28"/>
      <w:lang w:val="en-US" w:eastAsia="zh-CN" w:bidi="ar-SA"/>
    </w:rPr>
  </w:style>
  <w:style w:type="character" w:customStyle="1" w:styleId="254">
    <w:name w:val="列出段落 Char1"/>
    <w:link w:val="255"/>
    <w:autoRedefine/>
    <w:qFormat/>
    <w:uiPriority w:val="0"/>
    <w:rPr>
      <w:rFonts w:ascii="Calibri" w:hAnsi="Calibri"/>
      <w:sz w:val="24"/>
      <w:lang w:eastAsia="en-US"/>
    </w:rPr>
  </w:style>
  <w:style w:type="paragraph" w:customStyle="1" w:styleId="255">
    <w:name w:val="列表1"/>
    <w:basedOn w:val="1"/>
    <w:next w:val="79"/>
    <w:link w:val="254"/>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字符1"/>
    <w:link w:val="6"/>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字符1"/>
    <w:link w:val="3"/>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字符"/>
    <w:link w:val="58"/>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字符"/>
    <w:link w:val="8"/>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autoRedefine/>
    <w:qFormat/>
    <w:uiPriority w:val="0"/>
    <w:rPr>
      <w:rFonts w:ascii="宋体" w:eastAsia="宋体"/>
      <w:kern w:val="2"/>
      <w:sz w:val="24"/>
      <w:szCs w:val="24"/>
      <w:lang w:val="zh-CN" w:bidi="ar-SA"/>
    </w:rPr>
  </w:style>
  <w:style w:type="character" w:customStyle="1" w:styleId="295">
    <w:name w:val="称呼 字符"/>
    <w:link w:val="21"/>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字符"/>
    <w:link w:val="56"/>
    <w:autoRedefine/>
    <w:qFormat/>
    <w:uiPriority w:val="0"/>
    <w:rPr>
      <w:rFonts w:ascii="黑体" w:hAnsi="Courier New" w:eastAsia="黑体"/>
    </w:rPr>
  </w:style>
  <w:style w:type="character" w:customStyle="1" w:styleId="299">
    <w:name w:val="正文文本 2 字符1"/>
    <w:link w:val="55"/>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7"/>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字符"/>
    <w:link w:val="10"/>
    <w:autoRedefine/>
    <w:qFormat/>
    <w:uiPriority w:val="0"/>
    <w:rPr>
      <w:b/>
      <w:bCs/>
      <w:kern w:val="2"/>
      <w:sz w:val="24"/>
      <w:szCs w:val="24"/>
    </w:rPr>
  </w:style>
  <w:style w:type="character" w:customStyle="1" w:styleId="305">
    <w:name w:val="正文文本缩进 2 字符"/>
    <w:link w:val="36"/>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字符"/>
    <w:link w:val="49"/>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文本首行缩进 字符"/>
    <w:link w:val="60"/>
    <w:autoRedefine/>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字符1"/>
    <w:link w:val="7"/>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字符"/>
    <w:link w:val="22"/>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0"/>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0"/>
    <w:autoRedefine/>
    <w:qFormat/>
    <w:uiPriority w:val="0"/>
    <w:rPr>
      <w:kern w:val="2"/>
      <w:sz w:val="21"/>
      <w:szCs w:val="24"/>
    </w:rPr>
  </w:style>
  <w:style w:type="character" w:customStyle="1" w:styleId="342">
    <w:name w:val="签名 字符"/>
    <w:link w:val="41"/>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1"/>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字符"/>
    <w:link w:val="52"/>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autoRedefine/>
    <w:qFormat/>
    <w:uiPriority w:val="99"/>
    <w:rPr>
      <w:kern w:val="2"/>
      <w:sz w:val="18"/>
      <w:szCs w:val="18"/>
    </w:rPr>
  </w:style>
  <w:style w:type="character" w:customStyle="1" w:styleId="375">
    <w:name w:val="Char Char33"/>
    <w:autoRedefine/>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autoRedefine/>
    <w:qFormat/>
    <w:uiPriority w:val="6"/>
    <w:rPr>
      <w:rFonts w:ascii="仿宋_GB2312" w:eastAsia="仿宋_GB2312"/>
      <w:b/>
      <w:bCs/>
      <w:kern w:val="2"/>
      <w:sz w:val="24"/>
      <w:szCs w:val="24"/>
      <w:lang w:val="zh-CN" w:eastAsia="zh-CN" w:bidi="ar-SA"/>
    </w:rPr>
  </w:style>
  <w:style w:type="character" w:customStyle="1" w:styleId="379">
    <w:name w:val="Footer-Even Char"/>
    <w:autoRedefine/>
    <w:qFormat/>
    <w:uiPriority w:val="0"/>
    <w:rPr>
      <w:rFonts w:eastAsia="宋体"/>
      <w:kern w:val="2"/>
      <w:sz w:val="18"/>
      <w:lang w:val="en-US" w:eastAsia="zh-CN" w:bidi="ar-SA"/>
    </w:rPr>
  </w:style>
  <w:style w:type="character" w:customStyle="1" w:styleId="380">
    <w:name w:val="页脚 字符2"/>
    <w:link w:val="39"/>
    <w:autoRedefine/>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autoRedefine/>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autoRedefine/>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autoRedefine/>
    <w:qFormat/>
    <w:uiPriority w:val="0"/>
  </w:style>
  <w:style w:type="character" w:customStyle="1" w:styleId="389">
    <w:name w:val="页眉 字符2"/>
    <w:link w:val="40"/>
    <w:autoRedefine/>
    <w:qFormat/>
    <w:uiPriority w:val="99"/>
    <w:rPr>
      <w:kern w:val="2"/>
      <w:sz w:val="18"/>
      <w:szCs w:val="18"/>
    </w:rPr>
  </w:style>
  <w:style w:type="character" w:customStyle="1" w:styleId="390">
    <w:name w:val="Char Char9"/>
    <w:autoRedefine/>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156"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autoRedefine/>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69"/>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autoRedefine/>
    <w:qFormat/>
    <w:uiPriority w:val="0"/>
    <w:rPr>
      <w:rFonts w:eastAsia="宋体"/>
      <w:b/>
      <w:bCs/>
      <w:kern w:val="44"/>
      <w:sz w:val="44"/>
      <w:szCs w:val="44"/>
      <w:lang w:val="en-US" w:eastAsia="zh-CN" w:bidi="ar-SA"/>
    </w:rPr>
  </w:style>
  <w:style w:type="character" w:customStyle="1" w:styleId="422">
    <w:name w:val="页脚 字符"/>
    <w:autoRedefine/>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autoRedefine/>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5"/>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4"/>
    <w:autoRedefine/>
    <w:qFormat/>
    <w:uiPriority w:val="0"/>
    <w:rPr>
      <w:rFonts w:ascii="宋体" w:hAnsi="Arial" w:eastAsia="宋体" w:cs="Arial"/>
      <w:snapToGrid w:val="0"/>
      <w:kern w:val="2"/>
      <w:sz w:val="24"/>
      <w:szCs w:val="21"/>
      <w:lang w:val="zh-CN" w:eastAsia="zh-CN" w:bidi="ar-SA"/>
    </w:rPr>
  </w:style>
  <w:style w:type="character" w:customStyle="1" w:styleId="428">
    <w:name w:val="gray6"/>
    <w:basedOn w:val="69"/>
    <w:autoRedefine/>
    <w:qFormat/>
    <w:uiPriority w:val="0"/>
    <w:rPr>
      <w:rFonts w:ascii="Arial" w:hAnsi="Arial" w:eastAsia="黑体" w:cs="Arial"/>
      <w:snapToGrid w:val="0"/>
      <w:kern w:val="0"/>
      <w:szCs w:val="21"/>
    </w:rPr>
  </w:style>
  <w:style w:type="character" w:customStyle="1" w:styleId="429">
    <w:name w:val="hui"/>
    <w:basedOn w:val="69"/>
    <w:autoRedefine/>
    <w:qFormat/>
    <w:uiPriority w:val="0"/>
    <w:rPr>
      <w:rFonts w:ascii="Arial" w:hAnsi="Arial" w:eastAsia="黑体" w:cs="Arial"/>
      <w:snapToGrid w:val="0"/>
      <w:kern w:val="0"/>
      <w:szCs w:val="21"/>
    </w:rPr>
  </w:style>
  <w:style w:type="character" w:customStyle="1" w:styleId="430">
    <w:name w:val="哈哈正文 Char Char"/>
    <w:autoRedefine/>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autoRedefine/>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autoRedefine/>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autoRedefine/>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autoRedefine/>
    <w:qFormat/>
    <w:uiPriority w:val="0"/>
    <w:pPr>
      <w:adjustRightInd/>
      <w:ind w:firstLine="200" w:firstLineChars="200"/>
    </w:pPr>
    <w:rPr>
      <w:rFonts w:ascii="Tahoma" w:hAnsi="Tahoma"/>
      <w:sz w:val="24"/>
      <w:szCs w:val="20"/>
    </w:rPr>
  </w:style>
  <w:style w:type="paragraph" w:customStyle="1" w:styleId="45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autoRedefine/>
    <w:qFormat/>
    <w:uiPriority w:val="0"/>
    <w:pPr>
      <w:tabs>
        <w:tab w:val="left" w:pos="360"/>
      </w:tabs>
    </w:pPr>
    <w:rPr>
      <w:sz w:val="24"/>
      <w:szCs w:val="20"/>
    </w:rPr>
  </w:style>
  <w:style w:type="paragraph" w:customStyle="1" w:styleId="453">
    <w:name w:val="Char Char11 Char Char Char"/>
    <w:basedOn w:val="1"/>
    <w:autoRedefine/>
    <w:qFormat/>
    <w:uiPriority w:val="0"/>
    <w:pPr>
      <w:spacing w:line="360" w:lineRule="auto"/>
    </w:pPr>
    <w:rPr>
      <w:szCs w:val="20"/>
    </w:rPr>
  </w:style>
  <w:style w:type="paragraph" w:customStyle="1" w:styleId="45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autoRedefine/>
    <w:qFormat/>
    <w:uiPriority w:val="0"/>
    <w:pPr>
      <w:tabs>
        <w:tab w:val="left" w:pos="2790"/>
        <w:tab w:val="left" w:pos="4230"/>
      </w:tabs>
      <w:spacing w:before="312" w:beforeLines="100"/>
      <w:jc w:val="left"/>
    </w:pPr>
  </w:style>
  <w:style w:type="paragraph" w:customStyle="1" w:styleId="45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spacing w:before="0" w:after="0"/>
      <w:outlineLvl w:val="5"/>
    </w:pPr>
  </w:style>
  <w:style w:type="paragraph" w:customStyle="1" w:styleId="471">
    <w:name w:val="5级标题"/>
    <w:basedOn w:val="472"/>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7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autoRedefine/>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autoRedefine/>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autoRedefine/>
    <w:qFormat/>
    <w:uiPriority w:val="0"/>
    <w:rPr>
      <w:rFonts w:ascii="仿宋_GB2312" w:eastAsia="仿宋_GB2312"/>
      <w:b/>
      <w:sz w:val="32"/>
      <w:szCs w:val="32"/>
    </w:rPr>
  </w:style>
  <w:style w:type="paragraph" w:customStyle="1" w:styleId="493">
    <w:name w:val="数字标题3"/>
    <w:basedOn w:val="4"/>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8"/>
    <w:autoRedefine/>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autoRedefine/>
    <w:qFormat/>
    <w:uiPriority w:val="6"/>
    <w:rPr>
      <w:rFonts w:ascii="仿宋_GB2312" w:eastAsia="仿宋_GB2312"/>
      <w:b/>
      <w:sz w:val="32"/>
      <w:szCs w:val="32"/>
    </w:rPr>
  </w:style>
  <w:style w:type="paragraph" w:customStyle="1" w:styleId="501">
    <w:name w:val="默认段落样式"/>
    <w:basedOn w:val="129"/>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autoRedefine/>
    <w:qFormat/>
    <w:uiPriority w:val="0"/>
    <w:pPr>
      <w:tabs>
        <w:tab w:val="left" w:pos="1680"/>
      </w:tabs>
      <w:adjustRightInd/>
      <w:ind w:left="1680" w:hanging="420"/>
    </w:pPr>
  </w:style>
  <w:style w:type="paragraph" w:customStyle="1" w:styleId="505">
    <w:name w:val="标准小四"/>
    <w:basedOn w:val="1"/>
    <w:autoRedefine/>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autoRedefine/>
    <w:qFormat/>
    <w:uiPriority w:val="6"/>
    <w:pPr>
      <w:adjustRightInd/>
    </w:pPr>
    <w:rPr>
      <w:rFonts w:ascii="Tahoma" w:hAnsi="Tahoma"/>
      <w:sz w:val="24"/>
      <w:szCs w:val="20"/>
    </w:rPr>
  </w:style>
  <w:style w:type="paragraph" w:customStyle="1" w:styleId="51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autoRedefine/>
    <w:qFormat/>
    <w:uiPriority w:val="0"/>
    <w:pPr>
      <w:adjustRightInd/>
      <w:ind w:firstLine="420" w:firstLineChars="200"/>
    </w:pPr>
    <w:rPr>
      <w:rFonts w:eastAsia="仿宋_GB2312"/>
      <w:sz w:val="28"/>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autoRedefine/>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autoRedefine/>
    <w:qFormat/>
    <w:uiPriority w:val="6"/>
    <w:rPr>
      <w:rFonts w:ascii="仿宋_GB2312" w:eastAsia="仿宋_GB2312"/>
      <w:b/>
      <w:sz w:val="32"/>
      <w:szCs w:val="20"/>
    </w:rPr>
  </w:style>
  <w:style w:type="paragraph" w:customStyle="1" w:styleId="528">
    <w:name w:val="列出段落2"/>
    <w:basedOn w:val="1"/>
    <w:autoRedefine/>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autoRedefine/>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3"/>
    <w:next w:val="233"/>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3"/>
    <w:next w:val="233"/>
    <w:autoRedefine/>
    <w:qFormat/>
    <w:uiPriority w:val="0"/>
    <w:rPr>
      <w:rFonts w:ascii="宋体" w:eastAsia="宋体" w:cs="Times New Roman"/>
      <w:color w:val="auto"/>
    </w:rPr>
  </w:style>
  <w:style w:type="paragraph" w:customStyle="1" w:styleId="54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156"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3"/>
    <w:autoRedefine/>
    <w:qFormat/>
    <w:uiPriority w:val="0"/>
    <w:pPr>
      <w:tabs>
        <w:tab w:val="left" w:pos="840"/>
      </w:tabs>
      <w:adjustRightInd/>
      <w:ind w:left="840" w:hanging="420"/>
    </w:pPr>
  </w:style>
  <w:style w:type="paragraph" w:customStyle="1" w:styleId="623">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156"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autoRedefine/>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autoRedefine/>
    <w:qFormat/>
    <w:uiPriority w:val="0"/>
    <w:pPr>
      <w:tabs>
        <w:tab w:val="left" w:pos="1260"/>
        <w:tab w:val="left" w:pos="1680"/>
      </w:tabs>
      <w:spacing w:before="0" w:beforeLines="0" w:after="0" w:afterLines="0"/>
      <w:ind w:left="1680"/>
      <w:outlineLvl w:val="2"/>
    </w:pPr>
  </w:style>
  <w:style w:type="paragraph" w:customStyle="1" w:styleId="655">
    <w:name w:val="章标题"/>
    <w:next w:val="6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autoRedefine/>
    <w:qFormat/>
    <w:uiPriority w:val="0"/>
    <w:pPr>
      <w:tabs>
        <w:tab w:val="left" w:pos="840"/>
      </w:tabs>
      <w:spacing w:after="0"/>
      <w:ind w:left="900"/>
    </w:pPr>
  </w:style>
  <w:style w:type="paragraph" w:customStyle="1" w:styleId="6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autoRedefine/>
    <w:qFormat/>
    <w:uiPriority w:val="6"/>
    <w:pPr>
      <w:widowControl/>
      <w:adjustRightInd/>
      <w:ind w:left="720" w:hanging="720"/>
    </w:pPr>
    <w:rPr>
      <w:color w:val="000000"/>
      <w:kern w:val="0"/>
      <w:sz w:val="24"/>
      <w:szCs w:val="20"/>
      <w:lang w:val="en-GB"/>
    </w:rPr>
  </w:style>
  <w:style w:type="paragraph" w:customStyle="1" w:styleId="665">
    <w:name w:val="表1"/>
    <w:basedOn w:val="1"/>
    <w:autoRedefine/>
    <w:qFormat/>
    <w:uiPriority w:val="0"/>
    <w:pPr>
      <w:tabs>
        <w:tab w:val="left" w:pos="703"/>
      </w:tabs>
      <w:adjustRightInd/>
      <w:spacing w:line="360" w:lineRule="auto"/>
      <w:ind w:left="703"/>
      <w:jc w:val="center"/>
    </w:pPr>
  </w:style>
  <w:style w:type="paragraph" w:customStyle="1" w:styleId="6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autoRedefine/>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autoRedefine/>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autoRedefine/>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autoRedefine/>
    <w:qFormat/>
    <w:uiPriority w:val="0"/>
    <w:rPr>
      <w:rFonts w:ascii="Tahoma" w:hAnsi="Tahoma"/>
      <w:sz w:val="24"/>
      <w:szCs w:val="20"/>
    </w:rPr>
  </w:style>
  <w:style w:type="paragraph" w:customStyle="1" w:styleId="75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autoRedefine/>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autoRedefine/>
    <w:qFormat/>
    <w:uiPriority w:val="0"/>
    <w:rPr>
      <w:rFonts w:ascii="宋体" w:hAnsi="Times New Roman" w:eastAsia="宋体" w:cs="Times New Roman"/>
      <w:kern w:val="2"/>
      <w:lang w:val="en-US" w:eastAsia="zh-CN" w:bidi="ar-SA"/>
    </w:rPr>
  </w:style>
  <w:style w:type="paragraph" w:customStyle="1" w:styleId="769">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autoRedefine/>
    <w:qFormat/>
    <w:uiPriority w:val="0"/>
    <w:rPr>
      <w:rFonts w:ascii="仿宋_GB2312" w:eastAsia="仿宋_GB2312"/>
      <w:b/>
      <w:sz w:val="32"/>
      <w:szCs w:val="32"/>
    </w:rPr>
  </w:style>
  <w:style w:type="paragraph" w:customStyle="1" w:styleId="784">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autoRedefine/>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autoRedefine/>
    <w:qFormat/>
    <w:uiPriority w:val="0"/>
    <w:rPr>
      <w:rFonts w:ascii="仿宋_GB2312" w:eastAsia="仿宋_GB2312"/>
      <w:b/>
      <w:sz w:val="32"/>
      <w:szCs w:val="32"/>
    </w:rPr>
  </w:style>
  <w:style w:type="paragraph" w:customStyle="1" w:styleId="79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autoRedefine/>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1"/>
    <w:autoRedefine/>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autoRedefine/>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autoRedefine/>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autoRedefine/>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autoRedefine/>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autoRedefine/>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autoRedefine/>
    <w:qFormat/>
    <w:uiPriority w:val="0"/>
    <w:rPr>
      <w:rFonts w:ascii="Tahoma" w:hAnsi="Tahoma" w:cs="仿宋_GB2312"/>
      <w:sz w:val="24"/>
      <w:szCs w:val="20"/>
    </w:rPr>
  </w:style>
  <w:style w:type="paragraph" w:customStyle="1" w:styleId="837">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autoRedefine/>
    <w:qFormat/>
    <w:uiPriority w:val="0"/>
    <w:pPr>
      <w:widowControl/>
      <w:spacing w:after="160" w:line="240" w:lineRule="exact"/>
      <w:jc w:val="left"/>
    </w:pPr>
    <w:rPr>
      <w:rFonts w:eastAsia="仿宋_GB2312"/>
      <w:sz w:val="28"/>
    </w:rPr>
  </w:style>
  <w:style w:type="paragraph" w:customStyle="1" w:styleId="858">
    <w:name w:val="Char21"/>
    <w:basedOn w:val="1"/>
    <w:autoRedefine/>
    <w:qFormat/>
    <w:uiPriority w:val="0"/>
    <w:pPr>
      <w:adjustRightInd/>
      <w:ind w:firstLine="200" w:firstLineChars="200"/>
    </w:pPr>
    <w:rPr>
      <w:rFonts w:ascii="仿宋_GB2312" w:eastAsia="仿宋_GB2312"/>
      <w:b/>
      <w:sz w:val="32"/>
      <w:szCs w:val="32"/>
    </w:rPr>
  </w:style>
  <w:style w:type="paragraph" w:customStyle="1" w:styleId="859">
    <w:name w:val="列表段落1"/>
    <w:basedOn w:val="1"/>
    <w:autoRedefine/>
    <w:qFormat/>
    <w:uiPriority w:val="34"/>
    <w:pPr>
      <w:adjustRightInd/>
      <w:ind w:right="238" w:firstLine="420"/>
    </w:pPr>
    <w:rPr>
      <w:rFonts w:ascii="Calibri" w:hAnsi="Calibri"/>
      <w:sz w:val="24"/>
    </w:rPr>
  </w:style>
  <w:style w:type="paragraph" w:customStyle="1" w:styleId="860">
    <w:name w:val="Char Char110"/>
    <w:basedOn w:val="1"/>
    <w:autoRedefine/>
    <w:qFormat/>
    <w:uiPriority w:val="6"/>
    <w:pPr>
      <w:spacing w:line="360" w:lineRule="auto"/>
    </w:pPr>
    <w:rPr>
      <w:rFonts w:ascii="Tahoma" w:hAnsi="Tahoma"/>
      <w:sz w:val="24"/>
      <w:szCs w:val="20"/>
    </w:rPr>
  </w:style>
  <w:style w:type="paragraph" w:customStyle="1" w:styleId="86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0">
    <w:name w:val="_Style 12"/>
    <w:basedOn w:val="19"/>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79"/>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autoRedefine/>
    <w:qFormat/>
    <w:uiPriority w:val="0"/>
    <w:pPr>
      <w:outlineLvl w:val="2"/>
    </w:pPr>
  </w:style>
  <w:style w:type="paragraph" w:customStyle="1" w:styleId="87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autoRedefine/>
    <w:qFormat/>
    <w:uiPriority w:val="0"/>
    <w:rPr>
      <w:rFonts w:ascii="仿宋_GB2312" w:eastAsia="仿宋_GB2312"/>
      <w:b/>
      <w:sz w:val="32"/>
      <w:szCs w:val="32"/>
    </w:rPr>
  </w:style>
  <w:style w:type="paragraph" w:customStyle="1" w:styleId="883">
    <w:name w:val="正文箭头"/>
    <w:basedOn w:val="535"/>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6"/>
    <w:autoRedefine/>
    <w:qFormat/>
    <w:uiPriority w:val="0"/>
    <w:rPr>
      <w:b w:val="0"/>
      <w:sz w:val="20"/>
    </w:rPr>
  </w:style>
  <w:style w:type="paragraph" w:customStyle="1" w:styleId="891">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autoRedefine/>
    <w:qFormat/>
    <w:uiPriority w:val="0"/>
    <w:pPr>
      <w:tabs>
        <w:tab w:val="left" w:pos="1080"/>
      </w:tabs>
      <w:ind w:left="1080" w:hanging="1080"/>
    </w:pPr>
  </w:style>
  <w:style w:type="paragraph" w:customStyle="1" w:styleId="894">
    <w:name w:val="数字标题1"/>
    <w:basedOn w:val="3"/>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autoRedefine/>
    <w:qFormat/>
    <w:uiPriority w:val="0"/>
    <w:pPr>
      <w:widowControl/>
      <w:spacing w:after="160" w:line="240" w:lineRule="exact"/>
      <w:jc w:val="left"/>
    </w:pPr>
    <w:rPr>
      <w:rFonts w:eastAsia="仿宋_GB2312"/>
      <w:sz w:val="28"/>
    </w:rPr>
  </w:style>
  <w:style w:type="paragraph" w:customStyle="1" w:styleId="90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autoRedefine/>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0"/>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字符"/>
    <w:link w:val="37"/>
    <w:autoRedefine/>
    <w:qFormat/>
    <w:uiPriority w:val="0"/>
    <w:rPr>
      <w:kern w:val="2"/>
      <w:sz w:val="21"/>
      <w:szCs w:val="24"/>
      <w:lang w:val="zh-CN"/>
    </w:rPr>
  </w:style>
  <w:style w:type="character" w:customStyle="1" w:styleId="930">
    <w:name w:val="无间隔 字符"/>
    <w:link w:val="480"/>
    <w:autoRedefine/>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autoRedefine/>
    <w:qFormat/>
    <w:uiPriority w:val="0"/>
    <w:rPr>
      <w:rFonts w:hint="default" w:ascii="Calibri" w:hAnsi="Calibri"/>
      <w:color w:val="0000FF"/>
      <w:u w:val="single"/>
    </w:rPr>
  </w:style>
  <w:style w:type="character" w:customStyle="1" w:styleId="936">
    <w:name w:val="16"/>
    <w:autoRedefine/>
    <w:qFormat/>
    <w:uiPriority w:val="0"/>
    <w:rPr>
      <w:rFonts w:hint="eastAsia" w:ascii="宋体" w:hAnsi="宋体" w:eastAsia="宋体"/>
      <w:color w:val="000000"/>
      <w:sz w:val="20"/>
      <w:szCs w:val="20"/>
    </w:rPr>
  </w:style>
  <w:style w:type="character" w:customStyle="1" w:styleId="937">
    <w:name w:val="edui-unclickable"/>
    <w:autoRedefin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autoRedefine/>
    <w:qFormat/>
    <w:uiPriority w:val="0"/>
    <w:rPr>
      <w:rFonts w:ascii="Century Gothic" w:hAnsi="Century Gothic" w:eastAsia="Century Gothic"/>
      <w:kern w:val="2"/>
      <w:sz w:val="24"/>
      <w:lang w:val="en-US" w:eastAsia="zh-CN" w:bidi="ar-SA"/>
    </w:rPr>
  </w:style>
  <w:style w:type="character" w:customStyle="1" w:styleId="940">
    <w:name w:val="正文文本 2 字符"/>
    <w:autoRedefine/>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autoRedefine/>
    <w:qFormat/>
    <w:uiPriority w:val="0"/>
    <w:rPr>
      <w:color w:val="000000"/>
      <w:sz w:val="18"/>
    </w:rPr>
  </w:style>
  <w:style w:type="paragraph" w:customStyle="1" w:styleId="946">
    <w:name w:val="_Style 947"/>
    <w:basedOn w:val="1"/>
    <w:next w:val="79"/>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autoRedefine/>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paragraph" w:customStyle="1" w:styleId="961">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2">
    <w:name w:val="不明显强调1"/>
    <w:autoRedefine/>
    <w:qFormat/>
    <w:uiPriority w:val="19"/>
    <w:rPr>
      <w:i/>
      <w:iC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6350</Words>
  <Characters>36195</Characters>
  <Lines>301</Lines>
  <Paragraphs>84</Paragraphs>
  <TotalTime>27</TotalTime>
  <ScaleCrop>false</ScaleCrop>
  <LinksUpToDate>false</LinksUpToDate>
  <CharactersWithSpaces>42461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2021-08-01T16:22:00Z</dcterms:created>
  <dc:creator>玥</dc:creator>
  <cp:lastModifiedBy>w</cp:lastModifiedBy>
  <cp:lastPrinted>2024-04-25T12:16:08Z</cp:lastPrinted>
  <dcterms:modified xsi:type="dcterms:W3CDTF">2024-04-25T12:33:22Z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